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899" w:rsidRPr="00DD21A2" w:rsidRDefault="00F96899" w:rsidP="00DD21A2">
      <w:pPr>
        <w:rPr>
          <w:rFonts w:cs="Arial"/>
          <w:sz w:val="24"/>
          <w:lang w:val="en-CA"/>
        </w:rPr>
      </w:pPr>
      <w:bookmarkStart w:id="0" w:name="_GoBack"/>
      <w:bookmarkEnd w:id="0"/>
    </w:p>
    <w:p w:rsidR="00DB62F9" w:rsidRPr="00DD21A2" w:rsidRDefault="00DB62F9" w:rsidP="00DD21A2">
      <w:pPr>
        <w:rPr>
          <w:rFonts w:cs="Arial"/>
          <w:szCs w:val="22"/>
        </w:rPr>
      </w:pPr>
    </w:p>
    <w:p w:rsidR="00DB62F9" w:rsidRPr="00DD21A2" w:rsidRDefault="00DB62F9" w:rsidP="00DD21A2">
      <w:pPr>
        <w:rPr>
          <w:rFonts w:cs="Arial"/>
          <w:szCs w:val="22"/>
        </w:rPr>
      </w:pPr>
    </w:p>
    <w:p w:rsidR="00DB62F9" w:rsidRPr="00DD21A2" w:rsidRDefault="00DB62F9" w:rsidP="00DD21A2">
      <w:pPr>
        <w:rPr>
          <w:rFonts w:cs="Arial"/>
          <w:szCs w:val="22"/>
        </w:rPr>
      </w:pPr>
    </w:p>
    <w:p w:rsidR="00DB62F9" w:rsidRPr="00DD21A2" w:rsidRDefault="00DB62F9" w:rsidP="00DD21A2">
      <w:pPr>
        <w:rPr>
          <w:rFonts w:cs="Arial"/>
          <w:szCs w:val="22"/>
        </w:rPr>
      </w:pPr>
    </w:p>
    <w:p w:rsidR="00DB62F9" w:rsidRPr="00DD21A2" w:rsidRDefault="00DB62F9" w:rsidP="00DD21A2">
      <w:pPr>
        <w:rPr>
          <w:rFonts w:cs="Arial"/>
          <w:szCs w:val="22"/>
        </w:rPr>
      </w:pPr>
    </w:p>
    <w:p w:rsidR="00DB62F9" w:rsidRPr="00DD21A2" w:rsidRDefault="00DB62F9" w:rsidP="00DD21A2">
      <w:pPr>
        <w:rPr>
          <w:rFonts w:cs="Arial"/>
          <w:szCs w:val="22"/>
        </w:rPr>
      </w:pPr>
    </w:p>
    <w:p w:rsidR="00DB62F9" w:rsidRPr="00DD21A2" w:rsidRDefault="004B3827" w:rsidP="00DD21A2">
      <w:pPr>
        <w:rPr>
          <w:rFonts w:cs="Arial"/>
          <w:szCs w:val="22"/>
        </w:rPr>
      </w:pPr>
      <w:r>
        <w:rPr>
          <w:rFonts w:cs="Arial"/>
          <w:noProof/>
        </w:rPr>
        <mc:AlternateContent>
          <mc:Choice Requires="wps">
            <w:drawing>
              <wp:anchor distT="4294967291" distB="4294967291" distL="114293" distR="114293" simplePos="0" relativeHeight="251655680" behindDoc="0" locked="0" layoutInCell="0" allowOverlap="1" wp14:anchorId="3774F52E" wp14:editId="1CEEB031">
                <wp:simplePos x="0" y="0"/>
                <wp:positionH relativeFrom="margin">
                  <wp:posOffset>-1</wp:posOffset>
                </wp:positionH>
                <wp:positionV relativeFrom="paragraph">
                  <wp:posOffset>-1</wp:posOffset>
                </wp:positionV>
                <wp:extent cx="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3.17481mm;mso-wrap-distance-top:-1e-4mm;mso-wrap-distance-right:3.17481mm;mso-wrap-distance-bottom:-1e-4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A8KQhhDQIAACM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Pr>
          <w:rFonts w:cs="Arial"/>
          <w:noProof/>
        </w:rPr>
        <mc:AlternateContent>
          <mc:Choice Requires="wps">
            <w:drawing>
              <wp:anchor distT="4294967291" distB="4294967291" distL="114300" distR="114300" simplePos="0" relativeHeight="251656704" behindDoc="0" locked="0" layoutInCell="0" allowOverlap="1" wp14:anchorId="0BEA1069" wp14:editId="2D843FFF">
                <wp:simplePos x="0" y="0"/>
                <wp:positionH relativeFrom="margin">
                  <wp:posOffset>0</wp:posOffset>
                </wp:positionH>
                <wp:positionV relativeFrom="paragraph">
                  <wp:posOffset>34289</wp:posOffset>
                </wp:positionV>
                <wp:extent cx="5943600" cy="0"/>
                <wp:effectExtent l="0" t="19050" r="19050" b="381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0"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0,2.7pt" to="46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" o:allowincell="f" strokecolor="#020000" strokeweight="4.8pt">
                <v:stroke linestyle="thinThin"/>
                <w10:wrap anchorx="margin"/>
              </v:line>
            </w:pict>
          </mc:Fallback>
        </mc:AlternateContent>
      </w:r>
    </w:p>
    <w:p w:rsidR="00DB62F9" w:rsidRPr="00DD21A2" w:rsidRDefault="00DB62F9" w:rsidP="00DD21A2">
      <w:pPr>
        <w:rPr>
          <w:rFonts w:cs="Arial"/>
          <w:szCs w:val="22"/>
        </w:rPr>
      </w:pPr>
    </w:p>
    <w:p w:rsidR="00FB1A15" w:rsidRPr="00DD21A2" w:rsidRDefault="009E3469" w:rsidP="00DD21A2">
      <w:pPr>
        <w:rPr>
          <w:rFonts w:cs="Arial"/>
          <w:b/>
          <w:bCs/>
          <w:sz w:val="36"/>
          <w:szCs w:val="36"/>
        </w:rPr>
      </w:pPr>
      <w:r w:rsidRPr="00DD21A2">
        <w:rPr>
          <w:rFonts w:cs="Arial"/>
          <w:b/>
          <w:bCs/>
          <w:sz w:val="36"/>
          <w:szCs w:val="36"/>
        </w:rPr>
        <w:t xml:space="preserve">Draft </w:t>
      </w:r>
      <w:r w:rsidR="008038E3" w:rsidRPr="00DD21A2">
        <w:rPr>
          <w:rFonts w:cs="Arial"/>
          <w:b/>
          <w:bCs/>
          <w:sz w:val="36"/>
          <w:szCs w:val="36"/>
        </w:rPr>
        <w:t>R</w:t>
      </w:r>
      <w:r w:rsidR="002A5BB4" w:rsidRPr="00DD21A2">
        <w:rPr>
          <w:rFonts w:cs="Arial"/>
          <w:b/>
          <w:bCs/>
          <w:sz w:val="36"/>
          <w:szCs w:val="36"/>
        </w:rPr>
        <w:t>egulatory</w:t>
      </w:r>
      <w:r w:rsidR="008038E3" w:rsidRPr="00DD21A2">
        <w:rPr>
          <w:rFonts w:cs="Arial"/>
          <w:b/>
          <w:bCs/>
          <w:sz w:val="36"/>
          <w:szCs w:val="36"/>
        </w:rPr>
        <w:t xml:space="preserve"> A</w:t>
      </w:r>
      <w:r w:rsidR="002A5BB4" w:rsidRPr="00DD21A2">
        <w:rPr>
          <w:rFonts w:cs="Arial"/>
          <w:b/>
          <w:bCs/>
          <w:sz w:val="36"/>
          <w:szCs w:val="36"/>
        </w:rPr>
        <w:t>nalysis</w:t>
      </w:r>
      <w:r w:rsidR="008038E3" w:rsidRPr="00DD21A2">
        <w:rPr>
          <w:rFonts w:cs="Arial"/>
          <w:b/>
          <w:bCs/>
          <w:sz w:val="36"/>
          <w:szCs w:val="36"/>
        </w:rPr>
        <w:t xml:space="preserve"> </w:t>
      </w:r>
      <w:r w:rsidR="002A5BB4" w:rsidRPr="00DD21A2">
        <w:rPr>
          <w:rFonts w:cs="Arial"/>
          <w:b/>
          <w:bCs/>
          <w:sz w:val="36"/>
          <w:szCs w:val="36"/>
        </w:rPr>
        <w:t>for</w:t>
      </w:r>
      <w:r w:rsidR="008038E3" w:rsidRPr="00DD21A2">
        <w:rPr>
          <w:rFonts w:cs="Arial"/>
          <w:b/>
          <w:bCs/>
          <w:sz w:val="36"/>
          <w:szCs w:val="36"/>
        </w:rPr>
        <w:t xml:space="preserve"> P</w:t>
      </w:r>
      <w:r w:rsidR="002A5BB4" w:rsidRPr="00DD21A2">
        <w:rPr>
          <w:rFonts w:cs="Arial"/>
          <w:b/>
          <w:bCs/>
          <w:sz w:val="36"/>
          <w:szCs w:val="36"/>
        </w:rPr>
        <w:t>roposed</w:t>
      </w:r>
      <w:r w:rsidR="008038E3" w:rsidRPr="00DD21A2">
        <w:rPr>
          <w:rFonts w:cs="Arial"/>
          <w:b/>
          <w:bCs/>
          <w:sz w:val="36"/>
          <w:szCs w:val="36"/>
        </w:rPr>
        <w:t xml:space="preserve"> R</w:t>
      </w:r>
      <w:r w:rsidR="002A5BB4" w:rsidRPr="00DD21A2">
        <w:rPr>
          <w:rFonts w:cs="Arial"/>
          <w:b/>
          <w:bCs/>
          <w:sz w:val="36"/>
          <w:szCs w:val="36"/>
        </w:rPr>
        <w:t>ule</w:t>
      </w:r>
      <w:r w:rsidR="008038E3" w:rsidRPr="00DD21A2">
        <w:rPr>
          <w:rFonts w:cs="Arial"/>
          <w:b/>
          <w:bCs/>
          <w:sz w:val="36"/>
          <w:szCs w:val="36"/>
        </w:rPr>
        <w:t xml:space="preserve">: </w:t>
      </w:r>
      <w:r w:rsidR="00626E98">
        <w:rPr>
          <w:rFonts w:cs="Arial"/>
          <w:b/>
          <w:bCs/>
          <w:sz w:val="36"/>
          <w:szCs w:val="36"/>
        </w:rPr>
        <w:t xml:space="preserve"> </w:t>
      </w:r>
    </w:p>
    <w:p w:rsidR="00B90B1C" w:rsidRPr="00DD21A2" w:rsidRDefault="00D85170" w:rsidP="00DD21A2">
      <w:pPr>
        <w:rPr>
          <w:rFonts w:cs="Arial"/>
          <w:b/>
          <w:bCs/>
          <w:szCs w:val="22"/>
        </w:rPr>
      </w:pPr>
      <w:r w:rsidRPr="00DD21A2">
        <w:rPr>
          <w:rFonts w:cs="Arial"/>
          <w:b/>
          <w:bCs/>
          <w:sz w:val="36"/>
          <w:szCs w:val="36"/>
        </w:rPr>
        <w:t>Low-Level Radioactive Waste Disposal</w:t>
      </w:r>
      <w:r w:rsidR="008038E3" w:rsidRPr="00DD21A2">
        <w:rPr>
          <w:rFonts w:cs="Arial"/>
          <w:b/>
          <w:bCs/>
          <w:sz w:val="36"/>
          <w:szCs w:val="36"/>
        </w:rPr>
        <w:t xml:space="preserve"> </w:t>
      </w:r>
      <w:r w:rsidR="00E0618D">
        <w:rPr>
          <w:rFonts w:cs="Arial"/>
          <w:b/>
          <w:bCs/>
          <w:sz w:val="36"/>
          <w:szCs w:val="36"/>
        </w:rPr>
        <w:t xml:space="preserve">              </w:t>
      </w:r>
      <w:r w:rsidR="008C7FDC" w:rsidRPr="00DD21A2">
        <w:rPr>
          <w:rFonts w:cs="Arial"/>
          <w:b/>
          <w:bCs/>
          <w:sz w:val="36"/>
          <w:szCs w:val="36"/>
        </w:rPr>
        <w:t>(10 </w:t>
      </w:r>
      <w:r w:rsidR="00376E03" w:rsidRPr="00DD21A2">
        <w:rPr>
          <w:rFonts w:cs="Arial"/>
          <w:b/>
          <w:bCs/>
          <w:sz w:val="36"/>
          <w:szCs w:val="36"/>
        </w:rPr>
        <w:t>CFR Part </w:t>
      </w:r>
      <w:r w:rsidR="00616768" w:rsidRPr="00DD21A2">
        <w:rPr>
          <w:rFonts w:cs="Arial"/>
          <w:b/>
          <w:bCs/>
          <w:sz w:val="36"/>
          <w:szCs w:val="36"/>
        </w:rPr>
        <w:t>61)</w:t>
      </w:r>
    </w:p>
    <w:p w:rsidR="00DB62F9" w:rsidRPr="00DD21A2" w:rsidRDefault="00DB62F9" w:rsidP="00DD21A2">
      <w:pPr>
        <w:rPr>
          <w:rFonts w:cs="Arial"/>
          <w:szCs w:val="22"/>
        </w:rPr>
      </w:pPr>
    </w:p>
    <w:p w:rsidR="00DB62F9" w:rsidRPr="00DD21A2" w:rsidRDefault="00DB62F9" w:rsidP="00DD21A2">
      <w:pPr>
        <w:rPr>
          <w:rFonts w:cs="Arial"/>
          <w:szCs w:val="22"/>
        </w:rPr>
      </w:pPr>
    </w:p>
    <w:p w:rsidR="00DB62F9" w:rsidRPr="00DD21A2" w:rsidRDefault="004B3827" w:rsidP="00DD21A2">
      <w:pPr>
        <w:rPr>
          <w:rFonts w:cs="Arial"/>
          <w:szCs w:val="22"/>
        </w:rPr>
      </w:pPr>
      <w:r>
        <w:rPr>
          <w:rFonts w:cs="Arial"/>
          <w:noProof/>
        </w:rPr>
        <mc:AlternateContent>
          <mc:Choice Requires="wps">
            <w:drawing>
              <wp:anchor distT="4294967291" distB="4294967291" distL="114293" distR="114293" simplePos="0" relativeHeight="251657728" behindDoc="0" locked="0" layoutInCell="0" allowOverlap="1" wp14:anchorId="573ECC5B" wp14:editId="1F32A09E">
                <wp:simplePos x="0" y="0"/>
                <wp:positionH relativeFrom="margin">
                  <wp:posOffset>-1</wp:posOffset>
                </wp:positionH>
                <wp:positionV relativeFrom="paragraph">
                  <wp:posOffset>-1</wp:posOffset>
                </wp:positionV>
                <wp:extent cx="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3.17481mm;mso-wrap-distance-top:-1e-4mm;mso-wrap-distance-right:3.17481mm;mso-wrap-distance-bottom:-1e-4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LS1sKU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r>
        <w:rPr>
          <w:rFonts w:cs="Arial"/>
          <w:noProof/>
        </w:rPr>
        <mc:AlternateContent>
          <mc:Choice Requires="wps">
            <w:drawing>
              <wp:anchor distT="4294967291" distB="4294967291" distL="114300" distR="114300" simplePos="0" relativeHeight="251658752" behindDoc="0" locked="0" layoutInCell="0" allowOverlap="1" wp14:anchorId="744893E7" wp14:editId="1F5F0233">
                <wp:simplePos x="0" y="0"/>
                <wp:positionH relativeFrom="margin">
                  <wp:posOffset>0</wp:posOffset>
                </wp:positionH>
                <wp:positionV relativeFrom="paragraph">
                  <wp:posOffset>12064</wp:posOffset>
                </wp:positionV>
                <wp:extent cx="5943600" cy="0"/>
                <wp:effectExtent l="0" t="19050" r="19050" b="381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0"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75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0,.95pt" to="46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" o:allowincell="f" strokecolor="#020000" strokeweight="4.8pt">
                <v:stroke linestyle="thinThin"/>
                <w10:wrap anchorx="margin"/>
              </v:line>
            </w:pict>
          </mc:Fallback>
        </mc:AlternateContent>
      </w:r>
    </w:p>
    <w:p w:rsidR="00DB62F9" w:rsidRPr="00DD21A2" w:rsidRDefault="00DB62F9" w:rsidP="00DD21A2">
      <w:pPr>
        <w:rPr>
          <w:rFonts w:cs="Arial"/>
          <w:szCs w:val="22"/>
        </w:rPr>
      </w:pPr>
    </w:p>
    <w:p w:rsidR="00DB62F9" w:rsidRPr="00DD21A2" w:rsidRDefault="00DB62F9" w:rsidP="00DD21A2">
      <w:pPr>
        <w:rPr>
          <w:rFonts w:cs="Arial"/>
          <w:szCs w:val="22"/>
        </w:rPr>
      </w:pPr>
    </w:p>
    <w:p w:rsidR="00DB62F9" w:rsidRPr="00DD21A2" w:rsidRDefault="00DB62F9" w:rsidP="00DD21A2">
      <w:pPr>
        <w:rPr>
          <w:rFonts w:cs="Arial"/>
          <w:szCs w:val="22"/>
        </w:rPr>
      </w:pPr>
    </w:p>
    <w:p w:rsidR="00DB62F9" w:rsidRPr="00DD21A2" w:rsidRDefault="00DB62F9" w:rsidP="00DD21A2">
      <w:pPr>
        <w:rPr>
          <w:rFonts w:cs="Arial"/>
          <w:b/>
          <w:bCs/>
          <w:sz w:val="32"/>
          <w:szCs w:val="32"/>
        </w:rPr>
      </w:pPr>
      <w:r w:rsidRPr="00DD21A2">
        <w:rPr>
          <w:rFonts w:cs="Arial"/>
          <w:b/>
          <w:bCs/>
          <w:sz w:val="32"/>
          <w:szCs w:val="32"/>
        </w:rPr>
        <w:t>U.S. Nuclear Regulatory Commission</w:t>
      </w:r>
    </w:p>
    <w:p w:rsidR="00831347" w:rsidRPr="00DD21A2" w:rsidRDefault="00831347" w:rsidP="00DD21A2">
      <w:pPr>
        <w:rPr>
          <w:rFonts w:cs="Arial"/>
          <w:b/>
          <w:bCs/>
          <w:sz w:val="32"/>
          <w:szCs w:val="32"/>
        </w:rPr>
      </w:pPr>
    </w:p>
    <w:p w:rsidR="00591D3A" w:rsidRPr="00591D3A" w:rsidRDefault="00591D3A" w:rsidP="00591D3A">
      <w:pPr>
        <w:rPr>
          <w:rFonts w:cs="Arial"/>
          <w:b/>
          <w:bCs/>
          <w:sz w:val="32"/>
          <w:szCs w:val="32"/>
        </w:rPr>
      </w:pPr>
      <w:r w:rsidRPr="00591D3A">
        <w:rPr>
          <w:rFonts w:cs="Arial"/>
          <w:b/>
          <w:bCs/>
          <w:sz w:val="32"/>
          <w:szCs w:val="32"/>
        </w:rPr>
        <w:t xml:space="preserve">Office of </w:t>
      </w:r>
      <w:r w:rsidR="000F0AC0">
        <w:rPr>
          <w:rFonts w:cs="Arial"/>
          <w:b/>
          <w:bCs/>
          <w:sz w:val="32"/>
          <w:szCs w:val="32"/>
        </w:rPr>
        <w:t>Nuclear Material Safety and Safeguards</w:t>
      </w:r>
    </w:p>
    <w:p w:rsidR="00591D3A" w:rsidRPr="00591D3A" w:rsidRDefault="00591D3A" w:rsidP="00591D3A">
      <w:pPr>
        <w:rPr>
          <w:rFonts w:cs="Arial"/>
          <w:b/>
          <w:bCs/>
          <w:sz w:val="32"/>
          <w:szCs w:val="32"/>
        </w:rPr>
      </w:pPr>
    </w:p>
    <w:p w:rsidR="00591D3A" w:rsidRDefault="00591D3A" w:rsidP="00591D3A">
      <w:pPr>
        <w:rPr>
          <w:rFonts w:cs="Arial"/>
          <w:b/>
          <w:bCs/>
          <w:sz w:val="32"/>
          <w:szCs w:val="32"/>
        </w:rPr>
      </w:pPr>
      <w:r w:rsidRPr="00591D3A">
        <w:rPr>
          <w:rFonts w:cs="Arial"/>
          <w:b/>
          <w:bCs/>
          <w:sz w:val="32"/>
          <w:szCs w:val="32"/>
        </w:rPr>
        <w:t xml:space="preserve">Division of </w:t>
      </w:r>
      <w:r w:rsidR="000F0AC0">
        <w:rPr>
          <w:rFonts w:cs="Arial"/>
          <w:b/>
          <w:bCs/>
          <w:sz w:val="32"/>
          <w:szCs w:val="32"/>
        </w:rPr>
        <w:t xml:space="preserve">Material Safety, State, Tribal, and </w:t>
      </w:r>
    </w:p>
    <w:p w:rsidR="000F0AC0" w:rsidRDefault="000F0AC0" w:rsidP="00591D3A">
      <w:pPr>
        <w:rPr>
          <w:rFonts w:cs="Arial"/>
          <w:b/>
          <w:bCs/>
          <w:sz w:val="32"/>
          <w:szCs w:val="32"/>
        </w:rPr>
      </w:pPr>
      <w:r>
        <w:rPr>
          <w:rFonts w:cs="Arial"/>
          <w:b/>
          <w:bCs/>
          <w:sz w:val="32"/>
          <w:szCs w:val="32"/>
        </w:rPr>
        <w:t>Rulemaking Programs</w:t>
      </w:r>
    </w:p>
    <w:p w:rsidR="00591D3A" w:rsidRDefault="00591D3A" w:rsidP="00591D3A">
      <w:pPr>
        <w:rPr>
          <w:rFonts w:cs="Arial"/>
          <w:b/>
          <w:bCs/>
          <w:sz w:val="32"/>
          <w:szCs w:val="32"/>
        </w:rPr>
      </w:pPr>
    </w:p>
    <w:p w:rsidR="00DB62F9" w:rsidRPr="00DD21A2" w:rsidRDefault="000C44EC" w:rsidP="00591D3A">
      <w:pPr>
        <w:rPr>
          <w:rFonts w:cs="Arial"/>
          <w:szCs w:val="22"/>
        </w:rPr>
      </w:pPr>
      <w:r>
        <w:rPr>
          <w:rFonts w:cs="Arial"/>
          <w:b/>
          <w:bCs/>
          <w:sz w:val="32"/>
          <w:szCs w:val="32"/>
        </w:rPr>
        <w:t>February</w:t>
      </w:r>
      <w:r w:rsidR="00017717">
        <w:rPr>
          <w:rFonts w:cs="Arial"/>
          <w:b/>
          <w:bCs/>
          <w:sz w:val="32"/>
          <w:szCs w:val="32"/>
        </w:rPr>
        <w:t xml:space="preserve"> 201</w:t>
      </w:r>
      <w:r>
        <w:rPr>
          <w:rFonts w:cs="Arial"/>
          <w:b/>
          <w:bCs/>
          <w:sz w:val="32"/>
          <w:szCs w:val="32"/>
        </w:rPr>
        <w:t>5</w:t>
      </w:r>
    </w:p>
    <w:p w:rsidR="00DB62F9" w:rsidRPr="00DD21A2" w:rsidRDefault="00DB62F9" w:rsidP="00DD21A2">
      <w:pPr>
        <w:rPr>
          <w:rFonts w:cs="Arial"/>
          <w:szCs w:val="22"/>
        </w:rPr>
      </w:pPr>
    </w:p>
    <w:p w:rsidR="00DB62F9" w:rsidRPr="00DD21A2" w:rsidRDefault="00DB62F9" w:rsidP="00DD21A2">
      <w:pPr>
        <w:rPr>
          <w:rFonts w:cs="Arial"/>
          <w:szCs w:val="22"/>
        </w:rPr>
      </w:pPr>
    </w:p>
    <w:p w:rsidR="00DB62F9" w:rsidRPr="00DD21A2" w:rsidRDefault="00DB62F9" w:rsidP="00DD21A2">
      <w:pPr>
        <w:rPr>
          <w:rFonts w:cs="Arial"/>
          <w:szCs w:val="22"/>
        </w:rPr>
      </w:pPr>
    </w:p>
    <w:p w:rsidR="00DB62F9" w:rsidRPr="00DD21A2" w:rsidRDefault="00591D3A" w:rsidP="00DD21A2">
      <w:pPr>
        <w:rPr>
          <w:rFonts w:cs="Arial"/>
          <w:b/>
          <w:bCs/>
          <w:szCs w:val="22"/>
        </w:rPr>
      </w:pPr>
      <w:r w:rsidRPr="00DD21A2">
        <w:rPr>
          <w:rFonts w:cs="Arial"/>
          <w:noProof/>
          <w:szCs w:val="22"/>
        </w:rPr>
        <w:drawing>
          <wp:anchor distT="54610" distB="54610" distL="54610" distR="54610" simplePos="0" relativeHeight="251660800" behindDoc="0" locked="0" layoutInCell="1" allowOverlap="1" wp14:anchorId="0A5D3ECE" wp14:editId="363F0FB2">
            <wp:simplePos x="0" y="0"/>
            <wp:positionH relativeFrom="margin">
              <wp:posOffset>126365</wp:posOffset>
            </wp:positionH>
            <wp:positionV relativeFrom="margin">
              <wp:posOffset>5473065</wp:posOffset>
            </wp:positionV>
            <wp:extent cx="1764030" cy="1590040"/>
            <wp:effectExtent l="0" t="0" r="7620" b="0"/>
            <wp:wrapSquare wrapText="bothSides"/>
            <wp:docPr id="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cstate="print"/>
                    <a:srcRect/>
                    <a:stretch>
                      <a:fillRect/>
                    </a:stretch>
                  </pic:blipFill>
                  <pic:spPr bwMode="auto">
                    <a:xfrm>
                      <a:off x="0" y="0"/>
                      <a:ext cx="1764030" cy="1590040"/>
                    </a:xfrm>
                    <a:prstGeom prst="rect">
                      <a:avLst/>
                    </a:prstGeom>
                    <a:noFill/>
                  </pic:spPr>
                </pic:pic>
              </a:graphicData>
            </a:graphic>
          </wp:anchor>
        </w:drawing>
      </w:r>
    </w:p>
    <w:p w:rsidR="00DB62F9" w:rsidRPr="00DD21A2" w:rsidRDefault="00DB62F9" w:rsidP="00DD21A2">
      <w:pPr>
        <w:rPr>
          <w:rFonts w:cs="Arial"/>
          <w:b/>
          <w:bCs/>
          <w:szCs w:val="22"/>
        </w:rPr>
      </w:pPr>
    </w:p>
    <w:p w:rsidR="00DB62F9" w:rsidRPr="00DD21A2" w:rsidRDefault="00DB62F9" w:rsidP="00DD21A2">
      <w:pPr>
        <w:rPr>
          <w:rFonts w:cs="Arial"/>
          <w:b/>
          <w:bCs/>
          <w:szCs w:val="22"/>
        </w:rPr>
      </w:pPr>
    </w:p>
    <w:p w:rsidR="00DB62F9" w:rsidRPr="00DD21A2" w:rsidRDefault="00DB62F9" w:rsidP="00DD21A2">
      <w:pPr>
        <w:rPr>
          <w:rFonts w:cs="Arial"/>
          <w:b/>
          <w:bCs/>
          <w:szCs w:val="22"/>
        </w:rPr>
      </w:pPr>
    </w:p>
    <w:p w:rsidR="00DB62F9" w:rsidRPr="00DD21A2" w:rsidRDefault="00DB62F9" w:rsidP="00DD21A2">
      <w:pPr>
        <w:rPr>
          <w:rFonts w:cs="Arial"/>
          <w:b/>
          <w:bCs/>
          <w:szCs w:val="22"/>
        </w:rPr>
      </w:pPr>
    </w:p>
    <w:p w:rsidR="00DB62F9" w:rsidRPr="00DD21A2" w:rsidRDefault="00DB62F9" w:rsidP="00DD21A2">
      <w:pPr>
        <w:rPr>
          <w:rFonts w:cs="Arial"/>
          <w:b/>
          <w:bCs/>
          <w:szCs w:val="22"/>
        </w:rPr>
      </w:pPr>
    </w:p>
    <w:p w:rsidR="00DB62F9" w:rsidRPr="00DD21A2" w:rsidRDefault="00DB62F9" w:rsidP="00DD21A2">
      <w:pPr>
        <w:rPr>
          <w:rFonts w:cs="Arial"/>
          <w:b/>
          <w:bCs/>
          <w:szCs w:val="22"/>
        </w:rPr>
      </w:pPr>
    </w:p>
    <w:p w:rsidR="00DB62F9" w:rsidRPr="00DD21A2" w:rsidRDefault="00DB62F9" w:rsidP="00DD21A2">
      <w:pPr>
        <w:rPr>
          <w:rFonts w:cs="Arial"/>
          <w:b/>
          <w:bCs/>
          <w:szCs w:val="22"/>
        </w:rPr>
      </w:pPr>
    </w:p>
    <w:p w:rsidR="001948FA" w:rsidRPr="00DD21A2" w:rsidRDefault="001948FA" w:rsidP="00DD21A2">
      <w:pPr>
        <w:rPr>
          <w:rFonts w:cs="Arial"/>
          <w:b/>
          <w:bCs/>
          <w:szCs w:val="22"/>
        </w:rPr>
        <w:sectPr w:rsidR="001948FA" w:rsidRPr="00DD21A2" w:rsidSect="00875CEE">
          <w:footerReference w:type="default" r:id="rId10"/>
          <w:pgSz w:w="12240" w:h="15840"/>
          <w:pgMar w:top="1440" w:right="1440" w:bottom="1440" w:left="1440" w:header="1440" w:footer="1440" w:gutter="0"/>
          <w:pgNumType w:start="1"/>
          <w:cols w:space="720"/>
          <w:titlePg/>
          <w:docGrid w:linePitch="360"/>
        </w:sectPr>
      </w:pPr>
    </w:p>
    <w:p w:rsidR="009178B0" w:rsidRPr="00DD21A2" w:rsidRDefault="009178B0" w:rsidP="00DD21A2">
      <w:pPr>
        <w:jc w:val="center"/>
        <w:rPr>
          <w:rFonts w:cs="Arial"/>
          <w:szCs w:val="22"/>
        </w:rPr>
      </w:pPr>
      <w:r w:rsidRPr="00DD21A2">
        <w:rPr>
          <w:rFonts w:cs="Arial"/>
          <w:b/>
          <w:bCs/>
          <w:szCs w:val="22"/>
        </w:rPr>
        <w:lastRenderedPageBreak/>
        <w:t xml:space="preserve">TABLE OF </w:t>
      </w:r>
      <w:r w:rsidR="0094215D" w:rsidRPr="00DD21A2">
        <w:rPr>
          <w:rFonts w:cs="Arial"/>
          <w:b/>
          <w:bCs/>
          <w:szCs w:val="22"/>
        </w:rPr>
        <w:t>CONTENTS</w:t>
      </w:r>
    </w:p>
    <w:sdt>
      <w:sdtPr>
        <w:rPr>
          <w:rFonts w:eastAsia="Times New Roman" w:cs="Times New Roman"/>
          <w:b w:val="0"/>
          <w:bCs w:val="0"/>
          <w:szCs w:val="24"/>
        </w:rPr>
        <w:id w:val="8971516"/>
        <w:docPartObj>
          <w:docPartGallery w:val="Table of Contents"/>
          <w:docPartUnique/>
        </w:docPartObj>
      </w:sdtPr>
      <w:sdtEndPr/>
      <w:sdtContent>
        <w:p w:rsidR="009178B0" w:rsidRPr="00DD21A2" w:rsidRDefault="009178B0" w:rsidP="006B2D47">
          <w:pPr>
            <w:pStyle w:val="TOCHeading"/>
          </w:pPr>
        </w:p>
        <w:p w:rsidR="00AB5FA7" w:rsidRPr="00AB5FA7" w:rsidRDefault="00C52B67">
          <w:pPr>
            <w:pStyle w:val="TOC1"/>
            <w:rPr>
              <w:rFonts w:ascii="Arial" w:eastAsiaTheme="minorEastAsia" w:hAnsi="Arial" w:cs="Arial"/>
              <w:noProof/>
              <w:sz w:val="22"/>
              <w:szCs w:val="22"/>
            </w:rPr>
          </w:pPr>
          <w:r w:rsidRPr="00AB5FA7">
            <w:rPr>
              <w:rFonts w:ascii="Arial" w:hAnsi="Arial" w:cs="Arial"/>
              <w:sz w:val="22"/>
              <w:szCs w:val="22"/>
            </w:rPr>
            <w:fldChar w:fldCharType="begin"/>
          </w:r>
          <w:r w:rsidR="009178B0" w:rsidRPr="00AB5FA7">
            <w:rPr>
              <w:rFonts w:ascii="Arial" w:hAnsi="Arial" w:cs="Arial"/>
              <w:sz w:val="22"/>
              <w:szCs w:val="22"/>
            </w:rPr>
            <w:instrText xml:space="preserve"> TOC \o "1-3" \h \z \u </w:instrText>
          </w:r>
          <w:r w:rsidRPr="00AB5FA7">
            <w:rPr>
              <w:rFonts w:ascii="Arial" w:hAnsi="Arial" w:cs="Arial"/>
              <w:sz w:val="22"/>
              <w:szCs w:val="22"/>
            </w:rPr>
            <w:fldChar w:fldCharType="separate"/>
          </w:r>
          <w:hyperlink w:anchor="_Toc399760738" w:history="1">
            <w:r w:rsidR="00AB5FA7" w:rsidRPr="00AB5FA7">
              <w:rPr>
                <w:rStyle w:val="Hyperlink"/>
                <w:rFonts w:ascii="Arial" w:hAnsi="Arial" w:cs="Arial"/>
                <w:noProof/>
              </w:rPr>
              <w:t>Executive Summary</w:t>
            </w:r>
            <w:r w:rsidR="00AB5FA7" w:rsidRPr="00AB5FA7">
              <w:rPr>
                <w:rFonts w:ascii="Arial" w:hAnsi="Arial" w:cs="Arial"/>
                <w:noProof/>
                <w:webHidden/>
              </w:rPr>
              <w:tab/>
            </w:r>
            <w:r w:rsidR="00AB5FA7" w:rsidRPr="00AB5FA7">
              <w:rPr>
                <w:rFonts w:ascii="Arial" w:hAnsi="Arial" w:cs="Arial"/>
                <w:noProof/>
                <w:webHidden/>
              </w:rPr>
              <w:fldChar w:fldCharType="begin"/>
            </w:r>
            <w:r w:rsidR="00AB5FA7" w:rsidRPr="00AB5FA7">
              <w:rPr>
                <w:rFonts w:ascii="Arial" w:hAnsi="Arial" w:cs="Arial"/>
                <w:noProof/>
                <w:webHidden/>
              </w:rPr>
              <w:instrText xml:space="preserve"> PAGEREF _Toc399760738 \h </w:instrText>
            </w:r>
            <w:r w:rsidR="00AB5FA7" w:rsidRPr="00AB5FA7">
              <w:rPr>
                <w:rFonts w:ascii="Arial" w:hAnsi="Arial" w:cs="Arial"/>
                <w:noProof/>
                <w:webHidden/>
              </w:rPr>
            </w:r>
            <w:r w:rsidR="00AB5FA7" w:rsidRPr="00AB5FA7">
              <w:rPr>
                <w:rFonts w:ascii="Arial" w:hAnsi="Arial" w:cs="Arial"/>
                <w:noProof/>
                <w:webHidden/>
              </w:rPr>
              <w:fldChar w:fldCharType="separate"/>
            </w:r>
            <w:r w:rsidR="00AB5FA7" w:rsidRPr="00AB5FA7">
              <w:rPr>
                <w:rFonts w:ascii="Arial" w:hAnsi="Arial" w:cs="Arial"/>
                <w:noProof/>
                <w:webHidden/>
              </w:rPr>
              <w:t>iii</w:t>
            </w:r>
            <w:r w:rsidR="00AB5FA7" w:rsidRPr="00AB5FA7">
              <w:rPr>
                <w:rFonts w:ascii="Arial" w:hAnsi="Arial" w:cs="Arial"/>
                <w:noProof/>
                <w:webHidden/>
              </w:rPr>
              <w:fldChar w:fldCharType="end"/>
            </w:r>
          </w:hyperlink>
        </w:p>
        <w:p w:rsidR="00AB5FA7" w:rsidRPr="00AB5FA7" w:rsidRDefault="00D17EC5">
          <w:pPr>
            <w:pStyle w:val="TOC1"/>
            <w:rPr>
              <w:rFonts w:ascii="Arial" w:eastAsiaTheme="minorEastAsia" w:hAnsi="Arial" w:cs="Arial"/>
              <w:noProof/>
              <w:sz w:val="22"/>
              <w:szCs w:val="22"/>
            </w:rPr>
          </w:pPr>
          <w:hyperlink w:anchor="_Toc399760739" w:history="1">
            <w:r w:rsidR="00AB5FA7" w:rsidRPr="00AB5FA7">
              <w:rPr>
                <w:rStyle w:val="Hyperlink"/>
                <w:rFonts w:ascii="Arial" w:hAnsi="Arial" w:cs="Arial"/>
                <w:noProof/>
              </w:rPr>
              <w:t>Abbreviations</w:t>
            </w:r>
            <w:r w:rsidR="00AB5FA7" w:rsidRPr="00AB5FA7">
              <w:rPr>
                <w:rFonts w:ascii="Arial" w:hAnsi="Arial" w:cs="Arial"/>
                <w:noProof/>
                <w:webHidden/>
              </w:rPr>
              <w:tab/>
            </w:r>
            <w:r w:rsidR="00AB5FA7" w:rsidRPr="00AB5FA7">
              <w:rPr>
                <w:rFonts w:ascii="Arial" w:hAnsi="Arial" w:cs="Arial"/>
                <w:noProof/>
                <w:webHidden/>
              </w:rPr>
              <w:fldChar w:fldCharType="begin"/>
            </w:r>
            <w:r w:rsidR="00AB5FA7" w:rsidRPr="00AB5FA7">
              <w:rPr>
                <w:rFonts w:ascii="Arial" w:hAnsi="Arial" w:cs="Arial"/>
                <w:noProof/>
                <w:webHidden/>
              </w:rPr>
              <w:instrText xml:space="preserve"> PAGEREF _Toc399760739 \h </w:instrText>
            </w:r>
            <w:r w:rsidR="00AB5FA7" w:rsidRPr="00AB5FA7">
              <w:rPr>
                <w:rFonts w:ascii="Arial" w:hAnsi="Arial" w:cs="Arial"/>
                <w:noProof/>
                <w:webHidden/>
              </w:rPr>
            </w:r>
            <w:r w:rsidR="00AB5FA7" w:rsidRPr="00AB5FA7">
              <w:rPr>
                <w:rFonts w:ascii="Arial" w:hAnsi="Arial" w:cs="Arial"/>
                <w:noProof/>
                <w:webHidden/>
              </w:rPr>
              <w:fldChar w:fldCharType="separate"/>
            </w:r>
            <w:r w:rsidR="00AB5FA7" w:rsidRPr="00AB5FA7">
              <w:rPr>
                <w:rFonts w:ascii="Arial" w:hAnsi="Arial" w:cs="Arial"/>
                <w:noProof/>
                <w:webHidden/>
              </w:rPr>
              <w:t>v</w:t>
            </w:r>
            <w:r w:rsidR="00AB5FA7" w:rsidRPr="00AB5FA7">
              <w:rPr>
                <w:rFonts w:ascii="Arial" w:hAnsi="Arial" w:cs="Arial"/>
                <w:noProof/>
                <w:webHidden/>
              </w:rPr>
              <w:fldChar w:fldCharType="end"/>
            </w:r>
          </w:hyperlink>
        </w:p>
        <w:p w:rsidR="00AB5FA7" w:rsidRPr="00AB5FA7" w:rsidRDefault="00D17EC5">
          <w:pPr>
            <w:pStyle w:val="TOC1"/>
            <w:rPr>
              <w:rFonts w:ascii="Arial" w:eastAsiaTheme="minorEastAsia" w:hAnsi="Arial" w:cs="Arial"/>
              <w:noProof/>
              <w:sz w:val="22"/>
              <w:szCs w:val="22"/>
            </w:rPr>
          </w:pPr>
          <w:hyperlink w:anchor="_Toc399760740" w:history="1">
            <w:r w:rsidR="00AB5FA7" w:rsidRPr="00AB5FA7">
              <w:rPr>
                <w:rStyle w:val="Hyperlink"/>
                <w:rFonts w:ascii="Arial" w:hAnsi="Arial" w:cs="Arial"/>
                <w:noProof/>
              </w:rPr>
              <w:t>1. Statement of the Problem and Objectives for Rulemaking</w:t>
            </w:r>
            <w:r w:rsidR="00AB5FA7" w:rsidRPr="00AB5FA7">
              <w:rPr>
                <w:rFonts w:ascii="Arial" w:hAnsi="Arial" w:cs="Arial"/>
                <w:noProof/>
                <w:webHidden/>
              </w:rPr>
              <w:tab/>
            </w:r>
            <w:r w:rsidR="00AB5FA7" w:rsidRPr="00AB5FA7">
              <w:rPr>
                <w:rFonts w:ascii="Arial" w:hAnsi="Arial" w:cs="Arial"/>
                <w:noProof/>
                <w:webHidden/>
              </w:rPr>
              <w:fldChar w:fldCharType="begin"/>
            </w:r>
            <w:r w:rsidR="00AB5FA7" w:rsidRPr="00AB5FA7">
              <w:rPr>
                <w:rFonts w:ascii="Arial" w:hAnsi="Arial" w:cs="Arial"/>
                <w:noProof/>
                <w:webHidden/>
              </w:rPr>
              <w:instrText xml:space="preserve"> PAGEREF _Toc399760740 \h </w:instrText>
            </w:r>
            <w:r w:rsidR="00AB5FA7" w:rsidRPr="00AB5FA7">
              <w:rPr>
                <w:rFonts w:ascii="Arial" w:hAnsi="Arial" w:cs="Arial"/>
                <w:noProof/>
                <w:webHidden/>
              </w:rPr>
            </w:r>
            <w:r w:rsidR="00AB5FA7" w:rsidRPr="00AB5FA7">
              <w:rPr>
                <w:rFonts w:ascii="Arial" w:hAnsi="Arial" w:cs="Arial"/>
                <w:noProof/>
                <w:webHidden/>
              </w:rPr>
              <w:fldChar w:fldCharType="separate"/>
            </w:r>
            <w:r w:rsidR="00AB5FA7" w:rsidRPr="00AB5FA7">
              <w:rPr>
                <w:rFonts w:ascii="Arial" w:hAnsi="Arial" w:cs="Arial"/>
                <w:noProof/>
                <w:webHidden/>
              </w:rPr>
              <w:t>1</w:t>
            </w:r>
            <w:r w:rsidR="00AB5FA7" w:rsidRPr="00AB5FA7">
              <w:rPr>
                <w:rFonts w:ascii="Arial" w:hAnsi="Arial" w:cs="Arial"/>
                <w:noProof/>
                <w:webHidden/>
              </w:rPr>
              <w:fldChar w:fldCharType="end"/>
            </w:r>
          </w:hyperlink>
        </w:p>
        <w:p w:rsidR="00AB5FA7" w:rsidRPr="00AB5FA7" w:rsidRDefault="00D17EC5">
          <w:pPr>
            <w:pStyle w:val="TOC1"/>
            <w:rPr>
              <w:rFonts w:ascii="Arial" w:eastAsiaTheme="minorEastAsia" w:hAnsi="Arial" w:cs="Arial"/>
              <w:noProof/>
              <w:sz w:val="22"/>
              <w:szCs w:val="22"/>
            </w:rPr>
          </w:pPr>
          <w:hyperlink w:anchor="_Toc399760741" w:history="1">
            <w:r w:rsidR="00AB5FA7" w:rsidRPr="00AB5FA7">
              <w:rPr>
                <w:rStyle w:val="Hyperlink"/>
                <w:rFonts w:ascii="Arial" w:hAnsi="Arial" w:cs="Arial"/>
                <w:noProof/>
              </w:rPr>
              <w:t>1.1 Background</w:t>
            </w:r>
            <w:r w:rsidR="00AB5FA7" w:rsidRPr="00AB5FA7">
              <w:rPr>
                <w:rFonts w:ascii="Arial" w:hAnsi="Arial" w:cs="Arial"/>
                <w:noProof/>
                <w:webHidden/>
              </w:rPr>
              <w:tab/>
            </w:r>
            <w:r w:rsidR="00AB5FA7" w:rsidRPr="00AB5FA7">
              <w:rPr>
                <w:rFonts w:ascii="Arial" w:hAnsi="Arial" w:cs="Arial"/>
                <w:noProof/>
                <w:webHidden/>
              </w:rPr>
              <w:fldChar w:fldCharType="begin"/>
            </w:r>
            <w:r w:rsidR="00AB5FA7" w:rsidRPr="00AB5FA7">
              <w:rPr>
                <w:rFonts w:ascii="Arial" w:hAnsi="Arial" w:cs="Arial"/>
                <w:noProof/>
                <w:webHidden/>
              </w:rPr>
              <w:instrText xml:space="preserve"> PAGEREF _Toc399760741 \h </w:instrText>
            </w:r>
            <w:r w:rsidR="00AB5FA7" w:rsidRPr="00AB5FA7">
              <w:rPr>
                <w:rFonts w:ascii="Arial" w:hAnsi="Arial" w:cs="Arial"/>
                <w:noProof/>
                <w:webHidden/>
              </w:rPr>
            </w:r>
            <w:r w:rsidR="00AB5FA7" w:rsidRPr="00AB5FA7">
              <w:rPr>
                <w:rFonts w:ascii="Arial" w:hAnsi="Arial" w:cs="Arial"/>
                <w:noProof/>
                <w:webHidden/>
              </w:rPr>
              <w:fldChar w:fldCharType="separate"/>
            </w:r>
            <w:r w:rsidR="00AB5FA7" w:rsidRPr="00AB5FA7">
              <w:rPr>
                <w:rFonts w:ascii="Arial" w:hAnsi="Arial" w:cs="Arial"/>
                <w:noProof/>
                <w:webHidden/>
              </w:rPr>
              <w:t>1</w:t>
            </w:r>
            <w:r w:rsidR="00AB5FA7" w:rsidRPr="00AB5FA7">
              <w:rPr>
                <w:rFonts w:ascii="Arial" w:hAnsi="Arial" w:cs="Arial"/>
                <w:noProof/>
                <w:webHidden/>
              </w:rPr>
              <w:fldChar w:fldCharType="end"/>
            </w:r>
          </w:hyperlink>
        </w:p>
        <w:p w:rsidR="00AB5FA7" w:rsidRPr="00AB5FA7" w:rsidRDefault="00D17EC5">
          <w:pPr>
            <w:pStyle w:val="TOC1"/>
            <w:rPr>
              <w:rFonts w:ascii="Arial" w:eastAsiaTheme="minorEastAsia" w:hAnsi="Arial" w:cs="Arial"/>
              <w:noProof/>
              <w:sz w:val="22"/>
              <w:szCs w:val="22"/>
            </w:rPr>
          </w:pPr>
          <w:hyperlink w:anchor="_Toc399760742" w:history="1">
            <w:r w:rsidR="00AB5FA7" w:rsidRPr="00AB5FA7">
              <w:rPr>
                <w:rStyle w:val="Hyperlink"/>
                <w:rFonts w:ascii="Arial" w:hAnsi="Arial" w:cs="Arial"/>
                <w:noProof/>
              </w:rPr>
              <w:t>2. Identification of Alternative Approaches</w:t>
            </w:r>
            <w:r w:rsidR="00AB5FA7" w:rsidRPr="00AB5FA7">
              <w:rPr>
                <w:rFonts w:ascii="Arial" w:hAnsi="Arial" w:cs="Arial"/>
                <w:noProof/>
                <w:webHidden/>
              </w:rPr>
              <w:tab/>
            </w:r>
            <w:r w:rsidR="00AB5FA7" w:rsidRPr="00AB5FA7">
              <w:rPr>
                <w:rFonts w:ascii="Arial" w:hAnsi="Arial" w:cs="Arial"/>
                <w:noProof/>
                <w:webHidden/>
              </w:rPr>
              <w:fldChar w:fldCharType="begin"/>
            </w:r>
            <w:r w:rsidR="00AB5FA7" w:rsidRPr="00AB5FA7">
              <w:rPr>
                <w:rFonts w:ascii="Arial" w:hAnsi="Arial" w:cs="Arial"/>
                <w:noProof/>
                <w:webHidden/>
              </w:rPr>
              <w:instrText xml:space="preserve"> PAGEREF _Toc399760742 \h </w:instrText>
            </w:r>
            <w:r w:rsidR="00AB5FA7" w:rsidRPr="00AB5FA7">
              <w:rPr>
                <w:rFonts w:ascii="Arial" w:hAnsi="Arial" w:cs="Arial"/>
                <w:noProof/>
                <w:webHidden/>
              </w:rPr>
            </w:r>
            <w:r w:rsidR="00AB5FA7" w:rsidRPr="00AB5FA7">
              <w:rPr>
                <w:rFonts w:ascii="Arial" w:hAnsi="Arial" w:cs="Arial"/>
                <w:noProof/>
                <w:webHidden/>
              </w:rPr>
              <w:fldChar w:fldCharType="separate"/>
            </w:r>
            <w:r w:rsidR="00AB5FA7" w:rsidRPr="00AB5FA7">
              <w:rPr>
                <w:rFonts w:ascii="Arial" w:hAnsi="Arial" w:cs="Arial"/>
                <w:noProof/>
                <w:webHidden/>
              </w:rPr>
              <w:t>3</w:t>
            </w:r>
            <w:r w:rsidR="00AB5FA7" w:rsidRPr="00AB5FA7">
              <w:rPr>
                <w:rFonts w:ascii="Arial" w:hAnsi="Arial" w:cs="Arial"/>
                <w:noProof/>
                <w:webHidden/>
              </w:rPr>
              <w:fldChar w:fldCharType="end"/>
            </w:r>
          </w:hyperlink>
        </w:p>
        <w:p w:rsidR="00AB5FA7" w:rsidRPr="00AB5FA7" w:rsidRDefault="00D17EC5">
          <w:pPr>
            <w:pStyle w:val="TOC1"/>
            <w:rPr>
              <w:rFonts w:ascii="Arial" w:eastAsiaTheme="minorEastAsia" w:hAnsi="Arial" w:cs="Arial"/>
              <w:noProof/>
              <w:sz w:val="22"/>
              <w:szCs w:val="22"/>
            </w:rPr>
          </w:pPr>
          <w:hyperlink w:anchor="_Toc399760743" w:history="1">
            <w:r w:rsidR="00AB5FA7" w:rsidRPr="00AB5FA7">
              <w:rPr>
                <w:rStyle w:val="Hyperlink"/>
                <w:rFonts w:ascii="Arial" w:hAnsi="Arial" w:cs="Arial"/>
                <w:noProof/>
              </w:rPr>
              <w:t>2.1 Alternative 1:  No-Action</w:t>
            </w:r>
            <w:r w:rsidR="00AB5FA7" w:rsidRPr="00AB5FA7">
              <w:rPr>
                <w:rFonts w:ascii="Arial" w:hAnsi="Arial" w:cs="Arial"/>
                <w:noProof/>
                <w:webHidden/>
              </w:rPr>
              <w:tab/>
            </w:r>
            <w:r w:rsidR="00AB5FA7" w:rsidRPr="00AB5FA7">
              <w:rPr>
                <w:rFonts w:ascii="Arial" w:hAnsi="Arial" w:cs="Arial"/>
                <w:noProof/>
                <w:webHidden/>
              </w:rPr>
              <w:fldChar w:fldCharType="begin"/>
            </w:r>
            <w:r w:rsidR="00AB5FA7" w:rsidRPr="00AB5FA7">
              <w:rPr>
                <w:rFonts w:ascii="Arial" w:hAnsi="Arial" w:cs="Arial"/>
                <w:noProof/>
                <w:webHidden/>
              </w:rPr>
              <w:instrText xml:space="preserve"> PAGEREF _Toc399760743 \h </w:instrText>
            </w:r>
            <w:r w:rsidR="00AB5FA7" w:rsidRPr="00AB5FA7">
              <w:rPr>
                <w:rFonts w:ascii="Arial" w:hAnsi="Arial" w:cs="Arial"/>
                <w:noProof/>
                <w:webHidden/>
              </w:rPr>
            </w:r>
            <w:r w:rsidR="00AB5FA7" w:rsidRPr="00AB5FA7">
              <w:rPr>
                <w:rFonts w:ascii="Arial" w:hAnsi="Arial" w:cs="Arial"/>
                <w:noProof/>
                <w:webHidden/>
              </w:rPr>
              <w:fldChar w:fldCharType="separate"/>
            </w:r>
            <w:r w:rsidR="00AB5FA7" w:rsidRPr="00AB5FA7">
              <w:rPr>
                <w:rFonts w:ascii="Arial" w:hAnsi="Arial" w:cs="Arial"/>
                <w:noProof/>
                <w:webHidden/>
              </w:rPr>
              <w:t>3</w:t>
            </w:r>
            <w:r w:rsidR="00AB5FA7" w:rsidRPr="00AB5FA7">
              <w:rPr>
                <w:rFonts w:ascii="Arial" w:hAnsi="Arial" w:cs="Arial"/>
                <w:noProof/>
                <w:webHidden/>
              </w:rPr>
              <w:fldChar w:fldCharType="end"/>
            </w:r>
          </w:hyperlink>
        </w:p>
        <w:p w:rsidR="00AB5FA7" w:rsidRPr="00AB5FA7" w:rsidRDefault="00D17EC5">
          <w:pPr>
            <w:pStyle w:val="TOC1"/>
            <w:rPr>
              <w:rFonts w:ascii="Arial" w:eastAsiaTheme="minorEastAsia" w:hAnsi="Arial" w:cs="Arial"/>
              <w:noProof/>
              <w:sz w:val="22"/>
              <w:szCs w:val="22"/>
            </w:rPr>
          </w:pPr>
          <w:hyperlink w:anchor="_Toc399760744" w:history="1">
            <w:r w:rsidR="00AB5FA7" w:rsidRPr="00AB5FA7">
              <w:rPr>
                <w:rStyle w:val="Hyperlink"/>
                <w:rFonts w:ascii="Arial" w:hAnsi="Arial" w:cs="Arial"/>
                <w:noProof/>
              </w:rPr>
              <w:t>2.2 Alternative 2:  Three periods of analysis.</w:t>
            </w:r>
            <w:r w:rsidR="00AB5FA7" w:rsidRPr="00AB5FA7">
              <w:rPr>
                <w:rFonts w:ascii="Arial" w:hAnsi="Arial" w:cs="Arial"/>
                <w:noProof/>
                <w:webHidden/>
              </w:rPr>
              <w:tab/>
            </w:r>
            <w:r w:rsidR="00AB5FA7" w:rsidRPr="00AB5FA7">
              <w:rPr>
                <w:rFonts w:ascii="Arial" w:hAnsi="Arial" w:cs="Arial"/>
                <w:noProof/>
                <w:webHidden/>
              </w:rPr>
              <w:fldChar w:fldCharType="begin"/>
            </w:r>
            <w:r w:rsidR="00AB5FA7" w:rsidRPr="00AB5FA7">
              <w:rPr>
                <w:rFonts w:ascii="Arial" w:hAnsi="Arial" w:cs="Arial"/>
                <w:noProof/>
                <w:webHidden/>
              </w:rPr>
              <w:instrText xml:space="preserve"> PAGEREF _Toc399760744 \h </w:instrText>
            </w:r>
            <w:r w:rsidR="00AB5FA7" w:rsidRPr="00AB5FA7">
              <w:rPr>
                <w:rFonts w:ascii="Arial" w:hAnsi="Arial" w:cs="Arial"/>
                <w:noProof/>
                <w:webHidden/>
              </w:rPr>
            </w:r>
            <w:r w:rsidR="00AB5FA7" w:rsidRPr="00AB5FA7">
              <w:rPr>
                <w:rFonts w:ascii="Arial" w:hAnsi="Arial" w:cs="Arial"/>
                <w:noProof/>
                <w:webHidden/>
              </w:rPr>
              <w:fldChar w:fldCharType="separate"/>
            </w:r>
            <w:r w:rsidR="00AB5FA7" w:rsidRPr="00AB5FA7">
              <w:rPr>
                <w:rFonts w:ascii="Arial" w:hAnsi="Arial" w:cs="Arial"/>
                <w:noProof/>
                <w:webHidden/>
              </w:rPr>
              <w:t>3</w:t>
            </w:r>
            <w:r w:rsidR="00AB5FA7" w:rsidRPr="00AB5FA7">
              <w:rPr>
                <w:rFonts w:ascii="Arial" w:hAnsi="Arial" w:cs="Arial"/>
                <w:noProof/>
                <w:webHidden/>
              </w:rPr>
              <w:fldChar w:fldCharType="end"/>
            </w:r>
          </w:hyperlink>
        </w:p>
        <w:p w:rsidR="00AB5FA7" w:rsidRPr="00AB5FA7" w:rsidRDefault="00D17EC5">
          <w:pPr>
            <w:pStyle w:val="TOC1"/>
            <w:rPr>
              <w:rFonts w:ascii="Arial" w:eastAsiaTheme="minorEastAsia" w:hAnsi="Arial" w:cs="Arial"/>
              <w:noProof/>
              <w:sz w:val="22"/>
              <w:szCs w:val="22"/>
            </w:rPr>
          </w:pPr>
          <w:hyperlink w:anchor="_Toc399760745" w:history="1">
            <w:r w:rsidR="00AB5FA7" w:rsidRPr="00AB5FA7">
              <w:rPr>
                <w:rStyle w:val="Hyperlink"/>
                <w:rFonts w:ascii="Arial" w:hAnsi="Arial" w:cs="Arial"/>
                <w:noProof/>
              </w:rPr>
              <w:t>3. Estimation and Evaluation of Benefits and Costs</w:t>
            </w:r>
            <w:r w:rsidR="00AB5FA7" w:rsidRPr="00AB5FA7">
              <w:rPr>
                <w:rFonts w:ascii="Arial" w:hAnsi="Arial" w:cs="Arial"/>
                <w:noProof/>
                <w:webHidden/>
              </w:rPr>
              <w:tab/>
            </w:r>
            <w:r w:rsidR="00AB5FA7" w:rsidRPr="00AB5FA7">
              <w:rPr>
                <w:rFonts w:ascii="Arial" w:hAnsi="Arial" w:cs="Arial"/>
                <w:noProof/>
                <w:webHidden/>
              </w:rPr>
              <w:fldChar w:fldCharType="begin"/>
            </w:r>
            <w:r w:rsidR="00AB5FA7" w:rsidRPr="00AB5FA7">
              <w:rPr>
                <w:rFonts w:ascii="Arial" w:hAnsi="Arial" w:cs="Arial"/>
                <w:noProof/>
                <w:webHidden/>
              </w:rPr>
              <w:instrText xml:space="preserve"> PAGEREF _Toc399760745 \h </w:instrText>
            </w:r>
            <w:r w:rsidR="00AB5FA7" w:rsidRPr="00AB5FA7">
              <w:rPr>
                <w:rFonts w:ascii="Arial" w:hAnsi="Arial" w:cs="Arial"/>
                <w:noProof/>
                <w:webHidden/>
              </w:rPr>
            </w:r>
            <w:r w:rsidR="00AB5FA7" w:rsidRPr="00AB5FA7">
              <w:rPr>
                <w:rFonts w:ascii="Arial" w:hAnsi="Arial" w:cs="Arial"/>
                <w:noProof/>
                <w:webHidden/>
              </w:rPr>
              <w:fldChar w:fldCharType="separate"/>
            </w:r>
            <w:r w:rsidR="00AB5FA7" w:rsidRPr="00AB5FA7">
              <w:rPr>
                <w:rFonts w:ascii="Arial" w:hAnsi="Arial" w:cs="Arial"/>
                <w:noProof/>
                <w:webHidden/>
              </w:rPr>
              <w:t>7</w:t>
            </w:r>
            <w:r w:rsidR="00AB5FA7" w:rsidRPr="00AB5FA7">
              <w:rPr>
                <w:rFonts w:ascii="Arial" w:hAnsi="Arial" w:cs="Arial"/>
                <w:noProof/>
                <w:webHidden/>
              </w:rPr>
              <w:fldChar w:fldCharType="end"/>
            </w:r>
          </w:hyperlink>
        </w:p>
        <w:p w:rsidR="00AB5FA7" w:rsidRPr="00AB5FA7" w:rsidRDefault="00D17EC5">
          <w:pPr>
            <w:pStyle w:val="TOC1"/>
            <w:rPr>
              <w:rFonts w:ascii="Arial" w:eastAsiaTheme="minorEastAsia" w:hAnsi="Arial" w:cs="Arial"/>
              <w:noProof/>
              <w:sz w:val="22"/>
              <w:szCs w:val="22"/>
            </w:rPr>
          </w:pPr>
          <w:hyperlink w:anchor="_Toc399760746" w:history="1">
            <w:r w:rsidR="00AB5FA7" w:rsidRPr="00AB5FA7">
              <w:rPr>
                <w:rStyle w:val="Hyperlink"/>
                <w:rFonts w:ascii="Arial" w:hAnsi="Arial" w:cs="Arial"/>
                <w:noProof/>
              </w:rPr>
              <w:t>3.1 Analytical Methodology</w:t>
            </w:r>
            <w:r w:rsidR="00AB5FA7" w:rsidRPr="00AB5FA7">
              <w:rPr>
                <w:rFonts w:ascii="Arial" w:hAnsi="Arial" w:cs="Arial"/>
                <w:noProof/>
                <w:webHidden/>
              </w:rPr>
              <w:tab/>
            </w:r>
            <w:r w:rsidR="00AB5FA7" w:rsidRPr="00AB5FA7">
              <w:rPr>
                <w:rFonts w:ascii="Arial" w:hAnsi="Arial" w:cs="Arial"/>
                <w:noProof/>
                <w:webHidden/>
              </w:rPr>
              <w:fldChar w:fldCharType="begin"/>
            </w:r>
            <w:r w:rsidR="00AB5FA7" w:rsidRPr="00AB5FA7">
              <w:rPr>
                <w:rFonts w:ascii="Arial" w:hAnsi="Arial" w:cs="Arial"/>
                <w:noProof/>
                <w:webHidden/>
              </w:rPr>
              <w:instrText xml:space="preserve"> PAGEREF _Toc399760746 \h </w:instrText>
            </w:r>
            <w:r w:rsidR="00AB5FA7" w:rsidRPr="00AB5FA7">
              <w:rPr>
                <w:rFonts w:ascii="Arial" w:hAnsi="Arial" w:cs="Arial"/>
                <w:noProof/>
                <w:webHidden/>
              </w:rPr>
            </w:r>
            <w:r w:rsidR="00AB5FA7" w:rsidRPr="00AB5FA7">
              <w:rPr>
                <w:rFonts w:ascii="Arial" w:hAnsi="Arial" w:cs="Arial"/>
                <w:noProof/>
                <w:webHidden/>
              </w:rPr>
              <w:fldChar w:fldCharType="separate"/>
            </w:r>
            <w:r w:rsidR="00AB5FA7" w:rsidRPr="00AB5FA7">
              <w:rPr>
                <w:rFonts w:ascii="Arial" w:hAnsi="Arial" w:cs="Arial"/>
                <w:noProof/>
                <w:webHidden/>
              </w:rPr>
              <w:t>7</w:t>
            </w:r>
            <w:r w:rsidR="00AB5FA7" w:rsidRPr="00AB5FA7">
              <w:rPr>
                <w:rFonts w:ascii="Arial" w:hAnsi="Arial" w:cs="Arial"/>
                <w:noProof/>
                <w:webHidden/>
              </w:rPr>
              <w:fldChar w:fldCharType="end"/>
            </w:r>
          </w:hyperlink>
        </w:p>
        <w:p w:rsidR="00AB5FA7" w:rsidRPr="00AB5FA7" w:rsidRDefault="00D17EC5">
          <w:pPr>
            <w:pStyle w:val="TOC1"/>
            <w:rPr>
              <w:rFonts w:ascii="Arial" w:eastAsiaTheme="minorEastAsia" w:hAnsi="Arial" w:cs="Arial"/>
              <w:noProof/>
              <w:sz w:val="22"/>
              <w:szCs w:val="22"/>
            </w:rPr>
          </w:pPr>
          <w:hyperlink w:anchor="_Toc399760747" w:history="1">
            <w:r w:rsidR="00AB5FA7" w:rsidRPr="00AB5FA7">
              <w:rPr>
                <w:rStyle w:val="Hyperlink"/>
                <w:rFonts w:ascii="Arial" w:hAnsi="Arial" w:cs="Arial"/>
                <w:noProof/>
              </w:rPr>
              <w:t>3.2 Assumptions</w:t>
            </w:r>
            <w:r w:rsidR="00AB5FA7" w:rsidRPr="00AB5FA7">
              <w:rPr>
                <w:rFonts w:ascii="Arial" w:hAnsi="Arial" w:cs="Arial"/>
                <w:noProof/>
                <w:webHidden/>
              </w:rPr>
              <w:tab/>
            </w:r>
            <w:r w:rsidR="00AB5FA7" w:rsidRPr="00AB5FA7">
              <w:rPr>
                <w:rFonts w:ascii="Arial" w:hAnsi="Arial" w:cs="Arial"/>
                <w:noProof/>
                <w:webHidden/>
              </w:rPr>
              <w:fldChar w:fldCharType="begin"/>
            </w:r>
            <w:r w:rsidR="00AB5FA7" w:rsidRPr="00AB5FA7">
              <w:rPr>
                <w:rFonts w:ascii="Arial" w:hAnsi="Arial" w:cs="Arial"/>
                <w:noProof/>
                <w:webHidden/>
              </w:rPr>
              <w:instrText xml:space="preserve"> PAGEREF _Toc399760747 \h </w:instrText>
            </w:r>
            <w:r w:rsidR="00AB5FA7" w:rsidRPr="00AB5FA7">
              <w:rPr>
                <w:rFonts w:ascii="Arial" w:hAnsi="Arial" w:cs="Arial"/>
                <w:noProof/>
                <w:webHidden/>
              </w:rPr>
            </w:r>
            <w:r w:rsidR="00AB5FA7" w:rsidRPr="00AB5FA7">
              <w:rPr>
                <w:rFonts w:ascii="Arial" w:hAnsi="Arial" w:cs="Arial"/>
                <w:noProof/>
                <w:webHidden/>
              </w:rPr>
              <w:fldChar w:fldCharType="separate"/>
            </w:r>
            <w:r w:rsidR="00AB5FA7" w:rsidRPr="00AB5FA7">
              <w:rPr>
                <w:rFonts w:ascii="Arial" w:hAnsi="Arial" w:cs="Arial"/>
                <w:noProof/>
                <w:webHidden/>
              </w:rPr>
              <w:t>8</w:t>
            </w:r>
            <w:r w:rsidR="00AB5FA7" w:rsidRPr="00AB5FA7">
              <w:rPr>
                <w:rFonts w:ascii="Arial" w:hAnsi="Arial" w:cs="Arial"/>
                <w:noProof/>
                <w:webHidden/>
              </w:rPr>
              <w:fldChar w:fldCharType="end"/>
            </w:r>
          </w:hyperlink>
        </w:p>
        <w:p w:rsidR="00AB5FA7" w:rsidRPr="00AB5FA7" w:rsidRDefault="00D17EC5">
          <w:pPr>
            <w:pStyle w:val="TOC1"/>
            <w:rPr>
              <w:rFonts w:ascii="Arial" w:eastAsiaTheme="minorEastAsia" w:hAnsi="Arial" w:cs="Arial"/>
              <w:noProof/>
              <w:sz w:val="22"/>
              <w:szCs w:val="22"/>
            </w:rPr>
          </w:pPr>
          <w:hyperlink w:anchor="_Toc399760748" w:history="1">
            <w:r w:rsidR="00AB5FA7" w:rsidRPr="00AB5FA7">
              <w:rPr>
                <w:rStyle w:val="Hyperlink"/>
                <w:rFonts w:ascii="Arial" w:hAnsi="Arial" w:cs="Arial"/>
                <w:noProof/>
              </w:rPr>
              <w:t>3.3 Affected Entities</w:t>
            </w:r>
            <w:r w:rsidR="00AB5FA7" w:rsidRPr="00AB5FA7">
              <w:rPr>
                <w:rFonts w:ascii="Arial" w:hAnsi="Arial" w:cs="Arial"/>
                <w:noProof/>
                <w:webHidden/>
              </w:rPr>
              <w:tab/>
            </w:r>
            <w:r w:rsidR="00AB5FA7" w:rsidRPr="00AB5FA7">
              <w:rPr>
                <w:rFonts w:ascii="Arial" w:hAnsi="Arial" w:cs="Arial"/>
                <w:noProof/>
                <w:webHidden/>
              </w:rPr>
              <w:fldChar w:fldCharType="begin"/>
            </w:r>
            <w:r w:rsidR="00AB5FA7" w:rsidRPr="00AB5FA7">
              <w:rPr>
                <w:rFonts w:ascii="Arial" w:hAnsi="Arial" w:cs="Arial"/>
                <w:noProof/>
                <w:webHidden/>
              </w:rPr>
              <w:instrText xml:space="preserve"> PAGEREF _Toc399760748 \h </w:instrText>
            </w:r>
            <w:r w:rsidR="00AB5FA7" w:rsidRPr="00AB5FA7">
              <w:rPr>
                <w:rFonts w:ascii="Arial" w:hAnsi="Arial" w:cs="Arial"/>
                <w:noProof/>
                <w:webHidden/>
              </w:rPr>
            </w:r>
            <w:r w:rsidR="00AB5FA7" w:rsidRPr="00AB5FA7">
              <w:rPr>
                <w:rFonts w:ascii="Arial" w:hAnsi="Arial" w:cs="Arial"/>
                <w:noProof/>
                <w:webHidden/>
              </w:rPr>
              <w:fldChar w:fldCharType="separate"/>
            </w:r>
            <w:r w:rsidR="00AB5FA7" w:rsidRPr="00AB5FA7">
              <w:rPr>
                <w:rFonts w:ascii="Arial" w:hAnsi="Arial" w:cs="Arial"/>
                <w:noProof/>
                <w:webHidden/>
              </w:rPr>
              <w:t>12</w:t>
            </w:r>
            <w:r w:rsidR="00AB5FA7" w:rsidRPr="00AB5FA7">
              <w:rPr>
                <w:rFonts w:ascii="Arial" w:hAnsi="Arial" w:cs="Arial"/>
                <w:noProof/>
                <w:webHidden/>
              </w:rPr>
              <w:fldChar w:fldCharType="end"/>
            </w:r>
          </w:hyperlink>
        </w:p>
        <w:p w:rsidR="00AB5FA7" w:rsidRPr="00AB5FA7" w:rsidRDefault="00D17EC5">
          <w:pPr>
            <w:pStyle w:val="TOC1"/>
            <w:rPr>
              <w:rFonts w:ascii="Arial" w:eastAsiaTheme="minorEastAsia" w:hAnsi="Arial" w:cs="Arial"/>
              <w:noProof/>
              <w:sz w:val="22"/>
              <w:szCs w:val="22"/>
            </w:rPr>
          </w:pPr>
          <w:hyperlink w:anchor="_Toc399760749" w:history="1">
            <w:r w:rsidR="00AB5FA7" w:rsidRPr="00AB5FA7">
              <w:rPr>
                <w:rStyle w:val="Hyperlink"/>
                <w:rFonts w:ascii="Arial" w:hAnsi="Arial" w:cs="Arial"/>
                <w:noProof/>
              </w:rPr>
              <w:t>3.4 Identification of Affected Attributes</w:t>
            </w:r>
            <w:r w:rsidR="00AB5FA7" w:rsidRPr="00AB5FA7">
              <w:rPr>
                <w:rFonts w:ascii="Arial" w:hAnsi="Arial" w:cs="Arial"/>
                <w:noProof/>
                <w:webHidden/>
              </w:rPr>
              <w:tab/>
            </w:r>
            <w:r w:rsidR="00AB5FA7" w:rsidRPr="00AB5FA7">
              <w:rPr>
                <w:rFonts w:ascii="Arial" w:hAnsi="Arial" w:cs="Arial"/>
                <w:noProof/>
                <w:webHidden/>
              </w:rPr>
              <w:fldChar w:fldCharType="begin"/>
            </w:r>
            <w:r w:rsidR="00AB5FA7" w:rsidRPr="00AB5FA7">
              <w:rPr>
                <w:rFonts w:ascii="Arial" w:hAnsi="Arial" w:cs="Arial"/>
                <w:noProof/>
                <w:webHidden/>
              </w:rPr>
              <w:instrText xml:space="preserve"> PAGEREF _Toc399760749 \h </w:instrText>
            </w:r>
            <w:r w:rsidR="00AB5FA7" w:rsidRPr="00AB5FA7">
              <w:rPr>
                <w:rFonts w:ascii="Arial" w:hAnsi="Arial" w:cs="Arial"/>
                <w:noProof/>
                <w:webHidden/>
              </w:rPr>
            </w:r>
            <w:r w:rsidR="00AB5FA7" w:rsidRPr="00AB5FA7">
              <w:rPr>
                <w:rFonts w:ascii="Arial" w:hAnsi="Arial" w:cs="Arial"/>
                <w:noProof/>
                <w:webHidden/>
              </w:rPr>
              <w:fldChar w:fldCharType="separate"/>
            </w:r>
            <w:r w:rsidR="00AB5FA7" w:rsidRPr="00AB5FA7">
              <w:rPr>
                <w:rFonts w:ascii="Arial" w:hAnsi="Arial" w:cs="Arial"/>
                <w:noProof/>
                <w:webHidden/>
              </w:rPr>
              <w:t>13</w:t>
            </w:r>
            <w:r w:rsidR="00AB5FA7" w:rsidRPr="00AB5FA7">
              <w:rPr>
                <w:rFonts w:ascii="Arial" w:hAnsi="Arial" w:cs="Arial"/>
                <w:noProof/>
                <w:webHidden/>
              </w:rPr>
              <w:fldChar w:fldCharType="end"/>
            </w:r>
          </w:hyperlink>
        </w:p>
        <w:p w:rsidR="00AB5FA7" w:rsidRPr="00AB5FA7" w:rsidRDefault="00D17EC5">
          <w:pPr>
            <w:pStyle w:val="TOC1"/>
            <w:rPr>
              <w:rFonts w:ascii="Arial" w:eastAsiaTheme="minorEastAsia" w:hAnsi="Arial" w:cs="Arial"/>
              <w:noProof/>
              <w:sz w:val="22"/>
              <w:szCs w:val="22"/>
            </w:rPr>
          </w:pPr>
          <w:hyperlink w:anchor="_Toc399760750" w:history="1">
            <w:r w:rsidR="00AB5FA7" w:rsidRPr="00AB5FA7">
              <w:rPr>
                <w:rStyle w:val="Hyperlink"/>
                <w:rFonts w:ascii="Arial" w:hAnsi="Arial" w:cs="Arial"/>
                <w:noProof/>
              </w:rPr>
              <w:t>4. Presentation of Results</w:t>
            </w:r>
            <w:r w:rsidR="00AB5FA7" w:rsidRPr="00AB5FA7">
              <w:rPr>
                <w:rFonts w:ascii="Arial" w:hAnsi="Arial" w:cs="Arial"/>
                <w:noProof/>
                <w:webHidden/>
              </w:rPr>
              <w:tab/>
            </w:r>
            <w:r w:rsidR="00AB5FA7" w:rsidRPr="00AB5FA7">
              <w:rPr>
                <w:rFonts w:ascii="Arial" w:hAnsi="Arial" w:cs="Arial"/>
                <w:noProof/>
                <w:webHidden/>
              </w:rPr>
              <w:fldChar w:fldCharType="begin"/>
            </w:r>
            <w:r w:rsidR="00AB5FA7" w:rsidRPr="00AB5FA7">
              <w:rPr>
                <w:rFonts w:ascii="Arial" w:hAnsi="Arial" w:cs="Arial"/>
                <w:noProof/>
                <w:webHidden/>
              </w:rPr>
              <w:instrText xml:space="preserve"> PAGEREF _Toc399760750 \h </w:instrText>
            </w:r>
            <w:r w:rsidR="00AB5FA7" w:rsidRPr="00AB5FA7">
              <w:rPr>
                <w:rFonts w:ascii="Arial" w:hAnsi="Arial" w:cs="Arial"/>
                <w:noProof/>
                <w:webHidden/>
              </w:rPr>
            </w:r>
            <w:r w:rsidR="00AB5FA7" w:rsidRPr="00AB5FA7">
              <w:rPr>
                <w:rFonts w:ascii="Arial" w:hAnsi="Arial" w:cs="Arial"/>
                <w:noProof/>
                <w:webHidden/>
              </w:rPr>
              <w:fldChar w:fldCharType="separate"/>
            </w:r>
            <w:r w:rsidR="00AB5FA7" w:rsidRPr="00AB5FA7">
              <w:rPr>
                <w:rFonts w:ascii="Arial" w:hAnsi="Arial" w:cs="Arial"/>
                <w:noProof/>
                <w:webHidden/>
              </w:rPr>
              <w:t>14</w:t>
            </w:r>
            <w:r w:rsidR="00AB5FA7" w:rsidRPr="00AB5FA7">
              <w:rPr>
                <w:rFonts w:ascii="Arial" w:hAnsi="Arial" w:cs="Arial"/>
                <w:noProof/>
                <w:webHidden/>
              </w:rPr>
              <w:fldChar w:fldCharType="end"/>
            </w:r>
          </w:hyperlink>
        </w:p>
        <w:p w:rsidR="00AB5FA7" w:rsidRPr="00AB5FA7" w:rsidRDefault="00D17EC5">
          <w:pPr>
            <w:pStyle w:val="TOC1"/>
            <w:rPr>
              <w:rFonts w:ascii="Arial" w:eastAsiaTheme="minorEastAsia" w:hAnsi="Arial" w:cs="Arial"/>
              <w:noProof/>
              <w:sz w:val="22"/>
              <w:szCs w:val="22"/>
            </w:rPr>
          </w:pPr>
          <w:hyperlink w:anchor="_Toc399760751" w:history="1">
            <w:r w:rsidR="00AB5FA7" w:rsidRPr="00AB5FA7">
              <w:rPr>
                <w:rStyle w:val="Hyperlink"/>
                <w:rFonts w:ascii="Arial" w:hAnsi="Arial" w:cs="Arial"/>
                <w:noProof/>
              </w:rPr>
              <w:t>4.1 Alternative 1:  No action</w:t>
            </w:r>
            <w:r w:rsidR="00AB5FA7" w:rsidRPr="00AB5FA7">
              <w:rPr>
                <w:rFonts w:ascii="Arial" w:hAnsi="Arial" w:cs="Arial"/>
                <w:noProof/>
                <w:webHidden/>
              </w:rPr>
              <w:tab/>
            </w:r>
            <w:r w:rsidR="00AB5FA7" w:rsidRPr="00AB5FA7">
              <w:rPr>
                <w:rFonts w:ascii="Arial" w:hAnsi="Arial" w:cs="Arial"/>
                <w:noProof/>
                <w:webHidden/>
              </w:rPr>
              <w:fldChar w:fldCharType="begin"/>
            </w:r>
            <w:r w:rsidR="00AB5FA7" w:rsidRPr="00AB5FA7">
              <w:rPr>
                <w:rFonts w:ascii="Arial" w:hAnsi="Arial" w:cs="Arial"/>
                <w:noProof/>
                <w:webHidden/>
              </w:rPr>
              <w:instrText xml:space="preserve"> PAGEREF _Toc399760751 \h </w:instrText>
            </w:r>
            <w:r w:rsidR="00AB5FA7" w:rsidRPr="00AB5FA7">
              <w:rPr>
                <w:rFonts w:ascii="Arial" w:hAnsi="Arial" w:cs="Arial"/>
                <w:noProof/>
                <w:webHidden/>
              </w:rPr>
            </w:r>
            <w:r w:rsidR="00AB5FA7" w:rsidRPr="00AB5FA7">
              <w:rPr>
                <w:rFonts w:ascii="Arial" w:hAnsi="Arial" w:cs="Arial"/>
                <w:noProof/>
                <w:webHidden/>
              </w:rPr>
              <w:fldChar w:fldCharType="separate"/>
            </w:r>
            <w:r w:rsidR="00AB5FA7" w:rsidRPr="00AB5FA7">
              <w:rPr>
                <w:rFonts w:ascii="Arial" w:hAnsi="Arial" w:cs="Arial"/>
                <w:noProof/>
                <w:webHidden/>
              </w:rPr>
              <w:t>15</w:t>
            </w:r>
            <w:r w:rsidR="00AB5FA7" w:rsidRPr="00AB5FA7">
              <w:rPr>
                <w:rFonts w:ascii="Arial" w:hAnsi="Arial" w:cs="Arial"/>
                <w:noProof/>
                <w:webHidden/>
              </w:rPr>
              <w:fldChar w:fldCharType="end"/>
            </w:r>
          </w:hyperlink>
        </w:p>
        <w:p w:rsidR="00AB5FA7" w:rsidRPr="00AB5FA7" w:rsidRDefault="00D17EC5">
          <w:pPr>
            <w:pStyle w:val="TOC1"/>
            <w:rPr>
              <w:rFonts w:ascii="Arial" w:eastAsiaTheme="minorEastAsia" w:hAnsi="Arial" w:cs="Arial"/>
              <w:noProof/>
              <w:sz w:val="22"/>
              <w:szCs w:val="22"/>
            </w:rPr>
          </w:pPr>
          <w:hyperlink w:anchor="_Toc399760752" w:history="1">
            <w:r w:rsidR="00AB5FA7" w:rsidRPr="00AB5FA7">
              <w:rPr>
                <w:rStyle w:val="Hyperlink"/>
                <w:rFonts w:ascii="Arial" w:hAnsi="Arial" w:cs="Arial"/>
                <w:noProof/>
              </w:rPr>
              <w:t>4.2 Alternative 2:  Rulemaking to amend 10 CFR Part 61</w:t>
            </w:r>
            <w:r w:rsidR="00AB5FA7" w:rsidRPr="00AB5FA7">
              <w:rPr>
                <w:rFonts w:ascii="Arial" w:hAnsi="Arial" w:cs="Arial"/>
                <w:noProof/>
                <w:webHidden/>
              </w:rPr>
              <w:tab/>
            </w:r>
            <w:r w:rsidR="00AB5FA7" w:rsidRPr="00AB5FA7">
              <w:rPr>
                <w:rFonts w:ascii="Arial" w:hAnsi="Arial" w:cs="Arial"/>
                <w:noProof/>
                <w:webHidden/>
              </w:rPr>
              <w:fldChar w:fldCharType="begin"/>
            </w:r>
            <w:r w:rsidR="00AB5FA7" w:rsidRPr="00AB5FA7">
              <w:rPr>
                <w:rFonts w:ascii="Arial" w:hAnsi="Arial" w:cs="Arial"/>
                <w:noProof/>
                <w:webHidden/>
              </w:rPr>
              <w:instrText xml:space="preserve"> PAGEREF _Toc399760752 \h </w:instrText>
            </w:r>
            <w:r w:rsidR="00AB5FA7" w:rsidRPr="00AB5FA7">
              <w:rPr>
                <w:rFonts w:ascii="Arial" w:hAnsi="Arial" w:cs="Arial"/>
                <w:noProof/>
                <w:webHidden/>
              </w:rPr>
            </w:r>
            <w:r w:rsidR="00AB5FA7" w:rsidRPr="00AB5FA7">
              <w:rPr>
                <w:rFonts w:ascii="Arial" w:hAnsi="Arial" w:cs="Arial"/>
                <w:noProof/>
                <w:webHidden/>
              </w:rPr>
              <w:fldChar w:fldCharType="separate"/>
            </w:r>
            <w:r w:rsidR="00AB5FA7" w:rsidRPr="00AB5FA7">
              <w:rPr>
                <w:rFonts w:ascii="Arial" w:hAnsi="Arial" w:cs="Arial"/>
                <w:noProof/>
                <w:webHidden/>
              </w:rPr>
              <w:t>15</w:t>
            </w:r>
            <w:r w:rsidR="00AB5FA7" w:rsidRPr="00AB5FA7">
              <w:rPr>
                <w:rFonts w:ascii="Arial" w:hAnsi="Arial" w:cs="Arial"/>
                <w:noProof/>
                <w:webHidden/>
              </w:rPr>
              <w:fldChar w:fldCharType="end"/>
            </w:r>
          </w:hyperlink>
        </w:p>
        <w:p w:rsidR="00AB5FA7" w:rsidRPr="00AB5FA7" w:rsidRDefault="00D17EC5">
          <w:pPr>
            <w:pStyle w:val="TOC1"/>
            <w:rPr>
              <w:rFonts w:ascii="Arial" w:eastAsiaTheme="minorEastAsia" w:hAnsi="Arial" w:cs="Arial"/>
              <w:noProof/>
              <w:sz w:val="22"/>
              <w:szCs w:val="22"/>
            </w:rPr>
          </w:pPr>
          <w:hyperlink w:anchor="_Toc399760753" w:history="1">
            <w:r w:rsidR="00AB5FA7" w:rsidRPr="00AB5FA7">
              <w:rPr>
                <w:rStyle w:val="Hyperlink"/>
                <w:rFonts w:ascii="Arial" w:hAnsi="Arial" w:cs="Arial"/>
                <w:noProof/>
              </w:rPr>
              <w:t>4.3 Benefits and Costs</w:t>
            </w:r>
            <w:r w:rsidR="00AB5FA7" w:rsidRPr="00AB5FA7">
              <w:rPr>
                <w:rFonts w:ascii="Arial" w:hAnsi="Arial" w:cs="Arial"/>
                <w:noProof/>
                <w:webHidden/>
              </w:rPr>
              <w:tab/>
            </w:r>
            <w:r w:rsidR="00AB5FA7" w:rsidRPr="00AB5FA7">
              <w:rPr>
                <w:rFonts w:ascii="Arial" w:hAnsi="Arial" w:cs="Arial"/>
                <w:noProof/>
                <w:webHidden/>
              </w:rPr>
              <w:fldChar w:fldCharType="begin"/>
            </w:r>
            <w:r w:rsidR="00AB5FA7" w:rsidRPr="00AB5FA7">
              <w:rPr>
                <w:rFonts w:ascii="Arial" w:hAnsi="Arial" w:cs="Arial"/>
                <w:noProof/>
                <w:webHidden/>
              </w:rPr>
              <w:instrText xml:space="preserve"> PAGEREF _Toc399760753 \h </w:instrText>
            </w:r>
            <w:r w:rsidR="00AB5FA7" w:rsidRPr="00AB5FA7">
              <w:rPr>
                <w:rFonts w:ascii="Arial" w:hAnsi="Arial" w:cs="Arial"/>
                <w:noProof/>
                <w:webHidden/>
              </w:rPr>
            </w:r>
            <w:r w:rsidR="00AB5FA7" w:rsidRPr="00AB5FA7">
              <w:rPr>
                <w:rFonts w:ascii="Arial" w:hAnsi="Arial" w:cs="Arial"/>
                <w:noProof/>
                <w:webHidden/>
              </w:rPr>
              <w:fldChar w:fldCharType="separate"/>
            </w:r>
            <w:r w:rsidR="00AB5FA7" w:rsidRPr="00AB5FA7">
              <w:rPr>
                <w:rFonts w:ascii="Arial" w:hAnsi="Arial" w:cs="Arial"/>
                <w:noProof/>
                <w:webHidden/>
              </w:rPr>
              <w:t>22</w:t>
            </w:r>
            <w:r w:rsidR="00AB5FA7" w:rsidRPr="00AB5FA7">
              <w:rPr>
                <w:rFonts w:ascii="Arial" w:hAnsi="Arial" w:cs="Arial"/>
                <w:noProof/>
                <w:webHidden/>
              </w:rPr>
              <w:fldChar w:fldCharType="end"/>
            </w:r>
          </w:hyperlink>
        </w:p>
        <w:p w:rsidR="00AB5FA7" w:rsidRPr="00AB5FA7" w:rsidRDefault="00D17EC5">
          <w:pPr>
            <w:pStyle w:val="TOC1"/>
            <w:rPr>
              <w:rFonts w:ascii="Arial" w:eastAsiaTheme="minorEastAsia" w:hAnsi="Arial" w:cs="Arial"/>
              <w:noProof/>
              <w:sz w:val="22"/>
              <w:szCs w:val="22"/>
            </w:rPr>
          </w:pPr>
          <w:hyperlink w:anchor="_Toc399760754" w:history="1">
            <w:r w:rsidR="00AB5FA7" w:rsidRPr="00AB5FA7">
              <w:rPr>
                <w:rStyle w:val="Hyperlink"/>
                <w:rFonts w:ascii="Arial" w:hAnsi="Arial" w:cs="Arial"/>
                <w:noProof/>
              </w:rPr>
              <w:t>5. Decision Rationale</w:t>
            </w:r>
            <w:r w:rsidR="00AB5FA7" w:rsidRPr="00AB5FA7">
              <w:rPr>
                <w:rFonts w:ascii="Arial" w:hAnsi="Arial" w:cs="Arial"/>
                <w:noProof/>
                <w:webHidden/>
              </w:rPr>
              <w:tab/>
            </w:r>
            <w:r w:rsidR="00AB5FA7" w:rsidRPr="00AB5FA7">
              <w:rPr>
                <w:rFonts w:ascii="Arial" w:hAnsi="Arial" w:cs="Arial"/>
                <w:noProof/>
                <w:webHidden/>
              </w:rPr>
              <w:fldChar w:fldCharType="begin"/>
            </w:r>
            <w:r w:rsidR="00AB5FA7" w:rsidRPr="00AB5FA7">
              <w:rPr>
                <w:rFonts w:ascii="Arial" w:hAnsi="Arial" w:cs="Arial"/>
                <w:noProof/>
                <w:webHidden/>
              </w:rPr>
              <w:instrText xml:space="preserve"> PAGEREF _Toc399760754 \h </w:instrText>
            </w:r>
            <w:r w:rsidR="00AB5FA7" w:rsidRPr="00AB5FA7">
              <w:rPr>
                <w:rFonts w:ascii="Arial" w:hAnsi="Arial" w:cs="Arial"/>
                <w:noProof/>
                <w:webHidden/>
              </w:rPr>
            </w:r>
            <w:r w:rsidR="00AB5FA7" w:rsidRPr="00AB5FA7">
              <w:rPr>
                <w:rFonts w:ascii="Arial" w:hAnsi="Arial" w:cs="Arial"/>
                <w:noProof/>
                <w:webHidden/>
              </w:rPr>
              <w:fldChar w:fldCharType="separate"/>
            </w:r>
            <w:r w:rsidR="00AB5FA7" w:rsidRPr="00AB5FA7">
              <w:rPr>
                <w:rFonts w:ascii="Arial" w:hAnsi="Arial" w:cs="Arial"/>
                <w:noProof/>
                <w:webHidden/>
              </w:rPr>
              <w:t>23</w:t>
            </w:r>
            <w:r w:rsidR="00AB5FA7" w:rsidRPr="00AB5FA7">
              <w:rPr>
                <w:rFonts w:ascii="Arial" w:hAnsi="Arial" w:cs="Arial"/>
                <w:noProof/>
                <w:webHidden/>
              </w:rPr>
              <w:fldChar w:fldCharType="end"/>
            </w:r>
          </w:hyperlink>
        </w:p>
        <w:p w:rsidR="00AB5FA7" w:rsidRPr="00AB5FA7" w:rsidRDefault="00D17EC5">
          <w:pPr>
            <w:pStyle w:val="TOC1"/>
            <w:rPr>
              <w:rFonts w:ascii="Arial" w:eastAsiaTheme="minorEastAsia" w:hAnsi="Arial" w:cs="Arial"/>
              <w:noProof/>
              <w:sz w:val="22"/>
              <w:szCs w:val="22"/>
            </w:rPr>
          </w:pPr>
          <w:hyperlink w:anchor="_Toc399760755" w:history="1">
            <w:r w:rsidR="00AB5FA7" w:rsidRPr="00AB5FA7">
              <w:rPr>
                <w:rStyle w:val="Hyperlink"/>
                <w:rFonts w:ascii="Arial" w:hAnsi="Arial" w:cs="Arial"/>
                <w:noProof/>
              </w:rPr>
              <w:t>6. Implementation</w:t>
            </w:r>
            <w:r w:rsidR="00AB5FA7" w:rsidRPr="00AB5FA7">
              <w:rPr>
                <w:rFonts w:ascii="Arial" w:hAnsi="Arial" w:cs="Arial"/>
                <w:noProof/>
                <w:webHidden/>
              </w:rPr>
              <w:tab/>
            </w:r>
            <w:r w:rsidR="00AB5FA7" w:rsidRPr="00AB5FA7">
              <w:rPr>
                <w:rFonts w:ascii="Arial" w:hAnsi="Arial" w:cs="Arial"/>
                <w:noProof/>
                <w:webHidden/>
              </w:rPr>
              <w:fldChar w:fldCharType="begin"/>
            </w:r>
            <w:r w:rsidR="00AB5FA7" w:rsidRPr="00AB5FA7">
              <w:rPr>
                <w:rFonts w:ascii="Arial" w:hAnsi="Arial" w:cs="Arial"/>
                <w:noProof/>
                <w:webHidden/>
              </w:rPr>
              <w:instrText xml:space="preserve"> PAGEREF _Toc399760755 \h </w:instrText>
            </w:r>
            <w:r w:rsidR="00AB5FA7" w:rsidRPr="00AB5FA7">
              <w:rPr>
                <w:rFonts w:ascii="Arial" w:hAnsi="Arial" w:cs="Arial"/>
                <w:noProof/>
                <w:webHidden/>
              </w:rPr>
            </w:r>
            <w:r w:rsidR="00AB5FA7" w:rsidRPr="00AB5FA7">
              <w:rPr>
                <w:rFonts w:ascii="Arial" w:hAnsi="Arial" w:cs="Arial"/>
                <w:noProof/>
                <w:webHidden/>
              </w:rPr>
              <w:fldChar w:fldCharType="separate"/>
            </w:r>
            <w:r w:rsidR="00AB5FA7" w:rsidRPr="00AB5FA7">
              <w:rPr>
                <w:rFonts w:ascii="Arial" w:hAnsi="Arial" w:cs="Arial"/>
                <w:noProof/>
                <w:webHidden/>
              </w:rPr>
              <w:t>24</w:t>
            </w:r>
            <w:r w:rsidR="00AB5FA7" w:rsidRPr="00AB5FA7">
              <w:rPr>
                <w:rFonts w:ascii="Arial" w:hAnsi="Arial" w:cs="Arial"/>
                <w:noProof/>
                <w:webHidden/>
              </w:rPr>
              <w:fldChar w:fldCharType="end"/>
            </w:r>
          </w:hyperlink>
        </w:p>
        <w:p w:rsidR="00AB5FA7" w:rsidRPr="00AB5FA7" w:rsidRDefault="00D17EC5">
          <w:pPr>
            <w:pStyle w:val="TOC1"/>
            <w:rPr>
              <w:rFonts w:ascii="Arial" w:eastAsiaTheme="minorEastAsia" w:hAnsi="Arial" w:cs="Arial"/>
              <w:noProof/>
              <w:sz w:val="22"/>
              <w:szCs w:val="22"/>
            </w:rPr>
          </w:pPr>
          <w:hyperlink w:anchor="_Toc399760756" w:history="1">
            <w:r w:rsidR="00AB5FA7" w:rsidRPr="00AB5FA7">
              <w:rPr>
                <w:rStyle w:val="Hyperlink"/>
                <w:rFonts w:ascii="Arial" w:hAnsi="Arial" w:cs="Arial"/>
                <w:noProof/>
              </w:rPr>
              <w:t>7. References</w:t>
            </w:r>
            <w:r w:rsidR="00AB5FA7" w:rsidRPr="00AB5FA7">
              <w:rPr>
                <w:rFonts w:ascii="Arial" w:hAnsi="Arial" w:cs="Arial"/>
                <w:noProof/>
                <w:webHidden/>
              </w:rPr>
              <w:tab/>
            </w:r>
            <w:r w:rsidR="00AB5FA7" w:rsidRPr="00AB5FA7">
              <w:rPr>
                <w:rFonts w:ascii="Arial" w:hAnsi="Arial" w:cs="Arial"/>
                <w:noProof/>
                <w:webHidden/>
              </w:rPr>
              <w:fldChar w:fldCharType="begin"/>
            </w:r>
            <w:r w:rsidR="00AB5FA7" w:rsidRPr="00AB5FA7">
              <w:rPr>
                <w:rFonts w:ascii="Arial" w:hAnsi="Arial" w:cs="Arial"/>
                <w:noProof/>
                <w:webHidden/>
              </w:rPr>
              <w:instrText xml:space="preserve"> PAGEREF _Toc399760756 \h </w:instrText>
            </w:r>
            <w:r w:rsidR="00AB5FA7" w:rsidRPr="00AB5FA7">
              <w:rPr>
                <w:rFonts w:ascii="Arial" w:hAnsi="Arial" w:cs="Arial"/>
                <w:noProof/>
                <w:webHidden/>
              </w:rPr>
            </w:r>
            <w:r w:rsidR="00AB5FA7" w:rsidRPr="00AB5FA7">
              <w:rPr>
                <w:rFonts w:ascii="Arial" w:hAnsi="Arial" w:cs="Arial"/>
                <w:noProof/>
                <w:webHidden/>
              </w:rPr>
              <w:fldChar w:fldCharType="separate"/>
            </w:r>
            <w:r w:rsidR="00AB5FA7" w:rsidRPr="00AB5FA7">
              <w:rPr>
                <w:rFonts w:ascii="Arial" w:hAnsi="Arial" w:cs="Arial"/>
                <w:noProof/>
                <w:webHidden/>
              </w:rPr>
              <w:t>25</w:t>
            </w:r>
            <w:r w:rsidR="00AB5FA7" w:rsidRPr="00AB5FA7">
              <w:rPr>
                <w:rFonts w:ascii="Arial" w:hAnsi="Arial" w:cs="Arial"/>
                <w:noProof/>
                <w:webHidden/>
              </w:rPr>
              <w:fldChar w:fldCharType="end"/>
            </w:r>
          </w:hyperlink>
        </w:p>
        <w:p w:rsidR="009178B0" w:rsidRPr="00AB5FA7" w:rsidRDefault="00C52B67" w:rsidP="00473C7B">
          <w:pPr>
            <w:rPr>
              <w:rFonts w:cs="Arial"/>
              <w:szCs w:val="22"/>
            </w:rPr>
          </w:pPr>
          <w:r w:rsidRPr="00AB5FA7">
            <w:rPr>
              <w:rFonts w:cs="Arial"/>
              <w:szCs w:val="22"/>
            </w:rPr>
            <w:fldChar w:fldCharType="end"/>
          </w:r>
        </w:p>
      </w:sdtContent>
    </w:sdt>
    <w:p w:rsidR="008D29C6" w:rsidRPr="00473C7B" w:rsidRDefault="008D29C6" w:rsidP="00473C7B">
      <w:pPr>
        <w:tabs>
          <w:tab w:val="left" w:pos="720"/>
          <w:tab w:val="left" w:pos="1080"/>
          <w:tab w:val="left" w:leader="dot" w:pos="8640"/>
        </w:tabs>
        <w:rPr>
          <w:rFonts w:cs="Arial"/>
          <w:szCs w:val="22"/>
        </w:rPr>
      </w:pPr>
    </w:p>
    <w:p w:rsidR="004668B2" w:rsidRPr="00473C7B" w:rsidRDefault="004668B2" w:rsidP="00473C7B">
      <w:pPr>
        <w:tabs>
          <w:tab w:val="left" w:pos="720"/>
          <w:tab w:val="left" w:pos="1080"/>
          <w:tab w:val="left" w:leader="dot" w:pos="8640"/>
        </w:tabs>
        <w:rPr>
          <w:rFonts w:cs="Arial"/>
          <w:szCs w:val="22"/>
        </w:rPr>
      </w:pPr>
    </w:p>
    <w:p w:rsidR="004668B2" w:rsidRPr="00473C7B" w:rsidRDefault="004668B2" w:rsidP="00473C7B">
      <w:pPr>
        <w:tabs>
          <w:tab w:val="left" w:pos="720"/>
          <w:tab w:val="left" w:leader="dot" w:pos="8640"/>
        </w:tabs>
        <w:ind w:left="360" w:hanging="360"/>
        <w:rPr>
          <w:rFonts w:cs="Arial"/>
          <w:szCs w:val="22"/>
        </w:rPr>
      </w:pPr>
    </w:p>
    <w:p w:rsidR="004668B2" w:rsidRPr="00473C7B" w:rsidRDefault="004668B2" w:rsidP="00473C7B">
      <w:pPr>
        <w:tabs>
          <w:tab w:val="left" w:pos="720"/>
          <w:tab w:val="left" w:leader="dot" w:pos="8640"/>
        </w:tabs>
        <w:ind w:left="360" w:hanging="360"/>
        <w:rPr>
          <w:rFonts w:cs="Arial"/>
          <w:szCs w:val="22"/>
        </w:rPr>
      </w:pPr>
    </w:p>
    <w:p w:rsidR="001948FA" w:rsidRPr="00473C7B" w:rsidRDefault="001948FA" w:rsidP="00473C7B">
      <w:pPr>
        <w:jc w:val="center"/>
        <w:rPr>
          <w:rFonts w:cs="Arial"/>
          <w:b/>
          <w:bCs/>
          <w:szCs w:val="22"/>
        </w:rPr>
        <w:sectPr w:rsidR="001948FA" w:rsidRPr="00473C7B" w:rsidSect="00836C1B">
          <w:footerReference w:type="first" r:id="rId11"/>
          <w:pgSz w:w="12240" w:h="15840"/>
          <w:pgMar w:top="1440" w:right="1440" w:bottom="1440" w:left="1440" w:header="1440" w:footer="1440" w:gutter="0"/>
          <w:pgNumType w:fmt="lowerRoman"/>
          <w:cols w:space="720"/>
          <w:titlePg/>
          <w:docGrid w:linePitch="360"/>
        </w:sectPr>
      </w:pPr>
    </w:p>
    <w:p w:rsidR="000C44EC" w:rsidRPr="000C44EC" w:rsidRDefault="00FB0538" w:rsidP="006B2D47">
      <w:pPr>
        <w:pStyle w:val="Heading1"/>
      </w:pPr>
      <w:bookmarkStart w:id="1" w:name="_Toc399760738"/>
      <w:r w:rsidRPr="00473C7B">
        <w:lastRenderedPageBreak/>
        <w:t>E</w:t>
      </w:r>
      <w:r w:rsidR="00FE2F9C" w:rsidRPr="00473C7B">
        <w:t>xecutive Summary</w:t>
      </w:r>
      <w:bookmarkEnd w:id="1"/>
    </w:p>
    <w:p w:rsidR="00FB0538" w:rsidRDefault="00FB0538" w:rsidP="006B2D47">
      <w:pPr>
        <w:pStyle w:val="Heading1"/>
      </w:pPr>
    </w:p>
    <w:p w:rsidR="000E7109" w:rsidRDefault="00E86E23" w:rsidP="00473C7B">
      <w:pPr>
        <w:rPr>
          <w:rFonts w:cs="Arial"/>
          <w:bCs/>
          <w:szCs w:val="22"/>
        </w:rPr>
      </w:pPr>
      <w:r w:rsidRPr="00473C7B">
        <w:rPr>
          <w:rFonts w:cs="Arial"/>
          <w:bCs/>
          <w:szCs w:val="22"/>
        </w:rPr>
        <w:t xml:space="preserve">The U.S. Nuclear Regulatory Commission (NRC) is proposing to amend its regulations that govern low-level radioactive waste (LLRW) disposal facilities to require new and revised </w:t>
      </w:r>
    </w:p>
    <w:p w:rsidR="007B53EC" w:rsidRDefault="00E86E23" w:rsidP="00473C7B">
      <w:pPr>
        <w:rPr>
          <w:rFonts w:cs="Arial"/>
          <w:bCs/>
          <w:szCs w:val="22"/>
        </w:rPr>
      </w:pPr>
      <w:proofErr w:type="gramStart"/>
      <w:r w:rsidRPr="00473C7B">
        <w:rPr>
          <w:rFonts w:cs="Arial"/>
          <w:bCs/>
          <w:szCs w:val="22"/>
        </w:rPr>
        <w:t>site-specific</w:t>
      </w:r>
      <w:proofErr w:type="gramEnd"/>
      <w:r w:rsidRPr="00473C7B">
        <w:rPr>
          <w:rFonts w:cs="Arial"/>
          <w:bCs/>
          <w:szCs w:val="22"/>
        </w:rPr>
        <w:t xml:space="preserve"> technical analyses and to permit the development of criteria for LLRW acceptance based on the results of these analyses.  These amendments would ensure that LLRW streams that are significantly different from those considered during the development of the current regulations</w:t>
      </w:r>
      <w:r w:rsidR="00E378F0">
        <w:rPr>
          <w:rFonts w:cs="Arial"/>
          <w:bCs/>
          <w:szCs w:val="22"/>
        </w:rPr>
        <w:t xml:space="preserve"> (i.e., depleted uranium and other unanalyzed waste streams)</w:t>
      </w:r>
      <w:r w:rsidRPr="00473C7B">
        <w:rPr>
          <w:rFonts w:cs="Arial"/>
          <w:bCs/>
          <w:szCs w:val="22"/>
        </w:rPr>
        <w:t xml:space="preserve"> can be disposed of safely and meet the performance objectives for land disposal of LLRW.  These amendments would also increase the use of site-specific information to ensure </w:t>
      </w:r>
      <w:r w:rsidR="00121A06">
        <w:rPr>
          <w:rFonts w:cs="Arial"/>
          <w:bCs/>
          <w:szCs w:val="22"/>
        </w:rPr>
        <w:t xml:space="preserve">performance objectives are met that are designed to provide protection of </w:t>
      </w:r>
      <w:r w:rsidRPr="00473C7B">
        <w:rPr>
          <w:rFonts w:cs="Arial"/>
          <w:bCs/>
          <w:szCs w:val="22"/>
        </w:rPr>
        <w:t xml:space="preserve">public health and safety.  </w:t>
      </w:r>
    </w:p>
    <w:p w:rsidR="007B53EC" w:rsidRDefault="007B53EC" w:rsidP="00473C7B">
      <w:pPr>
        <w:rPr>
          <w:rFonts w:cs="Arial"/>
          <w:bCs/>
          <w:szCs w:val="22"/>
        </w:rPr>
      </w:pPr>
    </w:p>
    <w:p w:rsidR="00A8405E" w:rsidRDefault="00E86E23" w:rsidP="00473C7B">
      <w:pPr>
        <w:rPr>
          <w:rFonts w:cs="Arial"/>
          <w:bCs/>
          <w:szCs w:val="22"/>
        </w:rPr>
      </w:pPr>
      <w:r w:rsidRPr="00473C7B">
        <w:rPr>
          <w:rFonts w:cs="Arial"/>
          <w:bCs/>
          <w:szCs w:val="22"/>
        </w:rPr>
        <w:t>These amendments would</w:t>
      </w:r>
      <w:r w:rsidR="00A8405E">
        <w:rPr>
          <w:rFonts w:cs="Arial"/>
          <w:bCs/>
          <w:szCs w:val="22"/>
        </w:rPr>
        <w:t>:</w:t>
      </w:r>
    </w:p>
    <w:p w:rsidR="003F2445" w:rsidRDefault="003F2445" w:rsidP="00473C7B">
      <w:pPr>
        <w:rPr>
          <w:rFonts w:cs="Arial"/>
          <w:bCs/>
          <w:szCs w:val="22"/>
        </w:rPr>
      </w:pPr>
    </w:p>
    <w:p w:rsidR="00A8405E" w:rsidRDefault="00A8405E" w:rsidP="006E1318">
      <w:pPr>
        <w:pStyle w:val="ListParagraph"/>
        <w:numPr>
          <w:ilvl w:val="0"/>
          <w:numId w:val="25"/>
        </w:numPr>
        <w:rPr>
          <w:rFonts w:cs="Arial"/>
          <w:bCs/>
          <w:szCs w:val="22"/>
        </w:rPr>
      </w:pPr>
      <w:r>
        <w:rPr>
          <w:rFonts w:cs="Arial"/>
          <w:bCs/>
          <w:szCs w:val="22"/>
        </w:rPr>
        <w:t>R</w:t>
      </w:r>
      <w:r w:rsidR="00E86E23" w:rsidRPr="00A8405E">
        <w:rPr>
          <w:rFonts w:cs="Arial"/>
          <w:bCs/>
          <w:szCs w:val="22"/>
        </w:rPr>
        <w:t>evise the existing technical analysis for protection of the general population</w:t>
      </w:r>
      <w:r w:rsidR="00A96D0B" w:rsidRPr="00A8405E">
        <w:rPr>
          <w:rFonts w:cs="Arial"/>
          <w:bCs/>
          <w:szCs w:val="22"/>
        </w:rPr>
        <w:t xml:space="preserve"> to include a 1</w:t>
      </w:r>
      <w:r w:rsidR="00A96D0B" w:rsidRPr="00DA2177">
        <w:rPr>
          <w:rFonts w:cs="Arial"/>
          <w:bCs/>
          <w:szCs w:val="22"/>
        </w:rPr>
        <w:t>,000-</w:t>
      </w:r>
      <w:r w:rsidR="00E86E23" w:rsidRPr="00DA2177">
        <w:rPr>
          <w:rFonts w:cs="Arial"/>
          <w:bCs/>
          <w:szCs w:val="22"/>
        </w:rPr>
        <w:t>year compliance period</w:t>
      </w:r>
      <w:r>
        <w:rPr>
          <w:rFonts w:cs="Arial"/>
          <w:bCs/>
          <w:szCs w:val="22"/>
        </w:rPr>
        <w:t>.</w:t>
      </w:r>
    </w:p>
    <w:p w:rsidR="00A8405E" w:rsidRDefault="00A8405E" w:rsidP="006E1318">
      <w:pPr>
        <w:pStyle w:val="ListParagraph"/>
        <w:numPr>
          <w:ilvl w:val="0"/>
          <w:numId w:val="25"/>
        </w:numPr>
        <w:rPr>
          <w:rFonts w:cs="Arial"/>
          <w:bCs/>
          <w:szCs w:val="22"/>
        </w:rPr>
      </w:pPr>
      <w:r>
        <w:rPr>
          <w:rFonts w:cs="Arial"/>
          <w:bCs/>
          <w:szCs w:val="22"/>
        </w:rPr>
        <w:t>A</w:t>
      </w:r>
      <w:r w:rsidR="00E86E23" w:rsidRPr="00A8405E">
        <w:rPr>
          <w:rFonts w:cs="Arial"/>
          <w:bCs/>
          <w:szCs w:val="22"/>
        </w:rPr>
        <w:t>dd a new site-specific technical analysis for the protection of inadvertent intruders that would include a 1</w:t>
      </w:r>
      <w:r w:rsidR="009B0C70" w:rsidRPr="00A8405E">
        <w:rPr>
          <w:rFonts w:cs="Arial"/>
          <w:bCs/>
          <w:szCs w:val="22"/>
        </w:rPr>
        <w:t>,000</w:t>
      </w:r>
      <w:r w:rsidR="00EA4F08" w:rsidRPr="00DA2177">
        <w:rPr>
          <w:rFonts w:cs="Arial"/>
          <w:bCs/>
          <w:szCs w:val="22"/>
        </w:rPr>
        <w:t>-</w:t>
      </w:r>
      <w:r w:rsidR="00E86E23" w:rsidRPr="00DA2177">
        <w:rPr>
          <w:rFonts w:cs="Arial"/>
          <w:bCs/>
          <w:szCs w:val="22"/>
        </w:rPr>
        <w:t>year compliance period and a dose limit</w:t>
      </w:r>
      <w:r>
        <w:rPr>
          <w:rFonts w:cs="Arial"/>
          <w:bCs/>
          <w:szCs w:val="22"/>
        </w:rPr>
        <w:t>.</w:t>
      </w:r>
    </w:p>
    <w:p w:rsidR="00A8405E" w:rsidRDefault="00A8405E" w:rsidP="006E1318">
      <w:pPr>
        <w:pStyle w:val="ListParagraph"/>
        <w:numPr>
          <w:ilvl w:val="0"/>
          <w:numId w:val="25"/>
        </w:numPr>
        <w:rPr>
          <w:rFonts w:cs="Arial"/>
          <w:bCs/>
          <w:szCs w:val="22"/>
        </w:rPr>
      </w:pPr>
      <w:r>
        <w:rPr>
          <w:rFonts w:cs="Arial"/>
          <w:bCs/>
          <w:szCs w:val="22"/>
        </w:rPr>
        <w:t>A</w:t>
      </w:r>
      <w:r w:rsidR="00272E1D" w:rsidRPr="00A8405E">
        <w:rPr>
          <w:rFonts w:cs="Arial"/>
          <w:bCs/>
          <w:szCs w:val="22"/>
        </w:rPr>
        <w:t>dd new analys</w:t>
      </w:r>
      <w:r w:rsidR="00F96B17" w:rsidRPr="00A8405E">
        <w:rPr>
          <w:rFonts w:cs="Arial"/>
          <w:bCs/>
          <w:szCs w:val="22"/>
        </w:rPr>
        <w:t>e</w:t>
      </w:r>
      <w:r w:rsidR="00272E1D" w:rsidRPr="00A8405E">
        <w:rPr>
          <w:rFonts w:cs="Arial"/>
          <w:bCs/>
          <w:szCs w:val="22"/>
        </w:rPr>
        <w:t>s that would include a 10,</w:t>
      </w:r>
      <w:r w:rsidR="00F9233E" w:rsidRPr="00A8405E">
        <w:rPr>
          <w:rFonts w:cs="Arial"/>
          <w:bCs/>
          <w:szCs w:val="22"/>
        </w:rPr>
        <w:t>000</w:t>
      </w:r>
      <w:r w:rsidR="00F9233E">
        <w:rPr>
          <w:rFonts w:cs="Arial"/>
          <w:bCs/>
          <w:szCs w:val="22"/>
        </w:rPr>
        <w:t>-</w:t>
      </w:r>
      <w:r w:rsidR="00272E1D" w:rsidRPr="00A8405E">
        <w:rPr>
          <w:rFonts w:cs="Arial"/>
          <w:bCs/>
          <w:szCs w:val="22"/>
        </w:rPr>
        <w:t xml:space="preserve">year protective assurance period and </w:t>
      </w:r>
      <w:r w:rsidR="00272E1D" w:rsidRPr="00DA2177">
        <w:rPr>
          <w:rFonts w:cs="Arial"/>
          <w:bCs/>
          <w:szCs w:val="22"/>
        </w:rPr>
        <w:t>annual dose</w:t>
      </w:r>
      <w:r w:rsidR="00822F8C">
        <w:rPr>
          <w:rFonts w:cs="Arial"/>
          <w:bCs/>
          <w:szCs w:val="22"/>
        </w:rPr>
        <w:t xml:space="preserve"> minimization target</w:t>
      </w:r>
      <w:r>
        <w:rPr>
          <w:rFonts w:cs="Arial"/>
          <w:bCs/>
          <w:szCs w:val="22"/>
        </w:rPr>
        <w:t>.</w:t>
      </w:r>
    </w:p>
    <w:p w:rsidR="00A8405E" w:rsidRDefault="00A8405E" w:rsidP="006E1318">
      <w:pPr>
        <w:pStyle w:val="ListParagraph"/>
        <w:numPr>
          <w:ilvl w:val="0"/>
          <w:numId w:val="25"/>
        </w:numPr>
        <w:rPr>
          <w:rFonts w:cs="Arial"/>
          <w:bCs/>
          <w:szCs w:val="22"/>
        </w:rPr>
      </w:pPr>
      <w:r>
        <w:rPr>
          <w:rFonts w:cs="Arial"/>
          <w:bCs/>
          <w:szCs w:val="22"/>
        </w:rPr>
        <w:t>A</w:t>
      </w:r>
      <w:r w:rsidR="00E86E23" w:rsidRPr="00A8405E">
        <w:rPr>
          <w:rFonts w:cs="Arial"/>
          <w:bCs/>
          <w:szCs w:val="22"/>
        </w:rPr>
        <w:t>dd a new analysis for certain long-lived LLRW that would include a post-10,</w:t>
      </w:r>
      <w:r w:rsidR="00C0276D" w:rsidRPr="00A8405E">
        <w:rPr>
          <w:rFonts w:cs="Arial"/>
          <w:bCs/>
          <w:szCs w:val="22"/>
        </w:rPr>
        <w:t>000-</w:t>
      </w:r>
      <w:r w:rsidR="00E86E23" w:rsidRPr="00A8405E">
        <w:rPr>
          <w:rFonts w:cs="Arial"/>
          <w:bCs/>
          <w:szCs w:val="22"/>
        </w:rPr>
        <w:t>year performance period</w:t>
      </w:r>
      <w:r>
        <w:rPr>
          <w:rFonts w:cs="Arial"/>
          <w:bCs/>
          <w:szCs w:val="22"/>
        </w:rPr>
        <w:t>.</w:t>
      </w:r>
    </w:p>
    <w:p w:rsidR="00A8405E" w:rsidRDefault="00A8405E" w:rsidP="006E1318">
      <w:pPr>
        <w:pStyle w:val="ListParagraph"/>
        <w:numPr>
          <w:ilvl w:val="0"/>
          <w:numId w:val="25"/>
        </w:numPr>
        <w:rPr>
          <w:rFonts w:cs="Arial"/>
          <w:bCs/>
          <w:szCs w:val="22"/>
        </w:rPr>
      </w:pPr>
      <w:r>
        <w:rPr>
          <w:rFonts w:cs="Arial"/>
          <w:bCs/>
          <w:szCs w:val="22"/>
        </w:rPr>
        <w:t>A</w:t>
      </w:r>
      <w:r w:rsidR="00504693" w:rsidRPr="00A8405E">
        <w:rPr>
          <w:rFonts w:cs="Arial"/>
          <w:bCs/>
          <w:szCs w:val="22"/>
        </w:rPr>
        <w:t xml:space="preserve">dd </w:t>
      </w:r>
      <w:r w:rsidRPr="00A8405E">
        <w:rPr>
          <w:rFonts w:cs="Arial"/>
          <w:bCs/>
          <w:szCs w:val="22"/>
        </w:rPr>
        <w:t>new analyses</w:t>
      </w:r>
      <w:r w:rsidR="00504693" w:rsidRPr="00A8405E">
        <w:rPr>
          <w:rFonts w:cs="Arial"/>
          <w:bCs/>
          <w:szCs w:val="22"/>
        </w:rPr>
        <w:t xml:space="preserve"> that would identify and describe the features of the design and site </w:t>
      </w:r>
      <w:r w:rsidR="00C16359" w:rsidRPr="00DA2177">
        <w:rPr>
          <w:rFonts w:cs="Arial"/>
          <w:bCs/>
          <w:szCs w:val="22"/>
        </w:rPr>
        <w:t>characteristics</w:t>
      </w:r>
      <w:r w:rsidR="00504693" w:rsidRPr="00DA2177">
        <w:rPr>
          <w:rFonts w:cs="Arial"/>
          <w:bCs/>
          <w:szCs w:val="22"/>
        </w:rPr>
        <w:t xml:space="preserve"> that provide </w:t>
      </w:r>
      <w:r w:rsidR="00F9233E" w:rsidRPr="00DA2177">
        <w:rPr>
          <w:rFonts w:cs="Arial"/>
          <w:bCs/>
          <w:szCs w:val="22"/>
        </w:rPr>
        <w:t>defense</w:t>
      </w:r>
      <w:r w:rsidR="00F9233E">
        <w:rPr>
          <w:rFonts w:cs="Arial"/>
          <w:bCs/>
          <w:szCs w:val="22"/>
        </w:rPr>
        <w:t>-</w:t>
      </w:r>
      <w:r w:rsidR="00F9233E" w:rsidRPr="00DA2177">
        <w:rPr>
          <w:rFonts w:cs="Arial"/>
          <w:bCs/>
          <w:szCs w:val="22"/>
        </w:rPr>
        <w:t>in</w:t>
      </w:r>
      <w:r w:rsidR="00F9233E">
        <w:rPr>
          <w:rFonts w:cs="Arial"/>
          <w:bCs/>
          <w:szCs w:val="22"/>
        </w:rPr>
        <w:t>-</w:t>
      </w:r>
      <w:r w:rsidR="00504693" w:rsidRPr="00DA2177">
        <w:rPr>
          <w:rFonts w:cs="Arial"/>
          <w:bCs/>
          <w:szCs w:val="22"/>
        </w:rPr>
        <w:t>depth protection</w:t>
      </w:r>
      <w:r>
        <w:rPr>
          <w:rFonts w:cs="Arial"/>
          <w:bCs/>
          <w:szCs w:val="22"/>
        </w:rPr>
        <w:t xml:space="preserve">.  </w:t>
      </w:r>
    </w:p>
    <w:p w:rsidR="00A8405E" w:rsidRDefault="00A8405E" w:rsidP="006E1318">
      <w:pPr>
        <w:pStyle w:val="ListParagraph"/>
        <w:numPr>
          <w:ilvl w:val="0"/>
          <w:numId w:val="25"/>
        </w:numPr>
        <w:ind w:left="720" w:hanging="270"/>
        <w:rPr>
          <w:rFonts w:cs="Arial"/>
          <w:bCs/>
          <w:szCs w:val="22"/>
        </w:rPr>
      </w:pPr>
      <w:r w:rsidRPr="00A8405E">
        <w:rPr>
          <w:rFonts w:cs="Arial"/>
          <w:bCs/>
          <w:szCs w:val="22"/>
        </w:rPr>
        <w:t xml:space="preserve">Add </w:t>
      </w:r>
      <w:r w:rsidR="00E01742" w:rsidRPr="00A8405E">
        <w:rPr>
          <w:rFonts w:cs="Arial"/>
          <w:bCs/>
          <w:szCs w:val="22"/>
        </w:rPr>
        <w:t xml:space="preserve">a requirement to </w:t>
      </w:r>
      <w:r w:rsidR="00EA4F08" w:rsidRPr="00A8405E">
        <w:rPr>
          <w:rFonts w:cs="Arial"/>
          <w:bCs/>
          <w:szCs w:val="22"/>
        </w:rPr>
        <w:t xml:space="preserve">update </w:t>
      </w:r>
      <w:r w:rsidR="00E86E23" w:rsidRPr="00A8405E">
        <w:rPr>
          <w:rFonts w:cs="Arial"/>
          <w:bCs/>
          <w:szCs w:val="22"/>
        </w:rPr>
        <w:t>the technical analyses</w:t>
      </w:r>
      <w:r w:rsidR="00E01742" w:rsidRPr="00DA2177">
        <w:rPr>
          <w:rFonts w:cs="Arial"/>
          <w:bCs/>
          <w:szCs w:val="22"/>
        </w:rPr>
        <w:t xml:space="preserve"> at closure</w:t>
      </w:r>
      <w:r w:rsidR="00E86E23" w:rsidRPr="00DA2177">
        <w:rPr>
          <w:rFonts w:cs="Arial"/>
          <w:bCs/>
          <w:szCs w:val="22"/>
        </w:rPr>
        <w:t xml:space="preserve">.  </w:t>
      </w:r>
    </w:p>
    <w:p w:rsidR="00A8405E" w:rsidRDefault="00A8405E" w:rsidP="006E1318">
      <w:pPr>
        <w:pStyle w:val="ListParagraph"/>
        <w:numPr>
          <w:ilvl w:val="0"/>
          <w:numId w:val="25"/>
        </w:numPr>
        <w:ind w:left="720" w:hanging="270"/>
        <w:rPr>
          <w:rFonts w:cs="Arial"/>
          <w:bCs/>
          <w:szCs w:val="22"/>
        </w:rPr>
      </w:pPr>
      <w:r>
        <w:rPr>
          <w:rFonts w:cs="Arial"/>
          <w:bCs/>
          <w:szCs w:val="22"/>
        </w:rPr>
        <w:t>Add a</w:t>
      </w:r>
      <w:r w:rsidR="00E86E23" w:rsidRPr="00A8405E">
        <w:rPr>
          <w:rFonts w:cs="Arial"/>
          <w:bCs/>
          <w:szCs w:val="22"/>
        </w:rPr>
        <w:t xml:space="preserve"> new requirement to develop </w:t>
      </w:r>
      <w:r w:rsidR="00F9233E" w:rsidRPr="00A8405E">
        <w:rPr>
          <w:rFonts w:cs="Arial"/>
          <w:bCs/>
          <w:szCs w:val="22"/>
        </w:rPr>
        <w:t>site</w:t>
      </w:r>
      <w:r w:rsidR="00F9233E">
        <w:rPr>
          <w:rFonts w:cs="Arial"/>
          <w:bCs/>
          <w:szCs w:val="22"/>
        </w:rPr>
        <w:t>-</w:t>
      </w:r>
      <w:r w:rsidR="00F96B17" w:rsidRPr="00A8405E">
        <w:rPr>
          <w:rFonts w:cs="Arial"/>
          <w:bCs/>
          <w:szCs w:val="22"/>
        </w:rPr>
        <w:t xml:space="preserve">specific </w:t>
      </w:r>
      <w:r w:rsidR="00E86E23" w:rsidRPr="00A8405E">
        <w:rPr>
          <w:rFonts w:cs="Arial"/>
          <w:bCs/>
          <w:szCs w:val="22"/>
        </w:rPr>
        <w:t xml:space="preserve">criteria for the acceptance of LLRW for disposal, based on either the results of these technical analyses or the existing LLRW classification requirements. </w:t>
      </w:r>
    </w:p>
    <w:p w:rsidR="00A8405E" w:rsidRDefault="00A8405E" w:rsidP="00A8405E">
      <w:pPr>
        <w:pStyle w:val="ListParagraph"/>
        <w:ind w:left="0"/>
        <w:rPr>
          <w:rFonts w:cs="Arial"/>
          <w:bCs/>
          <w:szCs w:val="22"/>
        </w:rPr>
      </w:pPr>
    </w:p>
    <w:p w:rsidR="00FB0538" w:rsidRPr="00A8405E" w:rsidRDefault="00E86E23" w:rsidP="00A8405E">
      <w:pPr>
        <w:pStyle w:val="ListParagraph"/>
        <w:ind w:left="0"/>
        <w:rPr>
          <w:rFonts w:cs="Arial"/>
          <w:bCs/>
          <w:szCs w:val="22"/>
        </w:rPr>
      </w:pPr>
      <w:r w:rsidRPr="00A8405E">
        <w:rPr>
          <w:rFonts w:cs="Arial"/>
          <w:bCs/>
          <w:szCs w:val="22"/>
        </w:rPr>
        <w:t>Additionally, the NRC is proposing</w:t>
      </w:r>
      <w:r w:rsidR="00184DA6" w:rsidRPr="00A8405E">
        <w:rPr>
          <w:rFonts w:cs="Arial"/>
          <w:bCs/>
          <w:szCs w:val="22"/>
        </w:rPr>
        <w:t xml:space="preserve"> </w:t>
      </w:r>
      <w:r w:rsidRPr="00A8405E">
        <w:rPr>
          <w:rFonts w:cs="Arial"/>
          <w:bCs/>
          <w:szCs w:val="22"/>
        </w:rPr>
        <w:t>amendments to facilitate implementation and better align the requirements with current health and safety standards.  This rule would affect LLRW disposal licensees or license applicants that are regulated by the NRC or the Agreement States.</w:t>
      </w:r>
    </w:p>
    <w:p w:rsidR="00C9580D" w:rsidRPr="00473C7B" w:rsidRDefault="00C9580D" w:rsidP="00473C7B">
      <w:pPr>
        <w:rPr>
          <w:rFonts w:cs="Arial"/>
          <w:bCs/>
          <w:szCs w:val="22"/>
        </w:rPr>
      </w:pPr>
    </w:p>
    <w:p w:rsidR="00FB0538" w:rsidRPr="00473C7B" w:rsidRDefault="00967B61" w:rsidP="00473C7B">
      <w:pPr>
        <w:rPr>
          <w:rFonts w:cs="Arial"/>
          <w:szCs w:val="22"/>
        </w:rPr>
      </w:pPr>
      <w:r w:rsidRPr="00473C7B">
        <w:rPr>
          <w:rFonts w:cs="Arial"/>
          <w:szCs w:val="22"/>
        </w:rPr>
        <w:t>This</w:t>
      </w:r>
      <w:r w:rsidR="00FB0538" w:rsidRPr="00473C7B">
        <w:rPr>
          <w:rFonts w:cs="Arial"/>
          <w:szCs w:val="22"/>
        </w:rPr>
        <w:t xml:space="preserve"> </w:t>
      </w:r>
      <w:r w:rsidRPr="00473C7B">
        <w:rPr>
          <w:rFonts w:cs="Arial"/>
          <w:szCs w:val="22"/>
        </w:rPr>
        <w:t xml:space="preserve">regulatory </w:t>
      </w:r>
      <w:r w:rsidR="00FB0538" w:rsidRPr="00473C7B">
        <w:rPr>
          <w:rFonts w:cs="Arial"/>
          <w:szCs w:val="22"/>
        </w:rPr>
        <w:t>analysis examines the benefits and costs of the proposed requirements.</w:t>
      </w:r>
      <w:r w:rsidR="00626E98" w:rsidRPr="00473C7B">
        <w:rPr>
          <w:rFonts w:cs="Arial"/>
          <w:szCs w:val="22"/>
        </w:rPr>
        <w:t xml:space="preserve"> </w:t>
      </w:r>
      <w:r w:rsidR="00FB0538" w:rsidRPr="00473C7B">
        <w:rPr>
          <w:rFonts w:cs="Arial"/>
          <w:szCs w:val="22"/>
        </w:rPr>
        <w:t xml:space="preserve"> The ke</w:t>
      </w:r>
      <w:r w:rsidRPr="00473C7B">
        <w:rPr>
          <w:rFonts w:cs="Arial"/>
          <w:szCs w:val="22"/>
        </w:rPr>
        <w:t>y findings of the</w:t>
      </w:r>
      <w:r w:rsidR="00FB0538" w:rsidRPr="00473C7B">
        <w:rPr>
          <w:rFonts w:cs="Arial"/>
          <w:szCs w:val="22"/>
        </w:rPr>
        <w:t xml:space="preserve"> analysis are as follows:</w:t>
      </w:r>
    </w:p>
    <w:p w:rsidR="00FB0538" w:rsidRPr="00473C7B" w:rsidRDefault="00FB0538" w:rsidP="00473C7B">
      <w:pPr>
        <w:rPr>
          <w:rFonts w:cs="Arial"/>
          <w:szCs w:val="22"/>
        </w:rPr>
      </w:pPr>
    </w:p>
    <w:p w:rsidR="00DC56DE" w:rsidRPr="00473C7B" w:rsidRDefault="00FB0538" w:rsidP="00057690">
      <w:pPr>
        <w:numPr>
          <w:ilvl w:val="0"/>
          <w:numId w:val="1"/>
        </w:numPr>
        <w:autoSpaceDE w:val="0"/>
        <w:autoSpaceDN w:val="0"/>
        <w:adjustRightInd w:val="0"/>
        <w:rPr>
          <w:rFonts w:cs="Arial"/>
          <w:szCs w:val="22"/>
        </w:rPr>
      </w:pPr>
      <w:r w:rsidRPr="00473C7B">
        <w:rPr>
          <w:rFonts w:cs="Arial"/>
          <w:b/>
          <w:szCs w:val="22"/>
        </w:rPr>
        <w:t>Cost to the</w:t>
      </w:r>
      <w:r w:rsidR="000012BD" w:rsidRPr="00473C7B">
        <w:rPr>
          <w:rFonts w:cs="Arial"/>
          <w:b/>
          <w:szCs w:val="22"/>
        </w:rPr>
        <w:t xml:space="preserve"> Industry</w:t>
      </w:r>
      <w:r w:rsidRPr="00473C7B">
        <w:rPr>
          <w:rFonts w:cs="Arial"/>
          <w:szCs w:val="22"/>
        </w:rPr>
        <w:t xml:space="preserve">.  The proposed rule would result in </w:t>
      </w:r>
      <w:r w:rsidR="003F2445">
        <w:rPr>
          <w:rFonts w:cs="Arial"/>
          <w:szCs w:val="22"/>
        </w:rPr>
        <w:t xml:space="preserve">an average </w:t>
      </w:r>
      <w:r w:rsidR="00B26C2F">
        <w:rPr>
          <w:rFonts w:cs="Arial"/>
          <w:szCs w:val="22"/>
        </w:rPr>
        <w:t xml:space="preserve">undiscounted </w:t>
      </w:r>
      <w:r w:rsidR="003F2445">
        <w:rPr>
          <w:rFonts w:cs="Arial"/>
          <w:szCs w:val="22"/>
        </w:rPr>
        <w:t xml:space="preserve">implementation cost per licensee of </w:t>
      </w:r>
      <w:r w:rsidR="00984341" w:rsidRPr="00473C7B">
        <w:rPr>
          <w:rFonts w:cs="Arial"/>
          <w:szCs w:val="22"/>
        </w:rPr>
        <w:t xml:space="preserve">an </w:t>
      </w:r>
      <w:r w:rsidR="00967B61" w:rsidRPr="00473C7B">
        <w:rPr>
          <w:rFonts w:cs="Arial"/>
          <w:szCs w:val="22"/>
        </w:rPr>
        <w:t xml:space="preserve">estimated </w:t>
      </w:r>
      <w:r w:rsidR="00984341" w:rsidRPr="00473C7B">
        <w:rPr>
          <w:rFonts w:cs="Arial"/>
          <w:szCs w:val="22"/>
        </w:rPr>
        <w:t>$</w:t>
      </w:r>
      <w:r w:rsidR="00AC750B">
        <w:rPr>
          <w:rFonts w:cs="Arial"/>
          <w:szCs w:val="22"/>
        </w:rPr>
        <w:t>1,000,000</w:t>
      </w:r>
      <w:r w:rsidR="00967B61" w:rsidRPr="00473C7B">
        <w:rPr>
          <w:rFonts w:cs="Arial"/>
          <w:szCs w:val="22"/>
        </w:rPr>
        <w:t xml:space="preserve">, </w:t>
      </w:r>
      <w:r w:rsidR="00984341" w:rsidRPr="00473C7B">
        <w:rPr>
          <w:rFonts w:cs="Arial"/>
          <w:szCs w:val="22"/>
        </w:rPr>
        <w:t>followed by a</w:t>
      </w:r>
      <w:r w:rsidR="00B73079" w:rsidRPr="00473C7B">
        <w:rPr>
          <w:rFonts w:cs="Arial"/>
          <w:szCs w:val="22"/>
        </w:rPr>
        <w:t>n</w:t>
      </w:r>
      <w:r w:rsidR="00984341" w:rsidRPr="00473C7B">
        <w:rPr>
          <w:rFonts w:cs="Arial"/>
          <w:szCs w:val="22"/>
        </w:rPr>
        <w:t xml:space="preserve"> </w:t>
      </w:r>
      <w:r w:rsidR="00967B61" w:rsidRPr="00473C7B">
        <w:rPr>
          <w:rFonts w:cs="Arial"/>
          <w:szCs w:val="22"/>
        </w:rPr>
        <w:t xml:space="preserve">estimated </w:t>
      </w:r>
      <w:r w:rsidR="00B26C2F">
        <w:rPr>
          <w:rFonts w:cs="Arial"/>
          <w:szCs w:val="22"/>
        </w:rPr>
        <w:t xml:space="preserve">undiscounted </w:t>
      </w:r>
      <w:r w:rsidR="00984341" w:rsidRPr="00473C7B">
        <w:rPr>
          <w:rFonts w:cs="Arial"/>
          <w:szCs w:val="22"/>
        </w:rPr>
        <w:t>annual cost of $</w:t>
      </w:r>
      <w:r w:rsidR="009676E6">
        <w:rPr>
          <w:rFonts w:cs="Arial"/>
          <w:szCs w:val="22"/>
        </w:rPr>
        <w:t>4</w:t>
      </w:r>
      <w:r w:rsidR="005E6D49" w:rsidRPr="00473C7B">
        <w:rPr>
          <w:rFonts w:cs="Arial"/>
          <w:szCs w:val="22"/>
        </w:rPr>
        <w:t>,000</w:t>
      </w:r>
      <w:r w:rsidR="00984341" w:rsidRPr="00473C7B">
        <w:rPr>
          <w:rFonts w:cs="Arial"/>
          <w:szCs w:val="22"/>
        </w:rPr>
        <w:t xml:space="preserve">.  </w:t>
      </w:r>
      <w:r w:rsidR="00E01742" w:rsidRPr="00473C7B">
        <w:rPr>
          <w:rFonts w:cs="Arial"/>
          <w:szCs w:val="22"/>
        </w:rPr>
        <w:t>Overall, t</w:t>
      </w:r>
      <w:r w:rsidR="00B73079" w:rsidRPr="00473C7B">
        <w:rPr>
          <w:rFonts w:cs="Arial"/>
          <w:szCs w:val="22"/>
        </w:rPr>
        <w:t>he industry</w:t>
      </w:r>
      <w:r w:rsidR="00967B61" w:rsidRPr="00473C7B">
        <w:rPr>
          <w:rFonts w:cs="Arial"/>
          <w:szCs w:val="22"/>
        </w:rPr>
        <w:t xml:space="preserve"> </w:t>
      </w:r>
      <w:r w:rsidR="00B73079" w:rsidRPr="00473C7B">
        <w:rPr>
          <w:rFonts w:cs="Arial"/>
          <w:szCs w:val="22"/>
        </w:rPr>
        <w:t xml:space="preserve">will incur </w:t>
      </w:r>
      <w:r w:rsidR="00603921" w:rsidRPr="00473C7B">
        <w:rPr>
          <w:rFonts w:cs="Arial"/>
          <w:szCs w:val="22"/>
        </w:rPr>
        <w:t xml:space="preserve">an </w:t>
      </w:r>
      <w:r w:rsidR="00967B61" w:rsidRPr="00473C7B">
        <w:rPr>
          <w:rFonts w:cs="Arial"/>
          <w:szCs w:val="22"/>
        </w:rPr>
        <w:t xml:space="preserve">estimated </w:t>
      </w:r>
      <w:r w:rsidR="00B26C2F">
        <w:rPr>
          <w:rFonts w:cs="Arial"/>
          <w:szCs w:val="22"/>
        </w:rPr>
        <w:t xml:space="preserve">undiscounted </w:t>
      </w:r>
      <w:r w:rsidR="00967B61" w:rsidRPr="00473C7B">
        <w:rPr>
          <w:rFonts w:cs="Arial"/>
          <w:szCs w:val="22"/>
        </w:rPr>
        <w:t xml:space="preserve">implementation cost of </w:t>
      </w:r>
      <w:r w:rsidR="00603921" w:rsidRPr="00473C7B">
        <w:rPr>
          <w:rFonts w:cs="Arial"/>
          <w:szCs w:val="22"/>
        </w:rPr>
        <w:t>$</w:t>
      </w:r>
      <w:r w:rsidR="00AC750B">
        <w:rPr>
          <w:rFonts w:cs="Arial"/>
          <w:szCs w:val="22"/>
        </w:rPr>
        <w:t>4.0</w:t>
      </w:r>
      <w:r w:rsidR="00603921" w:rsidRPr="00473C7B">
        <w:rPr>
          <w:rFonts w:cs="Arial"/>
          <w:szCs w:val="22"/>
        </w:rPr>
        <w:t xml:space="preserve"> million</w:t>
      </w:r>
      <w:r w:rsidR="00967B61" w:rsidRPr="00473C7B">
        <w:rPr>
          <w:rFonts w:cs="Arial"/>
          <w:szCs w:val="22"/>
        </w:rPr>
        <w:t>,</w:t>
      </w:r>
      <w:r w:rsidR="00603921" w:rsidRPr="00473C7B">
        <w:rPr>
          <w:rFonts w:cs="Arial"/>
          <w:szCs w:val="22"/>
        </w:rPr>
        <w:t xml:space="preserve"> followed by an </w:t>
      </w:r>
      <w:r w:rsidR="00967B61" w:rsidRPr="00473C7B">
        <w:rPr>
          <w:rFonts w:cs="Arial"/>
          <w:szCs w:val="22"/>
        </w:rPr>
        <w:t xml:space="preserve">estimated </w:t>
      </w:r>
      <w:r w:rsidR="00603921" w:rsidRPr="00473C7B">
        <w:rPr>
          <w:rFonts w:cs="Arial"/>
          <w:szCs w:val="22"/>
        </w:rPr>
        <w:t>annual cost of $</w:t>
      </w:r>
      <w:r w:rsidR="007D2E8A" w:rsidRPr="00473C7B">
        <w:rPr>
          <w:rFonts w:cs="Arial"/>
          <w:szCs w:val="22"/>
        </w:rPr>
        <w:t>16,000</w:t>
      </w:r>
      <w:r w:rsidR="00603921" w:rsidRPr="00473C7B">
        <w:rPr>
          <w:rFonts w:cs="Arial"/>
          <w:szCs w:val="22"/>
        </w:rPr>
        <w:t>.</w:t>
      </w:r>
    </w:p>
    <w:p w:rsidR="00B50506" w:rsidRPr="00473C7B" w:rsidRDefault="00B50506" w:rsidP="00473C7B">
      <w:pPr>
        <w:autoSpaceDE w:val="0"/>
        <w:autoSpaceDN w:val="0"/>
        <w:adjustRightInd w:val="0"/>
        <w:ind w:left="1440"/>
        <w:rPr>
          <w:rFonts w:cs="Arial"/>
          <w:i/>
          <w:szCs w:val="22"/>
        </w:rPr>
      </w:pPr>
    </w:p>
    <w:p w:rsidR="00DC56DE" w:rsidRDefault="00EB0768" w:rsidP="00473C7B">
      <w:pPr>
        <w:numPr>
          <w:ilvl w:val="0"/>
          <w:numId w:val="1"/>
        </w:numPr>
        <w:autoSpaceDE w:val="0"/>
        <w:autoSpaceDN w:val="0"/>
        <w:adjustRightInd w:val="0"/>
        <w:rPr>
          <w:rFonts w:cs="Arial"/>
          <w:szCs w:val="22"/>
        </w:rPr>
      </w:pPr>
      <w:r w:rsidRPr="00473C7B">
        <w:rPr>
          <w:rFonts w:cs="Arial"/>
          <w:b/>
          <w:szCs w:val="22"/>
        </w:rPr>
        <w:t>Cost to the Agreement States</w:t>
      </w:r>
      <w:r w:rsidRPr="00473C7B">
        <w:rPr>
          <w:rFonts w:cs="Arial"/>
          <w:szCs w:val="22"/>
        </w:rPr>
        <w:t>.  The proposed rule would result in additional cost</w:t>
      </w:r>
      <w:r w:rsidR="00967B61" w:rsidRPr="00473C7B">
        <w:rPr>
          <w:rFonts w:cs="Arial"/>
          <w:szCs w:val="22"/>
        </w:rPr>
        <w:t>s</w:t>
      </w:r>
      <w:r w:rsidRPr="00473C7B">
        <w:rPr>
          <w:rFonts w:cs="Arial"/>
          <w:szCs w:val="22"/>
        </w:rPr>
        <w:t xml:space="preserve"> to the Agreement States</w:t>
      </w:r>
      <w:r w:rsidR="00967B61" w:rsidRPr="00473C7B">
        <w:rPr>
          <w:rFonts w:cs="Arial"/>
          <w:szCs w:val="22"/>
        </w:rPr>
        <w:t xml:space="preserve"> with </w:t>
      </w:r>
      <w:r w:rsidR="008704CD" w:rsidRPr="00473C7B">
        <w:rPr>
          <w:rFonts w:cs="Arial"/>
          <w:szCs w:val="22"/>
        </w:rPr>
        <w:t xml:space="preserve">all costs </w:t>
      </w:r>
      <w:r w:rsidR="00222719" w:rsidRPr="00473C7B">
        <w:rPr>
          <w:rFonts w:cs="Arial"/>
          <w:szCs w:val="22"/>
        </w:rPr>
        <w:t xml:space="preserve">resulting from </w:t>
      </w:r>
      <w:r w:rsidR="00967B61" w:rsidRPr="00473C7B">
        <w:rPr>
          <w:rFonts w:cs="Arial"/>
          <w:szCs w:val="22"/>
        </w:rPr>
        <w:t>implementation</w:t>
      </w:r>
      <w:r w:rsidR="00F86D73" w:rsidRPr="00473C7B">
        <w:rPr>
          <w:rFonts w:cs="Arial"/>
          <w:szCs w:val="22"/>
        </w:rPr>
        <w:t xml:space="preserve">. </w:t>
      </w:r>
      <w:r w:rsidR="00422182" w:rsidRPr="00473C7B">
        <w:rPr>
          <w:rFonts w:cs="Arial"/>
          <w:szCs w:val="22"/>
        </w:rPr>
        <w:t xml:space="preserve"> </w:t>
      </w:r>
      <w:r w:rsidR="004734FA" w:rsidRPr="00473C7B">
        <w:rPr>
          <w:rFonts w:cs="Arial"/>
          <w:szCs w:val="22"/>
        </w:rPr>
        <w:t>On average</w:t>
      </w:r>
      <w:r w:rsidR="001D189D" w:rsidRPr="00473C7B">
        <w:rPr>
          <w:rFonts w:cs="Arial"/>
          <w:szCs w:val="22"/>
        </w:rPr>
        <w:t>,</w:t>
      </w:r>
      <w:r w:rsidR="00F86D73" w:rsidRPr="00473C7B">
        <w:rPr>
          <w:rFonts w:cs="Arial"/>
          <w:szCs w:val="22"/>
        </w:rPr>
        <w:t xml:space="preserve"> </w:t>
      </w:r>
      <w:r w:rsidR="000012BD" w:rsidRPr="00473C7B">
        <w:rPr>
          <w:rFonts w:cs="Arial"/>
          <w:szCs w:val="22"/>
        </w:rPr>
        <w:t>each</w:t>
      </w:r>
      <w:r w:rsidR="00967B61" w:rsidRPr="00473C7B">
        <w:rPr>
          <w:rFonts w:cs="Arial"/>
          <w:szCs w:val="22"/>
        </w:rPr>
        <w:t xml:space="preserve"> Agreement State</w:t>
      </w:r>
      <w:r w:rsidR="00F86D73" w:rsidRPr="00473C7B">
        <w:rPr>
          <w:rFonts w:cs="Arial"/>
          <w:szCs w:val="22"/>
        </w:rPr>
        <w:t xml:space="preserve"> would incur a</w:t>
      </w:r>
      <w:r w:rsidR="00967B61" w:rsidRPr="00473C7B">
        <w:rPr>
          <w:rFonts w:cs="Arial"/>
          <w:szCs w:val="22"/>
        </w:rPr>
        <w:t>n estimated</w:t>
      </w:r>
      <w:r w:rsidR="00F86D73" w:rsidRPr="00473C7B">
        <w:rPr>
          <w:rFonts w:cs="Arial"/>
          <w:szCs w:val="22"/>
        </w:rPr>
        <w:t xml:space="preserve"> </w:t>
      </w:r>
      <w:r w:rsidR="00B26C2F">
        <w:rPr>
          <w:rFonts w:cs="Arial"/>
          <w:szCs w:val="22"/>
        </w:rPr>
        <w:t xml:space="preserve">undiscounted </w:t>
      </w:r>
      <w:r w:rsidR="00967B61" w:rsidRPr="00473C7B">
        <w:rPr>
          <w:rFonts w:cs="Arial"/>
          <w:szCs w:val="22"/>
        </w:rPr>
        <w:t>implementation</w:t>
      </w:r>
      <w:r w:rsidR="00F86D73" w:rsidRPr="00473C7B">
        <w:rPr>
          <w:rFonts w:cs="Arial"/>
          <w:szCs w:val="22"/>
        </w:rPr>
        <w:t xml:space="preserve"> cost of </w:t>
      </w:r>
      <w:r w:rsidR="005E6D49" w:rsidRPr="00473C7B">
        <w:rPr>
          <w:rFonts w:cs="Arial"/>
          <w:szCs w:val="22"/>
        </w:rPr>
        <w:t>$</w:t>
      </w:r>
      <w:r w:rsidR="00AC750B">
        <w:rPr>
          <w:rFonts w:cs="Arial"/>
          <w:szCs w:val="22"/>
        </w:rPr>
        <w:t>525</w:t>
      </w:r>
      <w:r w:rsidR="007D2E8A" w:rsidRPr="00473C7B">
        <w:rPr>
          <w:rFonts w:cs="Arial"/>
          <w:szCs w:val="22"/>
        </w:rPr>
        <w:t>,</w:t>
      </w:r>
      <w:r w:rsidR="00E06B50">
        <w:rPr>
          <w:rFonts w:cs="Arial"/>
          <w:szCs w:val="22"/>
        </w:rPr>
        <w:t>000</w:t>
      </w:r>
      <w:r w:rsidR="007D2E8A" w:rsidRPr="00473C7B">
        <w:rPr>
          <w:rFonts w:cs="Arial"/>
          <w:szCs w:val="22"/>
        </w:rPr>
        <w:t>.</w:t>
      </w:r>
      <w:r w:rsidR="00626E98" w:rsidRPr="00473C7B">
        <w:rPr>
          <w:rFonts w:cs="Arial"/>
          <w:szCs w:val="22"/>
        </w:rPr>
        <w:t xml:space="preserve"> </w:t>
      </w:r>
      <w:r w:rsidR="007621D3" w:rsidRPr="00473C7B">
        <w:rPr>
          <w:rFonts w:cs="Arial"/>
          <w:szCs w:val="22"/>
        </w:rPr>
        <w:t xml:space="preserve"> </w:t>
      </w:r>
      <w:r w:rsidR="00CE70AB" w:rsidRPr="00473C7B">
        <w:rPr>
          <w:rFonts w:cs="Arial"/>
          <w:szCs w:val="22"/>
        </w:rPr>
        <w:t>Overall, t</w:t>
      </w:r>
      <w:r w:rsidR="004914D1" w:rsidRPr="00473C7B">
        <w:rPr>
          <w:rFonts w:cs="Arial"/>
          <w:szCs w:val="22"/>
        </w:rPr>
        <w:t xml:space="preserve">he Agreement States will incur an estimated </w:t>
      </w:r>
      <w:r w:rsidR="00B26C2F">
        <w:rPr>
          <w:rFonts w:cs="Arial"/>
          <w:szCs w:val="22"/>
        </w:rPr>
        <w:t xml:space="preserve">undiscounted </w:t>
      </w:r>
      <w:r w:rsidR="004914D1" w:rsidRPr="00473C7B">
        <w:rPr>
          <w:rFonts w:cs="Arial"/>
          <w:szCs w:val="22"/>
        </w:rPr>
        <w:t xml:space="preserve">implementation cost </w:t>
      </w:r>
      <w:r w:rsidR="005E6D49" w:rsidRPr="00473C7B">
        <w:rPr>
          <w:rFonts w:cs="Arial"/>
          <w:szCs w:val="22"/>
        </w:rPr>
        <w:t>of $</w:t>
      </w:r>
      <w:r w:rsidR="00AC750B">
        <w:rPr>
          <w:rFonts w:cs="Arial"/>
          <w:szCs w:val="22"/>
        </w:rPr>
        <w:t>2.1</w:t>
      </w:r>
      <w:r w:rsidR="007621D3" w:rsidRPr="00473C7B">
        <w:rPr>
          <w:rFonts w:cs="Arial"/>
          <w:szCs w:val="22"/>
        </w:rPr>
        <w:t xml:space="preserve"> million</w:t>
      </w:r>
      <w:r w:rsidR="008704CD" w:rsidRPr="00473C7B">
        <w:rPr>
          <w:rFonts w:cs="Arial"/>
          <w:szCs w:val="22"/>
        </w:rPr>
        <w:t>.</w:t>
      </w:r>
    </w:p>
    <w:p w:rsidR="00216F23" w:rsidRDefault="00216F23" w:rsidP="00216F23">
      <w:pPr>
        <w:pStyle w:val="ListParagraph"/>
        <w:rPr>
          <w:rFonts w:cs="Arial"/>
          <w:szCs w:val="22"/>
        </w:rPr>
      </w:pPr>
    </w:p>
    <w:p w:rsidR="00FB1A15" w:rsidRPr="00473C7B" w:rsidRDefault="00EB1638" w:rsidP="006E1318">
      <w:pPr>
        <w:pStyle w:val="ListParagraph"/>
        <w:numPr>
          <w:ilvl w:val="0"/>
          <w:numId w:val="6"/>
        </w:numPr>
        <w:autoSpaceDE w:val="0"/>
        <w:autoSpaceDN w:val="0"/>
        <w:adjustRightInd w:val="0"/>
        <w:rPr>
          <w:rFonts w:cs="Arial"/>
          <w:color w:val="000000" w:themeColor="text1"/>
          <w:szCs w:val="22"/>
        </w:rPr>
      </w:pPr>
      <w:r w:rsidRPr="00473C7B">
        <w:rPr>
          <w:rFonts w:cs="Arial"/>
          <w:b/>
          <w:szCs w:val="22"/>
        </w:rPr>
        <w:lastRenderedPageBreak/>
        <w:t xml:space="preserve">Cost to the </w:t>
      </w:r>
      <w:r w:rsidR="00C75569" w:rsidRPr="00473C7B">
        <w:rPr>
          <w:rFonts w:cs="Arial"/>
          <w:b/>
          <w:szCs w:val="22"/>
        </w:rPr>
        <w:t>NRC</w:t>
      </w:r>
      <w:r w:rsidRPr="00473C7B">
        <w:rPr>
          <w:rFonts w:cs="Arial"/>
          <w:szCs w:val="22"/>
        </w:rPr>
        <w:t xml:space="preserve">.  </w:t>
      </w:r>
      <w:r w:rsidR="00FB0538" w:rsidRPr="00473C7B">
        <w:rPr>
          <w:rFonts w:cs="Arial"/>
          <w:szCs w:val="22"/>
        </w:rPr>
        <w:t xml:space="preserve">The NRC </w:t>
      </w:r>
      <w:r w:rsidR="008045E7" w:rsidRPr="00473C7B">
        <w:rPr>
          <w:rFonts w:cs="Arial"/>
          <w:szCs w:val="22"/>
        </w:rPr>
        <w:t xml:space="preserve">would </w:t>
      </w:r>
      <w:r w:rsidR="00FB0538" w:rsidRPr="00473C7B">
        <w:rPr>
          <w:rFonts w:cs="Arial"/>
          <w:szCs w:val="22"/>
        </w:rPr>
        <w:t xml:space="preserve">incur </w:t>
      </w:r>
      <w:r w:rsidR="00C33AAD" w:rsidRPr="00473C7B">
        <w:rPr>
          <w:rFonts w:cs="Arial"/>
          <w:szCs w:val="22"/>
        </w:rPr>
        <w:t>a</w:t>
      </w:r>
      <w:r w:rsidR="004914D1" w:rsidRPr="00473C7B">
        <w:rPr>
          <w:rFonts w:cs="Arial"/>
          <w:szCs w:val="22"/>
        </w:rPr>
        <w:t>n implementation</w:t>
      </w:r>
      <w:r w:rsidR="00C33AAD" w:rsidRPr="00473C7B">
        <w:rPr>
          <w:rFonts w:cs="Arial"/>
          <w:szCs w:val="22"/>
        </w:rPr>
        <w:t xml:space="preserve"> cost</w:t>
      </w:r>
      <w:r w:rsidR="00FB0538" w:rsidRPr="00473C7B">
        <w:rPr>
          <w:rFonts w:cs="Arial"/>
          <w:szCs w:val="22"/>
        </w:rPr>
        <w:t xml:space="preserve"> for drafting and implementing </w:t>
      </w:r>
      <w:r w:rsidR="00ED5A84" w:rsidRPr="00473C7B">
        <w:rPr>
          <w:rFonts w:cs="Arial"/>
          <w:szCs w:val="22"/>
        </w:rPr>
        <w:t>a final rulemaking based on</w:t>
      </w:r>
      <w:r w:rsidR="00ED5A84" w:rsidRPr="00473C7B">
        <w:rPr>
          <w:rFonts w:cs="Arial"/>
          <w:color w:val="000000" w:themeColor="text1"/>
          <w:szCs w:val="22"/>
        </w:rPr>
        <w:t xml:space="preserve"> the proposed rule</w:t>
      </w:r>
      <w:r w:rsidR="00FB0538" w:rsidRPr="00473C7B">
        <w:rPr>
          <w:rFonts w:cs="Arial"/>
          <w:color w:val="000000" w:themeColor="text1"/>
          <w:szCs w:val="22"/>
        </w:rPr>
        <w:t xml:space="preserve">.  This </w:t>
      </w:r>
      <w:r w:rsidR="00B26C2F">
        <w:rPr>
          <w:rFonts w:cs="Arial"/>
          <w:color w:val="000000" w:themeColor="text1"/>
          <w:szCs w:val="22"/>
        </w:rPr>
        <w:t xml:space="preserve">undiscounted </w:t>
      </w:r>
      <w:r w:rsidR="00FB0538" w:rsidRPr="00473C7B">
        <w:rPr>
          <w:rFonts w:cs="Arial"/>
          <w:color w:val="000000" w:themeColor="text1"/>
          <w:szCs w:val="22"/>
        </w:rPr>
        <w:t>cost is estimated</w:t>
      </w:r>
      <w:r w:rsidR="008B3D30" w:rsidRPr="00473C7B">
        <w:rPr>
          <w:rFonts w:cs="Arial"/>
          <w:szCs w:val="22"/>
        </w:rPr>
        <w:t xml:space="preserve"> to be </w:t>
      </w:r>
      <w:r w:rsidR="005E6D49" w:rsidRPr="00473C7B">
        <w:rPr>
          <w:rFonts w:cs="Arial"/>
          <w:szCs w:val="22"/>
        </w:rPr>
        <w:t>$</w:t>
      </w:r>
      <w:r w:rsidR="00822F8C">
        <w:rPr>
          <w:rFonts w:cs="Arial"/>
          <w:szCs w:val="22"/>
        </w:rPr>
        <w:t>333</w:t>
      </w:r>
      <w:r w:rsidR="00B22D32" w:rsidRPr="00473C7B">
        <w:rPr>
          <w:rFonts w:cs="Arial"/>
          <w:szCs w:val="22"/>
        </w:rPr>
        <w:t>,000.</w:t>
      </w:r>
      <w:r w:rsidR="008B3D30" w:rsidRPr="00473C7B">
        <w:rPr>
          <w:rFonts w:cs="Arial"/>
          <w:szCs w:val="22"/>
        </w:rPr>
        <w:t xml:space="preserve">  </w:t>
      </w:r>
      <w:r w:rsidR="004914D1" w:rsidRPr="00473C7B">
        <w:rPr>
          <w:rFonts w:cs="Arial"/>
          <w:szCs w:val="22"/>
        </w:rPr>
        <w:t xml:space="preserve">Because the NRC does not have any LLRW disposal licensee, </w:t>
      </w:r>
      <w:r w:rsidR="002A16A4" w:rsidRPr="00473C7B">
        <w:rPr>
          <w:rFonts w:cs="Arial"/>
          <w:szCs w:val="22"/>
        </w:rPr>
        <w:t>no annual</w:t>
      </w:r>
      <w:r w:rsidR="000D0C6C" w:rsidRPr="00473C7B">
        <w:rPr>
          <w:rFonts w:cs="Arial"/>
          <w:szCs w:val="22"/>
        </w:rPr>
        <w:t xml:space="preserve"> </w:t>
      </w:r>
      <w:r w:rsidR="004914D1" w:rsidRPr="00473C7B">
        <w:rPr>
          <w:rFonts w:cs="Arial"/>
          <w:szCs w:val="22"/>
        </w:rPr>
        <w:t xml:space="preserve">NRC </w:t>
      </w:r>
      <w:r w:rsidR="000D0C6C" w:rsidRPr="00473C7B">
        <w:rPr>
          <w:rFonts w:cs="Arial"/>
          <w:szCs w:val="22"/>
        </w:rPr>
        <w:t xml:space="preserve">cost </w:t>
      </w:r>
      <w:r w:rsidR="004914D1" w:rsidRPr="00473C7B">
        <w:rPr>
          <w:rFonts w:cs="Arial"/>
          <w:szCs w:val="22"/>
        </w:rPr>
        <w:t>is expected</w:t>
      </w:r>
      <w:r w:rsidR="002A16A4" w:rsidRPr="00473C7B">
        <w:rPr>
          <w:rFonts w:cs="Arial"/>
          <w:szCs w:val="22"/>
        </w:rPr>
        <w:t xml:space="preserve">.  </w:t>
      </w:r>
      <w:r w:rsidR="004914D1" w:rsidRPr="00473C7B">
        <w:rPr>
          <w:rFonts w:cs="Arial"/>
          <w:szCs w:val="22"/>
        </w:rPr>
        <w:t xml:space="preserve">The NRC would also incur an estimated </w:t>
      </w:r>
      <w:r w:rsidR="00B26C2F">
        <w:rPr>
          <w:rFonts w:cs="Arial"/>
          <w:szCs w:val="22"/>
        </w:rPr>
        <w:t xml:space="preserve">undiscounted </w:t>
      </w:r>
      <w:r w:rsidR="004914D1" w:rsidRPr="00473C7B">
        <w:rPr>
          <w:rFonts w:cs="Arial"/>
          <w:szCs w:val="22"/>
        </w:rPr>
        <w:t xml:space="preserve">implementation </w:t>
      </w:r>
      <w:r w:rsidR="00F86D73" w:rsidRPr="00473C7B">
        <w:rPr>
          <w:rFonts w:cs="Arial"/>
          <w:szCs w:val="22"/>
        </w:rPr>
        <w:t xml:space="preserve">cost </w:t>
      </w:r>
      <w:r w:rsidR="004914D1" w:rsidRPr="00473C7B">
        <w:rPr>
          <w:rFonts w:cs="Arial"/>
          <w:szCs w:val="22"/>
        </w:rPr>
        <w:t xml:space="preserve">of </w:t>
      </w:r>
      <w:r w:rsidR="005E6D49" w:rsidRPr="00473C7B">
        <w:rPr>
          <w:rFonts w:cs="Arial"/>
          <w:szCs w:val="22"/>
        </w:rPr>
        <w:t>$</w:t>
      </w:r>
      <w:r w:rsidR="004914D1" w:rsidRPr="00473C7B">
        <w:rPr>
          <w:rFonts w:cs="Arial"/>
          <w:szCs w:val="22"/>
        </w:rPr>
        <w:t>2</w:t>
      </w:r>
      <w:r w:rsidR="0022578F">
        <w:rPr>
          <w:rFonts w:cs="Arial"/>
          <w:szCs w:val="22"/>
        </w:rPr>
        <w:t>16</w:t>
      </w:r>
      <w:r w:rsidR="004914D1" w:rsidRPr="00473C7B">
        <w:rPr>
          <w:rFonts w:cs="Arial"/>
          <w:szCs w:val="22"/>
        </w:rPr>
        <w:t>,</w:t>
      </w:r>
      <w:r w:rsidR="00E06B50">
        <w:rPr>
          <w:rFonts w:cs="Arial"/>
          <w:szCs w:val="22"/>
        </w:rPr>
        <w:t>000</w:t>
      </w:r>
      <w:r w:rsidR="004914D1" w:rsidRPr="00473C7B">
        <w:rPr>
          <w:rFonts w:cs="Arial"/>
          <w:szCs w:val="22"/>
        </w:rPr>
        <w:t xml:space="preserve"> </w:t>
      </w:r>
      <w:r w:rsidR="00F86D73" w:rsidRPr="00473C7B">
        <w:rPr>
          <w:rFonts w:cs="Arial"/>
          <w:color w:val="000000" w:themeColor="text1"/>
          <w:szCs w:val="22"/>
        </w:rPr>
        <w:t xml:space="preserve">for drafting a final guidance document based on the final rule.  </w:t>
      </w:r>
    </w:p>
    <w:p w:rsidR="004914D1" w:rsidRPr="00473C7B" w:rsidRDefault="004914D1" w:rsidP="00473C7B">
      <w:pPr>
        <w:rPr>
          <w:rFonts w:cs="Arial"/>
          <w:b/>
          <w:color w:val="000000" w:themeColor="text1"/>
          <w:szCs w:val="22"/>
        </w:rPr>
      </w:pPr>
    </w:p>
    <w:p w:rsidR="00DC56DE" w:rsidRPr="001107E4" w:rsidRDefault="00FB0538" w:rsidP="000C44EC">
      <w:pPr>
        <w:pStyle w:val="ListParagraph"/>
        <w:numPr>
          <w:ilvl w:val="0"/>
          <w:numId w:val="24"/>
        </w:numPr>
        <w:tabs>
          <w:tab w:val="left" w:pos="720"/>
        </w:tabs>
        <w:ind w:left="720"/>
        <w:rPr>
          <w:b/>
          <w:bCs/>
          <w:i/>
        </w:rPr>
      </w:pPr>
      <w:r w:rsidRPr="001107E4">
        <w:rPr>
          <w:rFonts w:cs="Arial"/>
          <w:b/>
          <w:color w:val="000000" w:themeColor="text1"/>
          <w:szCs w:val="22"/>
        </w:rPr>
        <w:t>Decisi</w:t>
      </w:r>
      <w:r w:rsidRPr="001107E4">
        <w:rPr>
          <w:rFonts w:cs="Arial"/>
          <w:b/>
          <w:szCs w:val="22"/>
        </w:rPr>
        <w:t>on Rationale</w:t>
      </w:r>
      <w:r w:rsidRPr="001107E4">
        <w:rPr>
          <w:rFonts w:cs="Arial"/>
          <w:szCs w:val="22"/>
        </w:rPr>
        <w:t xml:space="preserve">.  </w:t>
      </w:r>
      <w:r w:rsidR="00F96B17" w:rsidRPr="001107E4">
        <w:rPr>
          <w:rFonts w:cs="Arial"/>
          <w:szCs w:val="22"/>
        </w:rPr>
        <w:t>The NRC considered t</w:t>
      </w:r>
      <w:r w:rsidR="00017717">
        <w:rPr>
          <w:rFonts w:cs="Arial"/>
          <w:szCs w:val="22"/>
        </w:rPr>
        <w:t>wo</w:t>
      </w:r>
      <w:r w:rsidR="00F96B17" w:rsidRPr="001107E4">
        <w:rPr>
          <w:rFonts w:cs="Arial"/>
          <w:szCs w:val="22"/>
        </w:rPr>
        <w:t xml:space="preserve"> alternatives</w:t>
      </w:r>
      <w:r w:rsidR="00F96B17" w:rsidRPr="009F2F1D">
        <w:rPr>
          <w:rFonts w:cs="Arial"/>
          <w:szCs w:val="22"/>
        </w:rPr>
        <w:t xml:space="preserve">, one in which the NRC takes no rulemaking action, </w:t>
      </w:r>
      <w:r w:rsidR="00F96B17" w:rsidRPr="00DA2177">
        <w:rPr>
          <w:rFonts w:cs="Arial"/>
          <w:szCs w:val="22"/>
        </w:rPr>
        <w:t xml:space="preserve">and </w:t>
      </w:r>
      <w:r w:rsidR="00F96B17" w:rsidRPr="00694C68">
        <w:rPr>
          <w:rFonts w:cs="Arial"/>
          <w:szCs w:val="22"/>
        </w:rPr>
        <w:t xml:space="preserve">the </w:t>
      </w:r>
      <w:r w:rsidR="00017717">
        <w:rPr>
          <w:rFonts w:cs="Arial"/>
          <w:szCs w:val="22"/>
        </w:rPr>
        <w:t>second</w:t>
      </w:r>
      <w:r w:rsidR="00F96B17" w:rsidRPr="0022578F">
        <w:rPr>
          <w:rFonts w:cs="Arial"/>
          <w:szCs w:val="22"/>
        </w:rPr>
        <w:t xml:space="preserve"> alternative </w:t>
      </w:r>
      <w:r w:rsidR="00F9233E">
        <w:rPr>
          <w:rFonts w:cs="Arial"/>
          <w:szCs w:val="22"/>
        </w:rPr>
        <w:t>that</w:t>
      </w:r>
      <w:r w:rsidR="00F9233E" w:rsidRPr="0022578F">
        <w:rPr>
          <w:rFonts w:cs="Arial"/>
          <w:szCs w:val="22"/>
        </w:rPr>
        <w:t xml:space="preserve"> </w:t>
      </w:r>
      <w:r w:rsidR="00F96B17" w:rsidRPr="0022578F">
        <w:rPr>
          <w:rFonts w:cs="Arial"/>
          <w:szCs w:val="22"/>
        </w:rPr>
        <w:t xml:space="preserve">consists </w:t>
      </w:r>
      <w:r w:rsidR="001727A6" w:rsidRPr="0022578F">
        <w:rPr>
          <w:rFonts w:cs="Arial"/>
          <w:szCs w:val="22"/>
        </w:rPr>
        <w:t xml:space="preserve">of three periods of </w:t>
      </w:r>
      <w:r w:rsidR="00F96B17" w:rsidRPr="0022578F">
        <w:rPr>
          <w:rFonts w:cs="Arial"/>
          <w:szCs w:val="22"/>
        </w:rPr>
        <w:t>analys</w:t>
      </w:r>
      <w:r w:rsidR="001727A6" w:rsidRPr="0022578F">
        <w:rPr>
          <w:rFonts w:cs="Arial"/>
          <w:szCs w:val="22"/>
        </w:rPr>
        <w:t>i</w:t>
      </w:r>
      <w:r w:rsidR="00F96B17" w:rsidRPr="0022578F">
        <w:rPr>
          <w:rFonts w:cs="Arial"/>
          <w:szCs w:val="22"/>
        </w:rPr>
        <w:t>s.</w:t>
      </w:r>
      <w:r w:rsidR="001727A6" w:rsidRPr="0022578F">
        <w:rPr>
          <w:rFonts w:cs="Arial"/>
          <w:szCs w:val="22"/>
        </w:rPr>
        <w:t xml:space="preserve"> </w:t>
      </w:r>
      <w:r w:rsidR="00F96B17" w:rsidRPr="0022578F">
        <w:rPr>
          <w:rFonts w:cs="Arial"/>
          <w:szCs w:val="22"/>
        </w:rPr>
        <w:t>The NRC selected alternative t</w:t>
      </w:r>
      <w:r w:rsidR="00017717">
        <w:rPr>
          <w:rFonts w:cs="Arial"/>
          <w:szCs w:val="22"/>
        </w:rPr>
        <w:t>wo</w:t>
      </w:r>
      <w:r w:rsidR="00F96B17" w:rsidRPr="0022578F">
        <w:rPr>
          <w:rFonts w:cs="Arial"/>
          <w:szCs w:val="22"/>
        </w:rPr>
        <w:t>.</w:t>
      </w:r>
      <w:r w:rsidR="001727A6" w:rsidRPr="008F1AA3">
        <w:rPr>
          <w:rFonts w:cs="Arial"/>
          <w:szCs w:val="22"/>
        </w:rPr>
        <w:t xml:space="preserve"> </w:t>
      </w:r>
      <w:r w:rsidR="00F96B17" w:rsidRPr="008F1AA3">
        <w:rPr>
          <w:rFonts w:cs="Arial"/>
          <w:szCs w:val="22"/>
        </w:rPr>
        <w:t xml:space="preserve"> </w:t>
      </w:r>
      <w:r w:rsidR="001727A6" w:rsidRPr="008F1AA3">
        <w:rPr>
          <w:rFonts w:cs="Arial"/>
          <w:szCs w:val="22"/>
        </w:rPr>
        <w:t>Alternative t</w:t>
      </w:r>
      <w:r w:rsidR="00017717">
        <w:rPr>
          <w:rFonts w:cs="Arial"/>
          <w:szCs w:val="22"/>
        </w:rPr>
        <w:t>wo</w:t>
      </w:r>
      <w:r w:rsidR="001727A6" w:rsidRPr="008F1AA3">
        <w:rPr>
          <w:rFonts w:cs="Arial"/>
          <w:szCs w:val="22"/>
        </w:rPr>
        <w:t xml:space="preserve"> result</w:t>
      </w:r>
      <w:r w:rsidR="008867D6">
        <w:rPr>
          <w:rFonts w:cs="Arial"/>
          <w:szCs w:val="22"/>
        </w:rPr>
        <w:t>s</w:t>
      </w:r>
      <w:r w:rsidR="001727A6" w:rsidRPr="008F1AA3">
        <w:rPr>
          <w:rFonts w:cs="Arial"/>
          <w:szCs w:val="22"/>
        </w:rPr>
        <w:t xml:space="preserve"> in a net overall cost</w:t>
      </w:r>
      <w:r w:rsidR="00F9233E">
        <w:rPr>
          <w:rFonts w:cs="Arial"/>
          <w:szCs w:val="22"/>
        </w:rPr>
        <w:t>;</w:t>
      </w:r>
      <w:r w:rsidR="001727A6" w:rsidRPr="008F1AA3">
        <w:rPr>
          <w:rFonts w:cs="Arial"/>
          <w:szCs w:val="22"/>
        </w:rPr>
        <w:t xml:space="preserve"> however</w:t>
      </w:r>
      <w:r w:rsidR="00F9233E">
        <w:rPr>
          <w:rFonts w:cs="Arial"/>
          <w:szCs w:val="22"/>
        </w:rPr>
        <w:t>,</w:t>
      </w:r>
      <w:r w:rsidR="00F9233E" w:rsidRPr="008F1AA3">
        <w:rPr>
          <w:rFonts w:cs="Arial"/>
          <w:szCs w:val="22"/>
        </w:rPr>
        <w:t xml:space="preserve"> </w:t>
      </w:r>
      <w:r w:rsidR="001727A6" w:rsidRPr="008F1AA3">
        <w:rPr>
          <w:rFonts w:cs="Arial"/>
          <w:szCs w:val="22"/>
        </w:rPr>
        <w:t xml:space="preserve">the rule does have many </w:t>
      </w:r>
      <w:r w:rsidR="001727A6" w:rsidRPr="00863890">
        <w:rPr>
          <w:rFonts w:cs="Arial"/>
          <w:szCs w:val="22"/>
        </w:rPr>
        <w:t xml:space="preserve">unquantifiable benefits.  </w:t>
      </w:r>
      <w:r w:rsidRPr="00863890">
        <w:rPr>
          <w:rFonts w:cs="Arial"/>
          <w:szCs w:val="22"/>
        </w:rPr>
        <w:t xml:space="preserve">Although the NRC </w:t>
      </w:r>
      <w:r w:rsidR="006B7245" w:rsidRPr="00863890">
        <w:rPr>
          <w:rFonts w:cs="Arial"/>
          <w:szCs w:val="22"/>
        </w:rPr>
        <w:t>could not</w:t>
      </w:r>
      <w:r w:rsidRPr="00863890">
        <w:rPr>
          <w:rFonts w:cs="Arial"/>
          <w:szCs w:val="22"/>
        </w:rPr>
        <w:t xml:space="preserve"> quan</w:t>
      </w:r>
      <w:r w:rsidR="000D0C6C" w:rsidRPr="003F2445">
        <w:rPr>
          <w:rFonts w:cs="Arial"/>
          <w:szCs w:val="22"/>
        </w:rPr>
        <w:t xml:space="preserve">tify the benefits of this rule, </w:t>
      </w:r>
      <w:r w:rsidRPr="00606DA5">
        <w:rPr>
          <w:rFonts w:cs="Arial"/>
          <w:szCs w:val="22"/>
        </w:rPr>
        <w:t xml:space="preserve">the </w:t>
      </w:r>
      <w:r w:rsidR="00726E34" w:rsidRPr="009A5D01">
        <w:rPr>
          <w:rFonts w:cs="Arial"/>
          <w:szCs w:val="22"/>
        </w:rPr>
        <w:t xml:space="preserve">agency </w:t>
      </w:r>
      <w:r w:rsidRPr="009A5D01">
        <w:rPr>
          <w:rFonts w:cs="Arial"/>
          <w:szCs w:val="22"/>
        </w:rPr>
        <w:t>did examin</w:t>
      </w:r>
      <w:r w:rsidRPr="009A5D01">
        <w:rPr>
          <w:rFonts w:cs="Arial"/>
          <w:color w:val="000000" w:themeColor="text1"/>
          <w:szCs w:val="22"/>
        </w:rPr>
        <w:t>e its benefits</w:t>
      </w:r>
      <w:r w:rsidR="004914D1" w:rsidRPr="009A5D01">
        <w:rPr>
          <w:rFonts w:cs="Arial"/>
          <w:color w:val="000000" w:themeColor="text1"/>
          <w:szCs w:val="22"/>
        </w:rPr>
        <w:t xml:space="preserve"> </w:t>
      </w:r>
      <w:r w:rsidR="005E705C" w:rsidRPr="009A5D01">
        <w:rPr>
          <w:rFonts w:cs="Arial"/>
          <w:color w:val="000000" w:themeColor="text1"/>
          <w:szCs w:val="22"/>
        </w:rPr>
        <w:t>qualitatively</w:t>
      </w:r>
      <w:r w:rsidR="00616768" w:rsidRPr="009A5D01">
        <w:rPr>
          <w:rFonts w:cs="Arial"/>
          <w:color w:val="000000" w:themeColor="text1"/>
          <w:szCs w:val="22"/>
        </w:rPr>
        <w:t>.</w:t>
      </w:r>
      <w:r w:rsidRPr="009A5D01">
        <w:rPr>
          <w:rFonts w:cs="Arial"/>
          <w:color w:val="000000" w:themeColor="text1"/>
          <w:szCs w:val="22"/>
        </w:rPr>
        <w:t xml:space="preserve"> </w:t>
      </w:r>
      <w:r w:rsidR="00616768" w:rsidRPr="009A5D01">
        <w:rPr>
          <w:rFonts w:cs="Arial"/>
          <w:color w:val="000000" w:themeColor="text1"/>
          <w:szCs w:val="22"/>
        </w:rPr>
        <w:t xml:space="preserve"> </w:t>
      </w:r>
      <w:r w:rsidR="00CE0EE9" w:rsidRPr="009A5D01">
        <w:rPr>
          <w:rFonts w:cs="Arial"/>
          <w:szCs w:val="22"/>
        </w:rPr>
        <w:t>These include both the direct benefits that would accrue and the indirect benefits from risks that could be avoided if the NRC adopted the rule.</w:t>
      </w:r>
      <w:r w:rsidR="00422182" w:rsidRPr="009A5D01">
        <w:rPr>
          <w:rFonts w:cs="Arial"/>
          <w:szCs w:val="22"/>
        </w:rPr>
        <w:t xml:space="preserve"> </w:t>
      </w:r>
      <w:r w:rsidR="00CE0EE9" w:rsidRPr="009A5D01">
        <w:rPr>
          <w:rFonts w:cs="Arial"/>
          <w:szCs w:val="22"/>
        </w:rPr>
        <w:t xml:space="preserve"> The principal qualitative benefits of the proposed action would include:  1) ens</w:t>
      </w:r>
      <w:r w:rsidR="00CE0EE9" w:rsidRPr="009A5D01">
        <w:rPr>
          <w:rFonts w:cs="Arial"/>
          <w:bCs/>
          <w:szCs w:val="22"/>
        </w:rPr>
        <w:t>uring that LLRW streams that are significantly different from those considered during the development of the current regulations can be disposed of safely and meet the performance objective</w:t>
      </w:r>
      <w:r w:rsidR="004914D1" w:rsidRPr="009A5D01">
        <w:rPr>
          <w:rFonts w:cs="Arial"/>
          <w:bCs/>
          <w:szCs w:val="22"/>
        </w:rPr>
        <w:t>s for land disposal of LLRW</w:t>
      </w:r>
      <w:r w:rsidR="00822F8C" w:rsidRPr="00822F8C">
        <w:t xml:space="preserve"> </w:t>
      </w:r>
      <w:r w:rsidR="00822F8C" w:rsidRPr="00822F8C">
        <w:rPr>
          <w:rFonts w:cs="Arial"/>
          <w:bCs/>
          <w:szCs w:val="22"/>
        </w:rPr>
        <w:t>without the need of fu</w:t>
      </w:r>
      <w:r w:rsidR="00822F8C">
        <w:rPr>
          <w:rFonts w:cs="Arial"/>
          <w:bCs/>
          <w:szCs w:val="22"/>
        </w:rPr>
        <w:t>ture</w:t>
      </w:r>
      <w:r w:rsidR="00822F8C" w:rsidRPr="00822F8C">
        <w:rPr>
          <w:rFonts w:cs="Arial"/>
          <w:bCs/>
          <w:szCs w:val="22"/>
        </w:rPr>
        <w:t xml:space="preserve"> rulemaking</w:t>
      </w:r>
      <w:r w:rsidR="00822F8C">
        <w:rPr>
          <w:rFonts w:cs="Arial"/>
          <w:bCs/>
          <w:szCs w:val="22"/>
        </w:rPr>
        <w:t>s to address those</w:t>
      </w:r>
      <w:r w:rsidR="00EC5175">
        <w:rPr>
          <w:rFonts w:cs="Arial"/>
          <w:bCs/>
          <w:szCs w:val="22"/>
        </w:rPr>
        <w:t xml:space="preserve"> different streams on a case-by-case basis</w:t>
      </w:r>
      <w:r w:rsidR="004914D1" w:rsidRPr="009A5D01">
        <w:rPr>
          <w:rFonts w:cs="Arial"/>
          <w:bCs/>
          <w:szCs w:val="22"/>
        </w:rPr>
        <w:t>;</w:t>
      </w:r>
      <w:r w:rsidR="00CE0EE9" w:rsidRPr="009A5D01">
        <w:rPr>
          <w:rFonts w:cs="Arial"/>
          <w:bCs/>
          <w:szCs w:val="22"/>
        </w:rPr>
        <w:t xml:space="preserve"> 2) facilitating the use of site-specific information and up-to-date dosimetry methodology </w:t>
      </w:r>
      <w:r w:rsidR="00984A0B" w:rsidRPr="009A5D01">
        <w:rPr>
          <w:rFonts w:cs="Arial"/>
          <w:bCs/>
          <w:szCs w:val="22"/>
        </w:rPr>
        <w:t xml:space="preserve">in site-specific technical analyses </w:t>
      </w:r>
      <w:r w:rsidR="00CE0EE9" w:rsidRPr="009A5D01">
        <w:rPr>
          <w:rFonts w:cs="Arial"/>
          <w:bCs/>
          <w:szCs w:val="22"/>
        </w:rPr>
        <w:t xml:space="preserve">to </w:t>
      </w:r>
      <w:r w:rsidR="00003BB9">
        <w:rPr>
          <w:rFonts w:cs="Arial"/>
          <w:bCs/>
          <w:szCs w:val="22"/>
        </w:rPr>
        <w:t xml:space="preserve">better </w:t>
      </w:r>
      <w:r w:rsidR="00CE0EE9" w:rsidRPr="009A5D01">
        <w:rPr>
          <w:rFonts w:cs="Arial"/>
          <w:bCs/>
          <w:szCs w:val="22"/>
        </w:rPr>
        <w:t xml:space="preserve">ensure public health and safety </w:t>
      </w:r>
      <w:r w:rsidR="00EA4F08" w:rsidRPr="009A5D01">
        <w:rPr>
          <w:rFonts w:cs="Arial"/>
          <w:bCs/>
          <w:szCs w:val="22"/>
        </w:rPr>
        <w:t>is</w:t>
      </w:r>
      <w:r w:rsidR="00CE0EE9" w:rsidRPr="009A5D01">
        <w:rPr>
          <w:rFonts w:cs="Arial"/>
          <w:bCs/>
          <w:szCs w:val="22"/>
        </w:rPr>
        <w:t xml:space="preserve"> protected</w:t>
      </w:r>
      <w:r w:rsidR="004914D1" w:rsidRPr="009A5D01">
        <w:rPr>
          <w:rFonts w:cs="Arial"/>
          <w:bCs/>
          <w:szCs w:val="22"/>
        </w:rPr>
        <w:t>;</w:t>
      </w:r>
      <w:r w:rsidR="00780540" w:rsidRPr="009A5D01">
        <w:rPr>
          <w:rFonts w:cs="Arial"/>
          <w:bCs/>
          <w:szCs w:val="22"/>
        </w:rPr>
        <w:t xml:space="preserve"> and 3) promoting a risk-informed regulatory framework that specifies what requirements need to be met and provides flexibility to a licensee or applicant with regard to what information or </w:t>
      </w:r>
      <w:r w:rsidR="00780540" w:rsidRPr="001107E4">
        <w:rPr>
          <w:rFonts w:cs="Arial"/>
          <w:bCs/>
          <w:szCs w:val="22"/>
        </w:rPr>
        <w:t>approach they use to satisfy those requirements</w:t>
      </w:r>
      <w:r w:rsidR="00CE0EE9" w:rsidRPr="001107E4">
        <w:rPr>
          <w:rFonts w:cs="Arial"/>
          <w:bCs/>
          <w:szCs w:val="22"/>
        </w:rPr>
        <w:t xml:space="preserve">.  </w:t>
      </w:r>
      <w:r w:rsidR="00822F8C" w:rsidRPr="00822F8C">
        <w:rPr>
          <w:rFonts w:cs="Arial"/>
          <w:bCs/>
          <w:szCs w:val="22"/>
        </w:rPr>
        <w:t xml:space="preserve">The waste acceptance criteria should also allow licensees to dispose of material more “risk efficiently” which is likely to reduce costs.  In addition, being able to dispose of the depleted uranium waste stream is likely to be a big revenue generator for the licensees and the State’s (through taxes) as well as decreasing the storage costs of the Department of Energy and uranium enrichment facilities.  </w:t>
      </w:r>
      <w:r w:rsidR="00CE0EE9" w:rsidRPr="001107E4">
        <w:rPr>
          <w:rFonts w:cs="Arial"/>
          <w:bCs/>
          <w:szCs w:val="22"/>
        </w:rPr>
        <w:t>T</w:t>
      </w:r>
      <w:r w:rsidR="00616768" w:rsidRPr="001107E4">
        <w:rPr>
          <w:rFonts w:cs="Arial"/>
          <w:color w:val="000000" w:themeColor="text1"/>
          <w:szCs w:val="22"/>
        </w:rPr>
        <w:t>he NRC</w:t>
      </w:r>
      <w:r w:rsidRPr="001107E4">
        <w:rPr>
          <w:rFonts w:cs="Arial"/>
          <w:color w:val="000000" w:themeColor="text1"/>
          <w:szCs w:val="22"/>
        </w:rPr>
        <w:t xml:space="preserve"> concluded that the rule </w:t>
      </w:r>
      <w:r w:rsidR="00616768" w:rsidRPr="001107E4">
        <w:rPr>
          <w:rFonts w:cs="Arial"/>
          <w:color w:val="000000" w:themeColor="text1"/>
          <w:szCs w:val="22"/>
        </w:rPr>
        <w:t xml:space="preserve">is </w:t>
      </w:r>
      <w:r w:rsidR="00616768" w:rsidRPr="001107E4">
        <w:rPr>
          <w:color w:val="000000" w:themeColor="text1"/>
        </w:rPr>
        <w:t>cost</w:t>
      </w:r>
      <w:r w:rsidR="008045E7" w:rsidRPr="001107E4">
        <w:rPr>
          <w:color w:val="000000" w:themeColor="text1"/>
        </w:rPr>
        <w:t>-</w:t>
      </w:r>
      <w:r w:rsidR="00616768" w:rsidRPr="001107E4">
        <w:rPr>
          <w:color w:val="000000" w:themeColor="text1"/>
        </w:rPr>
        <w:t>justified because the proposed</w:t>
      </w:r>
      <w:r w:rsidR="00616768" w:rsidRPr="001727A6">
        <w:t xml:space="preserve"> regulatory in</w:t>
      </w:r>
      <w:r w:rsidR="00616768" w:rsidRPr="001107E4">
        <w:rPr>
          <w:color w:val="000000" w:themeColor="text1"/>
        </w:rPr>
        <w:t>iti</w:t>
      </w:r>
      <w:r w:rsidR="00616768" w:rsidRPr="001727A6">
        <w:t xml:space="preserve">atives </w:t>
      </w:r>
      <w:r w:rsidR="00DE00CC">
        <w:t>enhance</w:t>
      </w:r>
      <w:r w:rsidR="00301EE2" w:rsidRPr="001727A6">
        <w:t xml:space="preserve"> public health and safety by </w:t>
      </w:r>
      <w:r w:rsidR="00EA4F08" w:rsidRPr="001727A6">
        <w:t>ensur</w:t>
      </w:r>
      <w:r w:rsidR="00301EE2" w:rsidRPr="001727A6">
        <w:t>ing</w:t>
      </w:r>
      <w:r w:rsidR="00EA4F08" w:rsidRPr="001727A6">
        <w:t xml:space="preserve"> </w:t>
      </w:r>
      <w:r w:rsidR="00C62D41" w:rsidRPr="001727A6">
        <w:t xml:space="preserve">the </w:t>
      </w:r>
      <w:r w:rsidR="0088262C" w:rsidRPr="001727A6">
        <w:t>safe disposal of LLRW that was not analyzed in the original 10 CFR Part 61 regulatory basis (e.g., large quantities of depleted uranium)</w:t>
      </w:r>
      <w:r w:rsidRPr="001727A6">
        <w:t xml:space="preserve">.  </w:t>
      </w:r>
    </w:p>
    <w:p w:rsidR="001900EC" w:rsidRDefault="001900EC">
      <w:pPr>
        <w:rPr>
          <w:rFonts w:cs="Arial"/>
          <w:szCs w:val="22"/>
        </w:rPr>
        <w:sectPr w:rsidR="001900EC" w:rsidSect="00CC691B">
          <w:headerReference w:type="default" r:id="rId12"/>
          <w:footerReference w:type="default" r:id="rId13"/>
          <w:footerReference w:type="first" r:id="rId14"/>
          <w:pgSz w:w="12240" w:h="15840"/>
          <w:pgMar w:top="1440" w:right="1440" w:bottom="1440" w:left="1440" w:header="1440" w:footer="1440" w:gutter="0"/>
          <w:pgNumType w:fmt="lowerRoman" w:start="3"/>
          <w:cols w:space="720"/>
          <w:titlePg/>
          <w:docGrid w:linePitch="360"/>
        </w:sectPr>
      </w:pPr>
    </w:p>
    <w:p w:rsidR="000C44EC" w:rsidRPr="000C44EC" w:rsidRDefault="00EB0EF7" w:rsidP="006B2D47">
      <w:pPr>
        <w:pStyle w:val="Heading1"/>
      </w:pPr>
      <w:bookmarkStart w:id="2" w:name="_Toc399760739"/>
      <w:r>
        <w:lastRenderedPageBreak/>
        <w:t>Abbreviations</w:t>
      </w:r>
      <w:bookmarkEnd w:id="2"/>
    </w:p>
    <w:p w:rsidR="00884EC9" w:rsidRPr="00473C7B" w:rsidRDefault="000C44EC" w:rsidP="006B2D47">
      <w:pPr>
        <w:pStyle w:val="Heading1"/>
      </w:pPr>
      <w:r>
        <w:t xml:space="preserve">  </w:t>
      </w:r>
    </w:p>
    <w:p w:rsidR="00884EC9" w:rsidRPr="00473C7B" w:rsidRDefault="00884EC9" w:rsidP="00473C7B">
      <w:pPr>
        <w:rPr>
          <w:rFonts w:cs="Arial"/>
          <w:szCs w:val="22"/>
        </w:rPr>
      </w:pPr>
    </w:p>
    <w:p w:rsidR="00884EC9" w:rsidRPr="00473C7B" w:rsidRDefault="00884EC9" w:rsidP="00473C7B">
      <w:pPr>
        <w:rPr>
          <w:rFonts w:cs="Arial"/>
          <w:szCs w:val="22"/>
        </w:rPr>
      </w:pPr>
      <w:r w:rsidRPr="00473C7B">
        <w:rPr>
          <w:rFonts w:cs="Arial"/>
          <w:szCs w:val="22"/>
        </w:rPr>
        <w:t>ADAMS</w:t>
      </w:r>
      <w:r w:rsidRPr="00473C7B">
        <w:rPr>
          <w:rFonts w:cs="Arial"/>
          <w:szCs w:val="22"/>
        </w:rPr>
        <w:tab/>
      </w:r>
      <w:r w:rsidRPr="00473C7B">
        <w:rPr>
          <w:rFonts w:cs="Arial"/>
          <w:szCs w:val="22"/>
        </w:rPr>
        <w:tab/>
      </w:r>
      <w:proofErr w:type="spellStart"/>
      <w:r w:rsidRPr="00473C7B">
        <w:rPr>
          <w:rFonts w:cs="Arial"/>
          <w:szCs w:val="22"/>
        </w:rPr>
        <w:t>Agencywide</w:t>
      </w:r>
      <w:proofErr w:type="spellEnd"/>
      <w:r w:rsidRPr="00473C7B">
        <w:rPr>
          <w:rFonts w:cs="Arial"/>
          <w:szCs w:val="22"/>
        </w:rPr>
        <w:t xml:space="preserve"> Documents Access and Management System</w:t>
      </w:r>
    </w:p>
    <w:p w:rsidR="00884EC9" w:rsidRPr="00473C7B" w:rsidRDefault="00884EC9" w:rsidP="00473C7B">
      <w:pPr>
        <w:rPr>
          <w:rFonts w:cs="Arial"/>
          <w:szCs w:val="22"/>
        </w:rPr>
      </w:pPr>
      <w:r w:rsidRPr="00473C7B">
        <w:rPr>
          <w:rFonts w:cs="Arial"/>
          <w:szCs w:val="22"/>
        </w:rPr>
        <w:t>CFR</w:t>
      </w:r>
      <w:r w:rsidRPr="00473C7B">
        <w:rPr>
          <w:rFonts w:cs="Arial"/>
          <w:szCs w:val="22"/>
        </w:rPr>
        <w:tab/>
      </w:r>
      <w:r w:rsidRPr="00473C7B">
        <w:rPr>
          <w:rFonts w:cs="Arial"/>
          <w:szCs w:val="22"/>
        </w:rPr>
        <w:tab/>
      </w:r>
      <w:r w:rsidRPr="00057690">
        <w:rPr>
          <w:rFonts w:cs="Arial"/>
          <w:i/>
          <w:szCs w:val="22"/>
        </w:rPr>
        <w:t xml:space="preserve">           </w:t>
      </w:r>
      <w:r w:rsidRPr="00057690">
        <w:rPr>
          <w:rFonts w:cs="Arial"/>
          <w:i/>
          <w:spacing w:val="-20"/>
          <w:szCs w:val="22"/>
        </w:rPr>
        <w:t xml:space="preserve"> </w:t>
      </w:r>
      <w:r w:rsidRPr="00057690">
        <w:rPr>
          <w:rFonts w:cs="Arial"/>
          <w:i/>
          <w:szCs w:val="22"/>
        </w:rPr>
        <w:t>Code of Federal Regulations</w:t>
      </w:r>
    </w:p>
    <w:p w:rsidR="005B36B0" w:rsidRDefault="005B36B0" w:rsidP="00473C7B">
      <w:pPr>
        <w:rPr>
          <w:rFonts w:cs="Arial"/>
          <w:bCs/>
          <w:szCs w:val="22"/>
        </w:rPr>
      </w:pPr>
      <w:r w:rsidRPr="00473C7B">
        <w:rPr>
          <w:rFonts w:cs="Arial"/>
          <w:bCs/>
          <w:szCs w:val="22"/>
        </w:rPr>
        <w:t>BLS</w:t>
      </w:r>
      <w:r w:rsidRPr="00473C7B">
        <w:rPr>
          <w:rFonts w:cs="Arial"/>
          <w:bCs/>
          <w:szCs w:val="22"/>
        </w:rPr>
        <w:tab/>
      </w:r>
      <w:r w:rsidRPr="00473C7B">
        <w:rPr>
          <w:rFonts w:cs="Arial"/>
          <w:bCs/>
          <w:szCs w:val="22"/>
        </w:rPr>
        <w:tab/>
      </w:r>
      <w:r w:rsidRPr="00473C7B">
        <w:rPr>
          <w:rFonts w:cs="Arial"/>
          <w:bCs/>
          <w:szCs w:val="22"/>
        </w:rPr>
        <w:tab/>
        <w:t xml:space="preserve">Bureau of Labor Statistics </w:t>
      </w:r>
    </w:p>
    <w:p w:rsidR="00884EC9" w:rsidRPr="00473C7B" w:rsidRDefault="00AA0197" w:rsidP="00473C7B">
      <w:pPr>
        <w:rPr>
          <w:rFonts w:cs="Arial"/>
          <w:szCs w:val="22"/>
        </w:rPr>
      </w:pPr>
      <w:r>
        <w:rPr>
          <w:rFonts w:cs="Arial"/>
          <w:szCs w:val="22"/>
        </w:rPr>
        <w:t>FTE</w:t>
      </w:r>
      <w:r>
        <w:rPr>
          <w:rFonts w:cs="Arial"/>
          <w:szCs w:val="22"/>
        </w:rPr>
        <w:tab/>
      </w:r>
      <w:r>
        <w:rPr>
          <w:rFonts w:cs="Arial"/>
          <w:szCs w:val="22"/>
        </w:rPr>
        <w:tab/>
        <w:t xml:space="preserve">            </w:t>
      </w:r>
      <w:r w:rsidR="00884EC9" w:rsidRPr="00473C7B">
        <w:rPr>
          <w:rFonts w:cs="Arial"/>
          <w:szCs w:val="22"/>
        </w:rPr>
        <w:t>Full-time equivalent</w:t>
      </w:r>
    </w:p>
    <w:p w:rsidR="00884EC9" w:rsidRDefault="00884EC9" w:rsidP="00473C7B">
      <w:pPr>
        <w:rPr>
          <w:rFonts w:cs="Arial"/>
          <w:szCs w:val="22"/>
        </w:rPr>
      </w:pPr>
      <w:r w:rsidRPr="00473C7B">
        <w:rPr>
          <w:rFonts w:cs="Arial"/>
          <w:szCs w:val="22"/>
        </w:rPr>
        <w:t>LL</w:t>
      </w:r>
      <w:r w:rsidR="00A96D0B">
        <w:rPr>
          <w:rFonts w:cs="Arial"/>
          <w:szCs w:val="22"/>
        </w:rPr>
        <w:t>RW</w:t>
      </w:r>
      <w:r w:rsidR="00EA4F08">
        <w:rPr>
          <w:rFonts w:cs="Arial"/>
          <w:szCs w:val="22"/>
        </w:rPr>
        <w:tab/>
      </w:r>
      <w:r w:rsidR="00EA4F08">
        <w:rPr>
          <w:rFonts w:cs="Arial"/>
          <w:szCs w:val="22"/>
        </w:rPr>
        <w:tab/>
      </w:r>
      <w:r w:rsidR="00EA4F08">
        <w:rPr>
          <w:rFonts w:cs="Arial"/>
          <w:szCs w:val="22"/>
        </w:rPr>
        <w:tab/>
        <w:t>L</w:t>
      </w:r>
      <w:r w:rsidRPr="00473C7B">
        <w:rPr>
          <w:rFonts w:cs="Arial"/>
          <w:szCs w:val="22"/>
        </w:rPr>
        <w:t>ow-level radioactive waste</w:t>
      </w:r>
    </w:p>
    <w:p w:rsidR="005036BB" w:rsidRDefault="005036BB" w:rsidP="00473C7B">
      <w:pPr>
        <w:rPr>
          <w:rFonts w:cs="Arial"/>
          <w:szCs w:val="22"/>
        </w:rPr>
      </w:pPr>
      <w:proofErr w:type="spellStart"/>
      <w:proofErr w:type="gramStart"/>
      <w:r>
        <w:rPr>
          <w:rFonts w:cs="Arial"/>
          <w:szCs w:val="22"/>
        </w:rPr>
        <w:t>mrem</w:t>
      </w:r>
      <w:proofErr w:type="spellEnd"/>
      <w:r>
        <w:rPr>
          <w:rFonts w:cs="Arial"/>
          <w:szCs w:val="22"/>
        </w:rPr>
        <w:t>/</w:t>
      </w:r>
      <w:proofErr w:type="spellStart"/>
      <w:r>
        <w:rPr>
          <w:rFonts w:cs="Arial"/>
          <w:szCs w:val="22"/>
        </w:rPr>
        <w:t>yr</w:t>
      </w:r>
      <w:proofErr w:type="spellEnd"/>
      <w:proofErr w:type="gramEnd"/>
      <w:r>
        <w:rPr>
          <w:rFonts w:cs="Arial"/>
          <w:szCs w:val="22"/>
        </w:rPr>
        <w:tab/>
      </w:r>
      <w:r>
        <w:rPr>
          <w:rFonts w:cs="Arial"/>
          <w:szCs w:val="22"/>
        </w:rPr>
        <w:tab/>
      </w:r>
      <w:proofErr w:type="spellStart"/>
      <w:r>
        <w:rPr>
          <w:rFonts w:cs="Arial"/>
          <w:szCs w:val="22"/>
        </w:rPr>
        <w:t>millirem</w:t>
      </w:r>
      <w:proofErr w:type="spellEnd"/>
      <w:r>
        <w:rPr>
          <w:rFonts w:cs="Arial"/>
          <w:szCs w:val="22"/>
        </w:rPr>
        <w:t xml:space="preserve"> per year</w:t>
      </w:r>
    </w:p>
    <w:p w:rsidR="005036BB" w:rsidRPr="00473C7B" w:rsidRDefault="005036BB" w:rsidP="00473C7B">
      <w:pPr>
        <w:rPr>
          <w:rFonts w:cs="Arial"/>
          <w:szCs w:val="22"/>
        </w:rPr>
      </w:pPr>
      <w:proofErr w:type="spellStart"/>
      <w:proofErr w:type="gramStart"/>
      <w:r>
        <w:rPr>
          <w:rFonts w:cs="Arial"/>
          <w:szCs w:val="22"/>
        </w:rPr>
        <w:t>mSv</w:t>
      </w:r>
      <w:proofErr w:type="spellEnd"/>
      <w:r>
        <w:rPr>
          <w:rFonts w:cs="Arial"/>
          <w:szCs w:val="22"/>
        </w:rPr>
        <w:t>/</w:t>
      </w:r>
      <w:proofErr w:type="spellStart"/>
      <w:r>
        <w:rPr>
          <w:rFonts w:cs="Arial"/>
          <w:szCs w:val="22"/>
        </w:rPr>
        <w:t>yr</w:t>
      </w:r>
      <w:proofErr w:type="spellEnd"/>
      <w:proofErr w:type="gramEnd"/>
      <w:r>
        <w:rPr>
          <w:rFonts w:cs="Arial"/>
          <w:szCs w:val="22"/>
        </w:rPr>
        <w:tab/>
      </w:r>
      <w:r>
        <w:rPr>
          <w:rFonts w:cs="Arial"/>
          <w:szCs w:val="22"/>
        </w:rPr>
        <w:tab/>
      </w:r>
      <w:r>
        <w:rPr>
          <w:rFonts w:cs="Arial"/>
          <w:szCs w:val="22"/>
        </w:rPr>
        <w:tab/>
      </w:r>
      <w:proofErr w:type="spellStart"/>
      <w:r>
        <w:rPr>
          <w:rFonts w:cs="Arial"/>
          <w:szCs w:val="22"/>
        </w:rPr>
        <w:t>milli</w:t>
      </w:r>
      <w:r w:rsidR="009A21CE">
        <w:rPr>
          <w:rFonts w:cs="Arial"/>
          <w:szCs w:val="22"/>
        </w:rPr>
        <w:t>s</w:t>
      </w:r>
      <w:r>
        <w:rPr>
          <w:rFonts w:cs="Arial"/>
          <w:szCs w:val="22"/>
        </w:rPr>
        <w:t>ieverts</w:t>
      </w:r>
      <w:proofErr w:type="spellEnd"/>
      <w:r>
        <w:rPr>
          <w:rFonts w:cs="Arial"/>
          <w:szCs w:val="22"/>
        </w:rPr>
        <w:t xml:space="preserve"> per year</w:t>
      </w:r>
    </w:p>
    <w:p w:rsidR="00884EC9" w:rsidRPr="00473C7B" w:rsidRDefault="00884EC9" w:rsidP="00473C7B">
      <w:pPr>
        <w:rPr>
          <w:rFonts w:cs="Arial"/>
          <w:szCs w:val="22"/>
        </w:rPr>
      </w:pPr>
      <w:r w:rsidRPr="00473C7B">
        <w:rPr>
          <w:rFonts w:cs="Arial"/>
          <w:szCs w:val="22"/>
        </w:rPr>
        <w:t>NRC</w:t>
      </w:r>
      <w:r w:rsidRPr="00473C7B">
        <w:rPr>
          <w:rFonts w:cs="Arial"/>
          <w:szCs w:val="22"/>
        </w:rPr>
        <w:tab/>
      </w:r>
      <w:r w:rsidRPr="00473C7B">
        <w:rPr>
          <w:rFonts w:cs="Arial"/>
          <w:szCs w:val="22"/>
        </w:rPr>
        <w:tab/>
        <w:t xml:space="preserve">           </w:t>
      </w:r>
      <w:r w:rsidRPr="00AA0197">
        <w:rPr>
          <w:rFonts w:cs="Arial"/>
          <w:spacing w:val="-20"/>
          <w:szCs w:val="22"/>
        </w:rPr>
        <w:t xml:space="preserve"> </w:t>
      </w:r>
      <w:r w:rsidRPr="00473C7B">
        <w:rPr>
          <w:rFonts w:cs="Arial"/>
          <w:szCs w:val="22"/>
        </w:rPr>
        <w:t>U.S. Nuclear Regulatory Commission</w:t>
      </w:r>
    </w:p>
    <w:p w:rsidR="00884EC9" w:rsidRPr="00473C7B" w:rsidRDefault="00AA0197" w:rsidP="00473C7B">
      <w:pPr>
        <w:rPr>
          <w:rFonts w:cs="Arial"/>
          <w:szCs w:val="22"/>
        </w:rPr>
      </w:pPr>
      <w:r>
        <w:rPr>
          <w:rFonts w:cs="Arial"/>
          <w:szCs w:val="22"/>
        </w:rPr>
        <w:t xml:space="preserve">OMB                        </w:t>
      </w:r>
      <w:r w:rsidRPr="00E17F99">
        <w:rPr>
          <w:rFonts w:cs="Arial"/>
          <w:spacing w:val="-20"/>
          <w:szCs w:val="22"/>
        </w:rPr>
        <w:t xml:space="preserve">  </w:t>
      </w:r>
      <w:r w:rsidRPr="00E17F99">
        <w:rPr>
          <w:rFonts w:cs="Arial"/>
          <w:szCs w:val="22"/>
        </w:rPr>
        <w:t xml:space="preserve"> </w:t>
      </w:r>
      <w:r w:rsidR="00E17F99" w:rsidRPr="00E17F99">
        <w:rPr>
          <w:rFonts w:cs="Arial"/>
          <w:spacing w:val="-20"/>
          <w:szCs w:val="22"/>
        </w:rPr>
        <w:t xml:space="preserve"> </w:t>
      </w:r>
      <w:r w:rsidR="00884EC9" w:rsidRPr="00473C7B">
        <w:rPr>
          <w:rFonts w:cs="Arial"/>
          <w:szCs w:val="22"/>
        </w:rPr>
        <w:t>Office of Management and Budget</w:t>
      </w:r>
    </w:p>
    <w:p w:rsidR="00A44EEB" w:rsidRDefault="00A44EEB" w:rsidP="00473C7B">
      <w:pPr>
        <w:rPr>
          <w:rFonts w:cs="Arial"/>
          <w:szCs w:val="22"/>
        </w:rPr>
      </w:pPr>
    </w:p>
    <w:p w:rsidR="00A44EEB" w:rsidRDefault="00A44EEB" w:rsidP="00473C7B">
      <w:pPr>
        <w:rPr>
          <w:rFonts w:cs="Arial"/>
          <w:szCs w:val="22"/>
        </w:rPr>
      </w:pPr>
    </w:p>
    <w:p w:rsidR="00A44EEB" w:rsidRDefault="00A44EEB" w:rsidP="00473C7B">
      <w:pPr>
        <w:rPr>
          <w:rFonts w:cs="Arial"/>
          <w:szCs w:val="22"/>
        </w:rPr>
      </w:pPr>
    </w:p>
    <w:p w:rsidR="00A44EEB" w:rsidRDefault="00A44EEB" w:rsidP="00473C7B">
      <w:pPr>
        <w:rPr>
          <w:rFonts w:cs="Arial"/>
          <w:szCs w:val="22"/>
        </w:rPr>
        <w:sectPr w:rsidR="00A44EEB" w:rsidSect="00A44EEB">
          <w:footerReference w:type="default" r:id="rId15"/>
          <w:footerReference w:type="first" r:id="rId16"/>
          <w:pgSz w:w="12240" w:h="15840"/>
          <w:pgMar w:top="1440" w:right="1440" w:bottom="1440" w:left="1440" w:header="1440" w:footer="1440" w:gutter="0"/>
          <w:pgNumType w:fmt="lowerRoman"/>
          <w:cols w:space="720"/>
          <w:titlePg/>
          <w:docGrid w:linePitch="360"/>
        </w:sectPr>
      </w:pPr>
    </w:p>
    <w:p w:rsidR="00884EC9" w:rsidRPr="00473C7B" w:rsidRDefault="00884EC9" w:rsidP="00473C7B">
      <w:pPr>
        <w:rPr>
          <w:rFonts w:cs="Arial"/>
          <w:szCs w:val="22"/>
        </w:rPr>
      </w:pPr>
    </w:p>
    <w:p w:rsidR="000C44EC" w:rsidRPr="000C44EC" w:rsidRDefault="00DB62F9" w:rsidP="006B2D47">
      <w:pPr>
        <w:pStyle w:val="Heading1"/>
      </w:pPr>
      <w:bookmarkStart w:id="3" w:name="_Toc399760740"/>
      <w:r w:rsidRPr="00473C7B">
        <w:t xml:space="preserve">1. </w:t>
      </w:r>
      <w:r w:rsidR="00057690" w:rsidRPr="00057690">
        <w:t xml:space="preserve">Statement of the Problem and </w:t>
      </w:r>
      <w:r w:rsidR="00057690">
        <w:t>Objectives</w:t>
      </w:r>
      <w:r w:rsidR="00057690" w:rsidRPr="00057690">
        <w:t xml:space="preserve"> for Rulemaking</w:t>
      </w:r>
      <w:bookmarkEnd w:id="3"/>
    </w:p>
    <w:p w:rsidR="00DB62F9" w:rsidRPr="00473C7B" w:rsidRDefault="00DB62F9" w:rsidP="00473C7B">
      <w:pPr>
        <w:rPr>
          <w:rFonts w:cs="Arial"/>
          <w:bCs/>
          <w:szCs w:val="22"/>
        </w:rPr>
      </w:pPr>
    </w:p>
    <w:p w:rsidR="00E86E23" w:rsidRPr="00473C7B" w:rsidRDefault="00E86E23" w:rsidP="00473C7B">
      <w:pPr>
        <w:rPr>
          <w:rFonts w:cs="Arial"/>
          <w:szCs w:val="22"/>
        </w:rPr>
      </w:pPr>
      <w:r w:rsidRPr="00473C7B">
        <w:rPr>
          <w:rFonts w:cs="Arial"/>
          <w:szCs w:val="22"/>
        </w:rPr>
        <w:t xml:space="preserve">The </w:t>
      </w:r>
      <w:r w:rsidR="00BD5AB0" w:rsidRPr="00473C7B">
        <w:rPr>
          <w:rFonts w:cs="Arial"/>
          <w:szCs w:val="22"/>
        </w:rPr>
        <w:t xml:space="preserve">NRC </w:t>
      </w:r>
      <w:r w:rsidRPr="00473C7B">
        <w:rPr>
          <w:rFonts w:cs="Arial"/>
          <w:szCs w:val="22"/>
        </w:rPr>
        <w:t xml:space="preserve">adopted licensing requirements for the disposal of commercial </w:t>
      </w:r>
      <w:r w:rsidR="00B30FA5" w:rsidRPr="00473C7B">
        <w:rPr>
          <w:rFonts w:cs="Arial"/>
          <w:szCs w:val="22"/>
        </w:rPr>
        <w:t>LLRW</w:t>
      </w:r>
      <w:r w:rsidRPr="00473C7B">
        <w:rPr>
          <w:rFonts w:cs="Arial"/>
          <w:szCs w:val="22"/>
        </w:rPr>
        <w:t xml:space="preserve"> in land disposal facilities in 1982 (47 FR 57446).  The proposed amendments would revise </w:t>
      </w:r>
      <w:r w:rsidR="00E4402B" w:rsidRPr="00473C7B">
        <w:rPr>
          <w:rFonts w:cs="Arial"/>
          <w:szCs w:val="22"/>
        </w:rPr>
        <w:t xml:space="preserve">Title 10 of the </w:t>
      </w:r>
      <w:r w:rsidR="00E4402B" w:rsidRPr="00473C7B">
        <w:rPr>
          <w:rFonts w:cs="Arial"/>
          <w:i/>
          <w:szCs w:val="22"/>
        </w:rPr>
        <w:t>Code of Federal Regulations</w:t>
      </w:r>
      <w:r w:rsidR="00E4402B" w:rsidRPr="00473C7B">
        <w:rPr>
          <w:rFonts w:cs="Arial"/>
          <w:szCs w:val="22"/>
        </w:rPr>
        <w:t xml:space="preserve"> (</w:t>
      </w:r>
      <w:r w:rsidRPr="00473C7B">
        <w:rPr>
          <w:rFonts w:cs="Arial"/>
          <w:szCs w:val="22"/>
        </w:rPr>
        <w:t>10 CFR</w:t>
      </w:r>
      <w:r w:rsidR="00E4402B" w:rsidRPr="00473C7B">
        <w:rPr>
          <w:rFonts w:cs="Arial"/>
          <w:szCs w:val="22"/>
        </w:rPr>
        <w:t>)</w:t>
      </w:r>
      <w:r w:rsidRPr="00473C7B">
        <w:rPr>
          <w:rFonts w:cs="Arial"/>
          <w:szCs w:val="22"/>
        </w:rPr>
        <w:t xml:space="preserve"> Part 61 to require LLRW disposal licensees and license applicants to conduct site-specific analyses and permit the development of criteria for LLRW acceptance based on the results of these analyses.  These amendments would ensure that LLRW streams that are significantly different from those considered during the development of the current regulations can be disposed of safely and meet the performance objectives for land disposal of LLRW.  These amendments would also increase the use of site-specific information to ensure </w:t>
      </w:r>
      <w:r w:rsidR="004914D1" w:rsidRPr="00473C7B">
        <w:rPr>
          <w:rFonts w:cs="Arial"/>
          <w:szCs w:val="22"/>
        </w:rPr>
        <w:t xml:space="preserve">that </w:t>
      </w:r>
      <w:r w:rsidRPr="00473C7B">
        <w:rPr>
          <w:rFonts w:cs="Arial"/>
          <w:szCs w:val="22"/>
        </w:rPr>
        <w:t xml:space="preserve">public health and safety </w:t>
      </w:r>
      <w:r w:rsidR="0088262C">
        <w:rPr>
          <w:rFonts w:cs="Arial"/>
          <w:szCs w:val="22"/>
        </w:rPr>
        <w:t>is</w:t>
      </w:r>
      <w:r w:rsidRPr="00473C7B">
        <w:rPr>
          <w:rFonts w:cs="Arial"/>
          <w:szCs w:val="22"/>
        </w:rPr>
        <w:t xml:space="preserve"> protected. </w:t>
      </w:r>
    </w:p>
    <w:p w:rsidR="00E86E23" w:rsidRPr="00473C7B" w:rsidRDefault="00E86E23" w:rsidP="00473C7B">
      <w:pPr>
        <w:rPr>
          <w:rFonts w:cs="Arial"/>
          <w:szCs w:val="22"/>
        </w:rPr>
      </w:pPr>
    </w:p>
    <w:p w:rsidR="00F70F9B" w:rsidRPr="00473C7B" w:rsidRDefault="00F70F9B" w:rsidP="00473C7B">
      <w:pPr>
        <w:rPr>
          <w:rFonts w:cs="Arial"/>
          <w:bCs/>
          <w:szCs w:val="22"/>
        </w:rPr>
      </w:pPr>
      <w:r w:rsidRPr="00473C7B">
        <w:rPr>
          <w:rFonts w:cs="Arial"/>
          <w:szCs w:val="22"/>
        </w:rPr>
        <w:t xml:space="preserve">The NRC developed </w:t>
      </w:r>
      <w:r w:rsidR="00DC5DE1" w:rsidRPr="00473C7B">
        <w:rPr>
          <w:rFonts w:cs="Arial"/>
          <w:szCs w:val="22"/>
        </w:rPr>
        <w:t xml:space="preserve">the </w:t>
      </w:r>
      <w:r w:rsidRPr="00473C7B">
        <w:rPr>
          <w:rFonts w:cs="Arial"/>
          <w:szCs w:val="22"/>
        </w:rPr>
        <w:t xml:space="preserve">current 10 CFR Part 61 </w:t>
      </w:r>
      <w:r w:rsidR="00A665FF" w:rsidRPr="00473C7B">
        <w:rPr>
          <w:rFonts w:cs="Arial"/>
          <w:szCs w:val="22"/>
        </w:rPr>
        <w:t xml:space="preserve">regulations </w:t>
      </w:r>
      <w:r w:rsidRPr="00473C7B">
        <w:rPr>
          <w:rFonts w:cs="Arial"/>
          <w:szCs w:val="22"/>
        </w:rPr>
        <w:t>based on assumptions</w:t>
      </w:r>
      <w:r w:rsidR="00A665FF" w:rsidRPr="00473C7B">
        <w:rPr>
          <w:rFonts w:cs="Arial"/>
          <w:szCs w:val="22"/>
        </w:rPr>
        <w:t xml:space="preserve"> from a survey of LLRW generators</w:t>
      </w:r>
      <w:r w:rsidRPr="00473C7B">
        <w:rPr>
          <w:rFonts w:cs="Arial"/>
          <w:szCs w:val="22"/>
        </w:rPr>
        <w:t xml:space="preserve"> regarding the types of LLRW likely to go into a commercial disposal facility.</w:t>
      </w:r>
      <w:r w:rsidR="00681850" w:rsidRPr="00473C7B">
        <w:rPr>
          <w:rStyle w:val="FootnoteReference"/>
          <w:rFonts w:cs="Arial"/>
          <w:bCs/>
          <w:szCs w:val="22"/>
        </w:rPr>
        <w:footnoteReference w:id="1"/>
      </w:r>
      <w:r w:rsidR="00ED5A84" w:rsidRPr="00473C7B">
        <w:rPr>
          <w:rFonts w:cs="Arial"/>
          <w:bCs/>
          <w:szCs w:val="22"/>
        </w:rPr>
        <w:t xml:space="preserve"> </w:t>
      </w:r>
      <w:r w:rsidRPr="00473C7B">
        <w:rPr>
          <w:rFonts w:cs="Arial"/>
          <w:bCs/>
          <w:szCs w:val="22"/>
        </w:rPr>
        <w:t>The results of this survey formed the regulatory basis for the source terms used in the analysis to define the allowable is</w:t>
      </w:r>
      <w:r w:rsidR="00B966B6">
        <w:rPr>
          <w:rFonts w:cs="Arial"/>
          <w:bCs/>
          <w:szCs w:val="22"/>
        </w:rPr>
        <w:t>otopic concentration limits in T</w:t>
      </w:r>
      <w:r w:rsidRPr="00473C7B">
        <w:rPr>
          <w:rFonts w:cs="Arial"/>
          <w:bCs/>
          <w:szCs w:val="22"/>
        </w:rPr>
        <w:t xml:space="preserve">ables 1 and 2 of </w:t>
      </w:r>
      <w:r w:rsidR="00003BB9">
        <w:rPr>
          <w:rFonts w:cs="Arial"/>
          <w:bCs/>
          <w:szCs w:val="22"/>
        </w:rPr>
        <w:t xml:space="preserve">the current </w:t>
      </w:r>
      <w:r w:rsidRPr="00473C7B">
        <w:rPr>
          <w:rFonts w:cs="Arial"/>
          <w:bCs/>
          <w:szCs w:val="22"/>
        </w:rPr>
        <w:t>10</w:t>
      </w:r>
      <w:r w:rsidR="00003BB9">
        <w:rPr>
          <w:rFonts w:cs="Arial"/>
          <w:bCs/>
          <w:szCs w:val="22"/>
        </w:rPr>
        <w:t> </w:t>
      </w:r>
      <w:r w:rsidRPr="00473C7B">
        <w:rPr>
          <w:rFonts w:cs="Arial"/>
          <w:bCs/>
          <w:szCs w:val="22"/>
        </w:rPr>
        <w:t>CFR 61.55, “Waste classification,” which established three classes of LLR</w:t>
      </w:r>
      <w:r w:rsidR="000C44EC">
        <w:rPr>
          <w:rFonts w:cs="Arial"/>
          <w:bCs/>
          <w:szCs w:val="22"/>
        </w:rPr>
        <w:t>W (Class A, Class </w:t>
      </w:r>
      <w:r w:rsidRPr="00473C7B">
        <w:rPr>
          <w:rFonts w:cs="Arial"/>
          <w:bCs/>
          <w:szCs w:val="22"/>
        </w:rPr>
        <w:t xml:space="preserve">B, </w:t>
      </w:r>
      <w:r w:rsidR="00E82C1F" w:rsidRPr="00473C7B">
        <w:rPr>
          <w:rFonts w:cs="Arial"/>
          <w:bCs/>
          <w:szCs w:val="22"/>
        </w:rPr>
        <w:t xml:space="preserve">and </w:t>
      </w:r>
      <w:r w:rsidRPr="00473C7B">
        <w:rPr>
          <w:rFonts w:cs="Arial"/>
          <w:bCs/>
          <w:szCs w:val="22"/>
        </w:rPr>
        <w:t>Class</w:t>
      </w:r>
      <w:r w:rsidR="00E378F0">
        <w:rPr>
          <w:rFonts w:cs="Arial"/>
          <w:bCs/>
          <w:szCs w:val="22"/>
        </w:rPr>
        <w:t> </w:t>
      </w:r>
      <w:r w:rsidRPr="00473C7B">
        <w:rPr>
          <w:rFonts w:cs="Arial"/>
          <w:bCs/>
          <w:szCs w:val="22"/>
        </w:rPr>
        <w:t>C) that are suitable for near-surface disposal.  Table</w:t>
      </w:r>
      <w:r w:rsidR="00A665FF" w:rsidRPr="00473C7B">
        <w:rPr>
          <w:rFonts w:cs="Arial"/>
          <w:bCs/>
          <w:szCs w:val="22"/>
        </w:rPr>
        <w:t>s</w:t>
      </w:r>
      <w:r w:rsidRPr="00473C7B">
        <w:rPr>
          <w:rFonts w:cs="Arial"/>
          <w:bCs/>
          <w:szCs w:val="22"/>
        </w:rPr>
        <w:t xml:space="preserve"> 1</w:t>
      </w:r>
      <w:r w:rsidR="00A665FF" w:rsidRPr="00473C7B">
        <w:rPr>
          <w:rFonts w:cs="Arial"/>
          <w:bCs/>
          <w:szCs w:val="22"/>
        </w:rPr>
        <w:t xml:space="preserve"> and 2 of 10 CFR 61.55</w:t>
      </w:r>
      <w:r w:rsidRPr="00473C7B">
        <w:rPr>
          <w:rFonts w:cs="Arial"/>
          <w:bCs/>
          <w:szCs w:val="22"/>
        </w:rPr>
        <w:t xml:space="preserve"> provide limiting concentrations for long-lived radionuclides and limiting concentrations for short-lived radionuclides</w:t>
      </w:r>
      <w:r w:rsidR="00A665FF" w:rsidRPr="00473C7B">
        <w:rPr>
          <w:rFonts w:cs="Arial"/>
          <w:bCs/>
          <w:szCs w:val="22"/>
        </w:rPr>
        <w:t>, respectively</w:t>
      </w:r>
      <w:r w:rsidRPr="00473C7B">
        <w:rPr>
          <w:rFonts w:cs="Arial"/>
          <w:bCs/>
          <w:szCs w:val="22"/>
        </w:rPr>
        <w:t>.</w:t>
      </w:r>
      <w:r w:rsidR="00D3468C">
        <w:rPr>
          <w:rFonts w:cs="Arial"/>
          <w:bCs/>
          <w:szCs w:val="22"/>
        </w:rPr>
        <w:t xml:space="preserve">  </w:t>
      </w:r>
    </w:p>
    <w:p w:rsidR="00184DA6" w:rsidRPr="00473C7B" w:rsidRDefault="00184DA6" w:rsidP="00473C7B">
      <w:pPr>
        <w:rPr>
          <w:rFonts w:cs="Arial"/>
          <w:bCs/>
          <w:szCs w:val="22"/>
        </w:rPr>
      </w:pPr>
    </w:p>
    <w:p w:rsidR="00B966B6" w:rsidRDefault="00B966B6" w:rsidP="00B966B6">
      <w:pPr>
        <w:widowControl w:val="0"/>
        <w:autoSpaceDE w:val="0"/>
        <w:autoSpaceDN w:val="0"/>
        <w:adjustRightInd w:val="0"/>
        <w:rPr>
          <w:rFonts w:cs="Arial"/>
          <w:szCs w:val="22"/>
        </w:rPr>
      </w:pPr>
      <w:r w:rsidRPr="00B966B6">
        <w:rPr>
          <w:rFonts w:cs="Arial"/>
          <w:szCs w:val="22"/>
        </w:rPr>
        <w:t>Low-level radioactive waste streams generated by the U.S. Department of Energy, including large quantities of</w:t>
      </w:r>
      <w:r w:rsidR="000F61D9">
        <w:rPr>
          <w:rFonts w:cs="Arial"/>
          <w:szCs w:val="22"/>
        </w:rPr>
        <w:t xml:space="preserve"> depleted uranium</w:t>
      </w:r>
      <w:r w:rsidRPr="00B966B6">
        <w:rPr>
          <w:rFonts w:cs="Arial"/>
          <w:szCs w:val="22"/>
        </w:rPr>
        <w:t xml:space="preserve">, were not considered in the original analysis to determine the concentration limits in Tables 1 and 2 of 10 CFR 61.55.  LLRW streams from commercial uranium enrichment facilities and blended LLRW, which might result in large quantities of material near the upper bounds of an LLRW class, also were not considered.  Further, new technologies might result in the future generation of different LLRW streams not evaluated when the current 10 CFR Part 61 regulations were developed.  Thus, if LLRW differs significantly in quantity and concentration from what was considered in the development of the current 10 CFR Part 61, then it might be possible to dispose of LLRW that meets the disposal requirements but results in an intruder dose (if calculated) that exceeds the dose limit used to develop the LLRW classification tables (i.e., 5 </w:t>
      </w:r>
      <w:proofErr w:type="spellStart"/>
      <w:r w:rsidRPr="00B966B6">
        <w:rPr>
          <w:rFonts w:cs="Arial"/>
          <w:szCs w:val="22"/>
        </w:rPr>
        <w:t>milliSieverts</w:t>
      </w:r>
      <w:proofErr w:type="spellEnd"/>
      <w:r w:rsidRPr="00B966B6">
        <w:rPr>
          <w:rFonts w:cs="Arial"/>
          <w:szCs w:val="22"/>
        </w:rPr>
        <w:t xml:space="preserve"> per year (</w:t>
      </w:r>
      <w:proofErr w:type="spellStart"/>
      <w:r w:rsidRPr="00B966B6">
        <w:rPr>
          <w:rFonts w:cs="Arial"/>
          <w:szCs w:val="22"/>
        </w:rPr>
        <w:t>mSv</w:t>
      </w:r>
      <w:proofErr w:type="spellEnd"/>
      <w:r w:rsidRPr="00B966B6">
        <w:rPr>
          <w:rFonts w:cs="Arial"/>
          <w:szCs w:val="22"/>
        </w:rPr>
        <w:t>/</w:t>
      </w:r>
      <w:proofErr w:type="spellStart"/>
      <w:r w:rsidRPr="00B966B6">
        <w:rPr>
          <w:rFonts w:cs="Arial"/>
          <w:szCs w:val="22"/>
        </w:rPr>
        <w:t>yr</w:t>
      </w:r>
      <w:proofErr w:type="spellEnd"/>
      <w:r w:rsidRPr="00B966B6">
        <w:rPr>
          <w:rFonts w:cs="Arial"/>
          <w:szCs w:val="22"/>
        </w:rPr>
        <w:t xml:space="preserve">) (500 </w:t>
      </w:r>
      <w:proofErr w:type="spellStart"/>
      <w:r w:rsidRPr="00B966B6">
        <w:rPr>
          <w:rFonts w:cs="Arial"/>
          <w:szCs w:val="22"/>
        </w:rPr>
        <w:t>millirem</w:t>
      </w:r>
      <w:proofErr w:type="spellEnd"/>
      <w:r w:rsidRPr="00B966B6">
        <w:rPr>
          <w:rFonts w:cs="Arial"/>
          <w:szCs w:val="22"/>
        </w:rPr>
        <w:t xml:space="preserve"> per year (</w:t>
      </w:r>
      <w:proofErr w:type="spellStart"/>
      <w:r w:rsidRPr="00B966B6">
        <w:rPr>
          <w:rFonts w:cs="Arial"/>
          <w:szCs w:val="22"/>
        </w:rPr>
        <w:t>mrem</w:t>
      </w:r>
      <w:proofErr w:type="spellEnd"/>
      <w:r w:rsidRPr="00B966B6">
        <w:rPr>
          <w:rFonts w:cs="Arial"/>
          <w:szCs w:val="22"/>
        </w:rPr>
        <w:t>/</w:t>
      </w:r>
      <w:proofErr w:type="spellStart"/>
      <w:r w:rsidRPr="00B966B6">
        <w:rPr>
          <w:rFonts w:cs="Arial"/>
          <w:szCs w:val="22"/>
        </w:rPr>
        <w:t>yr</w:t>
      </w:r>
      <w:proofErr w:type="spellEnd"/>
      <w:r w:rsidRPr="00B966B6">
        <w:rPr>
          <w:rFonts w:cs="Arial"/>
          <w:szCs w:val="22"/>
        </w:rPr>
        <w:t>))).</w:t>
      </w:r>
    </w:p>
    <w:p w:rsidR="000C44EC" w:rsidRPr="00B966B6" w:rsidRDefault="000C44EC" w:rsidP="00B966B6">
      <w:pPr>
        <w:widowControl w:val="0"/>
        <w:autoSpaceDE w:val="0"/>
        <w:autoSpaceDN w:val="0"/>
        <w:adjustRightInd w:val="0"/>
        <w:rPr>
          <w:rFonts w:cs="Arial"/>
          <w:szCs w:val="22"/>
        </w:rPr>
      </w:pPr>
    </w:p>
    <w:p w:rsidR="00DB62F9" w:rsidRPr="00473C7B" w:rsidRDefault="00DB62F9" w:rsidP="006B2D47">
      <w:pPr>
        <w:pStyle w:val="Heading1"/>
      </w:pPr>
      <w:bookmarkStart w:id="4" w:name="_Toc399760741"/>
      <w:r w:rsidRPr="00473C7B">
        <w:t>1</w:t>
      </w:r>
      <w:r w:rsidR="00144879" w:rsidRPr="00473C7B">
        <w:t>.</w:t>
      </w:r>
      <w:r w:rsidR="00057690">
        <w:t>1</w:t>
      </w:r>
      <w:r w:rsidR="00CC6298" w:rsidRPr="00473C7B">
        <w:t xml:space="preserve"> </w:t>
      </w:r>
      <w:r w:rsidRPr="00473C7B">
        <w:t>Background</w:t>
      </w:r>
      <w:bookmarkEnd w:id="4"/>
    </w:p>
    <w:p w:rsidR="00F87A8E" w:rsidRPr="00473C7B" w:rsidRDefault="00F87A8E" w:rsidP="00473C7B">
      <w:pPr>
        <w:rPr>
          <w:rFonts w:cs="Arial"/>
          <w:b/>
          <w:szCs w:val="22"/>
        </w:rPr>
      </w:pPr>
    </w:p>
    <w:p w:rsidR="0071120D" w:rsidRPr="00473C7B" w:rsidRDefault="000B457C" w:rsidP="00473C7B">
      <w:pPr>
        <w:rPr>
          <w:rFonts w:cs="Arial"/>
          <w:szCs w:val="22"/>
        </w:rPr>
      </w:pPr>
      <w:r w:rsidRPr="00473C7B">
        <w:rPr>
          <w:rFonts w:cs="Arial"/>
          <w:szCs w:val="22"/>
        </w:rPr>
        <w:t>The</w:t>
      </w:r>
      <w:r w:rsidR="0038244D" w:rsidRPr="00473C7B">
        <w:rPr>
          <w:rFonts w:cs="Arial"/>
          <w:szCs w:val="22"/>
        </w:rPr>
        <w:t xml:space="preserve"> </w:t>
      </w:r>
      <w:r w:rsidRPr="00473C7B">
        <w:rPr>
          <w:rFonts w:cs="Arial"/>
          <w:szCs w:val="22"/>
        </w:rPr>
        <w:t xml:space="preserve">regulations </w:t>
      </w:r>
      <w:r w:rsidR="008268F3" w:rsidRPr="00473C7B">
        <w:rPr>
          <w:rFonts w:cs="Arial"/>
          <w:szCs w:val="22"/>
        </w:rPr>
        <w:t xml:space="preserve">place </w:t>
      </w:r>
      <w:r w:rsidR="0015342E" w:rsidRPr="00473C7B">
        <w:rPr>
          <w:rFonts w:cs="Arial"/>
          <w:szCs w:val="22"/>
        </w:rPr>
        <w:t>emphas</w:t>
      </w:r>
      <w:r w:rsidR="008268F3" w:rsidRPr="00473C7B">
        <w:rPr>
          <w:rFonts w:cs="Arial"/>
          <w:szCs w:val="22"/>
        </w:rPr>
        <w:t>is on</w:t>
      </w:r>
      <w:r w:rsidR="0015342E" w:rsidRPr="00473C7B">
        <w:rPr>
          <w:rFonts w:cs="Arial"/>
          <w:szCs w:val="22"/>
        </w:rPr>
        <w:t xml:space="preserve"> an integrated systems approach to the disposal of commercial LLRW, including site selection, disposal facility design and operation, minimum waste</w:t>
      </w:r>
      <w:r w:rsidR="005F04D9" w:rsidRPr="00473C7B">
        <w:rPr>
          <w:rFonts w:cs="Arial"/>
          <w:szCs w:val="22"/>
        </w:rPr>
        <w:t xml:space="preserve"> </w:t>
      </w:r>
      <w:r w:rsidR="0015342E" w:rsidRPr="00473C7B">
        <w:rPr>
          <w:rFonts w:cs="Arial"/>
          <w:szCs w:val="22"/>
        </w:rPr>
        <w:t xml:space="preserve">form requirements, and disposal facility closure.  </w:t>
      </w:r>
      <w:r w:rsidR="00222719" w:rsidRPr="00473C7B">
        <w:rPr>
          <w:rFonts w:cs="Arial"/>
          <w:szCs w:val="22"/>
        </w:rPr>
        <w:t xml:space="preserve">To reduce reliance on institutional controls, 10 CFR </w:t>
      </w:r>
      <w:r w:rsidR="00E5337C" w:rsidRPr="00473C7B">
        <w:rPr>
          <w:rFonts w:cs="Arial"/>
          <w:szCs w:val="22"/>
        </w:rPr>
        <w:t xml:space="preserve">Part </w:t>
      </w:r>
      <w:r w:rsidR="00222719" w:rsidRPr="00473C7B">
        <w:rPr>
          <w:rFonts w:cs="Arial"/>
          <w:szCs w:val="22"/>
        </w:rPr>
        <w:t>61 emphasizes passive</w:t>
      </w:r>
      <w:r w:rsidR="008113F9" w:rsidRPr="00473C7B">
        <w:rPr>
          <w:rFonts w:cs="Arial"/>
          <w:szCs w:val="22"/>
        </w:rPr>
        <w:t>,</w:t>
      </w:r>
      <w:r w:rsidR="00222719" w:rsidRPr="00473C7B">
        <w:rPr>
          <w:rFonts w:cs="Arial"/>
          <w:szCs w:val="22"/>
        </w:rPr>
        <w:t xml:space="preserve"> rather than active</w:t>
      </w:r>
      <w:r w:rsidR="008113F9" w:rsidRPr="00473C7B">
        <w:rPr>
          <w:rFonts w:cs="Arial"/>
          <w:szCs w:val="22"/>
        </w:rPr>
        <w:t>,</w:t>
      </w:r>
      <w:r w:rsidR="00222719" w:rsidRPr="00473C7B">
        <w:rPr>
          <w:rFonts w:cs="Arial"/>
          <w:szCs w:val="22"/>
        </w:rPr>
        <w:t xml:space="preserve"> systems to limit and retard the release of LLRW to the environment.</w:t>
      </w:r>
      <w:r w:rsidR="00DA55F2">
        <w:rPr>
          <w:rFonts w:cs="Arial"/>
          <w:szCs w:val="22"/>
        </w:rPr>
        <w:t xml:space="preserve">  </w:t>
      </w:r>
      <w:r w:rsidR="00DA55F2" w:rsidRPr="00DA55F2">
        <w:rPr>
          <w:rFonts w:cs="Arial"/>
          <w:szCs w:val="22"/>
        </w:rPr>
        <w:t xml:space="preserve">This integrated systems approach is similar to the defense-in-depth concept that has been well known for some time for the NRC’s nuclear reactor safety design and licensing activities.  However, </w:t>
      </w:r>
      <w:r w:rsidR="00EC5175">
        <w:rPr>
          <w:rFonts w:cs="Arial"/>
          <w:szCs w:val="22"/>
        </w:rPr>
        <w:t>defense-in-depth</w:t>
      </w:r>
      <w:r w:rsidR="00EC5175" w:rsidRPr="00DA55F2">
        <w:rPr>
          <w:rFonts w:cs="Arial"/>
          <w:szCs w:val="22"/>
        </w:rPr>
        <w:t xml:space="preserve"> </w:t>
      </w:r>
      <w:r w:rsidR="00DA55F2" w:rsidRPr="00DA55F2">
        <w:rPr>
          <w:rFonts w:cs="Arial"/>
          <w:szCs w:val="22"/>
        </w:rPr>
        <w:t xml:space="preserve">is not explicitly discussed in the existing 10 CFR </w:t>
      </w:r>
      <w:r w:rsidR="005036BB">
        <w:rPr>
          <w:rFonts w:cs="Arial"/>
          <w:szCs w:val="22"/>
        </w:rPr>
        <w:t>P</w:t>
      </w:r>
      <w:r w:rsidR="00DA55F2" w:rsidRPr="00DA55F2">
        <w:rPr>
          <w:rFonts w:cs="Arial"/>
          <w:szCs w:val="22"/>
        </w:rPr>
        <w:t xml:space="preserve">art 61 regulations.  Currently, the </w:t>
      </w:r>
      <w:r w:rsidR="00EC5175">
        <w:rPr>
          <w:rFonts w:cs="Arial"/>
          <w:szCs w:val="22"/>
        </w:rPr>
        <w:t>defense-in-depth</w:t>
      </w:r>
      <w:r w:rsidR="00EC5175" w:rsidRPr="00DA55F2">
        <w:rPr>
          <w:rFonts w:cs="Arial"/>
          <w:szCs w:val="22"/>
        </w:rPr>
        <w:t xml:space="preserve"> </w:t>
      </w:r>
      <w:r w:rsidR="00DA55F2" w:rsidRPr="00DA55F2">
        <w:rPr>
          <w:rFonts w:cs="Arial"/>
          <w:szCs w:val="22"/>
        </w:rPr>
        <w:t xml:space="preserve">concept is implicitly </w:t>
      </w:r>
      <w:r w:rsidR="00DA55F2" w:rsidRPr="00DA55F2">
        <w:rPr>
          <w:rFonts w:cs="Arial"/>
          <w:szCs w:val="22"/>
        </w:rPr>
        <w:lastRenderedPageBreak/>
        <w:t>contained in 10</w:t>
      </w:r>
      <w:r w:rsidR="00003BB9">
        <w:rPr>
          <w:rFonts w:cs="Arial"/>
          <w:szCs w:val="22"/>
        </w:rPr>
        <w:t> </w:t>
      </w:r>
      <w:r w:rsidR="00DA55F2" w:rsidRPr="00DA55F2">
        <w:rPr>
          <w:rFonts w:cs="Arial"/>
          <w:szCs w:val="22"/>
        </w:rPr>
        <w:t xml:space="preserve">CFR </w:t>
      </w:r>
      <w:r w:rsidR="005036BB">
        <w:rPr>
          <w:rFonts w:cs="Arial"/>
          <w:szCs w:val="22"/>
        </w:rPr>
        <w:t>P</w:t>
      </w:r>
      <w:r w:rsidR="00DA55F2" w:rsidRPr="00DA55F2">
        <w:rPr>
          <w:rFonts w:cs="Arial"/>
          <w:szCs w:val="22"/>
        </w:rPr>
        <w:t xml:space="preserve">art 61 regulations (e.g., requiring that the disposal site design complement and improve upon the ability of the site’s natural characteristics to ensure the performance objectives will be met; imposing concentration limits on waste that presents a higher hazard through the waste classification requirements; requiring the segregation of unstable waste from waste that presents a larger hazard and should be stable for proper disposal; imposing requirements on </w:t>
      </w:r>
      <w:proofErr w:type="spellStart"/>
      <w:r w:rsidR="00DA55F2" w:rsidRPr="00DA55F2">
        <w:rPr>
          <w:rFonts w:cs="Arial"/>
          <w:szCs w:val="22"/>
        </w:rPr>
        <w:t>wasteform</w:t>
      </w:r>
      <w:proofErr w:type="spellEnd"/>
      <w:r w:rsidR="00DA55F2" w:rsidRPr="00DA55F2">
        <w:rPr>
          <w:rFonts w:cs="Arial"/>
          <w:szCs w:val="22"/>
        </w:rPr>
        <w:t xml:space="preserve"> and packaging characteristics; and requiring the use of barriers to intrusion for wastes that will not decay to levels which present an acceptable hazard to an intruder within 100 years).</w:t>
      </w:r>
    </w:p>
    <w:p w:rsidR="0071120D" w:rsidRPr="00473C7B" w:rsidRDefault="0071120D" w:rsidP="00473C7B">
      <w:pPr>
        <w:rPr>
          <w:rFonts w:cs="Arial"/>
          <w:szCs w:val="22"/>
        </w:rPr>
      </w:pPr>
    </w:p>
    <w:p w:rsidR="0015342E" w:rsidRPr="00473C7B" w:rsidRDefault="00CE70AB" w:rsidP="00473C7B">
      <w:pPr>
        <w:rPr>
          <w:rFonts w:cs="Arial"/>
          <w:szCs w:val="22"/>
        </w:rPr>
      </w:pPr>
      <w:r w:rsidRPr="00473C7B">
        <w:rPr>
          <w:rFonts w:cs="Arial"/>
          <w:szCs w:val="22"/>
        </w:rPr>
        <w:t xml:space="preserve">The regulations at </w:t>
      </w:r>
      <w:r w:rsidR="00F70F9B" w:rsidRPr="00473C7B">
        <w:rPr>
          <w:rFonts w:cs="Arial"/>
          <w:szCs w:val="22"/>
        </w:rPr>
        <w:t>10 CFR Part 61, Subpart C, contain performance objectives, which set standards for a) 10 CFR 61.41, “Protection of the general population from the releases of radioactivity</w:t>
      </w:r>
      <w:r w:rsidR="007E3CBA">
        <w:rPr>
          <w:rFonts w:cs="Arial"/>
          <w:szCs w:val="22"/>
        </w:rPr>
        <w:t>;”</w:t>
      </w:r>
      <w:r w:rsidR="00F70F9B" w:rsidRPr="00473C7B">
        <w:rPr>
          <w:rFonts w:cs="Arial"/>
          <w:szCs w:val="22"/>
        </w:rPr>
        <w:t xml:space="preserve"> b) 10 CFR 61.42, ”Protection of individu</w:t>
      </w:r>
      <w:r w:rsidR="007E3CBA">
        <w:rPr>
          <w:rFonts w:cs="Arial"/>
          <w:szCs w:val="22"/>
        </w:rPr>
        <w:t>als from inadvertent intrusion;”</w:t>
      </w:r>
      <w:r w:rsidR="00F70F9B" w:rsidRPr="00473C7B">
        <w:rPr>
          <w:rFonts w:cs="Arial"/>
          <w:szCs w:val="22"/>
        </w:rPr>
        <w:t xml:space="preserve"> c)</w:t>
      </w:r>
      <w:r w:rsidR="00E378F0">
        <w:rPr>
          <w:rFonts w:cs="Arial"/>
          <w:szCs w:val="22"/>
        </w:rPr>
        <w:t> </w:t>
      </w:r>
      <w:r w:rsidR="00F70F9B" w:rsidRPr="00473C7B">
        <w:rPr>
          <w:rFonts w:cs="Arial"/>
          <w:szCs w:val="22"/>
        </w:rPr>
        <w:t>10</w:t>
      </w:r>
      <w:r w:rsidR="00E378F0">
        <w:rPr>
          <w:rFonts w:cs="Arial"/>
          <w:szCs w:val="22"/>
        </w:rPr>
        <w:t> </w:t>
      </w:r>
      <w:r w:rsidR="00F70F9B" w:rsidRPr="00473C7B">
        <w:rPr>
          <w:rFonts w:cs="Arial"/>
          <w:szCs w:val="22"/>
        </w:rPr>
        <w:t>CFR</w:t>
      </w:r>
      <w:r w:rsidR="00E378F0">
        <w:rPr>
          <w:rFonts w:cs="Arial"/>
          <w:szCs w:val="22"/>
        </w:rPr>
        <w:t> </w:t>
      </w:r>
      <w:r w:rsidR="00F70F9B" w:rsidRPr="00473C7B">
        <w:rPr>
          <w:rFonts w:cs="Arial"/>
          <w:szCs w:val="22"/>
        </w:rPr>
        <w:t>61.43, “Protection of individuals during operations</w:t>
      </w:r>
      <w:r w:rsidR="007E3CBA">
        <w:rPr>
          <w:rFonts w:cs="Arial"/>
          <w:szCs w:val="22"/>
        </w:rPr>
        <w:t>;</w:t>
      </w:r>
      <w:r w:rsidR="00F70F9B" w:rsidRPr="00473C7B">
        <w:rPr>
          <w:rFonts w:cs="Arial"/>
          <w:szCs w:val="22"/>
        </w:rPr>
        <w:t>” and d) 10 CFR 61.44, “Stability of disposal site after closure</w:t>
      </w:r>
      <w:r w:rsidR="00222719" w:rsidRPr="00473C7B">
        <w:rPr>
          <w:rFonts w:cs="Arial"/>
          <w:szCs w:val="22"/>
        </w:rPr>
        <w:t>.</w:t>
      </w:r>
      <w:r w:rsidR="00F70F9B" w:rsidRPr="00473C7B">
        <w:rPr>
          <w:rFonts w:cs="Arial"/>
          <w:szCs w:val="22"/>
        </w:rPr>
        <w:t xml:space="preserve">”  License applicants </w:t>
      </w:r>
      <w:proofErr w:type="gramStart"/>
      <w:r w:rsidR="00F70F9B" w:rsidRPr="00473C7B">
        <w:rPr>
          <w:rFonts w:cs="Arial"/>
          <w:szCs w:val="22"/>
        </w:rPr>
        <w:t>under</w:t>
      </w:r>
      <w:proofErr w:type="gramEnd"/>
      <w:r w:rsidR="00F70F9B" w:rsidRPr="00473C7B">
        <w:rPr>
          <w:rFonts w:cs="Arial"/>
          <w:szCs w:val="22"/>
        </w:rPr>
        <w:t xml:space="preserve"> 10 CFR Part 61 must prepare an assessment of potential dose impacts to the general population to demonstrate that they will meet the 10 CFR</w:t>
      </w:r>
      <w:r w:rsidR="00621EE1" w:rsidRPr="00473C7B">
        <w:rPr>
          <w:rFonts w:cs="Arial"/>
          <w:szCs w:val="22"/>
        </w:rPr>
        <w:t xml:space="preserve"> </w:t>
      </w:r>
      <w:r w:rsidR="00F70F9B" w:rsidRPr="00473C7B">
        <w:rPr>
          <w:rFonts w:cs="Arial"/>
          <w:szCs w:val="22"/>
        </w:rPr>
        <w:t xml:space="preserve">Part 61, Subpart C performance objectives.  License applicants must also demonstrate </w:t>
      </w:r>
      <w:r w:rsidR="004914D1" w:rsidRPr="00473C7B">
        <w:rPr>
          <w:rFonts w:cs="Arial"/>
          <w:szCs w:val="22"/>
        </w:rPr>
        <w:t>adequate protection of</w:t>
      </w:r>
      <w:r w:rsidR="00F70F9B" w:rsidRPr="00473C7B">
        <w:rPr>
          <w:rFonts w:cs="Arial"/>
          <w:szCs w:val="22"/>
        </w:rPr>
        <w:t xml:space="preserve"> potential inadvertent intruders into the LLRW disposal facility, who might occupy the site at any time after institutional controls over the LLRW disposal facility are removed and are unaware of the radiation hazard </w:t>
      </w:r>
      <w:r w:rsidR="004914D1" w:rsidRPr="00473C7B">
        <w:rPr>
          <w:rFonts w:cs="Arial"/>
          <w:szCs w:val="22"/>
        </w:rPr>
        <w:t>from the LLRW</w:t>
      </w:r>
      <w:r w:rsidR="00F70F9B" w:rsidRPr="00473C7B">
        <w:rPr>
          <w:rFonts w:cs="Arial"/>
          <w:szCs w:val="22"/>
        </w:rPr>
        <w:t xml:space="preserve">.  </w:t>
      </w:r>
      <w:r w:rsidR="004914D1" w:rsidRPr="00473C7B">
        <w:rPr>
          <w:rFonts w:cs="Arial"/>
          <w:szCs w:val="22"/>
        </w:rPr>
        <w:t xml:space="preserve">Currently, licensees demonstrate </w:t>
      </w:r>
      <w:r w:rsidR="00F70F9B" w:rsidRPr="00473C7B">
        <w:rPr>
          <w:rFonts w:cs="Arial"/>
          <w:szCs w:val="22"/>
        </w:rPr>
        <w:t xml:space="preserve">protection of inadvertent intruders </w:t>
      </w:r>
      <w:r w:rsidR="00184B02" w:rsidRPr="00473C7B">
        <w:rPr>
          <w:rFonts w:cs="Arial"/>
          <w:szCs w:val="22"/>
        </w:rPr>
        <w:t>by complying</w:t>
      </w:r>
      <w:r w:rsidR="00F70F9B" w:rsidRPr="00473C7B">
        <w:rPr>
          <w:rFonts w:cs="Arial"/>
          <w:szCs w:val="22"/>
        </w:rPr>
        <w:t xml:space="preserve"> with the LLRW classification (10</w:t>
      </w:r>
      <w:r w:rsidR="00621EE1" w:rsidRPr="00473C7B">
        <w:rPr>
          <w:rFonts w:cs="Arial"/>
          <w:szCs w:val="22"/>
        </w:rPr>
        <w:t> </w:t>
      </w:r>
      <w:r w:rsidR="00F70F9B" w:rsidRPr="00473C7B">
        <w:rPr>
          <w:rFonts w:cs="Arial"/>
          <w:szCs w:val="22"/>
        </w:rPr>
        <w:t xml:space="preserve">CFR 61.55) and segregation requirements (10 CFR 61.52, “Land disposal facility operation and disposal site closure,”) and by providing adequate barriers to inadvertent intrusion. </w:t>
      </w:r>
    </w:p>
    <w:p w:rsidR="00F70F9B" w:rsidRPr="00473C7B" w:rsidRDefault="00F70F9B" w:rsidP="00473C7B">
      <w:pPr>
        <w:rPr>
          <w:rFonts w:cs="Arial"/>
          <w:szCs w:val="22"/>
        </w:rPr>
      </w:pPr>
    </w:p>
    <w:p w:rsidR="002C39C8" w:rsidRDefault="00F70F9B" w:rsidP="00473C7B">
      <w:pPr>
        <w:rPr>
          <w:rFonts w:cs="Arial"/>
          <w:szCs w:val="22"/>
        </w:rPr>
      </w:pPr>
      <w:r w:rsidRPr="00473C7B">
        <w:rPr>
          <w:rFonts w:cs="Arial"/>
          <w:szCs w:val="22"/>
        </w:rPr>
        <w:t xml:space="preserve">Explicit dose limits for an inadvertent intruder are not currently provided in 10 CFR Part 61 because an intruder dose assessment is not required, but the concentrations limits for radionuclides, in Tables 1 and 2 of 10 CFR 61.55, were based on a dose of 5 </w:t>
      </w:r>
      <w:proofErr w:type="spellStart"/>
      <w:r w:rsidR="00362BC4" w:rsidRPr="00473C7B">
        <w:rPr>
          <w:rFonts w:cs="Arial"/>
          <w:szCs w:val="22"/>
        </w:rPr>
        <w:t>m</w:t>
      </w:r>
      <w:r w:rsidR="00362BC4">
        <w:rPr>
          <w:rFonts w:cs="Arial"/>
          <w:szCs w:val="22"/>
        </w:rPr>
        <w:t>illisie</w:t>
      </w:r>
      <w:r w:rsidR="00362BC4" w:rsidRPr="00473C7B">
        <w:rPr>
          <w:rFonts w:cs="Arial"/>
          <w:szCs w:val="22"/>
        </w:rPr>
        <w:t>v</w:t>
      </w:r>
      <w:r w:rsidR="00362BC4">
        <w:rPr>
          <w:rFonts w:cs="Arial"/>
          <w:szCs w:val="22"/>
        </w:rPr>
        <w:t>erts</w:t>
      </w:r>
      <w:proofErr w:type="spellEnd"/>
      <w:r w:rsidRPr="00473C7B">
        <w:rPr>
          <w:rFonts w:cs="Arial"/>
          <w:szCs w:val="22"/>
        </w:rPr>
        <w:t>/y</w:t>
      </w:r>
      <w:r w:rsidR="005036BB">
        <w:rPr>
          <w:rFonts w:cs="Arial"/>
          <w:szCs w:val="22"/>
        </w:rPr>
        <w:t>ea</w:t>
      </w:r>
      <w:r w:rsidRPr="00473C7B">
        <w:rPr>
          <w:rFonts w:cs="Arial"/>
          <w:szCs w:val="22"/>
        </w:rPr>
        <w:t>r</w:t>
      </w:r>
      <w:r w:rsidR="005036BB">
        <w:rPr>
          <w:rFonts w:cs="Arial"/>
          <w:szCs w:val="22"/>
        </w:rPr>
        <w:t xml:space="preserve"> (</w:t>
      </w:r>
      <w:proofErr w:type="spellStart"/>
      <w:r w:rsidR="005036BB">
        <w:rPr>
          <w:rFonts w:cs="Arial"/>
          <w:szCs w:val="22"/>
        </w:rPr>
        <w:t>mSv</w:t>
      </w:r>
      <w:proofErr w:type="spellEnd"/>
      <w:r w:rsidR="005036BB">
        <w:rPr>
          <w:rFonts w:cs="Arial"/>
          <w:szCs w:val="22"/>
        </w:rPr>
        <w:t>/</w:t>
      </w:r>
      <w:proofErr w:type="spellStart"/>
      <w:r w:rsidR="005036BB">
        <w:rPr>
          <w:rFonts w:cs="Arial"/>
          <w:szCs w:val="22"/>
        </w:rPr>
        <w:t>yr</w:t>
      </w:r>
      <w:proofErr w:type="spellEnd"/>
      <w:r w:rsidR="005036BB">
        <w:rPr>
          <w:rFonts w:cs="Arial"/>
          <w:szCs w:val="22"/>
        </w:rPr>
        <w:t>)</w:t>
      </w:r>
      <w:r w:rsidRPr="00473C7B">
        <w:rPr>
          <w:rFonts w:cs="Arial"/>
          <w:szCs w:val="22"/>
        </w:rPr>
        <w:t xml:space="preserve"> (500 </w:t>
      </w:r>
      <w:proofErr w:type="spellStart"/>
      <w:r w:rsidRPr="00473C7B">
        <w:rPr>
          <w:rFonts w:cs="Arial"/>
          <w:szCs w:val="22"/>
        </w:rPr>
        <w:t>m</w:t>
      </w:r>
      <w:r w:rsidR="005036BB">
        <w:rPr>
          <w:rFonts w:cs="Arial"/>
          <w:szCs w:val="22"/>
        </w:rPr>
        <w:t>illi</w:t>
      </w:r>
      <w:r w:rsidRPr="00473C7B">
        <w:rPr>
          <w:rFonts w:cs="Arial"/>
          <w:szCs w:val="22"/>
        </w:rPr>
        <w:t>rem</w:t>
      </w:r>
      <w:proofErr w:type="spellEnd"/>
      <w:r w:rsidRPr="00473C7B">
        <w:rPr>
          <w:rFonts w:cs="Arial"/>
          <w:szCs w:val="22"/>
        </w:rPr>
        <w:t>/y</w:t>
      </w:r>
      <w:r w:rsidR="005036BB">
        <w:rPr>
          <w:rFonts w:cs="Arial"/>
          <w:szCs w:val="22"/>
        </w:rPr>
        <w:t>ea</w:t>
      </w:r>
      <w:r w:rsidRPr="00473C7B">
        <w:rPr>
          <w:rFonts w:cs="Arial"/>
          <w:szCs w:val="22"/>
        </w:rPr>
        <w:t>r</w:t>
      </w:r>
      <w:r w:rsidR="005036BB">
        <w:rPr>
          <w:rFonts w:cs="Arial"/>
          <w:szCs w:val="22"/>
        </w:rPr>
        <w:t xml:space="preserve"> [</w:t>
      </w:r>
      <w:proofErr w:type="spellStart"/>
      <w:r w:rsidR="005036BB">
        <w:rPr>
          <w:rFonts w:cs="Arial"/>
          <w:szCs w:val="22"/>
        </w:rPr>
        <w:t>mrem</w:t>
      </w:r>
      <w:proofErr w:type="spellEnd"/>
      <w:r w:rsidR="005036BB">
        <w:rPr>
          <w:rFonts w:cs="Arial"/>
          <w:szCs w:val="22"/>
        </w:rPr>
        <w:t>/</w:t>
      </w:r>
      <w:proofErr w:type="spellStart"/>
      <w:r w:rsidR="005036BB">
        <w:rPr>
          <w:rFonts w:cs="Arial"/>
          <w:szCs w:val="22"/>
        </w:rPr>
        <w:t>yr</w:t>
      </w:r>
      <w:proofErr w:type="spellEnd"/>
      <w:r w:rsidR="005036BB">
        <w:rPr>
          <w:rFonts w:cs="Arial"/>
          <w:szCs w:val="22"/>
        </w:rPr>
        <w:t>]</w:t>
      </w:r>
      <w:r w:rsidR="00682B07" w:rsidRPr="00473C7B">
        <w:rPr>
          <w:rFonts w:cs="Arial"/>
          <w:szCs w:val="22"/>
        </w:rPr>
        <w:t xml:space="preserve">) </w:t>
      </w:r>
      <w:r w:rsidRPr="00473C7B">
        <w:rPr>
          <w:rFonts w:cs="Arial"/>
          <w:szCs w:val="22"/>
        </w:rPr>
        <w:t xml:space="preserve">to an inadvertent intruder.  The final LLRW classification tables were developed assuming that only a fraction of the LLRW being disposed would approach the LLRW classification limits </w:t>
      </w:r>
      <w:r w:rsidR="00E91823" w:rsidRPr="00E91823">
        <w:rPr>
          <w:rFonts w:cs="Arial"/>
          <w:szCs w:val="22"/>
        </w:rPr>
        <w:t xml:space="preserve">(Note that the dose to an intruder exposed to a large volume of disposed LLRW at the classification limits could exceed 5 </w:t>
      </w:r>
      <w:proofErr w:type="spellStart"/>
      <w:r w:rsidR="00E91823" w:rsidRPr="00E91823">
        <w:rPr>
          <w:rFonts w:cs="Arial"/>
          <w:szCs w:val="22"/>
        </w:rPr>
        <w:t>mSv</w:t>
      </w:r>
      <w:proofErr w:type="spellEnd"/>
      <w:r w:rsidR="00E91823" w:rsidRPr="00E91823">
        <w:rPr>
          <w:rFonts w:cs="Arial"/>
          <w:szCs w:val="22"/>
        </w:rPr>
        <w:t>/</w:t>
      </w:r>
      <w:proofErr w:type="spellStart"/>
      <w:r w:rsidR="00E91823" w:rsidRPr="00E91823">
        <w:rPr>
          <w:rFonts w:cs="Arial"/>
          <w:szCs w:val="22"/>
        </w:rPr>
        <w:t>yr</w:t>
      </w:r>
      <w:proofErr w:type="spellEnd"/>
      <w:r w:rsidR="00E91823" w:rsidRPr="00E91823">
        <w:rPr>
          <w:rFonts w:cs="Arial"/>
          <w:szCs w:val="22"/>
        </w:rPr>
        <w:t xml:space="preserve"> (500 </w:t>
      </w:r>
      <w:proofErr w:type="spellStart"/>
      <w:r w:rsidR="00E91823" w:rsidRPr="00E91823">
        <w:rPr>
          <w:rFonts w:cs="Arial"/>
          <w:szCs w:val="22"/>
        </w:rPr>
        <w:t>mrem</w:t>
      </w:r>
      <w:proofErr w:type="spellEnd"/>
      <w:r w:rsidR="00E91823" w:rsidRPr="00E91823">
        <w:rPr>
          <w:rFonts w:cs="Arial"/>
          <w:szCs w:val="22"/>
        </w:rPr>
        <w:t>/</w:t>
      </w:r>
      <w:proofErr w:type="spellStart"/>
      <w:r w:rsidR="00E91823" w:rsidRPr="00E91823">
        <w:rPr>
          <w:rFonts w:cs="Arial"/>
          <w:szCs w:val="22"/>
        </w:rPr>
        <w:t>yr</w:t>
      </w:r>
      <w:proofErr w:type="spellEnd"/>
      <w:r w:rsidR="00E91823" w:rsidRPr="00E91823">
        <w:rPr>
          <w:rFonts w:cs="Arial"/>
          <w:szCs w:val="22"/>
        </w:rPr>
        <w:t xml:space="preserve">)).  </w:t>
      </w:r>
      <w:r w:rsidRPr="00473C7B">
        <w:rPr>
          <w:rFonts w:cs="Arial"/>
          <w:szCs w:val="22"/>
        </w:rPr>
        <w:t>By complying with the LLRW classification and segregation</w:t>
      </w:r>
      <w:r w:rsidR="00DC5DE1" w:rsidRPr="00473C7B">
        <w:rPr>
          <w:rFonts w:cs="Arial"/>
          <w:szCs w:val="22"/>
        </w:rPr>
        <w:t xml:space="preserve"> </w:t>
      </w:r>
      <w:r w:rsidRPr="00473C7B">
        <w:rPr>
          <w:rFonts w:cs="Arial"/>
          <w:szCs w:val="22"/>
        </w:rPr>
        <w:t>requirements, a licensee can demonstrate that an inadvertent intruder will be protected if the</w:t>
      </w:r>
      <w:r w:rsidR="00184DA6">
        <w:rPr>
          <w:rFonts w:cs="Arial"/>
          <w:szCs w:val="22"/>
        </w:rPr>
        <w:t xml:space="preserve"> </w:t>
      </w:r>
      <w:r w:rsidRPr="00473C7B">
        <w:rPr>
          <w:rFonts w:cs="Arial"/>
          <w:szCs w:val="22"/>
        </w:rPr>
        <w:t xml:space="preserve">LLRW stream proposed for disposal is sufficiently similar to that considered by the regulatory basis for the current 10 CFR Part 61 regulations and if the underlying assumptions are not </w:t>
      </w:r>
      <w:r w:rsidR="00184B02" w:rsidRPr="00473C7B">
        <w:rPr>
          <w:rFonts w:cs="Arial"/>
          <w:szCs w:val="22"/>
        </w:rPr>
        <w:t>compromised</w:t>
      </w:r>
      <w:r w:rsidR="00E91823">
        <w:rPr>
          <w:rFonts w:cs="Arial"/>
          <w:szCs w:val="22"/>
        </w:rPr>
        <w:t>.</w:t>
      </w:r>
    </w:p>
    <w:p w:rsidR="000C44EC" w:rsidRPr="00473C7B" w:rsidRDefault="000C44EC" w:rsidP="00473C7B">
      <w:pPr>
        <w:rPr>
          <w:rFonts w:cs="Arial"/>
          <w:szCs w:val="22"/>
        </w:rPr>
      </w:pPr>
    </w:p>
    <w:p w:rsidR="00707A85" w:rsidRPr="00473C7B" w:rsidRDefault="00707A85" w:rsidP="00473C7B">
      <w:pPr>
        <w:rPr>
          <w:rFonts w:cs="Arial"/>
          <w:bCs/>
          <w:szCs w:val="22"/>
        </w:rPr>
      </w:pPr>
      <w:r w:rsidRPr="00473C7B">
        <w:rPr>
          <w:rFonts w:cs="Arial"/>
          <w:szCs w:val="22"/>
        </w:rPr>
        <w:t>Current</w:t>
      </w:r>
      <w:r w:rsidR="00CE70AB" w:rsidRPr="00473C7B">
        <w:rPr>
          <w:rFonts w:cs="Arial"/>
          <w:szCs w:val="22"/>
        </w:rPr>
        <w:t>ly,</w:t>
      </w:r>
      <w:r w:rsidRPr="00473C7B">
        <w:rPr>
          <w:rFonts w:cs="Arial"/>
          <w:szCs w:val="22"/>
        </w:rPr>
        <w:t xml:space="preserve"> 10 CFR Part 61 does not specify a time period</w:t>
      </w:r>
      <w:r w:rsidRPr="00473C7B">
        <w:rPr>
          <w:rStyle w:val="FootnoteReference"/>
          <w:rFonts w:cs="Arial"/>
          <w:szCs w:val="22"/>
        </w:rPr>
        <w:footnoteReference w:id="2"/>
      </w:r>
      <w:r w:rsidRPr="00473C7B">
        <w:rPr>
          <w:rFonts w:cs="Arial"/>
          <w:szCs w:val="22"/>
        </w:rPr>
        <w:t xml:space="preserve"> for the protection of the general population from releases of radioactivity.  The regulatory basis for</w:t>
      </w:r>
      <w:r w:rsidR="00CE70AB" w:rsidRPr="00473C7B">
        <w:rPr>
          <w:rFonts w:cs="Arial"/>
          <w:szCs w:val="22"/>
        </w:rPr>
        <w:t xml:space="preserve"> </w:t>
      </w:r>
      <w:r w:rsidR="00621EE1" w:rsidRPr="00473C7B">
        <w:rPr>
          <w:rFonts w:cs="Arial"/>
          <w:szCs w:val="22"/>
        </w:rPr>
        <w:t>10 CFR </w:t>
      </w:r>
      <w:r w:rsidRPr="00473C7B">
        <w:rPr>
          <w:rFonts w:cs="Arial"/>
          <w:szCs w:val="22"/>
        </w:rPr>
        <w:t xml:space="preserve">Part 61 regulations and the related guidance documents recognize the need to use an analysis timeframe commensurate with the persistence of the hazard.  Selection of an analysis timeframe generally considers the characteristics of the </w:t>
      </w:r>
      <w:r w:rsidR="00B30FA5" w:rsidRPr="00473C7B">
        <w:rPr>
          <w:rFonts w:cs="Arial"/>
          <w:szCs w:val="22"/>
        </w:rPr>
        <w:t>LLRW</w:t>
      </w:r>
      <w:r w:rsidRPr="00473C7B">
        <w:rPr>
          <w:rFonts w:cs="Arial"/>
          <w:szCs w:val="22"/>
        </w:rPr>
        <w:t xml:space="preserve">, the analysis framework (assumed scenarios, receptors, and pathways), societal uncertainties, uncertainty in predicting the behavior of natural systems over time, and national and international LLRW disposal practices.  The analysis timeframe needs to consider both technical factors (e.g., the characteristics and persistence of </w:t>
      </w:r>
      <w:r w:rsidRPr="00473C7B">
        <w:rPr>
          <w:rFonts w:cs="Arial"/>
          <w:szCs w:val="22"/>
        </w:rPr>
        <w:lastRenderedPageBreak/>
        <w:t xml:space="preserve">the radiological hazard attributed to the </w:t>
      </w:r>
      <w:r w:rsidR="00B30FA5" w:rsidRPr="00473C7B">
        <w:rPr>
          <w:rFonts w:cs="Arial"/>
          <w:szCs w:val="22"/>
        </w:rPr>
        <w:t>LLRW</w:t>
      </w:r>
      <w:r w:rsidRPr="00473C7B">
        <w:rPr>
          <w:rFonts w:cs="Arial"/>
          <w:szCs w:val="22"/>
        </w:rPr>
        <w:t>) and socioeconomic factors (e.g.,</w:t>
      </w:r>
      <w:r w:rsidR="00184DA6">
        <w:rPr>
          <w:rFonts w:cs="Arial"/>
          <w:szCs w:val="22"/>
        </w:rPr>
        <w:t xml:space="preserve"> </w:t>
      </w:r>
      <w:proofErr w:type="spellStart"/>
      <w:r w:rsidRPr="00473C7B">
        <w:rPr>
          <w:rFonts w:cs="Arial"/>
          <w:szCs w:val="22"/>
        </w:rPr>
        <w:t>transgenerational</w:t>
      </w:r>
      <w:proofErr w:type="spellEnd"/>
      <w:r w:rsidRPr="00473C7B">
        <w:rPr>
          <w:rFonts w:cs="Arial"/>
          <w:szCs w:val="22"/>
        </w:rPr>
        <w:t xml:space="preserve"> equity).</w:t>
      </w:r>
      <w:r w:rsidRPr="00473C7B">
        <w:rPr>
          <w:rStyle w:val="FootnoteReference"/>
          <w:rFonts w:cs="Arial"/>
          <w:szCs w:val="22"/>
        </w:rPr>
        <w:footnoteReference w:id="3"/>
      </w:r>
      <w:r w:rsidRPr="000E7109">
        <w:rPr>
          <w:rFonts w:cs="Arial"/>
          <w:szCs w:val="22"/>
        </w:rPr>
        <w:t xml:space="preserve">  </w:t>
      </w:r>
      <w:r w:rsidRPr="00473C7B">
        <w:rPr>
          <w:rFonts w:cs="Arial"/>
          <w:szCs w:val="22"/>
        </w:rPr>
        <w:t xml:space="preserve">The purpose of assigning an analysis timeframe to the site-specific technical analyses is to ensure that public health and safety are protected to prescribed limits with an acceptable degree of confidence.  </w:t>
      </w:r>
      <w:r w:rsidR="00184B02" w:rsidRPr="00473C7B">
        <w:rPr>
          <w:rFonts w:cs="Arial"/>
          <w:bCs/>
          <w:szCs w:val="22"/>
        </w:rPr>
        <w:t xml:space="preserve">Proposing </w:t>
      </w:r>
      <w:r w:rsidRPr="00473C7B">
        <w:rPr>
          <w:rFonts w:cs="Arial"/>
          <w:bCs/>
          <w:szCs w:val="22"/>
        </w:rPr>
        <w:t xml:space="preserve">a specific analysis timeframe in the regulations would </w:t>
      </w:r>
      <w:r w:rsidR="00642CF5">
        <w:rPr>
          <w:rFonts w:cs="Arial"/>
          <w:bCs/>
          <w:szCs w:val="22"/>
        </w:rPr>
        <w:t>ensure</w:t>
      </w:r>
      <w:r w:rsidR="00642CF5" w:rsidRPr="00473C7B">
        <w:rPr>
          <w:rFonts w:cs="Arial"/>
          <w:bCs/>
          <w:szCs w:val="22"/>
        </w:rPr>
        <w:t xml:space="preserve"> </w:t>
      </w:r>
      <w:r w:rsidRPr="00473C7B">
        <w:rPr>
          <w:rFonts w:cs="Arial"/>
          <w:bCs/>
          <w:szCs w:val="22"/>
        </w:rPr>
        <w:t>the safe disposal of LLRW by providing clear direction to licensees, license applicants, and the Agreement States.</w:t>
      </w:r>
    </w:p>
    <w:p w:rsidR="00707A85" w:rsidRPr="00473C7B" w:rsidRDefault="00707A85" w:rsidP="00473C7B">
      <w:pPr>
        <w:rPr>
          <w:rFonts w:cs="Arial"/>
          <w:bCs/>
          <w:szCs w:val="22"/>
        </w:rPr>
      </w:pPr>
    </w:p>
    <w:p w:rsidR="000E7109" w:rsidRDefault="008251ED" w:rsidP="00473C7B">
      <w:pPr>
        <w:rPr>
          <w:rFonts w:cs="Arial"/>
          <w:szCs w:val="22"/>
        </w:rPr>
      </w:pPr>
      <w:r w:rsidRPr="00473C7B">
        <w:rPr>
          <w:rFonts w:cs="Arial"/>
          <w:szCs w:val="22"/>
        </w:rPr>
        <w:t xml:space="preserve">The NRC’s </w:t>
      </w:r>
      <w:r w:rsidR="00184B02" w:rsidRPr="00473C7B">
        <w:rPr>
          <w:rFonts w:cs="Arial"/>
          <w:szCs w:val="22"/>
        </w:rPr>
        <w:t>existing</w:t>
      </w:r>
      <w:r w:rsidR="00327480" w:rsidRPr="00473C7B">
        <w:rPr>
          <w:rFonts w:cs="Arial"/>
          <w:szCs w:val="22"/>
        </w:rPr>
        <w:t xml:space="preserve"> criteria </w:t>
      </w:r>
      <w:r w:rsidR="00184B02" w:rsidRPr="00473C7B">
        <w:rPr>
          <w:rFonts w:cs="Arial"/>
          <w:szCs w:val="22"/>
        </w:rPr>
        <w:t xml:space="preserve">for LLRW acceptance </w:t>
      </w:r>
      <w:r w:rsidRPr="00473C7B">
        <w:rPr>
          <w:rFonts w:cs="Arial"/>
          <w:szCs w:val="22"/>
        </w:rPr>
        <w:t>can be found in Subpart D of 10 CFR Part</w:t>
      </w:r>
      <w:r w:rsidR="00327480" w:rsidRPr="00473C7B">
        <w:rPr>
          <w:rFonts w:cs="Arial"/>
          <w:szCs w:val="22"/>
        </w:rPr>
        <w:t> </w:t>
      </w:r>
      <w:r w:rsidRPr="00473C7B">
        <w:rPr>
          <w:rFonts w:cs="Arial"/>
          <w:szCs w:val="22"/>
        </w:rPr>
        <w:t xml:space="preserve">61, which specifies technical requirements for land disposal facilities for commercial LLRW.  The technical requirements specify the classes and characteristics of </w:t>
      </w:r>
      <w:r w:rsidR="00184B02" w:rsidRPr="00473C7B">
        <w:rPr>
          <w:rFonts w:cs="Arial"/>
          <w:szCs w:val="22"/>
        </w:rPr>
        <w:t>LLRW</w:t>
      </w:r>
      <w:r w:rsidRPr="00473C7B">
        <w:rPr>
          <w:rFonts w:cs="Arial"/>
          <w:szCs w:val="22"/>
        </w:rPr>
        <w:t xml:space="preserve"> that are acceptable for near-surface disposal, as well as other requirements.  Currently, 10 CFR 61.55 provide</w:t>
      </w:r>
      <w:r w:rsidR="00BF7210" w:rsidRPr="00473C7B">
        <w:rPr>
          <w:rFonts w:cs="Arial"/>
          <w:szCs w:val="22"/>
        </w:rPr>
        <w:t>s</w:t>
      </w:r>
      <w:r w:rsidRPr="00473C7B">
        <w:rPr>
          <w:rFonts w:cs="Arial"/>
          <w:szCs w:val="22"/>
        </w:rPr>
        <w:t xml:space="preserve"> the primary criteria related to </w:t>
      </w:r>
      <w:r w:rsidR="00184B02" w:rsidRPr="00473C7B">
        <w:rPr>
          <w:rFonts w:cs="Arial"/>
          <w:szCs w:val="22"/>
        </w:rPr>
        <w:t>LLRW</w:t>
      </w:r>
      <w:r w:rsidRPr="00473C7B">
        <w:rPr>
          <w:rFonts w:cs="Arial"/>
          <w:szCs w:val="22"/>
        </w:rPr>
        <w:t xml:space="preserve"> acceptance and identif</w:t>
      </w:r>
      <w:r w:rsidR="00222719" w:rsidRPr="00473C7B">
        <w:rPr>
          <w:rFonts w:cs="Arial"/>
          <w:szCs w:val="22"/>
        </w:rPr>
        <w:t>ies</w:t>
      </w:r>
      <w:r w:rsidRPr="00473C7B">
        <w:rPr>
          <w:rFonts w:cs="Arial"/>
          <w:szCs w:val="22"/>
        </w:rPr>
        <w:t xml:space="preserve"> the classes of </w:t>
      </w:r>
      <w:r w:rsidR="00184B02" w:rsidRPr="00473C7B">
        <w:rPr>
          <w:rFonts w:cs="Arial"/>
          <w:szCs w:val="22"/>
        </w:rPr>
        <w:t>LLRW</w:t>
      </w:r>
      <w:r w:rsidRPr="00473C7B">
        <w:rPr>
          <w:rFonts w:cs="Arial"/>
          <w:szCs w:val="22"/>
        </w:rPr>
        <w:t xml:space="preserve"> acceptable for near-surface disposal (i.e., the </w:t>
      </w:r>
      <w:r w:rsidR="00184B02" w:rsidRPr="00473C7B">
        <w:rPr>
          <w:rFonts w:cs="Arial"/>
          <w:szCs w:val="22"/>
        </w:rPr>
        <w:t>LLRW</w:t>
      </w:r>
      <w:r w:rsidRPr="00473C7B">
        <w:rPr>
          <w:rFonts w:cs="Arial"/>
          <w:szCs w:val="22"/>
        </w:rPr>
        <w:t xml:space="preserve"> classification system).  Section 10</w:t>
      </w:r>
      <w:r w:rsidR="00CB1E87" w:rsidRPr="00473C7B">
        <w:rPr>
          <w:rFonts w:cs="Arial"/>
          <w:szCs w:val="22"/>
        </w:rPr>
        <w:t> </w:t>
      </w:r>
      <w:r w:rsidRPr="00473C7B">
        <w:rPr>
          <w:rFonts w:cs="Arial"/>
          <w:szCs w:val="22"/>
        </w:rPr>
        <w:t>CFR</w:t>
      </w:r>
      <w:r w:rsidR="00CB1E87" w:rsidRPr="00473C7B">
        <w:rPr>
          <w:rFonts w:cs="Arial"/>
          <w:szCs w:val="22"/>
        </w:rPr>
        <w:t> </w:t>
      </w:r>
      <w:r w:rsidRPr="00473C7B">
        <w:rPr>
          <w:rFonts w:cs="Arial"/>
          <w:szCs w:val="22"/>
        </w:rPr>
        <w:t xml:space="preserve">61.56, “Waste </w:t>
      </w:r>
      <w:r w:rsidR="00CE70AB" w:rsidRPr="00473C7B">
        <w:rPr>
          <w:rFonts w:cs="Arial"/>
          <w:szCs w:val="22"/>
        </w:rPr>
        <w:t>c</w:t>
      </w:r>
      <w:r w:rsidR="00184B02" w:rsidRPr="00473C7B">
        <w:rPr>
          <w:rFonts w:cs="Arial"/>
          <w:szCs w:val="22"/>
        </w:rPr>
        <w:t>haracteristics,” identifies</w:t>
      </w:r>
      <w:r w:rsidRPr="00473C7B">
        <w:rPr>
          <w:rFonts w:cs="Arial"/>
          <w:szCs w:val="22"/>
        </w:rPr>
        <w:t xml:space="preserve"> minimum characteristics for all classes of </w:t>
      </w:r>
      <w:r w:rsidR="00184B02" w:rsidRPr="00473C7B">
        <w:rPr>
          <w:rFonts w:cs="Arial"/>
          <w:szCs w:val="22"/>
        </w:rPr>
        <w:t>LLRW</w:t>
      </w:r>
      <w:r w:rsidRPr="00473C7B">
        <w:rPr>
          <w:rFonts w:cs="Arial"/>
          <w:szCs w:val="22"/>
        </w:rPr>
        <w:t xml:space="preserve"> and characteristics </w:t>
      </w:r>
      <w:r w:rsidR="00184B02" w:rsidRPr="00473C7B">
        <w:rPr>
          <w:rFonts w:cs="Arial"/>
          <w:szCs w:val="22"/>
        </w:rPr>
        <w:t>to ensure the</w:t>
      </w:r>
      <w:r w:rsidRPr="00473C7B">
        <w:rPr>
          <w:rFonts w:cs="Arial"/>
          <w:szCs w:val="22"/>
        </w:rPr>
        <w:t xml:space="preserve"> stability of certain </w:t>
      </w:r>
      <w:r w:rsidR="00184B02" w:rsidRPr="00473C7B">
        <w:rPr>
          <w:rFonts w:cs="Arial"/>
          <w:szCs w:val="22"/>
        </w:rPr>
        <w:t>LLRW</w:t>
      </w:r>
      <w:r w:rsidRPr="00473C7B">
        <w:rPr>
          <w:rFonts w:cs="Arial"/>
          <w:szCs w:val="22"/>
        </w:rPr>
        <w:t xml:space="preserve"> (i.e., Class B and </w:t>
      </w:r>
      <w:r w:rsidR="00184B02" w:rsidRPr="00473C7B">
        <w:rPr>
          <w:rFonts w:cs="Arial"/>
          <w:szCs w:val="22"/>
        </w:rPr>
        <w:t xml:space="preserve">Class </w:t>
      </w:r>
      <w:r w:rsidR="00A61B34" w:rsidRPr="00473C7B">
        <w:rPr>
          <w:rFonts w:cs="Arial"/>
          <w:szCs w:val="22"/>
        </w:rPr>
        <w:t>C).  Additionally, 10 </w:t>
      </w:r>
      <w:r w:rsidRPr="00473C7B">
        <w:rPr>
          <w:rFonts w:cs="Arial"/>
          <w:szCs w:val="22"/>
        </w:rPr>
        <w:t>CFR 61.52, “Land disposal facility operation and disposal site closure,” specifies requirements for</w:t>
      </w:r>
      <w:r w:rsidR="00184DA6">
        <w:rPr>
          <w:rFonts w:cs="Arial"/>
          <w:szCs w:val="22"/>
        </w:rPr>
        <w:t xml:space="preserve"> </w:t>
      </w:r>
    </w:p>
    <w:p w:rsidR="008251ED" w:rsidRDefault="008251ED" w:rsidP="00473C7B">
      <w:pPr>
        <w:rPr>
          <w:rFonts w:cs="Arial"/>
          <w:szCs w:val="22"/>
        </w:rPr>
      </w:pPr>
      <w:proofErr w:type="gramStart"/>
      <w:r w:rsidRPr="00473C7B">
        <w:rPr>
          <w:rFonts w:cs="Arial"/>
          <w:szCs w:val="22"/>
        </w:rPr>
        <w:t>near-surface</w:t>
      </w:r>
      <w:proofErr w:type="gramEnd"/>
      <w:r w:rsidRPr="00473C7B">
        <w:rPr>
          <w:rFonts w:cs="Arial"/>
          <w:szCs w:val="22"/>
        </w:rPr>
        <w:t xml:space="preserve"> LLRW disposal facility operation, including segregation and intruder barrier</w:t>
      </w:r>
      <w:r w:rsidR="00184DA6">
        <w:rPr>
          <w:rFonts w:cs="Arial"/>
          <w:szCs w:val="22"/>
        </w:rPr>
        <w:t xml:space="preserve"> </w:t>
      </w:r>
      <w:r w:rsidRPr="00473C7B">
        <w:rPr>
          <w:rFonts w:cs="Arial"/>
          <w:szCs w:val="22"/>
        </w:rPr>
        <w:t xml:space="preserve">requirements for various classes of </w:t>
      </w:r>
      <w:r w:rsidR="00184B02" w:rsidRPr="00473C7B">
        <w:rPr>
          <w:rFonts w:cs="Arial"/>
          <w:szCs w:val="22"/>
        </w:rPr>
        <w:t>LLRW</w:t>
      </w:r>
      <w:r w:rsidRPr="00473C7B">
        <w:rPr>
          <w:rFonts w:cs="Arial"/>
          <w:szCs w:val="22"/>
        </w:rPr>
        <w:t xml:space="preserve">.  Section 10 CFR 61.58, “Alternative requirements </w:t>
      </w:r>
      <w:r w:rsidR="00B47D69" w:rsidRPr="00473C7B">
        <w:rPr>
          <w:rFonts w:cs="Arial"/>
          <w:szCs w:val="22"/>
        </w:rPr>
        <w:t>for waste classification and characteristics,”</w:t>
      </w:r>
      <w:r w:rsidRPr="00473C7B">
        <w:rPr>
          <w:rFonts w:cs="Arial"/>
          <w:szCs w:val="22"/>
        </w:rPr>
        <w:t xml:space="preserve"> currently allows for other provisions for the classification and characteristics of </w:t>
      </w:r>
      <w:r w:rsidR="00184B02" w:rsidRPr="00473C7B">
        <w:rPr>
          <w:rFonts w:cs="Arial"/>
          <w:szCs w:val="22"/>
        </w:rPr>
        <w:t>LLRW</w:t>
      </w:r>
      <w:r w:rsidRPr="00473C7B">
        <w:rPr>
          <w:rFonts w:cs="Arial"/>
          <w:szCs w:val="22"/>
        </w:rPr>
        <w:t xml:space="preserve"> on a case-by-case basis if, after evaluation, the Commission finds reasonable assurance of compliance with the </w:t>
      </w:r>
      <w:r w:rsidR="00B47D69" w:rsidRPr="00473C7B">
        <w:rPr>
          <w:rFonts w:cs="Arial"/>
          <w:szCs w:val="22"/>
        </w:rPr>
        <w:t xml:space="preserve">Subpart C </w:t>
      </w:r>
      <w:r w:rsidRPr="00473C7B">
        <w:rPr>
          <w:rFonts w:cs="Arial"/>
          <w:szCs w:val="22"/>
        </w:rPr>
        <w:t>performance objectives.</w:t>
      </w:r>
    </w:p>
    <w:p w:rsidR="00DD21A2" w:rsidRPr="00473C7B" w:rsidRDefault="00DD21A2" w:rsidP="006B2D47">
      <w:pPr>
        <w:pStyle w:val="Heading1"/>
      </w:pPr>
    </w:p>
    <w:p w:rsidR="00DB62F9" w:rsidRPr="00473C7B" w:rsidRDefault="00DB62F9" w:rsidP="006B2D47">
      <w:pPr>
        <w:pStyle w:val="Heading1"/>
      </w:pPr>
      <w:bookmarkStart w:id="5" w:name="_Toc399760742"/>
      <w:r w:rsidRPr="00473C7B">
        <w:t>2.</w:t>
      </w:r>
      <w:r w:rsidR="00CC6298" w:rsidRPr="00473C7B">
        <w:t xml:space="preserve"> </w:t>
      </w:r>
      <w:r w:rsidRPr="00473C7B">
        <w:t>I</w:t>
      </w:r>
      <w:r w:rsidR="00FE2F9C" w:rsidRPr="00473C7B">
        <w:t>dentification of Alternative Approaches</w:t>
      </w:r>
      <w:bookmarkEnd w:id="5"/>
    </w:p>
    <w:p w:rsidR="00DB62F9" w:rsidRPr="00473C7B" w:rsidRDefault="00DB62F9" w:rsidP="00473C7B">
      <w:pPr>
        <w:numPr>
          <w:ilvl w:val="12"/>
          <w:numId w:val="0"/>
        </w:numPr>
        <w:rPr>
          <w:rFonts w:cs="Arial"/>
          <w:szCs w:val="22"/>
        </w:rPr>
      </w:pPr>
    </w:p>
    <w:p w:rsidR="00B40018" w:rsidRPr="00473C7B" w:rsidRDefault="00DE3B28" w:rsidP="00473C7B">
      <w:pPr>
        <w:numPr>
          <w:ilvl w:val="12"/>
          <w:numId w:val="0"/>
        </w:numPr>
        <w:rPr>
          <w:rFonts w:cs="Arial"/>
          <w:szCs w:val="22"/>
        </w:rPr>
      </w:pPr>
      <w:r w:rsidRPr="00473C7B">
        <w:rPr>
          <w:rFonts w:cs="Arial"/>
          <w:szCs w:val="22"/>
        </w:rPr>
        <w:t>The following discussion describes the two alternatives being considered in this regulatory analysis, with additional analysis presented in Section 3.</w:t>
      </w:r>
    </w:p>
    <w:p w:rsidR="00DD21A2" w:rsidRPr="00473C7B" w:rsidRDefault="00DD21A2" w:rsidP="006B2D47">
      <w:pPr>
        <w:pStyle w:val="Heading1"/>
      </w:pPr>
    </w:p>
    <w:p w:rsidR="00DF7042" w:rsidRPr="00473C7B" w:rsidRDefault="00863402" w:rsidP="006B2D47">
      <w:pPr>
        <w:pStyle w:val="Heading1"/>
      </w:pPr>
      <w:bookmarkStart w:id="6" w:name="_Toc399760743"/>
      <w:r w:rsidRPr="00473C7B">
        <w:t>2.1</w:t>
      </w:r>
      <w:r w:rsidR="00CC6298" w:rsidRPr="00473C7B">
        <w:t xml:space="preserve"> </w:t>
      </w:r>
      <w:r w:rsidR="00456542" w:rsidRPr="00473C7B">
        <w:t xml:space="preserve">Alternative 1:  </w:t>
      </w:r>
      <w:r w:rsidRPr="00473C7B">
        <w:t>N</w:t>
      </w:r>
      <w:r w:rsidR="00F87A8E" w:rsidRPr="00473C7B">
        <w:t>o</w:t>
      </w:r>
      <w:r w:rsidRPr="00473C7B">
        <w:t>-Actio</w:t>
      </w:r>
      <w:r w:rsidR="00DF7042" w:rsidRPr="00473C7B">
        <w:t>n</w:t>
      </w:r>
      <w:bookmarkEnd w:id="6"/>
    </w:p>
    <w:p w:rsidR="00AE05F6" w:rsidRPr="00473C7B" w:rsidRDefault="00AE05F6" w:rsidP="00473C7B">
      <w:pPr>
        <w:numPr>
          <w:ilvl w:val="12"/>
          <w:numId w:val="0"/>
        </w:numPr>
        <w:rPr>
          <w:rFonts w:cs="Arial"/>
          <w:szCs w:val="22"/>
        </w:rPr>
      </w:pPr>
    </w:p>
    <w:p w:rsidR="00DA0616" w:rsidRPr="00473C7B" w:rsidRDefault="00DE3B28" w:rsidP="00272E1D">
      <w:pPr>
        <w:rPr>
          <w:rFonts w:cs="Arial"/>
          <w:szCs w:val="22"/>
        </w:rPr>
      </w:pPr>
      <w:r w:rsidRPr="00473C7B">
        <w:rPr>
          <w:rFonts w:cs="Arial"/>
          <w:szCs w:val="22"/>
        </w:rPr>
        <w:t>Alternative 1, the no-action alternative, would maintain the regulations as written.  Under this option, the NRC would not modify 10 CFR Part 61</w:t>
      </w:r>
      <w:r w:rsidR="00355045" w:rsidRPr="00473C7B">
        <w:rPr>
          <w:rFonts w:cs="Arial"/>
          <w:szCs w:val="22"/>
        </w:rPr>
        <w:t>.</w:t>
      </w:r>
      <w:r w:rsidRPr="00473C7B">
        <w:rPr>
          <w:rFonts w:cs="Arial"/>
          <w:szCs w:val="22"/>
        </w:rPr>
        <w:t xml:space="preserve"> </w:t>
      </w:r>
      <w:r w:rsidR="00355045" w:rsidRPr="00473C7B">
        <w:rPr>
          <w:rFonts w:cs="Arial"/>
          <w:szCs w:val="22"/>
        </w:rPr>
        <w:t xml:space="preserve"> The rule</w:t>
      </w:r>
      <w:r w:rsidR="000D65CF" w:rsidRPr="00473C7B">
        <w:rPr>
          <w:rFonts w:cs="Arial"/>
          <w:szCs w:val="22"/>
        </w:rPr>
        <w:t>s</w:t>
      </w:r>
      <w:r w:rsidR="00355045" w:rsidRPr="00473C7B">
        <w:rPr>
          <w:rFonts w:cs="Arial"/>
          <w:szCs w:val="22"/>
        </w:rPr>
        <w:t xml:space="preserve"> would continue to provide </w:t>
      </w:r>
      <w:r w:rsidRPr="00473C7B">
        <w:rPr>
          <w:rFonts w:cs="Arial"/>
          <w:szCs w:val="22"/>
        </w:rPr>
        <w:t xml:space="preserve">no </w:t>
      </w:r>
      <w:r w:rsidR="00B47D69" w:rsidRPr="00473C7B">
        <w:rPr>
          <w:rFonts w:cs="Arial"/>
          <w:szCs w:val="22"/>
        </w:rPr>
        <w:t>performance period</w:t>
      </w:r>
      <w:r w:rsidRPr="00473C7B">
        <w:rPr>
          <w:rFonts w:cs="Arial"/>
          <w:szCs w:val="22"/>
        </w:rPr>
        <w:t xml:space="preserve"> analyses </w:t>
      </w:r>
      <w:r w:rsidR="00355045" w:rsidRPr="00473C7B">
        <w:rPr>
          <w:rFonts w:cs="Arial"/>
          <w:szCs w:val="22"/>
        </w:rPr>
        <w:t>requirement</w:t>
      </w:r>
      <w:r w:rsidR="00184B02" w:rsidRPr="00473C7B">
        <w:rPr>
          <w:rFonts w:cs="Arial"/>
          <w:szCs w:val="22"/>
        </w:rPr>
        <w:t>s</w:t>
      </w:r>
      <w:r w:rsidRPr="00473C7B">
        <w:rPr>
          <w:rFonts w:cs="Arial"/>
          <w:szCs w:val="22"/>
        </w:rPr>
        <w:t>, no</w:t>
      </w:r>
      <w:r w:rsidR="00355045" w:rsidRPr="00473C7B">
        <w:rPr>
          <w:rFonts w:cs="Arial"/>
          <w:szCs w:val="22"/>
        </w:rPr>
        <w:t xml:space="preserve"> specified</w:t>
      </w:r>
      <w:r w:rsidRPr="00473C7B">
        <w:rPr>
          <w:rFonts w:cs="Arial"/>
          <w:szCs w:val="22"/>
        </w:rPr>
        <w:t xml:space="preserve"> </w:t>
      </w:r>
      <w:r w:rsidR="00BE4A22" w:rsidRPr="00473C7B">
        <w:rPr>
          <w:rFonts w:cs="Arial"/>
          <w:szCs w:val="22"/>
        </w:rPr>
        <w:t>compliance period</w:t>
      </w:r>
      <w:r w:rsidRPr="00473C7B">
        <w:rPr>
          <w:rFonts w:cs="Arial"/>
          <w:szCs w:val="22"/>
        </w:rPr>
        <w:t xml:space="preserve">, no </w:t>
      </w:r>
      <w:r w:rsidR="00355045" w:rsidRPr="00473C7B">
        <w:rPr>
          <w:rFonts w:cs="Arial"/>
          <w:szCs w:val="22"/>
        </w:rPr>
        <w:t xml:space="preserve">new </w:t>
      </w:r>
      <w:r w:rsidR="00B47D69" w:rsidRPr="00473C7B">
        <w:rPr>
          <w:rFonts w:cs="Arial"/>
          <w:szCs w:val="22"/>
        </w:rPr>
        <w:t xml:space="preserve">intruder assessment or performance assessment </w:t>
      </w:r>
      <w:r w:rsidR="00184B02" w:rsidRPr="00473C7B">
        <w:rPr>
          <w:rFonts w:cs="Arial"/>
          <w:szCs w:val="22"/>
        </w:rPr>
        <w:t>requirements</w:t>
      </w:r>
      <w:r w:rsidR="00B47D69" w:rsidRPr="00473C7B">
        <w:rPr>
          <w:rFonts w:cs="Arial"/>
          <w:szCs w:val="22"/>
        </w:rPr>
        <w:t xml:space="preserve">, no dose limit for the inadvertent intruder, no updated compliance and performance period analyses, and no </w:t>
      </w:r>
      <w:r w:rsidR="00184B02" w:rsidRPr="00473C7B">
        <w:rPr>
          <w:rFonts w:cs="Arial"/>
          <w:szCs w:val="22"/>
        </w:rPr>
        <w:t>LLRW</w:t>
      </w:r>
      <w:r w:rsidR="00B47D69" w:rsidRPr="00473C7B">
        <w:rPr>
          <w:rFonts w:cs="Arial"/>
          <w:szCs w:val="22"/>
        </w:rPr>
        <w:t xml:space="preserve"> acceptance plan.  </w:t>
      </w:r>
      <w:r w:rsidR="008211BB" w:rsidRPr="00473C7B">
        <w:rPr>
          <w:rFonts w:cs="Arial"/>
          <w:szCs w:val="22"/>
        </w:rPr>
        <w:t>Alternative</w:t>
      </w:r>
      <w:r w:rsidRPr="00473C7B">
        <w:rPr>
          <w:rFonts w:cs="Arial"/>
          <w:szCs w:val="22"/>
        </w:rPr>
        <w:t xml:space="preserve"> 1 would avoid the costs that the proposed rule</w:t>
      </w:r>
      <w:r w:rsidR="000D65CF" w:rsidRPr="00473C7B">
        <w:rPr>
          <w:rFonts w:cs="Arial"/>
          <w:szCs w:val="22"/>
        </w:rPr>
        <w:t xml:space="preserve"> revisions</w:t>
      </w:r>
      <w:r w:rsidRPr="00473C7B">
        <w:rPr>
          <w:rFonts w:cs="Arial"/>
          <w:szCs w:val="22"/>
        </w:rPr>
        <w:t xml:space="preserve"> would impose</w:t>
      </w:r>
      <w:r w:rsidR="002C5F9B" w:rsidRPr="00473C7B">
        <w:rPr>
          <w:rFonts w:cs="Arial"/>
          <w:szCs w:val="22"/>
        </w:rPr>
        <w:t>, but would not update the existing LLRW disposal requirements</w:t>
      </w:r>
      <w:r w:rsidRPr="00473C7B">
        <w:rPr>
          <w:rFonts w:cs="Arial"/>
          <w:szCs w:val="22"/>
        </w:rPr>
        <w:t xml:space="preserve"> to </w:t>
      </w:r>
      <w:r w:rsidR="00642CF5">
        <w:rPr>
          <w:rFonts w:cs="Arial"/>
          <w:szCs w:val="22"/>
        </w:rPr>
        <w:t>ensure</w:t>
      </w:r>
      <w:r w:rsidR="00642CF5" w:rsidRPr="00473C7B">
        <w:rPr>
          <w:rFonts w:cs="Arial"/>
          <w:szCs w:val="22"/>
        </w:rPr>
        <w:t xml:space="preserve"> </w:t>
      </w:r>
      <w:r w:rsidRPr="00473C7B">
        <w:rPr>
          <w:rFonts w:cs="Arial"/>
          <w:szCs w:val="22"/>
        </w:rPr>
        <w:t xml:space="preserve">the current level of protection for public health and safety.  </w:t>
      </w:r>
      <w:r w:rsidR="000C7089">
        <w:rPr>
          <w:rFonts w:cs="Arial"/>
          <w:szCs w:val="22"/>
        </w:rPr>
        <w:t xml:space="preserve">This alternative is equivalent to the status quo and serves as a baseline to measure against the other alternative. </w:t>
      </w:r>
    </w:p>
    <w:p w:rsidR="00DA2177" w:rsidRDefault="00063160" w:rsidP="00473C7B">
      <w:pPr>
        <w:rPr>
          <w:rFonts w:cs="Arial"/>
          <w:szCs w:val="22"/>
        </w:rPr>
      </w:pPr>
      <w:r>
        <w:rPr>
          <w:rFonts w:cs="Arial"/>
          <w:szCs w:val="22"/>
        </w:rPr>
        <w:tab/>
      </w:r>
      <w:r>
        <w:rPr>
          <w:rFonts w:cs="Arial"/>
          <w:szCs w:val="22"/>
        </w:rPr>
        <w:tab/>
      </w:r>
      <w:r>
        <w:rPr>
          <w:rFonts w:cs="Arial"/>
          <w:szCs w:val="22"/>
        </w:rPr>
        <w:tab/>
      </w:r>
      <w:r>
        <w:rPr>
          <w:rFonts w:cs="Arial"/>
          <w:szCs w:val="22"/>
        </w:rPr>
        <w:tab/>
      </w:r>
    </w:p>
    <w:p w:rsidR="00DB62F9" w:rsidRPr="00473C7B" w:rsidRDefault="00CA60F8" w:rsidP="006B2D47">
      <w:pPr>
        <w:pStyle w:val="Heading1"/>
      </w:pPr>
      <w:bookmarkStart w:id="7" w:name="_Toc399760744"/>
      <w:r>
        <w:t>2.2</w:t>
      </w:r>
      <w:r w:rsidR="00CC6298" w:rsidRPr="00473C7B">
        <w:t xml:space="preserve"> </w:t>
      </w:r>
      <w:r w:rsidR="00DB62F9" w:rsidRPr="00473C7B">
        <w:t>Alternative</w:t>
      </w:r>
      <w:r w:rsidR="00625F39" w:rsidRPr="00473C7B">
        <w:t xml:space="preserve"> </w:t>
      </w:r>
      <w:r w:rsidR="00017717">
        <w:t>2</w:t>
      </w:r>
      <w:r w:rsidR="00DB62F9" w:rsidRPr="00473C7B">
        <w:t>:</w:t>
      </w:r>
      <w:r w:rsidR="00456542" w:rsidRPr="00473C7B">
        <w:t xml:space="preserve">  </w:t>
      </w:r>
      <w:r w:rsidR="00863890">
        <w:t>T</w:t>
      </w:r>
      <w:r w:rsidR="00DA2177">
        <w:t>hree periods of analysis.</w:t>
      </w:r>
      <w:bookmarkEnd w:id="7"/>
    </w:p>
    <w:p w:rsidR="00EC4E7C" w:rsidRPr="00473C7B" w:rsidRDefault="00EC4E7C" w:rsidP="000C44EC">
      <w:pPr>
        <w:keepNext/>
        <w:rPr>
          <w:rFonts w:cs="Arial"/>
          <w:szCs w:val="22"/>
        </w:rPr>
      </w:pPr>
    </w:p>
    <w:p w:rsidR="0043325B" w:rsidRDefault="00EC4E7C" w:rsidP="000C44EC">
      <w:pPr>
        <w:keepNext/>
        <w:rPr>
          <w:rFonts w:cs="Arial"/>
          <w:szCs w:val="22"/>
        </w:rPr>
      </w:pPr>
      <w:r w:rsidRPr="00473C7B">
        <w:rPr>
          <w:rFonts w:cs="Arial"/>
          <w:szCs w:val="22"/>
        </w:rPr>
        <w:t xml:space="preserve">Under </w:t>
      </w:r>
      <w:r w:rsidR="000D75EF" w:rsidRPr="00473C7B">
        <w:rPr>
          <w:rFonts w:cs="Arial"/>
          <w:szCs w:val="22"/>
        </w:rPr>
        <w:t>Alternative 2</w:t>
      </w:r>
      <w:r w:rsidRPr="00473C7B">
        <w:rPr>
          <w:rFonts w:cs="Arial"/>
          <w:szCs w:val="22"/>
        </w:rPr>
        <w:t xml:space="preserve">, </w:t>
      </w:r>
      <w:r w:rsidR="00A012DF" w:rsidRPr="00473C7B">
        <w:rPr>
          <w:rFonts w:cs="Arial"/>
          <w:szCs w:val="22"/>
        </w:rPr>
        <w:t xml:space="preserve">the </w:t>
      </w:r>
      <w:r w:rsidRPr="00473C7B">
        <w:rPr>
          <w:rFonts w:cs="Arial"/>
          <w:szCs w:val="22"/>
        </w:rPr>
        <w:t>NRC would</w:t>
      </w:r>
      <w:r w:rsidR="00E40EDE" w:rsidRPr="00473C7B">
        <w:rPr>
          <w:rFonts w:cs="Arial"/>
          <w:szCs w:val="22"/>
        </w:rPr>
        <w:t xml:space="preserve"> </w:t>
      </w:r>
      <w:r w:rsidR="00642CF5">
        <w:rPr>
          <w:rFonts w:cs="Arial"/>
          <w:szCs w:val="22"/>
        </w:rPr>
        <w:t>ensure</w:t>
      </w:r>
      <w:r w:rsidR="00642CF5" w:rsidRPr="00473C7B">
        <w:rPr>
          <w:rFonts w:cs="Arial"/>
          <w:szCs w:val="22"/>
        </w:rPr>
        <w:t xml:space="preserve"> </w:t>
      </w:r>
      <w:r w:rsidR="0043325B" w:rsidRPr="00473C7B">
        <w:rPr>
          <w:rFonts w:cs="Arial"/>
          <w:szCs w:val="22"/>
        </w:rPr>
        <w:t xml:space="preserve">the safe disposal of </w:t>
      </w:r>
      <w:r w:rsidR="00704F5A" w:rsidRPr="00473C7B">
        <w:rPr>
          <w:rFonts w:cs="Arial"/>
          <w:szCs w:val="22"/>
        </w:rPr>
        <w:t>LLRW</w:t>
      </w:r>
      <w:r w:rsidR="0043325B" w:rsidRPr="00473C7B">
        <w:rPr>
          <w:rFonts w:cs="Arial"/>
          <w:szCs w:val="22"/>
        </w:rPr>
        <w:t xml:space="preserve"> by </w:t>
      </w:r>
      <w:r w:rsidR="002F52AD" w:rsidRPr="00473C7B">
        <w:rPr>
          <w:rFonts w:cs="Arial"/>
          <w:szCs w:val="22"/>
        </w:rPr>
        <w:t>amending 10 CFR Part 61</w:t>
      </w:r>
      <w:r w:rsidR="00B570F4" w:rsidRPr="00473C7B">
        <w:rPr>
          <w:rFonts w:cs="Arial"/>
          <w:szCs w:val="22"/>
        </w:rPr>
        <w:t xml:space="preserve">.  The </w:t>
      </w:r>
      <w:r w:rsidR="00A225D9">
        <w:rPr>
          <w:rFonts w:cs="Arial"/>
          <w:szCs w:val="22"/>
        </w:rPr>
        <w:t xml:space="preserve">proposed </w:t>
      </w:r>
      <w:r w:rsidR="00B570F4" w:rsidRPr="00473C7B">
        <w:rPr>
          <w:rFonts w:cs="Arial"/>
          <w:szCs w:val="22"/>
        </w:rPr>
        <w:t>amend</w:t>
      </w:r>
      <w:r w:rsidR="00606DA5">
        <w:rPr>
          <w:rFonts w:cs="Arial"/>
          <w:szCs w:val="22"/>
        </w:rPr>
        <w:t>ments</w:t>
      </w:r>
      <w:r w:rsidR="00B570F4" w:rsidRPr="00473C7B">
        <w:rPr>
          <w:rFonts w:cs="Arial"/>
          <w:szCs w:val="22"/>
        </w:rPr>
        <w:t xml:space="preserve"> would </w:t>
      </w:r>
      <w:r w:rsidR="00D800EB" w:rsidRPr="00473C7B">
        <w:rPr>
          <w:rFonts w:cs="Arial"/>
          <w:szCs w:val="22"/>
        </w:rPr>
        <w:t xml:space="preserve">require </w:t>
      </w:r>
      <w:r w:rsidR="00704F5A" w:rsidRPr="00473C7B">
        <w:rPr>
          <w:rFonts w:cs="Arial"/>
          <w:szCs w:val="22"/>
        </w:rPr>
        <w:t xml:space="preserve">LLRW </w:t>
      </w:r>
      <w:r w:rsidR="0043325B" w:rsidRPr="00473C7B">
        <w:rPr>
          <w:rFonts w:cs="Arial"/>
          <w:szCs w:val="22"/>
        </w:rPr>
        <w:t>disposal facility licensees</w:t>
      </w:r>
      <w:r w:rsidR="00355045" w:rsidRPr="00473C7B">
        <w:rPr>
          <w:rFonts w:cs="Arial"/>
          <w:szCs w:val="22"/>
        </w:rPr>
        <w:t xml:space="preserve"> and license </w:t>
      </w:r>
      <w:r w:rsidR="00355045" w:rsidRPr="00473C7B">
        <w:rPr>
          <w:rFonts w:cs="Arial"/>
          <w:szCs w:val="22"/>
        </w:rPr>
        <w:lastRenderedPageBreak/>
        <w:t>applicants</w:t>
      </w:r>
      <w:r w:rsidR="0043325B" w:rsidRPr="00473C7B">
        <w:rPr>
          <w:rFonts w:cs="Arial"/>
          <w:szCs w:val="22"/>
        </w:rPr>
        <w:t xml:space="preserve"> to </w:t>
      </w:r>
      <w:r w:rsidR="00AB4A59" w:rsidRPr="00473C7B">
        <w:rPr>
          <w:rFonts w:cs="Arial"/>
          <w:szCs w:val="22"/>
        </w:rPr>
        <w:t xml:space="preserve">prepare </w:t>
      </w:r>
      <w:r w:rsidR="00ED5663" w:rsidRPr="00473C7B">
        <w:rPr>
          <w:rFonts w:cs="Arial"/>
          <w:szCs w:val="22"/>
        </w:rPr>
        <w:t xml:space="preserve">new and updated </w:t>
      </w:r>
      <w:r w:rsidR="0043325B" w:rsidRPr="00473C7B">
        <w:rPr>
          <w:rFonts w:cs="Arial"/>
          <w:szCs w:val="22"/>
        </w:rPr>
        <w:t>site</w:t>
      </w:r>
      <w:r w:rsidR="009F5666" w:rsidRPr="00473C7B">
        <w:rPr>
          <w:rFonts w:cs="Arial"/>
          <w:szCs w:val="22"/>
        </w:rPr>
        <w:t>-</w:t>
      </w:r>
      <w:r w:rsidR="0043325B" w:rsidRPr="00473C7B">
        <w:rPr>
          <w:rFonts w:cs="Arial"/>
          <w:szCs w:val="22"/>
        </w:rPr>
        <w:t xml:space="preserve">specific </w:t>
      </w:r>
      <w:r w:rsidR="00B70C62" w:rsidRPr="00473C7B">
        <w:rPr>
          <w:rFonts w:cs="Arial"/>
          <w:szCs w:val="22"/>
        </w:rPr>
        <w:t xml:space="preserve">technical </w:t>
      </w:r>
      <w:r w:rsidR="0043325B" w:rsidRPr="00473C7B">
        <w:rPr>
          <w:rFonts w:cs="Arial"/>
          <w:szCs w:val="22"/>
        </w:rPr>
        <w:t xml:space="preserve">analyses to demonstrate compliance with </w:t>
      </w:r>
      <w:r w:rsidR="00EA489F" w:rsidRPr="00473C7B">
        <w:rPr>
          <w:rFonts w:cs="Arial"/>
          <w:szCs w:val="22"/>
        </w:rPr>
        <w:t xml:space="preserve">10 CFR Part 61, </w:t>
      </w:r>
      <w:r w:rsidR="00DE3C91" w:rsidRPr="00473C7B">
        <w:rPr>
          <w:rFonts w:cs="Arial"/>
          <w:szCs w:val="22"/>
        </w:rPr>
        <w:t xml:space="preserve">Subpart C </w:t>
      </w:r>
      <w:r w:rsidR="0043325B" w:rsidRPr="00473C7B">
        <w:rPr>
          <w:rFonts w:cs="Arial"/>
          <w:szCs w:val="22"/>
        </w:rPr>
        <w:t>performance objectives</w:t>
      </w:r>
      <w:r w:rsidR="003570A3">
        <w:rPr>
          <w:rFonts w:cs="Arial"/>
          <w:szCs w:val="22"/>
        </w:rPr>
        <w:t>.</w:t>
      </w:r>
      <w:r w:rsidR="0043325B" w:rsidRPr="00473C7B">
        <w:rPr>
          <w:rFonts w:cs="Arial"/>
          <w:szCs w:val="22"/>
        </w:rPr>
        <w:t xml:space="preserve">  </w:t>
      </w:r>
    </w:p>
    <w:p w:rsidR="00B51294" w:rsidRPr="00473C7B" w:rsidRDefault="00B51294" w:rsidP="00473C7B">
      <w:pPr>
        <w:rPr>
          <w:rFonts w:cs="Arial"/>
          <w:bCs/>
          <w:szCs w:val="22"/>
        </w:rPr>
      </w:pPr>
    </w:p>
    <w:p w:rsidR="000C7089" w:rsidRDefault="00512E86" w:rsidP="00473C7B">
      <w:pPr>
        <w:rPr>
          <w:rFonts w:cs="Arial"/>
          <w:bCs/>
          <w:szCs w:val="22"/>
        </w:rPr>
      </w:pPr>
      <w:r>
        <w:rPr>
          <w:rFonts w:cs="Arial"/>
          <w:bCs/>
          <w:szCs w:val="22"/>
        </w:rPr>
        <w:t>The proposed changes introduce period analyses t</w:t>
      </w:r>
      <w:r w:rsidR="000C7089">
        <w:rPr>
          <w:rFonts w:cs="Arial"/>
          <w:bCs/>
          <w:szCs w:val="22"/>
        </w:rPr>
        <w:t>o</w:t>
      </w:r>
      <w:r>
        <w:rPr>
          <w:rFonts w:cs="Arial"/>
          <w:bCs/>
          <w:szCs w:val="22"/>
        </w:rPr>
        <w:t xml:space="preserve"> 10 CFR Part 61.  The</w:t>
      </w:r>
      <w:r w:rsidR="00075953">
        <w:rPr>
          <w:rFonts w:cs="Arial"/>
          <w:bCs/>
          <w:szCs w:val="22"/>
        </w:rPr>
        <w:t>se proposed</w:t>
      </w:r>
      <w:r>
        <w:rPr>
          <w:rFonts w:cs="Arial"/>
          <w:bCs/>
          <w:szCs w:val="22"/>
        </w:rPr>
        <w:t xml:space="preserve"> </w:t>
      </w:r>
      <w:r w:rsidR="00075953">
        <w:rPr>
          <w:rFonts w:cs="Arial"/>
          <w:bCs/>
          <w:szCs w:val="22"/>
        </w:rPr>
        <w:t>period analyses are broken down into three tiers</w:t>
      </w:r>
      <w:r w:rsidR="001E4E99">
        <w:rPr>
          <w:rFonts w:cs="Arial"/>
          <w:bCs/>
          <w:szCs w:val="22"/>
        </w:rPr>
        <w:t xml:space="preserve"> (see </w:t>
      </w:r>
      <w:r w:rsidR="000A1890">
        <w:rPr>
          <w:rFonts w:cs="Arial"/>
          <w:bCs/>
          <w:szCs w:val="22"/>
        </w:rPr>
        <w:t xml:space="preserve">figure </w:t>
      </w:r>
      <w:r w:rsidR="003570A3">
        <w:rPr>
          <w:rFonts w:cs="Arial"/>
          <w:bCs/>
          <w:szCs w:val="22"/>
        </w:rPr>
        <w:t>1</w:t>
      </w:r>
      <w:r w:rsidR="001E4E99">
        <w:rPr>
          <w:rFonts w:cs="Arial"/>
          <w:bCs/>
          <w:szCs w:val="22"/>
        </w:rPr>
        <w:t>)</w:t>
      </w:r>
      <w:r w:rsidR="00075953">
        <w:rPr>
          <w:rFonts w:cs="Arial"/>
          <w:bCs/>
          <w:szCs w:val="22"/>
        </w:rPr>
        <w:t xml:space="preserve">. The </w:t>
      </w:r>
      <w:r>
        <w:rPr>
          <w:rFonts w:cs="Arial"/>
          <w:bCs/>
          <w:szCs w:val="22"/>
        </w:rPr>
        <w:t>first period of analyses, term</w:t>
      </w:r>
      <w:r w:rsidR="00075953">
        <w:rPr>
          <w:rFonts w:cs="Arial"/>
          <w:bCs/>
          <w:szCs w:val="22"/>
        </w:rPr>
        <w:t>ed</w:t>
      </w:r>
      <w:r>
        <w:rPr>
          <w:rFonts w:cs="Arial"/>
          <w:bCs/>
          <w:szCs w:val="22"/>
        </w:rPr>
        <w:t xml:space="preserve"> the compliance period</w:t>
      </w:r>
      <w:r w:rsidR="00075953">
        <w:rPr>
          <w:rFonts w:cs="Arial"/>
          <w:bCs/>
          <w:szCs w:val="22"/>
        </w:rPr>
        <w:t xml:space="preserve">, </w:t>
      </w:r>
      <w:r>
        <w:rPr>
          <w:rFonts w:cs="Arial"/>
          <w:bCs/>
          <w:szCs w:val="22"/>
        </w:rPr>
        <w:t xml:space="preserve">starts at the site closure </w:t>
      </w:r>
      <w:r w:rsidR="00A225D9">
        <w:rPr>
          <w:rFonts w:cs="Arial"/>
          <w:bCs/>
          <w:szCs w:val="22"/>
        </w:rPr>
        <w:t xml:space="preserve">and extends </w:t>
      </w:r>
      <w:r>
        <w:rPr>
          <w:rFonts w:cs="Arial"/>
          <w:bCs/>
          <w:szCs w:val="22"/>
        </w:rPr>
        <w:t>out to 1,000 years.  The second period of analyses, term</w:t>
      </w:r>
      <w:r w:rsidR="001E4E99">
        <w:rPr>
          <w:rFonts w:cs="Arial"/>
          <w:bCs/>
          <w:szCs w:val="22"/>
        </w:rPr>
        <w:t>ed</w:t>
      </w:r>
      <w:r>
        <w:rPr>
          <w:rFonts w:cs="Arial"/>
          <w:bCs/>
          <w:szCs w:val="22"/>
        </w:rPr>
        <w:t xml:space="preserve"> the </w:t>
      </w:r>
      <w:r w:rsidR="00A225D9">
        <w:rPr>
          <w:rFonts w:cs="Arial"/>
          <w:bCs/>
          <w:szCs w:val="22"/>
        </w:rPr>
        <w:t>p</w:t>
      </w:r>
      <w:r>
        <w:rPr>
          <w:rFonts w:cs="Arial"/>
          <w:bCs/>
          <w:szCs w:val="22"/>
        </w:rPr>
        <w:t xml:space="preserve">rotective </w:t>
      </w:r>
      <w:r w:rsidR="00A225D9">
        <w:rPr>
          <w:rFonts w:cs="Arial"/>
          <w:bCs/>
          <w:szCs w:val="22"/>
        </w:rPr>
        <w:t>a</w:t>
      </w:r>
      <w:r>
        <w:rPr>
          <w:rFonts w:cs="Arial"/>
          <w:bCs/>
          <w:szCs w:val="22"/>
        </w:rPr>
        <w:t xml:space="preserve">ssurance </w:t>
      </w:r>
      <w:r w:rsidR="00A225D9">
        <w:rPr>
          <w:rFonts w:cs="Arial"/>
          <w:bCs/>
          <w:szCs w:val="22"/>
        </w:rPr>
        <w:t>p</w:t>
      </w:r>
      <w:r>
        <w:rPr>
          <w:rFonts w:cs="Arial"/>
          <w:bCs/>
          <w:szCs w:val="22"/>
        </w:rPr>
        <w:t xml:space="preserve">eriod, starts 1,000 years after site closure </w:t>
      </w:r>
      <w:r w:rsidR="00A225D9">
        <w:rPr>
          <w:rFonts w:cs="Arial"/>
          <w:bCs/>
          <w:szCs w:val="22"/>
        </w:rPr>
        <w:t xml:space="preserve">and extends </w:t>
      </w:r>
      <w:r>
        <w:rPr>
          <w:rFonts w:cs="Arial"/>
          <w:bCs/>
          <w:szCs w:val="22"/>
        </w:rPr>
        <w:t xml:space="preserve">to 10,000 years after site closure.  The last period of analyses, termed the </w:t>
      </w:r>
      <w:r w:rsidR="00A225D9">
        <w:rPr>
          <w:rFonts w:cs="Arial"/>
          <w:bCs/>
          <w:szCs w:val="22"/>
        </w:rPr>
        <w:t>p</w:t>
      </w:r>
      <w:r>
        <w:rPr>
          <w:rFonts w:cs="Arial"/>
          <w:bCs/>
          <w:szCs w:val="22"/>
        </w:rPr>
        <w:t xml:space="preserve">erformance </w:t>
      </w:r>
      <w:r w:rsidR="00A225D9">
        <w:rPr>
          <w:rFonts w:cs="Arial"/>
          <w:bCs/>
          <w:szCs w:val="22"/>
        </w:rPr>
        <w:t>p</w:t>
      </w:r>
      <w:r>
        <w:rPr>
          <w:rFonts w:cs="Arial"/>
          <w:bCs/>
          <w:szCs w:val="22"/>
        </w:rPr>
        <w:t>eriod</w:t>
      </w:r>
      <w:r w:rsidR="001E4E99">
        <w:rPr>
          <w:rFonts w:cs="Arial"/>
          <w:bCs/>
          <w:szCs w:val="22"/>
        </w:rPr>
        <w:t>,</w:t>
      </w:r>
      <w:r>
        <w:rPr>
          <w:rFonts w:cs="Arial"/>
          <w:bCs/>
          <w:szCs w:val="22"/>
        </w:rPr>
        <w:t xml:space="preserve"> starts after 10,000 years from site closure</w:t>
      </w:r>
      <w:r w:rsidR="003570A3">
        <w:rPr>
          <w:rFonts w:cs="Arial"/>
          <w:bCs/>
          <w:szCs w:val="22"/>
        </w:rPr>
        <w:t>.</w:t>
      </w:r>
      <w:r w:rsidR="00A225D9">
        <w:rPr>
          <w:rFonts w:cs="Arial"/>
          <w:bCs/>
          <w:szCs w:val="22"/>
        </w:rPr>
        <w:t xml:space="preserve">  </w:t>
      </w:r>
    </w:p>
    <w:p w:rsidR="00FF5B48" w:rsidRDefault="00FF5B48" w:rsidP="00473C7B">
      <w:pPr>
        <w:rPr>
          <w:rFonts w:cs="Arial"/>
          <w:bCs/>
          <w:szCs w:val="22"/>
        </w:rPr>
      </w:pPr>
    </w:p>
    <w:p w:rsidR="003570A3" w:rsidRDefault="00272E1D" w:rsidP="00473C7B">
      <w:pPr>
        <w:rPr>
          <w:rFonts w:cs="Arial"/>
          <w:bCs/>
          <w:szCs w:val="22"/>
        </w:rPr>
      </w:pPr>
      <w:r>
        <w:rPr>
          <w:rFonts w:cs="Arial"/>
          <w:bCs/>
          <w:szCs w:val="22"/>
        </w:rPr>
        <w:tab/>
      </w:r>
      <w:r>
        <w:rPr>
          <w:rFonts w:cs="Arial"/>
          <w:bCs/>
          <w:szCs w:val="22"/>
        </w:rPr>
        <w:tab/>
      </w:r>
      <w:r>
        <w:rPr>
          <w:rFonts w:cs="Arial"/>
          <w:bCs/>
          <w:szCs w:val="22"/>
        </w:rPr>
        <w:tab/>
      </w:r>
      <w:r w:rsidR="001727A6">
        <w:rPr>
          <w:rFonts w:cs="Arial"/>
          <w:bCs/>
          <w:szCs w:val="22"/>
        </w:rPr>
        <w:tab/>
      </w:r>
      <w:r w:rsidR="001727A6">
        <w:rPr>
          <w:rFonts w:cs="Arial"/>
          <w:bCs/>
          <w:szCs w:val="22"/>
        </w:rPr>
        <w:tab/>
      </w:r>
    </w:p>
    <w:p w:rsidR="00272E1D" w:rsidRDefault="00272E1D" w:rsidP="0054143F">
      <w:pPr>
        <w:ind w:left="2880" w:firstLine="720"/>
        <w:rPr>
          <w:rFonts w:cs="Arial"/>
          <w:bCs/>
          <w:szCs w:val="22"/>
        </w:rPr>
      </w:pPr>
      <w:proofErr w:type="gramStart"/>
      <w:r>
        <w:rPr>
          <w:rFonts w:cs="Arial"/>
          <w:bCs/>
          <w:szCs w:val="22"/>
        </w:rPr>
        <w:t xml:space="preserve">Figure </w:t>
      </w:r>
      <w:r w:rsidR="003570A3">
        <w:rPr>
          <w:rFonts w:cs="Arial"/>
          <w:bCs/>
          <w:szCs w:val="22"/>
        </w:rPr>
        <w:t>1</w:t>
      </w:r>
      <w:r>
        <w:rPr>
          <w:rFonts w:cs="Arial"/>
          <w:bCs/>
          <w:szCs w:val="22"/>
        </w:rPr>
        <w:t>.</w:t>
      </w:r>
      <w:proofErr w:type="gramEnd"/>
    </w:p>
    <w:p w:rsidR="00FF5B48" w:rsidRDefault="00485ED3" w:rsidP="00473C7B">
      <w:pPr>
        <w:rPr>
          <w:rFonts w:cs="Arial"/>
          <w:bCs/>
          <w:szCs w:val="22"/>
        </w:rPr>
      </w:pPr>
      <w:r>
        <w:rPr>
          <w:rFonts w:cs="Arial"/>
          <w:bCs/>
          <w:szCs w:val="22"/>
        </w:rPr>
        <w:tab/>
      </w:r>
      <w:r w:rsidRPr="00B51294">
        <w:rPr>
          <w:rFonts w:cs="Arial"/>
          <w:bCs/>
          <w:noProof/>
          <w:szCs w:val="22"/>
        </w:rPr>
        <w:drawing>
          <wp:inline distT="0" distB="0" distL="0" distR="0" wp14:anchorId="6B55A1E2" wp14:editId="4F305EC0">
            <wp:extent cx="4782047" cy="3466070"/>
            <wp:effectExtent l="0" t="0" r="0" b="1270"/>
            <wp:docPr id="6" name="Picture 6" descr="C:\Users\grt1\AppData\Local\Microsoft\Windows\Temporary Internet Files\Content.Outlook\71LW3ZNC\Part 61 3-tiered POP diagram 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t1\AppData\Local\Microsoft\Windows\Temporary Internet Files\Content.Outlook\71LW3ZNC\Part 61 3-tiered POP diagram V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5987" cy="3468926"/>
                    </a:xfrm>
                    <a:prstGeom prst="rect">
                      <a:avLst/>
                    </a:prstGeom>
                    <a:noFill/>
                    <a:ln>
                      <a:noFill/>
                    </a:ln>
                  </pic:spPr>
                </pic:pic>
              </a:graphicData>
            </a:graphic>
          </wp:inline>
        </w:drawing>
      </w:r>
    </w:p>
    <w:p w:rsidR="00B51294" w:rsidRDefault="00B51294" w:rsidP="00473C7B">
      <w:pPr>
        <w:rPr>
          <w:rFonts w:cs="Arial"/>
          <w:bCs/>
          <w:szCs w:val="22"/>
        </w:rPr>
      </w:pPr>
    </w:p>
    <w:p w:rsidR="00E019B7" w:rsidRDefault="00902C3D" w:rsidP="00473C7B">
      <w:pPr>
        <w:rPr>
          <w:rFonts w:cs="Arial"/>
          <w:bCs/>
          <w:szCs w:val="22"/>
        </w:rPr>
      </w:pPr>
      <w:r w:rsidRPr="00473C7B">
        <w:rPr>
          <w:rFonts w:cs="Arial"/>
          <w:bCs/>
          <w:szCs w:val="22"/>
        </w:rPr>
        <w:t xml:space="preserve">This rulemaking would require </w:t>
      </w:r>
      <w:r w:rsidR="00A67FCC" w:rsidRPr="00473C7B">
        <w:rPr>
          <w:rFonts w:cs="Arial"/>
          <w:bCs/>
          <w:szCs w:val="22"/>
        </w:rPr>
        <w:t xml:space="preserve">LLRW disposal licensees </w:t>
      </w:r>
      <w:r w:rsidR="00DE3C91" w:rsidRPr="00473C7B">
        <w:rPr>
          <w:rFonts w:cs="Arial"/>
          <w:bCs/>
          <w:szCs w:val="22"/>
        </w:rPr>
        <w:t>or</w:t>
      </w:r>
      <w:r w:rsidR="00A67FCC" w:rsidRPr="00473C7B">
        <w:rPr>
          <w:rFonts w:cs="Arial"/>
          <w:bCs/>
          <w:szCs w:val="22"/>
        </w:rPr>
        <w:t xml:space="preserve"> license </w:t>
      </w:r>
      <w:r w:rsidR="00EC4ED4" w:rsidRPr="00473C7B">
        <w:rPr>
          <w:rFonts w:cs="Arial"/>
          <w:bCs/>
          <w:szCs w:val="22"/>
        </w:rPr>
        <w:t>a</w:t>
      </w:r>
      <w:r w:rsidRPr="00473C7B">
        <w:rPr>
          <w:rFonts w:cs="Arial"/>
          <w:bCs/>
          <w:szCs w:val="22"/>
        </w:rPr>
        <w:t>pplicants to prepare</w:t>
      </w:r>
      <w:r w:rsidR="00707A85" w:rsidRPr="00473C7B">
        <w:rPr>
          <w:rFonts w:cs="Arial"/>
          <w:bCs/>
          <w:szCs w:val="22"/>
        </w:rPr>
        <w:t>:</w:t>
      </w:r>
      <w:r w:rsidRPr="00473C7B">
        <w:rPr>
          <w:rFonts w:cs="Arial"/>
          <w:bCs/>
          <w:szCs w:val="22"/>
        </w:rPr>
        <w:t xml:space="preserve"> </w:t>
      </w:r>
      <w:r w:rsidR="00707A85" w:rsidRPr="00473C7B">
        <w:rPr>
          <w:rFonts w:cs="Arial"/>
          <w:bCs/>
          <w:szCs w:val="22"/>
        </w:rPr>
        <w:t xml:space="preserve"> </w:t>
      </w:r>
    </w:p>
    <w:p w:rsidR="00E019B7" w:rsidRDefault="00E019B7" w:rsidP="00473C7B">
      <w:pPr>
        <w:rPr>
          <w:rFonts w:cs="Arial"/>
          <w:bCs/>
          <w:szCs w:val="22"/>
        </w:rPr>
      </w:pPr>
    </w:p>
    <w:p w:rsidR="00E019B7" w:rsidRDefault="00E019B7" w:rsidP="00E019B7">
      <w:pPr>
        <w:pStyle w:val="ListParagraph"/>
        <w:numPr>
          <w:ilvl w:val="0"/>
          <w:numId w:val="24"/>
        </w:numPr>
        <w:rPr>
          <w:rFonts w:cs="Arial"/>
          <w:bCs/>
          <w:szCs w:val="22"/>
        </w:rPr>
      </w:pPr>
      <w:r>
        <w:rPr>
          <w:rFonts w:cs="Arial"/>
          <w:bCs/>
          <w:szCs w:val="22"/>
        </w:rPr>
        <w:t>A</w:t>
      </w:r>
      <w:r w:rsidR="00EC4ED4" w:rsidRPr="00E019B7">
        <w:rPr>
          <w:rFonts w:cs="Arial"/>
          <w:bCs/>
          <w:szCs w:val="22"/>
        </w:rPr>
        <w:t>n updated</w:t>
      </w:r>
      <w:r w:rsidR="00902C3D" w:rsidRPr="00E019B7">
        <w:rPr>
          <w:rFonts w:cs="Arial"/>
          <w:bCs/>
          <w:szCs w:val="22"/>
        </w:rPr>
        <w:t xml:space="preserve"> performance assessment to demonstrate the protection of the general population from releases of radioactiv</w:t>
      </w:r>
      <w:r w:rsidR="00902C3D" w:rsidRPr="007A1714">
        <w:rPr>
          <w:rFonts w:cs="Arial"/>
          <w:bCs/>
          <w:szCs w:val="22"/>
        </w:rPr>
        <w:t xml:space="preserve">ity </w:t>
      </w:r>
      <w:r w:rsidR="00355045" w:rsidRPr="007A1714">
        <w:rPr>
          <w:rFonts w:cs="Arial"/>
          <w:bCs/>
          <w:szCs w:val="22"/>
        </w:rPr>
        <w:t>(</w:t>
      </w:r>
      <w:r w:rsidR="00DE3C91" w:rsidRPr="00CC2AD7">
        <w:rPr>
          <w:rFonts w:cs="Arial"/>
          <w:bCs/>
          <w:szCs w:val="22"/>
        </w:rPr>
        <w:t xml:space="preserve">proposed </w:t>
      </w:r>
      <w:r w:rsidR="00355045" w:rsidRPr="00CC2AD7">
        <w:rPr>
          <w:rFonts w:cs="Arial"/>
          <w:bCs/>
          <w:szCs w:val="22"/>
        </w:rPr>
        <w:t xml:space="preserve">10 CFR </w:t>
      </w:r>
      <w:r w:rsidR="002C5F9B" w:rsidRPr="00CC2AD7">
        <w:rPr>
          <w:rFonts w:cs="Arial"/>
          <w:bCs/>
          <w:szCs w:val="22"/>
        </w:rPr>
        <w:t>61.41)</w:t>
      </w:r>
      <w:r w:rsidR="0036684B" w:rsidRPr="00E50B81">
        <w:rPr>
          <w:rFonts w:cs="Arial"/>
          <w:bCs/>
          <w:szCs w:val="22"/>
        </w:rPr>
        <w:t xml:space="preserve"> during the compliance and protective assurance periods</w:t>
      </w:r>
      <w:r>
        <w:rPr>
          <w:rFonts w:cs="Arial"/>
          <w:bCs/>
          <w:szCs w:val="22"/>
        </w:rPr>
        <w:t xml:space="preserve">. </w:t>
      </w:r>
    </w:p>
    <w:p w:rsidR="00E019B7" w:rsidRDefault="00E019B7" w:rsidP="00E019B7">
      <w:pPr>
        <w:pStyle w:val="ListParagraph"/>
        <w:ind w:left="810"/>
        <w:rPr>
          <w:rFonts w:cs="Arial"/>
          <w:bCs/>
          <w:szCs w:val="22"/>
        </w:rPr>
      </w:pPr>
    </w:p>
    <w:p w:rsidR="00E019B7" w:rsidRDefault="00E019B7" w:rsidP="00E019B7">
      <w:pPr>
        <w:pStyle w:val="ListParagraph"/>
        <w:numPr>
          <w:ilvl w:val="0"/>
          <w:numId w:val="24"/>
        </w:numPr>
        <w:rPr>
          <w:rFonts w:cs="Arial"/>
          <w:bCs/>
          <w:szCs w:val="22"/>
        </w:rPr>
      </w:pPr>
      <w:r>
        <w:rPr>
          <w:rFonts w:cs="Arial"/>
          <w:bCs/>
          <w:szCs w:val="22"/>
        </w:rPr>
        <w:t>A</w:t>
      </w:r>
      <w:r w:rsidR="00EC4ED4" w:rsidRPr="00E019B7">
        <w:rPr>
          <w:rFonts w:cs="Arial"/>
          <w:bCs/>
          <w:szCs w:val="22"/>
        </w:rPr>
        <w:t xml:space="preserve"> </w:t>
      </w:r>
      <w:r w:rsidR="00902C3D" w:rsidRPr="00E019B7">
        <w:rPr>
          <w:rFonts w:cs="Arial"/>
          <w:bCs/>
          <w:szCs w:val="22"/>
        </w:rPr>
        <w:t>n</w:t>
      </w:r>
      <w:r w:rsidR="00EC4ED4" w:rsidRPr="00E019B7">
        <w:rPr>
          <w:rFonts w:cs="Arial"/>
          <w:bCs/>
          <w:szCs w:val="22"/>
        </w:rPr>
        <w:t>ew</w:t>
      </w:r>
      <w:r w:rsidR="00902C3D" w:rsidRPr="00E019B7">
        <w:rPr>
          <w:rFonts w:cs="Arial"/>
          <w:bCs/>
          <w:szCs w:val="22"/>
        </w:rPr>
        <w:t xml:space="preserve"> intruder assessment to</w:t>
      </w:r>
      <w:r w:rsidR="00184DA6" w:rsidRPr="00E019B7">
        <w:rPr>
          <w:rFonts w:cs="Arial"/>
          <w:bCs/>
          <w:szCs w:val="22"/>
        </w:rPr>
        <w:t xml:space="preserve"> </w:t>
      </w:r>
      <w:r w:rsidR="00902C3D" w:rsidRPr="00E019B7">
        <w:rPr>
          <w:rFonts w:cs="Arial"/>
          <w:bCs/>
          <w:szCs w:val="22"/>
        </w:rPr>
        <w:t>demonstrate the protection of inadverte</w:t>
      </w:r>
      <w:r w:rsidR="005B7C8E" w:rsidRPr="00E019B7">
        <w:rPr>
          <w:rFonts w:cs="Arial"/>
          <w:bCs/>
          <w:szCs w:val="22"/>
        </w:rPr>
        <w:t xml:space="preserve">nt intruders </w:t>
      </w:r>
      <w:r w:rsidR="00355045" w:rsidRPr="007A1714">
        <w:rPr>
          <w:rFonts w:cs="Arial"/>
          <w:bCs/>
          <w:szCs w:val="22"/>
        </w:rPr>
        <w:t>(</w:t>
      </w:r>
      <w:r w:rsidR="00DE3C91" w:rsidRPr="007A1714">
        <w:rPr>
          <w:rFonts w:cs="Arial"/>
          <w:bCs/>
          <w:szCs w:val="22"/>
        </w:rPr>
        <w:t xml:space="preserve">proposed </w:t>
      </w:r>
      <w:r w:rsidR="00355045" w:rsidRPr="00CC2AD7">
        <w:rPr>
          <w:rFonts w:cs="Arial"/>
          <w:bCs/>
          <w:szCs w:val="22"/>
        </w:rPr>
        <w:t xml:space="preserve">10 CFR </w:t>
      </w:r>
      <w:r w:rsidR="002C5F9B" w:rsidRPr="00CC2AD7">
        <w:rPr>
          <w:rFonts w:cs="Arial"/>
          <w:bCs/>
          <w:szCs w:val="22"/>
        </w:rPr>
        <w:t>61.42)</w:t>
      </w:r>
      <w:r w:rsidR="0036684B" w:rsidRPr="0036684B">
        <w:t xml:space="preserve"> </w:t>
      </w:r>
      <w:r w:rsidR="0036684B" w:rsidRPr="00E019B7">
        <w:rPr>
          <w:rFonts w:cs="Arial"/>
          <w:bCs/>
          <w:szCs w:val="22"/>
        </w:rPr>
        <w:t>during the compliance and protective assurance periods</w:t>
      </w:r>
      <w:r>
        <w:rPr>
          <w:rFonts w:cs="Arial"/>
          <w:bCs/>
          <w:szCs w:val="22"/>
        </w:rPr>
        <w:t xml:space="preserve">. </w:t>
      </w:r>
    </w:p>
    <w:p w:rsidR="00E019B7" w:rsidRPr="00E019B7" w:rsidRDefault="00E019B7" w:rsidP="00E019B7">
      <w:pPr>
        <w:pStyle w:val="ListParagraph"/>
        <w:rPr>
          <w:rFonts w:cs="Arial"/>
          <w:bCs/>
          <w:szCs w:val="22"/>
        </w:rPr>
      </w:pPr>
    </w:p>
    <w:p w:rsidR="00E019B7" w:rsidRDefault="00E019B7" w:rsidP="00E019B7">
      <w:pPr>
        <w:pStyle w:val="ListParagraph"/>
        <w:numPr>
          <w:ilvl w:val="0"/>
          <w:numId w:val="24"/>
        </w:numPr>
        <w:rPr>
          <w:rFonts w:cs="Arial"/>
          <w:bCs/>
          <w:szCs w:val="22"/>
        </w:rPr>
      </w:pPr>
      <w:r>
        <w:rPr>
          <w:rFonts w:cs="Arial"/>
          <w:bCs/>
          <w:szCs w:val="22"/>
        </w:rPr>
        <w:t>A</w:t>
      </w:r>
      <w:r w:rsidR="00EC4ED4" w:rsidRPr="00E019B7">
        <w:rPr>
          <w:rFonts w:cs="Arial"/>
          <w:bCs/>
          <w:szCs w:val="22"/>
        </w:rPr>
        <w:t xml:space="preserve"> new</w:t>
      </w:r>
      <w:r w:rsidR="00184DA6" w:rsidRPr="00E019B7">
        <w:rPr>
          <w:rFonts w:cs="Arial"/>
          <w:bCs/>
          <w:szCs w:val="22"/>
        </w:rPr>
        <w:t xml:space="preserve"> </w:t>
      </w:r>
      <w:r w:rsidR="00B47D69" w:rsidRPr="00E019B7">
        <w:rPr>
          <w:rFonts w:cs="Arial"/>
          <w:bCs/>
          <w:szCs w:val="22"/>
        </w:rPr>
        <w:t>performance period</w:t>
      </w:r>
      <w:r w:rsidR="005B7C8E" w:rsidRPr="00E019B7">
        <w:rPr>
          <w:rFonts w:cs="Arial"/>
          <w:bCs/>
          <w:szCs w:val="22"/>
        </w:rPr>
        <w:t xml:space="preserve"> </w:t>
      </w:r>
      <w:r w:rsidR="00686E0C">
        <w:rPr>
          <w:rFonts w:cs="Arial"/>
          <w:bCs/>
          <w:szCs w:val="22"/>
        </w:rPr>
        <w:t>analysis</w:t>
      </w:r>
      <w:r w:rsidR="00686E0C" w:rsidRPr="00E019B7">
        <w:rPr>
          <w:rFonts w:cs="Arial"/>
          <w:bCs/>
          <w:szCs w:val="22"/>
        </w:rPr>
        <w:t xml:space="preserve"> </w:t>
      </w:r>
      <w:r w:rsidR="00902C3D" w:rsidRPr="00E019B7">
        <w:rPr>
          <w:rFonts w:cs="Arial"/>
          <w:bCs/>
          <w:szCs w:val="22"/>
        </w:rPr>
        <w:t xml:space="preserve">to evaluate how the disposal system </w:t>
      </w:r>
      <w:r w:rsidR="00840516" w:rsidRPr="00E019B7">
        <w:rPr>
          <w:rFonts w:cs="Arial"/>
          <w:bCs/>
          <w:szCs w:val="22"/>
        </w:rPr>
        <w:t>could</w:t>
      </w:r>
      <w:r w:rsidR="00902C3D" w:rsidRPr="00E019B7">
        <w:rPr>
          <w:rFonts w:cs="Arial"/>
          <w:bCs/>
          <w:szCs w:val="22"/>
        </w:rPr>
        <w:t xml:space="preserve"> mitigate the risk from disposal of long-lived </w:t>
      </w:r>
      <w:r w:rsidR="002C5F9B" w:rsidRPr="00E019B7">
        <w:rPr>
          <w:rFonts w:cs="Arial"/>
          <w:bCs/>
          <w:szCs w:val="22"/>
        </w:rPr>
        <w:t>LLRW</w:t>
      </w:r>
      <w:r w:rsidR="00902C3D" w:rsidRPr="00E019B7">
        <w:rPr>
          <w:rFonts w:cs="Arial"/>
          <w:bCs/>
          <w:szCs w:val="22"/>
        </w:rPr>
        <w:t xml:space="preserve"> </w:t>
      </w:r>
      <w:r w:rsidR="00075ED8" w:rsidRPr="00E019B7">
        <w:rPr>
          <w:rFonts w:cs="Arial"/>
          <w:bCs/>
          <w:szCs w:val="22"/>
        </w:rPr>
        <w:t>(</w:t>
      </w:r>
      <w:r w:rsidR="00DE3C91" w:rsidRPr="00E019B7">
        <w:rPr>
          <w:rFonts w:cs="Arial"/>
          <w:bCs/>
          <w:szCs w:val="22"/>
        </w:rPr>
        <w:t>proposed 10 </w:t>
      </w:r>
      <w:r w:rsidR="00075ED8" w:rsidRPr="00C62B14">
        <w:rPr>
          <w:rFonts w:cs="Arial"/>
          <w:bCs/>
          <w:szCs w:val="22"/>
        </w:rPr>
        <w:t xml:space="preserve">CFR </w:t>
      </w:r>
      <w:r w:rsidR="002C5F9B" w:rsidRPr="00C62B14">
        <w:rPr>
          <w:rFonts w:cs="Arial"/>
          <w:bCs/>
          <w:szCs w:val="22"/>
        </w:rPr>
        <w:t>61.13(e))</w:t>
      </w:r>
      <w:r>
        <w:rPr>
          <w:rFonts w:cs="Arial"/>
          <w:bCs/>
          <w:szCs w:val="22"/>
        </w:rPr>
        <w:t xml:space="preserve">. </w:t>
      </w:r>
    </w:p>
    <w:p w:rsidR="00E019B7" w:rsidRPr="00E019B7" w:rsidRDefault="00E019B7" w:rsidP="00E019B7">
      <w:pPr>
        <w:pStyle w:val="ListParagraph"/>
        <w:rPr>
          <w:rFonts w:cs="Arial"/>
          <w:bCs/>
          <w:szCs w:val="22"/>
        </w:rPr>
      </w:pPr>
    </w:p>
    <w:p w:rsidR="00E019B7" w:rsidRDefault="00E019B7" w:rsidP="00E019B7">
      <w:pPr>
        <w:pStyle w:val="ListParagraph"/>
        <w:numPr>
          <w:ilvl w:val="0"/>
          <w:numId w:val="24"/>
        </w:numPr>
        <w:rPr>
          <w:rFonts w:cs="Arial"/>
          <w:bCs/>
          <w:szCs w:val="22"/>
        </w:rPr>
      </w:pPr>
      <w:r>
        <w:rPr>
          <w:rFonts w:cs="Arial"/>
          <w:bCs/>
          <w:szCs w:val="22"/>
        </w:rPr>
        <w:lastRenderedPageBreak/>
        <w:t>A</w:t>
      </w:r>
      <w:r w:rsidR="00C16359" w:rsidRPr="00E019B7">
        <w:rPr>
          <w:rFonts w:cs="Arial"/>
          <w:bCs/>
          <w:szCs w:val="22"/>
        </w:rPr>
        <w:t xml:space="preserve"> new </w:t>
      </w:r>
      <w:r w:rsidR="00686E0C">
        <w:rPr>
          <w:rFonts w:cs="Arial"/>
          <w:bCs/>
          <w:szCs w:val="22"/>
        </w:rPr>
        <w:t>analysis</w:t>
      </w:r>
      <w:r w:rsidR="00686E0C" w:rsidRPr="00E019B7">
        <w:rPr>
          <w:rFonts w:cs="Arial"/>
          <w:bCs/>
          <w:szCs w:val="22"/>
        </w:rPr>
        <w:t xml:space="preserve"> </w:t>
      </w:r>
      <w:r w:rsidR="00C16359" w:rsidRPr="00E019B7">
        <w:rPr>
          <w:rFonts w:cs="Arial"/>
          <w:bCs/>
          <w:szCs w:val="22"/>
        </w:rPr>
        <w:t xml:space="preserve">that would identify and describe the features of the design and site characteristics that provide </w:t>
      </w:r>
      <w:r w:rsidR="00207E66" w:rsidRPr="00E019B7">
        <w:rPr>
          <w:rFonts w:cs="Arial"/>
          <w:bCs/>
          <w:szCs w:val="22"/>
        </w:rPr>
        <w:t>defense</w:t>
      </w:r>
      <w:r w:rsidR="00207E66">
        <w:rPr>
          <w:rFonts w:cs="Arial"/>
          <w:bCs/>
          <w:szCs w:val="22"/>
        </w:rPr>
        <w:t>-</w:t>
      </w:r>
      <w:r w:rsidR="00207E66" w:rsidRPr="00E019B7">
        <w:rPr>
          <w:rFonts w:cs="Arial"/>
          <w:bCs/>
          <w:szCs w:val="22"/>
        </w:rPr>
        <w:t>in</w:t>
      </w:r>
      <w:r w:rsidR="00207E66">
        <w:rPr>
          <w:rFonts w:cs="Arial"/>
          <w:bCs/>
          <w:szCs w:val="22"/>
        </w:rPr>
        <w:t>-</w:t>
      </w:r>
      <w:r w:rsidR="00C16359" w:rsidRPr="00E019B7">
        <w:rPr>
          <w:rFonts w:cs="Arial"/>
          <w:bCs/>
          <w:szCs w:val="22"/>
        </w:rPr>
        <w:t xml:space="preserve">depth protection </w:t>
      </w:r>
      <w:r w:rsidR="006E08C6" w:rsidRPr="00E019B7">
        <w:rPr>
          <w:rFonts w:cs="Arial"/>
          <w:bCs/>
          <w:szCs w:val="22"/>
        </w:rPr>
        <w:t>for all periods of analysis</w:t>
      </w:r>
      <w:r w:rsidR="00C16359" w:rsidRPr="00C62B14">
        <w:rPr>
          <w:rFonts w:cs="Arial"/>
          <w:bCs/>
          <w:szCs w:val="22"/>
        </w:rPr>
        <w:t xml:space="preserve"> (proposed 10 CFR 61.13(f)</w:t>
      </w:r>
      <w:r>
        <w:rPr>
          <w:rFonts w:cs="Arial"/>
          <w:bCs/>
          <w:szCs w:val="22"/>
        </w:rPr>
        <w:t xml:space="preserve">. </w:t>
      </w:r>
    </w:p>
    <w:p w:rsidR="00E019B7" w:rsidRPr="00E019B7" w:rsidRDefault="00E019B7" w:rsidP="00E019B7">
      <w:pPr>
        <w:pStyle w:val="ListParagraph"/>
        <w:rPr>
          <w:rFonts w:cs="Arial"/>
          <w:bCs/>
          <w:szCs w:val="22"/>
        </w:rPr>
      </w:pPr>
    </w:p>
    <w:p w:rsidR="00E019B7" w:rsidRDefault="00E019B7" w:rsidP="00E019B7">
      <w:pPr>
        <w:pStyle w:val="ListParagraph"/>
        <w:numPr>
          <w:ilvl w:val="0"/>
          <w:numId w:val="24"/>
        </w:numPr>
        <w:rPr>
          <w:rFonts w:cs="Arial"/>
          <w:bCs/>
          <w:szCs w:val="22"/>
        </w:rPr>
      </w:pPr>
      <w:r>
        <w:rPr>
          <w:rFonts w:cs="Arial"/>
          <w:bCs/>
          <w:szCs w:val="22"/>
        </w:rPr>
        <w:t>A</w:t>
      </w:r>
      <w:r w:rsidR="00DE3C91" w:rsidRPr="00E019B7">
        <w:rPr>
          <w:rFonts w:cs="Arial"/>
          <w:bCs/>
          <w:szCs w:val="22"/>
        </w:rPr>
        <w:t xml:space="preserve"> new</w:t>
      </w:r>
      <w:r w:rsidR="00B47D69" w:rsidRPr="00E019B7">
        <w:rPr>
          <w:rFonts w:cs="Arial"/>
          <w:bCs/>
          <w:szCs w:val="22"/>
        </w:rPr>
        <w:t xml:space="preserve"> </w:t>
      </w:r>
      <w:r w:rsidR="002C5F9B" w:rsidRPr="00E019B7">
        <w:rPr>
          <w:rFonts w:cs="Arial"/>
          <w:bCs/>
          <w:szCs w:val="22"/>
        </w:rPr>
        <w:t>LLRW</w:t>
      </w:r>
      <w:r w:rsidR="00B47D69" w:rsidRPr="00E019B7">
        <w:rPr>
          <w:rFonts w:cs="Arial"/>
          <w:bCs/>
          <w:szCs w:val="22"/>
        </w:rPr>
        <w:t xml:space="preserve"> acceptance plan</w:t>
      </w:r>
      <w:r w:rsidR="00DE3C91" w:rsidRPr="00E019B7">
        <w:rPr>
          <w:rFonts w:cs="Arial"/>
          <w:bCs/>
          <w:szCs w:val="22"/>
        </w:rPr>
        <w:t xml:space="preserve"> </w:t>
      </w:r>
      <w:r w:rsidR="000A7C0A" w:rsidRPr="00E019B7">
        <w:rPr>
          <w:rFonts w:cs="Arial"/>
          <w:bCs/>
          <w:szCs w:val="22"/>
        </w:rPr>
        <w:t xml:space="preserve">for shipments of LLRW </w:t>
      </w:r>
      <w:r w:rsidR="00DE3C91" w:rsidRPr="00E019B7">
        <w:rPr>
          <w:rFonts w:cs="Arial"/>
          <w:bCs/>
          <w:szCs w:val="22"/>
        </w:rPr>
        <w:t>(proposed 10 CFR 61.58)</w:t>
      </w:r>
      <w:r w:rsidR="00902C3D" w:rsidRPr="00E019B7">
        <w:rPr>
          <w:rFonts w:cs="Arial"/>
          <w:bCs/>
          <w:szCs w:val="22"/>
        </w:rPr>
        <w:t xml:space="preserve">, to provide greater assurance of compliance with the performance objectives of </w:t>
      </w:r>
      <w:r w:rsidR="00A67FCC" w:rsidRPr="00E019B7">
        <w:rPr>
          <w:rFonts w:cs="Arial"/>
          <w:bCs/>
          <w:szCs w:val="22"/>
        </w:rPr>
        <w:t xml:space="preserve">Subpart C in </w:t>
      </w:r>
      <w:r w:rsidR="00902C3D" w:rsidRPr="00E019B7">
        <w:rPr>
          <w:rFonts w:cs="Arial"/>
          <w:bCs/>
          <w:szCs w:val="22"/>
        </w:rPr>
        <w:t xml:space="preserve">10 CFR Part 61, and to </w:t>
      </w:r>
      <w:r w:rsidR="00642CF5" w:rsidRPr="00C62B14">
        <w:rPr>
          <w:rFonts w:cs="Arial"/>
          <w:szCs w:val="22"/>
        </w:rPr>
        <w:t xml:space="preserve">ensure </w:t>
      </w:r>
      <w:r w:rsidR="00642CF5" w:rsidRPr="007A1714">
        <w:rPr>
          <w:rFonts w:cs="Arial"/>
          <w:szCs w:val="22"/>
        </w:rPr>
        <w:t>safe disposal of LLRW that was not analyzed in the original 10 CFR Part 61 regulatory basis (e.g., large quantities of depleted uranium)</w:t>
      </w:r>
      <w:r w:rsidR="00902C3D" w:rsidRPr="00CC2AD7">
        <w:rPr>
          <w:rFonts w:cs="Arial"/>
          <w:bCs/>
          <w:szCs w:val="22"/>
        </w:rPr>
        <w:t>.</w:t>
      </w:r>
      <w:r w:rsidR="00707A85" w:rsidRPr="00CC2AD7">
        <w:rPr>
          <w:rFonts w:cs="Arial"/>
          <w:bCs/>
          <w:szCs w:val="22"/>
        </w:rPr>
        <w:t xml:space="preserve">  </w:t>
      </w:r>
    </w:p>
    <w:p w:rsidR="00E019B7" w:rsidRPr="00E019B7" w:rsidRDefault="00E019B7" w:rsidP="00E019B7">
      <w:pPr>
        <w:pStyle w:val="ListParagraph"/>
        <w:rPr>
          <w:rFonts w:cs="Arial"/>
          <w:bCs/>
          <w:szCs w:val="22"/>
        </w:rPr>
      </w:pPr>
    </w:p>
    <w:p w:rsidR="00EC4ED4" w:rsidRPr="006B13CE" w:rsidRDefault="00707A85" w:rsidP="006E50B8">
      <w:pPr>
        <w:rPr>
          <w:rFonts w:cs="Arial"/>
          <w:bCs/>
          <w:szCs w:val="22"/>
        </w:rPr>
      </w:pPr>
      <w:r w:rsidRPr="00A225D9">
        <w:rPr>
          <w:rFonts w:cs="Arial"/>
          <w:bCs/>
          <w:szCs w:val="22"/>
        </w:rPr>
        <w:t>Licensees would also be required to provide updated compliance</w:t>
      </w:r>
      <w:r w:rsidR="005D0CA4" w:rsidRPr="00A225D9">
        <w:rPr>
          <w:rFonts w:cs="Arial"/>
          <w:bCs/>
          <w:szCs w:val="22"/>
        </w:rPr>
        <w:t>, protective assurance,</w:t>
      </w:r>
      <w:r w:rsidRPr="006B13CE">
        <w:rPr>
          <w:rFonts w:cs="Arial"/>
          <w:bCs/>
          <w:szCs w:val="22"/>
        </w:rPr>
        <w:t xml:space="preserve"> and performance period analyses with the application to amend the license for closure (proposed 10 CFR 61.28)</w:t>
      </w:r>
      <w:r w:rsidR="00222719" w:rsidRPr="006B13CE">
        <w:rPr>
          <w:rFonts w:cs="Arial"/>
          <w:bCs/>
          <w:szCs w:val="22"/>
        </w:rPr>
        <w:t>.</w:t>
      </w:r>
    </w:p>
    <w:p w:rsidR="000B457C" w:rsidRPr="00473C7B" w:rsidRDefault="000B457C" w:rsidP="00473C7B">
      <w:pPr>
        <w:rPr>
          <w:rFonts w:cs="Arial"/>
          <w:szCs w:val="22"/>
        </w:rPr>
      </w:pPr>
    </w:p>
    <w:p w:rsidR="005D0CA4" w:rsidRDefault="005D0CA4" w:rsidP="00473C7B">
      <w:pPr>
        <w:rPr>
          <w:rFonts w:cs="Arial"/>
          <w:bCs/>
          <w:szCs w:val="22"/>
        </w:rPr>
      </w:pPr>
      <w:r>
        <w:rPr>
          <w:rFonts w:cs="Arial"/>
          <w:bCs/>
          <w:szCs w:val="22"/>
        </w:rPr>
        <w:t>Compliance and Protective Assurance Period</w:t>
      </w:r>
      <w:r w:rsidR="006E08C6">
        <w:rPr>
          <w:rFonts w:cs="Arial"/>
          <w:bCs/>
          <w:szCs w:val="22"/>
        </w:rPr>
        <w:t>s</w:t>
      </w:r>
    </w:p>
    <w:p w:rsidR="005B2BEF" w:rsidRDefault="005B2BEF" w:rsidP="00473C7B">
      <w:pPr>
        <w:rPr>
          <w:rFonts w:cs="Arial"/>
          <w:bCs/>
          <w:szCs w:val="22"/>
        </w:rPr>
      </w:pPr>
    </w:p>
    <w:p w:rsidR="00902C3D" w:rsidRPr="00473C7B" w:rsidRDefault="000D65CF" w:rsidP="00473C7B">
      <w:pPr>
        <w:rPr>
          <w:rFonts w:cs="Arial"/>
          <w:bCs/>
          <w:szCs w:val="22"/>
        </w:rPr>
      </w:pPr>
      <w:r w:rsidRPr="00473C7B">
        <w:rPr>
          <w:rFonts w:cs="Arial"/>
          <w:bCs/>
          <w:szCs w:val="22"/>
        </w:rPr>
        <w:t>The regulations at 10 CFR</w:t>
      </w:r>
      <w:r w:rsidR="009671AE" w:rsidRPr="00473C7B">
        <w:rPr>
          <w:rFonts w:cs="Arial"/>
          <w:bCs/>
          <w:szCs w:val="22"/>
        </w:rPr>
        <w:t xml:space="preserve"> 61.41 require licensees to prepare an analysis to demonstrate protection of the general population from releases of radioactivity</w:t>
      </w:r>
      <w:r w:rsidR="00902C3D" w:rsidRPr="00473C7B">
        <w:rPr>
          <w:rFonts w:cs="Arial"/>
          <w:bCs/>
          <w:szCs w:val="22"/>
        </w:rPr>
        <w:t xml:space="preserve">  </w:t>
      </w:r>
      <w:r w:rsidR="00552EDA" w:rsidRPr="00473C7B">
        <w:rPr>
          <w:rFonts w:cs="Arial"/>
          <w:bCs/>
          <w:szCs w:val="22"/>
        </w:rPr>
        <w:t xml:space="preserve">The proposed performance assessment would identify </w:t>
      </w:r>
      <w:r w:rsidR="002C5F9B" w:rsidRPr="00473C7B">
        <w:rPr>
          <w:rFonts w:cs="Arial"/>
          <w:bCs/>
          <w:szCs w:val="22"/>
        </w:rPr>
        <w:t xml:space="preserve">and evaluate </w:t>
      </w:r>
      <w:r w:rsidR="00552EDA" w:rsidRPr="00473C7B">
        <w:rPr>
          <w:rFonts w:cs="Arial"/>
          <w:bCs/>
          <w:szCs w:val="22"/>
        </w:rPr>
        <w:t xml:space="preserve">the specific characteristics of the disposal site; degradation, deterioration, or alteration processes of the engineered barriers and natural system; and interactions between the site characteristics and engineered barriers that might affect the performance of the disposal system.  The </w:t>
      </w:r>
      <w:r w:rsidR="002C5F9B" w:rsidRPr="00473C7B">
        <w:rPr>
          <w:rFonts w:cs="Arial"/>
          <w:bCs/>
          <w:szCs w:val="22"/>
        </w:rPr>
        <w:t>proposed</w:t>
      </w:r>
      <w:r w:rsidR="00552EDA" w:rsidRPr="00473C7B">
        <w:rPr>
          <w:rFonts w:cs="Arial"/>
          <w:bCs/>
          <w:szCs w:val="22"/>
        </w:rPr>
        <w:t xml:space="preserve"> </w:t>
      </w:r>
      <w:r w:rsidR="00EC5175">
        <w:rPr>
          <w:rFonts w:cs="Arial"/>
          <w:bCs/>
          <w:szCs w:val="22"/>
        </w:rPr>
        <w:t>three-tier approach</w:t>
      </w:r>
      <w:r w:rsidR="00552EDA" w:rsidRPr="00473C7B">
        <w:rPr>
          <w:rFonts w:cs="Arial"/>
          <w:bCs/>
          <w:szCs w:val="22"/>
        </w:rPr>
        <w:t xml:space="preserve"> for this assessment is an important additional technical parameter for these analyses over existing requirements and is significant when evaluating </w:t>
      </w:r>
      <w:r w:rsidR="002C5F9B" w:rsidRPr="00473C7B">
        <w:rPr>
          <w:rFonts w:cs="Arial"/>
          <w:bCs/>
          <w:szCs w:val="22"/>
        </w:rPr>
        <w:t>LLRW</w:t>
      </w:r>
      <w:r w:rsidR="00552EDA" w:rsidRPr="00473C7B">
        <w:rPr>
          <w:rFonts w:cs="Arial"/>
          <w:bCs/>
          <w:szCs w:val="22"/>
        </w:rPr>
        <w:t xml:space="preserve"> streams that were not considered in the original 10 CFR Part 61 rulemaking.  </w:t>
      </w:r>
      <w:r w:rsidRPr="00473C7B">
        <w:rPr>
          <w:rFonts w:cs="Arial"/>
          <w:bCs/>
          <w:szCs w:val="22"/>
        </w:rPr>
        <w:t xml:space="preserve">The requirement to prepare a </w:t>
      </w:r>
      <w:r w:rsidR="00552EDA" w:rsidRPr="00473C7B">
        <w:rPr>
          <w:rFonts w:cs="Arial"/>
          <w:bCs/>
          <w:szCs w:val="22"/>
        </w:rPr>
        <w:t xml:space="preserve">performance assessment </w:t>
      </w:r>
      <w:r w:rsidRPr="00473C7B">
        <w:rPr>
          <w:rFonts w:cs="Arial"/>
          <w:bCs/>
          <w:szCs w:val="22"/>
        </w:rPr>
        <w:t>is a</w:t>
      </w:r>
      <w:r w:rsidR="00552EDA" w:rsidRPr="00473C7B">
        <w:rPr>
          <w:rFonts w:cs="Arial"/>
          <w:bCs/>
          <w:szCs w:val="22"/>
        </w:rPr>
        <w:t xml:space="preserve"> risk-informed </w:t>
      </w:r>
      <w:r w:rsidRPr="00473C7B">
        <w:rPr>
          <w:rFonts w:cs="Arial"/>
          <w:bCs/>
          <w:szCs w:val="22"/>
        </w:rPr>
        <w:t xml:space="preserve">approach </w:t>
      </w:r>
      <w:r w:rsidR="00552EDA" w:rsidRPr="00473C7B">
        <w:rPr>
          <w:rFonts w:cs="Arial"/>
          <w:bCs/>
          <w:szCs w:val="22"/>
        </w:rPr>
        <w:t>that provides flexibility to a licensee or applicant regard</w:t>
      </w:r>
      <w:r w:rsidRPr="00473C7B">
        <w:rPr>
          <w:rFonts w:cs="Arial"/>
          <w:bCs/>
          <w:szCs w:val="22"/>
        </w:rPr>
        <w:t>ing</w:t>
      </w:r>
      <w:r w:rsidR="00552EDA" w:rsidRPr="00473C7B">
        <w:rPr>
          <w:rFonts w:cs="Arial"/>
          <w:bCs/>
          <w:szCs w:val="22"/>
        </w:rPr>
        <w:t xml:space="preserve"> what information or approach they </w:t>
      </w:r>
      <w:r w:rsidR="002C5F9B" w:rsidRPr="00473C7B">
        <w:rPr>
          <w:rFonts w:cs="Arial"/>
          <w:bCs/>
          <w:szCs w:val="22"/>
        </w:rPr>
        <w:t xml:space="preserve">may </w:t>
      </w:r>
      <w:r w:rsidR="00552EDA" w:rsidRPr="00473C7B">
        <w:rPr>
          <w:rFonts w:cs="Arial"/>
          <w:bCs/>
          <w:szCs w:val="22"/>
        </w:rPr>
        <w:t>use to satisfy those requirements.  The NRC believes that the proposed approach is warranted because of the</w:t>
      </w:r>
      <w:r w:rsidR="002C5F9B" w:rsidRPr="00473C7B">
        <w:rPr>
          <w:rFonts w:cs="Arial"/>
          <w:bCs/>
          <w:szCs w:val="22"/>
        </w:rPr>
        <w:t xml:space="preserve"> </w:t>
      </w:r>
      <w:r w:rsidR="00552EDA" w:rsidRPr="00473C7B">
        <w:rPr>
          <w:rFonts w:cs="Arial"/>
          <w:bCs/>
          <w:szCs w:val="22"/>
        </w:rPr>
        <w:t xml:space="preserve">site-specific nature of LLRW disposal, which can rely on different </w:t>
      </w:r>
      <w:r w:rsidR="002C5F9B" w:rsidRPr="00473C7B">
        <w:rPr>
          <w:rFonts w:cs="Arial"/>
          <w:bCs/>
          <w:szCs w:val="22"/>
        </w:rPr>
        <w:t xml:space="preserve">facility </w:t>
      </w:r>
      <w:r w:rsidR="00552EDA" w:rsidRPr="00473C7B">
        <w:rPr>
          <w:rFonts w:cs="Arial"/>
          <w:bCs/>
          <w:szCs w:val="22"/>
        </w:rPr>
        <w:t>designs at different sites.</w:t>
      </w:r>
      <w:r w:rsidR="00422182" w:rsidRPr="00473C7B">
        <w:rPr>
          <w:rFonts w:cs="Arial"/>
          <w:bCs/>
          <w:szCs w:val="22"/>
        </w:rPr>
        <w:t xml:space="preserve">  </w:t>
      </w:r>
    </w:p>
    <w:p w:rsidR="000B457C" w:rsidRPr="00473C7B" w:rsidRDefault="000B457C" w:rsidP="00473C7B">
      <w:pPr>
        <w:rPr>
          <w:rFonts w:cs="Arial"/>
          <w:bCs/>
          <w:szCs w:val="22"/>
        </w:rPr>
      </w:pPr>
    </w:p>
    <w:p w:rsidR="000B457C" w:rsidRDefault="00EC4ED4" w:rsidP="00473C7B">
      <w:pPr>
        <w:rPr>
          <w:rFonts w:cs="Arial"/>
          <w:szCs w:val="22"/>
        </w:rPr>
      </w:pPr>
      <w:r w:rsidRPr="00473C7B">
        <w:rPr>
          <w:rFonts w:cs="Arial"/>
          <w:szCs w:val="22"/>
        </w:rPr>
        <w:t>Current</w:t>
      </w:r>
      <w:r w:rsidR="000D65CF" w:rsidRPr="00473C7B">
        <w:rPr>
          <w:rFonts w:cs="Arial"/>
          <w:szCs w:val="22"/>
        </w:rPr>
        <w:t>ly,</w:t>
      </w:r>
      <w:r w:rsidRPr="00473C7B">
        <w:rPr>
          <w:rFonts w:cs="Arial"/>
          <w:szCs w:val="22"/>
        </w:rPr>
        <w:t xml:space="preserve"> </w:t>
      </w:r>
      <w:r w:rsidR="00A67FCC" w:rsidRPr="00473C7B">
        <w:rPr>
          <w:rFonts w:cs="Arial"/>
          <w:szCs w:val="22"/>
        </w:rPr>
        <w:t>10 CFR </w:t>
      </w:r>
      <w:r w:rsidRPr="00473C7B">
        <w:rPr>
          <w:rFonts w:cs="Arial"/>
          <w:szCs w:val="22"/>
        </w:rPr>
        <w:t>61.42 does</w:t>
      </w:r>
      <w:r w:rsidR="00902C3D" w:rsidRPr="00473C7B">
        <w:rPr>
          <w:rFonts w:cs="Arial"/>
          <w:szCs w:val="22"/>
        </w:rPr>
        <w:t xml:space="preserve"> not require a site-specific </w:t>
      </w:r>
      <w:r w:rsidR="00B70C62" w:rsidRPr="00473C7B">
        <w:rPr>
          <w:rFonts w:cs="Arial"/>
          <w:szCs w:val="22"/>
        </w:rPr>
        <w:t xml:space="preserve">technical </w:t>
      </w:r>
      <w:r w:rsidR="00902C3D" w:rsidRPr="00473C7B">
        <w:rPr>
          <w:rFonts w:cs="Arial"/>
          <w:szCs w:val="22"/>
        </w:rPr>
        <w:t>analysis to demonstrate the protection of an inadvertent intruder.  Instead, the safety of an inadvertent intruder is</w:t>
      </w:r>
      <w:r w:rsidR="00184DA6">
        <w:rPr>
          <w:rFonts w:cs="Arial"/>
          <w:szCs w:val="22"/>
        </w:rPr>
        <w:t xml:space="preserve"> </w:t>
      </w:r>
      <w:r w:rsidR="00902C3D" w:rsidRPr="00473C7B">
        <w:rPr>
          <w:rFonts w:cs="Arial"/>
          <w:szCs w:val="22"/>
        </w:rPr>
        <w:t xml:space="preserve">demonstrated by compliance with the </w:t>
      </w:r>
      <w:r w:rsidR="009671AE" w:rsidRPr="00473C7B">
        <w:rPr>
          <w:rFonts w:cs="Arial"/>
          <w:szCs w:val="22"/>
        </w:rPr>
        <w:t xml:space="preserve">LLRW </w:t>
      </w:r>
      <w:r w:rsidR="00902C3D" w:rsidRPr="00473C7B">
        <w:rPr>
          <w:rFonts w:cs="Arial"/>
          <w:szCs w:val="22"/>
        </w:rPr>
        <w:t>classification system and the disposal</w:t>
      </w:r>
      <w:r w:rsidR="00184DA6">
        <w:rPr>
          <w:rFonts w:cs="Arial"/>
          <w:szCs w:val="22"/>
        </w:rPr>
        <w:t xml:space="preserve"> </w:t>
      </w:r>
      <w:r w:rsidR="00902C3D" w:rsidRPr="00473C7B">
        <w:rPr>
          <w:rFonts w:cs="Arial"/>
          <w:szCs w:val="22"/>
        </w:rPr>
        <w:t xml:space="preserve">requirements imposed for each class of </w:t>
      </w:r>
      <w:r w:rsidR="009671AE" w:rsidRPr="00473C7B">
        <w:rPr>
          <w:rFonts w:cs="Arial"/>
          <w:szCs w:val="22"/>
        </w:rPr>
        <w:t>LLRW</w:t>
      </w:r>
      <w:r w:rsidR="00902C3D" w:rsidRPr="00473C7B">
        <w:rPr>
          <w:rFonts w:cs="Arial"/>
          <w:szCs w:val="22"/>
        </w:rPr>
        <w:t xml:space="preserve">.  The connection between the </w:t>
      </w:r>
      <w:r w:rsidR="009671AE" w:rsidRPr="00473C7B">
        <w:rPr>
          <w:rFonts w:cs="Arial"/>
          <w:szCs w:val="22"/>
        </w:rPr>
        <w:t xml:space="preserve">LLRW </w:t>
      </w:r>
      <w:r w:rsidR="00902C3D" w:rsidRPr="00473C7B">
        <w:rPr>
          <w:rFonts w:cs="Arial"/>
          <w:szCs w:val="22"/>
        </w:rPr>
        <w:t xml:space="preserve">classification system and protection of an inadvertent intruder is reflected in the </w:t>
      </w:r>
      <w:r w:rsidR="009671AE" w:rsidRPr="00473C7B">
        <w:rPr>
          <w:rFonts w:cs="Arial"/>
          <w:szCs w:val="22"/>
        </w:rPr>
        <w:t xml:space="preserve">LLRW </w:t>
      </w:r>
      <w:r w:rsidR="00902C3D" w:rsidRPr="00473C7B">
        <w:rPr>
          <w:rFonts w:cs="Arial"/>
          <w:szCs w:val="22"/>
        </w:rPr>
        <w:t xml:space="preserve">classification tables in </w:t>
      </w:r>
      <w:r w:rsidR="00A67FCC" w:rsidRPr="00473C7B">
        <w:rPr>
          <w:rFonts w:cs="Arial"/>
          <w:szCs w:val="22"/>
        </w:rPr>
        <w:t>10</w:t>
      </w:r>
      <w:r w:rsidR="00F800F9" w:rsidRPr="00473C7B">
        <w:rPr>
          <w:rFonts w:cs="Arial"/>
          <w:szCs w:val="22"/>
        </w:rPr>
        <w:t> </w:t>
      </w:r>
      <w:r w:rsidR="00A67FCC" w:rsidRPr="00473C7B">
        <w:rPr>
          <w:rFonts w:cs="Arial"/>
          <w:szCs w:val="22"/>
        </w:rPr>
        <w:t>CFR</w:t>
      </w:r>
      <w:r w:rsidR="00F800F9" w:rsidRPr="00473C7B">
        <w:rPr>
          <w:rFonts w:cs="Arial"/>
          <w:szCs w:val="22"/>
        </w:rPr>
        <w:t> </w:t>
      </w:r>
      <w:r w:rsidR="00902C3D" w:rsidRPr="00473C7B">
        <w:rPr>
          <w:rFonts w:cs="Arial"/>
          <w:szCs w:val="22"/>
        </w:rPr>
        <w:t xml:space="preserve">61.55(a).  </w:t>
      </w:r>
      <w:r w:rsidR="000D65CF" w:rsidRPr="00473C7B">
        <w:rPr>
          <w:rFonts w:cs="Arial"/>
          <w:szCs w:val="22"/>
        </w:rPr>
        <w:t>The proposed revisions to</w:t>
      </w:r>
      <w:r w:rsidR="00442906" w:rsidRPr="00473C7B">
        <w:rPr>
          <w:rFonts w:cs="Arial"/>
          <w:bCs/>
          <w:szCs w:val="22"/>
        </w:rPr>
        <w:t xml:space="preserve"> </w:t>
      </w:r>
      <w:r w:rsidR="00A67FCC" w:rsidRPr="00473C7B">
        <w:rPr>
          <w:rFonts w:cs="Arial"/>
          <w:bCs/>
          <w:szCs w:val="22"/>
        </w:rPr>
        <w:t>10 CFR </w:t>
      </w:r>
      <w:r w:rsidR="00442906" w:rsidRPr="00473C7B">
        <w:rPr>
          <w:rFonts w:cs="Arial"/>
          <w:bCs/>
          <w:szCs w:val="22"/>
        </w:rPr>
        <w:t>61.42</w:t>
      </w:r>
      <w:r w:rsidR="00902C3D" w:rsidRPr="00473C7B">
        <w:rPr>
          <w:rFonts w:cs="Arial"/>
          <w:bCs/>
          <w:szCs w:val="22"/>
        </w:rPr>
        <w:t xml:space="preserve"> would</w:t>
      </w:r>
      <w:r w:rsidR="00442906" w:rsidRPr="00473C7B">
        <w:rPr>
          <w:rFonts w:cs="Arial"/>
          <w:bCs/>
          <w:szCs w:val="22"/>
        </w:rPr>
        <w:t xml:space="preserve"> require an </w:t>
      </w:r>
      <w:r w:rsidR="00207E66">
        <w:rPr>
          <w:rFonts w:cs="Arial"/>
          <w:bCs/>
          <w:szCs w:val="22"/>
        </w:rPr>
        <w:t xml:space="preserve">inadvertent </w:t>
      </w:r>
      <w:r w:rsidR="00442906" w:rsidRPr="00473C7B">
        <w:rPr>
          <w:rFonts w:cs="Arial"/>
          <w:bCs/>
          <w:szCs w:val="22"/>
        </w:rPr>
        <w:t xml:space="preserve">intruder assessment that </w:t>
      </w:r>
      <w:r w:rsidR="00902C3D" w:rsidRPr="00473C7B">
        <w:rPr>
          <w:rFonts w:cs="Arial"/>
          <w:bCs/>
          <w:szCs w:val="22"/>
        </w:rPr>
        <w:t>quantitatively estimate</w:t>
      </w:r>
      <w:r w:rsidR="00A332A4" w:rsidRPr="00473C7B">
        <w:rPr>
          <w:rFonts w:cs="Arial"/>
          <w:bCs/>
          <w:szCs w:val="22"/>
        </w:rPr>
        <w:t>s</w:t>
      </w:r>
      <w:r w:rsidR="00902C3D" w:rsidRPr="00473C7B">
        <w:rPr>
          <w:rFonts w:cs="Arial"/>
          <w:bCs/>
          <w:szCs w:val="22"/>
        </w:rPr>
        <w:t xml:space="preserve"> the radiological exposure of an inadvertent intruder at a </w:t>
      </w:r>
      <w:r w:rsidR="00BE0469" w:rsidRPr="00473C7B">
        <w:rPr>
          <w:rFonts w:cs="Arial"/>
          <w:bCs/>
          <w:szCs w:val="22"/>
        </w:rPr>
        <w:t xml:space="preserve">LLRW </w:t>
      </w:r>
      <w:r w:rsidR="00902C3D" w:rsidRPr="00473C7B">
        <w:rPr>
          <w:rFonts w:cs="Arial"/>
          <w:bCs/>
          <w:szCs w:val="22"/>
        </w:rPr>
        <w:t xml:space="preserve">disposal facility following an assumed loss of institutional controls.  The results of the </w:t>
      </w:r>
      <w:r w:rsidR="00207E66">
        <w:rPr>
          <w:rFonts w:cs="Arial"/>
          <w:bCs/>
          <w:szCs w:val="22"/>
        </w:rPr>
        <w:t xml:space="preserve">inadvertent </w:t>
      </w:r>
      <w:r w:rsidR="00902C3D" w:rsidRPr="00473C7B">
        <w:rPr>
          <w:rFonts w:cs="Arial"/>
          <w:bCs/>
          <w:szCs w:val="22"/>
        </w:rPr>
        <w:t>intruder assessment would then be compared to</w:t>
      </w:r>
      <w:r w:rsidR="004B49C5" w:rsidRPr="00473C7B">
        <w:rPr>
          <w:rFonts w:cs="Arial"/>
          <w:bCs/>
          <w:szCs w:val="22"/>
        </w:rPr>
        <w:t xml:space="preserve"> the</w:t>
      </w:r>
      <w:r w:rsidR="00A332A4" w:rsidRPr="00473C7B">
        <w:rPr>
          <w:rFonts w:cs="Arial"/>
          <w:bCs/>
          <w:szCs w:val="22"/>
        </w:rPr>
        <w:t xml:space="preserve"> </w:t>
      </w:r>
      <w:r w:rsidR="004B49C5" w:rsidRPr="00473C7B">
        <w:rPr>
          <w:rFonts w:cs="Arial"/>
          <w:bCs/>
          <w:szCs w:val="22"/>
        </w:rPr>
        <w:t xml:space="preserve">performance objective in </w:t>
      </w:r>
      <w:r w:rsidR="00A67FCC" w:rsidRPr="00473C7B">
        <w:rPr>
          <w:rFonts w:cs="Arial"/>
          <w:bCs/>
          <w:szCs w:val="22"/>
        </w:rPr>
        <w:t>10</w:t>
      </w:r>
      <w:r w:rsidR="00432511" w:rsidRPr="00473C7B">
        <w:rPr>
          <w:rFonts w:cs="Arial"/>
          <w:bCs/>
          <w:szCs w:val="22"/>
        </w:rPr>
        <w:t> </w:t>
      </w:r>
      <w:r w:rsidR="00A67FCC" w:rsidRPr="00473C7B">
        <w:rPr>
          <w:rFonts w:cs="Arial"/>
          <w:bCs/>
          <w:szCs w:val="22"/>
        </w:rPr>
        <w:t>CFR </w:t>
      </w:r>
      <w:r w:rsidR="00902C3D" w:rsidRPr="00473C7B">
        <w:rPr>
          <w:rFonts w:cs="Arial"/>
          <w:bCs/>
          <w:szCs w:val="22"/>
        </w:rPr>
        <w:t xml:space="preserve">61.42.  The </w:t>
      </w:r>
      <w:r w:rsidR="00A372D6">
        <w:rPr>
          <w:rFonts w:cs="Arial"/>
          <w:bCs/>
          <w:szCs w:val="22"/>
        </w:rPr>
        <w:t xml:space="preserve">inadvertent </w:t>
      </w:r>
      <w:r w:rsidR="00902C3D" w:rsidRPr="00473C7B">
        <w:rPr>
          <w:rFonts w:cs="Arial"/>
          <w:bCs/>
          <w:szCs w:val="22"/>
        </w:rPr>
        <w:t xml:space="preserve">intruder assessment would have to identify the intruder barriers, examine the capability of the barriers, and address the effects of uncertainty on the performance of the barriers.  The capabilities of the barriers to inhibit contact with the disposed </w:t>
      </w:r>
      <w:r w:rsidR="00BE0469" w:rsidRPr="00473C7B">
        <w:rPr>
          <w:rFonts w:cs="Arial"/>
          <w:bCs/>
          <w:szCs w:val="22"/>
        </w:rPr>
        <w:t xml:space="preserve">LLRW </w:t>
      </w:r>
      <w:r w:rsidR="00902C3D" w:rsidRPr="00473C7B">
        <w:rPr>
          <w:rFonts w:cs="Arial"/>
          <w:bCs/>
          <w:szCs w:val="22"/>
        </w:rPr>
        <w:t xml:space="preserve">or </w:t>
      </w:r>
      <w:r w:rsidR="00442906" w:rsidRPr="00473C7B">
        <w:rPr>
          <w:rFonts w:cs="Arial"/>
          <w:bCs/>
          <w:szCs w:val="22"/>
        </w:rPr>
        <w:t xml:space="preserve">to </w:t>
      </w:r>
      <w:r w:rsidR="00902C3D" w:rsidRPr="00473C7B">
        <w:rPr>
          <w:rFonts w:cs="Arial"/>
          <w:bCs/>
          <w:szCs w:val="22"/>
        </w:rPr>
        <w:t xml:space="preserve">limit the radiological exposure of an inadvertent intruder and the time period over which the capability persists must be demonstrated with </w:t>
      </w:r>
      <w:r w:rsidR="00442906" w:rsidRPr="00473C7B">
        <w:rPr>
          <w:rFonts w:cs="Arial"/>
          <w:bCs/>
          <w:szCs w:val="22"/>
        </w:rPr>
        <w:t>an intruder assessment</w:t>
      </w:r>
      <w:r w:rsidR="00902C3D" w:rsidRPr="00473C7B">
        <w:rPr>
          <w:rFonts w:cs="Arial"/>
          <w:bCs/>
          <w:szCs w:val="22"/>
        </w:rPr>
        <w:t xml:space="preserve">.  </w:t>
      </w:r>
      <w:r w:rsidR="00442906" w:rsidRPr="00473C7B">
        <w:rPr>
          <w:rFonts w:cs="Arial"/>
          <w:szCs w:val="22"/>
        </w:rPr>
        <w:t xml:space="preserve">Proposed </w:t>
      </w:r>
      <w:r w:rsidR="00A67FCC" w:rsidRPr="00473C7B">
        <w:rPr>
          <w:rFonts w:cs="Arial"/>
          <w:szCs w:val="22"/>
        </w:rPr>
        <w:t>10 CFR </w:t>
      </w:r>
      <w:r w:rsidR="00442906" w:rsidRPr="00473C7B">
        <w:rPr>
          <w:rFonts w:cs="Arial"/>
          <w:szCs w:val="22"/>
        </w:rPr>
        <w:t xml:space="preserve">61.42 </w:t>
      </w:r>
      <w:r w:rsidR="000B457C" w:rsidRPr="00473C7B">
        <w:rPr>
          <w:rFonts w:cs="Arial"/>
          <w:szCs w:val="22"/>
        </w:rPr>
        <w:t xml:space="preserve">would </w:t>
      </w:r>
      <w:r w:rsidR="00442906" w:rsidRPr="00473C7B">
        <w:rPr>
          <w:rFonts w:cs="Arial"/>
          <w:szCs w:val="22"/>
        </w:rPr>
        <w:t xml:space="preserve">also </w:t>
      </w:r>
      <w:r w:rsidR="000B457C" w:rsidRPr="00473C7B">
        <w:rPr>
          <w:rFonts w:cs="Arial"/>
          <w:szCs w:val="22"/>
        </w:rPr>
        <w:t>include a proposed annual dose limit of 5</w:t>
      </w:r>
      <w:r w:rsidR="00BE0469" w:rsidRPr="00473C7B">
        <w:rPr>
          <w:rFonts w:cs="Arial"/>
          <w:szCs w:val="22"/>
        </w:rPr>
        <w:t> </w:t>
      </w:r>
      <w:proofErr w:type="spellStart"/>
      <w:r w:rsidR="00BF27A0" w:rsidRPr="00473C7B">
        <w:rPr>
          <w:rFonts w:cs="Arial"/>
          <w:szCs w:val="22"/>
        </w:rPr>
        <w:t>mSv</w:t>
      </w:r>
      <w:proofErr w:type="spellEnd"/>
      <w:r w:rsidR="00BF27A0" w:rsidRPr="00473C7B">
        <w:rPr>
          <w:rFonts w:cs="Arial"/>
          <w:szCs w:val="22"/>
        </w:rPr>
        <w:t>/</w:t>
      </w:r>
      <w:proofErr w:type="spellStart"/>
      <w:r w:rsidR="00BF27A0" w:rsidRPr="00473C7B">
        <w:rPr>
          <w:rFonts w:cs="Arial"/>
          <w:szCs w:val="22"/>
        </w:rPr>
        <w:t>yr</w:t>
      </w:r>
      <w:proofErr w:type="spellEnd"/>
      <w:r w:rsidR="000B457C" w:rsidRPr="00473C7B">
        <w:rPr>
          <w:rFonts w:cs="Arial"/>
          <w:szCs w:val="22"/>
        </w:rPr>
        <w:t xml:space="preserve"> (500 </w:t>
      </w:r>
      <w:proofErr w:type="spellStart"/>
      <w:r w:rsidR="00BF27A0" w:rsidRPr="00473C7B">
        <w:rPr>
          <w:rFonts w:cs="Arial"/>
          <w:szCs w:val="22"/>
        </w:rPr>
        <w:t>m</w:t>
      </w:r>
      <w:r w:rsidR="00E546CB" w:rsidRPr="00473C7B">
        <w:rPr>
          <w:rFonts w:cs="Arial"/>
          <w:szCs w:val="22"/>
        </w:rPr>
        <w:t>r</w:t>
      </w:r>
      <w:r w:rsidR="000B457C" w:rsidRPr="00473C7B">
        <w:rPr>
          <w:rFonts w:cs="Arial"/>
          <w:szCs w:val="22"/>
        </w:rPr>
        <w:t>em</w:t>
      </w:r>
      <w:proofErr w:type="spellEnd"/>
      <w:r w:rsidR="00BF27A0" w:rsidRPr="00473C7B">
        <w:rPr>
          <w:rFonts w:cs="Arial"/>
          <w:szCs w:val="22"/>
        </w:rPr>
        <w:t>/</w:t>
      </w:r>
      <w:proofErr w:type="spellStart"/>
      <w:r w:rsidR="00BF27A0" w:rsidRPr="00473C7B">
        <w:rPr>
          <w:rFonts w:cs="Arial"/>
          <w:szCs w:val="22"/>
        </w:rPr>
        <w:t>yr</w:t>
      </w:r>
      <w:proofErr w:type="spellEnd"/>
      <w:r w:rsidR="000B457C" w:rsidRPr="00473C7B">
        <w:rPr>
          <w:rFonts w:cs="Arial"/>
          <w:szCs w:val="22"/>
        </w:rPr>
        <w:t>)</w:t>
      </w:r>
      <w:r w:rsidR="00A372D6">
        <w:rPr>
          <w:rFonts w:cs="Arial"/>
          <w:szCs w:val="22"/>
        </w:rPr>
        <w:t xml:space="preserve"> during the compliance period</w:t>
      </w:r>
      <w:r w:rsidR="00442906" w:rsidRPr="00473C7B">
        <w:rPr>
          <w:rFonts w:cs="Arial"/>
          <w:szCs w:val="22"/>
        </w:rPr>
        <w:t>, which</w:t>
      </w:r>
      <w:r w:rsidR="000B457C" w:rsidRPr="00473C7B">
        <w:rPr>
          <w:rFonts w:cs="Arial"/>
          <w:szCs w:val="22"/>
        </w:rPr>
        <w:t xml:space="preserve"> would ensure </w:t>
      </w:r>
      <w:r w:rsidR="009F5666" w:rsidRPr="00473C7B">
        <w:rPr>
          <w:rFonts w:cs="Arial"/>
          <w:szCs w:val="22"/>
        </w:rPr>
        <w:t xml:space="preserve">that </w:t>
      </w:r>
      <w:r w:rsidR="00222719" w:rsidRPr="00473C7B">
        <w:rPr>
          <w:rFonts w:cs="Arial"/>
          <w:szCs w:val="22"/>
        </w:rPr>
        <w:t xml:space="preserve">the </w:t>
      </w:r>
      <w:r w:rsidR="000B457C" w:rsidRPr="00473C7B">
        <w:rPr>
          <w:rFonts w:cs="Arial"/>
          <w:szCs w:val="22"/>
        </w:rPr>
        <w:t xml:space="preserve">dose limit </w:t>
      </w:r>
      <w:r w:rsidR="00442906" w:rsidRPr="00473C7B">
        <w:rPr>
          <w:rFonts w:cs="Arial"/>
          <w:szCs w:val="22"/>
        </w:rPr>
        <w:t xml:space="preserve">that provided the basis for the </w:t>
      </w:r>
      <w:r w:rsidR="00A67FCC" w:rsidRPr="00473C7B">
        <w:rPr>
          <w:rFonts w:cs="Arial"/>
          <w:szCs w:val="22"/>
        </w:rPr>
        <w:t>10</w:t>
      </w:r>
      <w:r w:rsidR="00BE0469" w:rsidRPr="00473C7B">
        <w:rPr>
          <w:rFonts w:cs="Arial"/>
          <w:szCs w:val="22"/>
        </w:rPr>
        <w:t> </w:t>
      </w:r>
      <w:r w:rsidR="00A67FCC" w:rsidRPr="00473C7B">
        <w:rPr>
          <w:rFonts w:cs="Arial"/>
          <w:szCs w:val="22"/>
        </w:rPr>
        <w:t>CFR </w:t>
      </w:r>
      <w:r w:rsidR="00442906" w:rsidRPr="00473C7B">
        <w:rPr>
          <w:rFonts w:cs="Arial"/>
          <w:szCs w:val="22"/>
        </w:rPr>
        <w:t xml:space="preserve">61.55 </w:t>
      </w:r>
      <w:r w:rsidR="00BE0469" w:rsidRPr="00473C7B">
        <w:rPr>
          <w:rFonts w:cs="Arial"/>
          <w:szCs w:val="22"/>
        </w:rPr>
        <w:t xml:space="preserve">LLRW </w:t>
      </w:r>
      <w:r w:rsidR="00442906" w:rsidRPr="00473C7B">
        <w:rPr>
          <w:rFonts w:cs="Arial"/>
          <w:szCs w:val="22"/>
        </w:rPr>
        <w:t xml:space="preserve">classification tables </w:t>
      </w:r>
      <w:r w:rsidR="007B4BDE" w:rsidRPr="00473C7B">
        <w:rPr>
          <w:rFonts w:cs="Arial"/>
          <w:szCs w:val="22"/>
        </w:rPr>
        <w:t>(</w:t>
      </w:r>
      <w:r w:rsidR="009817E0" w:rsidRPr="00473C7B">
        <w:rPr>
          <w:rFonts w:cs="Arial"/>
          <w:szCs w:val="22"/>
        </w:rPr>
        <w:t>i.e., 5</w:t>
      </w:r>
      <w:r w:rsidR="00432511" w:rsidRPr="00473C7B">
        <w:rPr>
          <w:rFonts w:cs="Arial"/>
          <w:szCs w:val="22"/>
        </w:rPr>
        <w:t> </w:t>
      </w:r>
      <w:proofErr w:type="spellStart"/>
      <w:r w:rsidR="009817E0" w:rsidRPr="00473C7B">
        <w:rPr>
          <w:rFonts w:cs="Arial"/>
          <w:szCs w:val="22"/>
        </w:rPr>
        <w:t>mSv</w:t>
      </w:r>
      <w:proofErr w:type="spellEnd"/>
      <w:r w:rsidR="009817E0" w:rsidRPr="00473C7B">
        <w:rPr>
          <w:rFonts w:cs="Arial"/>
          <w:szCs w:val="22"/>
        </w:rPr>
        <w:t>/</w:t>
      </w:r>
      <w:proofErr w:type="spellStart"/>
      <w:r w:rsidR="009817E0" w:rsidRPr="00473C7B">
        <w:rPr>
          <w:rFonts w:cs="Arial"/>
          <w:szCs w:val="22"/>
        </w:rPr>
        <w:t>yr</w:t>
      </w:r>
      <w:proofErr w:type="spellEnd"/>
      <w:r w:rsidR="009817E0" w:rsidRPr="00473C7B">
        <w:rPr>
          <w:rFonts w:cs="Arial"/>
          <w:szCs w:val="22"/>
        </w:rPr>
        <w:t xml:space="preserve"> </w:t>
      </w:r>
      <w:r w:rsidR="00B966B6">
        <w:rPr>
          <w:rFonts w:cs="Arial"/>
          <w:szCs w:val="22"/>
        </w:rPr>
        <w:t>(</w:t>
      </w:r>
      <w:r w:rsidR="009817E0" w:rsidRPr="00473C7B">
        <w:rPr>
          <w:rFonts w:cs="Arial"/>
          <w:szCs w:val="22"/>
        </w:rPr>
        <w:t>500</w:t>
      </w:r>
      <w:r w:rsidR="007B4BDE" w:rsidRPr="00473C7B">
        <w:rPr>
          <w:rFonts w:cs="Arial"/>
          <w:szCs w:val="22"/>
        </w:rPr>
        <w:t>-</w:t>
      </w:r>
      <w:r w:rsidR="009817E0" w:rsidRPr="00473C7B">
        <w:rPr>
          <w:rFonts w:cs="Arial"/>
          <w:szCs w:val="22"/>
        </w:rPr>
        <w:t>mrem/</w:t>
      </w:r>
      <w:proofErr w:type="spellStart"/>
      <w:r w:rsidR="009817E0" w:rsidRPr="00473C7B">
        <w:rPr>
          <w:rFonts w:cs="Arial"/>
          <w:szCs w:val="22"/>
        </w:rPr>
        <w:t>yr</w:t>
      </w:r>
      <w:proofErr w:type="spellEnd"/>
      <w:r w:rsidR="00B966B6">
        <w:rPr>
          <w:rFonts w:cs="Arial"/>
          <w:szCs w:val="22"/>
        </w:rPr>
        <w:t>)</w:t>
      </w:r>
      <w:r w:rsidR="007B4BDE" w:rsidRPr="00473C7B">
        <w:rPr>
          <w:rFonts w:cs="Arial"/>
          <w:szCs w:val="22"/>
        </w:rPr>
        <w:t>)</w:t>
      </w:r>
      <w:r w:rsidR="006B7045" w:rsidRPr="00473C7B">
        <w:rPr>
          <w:rFonts w:cs="Arial"/>
          <w:szCs w:val="22"/>
        </w:rPr>
        <w:t>,</w:t>
      </w:r>
      <w:r w:rsidR="007B4BDE" w:rsidRPr="00473C7B">
        <w:rPr>
          <w:rFonts w:cs="Arial"/>
          <w:szCs w:val="22"/>
        </w:rPr>
        <w:t xml:space="preserve"> is</w:t>
      </w:r>
      <w:r w:rsidR="000B457C" w:rsidRPr="00473C7B">
        <w:rPr>
          <w:rFonts w:cs="Arial"/>
          <w:szCs w:val="22"/>
        </w:rPr>
        <w:t xml:space="preserve"> not exceeded.</w:t>
      </w:r>
      <w:r w:rsidR="00552EDA" w:rsidRPr="00473C7B">
        <w:rPr>
          <w:rFonts w:cs="Arial"/>
          <w:szCs w:val="22"/>
        </w:rPr>
        <w:t xml:space="preserve">  The NRC proposed amendments to 10 CFR 61.42 to ensure protection of any inadvertent intruder who occupies the disposal site or contacts the LLRW at any time after active institutional controls are removed.  </w:t>
      </w:r>
    </w:p>
    <w:p w:rsidR="00B51294" w:rsidRDefault="00B51294" w:rsidP="00473C7B">
      <w:pPr>
        <w:rPr>
          <w:rFonts w:cs="Arial"/>
          <w:szCs w:val="22"/>
        </w:rPr>
      </w:pPr>
    </w:p>
    <w:p w:rsidR="006B13CE" w:rsidRDefault="006B13CE" w:rsidP="00473C7B">
      <w:pPr>
        <w:rPr>
          <w:rFonts w:cs="Arial"/>
          <w:szCs w:val="22"/>
        </w:rPr>
      </w:pPr>
      <w:r>
        <w:rPr>
          <w:rFonts w:cs="Arial"/>
          <w:szCs w:val="22"/>
        </w:rPr>
        <w:t>The c</w:t>
      </w:r>
      <w:r w:rsidRPr="006B13CE">
        <w:rPr>
          <w:rFonts w:cs="Arial"/>
          <w:szCs w:val="22"/>
        </w:rPr>
        <w:t xml:space="preserve">urrent 10 CFR 61.44 includes a performance objective for disposal site stability after closure.  It states that the disposal facility must be sited, designed, used, operated, and closed to achieve long-term stability of the disposal site and to eliminate, to the extent practicable, the need for ongoing active maintenance of the disposal site following closure.  To demonstrate, with a reasonable assurance, that the 10 CFR 61.44 performance </w:t>
      </w:r>
      <w:proofErr w:type="gramStart"/>
      <w:r w:rsidRPr="006B13CE">
        <w:rPr>
          <w:rFonts w:cs="Arial"/>
          <w:szCs w:val="22"/>
        </w:rPr>
        <w:t>objective</w:t>
      </w:r>
      <w:proofErr w:type="gramEnd"/>
      <w:r w:rsidRPr="006B13CE">
        <w:rPr>
          <w:rFonts w:cs="Arial"/>
          <w:szCs w:val="22"/>
        </w:rPr>
        <w:t xml:space="preserve"> will be met, licensees must conduct site stability analyses.</w:t>
      </w:r>
      <w:r>
        <w:rPr>
          <w:rFonts w:cs="Arial"/>
          <w:szCs w:val="22"/>
        </w:rPr>
        <w:t xml:space="preserve">  </w:t>
      </w:r>
      <w:r w:rsidRPr="006B13CE">
        <w:rPr>
          <w:rFonts w:cs="Arial"/>
          <w:szCs w:val="22"/>
        </w:rPr>
        <w:t xml:space="preserve">The NRC proposes to </w:t>
      </w:r>
      <w:r w:rsidR="00E102CF">
        <w:rPr>
          <w:rFonts w:cs="Arial"/>
          <w:szCs w:val="22"/>
        </w:rPr>
        <w:t xml:space="preserve">modify </w:t>
      </w:r>
      <w:r w:rsidRPr="006B13CE">
        <w:rPr>
          <w:rFonts w:cs="Arial"/>
          <w:szCs w:val="22"/>
        </w:rPr>
        <w:t xml:space="preserve">10 CFR 61.44 to </w:t>
      </w:r>
      <w:r w:rsidR="008C7CE0">
        <w:rPr>
          <w:rFonts w:cs="Arial"/>
          <w:szCs w:val="22"/>
        </w:rPr>
        <w:t>clarify</w:t>
      </w:r>
      <w:r w:rsidRPr="006B13CE">
        <w:rPr>
          <w:rFonts w:cs="Arial"/>
          <w:szCs w:val="22"/>
        </w:rPr>
        <w:t xml:space="preserve"> that stability of the disposal site must be demonstrated for the compliance and protective assurance periods.</w:t>
      </w:r>
      <w:r w:rsidR="008C7CE0">
        <w:rPr>
          <w:rFonts w:cs="Arial"/>
          <w:szCs w:val="22"/>
        </w:rPr>
        <w:t xml:space="preserve">   </w:t>
      </w:r>
    </w:p>
    <w:p w:rsidR="00751D22" w:rsidRDefault="00751D22" w:rsidP="00473C7B">
      <w:pPr>
        <w:rPr>
          <w:rFonts w:cs="Arial"/>
          <w:szCs w:val="22"/>
        </w:rPr>
      </w:pPr>
    </w:p>
    <w:p w:rsidR="00751D22" w:rsidRDefault="00F73A03" w:rsidP="00751D22">
      <w:pPr>
        <w:rPr>
          <w:rFonts w:cs="Arial"/>
          <w:szCs w:val="22"/>
        </w:rPr>
      </w:pPr>
      <w:r w:rsidRPr="00DA55F2">
        <w:rPr>
          <w:rFonts w:cs="Arial"/>
          <w:szCs w:val="22"/>
        </w:rPr>
        <w:t xml:space="preserve">Currently, the </w:t>
      </w:r>
      <w:r w:rsidR="00AC55E7">
        <w:rPr>
          <w:rFonts w:cs="Arial"/>
          <w:szCs w:val="22"/>
        </w:rPr>
        <w:t>defense-in-depth</w:t>
      </w:r>
      <w:r w:rsidR="00AC55E7" w:rsidRPr="00DA55F2">
        <w:rPr>
          <w:rFonts w:cs="Arial"/>
          <w:szCs w:val="22"/>
        </w:rPr>
        <w:t xml:space="preserve"> </w:t>
      </w:r>
      <w:r w:rsidRPr="00DA55F2">
        <w:rPr>
          <w:rFonts w:cs="Arial"/>
          <w:szCs w:val="22"/>
        </w:rPr>
        <w:t xml:space="preserve">concept is implicitly contained in 10 CFR </w:t>
      </w:r>
      <w:r w:rsidR="00F506FD">
        <w:rPr>
          <w:rFonts w:cs="Arial"/>
          <w:szCs w:val="22"/>
        </w:rPr>
        <w:t>P</w:t>
      </w:r>
      <w:r w:rsidRPr="00DA55F2">
        <w:rPr>
          <w:rFonts w:cs="Arial"/>
          <w:szCs w:val="22"/>
        </w:rPr>
        <w:t>art 61 regulations</w:t>
      </w:r>
      <w:r w:rsidR="00751D22" w:rsidRPr="00751D22">
        <w:rPr>
          <w:rFonts w:cs="Arial"/>
          <w:szCs w:val="22"/>
        </w:rPr>
        <w:t>.  The NRC believe</w:t>
      </w:r>
      <w:r>
        <w:rPr>
          <w:rFonts w:cs="Arial"/>
          <w:szCs w:val="22"/>
        </w:rPr>
        <w:t>s</w:t>
      </w:r>
      <w:r w:rsidR="00751D22" w:rsidRPr="00751D22">
        <w:rPr>
          <w:rFonts w:cs="Arial"/>
          <w:szCs w:val="22"/>
        </w:rPr>
        <w:t xml:space="preserve"> that multiple layers of defense must each make a definite contribution to the isolation of the waste, so that the NRC may find, with reasonable assurance, that the land disposal facility will be able to achieve the overall safety objectives over timeframes of </w:t>
      </w:r>
      <w:r w:rsidR="00751D22">
        <w:rPr>
          <w:rFonts w:cs="Arial"/>
          <w:szCs w:val="22"/>
        </w:rPr>
        <w:t xml:space="preserve">hundreds to thousands of years.  </w:t>
      </w:r>
      <w:r w:rsidR="00751D22" w:rsidRPr="00751D22">
        <w:rPr>
          <w:rFonts w:cs="Arial"/>
          <w:szCs w:val="22"/>
        </w:rPr>
        <w:t xml:space="preserve">Therefore, </w:t>
      </w:r>
      <w:r w:rsidR="0028249F">
        <w:rPr>
          <w:rFonts w:cs="Arial"/>
          <w:szCs w:val="22"/>
        </w:rPr>
        <w:t>t</w:t>
      </w:r>
      <w:r w:rsidR="00751D22" w:rsidRPr="00751D22">
        <w:rPr>
          <w:rFonts w:cs="Arial"/>
          <w:szCs w:val="22"/>
        </w:rPr>
        <w:t xml:space="preserve">he NRC is now proposing </w:t>
      </w:r>
      <w:r w:rsidR="00751D22">
        <w:rPr>
          <w:rFonts w:cs="Arial"/>
          <w:szCs w:val="22"/>
        </w:rPr>
        <w:t xml:space="preserve">to require </w:t>
      </w:r>
      <w:r w:rsidR="00751D22" w:rsidRPr="00751D22">
        <w:rPr>
          <w:rFonts w:cs="Arial"/>
          <w:szCs w:val="22"/>
        </w:rPr>
        <w:t xml:space="preserve">additional analyses </w:t>
      </w:r>
      <w:r w:rsidR="00751D22">
        <w:rPr>
          <w:rFonts w:cs="Arial"/>
          <w:szCs w:val="22"/>
        </w:rPr>
        <w:t xml:space="preserve">in proposed 10 CFR 61.13(f) </w:t>
      </w:r>
      <w:r w:rsidR="00751D22" w:rsidRPr="00751D22">
        <w:rPr>
          <w:rFonts w:cs="Arial"/>
          <w:szCs w:val="22"/>
        </w:rPr>
        <w:t>to ensure that the land disposal facility includes defense-in-depth protections</w:t>
      </w:r>
      <w:r w:rsidR="00751D22">
        <w:rPr>
          <w:rFonts w:cs="Arial"/>
          <w:szCs w:val="22"/>
        </w:rPr>
        <w:t xml:space="preserve"> in their site-specific technical analyses</w:t>
      </w:r>
      <w:r w:rsidR="00924290">
        <w:rPr>
          <w:rFonts w:cs="Arial"/>
          <w:szCs w:val="22"/>
        </w:rPr>
        <w:t>.</w:t>
      </w:r>
    </w:p>
    <w:p w:rsidR="001D1AF3" w:rsidRPr="00473C7B" w:rsidRDefault="001D1AF3" w:rsidP="00473C7B">
      <w:pPr>
        <w:rPr>
          <w:rFonts w:cs="Arial"/>
          <w:szCs w:val="22"/>
        </w:rPr>
      </w:pPr>
    </w:p>
    <w:p w:rsidR="005D0CA4" w:rsidRDefault="005D0CA4" w:rsidP="00473C7B">
      <w:pPr>
        <w:rPr>
          <w:rFonts w:cs="Arial"/>
          <w:szCs w:val="22"/>
        </w:rPr>
      </w:pPr>
      <w:r>
        <w:rPr>
          <w:rFonts w:cs="Arial"/>
          <w:szCs w:val="22"/>
        </w:rPr>
        <w:t>The Performance Period</w:t>
      </w:r>
    </w:p>
    <w:p w:rsidR="005D0CA4" w:rsidRDefault="005D0CA4" w:rsidP="00473C7B">
      <w:pPr>
        <w:rPr>
          <w:rFonts w:cs="Arial"/>
          <w:szCs w:val="22"/>
        </w:rPr>
      </w:pPr>
    </w:p>
    <w:p w:rsidR="000B457C" w:rsidRDefault="00D1051D" w:rsidP="00473C7B">
      <w:pPr>
        <w:rPr>
          <w:rFonts w:cs="Arial"/>
          <w:szCs w:val="22"/>
        </w:rPr>
      </w:pPr>
      <w:r w:rsidRPr="00473C7B">
        <w:rPr>
          <w:rFonts w:cs="Arial"/>
          <w:szCs w:val="22"/>
        </w:rPr>
        <w:t xml:space="preserve">The current 10 CFR Part 61 regulations developed a system of analyses, </w:t>
      </w:r>
      <w:r w:rsidR="00BE0469" w:rsidRPr="00473C7B">
        <w:rPr>
          <w:rFonts w:cs="Arial"/>
          <w:szCs w:val="22"/>
        </w:rPr>
        <w:t xml:space="preserve">LLRW </w:t>
      </w:r>
      <w:r w:rsidRPr="00473C7B">
        <w:rPr>
          <w:rFonts w:cs="Arial"/>
          <w:szCs w:val="22"/>
        </w:rPr>
        <w:t xml:space="preserve">classification, site-selection, </w:t>
      </w:r>
      <w:r w:rsidR="00BE0469" w:rsidRPr="00473C7B">
        <w:rPr>
          <w:rFonts w:cs="Arial"/>
          <w:szCs w:val="22"/>
        </w:rPr>
        <w:t xml:space="preserve">LLRW </w:t>
      </w:r>
      <w:r w:rsidRPr="00473C7B">
        <w:rPr>
          <w:rFonts w:cs="Arial"/>
          <w:szCs w:val="22"/>
        </w:rPr>
        <w:t xml:space="preserve">characteristics, and other requirements to ensure protection of public health and safety.  Impacts, regardless of timeframes, were expected to be assessed by licensees or license applicants.  The need for a licensee or applicant to perform </w:t>
      </w:r>
      <w:r w:rsidR="00AA68A5" w:rsidRPr="00473C7B">
        <w:rPr>
          <w:rFonts w:cs="Arial"/>
          <w:szCs w:val="22"/>
        </w:rPr>
        <w:t>performance period</w:t>
      </w:r>
      <w:r w:rsidRPr="00473C7B">
        <w:rPr>
          <w:rFonts w:cs="Arial"/>
          <w:szCs w:val="22"/>
        </w:rPr>
        <w:t xml:space="preserve"> analyses (</w:t>
      </w:r>
      <w:r w:rsidR="007C39EB" w:rsidRPr="00473C7B">
        <w:rPr>
          <w:rFonts w:cs="Arial"/>
          <w:szCs w:val="22"/>
        </w:rPr>
        <w:t>after</w:t>
      </w:r>
      <w:r w:rsidRPr="00473C7B">
        <w:rPr>
          <w:rFonts w:cs="Arial"/>
          <w:szCs w:val="22"/>
        </w:rPr>
        <w:t xml:space="preserve"> 10,000 years) was eliminated when NRC developed </w:t>
      </w:r>
      <w:r w:rsidR="00BE0469" w:rsidRPr="00473C7B">
        <w:rPr>
          <w:rFonts w:cs="Arial"/>
          <w:szCs w:val="22"/>
        </w:rPr>
        <w:t xml:space="preserve">LLRW </w:t>
      </w:r>
      <w:r w:rsidRPr="00473C7B">
        <w:rPr>
          <w:rFonts w:cs="Arial"/>
          <w:szCs w:val="22"/>
        </w:rPr>
        <w:t xml:space="preserve">classification limits for long-lived radionuclides.  The regulatory system was designed </w:t>
      </w:r>
      <w:r w:rsidR="006B13CE">
        <w:rPr>
          <w:rFonts w:cs="Arial"/>
          <w:szCs w:val="22"/>
        </w:rPr>
        <w:t xml:space="preserve">with the intent </w:t>
      </w:r>
      <w:r w:rsidRPr="00473C7B">
        <w:rPr>
          <w:rFonts w:cs="Arial"/>
          <w:szCs w:val="22"/>
        </w:rPr>
        <w:t xml:space="preserve">to ensure </w:t>
      </w:r>
      <w:r w:rsidR="006B13CE" w:rsidRPr="00473C7B">
        <w:rPr>
          <w:rFonts w:cs="Arial"/>
          <w:szCs w:val="22"/>
        </w:rPr>
        <w:t>th</w:t>
      </w:r>
      <w:r w:rsidR="006B13CE">
        <w:rPr>
          <w:rFonts w:cs="Arial"/>
          <w:szCs w:val="22"/>
        </w:rPr>
        <w:t>at</w:t>
      </w:r>
      <w:r w:rsidR="006B13CE" w:rsidRPr="00473C7B">
        <w:rPr>
          <w:rFonts w:cs="Arial"/>
          <w:szCs w:val="22"/>
        </w:rPr>
        <w:t xml:space="preserve"> </w:t>
      </w:r>
      <w:r w:rsidRPr="00473C7B">
        <w:rPr>
          <w:rFonts w:cs="Arial"/>
          <w:szCs w:val="22"/>
        </w:rPr>
        <w:t xml:space="preserve">short- and long-term impacts were limited by regulatory requirements such as the </w:t>
      </w:r>
      <w:r w:rsidR="00BE0469" w:rsidRPr="00473C7B">
        <w:rPr>
          <w:rFonts w:cs="Arial"/>
          <w:szCs w:val="22"/>
        </w:rPr>
        <w:t>LLRW</w:t>
      </w:r>
      <w:r w:rsidR="00222719" w:rsidRPr="00473C7B">
        <w:rPr>
          <w:rFonts w:cs="Arial"/>
          <w:szCs w:val="22"/>
        </w:rPr>
        <w:t xml:space="preserve"> </w:t>
      </w:r>
      <w:r w:rsidRPr="00473C7B">
        <w:rPr>
          <w:rFonts w:cs="Arial"/>
          <w:szCs w:val="22"/>
        </w:rPr>
        <w:t xml:space="preserve">classification system. </w:t>
      </w:r>
      <w:r w:rsidR="00BE0469" w:rsidRPr="00473C7B">
        <w:rPr>
          <w:rFonts w:cs="Arial"/>
          <w:szCs w:val="22"/>
        </w:rPr>
        <w:t xml:space="preserve"> </w:t>
      </w:r>
      <w:r w:rsidR="006B13CE">
        <w:rPr>
          <w:rFonts w:cs="Arial"/>
          <w:szCs w:val="22"/>
        </w:rPr>
        <w:t>To account for the current and future changes to the waste inventory, t</w:t>
      </w:r>
      <w:r w:rsidRPr="00473C7B">
        <w:rPr>
          <w:rFonts w:cs="Arial"/>
          <w:szCs w:val="22"/>
        </w:rPr>
        <w:t xml:space="preserve">he </w:t>
      </w:r>
      <w:r w:rsidR="00AA68A5" w:rsidRPr="00473C7B">
        <w:rPr>
          <w:rFonts w:cs="Arial"/>
          <w:szCs w:val="22"/>
        </w:rPr>
        <w:t>performance period</w:t>
      </w:r>
      <w:r w:rsidRPr="00473C7B">
        <w:rPr>
          <w:rFonts w:cs="Arial"/>
          <w:szCs w:val="22"/>
        </w:rPr>
        <w:t xml:space="preserve"> analyses </w:t>
      </w:r>
      <w:r w:rsidR="007C39EB" w:rsidRPr="00473C7B">
        <w:rPr>
          <w:rFonts w:cs="Arial"/>
          <w:szCs w:val="22"/>
        </w:rPr>
        <w:t>in</w:t>
      </w:r>
      <w:r w:rsidRPr="00473C7B">
        <w:rPr>
          <w:rFonts w:cs="Arial"/>
          <w:szCs w:val="22"/>
        </w:rPr>
        <w:t xml:space="preserve"> proposed 10 CFR 61.13(e)</w:t>
      </w:r>
      <w:r w:rsidR="00A61B34" w:rsidRPr="00473C7B">
        <w:rPr>
          <w:rFonts w:cs="Arial"/>
          <w:szCs w:val="22"/>
        </w:rPr>
        <w:t>, “Technical analyses</w:t>
      </w:r>
      <w:r w:rsidRPr="00473C7B">
        <w:rPr>
          <w:rFonts w:cs="Arial"/>
          <w:szCs w:val="22"/>
        </w:rPr>
        <w:t>,</w:t>
      </w:r>
      <w:r w:rsidR="00A61B34" w:rsidRPr="00473C7B">
        <w:rPr>
          <w:rFonts w:cs="Arial"/>
          <w:szCs w:val="22"/>
        </w:rPr>
        <w:t>”</w:t>
      </w:r>
      <w:r w:rsidRPr="00473C7B">
        <w:rPr>
          <w:rFonts w:cs="Arial"/>
          <w:szCs w:val="22"/>
        </w:rPr>
        <w:t xml:space="preserve"> would require licensees or license</w:t>
      </w:r>
      <w:r w:rsidR="00A332A4" w:rsidRPr="00473C7B">
        <w:rPr>
          <w:rFonts w:cs="Arial"/>
          <w:szCs w:val="22"/>
        </w:rPr>
        <w:t xml:space="preserve"> applicants to prepare </w:t>
      </w:r>
      <w:r w:rsidR="00BE0469" w:rsidRPr="00473C7B">
        <w:rPr>
          <w:rFonts w:cs="Arial"/>
          <w:szCs w:val="22"/>
        </w:rPr>
        <w:t>performance period</w:t>
      </w:r>
      <w:r w:rsidRPr="00473C7B">
        <w:rPr>
          <w:rFonts w:cs="Arial"/>
          <w:szCs w:val="22"/>
        </w:rPr>
        <w:t xml:space="preserve"> analyses (after 10,000 years) that assess how the </w:t>
      </w:r>
      <w:r w:rsidR="00BE0469" w:rsidRPr="00473C7B">
        <w:rPr>
          <w:rFonts w:cs="Arial"/>
          <w:szCs w:val="22"/>
        </w:rPr>
        <w:t xml:space="preserve">LLRW </w:t>
      </w:r>
      <w:r w:rsidRPr="00473C7B">
        <w:rPr>
          <w:rFonts w:cs="Arial"/>
          <w:szCs w:val="22"/>
        </w:rPr>
        <w:t xml:space="preserve">disposal facility and site characteristics limit the potential long-term radiological impacts, consistent with available data and current scientific understanding.  The analyses are proposed to only be required for land disposal facilities with long-lived </w:t>
      </w:r>
      <w:r w:rsidR="00BE0469" w:rsidRPr="00473C7B">
        <w:rPr>
          <w:rFonts w:cs="Arial"/>
          <w:szCs w:val="22"/>
        </w:rPr>
        <w:t xml:space="preserve">LLRW </w:t>
      </w:r>
      <w:r w:rsidRPr="00473C7B">
        <w:rPr>
          <w:rFonts w:cs="Arial"/>
          <w:szCs w:val="22"/>
        </w:rPr>
        <w:t>that contains radionuclides with average concentrations exceeding the values listed i</w:t>
      </w:r>
      <w:r w:rsidR="00A61B34" w:rsidRPr="00473C7B">
        <w:rPr>
          <w:rFonts w:cs="Arial"/>
          <w:szCs w:val="22"/>
        </w:rPr>
        <w:t xml:space="preserve">n </w:t>
      </w:r>
      <w:r w:rsidR="00BE0469" w:rsidRPr="00473C7B">
        <w:rPr>
          <w:rFonts w:cs="Arial"/>
          <w:szCs w:val="22"/>
        </w:rPr>
        <w:t xml:space="preserve">proposed </w:t>
      </w:r>
      <w:r w:rsidR="00A61B34" w:rsidRPr="00473C7B">
        <w:rPr>
          <w:rFonts w:cs="Arial"/>
          <w:szCs w:val="22"/>
        </w:rPr>
        <w:t xml:space="preserve">Table </w:t>
      </w:r>
      <w:proofErr w:type="gramStart"/>
      <w:r w:rsidR="00A61B34" w:rsidRPr="00473C7B">
        <w:rPr>
          <w:rFonts w:cs="Arial"/>
          <w:szCs w:val="22"/>
        </w:rPr>
        <w:t>A</w:t>
      </w:r>
      <w:proofErr w:type="gramEnd"/>
      <w:r w:rsidR="00A61B34" w:rsidRPr="00473C7B">
        <w:rPr>
          <w:rFonts w:cs="Arial"/>
          <w:szCs w:val="22"/>
        </w:rPr>
        <w:t xml:space="preserve"> of 10 CFR </w:t>
      </w:r>
      <w:r w:rsidRPr="00473C7B">
        <w:rPr>
          <w:rFonts w:cs="Arial"/>
          <w:szCs w:val="22"/>
        </w:rPr>
        <w:t>61.13(e), “Average Concentrations of Long-lived Radionuclides Requiring Performance Period Analyses,” or if necessitated by</w:t>
      </w:r>
      <w:r w:rsidR="00184DA6">
        <w:rPr>
          <w:rFonts w:cs="Arial"/>
          <w:szCs w:val="22"/>
        </w:rPr>
        <w:t xml:space="preserve"> </w:t>
      </w:r>
      <w:r w:rsidRPr="00473C7B">
        <w:rPr>
          <w:rFonts w:cs="Arial"/>
          <w:szCs w:val="22"/>
        </w:rPr>
        <w:t xml:space="preserve">site-specific conditions.  </w:t>
      </w:r>
      <w:r w:rsidR="00083B21" w:rsidRPr="00473C7B">
        <w:rPr>
          <w:rFonts w:cs="Arial"/>
          <w:szCs w:val="22"/>
        </w:rPr>
        <w:t>The proposed amendment to 10 CFR 61.13(e) would evaluate any</w:t>
      </w:r>
      <w:r w:rsidR="00184DA6">
        <w:rPr>
          <w:rFonts w:cs="Arial"/>
          <w:szCs w:val="22"/>
        </w:rPr>
        <w:t xml:space="preserve"> </w:t>
      </w:r>
      <w:r w:rsidR="00083B21" w:rsidRPr="00473C7B">
        <w:rPr>
          <w:rFonts w:cs="Arial"/>
          <w:szCs w:val="22"/>
        </w:rPr>
        <w:t>additional measures that are needed</w:t>
      </w:r>
      <w:r w:rsidR="00310A8A">
        <w:rPr>
          <w:rFonts w:cs="Arial"/>
          <w:szCs w:val="22"/>
        </w:rPr>
        <w:t xml:space="preserve"> </w:t>
      </w:r>
      <w:r w:rsidR="00083B21" w:rsidRPr="00473C7B">
        <w:rPr>
          <w:rFonts w:cs="Arial"/>
          <w:szCs w:val="22"/>
        </w:rPr>
        <w:t>at a disposal site</w:t>
      </w:r>
      <w:r w:rsidR="00310A8A">
        <w:rPr>
          <w:rFonts w:cs="Arial"/>
          <w:szCs w:val="22"/>
        </w:rPr>
        <w:t xml:space="preserve">, including </w:t>
      </w:r>
      <w:r w:rsidR="006207DE">
        <w:rPr>
          <w:rFonts w:cs="Arial"/>
          <w:szCs w:val="22"/>
        </w:rPr>
        <w:t xml:space="preserve">the </w:t>
      </w:r>
      <w:r w:rsidR="00310A8A">
        <w:rPr>
          <w:rFonts w:cs="Arial"/>
          <w:szCs w:val="22"/>
        </w:rPr>
        <w:t xml:space="preserve">defense–in-depth </w:t>
      </w:r>
      <w:r w:rsidR="006207DE">
        <w:rPr>
          <w:rFonts w:cs="Arial"/>
          <w:szCs w:val="22"/>
        </w:rPr>
        <w:t>protections,</w:t>
      </w:r>
      <w:r w:rsidR="00310A8A" w:rsidRPr="00751D22">
        <w:rPr>
          <w:rFonts w:cs="Arial"/>
          <w:szCs w:val="22"/>
        </w:rPr>
        <w:t xml:space="preserve"> </w:t>
      </w:r>
      <w:r w:rsidR="00083B21" w:rsidRPr="00473C7B">
        <w:rPr>
          <w:rFonts w:cs="Arial"/>
          <w:szCs w:val="22"/>
        </w:rPr>
        <w:t>to ensure the protection of the general population and the inadvertent intruder from disposal of long-lived LLRW.</w:t>
      </w:r>
    </w:p>
    <w:p w:rsidR="00A332A4" w:rsidRPr="00473C7B" w:rsidRDefault="00A332A4" w:rsidP="00473C7B">
      <w:pPr>
        <w:rPr>
          <w:rFonts w:cs="Arial"/>
          <w:szCs w:val="22"/>
        </w:rPr>
      </w:pPr>
    </w:p>
    <w:p w:rsidR="00EE7EA1" w:rsidRDefault="00EE7EA1" w:rsidP="00473C7B">
      <w:pPr>
        <w:rPr>
          <w:rFonts w:cs="Arial"/>
          <w:szCs w:val="22"/>
        </w:rPr>
      </w:pPr>
      <w:r>
        <w:rPr>
          <w:rFonts w:cs="Arial"/>
          <w:szCs w:val="22"/>
        </w:rPr>
        <w:t xml:space="preserve">Site specific waste acceptance criteria </w:t>
      </w:r>
    </w:p>
    <w:p w:rsidR="00EE7EA1" w:rsidRDefault="00EE7EA1" w:rsidP="00473C7B">
      <w:pPr>
        <w:rPr>
          <w:rFonts w:cs="Arial"/>
          <w:szCs w:val="22"/>
        </w:rPr>
      </w:pPr>
    </w:p>
    <w:p w:rsidR="008251ED" w:rsidRPr="00473C7B" w:rsidRDefault="008251ED" w:rsidP="00473C7B">
      <w:pPr>
        <w:rPr>
          <w:rFonts w:cs="Arial"/>
          <w:szCs w:val="22"/>
        </w:rPr>
      </w:pPr>
      <w:r w:rsidRPr="00473C7B">
        <w:rPr>
          <w:rFonts w:cs="Arial"/>
          <w:szCs w:val="22"/>
        </w:rPr>
        <w:t>The NRC is also</w:t>
      </w:r>
      <w:r w:rsidR="00B55952" w:rsidRPr="00473C7B">
        <w:rPr>
          <w:rFonts w:cs="Arial"/>
          <w:szCs w:val="22"/>
        </w:rPr>
        <w:t xml:space="preserve"> proposing to amend 10 CFR 61.58,</w:t>
      </w:r>
      <w:r w:rsidR="00DF3464" w:rsidRPr="00473C7B">
        <w:rPr>
          <w:rFonts w:cs="Arial"/>
          <w:szCs w:val="22"/>
        </w:rPr>
        <w:t xml:space="preserve"> along with a new title </w:t>
      </w:r>
      <w:r w:rsidR="00B55952" w:rsidRPr="00473C7B">
        <w:rPr>
          <w:rFonts w:cs="Arial"/>
          <w:szCs w:val="22"/>
        </w:rPr>
        <w:t>“Waste acceptance,”</w:t>
      </w:r>
      <w:r w:rsidRPr="00473C7B">
        <w:rPr>
          <w:rFonts w:cs="Arial"/>
          <w:szCs w:val="22"/>
        </w:rPr>
        <w:t xml:space="preserve"> to require LLRW disposal licensees or license applicants to develop criteria for the acceptability of</w:t>
      </w:r>
      <w:r w:rsidR="000A7C0A" w:rsidRPr="00473C7B">
        <w:rPr>
          <w:rFonts w:cs="Arial"/>
          <w:szCs w:val="22"/>
        </w:rPr>
        <w:t xml:space="preserve"> shipments of</w:t>
      </w:r>
      <w:r w:rsidRPr="00473C7B">
        <w:rPr>
          <w:rFonts w:cs="Arial"/>
          <w:szCs w:val="22"/>
        </w:rPr>
        <w:t xml:space="preserve"> </w:t>
      </w:r>
      <w:r w:rsidR="00BE0469" w:rsidRPr="00473C7B">
        <w:rPr>
          <w:rFonts w:cs="Arial"/>
          <w:szCs w:val="22"/>
        </w:rPr>
        <w:t xml:space="preserve">LLRW </w:t>
      </w:r>
      <w:r w:rsidRPr="00473C7B">
        <w:rPr>
          <w:rFonts w:cs="Arial"/>
          <w:szCs w:val="22"/>
        </w:rPr>
        <w:t xml:space="preserve">for disposal.  These amendments maintain the existing </w:t>
      </w:r>
      <w:r w:rsidR="00BE0469" w:rsidRPr="00473C7B">
        <w:rPr>
          <w:rFonts w:cs="Arial"/>
          <w:szCs w:val="22"/>
        </w:rPr>
        <w:t xml:space="preserve">LLRW </w:t>
      </w:r>
      <w:r w:rsidRPr="00473C7B">
        <w:rPr>
          <w:rFonts w:cs="Arial"/>
          <w:szCs w:val="22"/>
        </w:rPr>
        <w:t xml:space="preserve">classification system, but permit licensees or license applicants to account for facility design, disposal practices, and site characteristics to determine </w:t>
      </w:r>
      <w:r w:rsidR="007C39EB" w:rsidRPr="00473C7B">
        <w:rPr>
          <w:rFonts w:cs="Arial"/>
          <w:szCs w:val="22"/>
        </w:rPr>
        <w:t xml:space="preserve">if </w:t>
      </w:r>
      <w:r w:rsidRPr="00473C7B">
        <w:rPr>
          <w:rFonts w:cs="Arial"/>
          <w:szCs w:val="22"/>
        </w:rPr>
        <w:t xml:space="preserve">LLRW </w:t>
      </w:r>
      <w:r w:rsidR="007C39EB" w:rsidRPr="00473C7B">
        <w:rPr>
          <w:rFonts w:cs="Arial"/>
          <w:szCs w:val="22"/>
        </w:rPr>
        <w:t xml:space="preserve">would be </w:t>
      </w:r>
      <w:r w:rsidRPr="00473C7B">
        <w:rPr>
          <w:rFonts w:cs="Arial"/>
          <w:szCs w:val="22"/>
        </w:rPr>
        <w:t xml:space="preserve">acceptable for disposal.  </w:t>
      </w:r>
      <w:r w:rsidR="005D721B" w:rsidRPr="00473C7B">
        <w:rPr>
          <w:rFonts w:cs="Arial"/>
          <w:szCs w:val="22"/>
        </w:rPr>
        <w:t>Under the proposed 10 CFR 61.58(</w:t>
      </w:r>
      <w:r w:rsidR="007C39EB" w:rsidRPr="00473C7B">
        <w:rPr>
          <w:rFonts w:cs="Arial"/>
          <w:szCs w:val="22"/>
        </w:rPr>
        <w:t>f</w:t>
      </w:r>
      <w:r w:rsidR="005D721B" w:rsidRPr="00473C7B">
        <w:rPr>
          <w:rFonts w:cs="Arial"/>
          <w:szCs w:val="22"/>
        </w:rPr>
        <w:t xml:space="preserve">), licensees are also required to conduct an annual review of the </w:t>
      </w:r>
      <w:r w:rsidR="007C39EB" w:rsidRPr="00473C7B">
        <w:rPr>
          <w:rFonts w:cs="Arial"/>
          <w:szCs w:val="22"/>
        </w:rPr>
        <w:t>LLRW</w:t>
      </w:r>
      <w:r w:rsidR="005D721B" w:rsidRPr="00473C7B">
        <w:rPr>
          <w:rFonts w:cs="Arial"/>
          <w:szCs w:val="22"/>
        </w:rPr>
        <w:t xml:space="preserve"> acceptance plan to determine if they need to be updated, to ensure </w:t>
      </w:r>
      <w:r w:rsidR="005D721B" w:rsidRPr="00473C7B">
        <w:rPr>
          <w:rFonts w:cs="Arial"/>
          <w:szCs w:val="22"/>
        </w:rPr>
        <w:lastRenderedPageBreak/>
        <w:t>that the LLRW disposal facility compl</w:t>
      </w:r>
      <w:r w:rsidR="00642CF5">
        <w:rPr>
          <w:rFonts w:cs="Arial"/>
          <w:szCs w:val="22"/>
        </w:rPr>
        <w:t>ies</w:t>
      </w:r>
      <w:r w:rsidR="005D721B" w:rsidRPr="00473C7B">
        <w:rPr>
          <w:rFonts w:cs="Arial"/>
          <w:szCs w:val="22"/>
        </w:rPr>
        <w:t xml:space="preserve"> with the Subpart C performance objectives.  </w:t>
      </w:r>
      <w:r w:rsidR="00647A1F" w:rsidRPr="00473C7B">
        <w:rPr>
          <w:rFonts w:cs="Arial"/>
          <w:szCs w:val="22"/>
        </w:rPr>
        <w:t>Because licensees or license applicants are permitted to develop site-specific LLRW acceptance criteria rather than rely on the LLRW classification system for acceptance criteria under the proposed LLRW acceptance amendments</w:t>
      </w:r>
      <w:r w:rsidRPr="00473C7B">
        <w:rPr>
          <w:rFonts w:cs="Arial"/>
          <w:szCs w:val="22"/>
        </w:rPr>
        <w:t xml:space="preserve">, the NRC is also proposing to amend Appendix G of 10 CFR Part 20, “Standards for Protection Against Radiation,” to conform to </w:t>
      </w:r>
      <w:r w:rsidR="006B13CE">
        <w:rPr>
          <w:rFonts w:cs="Arial"/>
          <w:szCs w:val="22"/>
        </w:rPr>
        <w:t xml:space="preserve">the </w:t>
      </w:r>
      <w:r w:rsidRPr="00473C7B">
        <w:rPr>
          <w:rFonts w:cs="Arial"/>
          <w:szCs w:val="22"/>
        </w:rPr>
        <w:t xml:space="preserve">proposed requirements for </w:t>
      </w:r>
      <w:r w:rsidR="00BE0469" w:rsidRPr="00473C7B">
        <w:rPr>
          <w:rFonts w:cs="Arial"/>
          <w:szCs w:val="22"/>
        </w:rPr>
        <w:t xml:space="preserve">LLRW </w:t>
      </w:r>
      <w:r w:rsidRPr="00473C7B">
        <w:rPr>
          <w:rFonts w:cs="Arial"/>
          <w:szCs w:val="22"/>
        </w:rPr>
        <w:t>acceptance.</w:t>
      </w:r>
      <w:r w:rsidR="00EC3571" w:rsidRPr="00473C7B">
        <w:rPr>
          <w:rFonts w:cs="Arial"/>
          <w:szCs w:val="22"/>
        </w:rPr>
        <w:t xml:space="preserve"> </w:t>
      </w:r>
    </w:p>
    <w:p w:rsidR="000B457C" w:rsidRPr="00473C7B" w:rsidRDefault="000B457C" w:rsidP="00473C7B">
      <w:pPr>
        <w:rPr>
          <w:rFonts w:cs="Arial"/>
          <w:szCs w:val="22"/>
        </w:rPr>
      </w:pPr>
    </w:p>
    <w:p w:rsidR="00EE7EA1" w:rsidRDefault="00EE7EA1" w:rsidP="00B847CB">
      <w:pPr>
        <w:rPr>
          <w:rFonts w:cs="Arial"/>
          <w:szCs w:val="22"/>
        </w:rPr>
      </w:pPr>
      <w:r>
        <w:rPr>
          <w:rFonts w:cs="Arial"/>
          <w:szCs w:val="22"/>
        </w:rPr>
        <w:t>New requirements for license amendments and site closure</w:t>
      </w:r>
    </w:p>
    <w:p w:rsidR="00EE7EA1" w:rsidRDefault="00EE7EA1" w:rsidP="00B847CB">
      <w:pPr>
        <w:rPr>
          <w:rFonts w:cs="Arial"/>
          <w:szCs w:val="22"/>
        </w:rPr>
      </w:pPr>
    </w:p>
    <w:p w:rsidR="007E78BD" w:rsidRDefault="00DB20D8" w:rsidP="00473C7B">
      <w:pPr>
        <w:rPr>
          <w:rFonts w:cs="Arial"/>
          <w:szCs w:val="22"/>
        </w:rPr>
      </w:pPr>
      <w:r w:rsidRPr="00473C7B">
        <w:rPr>
          <w:rFonts w:cs="Arial"/>
          <w:szCs w:val="22"/>
        </w:rPr>
        <w:t>Current</w:t>
      </w:r>
      <w:r w:rsidR="008F3EBC" w:rsidRPr="00473C7B">
        <w:rPr>
          <w:rFonts w:cs="Arial"/>
          <w:szCs w:val="22"/>
        </w:rPr>
        <w:t>ly,</w:t>
      </w:r>
      <w:r w:rsidR="00B54DCA" w:rsidRPr="00473C7B">
        <w:rPr>
          <w:rFonts w:cs="Arial"/>
          <w:szCs w:val="22"/>
        </w:rPr>
        <w:t xml:space="preserve"> </w:t>
      </w:r>
      <w:r w:rsidR="001429FF" w:rsidRPr="00473C7B">
        <w:rPr>
          <w:rFonts w:cs="Arial"/>
          <w:szCs w:val="22"/>
        </w:rPr>
        <w:t>10 CFR </w:t>
      </w:r>
      <w:r w:rsidR="000B457C" w:rsidRPr="00473C7B">
        <w:rPr>
          <w:rFonts w:cs="Arial"/>
          <w:szCs w:val="22"/>
        </w:rPr>
        <w:t>61.28</w:t>
      </w:r>
      <w:r w:rsidR="00A61B34" w:rsidRPr="00473C7B">
        <w:rPr>
          <w:rFonts w:cs="Arial"/>
          <w:szCs w:val="22"/>
        </w:rPr>
        <w:t>, “Contents of application for closure,”</w:t>
      </w:r>
      <w:r w:rsidRPr="00473C7B">
        <w:rPr>
          <w:rFonts w:cs="Arial"/>
          <w:szCs w:val="22"/>
        </w:rPr>
        <w:t xml:space="preserve"> </w:t>
      </w:r>
      <w:r w:rsidR="000B457C" w:rsidRPr="00473C7B">
        <w:rPr>
          <w:rFonts w:cs="Arial"/>
          <w:szCs w:val="22"/>
        </w:rPr>
        <w:t xml:space="preserve">requires </w:t>
      </w:r>
      <w:r w:rsidR="001429FF" w:rsidRPr="00473C7B">
        <w:rPr>
          <w:rFonts w:cs="Arial"/>
          <w:szCs w:val="22"/>
        </w:rPr>
        <w:t xml:space="preserve">LLRW disposal </w:t>
      </w:r>
      <w:r w:rsidR="000B457C" w:rsidRPr="00473C7B">
        <w:rPr>
          <w:rFonts w:cs="Arial"/>
          <w:szCs w:val="22"/>
        </w:rPr>
        <w:t xml:space="preserve">licensees to submit an application to amend </w:t>
      </w:r>
      <w:r w:rsidR="00F467C5" w:rsidRPr="00473C7B">
        <w:rPr>
          <w:rFonts w:cs="Arial"/>
          <w:szCs w:val="22"/>
        </w:rPr>
        <w:t>their</w:t>
      </w:r>
      <w:r w:rsidR="000B457C" w:rsidRPr="00473C7B">
        <w:rPr>
          <w:rFonts w:cs="Arial"/>
          <w:szCs w:val="22"/>
        </w:rPr>
        <w:t xml:space="preserve"> license for closure. </w:t>
      </w:r>
      <w:r w:rsidR="00BB5006" w:rsidRPr="00473C7B">
        <w:rPr>
          <w:rFonts w:cs="Arial"/>
          <w:szCs w:val="22"/>
        </w:rPr>
        <w:t xml:space="preserve"> </w:t>
      </w:r>
      <w:r w:rsidR="000B457C" w:rsidRPr="00473C7B">
        <w:rPr>
          <w:rFonts w:cs="Arial"/>
          <w:szCs w:val="22"/>
        </w:rPr>
        <w:t>This application must include</w:t>
      </w:r>
      <w:r w:rsidR="00BE0469" w:rsidRPr="00473C7B">
        <w:rPr>
          <w:rFonts w:cs="Arial"/>
          <w:szCs w:val="22"/>
        </w:rPr>
        <w:t xml:space="preserve">: </w:t>
      </w:r>
      <w:r w:rsidR="000B457C" w:rsidRPr="00473C7B">
        <w:rPr>
          <w:rFonts w:cs="Arial"/>
          <w:szCs w:val="22"/>
        </w:rPr>
        <w:t xml:space="preserve"> </w:t>
      </w:r>
      <w:r w:rsidR="00BE0469" w:rsidRPr="00473C7B">
        <w:rPr>
          <w:rFonts w:cs="Arial"/>
          <w:szCs w:val="22"/>
        </w:rPr>
        <w:t>a</w:t>
      </w:r>
      <w:r w:rsidR="000B457C" w:rsidRPr="00473C7B">
        <w:rPr>
          <w:rFonts w:cs="Arial"/>
          <w:szCs w:val="22"/>
        </w:rPr>
        <w:t>) a final revision and specific details of the disposal site closure plan</w:t>
      </w:r>
      <w:r w:rsidR="009E3CB6" w:rsidRPr="00473C7B">
        <w:rPr>
          <w:rFonts w:cs="Arial"/>
          <w:szCs w:val="22"/>
        </w:rPr>
        <w:t>,</w:t>
      </w:r>
      <w:r w:rsidR="000B457C" w:rsidRPr="00473C7B">
        <w:rPr>
          <w:rFonts w:cs="Arial"/>
          <w:szCs w:val="22"/>
        </w:rPr>
        <w:t xml:space="preserve"> and </w:t>
      </w:r>
      <w:r w:rsidR="00BE0469" w:rsidRPr="00473C7B">
        <w:rPr>
          <w:rFonts w:cs="Arial"/>
          <w:szCs w:val="22"/>
        </w:rPr>
        <w:t>b</w:t>
      </w:r>
      <w:r w:rsidR="000B457C" w:rsidRPr="00473C7B">
        <w:rPr>
          <w:rFonts w:cs="Arial"/>
          <w:szCs w:val="22"/>
        </w:rPr>
        <w:t xml:space="preserve">) an environmental report or a supplement to an environmental report.  </w:t>
      </w:r>
      <w:r w:rsidRPr="00473C7B">
        <w:rPr>
          <w:rFonts w:cs="Arial"/>
          <w:szCs w:val="22"/>
        </w:rPr>
        <w:t>Th</w:t>
      </w:r>
      <w:r w:rsidR="006B7045" w:rsidRPr="00473C7B">
        <w:rPr>
          <w:rFonts w:cs="Arial"/>
          <w:szCs w:val="22"/>
        </w:rPr>
        <w:t>is</w:t>
      </w:r>
      <w:r w:rsidRPr="00473C7B">
        <w:rPr>
          <w:rFonts w:cs="Arial"/>
          <w:szCs w:val="22"/>
        </w:rPr>
        <w:t xml:space="preserve"> section</w:t>
      </w:r>
      <w:r w:rsidR="000B457C" w:rsidRPr="00473C7B">
        <w:rPr>
          <w:rFonts w:cs="Arial"/>
          <w:szCs w:val="22"/>
        </w:rPr>
        <w:t xml:space="preserve"> </w:t>
      </w:r>
      <w:r w:rsidR="00967D41" w:rsidRPr="00473C7B">
        <w:rPr>
          <w:rFonts w:cs="Arial"/>
          <w:szCs w:val="22"/>
        </w:rPr>
        <w:t xml:space="preserve">currently </w:t>
      </w:r>
      <w:r w:rsidR="000B457C" w:rsidRPr="00473C7B">
        <w:rPr>
          <w:rFonts w:cs="Arial"/>
          <w:szCs w:val="22"/>
        </w:rPr>
        <w:t>do</w:t>
      </w:r>
      <w:r w:rsidR="006B7045" w:rsidRPr="00473C7B">
        <w:rPr>
          <w:rFonts w:cs="Arial"/>
          <w:szCs w:val="22"/>
        </w:rPr>
        <w:t>es</w:t>
      </w:r>
      <w:r w:rsidR="000B457C" w:rsidRPr="00473C7B">
        <w:rPr>
          <w:rFonts w:cs="Arial"/>
          <w:szCs w:val="22"/>
        </w:rPr>
        <w:t xml:space="preserve"> not </w:t>
      </w:r>
      <w:r w:rsidR="00CB1E87" w:rsidRPr="00473C7B">
        <w:rPr>
          <w:rFonts w:cs="Arial"/>
          <w:szCs w:val="22"/>
        </w:rPr>
        <w:t>include site</w:t>
      </w:r>
      <w:r w:rsidR="008F3EBC" w:rsidRPr="00473C7B">
        <w:rPr>
          <w:rFonts w:cs="Arial"/>
          <w:szCs w:val="22"/>
        </w:rPr>
        <w:t>-</w:t>
      </w:r>
      <w:r w:rsidR="00CB1E87" w:rsidRPr="00473C7B">
        <w:rPr>
          <w:rFonts w:cs="Arial"/>
          <w:szCs w:val="22"/>
        </w:rPr>
        <w:t>specific technical</w:t>
      </w:r>
      <w:r w:rsidR="000B457C" w:rsidRPr="00473C7B">
        <w:rPr>
          <w:rFonts w:cs="Arial"/>
          <w:szCs w:val="22"/>
        </w:rPr>
        <w:t xml:space="preserve"> analyses.  </w:t>
      </w:r>
    </w:p>
    <w:p w:rsidR="000B457C" w:rsidRPr="00473C7B" w:rsidRDefault="000B457C" w:rsidP="00473C7B">
      <w:pPr>
        <w:rPr>
          <w:rFonts w:cs="Arial"/>
          <w:szCs w:val="22"/>
        </w:rPr>
      </w:pPr>
      <w:r w:rsidRPr="00473C7B">
        <w:rPr>
          <w:rFonts w:cs="Arial"/>
          <w:szCs w:val="22"/>
        </w:rPr>
        <w:t xml:space="preserve"> </w:t>
      </w:r>
    </w:p>
    <w:p w:rsidR="00FF23A9" w:rsidRPr="00473C7B" w:rsidRDefault="005B04B9" w:rsidP="00473C7B">
      <w:pPr>
        <w:numPr>
          <w:ilvl w:val="12"/>
          <w:numId w:val="0"/>
        </w:numPr>
        <w:rPr>
          <w:rFonts w:cs="Arial"/>
          <w:szCs w:val="22"/>
        </w:rPr>
      </w:pPr>
      <w:r w:rsidRPr="00473C7B">
        <w:rPr>
          <w:rFonts w:cs="Arial"/>
          <w:szCs w:val="22"/>
        </w:rPr>
        <w:t xml:space="preserve">The proposed rule </w:t>
      </w:r>
      <w:r w:rsidR="000C2C34" w:rsidRPr="00473C7B">
        <w:rPr>
          <w:rFonts w:cs="Arial"/>
          <w:szCs w:val="22"/>
        </w:rPr>
        <w:t>would require licensees</w:t>
      </w:r>
      <w:r w:rsidRPr="00473C7B">
        <w:rPr>
          <w:rFonts w:cs="Arial"/>
          <w:szCs w:val="22"/>
        </w:rPr>
        <w:t xml:space="preserve"> </w:t>
      </w:r>
      <w:r w:rsidR="000C2C34" w:rsidRPr="00473C7B">
        <w:rPr>
          <w:rFonts w:cs="Arial"/>
          <w:szCs w:val="22"/>
        </w:rPr>
        <w:t xml:space="preserve">to </w:t>
      </w:r>
      <w:r w:rsidR="00F945FC" w:rsidRPr="00473C7B">
        <w:rPr>
          <w:rFonts w:cs="Arial"/>
          <w:szCs w:val="22"/>
        </w:rPr>
        <w:t>update</w:t>
      </w:r>
      <w:r w:rsidR="00184DA6">
        <w:rPr>
          <w:rFonts w:cs="Arial"/>
          <w:szCs w:val="22"/>
        </w:rPr>
        <w:t xml:space="preserve"> </w:t>
      </w:r>
      <w:r w:rsidR="008E0BC7" w:rsidRPr="00473C7B">
        <w:rPr>
          <w:rFonts w:cs="Arial"/>
          <w:szCs w:val="22"/>
        </w:rPr>
        <w:t>site-specific technical analyses</w:t>
      </w:r>
      <w:r w:rsidR="00CB1E87" w:rsidRPr="00473C7B">
        <w:rPr>
          <w:rFonts w:cs="Arial"/>
          <w:szCs w:val="22"/>
        </w:rPr>
        <w:t xml:space="preserve"> and </w:t>
      </w:r>
      <w:r w:rsidR="00E378F0">
        <w:rPr>
          <w:rFonts w:cs="Arial"/>
          <w:szCs w:val="22"/>
        </w:rPr>
        <w:t xml:space="preserve">the </w:t>
      </w:r>
      <w:r w:rsidR="00B30FA5" w:rsidRPr="00473C7B">
        <w:rPr>
          <w:rFonts w:cs="Arial"/>
          <w:szCs w:val="22"/>
        </w:rPr>
        <w:t>LLRW</w:t>
      </w:r>
      <w:r w:rsidR="00CB1E87" w:rsidRPr="00473C7B">
        <w:rPr>
          <w:rFonts w:cs="Arial"/>
          <w:szCs w:val="22"/>
        </w:rPr>
        <w:t xml:space="preserve"> acceptance plan</w:t>
      </w:r>
      <w:r w:rsidR="008E0BC7" w:rsidRPr="00473C7B">
        <w:rPr>
          <w:rFonts w:cs="Arial"/>
          <w:szCs w:val="22"/>
        </w:rPr>
        <w:t xml:space="preserve">, as would be required by </w:t>
      </w:r>
      <w:r w:rsidR="008C7FDC" w:rsidRPr="00473C7B">
        <w:rPr>
          <w:rFonts w:cs="Arial"/>
          <w:szCs w:val="22"/>
        </w:rPr>
        <w:t xml:space="preserve">proposed 10 CFR 61.13(e), </w:t>
      </w:r>
      <w:r w:rsidR="00FD6984" w:rsidRPr="00473C7B">
        <w:rPr>
          <w:rFonts w:cs="Arial"/>
          <w:szCs w:val="22"/>
        </w:rPr>
        <w:t>10 CFR 61.13(</w:t>
      </w:r>
      <w:r w:rsidR="00FD6984">
        <w:rPr>
          <w:rFonts w:cs="Arial"/>
          <w:szCs w:val="22"/>
        </w:rPr>
        <w:t>f</w:t>
      </w:r>
      <w:r w:rsidR="00FD6984" w:rsidRPr="00473C7B">
        <w:rPr>
          <w:rFonts w:cs="Arial"/>
          <w:szCs w:val="22"/>
        </w:rPr>
        <w:t>)</w:t>
      </w:r>
      <w:r w:rsidR="00FD6984">
        <w:rPr>
          <w:rFonts w:cs="Arial"/>
          <w:szCs w:val="22"/>
        </w:rPr>
        <w:t xml:space="preserve">, </w:t>
      </w:r>
      <w:r w:rsidR="008C7FDC" w:rsidRPr="00473C7B">
        <w:rPr>
          <w:rFonts w:cs="Arial"/>
          <w:szCs w:val="22"/>
        </w:rPr>
        <w:t>10 </w:t>
      </w:r>
      <w:r w:rsidR="008E0BC7" w:rsidRPr="00473C7B">
        <w:rPr>
          <w:rFonts w:cs="Arial"/>
          <w:szCs w:val="22"/>
        </w:rPr>
        <w:t>CFR 61.41, 10 CFR 61.42</w:t>
      </w:r>
      <w:r w:rsidR="00F945FC" w:rsidRPr="00473C7B">
        <w:rPr>
          <w:rFonts w:cs="Arial"/>
          <w:szCs w:val="22"/>
        </w:rPr>
        <w:t xml:space="preserve">, and 10 CFR 61.58, </w:t>
      </w:r>
      <w:r w:rsidR="008E0BC7" w:rsidRPr="00473C7B">
        <w:rPr>
          <w:rFonts w:cs="Arial"/>
          <w:szCs w:val="22"/>
        </w:rPr>
        <w:t xml:space="preserve">to ensure that the LLRW disposal facility </w:t>
      </w:r>
      <w:r w:rsidR="00642CF5" w:rsidRPr="00473C7B">
        <w:rPr>
          <w:rFonts w:cs="Arial"/>
          <w:szCs w:val="22"/>
        </w:rPr>
        <w:t>compl</w:t>
      </w:r>
      <w:r w:rsidR="00642CF5">
        <w:rPr>
          <w:rFonts w:cs="Arial"/>
          <w:szCs w:val="22"/>
        </w:rPr>
        <w:t>ies</w:t>
      </w:r>
      <w:r w:rsidR="00642CF5" w:rsidRPr="00473C7B">
        <w:rPr>
          <w:rFonts w:cs="Arial"/>
          <w:szCs w:val="22"/>
        </w:rPr>
        <w:t xml:space="preserve"> </w:t>
      </w:r>
      <w:r w:rsidR="008E0BC7" w:rsidRPr="00473C7B">
        <w:rPr>
          <w:rFonts w:cs="Arial"/>
          <w:szCs w:val="22"/>
        </w:rPr>
        <w:t>with the Subpart C performance objectives.</w:t>
      </w:r>
      <w:r w:rsidR="000C2C34" w:rsidRPr="00473C7B">
        <w:rPr>
          <w:rFonts w:cs="Arial"/>
          <w:szCs w:val="22"/>
        </w:rPr>
        <w:t xml:space="preserve">  </w:t>
      </w:r>
    </w:p>
    <w:p w:rsidR="00FF23A9" w:rsidRPr="00473C7B" w:rsidRDefault="00FF23A9" w:rsidP="00473C7B">
      <w:pPr>
        <w:rPr>
          <w:rFonts w:cs="Arial"/>
          <w:szCs w:val="22"/>
        </w:rPr>
      </w:pPr>
    </w:p>
    <w:p w:rsidR="002A3EE6" w:rsidRDefault="004A3A89" w:rsidP="00473C7B">
      <w:pPr>
        <w:rPr>
          <w:rFonts w:cs="Arial"/>
          <w:szCs w:val="22"/>
        </w:rPr>
      </w:pPr>
      <w:r w:rsidRPr="00473C7B">
        <w:rPr>
          <w:rFonts w:cs="Arial"/>
          <w:szCs w:val="22"/>
        </w:rPr>
        <w:t xml:space="preserve">Section 5 discusses the </w:t>
      </w:r>
      <w:r w:rsidR="00FB5DF6" w:rsidRPr="00473C7B">
        <w:rPr>
          <w:rFonts w:cs="Arial"/>
          <w:szCs w:val="22"/>
        </w:rPr>
        <w:t xml:space="preserve">reasons for choosing </w:t>
      </w:r>
      <w:r w:rsidR="002A3EE6" w:rsidRPr="00473C7B">
        <w:rPr>
          <w:rFonts w:cs="Arial"/>
          <w:szCs w:val="22"/>
        </w:rPr>
        <w:t xml:space="preserve">Alternative </w:t>
      </w:r>
      <w:r w:rsidR="009A02BB">
        <w:rPr>
          <w:rFonts w:cs="Arial"/>
          <w:szCs w:val="22"/>
        </w:rPr>
        <w:t>2</w:t>
      </w:r>
      <w:r w:rsidR="002A3EE6" w:rsidRPr="00473C7B">
        <w:rPr>
          <w:rFonts w:cs="Arial"/>
          <w:szCs w:val="22"/>
        </w:rPr>
        <w:t xml:space="preserve">.  </w:t>
      </w:r>
    </w:p>
    <w:p w:rsidR="00B75257" w:rsidRPr="00473C7B" w:rsidRDefault="00B75257" w:rsidP="00473C7B">
      <w:pPr>
        <w:rPr>
          <w:rFonts w:cs="Arial"/>
          <w:szCs w:val="22"/>
        </w:rPr>
      </w:pPr>
    </w:p>
    <w:p w:rsidR="00DB62F9" w:rsidRPr="00473C7B" w:rsidRDefault="00DB62F9" w:rsidP="006B2D47">
      <w:pPr>
        <w:pStyle w:val="Heading1"/>
      </w:pPr>
      <w:bookmarkStart w:id="8" w:name="_Toc399760745"/>
      <w:r w:rsidRPr="00473C7B">
        <w:t>3.</w:t>
      </w:r>
      <w:r w:rsidR="00CC6298" w:rsidRPr="00473C7B">
        <w:t xml:space="preserve"> </w:t>
      </w:r>
      <w:r w:rsidR="008B1640" w:rsidRPr="00473C7B">
        <w:t>E</w:t>
      </w:r>
      <w:r w:rsidR="00FE2F9C" w:rsidRPr="00473C7B">
        <w:t xml:space="preserve">stimation and Evaluation of </w:t>
      </w:r>
      <w:r w:rsidR="008E5490" w:rsidRPr="00473C7B">
        <w:t>Benefits</w:t>
      </w:r>
      <w:r w:rsidR="00FE2F9C" w:rsidRPr="00473C7B">
        <w:t xml:space="preserve"> and </w:t>
      </w:r>
      <w:r w:rsidR="008E5490" w:rsidRPr="00473C7B">
        <w:t>Costs</w:t>
      </w:r>
      <w:bookmarkEnd w:id="8"/>
    </w:p>
    <w:p w:rsidR="009E13F7" w:rsidRPr="00473C7B" w:rsidRDefault="009E13F7" w:rsidP="00473C7B">
      <w:pPr>
        <w:numPr>
          <w:ilvl w:val="12"/>
          <w:numId w:val="0"/>
        </w:numPr>
        <w:rPr>
          <w:rFonts w:cs="Arial"/>
          <w:b/>
          <w:bCs/>
          <w:szCs w:val="22"/>
        </w:rPr>
      </w:pPr>
    </w:p>
    <w:p w:rsidR="009E13F7" w:rsidRPr="00473C7B" w:rsidRDefault="009E13F7" w:rsidP="00473C7B">
      <w:pPr>
        <w:numPr>
          <w:ilvl w:val="12"/>
          <w:numId w:val="0"/>
        </w:numPr>
        <w:rPr>
          <w:rFonts w:cs="Arial"/>
          <w:szCs w:val="22"/>
        </w:rPr>
      </w:pPr>
      <w:r w:rsidRPr="00473C7B">
        <w:rPr>
          <w:rFonts w:cs="Arial"/>
          <w:szCs w:val="22"/>
        </w:rPr>
        <w:t xml:space="preserve">This section describes the analysis that the NRC conducted to identify and evaluate the </w:t>
      </w:r>
      <w:r w:rsidR="00395710" w:rsidRPr="00473C7B">
        <w:rPr>
          <w:rFonts w:cs="Arial"/>
          <w:szCs w:val="22"/>
        </w:rPr>
        <w:t>benefits and</w:t>
      </w:r>
      <w:r w:rsidRPr="00473C7B">
        <w:rPr>
          <w:rFonts w:cs="Arial"/>
          <w:szCs w:val="22"/>
        </w:rPr>
        <w:t xml:space="preserve"> </w:t>
      </w:r>
      <w:r w:rsidR="00395710" w:rsidRPr="00473C7B">
        <w:rPr>
          <w:rFonts w:cs="Arial"/>
          <w:szCs w:val="22"/>
        </w:rPr>
        <w:t>costs of</w:t>
      </w:r>
      <w:r w:rsidRPr="00473C7B">
        <w:rPr>
          <w:rFonts w:cs="Arial"/>
          <w:szCs w:val="22"/>
        </w:rPr>
        <w:t xml:space="preserve"> the two regulatory </w:t>
      </w:r>
      <w:r w:rsidR="00BB5006" w:rsidRPr="00473C7B">
        <w:rPr>
          <w:rFonts w:cs="Arial"/>
          <w:szCs w:val="22"/>
        </w:rPr>
        <w:t>alternatives</w:t>
      </w:r>
      <w:r w:rsidRPr="00473C7B">
        <w:rPr>
          <w:rFonts w:cs="Arial"/>
          <w:szCs w:val="22"/>
        </w:rPr>
        <w:t>.  Section 3.1</w:t>
      </w:r>
      <w:r w:rsidR="004348AA" w:rsidRPr="00473C7B">
        <w:rPr>
          <w:rFonts w:cs="Arial"/>
          <w:szCs w:val="22"/>
        </w:rPr>
        <w:t xml:space="preserve"> describes how the benefits and costs </w:t>
      </w:r>
      <w:r w:rsidR="00CA4BBF">
        <w:rPr>
          <w:rFonts w:cs="Arial"/>
          <w:szCs w:val="22"/>
        </w:rPr>
        <w:t>were</w:t>
      </w:r>
      <w:r w:rsidR="004348AA" w:rsidRPr="00473C7B">
        <w:rPr>
          <w:rFonts w:cs="Arial"/>
          <w:szCs w:val="22"/>
        </w:rPr>
        <w:t xml:space="preserve"> analyzed</w:t>
      </w:r>
      <w:r w:rsidRPr="00473C7B">
        <w:rPr>
          <w:rFonts w:cs="Arial"/>
          <w:szCs w:val="22"/>
        </w:rPr>
        <w:t xml:space="preserve">.  Section 3.2 </w:t>
      </w:r>
      <w:r w:rsidR="004348AA" w:rsidRPr="00473C7B">
        <w:rPr>
          <w:rFonts w:cs="Arial"/>
          <w:szCs w:val="22"/>
        </w:rPr>
        <w:t>presents the assumptions of the analysis</w:t>
      </w:r>
      <w:r w:rsidRPr="00473C7B">
        <w:rPr>
          <w:rFonts w:cs="Arial"/>
          <w:szCs w:val="22"/>
        </w:rPr>
        <w:t>.  Section 3.3</w:t>
      </w:r>
      <w:r w:rsidR="00A878D6" w:rsidRPr="00473C7B">
        <w:rPr>
          <w:rFonts w:cs="Arial"/>
          <w:szCs w:val="22"/>
        </w:rPr>
        <w:t xml:space="preserve"> </w:t>
      </w:r>
      <w:r w:rsidR="004348AA" w:rsidRPr="00473C7B">
        <w:rPr>
          <w:rFonts w:cs="Arial"/>
          <w:szCs w:val="22"/>
        </w:rPr>
        <w:t xml:space="preserve">identifies the </w:t>
      </w:r>
      <w:r w:rsidR="00A878D6" w:rsidRPr="00473C7B">
        <w:rPr>
          <w:rFonts w:cs="Arial"/>
          <w:szCs w:val="22"/>
        </w:rPr>
        <w:t>entities</w:t>
      </w:r>
      <w:r w:rsidR="004348AA" w:rsidRPr="00473C7B">
        <w:rPr>
          <w:rFonts w:cs="Arial"/>
          <w:szCs w:val="22"/>
        </w:rPr>
        <w:t xml:space="preserve"> expected to be affected by the proposed rulemaking</w:t>
      </w:r>
      <w:r w:rsidRPr="00473C7B">
        <w:rPr>
          <w:rFonts w:cs="Arial"/>
          <w:szCs w:val="22"/>
        </w:rPr>
        <w:t>.</w:t>
      </w:r>
      <w:r w:rsidR="004348AA" w:rsidRPr="00473C7B">
        <w:rPr>
          <w:rFonts w:cs="Arial"/>
          <w:szCs w:val="22"/>
        </w:rPr>
        <w:t xml:space="preserve">  Section 3.4 identifies the attributes expected to be affected by the proposed rulemaking.  </w:t>
      </w:r>
    </w:p>
    <w:p w:rsidR="00DD21A2" w:rsidRPr="00473C7B" w:rsidRDefault="00DD21A2" w:rsidP="006B2D47">
      <w:pPr>
        <w:pStyle w:val="Heading1"/>
      </w:pPr>
    </w:p>
    <w:p w:rsidR="00BF032E" w:rsidRPr="00473C7B" w:rsidRDefault="00BF032E" w:rsidP="006B2D47">
      <w:pPr>
        <w:pStyle w:val="Heading1"/>
      </w:pPr>
      <w:bookmarkStart w:id="9" w:name="_Toc399760746"/>
      <w:r w:rsidRPr="00473C7B">
        <w:t>3.</w:t>
      </w:r>
      <w:r w:rsidR="004348AA" w:rsidRPr="00473C7B">
        <w:t xml:space="preserve">1 </w:t>
      </w:r>
      <w:r w:rsidRPr="00473C7B">
        <w:t>Analytical Methodology</w:t>
      </w:r>
      <w:bookmarkEnd w:id="9"/>
      <w:r w:rsidRPr="00473C7B">
        <w:t xml:space="preserve"> </w:t>
      </w:r>
    </w:p>
    <w:p w:rsidR="00BF032E" w:rsidRPr="00473C7B" w:rsidRDefault="00BF032E" w:rsidP="00473C7B">
      <w:pPr>
        <w:numPr>
          <w:ilvl w:val="12"/>
          <w:numId w:val="0"/>
        </w:numPr>
        <w:rPr>
          <w:rFonts w:cs="Arial"/>
          <w:szCs w:val="22"/>
        </w:rPr>
      </w:pPr>
    </w:p>
    <w:p w:rsidR="00C35277" w:rsidRPr="00C35277" w:rsidRDefault="00BF032E" w:rsidP="00580230">
      <w:pPr>
        <w:numPr>
          <w:ilvl w:val="12"/>
          <w:numId w:val="0"/>
        </w:numPr>
        <w:rPr>
          <w:rFonts w:cs="Arial"/>
          <w:bCs/>
          <w:szCs w:val="22"/>
        </w:rPr>
      </w:pPr>
      <w:r w:rsidRPr="00473C7B">
        <w:rPr>
          <w:rFonts w:cs="Arial"/>
          <w:bCs/>
          <w:szCs w:val="22"/>
        </w:rPr>
        <w:t xml:space="preserve">This section describes the methodology used to analyze the consequences associated with the proposed rule.  </w:t>
      </w:r>
      <w:r w:rsidR="00FE5288" w:rsidRPr="00FE5288">
        <w:rPr>
          <w:rFonts w:cs="Arial"/>
          <w:bCs/>
          <w:szCs w:val="22"/>
        </w:rPr>
        <w:t>The methodology for a regulatory analysis is specified by various guidance documents.</w:t>
      </w:r>
      <w:r w:rsidR="00FE5288">
        <w:rPr>
          <w:rFonts w:cs="Arial"/>
          <w:bCs/>
          <w:szCs w:val="22"/>
        </w:rPr>
        <w:t xml:space="preserve">  </w:t>
      </w:r>
      <w:r w:rsidR="00FE5288" w:rsidRPr="00FE5288">
        <w:rPr>
          <w:rFonts w:cs="Arial"/>
          <w:bCs/>
          <w:szCs w:val="22"/>
        </w:rPr>
        <w:t>The two documents that govern the NRC’s voluntary regulatory analysis process are</w:t>
      </w:r>
      <w:r w:rsidR="00FE5288">
        <w:rPr>
          <w:rFonts w:cs="Arial"/>
          <w:bCs/>
          <w:szCs w:val="22"/>
        </w:rPr>
        <w:t xml:space="preserve"> </w:t>
      </w:r>
      <w:r w:rsidR="00FE5288" w:rsidRPr="00FE5288">
        <w:rPr>
          <w:rFonts w:cs="Arial"/>
          <w:bCs/>
          <w:szCs w:val="22"/>
        </w:rPr>
        <w:t>NUREG/BR-0058, Revision 4, “Regulatory Analysis Guidelines of the U.S. Nuclear Regulatory</w:t>
      </w:r>
      <w:r w:rsidR="00FE5288">
        <w:rPr>
          <w:rFonts w:cs="Arial"/>
          <w:bCs/>
          <w:szCs w:val="22"/>
        </w:rPr>
        <w:t xml:space="preserve"> </w:t>
      </w:r>
      <w:r w:rsidR="00FE5288" w:rsidRPr="00FE5288">
        <w:rPr>
          <w:rFonts w:cs="Arial"/>
          <w:bCs/>
          <w:szCs w:val="22"/>
        </w:rPr>
        <w:t>Commission,” dated September 2004 (RA Guidelines), and NUREG/BR-0184, “Regulatory</w:t>
      </w:r>
      <w:r w:rsidR="00FE5288">
        <w:rPr>
          <w:rFonts w:cs="Arial"/>
          <w:bCs/>
          <w:szCs w:val="22"/>
        </w:rPr>
        <w:t xml:space="preserve"> </w:t>
      </w:r>
      <w:r w:rsidR="00FE5288" w:rsidRPr="00FE5288">
        <w:rPr>
          <w:rFonts w:cs="Arial"/>
          <w:bCs/>
          <w:szCs w:val="22"/>
        </w:rPr>
        <w:t xml:space="preserve">Analysis Technical Evaluation Handbook,” dated January 1997 (RA Handbook).  In addition, the methodology is in accordance with guidance from the Office of Management and Budget (OMB), Circular A-4.  Based on OMB guidance, present-worth calculations are presented using both 3-percent and 7-percent real discount rates.  The real discounted rates or present-worth calculation determines how much society would need to invest today to ensure that the designated dollar amount is available in a given year in the future.  By using present-worth calculations, costs and benefits, regardless of time, are valued equally.  The 3-percent rate approximates the real rate of return on long-term government debt which serves as a proxy for the real rate of return on savings.  This rate is appropriate when the primary effect of the regulation is on private consumption.  Alternatively, the 7-percent rate approximates the marginal pretax real rate of return on an average investment in the private sector, and is the appropriate discount rate whenever the main effect of a regulation is to displace or alter the use </w:t>
      </w:r>
      <w:r w:rsidR="00FE5288" w:rsidRPr="00FE5288">
        <w:rPr>
          <w:rFonts w:cs="Arial"/>
          <w:bCs/>
          <w:szCs w:val="22"/>
        </w:rPr>
        <w:lastRenderedPageBreak/>
        <w:t>of capital in the private sector</w:t>
      </w:r>
      <w:r w:rsidR="00FE5288">
        <w:rPr>
          <w:rFonts w:cs="Arial"/>
          <w:bCs/>
          <w:szCs w:val="22"/>
        </w:rPr>
        <w:t xml:space="preserve">.  </w:t>
      </w:r>
      <w:r w:rsidR="0017449B" w:rsidRPr="0017449B">
        <w:rPr>
          <w:rFonts w:cs="Arial"/>
          <w:bCs/>
          <w:szCs w:val="22"/>
        </w:rPr>
        <w:t>Current trends in the marketplace have provided returns on investments well below the</w:t>
      </w:r>
      <w:r w:rsidR="0017449B">
        <w:rPr>
          <w:rFonts w:cs="Arial"/>
          <w:bCs/>
          <w:szCs w:val="22"/>
        </w:rPr>
        <w:t xml:space="preserve"> </w:t>
      </w:r>
      <w:r w:rsidR="0017449B" w:rsidRPr="0017449B">
        <w:rPr>
          <w:rFonts w:cs="Arial"/>
          <w:bCs/>
          <w:szCs w:val="22"/>
        </w:rPr>
        <w:t>3 percent and 7 percent discount rates, which OMB Circular No. A-4 is based. The NRC is</w:t>
      </w:r>
      <w:r w:rsidR="0017449B">
        <w:rPr>
          <w:rFonts w:cs="Arial"/>
          <w:bCs/>
          <w:szCs w:val="22"/>
        </w:rPr>
        <w:t xml:space="preserve"> </w:t>
      </w:r>
      <w:r w:rsidR="0017449B" w:rsidRPr="0017449B">
        <w:rPr>
          <w:rFonts w:cs="Arial"/>
          <w:bCs/>
          <w:szCs w:val="22"/>
        </w:rPr>
        <w:t xml:space="preserve">providing a zero discount rate (e.g., undiscounted values) as a further sensitivity </w:t>
      </w:r>
      <w:r w:rsidR="008C3457">
        <w:rPr>
          <w:rFonts w:cs="Arial"/>
          <w:bCs/>
          <w:szCs w:val="22"/>
        </w:rPr>
        <w:t>analysis</w:t>
      </w:r>
      <w:r w:rsidR="0017449B" w:rsidRPr="0017449B">
        <w:rPr>
          <w:rFonts w:cs="Arial"/>
          <w:bCs/>
          <w:szCs w:val="22"/>
        </w:rPr>
        <w:t>.</w:t>
      </w:r>
      <w:r w:rsidR="0017449B">
        <w:rPr>
          <w:rFonts w:cs="Arial"/>
          <w:bCs/>
          <w:szCs w:val="22"/>
        </w:rPr>
        <w:t xml:space="preserve">  T</w:t>
      </w:r>
      <w:r w:rsidR="0017449B" w:rsidRPr="0017449B">
        <w:rPr>
          <w:rFonts w:cs="Arial"/>
          <w:bCs/>
          <w:szCs w:val="22"/>
        </w:rPr>
        <w:t>he NRC is reporting the undiscounted costs as part of the sensitivity</w:t>
      </w:r>
      <w:r w:rsidR="0017449B">
        <w:rPr>
          <w:rFonts w:cs="Arial"/>
          <w:bCs/>
          <w:szCs w:val="22"/>
        </w:rPr>
        <w:t xml:space="preserve"> </w:t>
      </w:r>
      <w:r w:rsidR="0017449B" w:rsidRPr="0017449B">
        <w:rPr>
          <w:rFonts w:cs="Arial"/>
          <w:bCs/>
          <w:szCs w:val="22"/>
        </w:rPr>
        <w:t>analysis based on current market trends and future predictions.</w:t>
      </w:r>
      <w:r w:rsidR="0017449B">
        <w:rPr>
          <w:rFonts w:cs="Arial"/>
          <w:bCs/>
          <w:szCs w:val="22"/>
        </w:rPr>
        <w:t xml:space="preserve"> </w:t>
      </w:r>
      <w:r w:rsidR="00C35277" w:rsidRPr="00C35277">
        <w:rPr>
          <w:rFonts w:cs="Arial"/>
          <w:bCs/>
          <w:szCs w:val="22"/>
        </w:rPr>
        <w:t xml:space="preserve">The regulatory analysis identifies all attributes related to the regulatory action and analyzes them either quantitatively or qualitatively. For the quantified regulatory analysis, the NRC staff </w:t>
      </w:r>
      <w:r w:rsidR="00CA4BBF" w:rsidRPr="00C35277">
        <w:rPr>
          <w:rFonts w:cs="Arial"/>
          <w:bCs/>
          <w:szCs w:val="22"/>
        </w:rPr>
        <w:t>develop</w:t>
      </w:r>
      <w:r w:rsidR="00CA4BBF">
        <w:rPr>
          <w:rFonts w:cs="Arial"/>
          <w:bCs/>
          <w:szCs w:val="22"/>
        </w:rPr>
        <w:t>ed</w:t>
      </w:r>
      <w:r w:rsidR="00CA4BBF" w:rsidRPr="00C35277">
        <w:rPr>
          <w:rFonts w:cs="Arial"/>
          <w:bCs/>
          <w:szCs w:val="22"/>
        </w:rPr>
        <w:t xml:space="preserve"> </w:t>
      </w:r>
      <w:r w:rsidR="00C35277" w:rsidRPr="00C35277">
        <w:rPr>
          <w:rFonts w:cs="Arial"/>
          <w:bCs/>
          <w:szCs w:val="22"/>
        </w:rPr>
        <w:t xml:space="preserve">expected values for each cost and benefit. First for each alternative, the staff </w:t>
      </w:r>
      <w:r w:rsidR="00CA4BBF" w:rsidRPr="00C35277">
        <w:rPr>
          <w:rFonts w:cs="Arial"/>
          <w:bCs/>
          <w:szCs w:val="22"/>
        </w:rPr>
        <w:t>determine</w:t>
      </w:r>
      <w:r w:rsidR="00CA4BBF">
        <w:rPr>
          <w:rFonts w:cs="Arial"/>
          <w:bCs/>
          <w:szCs w:val="22"/>
        </w:rPr>
        <w:t>d</w:t>
      </w:r>
      <w:r w:rsidR="00CA4BBF" w:rsidRPr="00C35277">
        <w:rPr>
          <w:rFonts w:cs="Arial"/>
          <w:bCs/>
          <w:szCs w:val="22"/>
        </w:rPr>
        <w:t xml:space="preserve"> </w:t>
      </w:r>
      <w:r w:rsidR="00C35277" w:rsidRPr="00C35277">
        <w:rPr>
          <w:rFonts w:cs="Arial"/>
          <w:bCs/>
          <w:szCs w:val="22"/>
        </w:rPr>
        <w:t xml:space="preserve">the cost and benefit, and then </w:t>
      </w:r>
      <w:r w:rsidR="00CA4BBF" w:rsidRPr="00C35277">
        <w:rPr>
          <w:rFonts w:cs="Arial"/>
          <w:bCs/>
          <w:szCs w:val="22"/>
        </w:rPr>
        <w:t>discount</w:t>
      </w:r>
      <w:r w:rsidR="00CA4BBF">
        <w:rPr>
          <w:rFonts w:cs="Arial"/>
          <w:bCs/>
          <w:szCs w:val="22"/>
        </w:rPr>
        <w:t>ed</w:t>
      </w:r>
      <w:r w:rsidR="00CA4BBF" w:rsidRPr="00C35277">
        <w:rPr>
          <w:rFonts w:cs="Arial"/>
          <w:bCs/>
          <w:szCs w:val="22"/>
        </w:rPr>
        <w:t xml:space="preserve"> </w:t>
      </w:r>
      <w:r w:rsidR="00C35277" w:rsidRPr="00C35277">
        <w:rPr>
          <w:rFonts w:cs="Arial"/>
          <w:bCs/>
          <w:szCs w:val="22"/>
        </w:rPr>
        <w:t>the</w:t>
      </w:r>
      <w:r w:rsidR="00C35277">
        <w:rPr>
          <w:rFonts w:cs="Arial"/>
          <w:bCs/>
          <w:szCs w:val="22"/>
        </w:rPr>
        <w:t xml:space="preserve"> </w:t>
      </w:r>
      <w:r w:rsidR="00C35277" w:rsidRPr="00C35277">
        <w:rPr>
          <w:rFonts w:cs="Arial"/>
          <w:bCs/>
          <w:szCs w:val="22"/>
        </w:rPr>
        <w:t xml:space="preserve">consequences in future years to the current year of the regulatory action. </w:t>
      </w:r>
      <w:r w:rsidR="00C35277">
        <w:rPr>
          <w:rFonts w:cs="Arial"/>
          <w:bCs/>
          <w:szCs w:val="22"/>
        </w:rPr>
        <w:t xml:space="preserve"> </w:t>
      </w:r>
      <w:r w:rsidR="00C35277" w:rsidRPr="00C35277">
        <w:rPr>
          <w:rFonts w:cs="Arial"/>
          <w:bCs/>
          <w:szCs w:val="22"/>
        </w:rPr>
        <w:t>Finally, the NRC staff</w:t>
      </w:r>
      <w:r w:rsidR="00C35277">
        <w:rPr>
          <w:rFonts w:cs="Arial"/>
          <w:bCs/>
          <w:szCs w:val="22"/>
        </w:rPr>
        <w:t xml:space="preserve"> </w:t>
      </w:r>
      <w:r w:rsidR="00CA4BBF" w:rsidRPr="00C35277">
        <w:rPr>
          <w:rFonts w:cs="Arial"/>
          <w:bCs/>
          <w:szCs w:val="22"/>
        </w:rPr>
        <w:t>sum</w:t>
      </w:r>
      <w:r w:rsidR="00CA4BBF">
        <w:rPr>
          <w:rFonts w:cs="Arial"/>
          <w:bCs/>
          <w:szCs w:val="22"/>
        </w:rPr>
        <w:t>med</w:t>
      </w:r>
      <w:r w:rsidR="00CA4BBF" w:rsidRPr="00C35277">
        <w:rPr>
          <w:rFonts w:cs="Arial"/>
          <w:bCs/>
          <w:szCs w:val="22"/>
        </w:rPr>
        <w:t xml:space="preserve"> </w:t>
      </w:r>
      <w:r w:rsidR="00C35277" w:rsidRPr="00C35277">
        <w:rPr>
          <w:rFonts w:cs="Arial"/>
          <w:bCs/>
          <w:szCs w:val="22"/>
        </w:rPr>
        <w:t xml:space="preserve">the costs and the benefits for each alternative and </w:t>
      </w:r>
      <w:r w:rsidR="00CA4BBF" w:rsidRPr="00C35277">
        <w:rPr>
          <w:rFonts w:cs="Arial"/>
          <w:bCs/>
          <w:szCs w:val="22"/>
        </w:rPr>
        <w:t>compare</w:t>
      </w:r>
      <w:r w:rsidR="00CA4BBF">
        <w:rPr>
          <w:rFonts w:cs="Arial"/>
          <w:bCs/>
          <w:szCs w:val="22"/>
        </w:rPr>
        <w:t>d</w:t>
      </w:r>
      <w:r w:rsidR="00CA4BBF" w:rsidRPr="00C35277">
        <w:rPr>
          <w:rFonts w:cs="Arial"/>
          <w:bCs/>
          <w:szCs w:val="22"/>
        </w:rPr>
        <w:t xml:space="preserve"> </w:t>
      </w:r>
      <w:r w:rsidR="00C35277" w:rsidRPr="00C35277">
        <w:rPr>
          <w:rFonts w:cs="Arial"/>
          <w:bCs/>
          <w:szCs w:val="22"/>
        </w:rPr>
        <w:t>them.</w:t>
      </w:r>
    </w:p>
    <w:p w:rsidR="00C35277" w:rsidRDefault="00C35277" w:rsidP="00C35277">
      <w:pPr>
        <w:numPr>
          <w:ilvl w:val="12"/>
          <w:numId w:val="0"/>
        </w:numPr>
        <w:rPr>
          <w:rFonts w:cs="Arial"/>
          <w:bCs/>
          <w:szCs w:val="22"/>
        </w:rPr>
      </w:pPr>
    </w:p>
    <w:p w:rsidR="00C35277" w:rsidRDefault="00C35277" w:rsidP="00C35277">
      <w:pPr>
        <w:numPr>
          <w:ilvl w:val="12"/>
          <w:numId w:val="0"/>
        </w:numPr>
        <w:rPr>
          <w:rFonts w:cs="Arial"/>
          <w:bCs/>
          <w:szCs w:val="22"/>
        </w:rPr>
      </w:pPr>
      <w:r w:rsidRPr="00C35277">
        <w:rPr>
          <w:rFonts w:cs="Arial"/>
          <w:bCs/>
          <w:szCs w:val="22"/>
        </w:rPr>
        <w:t xml:space="preserve">After performing </w:t>
      </w:r>
      <w:r w:rsidR="00CA4BBF">
        <w:rPr>
          <w:rFonts w:cs="Arial"/>
          <w:bCs/>
          <w:szCs w:val="22"/>
        </w:rPr>
        <w:t>the</w:t>
      </w:r>
      <w:r w:rsidR="00CA4BBF" w:rsidRPr="00C35277">
        <w:rPr>
          <w:rFonts w:cs="Arial"/>
          <w:bCs/>
          <w:szCs w:val="22"/>
        </w:rPr>
        <w:t xml:space="preserve"> </w:t>
      </w:r>
      <w:r w:rsidRPr="00C35277">
        <w:rPr>
          <w:rFonts w:cs="Arial"/>
          <w:bCs/>
          <w:szCs w:val="22"/>
        </w:rPr>
        <w:t>quantitative regulatory analysis, the NRC staff add</w:t>
      </w:r>
      <w:r w:rsidR="00CA4BBF">
        <w:rPr>
          <w:rFonts w:cs="Arial"/>
          <w:bCs/>
          <w:szCs w:val="22"/>
        </w:rPr>
        <w:t>ressed</w:t>
      </w:r>
      <w:r w:rsidRPr="00C35277">
        <w:rPr>
          <w:rFonts w:cs="Arial"/>
          <w:bCs/>
          <w:szCs w:val="22"/>
        </w:rPr>
        <w:t xml:space="preserve"> attributes that</w:t>
      </w:r>
      <w:r w:rsidR="00AF4077">
        <w:rPr>
          <w:rFonts w:cs="Arial"/>
          <w:bCs/>
          <w:szCs w:val="22"/>
        </w:rPr>
        <w:t xml:space="preserve"> </w:t>
      </w:r>
      <w:r w:rsidR="003C3FB9" w:rsidRPr="00C35277">
        <w:rPr>
          <w:rFonts w:cs="Arial"/>
          <w:bCs/>
          <w:szCs w:val="22"/>
        </w:rPr>
        <w:t>could only</w:t>
      </w:r>
      <w:r w:rsidRPr="00C35277">
        <w:rPr>
          <w:rFonts w:cs="Arial"/>
          <w:bCs/>
          <w:szCs w:val="22"/>
        </w:rPr>
        <w:t xml:space="preserve"> be </w:t>
      </w:r>
      <w:r w:rsidR="00CA4BBF">
        <w:rPr>
          <w:rFonts w:cs="Arial"/>
          <w:bCs/>
          <w:szCs w:val="22"/>
        </w:rPr>
        <w:t xml:space="preserve">evaluated </w:t>
      </w:r>
      <w:r w:rsidR="00CA4BBF" w:rsidRPr="00C35277">
        <w:rPr>
          <w:rFonts w:cs="Arial"/>
          <w:bCs/>
          <w:szCs w:val="22"/>
        </w:rPr>
        <w:t>qual</w:t>
      </w:r>
      <w:r w:rsidR="00CA4BBF">
        <w:rPr>
          <w:rFonts w:cs="Arial"/>
          <w:bCs/>
          <w:szCs w:val="22"/>
        </w:rPr>
        <w:t>itatively</w:t>
      </w:r>
      <w:r w:rsidRPr="00C35277">
        <w:rPr>
          <w:rFonts w:cs="Arial"/>
          <w:bCs/>
          <w:szCs w:val="22"/>
        </w:rPr>
        <w:t>.</w:t>
      </w:r>
      <w:r w:rsidR="003C01AC">
        <w:rPr>
          <w:rFonts w:cs="Arial"/>
          <w:bCs/>
          <w:szCs w:val="22"/>
        </w:rPr>
        <w:t xml:space="preserve"> </w:t>
      </w:r>
      <w:r w:rsidRPr="00C35277">
        <w:rPr>
          <w:rFonts w:cs="Arial"/>
          <w:bCs/>
          <w:szCs w:val="22"/>
        </w:rPr>
        <w:t xml:space="preserve"> </w:t>
      </w:r>
      <w:r w:rsidR="003C3FB9" w:rsidRPr="003C3FB9">
        <w:rPr>
          <w:rFonts w:cs="Arial"/>
          <w:bCs/>
          <w:szCs w:val="22"/>
        </w:rPr>
        <w:t xml:space="preserve">The proposed rule includes changes that affect attributes in a positive but not easily quantifiable manner.  For example, the attribute of </w:t>
      </w:r>
      <w:r w:rsidR="00CA4BBF">
        <w:rPr>
          <w:rFonts w:cs="Arial"/>
          <w:bCs/>
          <w:szCs w:val="22"/>
        </w:rPr>
        <w:t>p</w:t>
      </w:r>
      <w:r w:rsidR="003C3FB9">
        <w:rPr>
          <w:rFonts w:cs="Arial"/>
          <w:bCs/>
          <w:szCs w:val="22"/>
        </w:rPr>
        <w:t xml:space="preserve">ublic </w:t>
      </w:r>
      <w:r w:rsidR="00CA4BBF">
        <w:rPr>
          <w:rFonts w:cs="Arial"/>
          <w:bCs/>
          <w:szCs w:val="22"/>
        </w:rPr>
        <w:t>h</w:t>
      </w:r>
      <w:r w:rsidR="003C3FB9">
        <w:rPr>
          <w:rFonts w:cs="Arial"/>
          <w:bCs/>
          <w:szCs w:val="22"/>
        </w:rPr>
        <w:t>ealth (</w:t>
      </w:r>
      <w:r w:rsidR="00CA4BBF">
        <w:rPr>
          <w:rFonts w:cs="Arial"/>
          <w:bCs/>
          <w:szCs w:val="22"/>
        </w:rPr>
        <w:t>a</w:t>
      </w:r>
      <w:r w:rsidR="003C3FB9">
        <w:rPr>
          <w:rFonts w:cs="Arial"/>
          <w:bCs/>
          <w:szCs w:val="22"/>
        </w:rPr>
        <w:t xml:space="preserve">ccident) </w:t>
      </w:r>
      <w:r w:rsidR="003C3FB9" w:rsidRPr="003C3FB9">
        <w:rPr>
          <w:rFonts w:cs="Arial"/>
          <w:bCs/>
          <w:szCs w:val="22"/>
        </w:rPr>
        <w:t xml:space="preserve">would be enhanced by the changes made in requirements for </w:t>
      </w:r>
      <w:r w:rsidR="00656D20">
        <w:rPr>
          <w:rFonts w:cs="Arial"/>
          <w:bCs/>
          <w:szCs w:val="22"/>
        </w:rPr>
        <w:t>intruder assessment</w:t>
      </w:r>
      <w:r w:rsidR="003C3FB9" w:rsidRPr="003C3FB9">
        <w:rPr>
          <w:rFonts w:cs="Arial"/>
          <w:bCs/>
          <w:szCs w:val="22"/>
        </w:rPr>
        <w:t xml:space="preserve"> such as in </w:t>
      </w:r>
      <w:r w:rsidR="00656D20">
        <w:rPr>
          <w:rFonts w:cs="Arial"/>
          <w:bCs/>
          <w:szCs w:val="22"/>
        </w:rPr>
        <w:t>proposed 10 CFR 61.42</w:t>
      </w:r>
      <w:r w:rsidR="00CA4BBF">
        <w:rPr>
          <w:rFonts w:cs="Arial"/>
          <w:bCs/>
          <w:szCs w:val="22"/>
        </w:rPr>
        <w:t xml:space="preserve">, but it is difficult to </w:t>
      </w:r>
      <w:r w:rsidR="00AC55E7">
        <w:rPr>
          <w:rFonts w:cs="Arial"/>
          <w:bCs/>
          <w:szCs w:val="22"/>
        </w:rPr>
        <w:t xml:space="preserve">assign </w:t>
      </w:r>
      <w:r w:rsidR="00672DFA">
        <w:rPr>
          <w:rFonts w:cs="Arial"/>
          <w:bCs/>
          <w:szCs w:val="22"/>
        </w:rPr>
        <w:t>a</w:t>
      </w:r>
      <w:r w:rsidR="00CA4BBF">
        <w:rPr>
          <w:rFonts w:cs="Arial"/>
          <w:bCs/>
          <w:szCs w:val="22"/>
        </w:rPr>
        <w:t xml:space="preserve"> </w:t>
      </w:r>
      <w:r w:rsidR="00672DFA">
        <w:rPr>
          <w:rFonts w:cs="Arial"/>
          <w:bCs/>
          <w:szCs w:val="22"/>
        </w:rPr>
        <w:t xml:space="preserve">number </w:t>
      </w:r>
      <w:r w:rsidR="00CA4BBF">
        <w:rPr>
          <w:rFonts w:cs="Arial"/>
          <w:bCs/>
          <w:szCs w:val="22"/>
        </w:rPr>
        <w:t>to this benefit</w:t>
      </w:r>
      <w:r w:rsidR="00656D20">
        <w:rPr>
          <w:rFonts w:cs="Arial"/>
          <w:bCs/>
          <w:szCs w:val="22"/>
        </w:rPr>
        <w:t>.</w:t>
      </w:r>
      <w:r>
        <w:rPr>
          <w:rFonts w:cs="Arial"/>
          <w:bCs/>
          <w:szCs w:val="22"/>
        </w:rPr>
        <w:t xml:space="preserve"> </w:t>
      </w:r>
    </w:p>
    <w:p w:rsidR="00C35277" w:rsidRDefault="00C35277" w:rsidP="00C35277">
      <w:pPr>
        <w:numPr>
          <w:ilvl w:val="12"/>
          <w:numId w:val="0"/>
        </w:numPr>
        <w:rPr>
          <w:rFonts w:cs="Arial"/>
          <w:bCs/>
          <w:szCs w:val="22"/>
        </w:rPr>
      </w:pPr>
    </w:p>
    <w:p w:rsidR="00BF032E" w:rsidRPr="00473C7B" w:rsidRDefault="00BF032E" w:rsidP="00C35277">
      <w:pPr>
        <w:numPr>
          <w:ilvl w:val="12"/>
          <w:numId w:val="0"/>
        </w:numPr>
        <w:rPr>
          <w:rFonts w:cs="Arial"/>
          <w:bCs/>
          <w:szCs w:val="22"/>
        </w:rPr>
      </w:pPr>
      <w:r w:rsidRPr="00473C7B">
        <w:rPr>
          <w:rFonts w:cs="Arial"/>
          <w:bCs/>
          <w:szCs w:val="22"/>
        </w:rPr>
        <w:t>The benefits include any desirable changes in the affected attributes.  The costs include any undesirable changes in affected attributes.</w:t>
      </w:r>
    </w:p>
    <w:p w:rsidR="00BF032E" w:rsidRPr="00473C7B" w:rsidRDefault="00BF032E" w:rsidP="00473C7B">
      <w:pPr>
        <w:numPr>
          <w:ilvl w:val="12"/>
          <w:numId w:val="0"/>
        </w:numPr>
        <w:rPr>
          <w:rFonts w:cs="Arial"/>
          <w:bCs/>
          <w:szCs w:val="22"/>
        </w:rPr>
      </w:pPr>
    </w:p>
    <w:p w:rsidR="00BF032E" w:rsidRPr="00473C7B" w:rsidRDefault="00BF032E" w:rsidP="00473C7B">
      <w:pPr>
        <w:numPr>
          <w:ilvl w:val="12"/>
          <w:numId w:val="0"/>
        </w:numPr>
        <w:rPr>
          <w:rFonts w:cs="Arial"/>
          <w:bCs/>
          <w:szCs w:val="22"/>
        </w:rPr>
      </w:pPr>
      <w:r w:rsidRPr="00473C7B">
        <w:rPr>
          <w:rFonts w:cs="Arial"/>
          <w:bCs/>
          <w:szCs w:val="22"/>
        </w:rPr>
        <w:t xml:space="preserve">The NRC collected input </w:t>
      </w:r>
      <w:r w:rsidR="00DC5A01" w:rsidRPr="00473C7B">
        <w:rPr>
          <w:rFonts w:cs="Arial"/>
          <w:bCs/>
          <w:szCs w:val="22"/>
        </w:rPr>
        <w:t xml:space="preserve">assumptions </w:t>
      </w:r>
      <w:r w:rsidRPr="00473C7B">
        <w:rPr>
          <w:rFonts w:cs="Arial"/>
          <w:bCs/>
          <w:szCs w:val="22"/>
        </w:rPr>
        <w:t>using data and informat</w:t>
      </w:r>
      <w:r w:rsidR="00D95C57" w:rsidRPr="00473C7B">
        <w:rPr>
          <w:rFonts w:cs="Arial"/>
          <w:bCs/>
          <w:szCs w:val="22"/>
        </w:rPr>
        <w:t xml:space="preserve">ion from </w:t>
      </w:r>
      <w:r w:rsidRPr="00473C7B">
        <w:rPr>
          <w:rFonts w:cs="Arial"/>
          <w:bCs/>
          <w:szCs w:val="22"/>
        </w:rPr>
        <w:t xml:space="preserve">NRC </w:t>
      </w:r>
      <w:r w:rsidR="00DC5A01" w:rsidRPr="00473C7B">
        <w:rPr>
          <w:rFonts w:cs="Arial"/>
          <w:bCs/>
          <w:szCs w:val="22"/>
        </w:rPr>
        <w:t>staff experience</w:t>
      </w:r>
      <w:r w:rsidR="003138DE" w:rsidRPr="00473C7B">
        <w:rPr>
          <w:rFonts w:cs="Arial"/>
          <w:bCs/>
          <w:szCs w:val="22"/>
        </w:rPr>
        <w:t xml:space="preserve">, </w:t>
      </w:r>
      <w:r w:rsidR="00DC5A01" w:rsidRPr="00473C7B">
        <w:rPr>
          <w:rFonts w:cs="Arial"/>
          <w:bCs/>
          <w:szCs w:val="22"/>
        </w:rPr>
        <w:t xml:space="preserve">NRC </w:t>
      </w:r>
      <w:r w:rsidR="008F308C" w:rsidRPr="00473C7B">
        <w:rPr>
          <w:rFonts w:cs="Arial"/>
          <w:bCs/>
          <w:szCs w:val="22"/>
        </w:rPr>
        <w:t>documents</w:t>
      </w:r>
      <w:r w:rsidR="003138DE" w:rsidRPr="00473C7B">
        <w:rPr>
          <w:rFonts w:cs="Arial"/>
          <w:bCs/>
          <w:szCs w:val="22"/>
        </w:rPr>
        <w:t xml:space="preserve">, </w:t>
      </w:r>
      <w:r w:rsidRPr="00473C7B">
        <w:rPr>
          <w:rFonts w:cs="Arial"/>
          <w:bCs/>
          <w:szCs w:val="22"/>
        </w:rPr>
        <w:t xml:space="preserve">and </w:t>
      </w:r>
      <w:r w:rsidR="001D288C" w:rsidRPr="00473C7B">
        <w:rPr>
          <w:rFonts w:cs="Arial"/>
          <w:bCs/>
          <w:szCs w:val="22"/>
        </w:rPr>
        <w:t xml:space="preserve">other </w:t>
      </w:r>
      <w:r w:rsidR="008F308C" w:rsidRPr="00473C7B">
        <w:rPr>
          <w:rFonts w:cs="Arial"/>
          <w:bCs/>
          <w:szCs w:val="22"/>
        </w:rPr>
        <w:t xml:space="preserve">related </w:t>
      </w:r>
      <w:r w:rsidRPr="00473C7B">
        <w:rPr>
          <w:rFonts w:cs="Arial"/>
          <w:bCs/>
          <w:szCs w:val="22"/>
        </w:rPr>
        <w:t xml:space="preserve">documents. </w:t>
      </w:r>
    </w:p>
    <w:p w:rsidR="004A7AB9" w:rsidRPr="00473C7B" w:rsidRDefault="004A7AB9" w:rsidP="00473C7B">
      <w:pPr>
        <w:numPr>
          <w:ilvl w:val="12"/>
          <w:numId w:val="0"/>
        </w:numPr>
        <w:rPr>
          <w:rFonts w:cs="Arial"/>
          <w:szCs w:val="22"/>
        </w:rPr>
      </w:pPr>
    </w:p>
    <w:p w:rsidR="004348AA" w:rsidRPr="00473C7B" w:rsidRDefault="004348AA" w:rsidP="006B2D47">
      <w:pPr>
        <w:pStyle w:val="Heading1"/>
      </w:pPr>
      <w:bookmarkStart w:id="10" w:name="_Toc399760747"/>
      <w:r w:rsidRPr="00473C7B">
        <w:t>3.2 Assumptions</w:t>
      </w:r>
      <w:bookmarkEnd w:id="10"/>
    </w:p>
    <w:p w:rsidR="004348AA" w:rsidRPr="00473C7B" w:rsidRDefault="004348AA" w:rsidP="00473C7B">
      <w:pPr>
        <w:rPr>
          <w:rFonts w:cs="Arial"/>
          <w:szCs w:val="22"/>
        </w:rPr>
      </w:pPr>
    </w:p>
    <w:p w:rsidR="004348AA" w:rsidRPr="00473C7B" w:rsidRDefault="004348AA" w:rsidP="00473C7B">
      <w:pPr>
        <w:rPr>
          <w:rFonts w:cs="Arial"/>
          <w:szCs w:val="22"/>
        </w:rPr>
      </w:pPr>
      <w:r w:rsidRPr="00473C7B">
        <w:rPr>
          <w:rFonts w:cs="Arial"/>
          <w:szCs w:val="22"/>
        </w:rPr>
        <w:t>The NRC assumes the following for the purpose of this regulatory analysis:</w:t>
      </w:r>
    </w:p>
    <w:p w:rsidR="004348AA" w:rsidRPr="00473C7B" w:rsidRDefault="004348AA" w:rsidP="00473C7B">
      <w:pPr>
        <w:rPr>
          <w:rFonts w:cs="Arial"/>
          <w:szCs w:val="22"/>
        </w:rPr>
      </w:pPr>
    </w:p>
    <w:p w:rsidR="004348AA" w:rsidRPr="00473C7B" w:rsidRDefault="004348AA" w:rsidP="00473C7B">
      <w:pPr>
        <w:rPr>
          <w:rFonts w:cs="Arial"/>
          <w:szCs w:val="22"/>
        </w:rPr>
      </w:pPr>
      <w:r w:rsidRPr="00473C7B">
        <w:rPr>
          <w:rFonts w:cs="Arial"/>
          <w:szCs w:val="22"/>
        </w:rPr>
        <w:t>3</w:t>
      </w:r>
      <w:r w:rsidR="00A878D6" w:rsidRPr="00473C7B">
        <w:rPr>
          <w:rFonts w:cs="Arial"/>
          <w:szCs w:val="22"/>
        </w:rPr>
        <w:t>.2.</w:t>
      </w:r>
      <w:r w:rsidR="00D67BF2">
        <w:rPr>
          <w:rFonts w:cs="Arial"/>
          <w:szCs w:val="22"/>
        </w:rPr>
        <w:t>1 General a</w:t>
      </w:r>
      <w:r w:rsidRPr="00473C7B">
        <w:rPr>
          <w:rFonts w:cs="Arial"/>
          <w:szCs w:val="22"/>
        </w:rPr>
        <w:t>ssumptions</w:t>
      </w:r>
    </w:p>
    <w:p w:rsidR="004348AA" w:rsidRPr="00473C7B" w:rsidRDefault="004348AA" w:rsidP="00473C7B">
      <w:pPr>
        <w:rPr>
          <w:rFonts w:cs="Arial"/>
          <w:szCs w:val="22"/>
        </w:rPr>
      </w:pPr>
    </w:p>
    <w:p w:rsidR="008A242A" w:rsidRDefault="008A242A" w:rsidP="008A242A">
      <w:pPr>
        <w:pStyle w:val="ListParagraph"/>
        <w:numPr>
          <w:ilvl w:val="0"/>
          <w:numId w:val="55"/>
        </w:numPr>
        <w:rPr>
          <w:rFonts w:cs="Arial"/>
          <w:szCs w:val="22"/>
        </w:rPr>
      </w:pPr>
      <w:r w:rsidRPr="008A242A">
        <w:rPr>
          <w:rFonts w:cs="Arial"/>
          <w:szCs w:val="22"/>
        </w:rPr>
        <w:t xml:space="preserve">The NRC assumes the final rule will </w:t>
      </w:r>
      <w:r w:rsidR="00483853">
        <w:rPr>
          <w:rFonts w:cs="Arial"/>
          <w:szCs w:val="22"/>
        </w:rPr>
        <w:t>be published in</w:t>
      </w:r>
      <w:r w:rsidRPr="008A242A">
        <w:rPr>
          <w:rFonts w:cs="Arial"/>
          <w:szCs w:val="22"/>
        </w:rPr>
        <w:t xml:space="preserve"> calendar year 201</w:t>
      </w:r>
      <w:r w:rsidR="00483853">
        <w:rPr>
          <w:rFonts w:cs="Arial"/>
          <w:szCs w:val="22"/>
        </w:rPr>
        <w:t>6</w:t>
      </w:r>
      <w:r w:rsidRPr="008A242A">
        <w:rPr>
          <w:rFonts w:cs="Arial"/>
          <w:szCs w:val="22"/>
        </w:rPr>
        <w:t xml:space="preserve">.  </w:t>
      </w:r>
      <w:r w:rsidR="00483853">
        <w:rPr>
          <w:rFonts w:cs="Arial"/>
          <w:szCs w:val="22"/>
        </w:rPr>
        <w:t>Because</w:t>
      </w:r>
      <w:r w:rsidR="00F0556F" w:rsidRPr="00473C7B">
        <w:rPr>
          <w:rFonts w:cs="Arial"/>
          <w:szCs w:val="22"/>
        </w:rPr>
        <w:t xml:space="preserve"> </w:t>
      </w:r>
      <w:r w:rsidR="00F0556F">
        <w:rPr>
          <w:rFonts w:cs="Arial"/>
          <w:szCs w:val="22"/>
        </w:rPr>
        <w:t>a</w:t>
      </w:r>
      <w:r w:rsidR="00F0556F" w:rsidRPr="006C1567">
        <w:rPr>
          <w:rFonts w:cs="Arial"/>
          <w:szCs w:val="22"/>
        </w:rPr>
        <w:t>ll four affected licensees are Agreement States’ licensees</w:t>
      </w:r>
      <w:r w:rsidR="00F0556F">
        <w:rPr>
          <w:rFonts w:cs="Arial"/>
          <w:szCs w:val="22"/>
        </w:rPr>
        <w:t xml:space="preserve"> </w:t>
      </w:r>
      <w:r w:rsidR="00F0556F" w:rsidRPr="00473C7B">
        <w:rPr>
          <w:rFonts w:cs="Arial"/>
          <w:szCs w:val="22"/>
        </w:rPr>
        <w:t xml:space="preserve">and the Agreement States </w:t>
      </w:r>
      <w:r w:rsidR="00483853">
        <w:rPr>
          <w:rFonts w:cs="Arial"/>
          <w:szCs w:val="22"/>
        </w:rPr>
        <w:t xml:space="preserve">are allowed 3 years to </w:t>
      </w:r>
      <w:r w:rsidR="00F0556F" w:rsidRPr="00473C7B">
        <w:rPr>
          <w:rFonts w:cs="Arial"/>
          <w:szCs w:val="22"/>
        </w:rPr>
        <w:t>develop conforming regulations</w:t>
      </w:r>
      <w:r w:rsidR="00483853">
        <w:rPr>
          <w:rFonts w:cs="Arial"/>
          <w:szCs w:val="22"/>
        </w:rPr>
        <w:t>, the NRC is assuming that the rule will not be implemented by licensees until calendar year 2019.</w:t>
      </w:r>
      <w:r w:rsidR="00F0556F" w:rsidRPr="00473C7B">
        <w:rPr>
          <w:rStyle w:val="FootnoteReference"/>
          <w:rFonts w:cs="Arial"/>
          <w:szCs w:val="22"/>
        </w:rPr>
        <w:footnoteReference w:id="4"/>
      </w:r>
    </w:p>
    <w:p w:rsidR="002342DB" w:rsidRPr="008A242A" w:rsidRDefault="002342DB" w:rsidP="002342DB">
      <w:pPr>
        <w:pStyle w:val="ListParagraph"/>
        <w:ind w:left="1080"/>
        <w:rPr>
          <w:rFonts w:cs="Arial"/>
          <w:szCs w:val="22"/>
        </w:rPr>
      </w:pPr>
    </w:p>
    <w:p w:rsidR="008A242A" w:rsidRPr="00580230" w:rsidRDefault="00642CF5" w:rsidP="008A242A">
      <w:pPr>
        <w:pStyle w:val="ListParagraph"/>
        <w:numPr>
          <w:ilvl w:val="0"/>
          <w:numId w:val="55"/>
        </w:numPr>
        <w:rPr>
          <w:rFonts w:cs="Arial"/>
          <w:szCs w:val="22"/>
        </w:rPr>
      </w:pPr>
      <w:r w:rsidRPr="008A242A">
        <w:rPr>
          <w:rFonts w:cs="Arial"/>
          <w:szCs w:val="22"/>
        </w:rPr>
        <w:t xml:space="preserve">For this regulatory analysis, the </w:t>
      </w:r>
      <w:r w:rsidR="00DB5452" w:rsidRPr="008A242A">
        <w:rPr>
          <w:rFonts w:cs="Arial"/>
          <w:szCs w:val="22"/>
        </w:rPr>
        <w:t xml:space="preserve">proposed </w:t>
      </w:r>
      <w:r w:rsidRPr="00F0556F">
        <w:rPr>
          <w:rFonts w:cs="Arial"/>
          <w:szCs w:val="22"/>
        </w:rPr>
        <w:t xml:space="preserve">analyses </w:t>
      </w:r>
      <w:r w:rsidR="001A1A50" w:rsidRPr="00F0556F">
        <w:rPr>
          <w:rFonts w:cs="Arial"/>
          <w:szCs w:val="22"/>
        </w:rPr>
        <w:t>cost</w:t>
      </w:r>
      <w:r w:rsidR="00756EAC">
        <w:rPr>
          <w:rFonts w:cs="Arial"/>
          <w:szCs w:val="22"/>
        </w:rPr>
        <w:t>s</w:t>
      </w:r>
      <w:r w:rsidR="001A1A50" w:rsidRPr="00F0556F">
        <w:rPr>
          <w:rFonts w:cs="Arial"/>
          <w:szCs w:val="22"/>
        </w:rPr>
        <w:t xml:space="preserve"> </w:t>
      </w:r>
      <w:r w:rsidR="00483853">
        <w:rPr>
          <w:rFonts w:cs="Arial"/>
          <w:szCs w:val="22"/>
        </w:rPr>
        <w:t>are</w:t>
      </w:r>
      <w:r w:rsidR="00483853" w:rsidRPr="00F0556F">
        <w:rPr>
          <w:rFonts w:cs="Arial"/>
          <w:szCs w:val="22"/>
        </w:rPr>
        <w:t xml:space="preserve"> </w:t>
      </w:r>
      <w:r w:rsidR="00591746" w:rsidRPr="00F0556F">
        <w:rPr>
          <w:rFonts w:cs="Arial"/>
          <w:szCs w:val="22"/>
        </w:rPr>
        <w:t xml:space="preserve">included in </w:t>
      </w:r>
      <w:r w:rsidR="00483853">
        <w:rPr>
          <w:rFonts w:cs="Arial"/>
          <w:szCs w:val="22"/>
        </w:rPr>
        <w:t xml:space="preserve">the </w:t>
      </w:r>
      <w:r w:rsidR="00591746" w:rsidRPr="00F0556F">
        <w:rPr>
          <w:rFonts w:cs="Arial"/>
          <w:szCs w:val="22"/>
        </w:rPr>
        <w:t xml:space="preserve">implementation cost and </w:t>
      </w:r>
      <w:r w:rsidR="00756EAC">
        <w:rPr>
          <w:rFonts w:cs="Arial"/>
          <w:szCs w:val="22"/>
        </w:rPr>
        <w:t>are</w:t>
      </w:r>
      <w:r w:rsidR="00756EAC" w:rsidRPr="00F0556F">
        <w:rPr>
          <w:rFonts w:cs="Arial"/>
          <w:szCs w:val="22"/>
        </w:rPr>
        <w:t xml:space="preserve"> </w:t>
      </w:r>
      <w:r w:rsidR="001A1A50" w:rsidRPr="00F0556F">
        <w:rPr>
          <w:rFonts w:cs="Arial"/>
          <w:szCs w:val="22"/>
        </w:rPr>
        <w:t>discounted</w:t>
      </w:r>
      <w:r w:rsidR="00DB5452" w:rsidRPr="00F0556F">
        <w:rPr>
          <w:rFonts w:cs="Arial"/>
          <w:szCs w:val="22"/>
        </w:rPr>
        <w:t xml:space="preserve"> to 201</w:t>
      </w:r>
      <w:r w:rsidR="008A242A" w:rsidRPr="00AC750B">
        <w:rPr>
          <w:rFonts w:cs="Arial"/>
          <w:szCs w:val="22"/>
        </w:rPr>
        <w:t>4 dollars</w:t>
      </w:r>
      <w:r w:rsidR="00DB5452" w:rsidRPr="00AC750B">
        <w:rPr>
          <w:rFonts w:cs="Arial"/>
          <w:szCs w:val="22"/>
        </w:rPr>
        <w:t xml:space="preserve"> when applicable</w:t>
      </w:r>
      <w:r w:rsidRPr="0006301B">
        <w:rPr>
          <w:rFonts w:cs="Arial"/>
          <w:szCs w:val="22"/>
        </w:rPr>
        <w:t xml:space="preserve">.  </w:t>
      </w:r>
      <w:r w:rsidR="008A242A" w:rsidRPr="000607F8">
        <w:rPr>
          <w:rFonts w:cs="Arial"/>
          <w:szCs w:val="22"/>
        </w:rPr>
        <w:t xml:space="preserve">For this regulatory analysis, the NRC assumes the initial analyses are completed during </w:t>
      </w:r>
      <w:r w:rsidR="008A242A" w:rsidRPr="00B65DD4">
        <w:rPr>
          <w:rFonts w:cs="Arial"/>
          <w:szCs w:val="22"/>
        </w:rPr>
        <w:t xml:space="preserve">2019, </w:t>
      </w:r>
      <w:r w:rsidR="00483853">
        <w:rPr>
          <w:rFonts w:cs="Arial"/>
          <w:szCs w:val="22"/>
        </w:rPr>
        <w:t>any</w:t>
      </w:r>
      <w:r w:rsidR="008A242A" w:rsidRPr="00B65DD4">
        <w:rPr>
          <w:rFonts w:cs="Arial"/>
          <w:szCs w:val="22"/>
        </w:rPr>
        <w:t xml:space="preserve"> updated analyses required at license renewal are completed in 2024</w:t>
      </w:r>
      <w:r w:rsidR="00483853">
        <w:rPr>
          <w:rFonts w:cs="Arial"/>
          <w:szCs w:val="22"/>
        </w:rPr>
        <w:t>,</w:t>
      </w:r>
      <w:r w:rsidR="008A242A" w:rsidRPr="00B65DD4">
        <w:rPr>
          <w:rFonts w:cs="Arial"/>
          <w:szCs w:val="22"/>
        </w:rPr>
        <w:t xml:space="preserve"> and </w:t>
      </w:r>
      <w:r w:rsidR="00483853">
        <w:rPr>
          <w:rFonts w:cs="Arial"/>
          <w:szCs w:val="22"/>
        </w:rPr>
        <w:t>any</w:t>
      </w:r>
      <w:r w:rsidR="008A242A" w:rsidRPr="00797747">
        <w:rPr>
          <w:rFonts w:cs="Arial"/>
          <w:szCs w:val="22"/>
        </w:rPr>
        <w:t xml:space="preserve"> </w:t>
      </w:r>
      <w:r w:rsidR="008A242A" w:rsidRPr="006E792C">
        <w:rPr>
          <w:rFonts w:cs="Arial"/>
          <w:szCs w:val="22"/>
        </w:rPr>
        <w:t xml:space="preserve">analyses required at site closure are completed in 2029.  </w:t>
      </w:r>
    </w:p>
    <w:p w:rsidR="00B42A73" w:rsidRPr="00473C7B" w:rsidRDefault="00B42A73" w:rsidP="00B42A73">
      <w:pPr>
        <w:pStyle w:val="ListParagraph"/>
        <w:ind w:left="1080"/>
        <w:rPr>
          <w:rFonts w:cs="Arial"/>
          <w:szCs w:val="22"/>
        </w:rPr>
      </w:pPr>
    </w:p>
    <w:p w:rsidR="004348AA" w:rsidRPr="00FE5288" w:rsidRDefault="004348AA" w:rsidP="00622786">
      <w:pPr>
        <w:pStyle w:val="ListParagraph"/>
        <w:numPr>
          <w:ilvl w:val="0"/>
          <w:numId w:val="55"/>
        </w:numPr>
        <w:rPr>
          <w:rFonts w:cs="Arial"/>
          <w:szCs w:val="22"/>
        </w:rPr>
      </w:pPr>
      <w:r w:rsidRPr="00FE5288">
        <w:rPr>
          <w:rFonts w:cs="Arial"/>
          <w:szCs w:val="22"/>
        </w:rPr>
        <w:t xml:space="preserve">The NRC calculates benefits and </w:t>
      </w:r>
      <w:r w:rsidR="00644DDA" w:rsidRPr="00FE5288">
        <w:rPr>
          <w:rFonts w:cs="Arial"/>
          <w:szCs w:val="22"/>
        </w:rPr>
        <w:t xml:space="preserve">costs over a 10-year </w:t>
      </w:r>
      <w:r w:rsidR="00FE5288" w:rsidRPr="00FE5288">
        <w:rPr>
          <w:rFonts w:cs="Arial"/>
          <w:szCs w:val="22"/>
        </w:rPr>
        <w:t xml:space="preserve">analysis </w:t>
      </w:r>
      <w:r w:rsidR="00644DDA" w:rsidRPr="00FE5288">
        <w:rPr>
          <w:rFonts w:cs="Arial"/>
          <w:szCs w:val="22"/>
        </w:rPr>
        <w:t>period</w:t>
      </w:r>
      <w:r w:rsidRPr="00FE5288">
        <w:rPr>
          <w:rFonts w:cs="Arial"/>
          <w:szCs w:val="22"/>
        </w:rPr>
        <w:t>, discounted at a 7-percent and 3-percent discount rate and expressed in 201</w:t>
      </w:r>
      <w:r w:rsidR="000A1890" w:rsidRPr="00FE5288">
        <w:rPr>
          <w:rFonts w:cs="Arial"/>
          <w:szCs w:val="22"/>
        </w:rPr>
        <w:t>4</w:t>
      </w:r>
      <w:r w:rsidRPr="00FE5288">
        <w:rPr>
          <w:rFonts w:cs="Arial"/>
          <w:szCs w:val="22"/>
        </w:rPr>
        <w:t xml:space="preserve"> dollars.  </w:t>
      </w:r>
      <w:r w:rsidR="005B2BEF" w:rsidRPr="00FE5288">
        <w:rPr>
          <w:rFonts w:cs="Arial"/>
          <w:szCs w:val="22"/>
        </w:rPr>
        <w:t>This allow</w:t>
      </w:r>
      <w:r w:rsidR="00A8497A" w:rsidRPr="00FE5288">
        <w:rPr>
          <w:rFonts w:cs="Arial"/>
          <w:szCs w:val="22"/>
        </w:rPr>
        <w:t>s</w:t>
      </w:r>
      <w:r w:rsidR="005B2BEF" w:rsidRPr="00FE5288">
        <w:rPr>
          <w:rFonts w:cs="Arial"/>
          <w:szCs w:val="22"/>
        </w:rPr>
        <w:t xml:space="preserve"> the analysis to capture cost associated with both proposed renewal of license changes and site closure.</w:t>
      </w:r>
    </w:p>
    <w:p w:rsidR="000F1348" w:rsidRDefault="000F1348" w:rsidP="00473C7B">
      <w:pPr>
        <w:pStyle w:val="ListParagraph"/>
        <w:ind w:left="1080"/>
        <w:rPr>
          <w:rFonts w:cs="Arial"/>
          <w:szCs w:val="22"/>
        </w:rPr>
      </w:pPr>
    </w:p>
    <w:p w:rsidR="000F1348" w:rsidRPr="00473C7B" w:rsidRDefault="000F1348" w:rsidP="00FE5288">
      <w:pPr>
        <w:pStyle w:val="ListParagraph"/>
        <w:ind w:left="0"/>
        <w:rPr>
          <w:rFonts w:cs="Arial"/>
          <w:szCs w:val="22"/>
        </w:rPr>
      </w:pPr>
      <w:r w:rsidRPr="000F1348">
        <w:rPr>
          <w:rFonts w:cs="Arial"/>
          <w:szCs w:val="22"/>
        </w:rPr>
        <w:t>3.2.2 Site-specific technical analysis assumptions</w:t>
      </w:r>
    </w:p>
    <w:p w:rsidR="004348AA" w:rsidRPr="00473C7B" w:rsidRDefault="004348AA" w:rsidP="00473C7B">
      <w:pPr>
        <w:pStyle w:val="ListParagraph"/>
        <w:ind w:left="1080" w:hanging="360"/>
        <w:rPr>
          <w:rFonts w:cs="Arial"/>
          <w:szCs w:val="22"/>
        </w:rPr>
      </w:pPr>
    </w:p>
    <w:p w:rsidR="005823A9" w:rsidRPr="00473C7B" w:rsidRDefault="004348AA" w:rsidP="00622786">
      <w:pPr>
        <w:pStyle w:val="ListParagraph"/>
        <w:numPr>
          <w:ilvl w:val="0"/>
          <w:numId w:val="12"/>
        </w:numPr>
        <w:rPr>
          <w:rFonts w:cs="Arial"/>
          <w:szCs w:val="22"/>
        </w:rPr>
      </w:pPr>
      <w:r w:rsidRPr="00473C7B">
        <w:rPr>
          <w:rFonts w:cs="Arial"/>
          <w:szCs w:val="22"/>
        </w:rPr>
        <w:t xml:space="preserve">Currently, three of the four existing LLRW disposal facilities are </w:t>
      </w:r>
      <w:r w:rsidR="008A64F7">
        <w:rPr>
          <w:rFonts w:cs="Arial"/>
          <w:szCs w:val="22"/>
        </w:rPr>
        <w:t>subject to</w:t>
      </w:r>
      <w:r w:rsidR="008A64F7" w:rsidRPr="00473C7B">
        <w:rPr>
          <w:rFonts w:cs="Arial"/>
          <w:szCs w:val="22"/>
        </w:rPr>
        <w:t xml:space="preserve"> </w:t>
      </w:r>
      <w:r w:rsidRPr="00473C7B">
        <w:rPr>
          <w:rFonts w:cs="Arial"/>
          <w:szCs w:val="22"/>
        </w:rPr>
        <w:t>a 5-year license renewal period</w:t>
      </w:r>
      <w:r w:rsidR="00D67BF2">
        <w:rPr>
          <w:rFonts w:cs="Arial"/>
          <w:szCs w:val="22"/>
        </w:rPr>
        <w:t>.  One of the four existing LLRW</w:t>
      </w:r>
      <w:r w:rsidRPr="00473C7B">
        <w:rPr>
          <w:rFonts w:cs="Arial"/>
          <w:szCs w:val="22"/>
        </w:rPr>
        <w:t xml:space="preserve"> disposal facilities just initiated its 15-year initial licensing period.  </w:t>
      </w:r>
      <w:r w:rsidR="00AA2BA3">
        <w:rPr>
          <w:rFonts w:cs="Arial"/>
          <w:szCs w:val="22"/>
        </w:rPr>
        <w:t>Because most facilities are currently subject to a 5-year license renewal, for the purpose of this analysis, the NRC assumes that all license renewals will occur at 5 years and that the licensees will update their technical analyses as part of the renewal.</w:t>
      </w:r>
      <w:r w:rsidR="00B95C22">
        <w:rPr>
          <w:rFonts w:cs="Arial"/>
          <w:szCs w:val="22"/>
        </w:rPr>
        <w:t xml:space="preserve">  </w:t>
      </w:r>
      <w:r w:rsidR="00A974B6">
        <w:rPr>
          <w:rFonts w:cs="Arial"/>
          <w:szCs w:val="22"/>
        </w:rPr>
        <w:t>Although a licensee is expected to update their technical analyses prior to accepting any new, previously unanalyzed waste streams, for the purposes of this analysis, the NRC assumes new waste streams are only introduced at the time of renewal.</w:t>
      </w:r>
    </w:p>
    <w:p w:rsidR="004348AA" w:rsidRPr="00473C7B" w:rsidRDefault="004348AA" w:rsidP="00473C7B">
      <w:pPr>
        <w:pStyle w:val="ListParagraph"/>
        <w:ind w:left="1080" w:hanging="360"/>
        <w:rPr>
          <w:rFonts w:cs="Arial"/>
          <w:szCs w:val="22"/>
        </w:rPr>
      </w:pPr>
    </w:p>
    <w:p w:rsidR="004348AA" w:rsidRPr="00184DA6" w:rsidRDefault="00B151A2" w:rsidP="00622786">
      <w:pPr>
        <w:pStyle w:val="ListParagraph"/>
        <w:numPr>
          <w:ilvl w:val="0"/>
          <w:numId w:val="12"/>
        </w:numPr>
        <w:rPr>
          <w:rFonts w:cs="Arial"/>
          <w:szCs w:val="22"/>
        </w:rPr>
      </w:pPr>
      <w:r>
        <w:rPr>
          <w:rFonts w:cs="Arial"/>
          <w:szCs w:val="22"/>
        </w:rPr>
        <w:t xml:space="preserve">To determine the </w:t>
      </w:r>
      <w:r w:rsidR="0052760D">
        <w:rPr>
          <w:rFonts w:cs="Arial"/>
          <w:szCs w:val="22"/>
        </w:rPr>
        <w:t>analysis which impacts</w:t>
      </w:r>
      <w:r>
        <w:rPr>
          <w:rFonts w:cs="Arial"/>
          <w:szCs w:val="22"/>
        </w:rPr>
        <w:t xml:space="preserve"> a given facility, the NRC assumes f</w:t>
      </w:r>
      <w:r w:rsidR="001900F8" w:rsidRPr="00184DA6">
        <w:rPr>
          <w:rFonts w:cs="Arial"/>
          <w:szCs w:val="22"/>
        </w:rPr>
        <w:t xml:space="preserve">or the purpose of this analysis, </w:t>
      </w:r>
      <w:r w:rsidR="00B95C22" w:rsidRPr="00184DA6">
        <w:rPr>
          <w:rFonts w:cs="Arial"/>
          <w:szCs w:val="22"/>
        </w:rPr>
        <w:t>t</w:t>
      </w:r>
      <w:r w:rsidR="008A64F7" w:rsidRPr="00184DA6">
        <w:rPr>
          <w:rFonts w:cs="Arial"/>
          <w:szCs w:val="22"/>
        </w:rPr>
        <w:t>wo</w:t>
      </w:r>
      <w:r w:rsidR="001900F8" w:rsidRPr="00184DA6">
        <w:rPr>
          <w:rFonts w:cs="Arial"/>
          <w:szCs w:val="22"/>
        </w:rPr>
        <w:t xml:space="preserve"> of the four LLRW disposal facilities </w:t>
      </w:r>
      <w:r w:rsidR="00591746">
        <w:rPr>
          <w:rFonts w:cs="Arial"/>
          <w:szCs w:val="22"/>
        </w:rPr>
        <w:t xml:space="preserve">will </w:t>
      </w:r>
      <w:r w:rsidR="001900F8" w:rsidRPr="00184DA6">
        <w:rPr>
          <w:rFonts w:cs="Arial"/>
          <w:szCs w:val="22"/>
        </w:rPr>
        <w:t>accept only LLRW streams with short-lived radionuclides</w:t>
      </w:r>
      <w:r w:rsidR="005D76AA">
        <w:rPr>
          <w:rFonts w:cs="Arial"/>
          <w:szCs w:val="22"/>
        </w:rPr>
        <w:t xml:space="preserve"> or limited concentrations of long-lived radionuclides</w:t>
      </w:r>
      <w:r w:rsidR="006C1567">
        <w:rPr>
          <w:rFonts w:cs="Arial"/>
          <w:szCs w:val="22"/>
        </w:rPr>
        <w:t xml:space="preserve"> and will only be required to do analyses for the compliance and protective assurance periods.  T</w:t>
      </w:r>
      <w:r w:rsidR="001900F8" w:rsidRPr="00184DA6">
        <w:rPr>
          <w:rFonts w:cs="Arial"/>
          <w:szCs w:val="22"/>
        </w:rPr>
        <w:t>he remaining two facilities</w:t>
      </w:r>
      <w:r w:rsidR="005775C2">
        <w:rPr>
          <w:rFonts w:cs="Arial"/>
          <w:szCs w:val="22"/>
        </w:rPr>
        <w:t xml:space="preserve"> </w:t>
      </w:r>
      <w:r w:rsidR="001900F8" w:rsidRPr="00184DA6">
        <w:rPr>
          <w:rFonts w:cs="Arial"/>
          <w:szCs w:val="22"/>
        </w:rPr>
        <w:t>are assumed to accept, in addition to the short-lived LLRW streams, LLRW streams with long-lived radionuclides</w:t>
      </w:r>
      <w:r w:rsidR="005D76AA">
        <w:rPr>
          <w:rFonts w:cs="Arial"/>
          <w:szCs w:val="22"/>
        </w:rPr>
        <w:t xml:space="preserve"> in sufficient quantities and concentrations</w:t>
      </w:r>
      <w:r w:rsidR="006C1567">
        <w:rPr>
          <w:rFonts w:cs="Arial"/>
          <w:szCs w:val="22"/>
        </w:rPr>
        <w:t xml:space="preserve"> and so would be required to also do analyses for the performance period</w:t>
      </w:r>
      <w:r w:rsidR="001900F8" w:rsidRPr="00184DA6">
        <w:rPr>
          <w:rFonts w:cs="Arial"/>
          <w:szCs w:val="22"/>
        </w:rPr>
        <w:t>.  These assumptions are b</w:t>
      </w:r>
      <w:r w:rsidR="004348AA" w:rsidRPr="00184DA6">
        <w:rPr>
          <w:rFonts w:cs="Arial"/>
          <w:szCs w:val="22"/>
        </w:rPr>
        <w:t>ased on information received from the Agreement States and NRC documents</w:t>
      </w:r>
      <w:r w:rsidR="007E7B1B" w:rsidRPr="00184DA6">
        <w:rPr>
          <w:rFonts w:cs="Arial"/>
          <w:szCs w:val="22"/>
        </w:rPr>
        <w:t xml:space="preserve"> indicating</w:t>
      </w:r>
      <w:r w:rsidR="004348AA" w:rsidRPr="00184DA6">
        <w:rPr>
          <w:rFonts w:cs="Arial"/>
          <w:szCs w:val="22"/>
        </w:rPr>
        <w:t xml:space="preserve"> two of the four existing LLRW disposal facilities have expressed an interest in accepting large quantities of</w:t>
      </w:r>
      <w:r w:rsidR="00184DA6" w:rsidRPr="00184DA6">
        <w:rPr>
          <w:rFonts w:cs="Arial"/>
          <w:szCs w:val="22"/>
        </w:rPr>
        <w:t xml:space="preserve"> </w:t>
      </w:r>
      <w:r w:rsidR="004348AA" w:rsidRPr="00184DA6">
        <w:rPr>
          <w:rFonts w:cs="Arial"/>
          <w:szCs w:val="22"/>
        </w:rPr>
        <w:t xml:space="preserve">long-lived LLRW, one existing LLRW disposal facility indicated that it would not accept more long-lived LLRW, and one existing LLRW disposal facility has not made its intentions known.  </w:t>
      </w:r>
    </w:p>
    <w:p w:rsidR="004348AA" w:rsidRPr="00473C7B" w:rsidRDefault="004348AA" w:rsidP="00473C7B">
      <w:pPr>
        <w:pStyle w:val="ListParagraph"/>
        <w:ind w:left="1080" w:hanging="360"/>
        <w:rPr>
          <w:rFonts w:cs="Arial"/>
          <w:szCs w:val="22"/>
        </w:rPr>
      </w:pPr>
    </w:p>
    <w:p w:rsidR="004348AA" w:rsidRDefault="004348AA" w:rsidP="00622786">
      <w:pPr>
        <w:pStyle w:val="ListParagraph"/>
        <w:numPr>
          <w:ilvl w:val="0"/>
          <w:numId w:val="12"/>
        </w:numPr>
        <w:rPr>
          <w:rFonts w:cs="Arial"/>
          <w:szCs w:val="22"/>
        </w:rPr>
      </w:pPr>
      <w:r w:rsidRPr="00473C7B">
        <w:rPr>
          <w:rFonts w:cs="Arial"/>
          <w:szCs w:val="22"/>
        </w:rPr>
        <w:t>To capture the facility closure costs,</w:t>
      </w:r>
      <w:r w:rsidR="001523C6">
        <w:rPr>
          <w:rFonts w:cs="Arial"/>
          <w:szCs w:val="22"/>
        </w:rPr>
        <w:t xml:space="preserve"> for the purpose of this analysis,</w:t>
      </w:r>
      <w:r w:rsidR="00BE2C6B" w:rsidRPr="00473C7B">
        <w:rPr>
          <w:rFonts w:cs="Arial"/>
          <w:szCs w:val="22"/>
        </w:rPr>
        <w:t xml:space="preserve"> </w:t>
      </w:r>
      <w:r w:rsidRPr="00473C7B">
        <w:rPr>
          <w:rFonts w:cs="Arial"/>
          <w:szCs w:val="22"/>
        </w:rPr>
        <w:t xml:space="preserve">the NRC assumes that all four LLRW disposal facilities will close </w:t>
      </w:r>
      <w:r w:rsidR="001523C6">
        <w:rPr>
          <w:rFonts w:cs="Arial"/>
          <w:szCs w:val="22"/>
        </w:rPr>
        <w:t>10 years after the rule becomes effective in the Agreement States</w:t>
      </w:r>
      <w:r w:rsidR="008A64F7">
        <w:rPr>
          <w:rFonts w:cs="Arial"/>
          <w:szCs w:val="22"/>
        </w:rPr>
        <w:t xml:space="preserve">.  </w:t>
      </w:r>
      <w:r w:rsidRPr="00473C7B">
        <w:rPr>
          <w:rFonts w:cs="Arial"/>
          <w:szCs w:val="22"/>
        </w:rPr>
        <w:t>The costs associated with LLRW disposal facility closures are included in the implementation cost</w:t>
      </w:r>
      <w:r w:rsidR="000E519C">
        <w:rPr>
          <w:rFonts w:cs="Arial"/>
          <w:szCs w:val="22"/>
        </w:rPr>
        <w:t xml:space="preserve"> and </w:t>
      </w:r>
      <w:r w:rsidR="00557DA8">
        <w:rPr>
          <w:rFonts w:cs="Arial"/>
          <w:szCs w:val="22"/>
        </w:rPr>
        <w:t>are</w:t>
      </w:r>
      <w:r w:rsidR="000E519C">
        <w:rPr>
          <w:rFonts w:cs="Arial"/>
          <w:szCs w:val="22"/>
        </w:rPr>
        <w:t xml:space="preserve"> discounted.</w:t>
      </w:r>
    </w:p>
    <w:p w:rsidR="005775C2" w:rsidRPr="005775C2" w:rsidRDefault="005775C2" w:rsidP="00FE5288">
      <w:pPr>
        <w:pStyle w:val="ListParagraph"/>
        <w:rPr>
          <w:rFonts w:cs="Arial"/>
          <w:szCs w:val="22"/>
        </w:rPr>
      </w:pPr>
    </w:p>
    <w:p w:rsidR="007E7B1B" w:rsidRPr="00473C7B" w:rsidRDefault="005775C2" w:rsidP="008C7CE0">
      <w:pPr>
        <w:pStyle w:val="ListParagraph"/>
        <w:numPr>
          <w:ilvl w:val="0"/>
          <w:numId w:val="12"/>
        </w:numPr>
      </w:pPr>
      <w:r w:rsidRPr="00DA0D82">
        <w:rPr>
          <w:rFonts w:cs="Arial"/>
          <w:szCs w:val="22"/>
        </w:rPr>
        <w:t>T</w:t>
      </w:r>
      <w:r w:rsidR="007E7B1B" w:rsidRPr="00473C7B">
        <w:t>he NRC</w:t>
      </w:r>
      <w:r w:rsidR="004348AA" w:rsidRPr="00473C7B">
        <w:t xml:space="preserve"> assumes that all four licensees would </w:t>
      </w:r>
      <w:r w:rsidR="00AC55E7">
        <w:t>update their</w:t>
      </w:r>
      <w:r w:rsidR="004348AA" w:rsidRPr="00473C7B">
        <w:t xml:space="preserve"> LLRW acceptance plan</w:t>
      </w:r>
      <w:r w:rsidR="00AC55E7">
        <w:t>s</w:t>
      </w:r>
      <w:r w:rsidR="004348AA" w:rsidRPr="00473C7B">
        <w:t xml:space="preserve"> </w:t>
      </w:r>
      <w:r w:rsidR="00AC55E7">
        <w:t>to meet the requirements of</w:t>
      </w:r>
      <w:r w:rsidR="004348AA" w:rsidRPr="00473C7B">
        <w:t xml:space="preserve"> the proposed 10 CFR 61.58.</w:t>
      </w:r>
      <w:r w:rsidR="00644DDA" w:rsidRPr="00473C7B">
        <w:t xml:space="preserve">  </w:t>
      </w:r>
      <w:r w:rsidR="008C7CE0" w:rsidRPr="008C7CE0">
        <w:t xml:space="preserve">Because </w:t>
      </w:r>
      <w:r w:rsidR="008C7CE0">
        <w:t>NRC</w:t>
      </w:r>
      <w:r w:rsidR="008C7CE0" w:rsidRPr="008C7CE0">
        <w:t xml:space="preserve"> regulation</w:t>
      </w:r>
      <w:r w:rsidR="008C7CE0">
        <w:t>s</w:t>
      </w:r>
      <w:r w:rsidR="008C7CE0" w:rsidRPr="008C7CE0">
        <w:t xml:space="preserve"> already require a site stability analysis</w:t>
      </w:r>
      <w:r w:rsidR="00756EAC">
        <w:t>,</w:t>
      </w:r>
      <w:r w:rsidR="008C7CE0" w:rsidRPr="008C7CE0">
        <w:t xml:space="preserve"> the NRC does not anticipate any additional cost to the licensee</w:t>
      </w:r>
      <w:r w:rsidR="00901572">
        <w:t xml:space="preserve"> resulting from the changes to 10 CFR 61.44</w:t>
      </w:r>
      <w:r w:rsidR="008C7CE0">
        <w:t>.</w:t>
      </w:r>
    </w:p>
    <w:p w:rsidR="004348AA" w:rsidRPr="00473C7B" w:rsidRDefault="004348AA" w:rsidP="00473C7B">
      <w:pPr>
        <w:pStyle w:val="ListParagraph"/>
        <w:rPr>
          <w:rFonts w:cs="Arial"/>
          <w:szCs w:val="22"/>
        </w:rPr>
      </w:pPr>
    </w:p>
    <w:p w:rsidR="004348AA" w:rsidRPr="00473C7B" w:rsidRDefault="00A878D6" w:rsidP="00473C7B">
      <w:pPr>
        <w:pStyle w:val="Level1"/>
        <w:widowControl/>
        <w:tabs>
          <w:tab w:val="clear" w:pos="-1080"/>
          <w:tab w:val="clear" w:pos="-720"/>
          <w:tab w:val="clear" w:pos="0"/>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jc w:val="left"/>
        <w:rPr>
          <w:rFonts w:ascii="Arial" w:hAnsi="Arial" w:cs="Arial"/>
          <w:sz w:val="22"/>
          <w:szCs w:val="22"/>
        </w:rPr>
      </w:pPr>
      <w:r w:rsidRPr="00473C7B">
        <w:rPr>
          <w:rFonts w:ascii="Arial" w:hAnsi="Arial" w:cs="Arial"/>
          <w:sz w:val="22"/>
          <w:szCs w:val="22"/>
        </w:rPr>
        <w:t>3.2.</w:t>
      </w:r>
      <w:r w:rsidR="004348AA" w:rsidRPr="00473C7B">
        <w:rPr>
          <w:rFonts w:ascii="Arial" w:hAnsi="Arial" w:cs="Arial"/>
          <w:sz w:val="22"/>
          <w:szCs w:val="22"/>
        </w:rPr>
        <w:t xml:space="preserve">3 Labor rate and </w:t>
      </w:r>
      <w:r w:rsidR="00CE72FD" w:rsidRPr="00473C7B">
        <w:rPr>
          <w:rFonts w:ascii="Arial" w:hAnsi="Arial" w:cs="Arial"/>
          <w:sz w:val="22"/>
          <w:szCs w:val="22"/>
        </w:rPr>
        <w:t>full-time equivalent (</w:t>
      </w:r>
      <w:r w:rsidR="004348AA" w:rsidRPr="00473C7B">
        <w:rPr>
          <w:rFonts w:ascii="Arial" w:hAnsi="Arial" w:cs="Arial"/>
          <w:sz w:val="22"/>
          <w:szCs w:val="22"/>
        </w:rPr>
        <w:t>FTE</w:t>
      </w:r>
      <w:r w:rsidR="00CE72FD" w:rsidRPr="00473C7B">
        <w:rPr>
          <w:rFonts w:ascii="Arial" w:hAnsi="Arial" w:cs="Arial"/>
          <w:sz w:val="22"/>
          <w:szCs w:val="22"/>
        </w:rPr>
        <w:t>)</w:t>
      </w:r>
      <w:r w:rsidR="004348AA" w:rsidRPr="00473C7B">
        <w:rPr>
          <w:rFonts w:ascii="Arial" w:hAnsi="Arial" w:cs="Arial"/>
          <w:sz w:val="22"/>
          <w:szCs w:val="22"/>
        </w:rPr>
        <w:t xml:space="preserve"> assumptions</w:t>
      </w:r>
    </w:p>
    <w:p w:rsidR="004348AA" w:rsidRPr="00473C7B" w:rsidRDefault="004348AA" w:rsidP="00473C7B">
      <w:pPr>
        <w:pStyle w:val="Level1"/>
        <w:widowControl/>
        <w:tabs>
          <w:tab w:val="clear" w:pos="-1080"/>
          <w:tab w:val="clear" w:pos="-720"/>
          <w:tab w:val="clear" w:pos="0"/>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360"/>
        <w:jc w:val="left"/>
        <w:rPr>
          <w:rFonts w:ascii="Arial" w:hAnsi="Arial" w:cs="Arial"/>
          <w:sz w:val="22"/>
          <w:szCs w:val="22"/>
        </w:rPr>
      </w:pPr>
    </w:p>
    <w:p w:rsidR="004348AA" w:rsidRPr="00473C7B" w:rsidRDefault="004348AA" w:rsidP="00622786">
      <w:pPr>
        <w:pStyle w:val="ListParagraph"/>
        <w:numPr>
          <w:ilvl w:val="0"/>
          <w:numId w:val="56"/>
        </w:numPr>
        <w:rPr>
          <w:rFonts w:cs="Arial"/>
          <w:szCs w:val="22"/>
        </w:rPr>
      </w:pPr>
      <w:r w:rsidRPr="00473C7B">
        <w:rPr>
          <w:rFonts w:cs="Arial"/>
          <w:bCs/>
          <w:szCs w:val="22"/>
        </w:rPr>
        <w:t xml:space="preserve">The NRC’s labor rates are determined using the methodology in Abstract 5.2, “NRC Labor Rates,” of NUREG/CR-4627, "Generic Cost Estimates, </w:t>
      </w:r>
      <w:proofErr w:type="gramStart"/>
      <w:r w:rsidRPr="00473C7B">
        <w:rPr>
          <w:rFonts w:cs="Arial"/>
          <w:bCs/>
          <w:szCs w:val="22"/>
        </w:rPr>
        <w:t>Abstracts</w:t>
      </w:r>
      <w:proofErr w:type="gramEnd"/>
      <w:r w:rsidRPr="00473C7B">
        <w:rPr>
          <w:rFonts w:cs="Arial"/>
          <w:bCs/>
          <w:szCs w:val="22"/>
        </w:rPr>
        <w:t xml:space="preserve"> from Generic Studies for Use in Preparing Regulatory Impact Analyses."  This methodology considers only variable costs (including salary and benefits) that are directly related to the development, implementation, and continuing support of the proposed amendments.  Currently, the NRC hourly labor rate is $12</w:t>
      </w:r>
      <w:r w:rsidR="00E54D59">
        <w:rPr>
          <w:rFonts w:cs="Arial"/>
          <w:bCs/>
          <w:szCs w:val="22"/>
        </w:rPr>
        <w:t>1</w:t>
      </w:r>
      <w:r w:rsidRPr="00473C7B">
        <w:rPr>
          <w:rFonts w:cs="Arial"/>
          <w:bCs/>
          <w:szCs w:val="22"/>
        </w:rPr>
        <w:t xml:space="preserve">, including all benefits.  The estimation of costs for rulemaking is based on professional NRC </w:t>
      </w:r>
      <w:r w:rsidR="00CE72FD" w:rsidRPr="00473C7B">
        <w:rPr>
          <w:rFonts w:cs="Arial"/>
          <w:szCs w:val="22"/>
        </w:rPr>
        <w:t>FTE</w:t>
      </w:r>
      <w:r w:rsidRPr="00473C7B">
        <w:rPr>
          <w:rFonts w:cs="Arial"/>
          <w:bCs/>
          <w:szCs w:val="22"/>
        </w:rPr>
        <w:t xml:space="preserve">, without administrative staff support.  Based on data from the NRC’s time and labor system, the number of hours in </w:t>
      </w:r>
      <w:r w:rsidR="007E3CBA">
        <w:rPr>
          <w:rFonts w:cs="Arial"/>
          <w:bCs/>
          <w:szCs w:val="22"/>
        </w:rPr>
        <w:t>1</w:t>
      </w:r>
      <w:r w:rsidRPr="00473C7B">
        <w:rPr>
          <w:rFonts w:cs="Arial"/>
          <w:bCs/>
          <w:szCs w:val="22"/>
        </w:rPr>
        <w:t xml:space="preserve"> year that directly relate to a professional staff’s </w:t>
      </w:r>
      <w:r w:rsidRPr="00473C7B">
        <w:rPr>
          <w:rFonts w:cs="Arial"/>
          <w:bCs/>
          <w:szCs w:val="22"/>
        </w:rPr>
        <w:lastRenderedPageBreak/>
        <w:t>implementation of assigned duties is 1,375; excluding hours such as leave, training, and completing administrative tasks.  Therefore, an NRC professional staff FTE hourly rate is based on 1,375 hours.  The NRC labor rate for one FTE is $1</w:t>
      </w:r>
      <w:r w:rsidR="00E54D59">
        <w:rPr>
          <w:rFonts w:cs="Arial"/>
          <w:bCs/>
          <w:szCs w:val="22"/>
        </w:rPr>
        <w:t>66,375</w:t>
      </w:r>
      <w:r w:rsidRPr="00473C7B">
        <w:rPr>
          <w:rFonts w:cs="Arial"/>
          <w:bCs/>
          <w:szCs w:val="22"/>
        </w:rPr>
        <w:t xml:space="preserve">.  </w:t>
      </w:r>
    </w:p>
    <w:p w:rsidR="004348AA" w:rsidRPr="00473C7B" w:rsidRDefault="004348AA" w:rsidP="00473C7B">
      <w:pPr>
        <w:pStyle w:val="ListParagraph"/>
        <w:ind w:left="1080" w:hanging="360"/>
        <w:rPr>
          <w:rFonts w:cs="Arial"/>
          <w:bCs/>
          <w:szCs w:val="22"/>
        </w:rPr>
      </w:pPr>
    </w:p>
    <w:p w:rsidR="004348AA" w:rsidRPr="00473C7B" w:rsidRDefault="004348AA" w:rsidP="00622786">
      <w:pPr>
        <w:pStyle w:val="ListParagraph"/>
        <w:numPr>
          <w:ilvl w:val="0"/>
          <w:numId w:val="56"/>
        </w:numPr>
        <w:rPr>
          <w:rFonts w:cs="Arial"/>
          <w:bCs/>
          <w:szCs w:val="22"/>
        </w:rPr>
      </w:pPr>
      <w:r w:rsidRPr="00473C7B">
        <w:rPr>
          <w:rFonts w:cs="Arial"/>
          <w:bCs/>
          <w:szCs w:val="22"/>
        </w:rPr>
        <w:t xml:space="preserve">As described in the OMB Circular A-76, “Performance of Commercial Activities,” the number of productive hours in </w:t>
      </w:r>
      <w:r w:rsidR="007E3CBA">
        <w:rPr>
          <w:rFonts w:cs="Arial"/>
          <w:bCs/>
          <w:szCs w:val="22"/>
        </w:rPr>
        <w:t>1</w:t>
      </w:r>
      <w:r w:rsidRPr="00473C7B">
        <w:rPr>
          <w:rFonts w:cs="Arial"/>
          <w:bCs/>
          <w:szCs w:val="22"/>
        </w:rPr>
        <w:t xml:space="preserve"> year is 1,776.  As this actual value is likely to vary from State to State and no specific data are available, the FTE costs for the States and licensees are based on the number of hours estimated in OMB Circular A-76.  </w:t>
      </w:r>
    </w:p>
    <w:p w:rsidR="004348AA" w:rsidRPr="00473C7B" w:rsidRDefault="004348AA" w:rsidP="00473C7B">
      <w:pPr>
        <w:pStyle w:val="ListParagraph"/>
        <w:ind w:left="1080" w:hanging="360"/>
        <w:rPr>
          <w:rFonts w:cs="Arial"/>
          <w:szCs w:val="22"/>
        </w:rPr>
      </w:pPr>
    </w:p>
    <w:p w:rsidR="004348AA" w:rsidRPr="00473C7B" w:rsidRDefault="004348AA" w:rsidP="00622786">
      <w:pPr>
        <w:pStyle w:val="ListParagraph"/>
        <w:numPr>
          <w:ilvl w:val="0"/>
          <w:numId w:val="56"/>
        </w:numPr>
        <w:rPr>
          <w:rFonts w:cs="Arial"/>
          <w:szCs w:val="22"/>
        </w:rPr>
      </w:pPr>
      <w:r w:rsidRPr="00473C7B">
        <w:rPr>
          <w:rFonts w:cs="Arial"/>
          <w:bCs/>
          <w:szCs w:val="22"/>
        </w:rPr>
        <w:t>The NRC staff determined Agreement State labor rates using National Wage Data available on the Bureau of Labor Statistics (BLS) web site (www.bls.gov).  Because exact hourly rates for each state vary from State to State, nationwide mean hourly rates are used.  Also, the exact rulemaking burden varies from State to State depending, among other things on the mix of different professional skills and administrative support required.  For review of licensee documents, the NRC estimates $31.54/hour, using the BLS Employer Costs for Employee Compensation data set for “Environmental Scientist.”  These rates are multiplied by 1.5 to account for items such as pension, insurance, overhead, and other legally</w:t>
      </w:r>
      <w:r w:rsidR="005569C9">
        <w:rPr>
          <w:rFonts w:cs="Arial"/>
          <w:bCs/>
          <w:szCs w:val="22"/>
        </w:rPr>
        <w:t>-</w:t>
      </w:r>
      <w:r w:rsidRPr="00473C7B">
        <w:rPr>
          <w:rFonts w:cs="Arial"/>
          <w:bCs/>
          <w:szCs w:val="22"/>
        </w:rPr>
        <w:t xml:space="preserve">required benefits.  For the development and review of site-specific technical analyses and LLRW acceptance plans associated with this proposed rulemaking, the NRC uses a labor rate of $47.31/hour, 1.5 times the $31.54 hourly rate from the BLS’s employer cost data set for a state government “Environmental Scientist.”  </w:t>
      </w:r>
    </w:p>
    <w:p w:rsidR="004348AA" w:rsidRPr="00473C7B" w:rsidRDefault="004348AA" w:rsidP="00473C7B">
      <w:pPr>
        <w:pStyle w:val="ListParagraph"/>
        <w:ind w:left="1080" w:hanging="360"/>
        <w:rPr>
          <w:rFonts w:cs="Arial"/>
          <w:szCs w:val="22"/>
        </w:rPr>
      </w:pPr>
    </w:p>
    <w:p w:rsidR="004348AA" w:rsidRPr="00473C7B" w:rsidRDefault="004348AA" w:rsidP="00622786">
      <w:pPr>
        <w:pStyle w:val="ListParagraph"/>
        <w:numPr>
          <w:ilvl w:val="0"/>
          <w:numId w:val="56"/>
        </w:numPr>
        <w:rPr>
          <w:rFonts w:cs="Arial"/>
          <w:bCs/>
          <w:szCs w:val="22"/>
        </w:rPr>
      </w:pPr>
      <w:r w:rsidRPr="00473C7B">
        <w:rPr>
          <w:rFonts w:cs="Arial"/>
          <w:bCs/>
          <w:szCs w:val="22"/>
        </w:rPr>
        <w:t xml:space="preserve">Licensee labor rates were also obtained from </w:t>
      </w:r>
      <w:r w:rsidR="0004545B" w:rsidRPr="00473C7B">
        <w:rPr>
          <w:rFonts w:cs="Arial"/>
          <w:bCs/>
          <w:szCs w:val="22"/>
        </w:rPr>
        <w:t>Bureau of Labor Statistics</w:t>
      </w:r>
      <w:r w:rsidRPr="00473C7B">
        <w:rPr>
          <w:rFonts w:cs="Arial"/>
          <w:bCs/>
          <w:szCs w:val="22"/>
        </w:rPr>
        <w:t xml:space="preserve"> National Wage Data available on the BLS web site.  The NRC selected an appropriate mean hourly labor rate depending on the listed industry and the occupation (e.g.,</w:t>
      </w:r>
      <w:r w:rsidR="00212390">
        <w:rPr>
          <w:rFonts w:cs="Arial"/>
          <w:bCs/>
          <w:szCs w:val="22"/>
        </w:rPr>
        <w:t> </w:t>
      </w:r>
      <w:r w:rsidRPr="00473C7B">
        <w:rPr>
          <w:rFonts w:cs="Arial"/>
          <w:bCs/>
          <w:szCs w:val="22"/>
        </w:rPr>
        <w:t>manufacturing, health and safety, etc.) and multiplying by 1.5 to account for pension, insurance, and other legally</w:t>
      </w:r>
      <w:r w:rsidR="005569C9">
        <w:rPr>
          <w:rFonts w:cs="Arial"/>
          <w:bCs/>
          <w:szCs w:val="22"/>
        </w:rPr>
        <w:t>-</w:t>
      </w:r>
      <w:r w:rsidRPr="00473C7B">
        <w:rPr>
          <w:rFonts w:cs="Arial"/>
          <w:bCs/>
          <w:szCs w:val="22"/>
        </w:rPr>
        <w:t>required benefits.  Because exact licensee hourly rates can vary significantly, the NRC used nationwide mean hourly rates.  For the development of site-specific technical analyses and LLRW acceptance plans associated with this proposed rulemaking, $49.62/hour is used ($33.08*1.5), which is from the BLS employer cost data set for an “Environmental Scientist” in the private sector.</w:t>
      </w:r>
    </w:p>
    <w:p w:rsidR="004348AA" w:rsidRPr="00473C7B" w:rsidRDefault="004348AA" w:rsidP="00473C7B">
      <w:pPr>
        <w:pStyle w:val="ListParagraph"/>
        <w:ind w:hanging="360"/>
        <w:rPr>
          <w:rFonts w:cs="Arial"/>
          <w:bCs/>
          <w:szCs w:val="22"/>
        </w:rPr>
      </w:pPr>
    </w:p>
    <w:p w:rsidR="004348AA" w:rsidRPr="009A67C4" w:rsidRDefault="00A878D6" w:rsidP="009A67C4">
      <w:pPr>
        <w:rPr>
          <w:rFonts w:cs="Arial"/>
          <w:szCs w:val="22"/>
        </w:rPr>
      </w:pPr>
      <w:r w:rsidRPr="009A67C4">
        <w:rPr>
          <w:rFonts w:cs="Arial"/>
          <w:szCs w:val="22"/>
        </w:rPr>
        <w:t>3.2.</w:t>
      </w:r>
      <w:r w:rsidR="004348AA" w:rsidRPr="009A67C4">
        <w:rPr>
          <w:rFonts w:cs="Arial"/>
          <w:szCs w:val="22"/>
        </w:rPr>
        <w:t xml:space="preserve">4 </w:t>
      </w:r>
      <w:r w:rsidR="00901572">
        <w:rPr>
          <w:rFonts w:cs="Arial"/>
          <w:szCs w:val="22"/>
        </w:rPr>
        <w:t>Licensee</w:t>
      </w:r>
      <w:r w:rsidR="004348AA" w:rsidRPr="009A67C4">
        <w:rPr>
          <w:rFonts w:cs="Arial"/>
          <w:szCs w:val="22"/>
        </w:rPr>
        <w:t xml:space="preserve"> and </w:t>
      </w:r>
      <w:r w:rsidR="00901572">
        <w:rPr>
          <w:rFonts w:cs="Arial"/>
          <w:szCs w:val="22"/>
        </w:rPr>
        <w:t>Agreement State</w:t>
      </w:r>
      <w:r w:rsidR="00901572" w:rsidRPr="009A67C4">
        <w:rPr>
          <w:rFonts w:cs="Arial"/>
          <w:szCs w:val="22"/>
        </w:rPr>
        <w:t xml:space="preserve"> </w:t>
      </w:r>
      <w:r w:rsidR="004348AA" w:rsidRPr="009A67C4">
        <w:rPr>
          <w:rFonts w:cs="Arial"/>
          <w:szCs w:val="22"/>
        </w:rPr>
        <w:t xml:space="preserve">effort assumptions: </w:t>
      </w:r>
    </w:p>
    <w:p w:rsidR="004348AA" w:rsidRPr="00473C7B" w:rsidRDefault="004348AA" w:rsidP="00473C7B">
      <w:pPr>
        <w:pStyle w:val="ListParagraph"/>
        <w:ind w:hanging="720"/>
        <w:rPr>
          <w:rFonts w:cs="Arial"/>
          <w:szCs w:val="22"/>
        </w:rPr>
      </w:pPr>
    </w:p>
    <w:p w:rsidR="004348AA" w:rsidRPr="00622786" w:rsidRDefault="004348AA" w:rsidP="00AF4077">
      <w:pPr>
        <w:pStyle w:val="ListParagraph"/>
        <w:numPr>
          <w:ilvl w:val="0"/>
          <w:numId w:val="54"/>
        </w:numPr>
        <w:ind w:left="1080"/>
        <w:rPr>
          <w:rFonts w:cs="Arial"/>
          <w:szCs w:val="22"/>
        </w:rPr>
      </w:pPr>
      <w:r w:rsidRPr="00CA01E8">
        <w:rPr>
          <w:rFonts w:cs="Arial"/>
          <w:szCs w:val="22"/>
        </w:rPr>
        <w:t xml:space="preserve">This analysis assumes two cost scenarios for these licensees. </w:t>
      </w:r>
      <w:r w:rsidR="00C62B14" w:rsidRPr="00CA01E8">
        <w:rPr>
          <w:rFonts w:cs="Arial"/>
          <w:szCs w:val="22"/>
        </w:rPr>
        <w:t xml:space="preserve"> </w:t>
      </w:r>
      <w:r w:rsidR="00B52EA7" w:rsidRPr="00CA01E8">
        <w:rPr>
          <w:rFonts w:cs="Arial"/>
          <w:szCs w:val="22"/>
        </w:rPr>
        <w:t>In scenario 1, the licensee accepts only LLRW</w:t>
      </w:r>
      <w:r w:rsidR="00B52EA7" w:rsidRPr="00622786">
        <w:rPr>
          <w:rFonts w:cs="Arial"/>
          <w:szCs w:val="22"/>
        </w:rPr>
        <w:t xml:space="preserve"> streams with short-lived</w:t>
      </w:r>
      <w:r w:rsidR="00184DA6" w:rsidRPr="00622786">
        <w:rPr>
          <w:rFonts w:cs="Arial"/>
          <w:szCs w:val="22"/>
        </w:rPr>
        <w:t xml:space="preserve"> </w:t>
      </w:r>
      <w:r w:rsidR="00B52EA7" w:rsidRPr="00622786">
        <w:rPr>
          <w:rFonts w:cs="Arial"/>
          <w:szCs w:val="22"/>
        </w:rPr>
        <w:t xml:space="preserve">radionuclides, and, therefore, is required to conduct only compliance </w:t>
      </w:r>
      <w:r w:rsidR="00904525" w:rsidRPr="00622786">
        <w:rPr>
          <w:rFonts w:cs="Arial"/>
          <w:szCs w:val="22"/>
        </w:rPr>
        <w:t xml:space="preserve">and protective assurance </w:t>
      </w:r>
      <w:r w:rsidR="00B52EA7" w:rsidRPr="00622786">
        <w:rPr>
          <w:rFonts w:cs="Arial"/>
          <w:szCs w:val="22"/>
        </w:rPr>
        <w:t>period analyses</w:t>
      </w:r>
      <w:r w:rsidR="00B52EA7" w:rsidRPr="00CA01E8">
        <w:rPr>
          <w:rFonts w:cs="Arial"/>
          <w:szCs w:val="22"/>
        </w:rPr>
        <w:t xml:space="preserve">.  These analyses include:  1) a performance assessment required by the proposed 10 CFR 61.41; 2) an </w:t>
      </w:r>
      <w:r w:rsidR="00B52EA7" w:rsidRPr="00622786">
        <w:rPr>
          <w:rFonts w:cs="Arial"/>
          <w:szCs w:val="22"/>
        </w:rPr>
        <w:t xml:space="preserve">intruder assessment required by the proposed 10 CFR 61.42; </w:t>
      </w:r>
      <w:r w:rsidR="00473A06" w:rsidRPr="00622786">
        <w:rPr>
          <w:rFonts w:cs="Arial"/>
          <w:szCs w:val="22"/>
        </w:rPr>
        <w:t xml:space="preserve">3) defense-in-depth analyses required by proposed 10 CFR 61.13(f); </w:t>
      </w:r>
      <w:r w:rsidR="00B52EA7" w:rsidRPr="00622786">
        <w:rPr>
          <w:rFonts w:cs="Arial"/>
          <w:szCs w:val="22"/>
        </w:rPr>
        <w:t xml:space="preserve">and </w:t>
      </w:r>
      <w:r w:rsidR="00473A06" w:rsidRPr="00622786">
        <w:rPr>
          <w:rFonts w:cs="Arial"/>
          <w:szCs w:val="22"/>
        </w:rPr>
        <w:t>4</w:t>
      </w:r>
      <w:r w:rsidR="00B52EA7" w:rsidRPr="00622786">
        <w:rPr>
          <w:rFonts w:cs="Arial"/>
          <w:szCs w:val="22"/>
        </w:rPr>
        <w:t xml:space="preserve">) a LLRW acceptance plan required by proposed 10 CFR 61.58.  The licensee or license applicant would also be required to conduct updated compliance </w:t>
      </w:r>
      <w:r w:rsidR="00473A06" w:rsidRPr="00622786">
        <w:rPr>
          <w:rFonts w:cs="Arial"/>
          <w:szCs w:val="22"/>
        </w:rPr>
        <w:t xml:space="preserve"> and protective assurance </w:t>
      </w:r>
      <w:r w:rsidR="00B52EA7" w:rsidRPr="00622786">
        <w:rPr>
          <w:rFonts w:cs="Arial"/>
          <w:szCs w:val="22"/>
        </w:rPr>
        <w:t xml:space="preserve">period analyses with the application to amend the license for closure as required by proposed 10 CFR 61.28.  In addition, the licensee is required to update its compliance </w:t>
      </w:r>
      <w:r w:rsidR="00D91298" w:rsidRPr="00622786">
        <w:rPr>
          <w:rFonts w:cs="Arial"/>
          <w:szCs w:val="22"/>
        </w:rPr>
        <w:t xml:space="preserve">and protective assurance </w:t>
      </w:r>
      <w:r w:rsidR="00B52EA7" w:rsidRPr="00622786">
        <w:rPr>
          <w:rFonts w:cs="Arial"/>
          <w:szCs w:val="22"/>
        </w:rPr>
        <w:t xml:space="preserve">period analyses and LLRW acceptance </w:t>
      </w:r>
      <w:r w:rsidR="00B52EA7" w:rsidRPr="00622786">
        <w:rPr>
          <w:rFonts w:cs="Arial"/>
          <w:szCs w:val="22"/>
        </w:rPr>
        <w:lastRenderedPageBreak/>
        <w:t xml:space="preserve">plan, as part of an operating license amendment.  The NRC assumes that two licensees follow this scenario.  </w:t>
      </w:r>
    </w:p>
    <w:p w:rsidR="00B52EA7" w:rsidRPr="00473C7B" w:rsidRDefault="00B52EA7" w:rsidP="00473C7B">
      <w:pPr>
        <w:pStyle w:val="ListParagraph"/>
        <w:ind w:left="1080"/>
        <w:rPr>
          <w:rFonts w:cs="Arial"/>
          <w:szCs w:val="22"/>
        </w:rPr>
      </w:pPr>
    </w:p>
    <w:p w:rsidR="004348AA" w:rsidRPr="00473C7B" w:rsidRDefault="004348AA" w:rsidP="00AF4077">
      <w:pPr>
        <w:pStyle w:val="ListParagraph"/>
        <w:numPr>
          <w:ilvl w:val="0"/>
          <w:numId w:val="54"/>
        </w:numPr>
        <w:ind w:left="1080"/>
        <w:rPr>
          <w:rFonts w:cs="Arial"/>
          <w:szCs w:val="22"/>
        </w:rPr>
      </w:pPr>
      <w:r w:rsidRPr="00473C7B">
        <w:rPr>
          <w:rFonts w:cs="Arial"/>
          <w:szCs w:val="22"/>
        </w:rPr>
        <w:t xml:space="preserve">In scenario 2, the licensee or license applicant would accept, in addition to the LLRW streams with short-lived radionuclides, LLRW with long-lived radionuclides </w:t>
      </w:r>
      <w:r w:rsidR="00AC4802">
        <w:rPr>
          <w:rFonts w:cs="Arial"/>
          <w:szCs w:val="22"/>
        </w:rPr>
        <w:t xml:space="preserve">and </w:t>
      </w:r>
      <w:r w:rsidRPr="00473C7B">
        <w:rPr>
          <w:rFonts w:cs="Arial"/>
          <w:szCs w:val="22"/>
        </w:rPr>
        <w:t xml:space="preserve">would </w:t>
      </w:r>
      <w:r w:rsidR="00AC4802">
        <w:rPr>
          <w:rFonts w:cs="Arial"/>
          <w:szCs w:val="22"/>
        </w:rPr>
        <w:t>therefore</w:t>
      </w:r>
      <w:r w:rsidR="00AC4802" w:rsidRPr="00473C7B">
        <w:rPr>
          <w:rFonts w:cs="Arial"/>
          <w:szCs w:val="22"/>
        </w:rPr>
        <w:t xml:space="preserve"> </w:t>
      </w:r>
      <w:r w:rsidRPr="00473C7B">
        <w:rPr>
          <w:rFonts w:cs="Arial"/>
          <w:szCs w:val="22"/>
        </w:rPr>
        <w:t>have to conduct</w:t>
      </w:r>
      <w:r w:rsidR="00D91298">
        <w:rPr>
          <w:rFonts w:cs="Arial"/>
          <w:szCs w:val="22"/>
        </w:rPr>
        <w:t xml:space="preserve"> a</w:t>
      </w:r>
      <w:r w:rsidR="005775C2">
        <w:rPr>
          <w:rFonts w:cs="Arial"/>
          <w:szCs w:val="22"/>
        </w:rPr>
        <w:t xml:space="preserve"> </w:t>
      </w:r>
      <w:r w:rsidRPr="00473C7B">
        <w:rPr>
          <w:rFonts w:cs="Arial"/>
          <w:szCs w:val="22"/>
        </w:rPr>
        <w:t xml:space="preserve">performance period analyses required by the proposed 10 CFR 61.13(e).  </w:t>
      </w:r>
      <w:r w:rsidR="00D91298">
        <w:rPr>
          <w:rFonts w:cs="Arial"/>
          <w:szCs w:val="22"/>
        </w:rPr>
        <w:t>Similar to scenario 1 licensees, the scenario 2 licensees would also be required to amend the license for closure as required by proposed 10 CFR 61.28, but in addition to updating the compliance and protective assurance period analyses, the</w:t>
      </w:r>
      <w:r w:rsidR="0052724B">
        <w:rPr>
          <w:rFonts w:cs="Arial"/>
          <w:szCs w:val="22"/>
        </w:rPr>
        <w:t>se</w:t>
      </w:r>
      <w:r w:rsidR="00D91298">
        <w:rPr>
          <w:rFonts w:cs="Arial"/>
          <w:szCs w:val="22"/>
        </w:rPr>
        <w:t xml:space="preserve"> licensees would also have to update their performance period analyses.  </w:t>
      </w:r>
      <w:r w:rsidRPr="00473C7B">
        <w:rPr>
          <w:rFonts w:cs="Arial"/>
          <w:szCs w:val="22"/>
        </w:rPr>
        <w:t xml:space="preserve">The NRC assumes that in addition to </w:t>
      </w:r>
      <w:r w:rsidR="0052724B">
        <w:rPr>
          <w:rFonts w:cs="Arial"/>
          <w:szCs w:val="22"/>
        </w:rPr>
        <w:t xml:space="preserve">updating </w:t>
      </w:r>
      <w:r w:rsidRPr="00473C7B">
        <w:rPr>
          <w:rFonts w:cs="Arial"/>
          <w:szCs w:val="22"/>
        </w:rPr>
        <w:t xml:space="preserve">their </w:t>
      </w:r>
      <w:r w:rsidR="00D91298">
        <w:rPr>
          <w:rFonts w:cs="Arial"/>
          <w:szCs w:val="22"/>
        </w:rPr>
        <w:t>compliance and protective assurance</w:t>
      </w:r>
      <w:r w:rsidR="00D91298" w:rsidRPr="00473C7B">
        <w:rPr>
          <w:rFonts w:cs="Arial"/>
          <w:szCs w:val="22"/>
        </w:rPr>
        <w:t xml:space="preserve"> </w:t>
      </w:r>
      <w:r w:rsidRPr="00473C7B">
        <w:rPr>
          <w:rFonts w:cs="Arial"/>
          <w:szCs w:val="22"/>
        </w:rPr>
        <w:t xml:space="preserve">period analyses, these licensees would also be required to conduct </w:t>
      </w:r>
      <w:r w:rsidR="0052724B">
        <w:rPr>
          <w:rFonts w:cs="Arial"/>
          <w:szCs w:val="22"/>
        </w:rPr>
        <w:t>an</w:t>
      </w:r>
      <w:r w:rsidR="0052724B" w:rsidRPr="00473C7B">
        <w:rPr>
          <w:rFonts w:cs="Arial"/>
          <w:szCs w:val="22"/>
        </w:rPr>
        <w:t xml:space="preserve"> </w:t>
      </w:r>
      <w:r w:rsidRPr="00473C7B">
        <w:rPr>
          <w:rFonts w:cs="Arial"/>
          <w:szCs w:val="22"/>
        </w:rPr>
        <w:t xml:space="preserve">updated performance period </w:t>
      </w:r>
      <w:r w:rsidR="00AC4802">
        <w:rPr>
          <w:rFonts w:cs="Arial"/>
          <w:szCs w:val="22"/>
        </w:rPr>
        <w:t>analysis</w:t>
      </w:r>
      <w:r w:rsidR="00AC4802" w:rsidRPr="00473C7B">
        <w:rPr>
          <w:rFonts w:cs="Arial"/>
          <w:szCs w:val="22"/>
        </w:rPr>
        <w:t xml:space="preserve"> </w:t>
      </w:r>
      <w:r w:rsidRPr="00473C7B">
        <w:rPr>
          <w:rFonts w:cs="Arial"/>
          <w:szCs w:val="22"/>
        </w:rPr>
        <w:t xml:space="preserve">and LLRW acceptance plan as part of an operating license amendment.  The NRC assumes that two licensees follow this scenario.  </w:t>
      </w:r>
    </w:p>
    <w:p w:rsidR="004348AA" w:rsidRPr="00473C7B" w:rsidRDefault="004348AA" w:rsidP="00473C7B">
      <w:pPr>
        <w:ind w:left="1080" w:hanging="360"/>
        <w:rPr>
          <w:rFonts w:cs="Arial"/>
          <w:szCs w:val="22"/>
        </w:rPr>
      </w:pPr>
    </w:p>
    <w:p w:rsidR="004348AA" w:rsidRPr="00AF4077" w:rsidRDefault="004348AA" w:rsidP="00AF4077">
      <w:pPr>
        <w:pStyle w:val="ListParagraph"/>
        <w:numPr>
          <w:ilvl w:val="0"/>
          <w:numId w:val="54"/>
        </w:numPr>
        <w:ind w:left="1080"/>
        <w:rPr>
          <w:rFonts w:cs="Arial"/>
          <w:szCs w:val="22"/>
        </w:rPr>
      </w:pPr>
      <w:r w:rsidRPr="00AF4077">
        <w:rPr>
          <w:rFonts w:cs="Arial"/>
          <w:szCs w:val="22"/>
        </w:rPr>
        <w:t xml:space="preserve">The analysis also assumes two cost scenarios for the Agreement States. </w:t>
      </w:r>
      <w:r w:rsidR="00AF4077">
        <w:rPr>
          <w:rFonts w:cs="Arial"/>
          <w:szCs w:val="22"/>
        </w:rPr>
        <w:t xml:space="preserve"> </w:t>
      </w:r>
      <w:r w:rsidRPr="00AF4077">
        <w:rPr>
          <w:rFonts w:cs="Arial"/>
          <w:szCs w:val="22"/>
        </w:rPr>
        <w:t xml:space="preserve">An Agreement State regulating a licensee that falls under cost scenario 1 incurs costs to review its licensee’s compliance </w:t>
      </w:r>
      <w:r w:rsidR="00473A06" w:rsidRPr="00AF4077">
        <w:rPr>
          <w:rFonts w:cs="Arial"/>
          <w:szCs w:val="22"/>
        </w:rPr>
        <w:t xml:space="preserve">and protective assurance </w:t>
      </w:r>
      <w:r w:rsidRPr="00AF4077">
        <w:rPr>
          <w:rFonts w:cs="Arial"/>
          <w:szCs w:val="22"/>
        </w:rPr>
        <w:t xml:space="preserve">period analyses and LLRW acceptance plan.  These reviews would include:  1) </w:t>
      </w:r>
      <w:r w:rsidR="0052724B" w:rsidRPr="00AF4077">
        <w:rPr>
          <w:rFonts w:cs="Arial"/>
          <w:szCs w:val="22"/>
        </w:rPr>
        <w:t>a</w:t>
      </w:r>
      <w:r w:rsidRPr="00AF4077">
        <w:rPr>
          <w:rFonts w:cs="Arial"/>
          <w:szCs w:val="22"/>
        </w:rPr>
        <w:t xml:space="preserve"> performance assessment required by the proposed 10 CFR 61.41; 2) an intruder assessment required by the proposed 10 CFR 61.42; </w:t>
      </w:r>
      <w:r w:rsidR="00473A06" w:rsidRPr="00AF4077">
        <w:rPr>
          <w:rFonts w:cs="Arial"/>
          <w:szCs w:val="22"/>
        </w:rPr>
        <w:t xml:space="preserve">3) defense-in-depth analyses required by proposed 10 CFR 61.13(f); </w:t>
      </w:r>
      <w:r w:rsidRPr="00AF4077">
        <w:rPr>
          <w:rFonts w:cs="Arial"/>
          <w:szCs w:val="22"/>
        </w:rPr>
        <w:t xml:space="preserve">and </w:t>
      </w:r>
      <w:r w:rsidR="00473A06" w:rsidRPr="00AF4077">
        <w:rPr>
          <w:rFonts w:cs="Arial"/>
          <w:szCs w:val="22"/>
        </w:rPr>
        <w:t>4</w:t>
      </w:r>
      <w:r w:rsidRPr="00AF4077">
        <w:rPr>
          <w:rFonts w:cs="Arial"/>
          <w:szCs w:val="22"/>
        </w:rPr>
        <w:t xml:space="preserve">) an initial LLRW acceptance plan required by proposed 10 CFR 61.58.  An </w:t>
      </w:r>
      <w:r w:rsidR="007E3CBA" w:rsidRPr="00AF4077">
        <w:rPr>
          <w:rFonts w:cs="Arial"/>
          <w:szCs w:val="22"/>
        </w:rPr>
        <w:t>A</w:t>
      </w:r>
      <w:r w:rsidRPr="00AF4077">
        <w:rPr>
          <w:rFonts w:cs="Arial"/>
          <w:szCs w:val="22"/>
        </w:rPr>
        <w:t xml:space="preserve">greement State would also review updated compliance </w:t>
      </w:r>
      <w:r w:rsidR="00473A06" w:rsidRPr="00AF4077">
        <w:rPr>
          <w:rFonts w:cs="Arial"/>
          <w:szCs w:val="22"/>
        </w:rPr>
        <w:t xml:space="preserve">and protective assurance </w:t>
      </w:r>
      <w:r w:rsidRPr="00AF4077">
        <w:rPr>
          <w:rFonts w:cs="Arial"/>
          <w:szCs w:val="22"/>
        </w:rPr>
        <w:t>period analyses with the application to amend the license for closure.  In addition, the Agreement State also incurs costs to review its licensee’s updated compliance</w:t>
      </w:r>
      <w:r w:rsidR="0052724B" w:rsidRPr="00AF4077">
        <w:rPr>
          <w:rFonts w:cs="Arial"/>
          <w:szCs w:val="22"/>
        </w:rPr>
        <w:t xml:space="preserve"> and protective assurance</w:t>
      </w:r>
      <w:r w:rsidRPr="00AF4077">
        <w:rPr>
          <w:rFonts w:cs="Arial"/>
          <w:szCs w:val="22"/>
        </w:rPr>
        <w:t xml:space="preserve"> period analyses and LLRW acceptance plan, as part of an operating license amendment.  The NRC assumes that two Agreement States follow this scenario.  </w:t>
      </w:r>
    </w:p>
    <w:p w:rsidR="004348AA" w:rsidRPr="00473C7B" w:rsidRDefault="004348AA" w:rsidP="00473C7B">
      <w:pPr>
        <w:pStyle w:val="ListParagraph"/>
        <w:ind w:left="1080"/>
        <w:rPr>
          <w:rFonts w:cs="Arial"/>
          <w:szCs w:val="22"/>
        </w:rPr>
      </w:pPr>
    </w:p>
    <w:p w:rsidR="008605AF" w:rsidRDefault="004348AA" w:rsidP="00AF4077">
      <w:pPr>
        <w:pStyle w:val="ListParagraph"/>
        <w:numPr>
          <w:ilvl w:val="0"/>
          <w:numId w:val="54"/>
        </w:numPr>
        <w:ind w:left="1080"/>
        <w:rPr>
          <w:rFonts w:cs="Arial"/>
          <w:szCs w:val="22"/>
        </w:rPr>
      </w:pPr>
      <w:r w:rsidRPr="00473C7B">
        <w:rPr>
          <w:rFonts w:cs="Arial"/>
          <w:szCs w:val="22"/>
        </w:rPr>
        <w:t>An Agreement State regulating a licensee that falls under cost scenario 2 also incurs costs to review, in addition to its licensee’s compliance</w:t>
      </w:r>
      <w:r w:rsidR="00473A06">
        <w:rPr>
          <w:rFonts w:cs="Arial"/>
          <w:szCs w:val="22"/>
        </w:rPr>
        <w:t xml:space="preserve"> and protective assurance</w:t>
      </w:r>
      <w:r w:rsidRPr="00473C7B">
        <w:rPr>
          <w:rFonts w:cs="Arial"/>
          <w:szCs w:val="22"/>
        </w:rPr>
        <w:t xml:space="preserve"> period analyses and LLRW acceptance plan:  1) the performance period analyses as required by the proposed 10 CFR 61.13(e)</w:t>
      </w:r>
      <w:r w:rsidR="00473A06">
        <w:rPr>
          <w:rFonts w:cs="Arial"/>
          <w:szCs w:val="22"/>
        </w:rPr>
        <w:t>;</w:t>
      </w:r>
      <w:r w:rsidR="0052724B">
        <w:rPr>
          <w:rFonts w:cs="Arial"/>
          <w:szCs w:val="22"/>
        </w:rPr>
        <w:t xml:space="preserve"> </w:t>
      </w:r>
      <w:r w:rsidRPr="00473C7B">
        <w:rPr>
          <w:rFonts w:cs="Arial"/>
          <w:szCs w:val="22"/>
        </w:rPr>
        <w:t xml:space="preserve">2) </w:t>
      </w:r>
      <w:r w:rsidR="0052724B">
        <w:rPr>
          <w:rFonts w:cs="Arial"/>
          <w:szCs w:val="22"/>
        </w:rPr>
        <w:t xml:space="preserve">the </w:t>
      </w:r>
      <w:r w:rsidR="00214BAF">
        <w:rPr>
          <w:rFonts w:cs="Arial"/>
          <w:szCs w:val="22"/>
        </w:rPr>
        <w:t xml:space="preserve">performance period defense-in-depth analyses </w:t>
      </w:r>
      <w:r w:rsidR="00214BAF" w:rsidRPr="00473C7B">
        <w:rPr>
          <w:rFonts w:cs="Arial"/>
          <w:szCs w:val="22"/>
        </w:rPr>
        <w:t>required by proposed 10 CFR 61.</w:t>
      </w:r>
      <w:r w:rsidR="00214BAF">
        <w:rPr>
          <w:rFonts w:cs="Arial"/>
          <w:szCs w:val="22"/>
        </w:rPr>
        <w:t xml:space="preserve">13(f); and 3) </w:t>
      </w:r>
      <w:r w:rsidRPr="00473C7B">
        <w:rPr>
          <w:rFonts w:cs="Arial"/>
          <w:szCs w:val="22"/>
        </w:rPr>
        <w:t>the updated performance period analyses as required by proposed 10 CFR 61.28 to be included with the application to amend the license for closure.  In addition, the Agreement State also incurs costs to review its licensee’s updated performance period analyses</w:t>
      </w:r>
      <w:r w:rsidR="0052724B">
        <w:rPr>
          <w:rFonts w:cs="Arial"/>
          <w:szCs w:val="22"/>
        </w:rPr>
        <w:t xml:space="preserve"> (and the other analyses that require updates during license amendment in scenario</w:t>
      </w:r>
      <w:r w:rsidR="002342DB">
        <w:rPr>
          <w:rFonts w:cs="Arial"/>
          <w:szCs w:val="22"/>
        </w:rPr>
        <w:t> </w:t>
      </w:r>
      <w:r w:rsidR="0052724B">
        <w:rPr>
          <w:rFonts w:cs="Arial"/>
          <w:szCs w:val="22"/>
        </w:rPr>
        <w:t>1)</w:t>
      </w:r>
      <w:r w:rsidRPr="00473C7B">
        <w:rPr>
          <w:rFonts w:cs="Arial"/>
          <w:szCs w:val="22"/>
        </w:rPr>
        <w:t xml:space="preserve"> and LLRW acceptance plan, as part of an operating license amendment.  The NRC assumes that two Agreement States follow this scenario.  </w:t>
      </w:r>
    </w:p>
    <w:p w:rsidR="008605AF" w:rsidRDefault="008605AF" w:rsidP="009F2839">
      <w:pPr>
        <w:pStyle w:val="ListParagraph"/>
        <w:ind w:left="1440"/>
        <w:rPr>
          <w:rFonts w:cs="Arial"/>
          <w:szCs w:val="22"/>
        </w:rPr>
      </w:pPr>
    </w:p>
    <w:p w:rsidR="00901572" w:rsidRPr="008605AF" w:rsidRDefault="00901572" w:rsidP="00AF4077">
      <w:pPr>
        <w:pStyle w:val="ListParagraph"/>
        <w:numPr>
          <w:ilvl w:val="0"/>
          <w:numId w:val="54"/>
        </w:numPr>
        <w:ind w:left="1080"/>
        <w:rPr>
          <w:rFonts w:cs="Arial"/>
          <w:szCs w:val="22"/>
        </w:rPr>
      </w:pPr>
      <w:r w:rsidRPr="008605AF">
        <w:rPr>
          <w:rFonts w:cs="Arial"/>
          <w:szCs w:val="22"/>
        </w:rPr>
        <w:t>The NRC assumes that the bulk of a licensee’s development and an Agreement State</w:t>
      </w:r>
      <w:r w:rsidR="008605AF">
        <w:rPr>
          <w:rFonts w:cs="Arial"/>
          <w:szCs w:val="22"/>
        </w:rPr>
        <w:t>’</w:t>
      </w:r>
      <w:r w:rsidRPr="008605AF">
        <w:rPr>
          <w:rFonts w:cs="Arial"/>
          <w:szCs w:val="22"/>
        </w:rPr>
        <w:t xml:space="preserve">s review </w:t>
      </w:r>
      <w:r w:rsidR="008605AF" w:rsidRPr="008605AF">
        <w:rPr>
          <w:rFonts w:cs="Arial"/>
          <w:szCs w:val="22"/>
        </w:rPr>
        <w:t xml:space="preserve">costs </w:t>
      </w:r>
      <w:r w:rsidRPr="008605AF">
        <w:rPr>
          <w:rFonts w:cs="Arial"/>
          <w:szCs w:val="22"/>
        </w:rPr>
        <w:t xml:space="preserve">would occur during development of the technical analyses for the compliance period.  </w:t>
      </w:r>
      <w:r w:rsidR="005D76AA">
        <w:rPr>
          <w:rFonts w:cs="Arial"/>
          <w:szCs w:val="22"/>
        </w:rPr>
        <w:t>The scope of the analyses for the protective assurance period is assumed to be similar to the analyses for the compliance period, though the importance of some features, events, and processes may differ between the two periods</w:t>
      </w:r>
      <w:r w:rsidR="008605AF" w:rsidRPr="008605AF">
        <w:rPr>
          <w:rFonts w:cs="Arial"/>
          <w:szCs w:val="22"/>
        </w:rPr>
        <w:t xml:space="preserve">.  As a result, development and review costs for the performance </w:t>
      </w:r>
      <w:r w:rsidR="008605AF" w:rsidRPr="008605AF">
        <w:rPr>
          <w:rFonts w:cs="Arial"/>
          <w:szCs w:val="22"/>
        </w:rPr>
        <w:lastRenderedPageBreak/>
        <w:t>assessments for the protective assurance and performance periods are assumed to be significantly lower th</w:t>
      </w:r>
      <w:r w:rsidR="008605AF">
        <w:rPr>
          <w:rFonts w:cs="Arial"/>
          <w:szCs w:val="22"/>
        </w:rPr>
        <w:t>a</w:t>
      </w:r>
      <w:r w:rsidR="008605AF" w:rsidRPr="008605AF">
        <w:rPr>
          <w:rFonts w:cs="Arial"/>
          <w:szCs w:val="22"/>
        </w:rPr>
        <w:t>n those costs related to the compliance period.</w:t>
      </w:r>
    </w:p>
    <w:p w:rsidR="004348AA" w:rsidRPr="00473C7B" w:rsidRDefault="004348AA" w:rsidP="00473C7B">
      <w:pPr>
        <w:pStyle w:val="ListParagraph"/>
        <w:ind w:left="1440" w:hanging="720"/>
        <w:rPr>
          <w:rFonts w:cs="Arial"/>
          <w:szCs w:val="22"/>
        </w:rPr>
      </w:pPr>
    </w:p>
    <w:p w:rsidR="00A16D7F" w:rsidRPr="00A16D7F" w:rsidRDefault="00A16D7F" w:rsidP="00AF4077">
      <w:pPr>
        <w:numPr>
          <w:ilvl w:val="0"/>
          <w:numId w:val="54"/>
        </w:numPr>
        <w:ind w:left="1080"/>
        <w:rPr>
          <w:rFonts w:cs="Arial"/>
          <w:szCs w:val="22"/>
        </w:rPr>
      </w:pPr>
      <w:r w:rsidRPr="00A16D7F">
        <w:rPr>
          <w:rFonts w:cs="Arial"/>
          <w:szCs w:val="22"/>
        </w:rPr>
        <w:t>The NRC assumes that a licensee expends twice the estimated effort developing all analyses provided below than the Agreement State expends reviewing the licensee’s analyses.  This estimated cost associated with developing analyses includes all computer modeling and programming.</w:t>
      </w:r>
    </w:p>
    <w:p w:rsidR="00A16D7F" w:rsidRPr="00A16D7F" w:rsidRDefault="00A16D7F" w:rsidP="00A16D7F">
      <w:pPr>
        <w:ind w:left="1080" w:hanging="360"/>
        <w:rPr>
          <w:rFonts w:cs="Arial"/>
          <w:szCs w:val="22"/>
        </w:rPr>
      </w:pPr>
    </w:p>
    <w:p w:rsidR="00A16D7F" w:rsidRPr="00A16D7F" w:rsidRDefault="00A16D7F" w:rsidP="00AF4077">
      <w:pPr>
        <w:numPr>
          <w:ilvl w:val="0"/>
          <w:numId w:val="54"/>
        </w:numPr>
        <w:ind w:left="1080"/>
        <w:rPr>
          <w:rFonts w:cs="Arial"/>
          <w:szCs w:val="22"/>
        </w:rPr>
      </w:pPr>
      <w:r w:rsidRPr="00A16D7F">
        <w:rPr>
          <w:rFonts w:cs="Arial"/>
          <w:szCs w:val="22"/>
        </w:rPr>
        <w:t xml:space="preserve">The NRC assumes that a licensee incurs </w:t>
      </w:r>
      <w:r w:rsidR="00AC750B">
        <w:rPr>
          <w:rFonts w:cs="Arial"/>
          <w:szCs w:val="22"/>
        </w:rPr>
        <w:t>8,880</w:t>
      </w:r>
      <w:r w:rsidRPr="00A16D7F">
        <w:rPr>
          <w:rFonts w:cs="Arial"/>
          <w:szCs w:val="22"/>
        </w:rPr>
        <w:t xml:space="preserve"> hours (five FTE) developing the compliance and protective assurance period analyses and </w:t>
      </w:r>
      <w:r w:rsidR="00AC750B">
        <w:rPr>
          <w:rFonts w:cs="Arial"/>
          <w:szCs w:val="22"/>
        </w:rPr>
        <w:t>1,776</w:t>
      </w:r>
      <w:r w:rsidRPr="00A16D7F">
        <w:rPr>
          <w:rFonts w:cs="Arial"/>
          <w:szCs w:val="22"/>
        </w:rPr>
        <w:t xml:space="preserve"> hours (one FTE) developing the performance period analyses.</w:t>
      </w:r>
    </w:p>
    <w:p w:rsidR="00A16D7F" w:rsidRPr="00A16D7F" w:rsidRDefault="00A16D7F" w:rsidP="00A16D7F">
      <w:pPr>
        <w:ind w:left="1080" w:hanging="360"/>
        <w:rPr>
          <w:rFonts w:cs="Arial"/>
          <w:szCs w:val="22"/>
        </w:rPr>
      </w:pPr>
    </w:p>
    <w:p w:rsidR="00A16D7F" w:rsidRPr="00A16D7F" w:rsidRDefault="00A16D7F" w:rsidP="00AF4077">
      <w:pPr>
        <w:numPr>
          <w:ilvl w:val="0"/>
          <w:numId w:val="54"/>
        </w:numPr>
        <w:ind w:left="1080"/>
        <w:rPr>
          <w:rFonts w:cs="Arial"/>
          <w:szCs w:val="22"/>
        </w:rPr>
      </w:pPr>
      <w:r w:rsidRPr="00A16D7F">
        <w:rPr>
          <w:rFonts w:cs="Arial"/>
          <w:szCs w:val="22"/>
        </w:rPr>
        <w:t xml:space="preserve">The NRC assumes that a licensee, when renewing their license </w:t>
      </w:r>
      <w:r w:rsidR="008605AF">
        <w:rPr>
          <w:rFonts w:cs="Arial"/>
          <w:szCs w:val="22"/>
        </w:rPr>
        <w:t xml:space="preserve">or submitting their closure application, will </w:t>
      </w:r>
      <w:r w:rsidRPr="00A16D7F">
        <w:rPr>
          <w:rFonts w:cs="Arial"/>
          <w:szCs w:val="22"/>
        </w:rPr>
        <w:t xml:space="preserve">expend </w:t>
      </w:r>
      <w:r w:rsidR="00AC750B">
        <w:rPr>
          <w:rFonts w:cs="Arial"/>
          <w:szCs w:val="22"/>
        </w:rPr>
        <w:t>3,552</w:t>
      </w:r>
      <w:r w:rsidRPr="00A16D7F">
        <w:rPr>
          <w:rFonts w:cs="Arial"/>
          <w:szCs w:val="22"/>
        </w:rPr>
        <w:t xml:space="preserve"> hours (two FTE) developing the updated compliance and protective assurance period analyses and </w:t>
      </w:r>
      <w:r w:rsidR="00AC750B">
        <w:rPr>
          <w:rFonts w:cs="Arial"/>
          <w:szCs w:val="22"/>
        </w:rPr>
        <w:t>888</w:t>
      </w:r>
      <w:r w:rsidRPr="00A16D7F">
        <w:rPr>
          <w:rFonts w:cs="Arial"/>
          <w:szCs w:val="22"/>
        </w:rPr>
        <w:t xml:space="preserve"> hours (</w:t>
      </w:r>
      <w:r w:rsidR="009F2839">
        <w:rPr>
          <w:rFonts w:cs="Arial"/>
          <w:szCs w:val="22"/>
        </w:rPr>
        <w:t>0.5</w:t>
      </w:r>
      <w:r w:rsidRPr="00A16D7F">
        <w:rPr>
          <w:rFonts w:cs="Arial"/>
          <w:szCs w:val="22"/>
        </w:rPr>
        <w:t> FTE) developing the updated performance period analyses.</w:t>
      </w:r>
    </w:p>
    <w:p w:rsidR="00A16D7F" w:rsidRPr="00A16D7F" w:rsidRDefault="00A16D7F" w:rsidP="00A16D7F">
      <w:pPr>
        <w:ind w:left="1080" w:hanging="360"/>
        <w:rPr>
          <w:rFonts w:cs="Arial"/>
          <w:szCs w:val="22"/>
        </w:rPr>
      </w:pPr>
    </w:p>
    <w:p w:rsidR="00A16D7F" w:rsidRPr="00A16D7F" w:rsidRDefault="00A16D7F" w:rsidP="00AF4077">
      <w:pPr>
        <w:numPr>
          <w:ilvl w:val="0"/>
          <w:numId w:val="54"/>
        </w:numPr>
        <w:ind w:left="1080"/>
        <w:rPr>
          <w:rFonts w:cs="Arial"/>
          <w:szCs w:val="22"/>
        </w:rPr>
      </w:pPr>
      <w:r w:rsidRPr="00A16D7F">
        <w:rPr>
          <w:rFonts w:cs="Arial"/>
          <w:szCs w:val="22"/>
        </w:rPr>
        <w:t>The NRC assumes that a licensee expends 1,776 hours (one FTE) developing the initial LLRW acceptance plan.</w:t>
      </w:r>
    </w:p>
    <w:p w:rsidR="00A16D7F" w:rsidRPr="00A16D7F" w:rsidRDefault="00A16D7F" w:rsidP="00AF4077">
      <w:pPr>
        <w:ind w:left="1080" w:hanging="360"/>
        <w:rPr>
          <w:rFonts w:cs="Arial"/>
          <w:szCs w:val="22"/>
        </w:rPr>
      </w:pPr>
    </w:p>
    <w:p w:rsidR="00A16D7F" w:rsidRPr="00A16D7F" w:rsidRDefault="00A16D7F" w:rsidP="00AF4077">
      <w:pPr>
        <w:numPr>
          <w:ilvl w:val="0"/>
          <w:numId w:val="54"/>
        </w:numPr>
        <w:ind w:left="1080"/>
        <w:rPr>
          <w:rFonts w:cs="Arial"/>
          <w:szCs w:val="22"/>
        </w:rPr>
      </w:pPr>
      <w:r w:rsidRPr="00A16D7F">
        <w:rPr>
          <w:rFonts w:cs="Arial"/>
          <w:szCs w:val="22"/>
        </w:rPr>
        <w:t xml:space="preserve">The NRC assumes that a licensee when renewing their license incurs 888 hours (0.5 FTE) developing the updated LLRW acceptance plan. </w:t>
      </w:r>
    </w:p>
    <w:p w:rsidR="00A16D7F" w:rsidRPr="00A16D7F" w:rsidRDefault="00A16D7F" w:rsidP="00AF4077">
      <w:pPr>
        <w:ind w:left="1080"/>
        <w:rPr>
          <w:rFonts w:cs="Arial"/>
          <w:szCs w:val="22"/>
        </w:rPr>
      </w:pPr>
    </w:p>
    <w:p w:rsidR="00A16D7F" w:rsidRPr="00A16D7F" w:rsidRDefault="00A16D7F" w:rsidP="00AF4077">
      <w:pPr>
        <w:numPr>
          <w:ilvl w:val="0"/>
          <w:numId w:val="54"/>
        </w:numPr>
        <w:ind w:left="1080"/>
        <w:rPr>
          <w:rFonts w:cs="Arial"/>
          <w:szCs w:val="22"/>
        </w:rPr>
      </w:pPr>
      <w:r w:rsidRPr="00A16D7F">
        <w:rPr>
          <w:rFonts w:cs="Arial"/>
          <w:szCs w:val="22"/>
        </w:rPr>
        <w:t>The NRC assumes that a licensee incurs 40 hours annually reviewing LLRW acceptance plan.</w:t>
      </w:r>
    </w:p>
    <w:p w:rsidR="00A16D7F" w:rsidRPr="00A16D7F" w:rsidRDefault="00A16D7F" w:rsidP="00AF4077">
      <w:pPr>
        <w:ind w:left="1080"/>
        <w:rPr>
          <w:rFonts w:eastAsiaTheme="majorEastAsia" w:cs="Arial"/>
          <w:b/>
          <w:bCs/>
          <w:szCs w:val="22"/>
        </w:rPr>
      </w:pPr>
    </w:p>
    <w:p w:rsidR="004348AA" w:rsidRPr="00CA01E8" w:rsidRDefault="005E15A7" w:rsidP="00AF4077">
      <w:pPr>
        <w:pStyle w:val="ListParagraph"/>
        <w:numPr>
          <w:ilvl w:val="0"/>
          <w:numId w:val="54"/>
        </w:numPr>
        <w:ind w:left="1080"/>
        <w:rPr>
          <w:rFonts w:cs="Arial"/>
          <w:szCs w:val="22"/>
        </w:rPr>
      </w:pPr>
      <w:r>
        <w:rPr>
          <w:rFonts w:cs="Arial"/>
          <w:szCs w:val="22"/>
        </w:rPr>
        <w:t>T</w:t>
      </w:r>
      <w:r w:rsidR="004348AA" w:rsidRPr="00CA01E8">
        <w:rPr>
          <w:rFonts w:cs="Arial"/>
          <w:szCs w:val="22"/>
        </w:rPr>
        <w:t xml:space="preserve">he NRC assumes that the estimated effort for an Agreement State to review a licensee’s compliance </w:t>
      </w:r>
      <w:r w:rsidR="00347C94" w:rsidRPr="00CA01E8">
        <w:rPr>
          <w:rFonts w:cs="Arial"/>
          <w:szCs w:val="22"/>
        </w:rPr>
        <w:t xml:space="preserve">and protective assurance </w:t>
      </w:r>
      <w:r w:rsidR="004348AA" w:rsidRPr="00CA01E8">
        <w:rPr>
          <w:rFonts w:cs="Arial"/>
          <w:szCs w:val="22"/>
        </w:rPr>
        <w:t xml:space="preserve">period </w:t>
      </w:r>
      <w:r w:rsidR="00375FE9" w:rsidRPr="00CA01E8">
        <w:rPr>
          <w:rFonts w:cs="Arial"/>
          <w:szCs w:val="22"/>
        </w:rPr>
        <w:t xml:space="preserve">analyses </w:t>
      </w:r>
      <w:r w:rsidR="004348AA" w:rsidRPr="00CA01E8">
        <w:rPr>
          <w:rFonts w:cs="Arial"/>
          <w:szCs w:val="22"/>
        </w:rPr>
        <w:t xml:space="preserve">is </w:t>
      </w:r>
      <w:r w:rsidR="00AC750B">
        <w:rPr>
          <w:rFonts w:cs="Arial"/>
          <w:szCs w:val="22"/>
        </w:rPr>
        <w:t>4,440</w:t>
      </w:r>
      <w:r w:rsidR="004348AA" w:rsidRPr="00CA01E8">
        <w:rPr>
          <w:rFonts w:cs="Arial"/>
          <w:szCs w:val="22"/>
        </w:rPr>
        <w:t xml:space="preserve"> hours</w:t>
      </w:r>
      <w:r w:rsidR="007E52F0" w:rsidRPr="00CA01E8">
        <w:rPr>
          <w:rFonts w:cs="Arial"/>
          <w:szCs w:val="22"/>
        </w:rPr>
        <w:t xml:space="preserve"> (</w:t>
      </w:r>
      <w:r>
        <w:rPr>
          <w:rFonts w:cs="Arial"/>
          <w:szCs w:val="22"/>
        </w:rPr>
        <w:t>2.5</w:t>
      </w:r>
      <w:r w:rsidR="007E52F0" w:rsidRPr="00CA01E8">
        <w:rPr>
          <w:rFonts w:cs="Arial"/>
          <w:szCs w:val="22"/>
        </w:rPr>
        <w:t> FTE)</w:t>
      </w:r>
      <w:r w:rsidR="004348AA" w:rsidRPr="00CA01E8">
        <w:rPr>
          <w:rFonts w:cs="Arial"/>
          <w:szCs w:val="22"/>
        </w:rPr>
        <w:t xml:space="preserve"> and the estimated effort for an Agreement State to review the licensee’s performance period </w:t>
      </w:r>
      <w:r w:rsidR="00375FE9" w:rsidRPr="00CA01E8">
        <w:rPr>
          <w:rFonts w:cs="Arial"/>
          <w:szCs w:val="22"/>
        </w:rPr>
        <w:t xml:space="preserve">analyses </w:t>
      </w:r>
      <w:r w:rsidR="004348AA" w:rsidRPr="00CA01E8">
        <w:rPr>
          <w:rFonts w:cs="Arial"/>
          <w:szCs w:val="22"/>
        </w:rPr>
        <w:t xml:space="preserve">is </w:t>
      </w:r>
      <w:r w:rsidR="00AC750B">
        <w:rPr>
          <w:rFonts w:cs="Arial"/>
          <w:szCs w:val="22"/>
        </w:rPr>
        <w:t>888</w:t>
      </w:r>
      <w:r w:rsidR="004348AA" w:rsidRPr="00CA01E8">
        <w:rPr>
          <w:rFonts w:cs="Arial"/>
          <w:szCs w:val="22"/>
        </w:rPr>
        <w:t xml:space="preserve"> hours</w:t>
      </w:r>
      <w:r w:rsidR="007E52F0" w:rsidRPr="00CA01E8">
        <w:rPr>
          <w:rFonts w:cs="Arial"/>
          <w:szCs w:val="22"/>
        </w:rPr>
        <w:t xml:space="preserve"> (</w:t>
      </w:r>
      <w:r>
        <w:rPr>
          <w:rFonts w:cs="Arial"/>
          <w:szCs w:val="22"/>
        </w:rPr>
        <w:t>0.5</w:t>
      </w:r>
      <w:r w:rsidR="007E52F0" w:rsidRPr="00CA01E8">
        <w:rPr>
          <w:rFonts w:cs="Arial"/>
          <w:szCs w:val="22"/>
        </w:rPr>
        <w:t xml:space="preserve"> FTE)</w:t>
      </w:r>
      <w:r w:rsidR="004348AA" w:rsidRPr="00CA01E8">
        <w:rPr>
          <w:rFonts w:cs="Arial"/>
          <w:szCs w:val="22"/>
        </w:rPr>
        <w:t>.</w:t>
      </w:r>
    </w:p>
    <w:p w:rsidR="007A5AE1" w:rsidRPr="00473C7B" w:rsidRDefault="007A5AE1" w:rsidP="00AF4077">
      <w:pPr>
        <w:pStyle w:val="ListParagraph"/>
        <w:ind w:left="1080"/>
        <w:rPr>
          <w:rFonts w:cs="Arial"/>
          <w:szCs w:val="22"/>
        </w:rPr>
      </w:pPr>
    </w:p>
    <w:p w:rsidR="004348AA" w:rsidRPr="00CA01E8" w:rsidRDefault="005E15A7" w:rsidP="00AF4077">
      <w:pPr>
        <w:pStyle w:val="ListParagraph"/>
        <w:numPr>
          <w:ilvl w:val="0"/>
          <w:numId w:val="54"/>
        </w:numPr>
        <w:ind w:left="1080"/>
        <w:rPr>
          <w:rFonts w:cs="Arial"/>
          <w:szCs w:val="22"/>
        </w:rPr>
      </w:pPr>
      <w:r>
        <w:rPr>
          <w:rFonts w:cs="Arial"/>
          <w:szCs w:val="22"/>
        </w:rPr>
        <w:t>T</w:t>
      </w:r>
      <w:r w:rsidR="004348AA" w:rsidRPr="00CA01E8">
        <w:rPr>
          <w:rFonts w:cs="Arial"/>
          <w:szCs w:val="22"/>
        </w:rPr>
        <w:t xml:space="preserve">he NRC assumes that the estimated effort for an Agreement State to review a licensee’s updated </w:t>
      </w:r>
      <w:r w:rsidR="00375FE9" w:rsidRPr="00CA01E8">
        <w:rPr>
          <w:rFonts w:cs="Arial"/>
          <w:szCs w:val="22"/>
        </w:rPr>
        <w:t xml:space="preserve">compliance </w:t>
      </w:r>
      <w:r>
        <w:rPr>
          <w:rFonts w:cs="Arial"/>
          <w:szCs w:val="22"/>
        </w:rPr>
        <w:t xml:space="preserve">and protective assurance </w:t>
      </w:r>
      <w:r w:rsidR="00375FE9" w:rsidRPr="00CA01E8">
        <w:rPr>
          <w:rFonts w:cs="Arial"/>
          <w:szCs w:val="22"/>
        </w:rPr>
        <w:t xml:space="preserve">period analyses </w:t>
      </w:r>
      <w:r w:rsidR="004348AA" w:rsidRPr="00CA01E8">
        <w:rPr>
          <w:rFonts w:cs="Arial"/>
          <w:szCs w:val="22"/>
        </w:rPr>
        <w:t xml:space="preserve">is </w:t>
      </w:r>
      <w:r w:rsidR="00AC750B">
        <w:rPr>
          <w:rFonts w:cs="Arial"/>
          <w:szCs w:val="22"/>
        </w:rPr>
        <w:t>1,776</w:t>
      </w:r>
      <w:r w:rsidR="0087508D">
        <w:rPr>
          <w:rFonts w:cs="Arial"/>
          <w:szCs w:val="22"/>
        </w:rPr>
        <w:t xml:space="preserve"> </w:t>
      </w:r>
      <w:r w:rsidR="004348AA" w:rsidRPr="00CA01E8">
        <w:rPr>
          <w:rFonts w:cs="Arial"/>
          <w:szCs w:val="22"/>
        </w:rPr>
        <w:t xml:space="preserve">hours </w:t>
      </w:r>
      <w:r w:rsidR="007E52F0" w:rsidRPr="00CA01E8">
        <w:rPr>
          <w:rFonts w:cs="Arial"/>
          <w:szCs w:val="22"/>
        </w:rPr>
        <w:t>(</w:t>
      </w:r>
      <w:r>
        <w:rPr>
          <w:rFonts w:cs="Arial"/>
          <w:szCs w:val="22"/>
        </w:rPr>
        <w:t>1</w:t>
      </w:r>
      <w:r w:rsidR="007E52F0" w:rsidRPr="00CA01E8">
        <w:rPr>
          <w:rFonts w:cs="Arial"/>
          <w:szCs w:val="22"/>
        </w:rPr>
        <w:t xml:space="preserve"> FTE) </w:t>
      </w:r>
      <w:r w:rsidR="004348AA" w:rsidRPr="00CA01E8">
        <w:rPr>
          <w:rFonts w:cs="Arial"/>
          <w:szCs w:val="22"/>
        </w:rPr>
        <w:t>and the estimated effort for an Agreement State to review the</w:t>
      </w:r>
      <w:r w:rsidR="00901998" w:rsidRPr="00CA01E8">
        <w:rPr>
          <w:rFonts w:cs="Arial"/>
          <w:szCs w:val="22"/>
        </w:rPr>
        <w:t xml:space="preserve"> </w:t>
      </w:r>
      <w:r w:rsidR="004348AA" w:rsidRPr="00CA01E8">
        <w:rPr>
          <w:rFonts w:cs="Arial"/>
          <w:szCs w:val="22"/>
        </w:rPr>
        <w:t xml:space="preserve">licensee’s updated performance period </w:t>
      </w:r>
      <w:r w:rsidR="00375FE9" w:rsidRPr="00CA01E8">
        <w:rPr>
          <w:rFonts w:cs="Arial"/>
          <w:szCs w:val="22"/>
        </w:rPr>
        <w:t xml:space="preserve">analyses </w:t>
      </w:r>
      <w:r w:rsidR="004348AA" w:rsidRPr="00CA01E8">
        <w:rPr>
          <w:rFonts w:cs="Arial"/>
          <w:szCs w:val="22"/>
        </w:rPr>
        <w:t xml:space="preserve">is </w:t>
      </w:r>
      <w:r w:rsidR="00AC750B">
        <w:rPr>
          <w:rFonts w:cs="Arial"/>
          <w:szCs w:val="22"/>
        </w:rPr>
        <w:t>444</w:t>
      </w:r>
      <w:r w:rsidR="004348AA" w:rsidRPr="00CA01E8">
        <w:rPr>
          <w:rFonts w:cs="Arial"/>
          <w:szCs w:val="22"/>
        </w:rPr>
        <w:t xml:space="preserve"> hours</w:t>
      </w:r>
      <w:r w:rsidR="007E52F0" w:rsidRPr="00CA01E8">
        <w:rPr>
          <w:rFonts w:cs="Arial"/>
          <w:szCs w:val="22"/>
        </w:rPr>
        <w:t xml:space="preserve"> (</w:t>
      </w:r>
      <w:r>
        <w:rPr>
          <w:rFonts w:cs="Arial"/>
          <w:szCs w:val="22"/>
        </w:rPr>
        <w:t>0.</w:t>
      </w:r>
      <w:r w:rsidR="009F2839">
        <w:rPr>
          <w:rFonts w:cs="Arial"/>
          <w:szCs w:val="22"/>
        </w:rPr>
        <w:t>2</w:t>
      </w:r>
      <w:r>
        <w:rPr>
          <w:rFonts w:cs="Arial"/>
          <w:szCs w:val="22"/>
        </w:rPr>
        <w:t>5</w:t>
      </w:r>
      <w:r w:rsidR="007E52F0" w:rsidRPr="00CA01E8">
        <w:rPr>
          <w:rFonts w:cs="Arial"/>
          <w:szCs w:val="22"/>
        </w:rPr>
        <w:t xml:space="preserve"> FTE)</w:t>
      </w:r>
      <w:r w:rsidR="004348AA" w:rsidRPr="00CA01E8">
        <w:rPr>
          <w:rFonts w:cs="Arial"/>
          <w:szCs w:val="22"/>
        </w:rPr>
        <w:t>.</w:t>
      </w:r>
    </w:p>
    <w:p w:rsidR="004348AA" w:rsidRPr="00473C7B" w:rsidRDefault="004348AA" w:rsidP="00473C7B">
      <w:pPr>
        <w:pStyle w:val="ListParagraph"/>
        <w:ind w:left="1080" w:hanging="360"/>
        <w:rPr>
          <w:rFonts w:cs="Arial"/>
          <w:szCs w:val="22"/>
        </w:rPr>
      </w:pPr>
    </w:p>
    <w:p w:rsidR="004348AA" w:rsidRPr="00CA01E8" w:rsidRDefault="00C60F06" w:rsidP="00AF4077">
      <w:pPr>
        <w:pStyle w:val="ListParagraph"/>
        <w:numPr>
          <w:ilvl w:val="0"/>
          <w:numId w:val="54"/>
        </w:numPr>
        <w:ind w:left="1080"/>
        <w:rPr>
          <w:rFonts w:cs="Arial"/>
          <w:szCs w:val="22"/>
        </w:rPr>
      </w:pPr>
      <w:r w:rsidRPr="00CA01E8">
        <w:rPr>
          <w:rFonts w:cs="Arial"/>
          <w:szCs w:val="22"/>
        </w:rPr>
        <w:t>T</w:t>
      </w:r>
      <w:r w:rsidR="004348AA" w:rsidRPr="00CA01E8">
        <w:rPr>
          <w:rFonts w:cs="Arial"/>
          <w:szCs w:val="22"/>
        </w:rPr>
        <w:t xml:space="preserve">he NRC assumes that the estimated effort for an Agreement State to review a licensee’s LLRW acceptance plan is 888 hours </w:t>
      </w:r>
      <w:r w:rsidR="007E52F0" w:rsidRPr="00CA01E8">
        <w:rPr>
          <w:rFonts w:cs="Arial"/>
          <w:szCs w:val="22"/>
        </w:rPr>
        <w:t xml:space="preserve">(0.5 FTE) </w:t>
      </w:r>
      <w:r w:rsidR="004348AA" w:rsidRPr="00CA01E8">
        <w:rPr>
          <w:rFonts w:cs="Arial"/>
          <w:szCs w:val="22"/>
        </w:rPr>
        <w:t xml:space="preserve">and the estimated effort for an Agreement State to review a licensee’s </w:t>
      </w:r>
      <w:r w:rsidR="005E15A7">
        <w:rPr>
          <w:rFonts w:cs="Arial"/>
          <w:szCs w:val="22"/>
        </w:rPr>
        <w:t xml:space="preserve">license renewal </w:t>
      </w:r>
      <w:r w:rsidR="004348AA" w:rsidRPr="00CA01E8">
        <w:rPr>
          <w:rFonts w:cs="Arial"/>
          <w:szCs w:val="22"/>
        </w:rPr>
        <w:t xml:space="preserve">updated LLRW acceptance plan is </w:t>
      </w:r>
      <w:r w:rsidR="00AC750B">
        <w:rPr>
          <w:rFonts w:cs="Arial"/>
          <w:szCs w:val="22"/>
        </w:rPr>
        <w:t xml:space="preserve"> 444</w:t>
      </w:r>
      <w:r w:rsidR="004348AA" w:rsidRPr="00CA01E8">
        <w:rPr>
          <w:rFonts w:cs="Arial"/>
          <w:szCs w:val="22"/>
        </w:rPr>
        <w:t xml:space="preserve"> hours</w:t>
      </w:r>
      <w:r w:rsidR="007E52F0" w:rsidRPr="00CA01E8">
        <w:rPr>
          <w:rFonts w:cs="Arial"/>
          <w:szCs w:val="22"/>
        </w:rPr>
        <w:t xml:space="preserve"> (0.</w:t>
      </w:r>
      <w:r w:rsidR="005E15A7">
        <w:rPr>
          <w:rFonts w:cs="Arial"/>
          <w:szCs w:val="22"/>
        </w:rPr>
        <w:t>25</w:t>
      </w:r>
      <w:r w:rsidR="007E52F0" w:rsidRPr="00CA01E8">
        <w:rPr>
          <w:rFonts w:cs="Arial"/>
          <w:szCs w:val="22"/>
        </w:rPr>
        <w:t> FTE)</w:t>
      </w:r>
      <w:r w:rsidR="004348AA" w:rsidRPr="00CA01E8">
        <w:rPr>
          <w:rFonts w:cs="Arial"/>
          <w:szCs w:val="22"/>
        </w:rPr>
        <w:t>.</w:t>
      </w:r>
    </w:p>
    <w:p w:rsidR="004348AA" w:rsidRPr="00473C7B" w:rsidRDefault="004348AA" w:rsidP="00473C7B">
      <w:pPr>
        <w:pStyle w:val="ListParagraph"/>
        <w:ind w:left="1080" w:hanging="360"/>
        <w:rPr>
          <w:rFonts w:cs="Arial"/>
          <w:szCs w:val="22"/>
        </w:rPr>
      </w:pPr>
    </w:p>
    <w:p w:rsidR="009300E0" w:rsidRPr="00473C7B" w:rsidRDefault="00AD3166" w:rsidP="006B2D47">
      <w:pPr>
        <w:pStyle w:val="Heading1"/>
      </w:pPr>
      <w:bookmarkStart w:id="11" w:name="_Toc399760748"/>
      <w:r w:rsidRPr="00473C7B">
        <w:t>3.</w:t>
      </w:r>
      <w:r w:rsidR="004348AA" w:rsidRPr="00473C7B">
        <w:t>3</w:t>
      </w:r>
      <w:r w:rsidR="00AC3A91">
        <w:t xml:space="preserve"> </w:t>
      </w:r>
      <w:r w:rsidR="009300E0" w:rsidRPr="00473C7B">
        <w:t>Affected Entities</w:t>
      </w:r>
      <w:bookmarkEnd w:id="11"/>
    </w:p>
    <w:p w:rsidR="009300E0" w:rsidRPr="00473C7B" w:rsidRDefault="009300E0" w:rsidP="00473C7B">
      <w:pPr>
        <w:rPr>
          <w:rFonts w:cs="Arial"/>
          <w:b/>
          <w:szCs w:val="22"/>
        </w:rPr>
      </w:pPr>
    </w:p>
    <w:p w:rsidR="009300E0" w:rsidRPr="00473C7B" w:rsidRDefault="00C017D9" w:rsidP="00473C7B">
      <w:pPr>
        <w:rPr>
          <w:rFonts w:cs="Arial"/>
          <w:szCs w:val="22"/>
        </w:rPr>
      </w:pPr>
      <w:r w:rsidRPr="00473C7B">
        <w:rPr>
          <w:rFonts w:cs="Arial"/>
          <w:szCs w:val="22"/>
        </w:rPr>
        <w:t>The affected entities are those entities that could be impacted from any of the alternatives</w:t>
      </w:r>
      <w:r w:rsidR="00375FE9">
        <w:rPr>
          <w:rFonts w:cs="Arial"/>
          <w:szCs w:val="22"/>
        </w:rPr>
        <w:t>.</w:t>
      </w:r>
      <w:r w:rsidR="00EC430F" w:rsidRPr="00473C7B">
        <w:rPr>
          <w:rFonts w:cs="Arial"/>
          <w:szCs w:val="22"/>
        </w:rPr>
        <w:t xml:space="preserve"> </w:t>
      </w:r>
      <w:r w:rsidR="00375FE9">
        <w:rPr>
          <w:rFonts w:cs="Arial"/>
          <w:szCs w:val="22"/>
        </w:rPr>
        <w:t xml:space="preserve"> </w:t>
      </w:r>
      <w:r w:rsidR="001E11B9" w:rsidRPr="00473C7B">
        <w:rPr>
          <w:rFonts w:cs="Arial"/>
          <w:szCs w:val="22"/>
        </w:rPr>
        <w:t xml:space="preserve">Currently, no new </w:t>
      </w:r>
      <w:r w:rsidR="00FA44FA" w:rsidRPr="00473C7B">
        <w:rPr>
          <w:rFonts w:cs="Arial"/>
          <w:szCs w:val="22"/>
        </w:rPr>
        <w:t>LLRW</w:t>
      </w:r>
      <w:r w:rsidR="00644DDA" w:rsidRPr="00473C7B">
        <w:rPr>
          <w:rFonts w:cs="Arial"/>
          <w:szCs w:val="22"/>
        </w:rPr>
        <w:t xml:space="preserve"> disposal facility</w:t>
      </w:r>
      <w:r w:rsidR="00FA44FA" w:rsidRPr="00473C7B">
        <w:rPr>
          <w:rFonts w:cs="Arial"/>
          <w:szCs w:val="22"/>
        </w:rPr>
        <w:t xml:space="preserve"> </w:t>
      </w:r>
      <w:r w:rsidR="00644DDA" w:rsidRPr="00473C7B">
        <w:rPr>
          <w:rFonts w:cs="Arial"/>
          <w:szCs w:val="22"/>
        </w:rPr>
        <w:t>is</w:t>
      </w:r>
      <w:r w:rsidR="001E11B9" w:rsidRPr="00473C7B">
        <w:rPr>
          <w:rFonts w:cs="Arial"/>
          <w:szCs w:val="22"/>
        </w:rPr>
        <w:t xml:space="preserve"> expected </w:t>
      </w:r>
      <w:r w:rsidR="00FA44FA" w:rsidRPr="00473C7B">
        <w:rPr>
          <w:rFonts w:cs="Arial"/>
          <w:szCs w:val="22"/>
        </w:rPr>
        <w:t xml:space="preserve">to be built during the </w:t>
      </w:r>
      <w:r w:rsidR="00375FE9">
        <w:rPr>
          <w:rFonts w:cs="Arial"/>
          <w:szCs w:val="22"/>
        </w:rPr>
        <w:t xml:space="preserve">regulatory </w:t>
      </w:r>
      <w:r w:rsidR="00FA44FA" w:rsidRPr="00473C7B">
        <w:rPr>
          <w:rFonts w:cs="Arial"/>
          <w:szCs w:val="22"/>
        </w:rPr>
        <w:t xml:space="preserve">analysis period.  </w:t>
      </w:r>
      <w:r w:rsidRPr="00473C7B">
        <w:rPr>
          <w:rFonts w:cs="Arial"/>
          <w:szCs w:val="22"/>
        </w:rPr>
        <w:t xml:space="preserve">The affected entities </w:t>
      </w:r>
      <w:r w:rsidR="00EC430F" w:rsidRPr="00473C7B">
        <w:rPr>
          <w:rFonts w:cs="Arial"/>
          <w:szCs w:val="22"/>
        </w:rPr>
        <w:t xml:space="preserve">are </w:t>
      </w:r>
      <w:r w:rsidR="00B03A74" w:rsidRPr="00473C7B">
        <w:rPr>
          <w:rFonts w:cs="Arial"/>
          <w:szCs w:val="22"/>
        </w:rPr>
        <w:t xml:space="preserve">four </w:t>
      </w:r>
      <w:r w:rsidR="00EC430F" w:rsidRPr="00473C7B">
        <w:rPr>
          <w:rFonts w:cs="Arial"/>
          <w:szCs w:val="22"/>
        </w:rPr>
        <w:t xml:space="preserve">licensees </w:t>
      </w:r>
      <w:r w:rsidR="00B03A74" w:rsidRPr="00473C7B">
        <w:rPr>
          <w:rFonts w:cs="Arial"/>
          <w:szCs w:val="22"/>
        </w:rPr>
        <w:t>located in four separate Agreement States</w:t>
      </w:r>
      <w:r w:rsidR="00345CD3" w:rsidRPr="00473C7B">
        <w:rPr>
          <w:rFonts w:cs="Arial"/>
          <w:szCs w:val="22"/>
        </w:rPr>
        <w:t>.</w:t>
      </w:r>
      <w:r w:rsidR="00B03A74" w:rsidRPr="00473C7B">
        <w:rPr>
          <w:rFonts w:cs="Arial"/>
          <w:szCs w:val="22"/>
        </w:rPr>
        <w:t xml:space="preserve"> </w:t>
      </w:r>
      <w:r w:rsidR="00626E98" w:rsidRPr="00473C7B">
        <w:rPr>
          <w:rFonts w:cs="Arial"/>
          <w:szCs w:val="22"/>
        </w:rPr>
        <w:t xml:space="preserve"> </w:t>
      </w:r>
      <w:r w:rsidR="00B03A74" w:rsidRPr="00473C7B">
        <w:rPr>
          <w:rFonts w:cs="Arial"/>
          <w:szCs w:val="22"/>
        </w:rPr>
        <w:t>T</w:t>
      </w:r>
      <w:r w:rsidR="009300E0" w:rsidRPr="00473C7B">
        <w:rPr>
          <w:rFonts w:cs="Arial"/>
          <w:szCs w:val="22"/>
        </w:rPr>
        <w:t xml:space="preserve">he </w:t>
      </w:r>
      <w:r w:rsidR="00BB061E" w:rsidRPr="00473C7B">
        <w:rPr>
          <w:rFonts w:cs="Arial"/>
          <w:szCs w:val="22"/>
        </w:rPr>
        <w:t xml:space="preserve">affected </w:t>
      </w:r>
      <w:r w:rsidR="009300E0" w:rsidRPr="00473C7B">
        <w:rPr>
          <w:rFonts w:cs="Arial"/>
          <w:szCs w:val="22"/>
        </w:rPr>
        <w:t>entities (</w:t>
      </w:r>
      <w:r w:rsidR="00B77F63" w:rsidRPr="00473C7B">
        <w:rPr>
          <w:rFonts w:cs="Arial"/>
          <w:szCs w:val="22"/>
        </w:rPr>
        <w:t xml:space="preserve">Agreement State </w:t>
      </w:r>
      <w:r w:rsidR="009300E0" w:rsidRPr="00473C7B">
        <w:rPr>
          <w:rFonts w:cs="Arial"/>
          <w:szCs w:val="22"/>
        </w:rPr>
        <w:t>licensees</w:t>
      </w:r>
      <w:r w:rsidR="00E835E8" w:rsidRPr="00473C7B">
        <w:rPr>
          <w:rFonts w:cs="Arial"/>
          <w:szCs w:val="22"/>
        </w:rPr>
        <w:t xml:space="preserve"> and Agreement States</w:t>
      </w:r>
      <w:r w:rsidR="009300E0" w:rsidRPr="00473C7B">
        <w:rPr>
          <w:rFonts w:cs="Arial"/>
          <w:szCs w:val="22"/>
        </w:rPr>
        <w:t>)</w:t>
      </w:r>
      <w:r w:rsidR="00B03A74" w:rsidRPr="00473C7B">
        <w:rPr>
          <w:rFonts w:cs="Arial"/>
          <w:szCs w:val="22"/>
        </w:rPr>
        <w:t xml:space="preserve"> are the following:</w:t>
      </w:r>
      <w:r w:rsidR="00170660" w:rsidRPr="00473C7B">
        <w:rPr>
          <w:rFonts w:cs="Arial"/>
          <w:szCs w:val="22"/>
        </w:rPr>
        <w:t xml:space="preserve">  </w:t>
      </w:r>
    </w:p>
    <w:p w:rsidR="009300E0" w:rsidRPr="00473C7B" w:rsidRDefault="009300E0" w:rsidP="00473C7B">
      <w:pPr>
        <w:rPr>
          <w:rFonts w:cs="Arial"/>
          <w:szCs w:val="22"/>
        </w:rPr>
      </w:pPr>
    </w:p>
    <w:p w:rsidR="00DC56DE" w:rsidRPr="00473C7B" w:rsidRDefault="00B03A74" w:rsidP="00537E69">
      <w:pPr>
        <w:pStyle w:val="ListParagraph"/>
        <w:numPr>
          <w:ilvl w:val="0"/>
          <w:numId w:val="3"/>
        </w:numPr>
        <w:ind w:left="810" w:hanging="180"/>
        <w:rPr>
          <w:rFonts w:cs="Arial"/>
          <w:szCs w:val="22"/>
        </w:rPr>
      </w:pPr>
      <w:r w:rsidRPr="00473C7B">
        <w:rPr>
          <w:rFonts w:cs="Arial"/>
          <w:szCs w:val="22"/>
        </w:rPr>
        <w:lastRenderedPageBreak/>
        <w:t>The</w:t>
      </w:r>
      <w:r w:rsidR="005A08FB" w:rsidRPr="00473C7B">
        <w:rPr>
          <w:rFonts w:cs="Arial"/>
          <w:szCs w:val="22"/>
        </w:rPr>
        <w:t xml:space="preserve"> four e</w:t>
      </w:r>
      <w:r w:rsidR="009300E0" w:rsidRPr="00473C7B">
        <w:rPr>
          <w:rFonts w:cs="Arial"/>
          <w:szCs w:val="22"/>
        </w:rPr>
        <w:t xml:space="preserve">xisting </w:t>
      </w:r>
      <w:r w:rsidR="00AD50F1" w:rsidRPr="00473C7B">
        <w:rPr>
          <w:rFonts w:cs="Arial"/>
          <w:szCs w:val="22"/>
        </w:rPr>
        <w:t xml:space="preserve">LLRW disposal </w:t>
      </w:r>
      <w:r w:rsidR="00170660" w:rsidRPr="00473C7B">
        <w:rPr>
          <w:rFonts w:cs="Arial"/>
          <w:szCs w:val="22"/>
        </w:rPr>
        <w:t xml:space="preserve">licensees </w:t>
      </w:r>
      <w:r w:rsidRPr="00473C7B">
        <w:rPr>
          <w:rFonts w:cs="Arial"/>
          <w:szCs w:val="22"/>
        </w:rPr>
        <w:t>are</w:t>
      </w:r>
      <w:r w:rsidR="009300E0" w:rsidRPr="00473C7B">
        <w:rPr>
          <w:rFonts w:cs="Arial"/>
          <w:szCs w:val="22"/>
        </w:rPr>
        <w:t>:</w:t>
      </w:r>
    </w:p>
    <w:p w:rsidR="005A08FB" w:rsidRPr="00473C7B" w:rsidRDefault="005A08FB" w:rsidP="00473C7B">
      <w:pPr>
        <w:pStyle w:val="ListParagraph"/>
        <w:rPr>
          <w:rFonts w:cs="Arial"/>
          <w:szCs w:val="22"/>
        </w:rPr>
      </w:pPr>
    </w:p>
    <w:p w:rsidR="00DC56DE" w:rsidRPr="00473C7B" w:rsidRDefault="002C6F48" w:rsidP="00537E69">
      <w:pPr>
        <w:pStyle w:val="ListParagraph"/>
        <w:numPr>
          <w:ilvl w:val="0"/>
          <w:numId w:val="4"/>
        </w:numPr>
        <w:rPr>
          <w:rFonts w:cs="Arial"/>
          <w:szCs w:val="22"/>
        </w:rPr>
      </w:pPr>
      <w:proofErr w:type="spellStart"/>
      <w:r w:rsidRPr="00473C7B">
        <w:rPr>
          <w:rFonts w:cs="Arial"/>
          <w:szCs w:val="22"/>
        </w:rPr>
        <w:t>Energy</w:t>
      </w:r>
      <w:r w:rsidRPr="00473C7B">
        <w:rPr>
          <w:rFonts w:cs="Arial"/>
          <w:i/>
          <w:szCs w:val="22"/>
        </w:rPr>
        <w:t>Solutions</w:t>
      </w:r>
      <w:proofErr w:type="spellEnd"/>
      <w:r w:rsidR="009300E0" w:rsidRPr="00473C7B">
        <w:rPr>
          <w:rFonts w:cs="Arial"/>
          <w:szCs w:val="22"/>
        </w:rPr>
        <w:t xml:space="preserve"> at </w:t>
      </w:r>
      <w:r w:rsidR="004D2927" w:rsidRPr="00473C7B">
        <w:rPr>
          <w:rFonts w:cs="Arial"/>
          <w:szCs w:val="22"/>
        </w:rPr>
        <w:t>Clive</w:t>
      </w:r>
      <w:r w:rsidR="000F7371" w:rsidRPr="00473C7B">
        <w:rPr>
          <w:rFonts w:cs="Arial"/>
          <w:szCs w:val="22"/>
        </w:rPr>
        <w:t xml:space="preserve">, </w:t>
      </w:r>
      <w:r w:rsidR="003138DE" w:rsidRPr="00473C7B">
        <w:rPr>
          <w:rFonts w:cs="Arial"/>
          <w:szCs w:val="22"/>
        </w:rPr>
        <w:t>U</w:t>
      </w:r>
      <w:r w:rsidR="002342DB">
        <w:rPr>
          <w:rFonts w:cs="Arial"/>
          <w:szCs w:val="22"/>
        </w:rPr>
        <w:t>tah</w:t>
      </w:r>
    </w:p>
    <w:p w:rsidR="00DC56DE" w:rsidRPr="00473C7B" w:rsidRDefault="009300E0" w:rsidP="00537E69">
      <w:pPr>
        <w:pStyle w:val="ListParagraph"/>
        <w:numPr>
          <w:ilvl w:val="0"/>
          <w:numId w:val="4"/>
        </w:numPr>
        <w:rPr>
          <w:rFonts w:cs="Arial"/>
          <w:szCs w:val="22"/>
        </w:rPr>
      </w:pPr>
      <w:r w:rsidRPr="00473C7B">
        <w:rPr>
          <w:rFonts w:cs="Arial"/>
          <w:szCs w:val="22"/>
        </w:rPr>
        <w:t>US Ecology</w:t>
      </w:r>
      <w:r w:rsidR="003138DE" w:rsidRPr="00473C7B">
        <w:rPr>
          <w:rFonts w:cs="Arial"/>
          <w:szCs w:val="22"/>
        </w:rPr>
        <w:t>, Inc.,</w:t>
      </w:r>
      <w:r w:rsidR="002342DB">
        <w:rPr>
          <w:rFonts w:cs="Arial"/>
          <w:szCs w:val="22"/>
        </w:rPr>
        <w:t xml:space="preserve"> at Richmond, Washington</w:t>
      </w:r>
    </w:p>
    <w:p w:rsidR="00DC56DE" w:rsidRPr="00473C7B" w:rsidRDefault="009300E0" w:rsidP="00537E69">
      <w:pPr>
        <w:pStyle w:val="ListParagraph"/>
        <w:numPr>
          <w:ilvl w:val="0"/>
          <w:numId w:val="4"/>
        </w:numPr>
        <w:rPr>
          <w:rFonts w:cs="Arial"/>
          <w:szCs w:val="22"/>
        </w:rPr>
      </w:pPr>
      <w:r w:rsidRPr="00473C7B">
        <w:rPr>
          <w:rFonts w:cs="Arial"/>
          <w:szCs w:val="22"/>
        </w:rPr>
        <w:t>Waste Control Specialist</w:t>
      </w:r>
      <w:r w:rsidR="003138DE" w:rsidRPr="00473C7B">
        <w:rPr>
          <w:rFonts w:cs="Arial"/>
          <w:szCs w:val="22"/>
        </w:rPr>
        <w:t>s LLC</w:t>
      </w:r>
      <w:r w:rsidRPr="00473C7B">
        <w:rPr>
          <w:rFonts w:cs="Arial"/>
          <w:szCs w:val="22"/>
        </w:rPr>
        <w:t xml:space="preserve"> at Andrews, T</w:t>
      </w:r>
      <w:r w:rsidR="002342DB">
        <w:rPr>
          <w:rFonts w:cs="Arial"/>
          <w:szCs w:val="22"/>
        </w:rPr>
        <w:t>exas</w:t>
      </w:r>
      <w:r w:rsidRPr="00473C7B">
        <w:rPr>
          <w:rFonts w:cs="Arial"/>
          <w:szCs w:val="22"/>
        </w:rPr>
        <w:t xml:space="preserve"> </w:t>
      </w:r>
    </w:p>
    <w:p w:rsidR="00DC56DE" w:rsidRPr="00473C7B" w:rsidRDefault="009300E0" w:rsidP="00537E69">
      <w:pPr>
        <w:pStyle w:val="ListParagraph"/>
        <w:numPr>
          <w:ilvl w:val="0"/>
          <w:numId w:val="4"/>
        </w:numPr>
        <w:rPr>
          <w:rFonts w:cs="Arial"/>
          <w:szCs w:val="22"/>
        </w:rPr>
      </w:pPr>
      <w:proofErr w:type="spellStart"/>
      <w:r w:rsidRPr="00473C7B">
        <w:rPr>
          <w:rFonts w:cs="Arial"/>
          <w:szCs w:val="22"/>
        </w:rPr>
        <w:t>Energy</w:t>
      </w:r>
      <w:r w:rsidR="00D810A3" w:rsidRPr="00473C7B">
        <w:rPr>
          <w:rFonts w:cs="Arial"/>
          <w:i/>
          <w:szCs w:val="22"/>
        </w:rPr>
        <w:t>Solutions</w:t>
      </w:r>
      <w:proofErr w:type="spellEnd"/>
      <w:r w:rsidRPr="00473C7B">
        <w:rPr>
          <w:rFonts w:cs="Arial"/>
          <w:szCs w:val="22"/>
        </w:rPr>
        <w:t xml:space="preserve"> at Barnwell, S</w:t>
      </w:r>
      <w:r w:rsidR="002342DB">
        <w:rPr>
          <w:rFonts w:cs="Arial"/>
          <w:szCs w:val="22"/>
        </w:rPr>
        <w:t xml:space="preserve">outh </w:t>
      </w:r>
      <w:r w:rsidRPr="00473C7B">
        <w:rPr>
          <w:rFonts w:cs="Arial"/>
          <w:szCs w:val="22"/>
        </w:rPr>
        <w:t>C</w:t>
      </w:r>
      <w:r w:rsidR="002342DB">
        <w:rPr>
          <w:rFonts w:cs="Arial"/>
          <w:szCs w:val="22"/>
        </w:rPr>
        <w:t>arolina</w:t>
      </w:r>
    </w:p>
    <w:p w:rsidR="000F7371" w:rsidRPr="00473C7B" w:rsidRDefault="000F7371" w:rsidP="00473C7B">
      <w:pPr>
        <w:pStyle w:val="ListParagraph"/>
        <w:ind w:left="1440"/>
        <w:rPr>
          <w:rFonts w:cs="Arial"/>
          <w:szCs w:val="22"/>
        </w:rPr>
      </w:pPr>
    </w:p>
    <w:p w:rsidR="00DC56DE" w:rsidRPr="00473C7B" w:rsidRDefault="00B03A74" w:rsidP="00537E69">
      <w:pPr>
        <w:pStyle w:val="ListParagraph"/>
        <w:numPr>
          <w:ilvl w:val="0"/>
          <w:numId w:val="3"/>
        </w:numPr>
        <w:ind w:hanging="90"/>
        <w:rPr>
          <w:rFonts w:cs="Arial"/>
          <w:szCs w:val="22"/>
        </w:rPr>
      </w:pPr>
      <w:r w:rsidRPr="00473C7B">
        <w:rPr>
          <w:rFonts w:cs="Arial"/>
          <w:szCs w:val="22"/>
        </w:rPr>
        <w:t>The</w:t>
      </w:r>
      <w:r w:rsidR="005A08FB" w:rsidRPr="00473C7B">
        <w:rPr>
          <w:rFonts w:cs="Arial"/>
          <w:szCs w:val="22"/>
        </w:rPr>
        <w:t xml:space="preserve"> four existing </w:t>
      </w:r>
      <w:r w:rsidR="00170660" w:rsidRPr="00473C7B">
        <w:rPr>
          <w:rFonts w:cs="Arial"/>
          <w:szCs w:val="22"/>
        </w:rPr>
        <w:t>Agreement S</w:t>
      </w:r>
      <w:r w:rsidR="005A08FB" w:rsidRPr="00473C7B">
        <w:rPr>
          <w:rFonts w:cs="Arial"/>
          <w:szCs w:val="22"/>
        </w:rPr>
        <w:t xml:space="preserve">tates </w:t>
      </w:r>
      <w:r w:rsidRPr="00473C7B">
        <w:rPr>
          <w:rFonts w:cs="Arial"/>
          <w:szCs w:val="22"/>
        </w:rPr>
        <w:t>are</w:t>
      </w:r>
      <w:r w:rsidR="000F7371" w:rsidRPr="00473C7B">
        <w:rPr>
          <w:rFonts w:cs="Arial"/>
          <w:szCs w:val="22"/>
        </w:rPr>
        <w:t>:</w:t>
      </w:r>
    </w:p>
    <w:p w:rsidR="002C6F48" w:rsidRPr="00473C7B" w:rsidRDefault="002C6F48" w:rsidP="00473C7B">
      <w:pPr>
        <w:pStyle w:val="ListParagraph"/>
        <w:rPr>
          <w:rFonts w:cs="Arial"/>
          <w:szCs w:val="22"/>
        </w:rPr>
      </w:pPr>
    </w:p>
    <w:p w:rsidR="00DC56DE" w:rsidRPr="00473C7B" w:rsidRDefault="000F7371" w:rsidP="00537E69">
      <w:pPr>
        <w:pStyle w:val="ListParagraph"/>
        <w:numPr>
          <w:ilvl w:val="0"/>
          <w:numId w:val="5"/>
        </w:numPr>
        <w:ind w:left="1890"/>
        <w:rPr>
          <w:rFonts w:cs="Arial"/>
          <w:szCs w:val="22"/>
        </w:rPr>
      </w:pPr>
      <w:r w:rsidRPr="00473C7B">
        <w:rPr>
          <w:rFonts w:cs="Arial"/>
          <w:szCs w:val="22"/>
        </w:rPr>
        <w:t>Utah</w:t>
      </w:r>
    </w:p>
    <w:p w:rsidR="00DC56DE" w:rsidRPr="00473C7B" w:rsidRDefault="000F7371" w:rsidP="00537E69">
      <w:pPr>
        <w:pStyle w:val="ListParagraph"/>
        <w:numPr>
          <w:ilvl w:val="0"/>
          <w:numId w:val="5"/>
        </w:numPr>
        <w:ind w:left="1890"/>
        <w:rPr>
          <w:rFonts w:cs="Arial"/>
          <w:szCs w:val="22"/>
        </w:rPr>
      </w:pPr>
      <w:r w:rsidRPr="00473C7B">
        <w:rPr>
          <w:rFonts w:cs="Arial"/>
          <w:szCs w:val="22"/>
        </w:rPr>
        <w:t>Washington</w:t>
      </w:r>
    </w:p>
    <w:p w:rsidR="00DC56DE" w:rsidRPr="00473C7B" w:rsidRDefault="000F7371" w:rsidP="00537E69">
      <w:pPr>
        <w:pStyle w:val="ListParagraph"/>
        <w:numPr>
          <w:ilvl w:val="0"/>
          <w:numId w:val="5"/>
        </w:numPr>
        <w:ind w:left="1890"/>
        <w:rPr>
          <w:rFonts w:cs="Arial"/>
          <w:szCs w:val="22"/>
        </w:rPr>
      </w:pPr>
      <w:r w:rsidRPr="00473C7B">
        <w:rPr>
          <w:rFonts w:cs="Arial"/>
          <w:szCs w:val="22"/>
        </w:rPr>
        <w:t>Texas</w:t>
      </w:r>
    </w:p>
    <w:p w:rsidR="004348AA" w:rsidRPr="00473C7B" w:rsidRDefault="000F7371" w:rsidP="00537E69">
      <w:pPr>
        <w:pStyle w:val="ListParagraph"/>
        <w:numPr>
          <w:ilvl w:val="0"/>
          <w:numId w:val="5"/>
        </w:numPr>
        <w:ind w:left="1890"/>
        <w:rPr>
          <w:rFonts w:cs="Arial"/>
          <w:szCs w:val="22"/>
        </w:rPr>
      </w:pPr>
      <w:r w:rsidRPr="00473C7B">
        <w:rPr>
          <w:rFonts w:cs="Arial"/>
          <w:szCs w:val="22"/>
        </w:rPr>
        <w:t>South Carolina</w:t>
      </w:r>
    </w:p>
    <w:p w:rsidR="00DD06C5" w:rsidRPr="00473C7B" w:rsidRDefault="00DD06C5" w:rsidP="00473C7B">
      <w:pPr>
        <w:pStyle w:val="ListParagraph"/>
        <w:ind w:left="1440"/>
        <w:rPr>
          <w:rFonts w:cs="Arial"/>
          <w:szCs w:val="22"/>
        </w:rPr>
      </w:pPr>
    </w:p>
    <w:p w:rsidR="004348AA" w:rsidRPr="00473C7B" w:rsidRDefault="004348AA" w:rsidP="006B2D47">
      <w:pPr>
        <w:pStyle w:val="Heading1"/>
      </w:pPr>
      <w:bookmarkStart w:id="12" w:name="_Toc399760749"/>
      <w:r w:rsidRPr="00473C7B">
        <w:t>3.4 Identification of Affected Attributes</w:t>
      </w:r>
      <w:bookmarkEnd w:id="12"/>
    </w:p>
    <w:p w:rsidR="004348AA" w:rsidRPr="00473C7B" w:rsidRDefault="004348AA" w:rsidP="00473C7B">
      <w:pPr>
        <w:numPr>
          <w:ilvl w:val="12"/>
          <w:numId w:val="0"/>
        </w:numPr>
        <w:rPr>
          <w:rFonts w:cs="Arial"/>
          <w:bCs/>
          <w:szCs w:val="22"/>
        </w:rPr>
      </w:pPr>
    </w:p>
    <w:p w:rsidR="004348AA" w:rsidRPr="00473C7B" w:rsidRDefault="006B7245" w:rsidP="00473C7B">
      <w:pPr>
        <w:numPr>
          <w:ilvl w:val="12"/>
          <w:numId w:val="0"/>
        </w:numPr>
        <w:rPr>
          <w:rFonts w:cs="Arial"/>
          <w:szCs w:val="22"/>
        </w:rPr>
      </w:pPr>
      <w:r w:rsidRPr="00473C7B">
        <w:rPr>
          <w:rFonts w:cs="Arial"/>
          <w:szCs w:val="22"/>
        </w:rPr>
        <w:t xml:space="preserve">This section identifies the factors within the public and private sectors that the proposed </w:t>
      </w:r>
      <w:r w:rsidRPr="00473C7B">
        <w:rPr>
          <w:rFonts w:cs="Arial"/>
          <w:szCs w:val="22"/>
        </w:rPr>
        <w:br/>
        <w:t xml:space="preserve">rule is expected to affect, using the list of potential attributes provided in Chapter 5 of </w:t>
      </w:r>
      <w:r w:rsidRPr="00473C7B">
        <w:rPr>
          <w:rFonts w:cs="Arial"/>
          <w:szCs w:val="22"/>
        </w:rPr>
        <w:br/>
      </w:r>
      <w:r>
        <w:rPr>
          <w:rFonts w:cs="Arial"/>
          <w:szCs w:val="22"/>
        </w:rPr>
        <w:t>the RA Handbook,</w:t>
      </w:r>
      <w:r w:rsidRPr="00473C7B">
        <w:rPr>
          <w:rFonts w:cs="Arial"/>
          <w:szCs w:val="22"/>
        </w:rPr>
        <w:t xml:space="preserve"> and in Chapter 4 of </w:t>
      </w:r>
      <w:r w:rsidR="002342DB">
        <w:rPr>
          <w:rFonts w:cs="Arial"/>
          <w:szCs w:val="22"/>
        </w:rPr>
        <w:t xml:space="preserve">the </w:t>
      </w:r>
      <w:r>
        <w:rPr>
          <w:rFonts w:cs="Arial"/>
          <w:szCs w:val="22"/>
        </w:rPr>
        <w:t>RA Guidelines.</w:t>
      </w:r>
      <w:r w:rsidRPr="00473C7B">
        <w:rPr>
          <w:rFonts w:cs="Arial"/>
          <w:szCs w:val="22"/>
        </w:rPr>
        <w:t xml:space="preserve">  The evaluation considered each attribute listed in Chapter 5 of </w:t>
      </w:r>
      <w:r>
        <w:rPr>
          <w:rFonts w:cs="Arial"/>
          <w:szCs w:val="22"/>
        </w:rPr>
        <w:t>RA Handbook</w:t>
      </w:r>
      <w:r w:rsidRPr="00473C7B">
        <w:rPr>
          <w:rFonts w:cs="Arial"/>
          <w:szCs w:val="22"/>
        </w:rPr>
        <w:t xml:space="preserve">.  </w:t>
      </w:r>
      <w:r w:rsidR="004348AA" w:rsidRPr="00473C7B">
        <w:rPr>
          <w:rFonts w:cs="Arial"/>
          <w:szCs w:val="22"/>
        </w:rPr>
        <w:t xml:space="preserve">The basis for selecting those attributes is presented below. </w:t>
      </w:r>
    </w:p>
    <w:p w:rsidR="004348AA" w:rsidRPr="00473C7B" w:rsidRDefault="004348AA" w:rsidP="00473C7B">
      <w:pPr>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cs="Arial"/>
          <w:szCs w:val="22"/>
        </w:rPr>
      </w:pPr>
    </w:p>
    <w:p w:rsidR="004348AA" w:rsidRPr="00473C7B" w:rsidRDefault="004348AA" w:rsidP="00473C7B">
      <w:pPr>
        <w:numPr>
          <w:ilvl w:val="12"/>
          <w:numId w:val="0"/>
        </w:numPr>
        <w:rPr>
          <w:rFonts w:cs="Arial"/>
          <w:szCs w:val="22"/>
        </w:rPr>
      </w:pPr>
      <w:r w:rsidRPr="00473C7B">
        <w:rPr>
          <w:rFonts w:cs="Arial"/>
          <w:szCs w:val="22"/>
        </w:rPr>
        <w:t>Affected attributes include the following:</w:t>
      </w:r>
    </w:p>
    <w:p w:rsidR="004348AA" w:rsidRPr="00473C7B" w:rsidRDefault="004348AA" w:rsidP="00473C7B">
      <w:pPr>
        <w:numPr>
          <w:ilvl w:val="12"/>
          <w:numId w:val="0"/>
        </w:numPr>
        <w:ind w:hanging="720"/>
        <w:rPr>
          <w:rFonts w:cs="Arial"/>
          <w:szCs w:val="22"/>
        </w:rPr>
      </w:pPr>
    </w:p>
    <w:p w:rsidR="004348AA" w:rsidRPr="0064025B" w:rsidRDefault="004348AA" w:rsidP="00537E69">
      <w:pPr>
        <w:pStyle w:val="ListParagraph"/>
        <w:numPr>
          <w:ilvl w:val="1"/>
          <w:numId w:val="2"/>
        </w:numPr>
        <w:tabs>
          <w:tab w:val="left" w:pos="1440"/>
          <w:tab w:val="left" w:pos="2160"/>
        </w:tabs>
        <w:ind w:right="720"/>
        <w:rPr>
          <w:rFonts w:cs="Arial"/>
          <w:szCs w:val="22"/>
        </w:rPr>
      </w:pPr>
      <w:r w:rsidRPr="0064025B">
        <w:rPr>
          <w:rFonts w:cs="Arial"/>
          <w:szCs w:val="22"/>
        </w:rPr>
        <w:t xml:space="preserve">Licensee Implementation--The proposed changes require a licensee to develop:  1) compliance </w:t>
      </w:r>
      <w:r w:rsidR="00FA39CD">
        <w:rPr>
          <w:rFonts w:cs="Arial"/>
          <w:szCs w:val="22"/>
        </w:rPr>
        <w:t xml:space="preserve">and protective assurance </w:t>
      </w:r>
      <w:r w:rsidRPr="0064025B">
        <w:rPr>
          <w:rFonts w:cs="Arial"/>
          <w:szCs w:val="22"/>
        </w:rPr>
        <w:t>period analyses, which include a performance assessment (proposed 10 CFR 61.41)</w:t>
      </w:r>
      <w:r w:rsidR="003125A6">
        <w:rPr>
          <w:rFonts w:cs="Arial"/>
          <w:szCs w:val="22"/>
        </w:rPr>
        <w:t>,</w:t>
      </w:r>
      <w:r w:rsidRPr="0064025B">
        <w:rPr>
          <w:rFonts w:cs="Arial"/>
          <w:szCs w:val="22"/>
        </w:rPr>
        <w:t xml:space="preserve"> a</w:t>
      </w:r>
      <w:r w:rsidR="00FA39CD">
        <w:rPr>
          <w:rFonts w:cs="Arial"/>
          <w:szCs w:val="22"/>
        </w:rPr>
        <w:t>n</w:t>
      </w:r>
      <w:r w:rsidRPr="0064025B">
        <w:rPr>
          <w:rFonts w:cs="Arial"/>
          <w:szCs w:val="22"/>
        </w:rPr>
        <w:t xml:space="preserve"> intruder assessment (proposed 10 CFR 61.42)</w:t>
      </w:r>
      <w:r w:rsidR="003125A6">
        <w:rPr>
          <w:rFonts w:cs="Arial"/>
          <w:szCs w:val="22"/>
        </w:rPr>
        <w:t>, and</w:t>
      </w:r>
      <w:r w:rsidRPr="0064025B">
        <w:rPr>
          <w:rFonts w:cs="Arial"/>
          <w:szCs w:val="22"/>
        </w:rPr>
        <w:t xml:space="preserve"> </w:t>
      </w:r>
      <w:r w:rsidR="003125A6">
        <w:rPr>
          <w:rFonts w:cs="Arial"/>
          <w:szCs w:val="22"/>
        </w:rPr>
        <w:t>the defense-in-depth analyses (</w:t>
      </w:r>
      <w:r w:rsidR="003125A6" w:rsidRPr="00473C7B">
        <w:rPr>
          <w:rFonts w:cs="Arial"/>
          <w:szCs w:val="22"/>
        </w:rPr>
        <w:t>proposed 10 CFR 61.</w:t>
      </w:r>
      <w:r w:rsidR="003125A6">
        <w:rPr>
          <w:rFonts w:cs="Arial"/>
          <w:szCs w:val="22"/>
        </w:rPr>
        <w:t xml:space="preserve">13(f)); 2) </w:t>
      </w:r>
      <w:r w:rsidRPr="0064025B">
        <w:rPr>
          <w:rFonts w:cs="Arial"/>
          <w:szCs w:val="22"/>
        </w:rPr>
        <w:t>the performance period analyses (proposed 10 CFR 61.13(e))</w:t>
      </w:r>
      <w:r w:rsidR="00F23913">
        <w:rPr>
          <w:rFonts w:cs="Arial"/>
          <w:szCs w:val="22"/>
        </w:rPr>
        <w:t xml:space="preserve"> if long-lived LLRW is present</w:t>
      </w:r>
      <w:r w:rsidRPr="0064025B">
        <w:rPr>
          <w:rFonts w:cs="Arial"/>
          <w:szCs w:val="22"/>
        </w:rPr>
        <w:t xml:space="preserve">; and </w:t>
      </w:r>
      <w:r w:rsidR="003125A6">
        <w:rPr>
          <w:rFonts w:cs="Arial"/>
          <w:szCs w:val="22"/>
        </w:rPr>
        <w:t>3</w:t>
      </w:r>
      <w:r w:rsidRPr="0064025B">
        <w:rPr>
          <w:rFonts w:cs="Arial"/>
          <w:szCs w:val="22"/>
        </w:rPr>
        <w:t xml:space="preserve">) </w:t>
      </w:r>
      <w:r w:rsidR="00F23913">
        <w:rPr>
          <w:rFonts w:cs="Arial"/>
          <w:szCs w:val="22"/>
        </w:rPr>
        <w:t>a</w:t>
      </w:r>
      <w:r w:rsidRPr="0064025B">
        <w:rPr>
          <w:rFonts w:cs="Arial"/>
          <w:szCs w:val="22"/>
        </w:rPr>
        <w:t xml:space="preserve"> LLRW acceptance plan (proposed 10 CFR 61.58).  The licensee is also required to provide updated compliance</w:t>
      </w:r>
      <w:r w:rsidR="003125A6">
        <w:rPr>
          <w:rFonts w:cs="Arial"/>
          <w:szCs w:val="22"/>
        </w:rPr>
        <w:t xml:space="preserve">, protective assurance, </w:t>
      </w:r>
      <w:r w:rsidRPr="0064025B">
        <w:rPr>
          <w:rFonts w:cs="Arial"/>
          <w:szCs w:val="22"/>
        </w:rPr>
        <w:t xml:space="preserve">and performance period analyses </w:t>
      </w:r>
      <w:r w:rsidRPr="0064025B">
        <w:rPr>
          <w:rFonts w:cs="Arial"/>
          <w:bCs/>
          <w:szCs w:val="22"/>
        </w:rPr>
        <w:t>with the application to amend the license for closure</w:t>
      </w:r>
      <w:r w:rsidRPr="0064025B">
        <w:rPr>
          <w:rFonts w:cs="Arial"/>
          <w:szCs w:val="22"/>
        </w:rPr>
        <w:t xml:space="preserve"> (proposed 10 CFR</w:t>
      </w:r>
      <w:r w:rsidR="00CF37B1">
        <w:rPr>
          <w:rFonts w:cs="Arial"/>
          <w:szCs w:val="22"/>
        </w:rPr>
        <w:t xml:space="preserve"> </w:t>
      </w:r>
      <w:r w:rsidRPr="0064025B">
        <w:rPr>
          <w:rFonts w:cs="Arial"/>
          <w:szCs w:val="22"/>
        </w:rPr>
        <w:t xml:space="preserve">61.28).  In addition, the proposed changes </w:t>
      </w:r>
      <w:r w:rsidR="007A1714">
        <w:rPr>
          <w:rFonts w:cs="Arial"/>
          <w:szCs w:val="22"/>
        </w:rPr>
        <w:t xml:space="preserve">in 10 CFR 61.28 </w:t>
      </w:r>
      <w:r w:rsidRPr="0064025B">
        <w:rPr>
          <w:rFonts w:cs="Arial"/>
          <w:szCs w:val="22"/>
        </w:rPr>
        <w:t>also require a licensee to conduct updated compliance</w:t>
      </w:r>
      <w:r w:rsidR="003125A6">
        <w:rPr>
          <w:rFonts w:cs="Arial"/>
          <w:szCs w:val="22"/>
        </w:rPr>
        <w:t>, protective assurance, and performance period</w:t>
      </w:r>
      <w:r w:rsidR="00F23913">
        <w:rPr>
          <w:rFonts w:cs="Arial"/>
          <w:szCs w:val="22"/>
        </w:rPr>
        <w:t xml:space="preserve"> (if applicable)</w:t>
      </w:r>
      <w:r w:rsidR="003125A6">
        <w:rPr>
          <w:rFonts w:cs="Arial"/>
          <w:szCs w:val="22"/>
        </w:rPr>
        <w:t xml:space="preserve"> </w:t>
      </w:r>
      <w:r w:rsidRPr="0064025B">
        <w:rPr>
          <w:rFonts w:cs="Arial"/>
          <w:szCs w:val="22"/>
        </w:rPr>
        <w:t>analyses, and LLRW acceptance plan, as part of a license amendment</w:t>
      </w:r>
      <w:r w:rsidR="00240E5E">
        <w:rPr>
          <w:rFonts w:cs="Arial"/>
          <w:szCs w:val="22"/>
        </w:rPr>
        <w:t xml:space="preserve"> or renewal</w:t>
      </w:r>
      <w:r w:rsidRPr="0064025B">
        <w:rPr>
          <w:rFonts w:cs="Arial"/>
          <w:szCs w:val="22"/>
        </w:rPr>
        <w:t>.</w:t>
      </w:r>
      <w:r w:rsidR="007A1714">
        <w:rPr>
          <w:rFonts w:cs="Arial"/>
          <w:szCs w:val="22"/>
        </w:rPr>
        <w:t xml:space="preserve">  The proposed changes </w:t>
      </w:r>
      <w:r w:rsidR="00240E5E">
        <w:rPr>
          <w:rFonts w:cs="Arial"/>
          <w:szCs w:val="22"/>
        </w:rPr>
        <w:t>associated with 10</w:t>
      </w:r>
      <w:r w:rsidR="00F23913">
        <w:rPr>
          <w:rFonts w:cs="Arial"/>
          <w:szCs w:val="22"/>
        </w:rPr>
        <w:t> </w:t>
      </w:r>
      <w:r w:rsidR="00240E5E">
        <w:rPr>
          <w:rFonts w:cs="Arial"/>
          <w:szCs w:val="22"/>
        </w:rPr>
        <w:t>CFR 61.28 are included in implementation cost and are discounted</w:t>
      </w:r>
      <w:r w:rsidR="00AC750B">
        <w:rPr>
          <w:rFonts w:cs="Arial"/>
          <w:szCs w:val="22"/>
        </w:rPr>
        <w:t xml:space="preserve"> to 2014 dollars</w:t>
      </w:r>
      <w:r w:rsidR="00240E5E">
        <w:rPr>
          <w:rFonts w:cs="Arial"/>
          <w:szCs w:val="22"/>
        </w:rPr>
        <w:t xml:space="preserve">. </w:t>
      </w:r>
    </w:p>
    <w:p w:rsidR="004348AA" w:rsidRPr="0064025B" w:rsidRDefault="004348AA" w:rsidP="00473C7B">
      <w:pPr>
        <w:ind w:hanging="720"/>
        <w:rPr>
          <w:rFonts w:cs="Arial"/>
          <w:szCs w:val="22"/>
        </w:rPr>
      </w:pPr>
    </w:p>
    <w:p w:rsidR="004348AA" w:rsidRPr="0064025B" w:rsidRDefault="004348AA" w:rsidP="00537E69">
      <w:pPr>
        <w:pStyle w:val="ListParagraph"/>
        <w:numPr>
          <w:ilvl w:val="0"/>
          <w:numId w:val="11"/>
        </w:numPr>
        <w:tabs>
          <w:tab w:val="left" w:pos="1440"/>
        </w:tabs>
        <w:ind w:left="1080" w:right="720"/>
        <w:rPr>
          <w:rFonts w:cs="Arial"/>
          <w:szCs w:val="22"/>
        </w:rPr>
      </w:pPr>
      <w:r w:rsidRPr="0064025B">
        <w:rPr>
          <w:rFonts w:cs="Arial"/>
          <w:iCs/>
          <w:szCs w:val="22"/>
        </w:rPr>
        <w:t>Licensee Operation</w:t>
      </w:r>
      <w:r w:rsidRPr="0064025B">
        <w:rPr>
          <w:rFonts w:cs="Arial"/>
          <w:bCs/>
          <w:szCs w:val="22"/>
        </w:rPr>
        <w:t>--T</w:t>
      </w:r>
      <w:r w:rsidRPr="0064025B">
        <w:rPr>
          <w:rFonts w:cs="Arial"/>
          <w:szCs w:val="22"/>
        </w:rPr>
        <w:t xml:space="preserve">he proposed changes require a licensee to conduct an annual review of the LLRW acceptance plan as required under the proposed 10 CFR 61.58(f).  In addition, licensees are also required to keep records under proposed </w:t>
      </w:r>
      <w:r w:rsidR="000C2B6A">
        <w:rPr>
          <w:rFonts w:cs="Arial"/>
          <w:szCs w:val="22"/>
        </w:rPr>
        <w:t xml:space="preserve">10 CFR </w:t>
      </w:r>
      <w:r w:rsidRPr="0064025B">
        <w:rPr>
          <w:rFonts w:cs="Arial"/>
          <w:szCs w:val="22"/>
        </w:rPr>
        <w:t>61.80(m).</w:t>
      </w:r>
    </w:p>
    <w:p w:rsidR="004348AA" w:rsidRPr="0064025B" w:rsidRDefault="004348AA" w:rsidP="00473C7B">
      <w:pPr>
        <w:pStyle w:val="ListParagraph"/>
        <w:tabs>
          <w:tab w:val="left" w:pos="1440"/>
        </w:tabs>
        <w:ind w:left="1080" w:right="720"/>
        <w:rPr>
          <w:rFonts w:cs="Arial"/>
          <w:szCs w:val="22"/>
        </w:rPr>
      </w:pPr>
    </w:p>
    <w:p w:rsidR="004348AA" w:rsidRPr="0064025B" w:rsidRDefault="004348AA" w:rsidP="007F3F06">
      <w:pPr>
        <w:pStyle w:val="ListParagraph"/>
        <w:numPr>
          <w:ilvl w:val="1"/>
          <w:numId w:val="2"/>
        </w:numPr>
        <w:tabs>
          <w:tab w:val="left" w:pos="1440"/>
          <w:tab w:val="left" w:pos="2160"/>
        </w:tabs>
        <w:ind w:right="720"/>
        <w:rPr>
          <w:rFonts w:cs="Arial"/>
          <w:szCs w:val="22"/>
        </w:rPr>
      </w:pPr>
      <w:r w:rsidRPr="0064025B">
        <w:rPr>
          <w:rFonts w:cs="Arial"/>
          <w:iCs/>
          <w:szCs w:val="22"/>
        </w:rPr>
        <w:t>Agreement State Implementation</w:t>
      </w:r>
      <w:r w:rsidRPr="0064025B">
        <w:rPr>
          <w:rFonts w:cs="Arial"/>
          <w:szCs w:val="22"/>
        </w:rPr>
        <w:t xml:space="preserve">--An Agreement State incurs costs to develop its conforming regulations to the 10 CFR Part 61 final rules.  The proposed changes would also require an Agreement State to review its licensee’s:  1) compliance </w:t>
      </w:r>
      <w:r w:rsidR="003125A6">
        <w:rPr>
          <w:rFonts w:cs="Arial"/>
          <w:szCs w:val="22"/>
        </w:rPr>
        <w:t xml:space="preserve">and protective assurance </w:t>
      </w:r>
      <w:r w:rsidRPr="0064025B">
        <w:rPr>
          <w:rFonts w:cs="Arial"/>
          <w:szCs w:val="22"/>
        </w:rPr>
        <w:t xml:space="preserve">period analyses, which </w:t>
      </w:r>
      <w:r w:rsidRPr="0064025B">
        <w:rPr>
          <w:rFonts w:cs="Arial"/>
          <w:szCs w:val="22"/>
        </w:rPr>
        <w:lastRenderedPageBreak/>
        <w:t>include a performance assessment (proposed 10 CFR 61.41)</w:t>
      </w:r>
      <w:r w:rsidR="003125A6">
        <w:rPr>
          <w:rFonts w:cs="Arial"/>
          <w:szCs w:val="22"/>
        </w:rPr>
        <w:t>,</w:t>
      </w:r>
      <w:r w:rsidRPr="0064025B">
        <w:rPr>
          <w:rFonts w:cs="Arial"/>
          <w:szCs w:val="22"/>
        </w:rPr>
        <w:t xml:space="preserve"> </w:t>
      </w:r>
      <w:r w:rsidR="003125A6">
        <w:rPr>
          <w:rFonts w:cs="Arial"/>
          <w:szCs w:val="22"/>
        </w:rPr>
        <w:t>an</w:t>
      </w:r>
      <w:r w:rsidRPr="0064025B">
        <w:rPr>
          <w:rFonts w:cs="Arial"/>
          <w:szCs w:val="22"/>
        </w:rPr>
        <w:t xml:space="preserve"> intruder assessment (proposed 10 CFR 61.42)</w:t>
      </w:r>
      <w:r w:rsidR="003125A6">
        <w:rPr>
          <w:rFonts w:cs="Arial"/>
          <w:szCs w:val="22"/>
        </w:rPr>
        <w:t>, and the defense-in-depth analyses (</w:t>
      </w:r>
      <w:r w:rsidR="003125A6" w:rsidRPr="00473C7B">
        <w:rPr>
          <w:rFonts w:cs="Arial"/>
          <w:szCs w:val="22"/>
        </w:rPr>
        <w:t>proposed 10 CFR 61.</w:t>
      </w:r>
      <w:r w:rsidR="003125A6">
        <w:rPr>
          <w:rFonts w:cs="Arial"/>
          <w:szCs w:val="22"/>
        </w:rPr>
        <w:t>13(f)); 2)</w:t>
      </w:r>
      <w:r w:rsidRPr="0064025B">
        <w:rPr>
          <w:rFonts w:cs="Arial"/>
          <w:szCs w:val="22"/>
        </w:rPr>
        <w:t xml:space="preserve"> performance period analyses (proposed 10 CFR 61.13(e))</w:t>
      </w:r>
      <w:r w:rsidR="00F23913">
        <w:rPr>
          <w:rFonts w:cs="Arial"/>
          <w:szCs w:val="22"/>
        </w:rPr>
        <w:t xml:space="preserve"> for those sites with long-lived LLRW</w:t>
      </w:r>
      <w:r w:rsidRPr="0064025B">
        <w:rPr>
          <w:rFonts w:cs="Arial"/>
          <w:szCs w:val="22"/>
        </w:rPr>
        <w:t>; and 4) LLRW acceptance plan (proposed 10 CFR 61.58).  The Agreement State is also required to review its licensee’s updated compliance</w:t>
      </w:r>
      <w:r w:rsidR="003125A6">
        <w:rPr>
          <w:rFonts w:cs="Arial"/>
          <w:szCs w:val="22"/>
        </w:rPr>
        <w:t>, protective assurance,</w:t>
      </w:r>
      <w:r w:rsidRPr="0064025B">
        <w:rPr>
          <w:rFonts w:cs="Arial"/>
          <w:szCs w:val="22"/>
        </w:rPr>
        <w:t xml:space="preserve"> and performance period analyses </w:t>
      </w:r>
      <w:r w:rsidRPr="0064025B">
        <w:rPr>
          <w:rFonts w:cs="Arial"/>
          <w:bCs/>
          <w:szCs w:val="22"/>
        </w:rPr>
        <w:t>with the application to amend its license for closure</w:t>
      </w:r>
      <w:r w:rsidRPr="0064025B">
        <w:rPr>
          <w:rFonts w:cs="Arial"/>
          <w:szCs w:val="22"/>
        </w:rPr>
        <w:t xml:space="preserve"> (proposed 10 CFR 61.28).</w:t>
      </w:r>
      <w:r w:rsidR="00626E98" w:rsidRPr="0064025B">
        <w:rPr>
          <w:rFonts w:cs="Arial"/>
          <w:szCs w:val="22"/>
        </w:rPr>
        <w:t xml:space="preserve"> </w:t>
      </w:r>
      <w:r w:rsidRPr="0064025B">
        <w:rPr>
          <w:rFonts w:cs="Arial"/>
          <w:szCs w:val="22"/>
        </w:rPr>
        <w:t xml:space="preserve"> In addition, this proposed rule requires an Agreement State’s licensee to conduct an update to its compliance</w:t>
      </w:r>
      <w:r w:rsidR="003125A6">
        <w:rPr>
          <w:rFonts w:cs="Arial"/>
          <w:szCs w:val="22"/>
        </w:rPr>
        <w:t>, protective assurance,</w:t>
      </w:r>
      <w:r w:rsidRPr="0064025B">
        <w:rPr>
          <w:rFonts w:cs="Arial"/>
          <w:szCs w:val="22"/>
        </w:rPr>
        <w:t xml:space="preserve"> </w:t>
      </w:r>
      <w:r w:rsidR="003125A6">
        <w:rPr>
          <w:rFonts w:cs="Arial"/>
          <w:szCs w:val="22"/>
        </w:rPr>
        <w:t>and</w:t>
      </w:r>
      <w:r w:rsidRPr="0064025B">
        <w:rPr>
          <w:rFonts w:cs="Arial"/>
          <w:szCs w:val="22"/>
        </w:rPr>
        <w:t xml:space="preserve"> performance period </w:t>
      </w:r>
      <w:r w:rsidR="00F23913">
        <w:rPr>
          <w:rFonts w:cs="Arial"/>
          <w:szCs w:val="22"/>
        </w:rPr>
        <w:t xml:space="preserve">(if applicable) </w:t>
      </w:r>
      <w:r w:rsidRPr="0064025B">
        <w:rPr>
          <w:rFonts w:cs="Arial"/>
          <w:szCs w:val="22"/>
        </w:rPr>
        <w:t>analyses, and LLRW acceptance plan, as part of a license amendment; this would also require that an Agreement State incur the cost of reviewing these amendments.</w:t>
      </w:r>
      <w:r w:rsidR="007F3F06">
        <w:rPr>
          <w:rFonts w:cs="Arial"/>
          <w:szCs w:val="22"/>
        </w:rPr>
        <w:t xml:space="preserve">  </w:t>
      </w:r>
      <w:r w:rsidR="007F3F06" w:rsidRPr="007F3F06">
        <w:rPr>
          <w:rFonts w:cs="Arial"/>
          <w:szCs w:val="22"/>
        </w:rPr>
        <w:t>The proposed changes associated with 10 CFR 61.28 are included in implementation cost and are discounted</w:t>
      </w:r>
      <w:r w:rsidR="00AC750B">
        <w:rPr>
          <w:rFonts w:cs="Arial"/>
          <w:szCs w:val="22"/>
        </w:rPr>
        <w:t xml:space="preserve"> to 2014 dollars</w:t>
      </w:r>
      <w:r w:rsidR="007F3F06" w:rsidRPr="007F3F06">
        <w:rPr>
          <w:rFonts w:cs="Arial"/>
          <w:szCs w:val="22"/>
        </w:rPr>
        <w:t>.</w:t>
      </w:r>
    </w:p>
    <w:p w:rsidR="004348AA" w:rsidRPr="0064025B" w:rsidRDefault="004348AA" w:rsidP="00473C7B">
      <w:pPr>
        <w:rPr>
          <w:rFonts w:cs="Arial"/>
          <w:szCs w:val="22"/>
        </w:rPr>
      </w:pPr>
    </w:p>
    <w:p w:rsidR="004348AA" w:rsidRPr="00BE5406" w:rsidRDefault="004348AA" w:rsidP="00537E69">
      <w:pPr>
        <w:pStyle w:val="ListParagraph"/>
        <w:numPr>
          <w:ilvl w:val="1"/>
          <w:numId w:val="2"/>
        </w:numPr>
        <w:ind w:right="720"/>
        <w:rPr>
          <w:rFonts w:cs="Arial"/>
          <w:szCs w:val="22"/>
        </w:rPr>
      </w:pPr>
      <w:r w:rsidRPr="00BE5406">
        <w:rPr>
          <w:rFonts w:cs="Arial"/>
          <w:szCs w:val="22"/>
        </w:rPr>
        <w:t xml:space="preserve">NRC Implementation--Under the proposed action, the NRC develops the proposed and final rule packages to be published in the </w:t>
      </w:r>
      <w:r w:rsidRPr="00BE5406">
        <w:rPr>
          <w:rFonts w:cs="Arial"/>
          <w:i/>
          <w:szCs w:val="22"/>
        </w:rPr>
        <w:t>Federal Register</w:t>
      </w:r>
      <w:r w:rsidRPr="00BE5406">
        <w:rPr>
          <w:rFonts w:cs="Arial"/>
          <w:szCs w:val="22"/>
        </w:rPr>
        <w:t>.  The NRC also develops an implementation guidance document to support the requirements that would be added or modified by the rulemaking process.</w:t>
      </w:r>
    </w:p>
    <w:p w:rsidR="00EE7F06" w:rsidRDefault="00EE7F06" w:rsidP="00473C7B">
      <w:pPr>
        <w:ind w:left="1080" w:right="720" w:hanging="360"/>
        <w:rPr>
          <w:rFonts w:cs="Arial"/>
          <w:szCs w:val="22"/>
        </w:rPr>
      </w:pPr>
    </w:p>
    <w:p w:rsidR="00BE5406" w:rsidRPr="00BE5406" w:rsidRDefault="00BE5406" w:rsidP="00C62B14">
      <w:pPr>
        <w:pStyle w:val="ListParagraph"/>
        <w:numPr>
          <w:ilvl w:val="1"/>
          <w:numId w:val="2"/>
        </w:numPr>
        <w:ind w:right="720"/>
        <w:rPr>
          <w:rFonts w:cs="Arial"/>
          <w:szCs w:val="22"/>
        </w:rPr>
      </w:pPr>
      <w:r>
        <w:rPr>
          <w:rFonts w:cs="Arial"/>
          <w:szCs w:val="22"/>
        </w:rPr>
        <w:t>Other Consideration—</w:t>
      </w:r>
      <w:proofErr w:type="gramStart"/>
      <w:r w:rsidR="00C62B14">
        <w:rPr>
          <w:rFonts w:cs="Arial"/>
          <w:szCs w:val="22"/>
        </w:rPr>
        <w:t>Under</w:t>
      </w:r>
      <w:proofErr w:type="gramEnd"/>
      <w:r w:rsidR="00C62B14">
        <w:rPr>
          <w:rFonts w:cs="Arial"/>
          <w:szCs w:val="22"/>
        </w:rPr>
        <w:t xml:space="preserve"> the proposed action, licensees would be permitted to consider LL</w:t>
      </w:r>
      <w:r w:rsidR="00F23913">
        <w:rPr>
          <w:rFonts w:cs="Arial"/>
          <w:szCs w:val="22"/>
        </w:rPr>
        <w:t>RW streams</w:t>
      </w:r>
      <w:r w:rsidR="00C62B14" w:rsidRPr="00C62B14">
        <w:rPr>
          <w:rFonts w:cs="Arial"/>
          <w:szCs w:val="22"/>
        </w:rPr>
        <w:t>, including large quantities of depleted uranium, w</w:t>
      </w:r>
      <w:r w:rsidR="00C62B14">
        <w:rPr>
          <w:rFonts w:cs="Arial"/>
          <w:szCs w:val="22"/>
        </w:rPr>
        <w:t xml:space="preserve">hich </w:t>
      </w:r>
      <w:r w:rsidR="00F23913">
        <w:rPr>
          <w:rFonts w:cs="Arial"/>
          <w:szCs w:val="22"/>
        </w:rPr>
        <w:t>were</w:t>
      </w:r>
      <w:r w:rsidR="00C62B14">
        <w:rPr>
          <w:rFonts w:cs="Arial"/>
          <w:szCs w:val="22"/>
        </w:rPr>
        <w:t xml:space="preserve"> not </w:t>
      </w:r>
      <w:r w:rsidR="00C62B14" w:rsidRPr="00C62B14">
        <w:rPr>
          <w:rFonts w:cs="Arial"/>
          <w:szCs w:val="22"/>
        </w:rPr>
        <w:t>considered</w:t>
      </w:r>
      <w:r w:rsidR="00F23913">
        <w:rPr>
          <w:rFonts w:cs="Arial"/>
          <w:szCs w:val="22"/>
        </w:rPr>
        <w:t xml:space="preserve"> during development of the current rule</w:t>
      </w:r>
      <w:r w:rsidR="00C62B14">
        <w:rPr>
          <w:rFonts w:cs="Arial"/>
          <w:szCs w:val="22"/>
        </w:rPr>
        <w:t xml:space="preserve">. Also, </w:t>
      </w:r>
      <w:r w:rsidR="00C62B14" w:rsidRPr="00C62B14">
        <w:rPr>
          <w:rFonts w:cs="Arial"/>
          <w:szCs w:val="22"/>
        </w:rPr>
        <w:t>LLRW streams from commercial uranium enrichment facilities and blended LLRW w</w:t>
      </w:r>
      <w:r w:rsidR="00C62B14">
        <w:rPr>
          <w:rFonts w:cs="Arial"/>
          <w:szCs w:val="22"/>
        </w:rPr>
        <w:t>ould be</w:t>
      </w:r>
      <w:r w:rsidR="00C62B14" w:rsidRPr="00C62B14">
        <w:rPr>
          <w:rFonts w:cs="Arial"/>
          <w:szCs w:val="22"/>
        </w:rPr>
        <w:t xml:space="preserve"> considered.  </w:t>
      </w:r>
      <w:r w:rsidR="00C62B14">
        <w:rPr>
          <w:rFonts w:cs="Arial"/>
          <w:szCs w:val="22"/>
        </w:rPr>
        <w:t>N</w:t>
      </w:r>
      <w:r w:rsidR="00C62B14" w:rsidRPr="00C62B14">
        <w:rPr>
          <w:rFonts w:cs="Arial"/>
          <w:szCs w:val="22"/>
        </w:rPr>
        <w:t xml:space="preserve">ew technologies </w:t>
      </w:r>
      <w:r w:rsidR="00C62B14">
        <w:rPr>
          <w:rFonts w:cs="Arial"/>
          <w:szCs w:val="22"/>
        </w:rPr>
        <w:t xml:space="preserve">could </w:t>
      </w:r>
      <w:r w:rsidR="00C62B14" w:rsidRPr="00C62B14">
        <w:rPr>
          <w:rFonts w:cs="Arial"/>
          <w:szCs w:val="22"/>
        </w:rPr>
        <w:t xml:space="preserve">result in future generation of different </w:t>
      </w:r>
      <w:r w:rsidR="00C62B14">
        <w:rPr>
          <w:rFonts w:cs="Arial"/>
          <w:szCs w:val="22"/>
        </w:rPr>
        <w:t xml:space="preserve">kinds </w:t>
      </w:r>
      <w:r w:rsidR="00AE7E21">
        <w:rPr>
          <w:rFonts w:cs="Arial"/>
          <w:szCs w:val="22"/>
        </w:rPr>
        <w:t xml:space="preserve">of </w:t>
      </w:r>
      <w:r w:rsidR="00C62B14" w:rsidRPr="00C62B14">
        <w:rPr>
          <w:rFonts w:cs="Arial"/>
          <w:szCs w:val="22"/>
        </w:rPr>
        <w:t xml:space="preserve">LLRW streams </w:t>
      </w:r>
      <w:r w:rsidR="00C62B14">
        <w:rPr>
          <w:rFonts w:cs="Arial"/>
          <w:szCs w:val="22"/>
        </w:rPr>
        <w:t>to be dev</w:t>
      </w:r>
      <w:r w:rsidR="00C62B14" w:rsidRPr="00C62B14">
        <w:rPr>
          <w:rFonts w:cs="Arial"/>
          <w:szCs w:val="22"/>
        </w:rPr>
        <w:t xml:space="preserve">eloped.  </w:t>
      </w:r>
      <w:r>
        <w:rPr>
          <w:rFonts w:cs="Arial"/>
          <w:szCs w:val="22"/>
        </w:rPr>
        <w:t xml:space="preserve">The proposed rule </w:t>
      </w:r>
      <w:r w:rsidR="00C62B14">
        <w:rPr>
          <w:rFonts w:cs="Arial"/>
          <w:szCs w:val="22"/>
        </w:rPr>
        <w:t>would</w:t>
      </w:r>
      <w:r>
        <w:rPr>
          <w:rFonts w:cs="Arial"/>
          <w:szCs w:val="22"/>
        </w:rPr>
        <w:t xml:space="preserve"> allow industry to dispose of an increased </w:t>
      </w:r>
      <w:r w:rsidR="00C62B14">
        <w:rPr>
          <w:rFonts w:cs="Arial"/>
          <w:szCs w:val="22"/>
        </w:rPr>
        <w:t xml:space="preserve">variety </w:t>
      </w:r>
      <w:r>
        <w:rPr>
          <w:rFonts w:cs="Arial"/>
          <w:szCs w:val="22"/>
        </w:rPr>
        <w:t xml:space="preserve">of waste without compromising safety. </w:t>
      </w:r>
      <w:r w:rsidR="00C62B14">
        <w:rPr>
          <w:rFonts w:cs="Arial"/>
          <w:szCs w:val="22"/>
        </w:rPr>
        <w:t xml:space="preserve">  </w:t>
      </w:r>
    </w:p>
    <w:p w:rsidR="004348AA" w:rsidRPr="0064025B" w:rsidRDefault="004348AA" w:rsidP="00473C7B">
      <w:pPr>
        <w:pStyle w:val="ListParagraph"/>
        <w:tabs>
          <w:tab w:val="left" w:pos="2160"/>
        </w:tabs>
        <w:ind w:left="1170" w:right="720"/>
        <w:rPr>
          <w:rFonts w:cs="Arial"/>
          <w:szCs w:val="22"/>
        </w:rPr>
      </w:pPr>
    </w:p>
    <w:p w:rsidR="004348AA" w:rsidRPr="00473C7B" w:rsidRDefault="004348AA" w:rsidP="00537E69">
      <w:pPr>
        <w:pStyle w:val="ListParagraph"/>
        <w:numPr>
          <w:ilvl w:val="1"/>
          <w:numId w:val="2"/>
        </w:numPr>
        <w:tabs>
          <w:tab w:val="left" w:pos="1440"/>
          <w:tab w:val="left" w:pos="2160"/>
        </w:tabs>
        <w:ind w:right="720"/>
        <w:rPr>
          <w:rFonts w:cs="Arial"/>
          <w:bCs/>
          <w:szCs w:val="22"/>
        </w:rPr>
      </w:pPr>
      <w:r w:rsidRPr="0064025B">
        <w:rPr>
          <w:rFonts w:cs="Arial"/>
          <w:iCs/>
          <w:szCs w:val="22"/>
        </w:rPr>
        <w:t>Public Health (Accident)</w:t>
      </w:r>
      <w:r w:rsidRPr="0064025B">
        <w:rPr>
          <w:rFonts w:cs="Arial"/>
          <w:bCs/>
          <w:szCs w:val="22"/>
        </w:rPr>
        <w:t>-</w:t>
      </w:r>
      <w:r w:rsidR="005569C9" w:rsidRPr="0064025B">
        <w:rPr>
          <w:rFonts w:cs="Arial"/>
          <w:bCs/>
          <w:szCs w:val="22"/>
        </w:rPr>
        <w:t>-</w:t>
      </w:r>
      <w:r w:rsidRPr="0064025B">
        <w:rPr>
          <w:rFonts w:cs="Arial"/>
          <w:bCs/>
          <w:szCs w:val="22"/>
        </w:rPr>
        <w:t xml:space="preserve">The proposed rule requires new site-specific technical analyses to ensure that an inadvertent intruder, who occupies the site and might unknowingly be exposed to radiation from disposed LLRW, will be </w:t>
      </w:r>
      <w:r w:rsidR="004D17D0">
        <w:rPr>
          <w:rFonts w:cs="Arial"/>
          <w:bCs/>
          <w:szCs w:val="22"/>
        </w:rPr>
        <w:t xml:space="preserve">better </w:t>
      </w:r>
      <w:r w:rsidRPr="0064025B">
        <w:rPr>
          <w:rFonts w:cs="Arial"/>
          <w:bCs/>
          <w:szCs w:val="22"/>
        </w:rPr>
        <w:t>protected.  These analyses must demonstrate there is reasonable assurance that any inadvertent intruder will not be exposed to doses that exceed the performance objectives set forth in pro</w:t>
      </w:r>
      <w:r w:rsidRPr="00473C7B">
        <w:rPr>
          <w:rFonts w:cs="Arial"/>
          <w:bCs/>
          <w:szCs w:val="22"/>
        </w:rPr>
        <w:t>posed 10 CFR 61.</w:t>
      </w:r>
      <w:r w:rsidR="003125A6" w:rsidRPr="00473C7B">
        <w:rPr>
          <w:rFonts w:cs="Arial"/>
          <w:bCs/>
          <w:szCs w:val="22"/>
        </w:rPr>
        <w:t>4</w:t>
      </w:r>
      <w:r w:rsidR="003125A6">
        <w:rPr>
          <w:rFonts w:cs="Arial"/>
          <w:bCs/>
          <w:szCs w:val="22"/>
        </w:rPr>
        <w:t>0</w:t>
      </w:r>
      <w:r w:rsidRPr="00473C7B">
        <w:rPr>
          <w:rFonts w:cs="Arial"/>
          <w:bCs/>
          <w:szCs w:val="22"/>
        </w:rPr>
        <w:t xml:space="preserve">.  </w:t>
      </w:r>
    </w:p>
    <w:p w:rsidR="004348AA" w:rsidRPr="00473C7B" w:rsidRDefault="004348AA" w:rsidP="00473C7B">
      <w:pPr>
        <w:tabs>
          <w:tab w:val="left" w:pos="1440"/>
          <w:tab w:val="left" w:pos="2160"/>
        </w:tabs>
        <w:ind w:left="1800" w:right="720" w:hanging="720"/>
        <w:rPr>
          <w:rFonts w:cs="Arial"/>
          <w:szCs w:val="22"/>
        </w:rPr>
      </w:pPr>
    </w:p>
    <w:p w:rsidR="004348AA" w:rsidRDefault="004348AA" w:rsidP="00473C7B">
      <w:pPr>
        <w:numPr>
          <w:ilvl w:val="12"/>
          <w:numId w:val="0"/>
        </w:numPr>
        <w:rPr>
          <w:rFonts w:cs="Arial"/>
          <w:iCs/>
          <w:szCs w:val="22"/>
        </w:rPr>
      </w:pPr>
      <w:r w:rsidRPr="00473C7B">
        <w:rPr>
          <w:rFonts w:cs="Arial"/>
          <w:szCs w:val="22"/>
        </w:rPr>
        <w:t>Attributes that are not affected include the following:  Agreement State operations</w:t>
      </w:r>
      <w:r w:rsidR="00B847CB">
        <w:rPr>
          <w:rFonts w:cs="Arial"/>
          <w:szCs w:val="22"/>
        </w:rPr>
        <w:t>,</w:t>
      </w:r>
      <w:r w:rsidRPr="00473C7B">
        <w:rPr>
          <w:rFonts w:cs="Arial"/>
          <w:szCs w:val="22"/>
        </w:rPr>
        <w:t xml:space="preserve"> NRC operations</w:t>
      </w:r>
      <w:r w:rsidR="00CC2516">
        <w:rPr>
          <w:rFonts w:cs="Arial"/>
          <w:szCs w:val="22"/>
        </w:rPr>
        <w:t>,</w:t>
      </w:r>
      <w:r w:rsidRPr="00473C7B">
        <w:rPr>
          <w:rFonts w:cs="Arial"/>
          <w:szCs w:val="22"/>
        </w:rPr>
        <w:t xml:space="preserve"> public health (routine)</w:t>
      </w:r>
      <w:r w:rsidR="00B847CB">
        <w:rPr>
          <w:rFonts w:cs="Arial"/>
          <w:szCs w:val="22"/>
        </w:rPr>
        <w:t>,</w:t>
      </w:r>
      <w:r w:rsidRPr="00473C7B">
        <w:rPr>
          <w:rFonts w:cs="Arial"/>
          <w:szCs w:val="22"/>
        </w:rPr>
        <w:t xml:space="preserve"> general public</w:t>
      </w:r>
      <w:r w:rsidR="00B847CB">
        <w:rPr>
          <w:rFonts w:cs="Arial"/>
          <w:szCs w:val="22"/>
        </w:rPr>
        <w:t>,</w:t>
      </w:r>
      <w:r w:rsidRPr="00473C7B">
        <w:rPr>
          <w:rFonts w:cs="Arial"/>
          <w:szCs w:val="22"/>
        </w:rPr>
        <w:t xml:space="preserve"> regulatory efficiency</w:t>
      </w:r>
      <w:r w:rsidR="00B847CB">
        <w:rPr>
          <w:rFonts w:cs="Arial"/>
          <w:szCs w:val="22"/>
        </w:rPr>
        <w:t>,</w:t>
      </w:r>
      <w:r w:rsidRPr="00473C7B">
        <w:rPr>
          <w:rFonts w:cs="Arial"/>
          <w:szCs w:val="22"/>
        </w:rPr>
        <w:t xml:space="preserve"> occupational health (routine)</w:t>
      </w:r>
      <w:r w:rsidR="00B847CB">
        <w:rPr>
          <w:rFonts w:cs="Arial"/>
          <w:szCs w:val="22"/>
        </w:rPr>
        <w:t>,</w:t>
      </w:r>
      <w:r w:rsidRPr="00473C7B">
        <w:rPr>
          <w:rFonts w:cs="Arial"/>
          <w:szCs w:val="22"/>
        </w:rPr>
        <w:t xml:space="preserve"> occupational health (accident)</w:t>
      </w:r>
      <w:r w:rsidR="00B847CB">
        <w:rPr>
          <w:rFonts w:cs="Arial"/>
          <w:szCs w:val="22"/>
        </w:rPr>
        <w:t>,</w:t>
      </w:r>
      <w:r w:rsidRPr="00473C7B">
        <w:rPr>
          <w:rFonts w:cs="Arial"/>
          <w:szCs w:val="22"/>
        </w:rPr>
        <w:t xml:space="preserve"> off-site property</w:t>
      </w:r>
      <w:r w:rsidR="00B847CB">
        <w:rPr>
          <w:rFonts w:cs="Arial"/>
          <w:szCs w:val="22"/>
        </w:rPr>
        <w:t>,</w:t>
      </w:r>
      <w:r w:rsidRPr="00473C7B">
        <w:rPr>
          <w:rFonts w:cs="Arial"/>
          <w:szCs w:val="22"/>
        </w:rPr>
        <w:t xml:space="preserve"> on-site property</w:t>
      </w:r>
      <w:r w:rsidR="00B847CB">
        <w:rPr>
          <w:rFonts w:cs="Arial"/>
          <w:szCs w:val="22"/>
        </w:rPr>
        <w:t>,</w:t>
      </w:r>
      <w:r w:rsidRPr="00473C7B">
        <w:rPr>
          <w:rFonts w:cs="Arial"/>
          <w:szCs w:val="22"/>
        </w:rPr>
        <w:t xml:space="preserve"> environmental considerations</w:t>
      </w:r>
      <w:r w:rsidR="00B847CB">
        <w:rPr>
          <w:rFonts w:cs="Arial"/>
          <w:szCs w:val="22"/>
        </w:rPr>
        <w:t>,</w:t>
      </w:r>
      <w:r w:rsidRPr="00473C7B">
        <w:rPr>
          <w:rFonts w:cs="Arial"/>
          <w:szCs w:val="22"/>
        </w:rPr>
        <w:t xml:space="preserve"> antitrust considerations</w:t>
      </w:r>
      <w:r w:rsidR="00B847CB">
        <w:rPr>
          <w:rFonts w:cs="Arial"/>
          <w:szCs w:val="22"/>
        </w:rPr>
        <w:t>,</w:t>
      </w:r>
      <w:r w:rsidRPr="00473C7B">
        <w:rPr>
          <w:rFonts w:cs="Arial"/>
          <w:szCs w:val="22"/>
        </w:rPr>
        <w:t xml:space="preserve"> </w:t>
      </w:r>
      <w:r w:rsidRPr="00473C7B">
        <w:rPr>
          <w:rFonts w:cs="Arial"/>
          <w:iCs/>
          <w:szCs w:val="22"/>
        </w:rPr>
        <w:t>safeguards and security considerations</w:t>
      </w:r>
      <w:r w:rsidR="00B847CB">
        <w:rPr>
          <w:rFonts w:cs="Arial"/>
          <w:iCs/>
          <w:szCs w:val="22"/>
        </w:rPr>
        <w:t>,</w:t>
      </w:r>
      <w:r w:rsidRPr="00473C7B">
        <w:rPr>
          <w:rFonts w:cs="Arial"/>
          <w:iCs/>
          <w:szCs w:val="22"/>
        </w:rPr>
        <w:t xml:space="preserve"> and improvement in knowledge.</w:t>
      </w:r>
    </w:p>
    <w:p w:rsidR="00AB5FA7" w:rsidRPr="00473C7B" w:rsidRDefault="00AB5FA7" w:rsidP="00473C7B">
      <w:pPr>
        <w:numPr>
          <w:ilvl w:val="12"/>
          <w:numId w:val="0"/>
        </w:numPr>
        <w:rPr>
          <w:rFonts w:cs="Arial"/>
          <w:iCs/>
          <w:szCs w:val="22"/>
        </w:rPr>
      </w:pPr>
    </w:p>
    <w:p w:rsidR="00E7422A" w:rsidRPr="00473C7B" w:rsidRDefault="004C1C49" w:rsidP="006B2D47">
      <w:pPr>
        <w:pStyle w:val="Heading1"/>
      </w:pPr>
      <w:bookmarkStart w:id="13" w:name="_Toc399760750"/>
      <w:r w:rsidRPr="00473C7B">
        <w:t xml:space="preserve">4. </w:t>
      </w:r>
      <w:r w:rsidRPr="006B2D47">
        <w:t>Presentation of Results</w:t>
      </w:r>
      <w:bookmarkEnd w:id="13"/>
    </w:p>
    <w:p w:rsidR="00E7422A" w:rsidRPr="00473C7B" w:rsidRDefault="00E7422A" w:rsidP="002342DB">
      <w:pPr>
        <w:keepNext/>
        <w:numPr>
          <w:ilvl w:val="12"/>
          <w:numId w:val="0"/>
        </w:numPr>
        <w:rPr>
          <w:rFonts w:cs="Arial"/>
          <w:szCs w:val="22"/>
        </w:rPr>
      </w:pPr>
    </w:p>
    <w:p w:rsidR="006B3EB3" w:rsidRDefault="00E7422A" w:rsidP="002342DB">
      <w:pPr>
        <w:keepNext/>
        <w:numPr>
          <w:ilvl w:val="12"/>
          <w:numId w:val="0"/>
        </w:numPr>
        <w:rPr>
          <w:rFonts w:cs="Arial"/>
          <w:szCs w:val="22"/>
        </w:rPr>
      </w:pPr>
      <w:r w:rsidRPr="00473C7B">
        <w:rPr>
          <w:rFonts w:cs="Arial"/>
          <w:szCs w:val="22"/>
        </w:rPr>
        <w:t xml:space="preserve">This section presents </w:t>
      </w:r>
      <w:r w:rsidR="004C1C49" w:rsidRPr="00473C7B">
        <w:rPr>
          <w:rFonts w:cs="Arial"/>
          <w:szCs w:val="22"/>
        </w:rPr>
        <w:t>the results</w:t>
      </w:r>
      <w:r w:rsidRPr="00473C7B">
        <w:rPr>
          <w:rFonts w:cs="Arial"/>
          <w:szCs w:val="22"/>
        </w:rPr>
        <w:t xml:space="preserve"> </w:t>
      </w:r>
      <w:r w:rsidR="00CA5589" w:rsidRPr="00473C7B">
        <w:rPr>
          <w:rFonts w:cs="Arial"/>
          <w:szCs w:val="22"/>
        </w:rPr>
        <w:t>of</w:t>
      </w:r>
      <w:r w:rsidRPr="00473C7B">
        <w:rPr>
          <w:rFonts w:cs="Arial"/>
          <w:szCs w:val="22"/>
        </w:rPr>
        <w:t xml:space="preserve"> the </w:t>
      </w:r>
      <w:r w:rsidR="004C1C49" w:rsidRPr="00473C7B">
        <w:rPr>
          <w:rFonts w:cs="Arial"/>
          <w:szCs w:val="22"/>
        </w:rPr>
        <w:t>alternatives</w:t>
      </w:r>
      <w:r w:rsidRPr="00473C7B">
        <w:rPr>
          <w:rFonts w:cs="Arial"/>
          <w:szCs w:val="22"/>
        </w:rPr>
        <w:t xml:space="preserve">.  </w:t>
      </w:r>
      <w:r w:rsidR="007978B1" w:rsidRPr="00473C7B">
        <w:rPr>
          <w:rFonts w:cs="Arial"/>
          <w:szCs w:val="22"/>
        </w:rPr>
        <w:t xml:space="preserve">Table </w:t>
      </w:r>
      <w:r w:rsidR="004C1C49" w:rsidRPr="00473C7B">
        <w:rPr>
          <w:rFonts w:cs="Arial"/>
          <w:szCs w:val="22"/>
        </w:rPr>
        <w:t>4</w:t>
      </w:r>
      <w:r w:rsidR="00DC0A93" w:rsidRPr="00473C7B">
        <w:rPr>
          <w:rFonts w:cs="Arial"/>
          <w:szCs w:val="22"/>
        </w:rPr>
        <w:t>-</w:t>
      </w:r>
      <w:r w:rsidR="007978B1" w:rsidRPr="00473C7B">
        <w:rPr>
          <w:rFonts w:cs="Arial"/>
          <w:szCs w:val="22"/>
        </w:rPr>
        <w:t xml:space="preserve">1 </w:t>
      </w:r>
      <w:r w:rsidR="004C1C49" w:rsidRPr="00473C7B">
        <w:rPr>
          <w:rFonts w:cs="Arial"/>
          <w:szCs w:val="22"/>
        </w:rPr>
        <w:t xml:space="preserve">summarizes the costs of Alternative 2 by entity over the 10-year </w:t>
      </w:r>
      <w:r w:rsidR="00375FE9">
        <w:rPr>
          <w:rFonts w:cs="Arial"/>
          <w:szCs w:val="22"/>
        </w:rPr>
        <w:t xml:space="preserve">regulatory </w:t>
      </w:r>
      <w:r w:rsidR="004C1C49" w:rsidRPr="00473C7B">
        <w:rPr>
          <w:rFonts w:cs="Arial"/>
          <w:szCs w:val="22"/>
        </w:rPr>
        <w:t>analysis period</w:t>
      </w:r>
      <w:r w:rsidRPr="00473C7B">
        <w:rPr>
          <w:rFonts w:cs="Arial"/>
          <w:szCs w:val="22"/>
        </w:rPr>
        <w:t>.</w:t>
      </w:r>
    </w:p>
    <w:p w:rsidR="006B3EB3" w:rsidRDefault="006B3EB3" w:rsidP="006B3EB3">
      <w:pPr>
        <w:numPr>
          <w:ilvl w:val="12"/>
          <w:numId w:val="0"/>
        </w:numPr>
        <w:rPr>
          <w:rFonts w:cs="Arial"/>
          <w:szCs w:val="22"/>
        </w:rPr>
      </w:pPr>
    </w:p>
    <w:p w:rsidR="00E7422A" w:rsidRPr="006B3EB3" w:rsidRDefault="0080355A" w:rsidP="00AB5FA7">
      <w:pPr>
        <w:pStyle w:val="Heading1"/>
      </w:pPr>
      <w:bookmarkStart w:id="14" w:name="_Toc399760751"/>
      <w:r w:rsidRPr="006B3EB3">
        <w:lastRenderedPageBreak/>
        <w:t xml:space="preserve">4.1 </w:t>
      </w:r>
      <w:r w:rsidR="002D6253" w:rsidRPr="006B3EB3">
        <w:t>Alternative 1:  No action</w:t>
      </w:r>
      <w:bookmarkEnd w:id="14"/>
    </w:p>
    <w:p w:rsidR="002C6F48" w:rsidRPr="00473C7B" w:rsidRDefault="002C6F48" w:rsidP="00AB5FA7">
      <w:pPr>
        <w:keepNext/>
        <w:numPr>
          <w:ilvl w:val="12"/>
          <w:numId w:val="0"/>
        </w:numPr>
        <w:rPr>
          <w:rFonts w:cs="Arial"/>
          <w:szCs w:val="22"/>
        </w:rPr>
      </w:pPr>
    </w:p>
    <w:p w:rsidR="006B3EB3" w:rsidRDefault="00CA5589" w:rsidP="00AB5FA7">
      <w:pPr>
        <w:keepNext/>
        <w:numPr>
          <w:ilvl w:val="12"/>
          <w:numId w:val="0"/>
        </w:numPr>
        <w:rPr>
          <w:rFonts w:cs="Arial"/>
          <w:szCs w:val="22"/>
        </w:rPr>
      </w:pPr>
      <w:r w:rsidRPr="00473C7B">
        <w:rPr>
          <w:rFonts w:cs="Arial"/>
          <w:szCs w:val="22"/>
        </w:rPr>
        <w:t xml:space="preserve">By definition, the No-Action Alternative, the baseline for the main analysis, does not result in any change of benefits or costs.  </w:t>
      </w:r>
      <w:r w:rsidR="009E307E" w:rsidRPr="00473C7B">
        <w:rPr>
          <w:rFonts w:cs="Arial"/>
          <w:szCs w:val="22"/>
        </w:rPr>
        <w:t xml:space="preserve">The </w:t>
      </w:r>
      <w:r w:rsidRPr="00473C7B">
        <w:rPr>
          <w:rFonts w:cs="Arial"/>
          <w:szCs w:val="22"/>
        </w:rPr>
        <w:t xml:space="preserve">baseline assumes full compliance with </w:t>
      </w:r>
      <w:r w:rsidR="004D17D0">
        <w:rPr>
          <w:rFonts w:cs="Arial"/>
          <w:szCs w:val="22"/>
        </w:rPr>
        <w:t>current</w:t>
      </w:r>
      <w:r w:rsidR="004D17D0" w:rsidRPr="00473C7B">
        <w:rPr>
          <w:rFonts w:cs="Arial"/>
          <w:szCs w:val="22"/>
        </w:rPr>
        <w:t xml:space="preserve"> </w:t>
      </w:r>
      <w:r w:rsidR="003314D5" w:rsidRPr="00473C7B">
        <w:rPr>
          <w:rFonts w:cs="Arial"/>
          <w:szCs w:val="22"/>
        </w:rPr>
        <w:t>NRC requirements</w:t>
      </w:r>
      <w:r w:rsidR="007A52AA" w:rsidRPr="00473C7B">
        <w:rPr>
          <w:rFonts w:cs="Arial"/>
          <w:szCs w:val="22"/>
        </w:rPr>
        <w:t>.</w:t>
      </w:r>
      <w:r w:rsidR="007A52AA" w:rsidRPr="00473C7B">
        <w:rPr>
          <w:rStyle w:val="FootnoteReference"/>
          <w:rFonts w:cs="Arial"/>
          <w:szCs w:val="22"/>
        </w:rPr>
        <w:footnoteReference w:id="5"/>
      </w:r>
    </w:p>
    <w:p w:rsidR="006B3EB3" w:rsidRDefault="006B3EB3" w:rsidP="006B3EB3">
      <w:pPr>
        <w:numPr>
          <w:ilvl w:val="12"/>
          <w:numId w:val="0"/>
        </w:numPr>
        <w:rPr>
          <w:rFonts w:cs="Arial"/>
          <w:szCs w:val="22"/>
        </w:rPr>
      </w:pPr>
    </w:p>
    <w:p w:rsidR="00E7422A" w:rsidRPr="006B3EB3" w:rsidRDefault="0080355A" w:rsidP="006B2D47">
      <w:pPr>
        <w:pStyle w:val="Heading1"/>
      </w:pPr>
      <w:bookmarkStart w:id="15" w:name="_Toc399760752"/>
      <w:r w:rsidRPr="006B3EB3">
        <w:t xml:space="preserve">4.2 </w:t>
      </w:r>
      <w:r w:rsidR="000A6B32" w:rsidRPr="006B3EB3">
        <w:t xml:space="preserve">Alternative </w:t>
      </w:r>
      <w:r w:rsidR="00B75257" w:rsidRPr="006B3EB3">
        <w:t xml:space="preserve">2:  </w:t>
      </w:r>
      <w:r w:rsidR="00E7422A" w:rsidRPr="006B3EB3">
        <w:t xml:space="preserve">Rulemaking to amend </w:t>
      </w:r>
      <w:r w:rsidR="0002749A" w:rsidRPr="006B3EB3">
        <w:t>10 CFR </w:t>
      </w:r>
      <w:r w:rsidR="00E7422A" w:rsidRPr="006B3EB3">
        <w:t>Part 61</w:t>
      </w:r>
      <w:bookmarkEnd w:id="15"/>
    </w:p>
    <w:p w:rsidR="00013C84" w:rsidRPr="00473C7B" w:rsidRDefault="00013C84" w:rsidP="00473C7B">
      <w:pPr>
        <w:numPr>
          <w:ilvl w:val="12"/>
          <w:numId w:val="0"/>
        </w:numPr>
        <w:rPr>
          <w:rFonts w:cs="Arial"/>
          <w:szCs w:val="22"/>
        </w:rPr>
      </w:pPr>
    </w:p>
    <w:p w:rsidR="00E31BD5" w:rsidRDefault="009817F7" w:rsidP="00473C7B">
      <w:pPr>
        <w:numPr>
          <w:ilvl w:val="12"/>
          <w:numId w:val="0"/>
        </w:numPr>
        <w:rPr>
          <w:rFonts w:cs="Arial"/>
          <w:szCs w:val="22"/>
        </w:rPr>
      </w:pPr>
      <w:r w:rsidRPr="00473C7B">
        <w:rPr>
          <w:rFonts w:cs="Arial"/>
          <w:szCs w:val="22"/>
        </w:rPr>
        <w:t>Alternative 2 is divided into four sections:</w:t>
      </w:r>
      <w:r w:rsidR="00626E98" w:rsidRPr="00473C7B">
        <w:rPr>
          <w:rFonts w:cs="Arial"/>
          <w:szCs w:val="22"/>
        </w:rPr>
        <w:t xml:space="preserve"> </w:t>
      </w:r>
      <w:r w:rsidRPr="00473C7B">
        <w:rPr>
          <w:rFonts w:cs="Arial"/>
          <w:szCs w:val="22"/>
        </w:rPr>
        <w:t xml:space="preserve"> licensee costs, including implementation and operation costs; Agreement State </w:t>
      </w:r>
      <w:r w:rsidR="00013C84" w:rsidRPr="00473C7B">
        <w:rPr>
          <w:rFonts w:cs="Arial"/>
          <w:szCs w:val="22"/>
        </w:rPr>
        <w:t xml:space="preserve">implementation </w:t>
      </w:r>
      <w:r w:rsidRPr="00473C7B">
        <w:rPr>
          <w:rFonts w:cs="Arial"/>
          <w:szCs w:val="22"/>
        </w:rPr>
        <w:t>costs</w:t>
      </w:r>
      <w:r w:rsidR="00DE105C" w:rsidRPr="00473C7B">
        <w:rPr>
          <w:rFonts w:cs="Arial"/>
          <w:szCs w:val="22"/>
        </w:rPr>
        <w:t>;</w:t>
      </w:r>
      <w:r w:rsidRPr="00473C7B">
        <w:rPr>
          <w:rFonts w:cs="Arial"/>
          <w:szCs w:val="22"/>
        </w:rPr>
        <w:t xml:space="preserve"> NRC </w:t>
      </w:r>
      <w:r w:rsidR="00013C84" w:rsidRPr="00473C7B">
        <w:rPr>
          <w:rFonts w:cs="Arial"/>
          <w:szCs w:val="22"/>
        </w:rPr>
        <w:t xml:space="preserve">implementation </w:t>
      </w:r>
      <w:r w:rsidRPr="00473C7B">
        <w:rPr>
          <w:rFonts w:cs="Arial"/>
          <w:szCs w:val="22"/>
        </w:rPr>
        <w:t xml:space="preserve">costs; and public health (accident). </w:t>
      </w:r>
    </w:p>
    <w:p w:rsidR="00F0556F" w:rsidRDefault="00F0556F" w:rsidP="00473C7B">
      <w:pPr>
        <w:numPr>
          <w:ilvl w:val="12"/>
          <w:numId w:val="0"/>
        </w:numPr>
        <w:rPr>
          <w:rFonts w:cs="Arial"/>
          <w:b/>
          <w:szCs w:val="22"/>
        </w:rPr>
      </w:pPr>
    </w:p>
    <w:p w:rsidR="007E3CBA" w:rsidRDefault="0080355A" w:rsidP="00473C7B">
      <w:pPr>
        <w:numPr>
          <w:ilvl w:val="12"/>
          <w:numId w:val="0"/>
        </w:numPr>
        <w:rPr>
          <w:rFonts w:cs="Arial"/>
          <w:b/>
          <w:szCs w:val="22"/>
        </w:rPr>
      </w:pPr>
      <w:r w:rsidRPr="00473C7B">
        <w:rPr>
          <w:rFonts w:cs="Arial"/>
          <w:b/>
          <w:szCs w:val="22"/>
        </w:rPr>
        <w:t>4.2.</w:t>
      </w:r>
      <w:r w:rsidR="00DC0A93" w:rsidRPr="00473C7B">
        <w:rPr>
          <w:rFonts w:cs="Arial"/>
          <w:b/>
          <w:szCs w:val="22"/>
        </w:rPr>
        <w:t>1</w:t>
      </w:r>
      <w:r w:rsidRPr="00473C7B">
        <w:rPr>
          <w:rFonts w:cs="Arial"/>
          <w:b/>
          <w:szCs w:val="22"/>
        </w:rPr>
        <w:t xml:space="preserve"> </w:t>
      </w:r>
      <w:r w:rsidR="003542D8" w:rsidRPr="00473C7B">
        <w:rPr>
          <w:rFonts w:cs="Arial"/>
          <w:b/>
          <w:szCs w:val="22"/>
        </w:rPr>
        <w:t>Licensees</w:t>
      </w:r>
      <w:r w:rsidR="00473530" w:rsidRPr="00473C7B">
        <w:rPr>
          <w:rFonts w:cs="Arial"/>
          <w:b/>
          <w:szCs w:val="22"/>
        </w:rPr>
        <w:t>:</w:t>
      </w:r>
      <w:r w:rsidR="009E7FC8" w:rsidRPr="00473C7B">
        <w:rPr>
          <w:rFonts w:cs="Arial"/>
          <w:b/>
          <w:szCs w:val="22"/>
        </w:rPr>
        <w:t xml:space="preserve">  </w:t>
      </w:r>
    </w:p>
    <w:p w:rsidR="007E3CBA" w:rsidRDefault="007E3CBA" w:rsidP="00473C7B">
      <w:pPr>
        <w:numPr>
          <w:ilvl w:val="12"/>
          <w:numId w:val="0"/>
        </w:numPr>
        <w:rPr>
          <w:rFonts w:cs="Arial"/>
          <w:b/>
          <w:szCs w:val="22"/>
        </w:rPr>
      </w:pPr>
    </w:p>
    <w:p w:rsidR="009E7FC8" w:rsidRDefault="00CA5589" w:rsidP="00473C7B">
      <w:pPr>
        <w:numPr>
          <w:ilvl w:val="12"/>
          <w:numId w:val="0"/>
        </w:numPr>
        <w:rPr>
          <w:rFonts w:cs="Arial"/>
          <w:szCs w:val="22"/>
        </w:rPr>
      </w:pPr>
      <w:r w:rsidRPr="00473C7B">
        <w:rPr>
          <w:rFonts w:cs="Arial"/>
          <w:szCs w:val="22"/>
        </w:rPr>
        <w:t xml:space="preserve">This analysis assumes that </w:t>
      </w:r>
      <w:r w:rsidR="00863980" w:rsidRPr="00473C7B">
        <w:rPr>
          <w:rFonts w:cs="Arial"/>
          <w:szCs w:val="22"/>
        </w:rPr>
        <w:t>four</w:t>
      </w:r>
      <w:r w:rsidRPr="00473C7B">
        <w:rPr>
          <w:rFonts w:cs="Arial"/>
          <w:szCs w:val="22"/>
        </w:rPr>
        <w:t xml:space="preserve"> separate licensees would </w:t>
      </w:r>
      <w:r w:rsidR="00204756" w:rsidRPr="00473C7B">
        <w:rPr>
          <w:rFonts w:cs="Arial"/>
          <w:szCs w:val="22"/>
        </w:rPr>
        <w:t xml:space="preserve">incur costs for implementation and operation </w:t>
      </w:r>
      <w:r w:rsidR="00375FE9">
        <w:rPr>
          <w:rFonts w:cs="Arial"/>
          <w:szCs w:val="22"/>
        </w:rPr>
        <w:t>because of</w:t>
      </w:r>
      <w:r w:rsidRPr="00473C7B">
        <w:rPr>
          <w:rFonts w:cs="Arial"/>
          <w:szCs w:val="22"/>
        </w:rPr>
        <w:t xml:space="preserve"> the </w:t>
      </w:r>
      <w:r w:rsidR="00A31ED0" w:rsidRPr="00473C7B">
        <w:rPr>
          <w:rFonts w:cs="Arial"/>
          <w:szCs w:val="22"/>
        </w:rPr>
        <w:t>rulemaking</w:t>
      </w:r>
      <w:r w:rsidR="00B35139" w:rsidRPr="00473C7B">
        <w:rPr>
          <w:rFonts w:cs="Arial"/>
          <w:szCs w:val="22"/>
        </w:rPr>
        <w:t xml:space="preserve">.  Unless stated </w:t>
      </w:r>
      <w:r w:rsidR="00783DFD" w:rsidRPr="00473C7B">
        <w:rPr>
          <w:rFonts w:cs="Arial"/>
          <w:szCs w:val="22"/>
        </w:rPr>
        <w:t>otherwise</w:t>
      </w:r>
      <w:r w:rsidR="00B35139" w:rsidRPr="00473C7B">
        <w:rPr>
          <w:rFonts w:cs="Arial"/>
          <w:szCs w:val="22"/>
        </w:rPr>
        <w:t xml:space="preserve">, each cost is incurred by all </w:t>
      </w:r>
      <w:r w:rsidR="00863980" w:rsidRPr="00473C7B">
        <w:rPr>
          <w:rFonts w:cs="Arial"/>
          <w:szCs w:val="22"/>
        </w:rPr>
        <w:t>four</w:t>
      </w:r>
      <w:r w:rsidR="00B35139" w:rsidRPr="00473C7B">
        <w:rPr>
          <w:rFonts w:cs="Arial"/>
          <w:szCs w:val="22"/>
        </w:rPr>
        <w:t xml:space="preserve"> licensees.  Licensees could incur costs by the following impacts: </w:t>
      </w:r>
    </w:p>
    <w:p w:rsidR="004E7360" w:rsidRPr="00473C7B" w:rsidRDefault="004E7360" w:rsidP="00473C7B">
      <w:pPr>
        <w:numPr>
          <w:ilvl w:val="12"/>
          <w:numId w:val="0"/>
        </w:numPr>
        <w:rPr>
          <w:rFonts w:cs="Arial"/>
          <w:szCs w:val="22"/>
        </w:rPr>
      </w:pPr>
    </w:p>
    <w:p w:rsidR="00473530" w:rsidRPr="0006301B" w:rsidRDefault="00DC0A93" w:rsidP="0006301B">
      <w:pPr>
        <w:ind w:left="1080" w:hanging="1080"/>
        <w:rPr>
          <w:rFonts w:cs="Arial"/>
          <w:szCs w:val="22"/>
        </w:rPr>
      </w:pPr>
      <w:r w:rsidRPr="0006301B">
        <w:rPr>
          <w:rFonts w:cs="Arial"/>
          <w:szCs w:val="22"/>
          <w:u w:val="single"/>
        </w:rPr>
        <w:t xml:space="preserve">4.2.1.1 </w:t>
      </w:r>
      <w:r w:rsidR="00752CFD" w:rsidRPr="0006301B">
        <w:rPr>
          <w:rFonts w:cs="Arial"/>
          <w:szCs w:val="22"/>
          <w:u w:val="single"/>
        </w:rPr>
        <w:t>Licensee</w:t>
      </w:r>
      <w:r w:rsidR="00395710" w:rsidRPr="0006301B">
        <w:rPr>
          <w:rFonts w:cs="Arial"/>
          <w:szCs w:val="22"/>
          <w:u w:val="single"/>
        </w:rPr>
        <w:t xml:space="preserve"> Implementation</w:t>
      </w:r>
      <w:r w:rsidR="00E7422A" w:rsidRPr="0006301B">
        <w:rPr>
          <w:rFonts w:cs="Arial"/>
          <w:szCs w:val="22"/>
        </w:rPr>
        <w:t>:</w:t>
      </w:r>
    </w:p>
    <w:p w:rsidR="0006301B" w:rsidRPr="0006301B" w:rsidRDefault="0006301B" w:rsidP="0006301B">
      <w:pPr>
        <w:ind w:left="1080"/>
        <w:rPr>
          <w:rFonts w:cs="Arial"/>
          <w:szCs w:val="22"/>
        </w:rPr>
      </w:pPr>
    </w:p>
    <w:p w:rsidR="0006301B" w:rsidRPr="0006301B" w:rsidRDefault="0006301B" w:rsidP="0006301B">
      <w:pPr>
        <w:pStyle w:val="ListParagraph"/>
        <w:ind w:left="1810" w:hanging="1810"/>
      </w:pPr>
      <w:r>
        <w:rPr>
          <w:rFonts w:cs="Arial"/>
          <w:szCs w:val="22"/>
          <w:u w:val="single"/>
        </w:rPr>
        <w:t xml:space="preserve">Initial analyses forecasted to be conducted in year 2019. </w:t>
      </w:r>
    </w:p>
    <w:p w:rsidR="00B75257" w:rsidRPr="00473C7B" w:rsidRDefault="00B75257" w:rsidP="00473C7B">
      <w:pPr>
        <w:numPr>
          <w:ilvl w:val="12"/>
          <w:numId w:val="0"/>
        </w:numPr>
        <w:rPr>
          <w:rFonts w:cs="Arial"/>
          <w:szCs w:val="22"/>
          <w:u w:val="single"/>
        </w:rPr>
      </w:pPr>
    </w:p>
    <w:p w:rsidR="00DA0D82" w:rsidRPr="00473C7B" w:rsidRDefault="00CA5589" w:rsidP="00DA0D82">
      <w:pPr>
        <w:pStyle w:val="ListParagraph"/>
        <w:numPr>
          <w:ilvl w:val="0"/>
          <w:numId w:val="26"/>
        </w:numPr>
        <w:ind w:left="720" w:hanging="720"/>
        <w:rPr>
          <w:rFonts w:cs="Arial"/>
          <w:szCs w:val="22"/>
        </w:rPr>
      </w:pPr>
      <w:r w:rsidRPr="00E83F54">
        <w:rPr>
          <w:rFonts w:cs="Arial"/>
          <w:szCs w:val="22"/>
        </w:rPr>
        <w:t>Conducting compliance</w:t>
      </w:r>
      <w:r w:rsidR="00834748" w:rsidRPr="00E83F54">
        <w:rPr>
          <w:rFonts w:cs="Arial"/>
          <w:szCs w:val="22"/>
        </w:rPr>
        <w:t xml:space="preserve"> and protective assurance</w:t>
      </w:r>
      <w:r w:rsidRPr="00E83F54">
        <w:rPr>
          <w:rFonts w:cs="Arial"/>
          <w:szCs w:val="22"/>
        </w:rPr>
        <w:t xml:space="preserve"> period analyses. </w:t>
      </w:r>
      <w:r w:rsidR="00DA0D82">
        <w:rPr>
          <w:rFonts w:cs="Arial"/>
          <w:szCs w:val="22"/>
        </w:rPr>
        <w:t xml:space="preserve"> </w:t>
      </w:r>
    </w:p>
    <w:p w:rsidR="00DA0D82" w:rsidRPr="00DA0D82" w:rsidRDefault="00DA0D82" w:rsidP="00622786">
      <w:pPr>
        <w:pStyle w:val="ListParagraph"/>
        <w:rPr>
          <w:rFonts w:cs="Arial"/>
          <w:szCs w:val="22"/>
          <w:u w:val="single"/>
        </w:rPr>
      </w:pPr>
    </w:p>
    <w:p w:rsidR="00CA5589" w:rsidRDefault="00D969AC" w:rsidP="00622786">
      <w:pPr>
        <w:pStyle w:val="ListParagraph"/>
        <w:rPr>
          <w:rFonts w:cs="Arial"/>
          <w:szCs w:val="22"/>
        </w:rPr>
      </w:pPr>
      <w:r w:rsidRPr="00E83F54">
        <w:rPr>
          <w:rFonts w:cs="Arial"/>
          <w:szCs w:val="22"/>
        </w:rPr>
        <w:t>P</w:t>
      </w:r>
      <w:r w:rsidR="00CA5589" w:rsidRPr="00E83F54">
        <w:rPr>
          <w:rFonts w:cs="Arial"/>
          <w:szCs w:val="22"/>
        </w:rPr>
        <w:t xml:space="preserve">roposed </w:t>
      </w:r>
      <w:r w:rsidR="00310A8A" w:rsidRPr="00E83F54">
        <w:rPr>
          <w:rFonts w:cs="Arial"/>
          <w:szCs w:val="22"/>
        </w:rPr>
        <w:t xml:space="preserve">10 CFR 61.13(f), </w:t>
      </w:r>
      <w:r w:rsidR="00CA5589" w:rsidRPr="00E83F54">
        <w:rPr>
          <w:rFonts w:cs="Arial"/>
          <w:szCs w:val="22"/>
        </w:rPr>
        <w:t>10 CFR 61.41</w:t>
      </w:r>
      <w:r w:rsidR="00310A8A" w:rsidRPr="00E83F54">
        <w:rPr>
          <w:rFonts w:cs="Arial"/>
          <w:szCs w:val="22"/>
        </w:rPr>
        <w:t>,</w:t>
      </w:r>
      <w:r w:rsidR="00CA5589" w:rsidRPr="00DA0D82">
        <w:rPr>
          <w:rFonts w:cs="Arial"/>
          <w:szCs w:val="22"/>
        </w:rPr>
        <w:t xml:space="preserve"> and 10 CFR 61.42 require a licensee to conduct compliance </w:t>
      </w:r>
      <w:r w:rsidR="00834748" w:rsidRPr="00DA0D82">
        <w:rPr>
          <w:rFonts w:cs="Arial"/>
          <w:szCs w:val="22"/>
        </w:rPr>
        <w:t xml:space="preserve">and protective assurance </w:t>
      </w:r>
      <w:r w:rsidR="00CA5589" w:rsidRPr="00DA0D82">
        <w:rPr>
          <w:rFonts w:cs="Arial"/>
          <w:szCs w:val="22"/>
        </w:rPr>
        <w:t xml:space="preserve">period analyses, which include </w:t>
      </w:r>
      <w:r w:rsidR="00310A8A" w:rsidRPr="00DA0D82">
        <w:rPr>
          <w:rFonts w:cs="Arial"/>
          <w:szCs w:val="22"/>
        </w:rPr>
        <w:t xml:space="preserve">the defense-in-depth analyses, </w:t>
      </w:r>
      <w:r w:rsidR="00CA5589" w:rsidRPr="00DA0D82">
        <w:rPr>
          <w:rFonts w:cs="Arial"/>
          <w:szCs w:val="22"/>
        </w:rPr>
        <w:t>a performance assessment</w:t>
      </w:r>
      <w:r w:rsidR="00834748" w:rsidRPr="00DA0D82">
        <w:rPr>
          <w:rFonts w:cs="Arial"/>
          <w:szCs w:val="22"/>
        </w:rPr>
        <w:t>,</w:t>
      </w:r>
      <w:r w:rsidR="00CA5589" w:rsidRPr="00DA0D82">
        <w:rPr>
          <w:rFonts w:cs="Arial"/>
          <w:szCs w:val="22"/>
        </w:rPr>
        <w:t xml:space="preserve"> and an intruder assessment</w:t>
      </w:r>
      <w:r w:rsidR="00834748" w:rsidRPr="00DA0D82">
        <w:rPr>
          <w:rFonts w:cs="Arial"/>
          <w:szCs w:val="22"/>
        </w:rPr>
        <w:t>,</w:t>
      </w:r>
      <w:r w:rsidR="00310A8A" w:rsidRPr="00DA0D82">
        <w:rPr>
          <w:rFonts w:cs="Arial"/>
          <w:szCs w:val="22"/>
        </w:rPr>
        <w:t xml:space="preserve"> respectively</w:t>
      </w:r>
      <w:r w:rsidR="00CA5589" w:rsidRPr="00DA0D82">
        <w:rPr>
          <w:rFonts w:cs="Arial"/>
          <w:szCs w:val="22"/>
        </w:rPr>
        <w:t xml:space="preserve">.  The NRC estimates that the costs for each licensee to conduct its compliance </w:t>
      </w:r>
      <w:r w:rsidR="00834748" w:rsidRPr="00DA0D82">
        <w:rPr>
          <w:rFonts w:cs="Arial"/>
          <w:szCs w:val="22"/>
        </w:rPr>
        <w:t xml:space="preserve">and protective assurance </w:t>
      </w:r>
      <w:r w:rsidR="00CA5589" w:rsidRPr="00DA0D82">
        <w:rPr>
          <w:rFonts w:cs="Arial"/>
          <w:szCs w:val="22"/>
        </w:rPr>
        <w:t xml:space="preserve">period analyses would equal </w:t>
      </w:r>
      <w:r w:rsidR="00D901C6">
        <w:rPr>
          <w:rFonts w:cs="Arial"/>
          <w:szCs w:val="22"/>
        </w:rPr>
        <w:t>8,880</w:t>
      </w:r>
      <w:r w:rsidR="003207A5" w:rsidRPr="00DA0D82">
        <w:rPr>
          <w:rFonts w:cs="Arial"/>
          <w:szCs w:val="22"/>
        </w:rPr>
        <w:t xml:space="preserve"> hours </w:t>
      </w:r>
      <w:r w:rsidR="00CA5589" w:rsidRPr="00DA0D82">
        <w:rPr>
          <w:rFonts w:cs="Arial"/>
          <w:szCs w:val="22"/>
        </w:rPr>
        <w:t>(</w:t>
      </w:r>
      <w:r w:rsidR="00D901C6">
        <w:rPr>
          <w:rFonts w:cs="Arial"/>
          <w:szCs w:val="22"/>
        </w:rPr>
        <w:t>five</w:t>
      </w:r>
      <w:r w:rsidR="003207A5" w:rsidRPr="00DA0D82">
        <w:rPr>
          <w:rFonts w:cs="Arial"/>
          <w:szCs w:val="22"/>
        </w:rPr>
        <w:t xml:space="preserve"> FTE</w:t>
      </w:r>
      <w:r w:rsidR="00CA5589" w:rsidRPr="00DA0D82">
        <w:rPr>
          <w:rFonts w:cs="Arial"/>
          <w:szCs w:val="22"/>
        </w:rPr>
        <w:t>).  Thus, the estimated total cost, to conduct the technical analysis is $</w:t>
      </w:r>
      <w:r w:rsidR="00D901C6">
        <w:rPr>
          <w:rFonts w:cs="Arial"/>
          <w:szCs w:val="22"/>
        </w:rPr>
        <w:t>440,600</w:t>
      </w:r>
      <w:r w:rsidR="00CA5589" w:rsidRPr="00DA0D82">
        <w:rPr>
          <w:rFonts w:cs="Arial"/>
          <w:szCs w:val="22"/>
        </w:rPr>
        <w:t xml:space="preserve"> per licensee</w:t>
      </w:r>
      <w:r w:rsidR="001A5C42" w:rsidRPr="00DA0D82">
        <w:rPr>
          <w:rFonts w:cs="Arial"/>
          <w:szCs w:val="22"/>
        </w:rPr>
        <w:t xml:space="preserve"> and the total estimated </w:t>
      </w:r>
      <w:r w:rsidR="00B966B6" w:rsidRPr="00DA0D82">
        <w:rPr>
          <w:rFonts w:cs="Arial"/>
          <w:szCs w:val="22"/>
        </w:rPr>
        <w:t>cost to the industry is $</w:t>
      </w:r>
      <w:r w:rsidR="00D901C6">
        <w:rPr>
          <w:rFonts w:cs="Arial"/>
          <w:szCs w:val="22"/>
        </w:rPr>
        <w:t>1,762,</w:t>
      </w:r>
      <w:r w:rsidR="00AE7E21">
        <w:rPr>
          <w:rFonts w:cs="Arial"/>
          <w:szCs w:val="22"/>
        </w:rPr>
        <w:t>400</w:t>
      </w:r>
      <w:r w:rsidR="00CA5589" w:rsidRPr="00DA0D82">
        <w:rPr>
          <w:rFonts w:cs="Arial"/>
          <w:szCs w:val="22"/>
        </w:rPr>
        <w:t xml:space="preserve">.  </w:t>
      </w:r>
    </w:p>
    <w:p w:rsidR="00DA0D82" w:rsidRDefault="00DA0D82" w:rsidP="000279F6">
      <w:pPr>
        <w:pStyle w:val="ListParagraph"/>
        <w:rPr>
          <w:rFonts w:cs="Arial"/>
          <w:szCs w:val="22"/>
        </w:rPr>
      </w:pPr>
    </w:p>
    <w:p w:rsidR="00DA0D82" w:rsidRPr="00473C7B" w:rsidRDefault="00DA0D82" w:rsidP="00DA0D82">
      <w:pPr>
        <w:pStyle w:val="ListParagraph"/>
        <w:numPr>
          <w:ilvl w:val="0"/>
          <w:numId w:val="26"/>
        </w:numPr>
        <w:ind w:left="0" w:firstLine="0"/>
        <w:rPr>
          <w:rFonts w:cs="Arial"/>
          <w:szCs w:val="22"/>
        </w:rPr>
      </w:pPr>
      <w:r w:rsidRPr="00473C7B">
        <w:rPr>
          <w:rFonts w:cs="Arial"/>
          <w:szCs w:val="22"/>
        </w:rPr>
        <w:t xml:space="preserve">Conducting performance period analyses. </w:t>
      </w:r>
    </w:p>
    <w:p w:rsidR="00DA0D82" w:rsidRPr="00473C7B" w:rsidRDefault="00DA0D82" w:rsidP="00DA0D82">
      <w:pPr>
        <w:numPr>
          <w:ilvl w:val="12"/>
          <w:numId w:val="0"/>
        </w:numPr>
        <w:ind w:left="720"/>
        <w:rPr>
          <w:rFonts w:cs="Arial"/>
          <w:szCs w:val="22"/>
        </w:rPr>
      </w:pPr>
    </w:p>
    <w:p w:rsidR="00DA0D82" w:rsidRPr="00DA0D82" w:rsidRDefault="00DA0D82" w:rsidP="000279F6">
      <w:pPr>
        <w:pStyle w:val="ListParagraph"/>
        <w:rPr>
          <w:rFonts w:cs="Arial"/>
          <w:szCs w:val="22"/>
        </w:rPr>
      </w:pPr>
      <w:r w:rsidRPr="00473C7B">
        <w:rPr>
          <w:rFonts w:cs="Arial"/>
          <w:szCs w:val="22"/>
        </w:rPr>
        <w:t>Proposed 10 CFR 61.13(e) requires a licensee to conduct performance period analyses</w:t>
      </w:r>
      <w:r>
        <w:rPr>
          <w:rFonts w:cs="Arial"/>
          <w:szCs w:val="22"/>
        </w:rPr>
        <w:t xml:space="preserve">.  This requirement is assumed to </w:t>
      </w:r>
      <w:r w:rsidRPr="00473C7B">
        <w:rPr>
          <w:rFonts w:cs="Arial"/>
          <w:szCs w:val="22"/>
        </w:rPr>
        <w:t xml:space="preserve">impact two of the four affected licensees.  The NRC estimates that the costs for each licensee to conduct the initial performance period analyses would be equal to </w:t>
      </w:r>
      <w:r w:rsidR="00D901C6">
        <w:rPr>
          <w:rFonts w:cs="Arial"/>
          <w:szCs w:val="22"/>
        </w:rPr>
        <w:t>1,776</w:t>
      </w:r>
      <w:r w:rsidRPr="00473C7B">
        <w:rPr>
          <w:rFonts w:cs="Arial"/>
          <w:szCs w:val="22"/>
        </w:rPr>
        <w:t xml:space="preserve"> hours (</w:t>
      </w:r>
      <w:r w:rsidR="00D901C6">
        <w:rPr>
          <w:rFonts w:cs="Arial"/>
          <w:szCs w:val="22"/>
        </w:rPr>
        <w:t>one</w:t>
      </w:r>
      <w:r w:rsidRPr="00473C7B">
        <w:rPr>
          <w:rFonts w:cs="Arial"/>
          <w:szCs w:val="22"/>
        </w:rPr>
        <w:t xml:space="preserve"> FTE).  Therefore, the estimated cost to conduct the initial performance period analyses is $</w:t>
      </w:r>
      <w:r w:rsidR="00D901C6">
        <w:rPr>
          <w:rFonts w:cs="Arial"/>
          <w:szCs w:val="22"/>
        </w:rPr>
        <w:t>88,125</w:t>
      </w:r>
      <w:r w:rsidRPr="00473C7B">
        <w:rPr>
          <w:rFonts w:cs="Arial"/>
          <w:szCs w:val="22"/>
        </w:rPr>
        <w:t xml:space="preserve"> per licensee and the total estimated cost to industry is $</w:t>
      </w:r>
      <w:r w:rsidR="00D901C6">
        <w:rPr>
          <w:rFonts w:cs="Arial"/>
          <w:szCs w:val="22"/>
        </w:rPr>
        <w:t>176,250.</w:t>
      </w:r>
    </w:p>
    <w:p w:rsidR="00DA0D82" w:rsidRDefault="00DA0D82" w:rsidP="00473C7B">
      <w:pPr>
        <w:pStyle w:val="Level1"/>
        <w:widowControl/>
        <w:tabs>
          <w:tab w:val="clear" w:pos="-1080"/>
          <w:tab w:val="clear" w:pos="-720"/>
          <w:tab w:val="clear" w:pos="0"/>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Arial" w:hAnsi="Arial" w:cs="Arial"/>
          <w:sz w:val="22"/>
          <w:szCs w:val="22"/>
        </w:rPr>
      </w:pPr>
    </w:p>
    <w:p w:rsidR="00CA5589" w:rsidRPr="00473C7B" w:rsidRDefault="004D17D0" w:rsidP="00AB5FA7">
      <w:pPr>
        <w:pStyle w:val="ListParagraph"/>
        <w:keepNext/>
        <w:numPr>
          <w:ilvl w:val="0"/>
          <w:numId w:val="26"/>
        </w:numPr>
        <w:ind w:left="720" w:hanging="720"/>
        <w:rPr>
          <w:rFonts w:cs="Arial"/>
          <w:szCs w:val="22"/>
        </w:rPr>
      </w:pPr>
      <w:r>
        <w:rPr>
          <w:rFonts w:cs="Arial"/>
          <w:szCs w:val="22"/>
        </w:rPr>
        <w:lastRenderedPageBreak/>
        <w:t>Development of</w:t>
      </w:r>
      <w:r w:rsidRPr="00473C7B">
        <w:rPr>
          <w:rFonts w:cs="Arial"/>
          <w:szCs w:val="22"/>
        </w:rPr>
        <w:t xml:space="preserve"> </w:t>
      </w:r>
      <w:r w:rsidR="00CA5589" w:rsidRPr="00473C7B">
        <w:rPr>
          <w:rFonts w:cs="Arial"/>
          <w:szCs w:val="22"/>
        </w:rPr>
        <w:t xml:space="preserve">LLRW acceptance plan. </w:t>
      </w:r>
    </w:p>
    <w:p w:rsidR="00CA5589" w:rsidRPr="00473C7B" w:rsidRDefault="00CA5589" w:rsidP="00AB5FA7">
      <w:pPr>
        <w:keepNext/>
        <w:numPr>
          <w:ilvl w:val="12"/>
          <w:numId w:val="0"/>
        </w:numPr>
        <w:ind w:left="720"/>
        <w:rPr>
          <w:rFonts w:cs="Arial"/>
          <w:szCs w:val="22"/>
          <w:u w:val="single"/>
        </w:rPr>
      </w:pPr>
    </w:p>
    <w:p w:rsidR="00E01F20" w:rsidRPr="00473C7B" w:rsidRDefault="00CA5589" w:rsidP="00AB5FA7">
      <w:pPr>
        <w:pStyle w:val="Level1"/>
        <w:keepNext/>
        <w:widowControl/>
        <w:tabs>
          <w:tab w:val="clear" w:pos="-1080"/>
          <w:tab w:val="clear" w:pos="-720"/>
          <w:tab w:val="clear" w:pos="0"/>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Arial" w:hAnsi="Arial" w:cs="Arial"/>
          <w:sz w:val="22"/>
          <w:szCs w:val="22"/>
        </w:rPr>
      </w:pPr>
      <w:r w:rsidRPr="00473C7B">
        <w:rPr>
          <w:rFonts w:ascii="Arial" w:hAnsi="Arial" w:cs="Arial"/>
          <w:sz w:val="22"/>
          <w:szCs w:val="22"/>
        </w:rPr>
        <w:t>Proposed 10 CFR 61.58 require</w:t>
      </w:r>
      <w:r w:rsidR="00DD3286" w:rsidRPr="00473C7B">
        <w:rPr>
          <w:rFonts w:ascii="Arial" w:hAnsi="Arial" w:cs="Arial"/>
          <w:sz w:val="22"/>
          <w:szCs w:val="22"/>
        </w:rPr>
        <w:t>s</w:t>
      </w:r>
      <w:r w:rsidRPr="00473C7B">
        <w:rPr>
          <w:rFonts w:ascii="Arial" w:hAnsi="Arial" w:cs="Arial"/>
          <w:sz w:val="22"/>
          <w:szCs w:val="22"/>
        </w:rPr>
        <w:t xml:space="preserve"> a licensee to develop </w:t>
      </w:r>
      <w:r w:rsidR="004D17D0">
        <w:rPr>
          <w:rFonts w:ascii="Arial" w:hAnsi="Arial" w:cs="Arial"/>
          <w:sz w:val="22"/>
          <w:szCs w:val="22"/>
        </w:rPr>
        <w:t>a</w:t>
      </w:r>
      <w:r w:rsidRPr="00473C7B">
        <w:rPr>
          <w:rFonts w:ascii="Arial" w:hAnsi="Arial" w:cs="Arial"/>
          <w:sz w:val="22"/>
          <w:szCs w:val="22"/>
        </w:rPr>
        <w:t xml:space="preserve"> LLRW acceptance plan</w:t>
      </w:r>
      <w:r w:rsidR="00AC6B35" w:rsidRPr="00473C7B">
        <w:rPr>
          <w:rFonts w:ascii="Arial" w:hAnsi="Arial" w:cs="Arial"/>
          <w:sz w:val="22"/>
          <w:szCs w:val="22"/>
        </w:rPr>
        <w:t xml:space="preserve"> that impact</w:t>
      </w:r>
      <w:r w:rsidR="00E25A70" w:rsidRPr="00473C7B">
        <w:rPr>
          <w:rFonts w:ascii="Arial" w:hAnsi="Arial" w:cs="Arial"/>
          <w:sz w:val="22"/>
          <w:szCs w:val="22"/>
        </w:rPr>
        <w:t>s</w:t>
      </w:r>
      <w:r w:rsidRPr="00473C7B">
        <w:rPr>
          <w:rFonts w:ascii="Arial" w:hAnsi="Arial" w:cs="Arial"/>
          <w:sz w:val="22"/>
          <w:szCs w:val="22"/>
        </w:rPr>
        <w:t xml:space="preserve"> </w:t>
      </w:r>
      <w:r w:rsidR="003207A5" w:rsidRPr="00473C7B">
        <w:rPr>
          <w:rFonts w:ascii="Arial" w:hAnsi="Arial" w:cs="Arial"/>
          <w:sz w:val="22"/>
          <w:szCs w:val="22"/>
        </w:rPr>
        <w:t xml:space="preserve">four </w:t>
      </w:r>
      <w:r w:rsidRPr="00473C7B">
        <w:rPr>
          <w:rFonts w:ascii="Arial" w:hAnsi="Arial" w:cs="Arial"/>
          <w:sz w:val="22"/>
          <w:szCs w:val="22"/>
        </w:rPr>
        <w:t xml:space="preserve">licensees.  The licensee’s cost of developing </w:t>
      </w:r>
      <w:r w:rsidR="004D17D0">
        <w:rPr>
          <w:rFonts w:ascii="Arial" w:hAnsi="Arial" w:cs="Arial"/>
          <w:sz w:val="22"/>
          <w:szCs w:val="22"/>
        </w:rPr>
        <w:t>a</w:t>
      </w:r>
      <w:r w:rsidRPr="00473C7B">
        <w:rPr>
          <w:rFonts w:ascii="Arial" w:hAnsi="Arial" w:cs="Arial"/>
          <w:sz w:val="22"/>
          <w:szCs w:val="22"/>
        </w:rPr>
        <w:t xml:space="preserve"> </w:t>
      </w:r>
      <w:r w:rsidR="00B30FA5" w:rsidRPr="00473C7B">
        <w:rPr>
          <w:rFonts w:ascii="Arial" w:hAnsi="Arial" w:cs="Arial"/>
          <w:sz w:val="22"/>
          <w:szCs w:val="22"/>
        </w:rPr>
        <w:t xml:space="preserve">LLRW </w:t>
      </w:r>
      <w:r w:rsidRPr="00473C7B">
        <w:rPr>
          <w:rFonts w:ascii="Arial" w:hAnsi="Arial" w:cs="Arial"/>
          <w:sz w:val="22"/>
          <w:szCs w:val="22"/>
        </w:rPr>
        <w:t xml:space="preserve">acceptance plan is estimated to </w:t>
      </w:r>
      <w:r w:rsidR="004D17D0">
        <w:rPr>
          <w:rFonts w:ascii="Arial" w:hAnsi="Arial" w:cs="Arial"/>
          <w:sz w:val="22"/>
          <w:szCs w:val="22"/>
        </w:rPr>
        <w:t xml:space="preserve">be </w:t>
      </w:r>
      <w:r w:rsidR="003207A5" w:rsidRPr="00473C7B">
        <w:rPr>
          <w:rFonts w:ascii="Arial" w:hAnsi="Arial" w:cs="Arial"/>
          <w:sz w:val="22"/>
          <w:szCs w:val="22"/>
        </w:rPr>
        <w:t xml:space="preserve">1,776 hours </w:t>
      </w:r>
      <w:r w:rsidRPr="00473C7B">
        <w:rPr>
          <w:rFonts w:ascii="Arial" w:hAnsi="Arial" w:cs="Arial"/>
          <w:sz w:val="22"/>
          <w:szCs w:val="22"/>
        </w:rPr>
        <w:t>(</w:t>
      </w:r>
      <w:r w:rsidR="003207A5" w:rsidRPr="00473C7B">
        <w:rPr>
          <w:rFonts w:ascii="Arial" w:hAnsi="Arial" w:cs="Arial"/>
          <w:sz w:val="22"/>
          <w:szCs w:val="22"/>
        </w:rPr>
        <w:t>one FTE</w:t>
      </w:r>
      <w:r w:rsidRPr="00473C7B">
        <w:rPr>
          <w:rFonts w:ascii="Arial" w:hAnsi="Arial" w:cs="Arial"/>
          <w:sz w:val="22"/>
          <w:szCs w:val="22"/>
        </w:rPr>
        <w:t>) for a total cost of $</w:t>
      </w:r>
      <w:r w:rsidR="00CD28F6" w:rsidRPr="00473C7B">
        <w:rPr>
          <w:rFonts w:ascii="Arial" w:hAnsi="Arial" w:cs="Arial"/>
          <w:sz w:val="22"/>
          <w:szCs w:val="22"/>
        </w:rPr>
        <w:t>88,125</w:t>
      </w:r>
      <w:r w:rsidRPr="00473C7B">
        <w:rPr>
          <w:rFonts w:ascii="Arial" w:hAnsi="Arial" w:cs="Arial"/>
          <w:sz w:val="22"/>
          <w:szCs w:val="22"/>
        </w:rPr>
        <w:t xml:space="preserve"> per licensee</w:t>
      </w:r>
      <w:r w:rsidR="00E01F20" w:rsidRPr="00473C7B">
        <w:rPr>
          <w:rFonts w:ascii="Arial" w:hAnsi="Arial" w:cs="Arial"/>
          <w:sz w:val="22"/>
          <w:szCs w:val="22"/>
        </w:rPr>
        <w:t xml:space="preserve"> and the total estimated cost to the industry is $352,500.  </w:t>
      </w:r>
    </w:p>
    <w:p w:rsidR="0006301B" w:rsidRDefault="0006301B" w:rsidP="00473C7B">
      <w:pPr>
        <w:keepNext/>
        <w:numPr>
          <w:ilvl w:val="12"/>
          <w:numId w:val="0"/>
        </w:numPr>
        <w:ind w:left="720"/>
        <w:rPr>
          <w:rFonts w:cs="Arial"/>
          <w:szCs w:val="22"/>
        </w:rPr>
      </w:pPr>
    </w:p>
    <w:p w:rsidR="0006301B" w:rsidRPr="0006301B" w:rsidRDefault="0006301B" w:rsidP="0006301B">
      <w:pPr>
        <w:pStyle w:val="ListParagraph"/>
        <w:ind w:left="1810" w:hanging="1810"/>
      </w:pPr>
      <w:r w:rsidRPr="0006301B">
        <w:rPr>
          <w:rFonts w:cs="Arial"/>
          <w:szCs w:val="22"/>
          <w:u w:val="single"/>
        </w:rPr>
        <w:t xml:space="preserve">Updated analyses required at licensee renewal forecasted to be conducted in </w:t>
      </w:r>
      <w:r w:rsidRPr="00CE7119">
        <w:rPr>
          <w:rFonts w:cs="Arial"/>
          <w:szCs w:val="22"/>
          <w:u w:val="single"/>
        </w:rPr>
        <w:t>year 2024</w:t>
      </w:r>
      <w:r>
        <w:rPr>
          <w:rFonts w:cs="Arial"/>
          <w:szCs w:val="22"/>
          <w:u w:val="single"/>
        </w:rPr>
        <w:t xml:space="preserve">. </w:t>
      </w:r>
    </w:p>
    <w:p w:rsidR="00CA5589" w:rsidRPr="00473C7B" w:rsidRDefault="00CA5589" w:rsidP="00473C7B">
      <w:pPr>
        <w:keepNext/>
        <w:numPr>
          <w:ilvl w:val="12"/>
          <w:numId w:val="0"/>
        </w:numPr>
        <w:ind w:left="720"/>
        <w:rPr>
          <w:rFonts w:cs="Arial"/>
          <w:szCs w:val="22"/>
        </w:rPr>
      </w:pPr>
    </w:p>
    <w:p w:rsidR="0006301B" w:rsidRDefault="0006301B" w:rsidP="0006301B">
      <w:pPr>
        <w:pStyle w:val="ListParagraph"/>
        <w:numPr>
          <w:ilvl w:val="0"/>
          <w:numId w:val="26"/>
        </w:numPr>
        <w:ind w:left="720" w:hanging="630"/>
        <w:rPr>
          <w:rFonts w:cs="Arial"/>
          <w:szCs w:val="22"/>
        </w:rPr>
      </w:pPr>
      <w:r>
        <w:rPr>
          <w:rFonts w:cs="Arial"/>
          <w:szCs w:val="22"/>
        </w:rPr>
        <w:t>Updating of</w:t>
      </w:r>
      <w:r w:rsidRPr="00473C7B">
        <w:rPr>
          <w:rFonts w:cs="Arial"/>
          <w:szCs w:val="22"/>
        </w:rPr>
        <w:t xml:space="preserve"> </w:t>
      </w:r>
      <w:r>
        <w:rPr>
          <w:rFonts w:cs="Arial"/>
          <w:szCs w:val="22"/>
        </w:rPr>
        <w:t xml:space="preserve">the </w:t>
      </w:r>
      <w:r w:rsidRPr="00473C7B">
        <w:rPr>
          <w:rFonts w:cs="Arial"/>
          <w:szCs w:val="22"/>
        </w:rPr>
        <w:t xml:space="preserve">compliance </w:t>
      </w:r>
      <w:r>
        <w:rPr>
          <w:rFonts w:cs="Arial"/>
          <w:szCs w:val="22"/>
        </w:rPr>
        <w:t xml:space="preserve">and protective assurance </w:t>
      </w:r>
      <w:r w:rsidRPr="00473C7B">
        <w:rPr>
          <w:rFonts w:cs="Arial"/>
          <w:szCs w:val="22"/>
        </w:rPr>
        <w:t xml:space="preserve">period analyses during facility operations. </w:t>
      </w:r>
      <w:r>
        <w:rPr>
          <w:rFonts w:cs="Arial"/>
          <w:szCs w:val="22"/>
        </w:rPr>
        <w:t xml:space="preserve"> </w:t>
      </w:r>
    </w:p>
    <w:p w:rsidR="0006301B" w:rsidRPr="00473C7B" w:rsidRDefault="0006301B" w:rsidP="0006301B">
      <w:pPr>
        <w:pStyle w:val="ListParagraph"/>
        <w:rPr>
          <w:rFonts w:cs="Arial"/>
          <w:szCs w:val="22"/>
        </w:rPr>
      </w:pPr>
    </w:p>
    <w:p w:rsidR="0006301B" w:rsidRDefault="0006301B" w:rsidP="0006301B">
      <w:pPr>
        <w:pStyle w:val="ListParagraph"/>
      </w:pPr>
      <w:r w:rsidRPr="00317395">
        <w:t>To e</w:t>
      </w:r>
      <w:r w:rsidRPr="00E83F54">
        <w:t xml:space="preserve">nsure compliance with the Subpart C performance objectives, proposed 10 CFR 61.13(f), </w:t>
      </w:r>
      <w:r w:rsidRPr="00317395">
        <w:t xml:space="preserve">10 CFR 61.41, and 10 CFR 61.42 requires a licensee to update its compliance and protective assurance period analyses, including the defense-in-depth analyses, a performance assessment, and an intruder assessment, respectively.  This would demonstrate that Subpart C would be met during the 10,000-year compliance and protective assurance period.  This analysis assumes that each licensee would conduct this update during the fifth year of the regulatory analysis period.  The NRC estimates that the costs for the updated compliance and protective assurance period analyses would require </w:t>
      </w:r>
      <w:r w:rsidR="00CE7119">
        <w:t>3,552</w:t>
      </w:r>
      <w:r w:rsidRPr="00317395">
        <w:t xml:space="preserve"> hours (</w:t>
      </w:r>
      <w:r w:rsidR="00CE7119">
        <w:t>two</w:t>
      </w:r>
      <w:r w:rsidRPr="00317395">
        <w:t xml:space="preserve"> FTE), or </w:t>
      </w:r>
      <w:r w:rsidR="00CE7119">
        <w:t xml:space="preserve">approximately </w:t>
      </w:r>
      <w:r w:rsidRPr="00317395">
        <w:t>$</w:t>
      </w:r>
      <w:r w:rsidR="00CE7119">
        <w:t>176,250</w:t>
      </w:r>
      <w:r w:rsidRPr="00317395">
        <w:t xml:space="preserve"> per licensee with the total </w:t>
      </w:r>
      <w:r w:rsidR="00CE7119">
        <w:t xml:space="preserve">approximate </w:t>
      </w:r>
      <w:r w:rsidRPr="00317395">
        <w:t>cost to industry of $</w:t>
      </w:r>
      <w:r w:rsidR="00CE7119">
        <w:t>705,000</w:t>
      </w:r>
      <w:r w:rsidRPr="00317395">
        <w:t xml:space="preserve">.  </w:t>
      </w:r>
    </w:p>
    <w:p w:rsidR="0006301B" w:rsidRDefault="0006301B" w:rsidP="0006301B">
      <w:pPr>
        <w:pStyle w:val="ListParagraph"/>
      </w:pPr>
    </w:p>
    <w:p w:rsidR="0006301B" w:rsidRPr="00473C7B" w:rsidRDefault="0006301B" w:rsidP="0006301B">
      <w:pPr>
        <w:pStyle w:val="ListParagraph"/>
        <w:numPr>
          <w:ilvl w:val="0"/>
          <w:numId w:val="26"/>
        </w:numPr>
        <w:ind w:left="720" w:hanging="720"/>
        <w:rPr>
          <w:rFonts w:cs="Arial"/>
          <w:szCs w:val="22"/>
        </w:rPr>
      </w:pPr>
      <w:r>
        <w:rPr>
          <w:rFonts w:cs="Arial"/>
          <w:szCs w:val="22"/>
        </w:rPr>
        <w:t>Updating of</w:t>
      </w:r>
      <w:r w:rsidRPr="00473C7B">
        <w:rPr>
          <w:rFonts w:cs="Arial"/>
          <w:szCs w:val="22"/>
        </w:rPr>
        <w:t xml:space="preserve"> </w:t>
      </w:r>
      <w:r>
        <w:rPr>
          <w:rFonts w:cs="Arial"/>
          <w:szCs w:val="22"/>
        </w:rPr>
        <w:t xml:space="preserve">the </w:t>
      </w:r>
      <w:r w:rsidRPr="00473C7B">
        <w:rPr>
          <w:rFonts w:cs="Arial"/>
          <w:szCs w:val="22"/>
        </w:rPr>
        <w:t>performance period analyses during facility operations.</w:t>
      </w:r>
    </w:p>
    <w:p w:rsidR="0006301B" w:rsidRPr="00473C7B" w:rsidRDefault="0006301B" w:rsidP="0006301B">
      <w:pPr>
        <w:numPr>
          <w:ilvl w:val="12"/>
          <w:numId w:val="0"/>
        </w:numPr>
        <w:ind w:left="720"/>
        <w:rPr>
          <w:rFonts w:cs="Arial"/>
          <w:szCs w:val="22"/>
        </w:rPr>
      </w:pPr>
    </w:p>
    <w:p w:rsidR="0006301B" w:rsidRDefault="0006301B" w:rsidP="0006301B">
      <w:pPr>
        <w:ind w:left="720"/>
        <w:rPr>
          <w:rFonts w:cs="Arial"/>
          <w:szCs w:val="22"/>
        </w:rPr>
      </w:pPr>
      <w:r w:rsidRPr="00473C7B">
        <w:rPr>
          <w:rFonts w:cs="Arial"/>
          <w:szCs w:val="22"/>
        </w:rPr>
        <w:t xml:space="preserve">To ensure compliance with the Subpart C performance objectives, proposed 10 CFR 61.13(e) requires licensees to update </w:t>
      </w:r>
      <w:r>
        <w:rPr>
          <w:rFonts w:cs="Arial"/>
          <w:szCs w:val="22"/>
        </w:rPr>
        <w:t>their</w:t>
      </w:r>
      <w:r w:rsidRPr="00473C7B">
        <w:rPr>
          <w:rFonts w:cs="Arial"/>
          <w:szCs w:val="22"/>
        </w:rPr>
        <w:t xml:space="preserve"> performance period analyses.  This impacts the two licensees that </w:t>
      </w:r>
      <w:r>
        <w:rPr>
          <w:rFonts w:cs="Arial"/>
          <w:szCs w:val="22"/>
        </w:rPr>
        <w:t xml:space="preserve">are assumed to </w:t>
      </w:r>
      <w:r w:rsidRPr="00473C7B">
        <w:rPr>
          <w:rFonts w:cs="Arial"/>
          <w:szCs w:val="22"/>
        </w:rPr>
        <w:t xml:space="preserve">accept long-lived LLRW.  This analysis assumes that each licensee would conduct this update during the fifth year of the analysis period. </w:t>
      </w:r>
      <w:r>
        <w:rPr>
          <w:rFonts w:cs="Arial"/>
          <w:szCs w:val="22"/>
        </w:rPr>
        <w:t xml:space="preserve"> </w:t>
      </w:r>
      <w:r w:rsidRPr="00473C7B">
        <w:rPr>
          <w:rFonts w:cs="Arial"/>
          <w:szCs w:val="22"/>
        </w:rPr>
        <w:t xml:space="preserve">The NRC estimates that each licensee’s updated performance period analysis would require </w:t>
      </w:r>
      <w:r w:rsidR="00CE7119">
        <w:rPr>
          <w:rFonts w:cs="Arial"/>
          <w:szCs w:val="22"/>
        </w:rPr>
        <w:t>888</w:t>
      </w:r>
      <w:r w:rsidRPr="00473C7B">
        <w:rPr>
          <w:rFonts w:cs="Arial"/>
          <w:szCs w:val="22"/>
        </w:rPr>
        <w:t xml:space="preserve"> hours (</w:t>
      </w:r>
      <w:r w:rsidR="00CE7119">
        <w:rPr>
          <w:rFonts w:cs="Arial"/>
          <w:szCs w:val="22"/>
        </w:rPr>
        <w:t>0.5</w:t>
      </w:r>
      <w:r w:rsidRPr="00473C7B">
        <w:rPr>
          <w:rFonts w:cs="Arial"/>
          <w:szCs w:val="22"/>
        </w:rPr>
        <w:t xml:space="preserve"> FTE), or </w:t>
      </w:r>
      <w:r w:rsidR="00CE7119">
        <w:rPr>
          <w:rFonts w:cs="Arial"/>
          <w:szCs w:val="22"/>
        </w:rPr>
        <w:t xml:space="preserve">approximately </w:t>
      </w:r>
      <w:r w:rsidRPr="00473C7B">
        <w:rPr>
          <w:rFonts w:cs="Arial"/>
          <w:szCs w:val="22"/>
        </w:rPr>
        <w:t>$</w:t>
      </w:r>
      <w:r w:rsidR="00CE7119">
        <w:rPr>
          <w:rFonts w:cs="Arial"/>
          <w:szCs w:val="22"/>
        </w:rPr>
        <w:t>44,000</w:t>
      </w:r>
      <w:r w:rsidRPr="00473C7B">
        <w:rPr>
          <w:rFonts w:cs="Arial"/>
          <w:szCs w:val="22"/>
        </w:rPr>
        <w:t xml:space="preserve"> with the total </w:t>
      </w:r>
      <w:r w:rsidR="00CE7119">
        <w:rPr>
          <w:rFonts w:cs="Arial"/>
          <w:szCs w:val="22"/>
        </w:rPr>
        <w:t xml:space="preserve">approximate </w:t>
      </w:r>
      <w:r w:rsidRPr="00473C7B">
        <w:rPr>
          <w:rFonts w:cs="Arial"/>
          <w:szCs w:val="22"/>
        </w:rPr>
        <w:t>cost to industry of $</w:t>
      </w:r>
      <w:r w:rsidR="00CE7119">
        <w:rPr>
          <w:rFonts w:cs="Arial"/>
          <w:szCs w:val="22"/>
        </w:rPr>
        <w:t>88,000</w:t>
      </w:r>
      <w:r w:rsidRPr="00473C7B">
        <w:rPr>
          <w:rFonts w:cs="Arial"/>
          <w:szCs w:val="22"/>
        </w:rPr>
        <w:t xml:space="preserve">.  </w:t>
      </w:r>
    </w:p>
    <w:p w:rsidR="0006301B" w:rsidRDefault="0006301B" w:rsidP="0006301B">
      <w:pPr>
        <w:ind w:left="720"/>
        <w:rPr>
          <w:rFonts w:cs="Arial"/>
          <w:szCs w:val="22"/>
        </w:rPr>
      </w:pPr>
    </w:p>
    <w:p w:rsidR="0006301B" w:rsidRPr="00473C7B" w:rsidRDefault="0006301B" w:rsidP="0006301B">
      <w:pPr>
        <w:pStyle w:val="ListParagraph"/>
        <w:numPr>
          <w:ilvl w:val="0"/>
          <w:numId w:val="26"/>
        </w:numPr>
        <w:ind w:left="720" w:hanging="720"/>
        <w:rPr>
          <w:rFonts w:cs="Arial"/>
          <w:szCs w:val="22"/>
        </w:rPr>
      </w:pPr>
      <w:r>
        <w:rPr>
          <w:rFonts w:cs="Arial"/>
          <w:szCs w:val="22"/>
        </w:rPr>
        <w:t>Updating of the</w:t>
      </w:r>
      <w:r w:rsidRPr="00473C7B">
        <w:rPr>
          <w:rFonts w:cs="Arial"/>
          <w:szCs w:val="22"/>
        </w:rPr>
        <w:t xml:space="preserve"> LLRW acceptance plan during facility operations.</w:t>
      </w:r>
    </w:p>
    <w:p w:rsidR="0006301B" w:rsidRPr="00473C7B" w:rsidRDefault="0006301B" w:rsidP="0006301B">
      <w:pPr>
        <w:numPr>
          <w:ilvl w:val="12"/>
          <w:numId w:val="0"/>
        </w:numPr>
        <w:ind w:left="720"/>
        <w:rPr>
          <w:rFonts w:cs="Arial"/>
          <w:szCs w:val="22"/>
        </w:rPr>
      </w:pPr>
    </w:p>
    <w:p w:rsidR="0006301B" w:rsidRDefault="0006301B" w:rsidP="0006301B">
      <w:pPr>
        <w:ind w:left="720"/>
        <w:rPr>
          <w:rFonts w:cs="Arial"/>
          <w:szCs w:val="22"/>
        </w:rPr>
      </w:pPr>
      <w:r w:rsidRPr="00473C7B">
        <w:rPr>
          <w:rFonts w:cs="Arial"/>
          <w:szCs w:val="22"/>
        </w:rPr>
        <w:t xml:space="preserve">Proposed 10 CFR 61.58 ensures compliance with the Subpart C performance objectives by requiring licensees to update their LLRW acceptance plans.  This analysis assumes that each licensee would conduct this update during the fifth year of the </w:t>
      </w:r>
      <w:r>
        <w:rPr>
          <w:rFonts w:cs="Arial"/>
          <w:szCs w:val="22"/>
        </w:rPr>
        <w:t xml:space="preserve">regulatory </w:t>
      </w:r>
      <w:r w:rsidRPr="00473C7B">
        <w:rPr>
          <w:rFonts w:cs="Arial"/>
          <w:szCs w:val="22"/>
        </w:rPr>
        <w:t>analysis period.</w:t>
      </w:r>
      <w:r>
        <w:rPr>
          <w:rFonts w:cs="Arial"/>
          <w:szCs w:val="22"/>
        </w:rPr>
        <w:t xml:space="preserve">  </w:t>
      </w:r>
      <w:r w:rsidRPr="00473C7B">
        <w:rPr>
          <w:rFonts w:cs="Arial"/>
          <w:szCs w:val="22"/>
        </w:rPr>
        <w:t xml:space="preserve">The NRC estimates that each LLRW acceptance plan update would require 888 hours (0.5 FTE), or </w:t>
      </w:r>
      <w:r w:rsidR="00CE7119">
        <w:rPr>
          <w:rFonts w:cs="Arial"/>
          <w:szCs w:val="22"/>
        </w:rPr>
        <w:t xml:space="preserve">approximately </w:t>
      </w:r>
      <w:r w:rsidRPr="00473C7B">
        <w:rPr>
          <w:rFonts w:cs="Arial"/>
          <w:szCs w:val="22"/>
        </w:rPr>
        <w:t>$44,0</w:t>
      </w:r>
      <w:r w:rsidR="00CE7119">
        <w:rPr>
          <w:rFonts w:cs="Arial"/>
          <w:szCs w:val="22"/>
        </w:rPr>
        <w:t>00</w:t>
      </w:r>
      <w:r w:rsidRPr="00473C7B">
        <w:rPr>
          <w:rFonts w:cs="Arial"/>
          <w:szCs w:val="22"/>
        </w:rPr>
        <w:t xml:space="preserve"> per licensee with the total cost to industry of </w:t>
      </w:r>
      <w:r w:rsidR="00CE7119">
        <w:rPr>
          <w:rFonts w:cs="Arial"/>
          <w:szCs w:val="22"/>
        </w:rPr>
        <w:t xml:space="preserve">approximately </w:t>
      </w:r>
      <w:r w:rsidRPr="00473C7B">
        <w:rPr>
          <w:rFonts w:cs="Arial"/>
          <w:szCs w:val="22"/>
        </w:rPr>
        <w:t>$176,</w:t>
      </w:r>
      <w:r w:rsidR="00E94160">
        <w:rPr>
          <w:rFonts w:cs="Arial"/>
          <w:szCs w:val="22"/>
        </w:rPr>
        <w:t>000</w:t>
      </w:r>
      <w:r w:rsidRPr="00473C7B">
        <w:rPr>
          <w:rFonts w:cs="Arial"/>
          <w:szCs w:val="22"/>
        </w:rPr>
        <w:t xml:space="preserve">.  </w:t>
      </w:r>
    </w:p>
    <w:p w:rsidR="0006301B" w:rsidRDefault="0006301B" w:rsidP="0006301B">
      <w:pPr>
        <w:ind w:left="720"/>
        <w:rPr>
          <w:rFonts w:cs="Arial"/>
          <w:szCs w:val="22"/>
        </w:rPr>
      </w:pPr>
    </w:p>
    <w:p w:rsidR="0006301B" w:rsidRDefault="0006301B" w:rsidP="0006301B">
      <w:pPr>
        <w:pStyle w:val="ListParagraph"/>
        <w:ind w:hanging="810"/>
        <w:rPr>
          <w:rFonts w:cs="Arial"/>
          <w:szCs w:val="22"/>
          <w:u w:val="single"/>
        </w:rPr>
      </w:pPr>
      <w:r w:rsidRPr="0006301B">
        <w:rPr>
          <w:rFonts w:cs="Arial"/>
          <w:szCs w:val="22"/>
          <w:u w:val="single"/>
        </w:rPr>
        <w:t>Updated analyses required at facility closure</w:t>
      </w:r>
      <w:r w:rsidRPr="00CE7119">
        <w:rPr>
          <w:rFonts w:cs="Arial"/>
          <w:szCs w:val="22"/>
          <w:u w:val="single"/>
        </w:rPr>
        <w:t xml:space="preserve"> forecasted to be conducted in year 2029</w:t>
      </w:r>
      <w:r>
        <w:rPr>
          <w:rFonts w:cs="Arial"/>
          <w:szCs w:val="22"/>
          <w:u w:val="single"/>
        </w:rPr>
        <w:t>.</w:t>
      </w:r>
    </w:p>
    <w:p w:rsidR="0006301B" w:rsidRDefault="0006301B" w:rsidP="0006301B">
      <w:pPr>
        <w:ind w:left="720"/>
        <w:rPr>
          <w:rFonts w:cs="Arial"/>
          <w:szCs w:val="22"/>
        </w:rPr>
      </w:pPr>
    </w:p>
    <w:p w:rsidR="00CA5589" w:rsidRPr="00473C7B" w:rsidRDefault="00EC1472" w:rsidP="00537E69">
      <w:pPr>
        <w:pStyle w:val="ListParagraph"/>
        <w:numPr>
          <w:ilvl w:val="0"/>
          <w:numId w:val="26"/>
        </w:numPr>
        <w:ind w:left="720" w:hanging="720"/>
        <w:rPr>
          <w:rFonts w:cs="Arial"/>
          <w:szCs w:val="22"/>
        </w:rPr>
      </w:pPr>
      <w:r>
        <w:rPr>
          <w:rFonts w:cs="Arial"/>
          <w:szCs w:val="22"/>
        </w:rPr>
        <w:t>Update of</w:t>
      </w:r>
      <w:r w:rsidR="00CA5589" w:rsidRPr="00473C7B">
        <w:rPr>
          <w:rFonts w:cs="Arial"/>
          <w:szCs w:val="22"/>
        </w:rPr>
        <w:t xml:space="preserve"> compliance </w:t>
      </w:r>
      <w:r w:rsidR="00834748">
        <w:rPr>
          <w:rFonts w:cs="Arial"/>
          <w:szCs w:val="22"/>
        </w:rPr>
        <w:t xml:space="preserve">and protective assurance </w:t>
      </w:r>
      <w:r w:rsidR="00CA5589" w:rsidRPr="00473C7B">
        <w:rPr>
          <w:rFonts w:cs="Arial"/>
          <w:szCs w:val="22"/>
        </w:rPr>
        <w:t>period analyses with the application to amend the license for closure.</w:t>
      </w:r>
    </w:p>
    <w:p w:rsidR="00CA5589" w:rsidRPr="00473C7B" w:rsidRDefault="00CA5589" w:rsidP="00473C7B">
      <w:pPr>
        <w:pStyle w:val="ListParagraph"/>
        <w:rPr>
          <w:rFonts w:cs="Arial"/>
          <w:szCs w:val="22"/>
        </w:rPr>
      </w:pPr>
    </w:p>
    <w:p w:rsidR="00CA5589" w:rsidRDefault="00CA5589" w:rsidP="00473C7B">
      <w:pPr>
        <w:pStyle w:val="ListParagraph"/>
        <w:rPr>
          <w:rFonts w:cs="Arial"/>
          <w:szCs w:val="22"/>
        </w:rPr>
      </w:pPr>
      <w:r w:rsidRPr="00473C7B">
        <w:rPr>
          <w:rFonts w:cs="Arial"/>
          <w:szCs w:val="22"/>
        </w:rPr>
        <w:t>Proposed 10 CFR 61.28 require</w:t>
      </w:r>
      <w:r w:rsidR="00DD3286" w:rsidRPr="00473C7B">
        <w:rPr>
          <w:rFonts w:cs="Arial"/>
          <w:szCs w:val="22"/>
        </w:rPr>
        <w:t>s</w:t>
      </w:r>
      <w:r w:rsidRPr="00473C7B">
        <w:rPr>
          <w:rFonts w:cs="Arial"/>
          <w:szCs w:val="22"/>
        </w:rPr>
        <w:t xml:space="preserve"> a licensee to update its compliance </w:t>
      </w:r>
      <w:r w:rsidR="00834748">
        <w:rPr>
          <w:rFonts w:cs="Arial"/>
          <w:szCs w:val="22"/>
        </w:rPr>
        <w:t xml:space="preserve">and protective assurance </w:t>
      </w:r>
      <w:r w:rsidRPr="00473C7B">
        <w:rPr>
          <w:rFonts w:cs="Arial"/>
          <w:szCs w:val="22"/>
        </w:rPr>
        <w:t xml:space="preserve">period analyses, which include </w:t>
      </w:r>
      <w:r w:rsidR="00310A8A">
        <w:rPr>
          <w:rFonts w:cs="Arial"/>
          <w:szCs w:val="22"/>
        </w:rPr>
        <w:t>the defense-in-depth analyses,</w:t>
      </w:r>
      <w:r w:rsidR="00310A8A" w:rsidRPr="00473C7B">
        <w:rPr>
          <w:rFonts w:cs="Arial"/>
          <w:szCs w:val="22"/>
        </w:rPr>
        <w:t xml:space="preserve"> </w:t>
      </w:r>
      <w:r w:rsidRPr="00473C7B">
        <w:rPr>
          <w:rFonts w:cs="Arial"/>
          <w:szCs w:val="22"/>
        </w:rPr>
        <w:t xml:space="preserve">a performance </w:t>
      </w:r>
      <w:r w:rsidRPr="00473C7B">
        <w:rPr>
          <w:rFonts w:cs="Arial"/>
          <w:szCs w:val="22"/>
        </w:rPr>
        <w:lastRenderedPageBreak/>
        <w:t>assessment</w:t>
      </w:r>
      <w:r w:rsidR="00834748">
        <w:rPr>
          <w:rFonts w:cs="Arial"/>
          <w:szCs w:val="22"/>
        </w:rPr>
        <w:t>,</w:t>
      </w:r>
      <w:r w:rsidRPr="00473C7B">
        <w:rPr>
          <w:rFonts w:cs="Arial"/>
          <w:szCs w:val="22"/>
        </w:rPr>
        <w:t xml:space="preserve"> and an intruder assessment, with the application to amend the license for closure. </w:t>
      </w:r>
      <w:r w:rsidR="00626E98" w:rsidRPr="00473C7B">
        <w:rPr>
          <w:rFonts w:cs="Arial"/>
          <w:szCs w:val="22"/>
        </w:rPr>
        <w:t xml:space="preserve"> </w:t>
      </w:r>
      <w:r w:rsidR="005574DD" w:rsidRPr="00473C7B">
        <w:rPr>
          <w:rFonts w:cs="Arial"/>
          <w:szCs w:val="22"/>
        </w:rPr>
        <w:t>The NRC assumes that each licensee will conduct the</w:t>
      </w:r>
      <w:r w:rsidRPr="00473C7B">
        <w:rPr>
          <w:rFonts w:cs="Arial"/>
          <w:szCs w:val="22"/>
        </w:rPr>
        <w:t xml:space="preserve"> </w:t>
      </w:r>
      <w:r w:rsidR="005574DD" w:rsidRPr="00473C7B">
        <w:rPr>
          <w:rFonts w:cs="Arial"/>
          <w:szCs w:val="22"/>
        </w:rPr>
        <w:t xml:space="preserve">analysis during the </w:t>
      </w:r>
      <w:r w:rsidR="00375FE9">
        <w:rPr>
          <w:rFonts w:cs="Arial"/>
          <w:szCs w:val="22"/>
        </w:rPr>
        <w:t>tenth</w:t>
      </w:r>
      <w:r w:rsidR="00375FE9" w:rsidRPr="00473C7B">
        <w:rPr>
          <w:rFonts w:cs="Arial"/>
          <w:szCs w:val="22"/>
        </w:rPr>
        <w:t xml:space="preserve"> </w:t>
      </w:r>
      <w:r w:rsidR="005574DD" w:rsidRPr="00473C7B">
        <w:rPr>
          <w:rFonts w:cs="Arial"/>
          <w:szCs w:val="22"/>
        </w:rPr>
        <w:t xml:space="preserve">year of the </w:t>
      </w:r>
      <w:r w:rsidR="00375FE9">
        <w:rPr>
          <w:rFonts w:cs="Arial"/>
          <w:szCs w:val="22"/>
        </w:rPr>
        <w:t xml:space="preserve">regulatory </w:t>
      </w:r>
      <w:r w:rsidR="005574DD" w:rsidRPr="00473C7B">
        <w:rPr>
          <w:rFonts w:cs="Arial"/>
          <w:szCs w:val="22"/>
        </w:rPr>
        <w:t xml:space="preserve">analysis period. </w:t>
      </w:r>
      <w:r w:rsidR="00626E98" w:rsidRPr="00473C7B">
        <w:rPr>
          <w:rFonts w:cs="Arial"/>
          <w:szCs w:val="22"/>
        </w:rPr>
        <w:t xml:space="preserve"> </w:t>
      </w:r>
      <w:r w:rsidRPr="00473C7B">
        <w:rPr>
          <w:rFonts w:cs="Arial"/>
          <w:szCs w:val="22"/>
        </w:rPr>
        <w:t xml:space="preserve">The NRC estimates that the costs for each licensee to conduct its updated compliance period analyses would be </w:t>
      </w:r>
      <w:r w:rsidR="00CE7119">
        <w:rPr>
          <w:rFonts w:cs="Arial"/>
          <w:szCs w:val="22"/>
        </w:rPr>
        <w:t>3,552</w:t>
      </w:r>
      <w:r w:rsidR="00965265" w:rsidRPr="00473C7B">
        <w:rPr>
          <w:rFonts w:cs="Arial"/>
          <w:szCs w:val="22"/>
        </w:rPr>
        <w:t xml:space="preserve"> hours </w:t>
      </w:r>
      <w:r w:rsidRPr="00473C7B">
        <w:rPr>
          <w:rFonts w:cs="Arial"/>
          <w:szCs w:val="22"/>
        </w:rPr>
        <w:t>(</w:t>
      </w:r>
      <w:r w:rsidR="00580230">
        <w:rPr>
          <w:rFonts w:cs="Arial"/>
          <w:szCs w:val="22"/>
        </w:rPr>
        <w:t>two</w:t>
      </w:r>
      <w:r w:rsidR="00965265" w:rsidRPr="00473C7B">
        <w:rPr>
          <w:rFonts w:cs="Arial"/>
          <w:szCs w:val="22"/>
        </w:rPr>
        <w:t xml:space="preserve"> FTE</w:t>
      </w:r>
      <w:r w:rsidRPr="00473C7B">
        <w:rPr>
          <w:rFonts w:cs="Arial"/>
          <w:szCs w:val="22"/>
        </w:rPr>
        <w:t xml:space="preserve">), or </w:t>
      </w:r>
      <w:r w:rsidR="000607F8">
        <w:rPr>
          <w:rFonts w:cs="Arial"/>
          <w:szCs w:val="22"/>
        </w:rPr>
        <w:t>approximately</w:t>
      </w:r>
      <w:r w:rsidR="00CE7119">
        <w:rPr>
          <w:rFonts w:cs="Arial"/>
          <w:szCs w:val="22"/>
        </w:rPr>
        <w:t xml:space="preserve"> $176,250</w:t>
      </w:r>
      <w:r w:rsidR="00260875" w:rsidRPr="00473C7B">
        <w:rPr>
          <w:rFonts w:cs="Arial"/>
          <w:szCs w:val="22"/>
        </w:rPr>
        <w:t xml:space="preserve"> </w:t>
      </w:r>
      <w:r w:rsidR="00CD28F6" w:rsidRPr="00473C7B">
        <w:rPr>
          <w:rFonts w:cs="Arial"/>
          <w:szCs w:val="22"/>
        </w:rPr>
        <w:t>per licensee</w:t>
      </w:r>
      <w:r w:rsidR="005574DD" w:rsidRPr="00473C7B">
        <w:rPr>
          <w:rFonts w:cs="Arial"/>
          <w:szCs w:val="22"/>
        </w:rPr>
        <w:t xml:space="preserve"> and the total estimated cost to the industry is</w:t>
      </w:r>
      <w:r w:rsidR="00CE7119">
        <w:rPr>
          <w:rFonts w:cs="Arial"/>
          <w:szCs w:val="22"/>
        </w:rPr>
        <w:t xml:space="preserve"> approximately</w:t>
      </w:r>
      <w:r w:rsidR="005574DD" w:rsidRPr="00473C7B">
        <w:rPr>
          <w:rFonts w:cs="Arial"/>
          <w:szCs w:val="22"/>
        </w:rPr>
        <w:t xml:space="preserve"> $</w:t>
      </w:r>
      <w:r w:rsidR="00CE7119">
        <w:rPr>
          <w:rFonts w:cs="Arial"/>
          <w:szCs w:val="22"/>
        </w:rPr>
        <w:t>705,000</w:t>
      </w:r>
      <w:r w:rsidR="005574DD" w:rsidRPr="00473C7B">
        <w:rPr>
          <w:rFonts w:cs="Arial"/>
          <w:szCs w:val="22"/>
        </w:rPr>
        <w:t>.</w:t>
      </w:r>
      <w:r w:rsidR="00260875" w:rsidRPr="00473C7B">
        <w:rPr>
          <w:rFonts w:cs="Arial"/>
          <w:szCs w:val="22"/>
        </w:rPr>
        <w:t xml:space="preserve">  </w:t>
      </w:r>
    </w:p>
    <w:p w:rsidR="00901998" w:rsidRPr="00473C7B" w:rsidRDefault="00901998" w:rsidP="00473C7B">
      <w:pPr>
        <w:pStyle w:val="ListParagraph"/>
        <w:rPr>
          <w:rFonts w:cs="Arial"/>
          <w:szCs w:val="22"/>
        </w:rPr>
      </w:pPr>
    </w:p>
    <w:p w:rsidR="00CA5589" w:rsidRPr="00473C7B" w:rsidRDefault="00EC1472" w:rsidP="00537E69">
      <w:pPr>
        <w:pStyle w:val="ListParagraph"/>
        <w:numPr>
          <w:ilvl w:val="0"/>
          <w:numId w:val="26"/>
        </w:numPr>
        <w:ind w:left="720" w:hanging="720"/>
        <w:rPr>
          <w:rFonts w:cs="Arial"/>
          <w:szCs w:val="22"/>
        </w:rPr>
      </w:pPr>
      <w:r>
        <w:rPr>
          <w:rFonts w:cs="Arial"/>
          <w:szCs w:val="22"/>
        </w:rPr>
        <w:t>Updat</w:t>
      </w:r>
      <w:r w:rsidR="008746AA">
        <w:rPr>
          <w:rFonts w:cs="Arial"/>
          <w:szCs w:val="22"/>
        </w:rPr>
        <w:t>ing</w:t>
      </w:r>
      <w:r>
        <w:rPr>
          <w:rFonts w:cs="Arial"/>
          <w:szCs w:val="22"/>
        </w:rPr>
        <w:t xml:space="preserve"> of</w:t>
      </w:r>
      <w:r w:rsidR="00CA5589" w:rsidRPr="00473C7B">
        <w:rPr>
          <w:rFonts w:cs="Arial"/>
          <w:szCs w:val="22"/>
        </w:rPr>
        <w:t xml:space="preserve"> </w:t>
      </w:r>
      <w:r w:rsidR="008746AA">
        <w:rPr>
          <w:rFonts w:cs="Arial"/>
          <w:szCs w:val="22"/>
        </w:rPr>
        <w:t xml:space="preserve">the </w:t>
      </w:r>
      <w:r w:rsidR="00CA5589" w:rsidRPr="00473C7B">
        <w:rPr>
          <w:rFonts w:cs="Arial"/>
          <w:szCs w:val="22"/>
        </w:rPr>
        <w:t>performance period analyses with the application to amend the license for closure.</w:t>
      </w:r>
    </w:p>
    <w:p w:rsidR="00CA5589" w:rsidRPr="00473C7B" w:rsidRDefault="00CA5589" w:rsidP="00473C7B">
      <w:pPr>
        <w:pStyle w:val="ListParagraph"/>
        <w:rPr>
          <w:rFonts w:cs="Arial"/>
          <w:szCs w:val="22"/>
        </w:rPr>
      </w:pPr>
    </w:p>
    <w:p w:rsidR="00134A90" w:rsidRDefault="00CA5589" w:rsidP="00473C7B">
      <w:pPr>
        <w:pStyle w:val="ListParagraph"/>
        <w:rPr>
          <w:rFonts w:cs="Arial"/>
          <w:szCs w:val="22"/>
        </w:rPr>
      </w:pPr>
      <w:r w:rsidRPr="00473C7B">
        <w:rPr>
          <w:rFonts w:cs="Arial"/>
          <w:szCs w:val="22"/>
        </w:rPr>
        <w:t>Proposed 10 CFR 61.28 also require</w:t>
      </w:r>
      <w:r w:rsidR="00DD3286" w:rsidRPr="00473C7B">
        <w:rPr>
          <w:rFonts w:cs="Arial"/>
          <w:szCs w:val="22"/>
        </w:rPr>
        <w:t>s</w:t>
      </w:r>
      <w:r w:rsidRPr="00473C7B">
        <w:rPr>
          <w:rFonts w:cs="Arial"/>
          <w:szCs w:val="22"/>
        </w:rPr>
        <w:t xml:space="preserve"> a licensee to update its performance period analyses, which would include an intruder analysis, with the application to amend the license for closure.  </w:t>
      </w:r>
      <w:r w:rsidR="00E36683" w:rsidRPr="00473C7B">
        <w:rPr>
          <w:rFonts w:cs="Arial"/>
          <w:szCs w:val="22"/>
        </w:rPr>
        <w:t>This</w:t>
      </w:r>
      <w:r w:rsidRPr="00473C7B">
        <w:rPr>
          <w:rFonts w:cs="Arial"/>
          <w:szCs w:val="22"/>
        </w:rPr>
        <w:t xml:space="preserve"> impact</w:t>
      </w:r>
      <w:r w:rsidR="00E36683" w:rsidRPr="00473C7B">
        <w:rPr>
          <w:rFonts w:cs="Arial"/>
          <w:szCs w:val="22"/>
        </w:rPr>
        <w:t>s</w:t>
      </w:r>
      <w:r w:rsidRPr="00473C7B">
        <w:rPr>
          <w:rFonts w:cs="Arial"/>
          <w:szCs w:val="22"/>
        </w:rPr>
        <w:t xml:space="preserve"> the </w:t>
      </w:r>
      <w:r w:rsidR="00860F47" w:rsidRPr="00473C7B">
        <w:rPr>
          <w:rFonts w:cs="Arial"/>
          <w:szCs w:val="22"/>
        </w:rPr>
        <w:t>two</w:t>
      </w:r>
      <w:r w:rsidRPr="00473C7B">
        <w:rPr>
          <w:rFonts w:cs="Arial"/>
          <w:szCs w:val="22"/>
        </w:rPr>
        <w:t xml:space="preserve"> licensees </w:t>
      </w:r>
      <w:r w:rsidR="00A77E12" w:rsidRPr="00473C7B">
        <w:rPr>
          <w:rFonts w:cs="Arial"/>
          <w:szCs w:val="22"/>
        </w:rPr>
        <w:t>that</w:t>
      </w:r>
      <w:r w:rsidRPr="00473C7B">
        <w:rPr>
          <w:rFonts w:cs="Arial"/>
          <w:szCs w:val="22"/>
        </w:rPr>
        <w:t xml:space="preserve"> </w:t>
      </w:r>
      <w:r w:rsidR="00BC4084">
        <w:rPr>
          <w:rFonts w:cs="Arial"/>
          <w:szCs w:val="22"/>
        </w:rPr>
        <w:t xml:space="preserve">are assumed to </w:t>
      </w:r>
      <w:r w:rsidRPr="00473C7B">
        <w:rPr>
          <w:rFonts w:cs="Arial"/>
          <w:szCs w:val="22"/>
        </w:rPr>
        <w:t>accept long-lived LLRW</w:t>
      </w:r>
      <w:r w:rsidR="00F85419" w:rsidRPr="00473C7B">
        <w:rPr>
          <w:rFonts w:cs="Arial"/>
          <w:szCs w:val="22"/>
        </w:rPr>
        <w:t xml:space="preserve">. </w:t>
      </w:r>
      <w:r w:rsidR="005574DD" w:rsidRPr="00473C7B">
        <w:rPr>
          <w:rFonts w:cs="Arial"/>
          <w:szCs w:val="22"/>
        </w:rPr>
        <w:t xml:space="preserve"> </w:t>
      </w:r>
      <w:r w:rsidR="00F85419" w:rsidRPr="00473C7B">
        <w:rPr>
          <w:rFonts w:cs="Arial"/>
          <w:szCs w:val="22"/>
        </w:rPr>
        <w:t xml:space="preserve">The NRC assumes that each licensee will conduct the analysis during the </w:t>
      </w:r>
      <w:r w:rsidR="005A7AEF">
        <w:rPr>
          <w:rFonts w:cs="Arial"/>
          <w:szCs w:val="22"/>
        </w:rPr>
        <w:t>tenth</w:t>
      </w:r>
      <w:r w:rsidR="005A7AEF" w:rsidRPr="00473C7B">
        <w:rPr>
          <w:rFonts w:cs="Arial"/>
          <w:szCs w:val="22"/>
        </w:rPr>
        <w:t xml:space="preserve"> </w:t>
      </w:r>
      <w:r w:rsidR="00F85419" w:rsidRPr="00473C7B">
        <w:rPr>
          <w:rFonts w:cs="Arial"/>
          <w:szCs w:val="22"/>
        </w:rPr>
        <w:t xml:space="preserve">year of the </w:t>
      </w:r>
      <w:r w:rsidR="005A7AEF">
        <w:rPr>
          <w:rFonts w:cs="Arial"/>
          <w:szCs w:val="22"/>
        </w:rPr>
        <w:t xml:space="preserve">regulatory </w:t>
      </w:r>
      <w:r w:rsidR="00F85419" w:rsidRPr="00473C7B">
        <w:rPr>
          <w:rFonts w:cs="Arial"/>
          <w:szCs w:val="22"/>
        </w:rPr>
        <w:t>analysis period.</w:t>
      </w:r>
      <w:r w:rsidRPr="00473C7B">
        <w:rPr>
          <w:rFonts w:cs="Arial"/>
          <w:szCs w:val="22"/>
        </w:rPr>
        <w:t xml:space="preserve"> </w:t>
      </w:r>
      <w:r w:rsidR="00626E98" w:rsidRPr="00473C7B">
        <w:rPr>
          <w:rFonts w:cs="Arial"/>
          <w:szCs w:val="22"/>
        </w:rPr>
        <w:t xml:space="preserve"> </w:t>
      </w:r>
      <w:r w:rsidRPr="00473C7B">
        <w:rPr>
          <w:rFonts w:cs="Arial"/>
          <w:szCs w:val="22"/>
        </w:rPr>
        <w:t xml:space="preserve">The NRC estimates that these updated performance period analyses would require </w:t>
      </w:r>
      <w:r w:rsidR="00CE7119">
        <w:rPr>
          <w:rFonts w:cs="Arial"/>
          <w:szCs w:val="22"/>
        </w:rPr>
        <w:t>888</w:t>
      </w:r>
      <w:r w:rsidR="00E94160">
        <w:rPr>
          <w:rFonts w:cs="Arial"/>
          <w:szCs w:val="22"/>
        </w:rPr>
        <w:t xml:space="preserve"> </w:t>
      </w:r>
      <w:r w:rsidR="00965265" w:rsidRPr="00473C7B">
        <w:rPr>
          <w:rFonts w:cs="Arial"/>
          <w:szCs w:val="22"/>
        </w:rPr>
        <w:t xml:space="preserve">hours </w:t>
      </w:r>
      <w:r w:rsidRPr="00473C7B">
        <w:rPr>
          <w:rFonts w:cs="Arial"/>
          <w:szCs w:val="22"/>
        </w:rPr>
        <w:t>(</w:t>
      </w:r>
      <w:r w:rsidR="00CE7119">
        <w:rPr>
          <w:rFonts w:cs="Arial"/>
          <w:szCs w:val="22"/>
        </w:rPr>
        <w:t>0.5</w:t>
      </w:r>
      <w:r w:rsidR="00965265" w:rsidRPr="00473C7B">
        <w:rPr>
          <w:rFonts w:cs="Arial"/>
          <w:szCs w:val="22"/>
        </w:rPr>
        <w:t xml:space="preserve"> FTE</w:t>
      </w:r>
      <w:r w:rsidRPr="00473C7B">
        <w:rPr>
          <w:rFonts w:cs="Arial"/>
          <w:szCs w:val="22"/>
        </w:rPr>
        <w:t xml:space="preserve">), or </w:t>
      </w:r>
      <w:r w:rsidR="00CE7119">
        <w:rPr>
          <w:rFonts w:cs="Arial"/>
          <w:szCs w:val="22"/>
        </w:rPr>
        <w:t xml:space="preserve">approximately </w:t>
      </w:r>
      <w:r w:rsidRPr="00473C7B">
        <w:rPr>
          <w:rFonts w:cs="Arial"/>
          <w:szCs w:val="22"/>
        </w:rPr>
        <w:t>$</w:t>
      </w:r>
      <w:r w:rsidR="00CE7119">
        <w:rPr>
          <w:rFonts w:cs="Arial"/>
          <w:szCs w:val="22"/>
        </w:rPr>
        <w:t>44,000</w:t>
      </w:r>
      <w:r w:rsidRPr="00473C7B">
        <w:rPr>
          <w:rFonts w:cs="Arial"/>
          <w:szCs w:val="22"/>
        </w:rPr>
        <w:t xml:space="preserve"> per licensee</w:t>
      </w:r>
      <w:r w:rsidR="005574DD" w:rsidRPr="00473C7B">
        <w:rPr>
          <w:rFonts w:cs="Arial"/>
          <w:szCs w:val="22"/>
        </w:rPr>
        <w:t xml:space="preserve"> and the total cost to the industry is </w:t>
      </w:r>
      <w:r w:rsidR="00CE7119">
        <w:rPr>
          <w:rFonts w:cs="Arial"/>
          <w:szCs w:val="22"/>
        </w:rPr>
        <w:t xml:space="preserve">approximately </w:t>
      </w:r>
      <w:r w:rsidR="005574DD" w:rsidRPr="00473C7B">
        <w:rPr>
          <w:rFonts w:cs="Arial"/>
          <w:szCs w:val="22"/>
        </w:rPr>
        <w:t>$</w:t>
      </w:r>
      <w:r w:rsidR="004D630D">
        <w:rPr>
          <w:rFonts w:cs="Arial"/>
          <w:szCs w:val="22"/>
        </w:rPr>
        <w:t>88,000</w:t>
      </w:r>
      <w:r w:rsidRPr="00473C7B">
        <w:rPr>
          <w:rFonts w:cs="Arial"/>
          <w:szCs w:val="22"/>
        </w:rPr>
        <w:t xml:space="preserve">. </w:t>
      </w:r>
      <w:r w:rsidR="004C5C45" w:rsidRPr="00473C7B">
        <w:rPr>
          <w:rFonts w:cs="Arial"/>
          <w:szCs w:val="22"/>
        </w:rPr>
        <w:t xml:space="preserve"> </w:t>
      </w:r>
    </w:p>
    <w:p w:rsidR="00901998" w:rsidRDefault="00901998" w:rsidP="00473C7B">
      <w:pPr>
        <w:pStyle w:val="ListParagraph"/>
        <w:rPr>
          <w:rFonts w:cs="Arial"/>
          <w:szCs w:val="22"/>
        </w:rPr>
      </w:pPr>
    </w:p>
    <w:p w:rsidR="00E7422A" w:rsidRPr="00473C7B" w:rsidRDefault="00DC0A93" w:rsidP="00473C7B">
      <w:pPr>
        <w:rPr>
          <w:rFonts w:cs="Arial"/>
          <w:szCs w:val="22"/>
        </w:rPr>
      </w:pPr>
      <w:r w:rsidRPr="00473C7B">
        <w:rPr>
          <w:rFonts w:cs="Arial"/>
          <w:szCs w:val="22"/>
          <w:u w:val="single"/>
        </w:rPr>
        <w:t xml:space="preserve">4.2.1.2 </w:t>
      </w:r>
      <w:r w:rsidR="00E7422A" w:rsidRPr="00473C7B">
        <w:rPr>
          <w:rFonts w:cs="Arial"/>
          <w:szCs w:val="22"/>
          <w:u w:val="single"/>
        </w:rPr>
        <w:t>Licensee Operation</w:t>
      </w:r>
      <w:r w:rsidR="00E7422A" w:rsidRPr="00473C7B">
        <w:rPr>
          <w:rFonts w:cs="Arial"/>
          <w:szCs w:val="22"/>
        </w:rPr>
        <w:t>:</w:t>
      </w:r>
    </w:p>
    <w:p w:rsidR="00921183" w:rsidRPr="00473C7B" w:rsidRDefault="00921183" w:rsidP="00473C7B">
      <w:pPr>
        <w:numPr>
          <w:ilvl w:val="12"/>
          <w:numId w:val="0"/>
        </w:numPr>
        <w:rPr>
          <w:rFonts w:cs="Arial"/>
          <w:szCs w:val="22"/>
        </w:rPr>
      </w:pPr>
    </w:p>
    <w:p w:rsidR="00CA5589" w:rsidRPr="00473C7B" w:rsidRDefault="00CA5589" w:rsidP="00537E69">
      <w:pPr>
        <w:pStyle w:val="ListParagraph"/>
        <w:numPr>
          <w:ilvl w:val="0"/>
          <w:numId w:val="27"/>
        </w:numPr>
        <w:ind w:left="0" w:firstLine="0"/>
        <w:rPr>
          <w:rFonts w:cs="Arial"/>
          <w:szCs w:val="22"/>
        </w:rPr>
      </w:pPr>
      <w:r w:rsidRPr="00473C7B">
        <w:rPr>
          <w:rFonts w:cs="Arial"/>
          <w:szCs w:val="22"/>
        </w:rPr>
        <w:t xml:space="preserve">Conducting annual reviews </w:t>
      </w:r>
      <w:r w:rsidR="00403506" w:rsidRPr="00473C7B">
        <w:rPr>
          <w:rFonts w:cs="Arial"/>
          <w:szCs w:val="22"/>
        </w:rPr>
        <w:t xml:space="preserve">of </w:t>
      </w:r>
      <w:r w:rsidR="00B30FA5" w:rsidRPr="00473C7B">
        <w:rPr>
          <w:rFonts w:cs="Arial"/>
          <w:szCs w:val="22"/>
        </w:rPr>
        <w:t>LLRW</w:t>
      </w:r>
      <w:r w:rsidRPr="00473C7B">
        <w:rPr>
          <w:rFonts w:cs="Arial"/>
          <w:szCs w:val="22"/>
        </w:rPr>
        <w:t xml:space="preserve"> acceptance plan during facility operations.</w:t>
      </w:r>
    </w:p>
    <w:p w:rsidR="00CA5589" w:rsidRPr="00473C7B" w:rsidRDefault="00CA5589" w:rsidP="00473C7B">
      <w:pPr>
        <w:numPr>
          <w:ilvl w:val="12"/>
          <w:numId w:val="0"/>
        </w:numPr>
        <w:ind w:left="720"/>
        <w:rPr>
          <w:rFonts w:cs="Arial"/>
          <w:szCs w:val="22"/>
        </w:rPr>
      </w:pPr>
    </w:p>
    <w:p w:rsidR="00BF42FD" w:rsidRPr="00473C7B" w:rsidRDefault="00CA5589" w:rsidP="00BF42FD">
      <w:pPr>
        <w:keepNext/>
        <w:numPr>
          <w:ilvl w:val="12"/>
          <w:numId w:val="0"/>
        </w:numPr>
        <w:ind w:left="720"/>
        <w:rPr>
          <w:rFonts w:cs="Arial"/>
          <w:szCs w:val="22"/>
          <w:u w:val="single"/>
        </w:rPr>
      </w:pPr>
      <w:r w:rsidRPr="00473C7B">
        <w:rPr>
          <w:rFonts w:cs="Arial"/>
          <w:szCs w:val="22"/>
        </w:rPr>
        <w:t>Proposed 10 CFR 61.58(</w:t>
      </w:r>
      <w:r w:rsidR="006D0841" w:rsidRPr="00473C7B">
        <w:rPr>
          <w:rFonts w:cs="Arial"/>
          <w:szCs w:val="22"/>
        </w:rPr>
        <w:t>f</w:t>
      </w:r>
      <w:r w:rsidRPr="00473C7B">
        <w:rPr>
          <w:rFonts w:cs="Arial"/>
          <w:szCs w:val="22"/>
        </w:rPr>
        <w:t>) require</w:t>
      </w:r>
      <w:r w:rsidR="00D949FA" w:rsidRPr="00473C7B">
        <w:rPr>
          <w:rFonts w:cs="Arial"/>
          <w:szCs w:val="22"/>
        </w:rPr>
        <w:t>s</w:t>
      </w:r>
      <w:r w:rsidRPr="00473C7B">
        <w:rPr>
          <w:rFonts w:cs="Arial"/>
          <w:szCs w:val="22"/>
        </w:rPr>
        <w:t xml:space="preserve"> a licensee to review its LLRW acceptance plan annually to determine whether an update would be needed.  The NRC estimates that each annual review of a LLRW acceptance plan would require </w:t>
      </w:r>
      <w:r w:rsidR="00CD0F1A" w:rsidRPr="00473C7B">
        <w:rPr>
          <w:rFonts w:cs="Arial"/>
          <w:szCs w:val="22"/>
        </w:rPr>
        <w:t>40</w:t>
      </w:r>
      <w:r w:rsidRPr="00473C7B">
        <w:rPr>
          <w:rFonts w:cs="Arial"/>
          <w:szCs w:val="22"/>
        </w:rPr>
        <w:t xml:space="preserve"> hours</w:t>
      </w:r>
      <w:r w:rsidR="00F85419" w:rsidRPr="00473C7B">
        <w:rPr>
          <w:rFonts w:cs="Arial"/>
          <w:szCs w:val="22"/>
        </w:rPr>
        <w:t xml:space="preserve"> (0.02 FTE)</w:t>
      </w:r>
      <w:r w:rsidRPr="00473C7B">
        <w:rPr>
          <w:rFonts w:cs="Arial"/>
          <w:szCs w:val="22"/>
        </w:rPr>
        <w:t xml:space="preserve">, or </w:t>
      </w:r>
      <w:r w:rsidR="00BF42FD">
        <w:rPr>
          <w:rFonts w:cs="Arial"/>
          <w:szCs w:val="22"/>
        </w:rPr>
        <w:t xml:space="preserve">approximately </w:t>
      </w:r>
      <w:r w:rsidR="00BF42FD" w:rsidRPr="00473C7B">
        <w:rPr>
          <w:rFonts w:cs="Arial"/>
          <w:szCs w:val="22"/>
        </w:rPr>
        <w:t>$</w:t>
      </w:r>
      <w:r w:rsidR="00BF42FD">
        <w:rPr>
          <w:rFonts w:cs="Arial"/>
          <w:szCs w:val="22"/>
        </w:rPr>
        <w:t>2,000</w:t>
      </w:r>
      <w:r w:rsidRPr="00473C7B">
        <w:rPr>
          <w:rFonts w:cs="Arial"/>
          <w:szCs w:val="22"/>
        </w:rPr>
        <w:t xml:space="preserve"> per licensee</w:t>
      </w:r>
      <w:r w:rsidR="00C750A8" w:rsidRPr="00473C7B">
        <w:rPr>
          <w:rFonts w:cs="Arial"/>
          <w:szCs w:val="22"/>
        </w:rPr>
        <w:t xml:space="preserve"> with a total annual cost to the industry of </w:t>
      </w:r>
      <w:r w:rsidR="00BF42FD">
        <w:rPr>
          <w:rFonts w:cs="Arial"/>
          <w:szCs w:val="22"/>
        </w:rPr>
        <w:t xml:space="preserve">approximately </w:t>
      </w:r>
      <w:r w:rsidR="00BF42FD" w:rsidRPr="00473C7B">
        <w:rPr>
          <w:rFonts w:cs="Arial"/>
          <w:szCs w:val="22"/>
        </w:rPr>
        <w:t>$</w:t>
      </w:r>
      <w:r w:rsidR="00BF42FD">
        <w:rPr>
          <w:rFonts w:cs="Arial"/>
          <w:szCs w:val="22"/>
        </w:rPr>
        <w:t>8,000</w:t>
      </w:r>
      <w:r w:rsidR="00BF42FD" w:rsidRPr="00473C7B">
        <w:rPr>
          <w:rFonts w:cs="Arial"/>
          <w:szCs w:val="22"/>
        </w:rPr>
        <w:t xml:space="preserve">.  </w:t>
      </w:r>
    </w:p>
    <w:p w:rsidR="00CA5589" w:rsidRDefault="00CA5589" w:rsidP="00473C7B">
      <w:pPr>
        <w:ind w:left="720"/>
        <w:rPr>
          <w:rFonts w:cs="Arial"/>
          <w:szCs w:val="22"/>
        </w:rPr>
      </w:pPr>
    </w:p>
    <w:p w:rsidR="00F154C8" w:rsidRDefault="00F154C8" w:rsidP="00537E69">
      <w:pPr>
        <w:pStyle w:val="ListParagraph"/>
        <w:numPr>
          <w:ilvl w:val="0"/>
          <w:numId w:val="27"/>
        </w:numPr>
        <w:ind w:left="720" w:hanging="720"/>
        <w:rPr>
          <w:rFonts w:cs="Arial"/>
          <w:szCs w:val="22"/>
        </w:rPr>
      </w:pPr>
      <w:r w:rsidRPr="00473C7B">
        <w:rPr>
          <w:rFonts w:cs="Arial"/>
          <w:szCs w:val="22"/>
        </w:rPr>
        <w:t>Recordkeeping requirements.</w:t>
      </w:r>
    </w:p>
    <w:p w:rsidR="00901998" w:rsidRPr="00473C7B" w:rsidRDefault="00901998" w:rsidP="00901998">
      <w:pPr>
        <w:pStyle w:val="ListParagraph"/>
        <w:rPr>
          <w:rFonts w:cs="Arial"/>
          <w:szCs w:val="22"/>
        </w:rPr>
      </w:pPr>
    </w:p>
    <w:p w:rsidR="00F154C8" w:rsidRPr="00473C7B" w:rsidRDefault="00F154C8" w:rsidP="00473C7B">
      <w:pPr>
        <w:keepNext/>
        <w:numPr>
          <w:ilvl w:val="12"/>
          <w:numId w:val="0"/>
        </w:numPr>
        <w:ind w:left="720"/>
        <w:rPr>
          <w:rFonts w:cs="Arial"/>
          <w:szCs w:val="22"/>
          <w:u w:val="single"/>
        </w:rPr>
      </w:pPr>
      <w:r w:rsidRPr="00473C7B">
        <w:rPr>
          <w:rFonts w:cs="Arial"/>
          <w:szCs w:val="22"/>
        </w:rPr>
        <w:t>Proposed language for 61.80(m) require</w:t>
      </w:r>
      <w:r w:rsidR="00D949FA" w:rsidRPr="00473C7B">
        <w:rPr>
          <w:rFonts w:cs="Arial"/>
          <w:szCs w:val="22"/>
        </w:rPr>
        <w:t>s</w:t>
      </w:r>
      <w:r w:rsidRPr="00473C7B">
        <w:rPr>
          <w:rFonts w:cs="Arial"/>
          <w:szCs w:val="22"/>
        </w:rPr>
        <w:t xml:space="preserve"> licensees to maintain records of their audits and other reviews of program content and implementation.</w:t>
      </w:r>
      <w:r w:rsidR="006D0841" w:rsidRPr="00473C7B">
        <w:rPr>
          <w:rFonts w:cs="Arial"/>
          <w:szCs w:val="22"/>
        </w:rPr>
        <w:t xml:space="preserve">  The NRC estimates that each recordkeeping effort would require 40 hours</w:t>
      </w:r>
      <w:r w:rsidR="00F85419" w:rsidRPr="00473C7B">
        <w:rPr>
          <w:rFonts w:cs="Arial"/>
          <w:szCs w:val="22"/>
        </w:rPr>
        <w:t xml:space="preserve"> (0.02 FTE)</w:t>
      </w:r>
      <w:r w:rsidR="006D0841" w:rsidRPr="00473C7B">
        <w:rPr>
          <w:rFonts w:cs="Arial"/>
          <w:szCs w:val="22"/>
        </w:rPr>
        <w:t xml:space="preserve">, or </w:t>
      </w:r>
      <w:r w:rsidR="00BF42FD">
        <w:rPr>
          <w:rFonts w:cs="Arial"/>
          <w:szCs w:val="22"/>
        </w:rPr>
        <w:t xml:space="preserve">approximately </w:t>
      </w:r>
      <w:r w:rsidR="006D0841" w:rsidRPr="00473C7B">
        <w:rPr>
          <w:rFonts w:cs="Arial"/>
          <w:szCs w:val="22"/>
        </w:rPr>
        <w:t>$</w:t>
      </w:r>
      <w:r w:rsidR="00BF42FD">
        <w:rPr>
          <w:rFonts w:cs="Arial"/>
          <w:szCs w:val="22"/>
        </w:rPr>
        <w:t>2,000</w:t>
      </w:r>
      <w:r w:rsidR="006D0841" w:rsidRPr="00473C7B">
        <w:rPr>
          <w:rFonts w:cs="Arial"/>
          <w:szCs w:val="22"/>
        </w:rPr>
        <w:t xml:space="preserve"> per licensee</w:t>
      </w:r>
      <w:r w:rsidR="00317188">
        <w:rPr>
          <w:rFonts w:cs="Arial"/>
          <w:szCs w:val="22"/>
        </w:rPr>
        <w:t xml:space="preserve"> </w:t>
      </w:r>
      <w:r w:rsidR="00C750A8" w:rsidRPr="00473C7B">
        <w:rPr>
          <w:rFonts w:cs="Arial"/>
          <w:szCs w:val="22"/>
        </w:rPr>
        <w:t xml:space="preserve">with a total annual cost to the industry of </w:t>
      </w:r>
      <w:r w:rsidR="00BF42FD">
        <w:rPr>
          <w:rFonts w:cs="Arial"/>
          <w:szCs w:val="22"/>
        </w:rPr>
        <w:t xml:space="preserve">approximately </w:t>
      </w:r>
      <w:r w:rsidR="00C750A8" w:rsidRPr="00473C7B">
        <w:rPr>
          <w:rFonts w:cs="Arial"/>
          <w:szCs w:val="22"/>
        </w:rPr>
        <w:t>$</w:t>
      </w:r>
      <w:r w:rsidR="00BF42FD">
        <w:rPr>
          <w:rFonts w:cs="Arial"/>
          <w:szCs w:val="22"/>
        </w:rPr>
        <w:t>8,000</w:t>
      </w:r>
      <w:r w:rsidR="006D0841" w:rsidRPr="00473C7B">
        <w:rPr>
          <w:rFonts w:cs="Arial"/>
          <w:szCs w:val="22"/>
        </w:rPr>
        <w:t xml:space="preserve">.  </w:t>
      </w:r>
    </w:p>
    <w:p w:rsidR="007E3CBA" w:rsidRDefault="007E3CBA" w:rsidP="00473C7B">
      <w:pPr>
        <w:numPr>
          <w:ilvl w:val="12"/>
          <w:numId w:val="0"/>
        </w:numPr>
        <w:rPr>
          <w:rFonts w:cs="Arial"/>
          <w:b/>
          <w:szCs w:val="22"/>
        </w:rPr>
      </w:pPr>
    </w:p>
    <w:p w:rsidR="007E3CBA" w:rsidRDefault="009364DA" w:rsidP="006B3EB3">
      <w:pPr>
        <w:keepNext/>
        <w:numPr>
          <w:ilvl w:val="12"/>
          <w:numId w:val="0"/>
        </w:numPr>
        <w:rPr>
          <w:rFonts w:cs="Arial"/>
          <w:b/>
          <w:szCs w:val="22"/>
        </w:rPr>
      </w:pPr>
      <w:r w:rsidRPr="00473C7B">
        <w:rPr>
          <w:rFonts w:cs="Arial"/>
          <w:b/>
          <w:szCs w:val="22"/>
        </w:rPr>
        <w:t>4.2.</w:t>
      </w:r>
      <w:r w:rsidR="00B3726C" w:rsidRPr="00473C7B">
        <w:rPr>
          <w:rFonts w:cs="Arial"/>
          <w:b/>
          <w:szCs w:val="22"/>
        </w:rPr>
        <w:t xml:space="preserve">2 </w:t>
      </w:r>
      <w:r w:rsidR="00CA5589" w:rsidRPr="00473C7B">
        <w:rPr>
          <w:rFonts w:cs="Arial"/>
          <w:b/>
          <w:szCs w:val="22"/>
        </w:rPr>
        <w:t xml:space="preserve">Agreement States:  </w:t>
      </w:r>
    </w:p>
    <w:p w:rsidR="007E3CBA" w:rsidRDefault="007E3CBA" w:rsidP="006B3EB3">
      <w:pPr>
        <w:keepNext/>
        <w:numPr>
          <w:ilvl w:val="12"/>
          <w:numId w:val="0"/>
        </w:numPr>
        <w:rPr>
          <w:rFonts w:cs="Arial"/>
          <w:b/>
          <w:szCs w:val="22"/>
        </w:rPr>
      </w:pPr>
    </w:p>
    <w:p w:rsidR="00CA5589" w:rsidRPr="00473C7B" w:rsidRDefault="00E51882" w:rsidP="006B3EB3">
      <w:pPr>
        <w:keepNext/>
        <w:numPr>
          <w:ilvl w:val="12"/>
          <w:numId w:val="0"/>
        </w:numPr>
        <w:rPr>
          <w:rFonts w:cs="Arial"/>
          <w:szCs w:val="22"/>
        </w:rPr>
      </w:pPr>
      <w:r w:rsidRPr="00473C7B">
        <w:rPr>
          <w:rFonts w:cs="Arial"/>
          <w:szCs w:val="22"/>
        </w:rPr>
        <w:t>The NRC</w:t>
      </w:r>
      <w:r w:rsidR="00CA5589" w:rsidRPr="00473C7B">
        <w:rPr>
          <w:rFonts w:cs="Arial"/>
          <w:szCs w:val="22"/>
        </w:rPr>
        <w:t xml:space="preserve"> </w:t>
      </w:r>
      <w:r w:rsidR="00D32883" w:rsidRPr="00473C7B">
        <w:rPr>
          <w:rFonts w:cs="Arial"/>
          <w:szCs w:val="22"/>
        </w:rPr>
        <w:t>assumes</w:t>
      </w:r>
      <w:r w:rsidR="00CA5589" w:rsidRPr="00473C7B">
        <w:rPr>
          <w:rFonts w:cs="Arial"/>
          <w:szCs w:val="22"/>
        </w:rPr>
        <w:t xml:space="preserve"> that </w:t>
      </w:r>
      <w:r w:rsidR="00860F47" w:rsidRPr="00473C7B">
        <w:rPr>
          <w:rFonts w:cs="Arial"/>
          <w:szCs w:val="22"/>
        </w:rPr>
        <w:t>four</w:t>
      </w:r>
      <w:r w:rsidR="00CA5589" w:rsidRPr="00473C7B">
        <w:rPr>
          <w:rFonts w:cs="Arial"/>
          <w:szCs w:val="22"/>
        </w:rPr>
        <w:t xml:space="preserve"> licensees would locate their LLRW disposal facilities in </w:t>
      </w:r>
      <w:r w:rsidR="00860F47" w:rsidRPr="00473C7B">
        <w:rPr>
          <w:rFonts w:cs="Arial"/>
          <w:szCs w:val="22"/>
        </w:rPr>
        <w:t>four</w:t>
      </w:r>
      <w:r w:rsidR="00CA5589" w:rsidRPr="00473C7B">
        <w:rPr>
          <w:rFonts w:cs="Arial"/>
          <w:szCs w:val="22"/>
        </w:rPr>
        <w:t xml:space="preserve"> different Agreement States</w:t>
      </w:r>
      <w:r w:rsidR="0080355A" w:rsidRPr="00473C7B">
        <w:rPr>
          <w:rFonts w:cs="Arial"/>
          <w:szCs w:val="22"/>
        </w:rPr>
        <w:t xml:space="preserve"> and the Agreement State</w:t>
      </w:r>
      <w:r w:rsidR="00CA5589" w:rsidRPr="00473C7B">
        <w:rPr>
          <w:rFonts w:cs="Arial"/>
          <w:szCs w:val="22"/>
        </w:rPr>
        <w:t xml:space="preserve"> also incur</w:t>
      </w:r>
      <w:r w:rsidR="0080355A" w:rsidRPr="00473C7B">
        <w:rPr>
          <w:rFonts w:cs="Arial"/>
          <w:szCs w:val="22"/>
        </w:rPr>
        <w:t>s</w:t>
      </w:r>
      <w:r w:rsidR="00CA5589" w:rsidRPr="00473C7B">
        <w:rPr>
          <w:rFonts w:cs="Arial"/>
          <w:szCs w:val="22"/>
        </w:rPr>
        <w:t xml:space="preserve"> costs as a result of this rulemaking.  </w:t>
      </w:r>
      <w:r w:rsidR="00783DFD" w:rsidRPr="00473C7B">
        <w:rPr>
          <w:rFonts w:cs="Arial"/>
          <w:szCs w:val="22"/>
        </w:rPr>
        <w:t xml:space="preserve">Unless stated otherwise, each cost is incurred by all </w:t>
      </w:r>
      <w:r w:rsidR="00860F47" w:rsidRPr="00473C7B">
        <w:rPr>
          <w:rFonts w:cs="Arial"/>
          <w:szCs w:val="22"/>
        </w:rPr>
        <w:t>four</w:t>
      </w:r>
      <w:r w:rsidR="00783DFD" w:rsidRPr="00473C7B">
        <w:rPr>
          <w:rFonts w:cs="Arial"/>
          <w:szCs w:val="22"/>
        </w:rPr>
        <w:t xml:space="preserve"> Agreement States.  </w:t>
      </w:r>
      <w:r w:rsidR="00CA5589" w:rsidRPr="00473C7B">
        <w:rPr>
          <w:rFonts w:cs="Arial"/>
          <w:szCs w:val="22"/>
        </w:rPr>
        <w:t xml:space="preserve">The impacts on </w:t>
      </w:r>
      <w:r w:rsidR="002B6EF1" w:rsidRPr="00473C7B">
        <w:rPr>
          <w:rFonts w:cs="Arial"/>
          <w:szCs w:val="22"/>
        </w:rPr>
        <w:t xml:space="preserve">the </w:t>
      </w:r>
      <w:r w:rsidR="00CA5589" w:rsidRPr="00473C7B">
        <w:rPr>
          <w:rFonts w:cs="Arial"/>
          <w:szCs w:val="22"/>
        </w:rPr>
        <w:t xml:space="preserve">Agreement States are as follows: </w:t>
      </w:r>
    </w:p>
    <w:p w:rsidR="00CA5589" w:rsidRPr="00473C7B" w:rsidRDefault="00CA5589" w:rsidP="00473C7B">
      <w:pPr>
        <w:numPr>
          <w:ilvl w:val="12"/>
          <w:numId w:val="0"/>
        </w:numPr>
        <w:rPr>
          <w:rFonts w:cs="Arial"/>
          <w:szCs w:val="22"/>
        </w:rPr>
      </w:pPr>
    </w:p>
    <w:p w:rsidR="00CA5589" w:rsidRDefault="005F4BF8" w:rsidP="00473C7B">
      <w:pPr>
        <w:numPr>
          <w:ilvl w:val="12"/>
          <w:numId w:val="0"/>
        </w:numPr>
        <w:rPr>
          <w:rFonts w:cs="Arial"/>
          <w:szCs w:val="22"/>
        </w:rPr>
      </w:pPr>
      <w:r w:rsidRPr="00473C7B">
        <w:rPr>
          <w:rFonts w:cs="Arial"/>
          <w:szCs w:val="22"/>
          <w:u w:val="single"/>
        </w:rPr>
        <w:t xml:space="preserve">4.2.2.1 </w:t>
      </w:r>
      <w:r w:rsidR="00CA5589" w:rsidRPr="00473C7B" w:rsidDel="00F862AA">
        <w:rPr>
          <w:rFonts w:cs="Arial"/>
          <w:szCs w:val="22"/>
          <w:u w:val="single"/>
        </w:rPr>
        <w:t>Agreement State Implementation</w:t>
      </w:r>
      <w:r w:rsidR="00CA5589" w:rsidRPr="00473C7B" w:rsidDel="00F862AA">
        <w:rPr>
          <w:rFonts w:cs="Arial"/>
          <w:szCs w:val="22"/>
        </w:rPr>
        <w:t>:</w:t>
      </w:r>
    </w:p>
    <w:p w:rsidR="000607F8" w:rsidRPr="00473C7B" w:rsidDel="00F862AA" w:rsidRDefault="000607F8" w:rsidP="00473C7B">
      <w:pPr>
        <w:numPr>
          <w:ilvl w:val="12"/>
          <w:numId w:val="0"/>
        </w:numPr>
        <w:rPr>
          <w:rFonts w:cs="Arial"/>
          <w:szCs w:val="22"/>
        </w:rPr>
      </w:pPr>
    </w:p>
    <w:p w:rsidR="000607F8" w:rsidRPr="00E83F54" w:rsidRDefault="000607F8" w:rsidP="000607F8">
      <w:pPr>
        <w:pStyle w:val="ListParagraph"/>
        <w:numPr>
          <w:ilvl w:val="0"/>
          <w:numId w:val="28"/>
        </w:numPr>
        <w:ind w:left="720" w:hanging="720"/>
        <w:rPr>
          <w:rFonts w:cs="Arial"/>
          <w:szCs w:val="22"/>
        </w:rPr>
      </w:pPr>
      <w:r w:rsidRPr="00E83F54">
        <w:rPr>
          <w:rFonts w:cs="Arial"/>
          <w:szCs w:val="22"/>
        </w:rPr>
        <w:t>Conducting rulemaking and guidance documents.</w:t>
      </w:r>
    </w:p>
    <w:p w:rsidR="000607F8" w:rsidRPr="00473C7B" w:rsidRDefault="000607F8" w:rsidP="000607F8">
      <w:pPr>
        <w:numPr>
          <w:ilvl w:val="12"/>
          <w:numId w:val="0"/>
        </w:numPr>
        <w:ind w:left="720"/>
        <w:rPr>
          <w:rFonts w:cs="Arial"/>
          <w:szCs w:val="22"/>
        </w:rPr>
      </w:pPr>
    </w:p>
    <w:p w:rsidR="000607F8" w:rsidRPr="00473C7B" w:rsidRDefault="000607F8" w:rsidP="000607F8">
      <w:pPr>
        <w:numPr>
          <w:ilvl w:val="12"/>
          <w:numId w:val="0"/>
        </w:numPr>
        <w:ind w:left="720"/>
        <w:rPr>
          <w:rFonts w:cs="Arial"/>
          <w:szCs w:val="22"/>
        </w:rPr>
      </w:pPr>
      <w:r w:rsidRPr="00473C7B">
        <w:rPr>
          <w:rFonts w:cs="Arial"/>
          <w:szCs w:val="22"/>
        </w:rPr>
        <w:t>The Agreement States’ staff develops the rule packages and</w:t>
      </w:r>
      <w:r w:rsidRPr="00473C7B">
        <w:rPr>
          <w:rFonts w:cs="Arial"/>
          <w:iCs/>
          <w:szCs w:val="22"/>
        </w:rPr>
        <w:t xml:space="preserve"> procedures to accommodate the requirements that would be added or modified by the rulemaking process.  </w:t>
      </w:r>
      <w:r w:rsidRPr="00473C7B">
        <w:rPr>
          <w:rFonts w:cs="Arial"/>
          <w:szCs w:val="22"/>
        </w:rPr>
        <w:t xml:space="preserve">The effort to develop the rule package </w:t>
      </w:r>
      <w:r>
        <w:rPr>
          <w:rFonts w:cs="Arial"/>
          <w:szCs w:val="22"/>
        </w:rPr>
        <w:t xml:space="preserve">is estimated to </w:t>
      </w:r>
      <w:r w:rsidRPr="00473C7B">
        <w:rPr>
          <w:rFonts w:cs="Arial"/>
          <w:szCs w:val="22"/>
        </w:rPr>
        <w:t xml:space="preserve">require 888 hours (0.5 </w:t>
      </w:r>
      <w:r w:rsidRPr="00473C7B">
        <w:rPr>
          <w:rFonts w:cs="Arial"/>
          <w:szCs w:val="22"/>
        </w:rPr>
        <w:lastRenderedPageBreak/>
        <w:t xml:space="preserve">FTE) for each Agreement State.  This would result in a total cost of </w:t>
      </w:r>
      <w:r>
        <w:rPr>
          <w:rFonts w:cs="Arial"/>
          <w:szCs w:val="22"/>
        </w:rPr>
        <w:t xml:space="preserve">approximately </w:t>
      </w:r>
      <w:r w:rsidRPr="00473C7B">
        <w:rPr>
          <w:rFonts w:cs="Arial"/>
          <w:szCs w:val="22"/>
        </w:rPr>
        <w:t>$42,0</w:t>
      </w:r>
      <w:r>
        <w:rPr>
          <w:rFonts w:cs="Arial"/>
          <w:szCs w:val="22"/>
        </w:rPr>
        <w:t>00</w:t>
      </w:r>
      <w:r w:rsidRPr="00473C7B">
        <w:rPr>
          <w:rFonts w:cs="Arial"/>
          <w:szCs w:val="22"/>
        </w:rPr>
        <w:t xml:space="preserve"> cost per Agreement State with a total cost for the Agreement States of </w:t>
      </w:r>
      <w:r>
        <w:rPr>
          <w:rFonts w:cs="Arial"/>
          <w:szCs w:val="22"/>
        </w:rPr>
        <w:t xml:space="preserve">approximately </w:t>
      </w:r>
      <w:r w:rsidRPr="00473C7B">
        <w:rPr>
          <w:rFonts w:cs="Arial"/>
          <w:szCs w:val="22"/>
        </w:rPr>
        <w:t>$168,0</w:t>
      </w:r>
      <w:r>
        <w:rPr>
          <w:rFonts w:cs="Arial"/>
          <w:szCs w:val="22"/>
        </w:rPr>
        <w:t>00</w:t>
      </w:r>
      <w:r w:rsidRPr="00473C7B">
        <w:rPr>
          <w:rFonts w:cs="Arial"/>
          <w:szCs w:val="22"/>
        </w:rPr>
        <w:t>.</w:t>
      </w:r>
    </w:p>
    <w:p w:rsidR="000607F8" w:rsidRDefault="000607F8" w:rsidP="00473C7B">
      <w:pPr>
        <w:numPr>
          <w:ilvl w:val="12"/>
          <w:numId w:val="0"/>
        </w:numPr>
        <w:rPr>
          <w:rFonts w:cs="Arial"/>
          <w:szCs w:val="22"/>
          <w:u w:val="single"/>
        </w:rPr>
      </w:pPr>
    </w:p>
    <w:p w:rsidR="00CA5589" w:rsidRDefault="000607F8" w:rsidP="00473C7B">
      <w:pPr>
        <w:numPr>
          <w:ilvl w:val="12"/>
          <w:numId w:val="0"/>
        </w:numPr>
        <w:rPr>
          <w:rFonts w:cs="Arial"/>
          <w:szCs w:val="22"/>
          <w:u w:val="single"/>
        </w:rPr>
      </w:pPr>
      <w:r w:rsidRPr="000607F8">
        <w:rPr>
          <w:rFonts w:cs="Arial"/>
          <w:szCs w:val="22"/>
          <w:u w:val="single"/>
        </w:rPr>
        <w:t xml:space="preserve">Initial analyses </w:t>
      </w:r>
      <w:r>
        <w:rPr>
          <w:rFonts w:cs="Arial"/>
          <w:szCs w:val="22"/>
          <w:u w:val="single"/>
        </w:rPr>
        <w:t xml:space="preserve">review </w:t>
      </w:r>
      <w:r w:rsidRPr="000607F8">
        <w:rPr>
          <w:rFonts w:cs="Arial"/>
          <w:szCs w:val="22"/>
          <w:u w:val="single"/>
        </w:rPr>
        <w:t>forecasted to be conducted in year 2019</w:t>
      </w:r>
      <w:r>
        <w:rPr>
          <w:rFonts w:cs="Arial"/>
          <w:szCs w:val="22"/>
          <w:u w:val="single"/>
        </w:rPr>
        <w:t>.</w:t>
      </w:r>
    </w:p>
    <w:p w:rsidR="000607F8" w:rsidRPr="00473C7B" w:rsidRDefault="000607F8" w:rsidP="00473C7B">
      <w:pPr>
        <w:numPr>
          <w:ilvl w:val="12"/>
          <w:numId w:val="0"/>
        </w:numPr>
        <w:rPr>
          <w:rFonts w:cs="Arial"/>
          <w:szCs w:val="22"/>
          <w:u w:val="single"/>
        </w:rPr>
      </w:pPr>
    </w:p>
    <w:p w:rsidR="00317395" w:rsidRDefault="00CA5589" w:rsidP="000279F6">
      <w:pPr>
        <w:pStyle w:val="ListParagraph"/>
        <w:numPr>
          <w:ilvl w:val="0"/>
          <w:numId w:val="28"/>
        </w:numPr>
        <w:ind w:left="0" w:firstLine="0"/>
        <w:rPr>
          <w:rFonts w:cs="Arial"/>
          <w:szCs w:val="22"/>
        </w:rPr>
      </w:pPr>
      <w:r w:rsidRPr="00473C7B">
        <w:rPr>
          <w:rFonts w:cs="Arial"/>
          <w:szCs w:val="22"/>
        </w:rPr>
        <w:t xml:space="preserve">Reviewing compliance </w:t>
      </w:r>
      <w:r w:rsidR="00B945E6">
        <w:rPr>
          <w:rFonts w:cs="Arial"/>
          <w:szCs w:val="22"/>
        </w:rPr>
        <w:t xml:space="preserve">and protective assurance </w:t>
      </w:r>
      <w:r w:rsidRPr="00473C7B">
        <w:rPr>
          <w:rFonts w:cs="Arial"/>
          <w:szCs w:val="22"/>
        </w:rPr>
        <w:t>period analyses.</w:t>
      </w:r>
    </w:p>
    <w:p w:rsidR="00317395" w:rsidRDefault="00317395" w:rsidP="000279F6">
      <w:pPr>
        <w:pStyle w:val="ListParagraph"/>
        <w:ind w:left="0"/>
        <w:rPr>
          <w:rFonts w:cs="Arial"/>
          <w:szCs w:val="22"/>
        </w:rPr>
      </w:pPr>
    </w:p>
    <w:p w:rsidR="00CA5589" w:rsidRDefault="00CA5589" w:rsidP="000279F6">
      <w:pPr>
        <w:pStyle w:val="ListParagraph"/>
      </w:pPr>
      <w:r w:rsidRPr="00473C7B">
        <w:t xml:space="preserve">Proposed </w:t>
      </w:r>
      <w:r w:rsidR="00B945E6">
        <w:t xml:space="preserve">10 CFR 61.13(f), </w:t>
      </w:r>
      <w:r w:rsidRPr="00473C7B">
        <w:t>10 CFR 61.41</w:t>
      </w:r>
      <w:r w:rsidR="00B945E6">
        <w:t>,</w:t>
      </w:r>
      <w:r w:rsidRPr="00473C7B">
        <w:t xml:space="preserve"> and 10 CFR 61.42 require an Agreement State to review its licensee’s compliance </w:t>
      </w:r>
      <w:r w:rsidR="00B945E6">
        <w:t xml:space="preserve">and protective assurance </w:t>
      </w:r>
      <w:r w:rsidRPr="00473C7B">
        <w:t>period analyses</w:t>
      </w:r>
      <w:r w:rsidR="00B91AC4" w:rsidRPr="00473C7B">
        <w:t xml:space="preserve"> and</w:t>
      </w:r>
      <w:r w:rsidRPr="00473C7B">
        <w:t xml:space="preserve"> impact</w:t>
      </w:r>
      <w:r w:rsidR="00B91AC4" w:rsidRPr="00473C7B">
        <w:t>s</w:t>
      </w:r>
      <w:r w:rsidRPr="00473C7B">
        <w:t xml:space="preserve"> </w:t>
      </w:r>
      <w:r w:rsidR="00863980" w:rsidRPr="00473C7B">
        <w:t>four</w:t>
      </w:r>
      <w:r w:rsidRPr="00473C7B">
        <w:t xml:space="preserve"> Agreement States.  The NRC estimates that the costs for each Agreement State to review its licensee’s initial compliance </w:t>
      </w:r>
      <w:r w:rsidR="00B945E6">
        <w:t xml:space="preserve">and protective assurance </w:t>
      </w:r>
      <w:r w:rsidRPr="00473C7B">
        <w:t xml:space="preserve">period analyses would be </w:t>
      </w:r>
      <w:r w:rsidR="000607F8">
        <w:t>4,440</w:t>
      </w:r>
      <w:r w:rsidR="000B263D" w:rsidRPr="00473C7B">
        <w:t xml:space="preserve"> hours </w:t>
      </w:r>
      <w:r w:rsidRPr="00473C7B">
        <w:t>(</w:t>
      </w:r>
      <w:r w:rsidR="000607F8">
        <w:t>2.5</w:t>
      </w:r>
      <w:r w:rsidR="000B263D" w:rsidRPr="00473C7B">
        <w:t xml:space="preserve"> FTE</w:t>
      </w:r>
      <w:r w:rsidRPr="00473C7B">
        <w:t>).  This cost</w:t>
      </w:r>
      <w:r w:rsidR="00317188">
        <w:t xml:space="preserve"> </w:t>
      </w:r>
      <w:r w:rsidRPr="00473C7B">
        <w:t xml:space="preserve">is estimated to be </w:t>
      </w:r>
      <w:r w:rsidR="000607F8">
        <w:t xml:space="preserve">approximately </w:t>
      </w:r>
      <w:r w:rsidRPr="00473C7B">
        <w:t>$</w:t>
      </w:r>
      <w:r w:rsidR="000607F8">
        <w:t>220,000</w:t>
      </w:r>
      <w:r w:rsidRPr="00473C7B">
        <w:t xml:space="preserve"> per Agreement State</w:t>
      </w:r>
      <w:r w:rsidR="00C750A8" w:rsidRPr="00473C7B">
        <w:t xml:space="preserve"> </w:t>
      </w:r>
      <w:r w:rsidR="000B263D" w:rsidRPr="00473C7B">
        <w:t xml:space="preserve">with </w:t>
      </w:r>
      <w:r w:rsidR="00C750A8" w:rsidRPr="00473C7B">
        <w:t xml:space="preserve">a total cost for the Agreement States of </w:t>
      </w:r>
      <w:r w:rsidR="000607F8">
        <w:t xml:space="preserve">approximately </w:t>
      </w:r>
      <w:r w:rsidR="00C750A8" w:rsidRPr="00473C7B">
        <w:t>$</w:t>
      </w:r>
      <w:r w:rsidR="000607F8">
        <w:t>880,000</w:t>
      </w:r>
      <w:r w:rsidR="00C750A8" w:rsidRPr="00473C7B">
        <w:t>.</w:t>
      </w:r>
      <w:r w:rsidRPr="00473C7B">
        <w:t xml:space="preserve">  </w:t>
      </w:r>
    </w:p>
    <w:p w:rsidR="00317395" w:rsidRDefault="00317395" w:rsidP="000279F6">
      <w:pPr>
        <w:pStyle w:val="ListParagraph"/>
      </w:pPr>
    </w:p>
    <w:p w:rsidR="00E83F54" w:rsidRDefault="00317395" w:rsidP="000279F6">
      <w:pPr>
        <w:pStyle w:val="ListParagraph"/>
        <w:numPr>
          <w:ilvl w:val="0"/>
          <w:numId w:val="28"/>
        </w:numPr>
        <w:ind w:left="0" w:firstLine="0"/>
        <w:rPr>
          <w:rFonts w:cs="Arial"/>
          <w:szCs w:val="22"/>
        </w:rPr>
      </w:pPr>
      <w:r w:rsidRPr="00473C7B">
        <w:rPr>
          <w:rFonts w:cs="Arial"/>
          <w:szCs w:val="22"/>
        </w:rPr>
        <w:t>Reviewing performance period analyses.</w:t>
      </w:r>
    </w:p>
    <w:p w:rsidR="00E83F54" w:rsidRDefault="00E83F54" w:rsidP="000279F6">
      <w:pPr>
        <w:pStyle w:val="ListParagraph"/>
        <w:ind w:left="0"/>
        <w:rPr>
          <w:rFonts w:cs="Arial"/>
          <w:szCs w:val="22"/>
        </w:rPr>
      </w:pPr>
    </w:p>
    <w:p w:rsidR="00317395" w:rsidRDefault="00317395" w:rsidP="000279F6">
      <w:pPr>
        <w:pStyle w:val="ListParagraph"/>
        <w:rPr>
          <w:rFonts w:cs="Arial"/>
          <w:szCs w:val="22"/>
        </w:rPr>
      </w:pPr>
      <w:r w:rsidRPr="00E83F54">
        <w:rPr>
          <w:rFonts w:cs="Arial"/>
          <w:szCs w:val="22"/>
        </w:rPr>
        <w:t xml:space="preserve">Proposed 10 CFR 61.13(e) </w:t>
      </w:r>
      <w:r w:rsidR="009A67C4">
        <w:rPr>
          <w:rFonts w:cs="Arial"/>
          <w:szCs w:val="22"/>
        </w:rPr>
        <w:t xml:space="preserve">will result in the </w:t>
      </w:r>
      <w:r w:rsidRPr="00E83F54">
        <w:rPr>
          <w:rFonts w:cs="Arial"/>
          <w:szCs w:val="22"/>
        </w:rPr>
        <w:t xml:space="preserve">Agreement State </w:t>
      </w:r>
      <w:r w:rsidR="009A67C4">
        <w:rPr>
          <w:rFonts w:cs="Arial"/>
          <w:szCs w:val="22"/>
        </w:rPr>
        <w:t xml:space="preserve">needing </w:t>
      </w:r>
      <w:r w:rsidRPr="00E83F54">
        <w:rPr>
          <w:rFonts w:cs="Arial"/>
          <w:szCs w:val="22"/>
        </w:rPr>
        <w:t>to review its licensee’s performance period analyses and impacts t</w:t>
      </w:r>
      <w:r w:rsidRPr="00B51294">
        <w:rPr>
          <w:rFonts w:cs="Arial"/>
          <w:szCs w:val="22"/>
        </w:rPr>
        <w:t xml:space="preserve">wo Agreement States.  The NRC estimates that the costs for each Agreement State to review its licensee’s performance period analyses would be </w:t>
      </w:r>
      <w:r w:rsidR="00B65DD4">
        <w:rPr>
          <w:rFonts w:cs="Arial"/>
          <w:szCs w:val="22"/>
        </w:rPr>
        <w:t>880</w:t>
      </w:r>
      <w:r w:rsidRPr="00B51294">
        <w:rPr>
          <w:rFonts w:cs="Arial"/>
          <w:szCs w:val="22"/>
        </w:rPr>
        <w:t xml:space="preserve"> hours (</w:t>
      </w:r>
      <w:r w:rsidR="00B65DD4">
        <w:rPr>
          <w:rFonts w:cs="Arial"/>
          <w:szCs w:val="22"/>
        </w:rPr>
        <w:t>0.5</w:t>
      </w:r>
      <w:r w:rsidRPr="00B51294">
        <w:rPr>
          <w:rFonts w:cs="Arial"/>
          <w:szCs w:val="22"/>
        </w:rPr>
        <w:t xml:space="preserve"> FTE), or </w:t>
      </w:r>
      <w:r w:rsidR="00B65DD4">
        <w:rPr>
          <w:rFonts w:cs="Arial"/>
          <w:szCs w:val="22"/>
        </w:rPr>
        <w:t xml:space="preserve">approximately </w:t>
      </w:r>
      <w:r w:rsidRPr="00B51294">
        <w:rPr>
          <w:rFonts w:cs="Arial"/>
          <w:szCs w:val="22"/>
        </w:rPr>
        <w:t>$</w:t>
      </w:r>
      <w:r w:rsidR="00B65DD4">
        <w:rPr>
          <w:rFonts w:cs="Arial"/>
          <w:szCs w:val="22"/>
        </w:rPr>
        <w:t>42,000</w:t>
      </w:r>
      <w:r w:rsidRPr="00B51294">
        <w:rPr>
          <w:rFonts w:cs="Arial"/>
          <w:szCs w:val="22"/>
        </w:rPr>
        <w:t xml:space="preserve"> per Agreement State with a total cost for the Agreements States of </w:t>
      </w:r>
      <w:r w:rsidR="00B65DD4">
        <w:rPr>
          <w:rFonts w:cs="Arial"/>
          <w:szCs w:val="22"/>
        </w:rPr>
        <w:t xml:space="preserve">approximately </w:t>
      </w:r>
      <w:r w:rsidRPr="00B51294">
        <w:rPr>
          <w:rFonts w:cs="Arial"/>
          <w:szCs w:val="22"/>
        </w:rPr>
        <w:t>$</w:t>
      </w:r>
      <w:r w:rsidR="00E11EA7">
        <w:rPr>
          <w:rFonts w:cs="Arial"/>
          <w:szCs w:val="22"/>
        </w:rPr>
        <w:t>84,000</w:t>
      </w:r>
      <w:r w:rsidRPr="00B51294">
        <w:rPr>
          <w:rFonts w:cs="Arial"/>
          <w:szCs w:val="22"/>
        </w:rPr>
        <w:t>.</w:t>
      </w:r>
    </w:p>
    <w:p w:rsidR="00E83F54" w:rsidRDefault="00E83F54" w:rsidP="00472244">
      <w:pPr>
        <w:pStyle w:val="ListParagraph"/>
        <w:rPr>
          <w:rFonts w:cs="Arial"/>
          <w:szCs w:val="22"/>
        </w:rPr>
      </w:pPr>
    </w:p>
    <w:p w:rsidR="00CA5589" w:rsidRPr="00E83F54" w:rsidRDefault="00CA5589" w:rsidP="00472244">
      <w:pPr>
        <w:pStyle w:val="ListParagraph"/>
        <w:numPr>
          <w:ilvl w:val="0"/>
          <w:numId w:val="28"/>
        </w:numPr>
        <w:ind w:left="720" w:hanging="720"/>
        <w:rPr>
          <w:rFonts w:cs="Arial"/>
          <w:szCs w:val="22"/>
        </w:rPr>
      </w:pPr>
      <w:r w:rsidRPr="00E83F54">
        <w:rPr>
          <w:rFonts w:cs="Arial"/>
          <w:szCs w:val="22"/>
        </w:rPr>
        <w:t xml:space="preserve">Reviewing </w:t>
      </w:r>
      <w:r w:rsidR="00EC1472" w:rsidRPr="00E83F54">
        <w:rPr>
          <w:rFonts w:cs="Arial"/>
          <w:szCs w:val="22"/>
        </w:rPr>
        <w:t xml:space="preserve">the </w:t>
      </w:r>
      <w:r w:rsidRPr="00E83F54">
        <w:rPr>
          <w:rFonts w:cs="Arial"/>
          <w:szCs w:val="22"/>
        </w:rPr>
        <w:t xml:space="preserve">LLRW acceptance plan. </w:t>
      </w:r>
    </w:p>
    <w:p w:rsidR="00CA5589" w:rsidRPr="00473C7B" w:rsidRDefault="00CA5589" w:rsidP="00473C7B">
      <w:pPr>
        <w:pStyle w:val="ListParagraph"/>
        <w:rPr>
          <w:rFonts w:cs="Arial"/>
          <w:szCs w:val="22"/>
        </w:rPr>
      </w:pPr>
    </w:p>
    <w:p w:rsidR="00CA5589" w:rsidRPr="00473C7B" w:rsidRDefault="00CA5589" w:rsidP="00473C7B">
      <w:pPr>
        <w:pStyle w:val="ListParagraph"/>
        <w:rPr>
          <w:rFonts w:cs="Arial"/>
          <w:szCs w:val="22"/>
        </w:rPr>
      </w:pPr>
      <w:r w:rsidRPr="00473C7B">
        <w:rPr>
          <w:rFonts w:cs="Arial"/>
          <w:szCs w:val="22"/>
        </w:rPr>
        <w:t xml:space="preserve">Proposed 10 CFR 61.58 </w:t>
      </w:r>
      <w:r w:rsidR="00CA1D3A">
        <w:rPr>
          <w:rFonts w:cs="Arial"/>
          <w:szCs w:val="22"/>
        </w:rPr>
        <w:t>will result in the</w:t>
      </w:r>
      <w:r w:rsidRPr="00473C7B">
        <w:rPr>
          <w:rFonts w:cs="Arial"/>
          <w:szCs w:val="22"/>
        </w:rPr>
        <w:t xml:space="preserve"> Agreement State </w:t>
      </w:r>
      <w:r w:rsidR="00CA1D3A">
        <w:rPr>
          <w:rFonts w:cs="Arial"/>
          <w:szCs w:val="22"/>
        </w:rPr>
        <w:t xml:space="preserve">needing </w:t>
      </w:r>
      <w:r w:rsidRPr="00473C7B">
        <w:rPr>
          <w:rFonts w:cs="Arial"/>
          <w:szCs w:val="22"/>
        </w:rPr>
        <w:t>to review its licensee’s LLRW acceptance plan</w:t>
      </w:r>
      <w:r w:rsidR="00221A6D" w:rsidRPr="00473C7B">
        <w:rPr>
          <w:rFonts w:cs="Arial"/>
          <w:szCs w:val="22"/>
        </w:rPr>
        <w:t xml:space="preserve"> and</w:t>
      </w:r>
      <w:r w:rsidRPr="00473C7B">
        <w:rPr>
          <w:rFonts w:cs="Arial"/>
          <w:szCs w:val="22"/>
        </w:rPr>
        <w:t xml:space="preserve"> impact</w:t>
      </w:r>
      <w:r w:rsidR="00221A6D" w:rsidRPr="00473C7B">
        <w:rPr>
          <w:rFonts w:cs="Arial"/>
          <w:szCs w:val="22"/>
        </w:rPr>
        <w:t>s</w:t>
      </w:r>
      <w:r w:rsidRPr="00473C7B">
        <w:rPr>
          <w:rFonts w:cs="Arial"/>
          <w:szCs w:val="22"/>
        </w:rPr>
        <w:t xml:space="preserve"> </w:t>
      </w:r>
      <w:r w:rsidR="00863980" w:rsidRPr="00473C7B">
        <w:rPr>
          <w:rFonts w:cs="Arial"/>
          <w:szCs w:val="22"/>
        </w:rPr>
        <w:t>four</w:t>
      </w:r>
      <w:r w:rsidRPr="00473C7B">
        <w:rPr>
          <w:rFonts w:cs="Arial"/>
          <w:szCs w:val="22"/>
        </w:rPr>
        <w:t xml:space="preserve"> Agreement States.  The Agreement State’s cost for reviewing its licensee’s LLRW acceptance plan is estimated to </w:t>
      </w:r>
      <w:r w:rsidR="00F85419" w:rsidRPr="00473C7B">
        <w:rPr>
          <w:rFonts w:cs="Arial"/>
          <w:szCs w:val="22"/>
        </w:rPr>
        <w:t>be 888 </w:t>
      </w:r>
      <w:r w:rsidR="000B263D" w:rsidRPr="00473C7B">
        <w:rPr>
          <w:rFonts w:cs="Arial"/>
          <w:szCs w:val="22"/>
        </w:rPr>
        <w:t xml:space="preserve">hours </w:t>
      </w:r>
      <w:r w:rsidRPr="00473C7B">
        <w:rPr>
          <w:rFonts w:cs="Arial"/>
          <w:szCs w:val="22"/>
        </w:rPr>
        <w:t>(</w:t>
      </w:r>
      <w:r w:rsidR="000B263D" w:rsidRPr="00473C7B">
        <w:rPr>
          <w:rFonts w:cs="Arial"/>
          <w:szCs w:val="22"/>
        </w:rPr>
        <w:t>0.5 FTE</w:t>
      </w:r>
      <w:r w:rsidRPr="00473C7B">
        <w:rPr>
          <w:rFonts w:cs="Arial"/>
          <w:szCs w:val="22"/>
        </w:rPr>
        <w:t xml:space="preserve">) for a total cost of </w:t>
      </w:r>
      <w:r w:rsidR="00B65DD4">
        <w:rPr>
          <w:rFonts w:cs="Arial"/>
          <w:szCs w:val="22"/>
        </w:rPr>
        <w:t xml:space="preserve">approximately </w:t>
      </w:r>
      <w:r w:rsidRPr="00473C7B">
        <w:rPr>
          <w:rFonts w:cs="Arial"/>
          <w:szCs w:val="22"/>
        </w:rPr>
        <w:t>$</w:t>
      </w:r>
      <w:r w:rsidR="00805AD7" w:rsidRPr="00473C7B">
        <w:rPr>
          <w:rFonts w:cs="Arial"/>
          <w:szCs w:val="22"/>
        </w:rPr>
        <w:t>42,0</w:t>
      </w:r>
      <w:r w:rsidR="00B65DD4">
        <w:rPr>
          <w:rFonts w:cs="Arial"/>
          <w:szCs w:val="22"/>
        </w:rPr>
        <w:t>00</w:t>
      </w:r>
      <w:r w:rsidRPr="00473C7B">
        <w:rPr>
          <w:rFonts w:cs="Arial"/>
          <w:szCs w:val="22"/>
        </w:rPr>
        <w:t xml:space="preserve"> per Agreement State</w:t>
      </w:r>
      <w:r w:rsidR="00C750A8" w:rsidRPr="00473C7B">
        <w:rPr>
          <w:rFonts w:cs="Arial"/>
          <w:szCs w:val="22"/>
        </w:rPr>
        <w:t xml:space="preserve"> </w:t>
      </w:r>
      <w:r w:rsidR="000B263D" w:rsidRPr="00473C7B">
        <w:rPr>
          <w:rFonts w:cs="Arial"/>
          <w:szCs w:val="22"/>
        </w:rPr>
        <w:t xml:space="preserve">with </w:t>
      </w:r>
      <w:r w:rsidR="00C750A8" w:rsidRPr="00473C7B">
        <w:rPr>
          <w:rFonts w:cs="Arial"/>
          <w:szCs w:val="22"/>
        </w:rPr>
        <w:t xml:space="preserve">a total cost for </w:t>
      </w:r>
      <w:r w:rsidR="00B966B6">
        <w:rPr>
          <w:rFonts w:cs="Arial"/>
          <w:szCs w:val="22"/>
        </w:rPr>
        <w:t xml:space="preserve">the Agreement States of </w:t>
      </w:r>
      <w:r w:rsidR="00B65DD4">
        <w:rPr>
          <w:rFonts w:cs="Arial"/>
          <w:szCs w:val="22"/>
        </w:rPr>
        <w:t xml:space="preserve">approximately </w:t>
      </w:r>
      <w:r w:rsidR="00B966B6">
        <w:rPr>
          <w:rFonts w:cs="Arial"/>
          <w:szCs w:val="22"/>
        </w:rPr>
        <w:t>$168,</w:t>
      </w:r>
      <w:r w:rsidR="00B65DD4">
        <w:rPr>
          <w:rFonts w:cs="Arial"/>
          <w:szCs w:val="22"/>
        </w:rPr>
        <w:t>0</w:t>
      </w:r>
      <w:r w:rsidR="00B966B6">
        <w:rPr>
          <w:rFonts w:cs="Arial"/>
          <w:szCs w:val="22"/>
        </w:rPr>
        <w:t>0</w:t>
      </w:r>
      <w:r w:rsidR="00B65DD4">
        <w:rPr>
          <w:rFonts w:cs="Arial"/>
          <w:szCs w:val="22"/>
        </w:rPr>
        <w:t>0</w:t>
      </w:r>
      <w:r w:rsidRPr="00473C7B">
        <w:rPr>
          <w:rFonts w:cs="Arial"/>
          <w:szCs w:val="22"/>
        </w:rPr>
        <w:t>.</w:t>
      </w:r>
    </w:p>
    <w:p w:rsidR="00CA5589" w:rsidRPr="00473C7B" w:rsidRDefault="00CA5589" w:rsidP="00473C7B">
      <w:pPr>
        <w:pStyle w:val="ListParagraph"/>
        <w:rPr>
          <w:rFonts w:cs="Arial"/>
          <w:szCs w:val="22"/>
        </w:rPr>
      </w:pPr>
    </w:p>
    <w:p w:rsidR="00CA5589" w:rsidRDefault="00B65DD4" w:rsidP="00B65DD4">
      <w:pPr>
        <w:numPr>
          <w:ilvl w:val="12"/>
          <w:numId w:val="0"/>
        </w:numPr>
        <w:ind w:left="720" w:hanging="720"/>
        <w:rPr>
          <w:rFonts w:cs="Arial"/>
          <w:szCs w:val="22"/>
        </w:rPr>
      </w:pPr>
      <w:r w:rsidRPr="00B65DD4">
        <w:rPr>
          <w:rFonts w:cs="Arial"/>
          <w:szCs w:val="22"/>
        </w:rPr>
        <w:t xml:space="preserve">Updated analyses </w:t>
      </w:r>
      <w:r>
        <w:rPr>
          <w:rFonts w:cs="Arial"/>
          <w:szCs w:val="22"/>
        </w:rPr>
        <w:t xml:space="preserve">review </w:t>
      </w:r>
      <w:r w:rsidRPr="00B65DD4">
        <w:rPr>
          <w:rFonts w:cs="Arial"/>
          <w:szCs w:val="22"/>
        </w:rPr>
        <w:t>required at licensee renewal forecasted to be conducted in year 2024</w:t>
      </w:r>
    </w:p>
    <w:p w:rsidR="00B65DD4" w:rsidRPr="00473C7B" w:rsidRDefault="00B65DD4" w:rsidP="00B65DD4">
      <w:pPr>
        <w:numPr>
          <w:ilvl w:val="12"/>
          <w:numId w:val="0"/>
        </w:numPr>
        <w:ind w:left="720" w:hanging="720"/>
        <w:rPr>
          <w:rFonts w:cs="Arial"/>
          <w:szCs w:val="22"/>
        </w:rPr>
      </w:pPr>
    </w:p>
    <w:p w:rsidR="00B65DD4" w:rsidRPr="00473C7B" w:rsidRDefault="00B65DD4" w:rsidP="00797747">
      <w:pPr>
        <w:pStyle w:val="ListParagraph"/>
        <w:numPr>
          <w:ilvl w:val="0"/>
          <w:numId w:val="28"/>
        </w:numPr>
        <w:ind w:left="720" w:hanging="720"/>
        <w:rPr>
          <w:rFonts w:cs="Arial"/>
          <w:szCs w:val="22"/>
        </w:rPr>
      </w:pPr>
      <w:r w:rsidRPr="00473C7B">
        <w:rPr>
          <w:rFonts w:cs="Arial"/>
          <w:szCs w:val="22"/>
        </w:rPr>
        <w:t xml:space="preserve">Reviewing updated compliance </w:t>
      </w:r>
      <w:r>
        <w:rPr>
          <w:rFonts w:cs="Arial"/>
          <w:szCs w:val="22"/>
        </w:rPr>
        <w:t xml:space="preserve">and protective assurance </w:t>
      </w:r>
      <w:r w:rsidRPr="00473C7B">
        <w:rPr>
          <w:rFonts w:cs="Arial"/>
          <w:szCs w:val="22"/>
        </w:rPr>
        <w:t>period analyses during facility operations</w:t>
      </w:r>
      <w:r>
        <w:rPr>
          <w:rFonts w:cs="Arial"/>
          <w:szCs w:val="22"/>
        </w:rPr>
        <w:t>.</w:t>
      </w:r>
      <w:r w:rsidRPr="00473C7B">
        <w:rPr>
          <w:rFonts w:cs="Arial"/>
          <w:szCs w:val="22"/>
        </w:rPr>
        <w:t xml:space="preserve"> </w:t>
      </w:r>
    </w:p>
    <w:p w:rsidR="00B65DD4" w:rsidRPr="00473C7B" w:rsidRDefault="00B65DD4" w:rsidP="00B65DD4">
      <w:pPr>
        <w:pStyle w:val="ListParagraph"/>
        <w:rPr>
          <w:rFonts w:cs="Arial"/>
          <w:szCs w:val="22"/>
        </w:rPr>
      </w:pPr>
    </w:p>
    <w:p w:rsidR="00B65DD4" w:rsidRPr="00473C7B" w:rsidRDefault="00B65DD4" w:rsidP="00B65DD4">
      <w:pPr>
        <w:ind w:left="720"/>
        <w:rPr>
          <w:rFonts w:cs="Arial"/>
          <w:szCs w:val="22"/>
        </w:rPr>
      </w:pPr>
      <w:r>
        <w:rPr>
          <w:rFonts w:cs="Arial"/>
          <w:szCs w:val="22"/>
        </w:rPr>
        <w:t>P</w:t>
      </w:r>
      <w:r w:rsidRPr="00473C7B">
        <w:rPr>
          <w:rFonts w:cs="Arial"/>
          <w:szCs w:val="22"/>
        </w:rPr>
        <w:t xml:space="preserve">roposed </w:t>
      </w:r>
      <w:r>
        <w:rPr>
          <w:rFonts w:cs="Arial"/>
          <w:szCs w:val="22"/>
        </w:rPr>
        <w:t xml:space="preserve">10 CFR 61.13(f), </w:t>
      </w:r>
      <w:r w:rsidRPr="00473C7B">
        <w:rPr>
          <w:rFonts w:cs="Arial"/>
          <w:szCs w:val="22"/>
        </w:rPr>
        <w:t>10 CFR 61.41</w:t>
      </w:r>
      <w:r>
        <w:rPr>
          <w:rFonts w:cs="Arial"/>
          <w:szCs w:val="22"/>
        </w:rPr>
        <w:t>,</w:t>
      </w:r>
      <w:r w:rsidRPr="00473C7B">
        <w:rPr>
          <w:rFonts w:cs="Arial"/>
          <w:szCs w:val="22"/>
        </w:rPr>
        <w:t xml:space="preserve"> and 10 CFR 61.42,</w:t>
      </w:r>
      <w:r>
        <w:rPr>
          <w:rFonts w:cs="Arial"/>
          <w:szCs w:val="22"/>
        </w:rPr>
        <w:t xml:space="preserve"> will result in </w:t>
      </w:r>
      <w:r w:rsidRPr="00473C7B">
        <w:rPr>
          <w:rFonts w:cs="Arial"/>
          <w:szCs w:val="22"/>
        </w:rPr>
        <w:t xml:space="preserve">an Agreement State </w:t>
      </w:r>
      <w:r>
        <w:rPr>
          <w:rFonts w:cs="Arial"/>
          <w:szCs w:val="22"/>
        </w:rPr>
        <w:t xml:space="preserve">needing </w:t>
      </w:r>
      <w:r w:rsidRPr="00473C7B">
        <w:rPr>
          <w:rFonts w:cs="Arial"/>
          <w:szCs w:val="22"/>
        </w:rPr>
        <w:t xml:space="preserve">to review its licensee’s updated compliance </w:t>
      </w:r>
      <w:r>
        <w:rPr>
          <w:rFonts w:cs="Arial"/>
          <w:szCs w:val="22"/>
        </w:rPr>
        <w:t xml:space="preserve">and protective assurance </w:t>
      </w:r>
      <w:r w:rsidRPr="00473C7B">
        <w:rPr>
          <w:rFonts w:cs="Arial"/>
          <w:szCs w:val="22"/>
        </w:rPr>
        <w:t xml:space="preserve">period analyses to ensure compliance with the Subpart C performance objectives.  Each Agreement State reviews the updated performance </w:t>
      </w:r>
      <w:r>
        <w:rPr>
          <w:rFonts w:cs="Arial"/>
          <w:szCs w:val="22"/>
        </w:rPr>
        <w:t xml:space="preserve">and protective assurance </w:t>
      </w:r>
      <w:r w:rsidRPr="00473C7B">
        <w:rPr>
          <w:rFonts w:cs="Arial"/>
          <w:szCs w:val="22"/>
        </w:rPr>
        <w:t xml:space="preserve">period analyses during the fifth year of the </w:t>
      </w:r>
      <w:r>
        <w:rPr>
          <w:rFonts w:cs="Arial"/>
          <w:szCs w:val="22"/>
        </w:rPr>
        <w:t xml:space="preserve">regulatory </w:t>
      </w:r>
      <w:r w:rsidRPr="00473C7B">
        <w:rPr>
          <w:rFonts w:cs="Arial"/>
          <w:szCs w:val="22"/>
        </w:rPr>
        <w:t>analysis period.</w:t>
      </w:r>
      <w:r>
        <w:rPr>
          <w:rFonts w:cs="Arial"/>
          <w:szCs w:val="22"/>
        </w:rPr>
        <w:t xml:space="preserve">  </w:t>
      </w:r>
      <w:r w:rsidRPr="00473C7B">
        <w:rPr>
          <w:rFonts w:cs="Arial"/>
          <w:szCs w:val="22"/>
        </w:rPr>
        <w:t xml:space="preserve">The NRC estimates that each Agreement State’s review of its licensee’s updated compliance period analyses would require </w:t>
      </w:r>
      <w:r w:rsidR="00797747">
        <w:rPr>
          <w:rFonts w:cs="Arial"/>
          <w:szCs w:val="22"/>
        </w:rPr>
        <w:t>1,776</w:t>
      </w:r>
      <w:r w:rsidRPr="00473C7B">
        <w:rPr>
          <w:rFonts w:cs="Arial"/>
          <w:szCs w:val="22"/>
        </w:rPr>
        <w:t xml:space="preserve"> hours (</w:t>
      </w:r>
      <w:r w:rsidR="00797747">
        <w:rPr>
          <w:rFonts w:cs="Arial"/>
          <w:szCs w:val="22"/>
        </w:rPr>
        <w:t>1</w:t>
      </w:r>
      <w:r w:rsidRPr="00473C7B">
        <w:rPr>
          <w:rFonts w:cs="Arial"/>
          <w:szCs w:val="22"/>
        </w:rPr>
        <w:t xml:space="preserve"> FTE), or </w:t>
      </w:r>
      <w:r w:rsidR="00797747">
        <w:rPr>
          <w:rFonts w:cs="Arial"/>
          <w:szCs w:val="22"/>
        </w:rPr>
        <w:t xml:space="preserve">approximately </w:t>
      </w:r>
      <w:r w:rsidRPr="00473C7B">
        <w:rPr>
          <w:rFonts w:cs="Arial"/>
          <w:szCs w:val="22"/>
        </w:rPr>
        <w:t>$</w:t>
      </w:r>
      <w:r w:rsidR="00797747">
        <w:rPr>
          <w:rFonts w:cs="Arial"/>
          <w:szCs w:val="22"/>
        </w:rPr>
        <w:t>84,000</w:t>
      </w:r>
      <w:r w:rsidRPr="00473C7B">
        <w:rPr>
          <w:rFonts w:cs="Arial"/>
          <w:szCs w:val="22"/>
        </w:rPr>
        <w:t xml:space="preserve"> per Agreement State with a total Agreement States cost of </w:t>
      </w:r>
      <w:r w:rsidR="00797747">
        <w:rPr>
          <w:rFonts w:cs="Arial"/>
          <w:szCs w:val="22"/>
        </w:rPr>
        <w:t xml:space="preserve">approximately </w:t>
      </w:r>
      <w:r w:rsidRPr="00473C7B">
        <w:rPr>
          <w:rFonts w:cs="Arial"/>
          <w:szCs w:val="22"/>
        </w:rPr>
        <w:t>$</w:t>
      </w:r>
      <w:r w:rsidR="00797747">
        <w:rPr>
          <w:rFonts w:cs="Arial"/>
          <w:szCs w:val="22"/>
        </w:rPr>
        <w:t>336,000</w:t>
      </w:r>
      <w:r w:rsidRPr="00473C7B">
        <w:rPr>
          <w:rFonts w:cs="Arial"/>
          <w:szCs w:val="22"/>
        </w:rPr>
        <w:t xml:space="preserve">.  </w:t>
      </w:r>
    </w:p>
    <w:p w:rsidR="00B65DD4" w:rsidRPr="00473C7B" w:rsidRDefault="00B65DD4" w:rsidP="00B65DD4">
      <w:pPr>
        <w:ind w:left="720"/>
        <w:rPr>
          <w:rFonts w:cs="Arial"/>
          <w:szCs w:val="22"/>
        </w:rPr>
      </w:pPr>
    </w:p>
    <w:p w:rsidR="00B65DD4" w:rsidRPr="00473C7B" w:rsidRDefault="00B65DD4" w:rsidP="00AB5FA7">
      <w:pPr>
        <w:pStyle w:val="ListParagraph"/>
        <w:keepNext/>
        <w:numPr>
          <w:ilvl w:val="0"/>
          <w:numId w:val="28"/>
        </w:numPr>
        <w:ind w:left="720" w:hanging="630"/>
        <w:rPr>
          <w:rFonts w:cs="Arial"/>
          <w:szCs w:val="22"/>
        </w:rPr>
      </w:pPr>
      <w:r w:rsidRPr="00473C7B">
        <w:rPr>
          <w:rFonts w:cs="Arial"/>
          <w:szCs w:val="22"/>
        </w:rPr>
        <w:lastRenderedPageBreak/>
        <w:t>Reviewing updated performance period analyses during facility operations</w:t>
      </w:r>
    </w:p>
    <w:p w:rsidR="00B65DD4" w:rsidRPr="00473C7B" w:rsidRDefault="00B65DD4" w:rsidP="00AB5FA7">
      <w:pPr>
        <w:keepNext/>
        <w:numPr>
          <w:ilvl w:val="12"/>
          <w:numId w:val="0"/>
        </w:numPr>
        <w:ind w:left="720"/>
        <w:rPr>
          <w:rFonts w:cs="Arial"/>
          <w:szCs w:val="22"/>
        </w:rPr>
      </w:pPr>
    </w:p>
    <w:p w:rsidR="00B65DD4" w:rsidRPr="00473C7B" w:rsidRDefault="00B65DD4" w:rsidP="00AB5FA7">
      <w:pPr>
        <w:pStyle w:val="ListParagraph"/>
        <w:keepNext/>
        <w:rPr>
          <w:rFonts w:cs="Arial"/>
          <w:szCs w:val="22"/>
        </w:rPr>
      </w:pPr>
      <w:r w:rsidRPr="00473C7B">
        <w:rPr>
          <w:rFonts w:cs="Arial"/>
          <w:szCs w:val="22"/>
        </w:rPr>
        <w:t xml:space="preserve">To ensure each licensee’s compliance with the Subpart C performance objectives under proposed 10 CFR 61.13(e), each Agreement State </w:t>
      </w:r>
      <w:r>
        <w:rPr>
          <w:rFonts w:cs="Arial"/>
          <w:szCs w:val="22"/>
        </w:rPr>
        <w:t>will need to</w:t>
      </w:r>
      <w:r w:rsidRPr="00473C7B">
        <w:rPr>
          <w:rFonts w:cs="Arial"/>
          <w:szCs w:val="22"/>
        </w:rPr>
        <w:t xml:space="preserve"> review its licensee’s updated performance period analyses.  This impacts the two Agreement States that have licensees accepting long-lived LLRW.  Each </w:t>
      </w:r>
      <w:r>
        <w:rPr>
          <w:rFonts w:cs="Arial"/>
          <w:szCs w:val="22"/>
        </w:rPr>
        <w:t xml:space="preserve">affected </w:t>
      </w:r>
      <w:r w:rsidRPr="00473C7B">
        <w:rPr>
          <w:rFonts w:cs="Arial"/>
          <w:szCs w:val="22"/>
        </w:rPr>
        <w:t xml:space="preserve">Agreement State reviews the updated performance period analyses during the fifth year of the </w:t>
      </w:r>
      <w:r>
        <w:rPr>
          <w:rFonts w:cs="Arial"/>
          <w:szCs w:val="22"/>
        </w:rPr>
        <w:t xml:space="preserve">regulatory </w:t>
      </w:r>
      <w:r w:rsidRPr="00473C7B">
        <w:rPr>
          <w:rFonts w:cs="Arial"/>
          <w:szCs w:val="22"/>
        </w:rPr>
        <w:t>analysis period.</w:t>
      </w:r>
      <w:r>
        <w:rPr>
          <w:rFonts w:cs="Arial"/>
          <w:szCs w:val="22"/>
        </w:rPr>
        <w:t xml:space="preserve">  </w:t>
      </w:r>
      <w:r w:rsidRPr="00473C7B">
        <w:rPr>
          <w:rFonts w:cs="Arial"/>
          <w:szCs w:val="22"/>
        </w:rPr>
        <w:t xml:space="preserve">The NRC estimates that each of these Agreement State reviews would require </w:t>
      </w:r>
      <w:r w:rsidR="00797747">
        <w:rPr>
          <w:rFonts w:cs="Arial"/>
          <w:szCs w:val="22"/>
        </w:rPr>
        <w:t>444</w:t>
      </w:r>
      <w:r w:rsidR="00F159DD">
        <w:rPr>
          <w:rFonts w:cs="Arial"/>
          <w:szCs w:val="22"/>
        </w:rPr>
        <w:t xml:space="preserve"> </w:t>
      </w:r>
      <w:r w:rsidRPr="00473C7B">
        <w:rPr>
          <w:rFonts w:cs="Arial"/>
          <w:szCs w:val="22"/>
        </w:rPr>
        <w:t>hours (</w:t>
      </w:r>
      <w:r w:rsidR="00797747">
        <w:rPr>
          <w:rFonts w:cs="Arial"/>
          <w:szCs w:val="22"/>
        </w:rPr>
        <w:t>0.25</w:t>
      </w:r>
      <w:r w:rsidRPr="00473C7B">
        <w:rPr>
          <w:rFonts w:cs="Arial"/>
          <w:szCs w:val="22"/>
        </w:rPr>
        <w:t xml:space="preserve"> FTE), or </w:t>
      </w:r>
      <w:r w:rsidR="00797747">
        <w:rPr>
          <w:rFonts w:cs="Arial"/>
          <w:szCs w:val="22"/>
        </w:rPr>
        <w:t xml:space="preserve">approximately </w:t>
      </w:r>
      <w:r w:rsidRPr="00473C7B">
        <w:rPr>
          <w:rFonts w:cs="Arial"/>
          <w:szCs w:val="22"/>
        </w:rPr>
        <w:t>$</w:t>
      </w:r>
      <w:r w:rsidR="00797747">
        <w:rPr>
          <w:rFonts w:cs="Arial"/>
          <w:szCs w:val="22"/>
        </w:rPr>
        <w:t>21,000</w:t>
      </w:r>
      <w:r w:rsidRPr="00473C7B">
        <w:rPr>
          <w:rFonts w:cs="Arial"/>
          <w:szCs w:val="22"/>
        </w:rPr>
        <w:t xml:space="preserve"> with a total Agreement States cost of </w:t>
      </w:r>
      <w:r w:rsidR="00797747">
        <w:rPr>
          <w:rFonts w:cs="Arial"/>
          <w:szCs w:val="22"/>
        </w:rPr>
        <w:t xml:space="preserve">approximately </w:t>
      </w:r>
      <w:r w:rsidRPr="00473C7B">
        <w:rPr>
          <w:rFonts w:cs="Arial"/>
          <w:szCs w:val="22"/>
        </w:rPr>
        <w:t>$</w:t>
      </w:r>
      <w:r w:rsidR="00797747">
        <w:rPr>
          <w:rFonts w:cs="Arial"/>
          <w:szCs w:val="22"/>
        </w:rPr>
        <w:t>42,000.</w:t>
      </w:r>
    </w:p>
    <w:p w:rsidR="00B65DD4" w:rsidRPr="00473C7B" w:rsidRDefault="00B65DD4" w:rsidP="00B65DD4">
      <w:pPr>
        <w:pStyle w:val="ListParagraph"/>
        <w:rPr>
          <w:rFonts w:cs="Arial"/>
          <w:szCs w:val="22"/>
        </w:rPr>
      </w:pPr>
    </w:p>
    <w:p w:rsidR="00B65DD4" w:rsidRPr="00473C7B" w:rsidRDefault="00B65DD4" w:rsidP="00797747">
      <w:pPr>
        <w:pStyle w:val="ListParagraph"/>
        <w:numPr>
          <w:ilvl w:val="0"/>
          <w:numId w:val="28"/>
        </w:numPr>
        <w:ind w:left="720" w:hanging="720"/>
        <w:rPr>
          <w:rFonts w:cs="Arial"/>
          <w:szCs w:val="22"/>
        </w:rPr>
      </w:pPr>
      <w:r w:rsidRPr="00473C7B">
        <w:rPr>
          <w:rFonts w:cs="Arial"/>
          <w:szCs w:val="22"/>
        </w:rPr>
        <w:t xml:space="preserve">Reviewing updated LLRW acceptance plan. </w:t>
      </w:r>
    </w:p>
    <w:p w:rsidR="00B65DD4" w:rsidRPr="00473C7B" w:rsidRDefault="00B65DD4" w:rsidP="00B65DD4">
      <w:pPr>
        <w:pStyle w:val="ListParagraph"/>
        <w:rPr>
          <w:rFonts w:cs="Arial"/>
          <w:szCs w:val="22"/>
        </w:rPr>
      </w:pPr>
    </w:p>
    <w:p w:rsidR="00B65DD4" w:rsidRDefault="00B65DD4" w:rsidP="00B65DD4">
      <w:pPr>
        <w:pStyle w:val="ListParagraph"/>
        <w:rPr>
          <w:rFonts w:cs="Arial"/>
          <w:szCs w:val="22"/>
        </w:rPr>
      </w:pPr>
      <w:r w:rsidRPr="00473C7B">
        <w:rPr>
          <w:rFonts w:cs="Arial"/>
          <w:szCs w:val="22"/>
        </w:rPr>
        <w:t>To ensure compliance with the Subpart C performance objectives under proposed 10 CFR 61.58, an Agreement State is required to review its licensee’s updated LLRW acceptance plan.  Each Agreement State reviews the updated LLRW acceptance plan</w:t>
      </w:r>
      <w:r w:rsidRPr="00473C7B" w:rsidDel="001C7FE1">
        <w:rPr>
          <w:rFonts w:cs="Arial"/>
          <w:szCs w:val="22"/>
        </w:rPr>
        <w:t xml:space="preserve"> </w:t>
      </w:r>
      <w:r w:rsidRPr="00473C7B">
        <w:rPr>
          <w:rFonts w:cs="Arial"/>
          <w:szCs w:val="22"/>
        </w:rPr>
        <w:t xml:space="preserve">during the fifth year of the </w:t>
      </w:r>
      <w:r>
        <w:rPr>
          <w:rFonts w:cs="Arial"/>
          <w:szCs w:val="22"/>
        </w:rPr>
        <w:t xml:space="preserve">regulatory </w:t>
      </w:r>
      <w:r w:rsidRPr="00473C7B">
        <w:rPr>
          <w:rFonts w:cs="Arial"/>
          <w:szCs w:val="22"/>
        </w:rPr>
        <w:t>analysis period.</w:t>
      </w:r>
      <w:r>
        <w:rPr>
          <w:rFonts w:cs="Arial"/>
          <w:szCs w:val="22"/>
        </w:rPr>
        <w:t xml:space="preserve">  </w:t>
      </w:r>
      <w:r w:rsidRPr="00473C7B">
        <w:rPr>
          <w:rFonts w:cs="Arial"/>
          <w:szCs w:val="22"/>
        </w:rPr>
        <w:t xml:space="preserve">The NRC estimates that each Agreement State would require </w:t>
      </w:r>
      <w:r w:rsidR="00375528">
        <w:rPr>
          <w:rFonts w:cs="Arial"/>
          <w:szCs w:val="22"/>
        </w:rPr>
        <w:t>444</w:t>
      </w:r>
      <w:r w:rsidRPr="00473C7B">
        <w:rPr>
          <w:rFonts w:cs="Arial"/>
          <w:szCs w:val="22"/>
        </w:rPr>
        <w:t xml:space="preserve"> hours (0.</w:t>
      </w:r>
      <w:r w:rsidR="00375528">
        <w:rPr>
          <w:rFonts w:cs="Arial"/>
          <w:szCs w:val="22"/>
        </w:rPr>
        <w:t>25</w:t>
      </w:r>
      <w:r w:rsidRPr="00473C7B">
        <w:rPr>
          <w:rFonts w:cs="Arial"/>
          <w:szCs w:val="22"/>
        </w:rPr>
        <w:t xml:space="preserve"> FTE), or </w:t>
      </w:r>
      <w:r w:rsidR="00375528">
        <w:rPr>
          <w:rFonts w:cs="Arial"/>
          <w:szCs w:val="22"/>
        </w:rPr>
        <w:t xml:space="preserve">approximately </w:t>
      </w:r>
      <w:r w:rsidRPr="00473C7B">
        <w:rPr>
          <w:rFonts w:cs="Arial"/>
          <w:szCs w:val="22"/>
        </w:rPr>
        <w:t>$</w:t>
      </w:r>
      <w:r w:rsidR="006E792C">
        <w:rPr>
          <w:rFonts w:cs="Arial"/>
          <w:szCs w:val="22"/>
        </w:rPr>
        <w:t>21,000</w:t>
      </w:r>
      <w:r w:rsidRPr="00473C7B">
        <w:rPr>
          <w:rFonts w:cs="Arial"/>
          <w:szCs w:val="22"/>
        </w:rPr>
        <w:t xml:space="preserve"> per Agreement State with a total </w:t>
      </w:r>
      <w:r>
        <w:rPr>
          <w:rFonts w:cs="Arial"/>
          <w:szCs w:val="22"/>
        </w:rPr>
        <w:t xml:space="preserve">Agreement States cost of </w:t>
      </w:r>
      <w:r w:rsidR="006E792C">
        <w:rPr>
          <w:rFonts w:cs="Arial"/>
          <w:szCs w:val="22"/>
        </w:rPr>
        <w:t xml:space="preserve">approximately </w:t>
      </w:r>
      <w:r>
        <w:rPr>
          <w:rFonts w:cs="Arial"/>
          <w:szCs w:val="22"/>
        </w:rPr>
        <w:t>$</w:t>
      </w:r>
      <w:r w:rsidR="006E792C">
        <w:rPr>
          <w:rFonts w:cs="Arial"/>
          <w:szCs w:val="22"/>
        </w:rPr>
        <w:t>84,000</w:t>
      </w:r>
      <w:r w:rsidRPr="00473C7B">
        <w:rPr>
          <w:rFonts w:cs="Arial"/>
          <w:szCs w:val="22"/>
        </w:rPr>
        <w:t xml:space="preserve">.  </w:t>
      </w:r>
    </w:p>
    <w:p w:rsidR="00797747" w:rsidRDefault="00797747" w:rsidP="00B65DD4">
      <w:pPr>
        <w:pStyle w:val="ListParagraph"/>
        <w:rPr>
          <w:rFonts w:cs="Arial"/>
          <w:szCs w:val="22"/>
        </w:rPr>
      </w:pPr>
    </w:p>
    <w:p w:rsidR="00797747" w:rsidRDefault="00797747" w:rsidP="00797747">
      <w:pPr>
        <w:pStyle w:val="ListParagraph"/>
        <w:ind w:hanging="810"/>
        <w:rPr>
          <w:rFonts w:cs="Arial"/>
          <w:szCs w:val="22"/>
          <w:u w:val="single"/>
        </w:rPr>
      </w:pPr>
      <w:r w:rsidRPr="0006301B">
        <w:rPr>
          <w:rFonts w:cs="Arial"/>
          <w:szCs w:val="22"/>
          <w:u w:val="single"/>
        </w:rPr>
        <w:t>Updated analyses</w:t>
      </w:r>
      <w:r>
        <w:rPr>
          <w:rFonts w:cs="Arial"/>
          <w:szCs w:val="22"/>
          <w:u w:val="single"/>
        </w:rPr>
        <w:t xml:space="preserve"> review</w:t>
      </w:r>
      <w:r w:rsidRPr="0006301B">
        <w:rPr>
          <w:rFonts w:cs="Arial"/>
          <w:szCs w:val="22"/>
          <w:u w:val="single"/>
        </w:rPr>
        <w:t xml:space="preserve"> required at facility closure</w:t>
      </w:r>
      <w:r w:rsidRPr="00CE7119">
        <w:rPr>
          <w:rFonts w:cs="Arial"/>
          <w:szCs w:val="22"/>
          <w:u w:val="single"/>
        </w:rPr>
        <w:t xml:space="preserve"> forecasted to be conducted in year 2029</w:t>
      </w:r>
      <w:r>
        <w:rPr>
          <w:rFonts w:cs="Arial"/>
          <w:szCs w:val="22"/>
          <w:u w:val="single"/>
        </w:rPr>
        <w:t>.</w:t>
      </w:r>
    </w:p>
    <w:p w:rsidR="00B65DD4" w:rsidRDefault="00B65DD4" w:rsidP="00B65DD4">
      <w:pPr>
        <w:pStyle w:val="ListParagraph"/>
        <w:rPr>
          <w:rFonts w:cs="Arial"/>
          <w:szCs w:val="22"/>
        </w:rPr>
      </w:pPr>
    </w:p>
    <w:p w:rsidR="00CA5589" w:rsidRPr="00473C7B" w:rsidRDefault="00CA5589" w:rsidP="00797747">
      <w:pPr>
        <w:pStyle w:val="ListParagraph"/>
        <w:numPr>
          <w:ilvl w:val="0"/>
          <w:numId w:val="28"/>
        </w:numPr>
        <w:ind w:left="720" w:hanging="720"/>
        <w:rPr>
          <w:rFonts w:cs="Arial"/>
          <w:szCs w:val="22"/>
        </w:rPr>
      </w:pPr>
      <w:r w:rsidRPr="00473C7B">
        <w:rPr>
          <w:rFonts w:cs="Arial"/>
          <w:szCs w:val="22"/>
        </w:rPr>
        <w:t xml:space="preserve">Reviewing updated compliance </w:t>
      </w:r>
      <w:r w:rsidR="00B945E6">
        <w:rPr>
          <w:rFonts w:cs="Arial"/>
          <w:szCs w:val="22"/>
        </w:rPr>
        <w:t xml:space="preserve">and protective assurance </w:t>
      </w:r>
      <w:r w:rsidRPr="00473C7B">
        <w:rPr>
          <w:rFonts w:cs="Arial"/>
          <w:szCs w:val="22"/>
        </w:rPr>
        <w:t xml:space="preserve">period analyses with the </w:t>
      </w:r>
      <w:r w:rsidR="002D41ED">
        <w:rPr>
          <w:rFonts w:cs="Arial"/>
          <w:szCs w:val="22"/>
        </w:rPr>
        <w:t xml:space="preserve">    </w:t>
      </w:r>
      <w:r w:rsidRPr="00473C7B">
        <w:rPr>
          <w:rFonts w:cs="Arial"/>
          <w:szCs w:val="22"/>
        </w:rPr>
        <w:t>application to amend the license for closure.</w:t>
      </w:r>
    </w:p>
    <w:p w:rsidR="00CA5589" w:rsidRPr="00473C7B" w:rsidRDefault="002D41ED" w:rsidP="002D41ED">
      <w:pPr>
        <w:pStyle w:val="ListParagraph"/>
        <w:tabs>
          <w:tab w:val="left" w:pos="1800"/>
        </w:tabs>
        <w:rPr>
          <w:rFonts w:cs="Arial"/>
          <w:szCs w:val="22"/>
        </w:rPr>
      </w:pPr>
      <w:r>
        <w:rPr>
          <w:rFonts w:cs="Arial"/>
          <w:szCs w:val="22"/>
        </w:rPr>
        <w:tab/>
      </w:r>
    </w:p>
    <w:p w:rsidR="00931152" w:rsidRPr="00473C7B" w:rsidRDefault="00CA5589" w:rsidP="00931152">
      <w:pPr>
        <w:pStyle w:val="ListParagraph"/>
        <w:rPr>
          <w:rFonts w:cs="Arial"/>
          <w:szCs w:val="22"/>
        </w:rPr>
      </w:pPr>
      <w:r w:rsidRPr="00473C7B">
        <w:rPr>
          <w:rFonts w:cs="Arial"/>
          <w:szCs w:val="22"/>
        </w:rPr>
        <w:t>Proposed 10 CFR 61.28</w:t>
      </w:r>
      <w:r w:rsidR="00A2000B">
        <w:rPr>
          <w:rFonts w:cs="Arial"/>
          <w:szCs w:val="22"/>
        </w:rPr>
        <w:t xml:space="preserve"> will result in the</w:t>
      </w:r>
      <w:r w:rsidRPr="00473C7B">
        <w:rPr>
          <w:rFonts w:cs="Arial"/>
          <w:szCs w:val="22"/>
        </w:rPr>
        <w:t xml:space="preserve"> Agreement State </w:t>
      </w:r>
      <w:r w:rsidR="00A2000B">
        <w:rPr>
          <w:rFonts w:cs="Arial"/>
          <w:szCs w:val="22"/>
        </w:rPr>
        <w:t xml:space="preserve">needing </w:t>
      </w:r>
      <w:r w:rsidRPr="00473C7B">
        <w:rPr>
          <w:rFonts w:cs="Arial"/>
          <w:szCs w:val="22"/>
        </w:rPr>
        <w:t xml:space="preserve">to review its licensees’ updated compliance </w:t>
      </w:r>
      <w:r w:rsidR="00B945E6">
        <w:rPr>
          <w:rFonts w:cs="Arial"/>
          <w:szCs w:val="22"/>
        </w:rPr>
        <w:t xml:space="preserve">and protective assurance </w:t>
      </w:r>
      <w:r w:rsidRPr="00473C7B">
        <w:rPr>
          <w:rFonts w:cs="Arial"/>
          <w:szCs w:val="22"/>
        </w:rPr>
        <w:t>period analyses at facility closure.  The NRC estimates that each Agreement State review</w:t>
      </w:r>
      <w:r w:rsidR="00403506" w:rsidRPr="00473C7B">
        <w:rPr>
          <w:rFonts w:cs="Arial"/>
          <w:szCs w:val="22"/>
        </w:rPr>
        <w:t xml:space="preserve"> of</w:t>
      </w:r>
      <w:r w:rsidRPr="00473C7B">
        <w:rPr>
          <w:rFonts w:cs="Arial"/>
          <w:szCs w:val="22"/>
        </w:rPr>
        <w:t xml:space="preserve"> its licensee’s updated compliance</w:t>
      </w:r>
      <w:r w:rsidR="00B945E6">
        <w:rPr>
          <w:rFonts w:cs="Arial"/>
          <w:szCs w:val="22"/>
        </w:rPr>
        <w:t xml:space="preserve"> and protective assurance</w:t>
      </w:r>
      <w:r w:rsidRPr="00473C7B">
        <w:rPr>
          <w:rFonts w:cs="Arial"/>
          <w:szCs w:val="22"/>
        </w:rPr>
        <w:t xml:space="preserve"> period analyses </w:t>
      </w:r>
      <w:r w:rsidR="008108D5" w:rsidRPr="00473C7B">
        <w:rPr>
          <w:rFonts w:cs="Arial"/>
          <w:szCs w:val="22"/>
        </w:rPr>
        <w:t xml:space="preserve">during the </w:t>
      </w:r>
      <w:r w:rsidR="00317188">
        <w:rPr>
          <w:rFonts w:cs="Arial"/>
          <w:szCs w:val="22"/>
        </w:rPr>
        <w:t>tenth</w:t>
      </w:r>
      <w:r w:rsidR="00317188" w:rsidRPr="00473C7B">
        <w:rPr>
          <w:rFonts w:cs="Arial"/>
          <w:szCs w:val="22"/>
        </w:rPr>
        <w:t xml:space="preserve"> </w:t>
      </w:r>
      <w:r w:rsidR="008108D5" w:rsidRPr="00473C7B">
        <w:rPr>
          <w:rFonts w:cs="Arial"/>
          <w:szCs w:val="22"/>
        </w:rPr>
        <w:t>year of th</w:t>
      </w:r>
      <w:r w:rsidR="00F4595A" w:rsidRPr="00473C7B">
        <w:rPr>
          <w:rFonts w:cs="Arial"/>
          <w:szCs w:val="22"/>
        </w:rPr>
        <w:t>e</w:t>
      </w:r>
      <w:r w:rsidR="008108D5" w:rsidRPr="00473C7B">
        <w:rPr>
          <w:rFonts w:cs="Arial"/>
          <w:szCs w:val="22"/>
        </w:rPr>
        <w:t xml:space="preserve"> </w:t>
      </w:r>
      <w:r w:rsidR="00317188">
        <w:rPr>
          <w:rFonts w:cs="Arial"/>
          <w:szCs w:val="22"/>
        </w:rPr>
        <w:t xml:space="preserve">regulatory </w:t>
      </w:r>
      <w:r w:rsidR="008108D5" w:rsidRPr="00473C7B">
        <w:rPr>
          <w:rFonts w:cs="Arial"/>
          <w:szCs w:val="22"/>
        </w:rPr>
        <w:t xml:space="preserve">analysis period </w:t>
      </w:r>
      <w:r w:rsidRPr="00473C7B">
        <w:rPr>
          <w:rFonts w:cs="Arial"/>
          <w:szCs w:val="22"/>
        </w:rPr>
        <w:t>require</w:t>
      </w:r>
      <w:r w:rsidR="006D6843" w:rsidRPr="00473C7B">
        <w:rPr>
          <w:rFonts w:cs="Arial"/>
          <w:szCs w:val="22"/>
        </w:rPr>
        <w:t>s</w:t>
      </w:r>
      <w:r w:rsidRPr="00473C7B">
        <w:rPr>
          <w:rFonts w:cs="Arial"/>
          <w:szCs w:val="22"/>
        </w:rPr>
        <w:t xml:space="preserve"> </w:t>
      </w:r>
      <w:r w:rsidR="006E792C">
        <w:rPr>
          <w:rFonts w:cs="Arial"/>
          <w:szCs w:val="22"/>
        </w:rPr>
        <w:t>1,776</w:t>
      </w:r>
      <w:r w:rsidR="007019B0">
        <w:rPr>
          <w:rFonts w:cs="Arial"/>
          <w:szCs w:val="22"/>
        </w:rPr>
        <w:t xml:space="preserve"> </w:t>
      </w:r>
      <w:r w:rsidR="00920237" w:rsidRPr="00473C7B">
        <w:rPr>
          <w:rFonts w:cs="Arial"/>
          <w:szCs w:val="22"/>
        </w:rPr>
        <w:t xml:space="preserve">hours </w:t>
      </w:r>
      <w:r w:rsidRPr="00473C7B">
        <w:rPr>
          <w:rFonts w:cs="Arial"/>
          <w:szCs w:val="22"/>
        </w:rPr>
        <w:t>(</w:t>
      </w:r>
      <w:r w:rsidR="006E792C">
        <w:rPr>
          <w:rFonts w:cs="Arial"/>
          <w:szCs w:val="22"/>
        </w:rPr>
        <w:t>1</w:t>
      </w:r>
      <w:r w:rsidR="00920237" w:rsidRPr="00473C7B">
        <w:rPr>
          <w:rFonts w:cs="Arial"/>
          <w:szCs w:val="22"/>
        </w:rPr>
        <w:t xml:space="preserve"> FTE</w:t>
      </w:r>
      <w:r w:rsidRPr="00473C7B">
        <w:rPr>
          <w:rFonts w:cs="Arial"/>
          <w:szCs w:val="22"/>
        </w:rPr>
        <w:t>), or</w:t>
      </w:r>
      <w:r w:rsidR="006E792C">
        <w:rPr>
          <w:rFonts w:cs="Arial"/>
          <w:szCs w:val="22"/>
        </w:rPr>
        <w:t xml:space="preserve"> approximately </w:t>
      </w:r>
      <w:r w:rsidRPr="00473C7B">
        <w:rPr>
          <w:rFonts w:cs="Arial"/>
          <w:szCs w:val="22"/>
        </w:rPr>
        <w:t xml:space="preserve"> $</w:t>
      </w:r>
      <w:r w:rsidR="006E792C">
        <w:rPr>
          <w:rFonts w:cs="Arial"/>
          <w:szCs w:val="22"/>
        </w:rPr>
        <w:t>84,000</w:t>
      </w:r>
      <w:r w:rsidRPr="00473C7B">
        <w:rPr>
          <w:rFonts w:cs="Arial"/>
          <w:szCs w:val="22"/>
        </w:rPr>
        <w:t xml:space="preserve"> per </w:t>
      </w:r>
      <w:r w:rsidR="009736FF" w:rsidRPr="00473C7B">
        <w:rPr>
          <w:rFonts w:cs="Arial"/>
          <w:szCs w:val="22"/>
        </w:rPr>
        <w:t xml:space="preserve">Agreement </w:t>
      </w:r>
      <w:r w:rsidRPr="00473C7B">
        <w:rPr>
          <w:rFonts w:cs="Arial"/>
          <w:szCs w:val="22"/>
        </w:rPr>
        <w:t>State</w:t>
      </w:r>
      <w:r w:rsidR="008108D5" w:rsidRPr="00473C7B">
        <w:rPr>
          <w:rFonts w:cs="Arial"/>
          <w:szCs w:val="22"/>
        </w:rPr>
        <w:t xml:space="preserve"> </w:t>
      </w:r>
      <w:r w:rsidR="00920237" w:rsidRPr="00473C7B">
        <w:rPr>
          <w:rFonts w:cs="Arial"/>
          <w:szCs w:val="22"/>
        </w:rPr>
        <w:t xml:space="preserve">with </w:t>
      </w:r>
      <w:r w:rsidR="008108D5" w:rsidRPr="00473C7B">
        <w:rPr>
          <w:rFonts w:cs="Arial"/>
          <w:szCs w:val="22"/>
        </w:rPr>
        <w:t xml:space="preserve">a total cost for the Agreement States of </w:t>
      </w:r>
      <w:r w:rsidR="006E792C">
        <w:rPr>
          <w:rFonts w:cs="Arial"/>
          <w:szCs w:val="22"/>
        </w:rPr>
        <w:t xml:space="preserve">approximately </w:t>
      </w:r>
      <w:r w:rsidR="008108D5" w:rsidRPr="00473C7B">
        <w:rPr>
          <w:rFonts w:cs="Arial"/>
          <w:szCs w:val="22"/>
        </w:rPr>
        <w:t>$</w:t>
      </w:r>
      <w:r w:rsidR="006E792C">
        <w:rPr>
          <w:rFonts w:cs="Arial"/>
          <w:szCs w:val="22"/>
        </w:rPr>
        <w:t>336,000</w:t>
      </w:r>
      <w:r w:rsidRPr="00473C7B">
        <w:rPr>
          <w:rFonts w:cs="Arial"/>
          <w:szCs w:val="22"/>
        </w:rPr>
        <w:t>.</w:t>
      </w:r>
    </w:p>
    <w:p w:rsidR="00CA5589" w:rsidRPr="00473C7B" w:rsidRDefault="00CA5589" w:rsidP="00473C7B">
      <w:pPr>
        <w:pStyle w:val="ListParagraph"/>
        <w:rPr>
          <w:rFonts w:cs="Arial"/>
          <w:szCs w:val="22"/>
        </w:rPr>
      </w:pPr>
    </w:p>
    <w:p w:rsidR="00CA5589" w:rsidRPr="00473C7B" w:rsidRDefault="00CA5589" w:rsidP="00797747">
      <w:pPr>
        <w:pStyle w:val="ListParagraph"/>
        <w:numPr>
          <w:ilvl w:val="0"/>
          <w:numId w:val="28"/>
        </w:numPr>
        <w:ind w:left="720" w:hanging="720"/>
        <w:rPr>
          <w:rFonts w:cs="Arial"/>
          <w:szCs w:val="22"/>
        </w:rPr>
      </w:pPr>
      <w:r w:rsidRPr="00473C7B">
        <w:rPr>
          <w:rFonts w:cs="Arial"/>
          <w:szCs w:val="22"/>
        </w:rPr>
        <w:t>Reviewing updated performance period analyses with the application to amend the license for closure.</w:t>
      </w:r>
    </w:p>
    <w:p w:rsidR="00CA5589" w:rsidRPr="00473C7B" w:rsidRDefault="00CA5589" w:rsidP="00473C7B">
      <w:pPr>
        <w:pStyle w:val="ListParagraph"/>
        <w:rPr>
          <w:rFonts w:cs="Arial"/>
          <w:szCs w:val="22"/>
        </w:rPr>
      </w:pPr>
    </w:p>
    <w:p w:rsidR="00CA5589" w:rsidRDefault="00B945E6" w:rsidP="00473C7B">
      <w:pPr>
        <w:pStyle w:val="ListParagraph"/>
        <w:rPr>
          <w:rFonts w:cs="Arial"/>
          <w:szCs w:val="22"/>
        </w:rPr>
      </w:pPr>
      <w:r>
        <w:rPr>
          <w:rFonts w:cs="Arial"/>
          <w:szCs w:val="22"/>
        </w:rPr>
        <w:t>P</w:t>
      </w:r>
      <w:r w:rsidR="00CA5589" w:rsidRPr="00473C7B">
        <w:rPr>
          <w:rFonts w:cs="Arial"/>
          <w:szCs w:val="22"/>
        </w:rPr>
        <w:t>roposed 10 CFR 61.28</w:t>
      </w:r>
      <w:r w:rsidR="00F86855">
        <w:rPr>
          <w:rFonts w:cs="Arial"/>
          <w:szCs w:val="22"/>
        </w:rPr>
        <w:t xml:space="preserve"> </w:t>
      </w:r>
      <w:r w:rsidR="00A2000B">
        <w:rPr>
          <w:rFonts w:cs="Arial"/>
          <w:szCs w:val="22"/>
        </w:rPr>
        <w:t>will result in</w:t>
      </w:r>
      <w:r w:rsidR="00F86855" w:rsidRPr="00473C7B">
        <w:rPr>
          <w:rFonts w:cs="Arial"/>
          <w:szCs w:val="22"/>
        </w:rPr>
        <w:t xml:space="preserve"> </w:t>
      </w:r>
      <w:r w:rsidR="00CA5589" w:rsidRPr="00473C7B">
        <w:rPr>
          <w:rFonts w:cs="Arial"/>
          <w:szCs w:val="22"/>
        </w:rPr>
        <w:t xml:space="preserve">an Agreement State </w:t>
      </w:r>
      <w:r w:rsidR="00A2000B">
        <w:rPr>
          <w:rFonts w:cs="Arial"/>
          <w:szCs w:val="22"/>
        </w:rPr>
        <w:t xml:space="preserve">needing </w:t>
      </w:r>
      <w:r w:rsidR="00CA5589" w:rsidRPr="00473C7B">
        <w:rPr>
          <w:rFonts w:cs="Arial"/>
          <w:szCs w:val="22"/>
        </w:rPr>
        <w:t>to review its licensee’s updated performance period analyses with the application to amend the license for closure.  This requirement affect</w:t>
      </w:r>
      <w:r w:rsidR="00922957" w:rsidRPr="00473C7B">
        <w:rPr>
          <w:rFonts w:cs="Arial"/>
          <w:szCs w:val="22"/>
        </w:rPr>
        <w:t>s</w:t>
      </w:r>
      <w:r w:rsidR="00CA5589" w:rsidRPr="00473C7B">
        <w:rPr>
          <w:rFonts w:cs="Arial"/>
          <w:szCs w:val="22"/>
        </w:rPr>
        <w:t xml:space="preserve"> the </w:t>
      </w:r>
      <w:r w:rsidR="00860F47" w:rsidRPr="00473C7B">
        <w:rPr>
          <w:rFonts w:cs="Arial"/>
          <w:szCs w:val="22"/>
        </w:rPr>
        <w:t>two</w:t>
      </w:r>
      <w:r w:rsidR="00CA5589" w:rsidRPr="00473C7B">
        <w:rPr>
          <w:rFonts w:cs="Arial"/>
          <w:szCs w:val="22"/>
        </w:rPr>
        <w:t xml:space="preserve"> Agreement States assumed to have licensees accepting long-lived LLRW for disposal during the </w:t>
      </w:r>
      <w:r w:rsidR="00931152">
        <w:rPr>
          <w:rFonts w:cs="Arial"/>
          <w:szCs w:val="22"/>
        </w:rPr>
        <w:t>tenth</w:t>
      </w:r>
      <w:r w:rsidR="00931152" w:rsidRPr="00473C7B">
        <w:rPr>
          <w:rFonts w:cs="Arial"/>
          <w:szCs w:val="22"/>
        </w:rPr>
        <w:t xml:space="preserve"> </w:t>
      </w:r>
      <w:r w:rsidR="00CA5589" w:rsidRPr="00473C7B">
        <w:rPr>
          <w:rFonts w:cs="Arial"/>
          <w:szCs w:val="22"/>
        </w:rPr>
        <w:t xml:space="preserve">year </w:t>
      </w:r>
      <w:r w:rsidR="00051B0E" w:rsidRPr="00473C7B">
        <w:rPr>
          <w:rFonts w:cs="Arial"/>
          <w:szCs w:val="22"/>
        </w:rPr>
        <w:t xml:space="preserve">of the </w:t>
      </w:r>
      <w:r w:rsidR="00931152">
        <w:rPr>
          <w:rFonts w:cs="Arial"/>
          <w:szCs w:val="22"/>
        </w:rPr>
        <w:t xml:space="preserve">regulatory </w:t>
      </w:r>
      <w:r w:rsidR="00CA5589" w:rsidRPr="00473C7B">
        <w:rPr>
          <w:rFonts w:cs="Arial"/>
          <w:szCs w:val="22"/>
        </w:rPr>
        <w:t xml:space="preserve">analysis period.  The NRC estimates that each Agreement State review of its licensee’s updated performance period analyses would require </w:t>
      </w:r>
      <w:r w:rsidR="006E792C">
        <w:rPr>
          <w:rFonts w:cs="Arial"/>
          <w:szCs w:val="22"/>
        </w:rPr>
        <w:t>444</w:t>
      </w:r>
      <w:r w:rsidR="00051B0E" w:rsidRPr="00473C7B">
        <w:rPr>
          <w:rFonts w:cs="Arial"/>
          <w:szCs w:val="22"/>
        </w:rPr>
        <w:t xml:space="preserve"> hours </w:t>
      </w:r>
      <w:r w:rsidR="00F159DD">
        <w:rPr>
          <w:rFonts w:cs="Arial"/>
          <w:szCs w:val="22"/>
        </w:rPr>
        <w:t>(</w:t>
      </w:r>
      <w:r w:rsidR="006E792C">
        <w:rPr>
          <w:rFonts w:cs="Arial"/>
          <w:szCs w:val="22"/>
        </w:rPr>
        <w:t>0.25</w:t>
      </w:r>
      <w:r w:rsidR="00051B0E" w:rsidRPr="00473C7B">
        <w:rPr>
          <w:rFonts w:cs="Arial"/>
          <w:szCs w:val="22"/>
        </w:rPr>
        <w:t xml:space="preserve"> FTE</w:t>
      </w:r>
      <w:r w:rsidR="00CA5589" w:rsidRPr="00473C7B">
        <w:rPr>
          <w:rFonts w:cs="Arial"/>
          <w:szCs w:val="22"/>
        </w:rPr>
        <w:t xml:space="preserve">), or </w:t>
      </w:r>
      <w:r w:rsidR="006E792C">
        <w:rPr>
          <w:rFonts w:cs="Arial"/>
          <w:szCs w:val="22"/>
        </w:rPr>
        <w:t xml:space="preserve">approximately </w:t>
      </w:r>
      <w:r w:rsidR="00CA5589" w:rsidRPr="00473C7B">
        <w:rPr>
          <w:rFonts w:cs="Arial"/>
          <w:szCs w:val="22"/>
        </w:rPr>
        <w:t>$</w:t>
      </w:r>
      <w:r w:rsidR="006E792C">
        <w:rPr>
          <w:rFonts w:cs="Arial"/>
          <w:szCs w:val="22"/>
        </w:rPr>
        <w:t>21,000</w:t>
      </w:r>
      <w:r w:rsidR="00CA5589" w:rsidRPr="00473C7B">
        <w:rPr>
          <w:rFonts w:cs="Arial"/>
          <w:szCs w:val="22"/>
        </w:rPr>
        <w:t xml:space="preserve"> per </w:t>
      </w:r>
      <w:r w:rsidR="009736FF" w:rsidRPr="00473C7B">
        <w:rPr>
          <w:rFonts w:cs="Arial"/>
          <w:szCs w:val="22"/>
        </w:rPr>
        <w:t xml:space="preserve">Agreement </w:t>
      </w:r>
      <w:r w:rsidR="00CA5589" w:rsidRPr="00473C7B">
        <w:rPr>
          <w:rFonts w:cs="Arial"/>
          <w:szCs w:val="22"/>
        </w:rPr>
        <w:t>State</w:t>
      </w:r>
      <w:r w:rsidR="008108D5" w:rsidRPr="00473C7B">
        <w:rPr>
          <w:rFonts w:cs="Arial"/>
          <w:szCs w:val="22"/>
        </w:rPr>
        <w:t xml:space="preserve"> </w:t>
      </w:r>
      <w:r w:rsidR="00051B0E" w:rsidRPr="00473C7B">
        <w:rPr>
          <w:rFonts w:cs="Arial"/>
          <w:szCs w:val="22"/>
        </w:rPr>
        <w:t xml:space="preserve">with </w:t>
      </w:r>
      <w:r w:rsidR="008108D5" w:rsidRPr="00473C7B">
        <w:rPr>
          <w:rFonts w:cs="Arial"/>
          <w:szCs w:val="22"/>
        </w:rPr>
        <w:t xml:space="preserve">a total cost for the Agreement States of </w:t>
      </w:r>
      <w:r w:rsidR="006E792C">
        <w:rPr>
          <w:rFonts w:cs="Arial"/>
          <w:szCs w:val="22"/>
        </w:rPr>
        <w:t xml:space="preserve">approximately </w:t>
      </w:r>
      <w:r w:rsidR="008108D5" w:rsidRPr="00473C7B">
        <w:rPr>
          <w:rFonts w:cs="Arial"/>
          <w:szCs w:val="22"/>
        </w:rPr>
        <w:t>$</w:t>
      </w:r>
      <w:r w:rsidR="006E792C">
        <w:rPr>
          <w:rFonts w:cs="Arial"/>
          <w:szCs w:val="22"/>
        </w:rPr>
        <w:t>42,000</w:t>
      </w:r>
      <w:r w:rsidR="00CA5589" w:rsidRPr="00473C7B">
        <w:rPr>
          <w:rFonts w:cs="Arial"/>
          <w:szCs w:val="22"/>
        </w:rPr>
        <w:t xml:space="preserve">. </w:t>
      </w:r>
    </w:p>
    <w:p w:rsidR="00CF37B1" w:rsidRPr="00473C7B" w:rsidRDefault="00CF37B1" w:rsidP="00473C7B">
      <w:pPr>
        <w:pStyle w:val="ListParagraph"/>
        <w:rPr>
          <w:rFonts w:cs="Arial"/>
          <w:szCs w:val="22"/>
        </w:rPr>
      </w:pPr>
    </w:p>
    <w:p w:rsidR="007E3CBA" w:rsidRDefault="009364DA" w:rsidP="00473C7B">
      <w:pPr>
        <w:keepNext/>
        <w:keepLines/>
        <w:numPr>
          <w:ilvl w:val="12"/>
          <w:numId w:val="0"/>
        </w:numPr>
        <w:rPr>
          <w:rFonts w:cs="Arial"/>
          <w:b/>
          <w:szCs w:val="22"/>
        </w:rPr>
      </w:pPr>
      <w:r w:rsidRPr="00473C7B">
        <w:rPr>
          <w:rFonts w:cs="Arial"/>
          <w:b/>
          <w:szCs w:val="22"/>
        </w:rPr>
        <w:lastRenderedPageBreak/>
        <w:t>4.2.</w:t>
      </w:r>
      <w:r w:rsidR="005F4BF8" w:rsidRPr="00473C7B">
        <w:rPr>
          <w:rFonts w:cs="Arial"/>
          <w:b/>
          <w:szCs w:val="22"/>
        </w:rPr>
        <w:t>3</w:t>
      </w:r>
      <w:r w:rsidRPr="00473C7B">
        <w:rPr>
          <w:rFonts w:cs="Arial"/>
          <w:b/>
          <w:szCs w:val="22"/>
        </w:rPr>
        <w:t xml:space="preserve"> </w:t>
      </w:r>
      <w:r w:rsidR="00CA5589" w:rsidRPr="00473C7B">
        <w:rPr>
          <w:rFonts w:cs="Arial"/>
          <w:b/>
          <w:szCs w:val="22"/>
        </w:rPr>
        <w:t xml:space="preserve">NRC:  </w:t>
      </w:r>
    </w:p>
    <w:p w:rsidR="007E3CBA" w:rsidRDefault="007E3CBA" w:rsidP="00473C7B">
      <w:pPr>
        <w:keepNext/>
        <w:keepLines/>
        <w:numPr>
          <w:ilvl w:val="12"/>
          <w:numId w:val="0"/>
        </w:numPr>
        <w:rPr>
          <w:rFonts w:cs="Arial"/>
          <w:b/>
          <w:szCs w:val="22"/>
        </w:rPr>
      </w:pPr>
    </w:p>
    <w:p w:rsidR="00CA5589" w:rsidRPr="00473C7B" w:rsidRDefault="00CA5589" w:rsidP="00473C7B">
      <w:pPr>
        <w:keepNext/>
        <w:keepLines/>
        <w:numPr>
          <w:ilvl w:val="12"/>
          <w:numId w:val="0"/>
        </w:numPr>
        <w:rPr>
          <w:rFonts w:cs="Arial"/>
          <w:szCs w:val="22"/>
          <w:u w:val="single"/>
        </w:rPr>
      </w:pPr>
      <w:r w:rsidRPr="00473C7B">
        <w:rPr>
          <w:rFonts w:cs="Arial"/>
          <w:szCs w:val="22"/>
        </w:rPr>
        <w:t xml:space="preserve">The four currently existing LLRW disposal facilities are located in Agreement States and </w:t>
      </w:r>
      <w:r w:rsidR="00F159DD">
        <w:rPr>
          <w:rFonts w:cs="Arial"/>
          <w:szCs w:val="22"/>
        </w:rPr>
        <w:t xml:space="preserve">are </w:t>
      </w:r>
      <w:r w:rsidRPr="00473C7B">
        <w:rPr>
          <w:rFonts w:cs="Arial"/>
          <w:szCs w:val="22"/>
        </w:rPr>
        <w:t xml:space="preserve">not regulated by the NRC.  </w:t>
      </w:r>
    </w:p>
    <w:p w:rsidR="00890B97" w:rsidRPr="00473C7B" w:rsidRDefault="00890B97" w:rsidP="00473C7B">
      <w:pPr>
        <w:keepNext/>
        <w:keepLines/>
        <w:numPr>
          <w:ilvl w:val="12"/>
          <w:numId w:val="0"/>
        </w:numPr>
        <w:rPr>
          <w:rFonts w:cs="Arial"/>
          <w:szCs w:val="22"/>
          <w:u w:val="single"/>
        </w:rPr>
      </w:pPr>
    </w:p>
    <w:p w:rsidR="00CA5589" w:rsidRPr="00473C7B" w:rsidRDefault="005F4BF8" w:rsidP="00473C7B">
      <w:pPr>
        <w:keepNext/>
        <w:keepLines/>
        <w:numPr>
          <w:ilvl w:val="12"/>
          <w:numId w:val="0"/>
        </w:numPr>
        <w:rPr>
          <w:rFonts w:cs="Arial"/>
          <w:szCs w:val="22"/>
        </w:rPr>
      </w:pPr>
      <w:r w:rsidRPr="00473C7B">
        <w:rPr>
          <w:rFonts w:cs="Arial"/>
          <w:szCs w:val="22"/>
          <w:u w:val="single"/>
        </w:rPr>
        <w:t xml:space="preserve">4.2.3.1 </w:t>
      </w:r>
      <w:r w:rsidR="00CA5589" w:rsidRPr="00473C7B">
        <w:rPr>
          <w:rFonts w:cs="Arial"/>
          <w:szCs w:val="22"/>
          <w:u w:val="single"/>
        </w:rPr>
        <w:t>NRC Implementation</w:t>
      </w:r>
      <w:r w:rsidR="00CA5589" w:rsidRPr="00473C7B">
        <w:rPr>
          <w:rFonts w:cs="Arial"/>
          <w:szCs w:val="22"/>
        </w:rPr>
        <w:t>:</w:t>
      </w:r>
    </w:p>
    <w:p w:rsidR="00CA5589" w:rsidRPr="00473C7B" w:rsidRDefault="00CA5589" w:rsidP="00473C7B">
      <w:pPr>
        <w:keepNext/>
        <w:keepLines/>
        <w:numPr>
          <w:ilvl w:val="12"/>
          <w:numId w:val="0"/>
        </w:numPr>
        <w:rPr>
          <w:rFonts w:cs="Arial"/>
          <w:szCs w:val="22"/>
          <w:u w:val="single"/>
        </w:rPr>
      </w:pPr>
    </w:p>
    <w:p w:rsidR="00CA5589" w:rsidRPr="00CC7AC9" w:rsidRDefault="00CA5589" w:rsidP="00537E69">
      <w:pPr>
        <w:pStyle w:val="ListParagraph"/>
        <w:numPr>
          <w:ilvl w:val="0"/>
          <w:numId w:val="32"/>
        </w:numPr>
        <w:ind w:left="0" w:firstLine="0"/>
        <w:rPr>
          <w:rFonts w:cs="Arial"/>
          <w:szCs w:val="22"/>
        </w:rPr>
      </w:pPr>
      <w:r w:rsidRPr="00CC7AC9">
        <w:rPr>
          <w:rFonts w:cs="Arial"/>
          <w:szCs w:val="22"/>
        </w:rPr>
        <w:t>Conducting rulemaking:</w:t>
      </w:r>
    </w:p>
    <w:p w:rsidR="00CA5589" w:rsidRPr="00473C7B" w:rsidRDefault="00CA5589" w:rsidP="001F7513">
      <w:pPr>
        <w:pStyle w:val="Level1"/>
        <w:widowControl/>
        <w:tabs>
          <w:tab w:val="clear" w:pos="-1080"/>
          <w:tab w:val="clear" w:pos="-720"/>
          <w:tab w:val="clear" w:pos="0"/>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Arial" w:hAnsi="Arial" w:cs="Arial"/>
          <w:sz w:val="22"/>
          <w:szCs w:val="22"/>
          <w:u w:val="single"/>
        </w:rPr>
      </w:pPr>
    </w:p>
    <w:p w:rsidR="00CA5589" w:rsidRPr="00473C7B" w:rsidRDefault="00CA5589" w:rsidP="00473C7B">
      <w:pPr>
        <w:ind w:left="720"/>
        <w:rPr>
          <w:rFonts w:cs="Arial"/>
          <w:szCs w:val="22"/>
        </w:rPr>
      </w:pPr>
      <w:r w:rsidRPr="00473C7B">
        <w:rPr>
          <w:rFonts w:cs="Arial"/>
          <w:szCs w:val="22"/>
        </w:rPr>
        <w:t>The NRC incur</w:t>
      </w:r>
      <w:r w:rsidR="00A412C3" w:rsidRPr="00473C7B">
        <w:rPr>
          <w:rFonts w:cs="Arial"/>
          <w:szCs w:val="22"/>
        </w:rPr>
        <w:t>s</w:t>
      </w:r>
      <w:r w:rsidRPr="00473C7B">
        <w:rPr>
          <w:rFonts w:cs="Arial"/>
          <w:szCs w:val="22"/>
        </w:rPr>
        <w:t xml:space="preserve"> </w:t>
      </w:r>
      <w:r w:rsidR="00F0556F">
        <w:rPr>
          <w:rFonts w:cs="Arial"/>
          <w:szCs w:val="22"/>
        </w:rPr>
        <w:t xml:space="preserve">the </w:t>
      </w:r>
      <w:r w:rsidRPr="00473C7B">
        <w:rPr>
          <w:rFonts w:cs="Arial"/>
          <w:szCs w:val="22"/>
        </w:rPr>
        <w:t xml:space="preserve">costs of drafting the </w:t>
      </w:r>
      <w:r w:rsidR="000764BD">
        <w:rPr>
          <w:rFonts w:cs="Arial"/>
          <w:szCs w:val="22"/>
        </w:rPr>
        <w:t xml:space="preserve">proposed and </w:t>
      </w:r>
      <w:r w:rsidRPr="00473C7B">
        <w:rPr>
          <w:rFonts w:cs="Arial"/>
          <w:szCs w:val="22"/>
        </w:rPr>
        <w:t>final rule</w:t>
      </w:r>
      <w:r w:rsidR="000764BD">
        <w:rPr>
          <w:rFonts w:cs="Arial"/>
          <w:szCs w:val="22"/>
        </w:rPr>
        <w:t>.</w:t>
      </w:r>
      <w:r w:rsidRPr="00473C7B">
        <w:rPr>
          <w:rFonts w:cs="Arial"/>
          <w:szCs w:val="22"/>
        </w:rPr>
        <w:t xml:space="preserve">  </w:t>
      </w:r>
      <w:r w:rsidR="00DF4E3B" w:rsidRPr="00473C7B">
        <w:rPr>
          <w:rFonts w:cs="Arial"/>
          <w:szCs w:val="22"/>
        </w:rPr>
        <w:t>The</w:t>
      </w:r>
      <w:r w:rsidRPr="00473C7B">
        <w:rPr>
          <w:rFonts w:cs="Arial"/>
          <w:szCs w:val="22"/>
        </w:rPr>
        <w:t xml:space="preserve"> </w:t>
      </w:r>
      <w:r w:rsidR="009637FD" w:rsidRPr="00473C7B">
        <w:rPr>
          <w:rFonts w:cs="Arial"/>
          <w:szCs w:val="22"/>
        </w:rPr>
        <w:t xml:space="preserve">estimated </w:t>
      </w:r>
      <w:r w:rsidR="00DF4E3B" w:rsidRPr="00473C7B">
        <w:rPr>
          <w:rFonts w:cs="Arial"/>
          <w:szCs w:val="22"/>
        </w:rPr>
        <w:t xml:space="preserve">NRC effort </w:t>
      </w:r>
      <w:r w:rsidRPr="00473C7B">
        <w:rPr>
          <w:rFonts w:cs="Arial"/>
          <w:szCs w:val="22"/>
        </w:rPr>
        <w:t>require</w:t>
      </w:r>
      <w:r w:rsidR="00DF4E3B" w:rsidRPr="00473C7B">
        <w:rPr>
          <w:rFonts w:cs="Arial"/>
          <w:szCs w:val="22"/>
        </w:rPr>
        <w:t>d is</w:t>
      </w:r>
      <w:r w:rsidRPr="00473C7B">
        <w:rPr>
          <w:rFonts w:cs="Arial"/>
          <w:szCs w:val="22"/>
        </w:rPr>
        <w:t xml:space="preserve"> </w:t>
      </w:r>
      <w:r w:rsidR="005F4BF8" w:rsidRPr="00473C7B">
        <w:rPr>
          <w:rFonts w:cs="Arial"/>
          <w:szCs w:val="22"/>
        </w:rPr>
        <w:t>2,</w:t>
      </w:r>
      <w:r w:rsidR="009D6622">
        <w:rPr>
          <w:rFonts w:cs="Arial"/>
          <w:szCs w:val="22"/>
        </w:rPr>
        <w:t>750</w:t>
      </w:r>
      <w:r w:rsidR="005F4BF8" w:rsidRPr="00473C7B">
        <w:rPr>
          <w:rFonts w:cs="Arial"/>
          <w:szCs w:val="22"/>
        </w:rPr>
        <w:t xml:space="preserve"> hours </w:t>
      </w:r>
      <w:r w:rsidR="009736FF" w:rsidRPr="00473C7B">
        <w:rPr>
          <w:rFonts w:cs="Arial"/>
          <w:szCs w:val="22"/>
        </w:rPr>
        <w:t>(</w:t>
      </w:r>
      <w:r w:rsidR="009D6622">
        <w:rPr>
          <w:rFonts w:cs="Arial"/>
          <w:szCs w:val="22"/>
        </w:rPr>
        <w:t>2</w:t>
      </w:r>
      <w:r w:rsidR="005C4F20" w:rsidRPr="00473C7B">
        <w:rPr>
          <w:rFonts w:cs="Arial"/>
          <w:szCs w:val="22"/>
        </w:rPr>
        <w:t xml:space="preserve"> </w:t>
      </w:r>
      <w:r w:rsidR="005F4BF8" w:rsidRPr="00473C7B">
        <w:rPr>
          <w:rFonts w:cs="Arial"/>
          <w:szCs w:val="22"/>
        </w:rPr>
        <w:t>FTE</w:t>
      </w:r>
      <w:r w:rsidR="009736FF" w:rsidRPr="00473C7B">
        <w:rPr>
          <w:rFonts w:cs="Arial"/>
          <w:szCs w:val="22"/>
        </w:rPr>
        <w:t xml:space="preserve">) </w:t>
      </w:r>
      <w:r w:rsidRPr="00473C7B">
        <w:rPr>
          <w:rFonts w:cs="Arial"/>
          <w:szCs w:val="22"/>
        </w:rPr>
        <w:t xml:space="preserve">to respond to comments, draft the </w:t>
      </w:r>
      <w:r w:rsidR="000764BD">
        <w:rPr>
          <w:rFonts w:cs="Arial"/>
          <w:szCs w:val="22"/>
        </w:rPr>
        <w:t xml:space="preserve">proposed and </w:t>
      </w:r>
      <w:r w:rsidRPr="00473C7B">
        <w:rPr>
          <w:rFonts w:cs="Arial"/>
          <w:szCs w:val="22"/>
        </w:rPr>
        <w:t>final rule, and complete the rulemaking, for an estimated total cost of $</w:t>
      </w:r>
      <w:r w:rsidR="009D6622">
        <w:rPr>
          <w:rFonts w:cs="Arial"/>
          <w:szCs w:val="22"/>
        </w:rPr>
        <w:t>333,</w:t>
      </w:r>
      <w:r w:rsidRPr="00473C7B">
        <w:rPr>
          <w:rFonts w:cs="Arial"/>
          <w:szCs w:val="22"/>
        </w:rPr>
        <w:t>000.</w:t>
      </w:r>
    </w:p>
    <w:p w:rsidR="00CA5589" w:rsidRPr="00473C7B" w:rsidRDefault="00CA5589" w:rsidP="00473C7B">
      <w:pPr>
        <w:ind w:left="720"/>
        <w:rPr>
          <w:rFonts w:cs="Arial"/>
          <w:szCs w:val="22"/>
        </w:rPr>
      </w:pPr>
    </w:p>
    <w:p w:rsidR="00CA5589" w:rsidRPr="00CC7AC9" w:rsidRDefault="00CA5589" w:rsidP="00537E69">
      <w:pPr>
        <w:pStyle w:val="ListParagraph"/>
        <w:numPr>
          <w:ilvl w:val="0"/>
          <w:numId w:val="32"/>
        </w:numPr>
        <w:ind w:hanging="720"/>
        <w:rPr>
          <w:rFonts w:cs="Arial"/>
          <w:szCs w:val="22"/>
        </w:rPr>
      </w:pPr>
      <w:r w:rsidRPr="00CC7AC9">
        <w:rPr>
          <w:rFonts w:cs="Arial"/>
          <w:szCs w:val="22"/>
        </w:rPr>
        <w:t>Developing the implementing guidance document:</w:t>
      </w:r>
    </w:p>
    <w:p w:rsidR="00AA0197" w:rsidRDefault="00AA0197" w:rsidP="00473C7B">
      <w:pPr>
        <w:ind w:left="720"/>
        <w:rPr>
          <w:rFonts w:cs="Arial"/>
          <w:szCs w:val="22"/>
          <w:u w:val="single"/>
        </w:rPr>
      </w:pPr>
    </w:p>
    <w:p w:rsidR="00CA5589" w:rsidRPr="00473C7B" w:rsidRDefault="00CA5589" w:rsidP="00AA0197">
      <w:pPr>
        <w:widowControl w:val="0"/>
        <w:ind w:left="720"/>
        <w:rPr>
          <w:rFonts w:cs="Arial"/>
          <w:szCs w:val="22"/>
        </w:rPr>
      </w:pPr>
      <w:r w:rsidRPr="00473C7B">
        <w:rPr>
          <w:rFonts w:cs="Arial"/>
          <w:szCs w:val="22"/>
        </w:rPr>
        <w:t>The NRC incur</w:t>
      </w:r>
      <w:r w:rsidR="00386698" w:rsidRPr="00473C7B">
        <w:rPr>
          <w:rFonts w:cs="Arial"/>
          <w:szCs w:val="22"/>
        </w:rPr>
        <w:t>s</w:t>
      </w:r>
      <w:r w:rsidRPr="00473C7B">
        <w:rPr>
          <w:rFonts w:cs="Arial"/>
          <w:szCs w:val="22"/>
        </w:rPr>
        <w:t xml:space="preserve"> the costs of drafting </w:t>
      </w:r>
      <w:r w:rsidR="000764BD">
        <w:rPr>
          <w:rFonts w:cs="Arial"/>
          <w:szCs w:val="22"/>
        </w:rPr>
        <w:t>the</w:t>
      </w:r>
      <w:r w:rsidRPr="00473C7B">
        <w:rPr>
          <w:rFonts w:cs="Arial"/>
          <w:szCs w:val="22"/>
        </w:rPr>
        <w:t xml:space="preserve"> </w:t>
      </w:r>
      <w:r w:rsidR="000764BD">
        <w:rPr>
          <w:rFonts w:cs="Arial"/>
          <w:szCs w:val="22"/>
        </w:rPr>
        <w:t xml:space="preserve">draft and </w:t>
      </w:r>
      <w:r w:rsidRPr="00473C7B">
        <w:rPr>
          <w:rFonts w:cs="Arial"/>
          <w:szCs w:val="22"/>
        </w:rPr>
        <w:t>final implementing guidance document</w:t>
      </w:r>
      <w:r w:rsidR="000764BD">
        <w:rPr>
          <w:rFonts w:cs="Arial"/>
          <w:szCs w:val="22"/>
        </w:rPr>
        <w:t>s</w:t>
      </w:r>
      <w:r w:rsidRPr="00473C7B">
        <w:rPr>
          <w:rFonts w:cs="Arial"/>
          <w:szCs w:val="22"/>
        </w:rPr>
        <w:t xml:space="preserve">.  </w:t>
      </w:r>
      <w:r w:rsidR="00F56F35" w:rsidRPr="00473C7B">
        <w:rPr>
          <w:rFonts w:cs="Arial"/>
          <w:szCs w:val="22"/>
        </w:rPr>
        <w:t>The NRC estimates the NRC effort is</w:t>
      </w:r>
      <w:r w:rsidR="004723ED" w:rsidRPr="00473C7B">
        <w:rPr>
          <w:rFonts w:cs="Arial"/>
          <w:szCs w:val="22"/>
        </w:rPr>
        <w:t xml:space="preserve"> </w:t>
      </w:r>
      <w:r w:rsidR="005F4BF8" w:rsidRPr="00473C7B">
        <w:rPr>
          <w:rFonts w:cs="Arial"/>
          <w:szCs w:val="22"/>
        </w:rPr>
        <w:t xml:space="preserve">1,787.5 hours </w:t>
      </w:r>
      <w:r w:rsidR="009736FF" w:rsidRPr="00473C7B">
        <w:rPr>
          <w:rFonts w:cs="Arial"/>
          <w:szCs w:val="22"/>
        </w:rPr>
        <w:t>(</w:t>
      </w:r>
      <w:r w:rsidR="005F4BF8" w:rsidRPr="00473C7B">
        <w:rPr>
          <w:rFonts w:cs="Arial"/>
          <w:szCs w:val="22"/>
        </w:rPr>
        <w:t>1.3 FTE</w:t>
      </w:r>
      <w:r w:rsidR="009736FF" w:rsidRPr="00473C7B">
        <w:rPr>
          <w:rFonts w:cs="Arial"/>
          <w:szCs w:val="22"/>
        </w:rPr>
        <w:t>)</w:t>
      </w:r>
      <w:r w:rsidRPr="00473C7B">
        <w:rPr>
          <w:rFonts w:cs="Arial"/>
          <w:szCs w:val="22"/>
        </w:rPr>
        <w:t>, for an estimated total cost of $2</w:t>
      </w:r>
      <w:r w:rsidR="008F1AA3">
        <w:rPr>
          <w:rFonts w:cs="Arial"/>
          <w:szCs w:val="22"/>
        </w:rPr>
        <w:t>16,000</w:t>
      </w:r>
      <w:r w:rsidRPr="00473C7B">
        <w:rPr>
          <w:rFonts w:cs="Arial"/>
          <w:szCs w:val="22"/>
        </w:rPr>
        <w:t>.</w:t>
      </w:r>
    </w:p>
    <w:p w:rsidR="00841694" w:rsidRPr="00473C7B" w:rsidRDefault="00841694" w:rsidP="00473C7B">
      <w:pPr>
        <w:pStyle w:val="Level1"/>
        <w:widowControl/>
        <w:tabs>
          <w:tab w:val="clear" w:pos="-1080"/>
          <w:tab w:val="clear" w:pos="-720"/>
          <w:tab w:val="clear" w:pos="0"/>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jc w:val="left"/>
        <w:rPr>
          <w:rFonts w:ascii="Arial" w:hAnsi="Arial" w:cs="Arial"/>
          <w:sz w:val="22"/>
          <w:szCs w:val="22"/>
        </w:rPr>
      </w:pPr>
    </w:p>
    <w:p w:rsidR="009364DA" w:rsidRPr="00473C7B" w:rsidRDefault="001E48FB" w:rsidP="001E48FB">
      <w:pPr>
        <w:pStyle w:val="Level1"/>
        <w:widowControl/>
        <w:tabs>
          <w:tab w:val="clear" w:pos="-1080"/>
          <w:tab w:val="clear" w:pos="-720"/>
          <w:tab w:val="clear" w:pos="0"/>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jc w:val="left"/>
        <w:rPr>
          <w:rFonts w:ascii="Arial" w:hAnsi="Arial" w:cs="Arial"/>
          <w:b/>
          <w:sz w:val="22"/>
          <w:szCs w:val="22"/>
        </w:rPr>
      </w:pPr>
      <w:r>
        <w:rPr>
          <w:rFonts w:ascii="Arial" w:hAnsi="Arial" w:cs="Arial"/>
          <w:b/>
          <w:sz w:val="22"/>
          <w:szCs w:val="22"/>
        </w:rPr>
        <w:t>4.</w:t>
      </w:r>
      <w:r w:rsidR="00804D60">
        <w:rPr>
          <w:rFonts w:ascii="Arial" w:hAnsi="Arial" w:cs="Arial"/>
          <w:b/>
          <w:sz w:val="22"/>
          <w:szCs w:val="22"/>
        </w:rPr>
        <w:t>2</w:t>
      </w:r>
      <w:r>
        <w:rPr>
          <w:rFonts w:ascii="Arial" w:hAnsi="Arial" w:cs="Arial"/>
          <w:b/>
          <w:sz w:val="22"/>
          <w:szCs w:val="22"/>
        </w:rPr>
        <w:t xml:space="preserve">.4 </w:t>
      </w:r>
      <w:r w:rsidR="00841694" w:rsidRPr="00473C7B">
        <w:rPr>
          <w:rFonts w:ascii="Arial" w:hAnsi="Arial" w:cs="Arial"/>
          <w:b/>
          <w:sz w:val="22"/>
          <w:szCs w:val="22"/>
        </w:rPr>
        <w:t>Public Health</w:t>
      </w:r>
      <w:r w:rsidR="00841694" w:rsidRPr="00473C7B">
        <w:rPr>
          <w:rFonts w:ascii="Arial" w:hAnsi="Arial" w:cs="Arial"/>
          <w:sz w:val="22"/>
          <w:szCs w:val="22"/>
        </w:rPr>
        <w:t xml:space="preserve"> </w:t>
      </w:r>
      <w:r w:rsidR="00841694" w:rsidRPr="00473C7B">
        <w:rPr>
          <w:rFonts w:ascii="Arial" w:hAnsi="Arial" w:cs="Arial"/>
          <w:b/>
          <w:sz w:val="22"/>
          <w:szCs w:val="22"/>
        </w:rPr>
        <w:t>(Accident</w:t>
      </w:r>
      <w:r w:rsidR="005F4BF8" w:rsidRPr="00473C7B">
        <w:rPr>
          <w:rFonts w:ascii="Arial" w:hAnsi="Arial" w:cs="Arial"/>
          <w:b/>
          <w:sz w:val="22"/>
          <w:szCs w:val="22"/>
        </w:rPr>
        <w:t>)</w:t>
      </w:r>
    </w:p>
    <w:p w:rsidR="009364DA" w:rsidRPr="00473C7B" w:rsidRDefault="009364DA" w:rsidP="00473C7B">
      <w:pPr>
        <w:pStyle w:val="Level1"/>
        <w:widowControl/>
        <w:tabs>
          <w:tab w:val="clear" w:pos="-1080"/>
          <w:tab w:val="clear" w:pos="-720"/>
          <w:tab w:val="clear" w:pos="0"/>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Arial" w:hAnsi="Arial" w:cs="Arial"/>
          <w:sz w:val="22"/>
          <w:szCs w:val="22"/>
        </w:rPr>
      </w:pPr>
    </w:p>
    <w:p w:rsidR="009C1AFC" w:rsidRPr="008F1AA3" w:rsidRDefault="008F1AA3" w:rsidP="007E3CBA">
      <w:pPr>
        <w:pStyle w:val="Level1"/>
        <w:widowControl/>
        <w:tabs>
          <w:tab w:val="clear" w:pos="-1080"/>
          <w:tab w:val="clear" w:pos="-720"/>
          <w:tab w:val="clear" w:pos="0"/>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jc w:val="left"/>
        <w:rPr>
          <w:rFonts w:ascii="Arial" w:hAnsi="Arial" w:cs="Arial"/>
          <w:sz w:val="22"/>
          <w:szCs w:val="22"/>
        </w:rPr>
      </w:pPr>
      <w:r w:rsidRPr="008F1AA3">
        <w:rPr>
          <w:rFonts w:ascii="Arial" w:hAnsi="Arial" w:cs="Arial"/>
          <w:bCs/>
          <w:sz w:val="22"/>
          <w:szCs w:val="22"/>
        </w:rPr>
        <w:t>The proposed rule requires new site-specific technical analyses to ensure that an inadvertent intruder, who occupies the site and might unknowingly be exposed to radiation from disposed LLRW, will be protected.  These analyses must demonstrate there is reasonable assurance that any inadvertent intruder will not be exposed to doses that exceed the performance objectives set forth in proposed 10 CFR 61.40</w:t>
      </w:r>
      <w:r>
        <w:rPr>
          <w:rFonts w:ascii="Arial" w:hAnsi="Arial" w:cs="Arial"/>
          <w:bCs/>
          <w:sz w:val="22"/>
          <w:szCs w:val="22"/>
        </w:rPr>
        <w:t xml:space="preserve">. </w:t>
      </w:r>
      <w:r w:rsidR="00D6246C">
        <w:rPr>
          <w:rFonts w:ascii="Arial" w:hAnsi="Arial" w:cs="Arial"/>
          <w:bCs/>
          <w:sz w:val="22"/>
          <w:szCs w:val="22"/>
        </w:rPr>
        <w:t xml:space="preserve"> </w:t>
      </w:r>
      <w:r w:rsidR="00D6246C" w:rsidRPr="00D6246C">
        <w:rPr>
          <w:rFonts w:ascii="Arial" w:hAnsi="Arial" w:cs="Arial"/>
          <w:bCs/>
          <w:sz w:val="22"/>
          <w:szCs w:val="22"/>
        </w:rPr>
        <w:t xml:space="preserve">Several </w:t>
      </w:r>
      <w:r w:rsidR="00D6246C">
        <w:rPr>
          <w:rFonts w:ascii="Arial" w:hAnsi="Arial" w:cs="Arial"/>
          <w:bCs/>
          <w:sz w:val="22"/>
          <w:szCs w:val="22"/>
        </w:rPr>
        <w:t xml:space="preserve">of the </w:t>
      </w:r>
      <w:r w:rsidR="00D6246C" w:rsidRPr="00D6246C">
        <w:rPr>
          <w:rFonts w:ascii="Arial" w:hAnsi="Arial" w:cs="Arial"/>
          <w:bCs/>
          <w:sz w:val="22"/>
          <w:szCs w:val="22"/>
        </w:rPr>
        <w:t xml:space="preserve">proposed amendments would result in reducing the potential for radiation exposure to </w:t>
      </w:r>
      <w:r w:rsidR="00D6246C">
        <w:rPr>
          <w:rFonts w:ascii="Arial" w:hAnsi="Arial" w:cs="Arial"/>
          <w:bCs/>
          <w:sz w:val="22"/>
          <w:szCs w:val="22"/>
        </w:rPr>
        <w:t>the public</w:t>
      </w:r>
      <w:r w:rsidR="00D6246C" w:rsidRPr="00D6246C">
        <w:rPr>
          <w:rFonts w:ascii="Arial" w:hAnsi="Arial" w:cs="Arial"/>
          <w:bCs/>
          <w:sz w:val="22"/>
          <w:szCs w:val="22"/>
        </w:rPr>
        <w:t xml:space="preserve">, but it is difficult to quantify the actual number in </w:t>
      </w:r>
      <w:proofErr w:type="spellStart"/>
      <w:r w:rsidR="00D6246C" w:rsidRPr="00D6246C">
        <w:rPr>
          <w:rFonts w:ascii="Arial" w:hAnsi="Arial" w:cs="Arial"/>
          <w:bCs/>
          <w:sz w:val="22"/>
          <w:szCs w:val="22"/>
        </w:rPr>
        <w:t>rems</w:t>
      </w:r>
      <w:proofErr w:type="spellEnd"/>
      <w:r w:rsidR="00D6246C" w:rsidRPr="00D6246C">
        <w:rPr>
          <w:rFonts w:ascii="Arial" w:hAnsi="Arial" w:cs="Arial"/>
          <w:bCs/>
          <w:sz w:val="22"/>
          <w:szCs w:val="22"/>
        </w:rPr>
        <w:t xml:space="preserve"> reduced.  </w:t>
      </w:r>
    </w:p>
    <w:p w:rsidR="001A1B07" w:rsidRDefault="001A1B07" w:rsidP="001E48FB">
      <w:pPr>
        <w:pStyle w:val="Level1"/>
        <w:widowControl/>
        <w:tabs>
          <w:tab w:val="clear" w:pos="-1080"/>
          <w:tab w:val="clear" w:pos="-720"/>
          <w:tab w:val="clear" w:pos="0"/>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jc w:val="left"/>
        <w:rPr>
          <w:rFonts w:ascii="Arial" w:hAnsi="Arial" w:cs="Arial"/>
          <w:b/>
          <w:sz w:val="22"/>
          <w:szCs w:val="22"/>
        </w:rPr>
      </w:pPr>
    </w:p>
    <w:p w:rsidR="008F1AA3" w:rsidRPr="008F1AA3" w:rsidRDefault="001E48FB" w:rsidP="001E48FB">
      <w:pPr>
        <w:pStyle w:val="Level1"/>
        <w:widowControl/>
        <w:tabs>
          <w:tab w:val="clear" w:pos="-1080"/>
          <w:tab w:val="clear" w:pos="-720"/>
          <w:tab w:val="clear" w:pos="0"/>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jc w:val="left"/>
        <w:rPr>
          <w:rFonts w:ascii="Arial" w:hAnsi="Arial" w:cs="Arial"/>
          <w:b/>
          <w:sz w:val="22"/>
          <w:szCs w:val="22"/>
        </w:rPr>
      </w:pPr>
      <w:r>
        <w:rPr>
          <w:rFonts w:ascii="Arial" w:hAnsi="Arial" w:cs="Arial"/>
          <w:b/>
          <w:sz w:val="22"/>
          <w:szCs w:val="22"/>
        </w:rPr>
        <w:t>4.</w:t>
      </w:r>
      <w:r w:rsidR="00804D60">
        <w:rPr>
          <w:rFonts w:ascii="Arial" w:hAnsi="Arial" w:cs="Arial"/>
          <w:b/>
          <w:sz w:val="22"/>
          <w:szCs w:val="22"/>
        </w:rPr>
        <w:t>2</w:t>
      </w:r>
      <w:r>
        <w:rPr>
          <w:rFonts w:ascii="Arial" w:hAnsi="Arial" w:cs="Arial"/>
          <w:b/>
          <w:sz w:val="22"/>
          <w:szCs w:val="22"/>
        </w:rPr>
        <w:t>.5 Other</w:t>
      </w:r>
      <w:r w:rsidR="00BE5406" w:rsidRPr="008F1AA3">
        <w:rPr>
          <w:rFonts w:ascii="Arial" w:hAnsi="Arial" w:cs="Arial"/>
          <w:b/>
          <w:sz w:val="22"/>
          <w:szCs w:val="22"/>
        </w:rPr>
        <w:t xml:space="preserve"> Considerations</w:t>
      </w:r>
    </w:p>
    <w:p w:rsidR="008F1AA3" w:rsidRDefault="008F1AA3" w:rsidP="008F1AA3">
      <w:pPr>
        <w:pStyle w:val="Level1"/>
        <w:widowControl/>
        <w:tabs>
          <w:tab w:val="clear" w:pos="-1080"/>
          <w:tab w:val="clear" w:pos="-720"/>
          <w:tab w:val="clear" w:pos="0"/>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jc w:val="left"/>
        <w:rPr>
          <w:rFonts w:ascii="Arial" w:hAnsi="Arial" w:cs="Arial"/>
          <w:sz w:val="22"/>
          <w:szCs w:val="22"/>
        </w:rPr>
      </w:pPr>
    </w:p>
    <w:p w:rsidR="00BE5406" w:rsidRPr="00473C7B" w:rsidRDefault="00E50B81" w:rsidP="00BE5406">
      <w:pPr>
        <w:pStyle w:val="Level1"/>
        <w:widowControl/>
        <w:tabs>
          <w:tab w:val="clear" w:pos="-1080"/>
          <w:tab w:val="clear" w:pos="-720"/>
          <w:tab w:val="clear" w:pos="0"/>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jc w:val="left"/>
        <w:rPr>
          <w:rFonts w:ascii="Arial" w:hAnsi="Arial" w:cs="Arial"/>
          <w:sz w:val="22"/>
          <w:szCs w:val="22"/>
        </w:rPr>
      </w:pPr>
      <w:r w:rsidRPr="00E50B81">
        <w:rPr>
          <w:rFonts w:ascii="Arial" w:hAnsi="Arial" w:cs="Arial"/>
          <w:sz w:val="22"/>
          <w:szCs w:val="22"/>
        </w:rPr>
        <w:t>Under the proposed action, licensees would be permitted to consider LL</w:t>
      </w:r>
      <w:r w:rsidR="0057011E">
        <w:rPr>
          <w:rFonts w:ascii="Arial" w:hAnsi="Arial" w:cs="Arial"/>
          <w:sz w:val="22"/>
          <w:szCs w:val="22"/>
        </w:rPr>
        <w:t>RW streams</w:t>
      </w:r>
      <w:r w:rsidRPr="00E50B81">
        <w:rPr>
          <w:rFonts w:ascii="Arial" w:hAnsi="Arial" w:cs="Arial"/>
          <w:sz w:val="22"/>
          <w:szCs w:val="22"/>
        </w:rPr>
        <w:t xml:space="preserve">, including large quantities of depleted uranium, which are not currently considered. </w:t>
      </w:r>
      <w:r w:rsidR="00F159DD">
        <w:rPr>
          <w:rFonts w:ascii="Arial" w:hAnsi="Arial" w:cs="Arial"/>
          <w:sz w:val="22"/>
          <w:szCs w:val="22"/>
        </w:rPr>
        <w:t xml:space="preserve"> </w:t>
      </w:r>
      <w:r w:rsidRPr="00E50B81">
        <w:rPr>
          <w:rFonts w:ascii="Arial" w:hAnsi="Arial" w:cs="Arial"/>
          <w:sz w:val="22"/>
          <w:szCs w:val="22"/>
        </w:rPr>
        <w:t xml:space="preserve">Also, LLRW streams from commercial uranium enrichment facilities and blended LLRW would be considered.  New technologies could result in future generation of different kinds LLRW streams to be developed.  The proposed rule would allow industry to dispose of an increased variety of waste without compromising safety.  </w:t>
      </w:r>
      <w:r w:rsidR="00D6246C" w:rsidRPr="00D6246C">
        <w:rPr>
          <w:rFonts w:ascii="Arial" w:hAnsi="Arial" w:cs="Arial"/>
          <w:sz w:val="22"/>
          <w:szCs w:val="22"/>
        </w:rPr>
        <w:t>Several</w:t>
      </w:r>
      <w:r w:rsidR="00D6246C">
        <w:rPr>
          <w:rFonts w:ascii="Arial" w:hAnsi="Arial" w:cs="Arial"/>
          <w:sz w:val="22"/>
          <w:szCs w:val="22"/>
        </w:rPr>
        <w:t xml:space="preserve"> of the </w:t>
      </w:r>
      <w:r w:rsidR="00D6246C" w:rsidRPr="00D6246C">
        <w:rPr>
          <w:rFonts w:ascii="Arial" w:hAnsi="Arial" w:cs="Arial"/>
          <w:sz w:val="22"/>
          <w:szCs w:val="22"/>
        </w:rPr>
        <w:t>proposed amendments</w:t>
      </w:r>
      <w:r w:rsidR="0057011E">
        <w:rPr>
          <w:rFonts w:ascii="Arial" w:hAnsi="Arial" w:cs="Arial"/>
          <w:sz w:val="22"/>
          <w:szCs w:val="22"/>
        </w:rPr>
        <w:t xml:space="preserve"> would increase</w:t>
      </w:r>
      <w:r w:rsidR="00D6246C" w:rsidRPr="00D6246C">
        <w:rPr>
          <w:rFonts w:ascii="Arial" w:hAnsi="Arial" w:cs="Arial"/>
          <w:sz w:val="22"/>
          <w:szCs w:val="22"/>
        </w:rPr>
        <w:t xml:space="preserve"> </w:t>
      </w:r>
      <w:r w:rsidR="00D6246C">
        <w:rPr>
          <w:rFonts w:ascii="Arial" w:hAnsi="Arial" w:cs="Arial"/>
          <w:sz w:val="22"/>
          <w:szCs w:val="22"/>
        </w:rPr>
        <w:t>operational flexibility for the licensees</w:t>
      </w:r>
      <w:r w:rsidR="0057011E">
        <w:rPr>
          <w:rFonts w:ascii="Arial" w:hAnsi="Arial" w:cs="Arial"/>
          <w:sz w:val="22"/>
          <w:szCs w:val="22"/>
        </w:rPr>
        <w:t xml:space="preserve">, but this benefit for the licensees </w:t>
      </w:r>
      <w:r w:rsidR="00D6246C" w:rsidRPr="00D6246C">
        <w:rPr>
          <w:rFonts w:ascii="Arial" w:hAnsi="Arial" w:cs="Arial"/>
          <w:sz w:val="22"/>
          <w:szCs w:val="22"/>
        </w:rPr>
        <w:t xml:space="preserve">is difficult to quantify.  </w:t>
      </w:r>
    </w:p>
    <w:p w:rsidR="00A16D7F" w:rsidRDefault="00A16D7F" w:rsidP="00B73237">
      <w:pPr>
        <w:pStyle w:val="Level1"/>
        <w:widowControl/>
        <w:tabs>
          <w:tab w:val="clear" w:pos="-1080"/>
          <w:tab w:val="clear" w:pos="-720"/>
          <w:tab w:val="clear" w:pos="0"/>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Arial" w:hAnsi="Arial" w:cs="Arial"/>
          <w:b/>
          <w:sz w:val="22"/>
          <w:szCs w:val="22"/>
        </w:rPr>
      </w:pPr>
    </w:p>
    <w:p w:rsidR="009364DA" w:rsidRPr="00473C7B" w:rsidRDefault="009364DA" w:rsidP="00B73237">
      <w:pPr>
        <w:pStyle w:val="Level1"/>
        <w:widowControl/>
        <w:tabs>
          <w:tab w:val="clear" w:pos="-1080"/>
          <w:tab w:val="clear" w:pos="-720"/>
          <w:tab w:val="clear" w:pos="0"/>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720"/>
        <w:jc w:val="left"/>
        <w:rPr>
          <w:rFonts w:ascii="Arial" w:hAnsi="Arial" w:cs="Arial"/>
          <w:b/>
          <w:sz w:val="22"/>
          <w:szCs w:val="22"/>
        </w:rPr>
      </w:pPr>
      <w:r w:rsidRPr="00473C7B">
        <w:rPr>
          <w:rFonts w:ascii="Arial" w:hAnsi="Arial" w:cs="Arial"/>
          <w:b/>
          <w:sz w:val="22"/>
          <w:szCs w:val="22"/>
        </w:rPr>
        <w:t>4.2.</w:t>
      </w:r>
      <w:r w:rsidR="00804D60">
        <w:rPr>
          <w:rFonts w:ascii="Arial" w:hAnsi="Arial" w:cs="Arial"/>
          <w:b/>
          <w:sz w:val="22"/>
          <w:szCs w:val="22"/>
        </w:rPr>
        <w:t>6</w:t>
      </w:r>
      <w:r w:rsidRPr="00473C7B">
        <w:rPr>
          <w:rFonts w:ascii="Arial" w:hAnsi="Arial" w:cs="Arial"/>
          <w:b/>
          <w:sz w:val="22"/>
          <w:szCs w:val="22"/>
        </w:rPr>
        <w:t xml:space="preserve"> Totals</w:t>
      </w:r>
    </w:p>
    <w:p w:rsidR="009364DA" w:rsidRPr="00473C7B" w:rsidRDefault="009364DA" w:rsidP="00473C7B">
      <w:pPr>
        <w:rPr>
          <w:rFonts w:cs="Arial"/>
          <w:szCs w:val="22"/>
        </w:rPr>
      </w:pPr>
    </w:p>
    <w:p w:rsidR="00F508B7" w:rsidRPr="00473C7B" w:rsidRDefault="00F508B7" w:rsidP="00B73237">
      <w:pPr>
        <w:autoSpaceDE w:val="0"/>
        <w:autoSpaceDN w:val="0"/>
        <w:adjustRightInd w:val="0"/>
        <w:rPr>
          <w:rFonts w:cs="Arial"/>
          <w:szCs w:val="22"/>
        </w:rPr>
      </w:pPr>
      <w:proofErr w:type="gramStart"/>
      <w:r w:rsidRPr="00473C7B">
        <w:rPr>
          <w:rFonts w:cs="Arial"/>
          <w:szCs w:val="22"/>
        </w:rPr>
        <w:t>Cost to the Industry.</w:t>
      </w:r>
      <w:proofErr w:type="gramEnd"/>
      <w:r w:rsidRPr="00473C7B">
        <w:rPr>
          <w:rFonts w:cs="Arial"/>
          <w:szCs w:val="22"/>
        </w:rPr>
        <w:t xml:space="preserve">  The proposed rule would result in additional costs to the industry with the majority of the costs resulting from implementation.  On average, each licensee would incur an estimated implementation cost of $</w:t>
      </w:r>
      <w:r w:rsidR="00C5627F">
        <w:rPr>
          <w:rFonts w:cs="Arial"/>
          <w:szCs w:val="22"/>
        </w:rPr>
        <w:t>1,000</w:t>
      </w:r>
      <w:r w:rsidRPr="00473C7B">
        <w:rPr>
          <w:rFonts w:cs="Arial"/>
          <w:szCs w:val="22"/>
        </w:rPr>
        <w:t>,000 followed by an estimated annual cost of $</w:t>
      </w:r>
      <w:r w:rsidR="001F7513">
        <w:rPr>
          <w:rFonts w:cs="Arial"/>
          <w:szCs w:val="22"/>
        </w:rPr>
        <w:t>4</w:t>
      </w:r>
      <w:r w:rsidRPr="00473C7B">
        <w:rPr>
          <w:rFonts w:cs="Arial"/>
          <w:szCs w:val="22"/>
        </w:rPr>
        <w:t>,000.  Overall, the industry will incur an estimated implementation cost of $</w:t>
      </w:r>
      <w:r w:rsidR="00C5627F">
        <w:rPr>
          <w:rFonts w:cs="Arial"/>
          <w:szCs w:val="22"/>
        </w:rPr>
        <w:t>4</w:t>
      </w:r>
      <w:r w:rsidRPr="00473C7B">
        <w:rPr>
          <w:rFonts w:cs="Arial"/>
          <w:szCs w:val="22"/>
        </w:rPr>
        <w:t xml:space="preserve"> million, followed by an estimated annual cost of $16,000.</w:t>
      </w:r>
    </w:p>
    <w:p w:rsidR="009364DA" w:rsidRPr="00473C7B" w:rsidRDefault="009364DA" w:rsidP="00B73237">
      <w:pPr>
        <w:tabs>
          <w:tab w:val="left" w:pos="810"/>
        </w:tabs>
        <w:rPr>
          <w:rFonts w:cs="Arial"/>
          <w:szCs w:val="22"/>
        </w:rPr>
      </w:pPr>
    </w:p>
    <w:p w:rsidR="009364DA" w:rsidRPr="00473C7B" w:rsidRDefault="009364DA" w:rsidP="00B73237">
      <w:pPr>
        <w:rPr>
          <w:rFonts w:cs="Arial"/>
          <w:szCs w:val="22"/>
        </w:rPr>
      </w:pPr>
      <w:proofErr w:type="gramStart"/>
      <w:r w:rsidRPr="00473C7B">
        <w:rPr>
          <w:rFonts w:cs="Arial"/>
          <w:szCs w:val="22"/>
        </w:rPr>
        <w:t>Cost to the Agreement States.</w:t>
      </w:r>
      <w:proofErr w:type="gramEnd"/>
      <w:r w:rsidRPr="00473C7B">
        <w:rPr>
          <w:rFonts w:cs="Arial"/>
          <w:szCs w:val="22"/>
        </w:rPr>
        <w:t xml:space="preserve">  </w:t>
      </w:r>
      <w:r w:rsidR="00F508B7" w:rsidRPr="00473C7B">
        <w:rPr>
          <w:rFonts w:cs="Arial"/>
          <w:szCs w:val="22"/>
        </w:rPr>
        <w:t xml:space="preserve">The proposed rule would result in additional costs to the Agreement States with all costs resulting from implementation.  On average, each Agreement </w:t>
      </w:r>
      <w:r w:rsidR="00F508B7" w:rsidRPr="00473C7B">
        <w:rPr>
          <w:rFonts w:cs="Arial"/>
          <w:szCs w:val="22"/>
        </w:rPr>
        <w:lastRenderedPageBreak/>
        <w:t>State would incur an estimated implementation cost of $</w:t>
      </w:r>
      <w:r w:rsidR="00C5627F">
        <w:rPr>
          <w:rFonts w:cs="Arial"/>
          <w:szCs w:val="22"/>
        </w:rPr>
        <w:t>525,000</w:t>
      </w:r>
      <w:r w:rsidR="00F508B7" w:rsidRPr="00473C7B">
        <w:rPr>
          <w:rFonts w:cs="Arial"/>
          <w:szCs w:val="22"/>
        </w:rPr>
        <w:t>.</w:t>
      </w:r>
      <w:r w:rsidR="00626E98" w:rsidRPr="00473C7B">
        <w:rPr>
          <w:rFonts w:cs="Arial"/>
          <w:szCs w:val="22"/>
        </w:rPr>
        <w:t xml:space="preserve"> </w:t>
      </w:r>
      <w:r w:rsidR="00F508B7" w:rsidRPr="00473C7B">
        <w:rPr>
          <w:rFonts w:cs="Arial"/>
          <w:szCs w:val="22"/>
        </w:rPr>
        <w:t xml:space="preserve"> Overall, the Agreement States will incur an estimated implementation cost of $</w:t>
      </w:r>
      <w:r w:rsidR="00C5627F">
        <w:rPr>
          <w:rFonts w:cs="Arial"/>
          <w:szCs w:val="22"/>
        </w:rPr>
        <w:t>2.1</w:t>
      </w:r>
      <w:r w:rsidR="00F508B7" w:rsidRPr="00473C7B">
        <w:rPr>
          <w:rFonts w:cs="Arial"/>
          <w:szCs w:val="22"/>
        </w:rPr>
        <w:t xml:space="preserve"> million.</w:t>
      </w:r>
    </w:p>
    <w:p w:rsidR="009364DA" w:rsidRPr="00473C7B" w:rsidRDefault="009364DA" w:rsidP="00B73237">
      <w:pPr>
        <w:rPr>
          <w:rFonts w:cs="Arial"/>
          <w:szCs w:val="22"/>
        </w:rPr>
      </w:pPr>
    </w:p>
    <w:p w:rsidR="00FA669B" w:rsidRPr="00473C7B" w:rsidRDefault="009364DA" w:rsidP="00B73237">
      <w:pPr>
        <w:rPr>
          <w:rFonts w:cs="Arial"/>
          <w:szCs w:val="22"/>
        </w:rPr>
      </w:pPr>
      <w:proofErr w:type="gramStart"/>
      <w:r w:rsidRPr="00473C7B">
        <w:rPr>
          <w:rFonts w:cs="Arial"/>
          <w:szCs w:val="22"/>
        </w:rPr>
        <w:t>Cost to the NRC.</w:t>
      </w:r>
      <w:proofErr w:type="gramEnd"/>
      <w:r w:rsidRPr="00473C7B">
        <w:rPr>
          <w:rFonts w:cs="Arial"/>
          <w:szCs w:val="22"/>
        </w:rPr>
        <w:t xml:space="preserve">  </w:t>
      </w:r>
      <w:r w:rsidR="00F508B7" w:rsidRPr="00473C7B">
        <w:rPr>
          <w:rFonts w:cs="Arial"/>
          <w:szCs w:val="22"/>
        </w:rPr>
        <w:t>The NRC would incur an implementation cost for drafting and implementing a final rulemaking based on the proposed rule.  This cost is estimated to be $</w:t>
      </w:r>
      <w:r w:rsidR="009D6622">
        <w:rPr>
          <w:rFonts w:cs="Arial"/>
          <w:szCs w:val="22"/>
        </w:rPr>
        <w:t>333</w:t>
      </w:r>
      <w:r w:rsidR="00F508B7" w:rsidRPr="00473C7B">
        <w:rPr>
          <w:rFonts w:cs="Arial"/>
          <w:szCs w:val="22"/>
        </w:rPr>
        <w:t>,000.  Because the NRC does not have any LLRW disposal licensee, no annual NRC cost is expected.  The NRC would also incur an estimated implementation cost of $2</w:t>
      </w:r>
      <w:r w:rsidR="00B45C13">
        <w:rPr>
          <w:rFonts w:cs="Arial"/>
          <w:szCs w:val="22"/>
        </w:rPr>
        <w:t>16,000</w:t>
      </w:r>
      <w:r w:rsidR="00F508B7" w:rsidRPr="00473C7B">
        <w:rPr>
          <w:rFonts w:cs="Arial"/>
          <w:szCs w:val="22"/>
        </w:rPr>
        <w:t xml:space="preserve"> for drafting a final guidance document based on the final rule.  </w:t>
      </w:r>
    </w:p>
    <w:p w:rsidR="00473C7B" w:rsidRPr="00473C7B" w:rsidRDefault="00473C7B" w:rsidP="00473C7B">
      <w:pPr>
        <w:ind w:left="720" w:hanging="720"/>
        <w:rPr>
          <w:rFonts w:cs="Arial"/>
          <w:szCs w:val="22"/>
        </w:rPr>
      </w:pPr>
    </w:p>
    <w:p w:rsidR="001F7513" w:rsidRPr="001F7513" w:rsidRDefault="001F7513" w:rsidP="001F7513">
      <w:pPr>
        <w:rPr>
          <w:rFonts w:cs="Arial"/>
          <w:b/>
          <w:szCs w:val="22"/>
        </w:rPr>
      </w:pPr>
      <w:bookmarkStart w:id="16" w:name="_Toc358879369"/>
      <w:r w:rsidRPr="001F7513">
        <w:rPr>
          <w:rFonts w:cs="Arial"/>
          <w:b/>
          <w:szCs w:val="22"/>
        </w:rPr>
        <w:t>Quantitative Results:  Total Present Value for the Cost</w:t>
      </w:r>
      <w:bookmarkEnd w:id="16"/>
    </w:p>
    <w:p w:rsidR="00AE78E7" w:rsidRPr="00473C7B" w:rsidRDefault="00AE78E7" w:rsidP="00473C7B">
      <w:pPr>
        <w:rPr>
          <w:rFonts w:cs="Arial"/>
          <w:szCs w:val="22"/>
        </w:rPr>
      </w:pPr>
    </w:p>
    <w:p w:rsidR="00AE78E7" w:rsidRDefault="00AE78E7" w:rsidP="00473C7B">
      <w:pPr>
        <w:rPr>
          <w:rFonts w:cs="Arial"/>
          <w:szCs w:val="22"/>
        </w:rPr>
      </w:pPr>
      <w:r w:rsidRPr="00473C7B">
        <w:rPr>
          <w:rFonts w:cs="Arial"/>
          <w:szCs w:val="22"/>
        </w:rPr>
        <w:t xml:space="preserve">Table </w:t>
      </w:r>
      <w:r w:rsidR="009364DA" w:rsidRPr="00473C7B">
        <w:rPr>
          <w:rFonts w:cs="Arial"/>
          <w:szCs w:val="22"/>
        </w:rPr>
        <w:t>4</w:t>
      </w:r>
      <w:r w:rsidRPr="00473C7B">
        <w:rPr>
          <w:rFonts w:cs="Arial"/>
          <w:szCs w:val="22"/>
        </w:rPr>
        <w:t xml:space="preserve">-1 summarizes the </w:t>
      </w:r>
      <w:r w:rsidR="009946AD">
        <w:rPr>
          <w:rFonts w:cs="Arial"/>
          <w:szCs w:val="22"/>
        </w:rPr>
        <w:t xml:space="preserve">implementation </w:t>
      </w:r>
      <w:r w:rsidRPr="00473C7B">
        <w:rPr>
          <w:rFonts w:cs="Arial"/>
          <w:szCs w:val="22"/>
        </w:rPr>
        <w:t xml:space="preserve">costs by entity, over a </w:t>
      </w:r>
      <w:r w:rsidR="00A748F6" w:rsidRPr="00473C7B">
        <w:rPr>
          <w:rFonts w:cs="Arial"/>
          <w:szCs w:val="22"/>
        </w:rPr>
        <w:t>10</w:t>
      </w:r>
      <w:r w:rsidRPr="00473C7B">
        <w:rPr>
          <w:rFonts w:cs="Arial"/>
          <w:szCs w:val="22"/>
        </w:rPr>
        <w:t>-year analysis period for Alternative 2.</w:t>
      </w:r>
      <w:r w:rsidR="00FE68EE">
        <w:rPr>
          <w:rFonts w:cs="Arial"/>
          <w:szCs w:val="22"/>
        </w:rPr>
        <w:t xml:space="preserve">  Table 4-1 dollars are rounded to nearest thousandth. </w:t>
      </w:r>
    </w:p>
    <w:p w:rsidR="00F0556F" w:rsidRDefault="00F0556F" w:rsidP="00473C7B">
      <w:pPr>
        <w:rPr>
          <w:rFonts w:cs="Arial"/>
          <w:szCs w:val="22"/>
        </w:rPr>
      </w:pPr>
    </w:p>
    <w:tbl>
      <w:tblPr>
        <w:tblW w:w="6758" w:type="dxa"/>
        <w:tblInd w:w="1308" w:type="dxa"/>
        <w:tblLook w:val="04A0" w:firstRow="1" w:lastRow="0" w:firstColumn="1" w:lastColumn="0" w:noHBand="0" w:noVBand="1"/>
      </w:tblPr>
      <w:tblGrid>
        <w:gridCol w:w="1520"/>
        <w:gridCol w:w="1659"/>
        <w:gridCol w:w="1659"/>
        <w:gridCol w:w="1920"/>
      </w:tblGrid>
      <w:tr w:rsidR="00FE68EE" w:rsidTr="00FE68EE">
        <w:trPr>
          <w:trHeight w:val="1450"/>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8EE" w:rsidRDefault="00FE68EE">
            <w:pPr>
              <w:jc w:val="center"/>
              <w:rPr>
                <w:rFonts w:ascii="Calibri" w:hAnsi="Calibri"/>
                <w:color w:val="000000"/>
                <w:szCs w:val="22"/>
              </w:rPr>
            </w:pPr>
            <w:r>
              <w:rPr>
                <w:rFonts w:ascii="Calibri" w:hAnsi="Calibri"/>
                <w:color w:val="000000"/>
                <w:szCs w:val="22"/>
              </w:rPr>
              <w:t>Description</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rsidR="00FE68EE" w:rsidRDefault="00FE68EE">
            <w:pPr>
              <w:jc w:val="center"/>
              <w:rPr>
                <w:rFonts w:ascii="Calibri" w:hAnsi="Calibri"/>
                <w:color w:val="000000"/>
                <w:szCs w:val="22"/>
              </w:rPr>
            </w:pPr>
            <w:r>
              <w:rPr>
                <w:rFonts w:ascii="Calibri" w:hAnsi="Calibri"/>
                <w:color w:val="000000"/>
                <w:szCs w:val="22"/>
              </w:rPr>
              <w:t>One-time Implementation Costs undiscounted</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rsidR="00FE68EE" w:rsidRDefault="00FE68EE">
            <w:pPr>
              <w:jc w:val="center"/>
              <w:rPr>
                <w:rFonts w:ascii="Calibri" w:hAnsi="Calibri"/>
                <w:color w:val="000000"/>
                <w:szCs w:val="22"/>
              </w:rPr>
            </w:pPr>
            <w:r>
              <w:rPr>
                <w:rFonts w:ascii="Calibri" w:hAnsi="Calibri"/>
                <w:color w:val="000000"/>
                <w:szCs w:val="22"/>
              </w:rPr>
              <w:t xml:space="preserve"> One-time Implementation Costs discounted at 3%</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FE68EE" w:rsidRDefault="00FE68EE">
            <w:pPr>
              <w:jc w:val="center"/>
              <w:rPr>
                <w:rFonts w:ascii="Calibri" w:hAnsi="Calibri"/>
                <w:color w:val="000000"/>
                <w:szCs w:val="22"/>
              </w:rPr>
            </w:pPr>
            <w:r>
              <w:rPr>
                <w:rFonts w:ascii="Calibri" w:hAnsi="Calibri"/>
                <w:color w:val="000000"/>
                <w:szCs w:val="22"/>
              </w:rPr>
              <w:t xml:space="preserve"> One-time Implementation Costs discounted at 7%</w:t>
            </w:r>
          </w:p>
        </w:tc>
      </w:tr>
      <w:tr w:rsidR="00FE68EE" w:rsidTr="00FE68EE">
        <w:trPr>
          <w:trHeight w:val="58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FE68EE" w:rsidRDefault="00FE68EE">
            <w:pPr>
              <w:jc w:val="center"/>
              <w:rPr>
                <w:rFonts w:ascii="Calibri" w:hAnsi="Calibri"/>
                <w:color w:val="000000"/>
                <w:szCs w:val="22"/>
              </w:rPr>
            </w:pPr>
            <w:r>
              <w:rPr>
                <w:rFonts w:ascii="Calibri" w:hAnsi="Calibri"/>
                <w:color w:val="000000"/>
                <w:szCs w:val="22"/>
              </w:rPr>
              <w:t>Industry Costs</w:t>
            </w:r>
          </w:p>
        </w:tc>
        <w:tc>
          <w:tcPr>
            <w:tcW w:w="1659" w:type="dxa"/>
            <w:tcBorders>
              <w:top w:val="nil"/>
              <w:left w:val="nil"/>
              <w:bottom w:val="single" w:sz="4" w:space="0" w:color="auto"/>
              <w:right w:val="single" w:sz="4" w:space="0" w:color="auto"/>
            </w:tcBorders>
            <w:shd w:val="clear" w:color="auto" w:fill="auto"/>
            <w:noWrap/>
            <w:vAlign w:val="center"/>
            <w:hideMark/>
          </w:tcPr>
          <w:p w:rsidR="00FE68EE" w:rsidRDefault="00FE68EE">
            <w:pPr>
              <w:jc w:val="center"/>
              <w:rPr>
                <w:rFonts w:ascii="Calibri" w:hAnsi="Calibri"/>
                <w:color w:val="000000"/>
                <w:szCs w:val="22"/>
              </w:rPr>
            </w:pPr>
            <w:r>
              <w:rPr>
                <w:rFonts w:ascii="Calibri" w:hAnsi="Calibri"/>
                <w:color w:val="000000"/>
                <w:szCs w:val="22"/>
              </w:rPr>
              <w:t>$4,054,000</w:t>
            </w:r>
          </w:p>
        </w:tc>
        <w:tc>
          <w:tcPr>
            <w:tcW w:w="1659" w:type="dxa"/>
            <w:tcBorders>
              <w:top w:val="nil"/>
              <w:left w:val="nil"/>
              <w:bottom w:val="single" w:sz="4" w:space="0" w:color="auto"/>
              <w:right w:val="single" w:sz="4" w:space="0" w:color="auto"/>
            </w:tcBorders>
            <w:shd w:val="clear" w:color="auto" w:fill="auto"/>
            <w:noWrap/>
            <w:vAlign w:val="center"/>
            <w:hideMark/>
          </w:tcPr>
          <w:p w:rsidR="00FE68EE" w:rsidRDefault="00FE68EE">
            <w:pPr>
              <w:jc w:val="center"/>
              <w:rPr>
                <w:rFonts w:ascii="Calibri" w:hAnsi="Calibri"/>
                <w:color w:val="000000"/>
                <w:szCs w:val="22"/>
              </w:rPr>
            </w:pPr>
            <w:r>
              <w:rPr>
                <w:rFonts w:ascii="Calibri" w:hAnsi="Calibri"/>
                <w:color w:val="000000"/>
                <w:szCs w:val="22"/>
              </w:rPr>
              <w:t>$3,521,000</w:t>
            </w:r>
          </w:p>
        </w:tc>
        <w:tc>
          <w:tcPr>
            <w:tcW w:w="1920" w:type="dxa"/>
            <w:tcBorders>
              <w:top w:val="nil"/>
              <w:left w:val="nil"/>
              <w:bottom w:val="single" w:sz="4" w:space="0" w:color="auto"/>
              <w:right w:val="single" w:sz="4" w:space="0" w:color="auto"/>
            </w:tcBorders>
            <w:shd w:val="clear" w:color="auto" w:fill="auto"/>
            <w:noWrap/>
            <w:vAlign w:val="center"/>
            <w:hideMark/>
          </w:tcPr>
          <w:p w:rsidR="00FE68EE" w:rsidRDefault="00FE68EE">
            <w:pPr>
              <w:jc w:val="center"/>
              <w:rPr>
                <w:rFonts w:ascii="Calibri" w:hAnsi="Calibri"/>
                <w:color w:val="000000"/>
                <w:szCs w:val="22"/>
              </w:rPr>
            </w:pPr>
            <w:r>
              <w:rPr>
                <w:rFonts w:ascii="Calibri" w:hAnsi="Calibri"/>
                <w:color w:val="000000"/>
                <w:szCs w:val="22"/>
              </w:rPr>
              <w:t>$3,072,000</w:t>
            </w:r>
          </w:p>
        </w:tc>
      </w:tr>
      <w:tr w:rsidR="00FE68EE" w:rsidTr="00FE68EE">
        <w:trPr>
          <w:trHeight w:val="58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FE68EE" w:rsidRDefault="00FE68EE">
            <w:pPr>
              <w:jc w:val="center"/>
              <w:rPr>
                <w:rFonts w:ascii="Calibri" w:hAnsi="Calibri"/>
                <w:color w:val="000000"/>
                <w:szCs w:val="22"/>
              </w:rPr>
            </w:pPr>
            <w:r>
              <w:rPr>
                <w:rFonts w:ascii="Calibri" w:hAnsi="Calibri"/>
                <w:color w:val="000000"/>
                <w:szCs w:val="22"/>
              </w:rPr>
              <w:t>Agreement States</w:t>
            </w:r>
          </w:p>
        </w:tc>
        <w:tc>
          <w:tcPr>
            <w:tcW w:w="1659" w:type="dxa"/>
            <w:tcBorders>
              <w:top w:val="nil"/>
              <w:left w:val="nil"/>
              <w:bottom w:val="single" w:sz="4" w:space="0" w:color="auto"/>
              <w:right w:val="single" w:sz="4" w:space="0" w:color="auto"/>
            </w:tcBorders>
            <w:shd w:val="clear" w:color="auto" w:fill="auto"/>
            <w:noWrap/>
            <w:vAlign w:val="center"/>
            <w:hideMark/>
          </w:tcPr>
          <w:p w:rsidR="00FE68EE" w:rsidRDefault="00FE68EE">
            <w:pPr>
              <w:jc w:val="center"/>
              <w:rPr>
                <w:rFonts w:ascii="Calibri" w:hAnsi="Calibri"/>
                <w:color w:val="000000"/>
                <w:szCs w:val="22"/>
              </w:rPr>
            </w:pPr>
            <w:r>
              <w:rPr>
                <w:rFonts w:ascii="Calibri" w:hAnsi="Calibri"/>
                <w:color w:val="000000"/>
                <w:szCs w:val="22"/>
              </w:rPr>
              <w:t>$2,101,000</w:t>
            </w:r>
          </w:p>
        </w:tc>
        <w:tc>
          <w:tcPr>
            <w:tcW w:w="1659" w:type="dxa"/>
            <w:tcBorders>
              <w:top w:val="nil"/>
              <w:left w:val="nil"/>
              <w:bottom w:val="single" w:sz="4" w:space="0" w:color="auto"/>
              <w:right w:val="single" w:sz="4" w:space="0" w:color="auto"/>
            </w:tcBorders>
            <w:shd w:val="clear" w:color="auto" w:fill="auto"/>
            <w:noWrap/>
            <w:vAlign w:val="center"/>
            <w:hideMark/>
          </w:tcPr>
          <w:p w:rsidR="00FE68EE" w:rsidRDefault="00FE68EE">
            <w:pPr>
              <w:jc w:val="center"/>
              <w:rPr>
                <w:rFonts w:ascii="Calibri" w:hAnsi="Calibri"/>
                <w:color w:val="000000"/>
                <w:szCs w:val="22"/>
              </w:rPr>
            </w:pPr>
            <w:r>
              <w:rPr>
                <w:rFonts w:ascii="Calibri" w:hAnsi="Calibri"/>
                <w:color w:val="000000"/>
                <w:szCs w:val="22"/>
              </w:rPr>
              <w:t>$1,847,000</w:t>
            </w:r>
          </w:p>
        </w:tc>
        <w:tc>
          <w:tcPr>
            <w:tcW w:w="1920" w:type="dxa"/>
            <w:tcBorders>
              <w:top w:val="nil"/>
              <w:left w:val="nil"/>
              <w:bottom w:val="single" w:sz="4" w:space="0" w:color="auto"/>
              <w:right w:val="single" w:sz="4" w:space="0" w:color="auto"/>
            </w:tcBorders>
            <w:shd w:val="clear" w:color="auto" w:fill="auto"/>
            <w:noWrap/>
            <w:vAlign w:val="center"/>
            <w:hideMark/>
          </w:tcPr>
          <w:p w:rsidR="00FE68EE" w:rsidRDefault="00FE68EE">
            <w:pPr>
              <w:jc w:val="center"/>
              <w:rPr>
                <w:rFonts w:ascii="Calibri" w:hAnsi="Calibri"/>
                <w:color w:val="000000"/>
                <w:szCs w:val="22"/>
              </w:rPr>
            </w:pPr>
            <w:r>
              <w:rPr>
                <w:rFonts w:ascii="Calibri" w:hAnsi="Calibri"/>
                <w:color w:val="000000"/>
                <w:szCs w:val="22"/>
              </w:rPr>
              <w:t>$1,632,000</w:t>
            </w:r>
          </w:p>
        </w:tc>
      </w:tr>
      <w:tr w:rsidR="00FE68EE" w:rsidTr="00FE68EE">
        <w:trPr>
          <w:trHeight w:val="53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FE68EE" w:rsidRDefault="00FE68EE">
            <w:pPr>
              <w:jc w:val="center"/>
              <w:rPr>
                <w:rFonts w:ascii="Calibri" w:hAnsi="Calibri"/>
                <w:color w:val="000000"/>
                <w:szCs w:val="22"/>
              </w:rPr>
            </w:pPr>
            <w:r>
              <w:rPr>
                <w:rFonts w:ascii="Calibri" w:hAnsi="Calibri"/>
                <w:color w:val="000000"/>
                <w:szCs w:val="22"/>
              </w:rPr>
              <w:t>NRC Costs</w:t>
            </w:r>
          </w:p>
        </w:tc>
        <w:tc>
          <w:tcPr>
            <w:tcW w:w="1659" w:type="dxa"/>
            <w:tcBorders>
              <w:top w:val="nil"/>
              <w:left w:val="nil"/>
              <w:bottom w:val="single" w:sz="4" w:space="0" w:color="auto"/>
              <w:right w:val="single" w:sz="4" w:space="0" w:color="auto"/>
            </w:tcBorders>
            <w:shd w:val="clear" w:color="auto" w:fill="auto"/>
            <w:noWrap/>
            <w:vAlign w:val="center"/>
            <w:hideMark/>
          </w:tcPr>
          <w:p w:rsidR="00FE68EE" w:rsidRDefault="00FE68EE" w:rsidP="008A0C23">
            <w:pPr>
              <w:jc w:val="center"/>
              <w:rPr>
                <w:rFonts w:ascii="Calibri" w:hAnsi="Calibri"/>
                <w:color w:val="000000"/>
                <w:szCs w:val="22"/>
              </w:rPr>
            </w:pPr>
            <w:r>
              <w:rPr>
                <w:rFonts w:ascii="Calibri" w:hAnsi="Calibri"/>
                <w:color w:val="000000"/>
                <w:szCs w:val="22"/>
              </w:rPr>
              <w:t>$</w:t>
            </w:r>
            <w:r w:rsidR="008A0C23">
              <w:rPr>
                <w:rFonts w:ascii="Calibri" w:hAnsi="Calibri"/>
                <w:color w:val="000000"/>
                <w:szCs w:val="22"/>
              </w:rPr>
              <w:t>549</w:t>
            </w:r>
            <w:r>
              <w:rPr>
                <w:rFonts w:ascii="Calibri" w:hAnsi="Calibri"/>
                <w:color w:val="000000"/>
                <w:szCs w:val="22"/>
              </w:rPr>
              <w:t>,000</w:t>
            </w:r>
          </w:p>
        </w:tc>
        <w:tc>
          <w:tcPr>
            <w:tcW w:w="1659" w:type="dxa"/>
            <w:tcBorders>
              <w:top w:val="nil"/>
              <w:left w:val="nil"/>
              <w:bottom w:val="single" w:sz="4" w:space="0" w:color="auto"/>
              <w:right w:val="single" w:sz="4" w:space="0" w:color="auto"/>
            </w:tcBorders>
            <w:shd w:val="clear" w:color="auto" w:fill="auto"/>
            <w:noWrap/>
            <w:vAlign w:val="center"/>
            <w:hideMark/>
          </w:tcPr>
          <w:p w:rsidR="00FE68EE" w:rsidRDefault="00FE68EE" w:rsidP="008A0C23">
            <w:pPr>
              <w:jc w:val="center"/>
              <w:rPr>
                <w:rFonts w:ascii="Calibri" w:hAnsi="Calibri"/>
                <w:color w:val="000000"/>
                <w:szCs w:val="22"/>
              </w:rPr>
            </w:pPr>
            <w:r>
              <w:rPr>
                <w:rFonts w:ascii="Calibri" w:hAnsi="Calibri"/>
                <w:color w:val="000000"/>
                <w:szCs w:val="22"/>
              </w:rPr>
              <w:t>$</w:t>
            </w:r>
            <w:r w:rsidR="008A0C23">
              <w:rPr>
                <w:rFonts w:ascii="Calibri" w:hAnsi="Calibri"/>
                <w:color w:val="000000"/>
                <w:szCs w:val="22"/>
              </w:rPr>
              <w:t>526</w:t>
            </w:r>
            <w:r>
              <w:rPr>
                <w:rFonts w:ascii="Calibri" w:hAnsi="Calibri"/>
                <w:color w:val="000000"/>
                <w:szCs w:val="22"/>
              </w:rPr>
              <w:t>,000</w:t>
            </w:r>
          </w:p>
        </w:tc>
        <w:tc>
          <w:tcPr>
            <w:tcW w:w="1920" w:type="dxa"/>
            <w:tcBorders>
              <w:top w:val="nil"/>
              <w:left w:val="nil"/>
              <w:bottom w:val="single" w:sz="4" w:space="0" w:color="auto"/>
              <w:right w:val="single" w:sz="4" w:space="0" w:color="auto"/>
            </w:tcBorders>
            <w:shd w:val="clear" w:color="auto" w:fill="auto"/>
            <w:noWrap/>
            <w:vAlign w:val="center"/>
            <w:hideMark/>
          </w:tcPr>
          <w:p w:rsidR="00FE68EE" w:rsidRDefault="00FE68EE" w:rsidP="008A0C23">
            <w:pPr>
              <w:jc w:val="center"/>
              <w:rPr>
                <w:rFonts w:ascii="Calibri" w:hAnsi="Calibri"/>
                <w:color w:val="000000"/>
                <w:szCs w:val="22"/>
              </w:rPr>
            </w:pPr>
            <w:r>
              <w:rPr>
                <w:rFonts w:ascii="Calibri" w:hAnsi="Calibri"/>
                <w:color w:val="000000"/>
                <w:szCs w:val="22"/>
              </w:rPr>
              <w:t>$</w:t>
            </w:r>
            <w:r w:rsidR="008A0C23">
              <w:rPr>
                <w:rFonts w:ascii="Calibri" w:hAnsi="Calibri"/>
                <w:color w:val="000000"/>
                <w:szCs w:val="22"/>
              </w:rPr>
              <w:t>497</w:t>
            </w:r>
            <w:r>
              <w:rPr>
                <w:rFonts w:ascii="Calibri" w:hAnsi="Calibri"/>
                <w:color w:val="000000"/>
                <w:szCs w:val="22"/>
              </w:rPr>
              <w:t>,000</w:t>
            </w:r>
          </w:p>
        </w:tc>
      </w:tr>
      <w:tr w:rsidR="00FE68EE" w:rsidTr="00FE68EE">
        <w:trPr>
          <w:trHeight w:val="59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FE68EE" w:rsidRDefault="00FE68EE">
            <w:pPr>
              <w:jc w:val="center"/>
              <w:rPr>
                <w:rFonts w:ascii="Calibri" w:hAnsi="Calibri"/>
                <w:color w:val="000000"/>
                <w:szCs w:val="22"/>
              </w:rPr>
            </w:pPr>
            <w:r>
              <w:rPr>
                <w:rFonts w:ascii="Calibri" w:hAnsi="Calibri"/>
                <w:color w:val="000000"/>
                <w:szCs w:val="22"/>
              </w:rPr>
              <w:t>Total</w:t>
            </w:r>
          </w:p>
        </w:tc>
        <w:tc>
          <w:tcPr>
            <w:tcW w:w="1659" w:type="dxa"/>
            <w:tcBorders>
              <w:top w:val="nil"/>
              <w:left w:val="nil"/>
              <w:bottom w:val="single" w:sz="4" w:space="0" w:color="auto"/>
              <w:right w:val="single" w:sz="4" w:space="0" w:color="auto"/>
            </w:tcBorders>
            <w:shd w:val="clear" w:color="auto" w:fill="auto"/>
            <w:noWrap/>
            <w:vAlign w:val="center"/>
            <w:hideMark/>
          </w:tcPr>
          <w:p w:rsidR="00FE68EE" w:rsidRDefault="00FE68EE" w:rsidP="008A0C23">
            <w:pPr>
              <w:jc w:val="center"/>
              <w:rPr>
                <w:rFonts w:ascii="Calibri" w:hAnsi="Calibri"/>
                <w:color w:val="000000"/>
                <w:szCs w:val="22"/>
              </w:rPr>
            </w:pPr>
            <w:r>
              <w:rPr>
                <w:rFonts w:ascii="Calibri" w:hAnsi="Calibri"/>
                <w:color w:val="000000"/>
                <w:szCs w:val="22"/>
              </w:rPr>
              <w:t>$6,</w:t>
            </w:r>
            <w:r w:rsidR="008A0C23">
              <w:rPr>
                <w:rFonts w:ascii="Calibri" w:hAnsi="Calibri"/>
                <w:color w:val="000000"/>
                <w:szCs w:val="22"/>
              </w:rPr>
              <w:t>704</w:t>
            </w:r>
            <w:r>
              <w:rPr>
                <w:rFonts w:ascii="Calibri" w:hAnsi="Calibri"/>
                <w:color w:val="000000"/>
                <w:szCs w:val="22"/>
              </w:rPr>
              <w:t>,000</w:t>
            </w:r>
          </w:p>
        </w:tc>
        <w:tc>
          <w:tcPr>
            <w:tcW w:w="1659" w:type="dxa"/>
            <w:tcBorders>
              <w:top w:val="nil"/>
              <w:left w:val="nil"/>
              <w:bottom w:val="single" w:sz="4" w:space="0" w:color="auto"/>
              <w:right w:val="single" w:sz="4" w:space="0" w:color="auto"/>
            </w:tcBorders>
            <w:shd w:val="clear" w:color="auto" w:fill="auto"/>
            <w:noWrap/>
            <w:vAlign w:val="center"/>
            <w:hideMark/>
          </w:tcPr>
          <w:p w:rsidR="00FE68EE" w:rsidRDefault="00FE68EE" w:rsidP="008A0C23">
            <w:pPr>
              <w:jc w:val="center"/>
              <w:rPr>
                <w:rFonts w:ascii="Calibri" w:hAnsi="Calibri"/>
                <w:color w:val="000000"/>
                <w:szCs w:val="22"/>
              </w:rPr>
            </w:pPr>
            <w:r>
              <w:rPr>
                <w:rFonts w:ascii="Calibri" w:hAnsi="Calibri"/>
                <w:color w:val="000000"/>
                <w:szCs w:val="22"/>
              </w:rPr>
              <w:t>$5,</w:t>
            </w:r>
            <w:r w:rsidR="008A0C23">
              <w:rPr>
                <w:rFonts w:ascii="Calibri" w:hAnsi="Calibri"/>
                <w:color w:val="000000"/>
                <w:szCs w:val="22"/>
              </w:rPr>
              <w:t>897</w:t>
            </w:r>
            <w:r>
              <w:rPr>
                <w:rFonts w:ascii="Calibri" w:hAnsi="Calibri"/>
                <w:color w:val="000000"/>
                <w:szCs w:val="22"/>
              </w:rPr>
              <w:t>,000</w:t>
            </w:r>
          </w:p>
        </w:tc>
        <w:tc>
          <w:tcPr>
            <w:tcW w:w="1920" w:type="dxa"/>
            <w:tcBorders>
              <w:top w:val="nil"/>
              <w:left w:val="nil"/>
              <w:bottom w:val="single" w:sz="4" w:space="0" w:color="auto"/>
              <w:right w:val="single" w:sz="4" w:space="0" w:color="auto"/>
            </w:tcBorders>
            <w:shd w:val="clear" w:color="auto" w:fill="auto"/>
            <w:noWrap/>
            <w:vAlign w:val="center"/>
            <w:hideMark/>
          </w:tcPr>
          <w:p w:rsidR="00FE68EE" w:rsidRDefault="00FE68EE" w:rsidP="008A0C23">
            <w:pPr>
              <w:jc w:val="center"/>
              <w:rPr>
                <w:rFonts w:ascii="Calibri" w:hAnsi="Calibri"/>
                <w:color w:val="000000"/>
                <w:szCs w:val="22"/>
              </w:rPr>
            </w:pPr>
            <w:r>
              <w:rPr>
                <w:rFonts w:ascii="Calibri" w:hAnsi="Calibri"/>
                <w:color w:val="000000"/>
                <w:szCs w:val="22"/>
              </w:rPr>
              <w:t>$5,</w:t>
            </w:r>
            <w:r w:rsidR="008A0C23">
              <w:rPr>
                <w:rFonts w:ascii="Calibri" w:hAnsi="Calibri"/>
                <w:color w:val="000000"/>
                <w:szCs w:val="22"/>
              </w:rPr>
              <w:t>209</w:t>
            </w:r>
            <w:r>
              <w:rPr>
                <w:rFonts w:ascii="Calibri" w:hAnsi="Calibri"/>
                <w:color w:val="000000"/>
                <w:szCs w:val="22"/>
              </w:rPr>
              <w:t>,000</w:t>
            </w:r>
          </w:p>
        </w:tc>
      </w:tr>
    </w:tbl>
    <w:p w:rsidR="00F0556F" w:rsidRDefault="00F0556F" w:rsidP="00473C7B">
      <w:pPr>
        <w:rPr>
          <w:rFonts w:cs="Arial"/>
          <w:szCs w:val="22"/>
        </w:rPr>
      </w:pPr>
    </w:p>
    <w:p w:rsidR="00CF37B1" w:rsidRDefault="009946AD" w:rsidP="00FE68EE">
      <w:pPr>
        <w:rPr>
          <w:rFonts w:cs="Arial"/>
          <w:szCs w:val="22"/>
        </w:rPr>
      </w:pPr>
      <w:r w:rsidRPr="00473C7B">
        <w:rPr>
          <w:rFonts w:cs="Arial"/>
          <w:szCs w:val="22"/>
        </w:rPr>
        <w:t>Table 4-</w:t>
      </w:r>
      <w:r>
        <w:rPr>
          <w:rFonts w:cs="Arial"/>
          <w:szCs w:val="22"/>
        </w:rPr>
        <w:t>2</w:t>
      </w:r>
      <w:r w:rsidRPr="00473C7B">
        <w:rPr>
          <w:rFonts w:cs="Arial"/>
          <w:szCs w:val="22"/>
        </w:rPr>
        <w:t xml:space="preserve"> summarizes the </w:t>
      </w:r>
      <w:r>
        <w:rPr>
          <w:rFonts w:cs="Arial"/>
          <w:szCs w:val="22"/>
        </w:rPr>
        <w:t xml:space="preserve">annual </w:t>
      </w:r>
      <w:r w:rsidRPr="00473C7B">
        <w:rPr>
          <w:rFonts w:cs="Arial"/>
          <w:szCs w:val="22"/>
        </w:rPr>
        <w:t>costs by entity, over a 10-year analysis period for</w:t>
      </w:r>
      <w:r w:rsidR="00CF37B1">
        <w:rPr>
          <w:rFonts w:cs="Arial"/>
          <w:szCs w:val="22"/>
        </w:rPr>
        <w:t xml:space="preserve"> Alternative </w:t>
      </w:r>
      <w:r w:rsidRPr="00473C7B">
        <w:rPr>
          <w:rFonts w:cs="Arial"/>
          <w:szCs w:val="22"/>
        </w:rPr>
        <w:t>2.</w:t>
      </w:r>
      <w:r w:rsidR="00FE68EE">
        <w:rPr>
          <w:rFonts w:cs="Arial"/>
          <w:szCs w:val="22"/>
        </w:rPr>
        <w:t xml:space="preserve">  </w:t>
      </w:r>
      <w:r w:rsidR="00FE68EE" w:rsidRPr="00FE68EE">
        <w:rPr>
          <w:rFonts w:cs="Arial"/>
          <w:szCs w:val="22"/>
        </w:rPr>
        <w:t>Table 4-</w:t>
      </w:r>
      <w:r w:rsidR="00FE68EE">
        <w:rPr>
          <w:rFonts w:cs="Arial"/>
          <w:szCs w:val="22"/>
        </w:rPr>
        <w:t>2</w:t>
      </w:r>
      <w:r w:rsidR="00FE68EE" w:rsidRPr="00FE68EE">
        <w:rPr>
          <w:rFonts w:cs="Arial"/>
          <w:szCs w:val="22"/>
        </w:rPr>
        <w:t xml:space="preserve"> dollars are rounded to nearest thousandth. </w:t>
      </w:r>
    </w:p>
    <w:p w:rsidR="00CF37B1" w:rsidRDefault="00CF37B1">
      <w:pPr>
        <w:rPr>
          <w:rFonts w:cs="Arial"/>
          <w:szCs w:val="22"/>
        </w:rPr>
      </w:pPr>
    </w:p>
    <w:tbl>
      <w:tblPr>
        <w:tblW w:w="6640" w:type="dxa"/>
        <w:tblInd w:w="1367" w:type="dxa"/>
        <w:tblLook w:val="04A0" w:firstRow="1" w:lastRow="0" w:firstColumn="1" w:lastColumn="0" w:noHBand="0" w:noVBand="1"/>
      </w:tblPr>
      <w:tblGrid>
        <w:gridCol w:w="1520"/>
        <w:gridCol w:w="1580"/>
        <w:gridCol w:w="1620"/>
        <w:gridCol w:w="1920"/>
      </w:tblGrid>
      <w:tr w:rsidR="00FE68EE" w:rsidRPr="00FE68EE" w:rsidTr="00FE68EE">
        <w:trPr>
          <w:trHeight w:val="1450"/>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8EE" w:rsidRPr="00FE68EE" w:rsidRDefault="00FE68EE" w:rsidP="00FE68EE">
            <w:pPr>
              <w:jc w:val="center"/>
              <w:rPr>
                <w:rFonts w:ascii="Calibri" w:hAnsi="Calibri"/>
                <w:color w:val="000000"/>
                <w:szCs w:val="22"/>
              </w:rPr>
            </w:pPr>
            <w:r w:rsidRPr="00FE68EE">
              <w:rPr>
                <w:rFonts w:ascii="Calibri" w:hAnsi="Calibri"/>
                <w:color w:val="000000"/>
                <w:szCs w:val="22"/>
              </w:rPr>
              <w:t>Annual Operating Costs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FE68EE" w:rsidRPr="00FE68EE" w:rsidRDefault="00FE68EE" w:rsidP="00FE68EE">
            <w:pPr>
              <w:jc w:val="center"/>
              <w:rPr>
                <w:rFonts w:ascii="Calibri" w:hAnsi="Calibri"/>
                <w:color w:val="000000"/>
                <w:szCs w:val="22"/>
              </w:rPr>
            </w:pPr>
            <w:r w:rsidRPr="00FE68EE">
              <w:rPr>
                <w:rFonts w:ascii="Calibri" w:hAnsi="Calibri"/>
                <w:color w:val="000000"/>
                <w:szCs w:val="22"/>
              </w:rPr>
              <w:t>Annual Operating Costs undiscounted for 10-year period</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FE68EE" w:rsidRPr="00FE68EE" w:rsidRDefault="00FE68EE" w:rsidP="00FE68EE">
            <w:pPr>
              <w:jc w:val="center"/>
              <w:rPr>
                <w:rFonts w:ascii="Calibri" w:hAnsi="Calibri"/>
                <w:color w:val="000000"/>
                <w:szCs w:val="22"/>
              </w:rPr>
            </w:pPr>
            <w:r w:rsidRPr="00FE68EE">
              <w:rPr>
                <w:rFonts w:ascii="Calibri" w:hAnsi="Calibri"/>
                <w:color w:val="000000"/>
                <w:szCs w:val="22"/>
              </w:rPr>
              <w:t>Annual Operating Costs discounted at 3% for 10-year analysis period</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FE68EE" w:rsidRPr="00FE68EE" w:rsidRDefault="00FE68EE" w:rsidP="00FE68EE">
            <w:pPr>
              <w:jc w:val="center"/>
              <w:rPr>
                <w:rFonts w:ascii="Calibri" w:hAnsi="Calibri"/>
                <w:color w:val="000000"/>
                <w:szCs w:val="22"/>
              </w:rPr>
            </w:pPr>
            <w:r w:rsidRPr="00FE68EE">
              <w:rPr>
                <w:rFonts w:ascii="Calibri" w:hAnsi="Calibri"/>
                <w:color w:val="000000"/>
                <w:szCs w:val="22"/>
              </w:rPr>
              <w:t>Annual Operating Costs discounted at 7% for 10-year analysis period</w:t>
            </w:r>
          </w:p>
        </w:tc>
      </w:tr>
      <w:tr w:rsidR="00FE68EE" w:rsidRPr="00FE68EE" w:rsidTr="00FE68EE">
        <w:trPr>
          <w:trHeight w:val="38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FE68EE" w:rsidRPr="00FE68EE" w:rsidRDefault="00FE68EE" w:rsidP="00FE68EE">
            <w:pPr>
              <w:jc w:val="center"/>
              <w:rPr>
                <w:rFonts w:ascii="Calibri" w:hAnsi="Calibri"/>
                <w:color w:val="000000"/>
                <w:szCs w:val="22"/>
              </w:rPr>
            </w:pPr>
            <w:r w:rsidRPr="00FE68EE">
              <w:rPr>
                <w:rFonts w:ascii="Calibri" w:hAnsi="Calibri"/>
                <w:color w:val="000000"/>
                <w:szCs w:val="22"/>
              </w:rPr>
              <w:t>$16,000</w:t>
            </w:r>
          </w:p>
        </w:tc>
        <w:tc>
          <w:tcPr>
            <w:tcW w:w="1580" w:type="dxa"/>
            <w:tcBorders>
              <w:top w:val="nil"/>
              <w:left w:val="nil"/>
              <w:bottom w:val="single" w:sz="4" w:space="0" w:color="auto"/>
              <w:right w:val="single" w:sz="4" w:space="0" w:color="auto"/>
            </w:tcBorders>
            <w:shd w:val="clear" w:color="auto" w:fill="auto"/>
            <w:noWrap/>
            <w:vAlign w:val="center"/>
            <w:hideMark/>
          </w:tcPr>
          <w:p w:rsidR="00FE68EE" w:rsidRPr="00FE68EE" w:rsidRDefault="00FE68EE" w:rsidP="00FE68EE">
            <w:pPr>
              <w:jc w:val="center"/>
              <w:rPr>
                <w:rFonts w:ascii="Calibri" w:hAnsi="Calibri"/>
                <w:color w:val="000000"/>
                <w:szCs w:val="22"/>
              </w:rPr>
            </w:pPr>
            <w:r w:rsidRPr="00FE68EE">
              <w:rPr>
                <w:rFonts w:ascii="Calibri" w:hAnsi="Calibri"/>
                <w:color w:val="000000"/>
                <w:szCs w:val="22"/>
              </w:rPr>
              <w:t>$159,000</w:t>
            </w:r>
          </w:p>
        </w:tc>
        <w:tc>
          <w:tcPr>
            <w:tcW w:w="1620" w:type="dxa"/>
            <w:tcBorders>
              <w:top w:val="nil"/>
              <w:left w:val="nil"/>
              <w:bottom w:val="single" w:sz="4" w:space="0" w:color="auto"/>
              <w:right w:val="single" w:sz="4" w:space="0" w:color="auto"/>
            </w:tcBorders>
            <w:shd w:val="clear" w:color="auto" w:fill="auto"/>
            <w:noWrap/>
            <w:vAlign w:val="center"/>
            <w:hideMark/>
          </w:tcPr>
          <w:p w:rsidR="00FE68EE" w:rsidRPr="00FE68EE" w:rsidRDefault="00FE68EE" w:rsidP="00FE68EE">
            <w:pPr>
              <w:jc w:val="center"/>
              <w:rPr>
                <w:rFonts w:ascii="Calibri" w:hAnsi="Calibri"/>
                <w:color w:val="000000"/>
                <w:szCs w:val="22"/>
              </w:rPr>
            </w:pPr>
            <w:r w:rsidRPr="00FE68EE">
              <w:rPr>
                <w:rFonts w:ascii="Calibri" w:hAnsi="Calibri"/>
                <w:color w:val="000000"/>
                <w:szCs w:val="22"/>
              </w:rPr>
              <w:t>$135,000</w:t>
            </w:r>
          </w:p>
        </w:tc>
        <w:tc>
          <w:tcPr>
            <w:tcW w:w="1920" w:type="dxa"/>
            <w:tcBorders>
              <w:top w:val="nil"/>
              <w:left w:val="nil"/>
              <w:bottom w:val="single" w:sz="4" w:space="0" w:color="auto"/>
              <w:right w:val="single" w:sz="4" w:space="0" w:color="auto"/>
            </w:tcBorders>
            <w:shd w:val="clear" w:color="auto" w:fill="auto"/>
            <w:noWrap/>
            <w:vAlign w:val="center"/>
            <w:hideMark/>
          </w:tcPr>
          <w:p w:rsidR="00FE68EE" w:rsidRPr="00FE68EE" w:rsidRDefault="00FE68EE" w:rsidP="00FE68EE">
            <w:pPr>
              <w:jc w:val="center"/>
              <w:rPr>
                <w:rFonts w:ascii="Calibri" w:hAnsi="Calibri"/>
                <w:color w:val="000000"/>
                <w:szCs w:val="22"/>
              </w:rPr>
            </w:pPr>
            <w:r w:rsidRPr="00FE68EE">
              <w:rPr>
                <w:rFonts w:ascii="Calibri" w:hAnsi="Calibri"/>
                <w:color w:val="000000"/>
                <w:szCs w:val="22"/>
              </w:rPr>
              <w:t>$112,000</w:t>
            </w:r>
          </w:p>
        </w:tc>
      </w:tr>
      <w:tr w:rsidR="00FE68EE" w:rsidRPr="00FE68EE" w:rsidTr="00FE68EE">
        <w:trPr>
          <w:trHeight w:val="44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FE68EE" w:rsidRPr="00FE68EE" w:rsidRDefault="00FE68EE" w:rsidP="00FE68EE">
            <w:pPr>
              <w:jc w:val="center"/>
              <w:rPr>
                <w:rFonts w:ascii="Calibri" w:hAnsi="Calibri"/>
                <w:color w:val="000000"/>
                <w:szCs w:val="22"/>
              </w:rPr>
            </w:pPr>
            <w:r w:rsidRPr="00FE68EE">
              <w:rPr>
                <w:rFonts w:ascii="Calibri" w:hAnsi="Calibri"/>
                <w:color w:val="000000"/>
                <w:szCs w:val="22"/>
              </w:rPr>
              <w:t>$0</w:t>
            </w:r>
          </w:p>
        </w:tc>
        <w:tc>
          <w:tcPr>
            <w:tcW w:w="1580" w:type="dxa"/>
            <w:tcBorders>
              <w:top w:val="nil"/>
              <w:left w:val="nil"/>
              <w:bottom w:val="single" w:sz="4" w:space="0" w:color="auto"/>
              <w:right w:val="single" w:sz="4" w:space="0" w:color="auto"/>
            </w:tcBorders>
            <w:shd w:val="clear" w:color="auto" w:fill="auto"/>
            <w:noWrap/>
            <w:vAlign w:val="center"/>
            <w:hideMark/>
          </w:tcPr>
          <w:p w:rsidR="00FE68EE" w:rsidRPr="00FE68EE" w:rsidRDefault="00FE68EE" w:rsidP="00FE68EE">
            <w:pPr>
              <w:jc w:val="center"/>
              <w:rPr>
                <w:rFonts w:ascii="Calibri" w:hAnsi="Calibri"/>
                <w:color w:val="000000"/>
                <w:szCs w:val="22"/>
              </w:rPr>
            </w:pPr>
            <w:r w:rsidRPr="00FE68EE">
              <w:rPr>
                <w:rFonts w:ascii="Calibri" w:hAnsi="Calibri"/>
                <w:color w:val="000000"/>
                <w:szCs w:val="22"/>
              </w:rPr>
              <w:t>$0</w:t>
            </w:r>
          </w:p>
        </w:tc>
        <w:tc>
          <w:tcPr>
            <w:tcW w:w="1620" w:type="dxa"/>
            <w:tcBorders>
              <w:top w:val="nil"/>
              <w:left w:val="nil"/>
              <w:bottom w:val="single" w:sz="4" w:space="0" w:color="auto"/>
              <w:right w:val="single" w:sz="4" w:space="0" w:color="auto"/>
            </w:tcBorders>
            <w:shd w:val="clear" w:color="auto" w:fill="auto"/>
            <w:noWrap/>
            <w:vAlign w:val="center"/>
            <w:hideMark/>
          </w:tcPr>
          <w:p w:rsidR="00FE68EE" w:rsidRPr="00FE68EE" w:rsidRDefault="00FE68EE" w:rsidP="00FE68EE">
            <w:pPr>
              <w:jc w:val="center"/>
              <w:rPr>
                <w:rFonts w:ascii="Calibri" w:hAnsi="Calibri"/>
                <w:color w:val="000000"/>
                <w:szCs w:val="22"/>
              </w:rPr>
            </w:pPr>
            <w:r w:rsidRPr="00FE68EE">
              <w:rPr>
                <w:rFonts w:ascii="Calibri" w:hAnsi="Calibri"/>
                <w:color w:val="000000"/>
                <w:szCs w:val="22"/>
              </w:rPr>
              <w:t>$0</w:t>
            </w:r>
          </w:p>
        </w:tc>
        <w:tc>
          <w:tcPr>
            <w:tcW w:w="1920" w:type="dxa"/>
            <w:tcBorders>
              <w:top w:val="nil"/>
              <w:left w:val="nil"/>
              <w:bottom w:val="single" w:sz="4" w:space="0" w:color="auto"/>
              <w:right w:val="single" w:sz="4" w:space="0" w:color="auto"/>
            </w:tcBorders>
            <w:shd w:val="clear" w:color="auto" w:fill="auto"/>
            <w:noWrap/>
            <w:vAlign w:val="center"/>
            <w:hideMark/>
          </w:tcPr>
          <w:p w:rsidR="00FE68EE" w:rsidRPr="00FE68EE" w:rsidRDefault="00FE68EE" w:rsidP="00FE68EE">
            <w:pPr>
              <w:jc w:val="center"/>
              <w:rPr>
                <w:rFonts w:ascii="Calibri" w:hAnsi="Calibri"/>
                <w:color w:val="000000"/>
                <w:szCs w:val="22"/>
              </w:rPr>
            </w:pPr>
            <w:r w:rsidRPr="00FE68EE">
              <w:rPr>
                <w:rFonts w:ascii="Calibri" w:hAnsi="Calibri"/>
                <w:color w:val="000000"/>
                <w:szCs w:val="22"/>
              </w:rPr>
              <w:t>$0</w:t>
            </w:r>
          </w:p>
        </w:tc>
      </w:tr>
      <w:tr w:rsidR="00FE68EE" w:rsidRPr="00FE68EE" w:rsidTr="00FE68EE">
        <w:trPr>
          <w:trHeight w:val="42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FE68EE" w:rsidRPr="00FE68EE" w:rsidRDefault="00FE68EE" w:rsidP="00FE68EE">
            <w:pPr>
              <w:jc w:val="center"/>
              <w:rPr>
                <w:rFonts w:ascii="Calibri" w:hAnsi="Calibri"/>
                <w:color w:val="000000"/>
                <w:szCs w:val="22"/>
              </w:rPr>
            </w:pPr>
            <w:r w:rsidRPr="00FE68EE">
              <w:rPr>
                <w:rFonts w:ascii="Calibri" w:hAnsi="Calibri"/>
                <w:color w:val="000000"/>
                <w:szCs w:val="22"/>
              </w:rPr>
              <w:t>$0</w:t>
            </w:r>
          </w:p>
        </w:tc>
        <w:tc>
          <w:tcPr>
            <w:tcW w:w="1580" w:type="dxa"/>
            <w:tcBorders>
              <w:top w:val="nil"/>
              <w:left w:val="nil"/>
              <w:bottom w:val="single" w:sz="4" w:space="0" w:color="auto"/>
              <w:right w:val="single" w:sz="4" w:space="0" w:color="auto"/>
            </w:tcBorders>
            <w:shd w:val="clear" w:color="auto" w:fill="auto"/>
            <w:noWrap/>
            <w:vAlign w:val="center"/>
            <w:hideMark/>
          </w:tcPr>
          <w:p w:rsidR="00FE68EE" w:rsidRPr="00FE68EE" w:rsidRDefault="00FE68EE" w:rsidP="00FE68EE">
            <w:pPr>
              <w:jc w:val="center"/>
              <w:rPr>
                <w:rFonts w:ascii="Calibri" w:hAnsi="Calibri"/>
                <w:color w:val="000000"/>
                <w:szCs w:val="22"/>
              </w:rPr>
            </w:pPr>
            <w:r w:rsidRPr="00FE68EE">
              <w:rPr>
                <w:rFonts w:ascii="Calibri" w:hAnsi="Calibri"/>
                <w:color w:val="000000"/>
                <w:szCs w:val="22"/>
              </w:rPr>
              <w:t>$0</w:t>
            </w:r>
          </w:p>
        </w:tc>
        <w:tc>
          <w:tcPr>
            <w:tcW w:w="1620" w:type="dxa"/>
            <w:tcBorders>
              <w:top w:val="nil"/>
              <w:left w:val="nil"/>
              <w:bottom w:val="single" w:sz="4" w:space="0" w:color="auto"/>
              <w:right w:val="single" w:sz="4" w:space="0" w:color="auto"/>
            </w:tcBorders>
            <w:shd w:val="clear" w:color="auto" w:fill="auto"/>
            <w:noWrap/>
            <w:vAlign w:val="center"/>
            <w:hideMark/>
          </w:tcPr>
          <w:p w:rsidR="00FE68EE" w:rsidRPr="00FE68EE" w:rsidRDefault="00FE68EE" w:rsidP="00FE68EE">
            <w:pPr>
              <w:jc w:val="center"/>
              <w:rPr>
                <w:rFonts w:ascii="Calibri" w:hAnsi="Calibri"/>
                <w:color w:val="000000"/>
                <w:szCs w:val="22"/>
              </w:rPr>
            </w:pPr>
            <w:r w:rsidRPr="00FE68EE">
              <w:rPr>
                <w:rFonts w:ascii="Calibri" w:hAnsi="Calibri"/>
                <w:color w:val="000000"/>
                <w:szCs w:val="22"/>
              </w:rPr>
              <w:t>$0</w:t>
            </w:r>
          </w:p>
        </w:tc>
        <w:tc>
          <w:tcPr>
            <w:tcW w:w="1920" w:type="dxa"/>
            <w:tcBorders>
              <w:top w:val="nil"/>
              <w:left w:val="nil"/>
              <w:bottom w:val="single" w:sz="4" w:space="0" w:color="auto"/>
              <w:right w:val="single" w:sz="4" w:space="0" w:color="auto"/>
            </w:tcBorders>
            <w:shd w:val="clear" w:color="auto" w:fill="auto"/>
            <w:noWrap/>
            <w:vAlign w:val="center"/>
            <w:hideMark/>
          </w:tcPr>
          <w:p w:rsidR="00FE68EE" w:rsidRPr="00FE68EE" w:rsidRDefault="00FE68EE" w:rsidP="00FE68EE">
            <w:pPr>
              <w:jc w:val="center"/>
              <w:rPr>
                <w:rFonts w:ascii="Calibri" w:hAnsi="Calibri"/>
                <w:color w:val="000000"/>
                <w:szCs w:val="22"/>
              </w:rPr>
            </w:pPr>
            <w:r w:rsidRPr="00FE68EE">
              <w:rPr>
                <w:rFonts w:ascii="Calibri" w:hAnsi="Calibri"/>
                <w:color w:val="000000"/>
                <w:szCs w:val="22"/>
              </w:rPr>
              <w:t>$0</w:t>
            </w:r>
          </w:p>
        </w:tc>
      </w:tr>
      <w:tr w:rsidR="00FE68EE" w:rsidRPr="00FE68EE" w:rsidTr="00FE68EE">
        <w:trPr>
          <w:trHeight w:val="65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FE68EE" w:rsidRPr="00FE68EE" w:rsidRDefault="00FE68EE" w:rsidP="00FE68EE">
            <w:pPr>
              <w:jc w:val="center"/>
              <w:rPr>
                <w:rFonts w:ascii="Calibri" w:hAnsi="Calibri"/>
                <w:color w:val="000000"/>
                <w:szCs w:val="22"/>
              </w:rPr>
            </w:pPr>
            <w:r w:rsidRPr="00FE68EE">
              <w:rPr>
                <w:rFonts w:ascii="Calibri" w:hAnsi="Calibri"/>
                <w:color w:val="000000"/>
                <w:szCs w:val="22"/>
              </w:rPr>
              <w:t>$16,000</w:t>
            </w:r>
          </w:p>
        </w:tc>
        <w:tc>
          <w:tcPr>
            <w:tcW w:w="1580" w:type="dxa"/>
            <w:tcBorders>
              <w:top w:val="nil"/>
              <w:left w:val="nil"/>
              <w:bottom w:val="single" w:sz="4" w:space="0" w:color="auto"/>
              <w:right w:val="single" w:sz="4" w:space="0" w:color="auto"/>
            </w:tcBorders>
            <w:shd w:val="clear" w:color="auto" w:fill="auto"/>
            <w:noWrap/>
            <w:vAlign w:val="center"/>
            <w:hideMark/>
          </w:tcPr>
          <w:p w:rsidR="00FE68EE" w:rsidRPr="00FE68EE" w:rsidRDefault="00FE68EE" w:rsidP="00FE68EE">
            <w:pPr>
              <w:jc w:val="center"/>
              <w:rPr>
                <w:rFonts w:ascii="Calibri" w:hAnsi="Calibri"/>
                <w:color w:val="000000"/>
                <w:szCs w:val="22"/>
              </w:rPr>
            </w:pPr>
            <w:r w:rsidRPr="00FE68EE">
              <w:rPr>
                <w:rFonts w:ascii="Calibri" w:hAnsi="Calibri"/>
                <w:color w:val="000000"/>
                <w:szCs w:val="22"/>
              </w:rPr>
              <w:t>$159,000</w:t>
            </w:r>
          </w:p>
        </w:tc>
        <w:tc>
          <w:tcPr>
            <w:tcW w:w="1620" w:type="dxa"/>
            <w:tcBorders>
              <w:top w:val="nil"/>
              <w:left w:val="nil"/>
              <w:bottom w:val="single" w:sz="4" w:space="0" w:color="auto"/>
              <w:right w:val="single" w:sz="4" w:space="0" w:color="auto"/>
            </w:tcBorders>
            <w:shd w:val="clear" w:color="auto" w:fill="auto"/>
            <w:noWrap/>
            <w:vAlign w:val="center"/>
            <w:hideMark/>
          </w:tcPr>
          <w:p w:rsidR="00FE68EE" w:rsidRPr="00FE68EE" w:rsidRDefault="00FE68EE" w:rsidP="00FE68EE">
            <w:pPr>
              <w:jc w:val="center"/>
              <w:rPr>
                <w:rFonts w:ascii="Calibri" w:hAnsi="Calibri"/>
                <w:color w:val="000000"/>
                <w:szCs w:val="22"/>
              </w:rPr>
            </w:pPr>
            <w:r w:rsidRPr="00FE68EE">
              <w:rPr>
                <w:rFonts w:ascii="Calibri" w:hAnsi="Calibri"/>
                <w:color w:val="000000"/>
                <w:szCs w:val="22"/>
              </w:rPr>
              <w:t>$135,000</w:t>
            </w:r>
          </w:p>
        </w:tc>
        <w:tc>
          <w:tcPr>
            <w:tcW w:w="1920" w:type="dxa"/>
            <w:tcBorders>
              <w:top w:val="nil"/>
              <w:left w:val="nil"/>
              <w:bottom w:val="single" w:sz="4" w:space="0" w:color="auto"/>
              <w:right w:val="single" w:sz="4" w:space="0" w:color="auto"/>
            </w:tcBorders>
            <w:shd w:val="clear" w:color="auto" w:fill="auto"/>
            <w:noWrap/>
            <w:vAlign w:val="center"/>
            <w:hideMark/>
          </w:tcPr>
          <w:p w:rsidR="00FE68EE" w:rsidRPr="00FE68EE" w:rsidRDefault="00FE68EE" w:rsidP="00FE68EE">
            <w:pPr>
              <w:jc w:val="center"/>
              <w:rPr>
                <w:rFonts w:ascii="Calibri" w:hAnsi="Calibri"/>
                <w:color w:val="000000"/>
                <w:szCs w:val="22"/>
              </w:rPr>
            </w:pPr>
            <w:r w:rsidRPr="00FE68EE">
              <w:rPr>
                <w:rFonts w:ascii="Calibri" w:hAnsi="Calibri"/>
                <w:color w:val="000000"/>
                <w:szCs w:val="22"/>
              </w:rPr>
              <w:t>$112,000</w:t>
            </w:r>
          </w:p>
        </w:tc>
      </w:tr>
    </w:tbl>
    <w:p w:rsidR="00AF4077" w:rsidRDefault="00AF4077">
      <w:pPr>
        <w:rPr>
          <w:rFonts w:cs="Arial"/>
          <w:szCs w:val="22"/>
        </w:rPr>
      </w:pPr>
    </w:p>
    <w:p w:rsidR="009946AD" w:rsidRDefault="009946AD" w:rsidP="009946AD">
      <w:pPr>
        <w:ind w:right="-360"/>
        <w:rPr>
          <w:rFonts w:cs="Arial"/>
          <w:szCs w:val="22"/>
        </w:rPr>
      </w:pPr>
      <w:r w:rsidRPr="00473C7B">
        <w:rPr>
          <w:rFonts w:cs="Arial"/>
          <w:szCs w:val="22"/>
        </w:rPr>
        <w:lastRenderedPageBreak/>
        <w:t>Table 4-</w:t>
      </w:r>
      <w:r>
        <w:rPr>
          <w:rFonts w:cs="Arial"/>
          <w:szCs w:val="22"/>
        </w:rPr>
        <w:t>3</w:t>
      </w:r>
      <w:r w:rsidRPr="00473C7B">
        <w:rPr>
          <w:rFonts w:cs="Arial"/>
          <w:szCs w:val="22"/>
        </w:rPr>
        <w:t xml:space="preserve"> summarizes the </w:t>
      </w:r>
      <w:r>
        <w:rPr>
          <w:rFonts w:cs="Arial"/>
          <w:szCs w:val="22"/>
        </w:rPr>
        <w:t>combined Implementation and Annual c</w:t>
      </w:r>
      <w:r w:rsidRPr="00473C7B">
        <w:rPr>
          <w:rFonts w:cs="Arial"/>
          <w:szCs w:val="22"/>
        </w:rPr>
        <w:t>osts by entity, over a 10-year analysis period for Alternative 2.</w:t>
      </w:r>
      <w:r w:rsidR="00FE68EE">
        <w:rPr>
          <w:rFonts w:cs="Arial"/>
          <w:szCs w:val="22"/>
        </w:rPr>
        <w:t xml:space="preserve">  </w:t>
      </w:r>
      <w:r w:rsidR="00A96460" w:rsidRPr="00FE68EE">
        <w:rPr>
          <w:rFonts w:cs="Arial"/>
          <w:szCs w:val="22"/>
        </w:rPr>
        <w:t>Table 4-</w:t>
      </w:r>
      <w:r w:rsidR="00A96460">
        <w:rPr>
          <w:rFonts w:cs="Arial"/>
          <w:szCs w:val="22"/>
        </w:rPr>
        <w:t>3</w:t>
      </w:r>
      <w:r w:rsidR="00A96460" w:rsidRPr="00FE68EE">
        <w:rPr>
          <w:rFonts w:cs="Arial"/>
          <w:szCs w:val="22"/>
        </w:rPr>
        <w:t xml:space="preserve"> dollars are rounded to nearest thousandth</w:t>
      </w:r>
    </w:p>
    <w:p w:rsidR="00FE68EE" w:rsidRDefault="00FE68EE" w:rsidP="009946AD">
      <w:pPr>
        <w:ind w:right="-360"/>
        <w:rPr>
          <w:rFonts w:cs="Arial"/>
          <w:szCs w:val="22"/>
        </w:rPr>
      </w:pPr>
    </w:p>
    <w:tbl>
      <w:tblPr>
        <w:tblpPr w:leftFromText="180" w:rightFromText="180" w:vertAnchor="text" w:horzAnchor="page" w:tblpX="1757" w:tblpY="129"/>
        <w:tblW w:w="8820" w:type="dxa"/>
        <w:tblLook w:val="04A0" w:firstRow="1" w:lastRow="0" w:firstColumn="1" w:lastColumn="0" w:noHBand="0" w:noVBand="1"/>
      </w:tblPr>
      <w:tblGrid>
        <w:gridCol w:w="2751"/>
        <w:gridCol w:w="1659"/>
        <w:gridCol w:w="1659"/>
        <w:gridCol w:w="2751"/>
      </w:tblGrid>
      <w:tr w:rsidR="00A95FB6" w:rsidRPr="00F0556F" w:rsidTr="00A95FB6">
        <w:trPr>
          <w:trHeight w:val="2070"/>
        </w:trPr>
        <w:tc>
          <w:tcPr>
            <w:tcW w:w="2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556F" w:rsidRPr="00F0556F" w:rsidRDefault="00F0556F" w:rsidP="00A95FB6">
            <w:pPr>
              <w:jc w:val="center"/>
              <w:rPr>
                <w:rFonts w:ascii="Calibri" w:hAnsi="Calibri"/>
                <w:color w:val="000000"/>
                <w:szCs w:val="22"/>
              </w:rPr>
            </w:pPr>
            <w:r w:rsidRPr="00F0556F">
              <w:rPr>
                <w:rFonts w:ascii="Calibri" w:hAnsi="Calibri"/>
                <w:color w:val="000000"/>
                <w:szCs w:val="22"/>
              </w:rPr>
              <w:t>Description</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rsidR="00F0556F" w:rsidRPr="00F0556F" w:rsidRDefault="00F0556F" w:rsidP="00A95FB6">
            <w:pPr>
              <w:jc w:val="center"/>
              <w:rPr>
                <w:rFonts w:ascii="Calibri" w:hAnsi="Calibri"/>
                <w:color w:val="000000"/>
                <w:szCs w:val="22"/>
              </w:rPr>
            </w:pPr>
            <w:r w:rsidRPr="00F0556F">
              <w:rPr>
                <w:rFonts w:ascii="Calibri" w:hAnsi="Calibri"/>
                <w:color w:val="000000"/>
                <w:szCs w:val="22"/>
              </w:rPr>
              <w:t>Total combined Implementation and Annual Cost for 10-year period undiscounted</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rsidR="00F0556F" w:rsidRPr="00F0556F" w:rsidRDefault="00F0556F" w:rsidP="00A95FB6">
            <w:pPr>
              <w:jc w:val="center"/>
              <w:rPr>
                <w:rFonts w:ascii="Calibri" w:hAnsi="Calibri"/>
                <w:color w:val="000000"/>
                <w:szCs w:val="22"/>
              </w:rPr>
            </w:pPr>
            <w:r w:rsidRPr="00F0556F">
              <w:rPr>
                <w:rFonts w:ascii="Calibri" w:hAnsi="Calibri"/>
                <w:color w:val="000000"/>
                <w:szCs w:val="22"/>
              </w:rPr>
              <w:t>Total combined Implementation and Annual Cost for 10-year period at 3% discount rate</w:t>
            </w:r>
          </w:p>
        </w:tc>
        <w:tc>
          <w:tcPr>
            <w:tcW w:w="2751" w:type="dxa"/>
            <w:tcBorders>
              <w:top w:val="single" w:sz="4" w:space="0" w:color="auto"/>
              <w:left w:val="nil"/>
              <w:bottom w:val="single" w:sz="4" w:space="0" w:color="auto"/>
              <w:right w:val="single" w:sz="4" w:space="0" w:color="auto"/>
            </w:tcBorders>
            <w:shd w:val="clear" w:color="auto" w:fill="auto"/>
            <w:vAlign w:val="center"/>
            <w:hideMark/>
          </w:tcPr>
          <w:p w:rsidR="00F0556F" w:rsidRPr="00F0556F" w:rsidRDefault="00F0556F" w:rsidP="00A95FB6">
            <w:pPr>
              <w:jc w:val="center"/>
              <w:rPr>
                <w:rFonts w:ascii="Calibri" w:hAnsi="Calibri"/>
                <w:color w:val="000000"/>
                <w:szCs w:val="22"/>
              </w:rPr>
            </w:pPr>
            <w:r w:rsidRPr="00F0556F">
              <w:rPr>
                <w:rFonts w:ascii="Calibri" w:hAnsi="Calibri"/>
                <w:color w:val="000000"/>
                <w:szCs w:val="22"/>
              </w:rPr>
              <w:t>Total combined Implementation and Annual Cost for 10-year period at 7% discount rate</w:t>
            </w:r>
          </w:p>
        </w:tc>
      </w:tr>
      <w:tr w:rsidR="00A95FB6" w:rsidRPr="00F0556F" w:rsidTr="00A95FB6">
        <w:trPr>
          <w:trHeight w:val="600"/>
        </w:trPr>
        <w:tc>
          <w:tcPr>
            <w:tcW w:w="2751" w:type="dxa"/>
            <w:tcBorders>
              <w:top w:val="nil"/>
              <w:left w:val="single" w:sz="4" w:space="0" w:color="auto"/>
              <w:bottom w:val="single" w:sz="4" w:space="0" w:color="auto"/>
              <w:right w:val="single" w:sz="4" w:space="0" w:color="auto"/>
            </w:tcBorders>
            <w:shd w:val="clear" w:color="auto" w:fill="auto"/>
            <w:vAlign w:val="center"/>
            <w:hideMark/>
          </w:tcPr>
          <w:p w:rsidR="00F0556F" w:rsidRPr="00F0556F" w:rsidRDefault="00F0556F" w:rsidP="00A95FB6">
            <w:pPr>
              <w:jc w:val="center"/>
              <w:rPr>
                <w:rFonts w:ascii="Calibri" w:hAnsi="Calibri"/>
                <w:color w:val="000000"/>
                <w:szCs w:val="22"/>
              </w:rPr>
            </w:pPr>
            <w:r w:rsidRPr="00F0556F">
              <w:rPr>
                <w:rFonts w:ascii="Calibri" w:hAnsi="Calibri"/>
                <w:color w:val="000000"/>
                <w:szCs w:val="22"/>
              </w:rPr>
              <w:t>Industry Costs</w:t>
            </w:r>
          </w:p>
        </w:tc>
        <w:tc>
          <w:tcPr>
            <w:tcW w:w="1659" w:type="dxa"/>
            <w:tcBorders>
              <w:top w:val="nil"/>
              <w:left w:val="nil"/>
              <w:bottom w:val="single" w:sz="4" w:space="0" w:color="auto"/>
              <w:right w:val="single" w:sz="4" w:space="0" w:color="auto"/>
            </w:tcBorders>
            <w:shd w:val="clear" w:color="auto" w:fill="auto"/>
            <w:noWrap/>
            <w:vAlign w:val="center"/>
            <w:hideMark/>
          </w:tcPr>
          <w:p w:rsidR="00F0556F" w:rsidRPr="00F0556F" w:rsidRDefault="00F0556F" w:rsidP="00A96460">
            <w:pPr>
              <w:jc w:val="center"/>
              <w:rPr>
                <w:rFonts w:ascii="Calibri" w:hAnsi="Calibri"/>
                <w:color w:val="000000"/>
                <w:szCs w:val="22"/>
              </w:rPr>
            </w:pPr>
            <w:r w:rsidRPr="00F0556F">
              <w:rPr>
                <w:rFonts w:ascii="Calibri" w:hAnsi="Calibri"/>
                <w:color w:val="000000"/>
                <w:szCs w:val="22"/>
              </w:rPr>
              <w:t>$4,21</w:t>
            </w:r>
            <w:r w:rsidR="004C0189">
              <w:rPr>
                <w:rFonts w:ascii="Calibri" w:hAnsi="Calibri"/>
                <w:color w:val="000000"/>
                <w:szCs w:val="22"/>
              </w:rPr>
              <w:t>3</w:t>
            </w:r>
            <w:r w:rsidRPr="00F0556F">
              <w:rPr>
                <w:rFonts w:ascii="Calibri" w:hAnsi="Calibri"/>
                <w:color w:val="000000"/>
                <w:szCs w:val="22"/>
              </w:rPr>
              <w:t>,</w:t>
            </w:r>
            <w:r w:rsidR="004C0189">
              <w:rPr>
                <w:rFonts w:ascii="Calibri" w:hAnsi="Calibri"/>
                <w:color w:val="000000"/>
                <w:szCs w:val="22"/>
              </w:rPr>
              <w:t>00</w:t>
            </w:r>
            <w:r w:rsidRPr="00F0556F">
              <w:rPr>
                <w:rFonts w:ascii="Calibri" w:hAnsi="Calibri"/>
                <w:color w:val="000000"/>
                <w:szCs w:val="22"/>
              </w:rPr>
              <w:t>0</w:t>
            </w:r>
          </w:p>
        </w:tc>
        <w:tc>
          <w:tcPr>
            <w:tcW w:w="1659" w:type="dxa"/>
            <w:tcBorders>
              <w:top w:val="nil"/>
              <w:left w:val="nil"/>
              <w:bottom w:val="single" w:sz="4" w:space="0" w:color="auto"/>
              <w:right w:val="single" w:sz="4" w:space="0" w:color="auto"/>
            </w:tcBorders>
            <w:shd w:val="clear" w:color="auto" w:fill="auto"/>
            <w:noWrap/>
            <w:vAlign w:val="center"/>
            <w:hideMark/>
          </w:tcPr>
          <w:p w:rsidR="00F0556F" w:rsidRPr="00F0556F" w:rsidRDefault="00F0556F" w:rsidP="00A96460">
            <w:pPr>
              <w:jc w:val="center"/>
              <w:rPr>
                <w:rFonts w:ascii="Calibri" w:hAnsi="Calibri"/>
                <w:color w:val="000000"/>
                <w:szCs w:val="22"/>
              </w:rPr>
            </w:pPr>
            <w:r w:rsidRPr="00F0556F">
              <w:rPr>
                <w:rFonts w:ascii="Calibri" w:hAnsi="Calibri"/>
                <w:color w:val="000000"/>
                <w:szCs w:val="22"/>
              </w:rPr>
              <w:t>$3,657,0</w:t>
            </w:r>
            <w:r w:rsidR="004C0189">
              <w:rPr>
                <w:rFonts w:ascii="Calibri" w:hAnsi="Calibri"/>
                <w:color w:val="000000"/>
                <w:szCs w:val="22"/>
              </w:rPr>
              <w:t>00</w:t>
            </w:r>
          </w:p>
        </w:tc>
        <w:tc>
          <w:tcPr>
            <w:tcW w:w="2751" w:type="dxa"/>
            <w:tcBorders>
              <w:top w:val="nil"/>
              <w:left w:val="nil"/>
              <w:bottom w:val="single" w:sz="4" w:space="0" w:color="auto"/>
              <w:right w:val="single" w:sz="4" w:space="0" w:color="auto"/>
            </w:tcBorders>
            <w:shd w:val="clear" w:color="auto" w:fill="auto"/>
            <w:noWrap/>
            <w:vAlign w:val="center"/>
            <w:hideMark/>
          </w:tcPr>
          <w:p w:rsidR="00F0556F" w:rsidRPr="00F0556F" w:rsidRDefault="00F0556F" w:rsidP="00A96460">
            <w:pPr>
              <w:jc w:val="center"/>
              <w:rPr>
                <w:rFonts w:ascii="Calibri" w:hAnsi="Calibri"/>
                <w:color w:val="000000"/>
                <w:szCs w:val="22"/>
              </w:rPr>
            </w:pPr>
            <w:r w:rsidRPr="00F0556F">
              <w:rPr>
                <w:rFonts w:ascii="Calibri" w:hAnsi="Calibri"/>
                <w:color w:val="000000"/>
                <w:szCs w:val="22"/>
              </w:rPr>
              <w:t>$3,183,0</w:t>
            </w:r>
            <w:r w:rsidR="004C0189">
              <w:rPr>
                <w:rFonts w:ascii="Calibri" w:hAnsi="Calibri"/>
                <w:color w:val="000000"/>
                <w:szCs w:val="22"/>
              </w:rPr>
              <w:t>00</w:t>
            </w:r>
          </w:p>
        </w:tc>
      </w:tr>
      <w:tr w:rsidR="00A95FB6" w:rsidRPr="00F0556F" w:rsidTr="00A95FB6">
        <w:trPr>
          <w:trHeight w:val="615"/>
        </w:trPr>
        <w:tc>
          <w:tcPr>
            <w:tcW w:w="2751" w:type="dxa"/>
            <w:tcBorders>
              <w:top w:val="nil"/>
              <w:left w:val="single" w:sz="4" w:space="0" w:color="auto"/>
              <w:bottom w:val="single" w:sz="4" w:space="0" w:color="auto"/>
              <w:right w:val="single" w:sz="4" w:space="0" w:color="auto"/>
            </w:tcBorders>
            <w:shd w:val="clear" w:color="auto" w:fill="auto"/>
            <w:vAlign w:val="center"/>
            <w:hideMark/>
          </w:tcPr>
          <w:p w:rsidR="00F0556F" w:rsidRPr="00F0556F" w:rsidRDefault="00F0556F" w:rsidP="00A95FB6">
            <w:pPr>
              <w:jc w:val="center"/>
              <w:rPr>
                <w:rFonts w:ascii="Calibri" w:hAnsi="Calibri"/>
                <w:color w:val="000000"/>
                <w:szCs w:val="22"/>
              </w:rPr>
            </w:pPr>
            <w:r w:rsidRPr="00F0556F">
              <w:rPr>
                <w:rFonts w:ascii="Calibri" w:hAnsi="Calibri"/>
                <w:color w:val="000000"/>
                <w:szCs w:val="22"/>
              </w:rPr>
              <w:t>Agreement States</w:t>
            </w:r>
          </w:p>
        </w:tc>
        <w:tc>
          <w:tcPr>
            <w:tcW w:w="1659" w:type="dxa"/>
            <w:tcBorders>
              <w:top w:val="nil"/>
              <w:left w:val="nil"/>
              <w:bottom w:val="single" w:sz="4" w:space="0" w:color="auto"/>
              <w:right w:val="single" w:sz="4" w:space="0" w:color="auto"/>
            </w:tcBorders>
            <w:shd w:val="clear" w:color="auto" w:fill="auto"/>
            <w:noWrap/>
            <w:vAlign w:val="center"/>
            <w:hideMark/>
          </w:tcPr>
          <w:p w:rsidR="00F0556F" w:rsidRPr="00F0556F" w:rsidRDefault="00F0556F" w:rsidP="00A96460">
            <w:pPr>
              <w:jc w:val="center"/>
              <w:rPr>
                <w:rFonts w:ascii="Calibri" w:hAnsi="Calibri"/>
                <w:color w:val="000000"/>
                <w:szCs w:val="22"/>
              </w:rPr>
            </w:pPr>
            <w:r w:rsidRPr="00F0556F">
              <w:rPr>
                <w:rFonts w:ascii="Calibri" w:hAnsi="Calibri"/>
                <w:color w:val="000000"/>
                <w:szCs w:val="22"/>
              </w:rPr>
              <w:t>$2,10</w:t>
            </w:r>
            <w:r w:rsidR="004C0189">
              <w:rPr>
                <w:rFonts w:ascii="Calibri" w:hAnsi="Calibri"/>
                <w:color w:val="000000"/>
                <w:szCs w:val="22"/>
              </w:rPr>
              <w:t>1</w:t>
            </w:r>
            <w:r w:rsidRPr="00F0556F">
              <w:rPr>
                <w:rFonts w:ascii="Calibri" w:hAnsi="Calibri"/>
                <w:color w:val="000000"/>
                <w:szCs w:val="22"/>
              </w:rPr>
              <w:t>,</w:t>
            </w:r>
            <w:r w:rsidR="004C0189">
              <w:rPr>
                <w:rFonts w:ascii="Calibri" w:hAnsi="Calibri"/>
                <w:color w:val="000000"/>
                <w:szCs w:val="22"/>
              </w:rPr>
              <w:t>000</w:t>
            </w:r>
          </w:p>
        </w:tc>
        <w:tc>
          <w:tcPr>
            <w:tcW w:w="1659" w:type="dxa"/>
            <w:tcBorders>
              <w:top w:val="nil"/>
              <w:left w:val="nil"/>
              <w:bottom w:val="single" w:sz="4" w:space="0" w:color="auto"/>
              <w:right w:val="single" w:sz="4" w:space="0" w:color="auto"/>
            </w:tcBorders>
            <w:shd w:val="clear" w:color="auto" w:fill="auto"/>
            <w:noWrap/>
            <w:vAlign w:val="center"/>
            <w:hideMark/>
          </w:tcPr>
          <w:p w:rsidR="00F0556F" w:rsidRPr="00F0556F" w:rsidRDefault="00F0556F" w:rsidP="00A96460">
            <w:pPr>
              <w:jc w:val="center"/>
              <w:rPr>
                <w:rFonts w:ascii="Calibri" w:hAnsi="Calibri"/>
                <w:color w:val="000000"/>
                <w:szCs w:val="22"/>
              </w:rPr>
            </w:pPr>
            <w:r w:rsidRPr="00F0556F">
              <w:rPr>
                <w:rFonts w:ascii="Calibri" w:hAnsi="Calibri"/>
                <w:color w:val="000000"/>
                <w:szCs w:val="22"/>
              </w:rPr>
              <w:t>$1,84</w:t>
            </w:r>
            <w:r w:rsidR="004C0189">
              <w:rPr>
                <w:rFonts w:ascii="Calibri" w:hAnsi="Calibri"/>
                <w:color w:val="000000"/>
                <w:szCs w:val="22"/>
              </w:rPr>
              <w:t>7</w:t>
            </w:r>
            <w:r w:rsidRPr="00F0556F">
              <w:rPr>
                <w:rFonts w:ascii="Calibri" w:hAnsi="Calibri"/>
                <w:color w:val="000000"/>
                <w:szCs w:val="22"/>
              </w:rPr>
              <w:t>,</w:t>
            </w:r>
            <w:r w:rsidR="004C0189">
              <w:rPr>
                <w:rFonts w:ascii="Calibri" w:hAnsi="Calibri"/>
                <w:color w:val="000000"/>
                <w:szCs w:val="22"/>
              </w:rPr>
              <w:t>000</w:t>
            </w:r>
          </w:p>
        </w:tc>
        <w:tc>
          <w:tcPr>
            <w:tcW w:w="2751" w:type="dxa"/>
            <w:tcBorders>
              <w:top w:val="nil"/>
              <w:left w:val="nil"/>
              <w:bottom w:val="single" w:sz="4" w:space="0" w:color="auto"/>
              <w:right w:val="single" w:sz="4" w:space="0" w:color="auto"/>
            </w:tcBorders>
            <w:shd w:val="clear" w:color="auto" w:fill="auto"/>
            <w:noWrap/>
            <w:vAlign w:val="center"/>
            <w:hideMark/>
          </w:tcPr>
          <w:p w:rsidR="00F0556F" w:rsidRPr="00F0556F" w:rsidRDefault="00F0556F" w:rsidP="00A96460">
            <w:pPr>
              <w:jc w:val="center"/>
              <w:rPr>
                <w:rFonts w:ascii="Calibri" w:hAnsi="Calibri"/>
                <w:color w:val="000000"/>
                <w:szCs w:val="22"/>
              </w:rPr>
            </w:pPr>
            <w:r w:rsidRPr="00F0556F">
              <w:rPr>
                <w:rFonts w:ascii="Calibri" w:hAnsi="Calibri"/>
                <w:color w:val="000000"/>
                <w:szCs w:val="22"/>
              </w:rPr>
              <w:t>$1,632,</w:t>
            </w:r>
            <w:r w:rsidR="004C0189">
              <w:rPr>
                <w:rFonts w:ascii="Calibri" w:hAnsi="Calibri"/>
                <w:color w:val="000000"/>
                <w:szCs w:val="22"/>
              </w:rPr>
              <w:t>0</w:t>
            </w:r>
            <w:r w:rsidRPr="00F0556F">
              <w:rPr>
                <w:rFonts w:ascii="Calibri" w:hAnsi="Calibri"/>
                <w:color w:val="000000"/>
                <w:szCs w:val="22"/>
              </w:rPr>
              <w:t>00</w:t>
            </w:r>
          </w:p>
        </w:tc>
      </w:tr>
      <w:tr w:rsidR="00A95FB6" w:rsidRPr="00F0556F" w:rsidTr="00A95FB6">
        <w:trPr>
          <w:trHeight w:val="500"/>
        </w:trPr>
        <w:tc>
          <w:tcPr>
            <w:tcW w:w="2751" w:type="dxa"/>
            <w:tcBorders>
              <w:top w:val="nil"/>
              <w:left w:val="single" w:sz="4" w:space="0" w:color="auto"/>
              <w:bottom w:val="single" w:sz="4" w:space="0" w:color="auto"/>
              <w:right w:val="single" w:sz="4" w:space="0" w:color="auto"/>
            </w:tcBorders>
            <w:shd w:val="clear" w:color="auto" w:fill="auto"/>
            <w:vAlign w:val="center"/>
            <w:hideMark/>
          </w:tcPr>
          <w:p w:rsidR="00F0556F" w:rsidRPr="00F0556F" w:rsidRDefault="00F0556F" w:rsidP="00A95FB6">
            <w:pPr>
              <w:jc w:val="center"/>
              <w:rPr>
                <w:rFonts w:ascii="Calibri" w:hAnsi="Calibri"/>
                <w:color w:val="000000"/>
                <w:szCs w:val="22"/>
              </w:rPr>
            </w:pPr>
            <w:r w:rsidRPr="00F0556F">
              <w:rPr>
                <w:rFonts w:ascii="Calibri" w:hAnsi="Calibri"/>
                <w:color w:val="000000"/>
                <w:szCs w:val="22"/>
              </w:rPr>
              <w:t>NRC Costs</w:t>
            </w:r>
          </w:p>
        </w:tc>
        <w:tc>
          <w:tcPr>
            <w:tcW w:w="1659" w:type="dxa"/>
            <w:tcBorders>
              <w:top w:val="nil"/>
              <w:left w:val="nil"/>
              <w:bottom w:val="single" w:sz="4" w:space="0" w:color="auto"/>
              <w:right w:val="single" w:sz="4" w:space="0" w:color="auto"/>
            </w:tcBorders>
            <w:shd w:val="clear" w:color="auto" w:fill="auto"/>
            <w:noWrap/>
            <w:vAlign w:val="center"/>
            <w:hideMark/>
          </w:tcPr>
          <w:p w:rsidR="00F0556F" w:rsidRPr="00F0556F" w:rsidRDefault="00F0556F" w:rsidP="008A0C23">
            <w:pPr>
              <w:jc w:val="center"/>
              <w:rPr>
                <w:rFonts w:ascii="Calibri" w:hAnsi="Calibri"/>
                <w:color w:val="000000"/>
                <w:szCs w:val="22"/>
              </w:rPr>
            </w:pPr>
            <w:r w:rsidRPr="00F0556F">
              <w:rPr>
                <w:rFonts w:ascii="Calibri" w:hAnsi="Calibri"/>
                <w:color w:val="000000"/>
                <w:szCs w:val="22"/>
              </w:rPr>
              <w:t>$</w:t>
            </w:r>
            <w:r w:rsidR="008A0C23">
              <w:rPr>
                <w:rFonts w:ascii="Calibri" w:hAnsi="Calibri"/>
                <w:color w:val="000000"/>
                <w:szCs w:val="22"/>
              </w:rPr>
              <w:t>549</w:t>
            </w:r>
            <w:r w:rsidRPr="00F0556F">
              <w:rPr>
                <w:rFonts w:ascii="Calibri" w:hAnsi="Calibri"/>
                <w:color w:val="000000"/>
                <w:szCs w:val="22"/>
              </w:rPr>
              <w:t>,</w:t>
            </w:r>
            <w:r w:rsidR="004C0189">
              <w:rPr>
                <w:rFonts w:ascii="Calibri" w:hAnsi="Calibri"/>
                <w:color w:val="000000"/>
                <w:szCs w:val="22"/>
              </w:rPr>
              <w:t>00</w:t>
            </w:r>
            <w:r w:rsidRPr="00F0556F">
              <w:rPr>
                <w:rFonts w:ascii="Calibri" w:hAnsi="Calibri"/>
                <w:color w:val="000000"/>
                <w:szCs w:val="22"/>
              </w:rPr>
              <w:t>0</w:t>
            </w:r>
          </w:p>
        </w:tc>
        <w:tc>
          <w:tcPr>
            <w:tcW w:w="1659" w:type="dxa"/>
            <w:tcBorders>
              <w:top w:val="nil"/>
              <w:left w:val="nil"/>
              <w:bottom w:val="single" w:sz="4" w:space="0" w:color="auto"/>
              <w:right w:val="single" w:sz="4" w:space="0" w:color="auto"/>
            </w:tcBorders>
            <w:shd w:val="clear" w:color="auto" w:fill="auto"/>
            <w:noWrap/>
            <w:vAlign w:val="center"/>
            <w:hideMark/>
          </w:tcPr>
          <w:p w:rsidR="00F0556F" w:rsidRPr="00F0556F" w:rsidRDefault="00F0556F" w:rsidP="008A0C23">
            <w:pPr>
              <w:jc w:val="center"/>
              <w:rPr>
                <w:rFonts w:ascii="Calibri" w:hAnsi="Calibri"/>
                <w:color w:val="000000"/>
                <w:szCs w:val="22"/>
              </w:rPr>
            </w:pPr>
            <w:r w:rsidRPr="00F0556F">
              <w:rPr>
                <w:rFonts w:ascii="Calibri" w:hAnsi="Calibri"/>
                <w:color w:val="000000"/>
                <w:szCs w:val="22"/>
              </w:rPr>
              <w:t>$</w:t>
            </w:r>
            <w:r w:rsidR="008A0C23">
              <w:rPr>
                <w:rFonts w:ascii="Calibri" w:hAnsi="Calibri"/>
                <w:color w:val="000000"/>
                <w:szCs w:val="22"/>
              </w:rPr>
              <w:t>526</w:t>
            </w:r>
            <w:r w:rsidRPr="00F0556F">
              <w:rPr>
                <w:rFonts w:ascii="Calibri" w:hAnsi="Calibri"/>
                <w:color w:val="000000"/>
                <w:szCs w:val="22"/>
              </w:rPr>
              <w:t>,</w:t>
            </w:r>
            <w:r w:rsidR="004C0189">
              <w:rPr>
                <w:rFonts w:ascii="Calibri" w:hAnsi="Calibri"/>
                <w:color w:val="000000"/>
                <w:szCs w:val="22"/>
              </w:rPr>
              <w:t>00</w:t>
            </w:r>
            <w:r w:rsidRPr="00F0556F">
              <w:rPr>
                <w:rFonts w:ascii="Calibri" w:hAnsi="Calibri"/>
                <w:color w:val="000000"/>
                <w:szCs w:val="22"/>
              </w:rPr>
              <w:t>0</w:t>
            </w:r>
          </w:p>
        </w:tc>
        <w:tc>
          <w:tcPr>
            <w:tcW w:w="2751" w:type="dxa"/>
            <w:tcBorders>
              <w:top w:val="nil"/>
              <w:left w:val="nil"/>
              <w:bottom w:val="single" w:sz="4" w:space="0" w:color="auto"/>
              <w:right w:val="single" w:sz="4" w:space="0" w:color="auto"/>
            </w:tcBorders>
            <w:shd w:val="clear" w:color="auto" w:fill="auto"/>
            <w:noWrap/>
            <w:vAlign w:val="center"/>
            <w:hideMark/>
          </w:tcPr>
          <w:p w:rsidR="00F0556F" w:rsidRPr="00F0556F" w:rsidRDefault="00F0556F" w:rsidP="008A0C23">
            <w:pPr>
              <w:jc w:val="center"/>
              <w:rPr>
                <w:rFonts w:ascii="Calibri" w:hAnsi="Calibri"/>
                <w:color w:val="000000"/>
                <w:szCs w:val="22"/>
              </w:rPr>
            </w:pPr>
            <w:r w:rsidRPr="00F0556F">
              <w:rPr>
                <w:rFonts w:ascii="Calibri" w:hAnsi="Calibri"/>
                <w:color w:val="000000"/>
                <w:szCs w:val="22"/>
              </w:rPr>
              <w:t>$</w:t>
            </w:r>
            <w:r w:rsidR="008A0C23">
              <w:rPr>
                <w:rFonts w:ascii="Calibri" w:hAnsi="Calibri"/>
                <w:color w:val="000000"/>
                <w:szCs w:val="22"/>
              </w:rPr>
              <w:t>497</w:t>
            </w:r>
            <w:r w:rsidRPr="00F0556F">
              <w:rPr>
                <w:rFonts w:ascii="Calibri" w:hAnsi="Calibri"/>
                <w:color w:val="000000"/>
                <w:szCs w:val="22"/>
              </w:rPr>
              <w:t>,0</w:t>
            </w:r>
            <w:r w:rsidR="004C0189">
              <w:rPr>
                <w:rFonts w:ascii="Calibri" w:hAnsi="Calibri"/>
                <w:color w:val="000000"/>
                <w:szCs w:val="22"/>
              </w:rPr>
              <w:t>00</w:t>
            </w:r>
          </w:p>
        </w:tc>
      </w:tr>
      <w:tr w:rsidR="00A95FB6" w:rsidRPr="00F0556F" w:rsidTr="00A95FB6">
        <w:trPr>
          <w:trHeight w:val="500"/>
        </w:trPr>
        <w:tc>
          <w:tcPr>
            <w:tcW w:w="2751" w:type="dxa"/>
            <w:tcBorders>
              <w:top w:val="nil"/>
              <w:left w:val="single" w:sz="4" w:space="0" w:color="auto"/>
              <w:bottom w:val="single" w:sz="4" w:space="0" w:color="auto"/>
              <w:right w:val="single" w:sz="4" w:space="0" w:color="auto"/>
            </w:tcBorders>
            <w:shd w:val="clear" w:color="auto" w:fill="auto"/>
            <w:vAlign w:val="center"/>
            <w:hideMark/>
          </w:tcPr>
          <w:p w:rsidR="00F0556F" w:rsidRPr="00F0556F" w:rsidRDefault="00F0556F" w:rsidP="00A95FB6">
            <w:pPr>
              <w:jc w:val="center"/>
              <w:rPr>
                <w:rFonts w:ascii="Calibri" w:hAnsi="Calibri"/>
                <w:color w:val="000000"/>
                <w:szCs w:val="22"/>
              </w:rPr>
            </w:pPr>
            <w:r w:rsidRPr="00F0556F">
              <w:rPr>
                <w:rFonts w:ascii="Calibri" w:hAnsi="Calibri"/>
                <w:color w:val="000000"/>
                <w:szCs w:val="22"/>
              </w:rPr>
              <w:t>Total</w:t>
            </w:r>
          </w:p>
        </w:tc>
        <w:tc>
          <w:tcPr>
            <w:tcW w:w="1659" w:type="dxa"/>
            <w:tcBorders>
              <w:top w:val="nil"/>
              <w:left w:val="nil"/>
              <w:bottom w:val="single" w:sz="4" w:space="0" w:color="auto"/>
              <w:right w:val="single" w:sz="4" w:space="0" w:color="auto"/>
            </w:tcBorders>
            <w:shd w:val="clear" w:color="auto" w:fill="auto"/>
            <w:noWrap/>
            <w:vAlign w:val="center"/>
            <w:hideMark/>
          </w:tcPr>
          <w:p w:rsidR="00F0556F" w:rsidRPr="00F0556F" w:rsidRDefault="00F0556F" w:rsidP="008A0C23">
            <w:pPr>
              <w:jc w:val="center"/>
              <w:rPr>
                <w:rFonts w:ascii="Calibri" w:hAnsi="Calibri"/>
                <w:color w:val="000000"/>
                <w:szCs w:val="22"/>
              </w:rPr>
            </w:pPr>
            <w:r w:rsidRPr="00F0556F">
              <w:rPr>
                <w:rFonts w:ascii="Calibri" w:hAnsi="Calibri"/>
                <w:color w:val="000000"/>
                <w:szCs w:val="22"/>
              </w:rPr>
              <w:t>$6,</w:t>
            </w:r>
            <w:r w:rsidR="008A0C23">
              <w:rPr>
                <w:rFonts w:ascii="Calibri" w:hAnsi="Calibri"/>
                <w:color w:val="000000"/>
                <w:szCs w:val="22"/>
              </w:rPr>
              <w:t>863</w:t>
            </w:r>
            <w:r w:rsidRPr="00F0556F">
              <w:rPr>
                <w:rFonts w:ascii="Calibri" w:hAnsi="Calibri"/>
                <w:color w:val="000000"/>
                <w:szCs w:val="22"/>
              </w:rPr>
              <w:t>,</w:t>
            </w:r>
            <w:r w:rsidR="004C0189">
              <w:rPr>
                <w:rFonts w:ascii="Calibri" w:hAnsi="Calibri"/>
                <w:color w:val="000000"/>
                <w:szCs w:val="22"/>
              </w:rPr>
              <w:t>000</w:t>
            </w:r>
          </w:p>
        </w:tc>
        <w:tc>
          <w:tcPr>
            <w:tcW w:w="1659" w:type="dxa"/>
            <w:tcBorders>
              <w:top w:val="nil"/>
              <w:left w:val="nil"/>
              <w:bottom w:val="single" w:sz="4" w:space="0" w:color="auto"/>
              <w:right w:val="single" w:sz="4" w:space="0" w:color="auto"/>
            </w:tcBorders>
            <w:shd w:val="clear" w:color="auto" w:fill="auto"/>
            <w:noWrap/>
            <w:vAlign w:val="center"/>
            <w:hideMark/>
          </w:tcPr>
          <w:p w:rsidR="00F0556F" w:rsidRPr="00F0556F" w:rsidRDefault="00F0556F" w:rsidP="008A0C23">
            <w:pPr>
              <w:jc w:val="center"/>
              <w:rPr>
                <w:rFonts w:ascii="Calibri" w:hAnsi="Calibri"/>
                <w:color w:val="000000"/>
                <w:szCs w:val="22"/>
              </w:rPr>
            </w:pPr>
            <w:r w:rsidRPr="00F0556F">
              <w:rPr>
                <w:rFonts w:ascii="Calibri" w:hAnsi="Calibri"/>
                <w:color w:val="000000"/>
                <w:szCs w:val="22"/>
              </w:rPr>
              <w:t>$</w:t>
            </w:r>
            <w:r w:rsidR="008A0C23">
              <w:rPr>
                <w:rFonts w:ascii="Calibri" w:hAnsi="Calibri"/>
                <w:color w:val="000000"/>
                <w:szCs w:val="22"/>
              </w:rPr>
              <w:t>6,030</w:t>
            </w:r>
            <w:r w:rsidRPr="00F0556F">
              <w:rPr>
                <w:rFonts w:ascii="Calibri" w:hAnsi="Calibri"/>
                <w:color w:val="000000"/>
                <w:szCs w:val="22"/>
              </w:rPr>
              <w:t>,</w:t>
            </w:r>
            <w:r w:rsidR="004C0189">
              <w:rPr>
                <w:rFonts w:ascii="Calibri" w:hAnsi="Calibri"/>
                <w:color w:val="000000"/>
                <w:szCs w:val="22"/>
              </w:rPr>
              <w:t>000</w:t>
            </w:r>
          </w:p>
        </w:tc>
        <w:tc>
          <w:tcPr>
            <w:tcW w:w="2751" w:type="dxa"/>
            <w:tcBorders>
              <w:top w:val="nil"/>
              <w:left w:val="nil"/>
              <w:bottom w:val="single" w:sz="4" w:space="0" w:color="auto"/>
              <w:right w:val="single" w:sz="4" w:space="0" w:color="auto"/>
            </w:tcBorders>
            <w:shd w:val="clear" w:color="auto" w:fill="auto"/>
            <w:noWrap/>
            <w:vAlign w:val="center"/>
            <w:hideMark/>
          </w:tcPr>
          <w:p w:rsidR="00F0556F" w:rsidRPr="00F0556F" w:rsidRDefault="00F0556F" w:rsidP="008A0C23">
            <w:pPr>
              <w:jc w:val="center"/>
              <w:rPr>
                <w:rFonts w:ascii="Calibri" w:hAnsi="Calibri"/>
                <w:color w:val="000000"/>
                <w:szCs w:val="22"/>
              </w:rPr>
            </w:pPr>
            <w:r w:rsidRPr="00F0556F">
              <w:rPr>
                <w:rFonts w:ascii="Calibri" w:hAnsi="Calibri"/>
                <w:color w:val="000000"/>
                <w:szCs w:val="22"/>
              </w:rPr>
              <w:t>$5,</w:t>
            </w:r>
            <w:r w:rsidR="008A0C23">
              <w:rPr>
                <w:rFonts w:ascii="Calibri" w:hAnsi="Calibri"/>
                <w:color w:val="000000"/>
                <w:szCs w:val="22"/>
              </w:rPr>
              <w:t>312</w:t>
            </w:r>
            <w:r w:rsidRPr="00F0556F">
              <w:rPr>
                <w:rFonts w:ascii="Calibri" w:hAnsi="Calibri"/>
                <w:color w:val="000000"/>
                <w:szCs w:val="22"/>
              </w:rPr>
              <w:t>,</w:t>
            </w:r>
            <w:r w:rsidR="004C0189">
              <w:rPr>
                <w:rFonts w:ascii="Calibri" w:hAnsi="Calibri"/>
                <w:color w:val="000000"/>
                <w:szCs w:val="22"/>
              </w:rPr>
              <w:t>000</w:t>
            </w:r>
          </w:p>
        </w:tc>
      </w:tr>
    </w:tbl>
    <w:p w:rsidR="00F0556F" w:rsidRDefault="00F0556F" w:rsidP="009946AD">
      <w:pPr>
        <w:ind w:right="-360"/>
        <w:rPr>
          <w:rFonts w:cs="Arial"/>
          <w:szCs w:val="22"/>
        </w:rPr>
      </w:pPr>
    </w:p>
    <w:p w:rsidR="008202DF" w:rsidRPr="00473C7B" w:rsidRDefault="00813FB7" w:rsidP="006B2D47">
      <w:pPr>
        <w:pStyle w:val="Heading1"/>
      </w:pPr>
      <w:bookmarkStart w:id="17" w:name="_Toc399760753"/>
      <w:r>
        <w:t>4.3</w:t>
      </w:r>
      <w:r w:rsidR="00456542" w:rsidRPr="00473C7B">
        <w:t xml:space="preserve"> </w:t>
      </w:r>
      <w:r w:rsidR="008E5490" w:rsidRPr="00473C7B">
        <w:t>Benefits</w:t>
      </w:r>
      <w:r w:rsidR="008202DF" w:rsidRPr="00473C7B">
        <w:t xml:space="preserve"> and </w:t>
      </w:r>
      <w:r w:rsidR="008E5490" w:rsidRPr="00473C7B">
        <w:t>Costs</w:t>
      </w:r>
      <w:bookmarkEnd w:id="17"/>
      <w:r w:rsidR="008202DF" w:rsidRPr="00473C7B">
        <w:t xml:space="preserve"> </w:t>
      </w:r>
    </w:p>
    <w:p w:rsidR="008202DF" w:rsidRPr="00473C7B" w:rsidRDefault="008202DF" w:rsidP="00473C7B">
      <w:pPr>
        <w:numPr>
          <w:ilvl w:val="12"/>
          <w:numId w:val="0"/>
        </w:numPr>
        <w:rPr>
          <w:rFonts w:cs="Arial"/>
          <w:szCs w:val="22"/>
        </w:rPr>
      </w:pPr>
    </w:p>
    <w:p w:rsidR="008202DF" w:rsidRPr="00473C7B" w:rsidRDefault="00DE3B28" w:rsidP="00473C7B">
      <w:pPr>
        <w:tabs>
          <w:tab w:val="left" w:pos="7380"/>
        </w:tabs>
        <w:rPr>
          <w:rFonts w:cs="Arial"/>
          <w:szCs w:val="22"/>
        </w:rPr>
      </w:pPr>
      <w:r w:rsidRPr="00473C7B">
        <w:rPr>
          <w:rFonts w:cs="Arial"/>
          <w:szCs w:val="22"/>
        </w:rPr>
        <w:t xml:space="preserve">This section presents the </w:t>
      </w:r>
      <w:r w:rsidR="008E5490" w:rsidRPr="00473C7B">
        <w:rPr>
          <w:rFonts w:cs="Arial"/>
          <w:szCs w:val="22"/>
        </w:rPr>
        <w:t>benefits</w:t>
      </w:r>
      <w:r w:rsidRPr="00473C7B">
        <w:rPr>
          <w:rFonts w:cs="Arial"/>
          <w:szCs w:val="22"/>
        </w:rPr>
        <w:t xml:space="preserve"> and </w:t>
      </w:r>
      <w:r w:rsidR="008E5490" w:rsidRPr="00473C7B">
        <w:rPr>
          <w:rFonts w:cs="Arial"/>
          <w:szCs w:val="22"/>
        </w:rPr>
        <w:t>costs</w:t>
      </w:r>
      <w:r w:rsidRPr="00473C7B">
        <w:rPr>
          <w:rFonts w:cs="Arial"/>
          <w:szCs w:val="22"/>
        </w:rPr>
        <w:t xml:space="preserve"> from the proposed rule.  To the extent that the affected attributes </w:t>
      </w:r>
      <w:r w:rsidR="00164666" w:rsidRPr="00473C7B">
        <w:rPr>
          <w:rFonts w:cs="Arial"/>
          <w:szCs w:val="22"/>
        </w:rPr>
        <w:t xml:space="preserve">can </w:t>
      </w:r>
      <w:r w:rsidRPr="00473C7B">
        <w:rPr>
          <w:rFonts w:cs="Arial"/>
          <w:szCs w:val="22"/>
        </w:rPr>
        <w:t xml:space="preserve">be analyzed quantitatively, the net effect of each alternative </w:t>
      </w:r>
      <w:r w:rsidR="00164666" w:rsidRPr="00473C7B">
        <w:rPr>
          <w:rFonts w:cs="Arial"/>
          <w:szCs w:val="22"/>
        </w:rPr>
        <w:t>is</w:t>
      </w:r>
      <w:r w:rsidRPr="00473C7B">
        <w:rPr>
          <w:rFonts w:cs="Arial"/>
          <w:szCs w:val="22"/>
        </w:rPr>
        <w:t xml:space="preserve"> calculated and presented below.  However, some </w:t>
      </w:r>
      <w:r w:rsidR="008E5490" w:rsidRPr="00473C7B">
        <w:rPr>
          <w:rFonts w:cs="Arial"/>
          <w:szCs w:val="22"/>
        </w:rPr>
        <w:t>benefits</w:t>
      </w:r>
      <w:r w:rsidRPr="00473C7B">
        <w:rPr>
          <w:rFonts w:cs="Arial"/>
          <w:szCs w:val="22"/>
        </w:rPr>
        <w:t xml:space="preserve"> and </w:t>
      </w:r>
      <w:r w:rsidR="008E5490" w:rsidRPr="00473C7B">
        <w:rPr>
          <w:rFonts w:cs="Arial"/>
          <w:szCs w:val="22"/>
        </w:rPr>
        <w:t>costs</w:t>
      </w:r>
      <w:r w:rsidRPr="00473C7B">
        <w:rPr>
          <w:rFonts w:cs="Arial"/>
          <w:szCs w:val="22"/>
        </w:rPr>
        <w:t xml:space="preserve"> could be evaluated only on a qualitative basis.</w:t>
      </w:r>
    </w:p>
    <w:p w:rsidR="0081193D" w:rsidRPr="00473C7B" w:rsidRDefault="0081193D" w:rsidP="00473C7B">
      <w:pPr>
        <w:tabs>
          <w:tab w:val="left" w:pos="7380"/>
        </w:tabs>
        <w:rPr>
          <w:rFonts w:cs="Arial"/>
          <w:szCs w:val="22"/>
        </w:rPr>
      </w:pPr>
    </w:p>
    <w:p w:rsidR="0081193D" w:rsidRPr="00473C7B" w:rsidRDefault="0081193D" w:rsidP="00473C7B">
      <w:pPr>
        <w:rPr>
          <w:rFonts w:cs="Arial"/>
          <w:bCs/>
          <w:szCs w:val="22"/>
        </w:rPr>
      </w:pPr>
      <w:r w:rsidRPr="00473C7B">
        <w:rPr>
          <w:rFonts w:cs="Arial"/>
          <w:szCs w:val="22"/>
        </w:rPr>
        <w:t xml:space="preserve">Although the NRC did not quantify the benefits of this proposed rule, the agency did qualitatively examine the benefits.  These include both the direct </w:t>
      </w:r>
      <w:r w:rsidR="002D5DE1" w:rsidRPr="00473C7B">
        <w:rPr>
          <w:rFonts w:cs="Arial"/>
          <w:szCs w:val="22"/>
        </w:rPr>
        <w:t xml:space="preserve">and indirect </w:t>
      </w:r>
      <w:r w:rsidRPr="00473C7B">
        <w:rPr>
          <w:rFonts w:cs="Arial"/>
          <w:szCs w:val="22"/>
        </w:rPr>
        <w:t xml:space="preserve">benefits that would accrue from risks that </w:t>
      </w:r>
      <w:r w:rsidR="002D5DE1" w:rsidRPr="00473C7B">
        <w:rPr>
          <w:rFonts w:cs="Arial"/>
          <w:szCs w:val="22"/>
        </w:rPr>
        <w:t>are</w:t>
      </w:r>
      <w:r w:rsidRPr="00473C7B">
        <w:rPr>
          <w:rFonts w:cs="Arial"/>
          <w:szCs w:val="22"/>
        </w:rPr>
        <w:t xml:space="preserve"> avoided if the NRC adopted the rule. </w:t>
      </w:r>
      <w:r w:rsidR="00422182" w:rsidRPr="00473C7B">
        <w:rPr>
          <w:rFonts w:cs="Arial"/>
          <w:szCs w:val="22"/>
        </w:rPr>
        <w:t xml:space="preserve"> </w:t>
      </w:r>
      <w:r w:rsidRPr="00473C7B">
        <w:rPr>
          <w:rFonts w:cs="Arial"/>
          <w:szCs w:val="22"/>
        </w:rPr>
        <w:t xml:space="preserve">The qualitative benefits of the proposed action </w:t>
      </w:r>
      <w:r w:rsidR="006E67CE" w:rsidRPr="00473C7B">
        <w:rPr>
          <w:rFonts w:cs="Arial"/>
          <w:szCs w:val="22"/>
        </w:rPr>
        <w:t>include</w:t>
      </w:r>
      <w:r w:rsidR="00D74CB2" w:rsidRPr="00473C7B">
        <w:rPr>
          <w:rFonts w:cs="Arial"/>
          <w:szCs w:val="22"/>
        </w:rPr>
        <w:t>s</w:t>
      </w:r>
      <w:r w:rsidR="006E67CE" w:rsidRPr="00473C7B">
        <w:rPr>
          <w:rFonts w:cs="Arial"/>
          <w:szCs w:val="22"/>
        </w:rPr>
        <w:t xml:space="preserve"> </w:t>
      </w:r>
      <w:r w:rsidR="0057011E">
        <w:rPr>
          <w:rFonts w:cs="Arial"/>
          <w:szCs w:val="22"/>
        </w:rPr>
        <w:t xml:space="preserve">increased </w:t>
      </w:r>
      <w:r w:rsidR="006E67CE" w:rsidRPr="00473C7B">
        <w:rPr>
          <w:rFonts w:cs="Arial"/>
          <w:szCs w:val="22"/>
        </w:rPr>
        <w:t xml:space="preserve">assurance that public health and safety would be protected from the disposal of LLRW and </w:t>
      </w:r>
      <w:r w:rsidRPr="00473C7B">
        <w:rPr>
          <w:rFonts w:cs="Arial"/>
          <w:szCs w:val="22"/>
        </w:rPr>
        <w:t xml:space="preserve">an improved regulatory structure that </w:t>
      </w:r>
      <w:r w:rsidRPr="00473C7B">
        <w:rPr>
          <w:rFonts w:cs="Arial"/>
          <w:bCs/>
          <w:szCs w:val="22"/>
        </w:rPr>
        <w:t>facilitate</w:t>
      </w:r>
      <w:r w:rsidR="00B45A50" w:rsidRPr="00473C7B">
        <w:rPr>
          <w:rFonts w:cs="Arial"/>
          <w:bCs/>
          <w:szCs w:val="22"/>
        </w:rPr>
        <w:t>s</w:t>
      </w:r>
      <w:r w:rsidRPr="00473C7B">
        <w:rPr>
          <w:rFonts w:cs="Arial"/>
          <w:bCs/>
          <w:szCs w:val="22"/>
        </w:rPr>
        <w:t xml:space="preserve"> implementation and better align</w:t>
      </w:r>
      <w:r w:rsidR="00B45A50" w:rsidRPr="00473C7B">
        <w:rPr>
          <w:rFonts w:cs="Arial"/>
          <w:bCs/>
          <w:szCs w:val="22"/>
        </w:rPr>
        <w:t>s</w:t>
      </w:r>
      <w:r w:rsidRPr="00473C7B">
        <w:rPr>
          <w:rFonts w:cs="Arial"/>
          <w:bCs/>
          <w:szCs w:val="22"/>
        </w:rPr>
        <w:t xml:space="preserve"> </w:t>
      </w:r>
      <w:r w:rsidR="00B30FA5" w:rsidRPr="00473C7B">
        <w:rPr>
          <w:rFonts w:cs="Arial"/>
          <w:bCs/>
          <w:szCs w:val="22"/>
        </w:rPr>
        <w:t>10 CFR </w:t>
      </w:r>
      <w:r w:rsidRPr="00473C7B">
        <w:rPr>
          <w:rFonts w:cs="Arial"/>
          <w:bCs/>
          <w:szCs w:val="22"/>
        </w:rPr>
        <w:t xml:space="preserve">Part 61 requirements with current health and safety standards.  </w:t>
      </w:r>
    </w:p>
    <w:p w:rsidR="0081193D" w:rsidRPr="00473C7B" w:rsidRDefault="0081193D" w:rsidP="00473C7B">
      <w:pPr>
        <w:rPr>
          <w:rFonts w:cs="Arial"/>
          <w:bCs/>
          <w:szCs w:val="22"/>
        </w:rPr>
      </w:pPr>
    </w:p>
    <w:p w:rsidR="006E67CE" w:rsidRPr="00473C7B" w:rsidRDefault="00882AEF" w:rsidP="00473C7B">
      <w:pPr>
        <w:rPr>
          <w:rFonts w:cs="Arial"/>
          <w:bCs/>
          <w:szCs w:val="22"/>
        </w:rPr>
      </w:pPr>
      <w:r w:rsidRPr="00473C7B">
        <w:rPr>
          <w:rFonts w:cs="Arial"/>
          <w:bCs/>
          <w:szCs w:val="22"/>
        </w:rPr>
        <w:t>T</w:t>
      </w:r>
      <w:r w:rsidR="00BF7210" w:rsidRPr="00473C7B">
        <w:rPr>
          <w:rFonts w:cs="Arial"/>
          <w:bCs/>
          <w:szCs w:val="22"/>
        </w:rPr>
        <w:t xml:space="preserve">he </w:t>
      </w:r>
      <w:r w:rsidR="006E67CE" w:rsidRPr="00473C7B">
        <w:rPr>
          <w:rFonts w:cs="Arial"/>
          <w:bCs/>
          <w:szCs w:val="22"/>
        </w:rPr>
        <w:t xml:space="preserve">proposed </w:t>
      </w:r>
      <w:r w:rsidR="00E452F0" w:rsidRPr="00473C7B">
        <w:rPr>
          <w:rFonts w:cs="Arial"/>
          <w:bCs/>
          <w:szCs w:val="22"/>
        </w:rPr>
        <w:t>1,000</w:t>
      </w:r>
      <w:r w:rsidR="005569C9">
        <w:rPr>
          <w:rFonts w:cs="Arial"/>
          <w:bCs/>
          <w:szCs w:val="22"/>
        </w:rPr>
        <w:t>-</w:t>
      </w:r>
      <w:r w:rsidR="00BF7210" w:rsidRPr="00473C7B">
        <w:rPr>
          <w:rFonts w:cs="Arial"/>
          <w:bCs/>
          <w:szCs w:val="22"/>
        </w:rPr>
        <w:t>year</w:t>
      </w:r>
      <w:r w:rsidR="00E452F0" w:rsidRPr="00473C7B">
        <w:rPr>
          <w:rFonts w:cs="Arial"/>
          <w:bCs/>
          <w:szCs w:val="22"/>
        </w:rPr>
        <w:t xml:space="preserve"> compliance </w:t>
      </w:r>
      <w:r w:rsidR="006207DE">
        <w:rPr>
          <w:rFonts w:cs="Arial"/>
          <w:bCs/>
          <w:szCs w:val="22"/>
        </w:rPr>
        <w:t xml:space="preserve">period and </w:t>
      </w:r>
      <w:r w:rsidR="006207DE" w:rsidRPr="00473C7B">
        <w:rPr>
          <w:rFonts w:cs="Arial"/>
          <w:bCs/>
          <w:szCs w:val="22"/>
        </w:rPr>
        <w:t>10,000</w:t>
      </w:r>
      <w:r w:rsidR="006207DE">
        <w:rPr>
          <w:rFonts w:cs="Arial"/>
          <w:bCs/>
          <w:szCs w:val="22"/>
        </w:rPr>
        <w:t>-</w:t>
      </w:r>
      <w:r w:rsidR="006207DE" w:rsidRPr="00473C7B">
        <w:rPr>
          <w:rFonts w:cs="Arial"/>
          <w:bCs/>
          <w:szCs w:val="22"/>
        </w:rPr>
        <w:t xml:space="preserve">year </w:t>
      </w:r>
      <w:r w:rsidR="006207DE">
        <w:rPr>
          <w:rFonts w:cs="Arial"/>
          <w:bCs/>
          <w:szCs w:val="22"/>
        </w:rPr>
        <w:t xml:space="preserve">protective assurance </w:t>
      </w:r>
      <w:r w:rsidR="00E452F0" w:rsidRPr="00473C7B">
        <w:rPr>
          <w:rFonts w:cs="Arial"/>
          <w:bCs/>
          <w:szCs w:val="22"/>
        </w:rPr>
        <w:t>period</w:t>
      </w:r>
      <w:r w:rsidR="006E67CE" w:rsidRPr="00473C7B">
        <w:rPr>
          <w:rFonts w:cs="Arial"/>
          <w:bCs/>
          <w:szCs w:val="22"/>
        </w:rPr>
        <w:t xml:space="preserve"> </w:t>
      </w:r>
      <w:r w:rsidR="006207DE">
        <w:rPr>
          <w:rFonts w:cs="Arial"/>
          <w:bCs/>
          <w:szCs w:val="22"/>
        </w:rPr>
        <w:t>are</w:t>
      </w:r>
      <w:r w:rsidR="006207DE" w:rsidRPr="00473C7B">
        <w:rPr>
          <w:rFonts w:cs="Arial"/>
          <w:bCs/>
          <w:szCs w:val="22"/>
        </w:rPr>
        <w:t xml:space="preserve"> </w:t>
      </w:r>
      <w:r w:rsidR="006E67CE" w:rsidRPr="00473C7B">
        <w:rPr>
          <w:rFonts w:cs="Arial"/>
          <w:bCs/>
          <w:szCs w:val="22"/>
        </w:rPr>
        <w:t xml:space="preserve">important additional technical parameter for these analyses over existing requirements and </w:t>
      </w:r>
      <w:r w:rsidR="006207DE">
        <w:rPr>
          <w:rFonts w:cs="Arial"/>
          <w:bCs/>
          <w:szCs w:val="22"/>
        </w:rPr>
        <w:t>are</w:t>
      </w:r>
      <w:r w:rsidR="006207DE" w:rsidRPr="00473C7B">
        <w:rPr>
          <w:rFonts w:cs="Arial"/>
          <w:bCs/>
          <w:szCs w:val="22"/>
        </w:rPr>
        <w:t xml:space="preserve"> </w:t>
      </w:r>
      <w:r w:rsidR="006E67CE" w:rsidRPr="00473C7B">
        <w:rPr>
          <w:rFonts w:cs="Arial"/>
          <w:bCs/>
          <w:szCs w:val="22"/>
        </w:rPr>
        <w:t xml:space="preserve">significant when evaluating </w:t>
      </w:r>
      <w:r w:rsidR="00E452F0" w:rsidRPr="00473C7B">
        <w:rPr>
          <w:rFonts w:cs="Arial"/>
          <w:bCs/>
          <w:szCs w:val="22"/>
        </w:rPr>
        <w:t>LLRW</w:t>
      </w:r>
      <w:r w:rsidR="006E67CE" w:rsidRPr="00473C7B">
        <w:rPr>
          <w:rFonts w:cs="Arial"/>
          <w:bCs/>
          <w:szCs w:val="22"/>
        </w:rPr>
        <w:t xml:space="preserve"> streams that were not considered in the original 10</w:t>
      </w:r>
      <w:r w:rsidR="0057011E">
        <w:rPr>
          <w:rFonts w:cs="Arial"/>
          <w:bCs/>
          <w:szCs w:val="22"/>
        </w:rPr>
        <w:t> </w:t>
      </w:r>
      <w:r w:rsidR="006E67CE" w:rsidRPr="00473C7B">
        <w:rPr>
          <w:rFonts w:cs="Arial"/>
          <w:bCs/>
          <w:szCs w:val="22"/>
        </w:rPr>
        <w:t>CFR Part</w:t>
      </w:r>
      <w:r w:rsidR="002B485F" w:rsidRPr="00473C7B">
        <w:rPr>
          <w:rFonts w:cs="Arial"/>
          <w:bCs/>
          <w:szCs w:val="22"/>
        </w:rPr>
        <w:t> </w:t>
      </w:r>
      <w:r w:rsidR="006E67CE" w:rsidRPr="00473C7B">
        <w:rPr>
          <w:rFonts w:cs="Arial"/>
          <w:bCs/>
          <w:szCs w:val="22"/>
        </w:rPr>
        <w:t>61 rulemaking.  Currently</w:t>
      </w:r>
      <w:r w:rsidR="00CB624E" w:rsidRPr="00473C7B">
        <w:rPr>
          <w:rFonts w:cs="Arial"/>
          <w:bCs/>
          <w:szCs w:val="22"/>
        </w:rPr>
        <w:t>,</w:t>
      </w:r>
      <w:r w:rsidR="006E67CE" w:rsidRPr="00473C7B">
        <w:rPr>
          <w:rFonts w:cs="Arial"/>
          <w:bCs/>
          <w:szCs w:val="22"/>
        </w:rPr>
        <w:t xml:space="preserve"> there is ambiguity regarding how a compliance period should be selected by an Agreement State and what timeframes should be applied to the analysis supporting demonstration of compliance with different sections of the regulatio</w:t>
      </w:r>
      <w:r w:rsidR="00E452F0" w:rsidRPr="00473C7B">
        <w:rPr>
          <w:rFonts w:cs="Arial"/>
          <w:bCs/>
          <w:szCs w:val="22"/>
        </w:rPr>
        <w:t>ns.  In addition, the proposed</w:t>
      </w:r>
      <w:r w:rsidR="004E3AD8">
        <w:rPr>
          <w:rFonts w:cs="Arial"/>
          <w:bCs/>
          <w:szCs w:val="22"/>
        </w:rPr>
        <w:t xml:space="preserve"> </w:t>
      </w:r>
      <w:r w:rsidR="00E452F0" w:rsidRPr="00473C7B">
        <w:rPr>
          <w:rFonts w:cs="Arial"/>
          <w:bCs/>
          <w:szCs w:val="22"/>
        </w:rPr>
        <w:t>site-specific analyses use a</w:t>
      </w:r>
      <w:r w:rsidR="006207DE">
        <w:rPr>
          <w:rFonts w:cs="Arial"/>
          <w:bCs/>
          <w:szCs w:val="22"/>
        </w:rPr>
        <w:t xml:space="preserve"> </w:t>
      </w:r>
      <w:r w:rsidR="00E452F0" w:rsidRPr="00473C7B">
        <w:rPr>
          <w:rFonts w:cs="Arial"/>
          <w:bCs/>
          <w:szCs w:val="22"/>
        </w:rPr>
        <w:t xml:space="preserve">risk-informed regulatory framework that specifies requirements </w:t>
      </w:r>
      <w:r w:rsidR="00380594" w:rsidRPr="00473C7B">
        <w:rPr>
          <w:rFonts w:cs="Arial"/>
          <w:bCs/>
          <w:szCs w:val="22"/>
        </w:rPr>
        <w:t xml:space="preserve">that </w:t>
      </w:r>
      <w:r w:rsidR="00E452F0" w:rsidRPr="00473C7B">
        <w:rPr>
          <w:rFonts w:cs="Arial"/>
          <w:bCs/>
          <w:szCs w:val="22"/>
        </w:rPr>
        <w:t xml:space="preserve">need to be met and provides flexibility to a licensee or applicant with regard to </w:t>
      </w:r>
      <w:r w:rsidR="009E3345" w:rsidRPr="00473C7B">
        <w:rPr>
          <w:rFonts w:cs="Arial"/>
          <w:bCs/>
          <w:szCs w:val="22"/>
        </w:rPr>
        <w:t xml:space="preserve">the </w:t>
      </w:r>
      <w:r w:rsidR="00E452F0" w:rsidRPr="00473C7B">
        <w:rPr>
          <w:rFonts w:cs="Arial"/>
          <w:bCs/>
          <w:szCs w:val="22"/>
        </w:rPr>
        <w:t>information or approach use</w:t>
      </w:r>
      <w:r w:rsidR="009E3345" w:rsidRPr="00473C7B">
        <w:rPr>
          <w:rFonts w:cs="Arial"/>
          <w:bCs/>
          <w:szCs w:val="22"/>
        </w:rPr>
        <w:t>d</w:t>
      </w:r>
      <w:r w:rsidR="00E452F0" w:rsidRPr="00473C7B">
        <w:rPr>
          <w:rFonts w:cs="Arial"/>
          <w:bCs/>
          <w:szCs w:val="22"/>
        </w:rPr>
        <w:t xml:space="preserve"> to satisfy those requirements.  Also, proposed 10 CFR 61.42 </w:t>
      </w:r>
      <w:r w:rsidR="0057011E">
        <w:rPr>
          <w:rFonts w:cs="Arial"/>
          <w:bCs/>
          <w:szCs w:val="22"/>
        </w:rPr>
        <w:t xml:space="preserve">would help </w:t>
      </w:r>
      <w:r w:rsidR="006E67CE" w:rsidRPr="00473C7B">
        <w:rPr>
          <w:rFonts w:cs="Arial"/>
          <w:bCs/>
          <w:szCs w:val="22"/>
        </w:rPr>
        <w:t xml:space="preserve">ensure protection of any inadvertent intruder who occupies the disposal site or contacts the LLRW at any time after active institutional </w:t>
      </w:r>
      <w:r w:rsidR="00E452F0" w:rsidRPr="00473C7B">
        <w:rPr>
          <w:rFonts w:cs="Arial"/>
          <w:bCs/>
          <w:szCs w:val="22"/>
        </w:rPr>
        <w:t>controls are removed</w:t>
      </w:r>
      <w:r w:rsidR="0057011E">
        <w:rPr>
          <w:rFonts w:cs="Arial"/>
          <w:bCs/>
          <w:szCs w:val="22"/>
        </w:rPr>
        <w:t>;</w:t>
      </w:r>
      <w:r w:rsidR="006E67CE" w:rsidRPr="00473C7B">
        <w:rPr>
          <w:rFonts w:cs="Arial"/>
          <w:bCs/>
          <w:szCs w:val="22"/>
        </w:rPr>
        <w:t xml:space="preserve"> </w:t>
      </w:r>
      <w:r w:rsidR="00E452F0" w:rsidRPr="00473C7B">
        <w:rPr>
          <w:rFonts w:cs="Arial"/>
          <w:bCs/>
          <w:szCs w:val="22"/>
        </w:rPr>
        <w:t xml:space="preserve">proposed 10 CFR 61.13(e) </w:t>
      </w:r>
      <w:r w:rsidR="0057011E">
        <w:rPr>
          <w:rFonts w:cs="Arial"/>
          <w:bCs/>
          <w:szCs w:val="22"/>
        </w:rPr>
        <w:t xml:space="preserve">requires the </w:t>
      </w:r>
      <w:r w:rsidR="0057011E" w:rsidRPr="00473C7B">
        <w:rPr>
          <w:rFonts w:cs="Arial"/>
          <w:bCs/>
          <w:szCs w:val="22"/>
        </w:rPr>
        <w:t>evaluat</w:t>
      </w:r>
      <w:r w:rsidR="0057011E">
        <w:rPr>
          <w:rFonts w:cs="Arial"/>
          <w:bCs/>
          <w:szCs w:val="22"/>
        </w:rPr>
        <w:t>ion of</w:t>
      </w:r>
      <w:r w:rsidR="0057011E" w:rsidRPr="00473C7B">
        <w:rPr>
          <w:rFonts w:cs="Arial"/>
          <w:bCs/>
          <w:szCs w:val="22"/>
        </w:rPr>
        <w:t xml:space="preserve"> </w:t>
      </w:r>
      <w:r w:rsidR="00E452F0" w:rsidRPr="00473C7B">
        <w:rPr>
          <w:rFonts w:cs="Arial"/>
          <w:bCs/>
          <w:szCs w:val="22"/>
        </w:rPr>
        <w:t>any additional measures that are needed at a disposal site</w:t>
      </w:r>
      <w:r w:rsidR="006207DE">
        <w:rPr>
          <w:rFonts w:cs="Arial"/>
          <w:bCs/>
          <w:szCs w:val="22"/>
        </w:rPr>
        <w:t xml:space="preserve">, </w:t>
      </w:r>
      <w:r w:rsidR="006207DE">
        <w:rPr>
          <w:rFonts w:cs="Arial"/>
          <w:szCs w:val="22"/>
        </w:rPr>
        <w:t>including the defense–in-depth protections,</w:t>
      </w:r>
      <w:r w:rsidR="00E452F0" w:rsidRPr="00473C7B">
        <w:rPr>
          <w:rFonts w:cs="Arial"/>
          <w:bCs/>
          <w:szCs w:val="22"/>
        </w:rPr>
        <w:t xml:space="preserve"> to ensure the protection of the general population </w:t>
      </w:r>
      <w:r w:rsidR="00E452F0" w:rsidRPr="00473C7B">
        <w:rPr>
          <w:rFonts w:cs="Arial"/>
          <w:bCs/>
          <w:szCs w:val="22"/>
        </w:rPr>
        <w:lastRenderedPageBreak/>
        <w:t>and the inadvertent intruder from disposal of long-lived LLRW</w:t>
      </w:r>
      <w:r w:rsidR="0057011E">
        <w:rPr>
          <w:rFonts w:cs="Arial"/>
          <w:bCs/>
          <w:szCs w:val="22"/>
        </w:rPr>
        <w:t>;</w:t>
      </w:r>
      <w:r w:rsidR="00E452F0" w:rsidRPr="00473C7B">
        <w:rPr>
          <w:rFonts w:cs="Arial"/>
          <w:bCs/>
          <w:szCs w:val="22"/>
        </w:rPr>
        <w:t xml:space="preserve"> and proposed 10</w:t>
      </w:r>
      <w:r w:rsidR="005569C9">
        <w:rPr>
          <w:rFonts w:cs="Arial"/>
          <w:bCs/>
          <w:szCs w:val="22"/>
        </w:rPr>
        <w:t> </w:t>
      </w:r>
      <w:r w:rsidR="00E452F0" w:rsidRPr="00473C7B">
        <w:rPr>
          <w:rFonts w:cs="Arial"/>
          <w:bCs/>
          <w:szCs w:val="22"/>
        </w:rPr>
        <w:t>CFR</w:t>
      </w:r>
      <w:r w:rsidR="005569C9">
        <w:rPr>
          <w:rFonts w:cs="Arial"/>
          <w:bCs/>
          <w:szCs w:val="22"/>
        </w:rPr>
        <w:t> </w:t>
      </w:r>
      <w:r w:rsidR="00E452F0" w:rsidRPr="00473C7B">
        <w:rPr>
          <w:rFonts w:cs="Arial"/>
          <w:bCs/>
          <w:szCs w:val="22"/>
        </w:rPr>
        <w:t>61.58, when combined with the other revisions recommended for this rulemaking, provide</w:t>
      </w:r>
      <w:r w:rsidR="007C2586" w:rsidRPr="00473C7B">
        <w:rPr>
          <w:rFonts w:cs="Arial"/>
          <w:bCs/>
          <w:szCs w:val="22"/>
        </w:rPr>
        <w:t>s</w:t>
      </w:r>
      <w:r w:rsidR="00E452F0" w:rsidRPr="00473C7B">
        <w:rPr>
          <w:rFonts w:cs="Arial"/>
          <w:bCs/>
          <w:szCs w:val="22"/>
        </w:rPr>
        <w:t xml:space="preserve"> reasonable assurance that public health and safety would be protected from the disposal of LLRW.  </w:t>
      </w:r>
    </w:p>
    <w:p w:rsidR="006E67CE" w:rsidRDefault="006E67CE" w:rsidP="00473C7B">
      <w:pPr>
        <w:rPr>
          <w:rFonts w:cs="Arial"/>
          <w:bCs/>
          <w:szCs w:val="22"/>
        </w:rPr>
      </w:pPr>
    </w:p>
    <w:p w:rsidR="008A0C23" w:rsidRDefault="008A0C23" w:rsidP="00473C7B">
      <w:pPr>
        <w:rPr>
          <w:rFonts w:cs="Arial"/>
          <w:bCs/>
          <w:szCs w:val="22"/>
        </w:rPr>
      </w:pPr>
      <w:r w:rsidRPr="008A0C23">
        <w:rPr>
          <w:rFonts w:cs="Arial"/>
          <w:bCs/>
          <w:szCs w:val="22"/>
        </w:rPr>
        <w:t>The waste acceptance criteria should also allow licensees to dispose of material more “risk efficiently” which is likely to reduce costs.  In addition, being able to dispose of the depleted uranium waste stream is likely to be a big revenue generator for the licensees and the State’s (through taxes) as well as decreasing the storage costs of the Department of Energy and uranium enrichment facilities.</w:t>
      </w:r>
    </w:p>
    <w:p w:rsidR="008A0C23" w:rsidRPr="00473C7B" w:rsidRDefault="008A0C23" w:rsidP="00473C7B">
      <w:pPr>
        <w:rPr>
          <w:rFonts w:cs="Arial"/>
          <w:bCs/>
          <w:szCs w:val="22"/>
        </w:rPr>
      </w:pPr>
    </w:p>
    <w:p w:rsidR="008B538C" w:rsidRPr="00473C7B" w:rsidRDefault="00DE3B28" w:rsidP="00473C7B">
      <w:pPr>
        <w:pStyle w:val="Level1"/>
        <w:widowControl/>
        <w:ind w:left="0"/>
        <w:jc w:val="left"/>
        <w:rPr>
          <w:rFonts w:ascii="Arial" w:hAnsi="Arial" w:cs="Arial"/>
          <w:sz w:val="22"/>
          <w:szCs w:val="22"/>
        </w:rPr>
      </w:pPr>
      <w:r w:rsidRPr="00473C7B">
        <w:rPr>
          <w:rFonts w:ascii="Arial" w:hAnsi="Arial" w:cs="Arial"/>
          <w:sz w:val="22"/>
          <w:szCs w:val="22"/>
        </w:rPr>
        <w:t xml:space="preserve">Table </w:t>
      </w:r>
      <w:r w:rsidR="00763C5D">
        <w:rPr>
          <w:rFonts w:ascii="Arial" w:hAnsi="Arial" w:cs="Arial"/>
          <w:sz w:val="22"/>
          <w:szCs w:val="22"/>
        </w:rPr>
        <w:t>4-4</w:t>
      </w:r>
      <w:r w:rsidRPr="00473C7B">
        <w:rPr>
          <w:rFonts w:ascii="Arial" w:hAnsi="Arial" w:cs="Arial"/>
          <w:sz w:val="22"/>
          <w:szCs w:val="22"/>
        </w:rPr>
        <w:t xml:space="preserve"> summarizes the results of the </w:t>
      </w:r>
      <w:r w:rsidR="002B485F" w:rsidRPr="00473C7B">
        <w:rPr>
          <w:rFonts w:ascii="Arial" w:hAnsi="Arial" w:cs="Arial"/>
          <w:sz w:val="22"/>
          <w:szCs w:val="22"/>
        </w:rPr>
        <w:t>benefits and costs</w:t>
      </w:r>
      <w:r w:rsidRPr="00473C7B">
        <w:rPr>
          <w:rFonts w:ascii="Arial" w:hAnsi="Arial" w:cs="Arial"/>
          <w:sz w:val="22"/>
          <w:szCs w:val="22"/>
        </w:rPr>
        <w:t xml:space="preserve"> analysis.  The rulemaking alternative result</w:t>
      </w:r>
      <w:r w:rsidR="00734F9B" w:rsidRPr="00473C7B">
        <w:rPr>
          <w:rFonts w:ascii="Arial" w:hAnsi="Arial" w:cs="Arial"/>
          <w:sz w:val="22"/>
          <w:szCs w:val="22"/>
        </w:rPr>
        <w:t>s</w:t>
      </w:r>
      <w:r w:rsidRPr="00473C7B">
        <w:rPr>
          <w:rFonts w:ascii="Arial" w:hAnsi="Arial" w:cs="Arial"/>
          <w:sz w:val="22"/>
          <w:szCs w:val="22"/>
        </w:rPr>
        <w:t xml:space="preserve"> in additional costs when compared to the no-action alternative.  The quantitative impact estimated of the rulemaking alternative is estimated to cost between </w:t>
      </w:r>
      <w:r w:rsidR="0018199D" w:rsidRPr="00473C7B">
        <w:rPr>
          <w:rFonts w:ascii="Arial" w:hAnsi="Arial" w:cs="Arial"/>
          <w:sz w:val="22"/>
          <w:szCs w:val="22"/>
        </w:rPr>
        <w:t xml:space="preserve">approximately </w:t>
      </w:r>
      <w:r w:rsidRPr="00473C7B">
        <w:rPr>
          <w:rFonts w:ascii="Arial" w:hAnsi="Arial" w:cs="Arial"/>
          <w:sz w:val="22"/>
          <w:szCs w:val="22"/>
        </w:rPr>
        <w:t>$</w:t>
      </w:r>
      <w:r w:rsidR="007D6F13">
        <w:rPr>
          <w:rFonts w:ascii="Arial" w:hAnsi="Arial" w:cs="Arial"/>
          <w:sz w:val="22"/>
          <w:szCs w:val="22"/>
        </w:rPr>
        <w:t>6.0 million</w:t>
      </w:r>
      <w:r w:rsidR="002B485F" w:rsidRPr="00473C7B">
        <w:rPr>
          <w:rFonts w:ascii="Arial" w:hAnsi="Arial" w:cs="Arial"/>
          <w:sz w:val="22"/>
          <w:szCs w:val="22"/>
        </w:rPr>
        <w:t xml:space="preserve"> </w:t>
      </w:r>
      <w:r w:rsidR="009A74D0" w:rsidRPr="00473C7B">
        <w:rPr>
          <w:rFonts w:ascii="Arial" w:hAnsi="Arial" w:cs="Arial"/>
          <w:sz w:val="22"/>
          <w:szCs w:val="22"/>
        </w:rPr>
        <w:t>and</w:t>
      </w:r>
      <w:r w:rsidRPr="00473C7B">
        <w:rPr>
          <w:rFonts w:ascii="Arial" w:hAnsi="Arial" w:cs="Arial"/>
          <w:sz w:val="22"/>
          <w:szCs w:val="22"/>
        </w:rPr>
        <w:t xml:space="preserve"> $</w:t>
      </w:r>
      <w:r w:rsidR="008704CD" w:rsidRPr="00473C7B">
        <w:rPr>
          <w:rFonts w:ascii="Arial" w:hAnsi="Arial" w:cs="Arial"/>
          <w:sz w:val="22"/>
          <w:szCs w:val="22"/>
        </w:rPr>
        <w:t>5</w:t>
      </w:r>
      <w:r w:rsidR="007D6F13">
        <w:rPr>
          <w:rFonts w:ascii="Arial" w:hAnsi="Arial" w:cs="Arial"/>
          <w:sz w:val="22"/>
          <w:szCs w:val="22"/>
        </w:rPr>
        <w:t>.2</w:t>
      </w:r>
      <w:r w:rsidR="007019B0">
        <w:rPr>
          <w:rFonts w:ascii="Arial" w:hAnsi="Arial" w:cs="Arial"/>
          <w:sz w:val="22"/>
          <w:szCs w:val="22"/>
        </w:rPr>
        <w:t xml:space="preserve"> million</w:t>
      </w:r>
      <w:r w:rsidRPr="00473C7B">
        <w:rPr>
          <w:rFonts w:ascii="Arial" w:hAnsi="Arial" w:cs="Arial"/>
          <w:sz w:val="22"/>
          <w:szCs w:val="22"/>
        </w:rPr>
        <w:t xml:space="preserve"> (7-percent and 3-percent discount rate, respectively).  </w:t>
      </w:r>
    </w:p>
    <w:p w:rsidR="0005776D" w:rsidRPr="00473C7B" w:rsidRDefault="0005776D" w:rsidP="00473C7B">
      <w:pPr>
        <w:rPr>
          <w:rFonts w:cs="Arial"/>
          <w:szCs w:val="22"/>
        </w:rPr>
      </w:pPr>
    </w:p>
    <w:p w:rsidR="008202DF" w:rsidRPr="001F7513" w:rsidRDefault="001C7306" w:rsidP="001F7513">
      <w:pPr>
        <w:rPr>
          <w:rFonts w:cs="Arial"/>
          <w:b/>
          <w:szCs w:val="22"/>
        </w:rPr>
      </w:pPr>
      <w:bookmarkStart w:id="18" w:name="_Toc357116595"/>
      <w:r w:rsidRPr="001F7513">
        <w:rPr>
          <w:rFonts w:cs="Arial"/>
          <w:b/>
          <w:szCs w:val="22"/>
        </w:rPr>
        <w:t xml:space="preserve">Table </w:t>
      </w:r>
      <w:r w:rsidR="00813FB7">
        <w:rPr>
          <w:rFonts w:cs="Arial"/>
          <w:b/>
          <w:szCs w:val="22"/>
        </w:rPr>
        <w:t>4-</w:t>
      </w:r>
      <w:r w:rsidR="00763C5D">
        <w:rPr>
          <w:rFonts w:cs="Arial"/>
          <w:b/>
          <w:szCs w:val="22"/>
        </w:rPr>
        <w:t>4</w:t>
      </w:r>
      <w:r w:rsidR="00854008" w:rsidRPr="001F7513">
        <w:rPr>
          <w:rFonts w:cs="Arial"/>
          <w:b/>
          <w:szCs w:val="22"/>
        </w:rPr>
        <w:t xml:space="preserve"> </w:t>
      </w:r>
      <w:bookmarkStart w:id="19" w:name="_Toc345934659"/>
      <w:r w:rsidR="008202DF" w:rsidRPr="001F7513">
        <w:rPr>
          <w:rFonts w:cs="Arial"/>
          <w:b/>
          <w:szCs w:val="22"/>
        </w:rPr>
        <w:t>Summary of Benefits and Costs</w:t>
      </w:r>
      <w:bookmarkEnd w:id="18"/>
      <w:r w:rsidR="00150B5D" w:rsidRPr="001F7513">
        <w:rPr>
          <w:rFonts w:cs="Arial"/>
          <w:b/>
          <w:szCs w:val="22"/>
        </w:rPr>
        <w:t xml:space="preserve"> </w:t>
      </w:r>
      <w:bookmarkEnd w:id="19"/>
    </w:p>
    <w:p w:rsidR="008202DF" w:rsidRPr="00473C7B" w:rsidRDefault="008202DF" w:rsidP="00473C7B">
      <w:pPr>
        <w:pStyle w:val="Level1"/>
        <w:keepNext/>
        <w:widowControl/>
        <w:ind w:left="0"/>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8202DF" w:rsidRPr="00473C7B" w:rsidTr="00D27803">
        <w:tc>
          <w:tcPr>
            <w:tcW w:w="4788" w:type="dxa"/>
          </w:tcPr>
          <w:p w:rsidR="008202DF" w:rsidRPr="00473C7B" w:rsidRDefault="00D001D0" w:rsidP="00473C7B">
            <w:pPr>
              <w:pStyle w:val="Level1"/>
              <w:keepNext/>
              <w:widowControl/>
              <w:ind w:left="0"/>
              <w:jc w:val="center"/>
              <w:rPr>
                <w:rFonts w:ascii="Arial" w:hAnsi="Arial" w:cs="Arial"/>
                <w:sz w:val="22"/>
                <w:szCs w:val="22"/>
              </w:rPr>
            </w:pPr>
            <w:r w:rsidRPr="00473C7B">
              <w:rPr>
                <w:rFonts w:ascii="Arial" w:hAnsi="Arial" w:cs="Arial"/>
                <w:sz w:val="22"/>
                <w:szCs w:val="22"/>
              </w:rPr>
              <w:t>Net Monetary Costs</w:t>
            </w:r>
            <w:r w:rsidR="008202DF" w:rsidRPr="00473C7B">
              <w:rPr>
                <w:rFonts w:ascii="Arial" w:hAnsi="Arial" w:cs="Arial"/>
                <w:sz w:val="22"/>
                <w:szCs w:val="22"/>
              </w:rPr>
              <w:t xml:space="preserve"> –</w:t>
            </w:r>
          </w:p>
          <w:p w:rsidR="008202DF" w:rsidRPr="00473C7B" w:rsidRDefault="00FF7463" w:rsidP="00473C7B">
            <w:pPr>
              <w:pStyle w:val="Level1"/>
              <w:keepNext/>
              <w:widowControl/>
              <w:ind w:left="0"/>
              <w:jc w:val="center"/>
              <w:rPr>
                <w:rFonts w:ascii="Arial" w:hAnsi="Arial" w:cs="Arial"/>
                <w:sz w:val="22"/>
                <w:szCs w:val="22"/>
              </w:rPr>
            </w:pPr>
            <w:r w:rsidRPr="00473C7B">
              <w:rPr>
                <w:rFonts w:ascii="Arial" w:hAnsi="Arial" w:cs="Arial"/>
                <w:sz w:val="22"/>
                <w:szCs w:val="22"/>
              </w:rPr>
              <w:t>Total Present Value in M</w:t>
            </w:r>
            <w:r w:rsidR="008202DF" w:rsidRPr="00473C7B">
              <w:rPr>
                <w:rFonts w:ascii="Arial" w:hAnsi="Arial" w:cs="Arial"/>
                <w:sz w:val="22"/>
                <w:szCs w:val="22"/>
              </w:rPr>
              <w:t>illions</w:t>
            </w:r>
            <w:r w:rsidR="00080AEF" w:rsidRPr="00473C7B">
              <w:rPr>
                <w:rFonts w:ascii="Arial" w:hAnsi="Arial" w:cs="Arial"/>
                <w:sz w:val="22"/>
                <w:szCs w:val="22"/>
              </w:rPr>
              <w:t xml:space="preserve"> </w:t>
            </w:r>
            <w:r w:rsidR="00D810A3" w:rsidRPr="00473C7B">
              <w:rPr>
                <w:rFonts w:ascii="Arial" w:hAnsi="Arial" w:cs="Arial"/>
                <w:sz w:val="22"/>
                <w:szCs w:val="22"/>
              </w:rPr>
              <w:t>($)</w:t>
            </w:r>
          </w:p>
        </w:tc>
        <w:tc>
          <w:tcPr>
            <w:tcW w:w="4788" w:type="dxa"/>
          </w:tcPr>
          <w:p w:rsidR="008202DF" w:rsidRPr="00473C7B" w:rsidRDefault="008202DF" w:rsidP="00473C7B">
            <w:pPr>
              <w:pStyle w:val="Level1"/>
              <w:keepNext/>
              <w:widowControl/>
              <w:ind w:left="0"/>
              <w:jc w:val="center"/>
              <w:rPr>
                <w:rFonts w:ascii="Arial" w:hAnsi="Arial" w:cs="Arial"/>
                <w:sz w:val="22"/>
                <w:szCs w:val="22"/>
              </w:rPr>
            </w:pPr>
            <w:r w:rsidRPr="00473C7B">
              <w:rPr>
                <w:rFonts w:ascii="Arial" w:hAnsi="Arial" w:cs="Arial"/>
                <w:sz w:val="22"/>
                <w:szCs w:val="22"/>
              </w:rPr>
              <w:t>Non</w:t>
            </w:r>
            <w:r w:rsidR="001045ED" w:rsidRPr="00473C7B">
              <w:rPr>
                <w:rFonts w:ascii="Arial" w:hAnsi="Arial" w:cs="Arial"/>
                <w:sz w:val="22"/>
                <w:szCs w:val="22"/>
              </w:rPr>
              <w:t>m</w:t>
            </w:r>
            <w:r w:rsidRPr="00473C7B">
              <w:rPr>
                <w:rFonts w:ascii="Arial" w:hAnsi="Arial" w:cs="Arial"/>
                <w:sz w:val="22"/>
                <w:szCs w:val="22"/>
              </w:rPr>
              <w:t>onetary Benefits/Costs</w:t>
            </w:r>
          </w:p>
        </w:tc>
      </w:tr>
      <w:tr w:rsidR="008202DF" w:rsidRPr="00473C7B" w:rsidTr="0042218B">
        <w:trPr>
          <w:trHeight w:val="845"/>
        </w:trPr>
        <w:tc>
          <w:tcPr>
            <w:tcW w:w="4788" w:type="dxa"/>
          </w:tcPr>
          <w:p w:rsidR="008202DF" w:rsidRPr="00473C7B" w:rsidRDefault="008202DF" w:rsidP="00473C7B">
            <w:pPr>
              <w:pStyle w:val="Level1"/>
              <w:keepNext/>
              <w:widowControl/>
              <w:ind w:left="0"/>
              <w:jc w:val="left"/>
              <w:rPr>
                <w:rFonts w:ascii="Arial" w:hAnsi="Arial" w:cs="Arial"/>
                <w:sz w:val="22"/>
                <w:szCs w:val="22"/>
              </w:rPr>
            </w:pPr>
            <w:r w:rsidRPr="00473C7B">
              <w:rPr>
                <w:rFonts w:ascii="Arial" w:hAnsi="Arial" w:cs="Arial"/>
                <w:b/>
                <w:sz w:val="22"/>
                <w:szCs w:val="22"/>
              </w:rPr>
              <w:t>Alternative 1:</w:t>
            </w:r>
            <w:r w:rsidRPr="00473C7B">
              <w:rPr>
                <w:rFonts w:ascii="Arial" w:hAnsi="Arial" w:cs="Arial"/>
                <w:sz w:val="22"/>
                <w:szCs w:val="22"/>
              </w:rPr>
              <w:t xml:space="preserve">  No Action</w:t>
            </w:r>
          </w:p>
          <w:p w:rsidR="008202DF" w:rsidRPr="00473C7B" w:rsidRDefault="008202DF" w:rsidP="00473C7B">
            <w:pPr>
              <w:pStyle w:val="Level1"/>
              <w:keepNext/>
              <w:widowControl/>
              <w:ind w:left="0"/>
              <w:jc w:val="left"/>
              <w:rPr>
                <w:rFonts w:ascii="Arial" w:hAnsi="Arial" w:cs="Arial"/>
                <w:sz w:val="22"/>
                <w:szCs w:val="22"/>
              </w:rPr>
            </w:pPr>
          </w:p>
          <w:p w:rsidR="008202DF" w:rsidRPr="00473C7B" w:rsidRDefault="00E1143C" w:rsidP="00473C7B">
            <w:pPr>
              <w:pStyle w:val="Level1"/>
              <w:keepNext/>
              <w:widowControl/>
              <w:ind w:left="0"/>
              <w:jc w:val="left"/>
              <w:rPr>
                <w:rFonts w:ascii="Arial" w:hAnsi="Arial" w:cs="Arial"/>
                <w:sz w:val="22"/>
                <w:szCs w:val="22"/>
              </w:rPr>
            </w:pPr>
            <w:r w:rsidRPr="00473C7B">
              <w:rPr>
                <w:rFonts w:ascii="Arial" w:hAnsi="Arial" w:cs="Arial"/>
                <w:sz w:val="22"/>
                <w:szCs w:val="22"/>
              </w:rPr>
              <w:t>Licensee</w:t>
            </w:r>
            <w:r w:rsidR="008202DF" w:rsidRPr="00473C7B">
              <w:rPr>
                <w:rFonts w:ascii="Arial" w:hAnsi="Arial" w:cs="Arial"/>
                <w:sz w:val="22"/>
                <w:szCs w:val="22"/>
              </w:rPr>
              <w:t>:</w:t>
            </w:r>
            <w:r w:rsidR="00DA3B36" w:rsidRPr="00473C7B">
              <w:rPr>
                <w:rFonts w:ascii="Arial" w:hAnsi="Arial" w:cs="Arial"/>
                <w:sz w:val="22"/>
                <w:szCs w:val="22"/>
              </w:rPr>
              <w:t xml:space="preserve"> </w:t>
            </w:r>
            <w:r w:rsidR="00926C72" w:rsidRPr="00473C7B">
              <w:rPr>
                <w:rFonts w:ascii="Arial" w:hAnsi="Arial" w:cs="Arial"/>
                <w:sz w:val="22"/>
                <w:szCs w:val="22"/>
              </w:rPr>
              <w:t xml:space="preserve"> </w:t>
            </w:r>
            <w:r w:rsidR="008202DF" w:rsidRPr="00473C7B">
              <w:rPr>
                <w:rFonts w:ascii="Arial" w:hAnsi="Arial" w:cs="Arial"/>
                <w:sz w:val="22"/>
                <w:szCs w:val="22"/>
              </w:rPr>
              <w:t>0</w:t>
            </w:r>
          </w:p>
          <w:p w:rsidR="008202DF" w:rsidRPr="00473C7B" w:rsidRDefault="008202DF" w:rsidP="00473C7B">
            <w:pPr>
              <w:pStyle w:val="Level1"/>
              <w:keepNext/>
              <w:widowControl/>
              <w:ind w:left="0"/>
              <w:jc w:val="left"/>
              <w:rPr>
                <w:rFonts w:ascii="Arial" w:hAnsi="Arial" w:cs="Arial"/>
                <w:sz w:val="22"/>
                <w:szCs w:val="22"/>
              </w:rPr>
            </w:pPr>
            <w:r w:rsidRPr="00473C7B">
              <w:rPr>
                <w:rFonts w:ascii="Arial" w:hAnsi="Arial" w:cs="Arial"/>
                <w:sz w:val="22"/>
                <w:szCs w:val="22"/>
              </w:rPr>
              <w:t>NRC:</w:t>
            </w:r>
            <w:r w:rsidR="00926C72" w:rsidRPr="00473C7B">
              <w:rPr>
                <w:rFonts w:ascii="Arial" w:hAnsi="Arial" w:cs="Arial"/>
                <w:sz w:val="22"/>
                <w:szCs w:val="22"/>
              </w:rPr>
              <w:t xml:space="preserve"> </w:t>
            </w:r>
            <w:r w:rsidR="00422182" w:rsidRPr="00473C7B">
              <w:rPr>
                <w:rFonts w:ascii="Arial" w:hAnsi="Arial" w:cs="Arial"/>
                <w:sz w:val="22"/>
                <w:szCs w:val="22"/>
              </w:rPr>
              <w:t xml:space="preserve"> </w:t>
            </w:r>
            <w:r w:rsidR="001F10D9" w:rsidRPr="00473C7B">
              <w:rPr>
                <w:rFonts w:ascii="Arial" w:hAnsi="Arial" w:cs="Arial"/>
                <w:sz w:val="22"/>
                <w:szCs w:val="22"/>
              </w:rPr>
              <w:t>0</w:t>
            </w:r>
          </w:p>
        </w:tc>
        <w:tc>
          <w:tcPr>
            <w:tcW w:w="4788" w:type="dxa"/>
          </w:tcPr>
          <w:p w:rsidR="001354BF" w:rsidRPr="00473C7B" w:rsidRDefault="00926C72" w:rsidP="00473C7B">
            <w:pPr>
              <w:pStyle w:val="Level1"/>
              <w:keepNext/>
              <w:widowControl/>
              <w:ind w:left="0"/>
              <w:jc w:val="left"/>
              <w:rPr>
                <w:rFonts w:ascii="Arial" w:hAnsi="Arial" w:cs="Arial"/>
                <w:sz w:val="22"/>
                <w:szCs w:val="22"/>
                <w:u w:val="single"/>
              </w:rPr>
            </w:pPr>
            <w:r w:rsidRPr="00473C7B">
              <w:rPr>
                <w:rFonts w:ascii="Arial" w:hAnsi="Arial" w:cs="Arial"/>
                <w:sz w:val="22"/>
                <w:szCs w:val="22"/>
                <w:u w:val="single"/>
              </w:rPr>
              <w:t>Qualitative Benefits</w:t>
            </w:r>
            <w:r w:rsidRPr="00473C7B">
              <w:rPr>
                <w:rFonts w:ascii="Arial" w:hAnsi="Arial" w:cs="Arial"/>
                <w:sz w:val="22"/>
                <w:szCs w:val="22"/>
              </w:rPr>
              <w:t>:</w:t>
            </w:r>
            <w:r w:rsidR="000D7AFB" w:rsidRPr="00473C7B">
              <w:rPr>
                <w:rFonts w:ascii="Arial" w:hAnsi="Arial" w:cs="Arial"/>
                <w:sz w:val="22"/>
                <w:szCs w:val="22"/>
              </w:rPr>
              <w:t xml:space="preserve">  </w:t>
            </w:r>
            <w:r w:rsidR="004502DB" w:rsidRPr="00473C7B">
              <w:rPr>
                <w:rFonts w:ascii="Arial" w:hAnsi="Arial" w:cs="Arial"/>
                <w:sz w:val="22"/>
                <w:szCs w:val="22"/>
              </w:rPr>
              <w:t>None</w:t>
            </w:r>
          </w:p>
          <w:p w:rsidR="008202DF" w:rsidRPr="00473C7B" w:rsidRDefault="008202DF" w:rsidP="00473C7B">
            <w:pPr>
              <w:pStyle w:val="Level1"/>
              <w:keepNext/>
              <w:widowControl/>
              <w:ind w:left="0"/>
              <w:jc w:val="left"/>
              <w:rPr>
                <w:rFonts w:ascii="Arial" w:hAnsi="Arial" w:cs="Arial"/>
                <w:sz w:val="22"/>
                <w:szCs w:val="22"/>
              </w:rPr>
            </w:pPr>
          </w:p>
          <w:p w:rsidR="006731AB" w:rsidRPr="00473C7B" w:rsidRDefault="008202DF" w:rsidP="00473C7B">
            <w:pPr>
              <w:pStyle w:val="Level1"/>
              <w:keepNext/>
              <w:widowControl/>
              <w:ind w:left="0"/>
              <w:jc w:val="left"/>
              <w:rPr>
                <w:rFonts w:ascii="Arial" w:hAnsi="Arial" w:cs="Arial"/>
                <w:sz w:val="22"/>
                <w:szCs w:val="22"/>
              </w:rPr>
            </w:pPr>
            <w:r w:rsidRPr="00473C7B">
              <w:rPr>
                <w:rFonts w:ascii="Arial" w:hAnsi="Arial" w:cs="Arial"/>
                <w:sz w:val="22"/>
                <w:szCs w:val="22"/>
                <w:u w:val="single"/>
              </w:rPr>
              <w:t>Qualitative Costs</w:t>
            </w:r>
            <w:r w:rsidR="00422182" w:rsidRPr="00473C7B">
              <w:rPr>
                <w:rFonts w:ascii="Arial" w:hAnsi="Arial" w:cs="Arial"/>
                <w:sz w:val="22"/>
                <w:szCs w:val="22"/>
              </w:rPr>
              <w:t xml:space="preserve">:  </w:t>
            </w:r>
            <w:r w:rsidR="00E31034" w:rsidRPr="00473C7B">
              <w:rPr>
                <w:rFonts w:ascii="Arial" w:hAnsi="Arial" w:cs="Arial"/>
                <w:sz w:val="22"/>
                <w:szCs w:val="22"/>
              </w:rPr>
              <w:t>None</w:t>
            </w:r>
          </w:p>
        </w:tc>
      </w:tr>
      <w:tr w:rsidR="008202DF" w:rsidRPr="00473C7B" w:rsidTr="00D27803">
        <w:tc>
          <w:tcPr>
            <w:tcW w:w="4788" w:type="dxa"/>
          </w:tcPr>
          <w:p w:rsidR="008202DF" w:rsidRPr="00473C7B" w:rsidRDefault="008202DF" w:rsidP="00473C7B">
            <w:pPr>
              <w:pStyle w:val="Level1"/>
              <w:widowControl/>
              <w:ind w:left="0"/>
              <w:jc w:val="left"/>
              <w:rPr>
                <w:rFonts w:ascii="Arial" w:hAnsi="Arial" w:cs="Arial"/>
                <w:sz w:val="22"/>
                <w:szCs w:val="22"/>
              </w:rPr>
            </w:pPr>
            <w:r w:rsidRPr="00473C7B">
              <w:rPr>
                <w:rFonts w:ascii="Arial" w:hAnsi="Arial" w:cs="Arial"/>
                <w:b/>
                <w:sz w:val="22"/>
                <w:szCs w:val="22"/>
              </w:rPr>
              <w:t>Alternative 2:</w:t>
            </w:r>
            <w:r w:rsidRPr="00473C7B">
              <w:rPr>
                <w:rFonts w:ascii="Arial" w:hAnsi="Arial" w:cs="Arial"/>
                <w:sz w:val="22"/>
                <w:szCs w:val="22"/>
              </w:rPr>
              <w:t xml:space="preserve">  </w:t>
            </w:r>
          </w:p>
          <w:p w:rsidR="008202DF" w:rsidRPr="00473C7B" w:rsidRDefault="008202DF" w:rsidP="00473C7B">
            <w:pPr>
              <w:pStyle w:val="Level1"/>
              <w:widowControl/>
              <w:ind w:left="0"/>
              <w:jc w:val="left"/>
              <w:rPr>
                <w:rFonts w:ascii="Arial" w:hAnsi="Arial" w:cs="Arial"/>
                <w:sz w:val="22"/>
                <w:szCs w:val="22"/>
              </w:rPr>
            </w:pPr>
          </w:p>
          <w:p w:rsidR="008202DF" w:rsidRPr="00473C7B" w:rsidRDefault="00E1143C" w:rsidP="00473C7B">
            <w:pPr>
              <w:pStyle w:val="Level1"/>
              <w:widowControl/>
              <w:ind w:left="0"/>
              <w:jc w:val="left"/>
              <w:rPr>
                <w:rFonts w:ascii="Arial" w:hAnsi="Arial" w:cs="Arial"/>
                <w:sz w:val="22"/>
                <w:szCs w:val="22"/>
              </w:rPr>
            </w:pPr>
            <w:r w:rsidRPr="00473C7B">
              <w:rPr>
                <w:rFonts w:ascii="Arial" w:hAnsi="Arial" w:cs="Arial"/>
                <w:sz w:val="22"/>
                <w:szCs w:val="22"/>
                <w:u w:val="single"/>
              </w:rPr>
              <w:t>Licensee</w:t>
            </w:r>
            <w:r w:rsidR="00651B62" w:rsidRPr="00473C7B">
              <w:rPr>
                <w:rFonts w:ascii="Arial" w:hAnsi="Arial" w:cs="Arial"/>
                <w:sz w:val="22"/>
                <w:szCs w:val="22"/>
              </w:rPr>
              <w:t>:</w:t>
            </w:r>
          </w:p>
          <w:p w:rsidR="001C7306" w:rsidRPr="00473C7B" w:rsidRDefault="001C7306" w:rsidP="00473C7B">
            <w:pPr>
              <w:pStyle w:val="Level1"/>
              <w:widowControl/>
              <w:ind w:left="0"/>
              <w:jc w:val="left"/>
              <w:rPr>
                <w:rFonts w:ascii="Arial" w:hAnsi="Arial" w:cs="Arial"/>
                <w:sz w:val="22"/>
                <w:szCs w:val="22"/>
              </w:rPr>
            </w:pPr>
          </w:p>
          <w:p w:rsidR="001C7306" w:rsidRPr="00473C7B" w:rsidRDefault="00D001D0" w:rsidP="00473C7B">
            <w:pPr>
              <w:pStyle w:val="Level1"/>
              <w:widowControl/>
              <w:ind w:left="0"/>
              <w:jc w:val="left"/>
              <w:rPr>
                <w:rFonts w:ascii="Arial" w:hAnsi="Arial" w:cs="Arial"/>
                <w:sz w:val="22"/>
                <w:szCs w:val="22"/>
              </w:rPr>
            </w:pPr>
            <w:r w:rsidRPr="00473C7B">
              <w:rPr>
                <w:rFonts w:ascii="Arial" w:hAnsi="Arial" w:cs="Arial"/>
                <w:sz w:val="22"/>
                <w:szCs w:val="22"/>
              </w:rPr>
              <w:t>$</w:t>
            </w:r>
            <w:r w:rsidR="008704CD" w:rsidRPr="00473C7B">
              <w:rPr>
                <w:rFonts w:ascii="Arial" w:hAnsi="Arial" w:cs="Arial"/>
                <w:sz w:val="22"/>
                <w:szCs w:val="22"/>
              </w:rPr>
              <w:t>3.</w:t>
            </w:r>
            <w:r w:rsidR="00A96460">
              <w:rPr>
                <w:rFonts w:ascii="Arial" w:hAnsi="Arial" w:cs="Arial"/>
                <w:sz w:val="22"/>
                <w:szCs w:val="22"/>
              </w:rPr>
              <w:t>66</w:t>
            </w:r>
            <w:r w:rsidR="00704B43" w:rsidRPr="00473C7B">
              <w:rPr>
                <w:rFonts w:ascii="Arial" w:hAnsi="Arial" w:cs="Arial"/>
                <w:sz w:val="22"/>
                <w:szCs w:val="22"/>
              </w:rPr>
              <w:t>M u</w:t>
            </w:r>
            <w:r w:rsidR="007978B1" w:rsidRPr="00473C7B">
              <w:rPr>
                <w:rFonts w:ascii="Arial" w:hAnsi="Arial" w:cs="Arial"/>
                <w:sz w:val="22"/>
                <w:szCs w:val="22"/>
              </w:rPr>
              <w:t>sing a 3% discount rate</w:t>
            </w:r>
          </w:p>
          <w:p w:rsidR="00D001D0" w:rsidRPr="00473C7B" w:rsidRDefault="007978B1" w:rsidP="00473C7B">
            <w:pPr>
              <w:pStyle w:val="Level1"/>
              <w:widowControl/>
              <w:ind w:left="0"/>
              <w:jc w:val="left"/>
              <w:rPr>
                <w:rFonts w:ascii="Arial" w:hAnsi="Arial" w:cs="Arial"/>
                <w:sz w:val="22"/>
                <w:szCs w:val="22"/>
              </w:rPr>
            </w:pPr>
            <w:r w:rsidRPr="00473C7B">
              <w:rPr>
                <w:rFonts w:ascii="Arial" w:hAnsi="Arial" w:cs="Arial"/>
                <w:sz w:val="22"/>
                <w:szCs w:val="22"/>
              </w:rPr>
              <w:t>$</w:t>
            </w:r>
            <w:r w:rsidR="008704CD" w:rsidRPr="00473C7B">
              <w:rPr>
                <w:rFonts w:ascii="Arial" w:hAnsi="Arial" w:cs="Arial"/>
                <w:sz w:val="22"/>
                <w:szCs w:val="22"/>
              </w:rPr>
              <w:t>3.</w:t>
            </w:r>
            <w:r w:rsidR="00A96460">
              <w:rPr>
                <w:rFonts w:ascii="Arial" w:hAnsi="Arial" w:cs="Arial"/>
                <w:sz w:val="22"/>
                <w:szCs w:val="22"/>
              </w:rPr>
              <w:t>18</w:t>
            </w:r>
            <w:r w:rsidRPr="00473C7B">
              <w:rPr>
                <w:rFonts w:ascii="Arial" w:hAnsi="Arial" w:cs="Arial"/>
                <w:sz w:val="22"/>
                <w:szCs w:val="22"/>
              </w:rPr>
              <w:t>M using a 7% discount rate</w:t>
            </w:r>
          </w:p>
          <w:p w:rsidR="008202DF" w:rsidRPr="00473C7B" w:rsidRDefault="008202DF" w:rsidP="00473C7B">
            <w:pPr>
              <w:pStyle w:val="Level1"/>
              <w:widowControl/>
              <w:ind w:left="0"/>
              <w:jc w:val="left"/>
              <w:rPr>
                <w:rFonts w:ascii="Arial" w:hAnsi="Arial" w:cs="Arial"/>
                <w:sz w:val="22"/>
                <w:szCs w:val="22"/>
              </w:rPr>
            </w:pPr>
          </w:p>
          <w:p w:rsidR="008202DF" w:rsidRPr="00473C7B" w:rsidRDefault="003E38E1" w:rsidP="00473C7B">
            <w:pPr>
              <w:pStyle w:val="Level1"/>
              <w:widowControl/>
              <w:ind w:left="0"/>
              <w:jc w:val="left"/>
              <w:rPr>
                <w:rFonts w:ascii="Arial" w:hAnsi="Arial" w:cs="Arial"/>
                <w:sz w:val="22"/>
                <w:szCs w:val="22"/>
              </w:rPr>
            </w:pPr>
            <w:r w:rsidRPr="00473C7B">
              <w:rPr>
                <w:rFonts w:ascii="Arial" w:hAnsi="Arial" w:cs="Arial"/>
                <w:sz w:val="22"/>
                <w:szCs w:val="22"/>
                <w:u w:val="single"/>
              </w:rPr>
              <w:t>A</w:t>
            </w:r>
            <w:r w:rsidR="00E1143C" w:rsidRPr="00473C7B">
              <w:rPr>
                <w:rFonts w:ascii="Arial" w:hAnsi="Arial" w:cs="Arial"/>
                <w:sz w:val="22"/>
                <w:szCs w:val="22"/>
                <w:u w:val="single"/>
              </w:rPr>
              <w:t>greement States</w:t>
            </w:r>
            <w:r w:rsidR="00651B62" w:rsidRPr="00473C7B">
              <w:rPr>
                <w:rFonts w:ascii="Arial" w:hAnsi="Arial" w:cs="Arial"/>
                <w:sz w:val="22"/>
                <w:szCs w:val="22"/>
              </w:rPr>
              <w:t>:</w:t>
            </w:r>
          </w:p>
          <w:p w:rsidR="001C7306" w:rsidRPr="00473C7B" w:rsidRDefault="001C7306" w:rsidP="00473C7B">
            <w:pPr>
              <w:pStyle w:val="Level1"/>
              <w:widowControl/>
              <w:ind w:left="0"/>
              <w:jc w:val="left"/>
              <w:rPr>
                <w:rFonts w:ascii="Arial" w:hAnsi="Arial" w:cs="Arial"/>
                <w:sz w:val="22"/>
                <w:szCs w:val="22"/>
              </w:rPr>
            </w:pPr>
          </w:p>
          <w:p w:rsidR="001C7306" w:rsidRPr="00473C7B" w:rsidRDefault="00E725E2" w:rsidP="00473C7B">
            <w:pPr>
              <w:pStyle w:val="Level1"/>
              <w:widowControl/>
              <w:ind w:left="0"/>
              <w:jc w:val="left"/>
              <w:rPr>
                <w:rFonts w:ascii="Arial" w:hAnsi="Arial" w:cs="Arial"/>
                <w:sz w:val="22"/>
                <w:szCs w:val="22"/>
              </w:rPr>
            </w:pPr>
            <w:r w:rsidRPr="00473C7B">
              <w:rPr>
                <w:rFonts w:ascii="Arial" w:hAnsi="Arial" w:cs="Arial"/>
                <w:sz w:val="22"/>
                <w:szCs w:val="22"/>
              </w:rPr>
              <w:t>$</w:t>
            </w:r>
            <w:r w:rsidR="008704CD" w:rsidRPr="00473C7B">
              <w:rPr>
                <w:rFonts w:ascii="Arial" w:hAnsi="Arial" w:cs="Arial"/>
                <w:sz w:val="22"/>
                <w:szCs w:val="22"/>
              </w:rPr>
              <w:t>1.</w:t>
            </w:r>
            <w:r w:rsidR="006E792C">
              <w:rPr>
                <w:rFonts w:ascii="Arial" w:hAnsi="Arial" w:cs="Arial"/>
                <w:sz w:val="22"/>
                <w:szCs w:val="22"/>
              </w:rPr>
              <w:t>85M</w:t>
            </w:r>
            <w:r w:rsidR="007978B1" w:rsidRPr="00473C7B">
              <w:rPr>
                <w:rFonts w:ascii="Arial" w:hAnsi="Arial" w:cs="Arial"/>
                <w:sz w:val="22"/>
                <w:szCs w:val="22"/>
              </w:rPr>
              <w:t xml:space="preserve"> using a 3% discount rate</w:t>
            </w:r>
          </w:p>
          <w:p w:rsidR="00C86CEA" w:rsidRPr="00473C7B" w:rsidRDefault="00E725E2" w:rsidP="00473C7B">
            <w:pPr>
              <w:pStyle w:val="Level1"/>
              <w:widowControl/>
              <w:ind w:left="0"/>
              <w:jc w:val="left"/>
              <w:rPr>
                <w:rFonts w:ascii="Arial" w:hAnsi="Arial" w:cs="Arial"/>
                <w:sz w:val="22"/>
                <w:szCs w:val="22"/>
              </w:rPr>
            </w:pPr>
            <w:r w:rsidRPr="00473C7B">
              <w:rPr>
                <w:rFonts w:ascii="Arial" w:hAnsi="Arial" w:cs="Arial"/>
                <w:sz w:val="22"/>
                <w:szCs w:val="22"/>
              </w:rPr>
              <w:t>$</w:t>
            </w:r>
            <w:r w:rsidR="008704CD" w:rsidRPr="00473C7B">
              <w:rPr>
                <w:rFonts w:ascii="Arial" w:hAnsi="Arial" w:cs="Arial"/>
                <w:sz w:val="22"/>
                <w:szCs w:val="22"/>
              </w:rPr>
              <w:t>1.</w:t>
            </w:r>
            <w:r w:rsidR="006E792C">
              <w:rPr>
                <w:rFonts w:ascii="Arial" w:hAnsi="Arial" w:cs="Arial"/>
                <w:sz w:val="22"/>
                <w:szCs w:val="22"/>
              </w:rPr>
              <w:t>63</w:t>
            </w:r>
            <w:r w:rsidR="00E3228E" w:rsidRPr="00473C7B">
              <w:rPr>
                <w:rFonts w:ascii="Arial" w:hAnsi="Arial" w:cs="Arial"/>
                <w:sz w:val="22"/>
                <w:szCs w:val="22"/>
              </w:rPr>
              <w:t xml:space="preserve">M </w:t>
            </w:r>
            <w:r w:rsidR="007978B1" w:rsidRPr="00473C7B">
              <w:rPr>
                <w:rFonts w:ascii="Arial" w:hAnsi="Arial" w:cs="Arial"/>
                <w:sz w:val="22"/>
                <w:szCs w:val="22"/>
              </w:rPr>
              <w:t>using a 7% discount rate</w:t>
            </w:r>
          </w:p>
          <w:p w:rsidR="001C7306" w:rsidRPr="00473C7B" w:rsidRDefault="001C7306" w:rsidP="00473C7B">
            <w:pPr>
              <w:pStyle w:val="Level1"/>
              <w:widowControl/>
              <w:ind w:left="0"/>
              <w:jc w:val="left"/>
              <w:rPr>
                <w:rFonts w:ascii="Arial" w:hAnsi="Arial" w:cs="Arial"/>
                <w:sz w:val="22"/>
                <w:szCs w:val="22"/>
              </w:rPr>
            </w:pPr>
          </w:p>
          <w:p w:rsidR="00D1711F" w:rsidRPr="00473C7B" w:rsidRDefault="00651B62" w:rsidP="00473C7B">
            <w:pPr>
              <w:pStyle w:val="Level1"/>
              <w:widowControl/>
              <w:ind w:left="0"/>
              <w:jc w:val="left"/>
              <w:rPr>
                <w:rFonts w:ascii="Arial" w:hAnsi="Arial" w:cs="Arial"/>
                <w:sz w:val="22"/>
                <w:szCs w:val="22"/>
              </w:rPr>
            </w:pPr>
            <w:r w:rsidRPr="00473C7B">
              <w:rPr>
                <w:rFonts w:ascii="Arial" w:hAnsi="Arial" w:cs="Arial"/>
                <w:sz w:val="22"/>
                <w:szCs w:val="22"/>
                <w:u w:val="single"/>
              </w:rPr>
              <w:t>NRC</w:t>
            </w:r>
            <w:r w:rsidRPr="00473C7B">
              <w:rPr>
                <w:rFonts w:ascii="Arial" w:hAnsi="Arial" w:cs="Arial"/>
                <w:sz w:val="22"/>
                <w:szCs w:val="22"/>
              </w:rPr>
              <w:t>:</w:t>
            </w:r>
          </w:p>
          <w:p w:rsidR="001C7306" w:rsidRPr="00473C7B" w:rsidRDefault="001C7306" w:rsidP="00473C7B">
            <w:pPr>
              <w:pStyle w:val="Level1"/>
              <w:widowControl/>
              <w:ind w:left="0"/>
              <w:jc w:val="left"/>
              <w:rPr>
                <w:rFonts w:ascii="Arial" w:hAnsi="Arial" w:cs="Arial"/>
                <w:sz w:val="22"/>
                <w:szCs w:val="22"/>
              </w:rPr>
            </w:pPr>
          </w:p>
          <w:p w:rsidR="00FF7463" w:rsidRPr="00473C7B" w:rsidRDefault="00C86CEA" w:rsidP="00473C7B">
            <w:pPr>
              <w:pStyle w:val="Level1"/>
              <w:widowControl/>
              <w:ind w:left="0"/>
              <w:jc w:val="left"/>
              <w:rPr>
                <w:rFonts w:ascii="Arial" w:hAnsi="Arial" w:cs="Arial"/>
                <w:sz w:val="22"/>
                <w:szCs w:val="22"/>
              </w:rPr>
            </w:pPr>
            <w:r w:rsidRPr="00473C7B">
              <w:rPr>
                <w:rFonts w:ascii="Arial" w:hAnsi="Arial" w:cs="Arial"/>
                <w:sz w:val="22"/>
                <w:szCs w:val="22"/>
              </w:rPr>
              <w:t>$</w:t>
            </w:r>
            <w:r w:rsidR="007978B1" w:rsidRPr="00473C7B">
              <w:rPr>
                <w:rFonts w:ascii="Arial" w:hAnsi="Arial" w:cs="Arial"/>
                <w:sz w:val="22"/>
                <w:szCs w:val="22"/>
              </w:rPr>
              <w:t>0.</w:t>
            </w:r>
            <w:r w:rsidR="008A0C23">
              <w:rPr>
                <w:rFonts w:ascii="Arial" w:hAnsi="Arial" w:cs="Arial"/>
                <w:sz w:val="22"/>
                <w:szCs w:val="22"/>
              </w:rPr>
              <w:t>53</w:t>
            </w:r>
            <w:r w:rsidR="008A0C23" w:rsidRPr="00473C7B">
              <w:rPr>
                <w:rFonts w:ascii="Arial" w:hAnsi="Arial" w:cs="Arial"/>
                <w:sz w:val="22"/>
                <w:szCs w:val="22"/>
              </w:rPr>
              <w:t xml:space="preserve">M </w:t>
            </w:r>
            <w:r w:rsidR="007978B1" w:rsidRPr="00473C7B">
              <w:rPr>
                <w:rFonts w:ascii="Arial" w:hAnsi="Arial" w:cs="Arial"/>
                <w:sz w:val="22"/>
                <w:szCs w:val="22"/>
              </w:rPr>
              <w:t>using a 3% discount rate</w:t>
            </w:r>
          </w:p>
          <w:p w:rsidR="00C86CEA" w:rsidRPr="00473C7B" w:rsidRDefault="007978B1" w:rsidP="00473C7B">
            <w:pPr>
              <w:pStyle w:val="Level1"/>
              <w:widowControl/>
              <w:ind w:left="0"/>
              <w:jc w:val="left"/>
              <w:rPr>
                <w:rFonts w:ascii="Arial" w:hAnsi="Arial" w:cs="Arial"/>
                <w:sz w:val="22"/>
                <w:szCs w:val="22"/>
              </w:rPr>
            </w:pPr>
            <w:r w:rsidRPr="00473C7B">
              <w:rPr>
                <w:rFonts w:ascii="Arial" w:hAnsi="Arial" w:cs="Arial"/>
                <w:sz w:val="22"/>
                <w:szCs w:val="22"/>
              </w:rPr>
              <w:t>$0.</w:t>
            </w:r>
            <w:r w:rsidR="008A0C23">
              <w:rPr>
                <w:rFonts w:ascii="Arial" w:hAnsi="Arial" w:cs="Arial"/>
                <w:sz w:val="22"/>
                <w:szCs w:val="22"/>
              </w:rPr>
              <w:t>50</w:t>
            </w:r>
            <w:r w:rsidR="008A0C23" w:rsidRPr="00473C7B">
              <w:rPr>
                <w:rFonts w:ascii="Arial" w:hAnsi="Arial" w:cs="Arial"/>
                <w:sz w:val="22"/>
                <w:szCs w:val="22"/>
              </w:rPr>
              <w:t xml:space="preserve">M </w:t>
            </w:r>
            <w:r w:rsidRPr="00473C7B">
              <w:rPr>
                <w:rFonts w:ascii="Arial" w:hAnsi="Arial" w:cs="Arial"/>
                <w:sz w:val="22"/>
                <w:szCs w:val="22"/>
              </w:rPr>
              <w:t>using a 7% discount rate</w:t>
            </w:r>
          </w:p>
          <w:p w:rsidR="00C86CEA" w:rsidRPr="00473C7B" w:rsidRDefault="00C86CEA" w:rsidP="00473C7B">
            <w:pPr>
              <w:pStyle w:val="Level1"/>
              <w:widowControl/>
              <w:ind w:left="0"/>
              <w:jc w:val="left"/>
              <w:rPr>
                <w:rFonts w:ascii="Arial" w:hAnsi="Arial" w:cs="Arial"/>
                <w:sz w:val="22"/>
                <w:szCs w:val="22"/>
              </w:rPr>
            </w:pPr>
          </w:p>
          <w:p w:rsidR="00C86CEA" w:rsidRPr="00473C7B" w:rsidRDefault="00C86CEA" w:rsidP="00473C7B">
            <w:pPr>
              <w:pStyle w:val="Level1"/>
              <w:widowControl/>
              <w:ind w:left="0"/>
              <w:jc w:val="left"/>
              <w:rPr>
                <w:rFonts w:ascii="Arial" w:hAnsi="Arial" w:cs="Arial"/>
                <w:sz w:val="22"/>
                <w:szCs w:val="22"/>
              </w:rPr>
            </w:pPr>
            <w:r w:rsidRPr="00473C7B">
              <w:rPr>
                <w:rFonts w:ascii="Arial" w:hAnsi="Arial" w:cs="Arial"/>
                <w:sz w:val="22"/>
                <w:szCs w:val="22"/>
                <w:u w:val="single"/>
              </w:rPr>
              <w:t>Total</w:t>
            </w:r>
            <w:r w:rsidRPr="00473C7B">
              <w:rPr>
                <w:rFonts w:ascii="Arial" w:hAnsi="Arial" w:cs="Arial"/>
                <w:sz w:val="22"/>
                <w:szCs w:val="22"/>
              </w:rPr>
              <w:t>:</w:t>
            </w:r>
          </w:p>
          <w:p w:rsidR="00C86CEA" w:rsidRPr="00473C7B" w:rsidRDefault="00C86CEA" w:rsidP="00473C7B">
            <w:pPr>
              <w:pStyle w:val="Level1"/>
              <w:widowControl/>
              <w:ind w:left="0"/>
              <w:jc w:val="left"/>
              <w:rPr>
                <w:rFonts w:ascii="Arial" w:hAnsi="Arial" w:cs="Arial"/>
                <w:sz w:val="22"/>
                <w:szCs w:val="22"/>
              </w:rPr>
            </w:pPr>
            <w:r w:rsidRPr="00473C7B">
              <w:rPr>
                <w:rFonts w:ascii="Arial" w:hAnsi="Arial" w:cs="Arial"/>
                <w:sz w:val="22"/>
                <w:szCs w:val="22"/>
              </w:rPr>
              <w:t>$</w:t>
            </w:r>
            <w:r w:rsidR="008A0C23">
              <w:rPr>
                <w:rFonts w:ascii="Arial" w:hAnsi="Arial" w:cs="Arial"/>
                <w:sz w:val="22"/>
                <w:szCs w:val="22"/>
              </w:rPr>
              <w:t>6.0</w:t>
            </w:r>
            <w:r w:rsidR="007978B1" w:rsidRPr="00473C7B">
              <w:rPr>
                <w:rFonts w:ascii="Arial" w:hAnsi="Arial" w:cs="Arial"/>
                <w:sz w:val="22"/>
                <w:szCs w:val="22"/>
              </w:rPr>
              <w:t>M using a 3% discount rate</w:t>
            </w:r>
          </w:p>
          <w:p w:rsidR="00C86CEA" w:rsidRPr="00473C7B" w:rsidRDefault="00E725E2" w:rsidP="008A0C23">
            <w:pPr>
              <w:pStyle w:val="Level1"/>
              <w:widowControl/>
              <w:ind w:left="0"/>
              <w:jc w:val="left"/>
              <w:rPr>
                <w:rFonts w:ascii="Arial" w:hAnsi="Arial" w:cs="Arial"/>
                <w:sz w:val="22"/>
                <w:szCs w:val="22"/>
              </w:rPr>
            </w:pPr>
            <w:r w:rsidRPr="00473C7B">
              <w:rPr>
                <w:rFonts w:ascii="Arial" w:hAnsi="Arial" w:cs="Arial"/>
                <w:sz w:val="22"/>
                <w:szCs w:val="22"/>
              </w:rPr>
              <w:t>$</w:t>
            </w:r>
            <w:r w:rsidR="008704CD" w:rsidRPr="00473C7B">
              <w:rPr>
                <w:rFonts w:ascii="Arial" w:hAnsi="Arial" w:cs="Arial"/>
                <w:sz w:val="22"/>
                <w:szCs w:val="22"/>
              </w:rPr>
              <w:t>5.</w:t>
            </w:r>
            <w:r w:rsidR="008A0C23">
              <w:rPr>
                <w:rFonts w:ascii="Arial" w:hAnsi="Arial" w:cs="Arial"/>
                <w:sz w:val="22"/>
                <w:szCs w:val="22"/>
              </w:rPr>
              <w:t>31</w:t>
            </w:r>
            <w:r w:rsidR="008A0C23" w:rsidRPr="00473C7B">
              <w:rPr>
                <w:rFonts w:ascii="Arial" w:hAnsi="Arial" w:cs="Arial"/>
                <w:sz w:val="22"/>
                <w:szCs w:val="22"/>
              </w:rPr>
              <w:t xml:space="preserve">M </w:t>
            </w:r>
            <w:r w:rsidR="007978B1" w:rsidRPr="00473C7B">
              <w:rPr>
                <w:rFonts w:ascii="Arial" w:hAnsi="Arial" w:cs="Arial"/>
                <w:sz w:val="22"/>
                <w:szCs w:val="22"/>
              </w:rPr>
              <w:t>using a 7% discount rate</w:t>
            </w:r>
          </w:p>
        </w:tc>
        <w:tc>
          <w:tcPr>
            <w:tcW w:w="4788" w:type="dxa"/>
          </w:tcPr>
          <w:p w:rsidR="000D7AFB" w:rsidRPr="00473C7B" w:rsidRDefault="008202DF" w:rsidP="00473C7B">
            <w:pPr>
              <w:pStyle w:val="Level1"/>
              <w:widowControl/>
              <w:ind w:left="0"/>
              <w:jc w:val="left"/>
              <w:rPr>
                <w:rFonts w:ascii="Arial" w:hAnsi="Arial" w:cs="Arial"/>
                <w:sz w:val="22"/>
                <w:szCs w:val="22"/>
              </w:rPr>
            </w:pPr>
            <w:r w:rsidRPr="00473C7B">
              <w:rPr>
                <w:rFonts w:ascii="Arial" w:hAnsi="Arial" w:cs="Arial"/>
                <w:sz w:val="22"/>
                <w:szCs w:val="22"/>
                <w:u w:val="single"/>
              </w:rPr>
              <w:t>Qualitative Benefits</w:t>
            </w:r>
            <w:r w:rsidR="000D7AFB" w:rsidRPr="00473C7B">
              <w:rPr>
                <w:rFonts w:ascii="Arial" w:hAnsi="Arial" w:cs="Arial"/>
                <w:sz w:val="22"/>
                <w:szCs w:val="22"/>
              </w:rPr>
              <w:t xml:space="preserve">: </w:t>
            </w:r>
          </w:p>
          <w:p w:rsidR="00DE464F" w:rsidRPr="00473C7B" w:rsidRDefault="000D7AFB" w:rsidP="00473C7B">
            <w:pPr>
              <w:pStyle w:val="Level1"/>
              <w:widowControl/>
              <w:ind w:left="0"/>
              <w:jc w:val="left"/>
              <w:rPr>
                <w:rFonts w:ascii="Arial" w:hAnsi="Arial" w:cs="Arial"/>
                <w:sz w:val="22"/>
                <w:szCs w:val="22"/>
              </w:rPr>
            </w:pPr>
            <w:r w:rsidRPr="00473C7B">
              <w:rPr>
                <w:rFonts w:ascii="Arial" w:hAnsi="Arial" w:cs="Arial"/>
                <w:sz w:val="22"/>
                <w:szCs w:val="22"/>
              </w:rPr>
              <w:t xml:space="preserve"> </w:t>
            </w:r>
          </w:p>
          <w:p w:rsidR="001E59EF" w:rsidRPr="00473C7B" w:rsidRDefault="001E59EF" w:rsidP="00473C7B">
            <w:pPr>
              <w:pStyle w:val="Level1"/>
              <w:widowControl/>
              <w:ind w:left="0"/>
              <w:jc w:val="left"/>
              <w:rPr>
                <w:rFonts w:ascii="Arial" w:hAnsi="Arial" w:cs="Arial"/>
                <w:sz w:val="22"/>
                <w:szCs w:val="22"/>
              </w:rPr>
            </w:pPr>
            <w:r w:rsidRPr="00473C7B">
              <w:rPr>
                <w:rFonts w:ascii="Arial" w:hAnsi="Arial" w:cs="Arial"/>
                <w:sz w:val="22"/>
                <w:szCs w:val="22"/>
              </w:rPr>
              <w:t xml:space="preserve">These amendments ensure that LLRW streams that are significantly different from those considered during the development of the current regulations can be disposed of safely and meet the performance objectives for land disposal of LLRW.  </w:t>
            </w:r>
          </w:p>
          <w:p w:rsidR="001E59EF" w:rsidRPr="00473C7B" w:rsidRDefault="001E59EF" w:rsidP="00473C7B">
            <w:pPr>
              <w:pStyle w:val="Level1"/>
              <w:widowControl/>
              <w:ind w:left="0"/>
              <w:jc w:val="left"/>
              <w:rPr>
                <w:rFonts w:ascii="Arial" w:hAnsi="Arial" w:cs="Arial"/>
                <w:sz w:val="22"/>
                <w:szCs w:val="22"/>
              </w:rPr>
            </w:pPr>
          </w:p>
          <w:p w:rsidR="001E59EF" w:rsidRPr="00473C7B" w:rsidRDefault="001E59EF" w:rsidP="00473C7B">
            <w:pPr>
              <w:pStyle w:val="Level1"/>
              <w:widowControl/>
              <w:ind w:left="0"/>
              <w:jc w:val="left"/>
              <w:rPr>
                <w:rFonts w:ascii="Arial" w:hAnsi="Arial" w:cs="Arial"/>
                <w:sz w:val="22"/>
                <w:szCs w:val="22"/>
              </w:rPr>
            </w:pPr>
            <w:r w:rsidRPr="00473C7B">
              <w:rPr>
                <w:rFonts w:ascii="Arial" w:hAnsi="Arial" w:cs="Arial"/>
                <w:sz w:val="22"/>
                <w:szCs w:val="22"/>
              </w:rPr>
              <w:t xml:space="preserve">These amendments would facilitate the use of site-specific information and up-to-date dosimetry methodology to </w:t>
            </w:r>
            <w:r w:rsidR="005303A8">
              <w:rPr>
                <w:rFonts w:ascii="Arial" w:hAnsi="Arial" w:cs="Arial"/>
                <w:sz w:val="22"/>
                <w:szCs w:val="22"/>
              </w:rPr>
              <w:t xml:space="preserve">better </w:t>
            </w:r>
            <w:r w:rsidRPr="00473C7B">
              <w:rPr>
                <w:rFonts w:ascii="Arial" w:hAnsi="Arial" w:cs="Arial"/>
                <w:sz w:val="22"/>
                <w:szCs w:val="22"/>
              </w:rPr>
              <w:t xml:space="preserve">ensure public health and safety </w:t>
            </w:r>
            <w:r w:rsidR="005569C9">
              <w:rPr>
                <w:rFonts w:ascii="Arial" w:hAnsi="Arial" w:cs="Arial"/>
                <w:sz w:val="22"/>
                <w:szCs w:val="22"/>
              </w:rPr>
              <w:t>is</w:t>
            </w:r>
            <w:r w:rsidRPr="00473C7B">
              <w:rPr>
                <w:rFonts w:ascii="Arial" w:hAnsi="Arial" w:cs="Arial"/>
                <w:sz w:val="22"/>
                <w:szCs w:val="22"/>
              </w:rPr>
              <w:t xml:space="preserve"> protected.</w:t>
            </w:r>
          </w:p>
          <w:p w:rsidR="001E59EF" w:rsidRPr="00473C7B" w:rsidRDefault="001E59EF" w:rsidP="00473C7B">
            <w:pPr>
              <w:pStyle w:val="Level1"/>
              <w:widowControl/>
              <w:ind w:left="0"/>
              <w:jc w:val="left"/>
              <w:rPr>
                <w:rFonts w:ascii="Arial" w:hAnsi="Arial" w:cs="Arial"/>
                <w:sz w:val="22"/>
                <w:szCs w:val="22"/>
              </w:rPr>
            </w:pPr>
          </w:p>
          <w:p w:rsidR="008202DF" w:rsidRPr="00473C7B" w:rsidRDefault="008202DF" w:rsidP="00473C7B">
            <w:pPr>
              <w:pStyle w:val="Level1"/>
              <w:widowControl/>
              <w:ind w:left="0"/>
              <w:jc w:val="left"/>
              <w:rPr>
                <w:rFonts w:ascii="Arial" w:hAnsi="Arial" w:cs="Arial"/>
                <w:sz w:val="22"/>
                <w:szCs w:val="22"/>
              </w:rPr>
            </w:pPr>
          </w:p>
          <w:p w:rsidR="008202DF" w:rsidRPr="00473C7B" w:rsidRDefault="00926C72" w:rsidP="00473C7B">
            <w:pPr>
              <w:pStyle w:val="Level1"/>
              <w:widowControl/>
              <w:ind w:left="0"/>
              <w:jc w:val="left"/>
              <w:rPr>
                <w:rFonts w:ascii="Arial" w:hAnsi="Arial" w:cs="Arial"/>
                <w:sz w:val="22"/>
                <w:szCs w:val="22"/>
              </w:rPr>
            </w:pPr>
            <w:r w:rsidRPr="00473C7B">
              <w:rPr>
                <w:rFonts w:ascii="Arial" w:hAnsi="Arial" w:cs="Arial"/>
                <w:sz w:val="22"/>
                <w:szCs w:val="22"/>
                <w:u w:val="single"/>
              </w:rPr>
              <w:t>Qualitative Costs</w:t>
            </w:r>
            <w:r w:rsidR="000D7AFB" w:rsidRPr="00473C7B">
              <w:rPr>
                <w:rFonts w:ascii="Arial" w:hAnsi="Arial" w:cs="Arial"/>
                <w:sz w:val="22"/>
                <w:szCs w:val="22"/>
              </w:rPr>
              <w:t xml:space="preserve">:  </w:t>
            </w:r>
            <w:r w:rsidR="008202DF" w:rsidRPr="00473C7B">
              <w:rPr>
                <w:rFonts w:ascii="Arial" w:hAnsi="Arial" w:cs="Arial"/>
                <w:sz w:val="22"/>
                <w:szCs w:val="22"/>
              </w:rPr>
              <w:t>None</w:t>
            </w:r>
          </w:p>
        </w:tc>
      </w:tr>
    </w:tbl>
    <w:p w:rsidR="001C7306" w:rsidRPr="00473C7B" w:rsidRDefault="001C7306" w:rsidP="00473C7B">
      <w:pPr>
        <w:numPr>
          <w:ilvl w:val="12"/>
          <w:numId w:val="0"/>
        </w:numPr>
        <w:jc w:val="center"/>
        <w:rPr>
          <w:rFonts w:cs="Arial"/>
          <w:b/>
          <w:bCs/>
          <w:szCs w:val="22"/>
        </w:rPr>
      </w:pPr>
    </w:p>
    <w:p w:rsidR="00B96D1B" w:rsidRPr="00473C7B" w:rsidRDefault="00813FB7" w:rsidP="006B2D47">
      <w:pPr>
        <w:pStyle w:val="Heading1"/>
      </w:pPr>
      <w:bookmarkStart w:id="20" w:name="_Toc399760754"/>
      <w:r>
        <w:t>5</w:t>
      </w:r>
      <w:r w:rsidR="00456542" w:rsidRPr="00473C7B">
        <w:t xml:space="preserve">. </w:t>
      </w:r>
      <w:r w:rsidR="008202DF" w:rsidRPr="00473C7B">
        <w:t>D</w:t>
      </w:r>
      <w:r w:rsidR="00FE2F9C" w:rsidRPr="00473C7B">
        <w:t>ecision Rationale</w:t>
      </w:r>
      <w:bookmarkEnd w:id="20"/>
    </w:p>
    <w:p w:rsidR="007F2D48" w:rsidRPr="00473C7B" w:rsidRDefault="007F2D48" w:rsidP="00473C7B">
      <w:pPr>
        <w:rPr>
          <w:rFonts w:cs="Arial"/>
          <w:szCs w:val="22"/>
        </w:rPr>
      </w:pPr>
    </w:p>
    <w:p w:rsidR="00027D4E" w:rsidRPr="00473C7B" w:rsidRDefault="001045ED" w:rsidP="00473C7B">
      <w:pPr>
        <w:rPr>
          <w:rFonts w:cs="Arial"/>
          <w:szCs w:val="22"/>
        </w:rPr>
      </w:pPr>
      <w:r w:rsidRPr="00473C7B">
        <w:rPr>
          <w:rFonts w:cs="Arial"/>
          <w:szCs w:val="22"/>
        </w:rPr>
        <w:t>This regulatory analysis evaluated two alternatives</w:t>
      </w:r>
      <w:r w:rsidR="003D2377" w:rsidRPr="00473C7B">
        <w:rPr>
          <w:rFonts w:cs="Arial"/>
          <w:szCs w:val="22"/>
        </w:rPr>
        <w:t xml:space="preserve">.  Alternative 1, the </w:t>
      </w:r>
      <w:r w:rsidRPr="00473C7B">
        <w:rPr>
          <w:rFonts w:cs="Arial"/>
          <w:szCs w:val="22"/>
        </w:rPr>
        <w:t>no</w:t>
      </w:r>
      <w:r w:rsidR="003D2377" w:rsidRPr="00473C7B">
        <w:rPr>
          <w:rFonts w:cs="Arial"/>
          <w:szCs w:val="22"/>
        </w:rPr>
        <w:t>-</w:t>
      </w:r>
      <w:r w:rsidRPr="00473C7B">
        <w:rPr>
          <w:rFonts w:cs="Arial"/>
          <w:szCs w:val="22"/>
        </w:rPr>
        <w:t>action alternative</w:t>
      </w:r>
      <w:r w:rsidR="003D2377" w:rsidRPr="00473C7B">
        <w:rPr>
          <w:rFonts w:cs="Arial"/>
          <w:szCs w:val="22"/>
        </w:rPr>
        <w:t xml:space="preserve">, would maintain the regulations as currently written.  </w:t>
      </w:r>
      <w:r w:rsidR="009637FD" w:rsidRPr="00473C7B">
        <w:rPr>
          <w:rFonts w:cs="Arial"/>
          <w:szCs w:val="22"/>
        </w:rPr>
        <w:t>Under this option, the NRC would not modify 10 CFR Part 61.  The r</w:t>
      </w:r>
      <w:r w:rsidR="007E7FC4" w:rsidRPr="00473C7B">
        <w:rPr>
          <w:rFonts w:cs="Arial"/>
          <w:szCs w:val="22"/>
        </w:rPr>
        <w:t xml:space="preserve">egulations at </w:t>
      </w:r>
      <w:r w:rsidR="00A5012A" w:rsidRPr="00473C7B">
        <w:rPr>
          <w:rFonts w:cs="Arial"/>
          <w:szCs w:val="22"/>
        </w:rPr>
        <w:t>10 CFR </w:t>
      </w:r>
      <w:r w:rsidR="007E7FC4" w:rsidRPr="00473C7B">
        <w:rPr>
          <w:rFonts w:cs="Arial"/>
          <w:szCs w:val="22"/>
        </w:rPr>
        <w:t xml:space="preserve">Part 61 would </w:t>
      </w:r>
      <w:r w:rsidR="009637FD" w:rsidRPr="00473C7B">
        <w:rPr>
          <w:rFonts w:cs="Arial"/>
          <w:szCs w:val="22"/>
        </w:rPr>
        <w:t xml:space="preserve">continue to provide no </w:t>
      </w:r>
      <w:r w:rsidR="009637FD" w:rsidRPr="00473C7B">
        <w:rPr>
          <w:rFonts w:cs="Arial"/>
          <w:szCs w:val="22"/>
        </w:rPr>
        <w:lastRenderedPageBreak/>
        <w:t>performance period analyses requirements, no specified compliance</w:t>
      </w:r>
      <w:r w:rsidR="005303A8">
        <w:rPr>
          <w:rFonts w:cs="Arial"/>
          <w:szCs w:val="22"/>
        </w:rPr>
        <w:t xml:space="preserve"> and protective assurance</w:t>
      </w:r>
      <w:r w:rsidR="009637FD" w:rsidRPr="00473C7B">
        <w:rPr>
          <w:rFonts w:cs="Arial"/>
          <w:szCs w:val="22"/>
        </w:rPr>
        <w:t xml:space="preserve"> period</w:t>
      </w:r>
      <w:r w:rsidR="005303A8">
        <w:rPr>
          <w:rFonts w:cs="Arial"/>
          <w:szCs w:val="22"/>
        </w:rPr>
        <w:t>s</w:t>
      </w:r>
      <w:r w:rsidR="009637FD" w:rsidRPr="00473C7B">
        <w:rPr>
          <w:rFonts w:cs="Arial"/>
          <w:szCs w:val="22"/>
        </w:rPr>
        <w:t>, no new intruder assessment or performance assessment requirements, no dose limit for the inadvertent intruder, no updated compliance</w:t>
      </w:r>
      <w:r w:rsidR="005303A8">
        <w:rPr>
          <w:rFonts w:cs="Arial"/>
          <w:szCs w:val="22"/>
        </w:rPr>
        <w:t>, protective assurance,</w:t>
      </w:r>
      <w:r w:rsidR="009637FD" w:rsidRPr="00473C7B">
        <w:rPr>
          <w:rFonts w:cs="Arial"/>
          <w:szCs w:val="22"/>
        </w:rPr>
        <w:t xml:space="preserve"> and performance period analyses, and no LLRW acceptance plan.  Alternative 1 avoid</w:t>
      </w:r>
      <w:r w:rsidR="0052777E" w:rsidRPr="00473C7B">
        <w:rPr>
          <w:rFonts w:cs="Arial"/>
          <w:szCs w:val="22"/>
        </w:rPr>
        <w:t>s</w:t>
      </w:r>
      <w:r w:rsidR="009637FD" w:rsidRPr="00473C7B">
        <w:rPr>
          <w:rFonts w:cs="Arial"/>
          <w:szCs w:val="22"/>
        </w:rPr>
        <w:t xml:space="preserve"> the costs that the proposed rule would impose, but would not update the existing LLRW disposal requirements to </w:t>
      </w:r>
      <w:r w:rsidR="005303A8">
        <w:rPr>
          <w:rFonts w:cs="Arial"/>
          <w:szCs w:val="22"/>
        </w:rPr>
        <w:t xml:space="preserve">better </w:t>
      </w:r>
      <w:r w:rsidR="00C62D41">
        <w:rPr>
          <w:rFonts w:cs="Arial"/>
          <w:szCs w:val="22"/>
        </w:rPr>
        <w:t>ensure</w:t>
      </w:r>
      <w:r w:rsidR="00C62D41" w:rsidRPr="00473C7B">
        <w:rPr>
          <w:rFonts w:cs="Arial"/>
          <w:szCs w:val="22"/>
        </w:rPr>
        <w:t xml:space="preserve"> </w:t>
      </w:r>
      <w:r w:rsidR="009637FD" w:rsidRPr="00473C7B">
        <w:rPr>
          <w:rFonts w:cs="Arial"/>
          <w:szCs w:val="22"/>
        </w:rPr>
        <w:t xml:space="preserve">protection </w:t>
      </w:r>
      <w:r w:rsidR="005D1AB7">
        <w:rPr>
          <w:rFonts w:cs="Arial"/>
          <w:szCs w:val="22"/>
        </w:rPr>
        <w:t>of</w:t>
      </w:r>
      <w:r w:rsidR="005D1AB7" w:rsidRPr="00473C7B">
        <w:rPr>
          <w:rFonts w:cs="Arial"/>
          <w:szCs w:val="22"/>
        </w:rPr>
        <w:t xml:space="preserve"> </w:t>
      </w:r>
      <w:r w:rsidR="009637FD" w:rsidRPr="00473C7B">
        <w:rPr>
          <w:rFonts w:cs="Arial"/>
          <w:szCs w:val="22"/>
        </w:rPr>
        <w:t xml:space="preserve">public health and safety.  </w:t>
      </w:r>
      <w:r w:rsidRPr="00473C7B">
        <w:rPr>
          <w:rFonts w:cs="Arial"/>
          <w:szCs w:val="22"/>
        </w:rPr>
        <w:t>Accepting</w:t>
      </w:r>
      <w:r w:rsidR="00015CC3" w:rsidRPr="00473C7B">
        <w:rPr>
          <w:rFonts w:cs="Arial"/>
          <w:szCs w:val="22"/>
        </w:rPr>
        <w:t xml:space="preserve"> the no-action alternative</w:t>
      </w:r>
      <w:r w:rsidR="00027D4E" w:rsidRPr="00473C7B">
        <w:rPr>
          <w:rFonts w:cs="Arial"/>
          <w:szCs w:val="22"/>
        </w:rPr>
        <w:t xml:space="preserve"> </w:t>
      </w:r>
      <w:r w:rsidR="0052777E" w:rsidRPr="00473C7B">
        <w:rPr>
          <w:rFonts w:cs="Arial"/>
          <w:szCs w:val="22"/>
        </w:rPr>
        <w:t xml:space="preserve">does </w:t>
      </w:r>
      <w:r w:rsidR="00027D4E" w:rsidRPr="00473C7B">
        <w:rPr>
          <w:rFonts w:cs="Arial"/>
          <w:szCs w:val="22"/>
        </w:rPr>
        <w:t xml:space="preserve">not provide the assurance that </w:t>
      </w:r>
      <w:r w:rsidR="001C461A" w:rsidRPr="00473C7B">
        <w:rPr>
          <w:rFonts w:cs="Arial"/>
          <w:szCs w:val="22"/>
        </w:rPr>
        <w:t xml:space="preserve">the </w:t>
      </w:r>
      <w:r w:rsidR="001F07CE" w:rsidRPr="00473C7B">
        <w:rPr>
          <w:rFonts w:cs="Arial"/>
          <w:szCs w:val="22"/>
        </w:rPr>
        <w:t xml:space="preserve">disposal of the </w:t>
      </w:r>
      <w:r w:rsidR="0005776D" w:rsidRPr="00473C7B">
        <w:rPr>
          <w:rFonts w:cs="Arial"/>
          <w:szCs w:val="22"/>
        </w:rPr>
        <w:t>LLRW</w:t>
      </w:r>
      <w:r w:rsidR="001F07CE" w:rsidRPr="00473C7B">
        <w:rPr>
          <w:rFonts w:cs="Arial"/>
          <w:szCs w:val="22"/>
        </w:rPr>
        <w:t xml:space="preserve"> streams not considered in the </w:t>
      </w:r>
      <w:r w:rsidR="00286C1C" w:rsidRPr="00473C7B">
        <w:rPr>
          <w:rFonts w:cs="Arial"/>
          <w:szCs w:val="22"/>
        </w:rPr>
        <w:t xml:space="preserve">original </w:t>
      </w:r>
      <w:r w:rsidRPr="00473C7B">
        <w:rPr>
          <w:rFonts w:cs="Arial"/>
          <w:szCs w:val="22"/>
        </w:rPr>
        <w:t>10 CFR </w:t>
      </w:r>
      <w:r w:rsidR="001F07CE" w:rsidRPr="00473C7B">
        <w:rPr>
          <w:rFonts w:cs="Arial"/>
          <w:szCs w:val="22"/>
        </w:rPr>
        <w:t xml:space="preserve">Part 61 </w:t>
      </w:r>
      <w:r w:rsidR="00286C1C" w:rsidRPr="00473C7B">
        <w:rPr>
          <w:rFonts w:cs="Arial"/>
          <w:szCs w:val="22"/>
        </w:rPr>
        <w:t xml:space="preserve">regulatory </w:t>
      </w:r>
      <w:r w:rsidR="001F07CE" w:rsidRPr="00473C7B">
        <w:rPr>
          <w:rFonts w:cs="Arial"/>
          <w:szCs w:val="22"/>
        </w:rPr>
        <w:t>basis compl</w:t>
      </w:r>
      <w:r w:rsidR="005E3803" w:rsidRPr="00473C7B">
        <w:rPr>
          <w:rFonts w:cs="Arial"/>
          <w:szCs w:val="22"/>
        </w:rPr>
        <w:t>ies</w:t>
      </w:r>
      <w:r w:rsidR="001F07CE" w:rsidRPr="00473C7B">
        <w:rPr>
          <w:rFonts w:cs="Arial"/>
          <w:szCs w:val="22"/>
        </w:rPr>
        <w:t xml:space="preserve"> with the performance objectives</w:t>
      </w:r>
      <w:r w:rsidRPr="00473C7B">
        <w:rPr>
          <w:rFonts w:cs="Arial"/>
          <w:szCs w:val="22"/>
        </w:rPr>
        <w:t xml:space="preserve"> in the regulation</w:t>
      </w:r>
      <w:r w:rsidR="00FE0580" w:rsidRPr="00473C7B">
        <w:rPr>
          <w:rFonts w:cs="Arial"/>
          <w:szCs w:val="22"/>
        </w:rPr>
        <w:t>s</w:t>
      </w:r>
      <w:r w:rsidR="00027D4E" w:rsidRPr="00473C7B">
        <w:rPr>
          <w:rFonts w:cs="Arial"/>
          <w:szCs w:val="22"/>
        </w:rPr>
        <w:t>.</w:t>
      </w:r>
    </w:p>
    <w:p w:rsidR="00027D4E" w:rsidRPr="00473C7B" w:rsidRDefault="00027D4E" w:rsidP="00473C7B">
      <w:pPr>
        <w:rPr>
          <w:rFonts w:cs="Arial"/>
          <w:szCs w:val="22"/>
        </w:rPr>
      </w:pPr>
    </w:p>
    <w:p w:rsidR="00027D4E" w:rsidRPr="00473C7B" w:rsidRDefault="0043646F" w:rsidP="00473C7B">
      <w:pPr>
        <w:rPr>
          <w:rFonts w:cs="Arial"/>
          <w:bCs/>
          <w:szCs w:val="22"/>
        </w:rPr>
      </w:pPr>
      <w:r w:rsidRPr="00473C7B">
        <w:rPr>
          <w:rFonts w:cs="Arial"/>
          <w:szCs w:val="22"/>
        </w:rPr>
        <w:t xml:space="preserve">Alternative 2, the </w:t>
      </w:r>
      <w:r w:rsidR="001045ED" w:rsidRPr="00473C7B">
        <w:rPr>
          <w:rFonts w:cs="Arial"/>
          <w:szCs w:val="22"/>
        </w:rPr>
        <w:t>rulemaking alternative</w:t>
      </w:r>
      <w:r w:rsidRPr="00473C7B">
        <w:rPr>
          <w:rFonts w:cs="Arial"/>
          <w:szCs w:val="22"/>
        </w:rPr>
        <w:t xml:space="preserve">, </w:t>
      </w:r>
      <w:r w:rsidR="001C4A4A" w:rsidRPr="00473C7B">
        <w:rPr>
          <w:rFonts w:cs="Arial"/>
          <w:szCs w:val="22"/>
        </w:rPr>
        <w:t xml:space="preserve">would </w:t>
      </w:r>
      <w:r w:rsidRPr="00473C7B">
        <w:rPr>
          <w:rFonts w:cs="Arial"/>
          <w:szCs w:val="22"/>
        </w:rPr>
        <w:t xml:space="preserve">amend </w:t>
      </w:r>
      <w:r w:rsidR="00984673" w:rsidRPr="00473C7B">
        <w:rPr>
          <w:rFonts w:cs="Arial"/>
          <w:szCs w:val="22"/>
        </w:rPr>
        <w:t>10 </w:t>
      </w:r>
      <w:r w:rsidR="001045ED" w:rsidRPr="00473C7B">
        <w:rPr>
          <w:rFonts w:cs="Arial"/>
          <w:szCs w:val="22"/>
        </w:rPr>
        <w:t>CFR </w:t>
      </w:r>
      <w:r w:rsidR="00984673" w:rsidRPr="00473C7B">
        <w:rPr>
          <w:rFonts w:cs="Arial"/>
          <w:szCs w:val="22"/>
        </w:rPr>
        <w:t>Part </w:t>
      </w:r>
      <w:r w:rsidR="0035400A" w:rsidRPr="00473C7B">
        <w:rPr>
          <w:rFonts w:cs="Arial"/>
          <w:szCs w:val="22"/>
        </w:rPr>
        <w:t xml:space="preserve">61 </w:t>
      </w:r>
      <w:r w:rsidRPr="00473C7B">
        <w:rPr>
          <w:rFonts w:cs="Arial"/>
          <w:szCs w:val="22"/>
        </w:rPr>
        <w:t>by adding</w:t>
      </w:r>
      <w:r w:rsidR="0035400A" w:rsidRPr="00473C7B">
        <w:rPr>
          <w:rFonts w:cs="Arial"/>
          <w:szCs w:val="22"/>
        </w:rPr>
        <w:t xml:space="preserve"> requirements for </w:t>
      </w:r>
      <w:r w:rsidR="0035400A" w:rsidRPr="00473C7B">
        <w:rPr>
          <w:rFonts w:cs="Arial"/>
          <w:bCs/>
          <w:szCs w:val="22"/>
        </w:rPr>
        <w:t xml:space="preserve">licensees </w:t>
      </w:r>
      <w:r w:rsidR="00286C1C" w:rsidRPr="00473C7B">
        <w:rPr>
          <w:rFonts w:cs="Arial"/>
          <w:bCs/>
          <w:szCs w:val="22"/>
        </w:rPr>
        <w:t xml:space="preserve">and license applicants </w:t>
      </w:r>
      <w:r w:rsidR="0035400A" w:rsidRPr="00473C7B">
        <w:rPr>
          <w:rFonts w:cs="Arial"/>
          <w:bCs/>
          <w:szCs w:val="22"/>
        </w:rPr>
        <w:t>to prepare</w:t>
      </w:r>
      <w:r w:rsidR="00FE0580" w:rsidRPr="00473C7B">
        <w:rPr>
          <w:rFonts w:cs="Arial"/>
          <w:bCs/>
          <w:szCs w:val="22"/>
        </w:rPr>
        <w:t xml:space="preserve"> new and revised</w:t>
      </w:r>
      <w:r w:rsidR="0035400A" w:rsidRPr="00473C7B">
        <w:rPr>
          <w:rFonts w:cs="Arial"/>
          <w:bCs/>
          <w:szCs w:val="22"/>
        </w:rPr>
        <w:t xml:space="preserve"> </w:t>
      </w:r>
      <w:r w:rsidR="00286C1C" w:rsidRPr="00473C7B">
        <w:rPr>
          <w:rFonts w:cs="Arial"/>
          <w:bCs/>
          <w:szCs w:val="22"/>
        </w:rPr>
        <w:t>compliance</w:t>
      </w:r>
      <w:r w:rsidR="005303A8">
        <w:rPr>
          <w:rFonts w:cs="Arial"/>
          <w:bCs/>
          <w:szCs w:val="22"/>
        </w:rPr>
        <w:t>, protective assurance,</w:t>
      </w:r>
      <w:r w:rsidR="00286C1C" w:rsidRPr="00473C7B">
        <w:rPr>
          <w:rFonts w:cs="Arial"/>
          <w:bCs/>
          <w:szCs w:val="22"/>
        </w:rPr>
        <w:t xml:space="preserve"> and performance period</w:t>
      </w:r>
      <w:r w:rsidR="0035400A" w:rsidRPr="00473C7B">
        <w:rPr>
          <w:rFonts w:cs="Arial"/>
          <w:bCs/>
          <w:szCs w:val="22"/>
        </w:rPr>
        <w:t xml:space="preserve"> analyses.  These</w:t>
      </w:r>
      <w:r w:rsidR="00286C1C" w:rsidRPr="00473C7B">
        <w:rPr>
          <w:rFonts w:cs="Arial"/>
          <w:bCs/>
          <w:szCs w:val="22"/>
        </w:rPr>
        <w:t xml:space="preserve"> </w:t>
      </w:r>
      <w:r w:rsidR="0035400A" w:rsidRPr="00473C7B">
        <w:rPr>
          <w:rFonts w:cs="Arial"/>
          <w:bCs/>
          <w:szCs w:val="22"/>
        </w:rPr>
        <w:t>analyses include</w:t>
      </w:r>
      <w:r w:rsidR="00EE4EF7" w:rsidRPr="00473C7B">
        <w:rPr>
          <w:rFonts w:cs="Arial"/>
          <w:bCs/>
          <w:szCs w:val="22"/>
        </w:rPr>
        <w:t>:</w:t>
      </w:r>
      <w:r w:rsidR="0035400A" w:rsidRPr="00473C7B">
        <w:rPr>
          <w:rFonts w:cs="Arial"/>
          <w:bCs/>
          <w:szCs w:val="22"/>
        </w:rPr>
        <w:t xml:space="preserve"> </w:t>
      </w:r>
      <w:r w:rsidR="00EE4EF7" w:rsidRPr="00473C7B">
        <w:rPr>
          <w:rFonts w:cs="Arial"/>
          <w:bCs/>
          <w:szCs w:val="22"/>
        </w:rPr>
        <w:t xml:space="preserve"> </w:t>
      </w:r>
      <w:r w:rsidR="0035400A" w:rsidRPr="00473C7B">
        <w:rPr>
          <w:rFonts w:cs="Arial"/>
          <w:bCs/>
          <w:szCs w:val="22"/>
        </w:rPr>
        <w:t xml:space="preserve">1) a </w:t>
      </w:r>
      <w:r w:rsidR="00FE0580" w:rsidRPr="00473C7B">
        <w:rPr>
          <w:rFonts w:cs="Arial"/>
          <w:bCs/>
          <w:szCs w:val="22"/>
        </w:rPr>
        <w:t xml:space="preserve">revised and renamed </w:t>
      </w:r>
      <w:r w:rsidR="00286C1C" w:rsidRPr="00473C7B">
        <w:rPr>
          <w:rFonts w:cs="Arial"/>
          <w:bCs/>
          <w:szCs w:val="22"/>
        </w:rPr>
        <w:t xml:space="preserve">compliance period </w:t>
      </w:r>
      <w:r w:rsidR="0035400A" w:rsidRPr="00473C7B">
        <w:rPr>
          <w:rFonts w:cs="Arial"/>
          <w:bCs/>
          <w:szCs w:val="22"/>
        </w:rPr>
        <w:t>performance assessmen</w:t>
      </w:r>
      <w:r w:rsidR="00984673" w:rsidRPr="00473C7B">
        <w:rPr>
          <w:rFonts w:cs="Arial"/>
          <w:bCs/>
          <w:szCs w:val="22"/>
        </w:rPr>
        <w:t xml:space="preserve">t </w:t>
      </w:r>
      <w:r w:rsidR="005303A8">
        <w:rPr>
          <w:rFonts w:cs="Arial"/>
          <w:bCs/>
          <w:szCs w:val="22"/>
        </w:rPr>
        <w:t xml:space="preserve">and a new protective assurance period performance assessment </w:t>
      </w:r>
      <w:r w:rsidR="00984673" w:rsidRPr="00473C7B">
        <w:rPr>
          <w:rFonts w:cs="Arial"/>
          <w:bCs/>
          <w:szCs w:val="22"/>
        </w:rPr>
        <w:t xml:space="preserve">to demonstrate the protection </w:t>
      </w:r>
      <w:r w:rsidR="0035400A" w:rsidRPr="00473C7B">
        <w:rPr>
          <w:rFonts w:cs="Arial"/>
          <w:bCs/>
          <w:szCs w:val="22"/>
        </w:rPr>
        <w:t>of the general population from releases of radioactivity, 2) a</w:t>
      </w:r>
      <w:r w:rsidR="00FE0580" w:rsidRPr="00473C7B">
        <w:rPr>
          <w:rFonts w:cs="Arial"/>
          <w:bCs/>
          <w:szCs w:val="22"/>
        </w:rPr>
        <w:t xml:space="preserve"> new</w:t>
      </w:r>
      <w:r w:rsidR="0035400A" w:rsidRPr="00473C7B">
        <w:rPr>
          <w:rFonts w:cs="Arial"/>
          <w:bCs/>
          <w:szCs w:val="22"/>
        </w:rPr>
        <w:t xml:space="preserve"> </w:t>
      </w:r>
      <w:r w:rsidR="00286C1C" w:rsidRPr="00473C7B">
        <w:rPr>
          <w:rFonts w:cs="Arial"/>
          <w:bCs/>
          <w:szCs w:val="22"/>
        </w:rPr>
        <w:t xml:space="preserve">compliance </w:t>
      </w:r>
      <w:r w:rsidR="005303A8">
        <w:rPr>
          <w:rFonts w:cs="Arial"/>
          <w:bCs/>
          <w:szCs w:val="22"/>
        </w:rPr>
        <w:t xml:space="preserve">and protective assurance </w:t>
      </w:r>
      <w:r w:rsidR="00286C1C" w:rsidRPr="00473C7B">
        <w:rPr>
          <w:rFonts w:cs="Arial"/>
          <w:bCs/>
          <w:szCs w:val="22"/>
        </w:rPr>
        <w:t xml:space="preserve">period </w:t>
      </w:r>
      <w:r w:rsidR="0035400A" w:rsidRPr="00473C7B">
        <w:rPr>
          <w:rFonts w:cs="Arial"/>
          <w:bCs/>
          <w:szCs w:val="22"/>
        </w:rPr>
        <w:t>intruder assessment to demonstrate the protectio</w:t>
      </w:r>
      <w:r w:rsidR="002676F1" w:rsidRPr="00473C7B">
        <w:rPr>
          <w:rFonts w:cs="Arial"/>
          <w:bCs/>
          <w:szCs w:val="22"/>
        </w:rPr>
        <w:t xml:space="preserve">n of inadvertent intruders, </w:t>
      </w:r>
      <w:r w:rsidR="0035400A" w:rsidRPr="00473C7B">
        <w:rPr>
          <w:rFonts w:cs="Arial"/>
          <w:bCs/>
          <w:szCs w:val="22"/>
        </w:rPr>
        <w:t xml:space="preserve">3) </w:t>
      </w:r>
      <w:r w:rsidR="006207DE">
        <w:rPr>
          <w:rFonts w:cs="Arial"/>
          <w:bCs/>
          <w:szCs w:val="22"/>
        </w:rPr>
        <w:t xml:space="preserve">the new </w:t>
      </w:r>
      <w:r w:rsidR="006207DE">
        <w:rPr>
          <w:rFonts w:cs="Arial"/>
          <w:szCs w:val="22"/>
        </w:rPr>
        <w:t xml:space="preserve">defense-in-depth analyses </w:t>
      </w:r>
      <w:r w:rsidR="006207DE" w:rsidRPr="00751D22">
        <w:rPr>
          <w:rFonts w:cs="Arial"/>
          <w:szCs w:val="22"/>
        </w:rPr>
        <w:t>to ensure that the land disposal facility includes defense-in-depth protections</w:t>
      </w:r>
      <w:r w:rsidR="006207DE">
        <w:rPr>
          <w:rFonts w:cs="Arial"/>
          <w:szCs w:val="22"/>
        </w:rPr>
        <w:t xml:space="preserve"> in their site-specific technical analyses</w:t>
      </w:r>
      <w:r w:rsidR="00415BF3">
        <w:rPr>
          <w:rFonts w:cs="Arial"/>
          <w:szCs w:val="22"/>
        </w:rPr>
        <w:t>, 4)</w:t>
      </w:r>
      <w:r w:rsidR="006207DE">
        <w:rPr>
          <w:rFonts w:cs="Arial"/>
          <w:szCs w:val="22"/>
        </w:rPr>
        <w:t xml:space="preserve"> </w:t>
      </w:r>
      <w:r w:rsidR="00FE0580" w:rsidRPr="00473C7B">
        <w:rPr>
          <w:rFonts w:cs="Arial"/>
          <w:bCs/>
          <w:szCs w:val="22"/>
        </w:rPr>
        <w:t xml:space="preserve">new </w:t>
      </w:r>
      <w:r w:rsidR="00286C1C" w:rsidRPr="00473C7B">
        <w:rPr>
          <w:rFonts w:cs="Arial"/>
          <w:bCs/>
          <w:szCs w:val="22"/>
        </w:rPr>
        <w:t>performance period</w:t>
      </w:r>
      <w:r w:rsidR="005B7C8E" w:rsidRPr="00473C7B">
        <w:rPr>
          <w:rFonts w:cs="Arial"/>
          <w:bCs/>
          <w:szCs w:val="22"/>
        </w:rPr>
        <w:t xml:space="preserve"> analyse</w:t>
      </w:r>
      <w:r w:rsidR="0035400A" w:rsidRPr="00473C7B">
        <w:rPr>
          <w:rFonts w:cs="Arial"/>
          <w:bCs/>
          <w:szCs w:val="22"/>
        </w:rPr>
        <w:t xml:space="preserve">s to </w:t>
      </w:r>
      <w:r w:rsidR="00DF4010" w:rsidRPr="00473C7B">
        <w:rPr>
          <w:rFonts w:cs="Arial"/>
          <w:bCs/>
          <w:szCs w:val="22"/>
        </w:rPr>
        <w:t>determine whether limitations on the disposal of some LLRW stream</w:t>
      </w:r>
      <w:r w:rsidR="001C461A" w:rsidRPr="00473C7B">
        <w:rPr>
          <w:rFonts w:cs="Arial"/>
          <w:bCs/>
          <w:szCs w:val="22"/>
        </w:rPr>
        <w:t>s</w:t>
      </w:r>
      <w:r w:rsidR="00415BF3">
        <w:rPr>
          <w:rFonts w:cs="Arial"/>
          <w:bCs/>
          <w:szCs w:val="22"/>
        </w:rPr>
        <w:t xml:space="preserve"> </w:t>
      </w:r>
      <w:r w:rsidR="00DF4010" w:rsidRPr="00473C7B">
        <w:rPr>
          <w:rFonts w:cs="Arial"/>
          <w:bCs/>
          <w:szCs w:val="22"/>
        </w:rPr>
        <w:t>at certain sites</w:t>
      </w:r>
      <w:r w:rsidR="00415BF3">
        <w:rPr>
          <w:rFonts w:cs="Arial"/>
          <w:bCs/>
          <w:szCs w:val="22"/>
        </w:rPr>
        <w:t>, including defense-in-depth protections,</w:t>
      </w:r>
      <w:r w:rsidR="00DF4010" w:rsidRPr="00473C7B">
        <w:rPr>
          <w:rFonts w:cs="Arial"/>
          <w:bCs/>
          <w:szCs w:val="22"/>
        </w:rPr>
        <w:t xml:space="preserve"> may be needed to properly manage the disposal of </w:t>
      </w:r>
      <w:r w:rsidR="005303A8">
        <w:rPr>
          <w:rFonts w:cs="Arial"/>
          <w:bCs/>
          <w:szCs w:val="22"/>
        </w:rPr>
        <w:t xml:space="preserve">long-lived </w:t>
      </w:r>
      <w:r w:rsidR="00DF4010" w:rsidRPr="00473C7B">
        <w:rPr>
          <w:rFonts w:cs="Arial"/>
          <w:bCs/>
          <w:szCs w:val="22"/>
        </w:rPr>
        <w:t>LLRW</w:t>
      </w:r>
      <w:r w:rsidR="002676F1" w:rsidRPr="00473C7B">
        <w:rPr>
          <w:rFonts w:cs="Arial"/>
          <w:bCs/>
          <w:szCs w:val="22"/>
        </w:rPr>
        <w:t xml:space="preserve">, </w:t>
      </w:r>
      <w:r w:rsidR="003E40A0" w:rsidRPr="00473C7B">
        <w:rPr>
          <w:rFonts w:cs="Arial"/>
          <w:bCs/>
          <w:szCs w:val="22"/>
        </w:rPr>
        <w:t xml:space="preserve">and </w:t>
      </w:r>
      <w:r w:rsidR="00E22CEA">
        <w:rPr>
          <w:rFonts w:cs="Arial"/>
          <w:bCs/>
          <w:szCs w:val="22"/>
        </w:rPr>
        <w:t>5</w:t>
      </w:r>
      <w:r w:rsidR="003E40A0" w:rsidRPr="00473C7B">
        <w:rPr>
          <w:rFonts w:cs="Arial"/>
          <w:bCs/>
          <w:szCs w:val="22"/>
        </w:rPr>
        <w:t xml:space="preserve">) a </w:t>
      </w:r>
      <w:r w:rsidR="0005776D" w:rsidRPr="00473C7B">
        <w:rPr>
          <w:rFonts w:cs="Arial"/>
          <w:bCs/>
          <w:szCs w:val="22"/>
        </w:rPr>
        <w:t>LLRW</w:t>
      </w:r>
      <w:r w:rsidR="003E40A0" w:rsidRPr="00473C7B">
        <w:rPr>
          <w:rFonts w:cs="Arial"/>
          <w:bCs/>
          <w:szCs w:val="22"/>
        </w:rPr>
        <w:t xml:space="preserve"> acceptance plan</w:t>
      </w:r>
      <w:r w:rsidR="002676F1" w:rsidRPr="00473C7B">
        <w:rPr>
          <w:rFonts w:cs="Arial"/>
          <w:bCs/>
          <w:szCs w:val="22"/>
        </w:rPr>
        <w:t xml:space="preserve"> to provide assurance of compliance with the </w:t>
      </w:r>
      <w:r w:rsidR="00984673" w:rsidRPr="00473C7B">
        <w:rPr>
          <w:rFonts w:cs="Arial"/>
          <w:bCs/>
          <w:szCs w:val="22"/>
        </w:rPr>
        <w:t xml:space="preserve">Subpart C </w:t>
      </w:r>
      <w:r w:rsidR="002676F1" w:rsidRPr="00473C7B">
        <w:rPr>
          <w:rFonts w:cs="Arial"/>
          <w:bCs/>
          <w:szCs w:val="22"/>
        </w:rPr>
        <w:t xml:space="preserve">performance objectives and to </w:t>
      </w:r>
      <w:r w:rsidR="00C62D41">
        <w:rPr>
          <w:rFonts w:cs="Arial"/>
          <w:szCs w:val="22"/>
        </w:rPr>
        <w:t>ensure</w:t>
      </w:r>
      <w:r w:rsidR="00C62D41" w:rsidRPr="00473C7B">
        <w:rPr>
          <w:rFonts w:cs="Arial"/>
          <w:szCs w:val="22"/>
        </w:rPr>
        <w:t xml:space="preserve"> </w:t>
      </w:r>
      <w:r w:rsidR="00C62D41">
        <w:rPr>
          <w:rFonts w:cs="Arial"/>
          <w:szCs w:val="22"/>
        </w:rPr>
        <w:t xml:space="preserve">the </w:t>
      </w:r>
      <w:r w:rsidR="00C62D41" w:rsidRPr="0088262C">
        <w:rPr>
          <w:rFonts w:cs="Arial"/>
          <w:szCs w:val="22"/>
        </w:rPr>
        <w:t>safe disposal of LLRW that was not analyzed in the original 10 CFR Part 61 regulatory basis (e.g., large quantities of depleted uranium)</w:t>
      </w:r>
      <w:r w:rsidR="00C62D41" w:rsidRPr="00473C7B">
        <w:rPr>
          <w:rFonts w:cs="Arial"/>
          <w:szCs w:val="22"/>
        </w:rPr>
        <w:t>.</w:t>
      </w:r>
      <w:r w:rsidR="00C62D41">
        <w:rPr>
          <w:rFonts w:cs="Arial"/>
          <w:szCs w:val="22"/>
        </w:rPr>
        <w:t xml:space="preserve">  </w:t>
      </w:r>
      <w:r w:rsidR="005A11E9" w:rsidRPr="00473C7B">
        <w:rPr>
          <w:rFonts w:cs="Arial"/>
          <w:bCs/>
          <w:szCs w:val="22"/>
        </w:rPr>
        <w:t xml:space="preserve">In addition, licensees and license applicants </w:t>
      </w:r>
      <w:r w:rsidR="00E71CEB" w:rsidRPr="00473C7B">
        <w:rPr>
          <w:rFonts w:cs="Arial"/>
          <w:bCs/>
          <w:szCs w:val="22"/>
        </w:rPr>
        <w:t>are</w:t>
      </w:r>
      <w:r w:rsidR="005A11E9" w:rsidRPr="00473C7B">
        <w:rPr>
          <w:rFonts w:cs="Arial"/>
          <w:bCs/>
          <w:szCs w:val="22"/>
        </w:rPr>
        <w:t xml:space="preserve"> required to update compliance</w:t>
      </w:r>
      <w:r w:rsidR="006E14C2">
        <w:rPr>
          <w:rFonts w:cs="Arial"/>
          <w:bCs/>
          <w:szCs w:val="22"/>
        </w:rPr>
        <w:t>, prot</w:t>
      </w:r>
      <w:r w:rsidR="00415BF3">
        <w:rPr>
          <w:rFonts w:cs="Arial"/>
          <w:bCs/>
          <w:szCs w:val="22"/>
        </w:rPr>
        <w:t>ective assurance,</w:t>
      </w:r>
      <w:r w:rsidR="005A11E9" w:rsidRPr="00473C7B">
        <w:rPr>
          <w:rFonts w:cs="Arial"/>
          <w:bCs/>
          <w:szCs w:val="22"/>
        </w:rPr>
        <w:t xml:space="preserve"> and performance </w:t>
      </w:r>
      <w:r w:rsidR="00415BF3">
        <w:rPr>
          <w:rFonts w:cs="Arial"/>
          <w:bCs/>
          <w:szCs w:val="22"/>
        </w:rPr>
        <w:t xml:space="preserve">period </w:t>
      </w:r>
      <w:r w:rsidR="005A11E9" w:rsidRPr="00473C7B">
        <w:rPr>
          <w:rFonts w:cs="Arial"/>
          <w:bCs/>
          <w:szCs w:val="22"/>
        </w:rPr>
        <w:t>analyses in applications to amend a license for closure.</w:t>
      </w:r>
    </w:p>
    <w:p w:rsidR="00027D4E" w:rsidRPr="00473C7B" w:rsidRDefault="00027D4E" w:rsidP="00473C7B">
      <w:pPr>
        <w:rPr>
          <w:rFonts w:cs="Arial"/>
          <w:bCs/>
          <w:szCs w:val="22"/>
        </w:rPr>
      </w:pPr>
    </w:p>
    <w:p w:rsidR="009C1AFC" w:rsidRPr="00473C7B" w:rsidRDefault="00B847CB" w:rsidP="00473C7B">
      <w:pPr>
        <w:rPr>
          <w:rFonts w:cs="Arial"/>
          <w:szCs w:val="22"/>
        </w:rPr>
      </w:pPr>
      <w:r>
        <w:rPr>
          <w:rFonts w:cs="Arial"/>
          <w:szCs w:val="22"/>
        </w:rPr>
        <w:t>R</w:t>
      </w:r>
      <w:r w:rsidR="00027D4E" w:rsidRPr="00473C7B">
        <w:rPr>
          <w:rFonts w:cs="Arial"/>
          <w:szCs w:val="22"/>
        </w:rPr>
        <w:t xml:space="preserve">equiring </w:t>
      </w:r>
      <w:r w:rsidR="00F62CD9" w:rsidRPr="00473C7B">
        <w:rPr>
          <w:rFonts w:cs="Arial"/>
          <w:szCs w:val="22"/>
        </w:rPr>
        <w:t>updated and new</w:t>
      </w:r>
      <w:r w:rsidR="00027D4E" w:rsidRPr="00473C7B">
        <w:rPr>
          <w:rFonts w:cs="Arial"/>
          <w:szCs w:val="22"/>
        </w:rPr>
        <w:t xml:space="preserve"> </w:t>
      </w:r>
      <w:r w:rsidR="00286C1C" w:rsidRPr="00473C7B">
        <w:rPr>
          <w:rFonts w:cs="Arial"/>
          <w:szCs w:val="22"/>
        </w:rPr>
        <w:t>complia</w:t>
      </w:r>
      <w:r w:rsidR="00984673" w:rsidRPr="00473C7B">
        <w:rPr>
          <w:rFonts w:cs="Arial"/>
          <w:szCs w:val="22"/>
        </w:rPr>
        <w:t>nce</w:t>
      </w:r>
      <w:r w:rsidR="00415BF3">
        <w:rPr>
          <w:rFonts w:cs="Arial"/>
          <w:szCs w:val="22"/>
        </w:rPr>
        <w:t>, protective assurance,</w:t>
      </w:r>
      <w:r w:rsidR="00984673" w:rsidRPr="00473C7B">
        <w:rPr>
          <w:rFonts w:cs="Arial"/>
          <w:szCs w:val="22"/>
        </w:rPr>
        <w:t xml:space="preserve"> and performance </w:t>
      </w:r>
      <w:r w:rsidR="00286C1C" w:rsidRPr="00473C7B">
        <w:rPr>
          <w:rFonts w:cs="Arial"/>
          <w:szCs w:val="22"/>
        </w:rPr>
        <w:t>period</w:t>
      </w:r>
      <w:r w:rsidR="00027D4E" w:rsidRPr="00473C7B">
        <w:rPr>
          <w:rFonts w:cs="Arial"/>
          <w:szCs w:val="22"/>
        </w:rPr>
        <w:t xml:space="preserve"> analys</w:t>
      </w:r>
      <w:r w:rsidR="00F62CD9" w:rsidRPr="00473C7B">
        <w:rPr>
          <w:rFonts w:cs="Arial"/>
          <w:szCs w:val="22"/>
        </w:rPr>
        <w:t>e</w:t>
      </w:r>
      <w:r w:rsidR="00027D4E" w:rsidRPr="00473C7B">
        <w:rPr>
          <w:rFonts w:cs="Arial"/>
          <w:szCs w:val="22"/>
        </w:rPr>
        <w:t xml:space="preserve">s to demonstrate compliance with the performance objectives </w:t>
      </w:r>
      <w:r w:rsidR="005303A8">
        <w:rPr>
          <w:rFonts w:cs="Arial"/>
          <w:szCs w:val="22"/>
        </w:rPr>
        <w:t xml:space="preserve">better </w:t>
      </w:r>
      <w:r w:rsidR="00C62D41">
        <w:rPr>
          <w:rFonts w:cs="Arial"/>
          <w:szCs w:val="22"/>
        </w:rPr>
        <w:t>ensures</w:t>
      </w:r>
      <w:r w:rsidR="00C62D41" w:rsidRPr="00473C7B">
        <w:rPr>
          <w:rFonts w:cs="Arial"/>
          <w:szCs w:val="22"/>
        </w:rPr>
        <w:t xml:space="preserve"> </w:t>
      </w:r>
      <w:r w:rsidR="00027D4E" w:rsidRPr="00473C7B">
        <w:rPr>
          <w:rFonts w:cs="Arial"/>
          <w:szCs w:val="22"/>
        </w:rPr>
        <w:t xml:space="preserve">the </w:t>
      </w:r>
      <w:r w:rsidR="00CD3710" w:rsidRPr="00473C7B">
        <w:rPr>
          <w:rFonts w:cs="Arial"/>
          <w:szCs w:val="22"/>
        </w:rPr>
        <w:t xml:space="preserve">safe </w:t>
      </w:r>
      <w:r w:rsidR="00027D4E" w:rsidRPr="00473C7B">
        <w:rPr>
          <w:rFonts w:cs="Arial"/>
          <w:szCs w:val="22"/>
        </w:rPr>
        <w:t>disposal of LLRW and provide</w:t>
      </w:r>
      <w:r w:rsidR="00FD030B" w:rsidRPr="00473C7B">
        <w:rPr>
          <w:rFonts w:cs="Arial"/>
          <w:szCs w:val="22"/>
        </w:rPr>
        <w:t>s</w:t>
      </w:r>
      <w:r w:rsidR="00027D4E" w:rsidRPr="00473C7B">
        <w:rPr>
          <w:rFonts w:cs="Arial"/>
          <w:szCs w:val="22"/>
        </w:rPr>
        <w:t xml:space="preserve"> assurance that </w:t>
      </w:r>
      <w:r w:rsidR="001C461A" w:rsidRPr="00473C7B">
        <w:rPr>
          <w:rFonts w:cs="Arial"/>
          <w:szCs w:val="22"/>
        </w:rPr>
        <w:t xml:space="preserve">the disposal of </w:t>
      </w:r>
      <w:r w:rsidR="005A11E9" w:rsidRPr="00473C7B">
        <w:rPr>
          <w:rFonts w:cs="Arial"/>
          <w:szCs w:val="22"/>
        </w:rPr>
        <w:t xml:space="preserve">LLRW </w:t>
      </w:r>
      <w:r w:rsidR="00027D4E" w:rsidRPr="00473C7B">
        <w:rPr>
          <w:rFonts w:cs="Arial"/>
          <w:szCs w:val="22"/>
        </w:rPr>
        <w:t>streams not considered in the</w:t>
      </w:r>
      <w:r w:rsidR="00286C1C" w:rsidRPr="00473C7B">
        <w:rPr>
          <w:rFonts w:cs="Arial"/>
          <w:szCs w:val="22"/>
        </w:rPr>
        <w:t xml:space="preserve"> </w:t>
      </w:r>
      <w:r w:rsidR="00984673" w:rsidRPr="00473C7B">
        <w:rPr>
          <w:rFonts w:cs="Arial"/>
          <w:szCs w:val="22"/>
        </w:rPr>
        <w:t xml:space="preserve">original </w:t>
      </w:r>
      <w:r w:rsidR="002A535F" w:rsidRPr="00473C7B">
        <w:rPr>
          <w:rFonts w:cs="Arial"/>
          <w:szCs w:val="22"/>
        </w:rPr>
        <w:t xml:space="preserve">10 CFR </w:t>
      </w:r>
      <w:r w:rsidR="00027D4E" w:rsidRPr="00473C7B">
        <w:rPr>
          <w:rFonts w:cs="Arial"/>
          <w:szCs w:val="22"/>
        </w:rPr>
        <w:t xml:space="preserve">Part 61 </w:t>
      </w:r>
      <w:r w:rsidR="00286C1C" w:rsidRPr="00473C7B">
        <w:rPr>
          <w:rFonts w:cs="Arial"/>
          <w:szCs w:val="22"/>
        </w:rPr>
        <w:t xml:space="preserve">regulatory </w:t>
      </w:r>
      <w:r w:rsidR="00027D4E" w:rsidRPr="00473C7B">
        <w:rPr>
          <w:rFonts w:cs="Arial"/>
          <w:szCs w:val="22"/>
        </w:rPr>
        <w:t xml:space="preserve">basis </w:t>
      </w:r>
      <w:r w:rsidR="005303A8" w:rsidRPr="00473C7B">
        <w:rPr>
          <w:rFonts w:cs="Arial"/>
          <w:szCs w:val="22"/>
        </w:rPr>
        <w:t>compl</w:t>
      </w:r>
      <w:r w:rsidR="005303A8">
        <w:rPr>
          <w:rFonts w:cs="Arial"/>
          <w:szCs w:val="22"/>
        </w:rPr>
        <w:t>y</w:t>
      </w:r>
      <w:r w:rsidR="005303A8" w:rsidRPr="00473C7B">
        <w:rPr>
          <w:rFonts w:cs="Arial"/>
          <w:szCs w:val="22"/>
        </w:rPr>
        <w:t xml:space="preserve"> </w:t>
      </w:r>
      <w:r w:rsidR="00027D4E" w:rsidRPr="00473C7B">
        <w:rPr>
          <w:rFonts w:cs="Arial"/>
          <w:szCs w:val="22"/>
        </w:rPr>
        <w:t xml:space="preserve">with the </w:t>
      </w:r>
      <w:r w:rsidR="00984673" w:rsidRPr="00473C7B">
        <w:rPr>
          <w:rFonts w:cs="Arial"/>
          <w:szCs w:val="22"/>
        </w:rPr>
        <w:t xml:space="preserve">Subpart C </w:t>
      </w:r>
      <w:r w:rsidR="00027D4E" w:rsidRPr="00473C7B">
        <w:rPr>
          <w:rFonts w:cs="Arial"/>
          <w:szCs w:val="22"/>
        </w:rPr>
        <w:t xml:space="preserve">performance objectives.  Further, these analyses </w:t>
      </w:r>
      <w:r w:rsidR="008A3652" w:rsidRPr="00473C7B">
        <w:rPr>
          <w:rFonts w:cs="Arial"/>
          <w:szCs w:val="22"/>
        </w:rPr>
        <w:t xml:space="preserve">may </w:t>
      </w:r>
      <w:r w:rsidR="00027D4E" w:rsidRPr="00473C7B">
        <w:rPr>
          <w:rFonts w:cs="Arial"/>
          <w:szCs w:val="22"/>
        </w:rPr>
        <w:t xml:space="preserve">identify additional measures that </w:t>
      </w:r>
      <w:r w:rsidR="008A3652" w:rsidRPr="00473C7B">
        <w:rPr>
          <w:rFonts w:cs="Arial"/>
          <w:szCs w:val="22"/>
        </w:rPr>
        <w:t>should be</w:t>
      </w:r>
      <w:r w:rsidR="00027D4E" w:rsidRPr="00473C7B">
        <w:rPr>
          <w:rFonts w:cs="Arial"/>
          <w:szCs w:val="22"/>
        </w:rPr>
        <w:t xml:space="preserve"> implement</w:t>
      </w:r>
      <w:r w:rsidR="008A3652" w:rsidRPr="00473C7B">
        <w:rPr>
          <w:rFonts w:cs="Arial"/>
          <w:szCs w:val="22"/>
        </w:rPr>
        <w:t>ed</w:t>
      </w:r>
      <w:r w:rsidR="001F07CE" w:rsidRPr="00473C7B">
        <w:rPr>
          <w:rFonts w:cs="Arial"/>
          <w:szCs w:val="22"/>
        </w:rPr>
        <w:t>,</w:t>
      </w:r>
      <w:r w:rsidR="00027D4E" w:rsidRPr="00473C7B">
        <w:rPr>
          <w:rFonts w:cs="Arial"/>
          <w:szCs w:val="22"/>
        </w:rPr>
        <w:t xml:space="preserve"> and </w:t>
      </w:r>
      <w:r w:rsidR="001F07CE" w:rsidRPr="00473C7B">
        <w:rPr>
          <w:rFonts w:cs="Arial"/>
          <w:szCs w:val="22"/>
        </w:rPr>
        <w:t xml:space="preserve">these amendments </w:t>
      </w:r>
      <w:r w:rsidR="00C62D41">
        <w:rPr>
          <w:rFonts w:cs="Arial"/>
          <w:szCs w:val="22"/>
        </w:rPr>
        <w:t>would</w:t>
      </w:r>
      <w:r w:rsidR="00027D4E" w:rsidRPr="00473C7B">
        <w:rPr>
          <w:rFonts w:cs="Arial"/>
          <w:szCs w:val="22"/>
        </w:rPr>
        <w:t xml:space="preserve"> facilitate implementation</w:t>
      </w:r>
      <w:r w:rsidR="005A11E9" w:rsidRPr="00473C7B">
        <w:rPr>
          <w:rFonts w:cs="Arial"/>
          <w:szCs w:val="22"/>
        </w:rPr>
        <w:t xml:space="preserve"> and</w:t>
      </w:r>
      <w:r w:rsidR="00027D4E" w:rsidRPr="00473C7B">
        <w:rPr>
          <w:rFonts w:cs="Arial"/>
          <w:szCs w:val="22"/>
        </w:rPr>
        <w:t xml:space="preserve"> better align the requirements with current health and safety</w:t>
      </w:r>
      <w:r w:rsidR="00660792" w:rsidRPr="00473C7B">
        <w:rPr>
          <w:rFonts w:cs="Arial"/>
          <w:szCs w:val="22"/>
        </w:rPr>
        <w:t xml:space="preserve"> standards</w:t>
      </w:r>
      <w:r w:rsidR="00027D4E" w:rsidRPr="00473C7B">
        <w:rPr>
          <w:rFonts w:cs="Arial"/>
          <w:szCs w:val="22"/>
        </w:rPr>
        <w:t>.  This rulemaking provide</w:t>
      </w:r>
      <w:r w:rsidR="00FD3886" w:rsidRPr="00473C7B">
        <w:rPr>
          <w:rFonts w:cs="Arial"/>
          <w:szCs w:val="22"/>
        </w:rPr>
        <w:t>s</w:t>
      </w:r>
      <w:r w:rsidR="00027D4E" w:rsidRPr="00473C7B">
        <w:rPr>
          <w:rFonts w:cs="Arial"/>
          <w:szCs w:val="22"/>
        </w:rPr>
        <w:t xml:space="preserve"> </w:t>
      </w:r>
      <w:r w:rsidR="005303A8">
        <w:rPr>
          <w:rFonts w:cs="Arial"/>
          <w:szCs w:val="22"/>
        </w:rPr>
        <w:t xml:space="preserve">increased </w:t>
      </w:r>
      <w:r w:rsidR="00027D4E" w:rsidRPr="00473C7B">
        <w:rPr>
          <w:rFonts w:cs="Arial"/>
          <w:szCs w:val="22"/>
        </w:rPr>
        <w:t>assurance that LLRW disposal meet</w:t>
      </w:r>
      <w:r w:rsidR="00070447">
        <w:rPr>
          <w:rFonts w:cs="Arial"/>
          <w:szCs w:val="22"/>
        </w:rPr>
        <w:t>s</w:t>
      </w:r>
      <w:r w:rsidR="00027D4E" w:rsidRPr="00473C7B">
        <w:rPr>
          <w:rFonts w:cs="Arial"/>
          <w:szCs w:val="22"/>
        </w:rPr>
        <w:t xml:space="preserve"> the </w:t>
      </w:r>
      <w:r w:rsidR="00984673" w:rsidRPr="00473C7B">
        <w:rPr>
          <w:rFonts w:cs="Arial"/>
          <w:szCs w:val="22"/>
        </w:rPr>
        <w:t xml:space="preserve">Subpart C </w:t>
      </w:r>
      <w:r w:rsidR="00027D4E" w:rsidRPr="00473C7B">
        <w:rPr>
          <w:rFonts w:cs="Arial"/>
          <w:szCs w:val="22"/>
        </w:rPr>
        <w:t xml:space="preserve">performance objectives in </w:t>
      </w:r>
      <w:r w:rsidR="00CD3710" w:rsidRPr="00473C7B">
        <w:rPr>
          <w:rFonts w:cs="Arial"/>
          <w:szCs w:val="22"/>
        </w:rPr>
        <w:t>10</w:t>
      </w:r>
      <w:r w:rsidR="00542A4C" w:rsidRPr="00473C7B">
        <w:rPr>
          <w:rFonts w:cs="Arial"/>
          <w:szCs w:val="22"/>
        </w:rPr>
        <w:t> </w:t>
      </w:r>
      <w:r w:rsidR="00CD3710" w:rsidRPr="00473C7B">
        <w:rPr>
          <w:rFonts w:cs="Arial"/>
          <w:szCs w:val="22"/>
        </w:rPr>
        <w:t>CFR </w:t>
      </w:r>
      <w:r w:rsidR="00027D4E" w:rsidRPr="00473C7B">
        <w:rPr>
          <w:rFonts w:cs="Arial"/>
          <w:szCs w:val="22"/>
        </w:rPr>
        <w:t>Part</w:t>
      </w:r>
      <w:r w:rsidR="00CD3710" w:rsidRPr="00473C7B">
        <w:rPr>
          <w:rFonts w:cs="Arial"/>
          <w:szCs w:val="22"/>
        </w:rPr>
        <w:t> </w:t>
      </w:r>
      <w:r w:rsidR="00027D4E" w:rsidRPr="00473C7B">
        <w:rPr>
          <w:rFonts w:cs="Arial"/>
          <w:szCs w:val="22"/>
        </w:rPr>
        <w:t>61.</w:t>
      </w:r>
      <w:r w:rsidR="00FD3886" w:rsidRPr="00473C7B">
        <w:rPr>
          <w:rFonts w:cs="Arial"/>
          <w:szCs w:val="22"/>
        </w:rPr>
        <w:t xml:space="preserve">  Therefore, the NRC staff recommends publishing the proposed rule for public comment.</w:t>
      </w:r>
    </w:p>
    <w:p w:rsidR="001A1B07" w:rsidRDefault="001A1B07" w:rsidP="006B2D47">
      <w:pPr>
        <w:pStyle w:val="Heading1"/>
      </w:pPr>
    </w:p>
    <w:p w:rsidR="008202DF" w:rsidRPr="00473C7B" w:rsidRDefault="00813FB7" w:rsidP="006B2D47">
      <w:pPr>
        <w:pStyle w:val="Heading1"/>
      </w:pPr>
      <w:bookmarkStart w:id="21" w:name="_Toc399760755"/>
      <w:r>
        <w:t>6</w:t>
      </w:r>
      <w:r w:rsidR="00456542" w:rsidRPr="00473C7B">
        <w:t xml:space="preserve">. </w:t>
      </w:r>
      <w:r w:rsidR="008202DF" w:rsidRPr="00473C7B">
        <w:t>I</w:t>
      </w:r>
      <w:r w:rsidR="00FE2F9C" w:rsidRPr="00473C7B">
        <w:t>mplementation</w:t>
      </w:r>
      <w:bookmarkEnd w:id="21"/>
      <w:r w:rsidR="008202DF" w:rsidRPr="00473C7B">
        <w:t xml:space="preserve"> </w:t>
      </w:r>
    </w:p>
    <w:p w:rsidR="008202DF" w:rsidRPr="00473C7B" w:rsidRDefault="008202DF" w:rsidP="00473C7B">
      <w:pPr>
        <w:numPr>
          <w:ilvl w:val="12"/>
          <w:numId w:val="0"/>
        </w:num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p>
    <w:p w:rsidR="00002EDD" w:rsidRPr="00473C7B" w:rsidRDefault="00DE3B28" w:rsidP="00473C7B">
      <w:pPr>
        <w:numPr>
          <w:ilvl w:val="12"/>
          <w:numId w:val="0"/>
        </w:numPr>
        <w:rPr>
          <w:rFonts w:cs="Arial"/>
          <w:bCs/>
          <w:szCs w:val="22"/>
        </w:rPr>
      </w:pPr>
      <w:r w:rsidRPr="00473C7B">
        <w:rPr>
          <w:rFonts w:cs="Arial"/>
          <w:bCs/>
          <w:szCs w:val="22"/>
        </w:rPr>
        <w:t>Following the publication of the proposed rule</w:t>
      </w:r>
      <w:r w:rsidR="00841694" w:rsidRPr="00473C7B">
        <w:rPr>
          <w:rFonts w:cs="Arial"/>
          <w:bCs/>
          <w:szCs w:val="22"/>
        </w:rPr>
        <w:t xml:space="preserve"> and the draft regulatory guide</w:t>
      </w:r>
      <w:r w:rsidRPr="00473C7B">
        <w:rPr>
          <w:rFonts w:cs="Arial"/>
          <w:bCs/>
          <w:szCs w:val="22"/>
        </w:rPr>
        <w:t xml:space="preserve">, the staff </w:t>
      </w:r>
      <w:r w:rsidR="00724C45" w:rsidRPr="00473C7B">
        <w:rPr>
          <w:rFonts w:cs="Arial"/>
          <w:bCs/>
          <w:szCs w:val="22"/>
        </w:rPr>
        <w:t xml:space="preserve">would </w:t>
      </w:r>
      <w:r w:rsidRPr="00473C7B">
        <w:rPr>
          <w:rFonts w:cs="Arial"/>
          <w:bCs/>
          <w:szCs w:val="22"/>
        </w:rPr>
        <w:t xml:space="preserve">revise the proposed rule </w:t>
      </w:r>
      <w:r w:rsidR="00841694" w:rsidRPr="00473C7B">
        <w:rPr>
          <w:rFonts w:cs="Arial"/>
          <w:bCs/>
          <w:szCs w:val="22"/>
        </w:rPr>
        <w:t xml:space="preserve">and draft regulatory guide </w:t>
      </w:r>
      <w:r w:rsidR="00015776">
        <w:rPr>
          <w:rFonts w:cs="Arial"/>
          <w:bCs/>
          <w:szCs w:val="22"/>
        </w:rPr>
        <w:t xml:space="preserve">in response to comments received, </w:t>
      </w:r>
      <w:r w:rsidRPr="00473C7B">
        <w:rPr>
          <w:rFonts w:cs="Arial"/>
          <w:bCs/>
          <w:szCs w:val="22"/>
        </w:rPr>
        <w:t xml:space="preserve">as </w:t>
      </w:r>
      <w:r w:rsidR="00015776">
        <w:rPr>
          <w:rFonts w:cs="Arial"/>
          <w:bCs/>
          <w:szCs w:val="22"/>
        </w:rPr>
        <w:t>necessary,</w:t>
      </w:r>
      <w:r w:rsidRPr="00473C7B">
        <w:rPr>
          <w:rFonts w:cs="Arial"/>
          <w:bCs/>
          <w:szCs w:val="22"/>
        </w:rPr>
        <w:t xml:space="preserve"> and submit a </w:t>
      </w:r>
      <w:r w:rsidR="00660792" w:rsidRPr="00473C7B">
        <w:rPr>
          <w:rFonts w:cs="Arial"/>
          <w:bCs/>
          <w:szCs w:val="22"/>
        </w:rPr>
        <w:t>draft</w:t>
      </w:r>
      <w:r w:rsidRPr="00473C7B">
        <w:rPr>
          <w:rFonts w:cs="Arial"/>
          <w:bCs/>
          <w:szCs w:val="22"/>
        </w:rPr>
        <w:t xml:space="preserve"> final rule</w:t>
      </w:r>
      <w:r w:rsidR="00841694" w:rsidRPr="00473C7B">
        <w:rPr>
          <w:rFonts w:cs="Arial"/>
          <w:bCs/>
          <w:szCs w:val="22"/>
        </w:rPr>
        <w:t xml:space="preserve"> and draft </w:t>
      </w:r>
      <w:r w:rsidR="007E7FC4" w:rsidRPr="00473C7B">
        <w:rPr>
          <w:rFonts w:cs="Arial"/>
          <w:bCs/>
          <w:szCs w:val="22"/>
        </w:rPr>
        <w:t xml:space="preserve">final </w:t>
      </w:r>
      <w:r w:rsidR="00841694" w:rsidRPr="00473C7B">
        <w:rPr>
          <w:rFonts w:cs="Arial"/>
          <w:bCs/>
          <w:szCs w:val="22"/>
        </w:rPr>
        <w:t>regulatory guide</w:t>
      </w:r>
      <w:r w:rsidRPr="00473C7B">
        <w:rPr>
          <w:rFonts w:cs="Arial"/>
          <w:bCs/>
          <w:szCs w:val="22"/>
        </w:rPr>
        <w:t xml:space="preserve"> to the Commission in </w:t>
      </w:r>
      <w:r w:rsidR="00415BF3" w:rsidRPr="00473C7B">
        <w:rPr>
          <w:rFonts w:cs="Arial"/>
          <w:bCs/>
          <w:szCs w:val="22"/>
        </w:rPr>
        <w:t>201</w:t>
      </w:r>
      <w:r w:rsidR="00415BF3">
        <w:rPr>
          <w:rFonts w:cs="Arial"/>
          <w:bCs/>
          <w:szCs w:val="22"/>
        </w:rPr>
        <w:t>6</w:t>
      </w:r>
      <w:r w:rsidRPr="00473C7B">
        <w:rPr>
          <w:rFonts w:cs="Arial"/>
          <w:bCs/>
          <w:szCs w:val="22"/>
        </w:rPr>
        <w:t>.</w:t>
      </w:r>
    </w:p>
    <w:p w:rsidR="00CF37B1" w:rsidRDefault="00CF37B1">
      <w:pPr>
        <w:rPr>
          <w:rFonts w:eastAsiaTheme="majorEastAsia" w:cs="Arial"/>
          <w:b/>
          <w:bCs/>
          <w:szCs w:val="22"/>
        </w:rPr>
      </w:pPr>
      <w:r>
        <w:br w:type="page"/>
      </w:r>
    </w:p>
    <w:p w:rsidR="00650C1E" w:rsidRPr="00473C7B" w:rsidRDefault="00813FB7" w:rsidP="006B2D47">
      <w:pPr>
        <w:pStyle w:val="Heading1"/>
      </w:pPr>
      <w:bookmarkStart w:id="22" w:name="_Toc399760756"/>
      <w:r>
        <w:lastRenderedPageBreak/>
        <w:t>7</w:t>
      </w:r>
      <w:r w:rsidR="00456542" w:rsidRPr="00473C7B">
        <w:t xml:space="preserve">. </w:t>
      </w:r>
      <w:r w:rsidR="00650C1E" w:rsidRPr="00473C7B">
        <w:t>R</w:t>
      </w:r>
      <w:r w:rsidR="00FE2F9C" w:rsidRPr="00473C7B">
        <w:t>eferences</w:t>
      </w:r>
      <w:bookmarkEnd w:id="22"/>
      <w:r w:rsidR="00650C1E" w:rsidRPr="00473C7B">
        <w:t xml:space="preserve"> </w:t>
      </w:r>
    </w:p>
    <w:p w:rsidR="00650C1E" w:rsidRPr="00473C7B" w:rsidRDefault="00650C1E" w:rsidP="00473C7B">
      <w:pPr>
        <w:rPr>
          <w:rFonts w:cs="Arial"/>
          <w:szCs w:val="22"/>
        </w:rPr>
      </w:pPr>
    </w:p>
    <w:p w:rsidR="00DC56DE" w:rsidRPr="00473C7B" w:rsidRDefault="00650C1E" w:rsidP="00537E69">
      <w:pPr>
        <w:numPr>
          <w:ilvl w:val="0"/>
          <w:numId w:val="9"/>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rFonts w:cs="Arial"/>
          <w:szCs w:val="22"/>
        </w:rPr>
      </w:pPr>
      <w:r w:rsidRPr="00473C7B">
        <w:rPr>
          <w:rFonts w:cs="Arial"/>
          <w:szCs w:val="22"/>
        </w:rPr>
        <w:t xml:space="preserve">NUREG/BR-0184, “Regulatory Analysis Technical Evaluation Handbook, Final Report,” </w:t>
      </w:r>
      <w:r w:rsidRPr="00473C7B">
        <w:rPr>
          <w:rFonts w:cs="Arial"/>
          <w:szCs w:val="22"/>
        </w:rPr>
        <w:br/>
        <w:t>U.S. Nuclear Regulatory Commission, Washington, DC, January 1997.</w:t>
      </w:r>
    </w:p>
    <w:p w:rsidR="00650C1E" w:rsidRPr="00473C7B" w:rsidRDefault="00650C1E" w:rsidP="00473C7B">
      <w:pPr>
        <w:tabs>
          <w:tab w:val="left" w:pos="-1152"/>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Arial"/>
          <w:szCs w:val="22"/>
        </w:rPr>
      </w:pPr>
    </w:p>
    <w:p w:rsidR="00DC56DE" w:rsidRPr="00473C7B" w:rsidRDefault="00650C1E" w:rsidP="00537E69">
      <w:pPr>
        <w:numPr>
          <w:ilvl w:val="0"/>
          <w:numId w:val="8"/>
        </w:numPr>
        <w:tabs>
          <w:tab w:val="left" w:pos="-1152"/>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rFonts w:cs="Arial"/>
          <w:szCs w:val="22"/>
        </w:rPr>
      </w:pPr>
      <w:r w:rsidRPr="00473C7B">
        <w:rPr>
          <w:rFonts w:cs="Arial"/>
          <w:szCs w:val="22"/>
        </w:rPr>
        <w:t>NUREG/BR-0058, “Regulatory Analysis Guidelines of the U.S. Nuclear Regulatory Commission,” Revision 4, U.S. Nuclear Regulatory Commission, Washington, DC, September 2004.</w:t>
      </w:r>
    </w:p>
    <w:p w:rsidR="00650C1E" w:rsidRPr="00473C7B" w:rsidRDefault="00650C1E" w:rsidP="00473C7B">
      <w:pPr>
        <w:pStyle w:val="ListParagraph"/>
        <w:rPr>
          <w:rFonts w:cs="Arial"/>
          <w:szCs w:val="22"/>
        </w:rPr>
      </w:pPr>
    </w:p>
    <w:p w:rsidR="00DC56DE" w:rsidRPr="00473C7B" w:rsidRDefault="00650C1E" w:rsidP="00537E69">
      <w:pPr>
        <w:numPr>
          <w:ilvl w:val="0"/>
          <w:numId w:val="8"/>
        </w:numPr>
        <w:tabs>
          <w:tab w:val="left" w:pos="-1152"/>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rFonts w:cs="Arial"/>
          <w:szCs w:val="22"/>
        </w:rPr>
      </w:pPr>
      <w:r w:rsidRPr="00473C7B">
        <w:rPr>
          <w:rFonts w:cs="Arial"/>
          <w:szCs w:val="22"/>
        </w:rPr>
        <w:t>NUREG/CR-4627, "Generic Cost Estimates, Abstracts from Generic Studies for Use in Preparing Regulatory Impact Analyses."</w:t>
      </w:r>
    </w:p>
    <w:p w:rsidR="00650C1E" w:rsidRPr="00473C7B" w:rsidRDefault="00650C1E" w:rsidP="00473C7B">
      <w:pPr>
        <w:pStyle w:val="ListParagraph"/>
        <w:rPr>
          <w:rFonts w:cs="Arial"/>
          <w:szCs w:val="22"/>
        </w:rPr>
      </w:pPr>
    </w:p>
    <w:p w:rsidR="00DC56DE" w:rsidRPr="00473C7B" w:rsidRDefault="00650C1E" w:rsidP="00537E69">
      <w:pPr>
        <w:pStyle w:val="ListParagraph"/>
        <w:widowControl w:val="0"/>
        <w:numPr>
          <w:ilvl w:val="0"/>
          <w:numId w:val="10"/>
        </w:numPr>
        <w:autoSpaceDE w:val="0"/>
        <w:autoSpaceDN w:val="0"/>
        <w:adjustRightInd w:val="0"/>
        <w:ind w:left="360"/>
        <w:contextualSpacing/>
        <w:rPr>
          <w:rFonts w:cs="Arial"/>
          <w:szCs w:val="22"/>
        </w:rPr>
      </w:pPr>
      <w:r w:rsidRPr="00473C7B">
        <w:rPr>
          <w:rFonts w:cs="Arial"/>
          <w:szCs w:val="22"/>
        </w:rPr>
        <w:t>OMB Circular No. A-4, September, 17, 2003.</w:t>
      </w:r>
    </w:p>
    <w:p w:rsidR="00650C1E" w:rsidRDefault="00650C1E" w:rsidP="00473C7B">
      <w:pPr>
        <w:pStyle w:val="ListParagraph"/>
        <w:widowControl w:val="0"/>
        <w:ind w:left="360"/>
        <w:contextualSpacing/>
        <w:rPr>
          <w:rFonts w:cs="Arial"/>
          <w:szCs w:val="22"/>
        </w:rPr>
      </w:pPr>
    </w:p>
    <w:p w:rsidR="00F54A70" w:rsidRPr="002770BA" w:rsidRDefault="00650C1E" w:rsidP="00537E69">
      <w:pPr>
        <w:pStyle w:val="ListParagraph"/>
        <w:widowControl w:val="0"/>
        <w:numPr>
          <w:ilvl w:val="0"/>
          <w:numId w:val="10"/>
        </w:numPr>
        <w:autoSpaceDE w:val="0"/>
        <w:autoSpaceDN w:val="0"/>
        <w:adjustRightInd w:val="0"/>
        <w:ind w:left="360"/>
        <w:contextualSpacing/>
        <w:rPr>
          <w:rFonts w:cs="Arial"/>
          <w:szCs w:val="22"/>
        </w:rPr>
      </w:pPr>
      <w:r w:rsidRPr="00473C7B">
        <w:rPr>
          <w:rFonts w:cs="Arial"/>
          <w:szCs w:val="22"/>
        </w:rPr>
        <w:t xml:space="preserve">Department of Labor (U.S.), Bureau of Labor Statistics.  Occupational Employment Statistics, </w:t>
      </w:r>
      <w:r w:rsidRPr="00473C7B">
        <w:rPr>
          <w:rFonts w:cs="Arial"/>
          <w:kern w:val="36"/>
          <w:szCs w:val="22"/>
        </w:rPr>
        <w:t>Occupational Employment and Wages.</w:t>
      </w:r>
    </w:p>
    <w:p w:rsidR="002770BA" w:rsidRPr="002770BA" w:rsidRDefault="002770BA" w:rsidP="002770BA">
      <w:pPr>
        <w:pStyle w:val="ListParagraph"/>
        <w:rPr>
          <w:rFonts w:cs="Arial"/>
          <w:szCs w:val="22"/>
        </w:rPr>
      </w:pPr>
    </w:p>
    <w:p w:rsidR="002770BA" w:rsidRPr="00B42A73" w:rsidRDefault="002770BA" w:rsidP="00537E69">
      <w:pPr>
        <w:pStyle w:val="ListParagraph"/>
        <w:widowControl w:val="0"/>
        <w:numPr>
          <w:ilvl w:val="0"/>
          <w:numId w:val="10"/>
        </w:numPr>
        <w:autoSpaceDE w:val="0"/>
        <w:autoSpaceDN w:val="0"/>
        <w:adjustRightInd w:val="0"/>
        <w:ind w:left="360"/>
        <w:contextualSpacing/>
        <w:rPr>
          <w:rFonts w:cs="Arial"/>
          <w:szCs w:val="22"/>
        </w:rPr>
      </w:pPr>
      <w:r w:rsidRPr="002770BA">
        <w:rPr>
          <w:rFonts w:cs="Arial"/>
          <w:szCs w:val="22"/>
        </w:rPr>
        <w:t>NRC, “Adequacy and Compatibility of Agreement States Program,” Directive 5.9, February 1998</w:t>
      </w:r>
      <w:r>
        <w:rPr>
          <w:rFonts w:cs="Arial"/>
          <w:szCs w:val="22"/>
        </w:rPr>
        <w:t>.</w:t>
      </w:r>
    </w:p>
    <w:sectPr w:rsidR="002770BA" w:rsidRPr="00B42A73" w:rsidSect="00A44EEB">
      <w:pgSz w:w="12240" w:h="15840"/>
      <w:pgMar w:top="1440" w:right="1440" w:bottom="1440" w:left="1440" w:header="144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4EC" w:rsidRDefault="000C44EC">
      <w:r>
        <w:separator/>
      </w:r>
    </w:p>
  </w:endnote>
  <w:endnote w:type="continuationSeparator" w:id="0">
    <w:p w:rsidR="000C44EC" w:rsidRDefault="000C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4EC" w:rsidRPr="00AE661B" w:rsidRDefault="000C44EC" w:rsidP="004615D2">
    <w:pPr>
      <w:pStyle w:val="Footer"/>
      <w:framePr w:wrap="around" w:vAnchor="text" w:hAnchor="margin" w:xAlign="center" w:y="1"/>
      <w:rPr>
        <w:rStyle w:val="PageNumber"/>
        <w:rFonts w:ascii="Arial" w:hAnsi="Arial" w:cs="Arial"/>
        <w:sz w:val="22"/>
        <w:szCs w:val="22"/>
      </w:rPr>
    </w:pPr>
  </w:p>
  <w:p w:rsidR="000C44EC" w:rsidRPr="001948FA" w:rsidRDefault="000C44EC" w:rsidP="003A5F4D">
    <w:pPr>
      <w:pStyle w:val="Footer"/>
      <w:ind w:right="360"/>
      <w:rPr>
        <w:rFonts w:ascii="Arial" w:hAnsi="Arial" w:cs="Arial"/>
        <w:sz w:val="22"/>
        <w:szCs w:val="22"/>
      </w:rPr>
    </w:pPr>
    <w:r>
      <w:tab/>
    </w:r>
    <w:proofErr w:type="gramStart"/>
    <w:r>
      <w:rPr>
        <w:rFonts w:ascii="Arial" w:hAnsi="Arial" w:cs="Arial"/>
        <w:sz w:val="22"/>
        <w:szCs w:val="22"/>
      </w:rPr>
      <w:t>iii</w:t>
    </w:r>
    <w:proofErr w:type="gramEnd"/>
    <w:r w:rsidRPr="001948FA">
      <w:rPr>
        <w:rFonts w:ascii="Arial" w:hAnsi="Arial" w:cs="Arial"/>
        <w:sz w:val="22"/>
        <w:szCs w:val="2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4EC" w:rsidRPr="001948FA" w:rsidRDefault="000C44EC" w:rsidP="001948FA">
    <w:pPr>
      <w:pStyle w:val="Footer"/>
      <w:rPr>
        <w:rFonts w:ascii="Arial" w:hAnsi="Arial"/>
        <w:sz w:val="22"/>
        <w:szCs w:val="22"/>
      </w:rPr>
    </w:pPr>
    <w:r>
      <w:rPr>
        <w:szCs w:val="22"/>
      </w:rPr>
      <w:tab/>
    </w:r>
    <w:r w:rsidRPr="001948FA">
      <w:rPr>
        <w:rFonts w:ascii="Arial" w:hAnsi="Arial"/>
        <w:sz w:val="22"/>
        <w:szCs w:val="22"/>
      </w:rPr>
      <w:fldChar w:fldCharType="begin"/>
    </w:r>
    <w:r w:rsidRPr="001948FA">
      <w:rPr>
        <w:rFonts w:ascii="Arial" w:hAnsi="Arial"/>
        <w:sz w:val="22"/>
        <w:szCs w:val="22"/>
      </w:rPr>
      <w:instrText xml:space="preserve"> PAGE   \* MERGEFORMAT </w:instrText>
    </w:r>
    <w:r w:rsidRPr="001948FA">
      <w:rPr>
        <w:rFonts w:ascii="Arial" w:hAnsi="Arial"/>
        <w:sz w:val="22"/>
        <w:szCs w:val="22"/>
      </w:rPr>
      <w:fldChar w:fldCharType="separate"/>
    </w:r>
    <w:r w:rsidR="00D17EC5">
      <w:rPr>
        <w:rFonts w:ascii="Arial" w:hAnsi="Arial"/>
        <w:noProof/>
        <w:sz w:val="22"/>
        <w:szCs w:val="22"/>
      </w:rPr>
      <w:t>ii</w:t>
    </w:r>
    <w:r w:rsidRPr="001948FA">
      <w:rPr>
        <w:rFonts w:ascii="Arial" w:hAnsi="Arial"/>
        <w:sz w:val="22"/>
        <w:szCs w:val="22"/>
      </w:rPr>
      <w:fldChar w:fldCharType="end"/>
    </w:r>
    <w:r w:rsidRPr="001948FA">
      <w:rPr>
        <w:rFonts w:ascii="Arial" w:hAnsi="Arial"/>
        <w:sz w:val="22"/>
        <w:szCs w:val="2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013616"/>
      <w:docPartObj>
        <w:docPartGallery w:val="Page Numbers (Bottom of Page)"/>
        <w:docPartUnique/>
      </w:docPartObj>
    </w:sdtPr>
    <w:sdtEndPr>
      <w:rPr>
        <w:rFonts w:ascii="Arial" w:hAnsi="Arial" w:cs="Arial"/>
        <w:noProof/>
        <w:sz w:val="22"/>
        <w:szCs w:val="22"/>
      </w:rPr>
    </w:sdtEndPr>
    <w:sdtContent>
      <w:p w:rsidR="000C44EC" w:rsidRPr="00CC691B" w:rsidRDefault="000C44EC">
        <w:pPr>
          <w:pStyle w:val="Footer"/>
          <w:jc w:val="center"/>
          <w:rPr>
            <w:rFonts w:ascii="Arial" w:hAnsi="Arial" w:cs="Arial"/>
            <w:sz w:val="22"/>
            <w:szCs w:val="22"/>
          </w:rPr>
        </w:pPr>
        <w:r w:rsidRPr="00CC691B">
          <w:rPr>
            <w:rFonts w:ascii="Arial" w:hAnsi="Arial" w:cs="Arial"/>
            <w:sz w:val="22"/>
            <w:szCs w:val="22"/>
          </w:rPr>
          <w:fldChar w:fldCharType="begin"/>
        </w:r>
        <w:r w:rsidRPr="00CC691B">
          <w:rPr>
            <w:rFonts w:ascii="Arial" w:hAnsi="Arial" w:cs="Arial"/>
            <w:sz w:val="22"/>
            <w:szCs w:val="22"/>
          </w:rPr>
          <w:instrText xml:space="preserve"> PAGE   \* MERGEFORMAT </w:instrText>
        </w:r>
        <w:r w:rsidRPr="00CC691B">
          <w:rPr>
            <w:rFonts w:ascii="Arial" w:hAnsi="Arial" w:cs="Arial"/>
            <w:sz w:val="22"/>
            <w:szCs w:val="22"/>
          </w:rPr>
          <w:fldChar w:fldCharType="separate"/>
        </w:r>
        <w:r w:rsidR="00D17EC5">
          <w:rPr>
            <w:rFonts w:ascii="Arial" w:hAnsi="Arial" w:cs="Arial"/>
            <w:noProof/>
            <w:sz w:val="22"/>
            <w:szCs w:val="22"/>
          </w:rPr>
          <w:t>iv</w:t>
        </w:r>
        <w:r w:rsidRPr="00CC691B">
          <w:rPr>
            <w:rFonts w:ascii="Arial" w:hAnsi="Arial" w:cs="Arial"/>
            <w:noProof/>
            <w:sz w:val="22"/>
            <w:szCs w:val="2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03047"/>
      <w:docPartObj>
        <w:docPartGallery w:val="Page Numbers (Bottom of Page)"/>
        <w:docPartUnique/>
      </w:docPartObj>
    </w:sdtPr>
    <w:sdtEndPr>
      <w:rPr>
        <w:noProof/>
      </w:rPr>
    </w:sdtEndPr>
    <w:sdtContent>
      <w:p w:rsidR="000C44EC" w:rsidRDefault="000C44EC">
        <w:pPr>
          <w:pStyle w:val="Footer"/>
          <w:jc w:val="center"/>
        </w:pPr>
        <w:r w:rsidRPr="00CC691B">
          <w:rPr>
            <w:rFonts w:ascii="Arial" w:hAnsi="Arial" w:cs="Arial"/>
            <w:sz w:val="22"/>
            <w:szCs w:val="22"/>
          </w:rPr>
          <w:fldChar w:fldCharType="begin"/>
        </w:r>
        <w:r w:rsidRPr="00CC691B">
          <w:rPr>
            <w:rFonts w:ascii="Arial" w:hAnsi="Arial" w:cs="Arial"/>
            <w:sz w:val="22"/>
            <w:szCs w:val="22"/>
          </w:rPr>
          <w:instrText xml:space="preserve"> PAGE   \* MERGEFORMAT </w:instrText>
        </w:r>
        <w:r w:rsidRPr="00CC691B">
          <w:rPr>
            <w:rFonts w:ascii="Arial" w:hAnsi="Arial" w:cs="Arial"/>
            <w:sz w:val="22"/>
            <w:szCs w:val="22"/>
          </w:rPr>
          <w:fldChar w:fldCharType="separate"/>
        </w:r>
        <w:r w:rsidR="00D17EC5">
          <w:rPr>
            <w:rFonts w:ascii="Arial" w:hAnsi="Arial" w:cs="Arial"/>
            <w:noProof/>
            <w:sz w:val="22"/>
            <w:szCs w:val="22"/>
          </w:rPr>
          <w:t>iii</w:t>
        </w:r>
        <w:r w:rsidRPr="00CC691B">
          <w:rPr>
            <w:rFonts w:ascii="Arial" w:hAnsi="Arial" w:cs="Arial"/>
            <w:noProof/>
            <w:sz w:val="22"/>
            <w:szCs w:val="22"/>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05596"/>
      <w:docPartObj>
        <w:docPartGallery w:val="Page Numbers (Bottom of Page)"/>
        <w:docPartUnique/>
      </w:docPartObj>
    </w:sdtPr>
    <w:sdtEndPr>
      <w:rPr>
        <w:rFonts w:ascii="Arial" w:hAnsi="Arial" w:cs="Arial"/>
        <w:noProof/>
        <w:sz w:val="22"/>
        <w:szCs w:val="22"/>
      </w:rPr>
    </w:sdtEndPr>
    <w:sdtContent>
      <w:p w:rsidR="000C44EC" w:rsidRPr="001900EC" w:rsidRDefault="000C44EC">
        <w:pPr>
          <w:pStyle w:val="Footer"/>
          <w:jc w:val="center"/>
          <w:rPr>
            <w:rFonts w:ascii="Arial" w:hAnsi="Arial" w:cs="Arial"/>
            <w:sz w:val="22"/>
            <w:szCs w:val="22"/>
          </w:rPr>
        </w:pPr>
        <w:r w:rsidRPr="001900EC">
          <w:rPr>
            <w:rFonts w:ascii="Arial" w:hAnsi="Arial" w:cs="Arial"/>
            <w:sz w:val="22"/>
            <w:szCs w:val="22"/>
          </w:rPr>
          <w:fldChar w:fldCharType="begin"/>
        </w:r>
        <w:r w:rsidRPr="001900EC">
          <w:rPr>
            <w:rFonts w:ascii="Arial" w:hAnsi="Arial" w:cs="Arial"/>
            <w:sz w:val="22"/>
            <w:szCs w:val="22"/>
          </w:rPr>
          <w:instrText xml:space="preserve"> PAGE   \* MERGEFORMAT </w:instrText>
        </w:r>
        <w:r w:rsidRPr="001900EC">
          <w:rPr>
            <w:rFonts w:ascii="Arial" w:hAnsi="Arial" w:cs="Arial"/>
            <w:sz w:val="22"/>
            <w:szCs w:val="22"/>
          </w:rPr>
          <w:fldChar w:fldCharType="separate"/>
        </w:r>
        <w:r w:rsidR="00D17EC5">
          <w:rPr>
            <w:rFonts w:ascii="Arial" w:hAnsi="Arial" w:cs="Arial"/>
            <w:noProof/>
            <w:sz w:val="22"/>
            <w:szCs w:val="22"/>
          </w:rPr>
          <w:t>25</w:t>
        </w:r>
        <w:r w:rsidRPr="001900EC">
          <w:rPr>
            <w:rFonts w:ascii="Arial" w:hAnsi="Arial" w:cs="Arial"/>
            <w:noProof/>
            <w:sz w:val="22"/>
            <w:szCs w:val="22"/>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408225"/>
      <w:docPartObj>
        <w:docPartGallery w:val="Page Numbers (Bottom of Page)"/>
        <w:docPartUnique/>
      </w:docPartObj>
    </w:sdtPr>
    <w:sdtEndPr>
      <w:rPr>
        <w:rFonts w:ascii="Arial" w:hAnsi="Arial" w:cs="Arial"/>
        <w:noProof/>
        <w:sz w:val="22"/>
        <w:szCs w:val="22"/>
      </w:rPr>
    </w:sdtEndPr>
    <w:sdtContent>
      <w:p w:rsidR="000C44EC" w:rsidRPr="001900EC" w:rsidRDefault="000C44EC">
        <w:pPr>
          <w:pStyle w:val="Footer"/>
          <w:jc w:val="center"/>
          <w:rPr>
            <w:rFonts w:ascii="Arial" w:hAnsi="Arial" w:cs="Arial"/>
            <w:sz w:val="22"/>
            <w:szCs w:val="22"/>
          </w:rPr>
        </w:pPr>
        <w:r w:rsidRPr="001900EC">
          <w:rPr>
            <w:rFonts w:ascii="Arial" w:hAnsi="Arial" w:cs="Arial"/>
            <w:sz w:val="22"/>
            <w:szCs w:val="22"/>
          </w:rPr>
          <w:fldChar w:fldCharType="begin"/>
        </w:r>
        <w:r w:rsidRPr="001900EC">
          <w:rPr>
            <w:rFonts w:ascii="Arial" w:hAnsi="Arial" w:cs="Arial"/>
            <w:sz w:val="22"/>
            <w:szCs w:val="22"/>
          </w:rPr>
          <w:instrText xml:space="preserve"> PAGE   \* MERGEFORMAT </w:instrText>
        </w:r>
        <w:r w:rsidRPr="001900EC">
          <w:rPr>
            <w:rFonts w:ascii="Arial" w:hAnsi="Arial" w:cs="Arial"/>
            <w:sz w:val="22"/>
            <w:szCs w:val="22"/>
          </w:rPr>
          <w:fldChar w:fldCharType="separate"/>
        </w:r>
        <w:r w:rsidR="00D17EC5">
          <w:rPr>
            <w:rFonts w:ascii="Arial" w:hAnsi="Arial" w:cs="Arial"/>
            <w:noProof/>
            <w:sz w:val="22"/>
            <w:szCs w:val="22"/>
          </w:rPr>
          <w:t>1</w:t>
        </w:r>
        <w:r w:rsidRPr="001900EC">
          <w:rPr>
            <w:rFonts w:ascii="Arial" w:hAnsi="Arial" w:cs="Arial"/>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4EC" w:rsidRDefault="000C44EC">
      <w:r>
        <w:separator/>
      </w:r>
    </w:p>
  </w:footnote>
  <w:footnote w:type="continuationSeparator" w:id="0">
    <w:p w:rsidR="000C44EC" w:rsidRDefault="000C44EC">
      <w:r>
        <w:continuationSeparator/>
      </w:r>
    </w:p>
  </w:footnote>
  <w:footnote w:id="1">
    <w:p w:rsidR="000C44EC" w:rsidRDefault="000C44EC">
      <w:pPr>
        <w:pStyle w:val="FootnoteText"/>
      </w:pPr>
      <w:r w:rsidRPr="00681850">
        <w:rPr>
          <w:rStyle w:val="FootnoteReference"/>
        </w:rPr>
        <w:footnoteRef/>
      </w:r>
      <w:r w:rsidRPr="00681850">
        <w:t xml:space="preserve"> </w:t>
      </w:r>
      <w:r w:rsidRPr="00681850">
        <w:tab/>
        <w:t>NRC, “Final Environmental Impact Statement on 10 CFR Part 61, ‘Licensing Requirements for Land D</w:t>
      </w:r>
      <w:r>
        <w:t xml:space="preserve">isposal of Radioactive Waste,” </w:t>
      </w:r>
      <w:r w:rsidRPr="00681850">
        <w:t>NUREG-0945, Vols. 1–3,</w:t>
      </w:r>
      <w:r>
        <w:t xml:space="preserve"> November 1982, </w:t>
      </w:r>
      <w:proofErr w:type="spellStart"/>
      <w:r w:rsidR="00216F23" w:rsidRPr="00216F23">
        <w:t>Agencywide</w:t>
      </w:r>
      <w:proofErr w:type="spellEnd"/>
      <w:r w:rsidR="00216F23" w:rsidRPr="00216F23">
        <w:t xml:space="preserve"> Documents Access and Management System </w:t>
      </w:r>
      <w:r w:rsidR="00216F23">
        <w:t>(</w:t>
      </w:r>
      <w:r>
        <w:t>ADAMS</w:t>
      </w:r>
      <w:r w:rsidR="00216F23">
        <w:t>)</w:t>
      </w:r>
      <w:r>
        <w:t xml:space="preserve"> Accession</w:t>
      </w:r>
      <w:r w:rsidRPr="00681850">
        <w:t xml:space="preserve"> Nos.</w:t>
      </w:r>
      <w:r>
        <w:t> </w:t>
      </w:r>
      <w:proofErr w:type="gramStart"/>
      <w:r w:rsidRPr="00681850">
        <w:t>ML052590184, ML052920727, and ML052590187.</w:t>
      </w:r>
      <w:proofErr w:type="gramEnd"/>
    </w:p>
    <w:p w:rsidR="000C44EC" w:rsidRDefault="000C44EC" w:rsidP="00681850">
      <w:pPr>
        <w:pStyle w:val="FootnoteText"/>
      </w:pPr>
    </w:p>
  </w:footnote>
  <w:footnote w:id="2">
    <w:p w:rsidR="000C44EC" w:rsidRDefault="000C44EC" w:rsidP="00707A85">
      <w:pPr>
        <w:pStyle w:val="FootnoteText"/>
      </w:pPr>
      <w:r w:rsidRPr="00B247CA">
        <w:rPr>
          <w:rStyle w:val="FootnoteReference"/>
          <w:sz w:val="22"/>
          <w:szCs w:val="22"/>
        </w:rPr>
        <w:footnoteRef/>
      </w:r>
      <w:r w:rsidRPr="00E46E68">
        <w:t xml:space="preserve">  </w:t>
      </w:r>
      <w:r>
        <w:tab/>
      </w:r>
      <w:r w:rsidRPr="00E43E22">
        <w:t xml:space="preserve">Different terminology has historically been used to refer to the timeframe assessed for regulatory compliance or other analyses including “performance period,” “time of compliance,” “compliance period,” and other variants.  </w:t>
      </w:r>
    </w:p>
  </w:footnote>
  <w:footnote w:id="3">
    <w:p w:rsidR="000C44EC" w:rsidRDefault="000C44EC" w:rsidP="00707A85">
      <w:pPr>
        <w:pStyle w:val="FootnoteText"/>
      </w:pPr>
      <w:r w:rsidRPr="00123B6B">
        <w:rPr>
          <w:rStyle w:val="FootnoteReference"/>
        </w:rPr>
        <w:footnoteRef/>
      </w:r>
      <w:r w:rsidRPr="00123B6B">
        <w:t xml:space="preserve">  </w:t>
      </w:r>
      <w:r>
        <w:tab/>
      </w:r>
      <w:proofErr w:type="gramStart"/>
      <w:r w:rsidRPr="00815560">
        <w:t>ICRP, “Radiation Protection Recommendations as Applied to the Disposal of Long-lived Solid Radioactive Waste,” ICRP Publication 81, Annals of the ICRP, Vol. 28, No. 4,</w:t>
      </w:r>
      <w:r>
        <w:t xml:space="preserve"> </w:t>
      </w:r>
      <w:r w:rsidRPr="00815560">
        <w:t>ICRP Publication 81, 2000.</w:t>
      </w:r>
      <w:proofErr w:type="gramEnd"/>
    </w:p>
  </w:footnote>
  <w:footnote w:id="4">
    <w:p w:rsidR="000C44EC" w:rsidRDefault="000C44EC" w:rsidP="00F0556F">
      <w:pPr>
        <w:pStyle w:val="FootnoteText"/>
      </w:pPr>
      <w:r>
        <w:rPr>
          <w:rStyle w:val="FootnoteReference"/>
        </w:rPr>
        <w:footnoteRef/>
      </w:r>
      <w:r>
        <w:t xml:space="preserve"> </w:t>
      </w:r>
      <w:r>
        <w:tab/>
        <w:t>NRC, “</w:t>
      </w:r>
      <w:r>
        <w:rPr>
          <w:rFonts w:cs="Arial"/>
        </w:rPr>
        <w:t>Adequacy and Compatibility of Agreement States Program</w:t>
      </w:r>
      <w:r w:rsidRPr="00D1377E">
        <w:rPr>
          <w:rFonts w:cs="Arial"/>
        </w:rPr>
        <w:t xml:space="preserve">,” </w:t>
      </w:r>
      <w:r>
        <w:rPr>
          <w:rFonts w:cs="Arial"/>
        </w:rPr>
        <w:t>Directive 5.9</w:t>
      </w:r>
      <w:r w:rsidRPr="00D1377E">
        <w:rPr>
          <w:rFonts w:cs="Arial"/>
        </w:rPr>
        <w:t xml:space="preserve">, </w:t>
      </w:r>
      <w:r>
        <w:rPr>
          <w:rFonts w:cs="Arial"/>
        </w:rPr>
        <w:t>February 1998,</w:t>
      </w:r>
      <w:r w:rsidRPr="00D1377E">
        <w:rPr>
          <w:rFonts w:cs="Arial"/>
        </w:rPr>
        <w:t xml:space="preserve"> AD</w:t>
      </w:r>
      <w:r>
        <w:rPr>
          <w:rFonts w:cs="Arial"/>
        </w:rPr>
        <w:t xml:space="preserve">AMS Accession No. </w:t>
      </w:r>
      <w:r w:rsidRPr="001900F8">
        <w:rPr>
          <w:rFonts w:cs="Arial"/>
        </w:rPr>
        <w:t>ML041770094</w:t>
      </w:r>
      <w:r>
        <w:rPr>
          <w:rFonts w:cs="Arial"/>
        </w:rPr>
        <w:t>.</w:t>
      </w:r>
    </w:p>
  </w:footnote>
  <w:footnote w:id="5">
    <w:p w:rsidR="000C44EC" w:rsidRDefault="000C44EC">
      <w:pPr>
        <w:pStyle w:val="FootnoteText"/>
      </w:pPr>
      <w:r>
        <w:rPr>
          <w:rStyle w:val="FootnoteReference"/>
        </w:rPr>
        <w:footnoteRef/>
      </w:r>
      <w:r>
        <w:t xml:space="preserve"> </w:t>
      </w:r>
      <w:r>
        <w:tab/>
      </w:r>
      <w:r w:rsidRPr="00CA5589">
        <w:rPr>
          <w:rFonts w:cs="Arial"/>
          <w:szCs w:val="22"/>
        </w:rPr>
        <w:t xml:space="preserve">NUREG/BR-0058, </w:t>
      </w:r>
      <w:r>
        <w:t>“</w:t>
      </w:r>
      <w:r w:rsidRPr="007978B1">
        <w:rPr>
          <w:rFonts w:cs="Arial"/>
        </w:rPr>
        <w:t xml:space="preserve">Regulatory Analysis </w:t>
      </w:r>
      <w:r w:rsidRPr="00D1377E">
        <w:rPr>
          <w:rFonts w:cs="Arial"/>
        </w:rPr>
        <w:t xml:space="preserve">Guidelines of the U.S. Nuclear Regulatory Commission,” </w:t>
      </w:r>
      <w:r w:rsidRPr="00CA5589">
        <w:rPr>
          <w:rFonts w:cs="Arial"/>
          <w:szCs w:val="22"/>
        </w:rPr>
        <w:t xml:space="preserve">the NRC’s staff guidance for regulatory analyses, states that, “in evaluating a new requirement...the staff should assume that all existing NRC requirements have been implemented.”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4EC" w:rsidRPr="00DD06C5" w:rsidRDefault="000C44EC" w:rsidP="00836C1B">
    <w:pPr>
      <w:pStyle w:val="Header"/>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3447"/>
    <w:multiLevelType w:val="multilevel"/>
    <w:tmpl w:val="7B0E556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5B05907"/>
    <w:multiLevelType w:val="hybridMultilevel"/>
    <w:tmpl w:val="9D86CB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17D64"/>
    <w:multiLevelType w:val="multilevel"/>
    <w:tmpl w:val="E66C572C"/>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3">
    <w:nsid w:val="0C8B6294"/>
    <w:multiLevelType w:val="hybridMultilevel"/>
    <w:tmpl w:val="43404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5B5B74"/>
    <w:multiLevelType w:val="hybridMultilevel"/>
    <w:tmpl w:val="8780AEFA"/>
    <w:lvl w:ilvl="0" w:tplc="6B2E628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D4F07"/>
    <w:multiLevelType w:val="hybridMultilevel"/>
    <w:tmpl w:val="F17CE3FC"/>
    <w:lvl w:ilvl="0" w:tplc="B39E54BC">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815A4D"/>
    <w:multiLevelType w:val="hybridMultilevel"/>
    <w:tmpl w:val="26CA88DC"/>
    <w:lvl w:ilvl="0" w:tplc="EAAEA95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401D50"/>
    <w:multiLevelType w:val="multilevel"/>
    <w:tmpl w:val="AB2E809C"/>
    <w:lvl w:ilvl="0">
      <w:start w:val="1"/>
      <w:numFmt w:val="decimal"/>
      <w:lvlText w:val="%1."/>
      <w:lvlJc w:val="left"/>
      <w:pPr>
        <w:ind w:left="1440" w:hanging="360"/>
      </w:pPr>
      <w:rPr>
        <w:rFonts w:hint="default"/>
      </w:rPr>
    </w:lvl>
    <w:lvl w:ilvl="1">
      <w:start w:val="2"/>
      <w:numFmt w:val="decimal"/>
      <w:isLgl/>
      <w:lvlText w:val="%1.%2"/>
      <w:lvlJc w:val="left"/>
      <w:pPr>
        <w:ind w:left="1810" w:hanging="730"/>
      </w:pPr>
      <w:rPr>
        <w:rFonts w:hint="default"/>
        <w:u w:val="single"/>
      </w:rPr>
    </w:lvl>
    <w:lvl w:ilvl="2">
      <w:start w:val="1"/>
      <w:numFmt w:val="decimal"/>
      <w:isLgl/>
      <w:lvlText w:val="%1.%2.%3"/>
      <w:lvlJc w:val="left"/>
      <w:pPr>
        <w:ind w:left="1810" w:hanging="730"/>
      </w:pPr>
      <w:rPr>
        <w:rFonts w:hint="default"/>
        <w:u w:val="single"/>
      </w:rPr>
    </w:lvl>
    <w:lvl w:ilvl="3">
      <w:start w:val="1"/>
      <w:numFmt w:val="decimal"/>
      <w:isLgl/>
      <w:lvlText w:val="%1.%2.%3.%4"/>
      <w:lvlJc w:val="left"/>
      <w:pPr>
        <w:ind w:left="1810" w:hanging="730"/>
      </w:pPr>
      <w:rPr>
        <w:rFonts w:hint="default"/>
        <w:u w:val="single"/>
      </w:rPr>
    </w:lvl>
    <w:lvl w:ilvl="4">
      <w:start w:val="1"/>
      <w:numFmt w:val="decimal"/>
      <w:isLgl/>
      <w:lvlText w:val="%1.%2.%3.%4.%5"/>
      <w:lvlJc w:val="left"/>
      <w:pPr>
        <w:ind w:left="2160" w:hanging="1080"/>
      </w:pPr>
      <w:rPr>
        <w:rFonts w:hint="default"/>
        <w:u w:val="single"/>
      </w:rPr>
    </w:lvl>
    <w:lvl w:ilvl="5">
      <w:start w:val="1"/>
      <w:numFmt w:val="decimal"/>
      <w:isLgl/>
      <w:lvlText w:val="%1.%2.%3.%4.%5.%6"/>
      <w:lvlJc w:val="left"/>
      <w:pPr>
        <w:ind w:left="2160" w:hanging="1080"/>
      </w:pPr>
      <w:rPr>
        <w:rFonts w:hint="default"/>
        <w:u w:val="single"/>
      </w:rPr>
    </w:lvl>
    <w:lvl w:ilvl="6">
      <w:start w:val="1"/>
      <w:numFmt w:val="decimal"/>
      <w:isLgl/>
      <w:lvlText w:val="%1.%2.%3.%4.%5.%6.%7"/>
      <w:lvlJc w:val="left"/>
      <w:pPr>
        <w:ind w:left="2520" w:hanging="1440"/>
      </w:pPr>
      <w:rPr>
        <w:rFonts w:hint="default"/>
        <w:u w:val="single"/>
      </w:rPr>
    </w:lvl>
    <w:lvl w:ilvl="7">
      <w:start w:val="1"/>
      <w:numFmt w:val="decimal"/>
      <w:isLgl/>
      <w:lvlText w:val="%1.%2.%3.%4.%5.%6.%7.%8"/>
      <w:lvlJc w:val="left"/>
      <w:pPr>
        <w:ind w:left="2520" w:hanging="1440"/>
      </w:pPr>
      <w:rPr>
        <w:rFonts w:hint="default"/>
        <w:u w:val="single"/>
      </w:rPr>
    </w:lvl>
    <w:lvl w:ilvl="8">
      <w:start w:val="1"/>
      <w:numFmt w:val="decimal"/>
      <w:isLgl/>
      <w:lvlText w:val="%1.%2.%3.%4.%5.%6.%7.%8.%9"/>
      <w:lvlJc w:val="left"/>
      <w:pPr>
        <w:ind w:left="2880" w:hanging="1800"/>
      </w:pPr>
      <w:rPr>
        <w:rFonts w:hint="default"/>
        <w:u w:val="single"/>
      </w:rPr>
    </w:lvl>
  </w:abstractNum>
  <w:abstractNum w:abstractNumId="8">
    <w:nsid w:val="24003C16"/>
    <w:multiLevelType w:val="hybridMultilevel"/>
    <w:tmpl w:val="9C5841B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2900228D"/>
    <w:multiLevelType w:val="hybridMultilevel"/>
    <w:tmpl w:val="8780AEFA"/>
    <w:lvl w:ilvl="0" w:tplc="6B2E628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4D548F"/>
    <w:multiLevelType w:val="hybridMultilevel"/>
    <w:tmpl w:val="7324B7D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4C778A"/>
    <w:multiLevelType w:val="hybridMultilevel"/>
    <w:tmpl w:val="D1F0759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87772E3"/>
    <w:multiLevelType w:val="hybridMultilevel"/>
    <w:tmpl w:val="376800CC"/>
    <w:lvl w:ilvl="0" w:tplc="D67268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9E0E4F"/>
    <w:multiLevelType w:val="hybridMultilevel"/>
    <w:tmpl w:val="A2EE2FB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50536B"/>
    <w:multiLevelType w:val="hybridMultilevel"/>
    <w:tmpl w:val="FC2CD02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43717F43"/>
    <w:multiLevelType w:val="multilevel"/>
    <w:tmpl w:val="617ADF02"/>
    <w:lvl w:ilvl="0">
      <w:start w:val="1"/>
      <w:numFmt w:val="decimal"/>
      <w:lvlText w:val="%1."/>
      <w:lvlJc w:val="left"/>
      <w:pPr>
        <w:ind w:left="360" w:hanging="360"/>
      </w:pPr>
      <w:rPr>
        <w:rFonts w:hint="default"/>
      </w:rPr>
    </w:lvl>
    <w:lvl w:ilvl="1">
      <w:start w:val="2"/>
      <w:numFmt w:val="decimal"/>
      <w:isLgl/>
      <w:lvlText w:val="%1.%2"/>
      <w:lvlJc w:val="left"/>
      <w:pPr>
        <w:ind w:left="555" w:hanging="555"/>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454C38DB"/>
    <w:multiLevelType w:val="hybridMultilevel"/>
    <w:tmpl w:val="A23673B8"/>
    <w:lvl w:ilvl="0" w:tplc="EAAEA95E">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3D5510"/>
    <w:multiLevelType w:val="hybridMultilevel"/>
    <w:tmpl w:val="F25A3114"/>
    <w:lvl w:ilvl="0" w:tplc="22F8060A">
      <w:start w:val="1"/>
      <w:numFmt w:val="bullet"/>
      <w:lvlText w:val=""/>
      <w:lvlJc w:val="left"/>
      <w:pPr>
        <w:tabs>
          <w:tab w:val="num" w:pos="720"/>
        </w:tabs>
        <w:ind w:left="720" w:hanging="360"/>
      </w:pPr>
      <w:rPr>
        <w:rFonts w:ascii="Symbol" w:hAnsi="Symbol" w:hint="default"/>
        <w:color w:val="auto"/>
        <w:sz w:val="16"/>
        <w:szCs w:val="16"/>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0657DD9"/>
    <w:multiLevelType w:val="hybridMultilevel"/>
    <w:tmpl w:val="6E8A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3E6351"/>
    <w:multiLevelType w:val="multilevel"/>
    <w:tmpl w:val="E66C572C"/>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20">
    <w:nsid w:val="53D01179"/>
    <w:multiLevelType w:val="hybridMultilevel"/>
    <w:tmpl w:val="27C4DA86"/>
    <w:lvl w:ilvl="0" w:tplc="0E10DAAC">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4E094A"/>
    <w:multiLevelType w:val="hybridMultilevel"/>
    <w:tmpl w:val="0BF2C650"/>
    <w:lvl w:ilvl="0" w:tplc="DDAEDA20">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F5154A"/>
    <w:multiLevelType w:val="multilevel"/>
    <w:tmpl w:val="E66C572C"/>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23">
    <w:nsid w:val="56A9555A"/>
    <w:multiLevelType w:val="hybridMultilevel"/>
    <w:tmpl w:val="5DDC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9D70B5"/>
    <w:multiLevelType w:val="multilevel"/>
    <w:tmpl w:val="5BF687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5D0023A2"/>
    <w:multiLevelType w:val="hybridMultilevel"/>
    <w:tmpl w:val="26922B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2D5C3B"/>
    <w:multiLevelType w:val="hybridMultilevel"/>
    <w:tmpl w:val="2B9A28D4"/>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8317166"/>
    <w:multiLevelType w:val="hybridMultilevel"/>
    <w:tmpl w:val="EC2CFE44"/>
    <w:lvl w:ilvl="0" w:tplc="8C4CA498">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8DB5E70"/>
    <w:multiLevelType w:val="hybridMultilevel"/>
    <w:tmpl w:val="84EA88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6981348B"/>
    <w:multiLevelType w:val="hybridMultilevel"/>
    <w:tmpl w:val="D8641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3F12AE"/>
    <w:multiLevelType w:val="hybridMultilevel"/>
    <w:tmpl w:val="F17CE3FC"/>
    <w:lvl w:ilvl="0" w:tplc="B39E54BC">
      <w:start w:val="7"/>
      <w:numFmt w:val="lowerLetter"/>
      <w:lvlText w:val="%1)"/>
      <w:lvlJc w:val="left"/>
      <w:pPr>
        <w:ind w:left="28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E8F32E8"/>
    <w:multiLevelType w:val="hybridMultilevel"/>
    <w:tmpl w:val="26922B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F95654"/>
    <w:multiLevelType w:val="hybridMultilevel"/>
    <w:tmpl w:val="27C4DA86"/>
    <w:lvl w:ilvl="0" w:tplc="0E10DAAC">
      <w:start w:val="5"/>
      <w:numFmt w:val="lowerLetter"/>
      <w:lvlText w:val="%1)"/>
      <w:lvlJc w:val="left"/>
      <w:pPr>
        <w:ind w:left="864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3">
    <w:nsid w:val="788E2BBB"/>
    <w:multiLevelType w:val="multilevel"/>
    <w:tmpl w:val="46941712"/>
    <w:lvl w:ilvl="0">
      <w:start w:val="4"/>
      <w:numFmt w:val="decimal"/>
      <w:lvlText w:val="%1."/>
      <w:lvlJc w:val="left"/>
      <w:pPr>
        <w:ind w:left="360" w:hanging="360"/>
      </w:pPr>
      <w:rPr>
        <w:rFonts w:hint="default"/>
      </w:rPr>
    </w:lvl>
    <w:lvl w:ilvl="1">
      <w:start w:val="2"/>
      <w:numFmt w:val="decimal"/>
      <w:isLgl/>
      <w:lvlText w:val="%1.%2"/>
      <w:lvlJc w:val="left"/>
      <w:pPr>
        <w:ind w:left="555" w:hanging="555"/>
      </w:pPr>
      <w:rPr>
        <w:rFonts w:hint="default"/>
      </w:rPr>
    </w:lvl>
    <w:lvl w:ilvl="2">
      <w:start w:val="4"/>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7AA73573"/>
    <w:multiLevelType w:val="hybridMultilevel"/>
    <w:tmpl w:val="2B84B344"/>
    <w:lvl w:ilvl="0" w:tplc="0EF8BB40">
      <w:start w:val="6"/>
      <w:numFmt w:val="decimal"/>
      <w:lvlText w:val="%1."/>
      <w:lvlJc w:val="left"/>
      <w:pPr>
        <w:ind w:left="-36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nsid w:val="7B1350ED"/>
    <w:multiLevelType w:val="hybridMultilevel"/>
    <w:tmpl w:val="D2B609C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
    <w:nsid w:val="7EBA781B"/>
    <w:multiLevelType w:val="hybridMultilevel"/>
    <w:tmpl w:val="0BF2C650"/>
    <w:lvl w:ilvl="0" w:tplc="DDAEDA20">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7"/>
  </w:num>
  <w:num w:numId="3">
    <w:abstractNumId w:val="13"/>
  </w:num>
  <w:num w:numId="4">
    <w:abstractNumId w:val="35"/>
  </w:num>
  <w:num w:numId="5">
    <w:abstractNumId w:val="7"/>
  </w:num>
  <w:num w:numId="6">
    <w:abstractNumId w:val="12"/>
  </w:num>
  <w:num w:numId="7">
    <w:abstractNumId w:val="10"/>
  </w:num>
  <w:num w:numId="8">
    <w:abstractNumId w:val="23"/>
  </w:num>
  <w:num w:numId="9">
    <w:abstractNumId w:val="18"/>
  </w:num>
  <w:num w:numId="10">
    <w:abstractNumId w:val="29"/>
  </w:num>
  <w:num w:numId="11">
    <w:abstractNumId w:val="14"/>
  </w:num>
  <w:num w:numId="12">
    <w:abstractNumId w:val="22"/>
  </w:num>
  <w:num w:numId="13">
    <w:abstractNumId w:val="0"/>
  </w:num>
  <w:num w:numId="14">
    <w:abstractNumId w:val="34"/>
  </w:num>
  <w:num w:numId="15">
    <w:abstractNumId w:val="11"/>
  </w:num>
  <w:num w:numId="16">
    <w:abstractNumId w:val="15"/>
  </w:num>
  <w:num w:numId="17">
    <w:abstractNumId w:val="9"/>
  </w:num>
  <w:num w:numId="18">
    <w:abstractNumId w:val="6"/>
  </w:num>
  <w:num w:numId="19">
    <w:abstractNumId w:val="21"/>
  </w:num>
  <w:num w:numId="20">
    <w:abstractNumId w:val="20"/>
  </w:num>
  <w:num w:numId="21">
    <w:abstractNumId w:val="5"/>
  </w:num>
  <w:num w:numId="22">
    <w:abstractNumId w:val="33"/>
  </w:num>
  <w:num w:numId="23">
    <w:abstractNumId w:val="31"/>
  </w:num>
  <w:num w:numId="24">
    <w:abstractNumId w:val="28"/>
  </w:num>
  <w:num w:numId="25">
    <w:abstractNumId w:val="8"/>
  </w:num>
  <w:num w:numId="26">
    <w:abstractNumId w:val="26"/>
  </w:num>
  <w:num w:numId="27">
    <w:abstractNumId w:val="4"/>
  </w:num>
  <w:num w:numId="28">
    <w:abstractNumId w:val="16"/>
  </w:num>
  <w:num w:numId="29">
    <w:abstractNumId w:val="36"/>
  </w:num>
  <w:num w:numId="30">
    <w:abstractNumId w:val="32"/>
  </w:num>
  <w:num w:numId="31">
    <w:abstractNumId w:val="30"/>
  </w:num>
  <w:num w:numId="32">
    <w:abstractNumId w:val="25"/>
  </w:num>
  <w:num w:numId="33">
    <w:abstractNumId w:val="24"/>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num>
  <w:num w:numId="54">
    <w:abstractNumId w:val="3"/>
  </w:num>
  <w:num w:numId="55">
    <w:abstractNumId w:val="19"/>
  </w:num>
  <w:num w:numId="56">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3AE"/>
    <w:rsid w:val="00000789"/>
    <w:rsid w:val="000007FD"/>
    <w:rsid w:val="0000088B"/>
    <w:rsid w:val="000012BD"/>
    <w:rsid w:val="0000193B"/>
    <w:rsid w:val="00002EDD"/>
    <w:rsid w:val="000030CD"/>
    <w:rsid w:val="00003BB9"/>
    <w:rsid w:val="00004036"/>
    <w:rsid w:val="00005985"/>
    <w:rsid w:val="0000709B"/>
    <w:rsid w:val="0000710F"/>
    <w:rsid w:val="000072C0"/>
    <w:rsid w:val="00007FCC"/>
    <w:rsid w:val="0001005F"/>
    <w:rsid w:val="000107F9"/>
    <w:rsid w:val="00011870"/>
    <w:rsid w:val="00012110"/>
    <w:rsid w:val="00012A75"/>
    <w:rsid w:val="00012E8B"/>
    <w:rsid w:val="000131FB"/>
    <w:rsid w:val="00013C84"/>
    <w:rsid w:val="00013D40"/>
    <w:rsid w:val="00014A10"/>
    <w:rsid w:val="00014B3B"/>
    <w:rsid w:val="00015137"/>
    <w:rsid w:val="00015776"/>
    <w:rsid w:val="00015CC3"/>
    <w:rsid w:val="00016416"/>
    <w:rsid w:val="00017717"/>
    <w:rsid w:val="00020BF7"/>
    <w:rsid w:val="00020CFC"/>
    <w:rsid w:val="00021CF4"/>
    <w:rsid w:val="00021F55"/>
    <w:rsid w:val="0002392A"/>
    <w:rsid w:val="00024133"/>
    <w:rsid w:val="000257B0"/>
    <w:rsid w:val="0002749A"/>
    <w:rsid w:val="00027853"/>
    <w:rsid w:val="000279F6"/>
    <w:rsid w:val="00027D4E"/>
    <w:rsid w:val="0003074B"/>
    <w:rsid w:val="00030907"/>
    <w:rsid w:val="00031065"/>
    <w:rsid w:val="00031BA8"/>
    <w:rsid w:val="0003293C"/>
    <w:rsid w:val="00032CC1"/>
    <w:rsid w:val="00033578"/>
    <w:rsid w:val="00033A40"/>
    <w:rsid w:val="00033BC6"/>
    <w:rsid w:val="00034F5D"/>
    <w:rsid w:val="00035386"/>
    <w:rsid w:val="0003580C"/>
    <w:rsid w:val="00035B59"/>
    <w:rsid w:val="0003643F"/>
    <w:rsid w:val="00036669"/>
    <w:rsid w:val="00041B5C"/>
    <w:rsid w:val="000427FF"/>
    <w:rsid w:val="00043648"/>
    <w:rsid w:val="000452DA"/>
    <w:rsid w:val="0004545B"/>
    <w:rsid w:val="0004590F"/>
    <w:rsid w:val="0004596E"/>
    <w:rsid w:val="00045BF1"/>
    <w:rsid w:val="00045D66"/>
    <w:rsid w:val="0004616C"/>
    <w:rsid w:val="000462AA"/>
    <w:rsid w:val="00047AEF"/>
    <w:rsid w:val="00047FE2"/>
    <w:rsid w:val="00050F64"/>
    <w:rsid w:val="00051B0E"/>
    <w:rsid w:val="0005206C"/>
    <w:rsid w:val="0005346E"/>
    <w:rsid w:val="00053B63"/>
    <w:rsid w:val="00054E88"/>
    <w:rsid w:val="00055B6F"/>
    <w:rsid w:val="000565BB"/>
    <w:rsid w:val="00056F20"/>
    <w:rsid w:val="0005763B"/>
    <w:rsid w:val="00057690"/>
    <w:rsid w:val="0005776D"/>
    <w:rsid w:val="000607F8"/>
    <w:rsid w:val="00062228"/>
    <w:rsid w:val="00062676"/>
    <w:rsid w:val="00062E92"/>
    <w:rsid w:val="0006301B"/>
    <w:rsid w:val="00063160"/>
    <w:rsid w:val="000631D2"/>
    <w:rsid w:val="00063541"/>
    <w:rsid w:val="00063E5F"/>
    <w:rsid w:val="00063F59"/>
    <w:rsid w:val="0006403F"/>
    <w:rsid w:val="00064579"/>
    <w:rsid w:val="00070447"/>
    <w:rsid w:val="00071132"/>
    <w:rsid w:val="0007171D"/>
    <w:rsid w:val="00071F0D"/>
    <w:rsid w:val="0007309E"/>
    <w:rsid w:val="000731D9"/>
    <w:rsid w:val="00073474"/>
    <w:rsid w:val="00075953"/>
    <w:rsid w:val="00075ED8"/>
    <w:rsid w:val="000764BD"/>
    <w:rsid w:val="00076D4C"/>
    <w:rsid w:val="00077C40"/>
    <w:rsid w:val="00077E22"/>
    <w:rsid w:val="000804C4"/>
    <w:rsid w:val="00080586"/>
    <w:rsid w:val="00080AEF"/>
    <w:rsid w:val="00081FD6"/>
    <w:rsid w:val="00083B21"/>
    <w:rsid w:val="00085731"/>
    <w:rsid w:val="000860CD"/>
    <w:rsid w:val="0008626B"/>
    <w:rsid w:val="00087081"/>
    <w:rsid w:val="000870D0"/>
    <w:rsid w:val="00090397"/>
    <w:rsid w:val="00090639"/>
    <w:rsid w:val="00093B73"/>
    <w:rsid w:val="00094B30"/>
    <w:rsid w:val="00094CD5"/>
    <w:rsid w:val="00096D99"/>
    <w:rsid w:val="00097184"/>
    <w:rsid w:val="00097C06"/>
    <w:rsid w:val="000A005F"/>
    <w:rsid w:val="000A05AC"/>
    <w:rsid w:val="000A1890"/>
    <w:rsid w:val="000A2126"/>
    <w:rsid w:val="000A2CE2"/>
    <w:rsid w:val="000A2E24"/>
    <w:rsid w:val="000A2E8F"/>
    <w:rsid w:val="000A494E"/>
    <w:rsid w:val="000A5B19"/>
    <w:rsid w:val="000A60D3"/>
    <w:rsid w:val="000A6B32"/>
    <w:rsid w:val="000A7C0A"/>
    <w:rsid w:val="000A7DD8"/>
    <w:rsid w:val="000B029A"/>
    <w:rsid w:val="000B0F56"/>
    <w:rsid w:val="000B1939"/>
    <w:rsid w:val="000B263D"/>
    <w:rsid w:val="000B3246"/>
    <w:rsid w:val="000B34F1"/>
    <w:rsid w:val="000B387F"/>
    <w:rsid w:val="000B4547"/>
    <w:rsid w:val="000B457C"/>
    <w:rsid w:val="000B5907"/>
    <w:rsid w:val="000B636D"/>
    <w:rsid w:val="000B7513"/>
    <w:rsid w:val="000B7B2F"/>
    <w:rsid w:val="000B7CD4"/>
    <w:rsid w:val="000C068D"/>
    <w:rsid w:val="000C0759"/>
    <w:rsid w:val="000C20EC"/>
    <w:rsid w:val="000C2B6A"/>
    <w:rsid w:val="000C2C34"/>
    <w:rsid w:val="000C3D75"/>
    <w:rsid w:val="000C44EC"/>
    <w:rsid w:val="000C57F6"/>
    <w:rsid w:val="000C7089"/>
    <w:rsid w:val="000C7286"/>
    <w:rsid w:val="000D0BC4"/>
    <w:rsid w:val="000D0C6C"/>
    <w:rsid w:val="000D1336"/>
    <w:rsid w:val="000D3415"/>
    <w:rsid w:val="000D4429"/>
    <w:rsid w:val="000D4579"/>
    <w:rsid w:val="000D4912"/>
    <w:rsid w:val="000D5AB6"/>
    <w:rsid w:val="000D5E42"/>
    <w:rsid w:val="000D60D4"/>
    <w:rsid w:val="000D65CF"/>
    <w:rsid w:val="000D7167"/>
    <w:rsid w:val="000D75EF"/>
    <w:rsid w:val="000D77F0"/>
    <w:rsid w:val="000D7AFB"/>
    <w:rsid w:val="000D7FA1"/>
    <w:rsid w:val="000D7FD3"/>
    <w:rsid w:val="000E032B"/>
    <w:rsid w:val="000E1249"/>
    <w:rsid w:val="000E151E"/>
    <w:rsid w:val="000E34E0"/>
    <w:rsid w:val="000E4879"/>
    <w:rsid w:val="000E519C"/>
    <w:rsid w:val="000E521A"/>
    <w:rsid w:val="000E531D"/>
    <w:rsid w:val="000E5B5F"/>
    <w:rsid w:val="000E7109"/>
    <w:rsid w:val="000E7207"/>
    <w:rsid w:val="000E7B1C"/>
    <w:rsid w:val="000F0AC0"/>
    <w:rsid w:val="000F0FD5"/>
    <w:rsid w:val="000F1348"/>
    <w:rsid w:val="000F193F"/>
    <w:rsid w:val="000F20AE"/>
    <w:rsid w:val="000F24FD"/>
    <w:rsid w:val="000F2924"/>
    <w:rsid w:val="000F2F49"/>
    <w:rsid w:val="000F54E4"/>
    <w:rsid w:val="000F583E"/>
    <w:rsid w:val="000F61D9"/>
    <w:rsid w:val="000F6681"/>
    <w:rsid w:val="000F67AB"/>
    <w:rsid w:val="000F7371"/>
    <w:rsid w:val="00100927"/>
    <w:rsid w:val="00102A96"/>
    <w:rsid w:val="00102ECC"/>
    <w:rsid w:val="001044A9"/>
    <w:rsid w:val="001045ED"/>
    <w:rsid w:val="0010610D"/>
    <w:rsid w:val="001066B6"/>
    <w:rsid w:val="001067CF"/>
    <w:rsid w:val="001067D0"/>
    <w:rsid w:val="00106F3E"/>
    <w:rsid w:val="001072D2"/>
    <w:rsid w:val="001077CE"/>
    <w:rsid w:val="00107D6C"/>
    <w:rsid w:val="00107E3F"/>
    <w:rsid w:val="001101BA"/>
    <w:rsid w:val="001107E4"/>
    <w:rsid w:val="0011172E"/>
    <w:rsid w:val="00111B7E"/>
    <w:rsid w:val="00111C0A"/>
    <w:rsid w:val="001123B4"/>
    <w:rsid w:val="0011330D"/>
    <w:rsid w:val="0011371C"/>
    <w:rsid w:val="001140C7"/>
    <w:rsid w:val="00114436"/>
    <w:rsid w:val="0011444D"/>
    <w:rsid w:val="00114770"/>
    <w:rsid w:val="00114EAA"/>
    <w:rsid w:val="001152BF"/>
    <w:rsid w:val="0011559D"/>
    <w:rsid w:val="00115968"/>
    <w:rsid w:val="00115D53"/>
    <w:rsid w:val="001162F3"/>
    <w:rsid w:val="00117106"/>
    <w:rsid w:val="00120187"/>
    <w:rsid w:val="0012033F"/>
    <w:rsid w:val="00120478"/>
    <w:rsid w:val="00120B1D"/>
    <w:rsid w:val="00121A06"/>
    <w:rsid w:val="00121BEF"/>
    <w:rsid w:val="00121DBA"/>
    <w:rsid w:val="00123549"/>
    <w:rsid w:val="001240E7"/>
    <w:rsid w:val="001247D9"/>
    <w:rsid w:val="00124F87"/>
    <w:rsid w:val="00125127"/>
    <w:rsid w:val="0012525D"/>
    <w:rsid w:val="00125E76"/>
    <w:rsid w:val="00126955"/>
    <w:rsid w:val="00126ADE"/>
    <w:rsid w:val="00126C46"/>
    <w:rsid w:val="00130472"/>
    <w:rsid w:val="00131BE5"/>
    <w:rsid w:val="00133419"/>
    <w:rsid w:val="00134A90"/>
    <w:rsid w:val="00134C89"/>
    <w:rsid w:val="001354BF"/>
    <w:rsid w:val="00135748"/>
    <w:rsid w:val="00140CD8"/>
    <w:rsid w:val="001428DA"/>
    <w:rsid w:val="001429FF"/>
    <w:rsid w:val="00142D82"/>
    <w:rsid w:val="00143922"/>
    <w:rsid w:val="001446E0"/>
    <w:rsid w:val="00144879"/>
    <w:rsid w:val="00145AAA"/>
    <w:rsid w:val="001461F0"/>
    <w:rsid w:val="0014655B"/>
    <w:rsid w:val="001467DA"/>
    <w:rsid w:val="00147355"/>
    <w:rsid w:val="00147BF7"/>
    <w:rsid w:val="001508F2"/>
    <w:rsid w:val="00150B5D"/>
    <w:rsid w:val="00151594"/>
    <w:rsid w:val="00151D83"/>
    <w:rsid w:val="001523C6"/>
    <w:rsid w:val="00152675"/>
    <w:rsid w:val="0015342E"/>
    <w:rsid w:val="00154374"/>
    <w:rsid w:val="00155D1C"/>
    <w:rsid w:val="0015658C"/>
    <w:rsid w:val="00156772"/>
    <w:rsid w:val="00156AD2"/>
    <w:rsid w:val="00156B11"/>
    <w:rsid w:val="00156DFB"/>
    <w:rsid w:val="001572B8"/>
    <w:rsid w:val="001577CD"/>
    <w:rsid w:val="00157C79"/>
    <w:rsid w:val="001619BF"/>
    <w:rsid w:val="00161DC6"/>
    <w:rsid w:val="001623D1"/>
    <w:rsid w:val="001626A2"/>
    <w:rsid w:val="0016299B"/>
    <w:rsid w:val="00163B2F"/>
    <w:rsid w:val="00163FE4"/>
    <w:rsid w:val="001645B0"/>
    <w:rsid w:val="00164666"/>
    <w:rsid w:val="00164BEE"/>
    <w:rsid w:val="0016538C"/>
    <w:rsid w:val="001653F7"/>
    <w:rsid w:val="001659C9"/>
    <w:rsid w:val="001664AE"/>
    <w:rsid w:val="001668B8"/>
    <w:rsid w:val="00166B80"/>
    <w:rsid w:val="00166CFF"/>
    <w:rsid w:val="00167588"/>
    <w:rsid w:val="00167B81"/>
    <w:rsid w:val="00170660"/>
    <w:rsid w:val="00171207"/>
    <w:rsid w:val="001719C9"/>
    <w:rsid w:val="00171B05"/>
    <w:rsid w:val="001725BB"/>
    <w:rsid w:val="001727A6"/>
    <w:rsid w:val="00173196"/>
    <w:rsid w:val="00173CAE"/>
    <w:rsid w:val="00174104"/>
    <w:rsid w:val="0017449B"/>
    <w:rsid w:val="001748C9"/>
    <w:rsid w:val="00175002"/>
    <w:rsid w:val="00175ABF"/>
    <w:rsid w:val="001761AE"/>
    <w:rsid w:val="001779EC"/>
    <w:rsid w:val="00177DD0"/>
    <w:rsid w:val="0018199D"/>
    <w:rsid w:val="00181E9F"/>
    <w:rsid w:val="001828C1"/>
    <w:rsid w:val="00184B02"/>
    <w:rsid w:val="00184DA6"/>
    <w:rsid w:val="00184FD8"/>
    <w:rsid w:val="00185BF4"/>
    <w:rsid w:val="00187505"/>
    <w:rsid w:val="00187BC5"/>
    <w:rsid w:val="001900EC"/>
    <w:rsid w:val="001900F8"/>
    <w:rsid w:val="00190421"/>
    <w:rsid w:val="00190480"/>
    <w:rsid w:val="001905B8"/>
    <w:rsid w:val="001908D5"/>
    <w:rsid w:val="00190F4C"/>
    <w:rsid w:val="00192596"/>
    <w:rsid w:val="001929B3"/>
    <w:rsid w:val="00193A28"/>
    <w:rsid w:val="00193B55"/>
    <w:rsid w:val="00193CB8"/>
    <w:rsid w:val="001948FA"/>
    <w:rsid w:val="00195C75"/>
    <w:rsid w:val="001965AD"/>
    <w:rsid w:val="00197317"/>
    <w:rsid w:val="00197361"/>
    <w:rsid w:val="00197553"/>
    <w:rsid w:val="00197B00"/>
    <w:rsid w:val="00197B91"/>
    <w:rsid w:val="00197C63"/>
    <w:rsid w:val="001A1A50"/>
    <w:rsid w:val="001A1B07"/>
    <w:rsid w:val="001A3021"/>
    <w:rsid w:val="001A32DD"/>
    <w:rsid w:val="001A34D5"/>
    <w:rsid w:val="001A5019"/>
    <w:rsid w:val="001A5163"/>
    <w:rsid w:val="001A52D6"/>
    <w:rsid w:val="001A5C42"/>
    <w:rsid w:val="001A5C80"/>
    <w:rsid w:val="001A5D2B"/>
    <w:rsid w:val="001A69F0"/>
    <w:rsid w:val="001A76FC"/>
    <w:rsid w:val="001A7EC0"/>
    <w:rsid w:val="001B2D66"/>
    <w:rsid w:val="001B4CEC"/>
    <w:rsid w:val="001B5152"/>
    <w:rsid w:val="001B5C6F"/>
    <w:rsid w:val="001B69AF"/>
    <w:rsid w:val="001B6CC5"/>
    <w:rsid w:val="001C0D69"/>
    <w:rsid w:val="001C2513"/>
    <w:rsid w:val="001C286A"/>
    <w:rsid w:val="001C2EDD"/>
    <w:rsid w:val="001C461A"/>
    <w:rsid w:val="001C4A4A"/>
    <w:rsid w:val="001C4C64"/>
    <w:rsid w:val="001C503D"/>
    <w:rsid w:val="001C5057"/>
    <w:rsid w:val="001C57B2"/>
    <w:rsid w:val="001C642D"/>
    <w:rsid w:val="001C691C"/>
    <w:rsid w:val="001C71D4"/>
    <w:rsid w:val="001C7301"/>
    <w:rsid w:val="001C7306"/>
    <w:rsid w:val="001C7FE1"/>
    <w:rsid w:val="001D1640"/>
    <w:rsid w:val="001D189D"/>
    <w:rsid w:val="001D1AF3"/>
    <w:rsid w:val="001D288C"/>
    <w:rsid w:val="001D2938"/>
    <w:rsid w:val="001D2A10"/>
    <w:rsid w:val="001D3949"/>
    <w:rsid w:val="001D3C69"/>
    <w:rsid w:val="001D55ED"/>
    <w:rsid w:val="001D5C1C"/>
    <w:rsid w:val="001E0DE6"/>
    <w:rsid w:val="001E11B9"/>
    <w:rsid w:val="001E11C1"/>
    <w:rsid w:val="001E18C0"/>
    <w:rsid w:val="001E1BA8"/>
    <w:rsid w:val="001E21A3"/>
    <w:rsid w:val="001E2F8E"/>
    <w:rsid w:val="001E34F4"/>
    <w:rsid w:val="001E3B8A"/>
    <w:rsid w:val="001E3D4B"/>
    <w:rsid w:val="001E3E5F"/>
    <w:rsid w:val="001E48FB"/>
    <w:rsid w:val="001E4E99"/>
    <w:rsid w:val="001E4F16"/>
    <w:rsid w:val="001E59EF"/>
    <w:rsid w:val="001E6CD9"/>
    <w:rsid w:val="001E6ED5"/>
    <w:rsid w:val="001F0259"/>
    <w:rsid w:val="001F07CE"/>
    <w:rsid w:val="001F10D9"/>
    <w:rsid w:val="001F2056"/>
    <w:rsid w:val="001F250B"/>
    <w:rsid w:val="001F2690"/>
    <w:rsid w:val="001F2D06"/>
    <w:rsid w:val="001F32E4"/>
    <w:rsid w:val="001F3DD9"/>
    <w:rsid w:val="001F6083"/>
    <w:rsid w:val="001F7513"/>
    <w:rsid w:val="001F7A33"/>
    <w:rsid w:val="001F7BE9"/>
    <w:rsid w:val="001F7D63"/>
    <w:rsid w:val="00200C0F"/>
    <w:rsid w:val="002013EE"/>
    <w:rsid w:val="0020188C"/>
    <w:rsid w:val="00202DB6"/>
    <w:rsid w:val="00204756"/>
    <w:rsid w:val="00205FA5"/>
    <w:rsid w:val="002064E7"/>
    <w:rsid w:val="0020704D"/>
    <w:rsid w:val="00207E66"/>
    <w:rsid w:val="0021119E"/>
    <w:rsid w:val="0021132C"/>
    <w:rsid w:val="00212390"/>
    <w:rsid w:val="00213048"/>
    <w:rsid w:val="002140C3"/>
    <w:rsid w:val="002143DC"/>
    <w:rsid w:val="0021474E"/>
    <w:rsid w:val="00214A38"/>
    <w:rsid w:val="00214BAF"/>
    <w:rsid w:val="00215685"/>
    <w:rsid w:val="00215A1D"/>
    <w:rsid w:val="00215F99"/>
    <w:rsid w:val="00216F23"/>
    <w:rsid w:val="002173E3"/>
    <w:rsid w:val="00220ADE"/>
    <w:rsid w:val="002215C5"/>
    <w:rsid w:val="00221A6D"/>
    <w:rsid w:val="00222719"/>
    <w:rsid w:val="00222AA5"/>
    <w:rsid w:val="00222E3C"/>
    <w:rsid w:val="00223F0B"/>
    <w:rsid w:val="0022578F"/>
    <w:rsid w:val="00226370"/>
    <w:rsid w:val="00226DE2"/>
    <w:rsid w:val="00230C18"/>
    <w:rsid w:val="002319D3"/>
    <w:rsid w:val="002342DB"/>
    <w:rsid w:val="00234FC2"/>
    <w:rsid w:val="00235093"/>
    <w:rsid w:val="002357AF"/>
    <w:rsid w:val="002357FB"/>
    <w:rsid w:val="00236024"/>
    <w:rsid w:val="00236BD9"/>
    <w:rsid w:val="002373F9"/>
    <w:rsid w:val="002377DA"/>
    <w:rsid w:val="00237BD1"/>
    <w:rsid w:val="002403B7"/>
    <w:rsid w:val="0024094B"/>
    <w:rsid w:val="00240E5E"/>
    <w:rsid w:val="00241302"/>
    <w:rsid w:val="00242A10"/>
    <w:rsid w:val="00242B2D"/>
    <w:rsid w:val="00242F9A"/>
    <w:rsid w:val="00243346"/>
    <w:rsid w:val="00243BC6"/>
    <w:rsid w:val="002452F0"/>
    <w:rsid w:val="002456EA"/>
    <w:rsid w:val="00246CF3"/>
    <w:rsid w:val="00246DDF"/>
    <w:rsid w:val="002472F4"/>
    <w:rsid w:val="00247A5C"/>
    <w:rsid w:val="00250AFE"/>
    <w:rsid w:val="00250C52"/>
    <w:rsid w:val="00251234"/>
    <w:rsid w:val="00252F6E"/>
    <w:rsid w:val="00253462"/>
    <w:rsid w:val="002538B3"/>
    <w:rsid w:val="00254569"/>
    <w:rsid w:val="00255B36"/>
    <w:rsid w:val="00255F4E"/>
    <w:rsid w:val="00256FF5"/>
    <w:rsid w:val="002570E5"/>
    <w:rsid w:val="0025776F"/>
    <w:rsid w:val="00260191"/>
    <w:rsid w:val="00260871"/>
    <w:rsid w:val="00260875"/>
    <w:rsid w:val="00261D0D"/>
    <w:rsid w:val="002631CF"/>
    <w:rsid w:val="0026413E"/>
    <w:rsid w:val="00264D31"/>
    <w:rsid w:val="002656D1"/>
    <w:rsid w:val="00265E8B"/>
    <w:rsid w:val="0026628B"/>
    <w:rsid w:val="002676F1"/>
    <w:rsid w:val="0027021A"/>
    <w:rsid w:val="0027096E"/>
    <w:rsid w:val="0027156D"/>
    <w:rsid w:val="002720EF"/>
    <w:rsid w:val="00272E1D"/>
    <w:rsid w:val="0027328F"/>
    <w:rsid w:val="002736B7"/>
    <w:rsid w:val="00273AF8"/>
    <w:rsid w:val="00273E4E"/>
    <w:rsid w:val="00274099"/>
    <w:rsid w:val="00274C08"/>
    <w:rsid w:val="0027558D"/>
    <w:rsid w:val="0027632A"/>
    <w:rsid w:val="00276D2D"/>
    <w:rsid w:val="002770BA"/>
    <w:rsid w:val="0028021E"/>
    <w:rsid w:val="0028057F"/>
    <w:rsid w:val="0028088A"/>
    <w:rsid w:val="00281443"/>
    <w:rsid w:val="00281C39"/>
    <w:rsid w:val="002822FB"/>
    <w:rsid w:val="0028249F"/>
    <w:rsid w:val="00282815"/>
    <w:rsid w:val="00283580"/>
    <w:rsid w:val="00283A95"/>
    <w:rsid w:val="00283FDE"/>
    <w:rsid w:val="00284FC5"/>
    <w:rsid w:val="00285DEF"/>
    <w:rsid w:val="00286C1C"/>
    <w:rsid w:val="002876FB"/>
    <w:rsid w:val="00287DAD"/>
    <w:rsid w:val="00290787"/>
    <w:rsid w:val="0029182A"/>
    <w:rsid w:val="002922AA"/>
    <w:rsid w:val="00293BAE"/>
    <w:rsid w:val="00295523"/>
    <w:rsid w:val="002975E0"/>
    <w:rsid w:val="00297C89"/>
    <w:rsid w:val="00297C8D"/>
    <w:rsid w:val="00297D56"/>
    <w:rsid w:val="00297D72"/>
    <w:rsid w:val="002A0976"/>
    <w:rsid w:val="002A16A4"/>
    <w:rsid w:val="002A19E9"/>
    <w:rsid w:val="002A293E"/>
    <w:rsid w:val="002A2B80"/>
    <w:rsid w:val="002A2CE3"/>
    <w:rsid w:val="002A3EE6"/>
    <w:rsid w:val="002A47BB"/>
    <w:rsid w:val="002A4991"/>
    <w:rsid w:val="002A529C"/>
    <w:rsid w:val="002A535F"/>
    <w:rsid w:val="002A5BB4"/>
    <w:rsid w:val="002A785B"/>
    <w:rsid w:val="002A7BB5"/>
    <w:rsid w:val="002A7D31"/>
    <w:rsid w:val="002B2584"/>
    <w:rsid w:val="002B3A68"/>
    <w:rsid w:val="002B485F"/>
    <w:rsid w:val="002B5064"/>
    <w:rsid w:val="002B50EB"/>
    <w:rsid w:val="002B5370"/>
    <w:rsid w:val="002B5C81"/>
    <w:rsid w:val="002B6C13"/>
    <w:rsid w:val="002B6EF1"/>
    <w:rsid w:val="002C28CD"/>
    <w:rsid w:val="002C39C8"/>
    <w:rsid w:val="002C3E89"/>
    <w:rsid w:val="002C40E4"/>
    <w:rsid w:val="002C42ED"/>
    <w:rsid w:val="002C4DE4"/>
    <w:rsid w:val="002C5151"/>
    <w:rsid w:val="002C554C"/>
    <w:rsid w:val="002C56B1"/>
    <w:rsid w:val="002C5F9B"/>
    <w:rsid w:val="002C6CD3"/>
    <w:rsid w:val="002C6F48"/>
    <w:rsid w:val="002D0D42"/>
    <w:rsid w:val="002D23DD"/>
    <w:rsid w:val="002D245C"/>
    <w:rsid w:val="002D2B5E"/>
    <w:rsid w:val="002D334C"/>
    <w:rsid w:val="002D3F62"/>
    <w:rsid w:val="002D41ED"/>
    <w:rsid w:val="002D434D"/>
    <w:rsid w:val="002D48E6"/>
    <w:rsid w:val="002D4C43"/>
    <w:rsid w:val="002D5345"/>
    <w:rsid w:val="002D5DE1"/>
    <w:rsid w:val="002D5F6F"/>
    <w:rsid w:val="002D6253"/>
    <w:rsid w:val="002E0B7C"/>
    <w:rsid w:val="002E2921"/>
    <w:rsid w:val="002E2FCE"/>
    <w:rsid w:val="002E2FE9"/>
    <w:rsid w:val="002E3963"/>
    <w:rsid w:val="002E3CF4"/>
    <w:rsid w:val="002E45DF"/>
    <w:rsid w:val="002E548B"/>
    <w:rsid w:val="002E6C04"/>
    <w:rsid w:val="002E74E6"/>
    <w:rsid w:val="002E76D0"/>
    <w:rsid w:val="002E7C02"/>
    <w:rsid w:val="002F0741"/>
    <w:rsid w:val="002F08F3"/>
    <w:rsid w:val="002F11F3"/>
    <w:rsid w:val="002F1744"/>
    <w:rsid w:val="002F1881"/>
    <w:rsid w:val="002F1C62"/>
    <w:rsid w:val="002F334A"/>
    <w:rsid w:val="002F43BC"/>
    <w:rsid w:val="002F4CBB"/>
    <w:rsid w:val="002F52AD"/>
    <w:rsid w:val="002F5B28"/>
    <w:rsid w:val="002F5B4C"/>
    <w:rsid w:val="002F66BA"/>
    <w:rsid w:val="00300538"/>
    <w:rsid w:val="00301B33"/>
    <w:rsid w:val="00301EE2"/>
    <w:rsid w:val="003028CC"/>
    <w:rsid w:val="00302AF5"/>
    <w:rsid w:val="00303BBD"/>
    <w:rsid w:val="00303F22"/>
    <w:rsid w:val="00305667"/>
    <w:rsid w:val="00306212"/>
    <w:rsid w:val="003077D3"/>
    <w:rsid w:val="00307EB6"/>
    <w:rsid w:val="00310274"/>
    <w:rsid w:val="00310A8A"/>
    <w:rsid w:val="0031129F"/>
    <w:rsid w:val="003112A4"/>
    <w:rsid w:val="00311577"/>
    <w:rsid w:val="0031221B"/>
    <w:rsid w:val="003125A6"/>
    <w:rsid w:val="00312FF3"/>
    <w:rsid w:val="0031365D"/>
    <w:rsid w:val="003138DE"/>
    <w:rsid w:val="003139F1"/>
    <w:rsid w:val="003149B0"/>
    <w:rsid w:val="00314A7D"/>
    <w:rsid w:val="00315B21"/>
    <w:rsid w:val="00317138"/>
    <w:rsid w:val="00317188"/>
    <w:rsid w:val="00317395"/>
    <w:rsid w:val="0031787D"/>
    <w:rsid w:val="00317DD3"/>
    <w:rsid w:val="0032011D"/>
    <w:rsid w:val="003207A5"/>
    <w:rsid w:val="003229DC"/>
    <w:rsid w:val="003257C6"/>
    <w:rsid w:val="00325A4B"/>
    <w:rsid w:val="00326049"/>
    <w:rsid w:val="00327480"/>
    <w:rsid w:val="00327899"/>
    <w:rsid w:val="00327C07"/>
    <w:rsid w:val="003314D5"/>
    <w:rsid w:val="00331A91"/>
    <w:rsid w:val="00331AB6"/>
    <w:rsid w:val="00333D70"/>
    <w:rsid w:val="003346BF"/>
    <w:rsid w:val="00335A2B"/>
    <w:rsid w:val="00335D34"/>
    <w:rsid w:val="00337280"/>
    <w:rsid w:val="003409A7"/>
    <w:rsid w:val="003409AA"/>
    <w:rsid w:val="0034114F"/>
    <w:rsid w:val="003418D2"/>
    <w:rsid w:val="003422F8"/>
    <w:rsid w:val="003436A3"/>
    <w:rsid w:val="0034427F"/>
    <w:rsid w:val="003444DF"/>
    <w:rsid w:val="00344940"/>
    <w:rsid w:val="00344CBE"/>
    <w:rsid w:val="00344F49"/>
    <w:rsid w:val="003450D3"/>
    <w:rsid w:val="003452A6"/>
    <w:rsid w:val="00345CD3"/>
    <w:rsid w:val="00346335"/>
    <w:rsid w:val="00346FBA"/>
    <w:rsid w:val="003471F3"/>
    <w:rsid w:val="00347C94"/>
    <w:rsid w:val="00350E05"/>
    <w:rsid w:val="003517DE"/>
    <w:rsid w:val="0035210B"/>
    <w:rsid w:val="00352789"/>
    <w:rsid w:val="00352C30"/>
    <w:rsid w:val="00352E4D"/>
    <w:rsid w:val="0035400A"/>
    <w:rsid w:val="003540A6"/>
    <w:rsid w:val="003542D8"/>
    <w:rsid w:val="00354340"/>
    <w:rsid w:val="00355045"/>
    <w:rsid w:val="00355283"/>
    <w:rsid w:val="0035566D"/>
    <w:rsid w:val="00355A4B"/>
    <w:rsid w:val="00356A6B"/>
    <w:rsid w:val="003570A3"/>
    <w:rsid w:val="00357C55"/>
    <w:rsid w:val="0036008C"/>
    <w:rsid w:val="00360636"/>
    <w:rsid w:val="00361B5F"/>
    <w:rsid w:val="00362BC4"/>
    <w:rsid w:val="00363856"/>
    <w:rsid w:val="00363C29"/>
    <w:rsid w:val="00363DFE"/>
    <w:rsid w:val="0036411C"/>
    <w:rsid w:val="003653A0"/>
    <w:rsid w:val="003658E7"/>
    <w:rsid w:val="0036684B"/>
    <w:rsid w:val="00370CB8"/>
    <w:rsid w:val="00371681"/>
    <w:rsid w:val="00372E39"/>
    <w:rsid w:val="00373564"/>
    <w:rsid w:val="00373656"/>
    <w:rsid w:val="003737F8"/>
    <w:rsid w:val="00373B60"/>
    <w:rsid w:val="003741EC"/>
    <w:rsid w:val="003742C4"/>
    <w:rsid w:val="00375528"/>
    <w:rsid w:val="00375C6C"/>
    <w:rsid w:val="00375E25"/>
    <w:rsid w:val="00375FE9"/>
    <w:rsid w:val="00376E03"/>
    <w:rsid w:val="00377315"/>
    <w:rsid w:val="003801FF"/>
    <w:rsid w:val="00380521"/>
    <w:rsid w:val="00380594"/>
    <w:rsid w:val="003816B4"/>
    <w:rsid w:val="00381761"/>
    <w:rsid w:val="0038244D"/>
    <w:rsid w:val="003826D8"/>
    <w:rsid w:val="0038388D"/>
    <w:rsid w:val="003842A7"/>
    <w:rsid w:val="00384629"/>
    <w:rsid w:val="00385515"/>
    <w:rsid w:val="003857DA"/>
    <w:rsid w:val="0038583F"/>
    <w:rsid w:val="00385CDE"/>
    <w:rsid w:val="00386698"/>
    <w:rsid w:val="00390884"/>
    <w:rsid w:val="003919A5"/>
    <w:rsid w:val="00391CC1"/>
    <w:rsid w:val="00391E69"/>
    <w:rsid w:val="0039221B"/>
    <w:rsid w:val="0039227F"/>
    <w:rsid w:val="00394EF7"/>
    <w:rsid w:val="00395710"/>
    <w:rsid w:val="003A05FB"/>
    <w:rsid w:val="003A1005"/>
    <w:rsid w:val="003A1A0E"/>
    <w:rsid w:val="003A2A5D"/>
    <w:rsid w:val="003A2CD1"/>
    <w:rsid w:val="003A37F7"/>
    <w:rsid w:val="003A396E"/>
    <w:rsid w:val="003A5F4D"/>
    <w:rsid w:val="003A6CD7"/>
    <w:rsid w:val="003A78DD"/>
    <w:rsid w:val="003B065C"/>
    <w:rsid w:val="003B186A"/>
    <w:rsid w:val="003B3B8E"/>
    <w:rsid w:val="003B3D5E"/>
    <w:rsid w:val="003B408F"/>
    <w:rsid w:val="003B4182"/>
    <w:rsid w:val="003B4B1C"/>
    <w:rsid w:val="003B5D00"/>
    <w:rsid w:val="003B6784"/>
    <w:rsid w:val="003B7B0F"/>
    <w:rsid w:val="003B7CF3"/>
    <w:rsid w:val="003C01AC"/>
    <w:rsid w:val="003C03CB"/>
    <w:rsid w:val="003C0969"/>
    <w:rsid w:val="003C115D"/>
    <w:rsid w:val="003C19CF"/>
    <w:rsid w:val="003C1CB3"/>
    <w:rsid w:val="003C3FB9"/>
    <w:rsid w:val="003C41EC"/>
    <w:rsid w:val="003C466F"/>
    <w:rsid w:val="003C757C"/>
    <w:rsid w:val="003C782F"/>
    <w:rsid w:val="003D155D"/>
    <w:rsid w:val="003D2377"/>
    <w:rsid w:val="003D370F"/>
    <w:rsid w:val="003D4E10"/>
    <w:rsid w:val="003D53EF"/>
    <w:rsid w:val="003E05BF"/>
    <w:rsid w:val="003E25D7"/>
    <w:rsid w:val="003E284F"/>
    <w:rsid w:val="003E38E1"/>
    <w:rsid w:val="003E40A0"/>
    <w:rsid w:val="003E6984"/>
    <w:rsid w:val="003E72F9"/>
    <w:rsid w:val="003E791F"/>
    <w:rsid w:val="003F0173"/>
    <w:rsid w:val="003F0175"/>
    <w:rsid w:val="003F1C5A"/>
    <w:rsid w:val="003F1F7B"/>
    <w:rsid w:val="003F21D7"/>
    <w:rsid w:val="003F21E7"/>
    <w:rsid w:val="003F2445"/>
    <w:rsid w:val="003F2601"/>
    <w:rsid w:val="003F36C2"/>
    <w:rsid w:val="003F36EA"/>
    <w:rsid w:val="003F3D2B"/>
    <w:rsid w:val="003F5B42"/>
    <w:rsid w:val="003F6440"/>
    <w:rsid w:val="003F7986"/>
    <w:rsid w:val="00400555"/>
    <w:rsid w:val="0040104D"/>
    <w:rsid w:val="00403506"/>
    <w:rsid w:val="00404146"/>
    <w:rsid w:val="004042CC"/>
    <w:rsid w:val="00404481"/>
    <w:rsid w:val="00405A1C"/>
    <w:rsid w:val="00406B78"/>
    <w:rsid w:val="00407A0C"/>
    <w:rsid w:val="00412214"/>
    <w:rsid w:val="00412E20"/>
    <w:rsid w:val="00413319"/>
    <w:rsid w:val="004139C2"/>
    <w:rsid w:val="00415AFF"/>
    <w:rsid w:val="00415BF3"/>
    <w:rsid w:val="00416700"/>
    <w:rsid w:val="00417330"/>
    <w:rsid w:val="00417C6C"/>
    <w:rsid w:val="00422182"/>
    <w:rsid w:val="0042218B"/>
    <w:rsid w:val="00423A9F"/>
    <w:rsid w:val="00423DF9"/>
    <w:rsid w:val="004244AB"/>
    <w:rsid w:val="00424A1A"/>
    <w:rsid w:val="0042585F"/>
    <w:rsid w:val="00425BBE"/>
    <w:rsid w:val="0042633C"/>
    <w:rsid w:val="004302D6"/>
    <w:rsid w:val="00430697"/>
    <w:rsid w:val="00432511"/>
    <w:rsid w:val="0043325B"/>
    <w:rsid w:val="004333A1"/>
    <w:rsid w:val="004348AA"/>
    <w:rsid w:val="0043593A"/>
    <w:rsid w:val="0043646F"/>
    <w:rsid w:val="00436EC5"/>
    <w:rsid w:val="00436F3D"/>
    <w:rsid w:val="00437109"/>
    <w:rsid w:val="0043715F"/>
    <w:rsid w:val="0044100D"/>
    <w:rsid w:val="00441F29"/>
    <w:rsid w:val="00442906"/>
    <w:rsid w:val="00444143"/>
    <w:rsid w:val="00445583"/>
    <w:rsid w:val="004459E4"/>
    <w:rsid w:val="00446182"/>
    <w:rsid w:val="004470AE"/>
    <w:rsid w:val="004473BC"/>
    <w:rsid w:val="0045017A"/>
    <w:rsid w:val="004502DB"/>
    <w:rsid w:val="00450462"/>
    <w:rsid w:val="004507DF"/>
    <w:rsid w:val="00450FD0"/>
    <w:rsid w:val="004514DC"/>
    <w:rsid w:val="004518D2"/>
    <w:rsid w:val="00452658"/>
    <w:rsid w:val="00453794"/>
    <w:rsid w:val="00453DF2"/>
    <w:rsid w:val="00454718"/>
    <w:rsid w:val="00454DA0"/>
    <w:rsid w:val="00454DC2"/>
    <w:rsid w:val="00456542"/>
    <w:rsid w:val="0045670A"/>
    <w:rsid w:val="00456763"/>
    <w:rsid w:val="0045683B"/>
    <w:rsid w:val="00457C49"/>
    <w:rsid w:val="004603F0"/>
    <w:rsid w:val="00460792"/>
    <w:rsid w:val="00460E4F"/>
    <w:rsid w:val="004615D2"/>
    <w:rsid w:val="004633AB"/>
    <w:rsid w:val="004638D3"/>
    <w:rsid w:val="00463CA6"/>
    <w:rsid w:val="004668B2"/>
    <w:rsid w:val="00467C15"/>
    <w:rsid w:val="00467D64"/>
    <w:rsid w:val="00472244"/>
    <w:rsid w:val="004723ED"/>
    <w:rsid w:val="004734FA"/>
    <w:rsid w:val="00473530"/>
    <w:rsid w:val="00473A06"/>
    <w:rsid w:val="00473C7B"/>
    <w:rsid w:val="00473D12"/>
    <w:rsid w:val="00473F95"/>
    <w:rsid w:val="00473FAC"/>
    <w:rsid w:val="004740B6"/>
    <w:rsid w:val="004740FA"/>
    <w:rsid w:val="00474F15"/>
    <w:rsid w:val="00475E8C"/>
    <w:rsid w:val="00476ACC"/>
    <w:rsid w:val="004778D1"/>
    <w:rsid w:val="004811A7"/>
    <w:rsid w:val="004816C2"/>
    <w:rsid w:val="0048192B"/>
    <w:rsid w:val="00482CC4"/>
    <w:rsid w:val="004833BF"/>
    <w:rsid w:val="00483853"/>
    <w:rsid w:val="0048583D"/>
    <w:rsid w:val="00485ED3"/>
    <w:rsid w:val="004860E4"/>
    <w:rsid w:val="0048699C"/>
    <w:rsid w:val="0048754C"/>
    <w:rsid w:val="00487DB7"/>
    <w:rsid w:val="00487EB9"/>
    <w:rsid w:val="00490C84"/>
    <w:rsid w:val="00490EB9"/>
    <w:rsid w:val="004914D1"/>
    <w:rsid w:val="00491505"/>
    <w:rsid w:val="004919B3"/>
    <w:rsid w:val="00493941"/>
    <w:rsid w:val="00493B77"/>
    <w:rsid w:val="004946EB"/>
    <w:rsid w:val="00494AEF"/>
    <w:rsid w:val="00494C37"/>
    <w:rsid w:val="00495FAA"/>
    <w:rsid w:val="004961D4"/>
    <w:rsid w:val="004962C9"/>
    <w:rsid w:val="004A090E"/>
    <w:rsid w:val="004A0FCA"/>
    <w:rsid w:val="004A2963"/>
    <w:rsid w:val="004A2B4F"/>
    <w:rsid w:val="004A2C30"/>
    <w:rsid w:val="004A3913"/>
    <w:rsid w:val="004A3A89"/>
    <w:rsid w:val="004A492C"/>
    <w:rsid w:val="004A5053"/>
    <w:rsid w:val="004A57CD"/>
    <w:rsid w:val="004A6AA6"/>
    <w:rsid w:val="004A6B43"/>
    <w:rsid w:val="004A7A7F"/>
    <w:rsid w:val="004A7AB9"/>
    <w:rsid w:val="004B0053"/>
    <w:rsid w:val="004B005B"/>
    <w:rsid w:val="004B10F3"/>
    <w:rsid w:val="004B3827"/>
    <w:rsid w:val="004B3D08"/>
    <w:rsid w:val="004B48B9"/>
    <w:rsid w:val="004B49C5"/>
    <w:rsid w:val="004B54BB"/>
    <w:rsid w:val="004B5D66"/>
    <w:rsid w:val="004B67E0"/>
    <w:rsid w:val="004B7BF1"/>
    <w:rsid w:val="004B7D15"/>
    <w:rsid w:val="004C0189"/>
    <w:rsid w:val="004C0264"/>
    <w:rsid w:val="004C156E"/>
    <w:rsid w:val="004C1C49"/>
    <w:rsid w:val="004C213E"/>
    <w:rsid w:val="004C24D3"/>
    <w:rsid w:val="004C2847"/>
    <w:rsid w:val="004C28E3"/>
    <w:rsid w:val="004C48E5"/>
    <w:rsid w:val="004C5C45"/>
    <w:rsid w:val="004D0FFE"/>
    <w:rsid w:val="004D17D0"/>
    <w:rsid w:val="004D17E3"/>
    <w:rsid w:val="004D1820"/>
    <w:rsid w:val="004D210A"/>
    <w:rsid w:val="004D2927"/>
    <w:rsid w:val="004D2D1B"/>
    <w:rsid w:val="004D2F07"/>
    <w:rsid w:val="004D2F0D"/>
    <w:rsid w:val="004D2F87"/>
    <w:rsid w:val="004D3267"/>
    <w:rsid w:val="004D348A"/>
    <w:rsid w:val="004D35D4"/>
    <w:rsid w:val="004D531E"/>
    <w:rsid w:val="004D630D"/>
    <w:rsid w:val="004D663C"/>
    <w:rsid w:val="004E3103"/>
    <w:rsid w:val="004E3AD8"/>
    <w:rsid w:val="004E4673"/>
    <w:rsid w:val="004E4A22"/>
    <w:rsid w:val="004E544A"/>
    <w:rsid w:val="004E6F4A"/>
    <w:rsid w:val="004E7360"/>
    <w:rsid w:val="004E7EA4"/>
    <w:rsid w:val="004F0CBA"/>
    <w:rsid w:val="004F0FAB"/>
    <w:rsid w:val="004F1185"/>
    <w:rsid w:val="004F5748"/>
    <w:rsid w:val="004F635D"/>
    <w:rsid w:val="004F65AB"/>
    <w:rsid w:val="004F7AF2"/>
    <w:rsid w:val="005003BE"/>
    <w:rsid w:val="005010AB"/>
    <w:rsid w:val="00501F8A"/>
    <w:rsid w:val="0050230E"/>
    <w:rsid w:val="005027E0"/>
    <w:rsid w:val="005036BB"/>
    <w:rsid w:val="005041E0"/>
    <w:rsid w:val="00504693"/>
    <w:rsid w:val="0050536B"/>
    <w:rsid w:val="0050638E"/>
    <w:rsid w:val="00506CC3"/>
    <w:rsid w:val="00507714"/>
    <w:rsid w:val="0051024E"/>
    <w:rsid w:val="00510420"/>
    <w:rsid w:val="005106FF"/>
    <w:rsid w:val="00510EAC"/>
    <w:rsid w:val="005110B5"/>
    <w:rsid w:val="005128EA"/>
    <w:rsid w:val="00512E86"/>
    <w:rsid w:val="00515062"/>
    <w:rsid w:val="005156A2"/>
    <w:rsid w:val="0051591F"/>
    <w:rsid w:val="00516098"/>
    <w:rsid w:val="00516BA1"/>
    <w:rsid w:val="00517326"/>
    <w:rsid w:val="00517748"/>
    <w:rsid w:val="005218DF"/>
    <w:rsid w:val="00522286"/>
    <w:rsid w:val="00522681"/>
    <w:rsid w:val="00525C46"/>
    <w:rsid w:val="0052724B"/>
    <w:rsid w:val="0052752E"/>
    <w:rsid w:val="0052760D"/>
    <w:rsid w:val="0052777E"/>
    <w:rsid w:val="005303A8"/>
    <w:rsid w:val="00530D59"/>
    <w:rsid w:val="0053153A"/>
    <w:rsid w:val="00534D67"/>
    <w:rsid w:val="0053544A"/>
    <w:rsid w:val="00536D5A"/>
    <w:rsid w:val="00537139"/>
    <w:rsid w:val="00537E69"/>
    <w:rsid w:val="00537FD9"/>
    <w:rsid w:val="00541087"/>
    <w:rsid w:val="0054143F"/>
    <w:rsid w:val="00541B9B"/>
    <w:rsid w:val="00542A4C"/>
    <w:rsid w:val="005444EC"/>
    <w:rsid w:val="00544C95"/>
    <w:rsid w:val="005462BC"/>
    <w:rsid w:val="00546C0A"/>
    <w:rsid w:val="005507DA"/>
    <w:rsid w:val="00551610"/>
    <w:rsid w:val="00551755"/>
    <w:rsid w:val="00552EDA"/>
    <w:rsid w:val="00553098"/>
    <w:rsid w:val="00553571"/>
    <w:rsid w:val="0055509F"/>
    <w:rsid w:val="00555C8F"/>
    <w:rsid w:val="005569C9"/>
    <w:rsid w:val="00556B9A"/>
    <w:rsid w:val="00556CD5"/>
    <w:rsid w:val="00556E7F"/>
    <w:rsid w:val="00557498"/>
    <w:rsid w:val="005574DD"/>
    <w:rsid w:val="00557960"/>
    <w:rsid w:val="00557C29"/>
    <w:rsid w:val="00557DA8"/>
    <w:rsid w:val="00560669"/>
    <w:rsid w:val="005613AF"/>
    <w:rsid w:val="00561BA8"/>
    <w:rsid w:val="0056345F"/>
    <w:rsid w:val="00565525"/>
    <w:rsid w:val="005661F5"/>
    <w:rsid w:val="00567146"/>
    <w:rsid w:val="0056747A"/>
    <w:rsid w:val="00567668"/>
    <w:rsid w:val="00567941"/>
    <w:rsid w:val="0057011E"/>
    <w:rsid w:val="0057046D"/>
    <w:rsid w:val="00570921"/>
    <w:rsid w:val="00570AAA"/>
    <w:rsid w:val="005722C5"/>
    <w:rsid w:val="005731FE"/>
    <w:rsid w:val="00576B4F"/>
    <w:rsid w:val="00576B87"/>
    <w:rsid w:val="005775C2"/>
    <w:rsid w:val="00577C16"/>
    <w:rsid w:val="00580230"/>
    <w:rsid w:val="0058097E"/>
    <w:rsid w:val="00580AC4"/>
    <w:rsid w:val="00580F31"/>
    <w:rsid w:val="00581FDB"/>
    <w:rsid w:val="005823A9"/>
    <w:rsid w:val="00582851"/>
    <w:rsid w:val="00582CCE"/>
    <w:rsid w:val="00582F25"/>
    <w:rsid w:val="00583F0B"/>
    <w:rsid w:val="005860A2"/>
    <w:rsid w:val="005866FF"/>
    <w:rsid w:val="00587779"/>
    <w:rsid w:val="00587CD6"/>
    <w:rsid w:val="00591746"/>
    <w:rsid w:val="00591902"/>
    <w:rsid w:val="00591D3A"/>
    <w:rsid w:val="0059210B"/>
    <w:rsid w:val="00592B7B"/>
    <w:rsid w:val="00593158"/>
    <w:rsid w:val="00593EF4"/>
    <w:rsid w:val="005940A2"/>
    <w:rsid w:val="00594285"/>
    <w:rsid w:val="005A0333"/>
    <w:rsid w:val="005A08FB"/>
    <w:rsid w:val="005A0FAC"/>
    <w:rsid w:val="005A11E9"/>
    <w:rsid w:val="005A3E89"/>
    <w:rsid w:val="005A58D5"/>
    <w:rsid w:val="005A58F5"/>
    <w:rsid w:val="005A5B19"/>
    <w:rsid w:val="005A6479"/>
    <w:rsid w:val="005A6A4C"/>
    <w:rsid w:val="005A7600"/>
    <w:rsid w:val="005A7AEF"/>
    <w:rsid w:val="005A7F01"/>
    <w:rsid w:val="005B04B9"/>
    <w:rsid w:val="005B23BF"/>
    <w:rsid w:val="005B25DC"/>
    <w:rsid w:val="005B26A9"/>
    <w:rsid w:val="005B2BEF"/>
    <w:rsid w:val="005B2C50"/>
    <w:rsid w:val="005B2EA0"/>
    <w:rsid w:val="005B2F9C"/>
    <w:rsid w:val="005B3483"/>
    <w:rsid w:val="005B3656"/>
    <w:rsid w:val="005B36B0"/>
    <w:rsid w:val="005B4028"/>
    <w:rsid w:val="005B4AF8"/>
    <w:rsid w:val="005B5FEF"/>
    <w:rsid w:val="005B6351"/>
    <w:rsid w:val="005B69FC"/>
    <w:rsid w:val="005B7C8E"/>
    <w:rsid w:val="005C07F2"/>
    <w:rsid w:val="005C0CA7"/>
    <w:rsid w:val="005C1DF7"/>
    <w:rsid w:val="005C29B4"/>
    <w:rsid w:val="005C2A27"/>
    <w:rsid w:val="005C2E81"/>
    <w:rsid w:val="005C3B23"/>
    <w:rsid w:val="005C4F20"/>
    <w:rsid w:val="005C5210"/>
    <w:rsid w:val="005C66EC"/>
    <w:rsid w:val="005C73A4"/>
    <w:rsid w:val="005D0CA4"/>
    <w:rsid w:val="005D1AB7"/>
    <w:rsid w:val="005D1FAF"/>
    <w:rsid w:val="005D30BF"/>
    <w:rsid w:val="005D3C4F"/>
    <w:rsid w:val="005D3F6E"/>
    <w:rsid w:val="005D721B"/>
    <w:rsid w:val="005D76AA"/>
    <w:rsid w:val="005D7961"/>
    <w:rsid w:val="005E15A7"/>
    <w:rsid w:val="005E1B88"/>
    <w:rsid w:val="005E1FB0"/>
    <w:rsid w:val="005E2392"/>
    <w:rsid w:val="005E2704"/>
    <w:rsid w:val="005E2D66"/>
    <w:rsid w:val="005E3803"/>
    <w:rsid w:val="005E3BC4"/>
    <w:rsid w:val="005E3FBC"/>
    <w:rsid w:val="005E4409"/>
    <w:rsid w:val="005E5C91"/>
    <w:rsid w:val="005E68CA"/>
    <w:rsid w:val="005E6D49"/>
    <w:rsid w:val="005E705C"/>
    <w:rsid w:val="005F04D9"/>
    <w:rsid w:val="005F065F"/>
    <w:rsid w:val="005F0DA5"/>
    <w:rsid w:val="005F0DE8"/>
    <w:rsid w:val="005F1206"/>
    <w:rsid w:val="005F1282"/>
    <w:rsid w:val="005F136B"/>
    <w:rsid w:val="005F13C1"/>
    <w:rsid w:val="005F14AD"/>
    <w:rsid w:val="005F1561"/>
    <w:rsid w:val="005F1990"/>
    <w:rsid w:val="005F25BC"/>
    <w:rsid w:val="005F393F"/>
    <w:rsid w:val="005F3AA9"/>
    <w:rsid w:val="005F4AD1"/>
    <w:rsid w:val="005F4BD8"/>
    <w:rsid w:val="005F4BF8"/>
    <w:rsid w:val="005F5D7C"/>
    <w:rsid w:val="005F6820"/>
    <w:rsid w:val="005F74C2"/>
    <w:rsid w:val="005F75C3"/>
    <w:rsid w:val="005F7878"/>
    <w:rsid w:val="00600058"/>
    <w:rsid w:val="006021FC"/>
    <w:rsid w:val="00602E1D"/>
    <w:rsid w:val="00603921"/>
    <w:rsid w:val="006047CC"/>
    <w:rsid w:val="0060620F"/>
    <w:rsid w:val="0060653D"/>
    <w:rsid w:val="00606569"/>
    <w:rsid w:val="00606DA5"/>
    <w:rsid w:val="00607004"/>
    <w:rsid w:val="00607C7B"/>
    <w:rsid w:val="00610F58"/>
    <w:rsid w:val="0061137B"/>
    <w:rsid w:val="00612AA5"/>
    <w:rsid w:val="0061320B"/>
    <w:rsid w:val="006145B1"/>
    <w:rsid w:val="00616768"/>
    <w:rsid w:val="00617DA9"/>
    <w:rsid w:val="00617FCB"/>
    <w:rsid w:val="006200EF"/>
    <w:rsid w:val="006202ED"/>
    <w:rsid w:val="00620710"/>
    <w:rsid w:val="006207DE"/>
    <w:rsid w:val="00621A7D"/>
    <w:rsid w:val="00621EE1"/>
    <w:rsid w:val="00622099"/>
    <w:rsid w:val="00622786"/>
    <w:rsid w:val="006227D3"/>
    <w:rsid w:val="00623C24"/>
    <w:rsid w:val="00624DE9"/>
    <w:rsid w:val="00625B64"/>
    <w:rsid w:val="00625F39"/>
    <w:rsid w:val="0062621A"/>
    <w:rsid w:val="00626E98"/>
    <w:rsid w:val="00630B30"/>
    <w:rsid w:val="006311E1"/>
    <w:rsid w:val="00631977"/>
    <w:rsid w:val="006325BE"/>
    <w:rsid w:val="006331F0"/>
    <w:rsid w:val="00633849"/>
    <w:rsid w:val="006342B7"/>
    <w:rsid w:val="00634919"/>
    <w:rsid w:val="0063747D"/>
    <w:rsid w:val="00637A74"/>
    <w:rsid w:val="00637D2B"/>
    <w:rsid w:val="00640051"/>
    <w:rsid w:val="0064025B"/>
    <w:rsid w:val="0064077F"/>
    <w:rsid w:val="00641B4E"/>
    <w:rsid w:val="00642CF5"/>
    <w:rsid w:val="00643BF8"/>
    <w:rsid w:val="006443C4"/>
    <w:rsid w:val="006443D8"/>
    <w:rsid w:val="00644DDA"/>
    <w:rsid w:val="006463B5"/>
    <w:rsid w:val="00646530"/>
    <w:rsid w:val="00646F1F"/>
    <w:rsid w:val="00647A1F"/>
    <w:rsid w:val="00647C98"/>
    <w:rsid w:val="006501DF"/>
    <w:rsid w:val="00650C1E"/>
    <w:rsid w:val="00650E60"/>
    <w:rsid w:val="00651B62"/>
    <w:rsid w:val="00651B69"/>
    <w:rsid w:val="00651F79"/>
    <w:rsid w:val="00651FCE"/>
    <w:rsid w:val="00654175"/>
    <w:rsid w:val="006552A4"/>
    <w:rsid w:val="006552BA"/>
    <w:rsid w:val="00656D20"/>
    <w:rsid w:val="00660792"/>
    <w:rsid w:val="00660A29"/>
    <w:rsid w:val="00662659"/>
    <w:rsid w:val="00662713"/>
    <w:rsid w:val="00662CC6"/>
    <w:rsid w:val="00663429"/>
    <w:rsid w:val="00663E98"/>
    <w:rsid w:val="00665AFF"/>
    <w:rsid w:val="00665B26"/>
    <w:rsid w:val="00665EEC"/>
    <w:rsid w:val="0066606B"/>
    <w:rsid w:val="00666B35"/>
    <w:rsid w:val="00666FB0"/>
    <w:rsid w:val="006670BA"/>
    <w:rsid w:val="006671BD"/>
    <w:rsid w:val="00667604"/>
    <w:rsid w:val="00670095"/>
    <w:rsid w:val="0067297D"/>
    <w:rsid w:val="006729A8"/>
    <w:rsid w:val="00672DFA"/>
    <w:rsid w:val="006731AB"/>
    <w:rsid w:val="0067470C"/>
    <w:rsid w:val="00674925"/>
    <w:rsid w:val="006755F2"/>
    <w:rsid w:val="006760E9"/>
    <w:rsid w:val="00676FB5"/>
    <w:rsid w:val="00680094"/>
    <w:rsid w:val="0068024C"/>
    <w:rsid w:val="00681148"/>
    <w:rsid w:val="006811B1"/>
    <w:rsid w:val="00681850"/>
    <w:rsid w:val="00681D5E"/>
    <w:rsid w:val="00682729"/>
    <w:rsid w:val="006828EB"/>
    <w:rsid w:val="00682B07"/>
    <w:rsid w:val="00683F71"/>
    <w:rsid w:val="006841FD"/>
    <w:rsid w:val="00684D01"/>
    <w:rsid w:val="006853E7"/>
    <w:rsid w:val="006854AB"/>
    <w:rsid w:val="00685F2F"/>
    <w:rsid w:val="00686A4D"/>
    <w:rsid w:val="00686BE7"/>
    <w:rsid w:val="00686E0C"/>
    <w:rsid w:val="006907C2"/>
    <w:rsid w:val="00690943"/>
    <w:rsid w:val="00693517"/>
    <w:rsid w:val="006936AB"/>
    <w:rsid w:val="00694C68"/>
    <w:rsid w:val="0069537D"/>
    <w:rsid w:val="00696456"/>
    <w:rsid w:val="006979A3"/>
    <w:rsid w:val="006A0034"/>
    <w:rsid w:val="006A1512"/>
    <w:rsid w:val="006A1B33"/>
    <w:rsid w:val="006A30E7"/>
    <w:rsid w:val="006A3E75"/>
    <w:rsid w:val="006A5E02"/>
    <w:rsid w:val="006A6054"/>
    <w:rsid w:val="006A6BFE"/>
    <w:rsid w:val="006A7515"/>
    <w:rsid w:val="006A79D3"/>
    <w:rsid w:val="006B0DAD"/>
    <w:rsid w:val="006B1023"/>
    <w:rsid w:val="006B13CE"/>
    <w:rsid w:val="006B1ACD"/>
    <w:rsid w:val="006B213D"/>
    <w:rsid w:val="006B2AED"/>
    <w:rsid w:val="006B2D47"/>
    <w:rsid w:val="006B3A11"/>
    <w:rsid w:val="006B3EB3"/>
    <w:rsid w:val="006B473F"/>
    <w:rsid w:val="006B4A40"/>
    <w:rsid w:val="006B52F3"/>
    <w:rsid w:val="006B57E1"/>
    <w:rsid w:val="006B7045"/>
    <w:rsid w:val="006B7245"/>
    <w:rsid w:val="006B7CC3"/>
    <w:rsid w:val="006C0658"/>
    <w:rsid w:val="006C1567"/>
    <w:rsid w:val="006C20AE"/>
    <w:rsid w:val="006C295F"/>
    <w:rsid w:val="006C347A"/>
    <w:rsid w:val="006C4088"/>
    <w:rsid w:val="006C4D8C"/>
    <w:rsid w:val="006C531F"/>
    <w:rsid w:val="006C5D01"/>
    <w:rsid w:val="006C6680"/>
    <w:rsid w:val="006C71AF"/>
    <w:rsid w:val="006C7708"/>
    <w:rsid w:val="006D05E7"/>
    <w:rsid w:val="006D0638"/>
    <w:rsid w:val="006D0841"/>
    <w:rsid w:val="006D0B4B"/>
    <w:rsid w:val="006D25D2"/>
    <w:rsid w:val="006D2B7E"/>
    <w:rsid w:val="006D2F2F"/>
    <w:rsid w:val="006D34AA"/>
    <w:rsid w:val="006D39FC"/>
    <w:rsid w:val="006D5339"/>
    <w:rsid w:val="006D5554"/>
    <w:rsid w:val="006D5ADD"/>
    <w:rsid w:val="006D61D8"/>
    <w:rsid w:val="006D6770"/>
    <w:rsid w:val="006D6843"/>
    <w:rsid w:val="006D7363"/>
    <w:rsid w:val="006D754A"/>
    <w:rsid w:val="006D7724"/>
    <w:rsid w:val="006E08C6"/>
    <w:rsid w:val="006E1318"/>
    <w:rsid w:val="006E14C2"/>
    <w:rsid w:val="006E2090"/>
    <w:rsid w:val="006E3058"/>
    <w:rsid w:val="006E3382"/>
    <w:rsid w:val="006E4FCC"/>
    <w:rsid w:val="006E50B8"/>
    <w:rsid w:val="006E5B4B"/>
    <w:rsid w:val="006E67CE"/>
    <w:rsid w:val="006E792C"/>
    <w:rsid w:val="006F0650"/>
    <w:rsid w:val="006F0951"/>
    <w:rsid w:val="006F21F5"/>
    <w:rsid w:val="006F24E3"/>
    <w:rsid w:val="006F329F"/>
    <w:rsid w:val="006F413B"/>
    <w:rsid w:val="006F561E"/>
    <w:rsid w:val="006F61BF"/>
    <w:rsid w:val="006F7074"/>
    <w:rsid w:val="006F79F5"/>
    <w:rsid w:val="0070084F"/>
    <w:rsid w:val="00700AB9"/>
    <w:rsid w:val="007019B0"/>
    <w:rsid w:val="00701E73"/>
    <w:rsid w:val="0070209E"/>
    <w:rsid w:val="0070235D"/>
    <w:rsid w:val="007026C8"/>
    <w:rsid w:val="007027C3"/>
    <w:rsid w:val="007029E0"/>
    <w:rsid w:val="00702B71"/>
    <w:rsid w:val="00702DC7"/>
    <w:rsid w:val="007031EB"/>
    <w:rsid w:val="00704B43"/>
    <w:rsid w:val="00704F5A"/>
    <w:rsid w:val="0070627D"/>
    <w:rsid w:val="007069FD"/>
    <w:rsid w:val="007078B8"/>
    <w:rsid w:val="00707A85"/>
    <w:rsid w:val="0071105E"/>
    <w:rsid w:val="0071120D"/>
    <w:rsid w:val="007113DE"/>
    <w:rsid w:val="0071206D"/>
    <w:rsid w:val="0071346F"/>
    <w:rsid w:val="0071471C"/>
    <w:rsid w:val="00715731"/>
    <w:rsid w:val="007210C5"/>
    <w:rsid w:val="00721EA4"/>
    <w:rsid w:val="0072279D"/>
    <w:rsid w:val="007233A1"/>
    <w:rsid w:val="007248DA"/>
    <w:rsid w:val="00724C45"/>
    <w:rsid w:val="00726E34"/>
    <w:rsid w:val="00727A4F"/>
    <w:rsid w:val="0073057A"/>
    <w:rsid w:val="007305FA"/>
    <w:rsid w:val="00732377"/>
    <w:rsid w:val="00732D7B"/>
    <w:rsid w:val="00734635"/>
    <w:rsid w:val="00734F9B"/>
    <w:rsid w:val="00735472"/>
    <w:rsid w:val="00735893"/>
    <w:rsid w:val="007359C8"/>
    <w:rsid w:val="0074119A"/>
    <w:rsid w:val="00742851"/>
    <w:rsid w:val="00743601"/>
    <w:rsid w:val="00743EFA"/>
    <w:rsid w:val="00743F74"/>
    <w:rsid w:val="00744589"/>
    <w:rsid w:val="00744FE3"/>
    <w:rsid w:val="0074510A"/>
    <w:rsid w:val="00747B2F"/>
    <w:rsid w:val="0075167B"/>
    <w:rsid w:val="00751D22"/>
    <w:rsid w:val="00752CFD"/>
    <w:rsid w:val="00755204"/>
    <w:rsid w:val="00755808"/>
    <w:rsid w:val="00756B06"/>
    <w:rsid w:val="00756EAC"/>
    <w:rsid w:val="00757577"/>
    <w:rsid w:val="0075757D"/>
    <w:rsid w:val="0075777A"/>
    <w:rsid w:val="007579FF"/>
    <w:rsid w:val="00757D7A"/>
    <w:rsid w:val="00757D94"/>
    <w:rsid w:val="0076075A"/>
    <w:rsid w:val="00760C87"/>
    <w:rsid w:val="00761640"/>
    <w:rsid w:val="00761F58"/>
    <w:rsid w:val="007621D3"/>
    <w:rsid w:val="00762231"/>
    <w:rsid w:val="00762423"/>
    <w:rsid w:val="00763C5D"/>
    <w:rsid w:val="00763C98"/>
    <w:rsid w:val="0076550D"/>
    <w:rsid w:val="00770771"/>
    <w:rsid w:val="00771140"/>
    <w:rsid w:val="007720BD"/>
    <w:rsid w:val="00772110"/>
    <w:rsid w:val="007721D1"/>
    <w:rsid w:val="00772A19"/>
    <w:rsid w:val="0077314C"/>
    <w:rsid w:val="007746CC"/>
    <w:rsid w:val="007747F7"/>
    <w:rsid w:val="00774874"/>
    <w:rsid w:val="00774BF8"/>
    <w:rsid w:val="00774F74"/>
    <w:rsid w:val="00776E7E"/>
    <w:rsid w:val="007775FB"/>
    <w:rsid w:val="00777A81"/>
    <w:rsid w:val="00777C80"/>
    <w:rsid w:val="00780540"/>
    <w:rsid w:val="007813A6"/>
    <w:rsid w:val="0078301F"/>
    <w:rsid w:val="007832B2"/>
    <w:rsid w:val="00783DFD"/>
    <w:rsid w:val="00784516"/>
    <w:rsid w:val="0078455D"/>
    <w:rsid w:val="007846B7"/>
    <w:rsid w:val="007849ED"/>
    <w:rsid w:val="00784DD9"/>
    <w:rsid w:val="0078555A"/>
    <w:rsid w:val="00785D96"/>
    <w:rsid w:val="00785E5C"/>
    <w:rsid w:val="007860DD"/>
    <w:rsid w:val="00786CE1"/>
    <w:rsid w:val="00787D65"/>
    <w:rsid w:val="00787F23"/>
    <w:rsid w:val="00790722"/>
    <w:rsid w:val="007918AB"/>
    <w:rsid w:val="00791B35"/>
    <w:rsid w:val="00791CF0"/>
    <w:rsid w:val="0079455E"/>
    <w:rsid w:val="0079481A"/>
    <w:rsid w:val="00794862"/>
    <w:rsid w:val="00794ABF"/>
    <w:rsid w:val="00794DE3"/>
    <w:rsid w:val="00795112"/>
    <w:rsid w:val="00795A75"/>
    <w:rsid w:val="007962BF"/>
    <w:rsid w:val="00796F3C"/>
    <w:rsid w:val="00797174"/>
    <w:rsid w:val="00797747"/>
    <w:rsid w:val="007978B1"/>
    <w:rsid w:val="007A0618"/>
    <w:rsid w:val="007A10A8"/>
    <w:rsid w:val="007A1714"/>
    <w:rsid w:val="007A18C0"/>
    <w:rsid w:val="007A2E80"/>
    <w:rsid w:val="007A334A"/>
    <w:rsid w:val="007A52AA"/>
    <w:rsid w:val="007A53E7"/>
    <w:rsid w:val="007A5AE1"/>
    <w:rsid w:val="007A60FF"/>
    <w:rsid w:val="007B1C08"/>
    <w:rsid w:val="007B297D"/>
    <w:rsid w:val="007B298C"/>
    <w:rsid w:val="007B31F5"/>
    <w:rsid w:val="007B379E"/>
    <w:rsid w:val="007B3B8C"/>
    <w:rsid w:val="007B4BDE"/>
    <w:rsid w:val="007B53D4"/>
    <w:rsid w:val="007B53EC"/>
    <w:rsid w:val="007B5512"/>
    <w:rsid w:val="007B6BD1"/>
    <w:rsid w:val="007C0C1E"/>
    <w:rsid w:val="007C0E4A"/>
    <w:rsid w:val="007C1824"/>
    <w:rsid w:val="007C1E46"/>
    <w:rsid w:val="007C1FE0"/>
    <w:rsid w:val="007C2439"/>
    <w:rsid w:val="007C2586"/>
    <w:rsid w:val="007C2879"/>
    <w:rsid w:val="007C39EB"/>
    <w:rsid w:val="007C3CFD"/>
    <w:rsid w:val="007C585B"/>
    <w:rsid w:val="007C68D2"/>
    <w:rsid w:val="007D04D6"/>
    <w:rsid w:val="007D05A2"/>
    <w:rsid w:val="007D0885"/>
    <w:rsid w:val="007D1B02"/>
    <w:rsid w:val="007D2E8A"/>
    <w:rsid w:val="007D2FD2"/>
    <w:rsid w:val="007D3A81"/>
    <w:rsid w:val="007D3BCE"/>
    <w:rsid w:val="007D4397"/>
    <w:rsid w:val="007D5CEA"/>
    <w:rsid w:val="007D6235"/>
    <w:rsid w:val="007D6F13"/>
    <w:rsid w:val="007D7930"/>
    <w:rsid w:val="007D7F83"/>
    <w:rsid w:val="007E04B1"/>
    <w:rsid w:val="007E24F3"/>
    <w:rsid w:val="007E3CBA"/>
    <w:rsid w:val="007E3D29"/>
    <w:rsid w:val="007E52F0"/>
    <w:rsid w:val="007E5550"/>
    <w:rsid w:val="007E59FB"/>
    <w:rsid w:val="007E78BD"/>
    <w:rsid w:val="007E7B1B"/>
    <w:rsid w:val="007E7C00"/>
    <w:rsid w:val="007E7FC4"/>
    <w:rsid w:val="007F2D48"/>
    <w:rsid w:val="007F331C"/>
    <w:rsid w:val="007F33B2"/>
    <w:rsid w:val="007F3565"/>
    <w:rsid w:val="007F3F06"/>
    <w:rsid w:val="007F50D6"/>
    <w:rsid w:val="007F511B"/>
    <w:rsid w:val="007F6A62"/>
    <w:rsid w:val="007F6B1F"/>
    <w:rsid w:val="007F714C"/>
    <w:rsid w:val="007F7863"/>
    <w:rsid w:val="00800AEC"/>
    <w:rsid w:val="00801238"/>
    <w:rsid w:val="008012E6"/>
    <w:rsid w:val="00801FC6"/>
    <w:rsid w:val="00803038"/>
    <w:rsid w:val="00803373"/>
    <w:rsid w:val="0080355A"/>
    <w:rsid w:val="008038E3"/>
    <w:rsid w:val="00803A32"/>
    <w:rsid w:val="00803A4A"/>
    <w:rsid w:val="00804036"/>
    <w:rsid w:val="008044A1"/>
    <w:rsid w:val="008045E7"/>
    <w:rsid w:val="00804D60"/>
    <w:rsid w:val="00805AD7"/>
    <w:rsid w:val="00806920"/>
    <w:rsid w:val="008108D5"/>
    <w:rsid w:val="008113F9"/>
    <w:rsid w:val="0081193D"/>
    <w:rsid w:val="00811C43"/>
    <w:rsid w:val="008122EE"/>
    <w:rsid w:val="00813FB7"/>
    <w:rsid w:val="00814409"/>
    <w:rsid w:val="0081486E"/>
    <w:rsid w:val="0081565C"/>
    <w:rsid w:val="00816B48"/>
    <w:rsid w:val="00816F74"/>
    <w:rsid w:val="00817342"/>
    <w:rsid w:val="00817415"/>
    <w:rsid w:val="00817AEA"/>
    <w:rsid w:val="00817DC4"/>
    <w:rsid w:val="008202DF"/>
    <w:rsid w:val="00820A3C"/>
    <w:rsid w:val="008211BB"/>
    <w:rsid w:val="008213C2"/>
    <w:rsid w:val="0082279E"/>
    <w:rsid w:val="00822B9D"/>
    <w:rsid w:val="00822F8C"/>
    <w:rsid w:val="00823709"/>
    <w:rsid w:val="00824046"/>
    <w:rsid w:val="00824743"/>
    <w:rsid w:val="008249F4"/>
    <w:rsid w:val="008251ED"/>
    <w:rsid w:val="008258E0"/>
    <w:rsid w:val="0082650C"/>
    <w:rsid w:val="008267E6"/>
    <w:rsid w:val="008267EE"/>
    <w:rsid w:val="008268F3"/>
    <w:rsid w:val="00826B0C"/>
    <w:rsid w:val="00831347"/>
    <w:rsid w:val="008334AE"/>
    <w:rsid w:val="00834294"/>
    <w:rsid w:val="00834441"/>
    <w:rsid w:val="00834748"/>
    <w:rsid w:val="00835752"/>
    <w:rsid w:val="00836C1B"/>
    <w:rsid w:val="008404FA"/>
    <w:rsid w:val="00840516"/>
    <w:rsid w:val="00841429"/>
    <w:rsid w:val="00841482"/>
    <w:rsid w:val="00841694"/>
    <w:rsid w:val="00841847"/>
    <w:rsid w:val="00841C56"/>
    <w:rsid w:val="0084221F"/>
    <w:rsid w:val="00842E61"/>
    <w:rsid w:val="0084376D"/>
    <w:rsid w:val="008439CC"/>
    <w:rsid w:val="00844B1B"/>
    <w:rsid w:val="00845EA8"/>
    <w:rsid w:val="00846144"/>
    <w:rsid w:val="00846FA2"/>
    <w:rsid w:val="008473DA"/>
    <w:rsid w:val="0085089B"/>
    <w:rsid w:val="00850EA3"/>
    <w:rsid w:val="00852B05"/>
    <w:rsid w:val="008539AF"/>
    <w:rsid w:val="00853C6B"/>
    <w:rsid w:val="00854008"/>
    <w:rsid w:val="00854442"/>
    <w:rsid w:val="008566CB"/>
    <w:rsid w:val="0085740B"/>
    <w:rsid w:val="00857855"/>
    <w:rsid w:val="00857EFC"/>
    <w:rsid w:val="008605AF"/>
    <w:rsid w:val="00860F47"/>
    <w:rsid w:val="0086131D"/>
    <w:rsid w:val="00861528"/>
    <w:rsid w:val="0086334B"/>
    <w:rsid w:val="00863402"/>
    <w:rsid w:val="0086356D"/>
    <w:rsid w:val="008637AC"/>
    <w:rsid w:val="0086384F"/>
    <w:rsid w:val="00863890"/>
    <w:rsid w:val="00863980"/>
    <w:rsid w:val="00866FBE"/>
    <w:rsid w:val="00867383"/>
    <w:rsid w:val="0086791F"/>
    <w:rsid w:val="00870030"/>
    <w:rsid w:val="008700EA"/>
    <w:rsid w:val="008704CD"/>
    <w:rsid w:val="00874411"/>
    <w:rsid w:val="008746AA"/>
    <w:rsid w:val="0087508D"/>
    <w:rsid w:val="00875CEE"/>
    <w:rsid w:val="00876947"/>
    <w:rsid w:val="00877D69"/>
    <w:rsid w:val="00880D70"/>
    <w:rsid w:val="008814B1"/>
    <w:rsid w:val="0088262C"/>
    <w:rsid w:val="00882AEF"/>
    <w:rsid w:val="008836D9"/>
    <w:rsid w:val="0088392D"/>
    <w:rsid w:val="00883A82"/>
    <w:rsid w:val="00883CCF"/>
    <w:rsid w:val="008841E4"/>
    <w:rsid w:val="0088476B"/>
    <w:rsid w:val="00884EC9"/>
    <w:rsid w:val="00885A5F"/>
    <w:rsid w:val="008867D6"/>
    <w:rsid w:val="00890B97"/>
    <w:rsid w:val="0089101E"/>
    <w:rsid w:val="0089369F"/>
    <w:rsid w:val="00897389"/>
    <w:rsid w:val="00897F09"/>
    <w:rsid w:val="008A0C23"/>
    <w:rsid w:val="008A0F80"/>
    <w:rsid w:val="008A16BF"/>
    <w:rsid w:val="008A2109"/>
    <w:rsid w:val="008A2149"/>
    <w:rsid w:val="008A242A"/>
    <w:rsid w:val="008A3652"/>
    <w:rsid w:val="008A3A6B"/>
    <w:rsid w:val="008A3F71"/>
    <w:rsid w:val="008A4402"/>
    <w:rsid w:val="008A4492"/>
    <w:rsid w:val="008A4D35"/>
    <w:rsid w:val="008A6430"/>
    <w:rsid w:val="008A64D5"/>
    <w:rsid w:val="008A64F7"/>
    <w:rsid w:val="008A7420"/>
    <w:rsid w:val="008A77B9"/>
    <w:rsid w:val="008A77DF"/>
    <w:rsid w:val="008A7AF6"/>
    <w:rsid w:val="008B1640"/>
    <w:rsid w:val="008B3D30"/>
    <w:rsid w:val="008B4F38"/>
    <w:rsid w:val="008B538C"/>
    <w:rsid w:val="008B55D6"/>
    <w:rsid w:val="008B66D4"/>
    <w:rsid w:val="008B6DAC"/>
    <w:rsid w:val="008B7A46"/>
    <w:rsid w:val="008C0928"/>
    <w:rsid w:val="008C1DFB"/>
    <w:rsid w:val="008C2D7B"/>
    <w:rsid w:val="008C3457"/>
    <w:rsid w:val="008C4328"/>
    <w:rsid w:val="008C4BB8"/>
    <w:rsid w:val="008C7CE0"/>
    <w:rsid w:val="008C7FDC"/>
    <w:rsid w:val="008D087E"/>
    <w:rsid w:val="008D141A"/>
    <w:rsid w:val="008D29C6"/>
    <w:rsid w:val="008D2A24"/>
    <w:rsid w:val="008D3B33"/>
    <w:rsid w:val="008D6093"/>
    <w:rsid w:val="008D6378"/>
    <w:rsid w:val="008D67EB"/>
    <w:rsid w:val="008D6A70"/>
    <w:rsid w:val="008E0BC7"/>
    <w:rsid w:val="008E2AD4"/>
    <w:rsid w:val="008E33B8"/>
    <w:rsid w:val="008E41BD"/>
    <w:rsid w:val="008E5490"/>
    <w:rsid w:val="008E5546"/>
    <w:rsid w:val="008E562E"/>
    <w:rsid w:val="008F0966"/>
    <w:rsid w:val="008F1AA3"/>
    <w:rsid w:val="008F1AF3"/>
    <w:rsid w:val="008F25CE"/>
    <w:rsid w:val="008F308C"/>
    <w:rsid w:val="008F3EBC"/>
    <w:rsid w:val="009012A3"/>
    <w:rsid w:val="009012B2"/>
    <w:rsid w:val="009012F3"/>
    <w:rsid w:val="0090151E"/>
    <w:rsid w:val="00901572"/>
    <w:rsid w:val="00901998"/>
    <w:rsid w:val="0090251A"/>
    <w:rsid w:val="00902C3D"/>
    <w:rsid w:val="00903E39"/>
    <w:rsid w:val="009041D3"/>
    <w:rsid w:val="00904525"/>
    <w:rsid w:val="00910420"/>
    <w:rsid w:val="00910FB1"/>
    <w:rsid w:val="00911305"/>
    <w:rsid w:val="00911A3E"/>
    <w:rsid w:val="009121F0"/>
    <w:rsid w:val="009129BC"/>
    <w:rsid w:val="00912BB1"/>
    <w:rsid w:val="009139F2"/>
    <w:rsid w:val="00913F9D"/>
    <w:rsid w:val="00914429"/>
    <w:rsid w:val="009148C2"/>
    <w:rsid w:val="00914B24"/>
    <w:rsid w:val="00915D5B"/>
    <w:rsid w:val="009178B0"/>
    <w:rsid w:val="00917912"/>
    <w:rsid w:val="00917E85"/>
    <w:rsid w:val="00920237"/>
    <w:rsid w:val="00921183"/>
    <w:rsid w:val="00921A29"/>
    <w:rsid w:val="00921C99"/>
    <w:rsid w:val="009221FA"/>
    <w:rsid w:val="009228D8"/>
    <w:rsid w:val="00922957"/>
    <w:rsid w:val="0092320D"/>
    <w:rsid w:val="00924290"/>
    <w:rsid w:val="00924A90"/>
    <w:rsid w:val="00926C72"/>
    <w:rsid w:val="00927317"/>
    <w:rsid w:val="0092767B"/>
    <w:rsid w:val="009300E0"/>
    <w:rsid w:val="00931152"/>
    <w:rsid w:val="009315B5"/>
    <w:rsid w:val="0093286B"/>
    <w:rsid w:val="00932C97"/>
    <w:rsid w:val="00933DFE"/>
    <w:rsid w:val="0093475B"/>
    <w:rsid w:val="0093513F"/>
    <w:rsid w:val="009364DA"/>
    <w:rsid w:val="00937BB8"/>
    <w:rsid w:val="00941115"/>
    <w:rsid w:val="0094215D"/>
    <w:rsid w:val="00943363"/>
    <w:rsid w:val="00943880"/>
    <w:rsid w:val="00944A5A"/>
    <w:rsid w:val="00944AFA"/>
    <w:rsid w:val="009450A8"/>
    <w:rsid w:val="00945188"/>
    <w:rsid w:val="00945A5C"/>
    <w:rsid w:val="00950D52"/>
    <w:rsid w:val="00950F70"/>
    <w:rsid w:val="00951695"/>
    <w:rsid w:val="00953286"/>
    <w:rsid w:val="00954BFD"/>
    <w:rsid w:val="00954C4E"/>
    <w:rsid w:val="00955922"/>
    <w:rsid w:val="00956964"/>
    <w:rsid w:val="0095747A"/>
    <w:rsid w:val="00957BC3"/>
    <w:rsid w:val="00960495"/>
    <w:rsid w:val="009604A7"/>
    <w:rsid w:val="009606EF"/>
    <w:rsid w:val="00963175"/>
    <w:rsid w:val="0096379C"/>
    <w:rsid w:val="009637FD"/>
    <w:rsid w:val="00965265"/>
    <w:rsid w:val="00965524"/>
    <w:rsid w:val="00965E07"/>
    <w:rsid w:val="00966D48"/>
    <w:rsid w:val="009671AE"/>
    <w:rsid w:val="009674F3"/>
    <w:rsid w:val="009676E6"/>
    <w:rsid w:val="00967B61"/>
    <w:rsid w:val="00967D41"/>
    <w:rsid w:val="0097038B"/>
    <w:rsid w:val="00971248"/>
    <w:rsid w:val="00972058"/>
    <w:rsid w:val="00972584"/>
    <w:rsid w:val="00972A0B"/>
    <w:rsid w:val="009736FF"/>
    <w:rsid w:val="00975383"/>
    <w:rsid w:val="00975542"/>
    <w:rsid w:val="00976133"/>
    <w:rsid w:val="00976E0C"/>
    <w:rsid w:val="009803A2"/>
    <w:rsid w:val="009803B2"/>
    <w:rsid w:val="009817E0"/>
    <w:rsid w:val="009817F7"/>
    <w:rsid w:val="00982AEE"/>
    <w:rsid w:val="00983447"/>
    <w:rsid w:val="00983C85"/>
    <w:rsid w:val="00984341"/>
    <w:rsid w:val="0098452B"/>
    <w:rsid w:val="00984673"/>
    <w:rsid w:val="009847D5"/>
    <w:rsid w:val="00984A0B"/>
    <w:rsid w:val="0098551F"/>
    <w:rsid w:val="0098588C"/>
    <w:rsid w:val="009858B0"/>
    <w:rsid w:val="00986E8B"/>
    <w:rsid w:val="009870F2"/>
    <w:rsid w:val="0098761F"/>
    <w:rsid w:val="0099146B"/>
    <w:rsid w:val="00993600"/>
    <w:rsid w:val="009946AD"/>
    <w:rsid w:val="00994844"/>
    <w:rsid w:val="0099551C"/>
    <w:rsid w:val="009959EF"/>
    <w:rsid w:val="009968FE"/>
    <w:rsid w:val="00997039"/>
    <w:rsid w:val="00997B9C"/>
    <w:rsid w:val="00997FB4"/>
    <w:rsid w:val="009A02BB"/>
    <w:rsid w:val="009A21CE"/>
    <w:rsid w:val="009A3950"/>
    <w:rsid w:val="009A4079"/>
    <w:rsid w:val="009A556A"/>
    <w:rsid w:val="009A5D01"/>
    <w:rsid w:val="009A67C4"/>
    <w:rsid w:val="009A6E8F"/>
    <w:rsid w:val="009A74D0"/>
    <w:rsid w:val="009A753C"/>
    <w:rsid w:val="009B066E"/>
    <w:rsid w:val="009B0C70"/>
    <w:rsid w:val="009B185A"/>
    <w:rsid w:val="009B200D"/>
    <w:rsid w:val="009B4172"/>
    <w:rsid w:val="009B544B"/>
    <w:rsid w:val="009B5F7E"/>
    <w:rsid w:val="009B6D2E"/>
    <w:rsid w:val="009B7E56"/>
    <w:rsid w:val="009C03F0"/>
    <w:rsid w:val="009C15BC"/>
    <w:rsid w:val="009C1AFC"/>
    <w:rsid w:val="009C1BC7"/>
    <w:rsid w:val="009C2BEB"/>
    <w:rsid w:val="009C36EB"/>
    <w:rsid w:val="009C4508"/>
    <w:rsid w:val="009C49E5"/>
    <w:rsid w:val="009C74BD"/>
    <w:rsid w:val="009C7A77"/>
    <w:rsid w:val="009D036A"/>
    <w:rsid w:val="009D15C7"/>
    <w:rsid w:val="009D32B9"/>
    <w:rsid w:val="009D4148"/>
    <w:rsid w:val="009D6349"/>
    <w:rsid w:val="009D6622"/>
    <w:rsid w:val="009E114D"/>
    <w:rsid w:val="009E13F7"/>
    <w:rsid w:val="009E1E86"/>
    <w:rsid w:val="009E1F2D"/>
    <w:rsid w:val="009E307E"/>
    <w:rsid w:val="009E3345"/>
    <w:rsid w:val="009E3469"/>
    <w:rsid w:val="009E3CB6"/>
    <w:rsid w:val="009E43E1"/>
    <w:rsid w:val="009E6FBB"/>
    <w:rsid w:val="009E7D63"/>
    <w:rsid w:val="009E7FC8"/>
    <w:rsid w:val="009F2839"/>
    <w:rsid w:val="009F2865"/>
    <w:rsid w:val="009F2F1D"/>
    <w:rsid w:val="009F33E3"/>
    <w:rsid w:val="009F3FA4"/>
    <w:rsid w:val="009F533A"/>
    <w:rsid w:val="009F5666"/>
    <w:rsid w:val="009F5A5F"/>
    <w:rsid w:val="009F60A3"/>
    <w:rsid w:val="009F6201"/>
    <w:rsid w:val="009F730D"/>
    <w:rsid w:val="00A012DF"/>
    <w:rsid w:val="00A02AB3"/>
    <w:rsid w:val="00A04092"/>
    <w:rsid w:val="00A05A19"/>
    <w:rsid w:val="00A1132D"/>
    <w:rsid w:val="00A11402"/>
    <w:rsid w:val="00A11499"/>
    <w:rsid w:val="00A1219D"/>
    <w:rsid w:val="00A12274"/>
    <w:rsid w:val="00A12CE8"/>
    <w:rsid w:val="00A147EE"/>
    <w:rsid w:val="00A150B6"/>
    <w:rsid w:val="00A16D7F"/>
    <w:rsid w:val="00A17974"/>
    <w:rsid w:val="00A17AFB"/>
    <w:rsid w:val="00A2000B"/>
    <w:rsid w:val="00A20447"/>
    <w:rsid w:val="00A20F53"/>
    <w:rsid w:val="00A225D9"/>
    <w:rsid w:val="00A2355C"/>
    <w:rsid w:val="00A23CA8"/>
    <w:rsid w:val="00A24214"/>
    <w:rsid w:val="00A24558"/>
    <w:rsid w:val="00A2458F"/>
    <w:rsid w:val="00A25190"/>
    <w:rsid w:val="00A257C7"/>
    <w:rsid w:val="00A30BAE"/>
    <w:rsid w:val="00A317D4"/>
    <w:rsid w:val="00A31ED0"/>
    <w:rsid w:val="00A321AD"/>
    <w:rsid w:val="00A32C0C"/>
    <w:rsid w:val="00A332A4"/>
    <w:rsid w:val="00A3389E"/>
    <w:rsid w:val="00A33DD6"/>
    <w:rsid w:val="00A34991"/>
    <w:rsid w:val="00A35939"/>
    <w:rsid w:val="00A35D96"/>
    <w:rsid w:val="00A35DDD"/>
    <w:rsid w:val="00A372D6"/>
    <w:rsid w:val="00A402CD"/>
    <w:rsid w:val="00A40E5B"/>
    <w:rsid w:val="00A412C3"/>
    <w:rsid w:val="00A428B3"/>
    <w:rsid w:val="00A42CF7"/>
    <w:rsid w:val="00A43362"/>
    <w:rsid w:val="00A4397B"/>
    <w:rsid w:val="00A44240"/>
    <w:rsid w:val="00A44E08"/>
    <w:rsid w:val="00A44EEB"/>
    <w:rsid w:val="00A4619D"/>
    <w:rsid w:val="00A47C55"/>
    <w:rsid w:val="00A5012A"/>
    <w:rsid w:val="00A51078"/>
    <w:rsid w:val="00A51342"/>
    <w:rsid w:val="00A52D3E"/>
    <w:rsid w:val="00A538DA"/>
    <w:rsid w:val="00A53A6E"/>
    <w:rsid w:val="00A57136"/>
    <w:rsid w:val="00A6059D"/>
    <w:rsid w:val="00A608FC"/>
    <w:rsid w:val="00A60D22"/>
    <w:rsid w:val="00A6112B"/>
    <w:rsid w:val="00A615EE"/>
    <w:rsid w:val="00A618D3"/>
    <w:rsid w:val="00A61B34"/>
    <w:rsid w:val="00A641B3"/>
    <w:rsid w:val="00A64E71"/>
    <w:rsid w:val="00A65C07"/>
    <w:rsid w:val="00A65D7A"/>
    <w:rsid w:val="00A665FF"/>
    <w:rsid w:val="00A67FCC"/>
    <w:rsid w:val="00A70ADC"/>
    <w:rsid w:val="00A74612"/>
    <w:rsid w:val="00A748F6"/>
    <w:rsid w:val="00A74DAE"/>
    <w:rsid w:val="00A751E6"/>
    <w:rsid w:val="00A752DD"/>
    <w:rsid w:val="00A75434"/>
    <w:rsid w:val="00A7631A"/>
    <w:rsid w:val="00A76911"/>
    <w:rsid w:val="00A76D03"/>
    <w:rsid w:val="00A77033"/>
    <w:rsid w:val="00A774E5"/>
    <w:rsid w:val="00A777CA"/>
    <w:rsid w:val="00A779C6"/>
    <w:rsid w:val="00A77E12"/>
    <w:rsid w:val="00A80511"/>
    <w:rsid w:val="00A80A7C"/>
    <w:rsid w:val="00A839E9"/>
    <w:rsid w:val="00A83A17"/>
    <w:rsid w:val="00A8405E"/>
    <w:rsid w:val="00A84424"/>
    <w:rsid w:val="00A8497A"/>
    <w:rsid w:val="00A84FFF"/>
    <w:rsid w:val="00A85245"/>
    <w:rsid w:val="00A86618"/>
    <w:rsid w:val="00A86C33"/>
    <w:rsid w:val="00A8773E"/>
    <w:rsid w:val="00A878D6"/>
    <w:rsid w:val="00A87E86"/>
    <w:rsid w:val="00A91674"/>
    <w:rsid w:val="00A9217C"/>
    <w:rsid w:val="00A92205"/>
    <w:rsid w:val="00A9279A"/>
    <w:rsid w:val="00A92BD3"/>
    <w:rsid w:val="00A9302A"/>
    <w:rsid w:val="00A93D0D"/>
    <w:rsid w:val="00A95FB6"/>
    <w:rsid w:val="00A96460"/>
    <w:rsid w:val="00A96AFC"/>
    <w:rsid w:val="00A96B29"/>
    <w:rsid w:val="00A96D0B"/>
    <w:rsid w:val="00A974B6"/>
    <w:rsid w:val="00A979CD"/>
    <w:rsid w:val="00AA0197"/>
    <w:rsid w:val="00AA0643"/>
    <w:rsid w:val="00AA1652"/>
    <w:rsid w:val="00AA1D9D"/>
    <w:rsid w:val="00AA2BA3"/>
    <w:rsid w:val="00AA31BD"/>
    <w:rsid w:val="00AA442E"/>
    <w:rsid w:val="00AA57DA"/>
    <w:rsid w:val="00AA68A5"/>
    <w:rsid w:val="00AB0616"/>
    <w:rsid w:val="00AB0D39"/>
    <w:rsid w:val="00AB0FFD"/>
    <w:rsid w:val="00AB17AB"/>
    <w:rsid w:val="00AB2DA5"/>
    <w:rsid w:val="00AB49EA"/>
    <w:rsid w:val="00AB4A59"/>
    <w:rsid w:val="00AB4F4B"/>
    <w:rsid w:val="00AB582E"/>
    <w:rsid w:val="00AB5FA7"/>
    <w:rsid w:val="00AB7397"/>
    <w:rsid w:val="00AB7DF3"/>
    <w:rsid w:val="00AC0944"/>
    <w:rsid w:val="00AC0A94"/>
    <w:rsid w:val="00AC16FF"/>
    <w:rsid w:val="00AC1AF9"/>
    <w:rsid w:val="00AC28E2"/>
    <w:rsid w:val="00AC36B7"/>
    <w:rsid w:val="00AC3A91"/>
    <w:rsid w:val="00AC4802"/>
    <w:rsid w:val="00AC4930"/>
    <w:rsid w:val="00AC4BF6"/>
    <w:rsid w:val="00AC55E7"/>
    <w:rsid w:val="00AC5A4A"/>
    <w:rsid w:val="00AC6B35"/>
    <w:rsid w:val="00AC6E56"/>
    <w:rsid w:val="00AC6FB3"/>
    <w:rsid w:val="00AC748D"/>
    <w:rsid w:val="00AC750B"/>
    <w:rsid w:val="00AD1EA2"/>
    <w:rsid w:val="00AD2143"/>
    <w:rsid w:val="00AD3166"/>
    <w:rsid w:val="00AD4339"/>
    <w:rsid w:val="00AD50F1"/>
    <w:rsid w:val="00AD586A"/>
    <w:rsid w:val="00AD6471"/>
    <w:rsid w:val="00AD694E"/>
    <w:rsid w:val="00AD6D1D"/>
    <w:rsid w:val="00AD6DCA"/>
    <w:rsid w:val="00AD7182"/>
    <w:rsid w:val="00AD7755"/>
    <w:rsid w:val="00AE05F6"/>
    <w:rsid w:val="00AE2803"/>
    <w:rsid w:val="00AE3BA8"/>
    <w:rsid w:val="00AE3D8A"/>
    <w:rsid w:val="00AE400F"/>
    <w:rsid w:val="00AE5BA8"/>
    <w:rsid w:val="00AE5E35"/>
    <w:rsid w:val="00AE5E3E"/>
    <w:rsid w:val="00AE6401"/>
    <w:rsid w:val="00AE661B"/>
    <w:rsid w:val="00AE680B"/>
    <w:rsid w:val="00AE7855"/>
    <w:rsid w:val="00AE78E7"/>
    <w:rsid w:val="00AE7C9A"/>
    <w:rsid w:val="00AE7E21"/>
    <w:rsid w:val="00AF0168"/>
    <w:rsid w:val="00AF25F5"/>
    <w:rsid w:val="00AF265E"/>
    <w:rsid w:val="00AF3205"/>
    <w:rsid w:val="00AF3847"/>
    <w:rsid w:val="00AF4077"/>
    <w:rsid w:val="00AF6415"/>
    <w:rsid w:val="00AF64B4"/>
    <w:rsid w:val="00AF7201"/>
    <w:rsid w:val="00AF7D03"/>
    <w:rsid w:val="00B0079E"/>
    <w:rsid w:val="00B00B8D"/>
    <w:rsid w:val="00B02F66"/>
    <w:rsid w:val="00B034E3"/>
    <w:rsid w:val="00B03A74"/>
    <w:rsid w:val="00B03C15"/>
    <w:rsid w:val="00B04D61"/>
    <w:rsid w:val="00B0611D"/>
    <w:rsid w:val="00B07214"/>
    <w:rsid w:val="00B07B30"/>
    <w:rsid w:val="00B1258B"/>
    <w:rsid w:val="00B151A2"/>
    <w:rsid w:val="00B168C1"/>
    <w:rsid w:val="00B177B0"/>
    <w:rsid w:val="00B2131E"/>
    <w:rsid w:val="00B22D32"/>
    <w:rsid w:val="00B245FD"/>
    <w:rsid w:val="00B24D37"/>
    <w:rsid w:val="00B25155"/>
    <w:rsid w:val="00B251A1"/>
    <w:rsid w:val="00B2548B"/>
    <w:rsid w:val="00B262EB"/>
    <w:rsid w:val="00B26C2F"/>
    <w:rsid w:val="00B27A03"/>
    <w:rsid w:val="00B27B1C"/>
    <w:rsid w:val="00B27D4C"/>
    <w:rsid w:val="00B30985"/>
    <w:rsid w:val="00B30FA5"/>
    <w:rsid w:val="00B3136B"/>
    <w:rsid w:val="00B31621"/>
    <w:rsid w:val="00B31675"/>
    <w:rsid w:val="00B31687"/>
    <w:rsid w:val="00B32B1B"/>
    <w:rsid w:val="00B35139"/>
    <w:rsid w:val="00B35843"/>
    <w:rsid w:val="00B35922"/>
    <w:rsid w:val="00B36957"/>
    <w:rsid w:val="00B36F35"/>
    <w:rsid w:val="00B3726C"/>
    <w:rsid w:val="00B40018"/>
    <w:rsid w:val="00B4082B"/>
    <w:rsid w:val="00B415FE"/>
    <w:rsid w:val="00B418C1"/>
    <w:rsid w:val="00B42390"/>
    <w:rsid w:val="00B42A73"/>
    <w:rsid w:val="00B4393E"/>
    <w:rsid w:val="00B45107"/>
    <w:rsid w:val="00B45A50"/>
    <w:rsid w:val="00B45C13"/>
    <w:rsid w:val="00B45C87"/>
    <w:rsid w:val="00B45F7A"/>
    <w:rsid w:val="00B4766B"/>
    <w:rsid w:val="00B47D69"/>
    <w:rsid w:val="00B50506"/>
    <w:rsid w:val="00B51294"/>
    <w:rsid w:val="00B52087"/>
    <w:rsid w:val="00B52EA7"/>
    <w:rsid w:val="00B5399C"/>
    <w:rsid w:val="00B5485A"/>
    <w:rsid w:val="00B54DCA"/>
    <w:rsid w:val="00B5563C"/>
    <w:rsid w:val="00B557BE"/>
    <w:rsid w:val="00B5589D"/>
    <w:rsid w:val="00B55952"/>
    <w:rsid w:val="00B56B8E"/>
    <w:rsid w:val="00B570F4"/>
    <w:rsid w:val="00B57105"/>
    <w:rsid w:val="00B57823"/>
    <w:rsid w:val="00B57866"/>
    <w:rsid w:val="00B579E7"/>
    <w:rsid w:val="00B60360"/>
    <w:rsid w:val="00B609E7"/>
    <w:rsid w:val="00B613CA"/>
    <w:rsid w:val="00B637D4"/>
    <w:rsid w:val="00B639EE"/>
    <w:rsid w:val="00B65171"/>
    <w:rsid w:val="00B65DD4"/>
    <w:rsid w:val="00B65EF5"/>
    <w:rsid w:val="00B67FBA"/>
    <w:rsid w:val="00B708A7"/>
    <w:rsid w:val="00B70C62"/>
    <w:rsid w:val="00B70DE4"/>
    <w:rsid w:val="00B71A20"/>
    <w:rsid w:val="00B73079"/>
    <w:rsid w:val="00B73237"/>
    <w:rsid w:val="00B73919"/>
    <w:rsid w:val="00B73E81"/>
    <w:rsid w:val="00B75257"/>
    <w:rsid w:val="00B75270"/>
    <w:rsid w:val="00B75F14"/>
    <w:rsid w:val="00B77F63"/>
    <w:rsid w:val="00B8197A"/>
    <w:rsid w:val="00B82C74"/>
    <w:rsid w:val="00B82DAF"/>
    <w:rsid w:val="00B82E97"/>
    <w:rsid w:val="00B83748"/>
    <w:rsid w:val="00B8388F"/>
    <w:rsid w:val="00B83AFA"/>
    <w:rsid w:val="00B840BD"/>
    <w:rsid w:val="00B847CB"/>
    <w:rsid w:val="00B84B56"/>
    <w:rsid w:val="00B84B8D"/>
    <w:rsid w:val="00B87164"/>
    <w:rsid w:val="00B87E0B"/>
    <w:rsid w:val="00B90B1C"/>
    <w:rsid w:val="00B91AC4"/>
    <w:rsid w:val="00B91FB1"/>
    <w:rsid w:val="00B945E6"/>
    <w:rsid w:val="00B957BC"/>
    <w:rsid w:val="00B9582B"/>
    <w:rsid w:val="00B959CA"/>
    <w:rsid w:val="00B95C22"/>
    <w:rsid w:val="00B966B6"/>
    <w:rsid w:val="00B96AF9"/>
    <w:rsid w:val="00B96D1B"/>
    <w:rsid w:val="00B9723F"/>
    <w:rsid w:val="00B978C1"/>
    <w:rsid w:val="00BA01DF"/>
    <w:rsid w:val="00BA193C"/>
    <w:rsid w:val="00BA331C"/>
    <w:rsid w:val="00BA38F6"/>
    <w:rsid w:val="00BA535B"/>
    <w:rsid w:val="00BA5A38"/>
    <w:rsid w:val="00BA666F"/>
    <w:rsid w:val="00BA66DE"/>
    <w:rsid w:val="00BA787F"/>
    <w:rsid w:val="00BA7D5F"/>
    <w:rsid w:val="00BB061E"/>
    <w:rsid w:val="00BB0CC3"/>
    <w:rsid w:val="00BB0D43"/>
    <w:rsid w:val="00BB0D5F"/>
    <w:rsid w:val="00BB2E19"/>
    <w:rsid w:val="00BB343E"/>
    <w:rsid w:val="00BB5006"/>
    <w:rsid w:val="00BB5541"/>
    <w:rsid w:val="00BB61EE"/>
    <w:rsid w:val="00BB6B0E"/>
    <w:rsid w:val="00BB7F95"/>
    <w:rsid w:val="00BC0835"/>
    <w:rsid w:val="00BC0FC6"/>
    <w:rsid w:val="00BC2251"/>
    <w:rsid w:val="00BC33F0"/>
    <w:rsid w:val="00BC4084"/>
    <w:rsid w:val="00BC5341"/>
    <w:rsid w:val="00BC6AF0"/>
    <w:rsid w:val="00BC7D13"/>
    <w:rsid w:val="00BC7EB6"/>
    <w:rsid w:val="00BD11FF"/>
    <w:rsid w:val="00BD1AD9"/>
    <w:rsid w:val="00BD22E9"/>
    <w:rsid w:val="00BD2384"/>
    <w:rsid w:val="00BD2E1B"/>
    <w:rsid w:val="00BD3240"/>
    <w:rsid w:val="00BD3EA8"/>
    <w:rsid w:val="00BD57E3"/>
    <w:rsid w:val="00BD5AB0"/>
    <w:rsid w:val="00BD6213"/>
    <w:rsid w:val="00BD7419"/>
    <w:rsid w:val="00BE0469"/>
    <w:rsid w:val="00BE113B"/>
    <w:rsid w:val="00BE1F7E"/>
    <w:rsid w:val="00BE2C6B"/>
    <w:rsid w:val="00BE2D94"/>
    <w:rsid w:val="00BE34EB"/>
    <w:rsid w:val="00BE484C"/>
    <w:rsid w:val="00BE4A0C"/>
    <w:rsid w:val="00BE4A22"/>
    <w:rsid w:val="00BE5406"/>
    <w:rsid w:val="00BE577C"/>
    <w:rsid w:val="00BE75B2"/>
    <w:rsid w:val="00BF032E"/>
    <w:rsid w:val="00BF0572"/>
    <w:rsid w:val="00BF2730"/>
    <w:rsid w:val="00BF27A0"/>
    <w:rsid w:val="00BF29F3"/>
    <w:rsid w:val="00BF3B3E"/>
    <w:rsid w:val="00BF3FC4"/>
    <w:rsid w:val="00BF42FD"/>
    <w:rsid w:val="00BF532D"/>
    <w:rsid w:val="00BF69F1"/>
    <w:rsid w:val="00BF7210"/>
    <w:rsid w:val="00BF73FE"/>
    <w:rsid w:val="00BF7B7F"/>
    <w:rsid w:val="00C01234"/>
    <w:rsid w:val="00C01313"/>
    <w:rsid w:val="00C014E5"/>
    <w:rsid w:val="00C017D9"/>
    <w:rsid w:val="00C0276D"/>
    <w:rsid w:val="00C02B3F"/>
    <w:rsid w:val="00C02DC3"/>
    <w:rsid w:val="00C03195"/>
    <w:rsid w:val="00C03407"/>
    <w:rsid w:val="00C05B1B"/>
    <w:rsid w:val="00C10A91"/>
    <w:rsid w:val="00C11091"/>
    <w:rsid w:val="00C115D0"/>
    <w:rsid w:val="00C1210C"/>
    <w:rsid w:val="00C121B4"/>
    <w:rsid w:val="00C1273C"/>
    <w:rsid w:val="00C1380B"/>
    <w:rsid w:val="00C15716"/>
    <w:rsid w:val="00C15CF4"/>
    <w:rsid w:val="00C161A8"/>
    <w:rsid w:val="00C16359"/>
    <w:rsid w:val="00C16AA8"/>
    <w:rsid w:val="00C170BB"/>
    <w:rsid w:val="00C1739F"/>
    <w:rsid w:val="00C20A5B"/>
    <w:rsid w:val="00C21A0A"/>
    <w:rsid w:val="00C21DE9"/>
    <w:rsid w:val="00C2268B"/>
    <w:rsid w:val="00C23891"/>
    <w:rsid w:val="00C239D1"/>
    <w:rsid w:val="00C2757E"/>
    <w:rsid w:val="00C27647"/>
    <w:rsid w:val="00C319AF"/>
    <w:rsid w:val="00C3238D"/>
    <w:rsid w:val="00C3253A"/>
    <w:rsid w:val="00C325D0"/>
    <w:rsid w:val="00C32B5D"/>
    <w:rsid w:val="00C33AAD"/>
    <w:rsid w:val="00C348DA"/>
    <w:rsid w:val="00C350ED"/>
    <w:rsid w:val="00C35277"/>
    <w:rsid w:val="00C35AFB"/>
    <w:rsid w:val="00C3672D"/>
    <w:rsid w:val="00C36AE8"/>
    <w:rsid w:val="00C36C3F"/>
    <w:rsid w:val="00C40192"/>
    <w:rsid w:val="00C408A3"/>
    <w:rsid w:val="00C411F5"/>
    <w:rsid w:val="00C422ED"/>
    <w:rsid w:val="00C43DC6"/>
    <w:rsid w:val="00C457E8"/>
    <w:rsid w:val="00C461E8"/>
    <w:rsid w:val="00C465AC"/>
    <w:rsid w:val="00C51D7E"/>
    <w:rsid w:val="00C52258"/>
    <w:rsid w:val="00C524A8"/>
    <w:rsid w:val="00C52B67"/>
    <w:rsid w:val="00C5414A"/>
    <w:rsid w:val="00C54E0E"/>
    <w:rsid w:val="00C55150"/>
    <w:rsid w:val="00C5528E"/>
    <w:rsid w:val="00C55B22"/>
    <w:rsid w:val="00C55D2B"/>
    <w:rsid w:val="00C5627F"/>
    <w:rsid w:val="00C56301"/>
    <w:rsid w:val="00C56343"/>
    <w:rsid w:val="00C5644D"/>
    <w:rsid w:val="00C6059D"/>
    <w:rsid w:val="00C60656"/>
    <w:rsid w:val="00C60F06"/>
    <w:rsid w:val="00C61696"/>
    <w:rsid w:val="00C62686"/>
    <w:rsid w:val="00C6298C"/>
    <w:rsid w:val="00C62B14"/>
    <w:rsid w:val="00C62D41"/>
    <w:rsid w:val="00C66000"/>
    <w:rsid w:val="00C669CB"/>
    <w:rsid w:val="00C719AE"/>
    <w:rsid w:val="00C71A72"/>
    <w:rsid w:val="00C71F11"/>
    <w:rsid w:val="00C72760"/>
    <w:rsid w:val="00C72A5D"/>
    <w:rsid w:val="00C72B83"/>
    <w:rsid w:val="00C73D0E"/>
    <w:rsid w:val="00C73E67"/>
    <w:rsid w:val="00C7465D"/>
    <w:rsid w:val="00C74F09"/>
    <w:rsid w:val="00C750A8"/>
    <w:rsid w:val="00C75569"/>
    <w:rsid w:val="00C75A7D"/>
    <w:rsid w:val="00C75B40"/>
    <w:rsid w:val="00C75B90"/>
    <w:rsid w:val="00C75E2C"/>
    <w:rsid w:val="00C76525"/>
    <w:rsid w:val="00C775EB"/>
    <w:rsid w:val="00C7765D"/>
    <w:rsid w:val="00C80C1D"/>
    <w:rsid w:val="00C815EA"/>
    <w:rsid w:val="00C81FFC"/>
    <w:rsid w:val="00C82073"/>
    <w:rsid w:val="00C823FE"/>
    <w:rsid w:val="00C82423"/>
    <w:rsid w:val="00C8273C"/>
    <w:rsid w:val="00C8286E"/>
    <w:rsid w:val="00C833F9"/>
    <w:rsid w:val="00C8342D"/>
    <w:rsid w:val="00C83DEB"/>
    <w:rsid w:val="00C84299"/>
    <w:rsid w:val="00C850CC"/>
    <w:rsid w:val="00C86CEA"/>
    <w:rsid w:val="00C8754D"/>
    <w:rsid w:val="00C91287"/>
    <w:rsid w:val="00C9362B"/>
    <w:rsid w:val="00C9580D"/>
    <w:rsid w:val="00C960AA"/>
    <w:rsid w:val="00C96F24"/>
    <w:rsid w:val="00CA01E8"/>
    <w:rsid w:val="00CA1D3A"/>
    <w:rsid w:val="00CA1F74"/>
    <w:rsid w:val="00CA20F3"/>
    <w:rsid w:val="00CA248E"/>
    <w:rsid w:val="00CA47F6"/>
    <w:rsid w:val="00CA4974"/>
    <w:rsid w:val="00CA4BBF"/>
    <w:rsid w:val="00CA5589"/>
    <w:rsid w:val="00CA60F8"/>
    <w:rsid w:val="00CA633E"/>
    <w:rsid w:val="00CA7713"/>
    <w:rsid w:val="00CB13D4"/>
    <w:rsid w:val="00CB1E87"/>
    <w:rsid w:val="00CB3A3C"/>
    <w:rsid w:val="00CB42B8"/>
    <w:rsid w:val="00CB4D95"/>
    <w:rsid w:val="00CB5964"/>
    <w:rsid w:val="00CB624E"/>
    <w:rsid w:val="00CB6E6D"/>
    <w:rsid w:val="00CB6FEC"/>
    <w:rsid w:val="00CC103D"/>
    <w:rsid w:val="00CC1251"/>
    <w:rsid w:val="00CC1680"/>
    <w:rsid w:val="00CC2516"/>
    <w:rsid w:val="00CC2AD7"/>
    <w:rsid w:val="00CC2BAB"/>
    <w:rsid w:val="00CC38C6"/>
    <w:rsid w:val="00CC3DF2"/>
    <w:rsid w:val="00CC4920"/>
    <w:rsid w:val="00CC4B2E"/>
    <w:rsid w:val="00CC4DAA"/>
    <w:rsid w:val="00CC53E9"/>
    <w:rsid w:val="00CC6298"/>
    <w:rsid w:val="00CC6328"/>
    <w:rsid w:val="00CC691B"/>
    <w:rsid w:val="00CC7630"/>
    <w:rsid w:val="00CC7AC9"/>
    <w:rsid w:val="00CD0CBC"/>
    <w:rsid w:val="00CD0F1A"/>
    <w:rsid w:val="00CD0F74"/>
    <w:rsid w:val="00CD0F7A"/>
    <w:rsid w:val="00CD177E"/>
    <w:rsid w:val="00CD179A"/>
    <w:rsid w:val="00CD1C5E"/>
    <w:rsid w:val="00CD28F6"/>
    <w:rsid w:val="00CD3157"/>
    <w:rsid w:val="00CD3710"/>
    <w:rsid w:val="00CD3F65"/>
    <w:rsid w:val="00CD54E3"/>
    <w:rsid w:val="00CD66C2"/>
    <w:rsid w:val="00CD6F54"/>
    <w:rsid w:val="00CE0EE9"/>
    <w:rsid w:val="00CE2C36"/>
    <w:rsid w:val="00CE2CC8"/>
    <w:rsid w:val="00CE70AB"/>
    <w:rsid w:val="00CE7119"/>
    <w:rsid w:val="00CE72FD"/>
    <w:rsid w:val="00CF0E39"/>
    <w:rsid w:val="00CF111F"/>
    <w:rsid w:val="00CF129B"/>
    <w:rsid w:val="00CF147E"/>
    <w:rsid w:val="00CF1FA2"/>
    <w:rsid w:val="00CF37B1"/>
    <w:rsid w:val="00CF3A85"/>
    <w:rsid w:val="00CF581E"/>
    <w:rsid w:val="00D001D0"/>
    <w:rsid w:val="00D0225B"/>
    <w:rsid w:val="00D03B4E"/>
    <w:rsid w:val="00D04459"/>
    <w:rsid w:val="00D0546E"/>
    <w:rsid w:val="00D07154"/>
    <w:rsid w:val="00D07539"/>
    <w:rsid w:val="00D1051D"/>
    <w:rsid w:val="00D118EF"/>
    <w:rsid w:val="00D12522"/>
    <w:rsid w:val="00D1377E"/>
    <w:rsid w:val="00D15FE5"/>
    <w:rsid w:val="00D1673D"/>
    <w:rsid w:val="00D170D7"/>
    <w:rsid w:val="00D1711F"/>
    <w:rsid w:val="00D17A18"/>
    <w:rsid w:val="00D17EC5"/>
    <w:rsid w:val="00D20BA3"/>
    <w:rsid w:val="00D20D53"/>
    <w:rsid w:val="00D2190E"/>
    <w:rsid w:val="00D225F7"/>
    <w:rsid w:val="00D22F8C"/>
    <w:rsid w:val="00D232EA"/>
    <w:rsid w:val="00D23D1E"/>
    <w:rsid w:val="00D23F46"/>
    <w:rsid w:val="00D2704C"/>
    <w:rsid w:val="00D27803"/>
    <w:rsid w:val="00D30048"/>
    <w:rsid w:val="00D31A3B"/>
    <w:rsid w:val="00D32093"/>
    <w:rsid w:val="00D32883"/>
    <w:rsid w:val="00D33087"/>
    <w:rsid w:val="00D3468C"/>
    <w:rsid w:val="00D35C70"/>
    <w:rsid w:val="00D36658"/>
    <w:rsid w:val="00D371F8"/>
    <w:rsid w:val="00D37BF7"/>
    <w:rsid w:val="00D416BF"/>
    <w:rsid w:val="00D41D9D"/>
    <w:rsid w:val="00D424BD"/>
    <w:rsid w:val="00D46063"/>
    <w:rsid w:val="00D4614E"/>
    <w:rsid w:val="00D47900"/>
    <w:rsid w:val="00D47E56"/>
    <w:rsid w:val="00D500F7"/>
    <w:rsid w:val="00D5192D"/>
    <w:rsid w:val="00D52684"/>
    <w:rsid w:val="00D53072"/>
    <w:rsid w:val="00D53787"/>
    <w:rsid w:val="00D53D75"/>
    <w:rsid w:val="00D5615B"/>
    <w:rsid w:val="00D579C4"/>
    <w:rsid w:val="00D6065F"/>
    <w:rsid w:val="00D6074F"/>
    <w:rsid w:val="00D60CFD"/>
    <w:rsid w:val="00D60E09"/>
    <w:rsid w:val="00D6122E"/>
    <w:rsid w:val="00D6246C"/>
    <w:rsid w:val="00D62FA8"/>
    <w:rsid w:val="00D63808"/>
    <w:rsid w:val="00D651D2"/>
    <w:rsid w:val="00D652F1"/>
    <w:rsid w:val="00D65D85"/>
    <w:rsid w:val="00D66698"/>
    <w:rsid w:val="00D667C0"/>
    <w:rsid w:val="00D67BC5"/>
    <w:rsid w:val="00D67BF2"/>
    <w:rsid w:val="00D67C2D"/>
    <w:rsid w:val="00D70617"/>
    <w:rsid w:val="00D71035"/>
    <w:rsid w:val="00D72D4B"/>
    <w:rsid w:val="00D74292"/>
    <w:rsid w:val="00D74830"/>
    <w:rsid w:val="00D74CB2"/>
    <w:rsid w:val="00D756CB"/>
    <w:rsid w:val="00D76323"/>
    <w:rsid w:val="00D76EBA"/>
    <w:rsid w:val="00D77ECD"/>
    <w:rsid w:val="00D800EB"/>
    <w:rsid w:val="00D801C7"/>
    <w:rsid w:val="00D80708"/>
    <w:rsid w:val="00D810A3"/>
    <w:rsid w:val="00D81584"/>
    <w:rsid w:val="00D81D7D"/>
    <w:rsid w:val="00D81DF5"/>
    <w:rsid w:val="00D82B44"/>
    <w:rsid w:val="00D843FF"/>
    <w:rsid w:val="00D85170"/>
    <w:rsid w:val="00D851DE"/>
    <w:rsid w:val="00D86564"/>
    <w:rsid w:val="00D900F2"/>
    <w:rsid w:val="00D901C6"/>
    <w:rsid w:val="00D90BDA"/>
    <w:rsid w:val="00D91298"/>
    <w:rsid w:val="00D9212A"/>
    <w:rsid w:val="00D933E5"/>
    <w:rsid w:val="00D94675"/>
    <w:rsid w:val="00D949FA"/>
    <w:rsid w:val="00D94B42"/>
    <w:rsid w:val="00D95C57"/>
    <w:rsid w:val="00D95E27"/>
    <w:rsid w:val="00D961E4"/>
    <w:rsid w:val="00D969AC"/>
    <w:rsid w:val="00D96DFD"/>
    <w:rsid w:val="00D97038"/>
    <w:rsid w:val="00D97E92"/>
    <w:rsid w:val="00DA0616"/>
    <w:rsid w:val="00DA0D82"/>
    <w:rsid w:val="00DA177A"/>
    <w:rsid w:val="00DA2177"/>
    <w:rsid w:val="00DA30B6"/>
    <w:rsid w:val="00DA3B36"/>
    <w:rsid w:val="00DA3F2B"/>
    <w:rsid w:val="00DA526C"/>
    <w:rsid w:val="00DA55F2"/>
    <w:rsid w:val="00DA5627"/>
    <w:rsid w:val="00DA6551"/>
    <w:rsid w:val="00DA6736"/>
    <w:rsid w:val="00DA676F"/>
    <w:rsid w:val="00DB0C29"/>
    <w:rsid w:val="00DB0ED9"/>
    <w:rsid w:val="00DB1421"/>
    <w:rsid w:val="00DB2064"/>
    <w:rsid w:val="00DB20D8"/>
    <w:rsid w:val="00DB25DD"/>
    <w:rsid w:val="00DB2B1E"/>
    <w:rsid w:val="00DB31F0"/>
    <w:rsid w:val="00DB431B"/>
    <w:rsid w:val="00DB5452"/>
    <w:rsid w:val="00DB6295"/>
    <w:rsid w:val="00DB62F9"/>
    <w:rsid w:val="00DB6AE0"/>
    <w:rsid w:val="00DB6E3B"/>
    <w:rsid w:val="00DB7CA2"/>
    <w:rsid w:val="00DB7FBB"/>
    <w:rsid w:val="00DC0A93"/>
    <w:rsid w:val="00DC0B36"/>
    <w:rsid w:val="00DC0D1E"/>
    <w:rsid w:val="00DC0D77"/>
    <w:rsid w:val="00DC230F"/>
    <w:rsid w:val="00DC2AD3"/>
    <w:rsid w:val="00DC3522"/>
    <w:rsid w:val="00DC366B"/>
    <w:rsid w:val="00DC3990"/>
    <w:rsid w:val="00DC39EC"/>
    <w:rsid w:val="00DC468C"/>
    <w:rsid w:val="00DC4CBC"/>
    <w:rsid w:val="00DC561C"/>
    <w:rsid w:val="00DC56DE"/>
    <w:rsid w:val="00DC5A01"/>
    <w:rsid w:val="00DC5DE1"/>
    <w:rsid w:val="00DC6F3C"/>
    <w:rsid w:val="00DC7B72"/>
    <w:rsid w:val="00DD06C5"/>
    <w:rsid w:val="00DD0A58"/>
    <w:rsid w:val="00DD1C9D"/>
    <w:rsid w:val="00DD21A2"/>
    <w:rsid w:val="00DD3286"/>
    <w:rsid w:val="00DD41ED"/>
    <w:rsid w:val="00DD5572"/>
    <w:rsid w:val="00DD69C7"/>
    <w:rsid w:val="00DD6AA6"/>
    <w:rsid w:val="00DD6C9F"/>
    <w:rsid w:val="00DD73AB"/>
    <w:rsid w:val="00DE00CC"/>
    <w:rsid w:val="00DE0927"/>
    <w:rsid w:val="00DE0AD9"/>
    <w:rsid w:val="00DE0BD8"/>
    <w:rsid w:val="00DE0DC3"/>
    <w:rsid w:val="00DE0FE3"/>
    <w:rsid w:val="00DE105C"/>
    <w:rsid w:val="00DE12FE"/>
    <w:rsid w:val="00DE15A9"/>
    <w:rsid w:val="00DE16F9"/>
    <w:rsid w:val="00DE1AEF"/>
    <w:rsid w:val="00DE2176"/>
    <w:rsid w:val="00DE2471"/>
    <w:rsid w:val="00DE2EF7"/>
    <w:rsid w:val="00DE3B28"/>
    <w:rsid w:val="00DE3C91"/>
    <w:rsid w:val="00DE464F"/>
    <w:rsid w:val="00DE6CF5"/>
    <w:rsid w:val="00DE741E"/>
    <w:rsid w:val="00DE79F0"/>
    <w:rsid w:val="00DF1160"/>
    <w:rsid w:val="00DF13AE"/>
    <w:rsid w:val="00DF148D"/>
    <w:rsid w:val="00DF2211"/>
    <w:rsid w:val="00DF3464"/>
    <w:rsid w:val="00DF3F39"/>
    <w:rsid w:val="00DF4010"/>
    <w:rsid w:val="00DF4BED"/>
    <w:rsid w:val="00DF4E3B"/>
    <w:rsid w:val="00DF5DEE"/>
    <w:rsid w:val="00DF6309"/>
    <w:rsid w:val="00DF7042"/>
    <w:rsid w:val="00DF7733"/>
    <w:rsid w:val="00DF7B0D"/>
    <w:rsid w:val="00E00DC8"/>
    <w:rsid w:val="00E01742"/>
    <w:rsid w:val="00E01890"/>
    <w:rsid w:val="00E019B7"/>
    <w:rsid w:val="00E01F20"/>
    <w:rsid w:val="00E03E5E"/>
    <w:rsid w:val="00E04950"/>
    <w:rsid w:val="00E05879"/>
    <w:rsid w:val="00E059BB"/>
    <w:rsid w:val="00E05D5A"/>
    <w:rsid w:val="00E06116"/>
    <w:rsid w:val="00E0618D"/>
    <w:rsid w:val="00E0699C"/>
    <w:rsid w:val="00E06B50"/>
    <w:rsid w:val="00E102CF"/>
    <w:rsid w:val="00E1034C"/>
    <w:rsid w:val="00E104F0"/>
    <w:rsid w:val="00E109E2"/>
    <w:rsid w:val="00E10E56"/>
    <w:rsid w:val="00E11034"/>
    <w:rsid w:val="00E1143C"/>
    <w:rsid w:val="00E11EA7"/>
    <w:rsid w:val="00E12ADB"/>
    <w:rsid w:val="00E148FA"/>
    <w:rsid w:val="00E14BD2"/>
    <w:rsid w:val="00E14D95"/>
    <w:rsid w:val="00E1521A"/>
    <w:rsid w:val="00E1650B"/>
    <w:rsid w:val="00E16603"/>
    <w:rsid w:val="00E169D2"/>
    <w:rsid w:val="00E16A63"/>
    <w:rsid w:val="00E1750F"/>
    <w:rsid w:val="00E17F99"/>
    <w:rsid w:val="00E220B1"/>
    <w:rsid w:val="00E22CEA"/>
    <w:rsid w:val="00E25A70"/>
    <w:rsid w:val="00E25F14"/>
    <w:rsid w:val="00E26C5D"/>
    <w:rsid w:val="00E2720C"/>
    <w:rsid w:val="00E31034"/>
    <w:rsid w:val="00E31141"/>
    <w:rsid w:val="00E31264"/>
    <w:rsid w:val="00E3142E"/>
    <w:rsid w:val="00E31803"/>
    <w:rsid w:val="00E31BD5"/>
    <w:rsid w:val="00E31C85"/>
    <w:rsid w:val="00E3228E"/>
    <w:rsid w:val="00E3266F"/>
    <w:rsid w:val="00E32D31"/>
    <w:rsid w:val="00E33032"/>
    <w:rsid w:val="00E36683"/>
    <w:rsid w:val="00E36895"/>
    <w:rsid w:val="00E36A7F"/>
    <w:rsid w:val="00E378F0"/>
    <w:rsid w:val="00E40143"/>
    <w:rsid w:val="00E40250"/>
    <w:rsid w:val="00E403C1"/>
    <w:rsid w:val="00E404C1"/>
    <w:rsid w:val="00E40EDE"/>
    <w:rsid w:val="00E418C0"/>
    <w:rsid w:val="00E41904"/>
    <w:rsid w:val="00E4402B"/>
    <w:rsid w:val="00E452F0"/>
    <w:rsid w:val="00E45469"/>
    <w:rsid w:val="00E461FE"/>
    <w:rsid w:val="00E4640F"/>
    <w:rsid w:val="00E46544"/>
    <w:rsid w:val="00E46EF0"/>
    <w:rsid w:val="00E50A77"/>
    <w:rsid w:val="00E50B81"/>
    <w:rsid w:val="00E51882"/>
    <w:rsid w:val="00E5337C"/>
    <w:rsid w:val="00E546CB"/>
    <w:rsid w:val="00E54D59"/>
    <w:rsid w:val="00E5548C"/>
    <w:rsid w:val="00E55783"/>
    <w:rsid w:val="00E56FED"/>
    <w:rsid w:val="00E572EF"/>
    <w:rsid w:val="00E5746B"/>
    <w:rsid w:val="00E60240"/>
    <w:rsid w:val="00E60B2F"/>
    <w:rsid w:val="00E61179"/>
    <w:rsid w:val="00E616A6"/>
    <w:rsid w:val="00E616ED"/>
    <w:rsid w:val="00E61D3E"/>
    <w:rsid w:val="00E6372A"/>
    <w:rsid w:val="00E70934"/>
    <w:rsid w:val="00E71805"/>
    <w:rsid w:val="00E71BAF"/>
    <w:rsid w:val="00E71CEB"/>
    <w:rsid w:val="00E72141"/>
    <w:rsid w:val="00E725E2"/>
    <w:rsid w:val="00E7277A"/>
    <w:rsid w:val="00E738D4"/>
    <w:rsid w:val="00E73E36"/>
    <w:rsid w:val="00E7422A"/>
    <w:rsid w:val="00E74D98"/>
    <w:rsid w:val="00E74F31"/>
    <w:rsid w:val="00E75E5B"/>
    <w:rsid w:val="00E76B0B"/>
    <w:rsid w:val="00E77AC5"/>
    <w:rsid w:val="00E80771"/>
    <w:rsid w:val="00E80F46"/>
    <w:rsid w:val="00E82715"/>
    <w:rsid w:val="00E82C1F"/>
    <w:rsid w:val="00E835E8"/>
    <w:rsid w:val="00E83F54"/>
    <w:rsid w:val="00E85547"/>
    <w:rsid w:val="00E85C8F"/>
    <w:rsid w:val="00E8663B"/>
    <w:rsid w:val="00E8694E"/>
    <w:rsid w:val="00E86E23"/>
    <w:rsid w:val="00E86E60"/>
    <w:rsid w:val="00E87E74"/>
    <w:rsid w:val="00E909A3"/>
    <w:rsid w:val="00E91823"/>
    <w:rsid w:val="00E938F1"/>
    <w:rsid w:val="00E94160"/>
    <w:rsid w:val="00E944E1"/>
    <w:rsid w:val="00E97791"/>
    <w:rsid w:val="00EA1208"/>
    <w:rsid w:val="00EA1A72"/>
    <w:rsid w:val="00EA2AD0"/>
    <w:rsid w:val="00EA2F8E"/>
    <w:rsid w:val="00EA3030"/>
    <w:rsid w:val="00EA3ABB"/>
    <w:rsid w:val="00EA4897"/>
    <w:rsid w:val="00EA489F"/>
    <w:rsid w:val="00EA4F08"/>
    <w:rsid w:val="00EA571B"/>
    <w:rsid w:val="00EA5F9C"/>
    <w:rsid w:val="00EA6395"/>
    <w:rsid w:val="00EA7618"/>
    <w:rsid w:val="00EB0473"/>
    <w:rsid w:val="00EB0768"/>
    <w:rsid w:val="00EB0EF7"/>
    <w:rsid w:val="00EB1638"/>
    <w:rsid w:val="00EB1909"/>
    <w:rsid w:val="00EB1DA6"/>
    <w:rsid w:val="00EB2321"/>
    <w:rsid w:val="00EB2514"/>
    <w:rsid w:val="00EB30A2"/>
    <w:rsid w:val="00EB3A72"/>
    <w:rsid w:val="00EB455C"/>
    <w:rsid w:val="00EC0167"/>
    <w:rsid w:val="00EC1472"/>
    <w:rsid w:val="00EC153F"/>
    <w:rsid w:val="00EC1A16"/>
    <w:rsid w:val="00EC1BF0"/>
    <w:rsid w:val="00EC2A4C"/>
    <w:rsid w:val="00EC33FD"/>
    <w:rsid w:val="00EC3571"/>
    <w:rsid w:val="00EC430F"/>
    <w:rsid w:val="00EC4E7C"/>
    <w:rsid w:val="00EC4ED4"/>
    <w:rsid w:val="00EC5175"/>
    <w:rsid w:val="00EC5372"/>
    <w:rsid w:val="00EC5458"/>
    <w:rsid w:val="00EC5B79"/>
    <w:rsid w:val="00EC5F64"/>
    <w:rsid w:val="00EC6411"/>
    <w:rsid w:val="00EC6F2C"/>
    <w:rsid w:val="00EC6FB1"/>
    <w:rsid w:val="00EC7212"/>
    <w:rsid w:val="00EC729B"/>
    <w:rsid w:val="00ED0191"/>
    <w:rsid w:val="00ED0E3C"/>
    <w:rsid w:val="00ED1990"/>
    <w:rsid w:val="00ED23A1"/>
    <w:rsid w:val="00ED2525"/>
    <w:rsid w:val="00ED2E3D"/>
    <w:rsid w:val="00ED4123"/>
    <w:rsid w:val="00ED4614"/>
    <w:rsid w:val="00ED470B"/>
    <w:rsid w:val="00ED4E29"/>
    <w:rsid w:val="00ED5663"/>
    <w:rsid w:val="00ED5962"/>
    <w:rsid w:val="00ED5A84"/>
    <w:rsid w:val="00ED673B"/>
    <w:rsid w:val="00ED6D97"/>
    <w:rsid w:val="00ED6EB3"/>
    <w:rsid w:val="00ED747E"/>
    <w:rsid w:val="00ED77F0"/>
    <w:rsid w:val="00EE0380"/>
    <w:rsid w:val="00EE066F"/>
    <w:rsid w:val="00EE093D"/>
    <w:rsid w:val="00EE12B6"/>
    <w:rsid w:val="00EE18A9"/>
    <w:rsid w:val="00EE3280"/>
    <w:rsid w:val="00EE4950"/>
    <w:rsid w:val="00EE4EF7"/>
    <w:rsid w:val="00EE530A"/>
    <w:rsid w:val="00EE615D"/>
    <w:rsid w:val="00EE7805"/>
    <w:rsid w:val="00EE7EA1"/>
    <w:rsid w:val="00EE7F06"/>
    <w:rsid w:val="00EF09C4"/>
    <w:rsid w:val="00EF19E4"/>
    <w:rsid w:val="00EF1DE7"/>
    <w:rsid w:val="00EF1E1F"/>
    <w:rsid w:val="00EF270A"/>
    <w:rsid w:val="00EF2BDB"/>
    <w:rsid w:val="00EF3347"/>
    <w:rsid w:val="00EF3A93"/>
    <w:rsid w:val="00EF3C43"/>
    <w:rsid w:val="00EF3E1A"/>
    <w:rsid w:val="00EF3F95"/>
    <w:rsid w:val="00EF4F51"/>
    <w:rsid w:val="00EF5397"/>
    <w:rsid w:val="00EF6E94"/>
    <w:rsid w:val="00F002DE"/>
    <w:rsid w:val="00F00736"/>
    <w:rsid w:val="00F01676"/>
    <w:rsid w:val="00F0229B"/>
    <w:rsid w:val="00F02677"/>
    <w:rsid w:val="00F04762"/>
    <w:rsid w:val="00F04FE2"/>
    <w:rsid w:val="00F0556F"/>
    <w:rsid w:val="00F05573"/>
    <w:rsid w:val="00F06F36"/>
    <w:rsid w:val="00F070CF"/>
    <w:rsid w:val="00F07271"/>
    <w:rsid w:val="00F076D8"/>
    <w:rsid w:val="00F07887"/>
    <w:rsid w:val="00F07FF4"/>
    <w:rsid w:val="00F10131"/>
    <w:rsid w:val="00F10634"/>
    <w:rsid w:val="00F10B03"/>
    <w:rsid w:val="00F112FB"/>
    <w:rsid w:val="00F11B9C"/>
    <w:rsid w:val="00F1254B"/>
    <w:rsid w:val="00F12F47"/>
    <w:rsid w:val="00F142E3"/>
    <w:rsid w:val="00F14453"/>
    <w:rsid w:val="00F145C2"/>
    <w:rsid w:val="00F14D93"/>
    <w:rsid w:val="00F154C8"/>
    <w:rsid w:val="00F159DD"/>
    <w:rsid w:val="00F16161"/>
    <w:rsid w:val="00F17EAC"/>
    <w:rsid w:val="00F213D0"/>
    <w:rsid w:val="00F2154D"/>
    <w:rsid w:val="00F23455"/>
    <w:rsid w:val="00F23913"/>
    <w:rsid w:val="00F23CEF"/>
    <w:rsid w:val="00F25852"/>
    <w:rsid w:val="00F30217"/>
    <w:rsid w:val="00F312DA"/>
    <w:rsid w:val="00F32534"/>
    <w:rsid w:val="00F34514"/>
    <w:rsid w:val="00F351EF"/>
    <w:rsid w:val="00F352DF"/>
    <w:rsid w:val="00F355BE"/>
    <w:rsid w:val="00F372A0"/>
    <w:rsid w:val="00F373B7"/>
    <w:rsid w:val="00F379BB"/>
    <w:rsid w:val="00F41B45"/>
    <w:rsid w:val="00F42BB3"/>
    <w:rsid w:val="00F440FE"/>
    <w:rsid w:val="00F4595A"/>
    <w:rsid w:val="00F45DC3"/>
    <w:rsid w:val="00F4671D"/>
    <w:rsid w:val="00F467C5"/>
    <w:rsid w:val="00F5059E"/>
    <w:rsid w:val="00F506FD"/>
    <w:rsid w:val="00F508B7"/>
    <w:rsid w:val="00F52D08"/>
    <w:rsid w:val="00F53141"/>
    <w:rsid w:val="00F5336B"/>
    <w:rsid w:val="00F53DA8"/>
    <w:rsid w:val="00F54A70"/>
    <w:rsid w:val="00F55940"/>
    <w:rsid w:val="00F55E3F"/>
    <w:rsid w:val="00F5615B"/>
    <w:rsid w:val="00F56820"/>
    <w:rsid w:val="00F56F35"/>
    <w:rsid w:val="00F57C12"/>
    <w:rsid w:val="00F60297"/>
    <w:rsid w:val="00F607BE"/>
    <w:rsid w:val="00F61076"/>
    <w:rsid w:val="00F622BE"/>
    <w:rsid w:val="00F62CD9"/>
    <w:rsid w:val="00F6549C"/>
    <w:rsid w:val="00F656DA"/>
    <w:rsid w:val="00F65879"/>
    <w:rsid w:val="00F65996"/>
    <w:rsid w:val="00F667AD"/>
    <w:rsid w:val="00F70EAB"/>
    <w:rsid w:val="00F70F9B"/>
    <w:rsid w:val="00F71022"/>
    <w:rsid w:val="00F73A03"/>
    <w:rsid w:val="00F73E6E"/>
    <w:rsid w:val="00F740A6"/>
    <w:rsid w:val="00F75AFD"/>
    <w:rsid w:val="00F762CF"/>
    <w:rsid w:val="00F77073"/>
    <w:rsid w:val="00F775B7"/>
    <w:rsid w:val="00F800F9"/>
    <w:rsid w:val="00F80902"/>
    <w:rsid w:val="00F80E1A"/>
    <w:rsid w:val="00F81E59"/>
    <w:rsid w:val="00F85419"/>
    <w:rsid w:val="00F862AA"/>
    <w:rsid w:val="00F86719"/>
    <w:rsid w:val="00F86855"/>
    <w:rsid w:val="00F86D73"/>
    <w:rsid w:val="00F876ED"/>
    <w:rsid w:val="00F87A8E"/>
    <w:rsid w:val="00F902EF"/>
    <w:rsid w:val="00F91C74"/>
    <w:rsid w:val="00F9233E"/>
    <w:rsid w:val="00F92494"/>
    <w:rsid w:val="00F92A96"/>
    <w:rsid w:val="00F931F5"/>
    <w:rsid w:val="00F93AB8"/>
    <w:rsid w:val="00F945FC"/>
    <w:rsid w:val="00F94B96"/>
    <w:rsid w:val="00F94D0B"/>
    <w:rsid w:val="00F95B06"/>
    <w:rsid w:val="00F96899"/>
    <w:rsid w:val="00F96A8C"/>
    <w:rsid w:val="00F96B17"/>
    <w:rsid w:val="00F97079"/>
    <w:rsid w:val="00F9749D"/>
    <w:rsid w:val="00F97676"/>
    <w:rsid w:val="00FA0451"/>
    <w:rsid w:val="00FA0A8B"/>
    <w:rsid w:val="00FA149C"/>
    <w:rsid w:val="00FA229E"/>
    <w:rsid w:val="00FA239B"/>
    <w:rsid w:val="00FA35EE"/>
    <w:rsid w:val="00FA39CD"/>
    <w:rsid w:val="00FA3B27"/>
    <w:rsid w:val="00FA3B2F"/>
    <w:rsid w:val="00FA3CD9"/>
    <w:rsid w:val="00FA3D5E"/>
    <w:rsid w:val="00FA44FA"/>
    <w:rsid w:val="00FA52BD"/>
    <w:rsid w:val="00FA5BCD"/>
    <w:rsid w:val="00FA65CE"/>
    <w:rsid w:val="00FA669B"/>
    <w:rsid w:val="00FA7D9E"/>
    <w:rsid w:val="00FB0538"/>
    <w:rsid w:val="00FB1A15"/>
    <w:rsid w:val="00FB231F"/>
    <w:rsid w:val="00FB25D8"/>
    <w:rsid w:val="00FB2A18"/>
    <w:rsid w:val="00FB2C96"/>
    <w:rsid w:val="00FB2EF7"/>
    <w:rsid w:val="00FB38E7"/>
    <w:rsid w:val="00FB5DF6"/>
    <w:rsid w:val="00FB604A"/>
    <w:rsid w:val="00FB60EA"/>
    <w:rsid w:val="00FB6196"/>
    <w:rsid w:val="00FB715F"/>
    <w:rsid w:val="00FC0763"/>
    <w:rsid w:val="00FC460A"/>
    <w:rsid w:val="00FC46CD"/>
    <w:rsid w:val="00FC46F4"/>
    <w:rsid w:val="00FC52D9"/>
    <w:rsid w:val="00FC5EB1"/>
    <w:rsid w:val="00FC6466"/>
    <w:rsid w:val="00FC7019"/>
    <w:rsid w:val="00FD030B"/>
    <w:rsid w:val="00FD088D"/>
    <w:rsid w:val="00FD13FF"/>
    <w:rsid w:val="00FD194C"/>
    <w:rsid w:val="00FD22E8"/>
    <w:rsid w:val="00FD2ED5"/>
    <w:rsid w:val="00FD3886"/>
    <w:rsid w:val="00FD4420"/>
    <w:rsid w:val="00FD4B97"/>
    <w:rsid w:val="00FD561C"/>
    <w:rsid w:val="00FD5C50"/>
    <w:rsid w:val="00FD5D34"/>
    <w:rsid w:val="00FD60D1"/>
    <w:rsid w:val="00FD6984"/>
    <w:rsid w:val="00FE01E0"/>
    <w:rsid w:val="00FE0580"/>
    <w:rsid w:val="00FE0B8A"/>
    <w:rsid w:val="00FE0C15"/>
    <w:rsid w:val="00FE0C75"/>
    <w:rsid w:val="00FE17A2"/>
    <w:rsid w:val="00FE2732"/>
    <w:rsid w:val="00FE27BB"/>
    <w:rsid w:val="00FE2F9C"/>
    <w:rsid w:val="00FE341B"/>
    <w:rsid w:val="00FE3BF0"/>
    <w:rsid w:val="00FE4AE0"/>
    <w:rsid w:val="00FE4C15"/>
    <w:rsid w:val="00FE5288"/>
    <w:rsid w:val="00FE6683"/>
    <w:rsid w:val="00FE68EE"/>
    <w:rsid w:val="00FF186D"/>
    <w:rsid w:val="00FF1D69"/>
    <w:rsid w:val="00FF23A9"/>
    <w:rsid w:val="00FF25A5"/>
    <w:rsid w:val="00FF39C1"/>
    <w:rsid w:val="00FF4F04"/>
    <w:rsid w:val="00FF5B48"/>
    <w:rsid w:val="00FF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B33"/>
    <w:rPr>
      <w:rFonts w:ascii="Arial" w:hAnsi="Arial"/>
      <w:sz w:val="22"/>
      <w:szCs w:val="24"/>
    </w:rPr>
  </w:style>
  <w:style w:type="paragraph" w:styleId="Heading1">
    <w:name w:val="heading 1"/>
    <w:basedOn w:val="Normal"/>
    <w:next w:val="Normal"/>
    <w:link w:val="Heading1Char"/>
    <w:qFormat/>
    <w:rsid w:val="006B2D47"/>
    <w:pPr>
      <w:keepNext/>
      <w:keepLines/>
      <w:outlineLvl w:val="0"/>
    </w:pPr>
    <w:rPr>
      <w:rFonts w:eastAsiaTheme="majorEastAsia"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63FE4"/>
    <w:rPr>
      <w:rFonts w:ascii="Tahoma" w:hAnsi="Tahoma" w:cs="Tahoma"/>
      <w:sz w:val="16"/>
      <w:szCs w:val="16"/>
    </w:rPr>
  </w:style>
  <w:style w:type="paragraph" w:styleId="Header">
    <w:name w:val="header"/>
    <w:basedOn w:val="Normal"/>
    <w:rsid w:val="00DB62F9"/>
    <w:pPr>
      <w:widowControl w:val="0"/>
      <w:tabs>
        <w:tab w:val="center" w:pos="4320"/>
        <w:tab w:val="right" w:pos="8640"/>
      </w:tabs>
      <w:autoSpaceDE w:val="0"/>
      <w:autoSpaceDN w:val="0"/>
      <w:adjustRightInd w:val="0"/>
    </w:pPr>
    <w:rPr>
      <w:rFonts w:ascii="Times New Roman" w:hAnsi="Times New Roman"/>
      <w:sz w:val="20"/>
      <w:szCs w:val="20"/>
    </w:rPr>
  </w:style>
  <w:style w:type="paragraph" w:styleId="Footer">
    <w:name w:val="footer"/>
    <w:basedOn w:val="Normal"/>
    <w:link w:val="FooterChar"/>
    <w:uiPriority w:val="99"/>
    <w:rsid w:val="00DB62F9"/>
    <w:pPr>
      <w:widowControl w:val="0"/>
      <w:tabs>
        <w:tab w:val="center" w:pos="4320"/>
        <w:tab w:val="right" w:pos="8640"/>
      </w:tabs>
      <w:autoSpaceDE w:val="0"/>
      <w:autoSpaceDN w:val="0"/>
      <w:adjustRightInd w:val="0"/>
    </w:pPr>
    <w:rPr>
      <w:rFonts w:ascii="Times New Roman" w:hAnsi="Times New Roman"/>
      <w:sz w:val="20"/>
      <w:szCs w:val="20"/>
    </w:rPr>
  </w:style>
  <w:style w:type="paragraph" w:styleId="TOC1">
    <w:name w:val="toc 1"/>
    <w:basedOn w:val="Normal"/>
    <w:next w:val="Normal"/>
    <w:autoRedefine/>
    <w:uiPriority w:val="39"/>
    <w:rsid w:val="0045670A"/>
    <w:pPr>
      <w:widowControl w:val="0"/>
      <w:tabs>
        <w:tab w:val="right" w:leader="dot" w:pos="9350"/>
      </w:tabs>
      <w:autoSpaceDE w:val="0"/>
      <w:autoSpaceDN w:val="0"/>
      <w:adjustRightInd w:val="0"/>
      <w:spacing w:line="480" w:lineRule="auto"/>
    </w:pPr>
    <w:rPr>
      <w:rFonts w:ascii="Times New Roman" w:hAnsi="Times New Roman"/>
      <w:sz w:val="20"/>
      <w:szCs w:val="20"/>
    </w:rPr>
  </w:style>
  <w:style w:type="paragraph" w:styleId="TOC2">
    <w:name w:val="toc 2"/>
    <w:basedOn w:val="Normal"/>
    <w:next w:val="Normal"/>
    <w:autoRedefine/>
    <w:semiHidden/>
    <w:rsid w:val="001E0DE6"/>
    <w:pPr>
      <w:widowControl w:val="0"/>
      <w:tabs>
        <w:tab w:val="left" w:pos="720"/>
        <w:tab w:val="right" w:leader="dot" w:pos="9450"/>
      </w:tabs>
      <w:autoSpaceDE w:val="0"/>
      <w:autoSpaceDN w:val="0"/>
      <w:adjustRightInd w:val="0"/>
      <w:ind w:left="200"/>
      <w:jc w:val="right"/>
    </w:pPr>
    <w:rPr>
      <w:rFonts w:ascii="Times New Roman" w:hAnsi="Times New Roman"/>
      <w:sz w:val="20"/>
      <w:szCs w:val="20"/>
    </w:rPr>
  </w:style>
  <w:style w:type="paragraph" w:styleId="TOC3">
    <w:name w:val="toc 3"/>
    <w:basedOn w:val="Normal"/>
    <w:next w:val="Normal"/>
    <w:autoRedefine/>
    <w:semiHidden/>
    <w:rsid w:val="00DB62F9"/>
    <w:pPr>
      <w:widowControl w:val="0"/>
      <w:autoSpaceDE w:val="0"/>
      <w:autoSpaceDN w:val="0"/>
      <w:adjustRightInd w:val="0"/>
      <w:ind w:left="400"/>
    </w:pPr>
    <w:rPr>
      <w:rFonts w:ascii="Times New Roman" w:hAnsi="Times New Roman"/>
      <w:sz w:val="20"/>
      <w:szCs w:val="20"/>
    </w:rPr>
  </w:style>
  <w:style w:type="character" w:styleId="PageNumber">
    <w:name w:val="page number"/>
    <w:basedOn w:val="DefaultParagraphFont"/>
    <w:rsid w:val="00DB62F9"/>
  </w:style>
  <w:style w:type="character" w:styleId="FootnoteReference">
    <w:name w:val="footnote reference"/>
    <w:basedOn w:val="DefaultParagraphFont"/>
    <w:uiPriority w:val="99"/>
    <w:rsid w:val="00DB62F9"/>
    <w:rPr>
      <w:vertAlign w:val="superscript"/>
    </w:rPr>
  </w:style>
  <w:style w:type="table" w:styleId="TableGrid">
    <w:name w:val="Table Grid"/>
    <w:basedOn w:val="TableNormal"/>
    <w:rsid w:val="00DB62F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DB62F9"/>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jc w:val="both"/>
    </w:pPr>
    <w:rPr>
      <w:sz w:val="24"/>
      <w:szCs w:val="24"/>
    </w:rPr>
  </w:style>
  <w:style w:type="table" w:styleId="TableElegant">
    <w:name w:val="Table Elegant"/>
    <w:basedOn w:val="TableNormal"/>
    <w:rsid w:val="00DB62F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basedOn w:val="DefaultParagraphFont"/>
    <w:rsid w:val="00437109"/>
    <w:rPr>
      <w:sz w:val="16"/>
      <w:szCs w:val="16"/>
    </w:rPr>
  </w:style>
  <w:style w:type="paragraph" w:styleId="CommentText">
    <w:name w:val="annotation text"/>
    <w:basedOn w:val="Normal"/>
    <w:link w:val="CommentTextChar"/>
    <w:rsid w:val="00437109"/>
    <w:rPr>
      <w:sz w:val="20"/>
      <w:szCs w:val="20"/>
    </w:rPr>
  </w:style>
  <w:style w:type="paragraph" w:styleId="CommentSubject">
    <w:name w:val="annotation subject"/>
    <w:basedOn w:val="CommentText"/>
    <w:next w:val="CommentText"/>
    <w:semiHidden/>
    <w:rsid w:val="00437109"/>
    <w:rPr>
      <w:b/>
      <w:bCs/>
    </w:rPr>
  </w:style>
  <w:style w:type="paragraph" w:styleId="FootnoteText">
    <w:name w:val="footnote text"/>
    <w:basedOn w:val="Normal"/>
    <w:link w:val="FootnoteTextChar"/>
    <w:autoRedefine/>
    <w:uiPriority w:val="99"/>
    <w:rsid w:val="00681850"/>
    <w:pPr>
      <w:widowControl w:val="0"/>
      <w:autoSpaceDE w:val="0"/>
      <w:autoSpaceDN w:val="0"/>
      <w:adjustRightInd w:val="0"/>
      <w:spacing w:after="240"/>
      <w:ind w:left="720" w:hanging="720"/>
    </w:pPr>
    <w:rPr>
      <w:color w:val="000000"/>
      <w:sz w:val="18"/>
      <w:szCs w:val="18"/>
    </w:rPr>
  </w:style>
  <w:style w:type="character" w:styleId="Hyperlink">
    <w:name w:val="Hyperlink"/>
    <w:basedOn w:val="DefaultParagraphFont"/>
    <w:uiPriority w:val="99"/>
    <w:rsid w:val="00654175"/>
    <w:rPr>
      <w:color w:val="0000FF"/>
      <w:u w:val="single"/>
    </w:rPr>
  </w:style>
  <w:style w:type="paragraph" w:styleId="ListParagraph">
    <w:name w:val="List Paragraph"/>
    <w:basedOn w:val="Normal"/>
    <w:uiPriority w:val="34"/>
    <w:qFormat/>
    <w:rsid w:val="006D7363"/>
    <w:pPr>
      <w:ind w:left="720"/>
    </w:pPr>
  </w:style>
  <w:style w:type="character" w:styleId="Emphasis">
    <w:name w:val="Emphasis"/>
    <w:basedOn w:val="DefaultParagraphFont"/>
    <w:qFormat/>
    <w:rsid w:val="00993600"/>
    <w:rPr>
      <w:i/>
      <w:iCs/>
    </w:rPr>
  </w:style>
  <w:style w:type="character" w:customStyle="1" w:styleId="FootnoteTextChar">
    <w:name w:val="Footnote Text Char"/>
    <w:basedOn w:val="DefaultParagraphFont"/>
    <w:link w:val="FootnoteText"/>
    <w:uiPriority w:val="99"/>
    <w:rsid w:val="00681850"/>
    <w:rPr>
      <w:rFonts w:ascii="Arial" w:hAnsi="Arial"/>
      <w:color w:val="000000"/>
      <w:sz w:val="18"/>
      <w:szCs w:val="18"/>
    </w:rPr>
  </w:style>
  <w:style w:type="character" w:customStyle="1" w:styleId="CommentTextChar">
    <w:name w:val="Comment Text Char"/>
    <w:basedOn w:val="DefaultParagraphFont"/>
    <w:link w:val="CommentText"/>
    <w:rsid w:val="0068024C"/>
    <w:rPr>
      <w:rFonts w:ascii="Arial" w:hAnsi="Arial"/>
    </w:rPr>
  </w:style>
  <w:style w:type="character" w:customStyle="1" w:styleId="Heading1Char">
    <w:name w:val="Heading 1 Char"/>
    <w:basedOn w:val="DefaultParagraphFont"/>
    <w:link w:val="Heading1"/>
    <w:rsid w:val="006B2D47"/>
    <w:rPr>
      <w:rFonts w:ascii="Arial" w:eastAsiaTheme="majorEastAsia" w:hAnsi="Arial" w:cs="Arial"/>
      <w:b/>
      <w:bCs/>
      <w:sz w:val="22"/>
      <w:szCs w:val="22"/>
    </w:rPr>
  </w:style>
  <w:style w:type="paragraph" w:styleId="TOCHeading">
    <w:name w:val="TOC Heading"/>
    <w:basedOn w:val="Heading1"/>
    <w:next w:val="Normal"/>
    <w:uiPriority w:val="39"/>
    <w:unhideWhenUsed/>
    <w:qFormat/>
    <w:rsid w:val="002E76D0"/>
    <w:pPr>
      <w:spacing w:line="276" w:lineRule="auto"/>
      <w:outlineLvl w:val="9"/>
    </w:pPr>
  </w:style>
  <w:style w:type="character" w:customStyle="1" w:styleId="FooterChar">
    <w:name w:val="Footer Char"/>
    <w:basedOn w:val="DefaultParagraphFont"/>
    <w:link w:val="Footer"/>
    <w:uiPriority w:val="99"/>
    <w:rsid w:val="00DD69C7"/>
  </w:style>
  <w:style w:type="paragraph" w:styleId="Revision">
    <w:name w:val="Revision"/>
    <w:hidden/>
    <w:uiPriority w:val="99"/>
    <w:semiHidden/>
    <w:rsid w:val="0063747D"/>
    <w:rPr>
      <w:rFonts w:ascii="Arial" w:hAnsi="Arial"/>
      <w:sz w:val="22"/>
      <w:szCs w:val="24"/>
    </w:rPr>
  </w:style>
  <w:style w:type="paragraph" w:styleId="Title">
    <w:name w:val="Title"/>
    <w:basedOn w:val="Normal"/>
    <w:next w:val="Normal"/>
    <w:link w:val="TitleChar"/>
    <w:qFormat/>
    <w:rsid w:val="000459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4590F"/>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B33"/>
    <w:rPr>
      <w:rFonts w:ascii="Arial" w:hAnsi="Arial"/>
      <w:sz w:val="22"/>
      <w:szCs w:val="24"/>
    </w:rPr>
  </w:style>
  <w:style w:type="paragraph" w:styleId="Heading1">
    <w:name w:val="heading 1"/>
    <w:basedOn w:val="Normal"/>
    <w:next w:val="Normal"/>
    <w:link w:val="Heading1Char"/>
    <w:qFormat/>
    <w:rsid w:val="006B2D47"/>
    <w:pPr>
      <w:keepNext/>
      <w:keepLines/>
      <w:outlineLvl w:val="0"/>
    </w:pPr>
    <w:rPr>
      <w:rFonts w:eastAsiaTheme="majorEastAsia"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63FE4"/>
    <w:rPr>
      <w:rFonts w:ascii="Tahoma" w:hAnsi="Tahoma" w:cs="Tahoma"/>
      <w:sz w:val="16"/>
      <w:szCs w:val="16"/>
    </w:rPr>
  </w:style>
  <w:style w:type="paragraph" w:styleId="Header">
    <w:name w:val="header"/>
    <w:basedOn w:val="Normal"/>
    <w:rsid w:val="00DB62F9"/>
    <w:pPr>
      <w:widowControl w:val="0"/>
      <w:tabs>
        <w:tab w:val="center" w:pos="4320"/>
        <w:tab w:val="right" w:pos="8640"/>
      </w:tabs>
      <w:autoSpaceDE w:val="0"/>
      <w:autoSpaceDN w:val="0"/>
      <w:adjustRightInd w:val="0"/>
    </w:pPr>
    <w:rPr>
      <w:rFonts w:ascii="Times New Roman" w:hAnsi="Times New Roman"/>
      <w:sz w:val="20"/>
      <w:szCs w:val="20"/>
    </w:rPr>
  </w:style>
  <w:style w:type="paragraph" w:styleId="Footer">
    <w:name w:val="footer"/>
    <w:basedOn w:val="Normal"/>
    <w:link w:val="FooterChar"/>
    <w:uiPriority w:val="99"/>
    <w:rsid w:val="00DB62F9"/>
    <w:pPr>
      <w:widowControl w:val="0"/>
      <w:tabs>
        <w:tab w:val="center" w:pos="4320"/>
        <w:tab w:val="right" w:pos="8640"/>
      </w:tabs>
      <w:autoSpaceDE w:val="0"/>
      <w:autoSpaceDN w:val="0"/>
      <w:adjustRightInd w:val="0"/>
    </w:pPr>
    <w:rPr>
      <w:rFonts w:ascii="Times New Roman" w:hAnsi="Times New Roman"/>
      <w:sz w:val="20"/>
      <w:szCs w:val="20"/>
    </w:rPr>
  </w:style>
  <w:style w:type="paragraph" w:styleId="TOC1">
    <w:name w:val="toc 1"/>
    <w:basedOn w:val="Normal"/>
    <w:next w:val="Normal"/>
    <w:autoRedefine/>
    <w:uiPriority w:val="39"/>
    <w:rsid w:val="0045670A"/>
    <w:pPr>
      <w:widowControl w:val="0"/>
      <w:tabs>
        <w:tab w:val="right" w:leader="dot" w:pos="9350"/>
      </w:tabs>
      <w:autoSpaceDE w:val="0"/>
      <w:autoSpaceDN w:val="0"/>
      <w:adjustRightInd w:val="0"/>
      <w:spacing w:line="480" w:lineRule="auto"/>
    </w:pPr>
    <w:rPr>
      <w:rFonts w:ascii="Times New Roman" w:hAnsi="Times New Roman"/>
      <w:sz w:val="20"/>
      <w:szCs w:val="20"/>
    </w:rPr>
  </w:style>
  <w:style w:type="paragraph" w:styleId="TOC2">
    <w:name w:val="toc 2"/>
    <w:basedOn w:val="Normal"/>
    <w:next w:val="Normal"/>
    <w:autoRedefine/>
    <w:semiHidden/>
    <w:rsid w:val="001E0DE6"/>
    <w:pPr>
      <w:widowControl w:val="0"/>
      <w:tabs>
        <w:tab w:val="left" w:pos="720"/>
        <w:tab w:val="right" w:leader="dot" w:pos="9450"/>
      </w:tabs>
      <w:autoSpaceDE w:val="0"/>
      <w:autoSpaceDN w:val="0"/>
      <w:adjustRightInd w:val="0"/>
      <w:ind w:left="200"/>
      <w:jc w:val="right"/>
    </w:pPr>
    <w:rPr>
      <w:rFonts w:ascii="Times New Roman" w:hAnsi="Times New Roman"/>
      <w:sz w:val="20"/>
      <w:szCs w:val="20"/>
    </w:rPr>
  </w:style>
  <w:style w:type="paragraph" w:styleId="TOC3">
    <w:name w:val="toc 3"/>
    <w:basedOn w:val="Normal"/>
    <w:next w:val="Normal"/>
    <w:autoRedefine/>
    <w:semiHidden/>
    <w:rsid w:val="00DB62F9"/>
    <w:pPr>
      <w:widowControl w:val="0"/>
      <w:autoSpaceDE w:val="0"/>
      <w:autoSpaceDN w:val="0"/>
      <w:adjustRightInd w:val="0"/>
      <w:ind w:left="400"/>
    </w:pPr>
    <w:rPr>
      <w:rFonts w:ascii="Times New Roman" w:hAnsi="Times New Roman"/>
      <w:sz w:val="20"/>
      <w:szCs w:val="20"/>
    </w:rPr>
  </w:style>
  <w:style w:type="character" w:styleId="PageNumber">
    <w:name w:val="page number"/>
    <w:basedOn w:val="DefaultParagraphFont"/>
    <w:rsid w:val="00DB62F9"/>
  </w:style>
  <w:style w:type="character" w:styleId="FootnoteReference">
    <w:name w:val="footnote reference"/>
    <w:basedOn w:val="DefaultParagraphFont"/>
    <w:uiPriority w:val="99"/>
    <w:rsid w:val="00DB62F9"/>
    <w:rPr>
      <w:vertAlign w:val="superscript"/>
    </w:rPr>
  </w:style>
  <w:style w:type="table" w:styleId="TableGrid">
    <w:name w:val="Table Grid"/>
    <w:basedOn w:val="TableNormal"/>
    <w:rsid w:val="00DB62F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DB62F9"/>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jc w:val="both"/>
    </w:pPr>
    <w:rPr>
      <w:sz w:val="24"/>
      <w:szCs w:val="24"/>
    </w:rPr>
  </w:style>
  <w:style w:type="table" w:styleId="TableElegant">
    <w:name w:val="Table Elegant"/>
    <w:basedOn w:val="TableNormal"/>
    <w:rsid w:val="00DB62F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basedOn w:val="DefaultParagraphFont"/>
    <w:rsid w:val="00437109"/>
    <w:rPr>
      <w:sz w:val="16"/>
      <w:szCs w:val="16"/>
    </w:rPr>
  </w:style>
  <w:style w:type="paragraph" w:styleId="CommentText">
    <w:name w:val="annotation text"/>
    <w:basedOn w:val="Normal"/>
    <w:link w:val="CommentTextChar"/>
    <w:rsid w:val="00437109"/>
    <w:rPr>
      <w:sz w:val="20"/>
      <w:szCs w:val="20"/>
    </w:rPr>
  </w:style>
  <w:style w:type="paragraph" w:styleId="CommentSubject">
    <w:name w:val="annotation subject"/>
    <w:basedOn w:val="CommentText"/>
    <w:next w:val="CommentText"/>
    <w:semiHidden/>
    <w:rsid w:val="00437109"/>
    <w:rPr>
      <w:b/>
      <w:bCs/>
    </w:rPr>
  </w:style>
  <w:style w:type="paragraph" w:styleId="FootnoteText">
    <w:name w:val="footnote text"/>
    <w:basedOn w:val="Normal"/>
    <w:link w:val="FootnoteTextChar"/>
    <w:autoRedefine/>
    <w:uiPriority w:val="99"/>
    <w:rsid w:val="00681850"/>
    <w:pPr>
      <w:widowControl w:val="0"/>
      <w:autoSpaceDE w:val="0"/>
      <w:autoSpaceDN w:val="0"/>
      <w:adjustRightInd w:val="0"/>
      <w:spacing w:after="240"/>
      <w:ind w:left="720" w:hanging="720"/>
    </w:pPr>
    <w:rPr>
      <w:color w:val="000000"/>
      <w:sz w:val="18"/>
      <w:szCs w:val="18"/>
    </w:rPr>
  </w:style>
  <w:style w:type="character" w:styleId="Hyperlink">
    <w:name w:val="Hyperlink"/>
    <w:basedOn w:val="DefaultParagraphFont"/>
    <w:uiPriority w:val="99"/>
    <w:rsid w:val="00654175"/>
    <w:rPr>
      <w:color w:val="0000FF"/>
      <w:u w:val="single"/>
    </w:rPr>
  </w:style>
  <w:style w:type="paragraph" w:styleId="ListParagraph">
    <w:name w:val="List Paragraph"/>
    <w:basedOn w:val="Normal"/>
    <w:uiPriority w:val="34"/>
    <w:qFormat/>
    <w:rsid w:val="006D7363"/>
    <w:pPr>
      <w:ind w:left="720"/>
    </w:pPr>
  </w:style>
  <w:style w:type="character" w:styleId="Emphasis">
    <w:name w:val="Emphasis"/>
    <w:basedOn w:val="DefaultParagraphFont"/>
    <w:qFormat/>
    <w:rsid w:val="00993600"/>
    <w:rPr>
      <w:i/>
      <w:iCs/>
    </w:rPr>
  </w:style>
  <w:style w:type="character" w:customStyle="1" w:styleId="FootnoteTextChar">
    <w:name w:val="Footnote Text Char"/>
    <w:basedOn w:val="DefaultParagraphFont"/>
    <w:link w:val="FootnoteText"/>
    <w:uiPriority w:val="99"/>
    <w:rsid w:val="00681850"/>
    <w:rPr>
      <w:rFonts w:ascii="Arial" w:hAnsi="Arial"/>
      <w:color w:val="000000"/>
      <w:sz w:val="18"/>
      <w:szCs w:val="18"/>
    </w:rPr>
  </w:style>
  <w:style w:type="character" w:customStyle="1" w:styleId="CommentTextChar">
    <w:name w:val="Comment Text Char"/>
    <w:basedOn w:val="DefaultParagraphFont"/>
    <w:link w:val="CommentText"/>
    <w:rsid w:val="0068024C"/>
    <w:rPr>
      <w:rFonts w:ascii="Arial" w:hAnsi="Arial"/>
    </w:rPr>
  </w:style>
  <w:style w:type="character" w:customStyle="1" w:styleId="Heading1Char">
    <w:name w:val="Heading 1 Char"/>
    <w:basedOn w:val="DefaultParagraphFont"/>
    <w:link w:val="Heading1"/>
    <w:rsid w:val="006B2D47"/>
    <w:rPr>
      <w:rFonts w:ascii="Arial" w:eastAsiaTheme="majorEastAsia" w:hAnsi="Arial" w:cs="Arial"/>
      <w:b/>
      <w:bCs/>
      <w:sz w:val="22"/>
      <w:szCs w:val="22"/>
    </w:rPr>
  </w:style>
  <w:style w:type="paragraph" w:styleId="TOCHeading">
    <w:name w:val="TOC Heading"/>
    <w:basedOn w:val="Heading1"/>
    <w:next w:val="Normal"/>
    <w:uiPriority w:val="39"/>
    <w:unhideWhenUsed/>
    <w:qFormat/>
    <w:rsid w:val="002E76D0"/>
    <w:pPr>
      <w:spacing w:line="276" w:lineRule="auto"/>
      <w:outlineLvl w:val="9"/>
    </w:pPr>
  </w:style>
  <w:style w:type="character" w:customStyle="1" w:styleId="FooterChar">
    <w:name w:val="Footer Char"/>
    <w:basedOn w:val="DefaultParagraphFont"/>
    <w:link w:val="Footer"/>
    <w:uiPriority w:val="99"/>
    <w:rsid w:val="00DD69C7"/>
  </w:style>
  <w:style w:type="paragraph" w:styleId="Revision">
    <w:name w:val="Revision"/>
    <w:hidden/>
    <w:uiPriority w:val="99"/>
    <w:semiHidden/>
    <w:rsid w:val="0063747D"/>
    <w:rPr>
      <w:rFonts w:ascii="Arial" w:hAnsi="Arial"/>
      <w:sz w:val="22"/>
      <w:szCs w:val="24"/>
    </w:rPr>
  </w:style>
  <w:style w:type="paragraph" w:styleId="Title">
    <w:name w:val="Title"/>
    <w:basedOn w:val="Normal"/>
    <w:next w:val="Normal"/>
    <w:link w:val="TitleChar"/>
    <w:qFormat/>
    <w:rsid w:val="000459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4590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7178">
      <w:bodyDiv w:val="1"/>
      <w:marLeft w:val="0"/>
      <w:marRight w:val="0"/>
      <w:marTop w:val="0"/>
      <w:marBottom w:val="0"/>
      <w:divBdr>
        <w:top w:val="none" w:sz="0" w:space="0" w:color="auto"/>
        <w:left w:val="none" w:sz="0" w:space="0" w:color="auto"/>
        <w:bottom w:val="none" w:sz="0" w:space="0" w:color="auto"/>
        <w:right w:val="none" w:sz="0" w:space="0" w:color="auto"/>
      </w:divBdr>
    </w:div>
    <w:div w:id="144009756">
      <w:bodyDiv w:val="1"/>
      <w:marLeft w:val="0"/>
      <w:marRight w:val="0"/>
      <w:marTop w:val="0"/>
      <w:marBottom w:val="0"/>
      <w:divBdr>
        <w:top w:val="none" w:sz="0" w:space="0" w:color="auto"/>
        <w:left w:val="none" w:sz="0" w:space="0" w:color="auto"/>
        <w:bottom w:val="none" w:sz="0" w:space="0" w:color="auto"/>
        <w:right w:val="none" w:sz="0" w:space="0" w:color="auto"/>
      </w:divBdr>
    </w:div>
    <w:div w:id="163401236">
      <w:bodyDiv w:val="1"/>
      <w:marLeft w:val="0"/>
      <w:marRight w:val="0"/>
      <w:marTop w:val="0"/>
      <w:marBottom w:val="0"/>
      <w:divBdr>
        <w:top w:val="none" w:sz="0" w:space="0" w:color="auto"/>
        <w:left w:val="none" w:sz="0" w:space="0" w:color="auto"/>
        <w:bottom w:val="none" w:sz="0" w:space="0" w:color="auto"/>
        <w:right w:val="none" w:sz="0" w:space="0" w:color="auto"/>
      </w:divBdr>
    </w:div>
    <w:div w:id="228346841">
      <w:bodyDiv w:val="1"/>
      <w:marLeft w:val="0"/>
      <w:marRight w:val="0"/>
      <w:marTop w:val="0"/>
      <w:marBottom w:val="0"/>
      <w:divBdr>
        <w:top w:val="none" w:sz="0" w:space="0" w:color="auto"/>
        <w:left w:val="none" w:sz="0" w:space="0" w:color="auto"/>
        <w:bottom w:val="none" w:sz="0" w:space="0" w:color="auto"/>
        <w:right w:val="none" w:sz="0" w:space="0" w:color="auto"/>
      </w:divBdr>
    </w:div>
    <w:div w:id="233008317">
      <w:bodyDiv w:val="1"/>
      <w:marLeft w:val="0"/>
      <w:marRight w:val="0"/>
      <w:marTop w:val="0"/>
      <w:marBottom w:val="0"/>
      <w:divBdr>
        <w:top w:val="none" w:sz="0" w:space="0" w:color="auto"/>
        <w:left w:val="none" w:sz="0" w:space="0" w:color="auto"/>
        <w:bottom w:val="none" w:sz="0" w:space="0" w:color="auto"/>
        <w:right w:val="none" w:sz="0" w:space="0" w:color="auto"/>
      </w:divBdr>
    </w:div>
    <w:div w:id="238367318">
      <w:bodyDiv w:val="1"/>
      <w:marLeft w:val="0"/>
      <w:marRight w:val="0"/>
      <w:marTop w:val="0"/>
      <w:marBottom w:val="0"/>
      <w:divBdr>
        <w:top w:val="none" w:sz="0" w:space="0" w:color="auto"/>
        <w:left w:val="none" w:sz="0" w:space="0" w:color="auto"/>
        <w:bottom w:val="none" w:sz="0" w:space="0" w:color="auto"/>
        <w:right w:val="none" w:sz="0" w:space="0" w:color="auto"/>
      </w:divBdr>
    </w:div>
    <w:div w:id="254673833">
      <w:bodyDiv w:val="1"/>
      <w:marLeft w:val="0"/>
      <w:marRight w:val="0"/>
      <w:marTop w:val="0"/>
      <w:marBottom w:val="0"/>
      <w:divBdr>
        <w:top w:val="none" w:sz="0" w:space="0" w:color="auto"/>
        <w:left w:val="none" w:sz="0" w:space="0" w:color="auto"/>
        <w:bottom w:val="none" w:sz="0" w:space="0" w:color="auto"/>
        <w:right w:val="none" w:sz="0" w:space="0" w:color="auto"/>
      </w:divBdr>
    </w:div>
    <w:div w:id="255748200">
      <w:bodyDiv w:val="1"/>
      <w:marLeft w:val="0"/>
      <w:marRight w:val="0"/>
      <w:marTop w:val="0"/>
      <w:marBottom w:val="0"/>
      <w:divBdr>
        <w:top w:val="none" w:sz="0" w:space="0" w:color="auto"/>
        <w:left w:val="none" w:sz="0" w:space="0" w:color="auto"/>
        <w:bottom w:val="none" w:sz="0" w:space="0" w:color="auto"/>
        <w:right w:val="none" w:sz="0" w:space="0" w:color="auto"/>
      </w:divBdr>
      <w:divsChild>
        <w:div w:id="1141580296">
          <w:marLeft w:val="1166"/>
          <w:marRight w:val="0"/>
          <w:marTop w:val="77"/>
          <w:marBottom w:val="0"/>
          <w:divBdr>
            <w:top w:val="none" w:sz="0" w:space="0" w:color="auto"/>
            <w:left w:val="none" w:sz="0" w:space="0" w:color="auto"/>
            <w:bottom w:val="none" w:sz="0" w:space="0" w:color="auto"/>
            <w:right w:val="none" w:sz="0" w:space="0" w:color="auto"/>
          </w:divBdr>
        </w:div>
      </w:divsChild>
    </w:div>
    <w:div w:id="330986329">
      <w:bodyDiv w:val="1"/>
      <w:marLeft w:val="0"/>
      <w:marRight w:val="0"/>
      <w:marTop w:val="0"/>
      <w:marBottom w:val="0"/>
      <w:divBdr>
        <w:top w:val="none" w:sz="0" w:space="0" w:color="auto"/>
        <w:left w:val="none" w:sz="0" w:space="0" w:color="auto"/>
        <w:bottom w:val="none" w:sz="0" w:space="0" w:color="auto"/>
        <w:right w:val="none" w:sz="0" w:space="0" w:color="auto"/>
      </w:divBdr>
    </w:div>
    <w:div w:id="379020343">
      <w:bodyDiv w:val="1"/>
      <w:marLeft w:val="0"/>
      <w:marRight w:val="0"/>
      <w:marTop w:val="0"/>
      <w:marBottom w:val="0"/>
      <w:divBdr>
        <w:top w:val="none" w:sz="0" w:space="0" w:color="auto"/>
        <w:left w:val="none" w:sz="0" w:space="0" w:color="auto"/>
        <w:bottom w:val="none" w:sz="0" w:space="0" w:color="auto"/>
        <w:right w:val="none" w:sz="0" w:space="0" w:color="auto"/>
      </w:divBdr>
    </w:div>
    <w:div w:id="403380123">
      <w:bodyDiv w:val="1"/>
      <w:marLeft w:val="0"/>
      <w:marRight w:val="0"/>
      <w:marTop w:val="0"/>
      <w:marBottom w:val="0"/>
      <w:divBdr>
        <w:top w:val="none" w:sz="0" w:space="0" w:color="auto"/>
        <w:left w:val="none" w:sz="0" w:space="0" w:color="auto"/>
        <w:bottom w:val="none" w:sz="0" w:space="0" w:color="auto"/>
        <w:right w:val="none" w:sz="0" w:space="0" w:color="auto"/>
      </w:divBdr>
    </w:div>
    <w:div w:id="409548080">
      <w:bodyDiv w:val="1"/>
      <w:marLeft w:val="0"/>
      <w:marRight w:val="0"/>
      <w:marTop w:val="0"/>
      <w:marBottom w:val="0"/>
      <w:divBdr>
        <w:top w:val="none" w:sz="0" w:space="0" w:color="auto"/>
        <w:left w:val="none" w:sz="0" w:space="0" w:color="auto"/>
        <w:bottom w:val="none" w:sz="0" w:space="0" w:color="auto"/>
        <w:right w:val="none" w:sz="0" w:space="0" w:color="auto"/>
      </w:divBdr>
    </w:div>
    <w:div w:id="433281853">
      <w:bodyDiv w:val="1"/>
      <w:marLeft w:val="0"/>
      <w:marRight w:val="0"/>
      <w:marTop w:val="0"/>
      <w:marBottom w:val="0"/>
      <w:divBdr>
        <w:top w:val="none" w:sz="0" w:space="0" w:color="auto"/>
        <w:left w:val="none" w:sz="0" w:space="0" w:color="auto"/>
        <w:bottom w:val="none" w:sz="0" w:space="0" w:color="auto"/>
        <w:right w:val="none" w:sz="0" w:space="0" w:color="auto"/>
      </w:divBdr>
    </w:div>
    <w:div w:id="452137695">
      <w:bodyDiv w:val="1"/>
      <w:marLeft w:val="0"/>
      <w:marRight w:val="0"/>
      <w:marTop w:val="0"/>
      <w:marBottom w:val="0"/>
      <w:divBdr>
        <w:top w:val="none" w:sz="0" w:space="0" w:color="auto"/>
        <w:left w:val="none" w:sz="0" w:space="0" w:color="auto"/>
        <w:bottom w:val="none" w:sz="0" w:space="0" w:color="auto"/>
        <w:right w:val="none" w:sz="0" w:space="0" w:color="auto"/>
      </w:divBdr>
    </w:div>
    <w:div w:id="456877508">
      <w:bodyDiv w:val="1"/>
      <w:marLeft w:val="0"/>
      <w:marRight w:val="0"/>
      <w:marTop w:val="0"/>
      <w:marBottom w:val="0"/>
      <w:divBdr>
        <w:top w:val="none" w:sz="0" w:space="0" w:color="auto"/>
        <w:left w:val="none" w:sz="0" w:space="0" w:color="auto"/>
        <w:bottom w:val="none" w:sz="0" w:space="0" w:color="auto"/>
        <w:right w:val="none" w:sz="0" w:space="0" w:color="auto"/>
      </w:divBdr>
    </w:div>
    <w:div w:id="491145871">
      <w:bodyDiv w:val="1"/>
      <w:marLeft w:val="0"/>
      <w:marRight w:val="0"/>
      <w:marTop w:val="0"/>
      <w:marBottom w:val="0"/>
      <w:divBdr>
        <w:top w:val="none" w:sz="0" w:space="0" w:color="auto"/>
        <w:left w:val="none" w:sz="0" w:space="0" w:color="auto"/>
        <w:bottom w:val="none" w:sz="0" w:space="0" w:color="auto"/>
        <w:right w:val="none" w:sz="0" w:space="0" w:color="auto"/>
      </w:divBdr>
    </w:div>
    <w:div w:id="503712413">
      <w:bodyDiv w:val="1"/>
      <w:marLeft w:val="0"/>
      <w:marRight w:val="0"/>
      <w:marTop w:val="0"/>
      <w:marBottom w:val="0"/>
      <w:divBdr>
        <w:top w:val="none" w:sz="0" w:space="0" w:color="auto"/>
        <w:left w:val="none" w:sz="0" w:space="0" w:color="auto"/>
        <w:bottom w:val="none" w:sz="0" w:space="0" w:color="auto"/>
        <w:right w:val="none" w:sz="0" w:space="0" w:color="auto"/>
      </w:divBdr>
    </w:div>
    <w:div w:id="513763395">
      <w:bodyDiv w:val="1"/>
      <w:marLeft w:val="0"/>
      <w:marRight w:val="0"/>
      <w:marTop w:val="0"/>
      <w:marBottom w:val="0"/>
      <w:divBdr>
        <w:top w:val="none" w:sz="0" w:space="0" w:color="auto"/>
        <w:left w:val="none" w:sz="0" w:space="0" w:color="auto"/>
        <w:bottom w:val="none" w:sz="0" w:space="0" w:color="auto"/>
        <w:right w:val="none" w:sz="0" w:space="0" w:color="auto"/>
      </w:divBdr>
    </w:div>
    <w:div w:id="517358081">
      <w:bodyDiv w:val="1"/>
      <w:marLeft w:val="0"/>
      <w:marRight w:val="0"/>
      <w:marTop w:val="0"/>
      <w:marBottom w:val="0"/>
      <w:divBdr>
        <w:top w:val="none" w:sz="0" w:space="0" w:color="auto"/>
        <w:left w:val="none" w:sz="0" w:space="0" w:color="auto"/>
        <w:bottom w:val="none" w:sz="0" w:space="0" w:color="auto"/>
        <w:right w:val="none" w:sz="0" w:space="0" w:color="auto"/>
      </w:divBdr>
    </w:div>
    <w:div w:id="540633050">
      <w:bodyDiv w:val="1"/>
      <w:marLeft w:val="0"/>
      <w:marRight w:val="0"/>
      <w:marTop w:val="0"/>
      <w:marBottom w:val="0"/>
      <w:divBdr>
        <w:top w:val="none" w:sz="0" w:space="0" w:color="auto"/>
        <w:left w:val="none" w:sz="0" w:space="0" w:color="auto"/>
        <w:bottom w:val="none" w:sz="0" w:space="0" w:color="auto"/>
        <w:right w:val="none" w:sz="0" w:space="0" w:color="auto"/>
      </w:divBdr>
    </w:div>
    <w:div w:id="563688705">
      <w:bodyDiv w:val="1"/>
      <w:marLeft w:val="0"/>
      <w:marRight w:val="0"/>
      <w:marTop w:val="0"/>
      <w:marBottom w:val="0"/>
      <w:divBdr>
        <w:top w:val="none" w:sz="0" w:space="0" w:color="auto"/>
        <w:left w:val="none" w:sz="0" w:space="0" w:color="auto"/>
        <w:bottom w:val="none" w:sz="0" w:space="0" w:color="auto"/>
        <w:right w:val="none" w:sz="0" w:space="0" w:color="auto"/>
      </w:divBdr>
    </w:div>
    <w:div w:id="604195610">
      <w:bodyDiv w:val="1"/>
      <w:marLeft w:val="0"/>
      <w:marRight w:val="0"/>
      <w:marTop w:val="0"/>
      <w:marBottom w:val="0"/>
      <w:divBdr>
        <w:top w:val="none" w:sz="0" w:space="0" w:color="auto"/>
        <w:left w:val="none" w:sz="0" w:space="0" w:color="auto"/>
        <w:bottom w:val="none" w:sz="0" w:space="0" w:color="auto"/>
        <w:right w:val="none" w:sz="0" w:space="0" w:color="auto"/>
      </w:divBdr>
    </w:div>
    <w:div w:id="632369182">
      <w:bodyDiv w:val="1"/>
      <w:marLeft w:val="0"/>
      <w:marRight w:val="0"/>
      <w:marTop w:val="0"/>
      <w:marBottom w:val="0"/>
      <w:divBdr>
        <w:top w:val="none" w:sz="0" w:space="0" w:color="auto"/>
        <w:left w:val="none" w:sz="0" w:space="0" w:color="auto"/>
        <w:bottom w:val="none" w:sz="0" w:space="0" w:color="auto"/>
        <w:right w:val="none" w:sz="0" w:space="0" w:color="auto"/>
      </w:divBdr>
    </w:div>
    <w:div w:id="632372829">
      <w:bodyDiv w:val="1"/>
      <w:marLeft w:val="0"/>
      <w:marRight w:val="0"/>
      <w:marTop w:val="0"/>
      <w:marBottom w:val="0"/>
      <w:divBdr>
        <w:top w:val="none" w:sz="0" w:space="0" w:color="auto"/>
        <w:left w:val="none" w:sz="0" w:space="0" w:color="auto"/>
        <w:bottom w:val="none" w:sz="0" w:space="0" w:color="auto"/>
        <w:right w:val="none" w:sz="0" w:space="0" w:color="auto"/>
      </w:divBdr>
    </w:div>
    <w:div w:id="638652535">
      <w:bodyDiv w:val="1"/>
      <w:marLeft w:val="0"/>
      <w:marRight w:val="0"/>
      <w:marTop w:val="0"/>
      <w:marBottom w:val="0"/>
      <w:divBdr>
        <w:top w:val="none" w:sz="0" w:space="0" w:color="auto"/>
        <w:left w:val="none" w:sz="0" w:space="0" w:color="auto"/>
        <w:bottom w:val="none" w:sz="0" w:space="0" w:color="auto"/>
        <w:right w:val="none" w:sz="0" w:space="0" w:color="auto"/>
      </w:divBdr>
    </w:div>
    <w:div w:id="645862097">
      <w:bodyDiv w:val="1"/>
      <w:marLeft w:val="0"/>
      <w:marRight w:val="0"/>
      <w:marTop w:val="0"/>
      <w:marBottom w:val="0"/>
      <w:divBdr>
        <w:top w:val="none" w:sz="0" w:space="0" w:color="auto"/>
        <w:left w:val="none" w:sz="0" w:space="0" w:color="auto"/>
        <w:bottom w:val="none" w:sz="0" w:space="0" w:color="auto"/>
        <w:right w:val="none" w:sz="0" w:space="0" w:color="auto"/>
      </w:divBdr>
    </w:div>
    <w:div w:id="655376603">
      <w:bodyDiv w:val="1"/>
      <w:marLeft w:val="0"/>
      <w:marRight w:val="0"/>
      <w:marTop w:val="0"/>
      <w:marBottom w:val="0"/>
      <w:divBdr>
        <w:top w:val="none" w:sz="0" w:space="0" w:color="auto"/>
        <w:left w:val="none" w:sz="0" w:space="0" w:color="auto"/>
        <w:bottom w:val="none" w:sz="0" w:space="0" w:color="auto"/>
        <w:right w:val="none" w:sz="0" w:space="0" w:color="auto"/>
      </w:divBdr>
    </w:div>
    <w:div w:id="737628703">
      <w:bodyDiv w:val="1"/>
      <w:marLeft w:val="0"/>
      <w:marRight w:val="0"/>
      <w:marTop w:val="0"/>
      <w:marBottom w:val="0"/>
      <w:divBdr>
        <w:top w:val="none" w:sz="0" w:space="0" w:color="auto"/>
        <w:left w:val="none" w:sz="0" w:space="0" w:color="auto"/>
        <w:bottom w:val="none" w:sz="0" w:space="0" w:color="auto"/>
        <w:right w:val="none" w:sz="0" w:space="0" w:color="auto"/>
      </w:divBdr>
    </w:div>
    <w:div w:id="770660376">
      <w:bodyDiv w:val="1"/>
      <w:marLeft w:val="0"/>
      <w:marRight w:val="0"/>
      <w:marTop w:val="0"/>
      <w:marBottom w:val="0"/>
      <w:divBdr>
        <w:top w:val="none" w:sz="0" w:space="0" w:color="auto"/>
        <w:left w:val="none" w:sz="0" w:space="0" w:color="auto"/>
        <w:bottom w:val="none" w:sz="0" w:space="0" w:color="auto"/>
        <w:right w:val="none" w:sz="0" w:space="0" w:color="auto"/>
      </w:divBdr>
    </w:div>
    <w:div w:id="815224268">
      <w:bodyDiv w:val="1"/>
      <w:marLeft w:val="0"/>
      <w:marRight w:val="0"/>
      <w:marTop w:val="0"/>
      <w:marBottom w:val="0"/>
      <w:divBdr>
        <w:top w:val="none" w:sz="0" w:space="0" w:color="auto"/>
        <w:left w:val="none" w:sz="0" w:space="0" w:color="auto"/>
        <w:bottom w:val="none" w:sz="0" w:space="0" w:color="auto"/>
        <w:right w:val="none" w:sz="0" w:space="0" w:color="auto"/>
      </w:divBdr>
    </w:div>
    <w:div w:id="840392743">
      <w:bodyDiv w:val="1"/>
      <w:marLeft w:val="0"/>
      <w:marRight w:val="0"/>
      <w:marTop w:val="0"/>
      <w:marBottom w:val="0"/>
      <w:divBdr>
        <w:top w:val="none" w:sz="0" w:space="0" w:color="auto"/>
        <w:left w:val="none" w:sz="0" w:space="0" w:color="auto"/>
        <w:bottom w:val="none" w:sz="0" w:space="0" w:color="auto"/>
        <w:right w:val="none" w:sz="0" w:space="0" w:color="auto"/>
      </w:divBdr>
    </w:div>
    <w:div w:id="896208150">
      <w:bodyDiv w:val="1"/>
      <w:marLeft w:val="0"/>
      <w:marRight w:val="0"/>
      <w:marTop w:val="0"/>
      <w:marBottom w:val="0"/>
      <w:divBdr>
        <w:top w:val="none" w:sz="0" w:space="0" w:color="auto"/>
        <w:left w:val="none" w:sz="0" w:space="0" w:color="auto"/>
        <w:bottom w:val="none" w:sz="0" w:space="0" w:color="auto"/>
        <w:right w:val="none" w:sz="0" w:space="0" w:color="auto"/>
      </w:divBdr>
    </w:div>
    <w:div w:id="952057051">
      <w:bodyDiv w:val="1"/>
      <w:marLeft w:val="0"/>
      <w:marRight w:val="0"/>
      <w:marTop w:val="0"/>
      <w:marBottom w:val="0"/>
      <w:divBdr>
        <w:top w:val="none" w:sz="0" w:space="0" w:color="auto"/>
        <w:left w:val="none" w:sz="0" w:space="0" w:color="auto"/>
        <w:bottom w:val="none" w:sz="0" w:space="0" w:color="auto"/>
        <w:right w:val="none" w:sz="0" w:space="0" w:color="auto"/>
      </w:divBdr>
    </w:div>
    <w:div w:id="991102825">
      <w:bodyDiv w:val="1"/>
      <w:marLeft w:val="0"/>
      <w:marRight w:val="0"/>
      <w:marTop w:val="0"/>
      <w:marBottom w:val="0"/>
      <w:divBdr>
        <w:top w:val="none" w:sz="0" w:space="0" w:color="auto"/>
        <w:left w:val="none" w:sz="0" w:space="0" w:color="auto"/>
        <w:bottom w:val="none" w:sz="0" w:space="0" w:color="auto"/>
        <w:right w:val="none" w:sz="0" w:space="0" w:color="auto"/>
      </w:divBdr>
    </w:div>
    <w:div w:id="1019237017">
      <w:bodyDiv w:val="1"/>
      <w:marLeft w:val="0"/>
      <w:marRight w:val="0"/>
      <w:marTop w:val="0"/>
      <w:marBottom w:val="0"/>
      <w:divBdr>
        <w:top w:val="none" w:sz="0" w:space="0" w:color="auto"/>
        <w:left w:val="none" w:sz="0" w:space="0" w:color="auto"/>
        <w:bottom w:val="none" w:sz="0" w:space="0" w:color="auto"/>
        <w:right w:val="none" w:sz="0" w:space="0" w:color="auto"/>
      </w:divBdr>
    </w:div>
    <w:div w:id="1027097594">
      <w:bodyDiv w:val="1"/>
      <w:marLeft w:val="0"/>
      <w:marRight w:val="0"/>
      <w:marTop w:val="0"/>
      <w:marBottom w:val="0"/>
      <w:divBdr>
        <w:top w:val="none" w:sz="0" w:space="0" w:color="auto"/>
        <w:left w:val="none" w:sz="0" w:space="0" w:color="auto"/>
        <w:bottom w:val="none" w:sz="0" w:space="0" w:color="auto"/>
        <w:right w:val="none" w:sz="0" w:space="0" w:color="auto"/>
      </w:divBdr>
    </w:div>
    <w:div w:id="1055086098">
      <w:bodyDiv w:val="1"/>
      <w:marLeft w:val="0"/>
      <w:marRight w:val="0"/>
      <w:marTop w:val="0"/>
      <w:marBottom w:val="0"/>
      <w:divBdr>
        <w:top w:val="none" w:sz="0" w:space="0" w:color="auto"/>
        <w:left w:val="none" w:sz="0" w:space="0" w:color="auto"/>
        <w:bottom w:val="none" w:sz="0" w:space="0" w:color="auto"/>
        <w:right w:val="none" w:sz="0" w:space="0" w:color="auto"/>
      </w:divBdr>
    </w:div>
    <w:div w:id="1057246348">
      <w:bodyDiv w:val="1"/>
      <w:marLeft w:val="0"/>
      <w:marRight w:val="0"/>
      <w:marTop w:val="0"/>
      <w:marBottom w:val="0"/>
      <w:divBdr>
        <w:top w:val="none" w:sz="0" w:space="0" w:color="auto"/>
        <w:left w:val="none" w:sz="0" w:space="0" w:color="auto"/>
        <w:bottom w:val="none" w:sz="0" w:space="0" w:color="auto"/>
        <w:right w:val="none" w:sz="0" w:space="0" w:color="auto"/>
      </w:divBdr>
    </w:div>
    <w:div w:id="1063410918">
      <w:bodyDiv w:val="1"/>
      <w:marLeft w:val="0"/>
      <w:marRight w:val="0"/>
      <w:marTop w:val="0"/>
      <w:marBottom w:val="0"/>
      <w:divBdr>
        <w:top w:val="none" w:sz="0" w:space="0" w:color="auto"/>
        <w:left w:val="none" w:sz="0" w:space="0" w:color="auto"/>
        <w:bottom w:val="none" w:sz="0" w:space="0" w:color="auto"/>
        <w:right w:val="none" w:sz="0" w:space="0" w:color="auto"/>
      </w:divBdr>
    </w:div>
    <w:div w:id="1091049787">
      <w:bodyDiv w:val="1"/>
      <w:marLeft w:val="0"/>
      <w:marRight w:val="0"/>
      <w:marTop w:val="0"/>
      <w:marBottom w:val="0"/>
      <w:divBdr>
        <w:top w:val="none" w:sz="0" w:space="0" w:color="auto"/>
        <w:left w:val="none" w:sz="0" w:space="0" w:color="auto"/>
        <w:bottom w:val="none" w:sz="0" w:space="0" w:color="auto"/>
        <w:right w:val="none" w:sz="0" w:space="0" w:color="auto"/>
      </w:divBdr>
    </w:div>
    <w:div w:id="1144546044">
      <w:bodyDiv w:val="1"/>
      <w:marLeft w:val="0"/>
      <w:marRight w:val="0"/>
      <w:marTop w:val="0"/>
      <w:marBottom w:val="0"/>
      <w:divBdr>
        <w:top w:val="none" w:sz="0" w:space="0" w:color="auto"/>
        <w:left w:val="none" w:sz="0" w:space="0" w:color="auto"/>
        <w:bottom w:val="none" w:sz="0" w:space="0" w:color="auto"/>
        <w:right w:val="none" w:sz="0" w:space="0" w:color="auto"/>
      </w:divBdr>
    </w:div>
    <w:div w:id="1198854732">
      <w:bodyDiv w:val="1"/>
      <w:marLeft w:val="0"/>
      <w:marRight w:val="0"/>
      <w:marTop w:val="0"/>
      <w:marBottom w:val="0"/>
      <w:divBdr>
        <w:top w:val="none" w:sz="0" w:space="0" w:color="auto"/>
        <w:left w:val="none" w:sz="0" w:space="0" w:color="auto"/>
        <w:bottom w:val="none" w:sz="0" w:space="0" w:color="auto"/>
        <w:right w:val="none" w:sz="0" w:space="0" w:color="auto"/>
      </w:divBdr>
    </w:div>
    <w:div w:id="1238897960">
      <w:bodyDiv w:val="1"/>
      <w:marLeft w:val="0"/>
      <w:marRight w:val="0"/>
      <w:marTop w:val="0"/>
      <w:marBottom w:val="0"/>
      <w:divBdr>
        <w:top w:val="none" w:sz="0" w:space="0" w:color="auto"/>
        <w:left w:val="none" w:sz="0" w:space="0" w:color="auto"/>
        <w:bottom w:val="none" w:sz="0" w:space="0" w:color="auto"/>
        <w:right w:val="none" w:sz="0" w:space="0" w:color="auto"/>
      </w:divBdr>
    </w:div>
    <w:div w:id="1240825155">
      <w:bodyDiv w:val="1"/>
      <w:marLeft w:val="0"/>
      <w:marRight w:val="0"/>
      <w:marTop w:val="0"/>
      <w:marBottom w:val="0"/>
      <w:divBdr>
        <w:top w:val="none" w:sz="0" w:space="0" w:color="auto"/>
        <w:left w:val="none" w:sz="0" w:space="0" w:color="auto"/>
        <w:bottom w:val="none" w:sz="0" w:space="0" w:color="auto"/>
        <w:right w:val="none" w:sz="0" w:space="0" w:color="auto"/>
      </w:divBdr>
    </w:div>
    <w:div w:id="1258754251">
      <w:bodyDiv w:val="1"/>
      <w:marLeft w:val="0"/>
      <w:marRight w:val="0"/>
      <w:marTop w:val="0"/>
      <w:marBottom w:val="0"/>
      <w:divBdr>
        <w:top w:val="none" w:sz="0" w:space="0" w:color="auto"/>
        <w:left w:val="none" w:sz="0" w:space="0" w:color="auto"/>
        <w:bottom w:val="none" w:sz="0" w:space="0" w:color="auto"/>
        <w:right w:val="none" w:sz="0" w:space="0" w:color="auto"/>
      </w:divBdr>
    </w:div>
    <w:div w:id="1308511337">
      <w:bodyDiv w:val="1"/>
      <w:marLeft w:val="0"/>
      <w:marRight w:val="0"/>
      <w:marTop w:val="0"/>
      <w:marBottom w:val="0"/>
      <w:divBdr>
        <w:top w:val="none" w:sz="0" w:space="0" w:color="auto"/>
        <w:left w:val="none" w:sz="0" w:space="0" w:color="auto"/>
        <w:bottom w:val="none" w:sz="0" w:space="0" w:color="auto"/>
        <w:right w:val="none" w:sz="0" w:space="0" w:color="auto"/>
      </w:divBdr>
    </w:div>
    <w:div w:id="1343430062">
      <w:bodyDiv w:val="1"/>
      <w:marLeft w:val="0"/>
      <w:marRight w:val="0"/>
      <w:marTop w:val="0"/>
      <w:marBottom w:val="0"/>
      <w:divBdr>
        <w:top w:val="none" w:sz="0" w:space="0" w:color="auto"/>
        <w:left w:val="none" w:sz="0" w:space="0" w:color="auto"/>
        <w:bottom w:val="none" w:sz="0" w:space="0" w:color="auto"/>
        <w:right w:val="none" w:sz="0" w:space="0" w:color="auto"/>
      </w:divBdr>
      <w:divsChild>
        <w:div w:id="33389422">
          <w:marLeft w:val="1800"/>
          <w:marRight w:val="0"/>
          <w:marTop w:val="67"/>
          <w:marBottom w:val="0"/>
          <w:divBdr>
            <w:top w:val="none" w:sz="0" w:space="0" w:color="auto"/>
            <w:left w:val="none" w:sz="0" w:space="0" w:color="auto"/>
            <w:bottom w:val="none" w:sz="0" w:space="0" w:color="auto"/>
            <w:right w:val="none" w:sz="0" w:space="0" w:color="auto"/>
          </w:divBdr>
        </w:div>
      </w:divsChild>
    </w:div>
    <w:div w:id="1445345582">
      <w:bodyDiv w:val="1"/>
      <w:marLeft w:val="0"/>
      <w:marRight w:val="0"/>
      <w:marTop w:val="0"/>
      <w:marBottom w:val="0"/>
      <w:divBdr>
        <w:top w:val="none" w:sz="0" w:space="0" w:color="auto"/>
        <w:left w:val="none" w:sz="0" w:space="0" w:color="auto"/>
        <w:bottom w:val="none" w:sz="0" w:space="0" w:color="auto"/>
        <w:right w:val="none" w:sz="0" w:space="0" w:color="auto"/>
      </w:divBdr>
    </w:div>
    <w:div w:id="1467428404">
      <w:bodyDiv w:val="1"/>
      <w:marLeft w:val="0"/>
      <w:marRight w:val="0"/>
      <w:marTop w:val="0"/>
      <w:marBottom w:val="0"/>
      <w:divBdr>
        <w:top w:val="none" w:sz="0" w:space="0" w:color="auto"/>
        <w:left w:val="none" w:sz="0" w:space="0" w:color="auto"/>
        <w:bottom w:val="none" w:sz="0" w:space="0" w:color="auto"/>
        <w:right w:val="none" w:sz="0" w:space="0" w:color="auto"/>
      </w:divBdr>
    </w:div>
    <w:div w:id="1478571073">
      <w:bodyDiv w:val="1"/>
      <w:marLeft w:val="0"/>
      <w:marRight w:val="0"/>
      <w:marTop w:val="0"/>
      <w:marBottom w:val="0"/>
      <w:divBdr>
        <w:top w:val="none" w:sz="0" w:space="0" w:color="auto"/>
        <w:left w:val="none" w:sz="0" w:space="0" w:color="auto"/>
        <w:bottom w:val="none" w:sz="0" w:space="0" w:color="auto"/>
        <w:right w:val="none" w:sz="0" w:space="0" w:color="auto"/>
      </w:divBdr>
    </w:div>
    <w:div w:id="1486582444">
      <w:bodyDiv w:val="1"/>
      <w:marLeft w:val="0"/>
      <w:marRight w:val="0"/>
      <w:marTop w:val="0"/>
      <w:marBottom w:val="0"/>
      <w:divBdr>
        <w:top w:val="none" w:sz="0" w:space="0" w:color="auto"/>
        <w:left w:val="none" w:sz="0" w:space="0" w:color="auto"/>
        <w:bottom w:val="none" w:sz="0" w:space="0" w:color="auto"/>
        <w:right w:val="none" w:sz="0" w:space="0" w:color="auto"/>
      </w:divBdr>
    </w:div>
    <w:div w:id="1511527227">
      <w:bodyDiv w:val="1"/>
      <w:marLeft w:val="0"/>
      <w:marRight w:val="0"/>
      <w:marTop w:val="0"/>
      <w:marBottom w:val="0"/>
      <w:divBdr>
        <w:top w:val="none" w:sz="0" w:space="0" w:color="auto"/>
        <w:left w:val="none" w:sz="0" w:space="0" w:color="auto"/>
        <w:bottom w:val="none" w:sz="0" w:space="0" w:color="auto"/>
        <w:right w:val="none" w:sz="0" w:space="0" w:color="auto"/>
      </w:divBdr>
    </w:div>
    <w:div w:id="1529566739">
      <w:bodyDiv w:val="1"/>
      <w:marLeft w:val="0"/>
      <w:marRight w:val="0"/>
      <w:marTop w:val="0"/>
      <w:marBottom w:val="0"/>
      <w:divBdr>
        <w:top w:val="none" w:sz="0" w:space="0" w:color="auto"/>
        <w:left w:val="none" w:sz="0" w:space="0" w:color="auto"/>
        <w:bottom w:val="none" w:sz="0" w:space="0" w:color="auto"/>
        <w:right w:val="none" w:sz="0" w:space="0" w:color="auto"/>
      </w:divBdr>
    </w:div>
    <w:div w:id="1538809648">
      <w:bodyDiv w:val="1"/>
      <w:marLeft w:val="0"/>
      <w:marRight w:val="0"/>
      <w:marTop w:val="0"/>
      <w:marBottom w:val="0"/>
      <w:divBdr>
        <w:top w:val="none" w:sz="0" w:space="0" w:color="auto"/>
        <w:left w:val="none" w:sz="0" w:space="0" w:color="auto"/>
        <w:bottom w:val="none" w:sz="0" w:space="0" w:color="auto"/>
        <w:right w:val="none" w:sz="0" w:space="0" w:color="auto"/>
      </w:divBdr>
    </w:div>
    <w:div w:id="1547915568">
      <w:bodyDiv w:val="1"/>
      <w:marLeft w:val="0"/>
      <w:marRight w:val="0"/>
      <w:marTop w:val="0"/>
      <w:marBottom w:val="0"/>
      <w:divBdr>
        <w:top w:val="none" w:sz="0" w:space="0" w:color="auto"/>
        <w:left w:val="none" w:sz="0" w:space="0" w:color="auto"/>
        <w:bottom w:val="none" w:sz="0" w:space="0" w:color="auto"/>
        <w:right w:val="none" w:sz="0" w:space="0" w:color="auto"/>
      </w:divBdr>
    </w:div>
    <w:div w:id="1580287262">
      <w:bodyDiv w:val="1"/>
      <w:marLeft w:val="0"/>
      <w:marRight w:val="0"/>
      <w:marTop w:val="0"/>
      <w:marBottom w:val="0"/>
      <w:divBdr>
        <w:top w:val="none" w:sz="0" w:space="0" w:color="auto"/>
        <w:left w:val="none" w:sz="0" w:space="0" w:color="auto"/>
        <w:bottom w:val="none" w:sz="0" w:space="0" w:color="auto"/>
        <w:right w:val="none" w:sz="0" w:space="0" w:color="auto"/>
      </w:divBdr>
    </w:div>
    <w:div w:id="1580745764">
      <w:bodyDiv w:val="1"/>
      <w:marLeft w:val="0"/>
      <w:marRight w:val="0"/>
      <w:marTop w:val="0"/>
      <w:marBottom w:val="0"/>
      <w:divBdr>
        <w:top w:val="none" w:sz="0" w:space="0" w:color="auto"/>
        <w:left w:val="none" w:sz="0" w:space="0" w:color="auto"/>
        <w:bottom w:val="none" w:sz="0" w:space="0" w:color="auto"/>
        <w:right w:val="none" w:sz="0" w:space="0" w:color="auto"/>
      </w:divBdr>
    </w:div>
    <w:div w:id="1592154988">
      <w:bodyDiv w:val="1"/>
      <w:marLeft w:val="0"/>
      <w:marRight w:val="0"/>
      <w:marTop w:val="0"/>
      <w:marBottom w:val="0"/>
      <w:divBdr>
        <w:top w:val="none" w:sz="0" w:space="0" w:color="auto"/>
        <w:left w:val="none" w:sz="0" w:space="0" w:color="auto"/>
        <w:bottom w:val="none" w:sz="0" w:space="0" w:color="auto"/>
        <w:right w:val="none" w:sz="0" w:space="0" w:color="auto"/>
      </w:divBdr>
    </w:div>
    <w:div w:id="1608925855">
      <w:bodyDiv w:val="1"/>
      <w:marLeft w:val="0"/>
      <w:marRight w:val="0"/>
      <w:marTop w:val="0"/>
      <w:marBottom w:val="0"/>
      <w:divBdr>
        <w:top w:val="none" w:sz="0" w:space="0" w:color="auto"/>
        <w:left w:val="none" w:sz="0" w:space="0" w:color="auto"/>
        <w:bottom w:val="none" w:sz="0" w:space="0" w:color="auto"/>
        <w:right w:val="none" w:sz="0" w:space="0" w:color="auto"/>
      </w:divBdr>
    </w:div>
    <w:div w:id="1642886642">
      <w:bodyDiv w:val="1"/>
      <w:marLeft w:val="0"/>
      <w:marRight w:val="0"/>
      <w:marTop w:val="0"/>
      <w:marBottom w:val="0"/>
      <w:divBdr>
        <w:top w:val="none" w:sz="0" w:space="0" w:color="auto"/>
        <w:left w:val="none" w:sz="0" w:space="0" w:color="auto"/>
        <w:bottom w:val="none" w:sz="0" w:space="0" w:color="auto"/>
        <w:right w:val="none" w:sz="0" w:space="0" w:color="auto"/>
      </w:divBdr>
    </w:div>
    <w:div w:id="1649242922">
      <w:bodyDiv w:val="1"/>
      <w:marLeft w:val="0"/>
      <w:marRight w:val="0"/>
      <w:marTop w:val="0"/>
      <w:marBottom w:val="0"/>
      <w:divBdr>
        <w:top w:val="none" w:sz="0" w:space="0" w:color="auto"/>
        <w:left w:val="none" w:sz="0" w:space="0" w:color="auto"/>
        <w:bottom w:val="none" w:sz="0" w:space="0" w:color="auto"/>
        <w:right w:val="none" w:sz="0" w:space="0" w:color="auto"/>
      </w:divBdr>
    </w:div>
    <w:div w:id="1671522798">
      <w:bodyDiv w:val="1"/>
      <w:marLeft w:val="0"/>
      <w:marRight w:val="0"/>
      <w:marTop w:val="0"/>
      <w:marBottom w:val="0"/>
      <w:divBdr>
        <w:top w:val="none" w:sz="0" w:space="0" w:color="auto"/>
        <w:left w:val="none" w:sz="0" w:space="0" w:color="auto"/>
        <w:bottom w:val="none" w:sz="0" w:space="0" w:color="auto"/>
        <w:right w:val="none" w:sz="0" w:space="0" w:color="auto"/>
      </w:divBdr>
    </w:div>
    <w:div w:id="1681740018">
      <w:bodyDiv w:val="1"/>
      <w:marLeft w:val="0"/>
      <w:marRight w:val="0"/>
      <w:marTop w:val="0"/>
      <w:marBottom w:val="0"/>
      <w:divBdr>
        <w:top w:val="none" w:sz="0" w:space="0" w:color="auto"/>
        <w:left w:val="none" w:sz="0" w:space="0" w:color="auto"/>
        <w:bottom w:val="none" w:sz="0" w:space="0" w:color="auto"/>
        <w:right w:val="none" w:sz="0" w:space="0" w:color="auto"/>
      </w:divBdr>
    </w:div>
    <w:div w:id="1708991792">
      <w:bodyDiv w:val="1"/>
      <w:marLeft w:val="0"/>
      <w:marRight w:val="0"/>
      <w:marTop w:val="0"/>
      <w:marBottom w:val="0"/>
      <w:divBdr>
        <w:top w:val="none" w:sz="0" w:space="0" w:color="auto"/>
        <w:left w:val="none" w:sz="0" w:space="0" w:color="auto"/>
        <w:bottom w:val="none" w:sz="0" w:space="0" w:color="auto"/>
        <w:right w:val="none" w:sz="0" w:space="0" w:color="auto"/>
      </w:divBdr>
    </w:div>
    <w:div w:id="1764496128">
      <w:bodyDiv w:val="1"/>
      <w:marLeft w:val="0"/>
      <w:marRight w:val="0"/>
      <w:marTop w:val="0"/>
      <w:marBottom w:val="0"/>
      <w:divBdr>
        <w:top w:val="none" w:sz="0" w:space="0" w:color="auto"/>
        <w:left w:val="none" w:sz="0" w:space="0" w:color="auto"/>
        <w:bottom w:val="none" w:sz="0" w:space="0" w:color="auto"/>
        <w:right w:val="none" w:sz="0" w:space="0" w:color="auto"/>
      </w:divBdr>
    </w:div>
    <w:div w:id="1782993818">
      <w:bodyDiv w:val="1"/>
      <w:marLeft w:val="0"/>
      <w:marRight w:val="0"/>
      <w:marTop w:val="0"/>
      <w:marBottom w:val="0"/>
      <w:divBdr>
        <w:top w:val="none" w:sz="0" w:space="0" w:color="auto"/>
        <w:left w:val="none" w:sz="0" w:space="0" w:color="auto"/>
        <w:bottom w:val="none" w:sz="0" w:space="0" w:color="auto"/>
        <w:right w:val="none" w:sz="0" w:space="0" w:color="auto"/>
      </w:divBdr>
    </w:div>
    <w:div w:id="1790006028">
      <w:bodyDiv w:val="1"/>
      <w:marLeft w:val="0"/>
      <w:marRight w:val="0"/>
      <w:marTop w:val="0"/>
      <w:marBottom w:val="0"/>
      <w:divBdr>
        <w:top w:val="none" w:sz="0" w:space="0" w:color="auto"/>
        <w:left w:val="none" w:sz="0" w:space="0" w:color="auto"/>
        <w:bottom w:val="none" w:sz="0" w:space="0" w:color="auto"/>
        <w:right w:val="none" w:sz="0" w:space="0" w:color="auto"/>
      </w:divBdr>
    </w:div>
    <w:div w:id="1801419386">
      <w:bodyDiv w:val="1"/>
      <w:marLeft w:val="0"/>
      <w:marRight w:val="0"/>
      <w:marTop w:val="0"/>
      <w:marBottom w:val="0"/>
      <w:divBdr>
        <w:top w:val="none" w:sz="0" w:space="0" w:color="auto"/>
        <w:left w:val="none" w:sz="0" w:space="0" w:color="auto"/>
        <w:bottom w:val="none" w:sz="0" w:space="0" w:color="auto"/>
        <w:right w:val="none" w:sz="0" w:space="0" w:color="auto"/>
      </w:divBdr>
    </w:div>
    <w:div w:id="1801847758">
      <w:bodyDiv w:val="1"/>
      <w:marLeft w:val="0"/>
      <w:marRight w:val="0"/>
      <w:marTop w:val="0"/>
      <w:marBottom w:val="0"/>
      <w:divBdr>
        <w:top w:val="none" w:sz="0" w:space="0" w:color="auto"/>
        <w:left w:val="none" w:sz="0" w:space="0" w:color="auto"/>
        <w:bottom w:val="none" w:sz="0" w:space="0" w:color="auto"/>
        <w:right w:val="none" w:sz="0" w:space="0" w:color="auto"/>
      </w:divBdr>
    </w:div>
    <w:div w:id="1813522246">
      <w:bodyDiv w:val="1"/>
      <w:marLeft w:val="0"/>
      <w:marRight w:val="0"/>
      <w:marTop w:val="0"/>
      <w:marBottom w:val="0"/>
      <w:divBdr>
        <w:top w:val="none" w:sz="0" w:space="0" w:color="auto"/>
        <w:left w:val="none" w:sz="0" w:space="0" w:color="auto"/>
        <w:bottom w:val="none" w:sz="0" w:space="0" w:color="auto"/>
        <w:right w:val="none" w:sz="0" w:space="0" w:color="auto"/>
      </w:divBdr>
    </w:div>
    <w:div w:id="1878001868">
      <w:bodyDiv w:val="1"/>
      <w:marLeft w:val="0"/>
      <w:marRight w:val="0"/>
      <w:marTop w:val="0"/>
      <w:marBottom w:val="0"/>
      <w:divBdr>
        <w:top w:val="none" w:sz="0" w:space="0" w:color="auto"/>
        <w:left w:val="none" w:sz="0" w:space="0" w:color="auto"/>
        <w:bottom w:val="none" w:sz="0" w:space="0" w:color="auto"/>
        <w:right w:val="none" w:sz="0" w:space="0" w:color="auto"/>
      </w:divBdr>
    </w:div>
    <w:div w:id="1893618965">
      <w:bodyDiv w:val="1"/>
      <w:marLeft w:val="0"/>
      <w:marRight w:val="0"/>
      <w:marTop w:val="0"/>
      <w:marBottom w:val="0"/>
      <w:divBdr>
        <w:top w:val="none" w:sz="0" w:space="0" w:color="auto"/>
        <w:left w:val="none" w:sz="0" w:space="0" w:color="auto"/>
        <w:bottom w:val="none" w:sz="0" w:space="0" w:color="auto"/>
        <w:right w:val="none" w:sz="0" w:space="0" w:color="auto"/>
      </w:divBdr>
    </w:div>
    <w:div w:id="1955819167">
      <w:bodyDiv w:val="1"/>
      <w:marLeft w:val="0"/>
      <w:marRight w:val="0"/>
      <w:marTop w:val="0"/>
      <w:marBottom w:val="0"/>
      <w:divBdr>
        <w:top w:val="none" w:sz="0" w:space="0" w:color="auto"/>
        <w:left w:val="none" w:sz="0" w:space="0" w:color="auto"/>
        <w:bottom w:val="none" w:sz="0" w:space="0" w:color="auto"/>
        <w:right w:val="none" w:sz="0" w:space="0" w:color="auto"/>
      </w:divBdr>
    </w:div>
    <w:div w:id="1974017468">
      <w:bodyDiv w:val="1"/>
      <w:marLeft w:val="0"/>
      <w:marRight w:val="0"/>
      <w:marTop w:val="0"/>
      <w:marBottom w:val="0"/>
      <w:divBdr>
        <w:top w:val="none" w:sz="0" w:space="0" w:color="auto"/>
        <w:left w:val="none" w:sz="0" w:space="0" w:color="auto"/>
        <w:bottom w:val="none" w:sz="0" w:space="0" w:color="auto"/>
        <w:right w:val="none" w:sz="0" w:space="0" w:color="auto"/>
      </w:divBdr>
    </w:div>
    <w:div w:id="1985961270">
      <w:bodyDiv w:val="1"/>
      <w:marLeft w:val="0"/>
      <w:marRight w:val="0"/>
      <w:marTop w:val="0"/>
      <w:marBottom w:val="0"/>
      <w:divBdr>
        <w:top w:val="none" w:sz="0" w:space="0" w:color="auto"/>
        <w:left w:val="none" w:sz="0" w:space="0" w:color="auto"/>
        <w:bottom w:val="none" w:sz="0" w:space="0" w:color="auto"/>
        <w:right w:val="none" w:sz="0" w:space="0" w:color="auto"/>
      </w:divBdr>
    </w:div>
    <w:div w:id="1992446586">
      <w:bodyDiv w:val="1"/>
      <w:marLeft w:val="0"/>
      <w:marRight w:val="0"/>
      <w:marTop w:val="0"/>
      <w:marBottom w:val="0"/>
      <w:divBdr>
        <w:top w:val="none" w:sz="0" w:space="0" w:color="auto"/>
        <w:left w:val="none" w:sz="0" w:space="0" w:color="auto"/>
        <w:bottom w:val="none" w:sz="0" w:space="0" w:color="auto"/>
        <w:right w:val="none" w:sz="0" w:space="0" w:color="auto"/>
      </w:divBdr>
    </w:div>
    <w:div w:id="2048948728">
      <w:bodyDiv w:val="1"/>
      <w:marLeft w:val="0"/>
      <w:marRight w:val="0"/>
      <w:marTop w:val="0"/>
      <w:marBottom w:val="0"/>
      <w:divBdr>
        <w:top w:val="none" w:sz="0" w:space="0" w:color="auto"/>
        <w:left w:val="none" w:sz="0" w:space="0" w:color="auto"/>
        <w:bottom w:val="none" w:sz="0" w:space="0" w:color="auto"/>
        <w:right w:val="none" w:sz="0" w:space="0" w:color="auto"/>
      </w:divBdr>
    </w:div>
    <w:div w:id="2064014059">
      <w:bodyDiv w:val="1"/>
      <w:marLeft w:val="0"/>
      <w:marRight w:val="0"/>
      <w:marTop w:val="0"/>
      <w:marBottom w:val="0"/>
      <w:divBdr>
        <w:top w:val="none" w:sz="0" w:space="0" w:color="auto"/>
        <w:left w:val="none" w:sz="0" w:space="0" w:color="auto"/>
        <w:bottom w:val="none" w:sz="0" w:space="0" w:color="auto"/>
        <w:right w:val="none" w:sz="0" w:space="0" w:color="auto"/>
      </w:divBdr>
    </w:div>
    <w:div w:id="207985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1C142-65EB-455F-BEF0-0C0CE992A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11429</Words>
  <Characters>65151</Characters>
  <Application>Microsoft Office Word</Application>
  <DocSecurity>4</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76428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Comfort, Gary</dc:creator>
  <cp:lastModifiedBy>Majeed, Fajr</cp:lastModifiedBy>
  <cp:revision>2</cp:revision>
  <cp:lastPrinted>2014-09-29T15:06:00Z</cp:lastPrinted>
  <dcterms:created xsi:type="dcterms:W3CDTF">2015-01-08T19:09:00Z</dcterms:created>
  <dcterms:modified xsi:type="dcterms:W3CDTF">2015-01-08T19:09:00Z</dcterms:modified>
</cp:coreProperties>
</file>