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53078" w14:textId="1B036FA4" w:rsidR="00427659" w:rsidRPr="00C024A2" w:rsidRDefault="00427659" w:rsidP="00C024A2">
      <w:pPr>
        <w:widowControl/>
        <w:tabs>
          <w:tab w:val="center" w:pos="4680"/>
        </w:tabs>
        <w:jc w:val="center"/>
        <w:rPr>
          <w:rFonts w:ascii="Times New Roman" w:hAnsi="Times New Roman"/>
          <w:b/>
          <w:bCs/>
        </w:rPr>
      </w:pPr>
      <w:r w:rsidRPr="00C024A2">
        <w:rPr>
          <w:rFonts w:ascii="Times New Roman" w:hAnsi="Times New Roman"/>
          <w:b/>
          <w:bCs/>
        </w:rPr>
        <w:t>ICR SUPPORTING STATEMENT</w:t>
      </w:r>
    </w:p>
    <w:p w14:paraId="039F2047" w14:textId="32F447F2" w:rsidR="00C024A2" w:rsidRPr="00C024A2" w:rsidRDefault="00C024A2" w:rsidP="00C024A2">
      <w:pPr>
        <w:widowControl/>
        <w:tabs>
          <w:tab w:val="center" w:pos="4680"/>
        </w:tabs>
        <w:jc w:val="center"/>
        <w:rPr>
          <w:rFonts w:ascii="Times New Roman" w:hAnsi="Times New Roman"/>
        </w:rPr>
      </w:pPr>
      <w:r w:rsidRPr="00C024A2">
        <w:rPr>
          <w:rFonts w:ascii="Times New Roman" w:hAnsi="Times New Roman"/>
          <w:b/>
          <w:bCs/>
        </w:rPr>
        <w:t>ENVIRONMENTAL PROTECTION AGENCY</w:t>
      </w:r>
      <w:r w:rsidR="000D1AD7">
        <w:rPr>
          <w:rFonts w:ascii="Times New Roman" w:hAnsi="Times New Roman"/>
          <w:b/>
          <w:bCs/>
        </w:rPr>
        <w:t xml:space="preserve"> (EPA)</w:t>
      </w:r>
    </w:p>
    <w:p w14:paraId="0B514A75" w14:textId="77777777" w:rsidR="00427659" w:rsidRPr="000774A5" w:rsidRDefault="00427659" w:rsidP="00425C31">
      <w:pPr>
        <w:widowControl/>
        <w:rPr>
          <w:rFonts w:ascii="Times New Roman" w:hAnsi="Times New Roman"/>
        </w:rPr>
      </w:pPr>
    </w:p>
    <w:p w14:paraId="48A21C55" w14:textId="79B28DA0" w:rsidR="00427659" w:rsidRPr="000774A5" w:rsidRDefault="00C024A2" w:rsidP="00A35DE2">
      <w:pPr>
        <w:widowControl/>
        <w:tabs>
          <w:tab w:val="left" w:pos="-1440"/>
        </w:tabs>
        <w:rPr>
          <w:rFonts w:ascii="Times New Roman" w:hAnsi="Times New Roman"/>
        </w:rPr>
      </w:pPr>
      <w:r>
        <w:rPr>
          <w:rFonts w:ascii="Times New Roman" w:hAnsi="Times New Roman"/>
          <w:b/>
          <w:bCs/>
        </w:rPr>
        <w:t>1.</w:t>
      </w:r>
      <w:r>
        <w:rPr>
          <w:rFonts w:ascii="Times New Roman" w:hAnsi="Times New Roman"/>
          <w:b/>
          <w:bCs/>
        </w:rPr>
        <w:tab/>
        <w:t>Identification of the Information Collection</w:t>
      </w:r>
    </w:p>
    <w:p w14:paraId="0E25BAB4" w14:textId="77777777" w:rsidR="00427659" w:rsidRPr="000774A5" w:rsidRDefault="00427659" w:rsidP="00425C31">
      <w:pPr>
        <w:widowControl/>
        <w:rPr>
          <w:rFonts w:ascii="Times New Roman" w:hAnsi="Times New Roman"/>
        </w:rPr>
      </w:pPr>
    </w:p>
    <w:p w14:paraId="58784C5A" w14:textId="6BF004E9" w:rsidR="00427659" w:rsidRPr="000774A5" w:rsidRDefault="00C024A2" w:rsidP="00233C4B">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1(a)</w:t>
      </w:r>
      <w:r w:rsidR="00427659" w:rsidRPr="000774A5">
        <w:rPr>
          <w:rFonts w:ascii="Times New Roman" w:hAnsi="Times New Roman"/>
          <w:b/>
          <w:bCs/>
        </w:rPr>
        <w:tab/>
        <w:t>Title of Information Collection</w:t>
      </w:r>
    </w:p>
    <w:p w14:paraId="07B72637" w14:textId="77777777" w:rsidR="00C024A2" w:rsidRDefault="00C024A2" w:rsidP="00C024A2">
      <w:pPr>
        <w:widowControl/>
        <w:rPr>
          <w:rFonts w:ascii="Times New Roman" w:hAnsi="Times New Roman"/>
          <w:bCs/>
        </w:rPr>
      </w:pPr>
    </w:p>
    <w:p w14:paraId="1A16050B" w14:textId="1841B20C" w:rsidR="00284E65" w:rsidRDefault="0049686B" w:rsidP="00C024A2">
      <w:pPr>
        <w:widowControl/>
        <w:rPr>
          <w:rFonts w:ascii="Times New Roman" w:hAnsi="Times New Roman"/>
          <w:bCs/>
        </w:rPr>
      </w:pPr>
      <w:r w:rsidRPr="0049686B">
        <w:rPr>
          <w:rFonts w:ascii="Times New Roman" w:hAnsi="Times New Roman"/>
          <w:bCs/>
        </w:rPr>
        <w:t>State Small Business Stationary Source Technical and Environmental Compliance Assistance Programs (SBTCP) Annual Reporting Form (Renewal)</w:t>
      </w:r>
      <w:r w:rsidR="00C024A2">
        <w:rPr>
          <w:rFonts w:ascii="Times New Roman" w:hAnsi="Times New Roman"/>
          <w:bCs/>
        </w:rPr>
        <w:t>, EPA ICR Number 1748.10, OMB Control Number 2060-0337</w:t>
      </w:r>
    </w:p>
    <w:p w14:paraId="0C464A70" w14:textId="77777777" w:rsidR="0049686B" w:rsidRPr="0049686B" w:rsidRDefault="0049686B" w:rsidP="00284E65">
      <w:pPr>
        <w:widowControl/>
        <w:ind w:left="720"/>
        <w:rPr>
          <w:rFonts w:ascii="Times New Roman" w:hAnsi="Times New Roman"/>
        </w:rPr>
      </w:pPr>
    </w:p>
    <w:p w14:paraId="7FA2625B" w14:textId="71F94A2A" w:rsidR="00427659" w:rsidRPr="000774A5" w:rsidRDefault="00C024A2" w:rsidP="00A35DE2">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1(b)</w:t>
      </w:r>
      <w:r w:rsidR="00427659" w:rsidRPr="000774A5">
        <w:rPr>
          <w:rFonts w:ascii="Times New Roman" w:hAnsi="Times New Roman"/>
          <w:b/>
          <w:bCs/>
        </w:rPr>
        <w:tab/>
        <w:t>Short Characterization (Abstract)</w:t>
      </w:r>
    </w:p>
    <w:p w14:paraId="085AD8EB" w14:textId="77777777" w:rsidR="00C024A2" w:rsidRDefault="00C024A2" w:rsidP="00CA2EAE">
      <w:pPr>
        <w:widowControl/>
        <w:tabs>
          <w:tab w:val="left" w:pos="-1440"/>
        </w:tabs>
        <w:ind w:left="720"/>
        <w:rPr>
          <w:rFonts w:ascii="Times New Roman" w:hAnsi="Times New Roman"/>
        </w:rPr>
      </w:pPr>
    </w:p>
    <w:p w14:paraId="4BB4929C" w14:textId="790CBCB4" w:rsidR="00AA5CAA" w:rsidRDefault="006100E4" w:rsidP="006100E4">
      <w:pPr>
        <w:widowControl/>
        <w:tabs>
          <w:tab w:val="left" w:pos="-1440"/>
        </w:tabs>
        <w:rPr>
          <w:rFonts w:ascii="Times New Roman" w:hAnsi="Times New Roman"/>
        </w:rPr>
      </w:pPr>
      <w:r>
        <w:rPr>
          <w:rFonts w:ascii="Times New Roman" w:hAnsi="Times New Roman"/>
        </w:rPr>
        <w:tab/>
      </w:r>
      <w:r w:rsidR="00427659" w:rsidRPr="000774A5">
        <w:rPr>
          <w:rFonts w:ascii="Times New Roman" w:hAnsi="Times New Roman"/>
        </w:rPr>
        <w:t>This</w:t>
      </w:r>
      <w:r w:rsidR="004926C0">
        <w:rPr>
          <w:rFonts w:ascii="Times New Roman" w:hAnsi="Times New Roman"/>
        </w:rPr>
        <w:t xml:space="preserve"> ICR</w:t>
      </w:r>
      <w:r w:rsidR="00427659" w:rsidRPr="000774A5">
        <w:rPr>
          <w:rFonts w:ascii="Times New Roman" w:hAnsi="Times New Roman"/>
        </w:rPr>
        <w:t xml:space="preserve"> </w:t>
      </w:r>
      <w:r w:rsidR="009A550D" w:rsidRPr="000774A5">
        <w:rPr>
          <w:rFonts w:ascii="Times New Roman" w:hAnsi="Times New Roman"/>
        </w:rPr>
        <w:t>is</w:t>
      </w:r>
      <w:r w:rsidR="00427659" w:rsidRPr="000774A5">
        <w:rPr>
          <w:rFonts w:ascii="Times New Roman" w:hAnsi="Times New Roman"/>
        </w:rPr>
        <w:t xml:space="preserve"> an annual collection of </w:t>
      </w:r>
      <w:r w:rsidR="009A550D" w:rsidRPr="000774A5">
        <w:rPr>
          <w:rFonts w:ascii="Times New Roman" w:hAnsi="Times New Roman"/>
        </w:rPr>
        <w:t>State Small Business Environmental Assistance Program</w:t>
      </w:r>
      <w:r w:rsidR="00A9330E" w:rsidRPr="000774A5">
        <w:rPr>
          <w:rFonts w:ascii="Times New Roman" w:hAnsi="Times New Roman"/>
        </w:rPr>
        <w:t>s</w:t>
      </w:r>
      <w:r w:rsidR="009A550D" w:rsidRPr="000774A5">
        <w:rPr>
          <w:rFonts w:ascii="Times New Roman" w:hAnsi="Times New Roman"/>
        </w:rPr>
        <w:t xml:space="preserve"> (SBEAP)</w:t>
      </w:r>
      <w:r w:rsidR="004926C0">
        <w:rPr>
          <w:rFonts w:ascii="Times New Roman" w:hAnsi="Times New Roman"/>
        </w:rPr>
        <w:t xml:space="preserve"> gathered by the EPA Asbestos Small Business Ombudsman (ASBO) team.</w:t>
      </w:r>
      <w:r w:rsidR="00427659" w:rsidRPr="000774A5">
        <w:rPr>
          <w:rFonts w:ascii="Times New Roman" w:hAnsi="Times New Roman"/>
        </w:rPr>
        <w:t xml:space="preserve"> </w:t>
      </w:r>
      <w:r w:rsidR="004926C0">
        <w:rPr>
          <w:rFonts w:ascii="Times New Roman" w:hAnsi="Times New Roman"/>
        </w:rPr>
        <w:t>I</w:t>
      </w:r>
      <w:r w:rsidR="00427659" w:rsidRPr="000774A5">
        <w:rPr>
          <w:rFonts w:ascii="Times New Roman" w:hAnsi="Times New Roman"/>
        </w:rPr>
        <w:t>nformation</w:t>
      </w:r>
      <w:r w:rsidR="004926C0">
        <w:rPr>
          <w:rFonts w:ascii="Times New Roman" w:hAnsi="Times New Roman"/>
        </w:rPr>
        <w:t xml:space="preserve"> is collected</w:t>
      </w:r>
      <w:r w:rsidR="00427659" w:rsidRPr="000774A5">
        <w:rPr>
          <w:rFonts w:ascii="Times New Roman" w:hAnsi="Times New Roman"/>
        </w:rPr>
        <w:t xml:space="preserve"> </w:t>
      </w:r>
      <w:r w:rsidR="009A550D" w:rsidRPr="000774A5">
        <w:rPr>
          <w:rFonts w:ascii="Times New Roman" w:hAnsi="Times New Roman"/>
        </w:rPr>
        <w:t xml:space="preserve">to measure </w:t>
      </w:r>
      <w:r w:rsidR="00427659" w:rsidRPr="000774A5">
        <w:rPr>
          <w:rFonts w:ascii="Times New Roman" w:hAnsi="Times New Roman"/>
        </w:rPr>
        <w:t>activities and accomplishments</w:t>
      </w:r>
      <w:r w:rsidR="009A550D" w:rsidRPr="000774A5">
        <w:rPr>
          <w:rFonts w:ascii="Times New Roman" w:hAnsi="Times New Roman"/>
        </w:rPr>
        <w:t xml:space="preserve"> from the preceding calendar</w:t>
      </w:r>
      <w:r w:rsidR="001A7D8D" w:rsidRPr="000774A5">
        <w:rPr>
          <w:rFonts w:ascii="Times New Roman" w:hAnsi="Times New Roman"/>
        </w:rPr>
        <w:t xml:space="preserve"> </w:t>
      </w:r>
      <w:r w:rsidR="009A550D" w:rsidRPr="000774A5">
        <w:rPr>
          <w:rFonts w:ascii="Times New Roman" w:hAnsi="Times New Roman"/>
        </w:rPr>
        <w:t>year</w:t>
      </w:r>
      <w:r w:rsidR="00427659" w:rsidRPr="000774A5">
        <w:rPr>
          <w:rFonts w:ascii="Times New Roman" w:hAnsi="Times New Roman"/>
        </w:rPr>
        <w:t>.</w:t>
      </w:r>
      <w:r w:rsidR="00CA2EAE">
        <w:rPr>
          <w:rFonts w:ascii="Times New Roman" w:hAnsi="Times New Roman"/>
        </w:rPr>
        <w:t xml:space="preserve"> </w:t>
      </w:r>
      <w:r w:rsidR="00AA5CAA" w:rsidRPr="000774A5">
        <w:rPr>
          <w:rFonts w:ascii="Times New Roman" w:hAnsi="Times New Roman"/>
        </w:rPr>
        <w:t>Th</w:t>
      </w:r>
      <w:r w:rsidR="004926C0">
        <w:rPr>
          <w:rFonts w:ascii="Times New Roman" w:hAnsi="Times New Roman"/>
        </w:rPr>
        <w:t>e collection of data</w:t>
      </w:r>
      <w:r w:rsidR="00AA5CAA" w:rsidRPr="000774A5">
        <w:rPr>
          <w:rFonts w:ascii="Times New Roman" w:hAnsi="Times New Roman"/>
        </w:rPr>
        <w:t xml:space="preserve"> is used by the EPA </w:t>
      </w:r>
      <w:r w:rsidR="00AA5CAA">
        <w:rPr>
          <w:rFonts w:ascii="Times New Roman" w:hAnsi="Times New Roman"/>
        </w:rPr>
        <w:t>A</w:t>
      </w:r>
      <w:r w:rsidR="00AA5CAA" w:rsidRPr="000774A5">
        <w:rPr>
          <w:rFonts w:ascii="Times New Roman" w:hAnsi="Times New Roman"/>
        </w:rPr>
        <w:t xml:space="preserve">SBO to evaluate the progress of </w:t>
      </w:r>
      <w:r w:rsidR="00AA5CAA">
        <w:rPr>
          <w:rFonts w:ascii="Times New Roman" w:hAnsi="Times New Roman"/>
        </w:rPr>
        <w:t xml:space="preserve">state implementation of Section </w:t>
      </w:r>
      <w:r w:rsidR="00AA5CAA" w:rsidRPr="000774A5">
        <w:rPr>
          <w:rFonts w:ascii="Times New Roman" w:hAnsi="Times New Roman"/>
        </w:rPr>
        <w:t>507</w:t>
      </w:r>
      <w:r w:rsidR="00AA5CAA">
        <w:rPr>
          <w:rFonts w:ascii="Times New Roman" w:hAnsi="Times New Roman"/>
        </w:rPr>
        <w:t xml:space="preserve"> of the 1990 Clean Air Act Amend</w:t>
      </w:r>
      <w:r w:rsidR="004926C0">
        <w:rPr>
          <w:rFonts w:ascii="Times New Roman" w:hAnsi="Times New Roman"/>
        </w:rPr>
        <w:t xml:space="preserve">ments. The reports the EPA ASBO </w:t>
      </w:r>
      <w:r w:rsidR="00AA5CAA">
        <w:rPr>
          <w:rFonts w:ascii="Times New Roman" w:hAnsi="Times New Roman"/>
        </w:rPr>
        <w:t>generates based off of the</w:t>
      </w:r>
      <w:r w:rsidR="004926C0">
        <w:rPr>
          <w:rFonts w:ascii="Times New Roman" w:hAnsi="Times New Roman"/>
        </w:rPr>
        <w:t xml:space="preserve"> </w:t>
      </w:r>
      <w:r w:rsidR="00AA5CAA">
        <w:rPr>
          <w:rFonts w:ascii="Times New Roman" w:hAnsi="Times New Roman"/>
        </w:rPr>
        <w:t>data collection under this ICR may be used</w:t>
      </w:r>
      <w:r w:rsidR="00AA5CAA" w:rsidRPr="000774A5">
        <w:rPr>
          <w:rFonts w:ascii="Times New Roman" w:hAnsi="Times New Roman"/>
        </w:rPr>
        <w:t xml:space="preserve"> </w:t>
      </w:r>
      <w:r w:rsidR="00AA5CAA" w:rsidRPr="008620C9">
        <w:rPr>
          <w:rFonts w:ascii="Times New Roman" w:hAnsi="Times New Roman"/>
        </w:rPr>
        <w:t>by Congress</w:t>
      </w:r>
      <w:r w:rsidR="00AA5CAA" w:rsidRPr="000774A5">
        <w:rPr>
          <w:rFonts w:ascii="Times New Roman" w:hAnsi="Times New Roman"/>
        </w:rPr>
        <w:t>; by states, both externally and internally to manage and</w:t>
      </w:r>
      <w:r w:rsidR="00AA5CAA">
        <w:rPr>
          <w:rFonts w:ascii="Times New Roman" w:hAnsi="Times New Roman"/>
        </w:rPr>
        <w:t xml:space="preserve"> highlight their programs;</w:t>
      </w:r>
      <w:r w:rsidR="00AA5CAA" w:rsidRPr="000774A5">
        <w:rPr>
          <w:rFonts w:ascii="Times New Roman" w:hAnsi="Times New Roman"/>
        </w:rPr>
        <w:t xml:space="preserve"> by national small business trade associations, </w:t>
      </w:r>
      <w:r w:rsidR="00AA5CAA">
        <w:rPr>
          <w:rFonts w:ascii="Times New Roman" w:hAnsi="Times New Roman"/>
        </w:rPr>
        <w:t>and by other f</w:t>
      </w:r>
      <w:r w:rsidR="00AA5CAA" w:rsidRPr="000774A5">
        <w:rPr>
          <w:rFonts w:ascii="Times New Roman" w:hAnsi="Times New Roman"/>
        </w:rPr>
        <w:t>ederal agencies, primarily the Small Business Administration, in evaluating the effectiveness of this type of assistance effort.</w:t>
      </w:r>
    </w:p>
    <w:p w14:paraId="29031EF2" w14:textId="77777777" w:rsidR="004926C0" w:rsidRPr="000774A5" w:rsidRDefault="004926C0" w:rsidP="004926C0">
      <w:pPr>
        <w:widowControl/>
        <w:rPr>
          <w:rFonts w:ascii="Times New Roman" w:hAnsi="Times New Roman"/>
        </w:rPr>
      </w:pPr>
    </w:p>
    <w:p w14:paraId="244292B6" w14:textId="656F3BA0" w:rsidR="004926C0" w:rsidRPr="000774A5" w:rsidRDefault="006100E4" w:rsidP="006100E4">
      <w:pPr>
        <w:widowControl/>
        <w:tabs>
          <w:tab w:val="left" w:pos="-1440"/>
        </w:tabs>
        <w:rPr>
          <w:rFonts w:ascii="Times New Roman" w:hAnsi="Times New Roman"/>
        </w:rPr>
      </w:pPr>
      <w:r>
        <w:rPr>
          <w:rFonts w:ascii="Times New Roman" w:hAnsi="Times New Roman"/>
        </w:rPr>
        <w:tab/>
      </w:r>
      <w:r w:rsidR="004926C0">
        <w:rPr>
          <w:rFonts w:ascii="Times New Roman" w:hAnsi="Times New Roman"/>
        </w:rPr>
        <w:t xml:space="preserve">The information that is collected is </w:t>
      </w:r>
      <w:r w:rsidR="004926C0" w:rsidRPr="000774A5">
        <w:rPr>
          <w:rFonts w:ascii="Times New Roman" w:hAnsi="Times New Roman"/>
        </w:rPr>
        <w:t xml:space="preserve">evaluated, summarized, and </w:t>
      </w:r>
      <w:r w:rsidR="004926C0">
        <w:rPr>
          <w:rFonts w:ascii="Times New Roman" w:hAnsi="Times New Roman"/>
        </w:rPr>
        <w:t>developed into a report, which is made available</w:t>
      </w:r>
      <w:r w:rsidR="004926C0" w:rsidRPr="008620C9">
        <w:rPr>
          <w:rFonts w:ascii="Times New Roman" w:hAnsi="Times New Roman"/>
        </w:rPr>
        <w:t xml:space="preserve"> to the Congress</w:t>
      </w:r>
      <w:r w:rsidR="004926C0">
        <w:rPr>
          <w:rFonts w:ascii="Times New Roman" w:hAnsi="Times New Roman"/>
        </w:rPr>
        <w:t>,</w:t>
      </w:r>
      <w:r w:rsidR="004926C0" w:rsidRPr="000774A5">
        <w:rPr>
          <w:rFonts w:ascii="Times New Roman" w:hAnsi="Times New Roman"/>
        </w:rPr>
        <w:t xml:space="preserve"> as required under Section 507</w:t>
      </w:r>
      <w:r w:rsidR="004926C0">
        <w:rPr>
          <w:rFonts w:ascii="Times New Roman" w:hAnsi="Times New Roman"/>
        </w:rPr>
        <w:t xml:space="preserve"> of the Clean Air Act’s (CAA) Amendments of</w:t>
      </w:r>
      <w:r w:rsidR="004926C0" w:rsidRPr="000774A5">
        <w:rPr>
          <w:rFonts w:ascii="Times New Roman" w:hAnsi="Times New Roman"/>
        </w:rPr>
        <w:t xml:space="preserve"> 1990. </w:t>
      </w:r>
      <w:r w:rsidR="004926C0">
        <w:rPr>
          <w:rFonts w:ascii="Times New Roman" w:hAnsi="Times New Roman"/>
        </w:rPr>
        <w:t>The information collected</w:t>
      </w:r>
      <w:r w:rsidR="00331873">
        <w:rPr>
          <w:rFonts w:ascii="Times New Roman" w:hAnsi="Times New Roman"/>
        </w:rPr>
        <w:t xml:space="preserve"> will reveal</w:t>
      </w:r>
      <w:r w:rsidR="004926C0" w:rsidRPr="000774A5">
        <w:rPr>
          <w:rFonts w:ascii="Times New Roman" w:hAnsi="Times New Roman"/>
        </w:rPr>
        <w:t xml:space="preserve"> trends in program advancement, budget changes, </w:t>
      </w:r>
      <w:r w:rsidR="004926C0">
        <w:rPr>
          <w:rFonts w:ascii="Times New Roman" w:hAnsi="Times New Roman"/>
        </w:rPr>
        <w:t xml:space="preserve">and </w:t>
      </w:r>
      <w:r w:rsidR="004926C0" w:rsidRPr="000774A5">
        <w:rPr>
          <w:rFonts w:ascii="Times New Roman" w:hAnsi="Times New Roman"/>
        </w:rPr>
        <w:t>numbers of small businesses assisted</w:t>
      </w:r>
      <w:r w:rsidR="004926C0">
        <w:rPr>
          <w:rFonts w:ascii="Times New Roman" w:hAnsi="Times New Roman"/>
        </w:rPr>
        <w:t>. T</w:t>
      </w:r>
      <w:r w:rsidR="004926C0" w:rsidRPr="000774A5">
        <w:rPr>
          <w:rFonts w:ascii="Times New Roman" w:hAnsi="Times New Roman"/>
        </w:rPr>
        <w:t xml:space="preserve">he outcome </w:t>
      </w:r>
      <w:r w:rsidR="004926C0">
        <w:rPr>
          <w:rFonts w:ascii="Times New Roman" w:hAnsi="Times New Roman"/>
        </w:rPr>
        <w:t xml:space="preserve">questions </w:t>
      </w:r>
      <w:r w:rsidR="004926C0" w:rsidRPr="000774A5">
        <w:rPr>
          <w:rFonts w:ascii="Times New Roman" w:hAnsi="Times New Roman"/>
        </w:rPr>
        <w:t>provide a foundation for reporting on</w:t>
      </w:r>
      <w:r w:rsidR="004926C0">
        <w:rPr>
          <w:rFonts w:ascii="Times New Roman" w:hAnsi="Times New Roman"/>
        </w:rPr>
        <w:t xml:space="preserve"> the effectiveness of the 507</w:t>
      </w:r>
      <w:r w:rsidR="004926C0" w:rsidRPr="000774A5">
        <w:rPr>
          <w:rFonts w:ascii="Times New Roman" w:hAnsi="Times New Roman"/>
        </w:rPr>
        <w:t xml:space="preserve"> program efforts</w:t>
      </w:r>
      <w:r w:rsidR="004926C0">
        <w:rPr>
          <w:rFonts w:ascii="Times New Roman" w:hAnsi="Times New Roman"/>
        </w:rPr>
        <w:t xml:space="preserve">. </w:t>
      </w:r>
      <w:r w:rsidR="004926C0" w:rsidRPr="000774A5">
        <w:rPr>
          <w:rFonts w:ascii="Times New Roman" w:hAnsi="Times New Roman"/>
        </w:rPr>
        <w:t xml:space="preserve">This information is valuable </w:t>
      </w:r>
      <w:r w:rsidR="004926C0" w:rsidRPr="008620C9">
        <w:rPr>
          <w:rFonts w:ascii="Times New Roman" w:hAnsi="Times New Roman"/>
        </w:rPr>
        <w:t>to Congress</w:t>
      </w:r>
      <w:r w:rsidR="004926C0">
        <w:rPr>
          <w:rFonts w:ascii="Times New Roman" w:hAnsi="Times New Roman"/>
        </w:rPr>
        <w:t>,</w:t>
      </w:r>
      <w:r w:rsidR="004926C0" w:rsidRPr="000774A5">
        <w:rPr>
          <w:rFonts w:ascii="Times New Roman" w:hAnsi="Times New Roman"/>
        </w:rPr>
        <w:t xml:space="preserve"> federal</w:t>
      </w:r>
      <w:r w:rsidR="004926C0">
        <w:rPr>
          <w:rFonts w:ascii="Times New Roman" w:hAnsi="Times New Roman"/>
        </w:rPr>
        <w:t xml:space="preserve"> </w:t>
      </w:r>
      <w:r w:rsidR="004926C0" w:rsidRPr="000774A5">
        <w:rPr>
          <w:rFonts w:ascii="Times New Roman" w:hAnsi="Times New Roman"/>
        </w:rPr>
        <w:t>stakeholders</w:t>
      </w:r>
      <w:r w:rsidR="004926C0">
        <w:rPr>
          <w:rFonts w:ascii="Times New Roman" w:hAnsi="Times New Roman"/>
        </w:rPr>
        <w:t>, as well as the small business community</w:t>
      </w:r>
      <w:r w:rsidR="004926C0" w:rsidRPr="000774A5">
        <w:rPr>
          <w:rFonts w:ascii="Times New Roman" w:hAnsi="Times New Roman"/>
        </w:rPr>
        <w:t xml:space="preserve"> </w:t>
      </w:r>
      <w:r w:rsidR="004926C0">
        <w:rPr>
          <w:rFonts w:ascii="Times New Roman" w:hAnsi="Times New Roman"/>
        </w:rPr>
        <w:t>because it highlights state program</w:t>
      </w:r>
      <w:r w:rsidR="004926C0" w:rsidRPr="000774A5">
        <w:rPr>
          <w:rFonts w:ascii="Times New Roman" w:hAnsi="Times New Roman"/>
        </w:rPr>
        <w:t xml:space="preserve"> accomplis</w:t>
      </w:r>
      <w:r w:rsidR="004926C0">
        <w:rPr>
          <w:rFonts w:ascii="Times New Roman" w:hAnsi="Times New Roman"/>
        </w:rPr>
        <w:t>hments, as well as</w:t>
      </w:r>
      <w:r w:rsidR="004926C0" w:rsidRPr="000774A5">
        <w:rPr>
          <w:rFonts w:ascii="Times New Roman" w:hAnsi="Times New Roman"/>
        </w:rPr>
        <w:t xml:space="preserve"> progress toward improved environmental performance</w:t>
      </w:r>
      <w:r w:rsidR="004926C0">
        <w:rPr>
          <w:rFonts w:ascii="Times New Roman" w:hAnsi="Times New Roman"/>
        </w:rPr>
        <w:t>.</w:t>
      </w:r>
    </w:p>
    <w:p w14:paraId="37815E08" w14:textId="77777777" w:rsidR="00033857" w:rsidRDefault="00033857" w:rsidP="00033857">
      <w:pPr>
        <w:keepNext/>
        <w:widowControl/>
        <w:ind w:left="720"/>
        <w:rPr>
          <w:rFonts w:ascii="Times New Roman" w:hAnsi="Times New Roman"/>
        </w:rPr>
      </w:pPr>
    </w:p>
    <w:p w14:paraId="62255922" w14:textId="77777777" w:rsidR="00AB4CC9" w:rsidRDefault="00AD3DBF" w:rsidP="006100E4">
      <w:pPr>
        <w:keepNext/>
        <w:widowControl/>
        <w:ind w:firstLine="720"/>
        <w:rPr>
          <w:rFonts w:ascii="Times New Roman" w:hAnsi="Times New Roman"/>
        </w:rPr>
      </w:pPr>
      <w:r>
        <w:rPr>
          <w:rFonts w:ascii="Times New Roman" w:hAnsi="Times New Roman"/>
        </w:rPr>
        <w:t xml:space="preserve">A total of 53 respondents will </w:t>
      </w:r>
      <w:r w:rsidR="004926C0">
        <w:rPr>
          <w:rFonts w:ascii="Times New Roman" w:hAnsi="Times New Roman"/>
        </w:rPr>
        <w:t>complete the survey</w:t>
      </w:r>
      <w:r>
        <w:rPr>
          <w:rFonts w:ascii="Times New Roman" w:hAnsi="Times New Roman"/>
        </w:rPr>
        <w:t>. Specifically, i</w:t>
      </w:r>
      <w:r w:rsidRPr="000774A5">
        <w:rPr>
          <w:rFonts w:ascii="Times New Roman" w:hAnsi="Times New Roman"/>
        </w:rPr>
        <w:t xml:space="preserve">nformation </w:t>
      </w:r>
      <w:r>
        <w:rPr>
          <w:rFonts w:ascii="Times New Roman" w:hAnsi="Times New Roman"/>
        </w:rPr>
        <w:t>collected</w:t>
      </w:r>
      <w:r w:rsidR="004926C0">
        <w:rPr>
          <w:rFonts w:ascii="Times New Roman" w:hAnsi="Times New Roman"/>
        </w:rPr>
        <w:t xml:space="preserve"> will include the following:</w:t>
      </w:r>
      <w:r>
        <w:rPr>
          <w:rFonts w:ascii="Times New Roman" w:hAnsi="Times New Roman"/>
        </w:rPr>
        <w:t xml:space="preserve"> </w:t>
      </w:r>
      <w:r w:rsidRPr="000774A5">
        <w:rPr>
          <w:rFonts w:ascii="Times New Roman" w:hAnsi="Times New Roman"/>
        </w:rPr>
        <w:t>program contacts; program r</w:t>
      </w:r>
      <w:r>
        <w:rPr>
          <w:rFonts w:ascii="Times New Roman" w:hAnsi="Times New Roman"/>
        </w:rPr>
        <w:t xml:space="preserve">esources (budget and staffing), programmatic </w:t>
      </w:r>
      <w:r w:rsidRPr="000774A5">
        <w:rPr>
          <w:rFonts w:ascii="Times New Roman" w:hAnsi="Times New Roman"/>
        </w:rPr>
        <w:t>structure</w:t>
      </w:r>
      <w:r>
        <w:rPr>
          <w:rFonts w:ascii="Times New Roman" w:hAnsi="Times New Roman"/>
        </w:rPr>
        <w:t xml:space="preserve"> (which can vary greatly from state to state),</w:t>
      </w:r>
      <w:r w:rsidRPr="000774A5">
        <w:rPr>
          <w:rFonts w:ascii="Times New Roman" w:hAnsi="Times New Roman"/>
        </w:rPr>
        <w:t xml:space="preserve"> </w:t>
      </w:r>
      <w:r>
        <w:rPr>
          <w:rFonts w:ascii="Times New Roman" w:hAnsi="Times New Roman"/>
        </w:rPr>
        <w:t xml:space="preserve">assistance activities, </w:t>
      </w:r>
      <w:r w:rsidRPr="000774A5">
        <w:rPr>
          <w:rFonts w:ascii="Times New Roman" w:hAnsi="Times New Roman"/>
        </w:rPr>
        <w:t>outreach efforts</w:t>
      </w:r>
      <w:r>
        <w:rPr>
          <w:rFonts w:ascii="Times New Roman" w:hAnsi="Times New Roman"/>
        </w:rPr>
        <w:t xml:space="preserve"> with the small business community, </w:t>
      </w:r>
      <w:r w:rsidRPr="000774A5">
        <w:rPr>
          <w:rFonts w:ascii="Times New Roman" w:hAnsi="Times New Roman"/>
        </w:rPr>
        <w:t>types and numbers of such activities</w:t>
      </w:r>
      <w:r>
        <w:rPr>
          <w:rFonts w:ascii="Times New Roman" w:hAnsi="Times New Roman"/>
        </w:rPr>
        <w:t>,</w:t>
      </w:r>
      <w:r w:rsidRPr="000774A5">
        <w:rPr>
          <w:rFonts w:ascii="Times New Roman" w:hAnsi="Times New Roman"/>
        </w:rPr>
        <w:t xml:space="preserve"> technical assistance</w:t>
      </w:r>
      <w:r>
        <w:rPr>
          <w:rFonts w:ascii="Times New Roman" w:hAnsi="Times New Roman"/>
        </w:rPr>
        <w:t xml:space="preserve"> that their program provides to small businesses, as well approximate figures </w:t>
      </w:r>
      <w:r w:rsidRPr="000774A5">
        <w:rPr>
          <w:rFonts w:ascii="Times New Roman" w:hAnsi="Times New Roman"/>
        </w:rPr>
        <w:t>for</w:t>
      </w:r>
      <w:r>
        <w:rPr>
          <w:rFonts w:ascii="Times New Roman" w:hAnsi="Times New Roman"/>
        </w:rPr>
        <w:t xml:space="preserve"> the number of businesses that</w:t>
      </w:r>
      <w:r w:rsidR="004926C0">
        <w:rPr>
          <w:rFonts w:ascii="Times New Roman" w:hAnsi="Times New Roman"/>
        </w:rPr>
        <w:t xml:space="preserve"> they have assisted each year. </w:t>
      </w:r>
      <w:r w:rsidR="00C66FF4">
        <w:rPr>
          <w:rFonts w:ascii="Times New Roman" w:hAnsi="Times New Roman"/>
        </w:rPr>
        <w:t>The data collected is</w:t>
      </w:r>
      <w:r w:rsidR="00033857" w:rsidRPr="000774A5">
        <w:rPr>
          <w:rFonts w:ascii="Times New Roman" w:hAnsi="Times New Roman"/>
        </w:rPr>
        <w:t xml:space="preserve"> stored in a spreadsheet that </w:t>
      </w:r>
      <w:r w:rsidR="00C66FF4">
        <w:rPr>
          <w:rFonts w:ascii="Times New Roman" w:hAnsi="Times New Roman"/>
        </w:rPr>
        <w:t>is</w:t>
      </w:r>
      <w:r w:rsidR="00033857" w:rsidRPr="000774A5">
        <w:rPr>
          <w:rFonts w:ascii="Times New Roman" w:hAnsi="Times New Roman"/>
        </w:rPr>
        <w:t xml:space="preserve"> made available to programs upon request. </w:t>
      </w:r>
    </w:p>
    <w:p w14:paraId="2877FBD4" w14:textId="77777777" w:rsidR="00AB4CC9" w:rsidRDefault="00AB4CC9" w:rsidP="00C024A2">
      <w:pPr>
        <w:keepNext/>
        <w:widowControl/>
        <w:ind w:firstLine="720"/>
        <w:rPr>
          <w:rFonts w:ascii="Times New Roman" w:hAnsi="Times New Roman"/>
        </w:rPr>
      </w:pPr>
    </w:p>
    <w:p w14:paraId="270D2598" w14:textId="4DD96802" w:rsidR="00033857" w:rsidRPr="000774A5" w:rsidRDefault="00AB4CC9" w:rsidP="006100E4">
      <w:pPr>
        <w:keepNext/>
        <w:widowControl/>
        <w:ind w:firstLine="720"/>
        <w:rPr>
          <w:rFonts w:ascii="Times New Roman" w:hAnsi="Times New Roman"/>
        </w:rPr>
      </w:pPr>
      <w:r w:rsidRPr="000774A5">
        <w:rPr>
          <w:rFonts w:ascii="Times New Roman" w:hAnsi="Times New Roman"/>
        </w:rPr>
        <w:t xml:space="preserve">The EPA </w:t>
      </w:r>
      <w:r>
        <w:rPr>
          <w:rFonts w:ascii="Times New Roman" w:hAnsi="Times New Roman"/>
        </w:rPr>
        <w:t>A</w:t>
      </w:r>
      <w:r w:rsidRPr="000774A5">
        <w:rPr>
          <w:rFonts w:ascii="Times New Roman" w:hAnsi="Times New Roman"/>
        </w:rPr>
        <w:t xml:space="preserve">SBO does not mandate any requirement on file storage and retention.  Each state may set its own requirements on the length of time and the manner in which they store and retain their </w:t>
      </w:r>
      <w:proofErr w:type="gramStart"/>
      <w:r w:rsidRPr="000774A5">
        <w:rPr>
          <w:rFonts w:ascii="Times New Roman" w:hAnsi="Times New Roman"/>
        </w:rPr>
        <w:t>files</w:t>
      </w:r>
      <w:proofErr w:type="gramEnd"/>
      <w:r w:rsidRPr="000774A5">
        <w:rPr>
          <w:rFonts w:ascii="Times New Roman" w:hAnsi="Times New Roman"/>
        </w:rPr>
        <w:t>.</w:t>
      </w:r>
      <w:r>
        <w:rPr>
          <w:rFonts w:ascii="Times New Roman" w:hAnsi="Times New Roman"/>
        </w:rPr>
        <w:t xml:space="preserve"> </w:t>
      </w:r>
      <w:r w:rsidR="00033857" w:rsidRPr="000774A5">
        <w:rPr>
          <w:rFonts w:ascii="Times New Roman" w:hAnsi="Times New Roman"/>
        </w:rPr>
        <w:t xml:space="preserve">The </w:t>
      </w:r>
      <w:r w:rsidR="00033857">
        <w:rPr>
          <w:rFonts w:ascii="Times New Roman" w:hAnsi="Times New Roman"/>
        </w:rPr>
        <w:t xml:space="preserve">Asbestos </w:t>
      </w:r>
      <w:r w:rsidR="00033857" w:rsidRPr="000774A5">
        <w:rPr>
          <w:rFonts w:ascii="Times New Roman" w:hAnsi="Times New Roman"/>
        </w:rPr>
        <w:t xml:space="preserve">Small Business Ombudsman Team will evaluate, review, summarize, and compile the information for preparation of the </w:t>
      </w:r>
      <w:r w:rsidR="00033857" w:rsidRPr="00C024A2">
        <w:rPr>
          <w:rFonts w:ascii="Times New Roman" w:hAnsi="Times New Roman"/>
        </w:rPr>
        <w:t xml:space="preserve">Status of State Small Business Compliance Assistance Programs </w:t>
      </w:r>
      <w:r w:rsidR="00033857" w:rsidRPr="000774A5">
        <w:rPr>
          <w:rFonts w:ascii="Times New Roman" w:hAnsi="Times New Roman"/>
        </w:rPr>
        <w:t>report.</w:t>
      </w:r>
    </w:p>
    <w:p w14:paraId="46C16BAA" w14:textId="0C3533FC" w:rsidR="00427659" w:rsidRPr="000774A5" w:rsidRDefault="00427659" w:rsidP="00766F4D">
      <w:pPr>
        <w:widowControl/>
        <w:tabs>
          <w:tab w:val="left" w:pos="-1440"/>
        </w:tabs>
        <w:rPr>
          <w:rFonts w:ascii="Times New Roman" w:hAnsi="Times New Roman"/>
        </w:rPr>
      </w:pPr>
    </w:p>
    <w:p w14:paraId="054C2138" w14:textId="77777777" w:rsidR="00427659" w:rsidRPr="000774A5" w:rsidRDefault="00427659" w:rsidP="00425C31">
      <w:pPr>
        <w:widowControl/>
        <w:rPr>
          <w:rFonts w:ascii="Times New Roman" w:hAnsi="Times New Roman"/>
        </w:rPr>
      </w:pPr>
    </w:p>
    <w:p w14:paraId="54A30742" w14:textId="77777777" w:rsidR="00427659" w:rsidRPr="000774A5" w:rsidRDefault="00427659" w:rsidP="00425C31">
      <w:pPr>
        <w:widowControl/>
        <w:tabs>
          <w:tab w:val="left" w:pos="-1440"/>
        </w:tabs>
        <w:ind w:left="720" w:hanging="720"/>
        <w:rPr>
          <w:rFonts w:ascii="Times New Roman" w:hAnsi="Times New Roman"/>
        </w:rPr>
      </w:pPr>
      <w:r w:rsidRPr="000774A5">
        <w:rPr>
          <w:rFonts w:ascii="Times New Roman" w:hAnsi="Times New Roman"/>
          <w:b/>
          <w:bCs/>
        </w:rPr>
        <w:lastRenderedPageBreak/>
        <w:t>2.</w:t>
      </w:r>
      <w:r w:rsidRPr="000774A5">
        <w:rPr>
          <w:rFonts w:ascii="Times New Roman" w:hAnsi="Times New Roman"/>
          <w:b/>
          <w:bCs/>
        </w:rPr>
        <w:tab/>
        <w:t>NEED AND USE OF THE COLLECTION</w:t>
      </w:r>
    </w:p>
    <w:p w14:paraId="0D5A455F" w14:textId="77777777" w:rsidR="00427659" w:rsidRPr="000774A5" w:rsidRDefault="00427659" w:rsidP="00425C31">
      <w:pPr>
        <w:widowControl/>
        <w:rPr>
          <w:rFonts w:ascii="Times New Roman" w:hAnsi="Times New Roman"/>
        </w:rPr>
      </w:pPr>
    </w:p>
    <w:p w14:paraId="5B24118C" w14:textId="7AE3B2DF" w:rsidR="00427659" w:rsidRPr="000774A5" w:rsidRDefault="00331873" w:rsidP="00804523">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2(a)</w:t>
      </w:r>
      <w:r w:rsidR="00427659" w:rsidRPr="000774A5">
        <w:rPr>
          <w:rFonts w:ascii="Times New Roman" w:hAnsi="Times New Roman"/>
          <w:b/>
          <w:bCs/>
        </w:rPr>
        <w:tab/>
        <w:t>Need/Authority for the Collection</w:t>
      </w:r>
    </w:p>
    <w:p w14:paraId="2797565C" w14:textId="77777777" w:rsidR="006100E4" w:rsidRDefault="006100E4" w:rsidP="006100E4">
      <w:pPr>
        <w:widowControl/>
        <w:ind w:firstLine="720"/>
        <w:rPr>
          <w:rFonts w:ascii="Times New Roman" w:hAnsi="Times New Roman"/>
        </w:rPr>
      </w:pPr>
    </w:p>
    <w:p w14:paraId="11C1FF01" w14:textId="245B80F7" w:rsidR="00427659" w:rsidRPr="000774A5" w:rsidRDefault="00427659" w:rsidP="006100E4">
      <w:pPr>
        <w:widowControl/>
        <w:ind w:firstLine="720"/>
        <w:rPr>
          <w:rFonts w:ascii="Times New Roman" w:hAnsi="Times New Roman"/>
        </w:rPr>
      </w:pPr>
      <w:r w:rsidRPr="000774A5">
        <w:rPr>
          <w:rFonts w:ascii="Times New Roman" w:hAnsi="Times New Roman"/>
        </w:rPr>
        <w:t>This collection of information is</w:t>
      </w:r>
      <w:r w:rsidR="00D73D10">
        <w:rPr>
          <w:rFonts w:ascii="Times New Roman" w:hAnsi="Times New Roman"/>
        </w:rPr>
        <w:t xml:space="preserve"> in response to the direction for EPA’s Small Business Ombudsman to monitor the program under</w:t>
      </w:r>
      <w:r w:rsidRPr="000774A5">
        <w:rPr>
          <w:rFonts w:ascii="Times New Roman" w:hAnsi="Times New Roman"/>
        </w:rPr>
        <w:t xml:space="preserve"> Section 507, Small Business Stationary Source Technical and Environmental Compliance</w:t>
      </w:r>
      <w:r w:rsidR="00D73D10">
        <w:rPr>
          <w:rFonts w:ascii="Times New Roman" w:hAnsi="Times New Roman"/>
        </w:rPr>
        <w:t xml:space="preserve"> Assistance Program (SBTCP) (d) </w:t>
      </w:r>
      <w:r w:rsidRPr="000774A5">
        <w:rPr>
          <w:rFonts w:ascii="Times New Roman" w:hAnsi="Times New Roman"/>
        </w:rPr>
        <w:t>of the Clean Air Act as amended in 1990, Public L</w:t>
      </w:r>
      <w:r w:rsidR="000D1AD7">
        <w:rPr>
          <w:rFonts w:ascii="Times New Roman" w:hAnsi="Times New Roman"/>
        </w:rPr>
        <w:t xml:space="preserve">aw 101-549, </w:t>
      </w:r>
      <w:proofErr w:type="gramStart"/>
      <w:r w:rsidR="000D1AD7">
        <w:rPr>
          <w:rFonts w:ascii="Times New Roman" w:hAnsi="Times New Roman"/>
        </w:rPr>
        <w:t>November</w:t>
      </w:r>
      <w:proofErr w:type="gramEnd"/>
      <w:r w:rsidR="000D1AD7">
        <w:rPr>
          <w:rFonts w:ascii="Times New Roman" w:hAnsi="Times New Roman"/>
        </w:rPr>
        <w:t xml:space="preserve"> 15, 1990. </w:t>
      </w:r>
      <w:r w:rsidRPr="000774A5">
        <w:rPr>
          <w:rFonts w:ascii="Times New Roman" w:hAnsi="Times New Roman"/>
        </w:rPr>
        <w:t xml:space="preserve">This Act directs EPA to monitor the 507 programs and </w:t>
      </w:r>
      <w:r w:rsidRPr="00734605">
        <w:rPr>
          <w:rFonts w:ascii="Times New Roman" w:hAnsi="Times New Roman"/>
        </w:rPr>
        <w:t>to provide a periodic report to Congress</w:t>
      </w:r>
      <w:r w:rsidRPr="000774A5">
        <w:rPr>
          <w:rFonts w:ascii="Times New Roman" w:hAnsi="Times New Roman"/>
        </w:rPr>
        <w:t xml:space="preserve">.  </w:t>
      </w:r>
    </w:p>
    <w:p w14:paraId="5A60865B" w14:textId="77777777" w:rsidR="00427659" w:rsidRPr="000774A5" w:rsidRDefault="00427659" w:rsidP="00425C31">
      <w:pPr>
        <w:widowControl/>
        <w:rPr>
          <w:rFonts w:ascii="Times New Roman" w:hAnsi="Times New Roman"/>
        </w:rPr>
      </w:pPr>
    </w:p>
    <w:p w14:paraId="440F255A" w14:textId="0C521691" w:rsidR="00427659" w:rsidRPr="000774A5" w:rsidRDefault="00331873" w:rsidP="00804523">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2(b)</w:t>
      </w:r>
      <w:r w:rsidR="00427659" w:rsidRPr="000774A5">
        <w:rPr>
          <w:rFonts w:ascii="Times New Roman" w:hAnsi="Times New Roman"/>
          <w:b/>
          <w:bCs/>
        </w:rPr>
        <w:tab/>
        <w:t>Practical Utility/Users of the Data</w:t>
      </w:r>
    </w:p>
    <w:p w14:paraId="73D8DDF6" w14:textId="77777777" w:rsidR="006100E4" w:rsidRDefault="006100E4" w:rsidP="006100E4">
      <w:pPr>
        <w:widowControl/>
        <w:rPr>
          <w:rFonts w:ascii="Times New Roman" w:hAnsi="Times New Roman"/>
        </w:rPr>
      </w:pPr>
    </w:p>
    <w:p w14:paraId="1418D4CD" w14:textId="77777777" w:rsidR="00427659" w:rsidRPr="000774A5" w:rsidRDefault="00427659" w:rsidP="006100E4">
      <w:pPr>
        <w:widowControl/>
        <w:ind w:firstLine="720"/>
        <w:rPr>
          <w:rFonts w:ascii="Times New Roman" w:hAnsi="Times New Roman"/>
        </w:rPr>
      </w:pPr>
      <w:r w:rsidRPr="000774A5">
        <w:rPr>
          <w:rFonts w:ascii="Times New Roman" w:hAnsi="Times New Roman"/>
        </w:rPr>
        <w:t xml:space="preserve">The EPA </w:t>
      </w:r>
      <w:r w:rsidR="00D73D10">
        <w:rPr>
          <w:rFonts w:ascii="Times New Roman" w:hAnsi="Times New Roman"/>
        </w:rPr>
        <w:t>A</w:t>
      </w:r>
      <w:r w:rsidRPr="000774A5">
        <w:rPr>
          <w:rFonts w:ascii="Times New Roman" w:hAnsi="Times New Roman"/>
        </w:rPr>
        <w:t xml:space="preserve">SBO will </w:t>
      </w:r>
      <w:r w:rsidR="00A9330E" w:rsidRPr="000774A5">
        <w:rPr>
          <w:rFonts w:ascii="Times New Roman" w:hAnsi="Times New Roman"/>
        </w:rPr>
        <w:t xml:space="preserve">compile the </w:t>
      </w:r>
      <w:r w:rsidRPr="000774A5">
        <w:rPr>
          <w:rFonts w:ascii="Times New Roman" w:hAnsi="Times New Roman"/>
        </w:rPr>
        <w:t>results of th</w:t>
      </w:r>
      <w:r w:rsidR="00A9330E" w:rsidRPr="000774A5">
        <w:rPr>
          <w:rFonts w:ascii="Times New Roman" w:hAnsi="Times New Roman"/>
        </w:rPr>
        <w:t>is</w:t>
      </w:r>
      <w:r w:rsidRPr="000774A5">
        <w:rPr>
          <w:rFonts w:ascii="Times New Roman" w:hAnsi="Times New Roman"/>
        </w:rPr>
        <w:t xml:space="preserve"> collection</w:t>
      </w:r>
      <w:r w:rsidR="00A9330E" w:rsidRPr="000774A5">
        <w:rPr>
          <w:rFonts w:ascii="Times New Roman" w:hAnsi="Times New Roman"/>
        </w:rPr>
        <w:t xml:space="preserve"> into a report,</w:t>
      </w:r>
      <w:r w:rsidRPr="000774A5">
        <w:rPr>
          <w:rFonts w:ascii="Times New Roman" w:hAnsi="Times New Roman"/>
        </w:rPr>
        <w:t xml:space="preserve"> including an objective summary of conclusions and recommendations relative to funding or other environmental legislative consideration. This information will be </w:t>
      </w:r>
      <w:r w:rsidR="009C7653" w:rsidRPr="000774A5">
        <w:rPr>
          <w:rFonts w:ascii="Times New Roman" w:hAnsi="Times New Roman"/>
        </w:rPr>
        <w:t>made available online for</w:t>
      </w:r>
      <w:r w:rsidRPr="000774A5">
        <w:rPr>
          <w:rFonts w:ascii="Times New Roman" w:hAnsi="Times New Roman"/>
        </w:rPr>
        <w:t xml:space="preserve"> Congressional staff and committees interested in environmental matters and small business assistance activities at the state and local levels.  In addition, this information will be </w:t>
      </w:r>
      <w:r w:rsidR="00D73D10">
        <w:rPr>
          <w:rFonts w:ascii="Times New Roman" w:hAnsi="Times New Roman"/>
        </w:rPr>
        <w:t>made available</w:t>
      </w:r>
      <w:r w:rsidRPr="000774A5">
        <w:rPr>
          <w:rFonts w:ascii="Times New Roman" w:hAnsi="Times New Roman"/>
        </w:rPr>
        <w:t xml:space="preserve"> to small business trade associations for their use in promoting the utility and viability of assistance programs, to EPA Headquarters and Regional Offices, to other </w:t>
      </w:r>
      <w:r w:rsidR="00270C34" w:rsidRPr="000774A5">
        <w:rPr>
          <w:rFonts w:ascii="Times New Roman" w:hAnsi="Times New Roman"/>
        </w:rPr>
        <w:t>f</w:t>
      </w:r>
      <w:r w:rsidRPr="000774A5">
        <w:rPr>
          <w:rFonts w:ascii="Times New Roman" w:hAnsi="Times New Roman"/>
        </w:rPr>
        <w:t xml:space="preserve">ederal agencies such as the Small Business Administration, to all state small business ombudsmen and small business </w:t>
      </w:r>
      <w:r w:rsidR="00D02CFD">
        <w:rPr>
          <w:rFonts w:ascii="Times New Roman" w:hAnsi="Times New Roman"/>
        </w:rPr>
        <w:t xml:space="preserve">environmental </w:t>
      </w:r>
      <w:r w:rsidRPr="000774A5">
        <w:rPr>
          <w:rFonts w:ascii="Times New Roman" w:hAnsi="Times New Roman"/>
        </w:rPr>
        <w:t xml:space="preserve">assistance program directors, to state </w:t>
      </w:r>
      <w:r w:rsidR="00270C34" w:rsidRPr="000774A5">
        <w:rPr>
          <w:rFonts w:ascii="Times New Roman" w:hAnsi="Times New Roman"/>
        </w:rPr>
        <w:t>g</w:t>
      </w:r>
      <w:r w:rsidRPr="000774A5">
        <w:rPr>
          <w:rFonts w:ascii="Times New Roman" w:hAnsi="Times New Roman"/>
        </w:rPr>
        <w:t>overnors</w:t>
      </w:r>
      <w:r w:rsidR="009C7653" w:rsidRPr="000774A5">
        <w:rPr>
          <w:rFonts w:ascii="Times New Roman" w:hAnsi="Times New Roman"/>
        </w:rPr>
        <w:t>,</w:t>
      </w:r>
      <w:r w:rsidRPr="000774A5">
        <w:rPr>
          <w:rFonts w:ascii="Times New Roman" w:hAnsi="Times New Roman"/>
        </w:rPr>
        <w:t xml:space="preserve"> and other interested </w:t>
      </w:r>
      <w:r w:rsidR="009C7653" w:rsidRPr="000774A5">
        <w:rPr>
          <w:rFonts w:ascii="Times New Roman" w:hAnsi="Times New Roman"/>
        </w:rPr>
        <w:t>parties</w:t>
      </w:r>
      <w:r w:rsidRPr="000774A5">
        <w:rPr>
          <w:rFonts w:ascii="Times New Roman" w:hAnsi="Times New Roman"/>
        </w:rPr>
        <w:t>.</w:t>
      </w:r>
    </w:p>
    <w:p w14:paraId="43F021F6" w14:textId="77777777" w:rsidR="00331873" w:rsidRDefault="00331873" w:rsidP="00331873">
      <w:pPr>
        <w:widowControl/>
        <w:rPr>
          <w:rFonts w:ascii="Times New Roman" w:hAnsi="Times New Roman"/>
        </w:rPr>
      </w:pPr>
    </w:p>
    <w:p w14:paraId="337F9317" w14:textId="43B444CB" w:rsidR="00427659" w:rsidRPr="000774A5" w:rsidRDefault="00427659" w:rsidP="006100E4">
      <w:pPr>
        <w:widowControl/>
        <w:ind w:firstLine="720"/>
        <w:rPr>
          <w:rFonts w:ascii="Times New Roman" w:hAnsi="Times New Roman"/>
        </w:rPr>
      </w:pPr>
      <w:r w:rsidRPr="000774A5">
        <w:rPr>
          <w:rFonts w:ascii="Times New Roman" w:hAnsi="Times New Roman"/>
        </w:rPr>
        <w:t xml:space="preserve">Both state and </w:t>
      </w:r>
      <w:r w:rsidR="00270C34" w:rsidRPr="000774A5">
        <w:rPr>
          <w:rFonts w:ascii="Times New Roman" w:hAnsi="Times New Roman"/>
        </w:rPr>
        <w:t>f</w:t>
      </w:r>
      <w:r w:rsidRPr="000774A5">
        <w:rPr>
          <w:rFonts w:ascii="Times New Roman" w:hAnsi="Times New Roman"/>
        </w:rPr>
        <w:t xml:space="preserve">ederal officials </w:t>
      </w:r>
      <w:r w:rsidR="00D73D10">
        <w:rPr>
          <w:rFonts w:ascii="Times New Roman" w:hAnsi="Times New Roman"/>
        </w:rPr>
        <w:t xml:space="preserve">are able to </w:t>
      </w:r>
      <w:r w:rsidRPr="000774A5">
        <w:rPr>
          <w:rFonts w:ascii="Times New Roman" w:hAnsi="Times New Roman"/>
        </w:rPr>
        <w:t xml:space="preserve">use the information </w:t>
      </w:r>
      <w:r w:rsidR="00D73D10">
        <w:rPr>
          <w:rFonts w:ascii="Times New Roman" w:hAnsi="Times New Roman"/>
        </w:rPr>
        <w:t xml:space="preserve">generated in the report </w:t>
      </w:r>
      <w:r w:rsidRPr="000774A5">
        <w:rPr>
          <w:rFonts w:ascii="Times New Roman" w:hAnsi="Times New Roman"/>
        </w:rPr>
        <w:t xml:space="preserve">to evaluate how well the programs are functioning, </w:t>
      </w:r>
      <w:r w:rsidR="00270C34" w:rsidRPr="000774A5">
        <w:rPr>
          <w:rFonts w:ascii="Times New Roman" w:hAnsi="Times New Roman"/>
        </w:rPr>
        <w:t xml:space="preserve">and </w:t>
      </w:r>
      <w:r w:rsidR="009C7653" w:rsidRPr="000774A5">
        <w:rPr>
          <w:rFonts w:ascii="Times New Roman" w:hAnsi="Times New Roman"/>
        </w:rPr>
        <w:t>to</w:t>
      </w:r>
      <w:r w:rsidRPr="000774A5">
        <w:rPr>
          <w:rFonts w:ascii="Times New Roman" w:hAnsi="Times New Roman"/>
        </w:rPr>
        <w:t xml:space="preserve"> plan how to render m</w:t>
      </w:r>
      <w:r w:rsidR="009C7653" w:rsidRPr="000774A5">
        <w:rPr>
          <w:rFonts w:ascii="Times New Roman" w:hAnsi="Times New Roman"/>
        </w:rPr>
        <w:t xml:space="preserve">ore effective and less costly </w:t>
      </w:r>
      <w:r w:rsidR="00331873">
        <w:rPr>
          <w:rFonts w:ascii="Times New Roman" w:hAnsi="Times New Roman"/>
        </w:rPr>
        <w:t xml:space="preserve">assistance. </w:t>
      </w:r>
      <w:r w:rsidRPr="000774A5">
        <w:rPr>
          <w:rFonts w:ascii="Times New Roman" w:hAnsi="Times New Roman"/>
        </w:rPr>
        <w:t xml:space="preserve">The constantly evolving nature of these programs means that </w:t>
      </w:r>
      <w:r w:rsidR="009C7653" w:rsidRPr="000774A5">
        <w:rPr>
          <w:rFonts w:ascii="Times New Roman" w:hAnsi="Times New Roman"/>
        </w:rPr>
        <w:t xml:space="preserve">this </w:t>
      </w:r>
      <w:r w:rsidRPr="000774A5">
        <w:rPr>
          <w:rFonts w:ascii="Times New Roman" w:hAnsi="Times New Roman"/>
        </w:rPr>
        <w:t xml:space="preserve">information </w:t>
      </w:r>
      <w:r w:rsidR="00270C34" w:rsidRPr="000774A5">
        <w:rPr>
          <w:rFonts w:ascii="Times New Roman" w:hAnsi="Times New Roman"/>
        </w:rPr>
        <w:t xml:space="preserve">provides </w:t>
      </w:r>
      <w:r w:rsidR="009C7653" w:rsidRPr="000774A5">
        <w:rPr>
          <w:rFonts w:ascii="Times New Roman" w:hAnsi="Times New Roman"/>
        </w:rPr>
        <w:t xml:space="preserve">key </w:t>
      </w:r>
      <w:r w:rsidR="00270C34" w:rsidRPr="000774A5">
        <w:rPr>
          <w:rFonts w:ascii="Times New Roman" w:hAnsi="Times New Roman"/>
        </w:rPr>
        <w:t xml:space="preserve">details </w:t>
      </w:r>
      <w:r w:rsidR="009C7653" w:rsidRPr="000774A5">
        <w:rPr>
          <w:rFonts w:ascii="Times New Roman" w:hAnsi="Times New Roman"/>
        </w:rPr>
        <w:t xml:space="preserve">to policy makers at the </w:t>
      </w:r>
      <w:r w:rsidR="00270C34" w:rsidRPr="000774A5">
        <w:rPr>
          <w:rFonts w:ascii="Times New Roman" w:hAnsi="Times New Roman"/>
        </w:rPr>
        <w:t>f</w:t>
      </w:r>
      <w:r w:rsidR="009C7653" w:rsidRPr="000774A5">
        <w:rPr>
          <w:rFonts w:ascii="Times New Roman" w:hAnsi="Times New Roman"/>
        </w:rPr>
        <w:t>ederal, state, and</w:t>
      </w:r>
      <w:r w:rsidRPr="000774A5">
        <w:rPr>
          <w:rFonts w:ascii="Times New Roman" w:hAnsi="Times New Roman"/>
        </w:rPr>
        <w:t xml:space="preserve"> local levels.</w:t>
      </w:r>
    </w:p>
    <w:p w14:paraId="6E53AB36" w14:textId="77777777" w:rsidR="00331873" w:rsidRDefault="00331873" w:rsidP="00331873">
      <w:pPr>
        <w:widowControl/>
        <w:rPr>
          <w:rFonts w:ascii="Times New Roman" w:hAnsi="Times New Roman"/>
        </w:rPr>
      </w:pPr>
    </w:p>
    <w:p w14:paraId="461DAF12" w14:textId="6DD88FAE" w:rsidR="00C66FF4" w:rsidRPr="000774A5" w:rsidRDefault="00427659" w:rsidP="006100E4">
      <w:pPr>
        <w:widowControl/>
        <w:ind w:firstLine="720"/>
        <w:rPr>
          <w:rFonts w:ascii="Times New Roman" w:hAnsi="Times New Roman"/>
        </w:rPr>
      </w:pPr>
      <w:r w:rsidRPr="000774A5">
        <w:rPr>
          <w:rFonts w:ascii="Times New Roman" w:hAnsi="Times New Roman"/>
        </w:rPr>
        <w:t>The Agency has shared th</w:t>
      </w:r>
      <w:r w:rsidR="009C7653" w:rsidRPr="000774A5">
        <w:rPr>
          <w:rFonts w:ascii="Times New Roman" w:hAnsi="Times New Roman"/>
        </w:rPr>
        <w:t>is information</w:t>
      </w:r>
      <w:r w:rsidR="00D73D10">
        <w:rPr>
          <w:rFonts w:ascii="Times New Roman" w:hAnsi="Times New Roman"/>
        </w:rPr>
        <w:t xml:space="preserve"> within its periodic reports</w:t>
      </w:r>
      <w:r w:rsidR="009C7653" w:rsidRPr="000774A5">
        <w:rPr>
          <w:rFonts w:ascii="Times New Roman" w:hAnsi="Times New Roman"/>
        </w:rPr>
        <w:t xml:space="preserve"> with all the stakeholders </w:t>
      </w:r>
      <w:r w:rsidR="00331873">
        <w:rPr>
          <w:rFonts w:ascii="Times New Roman" w:hAnsi="Times New Roman"/>
        </w:rPr>
        <w:t xml:space="preserve">listed above. </w:t>
      </w:r>
      <w:r w:rsidRPr="000774A5">
        <w:rPr>
          <w:rFonts w:ascii="Times New Roman" w:hAnsi="Times New Roman"/>
        </w:rPr>
        <w:t xml:space="preserve">The </w:t>
      </w:r>
      <w:r w:rsidR="009C7653" w:rsidRPr="000774A5">
        <w:rPr>
          <w:rFonts w:ascii="Times New Roman" w:hAnsi="Times New Roman"/>
        </w:rPr>
        <w:t xml:space="preserve">State </w:t>
      </w:r>
      <w:r w:rsidRPr="000774A5">
        <w:rPr>
          <w:rFonts w:ascii="Times New Roman" w:hAnsi="Times New Roman"/>
        </w:rPr>
        <w:t xml:space="preserve">507 programs have found this </w:t>
      </w:r>
      <w:r w:rsidR="009C7653" w:rsidRPr="000774A5">
        <w:rPr>
          <w:rFonts w:ascii="Times New Roman" w:hAnsi="Times New Roman"/>
        </w:rPr>
        <w:t xml:space="preserve">process to be a </w:t>
      </w:r>
      <w:r w:rsidRPr="000774A5">
        <w:rPr>
          <w:rFonts w:ascii="Times New Roman" w:hAnsi="Times New Roman"/>
        </w:rPr>
        <w:t xml:space="preserve">valuable </w:t>
      </w:r>
      <w:r w:rsidR="009C7653" w:rsidRPr="000774A5">
        <w:rPr>
          <w:rFonts w:ascii="Times New Roman" w:hAnsi="Times New Roman"/>
        </w:rPr>
        <w:t xml:space="preserve">tool for </w:t>
      </w:r>
      <w:r w:rsidRPr="000774A5">
        <w:rPr>
          <w:rFonts w:ascii="Times New Roman" w:hAnsi="Times New Roman"/>
        </w:rPr>
        <w:t xml:space="preserve">learning </w:t>
      </w:r>
      <w:r w:rsidR="006C6932" w:rsidRPr="000774A5">
        <w:rPr>
          <w:rFonts w:ascii="Times New Roman" w:hAnsi="Times New Roman"/>
        </w:rPr>
        <w:t xml:space="preserve">about </w:t>
      </w:r>
      <w:r w:rsidR="009C7653" w:rsidRPr="000774A5">
        <w:rPr>
          <w:rFonts w:ascii="Times New Roman" w:hAnsi="Times New Roman"/>
        </w:rPr>
        <w:t xml:space="preserve">other </w:t>
      </w:r>
      <w:r w:rsidRPr="000774A5">
        <w:rPr>
          <w:rFonts w:ascii="Times New Roman" w:hAnsi="Times New Roman"/>
        </w:rPr>
        <w:t>progra</w:t>
      </w:r>
      <w:r w:rsidR="00331873">
        <w:rPr>
          <w:rFonts w:ascii="Times New Roman" w:hAnsi="Times New Roman"/>
        </w:rPr>
        <w:t xml:space="preserve">m's strengths and innovations. </w:t>
      </w:r>
      <w:r w:rsidR="009C7653" w:rsidRPr="000774A5">
        <w:rPr>
          <w:rFonts w:ascii="Times New Roman" w:hAnsi="Times New Roman"/>
        </w:rPr>
        <w:t>It</w:t>
      </w:r>
      <w:r w:rsidRPr="000774A5">
        <w:rPr>
          <w:rFonts w:ascii="Times New Roman" w:hAnsi="Times New Roman"/>
        </w:rPr>
        <w:t xml:space="preserve"> promotes </w:t>
      </w:r>
      <w:r w:rsidR="009C7653" w:rsidRPr="000774A5">
        <w:rPr>
          <w:rFonts w:ascii="Times New Roman" w:hAnsi="Times New Roman"/>
        </w:rPr>
        <w:t xml:space="preserve">a continual process of </w:t>
      </w:r>
      <w:r w:rsidR="00331873">
        <w:rPr>
          <w:rFonts w:ascii="Times New Roman" w:hAnsi="Times New Roman"/>
        </w:rPr>
        <w:t xml:space="preserve">sharing ideas across programs. </w:t>
      </w:r>
      <w:r w:rsidRPr="000774A5">
        <w:rPr>
          <w:rFonts w:ascii="Times New Roman" w:hAnsi="Times New Roman"/>
        </w:rPr>
        <w:t xml:space="preserve">The EPA </w:t>
      </w:r>
      <w:r w:rsidR="00D73D10">
        <w:rPr>
          <w:rFonts w:ascii="Times New Roman" w:hAnsi="Times New Roman"/>
        </w:rPr>
        <w:t>A</w:t>
      </w:r>
      <w:r w:rsidRPr="000774A5">
        <w:rPr>
          <w:rFonts w:ascii="Times New Roman" w:hAnsi="Times New Roman"/>
        </w:rPr>
        <w:t xml:space="preserve">SBO </w:t>
      </w:r>
      <w:r w:rsidR="006C6932" w:rsidRPr="000774A5">
        <w:rPr>
          <w:rFonts w:ascii="Times New Roman" w:hAnsi="Times New Roman"/>
        </w:rPr>
        <w:t xml:space="preserve">is </w:t>
      </w:r>
      <w:r w:rsidRPr="000774A5">
        <w:rPr>
          <w:rFonts w:ascii="Times New Roman" w:hAnsi="Times New Roman"/>
        </w:rPr>
        <w:t xml:space="preserve">also a resource </w:t>
      </w:r>
      <w:r w:rsidR="006C6932" w:rsidRPr="000774A5">
        <w:rPr>
          <w:rFonts w:ascii="Times New Roman" w:hAnsi="Times New Roman"/>
        </w:rPr>
        <w:t xml:space="preserve">for </w:t>
      </w:r>
      <w:r w:rsidR="009C7653" w:rsidRPr="000774A5">
        <w:rPr>
          <w:rFonts w:ascii="Times New Roman" w:hAnsi="Times New Roman"/>
        </w:rPr>
        <w:t>stakeholders</w:t>
      </w:r>
      <w:r w:rsidRPr="000774A5">
        <w:rPr>
          <w:rFonts w:ascii="Times New Roman" w:hAnsi="Times New Roman"/>
        </w:rPr>
        <w:t xml:space="preserve"> </w:t>
      </w:r>
      <w:r w:rsidR="006C6932" w:rsidRPr="000774A5">
        <w:rPr>
          <w:rFonts w:ascii="Times New Roman" w:hAnsi="Times New Roman"/>
        </w:rPr>
        <w:t xml:space="preserve">and </w:t>
      </w:r>
      <w:r w:rsidRPr="000774A5">
        <w:rPr>
          <w:rFonts w:ascii="Times New Roman" w:hAnsi="Times New Roman"/>
        </w:rPr>
        <w:t>provid</w:t>
      </w:r>
      <w:r w:rsidR="006C6932" w:rsidRPr="000774A5">
        <w:rPr>
          <w:rFonts w:ascii="Times New Roman" w:hAnsi="Times New Roman"/>
        </w:rPr>
        <w:t>es</w:t>
      </w:r>
      <w:r w:rsidRPr="000774A5">
        <w:rPr>
          <w:rFonts w:ascii="Times New Roman" w:hAnsi="Times New Roman"/>
        </w:rPr>
        <w:t xml:space="preserve"> relevant data and narratives to policy makers at the </w:t>
      </w:r>
      <w:r w:rsidR="006C6932" w:rsidRPr="000774A5">
        <w:rPr>
          <w:rFonts w:ascii="Times New Roman" w:hAnsi="Times New Roman"/>
        </w:rPr>
        <w:t>f</w:t>
      </w:r>
      <w:r w:rsidRPr="000774A5">
        <w:rPr>
          <w:rFonts w:ascii="Times New Roman" w:hAnsi="Times New Roman"/>
        </w:rPr>
        <w:t xml:space="preserve">ederal </w:t>
      </w:r>
      <w:r w:rsidR="00331873">
        <w:rPr>
          <w:rFonts w:ascii="Times New Roman" w:hAnsi="Times New Roman"/>
        </w:rPr>
        <w:t xml:space="preserve">and state levels upon request. </w:t>
      </w:r>
      <w:r w:rsidRPr="000774A5">
        <w:rPr>
          <w:rFonts w:ascii="Times New Roman" w:hAnsi="Times New Roman"/>
        </w:rPr>
        <w:t xml:space="preserve">The </w:t>
      </w:r>
      <w:r w:rsidR="00D73D10">
        <w:rPr>
          <w:rFonts w:ascii="Times New Roman" w:hAnsi="Times New Roman"/>
        </w:rPr>
        <w:t>A</w:t>
      </w:r>
      <w:r w:rsidRPr="000774A5">
        <w:rPr>
          <w:rFonts w:ascii="Times New Roman" w:hAnsi="Times New Roman"/>
        </w:rPr>
        <w:t>SBO relies on th</w:t>
      </w:r>
      <w:r w:rsidR="009C7653" w:rsidRPr="000774A5">
        <w:rPr>
          <w:rFonts w:ascii="Times New Roman" w:hAnsi="Times New Roman"/>
        </w:rPr>
        <w:t>e</w:t>
      </w:r>
      <w:r w:rsidRPr="000774A5">
        <w:rPr>
          <w:rFonts w:ascii="Times New Roman" w:hAnsi="Times New Roman"/>
        </w:rPr>
        <w:t xml:space="preserve"> information </w:t>
      </w:r>
      <w:r w:rsidR="009C7653" w:rsidRPr="000774A5">
        <w:rPr>
          <w:rFonts w:ascii="Times New Roman" w:hAnsi="Times New Roman"/>
        </w:rPr>
        <w:t xml:space="preserve">collected to support </w:t>
      </w:r>
      <w:r w:rsidRPr="000774A5">
        <w:rPr>
          <w:rFonts w:ascii="Times New Roman" w:hAnsi="Times New Roman"/>
        </w:rPr>
        <w:t xml:space="preserve">recommendations </w:t>
      </w:r>
      <w:r w:rsidR="009C7653" w:rsidRPr="000774A5">
        <w:rPr>
          <w:rFonts w:ascii="Times New Roman" w:hAnsi="Times New Roman"/>
        </w:rPr>
        <w:t xml:space="preserve">made </w:t>
      </w:r>
      <w:r w:rsidRPr="000774A5">
        <w:rPr>
          <w:rFonts w:ascii="Times New Roman" w:hAnsi="Times New Roman"/>
        </w:rPr>
        <w:t xml:space="preserve">to other offices within the </w:t>
      </w:r>
      <w:r w:rsidR="009C7653" w:rsidRPr="000774A5">
        <w:rPr>
          <w:rFonts w:ascii="Times New Roman" w:hAnsi="Times New Roman"/>
        </w:rPr>
        <w:t xml:space="preserve">EPA </w:t>
      </w:r>
      <w:r w:rsidR="00E66BEC" w:rsidRPr="000774A5">
        <w:rPr>
          <w:rFonts w:ascii="Times New Roman" w:hAnsi="Times New Roman"/>
        </w:rPr>
        <w:t>on how to effectively assist small business</w:t>
      </w:r>
      <w:r w:rsidR="006C6932" w:rsidRPr="000774A5">
        <w:rPr>
          <w:rFonts w:ascii="Times New Roman" w:hAnsi="Times New Roman"/>
        </w:rPr>
        <w:t xml:space="preserve"> efforts to </w:t>
      </w:r>
      <w:r w:rsidR="00E66BEC" w:rsidRPr="000774A5">
        <w:rPr>
          <w:rFonts w:ascii="Times New Roman" w:hAnsi="Times New Roman"/>
        </w:rPr>
        <w:t>improve their environmental compliance</w:t>
      </w:r>
      <w:r w:rsidRPr="000774A5">
        <w:rPr>
          <w:rFonts w:ascii="Times New Roman" w:hAnsi="Times New Roman"/>
        </w:rPr>
        <w:t>.</w:t>
      </w:r>
    </w:p>
    <w:p w14:paraId="21A78D47" w14:textId="77777777" w:rsidR="00427659" w:rsidRPr="000774A5" w:rsidRDefault="00427659" w:rsidP="00425C31">
      <w:pPr>
        <w:widowControl/>
        <w:rPr>
          <w:rFonts w:ascii="Times New Roman" w:hAnsi="Times New Roman"/>
        </w:rPr>
      </w:pPr>
    </w:p>
    <w:p w14:paraId="33E3AFF7" w14:textId="77777777" w:rsidR="00427659" w:rsidRPr="000774A5" w:rsidRDefault="00427659" w:rsidP="00425C31">
      <w:pPr>
        <w:widowControl/>
        <w:tabs>
          <w:tab w:val="left" w:pos="-1440"/>
        </w:tabs>
        <w:ind w:left="720" w:hanging="720"/>
        <w:rPr>
          <w:rFonts w:ascii="Times New Roman" w:hAnsi="Times New Roman"/>
          <w:b/>
          <w:bCs/>
        </w:rPr>
      </w:pPr>
      <w:r w:rsidRPr="000774A5">
        <w:rPr>
          <w:rFonts w:ascii="Times New Roman" w:hAnsi="Times New Roman"/>
          <w:b/>
          <w:bCs/>
        </w:rPr>
        <w:t>3.</w:t>
      </w:r>
      <w:r w:rsidRPr="000774A5">
        <w:rPr>
          <w:rFonts w:ascii="Times New Roman" w:hAnsi="Times New Roman"/>
          <w:b/>
          <w:bCs/>
        </w:rPr>
        <w:tab/>
        <w:t>NON-DUPLICATION, CONSULTATIONS, AND OTHER COLLECTION CRITERIA</w:t>
      </w:r>
    </w:p>
    <w:p w14:paraId="40E26209" w14:textId="77777777" w:rsidR="00427659" w:rsidRPr="000774A5" w:rsidRDefault="00427659" w:rsidP="00425C31">
      <w:pPr>
        <w:widowControl/>
        <w:rPr>
          <w:rFonts w:ascii="Times New Roman" w:hAnsi="Times New Roman"/>
        </w:rPr>
      </w:pPr>
    </w:p>
    <w:p w14:paraId="47D7BBCD" w14:textId="75BFFAC8" w:rsidR="00427659" w:rsidRPr="000774A5" w:rsidRDefault="00331873" w:rsidP="00804523">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3(a)</w:t>
      </w:r>
      <w:r w:rsidR="00427659" w:rsidRPr="000774A5">
        <w:rPr>
          <w:rFonts w:ascii="Times New Roman" w:hAnsi="Times New Roman"/>
          <w:b/>
          <w:bCs/>
        </w:rPr>
        <w:tab/>
        <w:t>Non-duplication</w:t>
      </w:r>
    </w:p>
    <w:p w14:paraId="554EAE70" w14:textId="77777777" w:rsidR="006100E4" w:rsidRDefault="006100E4" w:rsidP="006100E4">
      <w:pPr>
        <w:widowControl/>
        <w:ind w:firstLine="720"/>
        <w:rPr>
          <w:rFonts w:ascii="Times New Roman" w:hAnsi="Times New Roman"/>
        </w:rPr>
      </w:pPr>
    </w:p>
    <w:p w14:paraId="3A4C7AB8" w14:textId="61C81EB3" w:rsidR="00427659" w:rsidRPr="000774A5" w:rsidRDefault="00427659" w:rsidP="006100E4">
      <w:pPr>
        <w:widowControl/>
        <w:ind w:firstLine="720"/>
        <w:rPr>
          <w:rFonts w:ascii="Times New Roman" w:hAnsi="Times New Roman"/>
        </w:rPr>
      </w:pPr>
      <w:r w:rsidRPr="000774A5">
        <w:rPr>
          <w:rFonts w:ascii="Times New Roman" w:hAnsi="Times New Roman"/>
        </w:rPr>
        <w:t xml:space="preserve">Information is being requested from and about programs mandated under Section 507 of the CAA of </w:t>
      </w:r>
      <w:r w:rsidR="0033139D" w:rsidRPr="000774A5">
        <w:rPr>
          <w:rFonts w:ascii="Times New Roman" w:hAnsi="Times New Roman"/>
        </w:rPr>
        <w:t>1990;</w:t>
      </w:r>
      <w:r w:rsidRPr="000774A5">
        <w:rPr>
          <w:rFonts w:ascii="Times New Roman" w:hAnsi="Times New Roman"/>
        </w:rPr>
        <w:t xml:space="preserve"> therefore, this information is unique to t</w:t>
      </w:r>
      <w:r w:rsidR="006A24A5" w:rsidRPr="000774A5">
        <w:rPr>
          <w:rFonts w:ascii="Times New Roman" w:hAnsi="Times New Roman"/>
        </w:rPr>
        <w:t>his collection.</w:t>
      </w:r>
      <w:r w:rsidR="00193C23">
        <w:rPr>
          <w:rFonts w:ascii="Times New Roman" w:hAnsi="Times New Roman"/>
        </w:rPr>
        <w:t xml:space="preserve">  </w:t>
      </w:r>
    </w:p>
    <w:p w14:paraId="43D41D68" w14:textId="77777777" w:rsidR="00AB4CC9" w:rsidRPr="000774A5" w:rsidRDefault="00AB4CC9" w:rsidP="00425C31">
      <w:pPr>
        <w:widowControl/>
        <w:rPr>
          <w:rFonts w:ascii="Times New Roman" w:hAnsi="Times New Roman"/>
        </w:rPr>
      </w:pPr>
    </w:p>
    <w:p w14:paraId="0B87088B" w14:textId="11570E85" w:rsidR="00427659" w:rsidRPr="000774A5" w:rsidRDefault="00331873" w:rsidP="00804523">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3(b)</w:t>
      </w:r>
      <w:r w:rsidR="00427659" w:rsidRPr="000774A5">
        <w:rPr>
          <w:rFonts w:ascii="Times New Roman" w:hAnsi="Times New Roman"/>
          <w:b/>
          <w:bCs/>
        </w:rPr>
        <w:tab/>
        <w:t>Public Notice Required Prior to ICR Submission to OMB</w:t>
      </w:r>
    </w:p>
    <w:p w14:paraId="3B78F1CD" w14:textId="77777777" w:rsidR="00AB4CC9" w:rsidRDefault="00AB4CC9" w:rsidP="0049686B">
      <w:pPr>
        <w:widowControl/>
        <w:spacing w:line="225" w:lineRule="exact"/>
        <w:ind w:left="720"/>
        <w:rPr>
          <w:rFonts w:ascii="Times New Roman" w:hAnsi="Times New Roman"/>
        </w:rPr>
      </w:pPr>
    </w:p>
    <w:p w14:paraId="565F6C60" w14:textId="34A181E6" w:rsidR="00427659" w:rsidRPr="00AB4CC9" w:rsidRDefault="00162F5A" w:rsidP="006100E4">
      <w:pPr>
        <w:widowControl/>
        <w:spacing w:line="225" w:lineRule="exact"/>
        <w:ind w:firstLine="720"/>
        <w:rPr>
          <w:rFonts w:ascii="Times New Roman" w:hAnsi="Times New Roman"/>
        </w:rPr>
      </w:pPr>
      <w:r w:rsidRPr="00162F5A">
        <w:rPr>
          <w:rFonts w:ascii="Times New Roman" w:hAnsi="Times New Roman"/>
        </w:rPr>
        <w:t xml:space="preserve">Public notice on the renewal of this ICR was published in the </w:t>
      </w:r>
      <w:r w:rsidRPr="00AB4CC9">
        <w:rPr>
          <w:rFonts w:ascii="Times New Roman" w:hAnsi="Times New Roman"/>
          <w:i/>
        </w:rPr>
        <w:t>Federal Register</w:t>
      </w:r>
      <w:r w:rsidRPr="00162F5A">
        <w:rPr>
          <w:rFonts w:ascii="Times New Roman" w:hAnsi="Times New Roman"/>
        </w:rPr>
        <w:t xml:space="preserve"> on </w:t>
      </w:r>
      <w:r w:rsidR="00D73D10">
        <w:rPr>
          <w:rFonts w:ascii="Times New Roman" w:hAnsi="Times New Roman"/>
        </w:rPr>
        <w:t>December 11, 2014</w:t>
      </w:r>
      <w:r w:rsidR="009E1D1B">
        <w:rPr>
          <w:rFonts w:ascii="Times New Roman" w:hAnsi="Times New Roman"/>
        </w:rPr>
        <w:t xml:space="preserve"> under 79</w:t>
      </w:r>
      <w:r w:rsidRPr="00162F5A">
        <w:rPr>
          <w:rFonts w:ascii="Times New Roman" w:hAnsi="Times New Roman"/>
        </w:rPr>
        <w:t xml:space="preserve"> </w:t>
      </w:r>
      <w:r w:rsidRPr="004D1D3B">
        <w:rPr>
          <w:rFonts w:ascii="Times New Roman" w:hAnsi="Times New Roman"/>
        </w:rPr>
        <w:t>FR</w:t>
      </w:r>
      <w:r w:rsidR="006100E4">
        <w:rPr>
          <w:rFonts w:ascii="Times New Roman" w:hAnsi="Times New Roman"/>
        </w:rPr>
        <w:t xml:space="preserve"> </w:t>
      </w:r>
      <w:r w:rsidR="006100E4" w:rsidRPr="006100E4">
        <w:rPr>
          <w:rStyle w:val="page"/>
          <w:rFonts w:ascii="Times New Roman" w:hAnsi="Times New Roman"/>
        </w:rPr>
        <w:t>73576</w:t>
      </w:r>
      <w:r w:rsidRPr="00162F5A">
        <w:rPr>
          <w:rFonts w:ascii="Times New Roman" w:hAnsi="Times New Roman"/>
        </w:rPr>
        <w:t xml:space="preserve">. </w:t>
      </w:r>
      <w:r w:rsidR="00427659" w:rsidRPr="0049686B">
        <w:rPr>
          <w:rFonts w:ascii="Times New Roman" w:hAnsi="Times New Roman"/>
        </w:rPr>
        <w:t>This notice indicates that the ICR is up for renewal and that public</w:t>
      </w:r>
      <w:r w:rsidR="00A9330E" w:rsidRPr="0049686B">
        <w:rPr>
          <w:rFonts w:ascii="Times New Roman" w:hAnsi="Times New Roman"/>
        </w:rPr>
        <w:t xml:space="preserve"> </w:t>
      </w:r>
      <w:r w:rsidR="00427659" w:rsidRPr="0049686B">
        <w:rPr>
          <w:rFonts w:ascii="Times New Roman" w:hAnsi="Times New Roman"/>
        </w:rPr>
        <w:lastRenderedPageBreak/>
        <w:t xml:space="preserve">comments on the previous burden estimates and any proposed changes are being sought by the EPA </w:t>
      </w:r>
      <w:r w:rsidR="009E1D1B">
        <w:rPr>
          <w:rFonts w:ascii="Times New Roman" w:hAnsi="Times New Roman"/>
        </w:rPr>
        <w:t>Office of Small Business Program, which the ASBO is located under</w:t>
      </w:r>
      <w:r w:rsidR="00427659" w:rsidRPr="0049686B">
        <w:rPr>
          <w:rFonts w:ascii="Times New Roman" w:hAnsi="Times New Roman"/>
        </w:rPr>
        <w:t>.</w:t>
      </w:r>
      <w:r w:rsidR="00193C23" w:rsidRPr="0049686B">
        <w:rPr>
          <w:rFonts w:ascii="Times New Roman" w:hAnsi="Times New Roman"/>
        </w:rPr>
        <w:t xml:space="preserve"> </w:t>
      </w:r>
      <w:bookmarkStart w:id="0" w:name="_GoBack"/>
      <w:bookmarkEnd w:id="0"/>
      <w:r w:rsidR="000D1AD7">
        <w:rPr>
          <w:rFonts w:ascii="Times New Roman" w:hAnsi="Times New Roman"/>
        </w:rPr>
        <w:t xml:space="preserve">There were no comments received. </w:t>
      </w:r>
    </w:p>
    <w:p w14:paraId="25CD7B57" w14:textId="77777777" w:rsidR="00427659" w:rsidRPr="000774A5" w:rsidRDefault="00427659" w:rsidP="00425C31">
      <w:pPr>
        <w:widowControl/>
        <w:rPr>
          <w:rFonts w:ascii="Times New Roman" w:hAnsi="Times New Roman"/>
        </w:rPr>
      </w:pPr>
    </w:p>
    <w:p w14:paraId="570171A0" w14:textId="4A03C2F7" w:rsidR="00427659" w:rsidRPr="000774A5" w:rsidRDefault="006100E4" w:rsidP="00804523">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3(c)</w:t>
      </w:r>
      <w:r w:rsidR="00427659" w:rsidRPr="000774A5">
        <w:rPr>
          <w:rFonts w:ascii="Times New Roman" w:hAnsi="Times New Roman"/>
          <w:b/>
          <w:bCs/>
        </w:rPr>
        <w:tab/>
        <w:t>Consultations</w:t>
      </w:r>
    </w:p>
    <w:p w14:paraId="3DF680AA" w14:textId="77777777" w:rsidR="00AB4CC9" w:rsidRDefault="00AB4CC9" w:rsidP="00233C4B">
      <w:pPr>
        <w:widowControl/>
        <w:ind w:left="720"/>
        <w:rPr>
          <w:rFonts w:ascii="Times New Roman" w:hAnsi="Times New Roman"/>
        </w:rPr>
      </w:pPr>
    </w:p>
    <w:p w14:paraId="2B02EF17" w14:textId="7DB61FEB" w:rsidR="00427659" w:rsidRPr="000774A5" w:rsidRDefault="00427659" w:rsidP="006100E4">
      <w:pPr>
        <w:widowControl/>
        <w:ind w:firstLine="720"/>
        <w:rPr>
          <w:rFonts w:ascii="Times New Roman" w:hAnsi="Times New Roman"/>
        </w:rPr>
      </w:pPr>
      <w:r w:rsidRPr="000774A5">
        <w:rPr>
          <w:rFonts w:ascii="Times New Roman" w:hAnsi="Times New Roman"/>
        </w:rPr>
        <w:t xml:space="preserve">In preparing this ICR and in revising the Reporting Form, the EPA </w:t>
      </w:r>
      <w:r w:rsidR="009E1D1B">
        <w:rPr>
          <w:rFonts w:ascii="Times New Roman" w:hAnsi="Times New Roman"/>
        </w:rPr>
        <w:t>A</w:t>
      </w:r>
      <w:r w:rsidRPr="000774A5">
        <w:rPr>
          <w:rFonts w:ascii="Times New Roman" w:hAnsi="Times New Roman"/>
        </w:rPr>
        <w:t xml:space="preserve">SBO </w:t>
      </w:r>
      <w:r w:rsidR="008A3838" w:rsidRPr="000774A5">
        <w:rPr>
          <w:rFonts w:ascii="Times New Roman" w:hAnsi="Times New Roman"/>
        </w:rPr>
        <w:t xml:space="preserve">worked with a </w:t>
      </w:r>
      <w:r w:rsidR="009E1D1B">
        <w:rPr>
          <w:rFonts w:ascii="Times New Roman" w:hAnsi="Times New Roman"/>
        </w:rPr>
        <w:t>group of staff that were willing to discuss the data collection forms and possible ways to improve its efficiency.</w:t>
      </w:r>
      <w:r w:rsidR="000D1AD7">
        <w:rPr>
          <w:rFonts w:ascii="Times New Roman" w:hAnsi="Times New Roman"/>
        </w:rPr>
        <w:t xml:space="preserve"> </w:t>
      </w:r>
      <w:r w:rsidR="008A3838" w:rsidRPr="000774A5">
        <w:rPr>
          <w:rFonts w:ascii="Times New Roman" w:hAnsi="Times New Roman"/>
        </w:rPr>
        <w:t>The subcommittee</w:t>
      </w:r>
      <w:r w:rsidRPr="000774A5">
        <w:rPr>
          <w:rFonts w:ascii="Times New Roman" w:hAnsi="Times New Roman"/>
        </w:rPr>
        <w:t xml:space="preserve"> consist</w:t>
      </w:r>
      <w:r w:rsidR="008A3838" w:rsidRPr="000774A5">
        <w:rPr>
          <w:rFonts w:ascii="Times New Roman" w:hAnsi="Times New Roman"/>
        </w:rPr>
        <w:t>ed</w:t>
      </w:r>
      <w:r w:rsidRPr="000774A5">
        <w:rPr>
          <w:rFonts w:ascii="Times New Roman" w:hAnsi="Times New Roman"/>
        </w:rPr>
        <w:t xml:space="preserve"> of represen</w:t>
      </w:r>
      <w:r w:rsidR="000D1AD7">
        <w:rPr>
          <w:rFonts w:ascii="Times New Roman" w:hAnsi="Times New Roman"/>
        </w:rPr>
        <w:t xml:space="preserve">tatives from the 507 programs. </w:t>
      </w:r>
      <w:r w:rsidRPr="000774A5">
        <w:rPr>
          <w:rFonts w:ascii="Times New Roman" w:hAnsi="Times New Roman"/>
        </w:rPr>
        <w:t>T</w:t>
      </w:r>
      <w:r w:rsidR="005F383E">
        <w:rPr>
          <w:rFonts w:ascii="Times New Roman" w:hAnsi="Times New Roman"/>
        </w:rPr>
        <w:t xml:space="preserve">he following were contacted: </w:t>
      </w:r>
    </w:p>
    <w:p w14:paraId="2A9B2005" w14:textId="77777777" w:rsidR="00427659" w:rsidRPr="000774A5" w:rsidRDefault="00427659" w:rsidP="00425C31">
      <w:pPr>
        <w:widowControl/>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680"/>
      </w:tblGrid>
      <w:tr w:rsidR="008A3838" w:rsidRPr="00766FCA" w14:paraId="0E1159CF" w14:textId="77777777" w:rsidTr="00233C4B">
        <w:trPr>
          <w:jc w:val="center"/>
        </w:trPr>
        <w:tc>
          <w:tcPr>
            <w:tcW w:w="4788" w:type="dxa"/>
          </w:tcPr>
          <w:p w14:paraId="1C28316A" w14:textId="11B641E0" w:rsidR="008A3838" w:rsidRPr="006100E4" w:rsidRDefault="009E1D1B" w:rsidP="00425C31">
            <w:pPr>
              <w:rPr>
                <w:rFonts w:ascii="Times New Roman" w:hAnsi="Times New Roman"/>
              </w:rPr>
            </w:pPr>
            <w:r w:rsidRPr="006100E4">
              <w:rPr>
                <w:rFonts w:ascii="Times New Roman" w:hAnsi="Times New Roman"/>
              </w:rPr>
              <w:t>Tony Pendola</w:t>
            </w:r>
            <w:r w:rsidR="004D1D3B" w:rsidRPr="006100E4">
              <w:rPr>
                <w:rFonts w:ascii="Times New Roman" w:hAnsi="Times New Roman"/>
              </w:rPr>
              <w:t>, North Carolina, Small Business Ombudsman</w:t>
            </w:r>
          </w:p>
        </w:tc>
        <w:tc>
          <w:tcPr>
            <w:tcW w:w="4680" w:type="dxa"/>
          </w:tcPr>
          <w:p w14:paraId="4CFC81EE" w14:textId="3952CB2A" w:rsidR="008A3838" w:rsidRPr="006100E4" w:rsidRDefault="00BA7FBB" w:rsidP="00BA7FBB">
            <w:pPr>
              <w:rPr>
                <w:rFonts w:ascii="Times New Roman" w:hAnsi="Times New Roman"/>
              </w:rPr>
            </w:pPr>
            <w:r w:rsidRPr="006100E4">
              <w:rPr>
                <w:rFonts w:ascii="Times New Roman" w:hAnsi="Times New Roman"/>
              </w:rPr>
              <w:t>919-</w:t>
            </w:r>
            <w:r w:rsidR="00657687" w:rsidRPr="006100E4">
              <w:rPr>
                <w:rFonts w:ascii="Times New Roman" w:hAnsi="Times New Roman"/>
              </w:rPr>
              <w:t>707-8112, tony.pendola@ncdenr.gov</w:t>
            </w:r>
          </w:p>
        </w:tc>
      </w:tr>
      <w:tr w:rsidR="008A3838" w:rsidRPr="00766FCA" w14:paraId="352FF5D4" w14:textId="77777777" w:rsidTr="00233C4B">
        <w:trPr>
          <w:jc w:val="center"/>
        </w:trPr>
        <w:tc>
          <w:tcPr>
            <w:tcW w:w="4788" w:type="dxa"/>
          </w:tcPr>
          <w:p w14:paraId="4AAF2594" w14:textId="22BD403C" w:rsidR="008A3838" w:rsidRPr="006100E4" w:rsidRDefault="009E1D1B" w:rsidP="00425C31">
            <w:pPr>
              <w:rPr>
                <w:rFonts w:ascii="Times New Roman" w:hAnsi="Times New Roman"/>
              </w:rPr>
            </w:pPr>
            <w:r w:rsidRPr="006100E4">
              <w:rPr>
                <w:rFonts w:ascii="Times New Roman" w:hAnsi="Times New Roman"/>
              </w:rPr>
              <w:t>Sara</w:t>
            </w:r>
            <w:r w:rsidR="004D1D3B" w:rsidRPr="006100E4">
              <w:rPr>
                <w:rFonts w:ascii="Times New Roman" w:hAnsi="Times New Roman"/>
              </w:rPr>
              <w:t xml:space="preserve"> Johnson, New Hampshire Small Business Ombudsman/Small Business Environmental Assistance Provider</w:t>
            </w:r>
          </w:p>
        </w:tc>
        <w:tc>
          <w:tcPr>
            <w:tcW w:w="4680" w:type="dxa"/>
          </w:tcPr>
          <w:p w14:paraId="3C416E44" w14:textId="77777777" w:rsidR="008A3838" w:rsidRPr="006100E4" w:rsidRDefault="009E1D1B" w:rsidP="00425C31">
            <w:pPr>
              <w:rPr>
                <w:rFonts w:ascii="Times New Roman" w:hAnsi="Times New Roman"/>
              </w:rPr>
            </w:pPr>
            <w:r w:rsidRPr="006100E4">
              <w:rPr>
                <w:rFonts w:ascii="Times New Roman" w:hAnsi="Times New Roman"/>
              </w:rPr>
              <w:t xml:space="preserve">603-271-1379, sara.johnson@des.nh.gov  </w:t>
            </w:r>
          </w:p>
        </w:tc>
      </w:tr>
      <w:tr w:rsidR="008A3838" w:rsidRPr="00766FCA" w14:paraId="7F7A0951" w14:textId="77777777" w:rsidTr="00233C4B">
        <w:trPr>
          <w:jc w:val="center"/>
        </w:trPr>
        <w:tc>
          <w:tcPr>
            <w:tcW w:w="4788" w:type="dxa"/>
          </w:tcPr>
          <w:p w14:paraId="0BF698AA" w14:textId="4F027B1C" w:rsidR="008A3838" w:rsidRPr="006100E4" w:rsidRDefault="009E1D1B" w:rsidP="00425C31">
            <w:pPr>
              <w:rPr>
                <w:rFonts w:ascii="Times New Roman" w:hAnsi="Times New Roman"/>
              </w:rPr>
            </w:pPr>
            <w:r w:rsidRPr="006100E4">
              <w:rPr>
                <w:rFonts w:ascii="Times New Roman" w:hAnsi="Times New Roman"/>
              </w:rPr>
              <w:t xml:space="preserve">Donavan </w:t>
            </w:r>
            <w:proofErr w:type="spellStart"/>
            <w:r w:rsidRPr="006100E4">
              <w:rPr>
                <w:rFonts w:ascii="Times New Roman" w:hAnsi="Times New Roman"/>
              </w:rPr>
              <w:t>Grimwood</w:t>
            </w:r>
            <w:proofErr w:type="spellEnd"/>
            <w:r w:rsidR="004D1D3B" w:rsidRPr="006100E4">
              <w:rPr>
                <w:rFonts w:ascii="Times New Roman" w:hAnsi="Times New Roman"/>
              </w:rPr>
              <w:t>, Tennessee Small Business Environmental Assistance Provider</w:t>
            </w:r>
          </w:p>
        </w:tc>
        <w:tc>
          <w:tcPr>
            <w:tcW w:w="4680" w:type="dxa"/>
          </w:tcPr>
          <w:p w14:paraId="0E4B72A6" w14:textId="77777777" w:rsidR="008A3838" w:rsidRPr="006100E4" w:rsidRDefault="00657687" w:rsidP="00425C31">
            <w:pPr>
              <w:rPr>
                <w:rFonts w:ascii="Times New Roman" w:hAnsi="Times New Roman"/>
              </w:rPr>
            </w:pPr>
            <w:r w:rsidRPr="006100E4">
              <w:rPr>
                <w:rFonts w:ascii="Times New Roman" w:hAnsi="Times New Roman"/>
              </w:rPr>
              <w:t xml:space="preserve">615-532-4966, </w:t>
            </w:r>
            <w:r w:rsidR="009E1D1B" w:rsidRPr="006100E4">
              <w:rPr>
                <w:rFonts w:ascii="Times New Roman" w:hAnsi="Times New Roman"/>
              </w:rPr>
              <w:t>Donavan.Grimwood@tn.gov</w:t>
            </w:r>
          </w:p>
        </w:tc>
      </w:tr>
      <w:tr w:rsidR="008A3838" w:rsidRPr="00766FCA" w14:paraId="2993AFBC" w14:textId="77777777" w:rsidTr="00233C4B">
        <w:trPr>
          <w:jc w:val="center"/>
        </w:trPr>
        <w:tc>
          <w:tcPr>
            <w:tcW w:w="4788" w:type="dxa"/>
          </w:tcPr>
          <w:p w14:paraId="07C45F6A" w14:textId="4009549D" w:rsidR="008A3838" w:rsidRPr="006100E4" w:rsidRDefault="004D1D3B" w:rsidP="00425C31">
            <w:pPr>
              <w:rPr>
                <w:rFonts w:ascii="Times New Roman" w:hAnsi="Times New Roman"/>
              </w:rPr>
            </w:pPr>
            <w:r w:rsidRPr="006100E4">
              <w:rPr>
                <w:rFonts w:ascii="Times New Roman" w:hAnsi="Times New Roman"/>
              </w:rPr>
              <w:t xml:space="preserve">Christine </w:t>
            </w:r>
            <w:proofErr w:type="spellStart"/>
            <w:r w:rsidRPr="006100E4">
              <w:rPr>
                <w:rFonts w:ascii="Times New Roman" w:hAnsi="Times New Roman"/>
              </w:rPr>
              <w:t>Hoefler</w:t>
            </w:r>
            <w:proofErr w:type="spellEnd"/>
            <w:r w:rsidRPr="006100E4">
              <w:rPr>
                <w:rFonts w:ascii="Times New Roman" w:hAnsi="Times New Roman"/>
              </w:rPr>
              <w:t>, Colorado Small Business Environmental Assistance Provider</w:t>
            </w:r>
          </w:p>
        </w:tc>
        <w:tc>
          <w:tcPr>
            <w:tcW w:w="4680" w:type="dxa"/>
          </w:tcPr>
          <w:p w14:paraId="138D2A12" w14:textId="77777777" w:rsidR="008A3838" w:rsidRPr="006100E4" w:rsidRDefault="008A3838" w:rsidP="00425C31">
            <w:pPr>
              <w:rPr>
                <w:rFonts w:ascii="Times New Roman" w:hAnsi="Times New Roman"/>
              </w:rPr>
            </w:pPr>
            <w:r w:rsidRPr="006100E4">
              <w:rPr>
                <w:rFonts w:ascii="Times New Roman" w:hAnsi="Times New Roman"/>
              </w:rPr>
              <w:t xml:space="preserve">303-692-3148, christine.hoefler@state.co.us  </w:t>
            </w:r>
          </w:p>
        </w:tc>
      </w:tr>
    </w:tbl>
    <w:p w14:paraId="07B0BCF9" w14:textId="77777777" w:rsidR="0005728C" w:rsidRPr="000774A5" w:rsidRDefault="0005728C" w:rsidP="00425C31">
      <w:pPr>
        <w:widowControl/>
        <w:tabs>
          <w:tab w:val="left" w:pos="-1440"/>
        </w:tabs>
        <w:ind w:left="720" w:hanging="720"/>
        <w:rPr>
          <w:rFonts w:ascii="Times New Roman" w:hAnsi="Times New Roman"/>
        </w:rPr>
      </w:pPr>
    </w:p>
    <w:p w14:paraId="062565EC" w14:textId="6D678D91" w:rsidR="005528FB" w:rsidRPr="005528FB" w:rsidRDefault="00EC1750" w:rsidP="006100E4">
      <w:pPr>
        <w:widowControl/>
        <w:ind w:firstLine="720"/>
        <w:rPr>
          <w:rFonts w:ascii="Times New Roman" w:hAnsi="Times New Roman"/>
        </w:rPr>
      </w:pPr>
      <w:r>
        <w:rPr>
          <w:rFonts w:ascii="Times New Roman" w:hAnsi="Times New Roman"/>
        </w:rPr>
        <w:t>Those listed above were provided the</w:t>
      </w:r>
      <w:r w:rsidRPr="00EC1750">
        <w:rPr>
          <w:rFonts w:ascii="Times New Roman" w:hAnsi="Times New Roman"/>
        </w:rPr>
        <w:t xml:space="preserve"> opportunity to comment on the burden associated with the standard</w:t>
      </w:r>
      <w:r w:rsidR="00AB4CC9">
        <w:rPr>
          <w:rFonts w:ascii="Times New Roman" w:hAnsi="Times New Roman"/>
        </w:rPr>
        <w:t xml:space="preserve">. </w:t>
      </w:r>
      <w:r>
        <w:rPr>
          <w:rFonts w:ascii="Times New Roman" w:hAnsi="Times New Roman"/>
        </w:rPr>
        <w:t>T</w:t>
      </w:r>
      <w:r w:rsidR="00955A16" w:rsidRPr="00EC1750">
        <w:rPr>
          <w:rFonts w:ascii="Times New Roman" w:hAnsi="Times New Roman"/>
        </w:rPr>
        <w:t xml:space="preserve">he general </w:t>
      </w:r>
      <w:r w:rsidR="00AB4CC9">
        <w:rPr>
          <w:rFonts w:ascii="Times New Roman" w:hAnsi="Times New Roman"/>
        </w:rPr>
        <w:t xml:space="preserve">consensus was that the </w:t>
      </w:r>
      <w:r w:rsidR="00955A16" w:rsidRPr="00EC1750">
        <w:rPr>
          <w:rFonts w:ascii="Times New Roman" w:hAnsi="Times New Roman"/>
        </w:rPr>
        <w:t>current collection form adequately captures the program metrics for the majority of assistance efforts.</w:t>
      </w:r>
      <w:r>
        <w:rPr>
          <w:rFonts w:ascii="Times New Roman" w:hAnsi="Times New Roman"/>
        </w:rPr>
        <w:t xml:space="preserve">  </w:t>
      </w:r>
    </w:p>
    <w:p w14:paraId="44449DDB" w14:textId="77777777" w:rsidR="00C66FF4" w:rsidRPr="000774A5" w:rsidRDefault="00C66FF4" w:rsidP="00425C31">
      <w:pPr>
        <w:widowControl/>
        <w:rPr>
          <w:rFonts w:ascii="Times New Roman" w:hAnsi="Times New Roman"/>
        </w:rPr>
      </w:pPr>
    </w:p>
    <w:p w14:paraId="31DE1E88" w14:textId="4CDA645F" w:rsidR="00427659" w:rsidRPr="000774A5" w:rsidRDefault="00331873" w:rsidP="00804523">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3(d)</w:t>
      </w:r>
      <w:r w:rsidR="00427659" w:rsidRPr="000774A5">
        <w:rPr>
          <w:rFonts w:ascii="Times New Roman" w:hAnsi="Times New Roman"/>
          <w:b/>
          <w:bCs/>
        </w:rPr>
        <w:tab/>
        <w:t>Effects of Less Frequent Collection</w:t>
      </w:r>
    </w:p>
    <w:p w14:paraId="7149670D" w14:textId="77777777" w:rsidR="00331873" w:rsidRDefault="00331873" w:rsidP="00284E65">
      <w:pPr>
        <w:widowControl/>
        <w:ind w:left="720"/>
        <w:rPr>
          <w:rFonts w:ascii="Times New Roman" w:hAnsi="Times New Roman"/>
        </w:rPr>
      </w:pPr>
    </w:p>
    <w:p w14:paraId="31461E53" w14:textId="79210934" w:rsidR="00427659" w:rsidRPr="000774A5" w:rsidRDefault="00427659" w:rsidP="006100E4">
      <w:pPr>
        <w:widowControl/>
        <w:ind w:firstLine="720"/>
        <w:rPr>
          <w:rFonts w:ascii="Times New Roman" w:hAnsi="Times New Roman"/>
        </w:rPr>
      </w:pPr>
      <w:r w:rsidRPr="000774A5">
        <w:rPr>
          <w:rFonts w:ascii="Times New Roman" w:hAnsi="Times New Roman"/>
        </w:rPr>
        <w:t>The submission of this information on less than an</w:t>
      </w:r>
      <w:r w:rsidR="00657687">
        <w:rPr>
          <w:rFonts w:ascii="Times New Roman" w:hAnsi="Times New Roman"/>
        </w:rPr>
        <w:t xml:space="preserve"> annual basis will make it difficult for EPA </w:t>
      </w:r>
      <w:r w:rsidR="00AB4CC9">
        <w:rPr>
          <w:rFonts w:ascii="Times New Roman" w:hAnsi="Times New Roman"/>
        </w:rPr>
        <w:t>t</w:t>
      </w:r>
      <w:r w:rsidR="00657687">
        <w:rPr>
          <w:rFonts w:ascii="Times New Roman" w:hAnsi="Times New Roman"/>
        </w:rPr>
        <w:t>o monitor and adequately report on the effectiveness of the program which is outlined under</w:t>
      </w:r>
      <w:r w:rsidR="00331873">
        <w:rPr>
          <w:rFonts w:ascii="Times New Roman" w:hAnsi="Times New Roman"/>
        </w:rPr>
        <w:t xml:space="preserve"> Section 507 of the CAA. </w:t>
      </w:r>
      <w:r w:rsidRPr="000774A5">
        <w:rPr>
          <w:rFonts w:ascii="Times New Roman" w:hAnsi="Times New Roman"/>
        </w:rPr>
        <w:t xml:space="preserve">Annual reporting assures </w:t>
      </w:r>
      <w:r w:rsidR="00AB4CC9">
        <w:rPr>
          <w:rFonts w:ascii="Times New Roman" w:hAnsi="Times New Roman"/>
        </w:rPr>
        <w:t xml:space="preserve">uniformity and consistency. </w:t>
      </w:r>
      <w:r w:rsidR="00657687">
        <w:rPr>
          <w:rFonts w:ascii="Times New Roman" w:hAnsi="Times New Roman"/>
        </w:rPr>
        <w:t>Many of</w:t>
      </w:r>
      <w:r w:rsidRPr="000774A5">
        <w:rPr>
          <w:rFonts w:ascii="Times New Roman" w:hAnsi="Times New Roman"/>
        </w:rPr>
        <w:t xml:space="preserve"> the states </w:t>
      </w:r>
      <w:r w:rsidR="00782578">
        <w:rPr>
          <w:rFonts w:ascii="Times New Roman" w:hAnsi="Times New Roman"/>
        </w:rPr>
        <w:t xml:space="preserve">also </w:t>
      </w:r>
      <w:r w:rsidRPr="000774A5">
        <w:rPr>
          <w:rFonts w:ascii="Times New Roman" w:hAnsi="Times New Roman"/>
        </w:rPr>
        <w:t xml:space="preserve">use their annual </w:t>
      </w:r>
      <w:r w:rsidR="00657687">
        <w:rPr>
          <w:rFonts w:ascii="Times New Roman" w:hAnsi="Times New Roman"/>
        </w:rPr>
        <w:t xml:space="preserve">data collected from the EPA SBO </w:t>
      </w:r>
      <w:r w:rsidRPr="000774A5">
        <w:rPr>
          <w:rFonts w:ascii="Times New Roman" w:hAnsi="Times New Roman"/>
        </w:rPr>
        <w:t xml:space="preserve">report </w:t>
      </w:r>
      <w:r w:rsidR="00657687">
        <w:rPr>
          <w:rFonts w:ascii="Times New Roman" w:hAnsi="Times New Roman"/>
        </w:rPr>
        <w:t>form to organize and communicate their effectiveness and program success to their</w:t>
      </w:r>
      <w:r w:rsidRPr="000774A5">
        <w:rPr>
          <w:rFonts w:ascii="Times New Roman" w:hAnsi="Times New Roman"/>
        </w:rPr>
        <w:t xml:space="preserve"> management </w:t>
      </w:r>
      <w:r w:rsidR="00657687">
        <w:rPr>
          <w:rFonts w:ascii="Times New Roman" w:hAnsi="Times New Roman"/>
        </w:rPr>
        <w:t xml:space="preserve">and overall promotion </w:t>
      </w:r>
      <w:r w:rsidRPr="000774A5">
        <w:rPr>
          <w:rFonts w:ascii="Times New Roman" w:hAnsi="Times New Roman"/>
        </w:rPr>
        <w:t>within the</w:t>
      </w:r>
      <w:r w:rsidR="00657687">
        <w:rPr>
          <w:rFonts w:ascii="Times New Roman" w:hAnsi="Times New Roman"/>
        </w:rPr>
        <w:t>ir own</w:t>
      </w:r>
      <w:r w:rsidRPr="000774A5">
        <w:rPr>
          <w:rFonts w:ascii="Times New Roman" w:hAnsi="Times New Roman"/>
        </w:rPr>
        <w:t xml:space="preserve"> state.</w:t>
      </w:r>
    </w:p>
    <w:p w14:paraId="6A06249A" w14:textId="77777777" w:rsidR="00427659" w:rsidRPr="000774A5" w:rsidRDefault="00427659" w:rsidP="00425C31">
      <w:pPr>
        <w:widowControl/>
        <w:rPr>
          <w:rFonts w:ascii="Times New Roman" w:hAnsi="Times New Roman"/>
        </w:rPr>
      </w:pPr>
    </w:p>
    <w:p w14:paraId="08B7089B" w14:textId="1E130FA8" w:rsidR="00427659" w:rsidRPr="000774A5" w:rsidRDefault="00331873" w:rsidP="00804523">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3(e)</w:t>
      </w:r>
      <w:r w:rsidR="00427659" w:rsidRPr="000774A5">
        <w:rPr>
          <w:rFonts w:ascii="Times New Roman" w:hAnsi="Times New Roman"/>
          <w:b/>
          <w:bCs/>
        </w:rPr>
        <w:tab/>
        <w:t>General Guidelines</w:t>
      </w:r>
    </w:p>
    <w:p w14:paraId="6CDB6DAB" w14:textId="77777777" w:rsidR="006100E4" w:rsidRDefault="006100E4" w:rsidP="006100E4">
      <w:pPr>
        <w:widowControl/>
        <w:rPr>
          <w:rFonts w:ascii="Times New Roman" w:hAnsi="Times New Roman"/>
        </w:rPr>
      </w:pPr>
    </w:p>
    <w:p w14:paraId="09AD8A6B" w14:textId="1D7000CD" w:rsidR="005F383E" w:rsidRDefault="005F383E" w:rsidP="006100E4">
      <w:pPr>
        <w:widowControl/>
        <w:ind w:firstLine="720"/>
        <w:rPr>
          <w:rFonts w:ascii="Times New Roman" w:hAnsi="Times New Roman"/>
        </w:rPr>
      </w:pPr>
      <w:r>
        <w:rPr>
          <w:rFonts w:ascii="Times New Roman" w:hAnsi="Times New Roman"/>
        </w:rPr>
        <w:t>These reporting or recordkeeping requirements do not violate any of the regulations promulgated by OMB under 5 CFR Part 1320, Section 1320.5.</w:t>
      </w:r>
    </w:p>
    <w:p w14:paraId="61A3DAC0" w14:textId="77777777" w:rsidR="005F383E" w:rsidRDefault="005F383E" w:rsidP="00284E65">
      <w:pPr>
        <w:widowControl/>
        <w:ind w:left="720"/>
        <w:rPr>
          <w:rFonts w:ascii="Times New Roman" w:hAnsi="Times New Roman"/>
        </w:rPr>
      </w:pPr>
    </w:p>
    <w:p w14:paraId="3D7AF825" w14:textId="5C4C69E9" w:rsidR="00427659" w:rsidRPr="000774A5" w:rsidRDefault="00331873" w:rsidP="00766FCA">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3(f)</w:t>
      </w:r>
      <w:r w:rsidR="00427659" w:rsidRPr="000774A5">
        <w:rPr>
          <w:rFonts w:ascii="Times New Roman" w:hAnsi="Times New Roman"/>
          <w:b/>
          <w:bCs/>
        </w:rPr>
        <w:tab/>
        <w:t>Confidentiality</w:t>
      </w:r>
      <w:r w:rsidR="0049686B">
        <w:rPr>
          <w:rFonts w:ascii="Times New Roman" w:hAnsi="Times New Roman"/>
          <w:b/>
          <w:bCs/>
        </w:rPr>
        <w:t>/Sensitive Questions</w:t>
      </w:r>
    </w:p>
    <w:p w14:paraId="16F3CD2A" w14:textId="77777777" w:rsidR="000F0106" w:rsidRDefault="000F0106" w:rsidP="00AB4CC9">
      <w:pPr>
        <w:widowControl/>
        <w:ind w:left="720" w:firstLine="720"/>
        <w:rPr>
          <w:rFonts w:ascii="Times New Roman" w:hAnsi="Times New Roman"/>
        </w:rPr>
      </w:pPr>
    </w:p>
    <w:p w14:paraId="318E8AB2" w14:textId="6F6FB72D" w:rsidR="00427659" w:rsidRPr="000774A5" w:rsidRDefault="00427659" w:rsidP="006100E4">
      <w:pPr>
        <w:widowControl/>
        <w:ind w:firstLine="720"/>
        <w:rPr>
          <w:rFonts w:ascii="Times New Roman" w:hAnsi="Times New Roman"/>
        </w:rPr>
      </w:pPr>
      <w:r w:rsidRPr="000774A5">
        <w:rPr>
          <w:rFonts w:ascii="Times New Roman" w:hAnsi="Times New Roman"/>
        </w:rPr>
        <w:t xml:space="preserve">Information in the Annual Report is aggregated and is not </w:t>
      </w:r>
      <w:r w:rsidR="004D1D3B" w:rsidRPr="000774A5">
        <w:rPr>
          <w:rFonts w:ascii="Times New Roman" w:hAnsi="Times New Roman"/>
        </w:rPr>
        <w:t>of confidential</w:t>
      </w:r>
      <w:r w:rsidR="000D1AD7">
        <w:rPr>
          <w:rFonts w:ascii="Times New Roman" w:hAnsi="Times New Roman"/>
        </w:rPr>
        <w:t xml:space="preserve"> nature. </w:t>
      </w:r>
      <w:r w:rsidRPr="000774A5">
        <w:rPr>
          <w:rFonts w:ascii="Times New Roman" w:hAnsi="Times New Roman"/>
        </w:rPr>
        <w:t>None of the information collected by this action results in or requests sensitive information of any nature</w:t>
      </w:r>
      <w:r w:rsidR="005F383E">
        <w:rPr>
          <w:rFonts w:ascii="Times New Roman" w:hAnsi="Times New Roman"/>
        </w:rPr>
        <w:t>.</w:t>
      </w:r>
      <w:r w:rsidRPr="000774A5">
        <w:rPr>
          <w:rFonts w:ascii="Times New Roman" w:hAnsi="Times New Roman"/>
        </w:rPr>
        <w:t xml:space="preserve"> </w:t>
      </w:r>
    </w:p>
    <w:p w14:paraId="446B8DAE" w14:textId="77777777" w:rsidR="0050454E" w:rsidRDefault="0050454E" w:rsidP="00425C31">
      <w:pPr>
        <w:widowControl/>
        <w:rPr>
          <w:rFonts w:ascii="Times New Roman" w:hAnsi="Times New Roman"/>
        </w:rPr>
      </w:pPr>
    </w:p>
    <w:p w14:paraId="1625F916" w14:textId="77777777" w:rsidR="006100E4" w:rsidRDefault="006100E4" w:rsidP="00425C31">
      <w:pPr>
        <w:widowControl/>
        <w:rPr>
          <w:rFonts w:ascii="Times New Roman" w:hAnsi="Times New Roman"/>
        </w:rPr>
      </w:pPr>
    </w:p>
    <w:p w14:paraId="49D186AD" w14:textId="77777777" w:rsidR="006100E4" w:rsidRDefault="006100E4" w:rsidP="00425C31">
      <w:pPr>
        <w:widowControl/>
        <w:rPr>
          <w:rFonts w:ascii="Times New Roman" w:hAnsi="Times New Roman"/>
        </w:rPr>
      </w:pPr>
    </w:p>
    <w:p w14:paraId="062871D8" w14:textId="77777777" w:rsidR="006100E4" w:rsidRPr="000774A5" w:rsidRDefault="006100E4" w:rsidP="00425C31">
      <w:pPr>
        <w:widowControl/>
        <w:rPr>
          <w:rFonts w:ascii="Times New Roman" w:hAnsi="Times New Roman"/>
        </w:rPr>
      </w:pPr>
    </w:p>
    <w:p w14:paraId="6D271CD5" w14:textId="77777777" w:rsidR="00427659" w:rsidRPr="000774A5" w:rsidRDefault="00427659" w:rsidP="00425C31">
      <w:pPr>
        <w:widowControl/>
        <w:tabs>
          <w:tab w:val="left" w:pos="-1440"/>
        </w:tabs>
        <w:ind w:left="720" w:hanging="720"/>
        <w:rPr>
          <w:rFonts w:ascii="Times New Roman" w:hAnsi="Times New Roman"/>
          <w:b/>
          <w:bCs/>
        </w:rPr>
      </w:pPr>
      <w:r w:rsidRPr="000774A5">
        <w:rPr>
          <w:rFonts w:ascii="Times New Roman" w:hAnsi="Times New Roman"/>
          <w:b/>
          <w:bCs/>
        </w:rPr>
        <w:lastRenderedPageBreak/>
        <w:t>4.</w:t>
      </w:r>
      <w:r w:rsidRPr="000774A5">
        <w:rPr>
          <w:rFonts w:ascii="Times New Roman" w:hAnsi="Times New Roman"/>
          <w:b/>
          <w:bCs/>
        </w:rPr>
        <w:tab/>
        <w:t>THE RESPONDENTS AND THE INFORMATION REQUESTED</w:t>
      </w:r>
    </w:p>
    <w:p w14:paraId="108A024E" w14:textId="77777777" w:rsidR="00427659" w:rsidRPr="000774A5" w:rsidRDefault="00427659" w:rsidP="00425C31">
      <w:pPr>
        <w:widowControl/>
        <w:rPr>
          <w:rFonts w:ascii="Times New Roman" w:hAnsi="Times New Roman"/>
        </w:rPr>
      </w:pPr>
    </w:p>
    <w:p w14:paraId="1987259B" w14:textId="390B37FA" w:rsidR="00427659" w:rsidRPr="000774A5" w:rsidRDefault="006100E4" w:rsidP="00766FCA">
      <w:pPr>
        <w:widowControl/>
        <w:tabs>
          <w:tab w:val="left" w:pos="-1440"/>
        </w:tabs>
        <w:ind w:left="720" w:hanging="720"/>
        <w:rPr>
          <w:rFonts w:ascii="Times New Roman" w:hAnsi="Times New Roman"/>
        </w:rPr>
      </w:pPr>
      <w:r>
        <w:rPr>
          <w:rFonts w:ascii="Times New Roman" w:hAnsi="Times New Roman"/>
          <w:b/>
          <w:bCs/>
        </w:rPr>
        <w:tab/>
      </w:r>
      <w:r w:rsidR="00427659" w:rsidRPr="000774A5">
        <w:rPr>
          <w:rFonts w:ascii="Times New Roman" w:hAnsi="Times New Roman"/>
          <w:b/>
          <w:bCs/>
        </w:rPr>
        <w:t>4(a)</w:t>
      </w:r>
      <w:r w:rsidR="00427659" w:rsidRPr="000774A5">
        <w:rPr>
          <w:rFonts w:ascii="Times New Roman" w:hAnsi="Times New Roman"/>
          <w:b/>
          <w:bCs/>
        </w:rPr>
        <w:tab/>
        <w:t>Respondents/SIC Codes</w:t>
      </w:r>
    </w:p>
    <w:p w14:paraId="4F595529" w14:textId="77777777" w:rsidR="00331873" w:rsidRDefault="00331873" w:rsidP="00193C23">
      <w:pPr>
        <w:widowControl/>
        <w:ind w:left="720"/>
        <w:rPr>
          <w:rFonts w:ascii="Times New Roman" w:hAnsi="Times New Roman"/>
        </w:rPr>
      </w:pPr>
    </w:p>
    <w:p w14:paraId="70BA78C8" w14:textId="1B335ECF" w:rsidR="00427659" w:rsidRDefault="004D1D3B" w:rsidP="00193C23">
      <w:pPr>
        <w:widowControl/>
        <w:ind w:left="720"/>
        <w:rPr>
          <w:rFonts w:ascii="Times New Roman" w:hAnsi="Times New Roman"/>
        </w:rPr>
      </w:pPr>
      <w:r w:rsidRPr="000774A5">
        <w:rPr>
          <w:rFonts w:ascii="Times New Roman" w:hAnsi="Times New Roman"/>
        </w:rPr>
        <w:t>These departments/agencies typically are responsible for the conduct of the State 507 Programs.</w:t>
      </w:r>
      <w:r>
        <w:rPr>
          <w:rFonts w:ascii="Times New Roman" w:hAnsi="Times New Roman"/>
        </w:rPr>
        <w:t xml:space="preserve"> </w:t>
      </w:r>
      <w:r w:rsidR="00427659" w:rsidRPr="000774A5">
        <w:rPr>
          <w:rFonts w:ascii="Times New Roman" w:hAnsi="Times New Roman"/>
        </w:rPr>
        <w:t xml:space="preserve">Respondents will be </w:t>
      </w:r>
      <w:r w:rsidR="00331873">
        <w:rPr>
          <w:rFonts w:ascii="Times New Roman" w:hAnsi="Times New Roman"/>
          <w:iCs/>
        </w:rPr>
        <w:t xml:space="preserve">one </w:t>
      </w:r>
      <w:r w:rsidR="00427659" w:rsidRPr="000774A5">
        <w:rPr>
          <w:rFonts w:ascii="Times New Roman" w:hAnsi="Times New Roman"/>
        </w:rPr>
        <w:t>of the following state offices</w:t>
      </w:r>
      <w:r>
        <w:rPr>
          <w:rFonts w:ascii="Times New Roman" w:hAnsi="Times New Roman"/>
        </w:rPr>
        <w:t>.</w:t>
      </w:r>
      <w:r w:rsidR="00427659" w:rsidRPr="000774A5">
        <w:rPr>
          <w:rFonts w:ascii="Times New Roman" w:hAnsi="Times New Roman"/>
        </w:rPr>
        <w:t xml:space="preserve"> </w:t>
      </w:r>
    </w:p>
    <w:p w14:paraId="148DC04E" w14:textId="77777777" w:rsidR="00331873" w:rsidRDefault="00331873" w:rsidP="00193C23">
      <w:pPr>
        <w:widowControl/>
        <w:ind w:left="720"/>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581FB3" w:rsidRPr="00CF2B37" w14:paraId="5F19B871" w14:textId="77777777" w:rsidTr="008C1F2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0313AE5" w14:textId="77777777" w:rsidR="00581FB3" w:rsidRPr="00331873" w:rsidRDefault="00581FB3" w:rsidP="008C1F2D">
            <w:pPr>
              <w:spacing w:line="120" w:lineRule="exact"/>
              <w:rPr>
                <w:rFonts w:ascii="Times New Roman" w:hAnsi="Times New Roman"/>
              </w:rPr>
            </w:pPr>
          </w:p>
          <w:p w14:paraId="1BAD36BD" w14:textId="73B2D8F2" w:rsidR="00581FB3" w:rsidRPr="00331873" w:rsidRDefault="00581FB3" w:rsidP="008C1F2D">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b/>
              </w:rPr>
            </w:pPr>
            <w:r w:rsidRPr="00331873">
              <w:rPr>
                <w:rFonts w:ascii="Times New Roman" w:hAnsi="Times New Roman"/>
                <w:b/>
              </w:rPr>
              <w:t>Respondents/SIC Codes</w:t>
            </w:r>
          </w:p>
        </w:tc>
      </w:tr>
      <w:tr w:rsidR="00581FB3" w:rsidRPr="00CF2B37" w14:paraId="248AAF3C" w14:textId="77777777" w:rsidTr="008C1F2D">
        <w:trPr>
          <w:jc w:val="center"/>
        </w:trPr>
        <w:tc>
          <w:tcPr>
            <w:tcW w:w="7020" w:type="dxa"/>
            <w:tcBorders>
              <w:top w:val="single" w:sz="7" w:space="0" w:color="000000"/>
              <w:left w:val="single" w:sz="7" w:space="0" w:color="000000"/>
              <w:bottom w:val="single" w:sz="7" w:space="0" w:color="000000"/>
              <w:right w:val="single" w:sz="7" w:space="0" w:color="000000"/>
            </w:tcBorders>
          </w:tcPr>
          <w:p w14:paraId="78C5A156" w14:textId="45A25D63" w:rsidR="00581FB3" w:rsidRPr="00331873" w:rsidRDefault="00581FB3" w:rsidP="008C1F2D">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331873">
              <w:rPr>
                <w:rFonts w:ascii="Times New Roman" w:hAnsi="Times New Roman"/>
              </w:rPr>
              <w:t>Environmental Agency</w:t>
            </w:r>
          </w:p>
        </w:tc>
        <w:tc>
          <w:tcPr>
            <w:tcW w:w="2340" w:type="dxa"/>
            <w:tcBorders>
              <w:top w:val="single" w:sz="7" w:space="0" w:color="000000"/>
              <w:left w:val="single" w:sz="7" w:space="0" w:color="000000"/>
              <w:bottom w:val="single" w:sz="7" w:space="0" w:color="000000"/>
              <w:right w:val="single" w:sz="7" w:space="0" w:color="000000"/>
            </w:tcBorders>
          </w:tcPr>
          <w:p w14:paraId="50CB5BB9" w14:textId="5506BBD0" w:rsidR="00581FB3" w:rsidRPr="00331873" w:rsidRDefault="00581FB3" w:rsidP="008C1F2D">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331873">
              <w:rPr>
                <w:rFonts w:ascii="Times New Roman" w:hAnsi="Times New Roman"/>
              </w:rPr>
              <w:t>SIC 9511</w:t>
            </w:r>
          </w:p>
        </w:tc>
      </w:tr>
      <w:tr w:rsidR="00581FB3" w:rsidRPr="00CF2B37" w14:paraId="3FD6E999" w14:textId="77777777" w:rsidTr="008C1F2D">
        <w:trPr>
          <w:jc w:val="center"/>
        </w:trPr>
        <w:tc>
          <w:tcPr>
            <w:tcW w:w="7020" w:type="dxa"/>
            <w:tcBorders>
              <w:top w:val="single" w:sz="7" w:space="0" w:color="000000"/>
              <w:left w:val="single" w:sz="7" w:space="0" w:color="000000"/>
              <w:bottom w:val="single" w:sz="7" w:space="0" w:color="000000"/>
              <w:right w:val="single" w:sz="7" w:space="0" w:color="000000"/>
            </w:tcBorders>
          </w:tcPr>
          <w:p w14:paraId="77716144" w14:textId="7E6987BA" w:rsidR="00581FB3" w:rsidRPr="00331873" w:rsidRDefault="00581FB3" w:rsidP="008C1F2D">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331873">
              <w:rPr>
                <w:rFonts w:ascii="Times New Roman" w:hAnsi="Times New Roman"/>
              </w:rPr>
              <w:t>Commerce or Economic Development Department</w:t>
            </w:r>
          </w:p>
        </w:tc>
        <w:tc>
          <w:tcPr>
            <w:tcW w:w="2340" w:type="dxa"/>
            <w:tcBorders>
              <w:top w:val="single" w:sz="7" w:space="0" w:color="000000"/>
              <w:left w:val="single" w:sz="7" w:space="0" w:color="000000"/>
              <w:bottom w:val="single" w:sz="7" w:space="0" w:color="000000"/>
              <w:right w:val="single" w:sz="7" w:space="0" w:color="000000"/>
            </w:tcBorders>
          </w:tcPr>
          <w:p w14:paraId="53AD710D" w14:textId="6E9D7474" w:rsidR="00581FB3" w:rsidRPr="00331873" w:rsidRDefault="00581FB3" w:rsidP="008C1F2D">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331873">
              <w:rPr>
                <w:rFonts w:ascii="Times New Roman" w:hAnsi="Times New Roman"/>
              </w:rPr>
              <w:t>SIC 9611</w:t>
            </w:r>
          </w:p>
        </w:tc>
      </w:tr>
      <w:tr w:rsidR="00581FB3" w:rsidRPr="00CF2B37" w14:paraId="42D306CE" w14:textId="77777777" w:rsidTr="008C1F2D">
        <w:trPr>
          <w:jc w:val="center"/>
        </w:trPr>
        <w:tc>
          <w:tcPr>
            <w:tcW w:w="7020" w:type="dxa"/>
            <w:tcBorders>
              <w:top w:val="single" w:sz="7" w:space="0" w:color="000000"/>
              <w:left w:val="single" w:sz="7" w:space="0" w:color="000000"/>
              <w:bottom w:val="single" w:sz="7" w:space="0" w:color="000000"/>
              <w:right w:val="single" w:sz="7" w:space="0" w:color="000000"/>
            </w:tcBorders>
          </w:tcPr>
          <w:p w14:paraId="32CC5F4F" w14:textId="63F5CF84" w:rsidR="00581FB3" w:rsidRPr="00331873" w:rsidRDefault="00581FB3" w:rsidP="008C1F2D">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331873">
              <w:rPr>
                <w:rFonts w:ascii="Times New Roman" w:hAnsi="Times New Roman"/>
              </w:rPr>
              <w:t>Governor’s Office</w:t>
            </w:r>
          </w:p>
        </w:tc>
        <w:tc>
          <w:tcPr>
            <w:tcW w:w="2340" w:type="dxa"/>
            <w:tcBorders>
              <w:top w:val="single" w:sz="7" w:space="0" w:color="000000"/>
              <w:left w:val="single" w:sz="7" w:space="0" w:color="000000"/>
              <w:bottom w:val="single" w:sz="7" w:space="0" w:color="000000"/>
              <w:right w:val="single" w:sz="7" w:space="0" w:color="000000"/>
            </w:tcBorders>
          </w:tcPr>
          <w:p w14:paraId="65713389" w14:textId="39D186F7" w:rsidR="00581FB3" w:rsidRPr="00331873" w:rsidRDefault="00581FB3" w:rsidP="008C1F2D">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331873">
              <w:rPr>
                <w:rFonts w:ascii="Times New Roman" w:hAnsi="Times New Roman"/>
              </w:rPr>
              <w:t>SIC 9111</w:t>
            </w:r>
          </w:p>
        </w:tc>
      </w:tr>
      <w:tr w:rsidR="00581FB3" w:rsidRPr="00CF2B37" w14:paraId="23BBE85D" w14:textId="77777777" w:rsidTr="008C1F2D">
        <w:trPr>
          <w:jc w:val="center"/>
        </w:trPr>
        <w:tc>
          <w:tcPr>
            <w:tcW w:w="7020" w:type="dxa"/>
            <w:tcBorders>
              <w:top w:val="single" w:sz="7" w:space="0" w:color="000000"/>
              <w:left w:val="single" w:sz="7" w:space="0" w:color="000000"/>
              <w:bottom w:val="single" w:sz="7" w:space="0" w:color="000000"/>
              <w:right w:val="single" w:sz="7" w:space="0" w:color="000000"/>
            </w:tcBorders>
          </w:tcPr>
          <w:p w14:paraId="34B8E63A" w14:textId="069FE5C3" w:rsidR="00581FB3" w:rsidRPr="00331873" w:rsidRDefault="00581FB3" w:rsidP="008C1F2D">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331873">
              <w:rPr>
                <w:rFonts w:ascii="Times New Roman" w:hAnsi="Times New Roman"/>
              </w:rPr>
              <w:t>Ombudsman’s Office</w:t>
            </w:r>
          </w:p>
        </w:tc>
        <w:tc>
          <w:tcPr>
            <w:tcW w:w="2340" w:type="dxa"/>
            <w:tcBorders>
              <w:top w:val="single" w:sz="7" w:space="0" w:color="000000"/>
              <w:left w:val="single" w:sz="7" w:space="0" w:color="000000"/>
              <w:bottom w:val="single" w:sz="7" w:space="0" w:color="000000"/>
              <w:right w:val="single" w:sz="7" w:space="0" w:color="000000"/>
            </w:tcBorders>
          </w:tcPr>
          <w:p w14:paraId="34650D4C" w14:textId="31B3E0CB" w:rsidR="00581FB3" w:rsidRPr="00331873" w:rsidRDefault="004D1D3B" w:rsidP="008C1F2D">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331873">
              <w:rPr>
                <w:rFonts w:ascii="Times New Roman" w:hAnsi="Times New Roman"/>
              </w:rPr>
              <w:t>SIC 9511</w:t>
            </w:r>
          </w:p>
        </w:tc>
      </w:tr>
    </w:tbl>
    <w:p w14:paraId="3CB889D1" w14:textId="77777777" w:rsidR="00427659" w:rsidRPr="000774A5" w:rsidRDefault="00427659" w:rsidP="00425C31">
      <w:pPr>
        <w:widowControl/>
        <w:rPr>
          <w:rFonts w:ascii="Times New Roman" w:hAnsi="Times New Roman"/>
        </w:rPr>
      </w:pPr>
    </w:p>
    <w:p w14:paraId="0E8BE5D4" w14:textId="77777777" w:rsidR="00427659" w:rsidRPr="000774A5" w:rsidRDefault="00427659" w:rsidP="00766FCA">
      <w:pPr>
        <w:widowControl/>
        <w:tabs>
          <w:tab w:val="left" w:pos="-1440"/>
        </w:tabs>
        <w:ind w:left="720" w:hanging="720"/>
        <w:rPr>
          <w:rFonts w:ascii="Times New Roman" w:hAnsi="Times New Roman"/>
          <w:b/>
          <w:bCs/>
        </w:rPr>
      </w:pPr>
      <w:r w:rsidRPr="000774A5">
        <w:rPr>
          <w:rFonts w:ascii="Times New Roman" w:hAnsi="Times New Roman"/>
          <w:b/>
          <w:bCs/>
        </w:rPr>
        <w:t>4(b)</w:t>
      </w:r>
      <w:r w:rsidRPr="000774A5">
        <w:rPr>
          <w:rFonts w:ascii="Times New Roman" w:hAnsi="Times New Roman"/>
          <w:b/>
          <w:bCs/>
        </w:rPr>
        <w:tab/>
        <w:t>Information Requested</w:t>
      </w:r>
    </w:p>
    <w:p w14:paraId="1CC8FD2C" w14:textId="77777777" w:rsidR="00331873" w:rsidRDefault="00331873" w:rsidP="00193C23">
      <w:pPr>
        <w:widowControl/>
        <w:ind w:left="720"/>
        <w:rPr>
          <w:rFonts w:ascii="Times New Roman" w:hAnsi="Times New Roman"/>
        </w:rPr>
      </w:pPr>
    </w:p>
    <w:p w14:paraId="27FCB3C2" w14:textId="3843725F" w:rsidR="00427659" w:rsidRPr="000774A5" w:rsidRDefault="00427659" w:rsidP="00193C23">
      <w:pPr>
        <w:widowControl/>
        <w:ind w:left="720"/>
        <w:rPr>
          <w:rFonts w:ascii="Times New Roman" w:hAnsi="Times New Roman"/>
          <w:b/>
          <w:bCs/>
        </w:rPr>
      </w:pPr>
      <w:r w:rsidRPr="000774A5">
        <w:rPr>
          <w:rFonts w:ascii="Times New Roman" w:hAnsi="Times New Roman"/>
        </w:rPr>
        <w:t>A copy of the reporting form is attached</w:t>
      </w:r>
      <w:r w:rsidR="004D1D3B">
        <w:rPr>
          <w:rFonts w:ascii="Times New Roman" w:hAnsi="Times New Roman"/>
        </w:rPr>
        <w:t xml:space="preserve"> as Attachment A</w:t>
      </w:r>
      <w:r w:rsidRPr="000774A5">
        <w:rPr>
          <w:rFonts w:ascii="Times New Roman" w:hAnsi="Times New Roman"/>
        </w:rPr>
        <w:t>.</w:t>
      </w:r>
    </w:p>
    <w:p w14:paraId="2488E6BB" w14:textId="77777777" w:rsidR="00427659" w:rsidRPr="000774A5" w:rsidRDefault="00427659" w:rsidP="00425C31">
      <w:pPr>
        <w:widowControl/>
        <w:rPr>
          <w:rFonts w:ascii="Times New Roman" w:hAnsi="Times New Roman"/>
          <w:b/>
          <w:bCs/>
        </w:rPr>
      </w:pPr>
    </w:p>
    <w:p w14:paraId="330851D3" w14:textId="36FB3F81" w:rsidR="00427659" w:rsidRPr="000774A5" w:rsidRDefault="00766FCA" w:rsidP="00766FCA">
      <w:pPr>
        <w:widowControl/>
        <w:tabs>
          <w:tab w:val="left" w:pos="-1440"/>
        </w:tabs>
        <w:ind w:left="1440" w:hanging="720"/>
        <w:rPr>
          <w:rFonts w:ascii="Times New Roman" w:hAnsi="Times New Roman"/>
        </w:rPr>
      </w:pPr>
      <w:r>
        <w:rPr>
          <w:rFonts w:ascii="Times New Roman" w:hAnsi="Times New Roman"/>
          <w:b/>
          <w:bCs/>
        </w:rPr>
        <w:t>(</w:t>
      </w:r>
      <w:proofErr w:type="spellStart"/>
      <w:r>
        <w:rPr>
          <w:rFonts w:ascii="Times New Roman" w:hAnsi="Times New Roman"/>
          <w:b/>
          <w:bCs/>
        </w:rPr>
        <w:t>i</w:t>
      </w:r>
      <w:proofErr w:type="spellEnd"/>
      <w:r w:rsidR="00331873">
        <w:rPr>
          <w:rFonts w:ascii="Times New Roman" w:hAnsi="Times New Roman"/>
          <w:b/>
          <w:bCs/>
        </w:rPr>
        <w:t xml:space="preserve">)  </w:t>
      </w:r>
      <w:r w:rsidR="00427659" w:rsidRPr="000774A5">
        <w:rPr>
          <w:rFonts w:ascii="Times New Roman" w:hAnsi="Times New Roman"/>
          <w:b/>
          <w:bCs/>
        </w:rPr>
        <w:t>Data Items</w:t>
      </w:r>
    </w:p>
    <w:p w14:paraId="65A54FE2" w14:textId="77777777" w:rsidR="00331873" w:rsidRDefault="00331873" w:rsidP="0097735C">
      <w:pPr>
        <w:widowControl/>
        <w:ind w:left="720"/>
        <w:rPr>
          <w:rFonts w:ascii="Times New Roman" w:hAnsi="Times New Roman"/>
        </w:rPr>
      </w:pPr>
    </w:p>
    <w:p w14:paraId="4D5C5E31" w14:textId="5F9BDBD4" w:rsidR="0097735C" w:rsidRPr="000774A5" w:rsidRDefault="00427659" w:rsidP="006100E4">
      <w:pPr>
        <w:widowControl/>
        <w:ind w:firstLine="720"/>
        <w:rPr>
          <w:rFonts w:ascii="Times New Roman" w:hAnsi="Times New Roman"/>
        </w:rPr>
      </w:pPr>
      <w:r w:rsidRPr="000774A5">
        <w:rPr>
          <w:rFonts w:ascii="Times New Roman" w:hAnsi="Times New Roman"/>
        </w:rPr>
        <w:t>States will report on the data items shown in the following table.  Each item is designated as a record keeping or reporting item; activities that are customary and usual business practices (CBP) also are indicated, as required in the foll</w:t>
      </w:r>
      <w:r w:rsidR="000F0106">
        <w:rPr>
          <w:rFonts w:ascii="Times New Roman" w:hAnsi="Times New Roman"/>
        </w:rPr>
        <w:t xml:space="preserve">owing section. </w:t>
      </w:r>
      <w:r w:rsidRPr="000774A5">
        <w:rPr>
          <w:rFonts w:ascii="Times New Roman" w:hAnsi="Times New Roman"/>
        </w:rPr>
        <w:t>The EPA SBO imposes no record keeping r</w:t>
      </w:r>
      <w:r w:rsidR="000D1AD7">
        <w:rPr>
          <w:rFonts w:ascii="Times New Roman" w:hAnsi="Times New Roman"/>
        </w:rPr>
        <w:t xml:space="preserve">equirements on any respondent. </w:t>
      </w:r>
      <w:r w:rsidRPr="000774A5">
        <w:rPr>
          <w:rFonts w:ascii="Times New Roman" w:hAnsi="Times New Roman"/>
        </w:rPr>
        <w:t>Each state may have its own requirement for retention of records.</w:t>
      </w:r>
      <w:r w:rsidR="0097735C">
        <w:rPr>
          <w:rFonts w:ascii="Times New Roman" w:hAnsi="Times New Roman"/>
        </w:rPr>
        <w:t xml:space="preserve"> There have been no changes to the </w:t>
      </w:r>
      <w:r w:rsidR="0097735C" w:rsidRPr="000774A5">
        <w:rPr>
          <w:rFonts w:ascii="Times New Roman" w:hAnsi="Times New Roman"/>
        </w:rPr>
        <w:t xml:space="preserve">data items </w:t>
      </w:r>
      <w:r w:rsidR="0097735C">
        <w:rPr>
          <w:rFonts w:ascii="Times New Roman" w:hAnsi="Times New Roman"/>
        </w:rPr>
        <w:t>since the last clearance.</w:t>
      </w:r>
    </w:p>
    <w:p w14:paraId="6B7E001D" w14:textId="77777777" w:rsidR="00C66FF4" w:rsidRDefault="00C66FF4" w:rsidP="00425C31">
      <w:pPr>
        <w:widowControl/>
        <w:ind w:left="1440"/>
        <w:rPr>
          <w:rFonts w:ascii="Times New Roman" w:hAnsi="Times New Roman"/>
        </w:rPr>
      </w:pPr>
    </w:p>
    <w:tbl>
      <w:tblPr>
        <w:tblW w:w="10170" w:type="dxa"/>
        <w:jc w:val="center"/>
        <w:tblLayout w:type="fixed"/>
        <w:tblCellMar>
          <w:left w:w="141" w:type="dxa"/>
          <w:right w:w="141" w:type="dxa"/>
        </w:tblCellMar>
        <w:tblLook w:val="0000" w:firstRow="0" w:lastRow="0" w:firstColumn="0" w:lastColumn="0" w:noHBand="0" w:noVBand="0"/>
      </w:tblPr>
      <w:tblGrid>
        <w:gridCol w:w="5427"/>
        <w:gridCol w:w="2340"/>
        <w:gridCol w:w="1620"/>
        <w:gridCol w:w="783"/>
      </w:tblGrid>
      <w:tr w:rsidR="00427659" w:rsidRPr="00126472" w14:paraId="5EAA5454" w14:textId="77777777" w:rsidTr="00766FCA">
        <w:trPr>
          <w:cantSplit/>
          <w:jc w:val="center"/>
        </w:trPr>
        <w:tc>
          <w:tcPr>
            <w:tcW w:w="5427" w:type="dxa"/>
            <w:tcBorders>
              <w:top w:val="double" w:sz="7" w:space="0" w:color="000000"/>
              <w:left w:val="double" w:sz="7" w:space="0" w:color="000000"/>
              <w:bottom w:val="single" w:sz="6" w:space="0" w:color="FFFFFF"/>
              <w:right w:val="single" w:sz="6" w:space="0" w:color="FFFFFF"/>
            </w:tcBorders>
          </w:tcPr>
          <w:p w14:paraId="5F1B34D5" w14:textId="77777777" w:rsidR="00427659" w:rsidRPr="00126472" w:rsidRDefault="00427659" w:rsidP="00425C31">
            <w:pPr>
              <w:widowControl/>
              <w:jc w:val="center"/>
              <w:rPr>
                <w:rFonts w:ascii="Times New Roman" w:hAnsi="Times New Roman"/>
                <w:b/>
                <w:bCs/>
                <w:sz w:val="22"/>
                <w:szCs w:val="22"/>
              </w:rPr>
            </w:pPr>
            <w:r w:rsidRPr="00126472">
              <w:rPr>
                <w:rFonts w:ascii="Times New Roman" w:hAnsi="Times New Roman"/>
                <w:b/>
                <w:bCs/>
                <w:sz w:val="22"/>
                <w:szCs w:val="22"/>
              </w:rPr>
              <w:t>DATA ITEM</w:t>
            </w:r>
          </w:p>
        </w:tc>
        <w:tc>
          <w:tcPr>
            <w:tcW w:w="2340" w:type="dxa"/>
            <w:tcBorders>
              <w:top w:val="double" w:sz="7" w:space="0" w:color="000000"/>
              <w:left w:val="single" w:sz="7" w:space="0" w:color="000000"/>
              <w:bottom w:val="single" w:sz="6" w:space="0" w:color="FFFFFF"/>
              <w:right w:val="single" w:sz="6" w:space="0" w:color="FFFFFF"/>
            </w:tcBorders>
          </w:tcPr>
          <w:p w14:paraId="31C6CAB6" w14:textId="77777777" w:rsidR="00427659" w:rsidRPr="00126472" w:rsidRDefault="00427659" w:rsidP="00425C31">
            <w:pPr>
              <w:widowControl/>
              <w:jc w:val="center"/>
              <w:rPr>
                <w:rFonts w:ascii="Times New Roman" w:hAnsi="Times New Roman"/>
                <w:b/>
                <w:bCs/>
                <w:sz w:val="22"/>
                <w:szCs w:val="22"/>
              </w:rPr>
            </w:pPr>
            <w:r w:rsidRPr="00126472">
              <w:rPr>
                <w:rFonts w:ascii="Times New Roman" w:hAnsi="Times New Roman"/>
                <w:b/>
                <w:bCs/>
                <w:sz w:val="22"/>
                <w:szCs w:val="22"/>
              </w:rPr>
              <w:t>RECORD KEEPING</w:t>
            </w:r>
          </w:p>
        </w:tc>
        <w:tc>
          <w:tcPr>
            <w:tcW w:w="1620" w:type="dxa"/>
            <w:tcBorders>
              <w:top w:val="double" w:sz="7" w:space="0" w:color="000000"/>
              <w:left w:val="single" w:sz="7" w:space="0" w:color="000000"/>
              <w:bottom w:val="single" w:sz="6" w:space="0" w:color="FFFFFF"/>
              <w:right w:val="single" w:sz="6" w:space="0" w:color="FFFFFF"/>
            </w:tcBorders>
          </w:tcPr>
          <w:p w14:paraId="325B8135" w14:textId="77777777" w:rsidR="00427659" w:rsidRPr="00126472" w:rsidRDefault="00427659" w:rsidP="00425C31">
            <w:pPr>
              <w:widowControl/>
              <w:jc w:val="center"/>
              <w:rPr>
                <w:rFonts w:ascii="Times New Roman" w:hAnsi="Times New Roman"/>
                <w:b/>
                <w:bCs/>
                <w:sz w:val="22"/>
                <w:szCs w:val="22"/>
              </w:rPr>
            </w:pPr>
            <w:r w:rsidRPr="00126472">
              <w:rPr>
                <w:rFonts w:ascii="Times New Roman" w:hAnsi="Times New Roman"/>
                <w:b/>
                <w:bCs/>
                <w:sz w:val="22"/>
                <w:szCs w:val="22"/>
              </w:rPr>
              <w:t>REPORTING</w:t>
            </w:r>
          </w:p>
        </w:tc>
        <w:tc>
          <w:tcPr>
            <w:tcW w:w="783" w:type="dxa"/>
            <w:tcBorders>
              <w:top w:val="double" w:sz="7" w:space="0" w:color="000000"/>
              <w:left w:val="single" w:sz="7" w:space="0" w:color="000000"/>
              <w:bottom w:val="single" w:sz="6" w:space="0" w:color="FFFFFF"/>
              <w:right w:val="double" w:sz="7" w:space="0" w:color="000000"/>
            </w:tcBorders>
          </w:tcPr>
          <w:p w14:paraId="7B78A6F7"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b/>
                <w:bCs/>
                <w:sz w:val="22"/>
                <w:szCs w:val="22"/>
              </w:rPr>
              <w:t>CBP</w:t>
            </w:r>
          </w:p>
        </w:tc>
      </w:tr>
      <w:tr w:rsidR="009A550D" w:rsidRPr="00126472" w14:paraId="7D2D70E5" w14:textId="77777777" w:rsidTr="00126472">
        <w:trPr>
          <w:cantSplit/>
          <w:jc w:val="center"/>
        </w:trPr>
        <w:tc>
          <w:tcPr>
            <w:tcW w:w="10170" w:type="dxa"/>
            <w:gridSpan w:val="4"/>
            <w:tcBorders>
              <w:top w:val="single" w:sz="7" w:space="0" w:color="000000"/>
              <w:left w:val="double" w:sz="7" w:space="0" w:color="000000"/>
              <w:bottom w:val="single" w:sz="6" w:space="0" w:color="FFFFFF"/>
              <w:right w:val="double" w:sz="7" w:space="0" w:color="000000"/>
            </w:tcBorders>
          </w:tcPr>
          <w:p w14:paraId="47720B6F" w14:textId="77777777" w:rsidR="00427659" w:rsidRPr="00126472" w:rsidRDefault="00427659" w:rsidP="00425C31">
            <w:pPr>
              <w:widowControl/>
              <w:rPr>
                <w:rFonts w:ascii="Times New Roman" w:hAnsi="Times New Roman"/>
                <w:sz w:val="22"/>
                <w:szCs w:val="22"/>
              </w:rPr>
            </w:pPr>
            <w:r w:rsidRPr="00126472">
              <w:rPr>
                <w:rFonts w:ascii="Times New Roman" w:hAnsi="Times New Roman"/>
                <w:b/>
                <w:bCs/>
                <w:sz w:val="22"/>
                <w:szCs w:val="22"/>
              </w:rPr>
              <w:t>Program Information</w:t>
            </w:r>
          </w:p>
        </w:tc>
      </w:tr>
      <w:tr w:rsidR="00427659" w:rsidRPr="00126472" w14:paraId="4C0854E8"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5350FDA5" w14:textId="77777777"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Name of State, Territory, or Local Agency</w:t>
            </w:r>
          </w:p>
        </w:tc>
        <w:tc>
          <w:tcPr>
            <w:tcW w:w="2340" w:type="dxa"/>
            <w:tcBorders>
              <w:top w:val="single" w:sz="7" w:space="0" w:color="000000"/>
              <w:left w:val="single" w:sz="7" w:space="0" w:color="000000"/>
              <w:bottom w:val="single" w:sz="6" w:space="0" w:color="FFFFFF"/>
              <w:right w:val="single" w:sz="6" w:space="0" w:color="FFFFFF"/>
            </w:tcBorders>
          </w:tcPr>
          <w:p w14:paraId="651F97E7" w14:textId="77777777"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14:paraId="08136784"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14:paraId="6B76EA53"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14:paraId="0ED4738B"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76AE31B4" w14:textId="77777777"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Reporting Form Contact</w:t>
            </w:r>
          </w:p>
        </w:tc>
        <w:tc>
          <w:tcPr>
            <w:tcW w:w="2340" w:type="dxa"/>
            <w:tcBorders>
              <w:top w:val="single" w:sz="7" w:space="0" w:color="000000"/>
              <w:left w:val="single" w:sz="7" w:space="0" w:color="000000"/>
              <w:bottom w:val="single" w:sz="6" w:space="0" w:color="FFFFFF"/>
              <w:right w:val="single" w:sz="6" w:space="0" w:color="FFFFFF"/>
            </w:tcBorders>
          </w:tcPr>
          <w:p w14:paraId="13B5B609" w14:textId="77777777"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14:paraId="3D15439F"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14:paraId="73D0081F"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14:paraId="3A52B9EA"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07614CBA" w14:textId="77777777"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Combined SBO/SBAP/CAP Budget</w:t>
            </w:r>
          </w:p>
        </w:tc>
        <w:tc>
          <w:tcPr>
            <w:tcW w:w="2340" w:type="dxa"/>
            <w:tcBorders>
              <w:top w:val="single" w:sz="7" w:space="0" w:color="000000"/>
              <w:left w:val="single" w:sz="7" w:space="0" w:color="000000"/>
              <w:bottom w:val="single" w:sz="6" w:space="0" w:color="FFFFFF"/>
              <w:right w:val="single" w:sz="6" w:space="0" w:color="FFFFFF"/>
            </w:tcBorders>
          </w:tcPr>
          <w:p w14:paraId="3AC93C02" w14:textId="77777777"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14:paraId="550FFAA8"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14:paraId="610FE861"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D91218" w:rsidRPr="00126472" w14:paraId="6C3C85BC"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12B31656" w14:textId="77777777" w:rsidR="00D91218" w:rsidRPr="00126472" w:rsidRDefault="00D91218" w:rsidP="00425C31">
            <w:pPr>
              <w:rPr>
                <w:rFonts w:ascii="Times New Roman" w:hAnsi="Times New Roman"/>
                <w:sz w:val="22"/>
                <w:szCs w:val="22"/>
              </w:rPr>
            </w:pPr>
            <w:r w:rsidRPr="00126472">
              <w:rPr>
                <w:rFonts w:ascii="Times New Roman" w:hAnsi="Times New Roman"/>
                <w:sz w:val="22"/>
                <w:szCs w:val="22"/>
              </w:rPr>
              <w:t>Budgetary Funding Sources</w:t>
            </w:r>
          </w:p>
        </w:tc>
        <w:tc>
          <w:tcPr>
            <w:tcW w:w="2340" w:type="dxa"/>
            <w:tcBorders>
              <w:top w:val="single" w:sz="7" w:space="0" w:color="000000"/>
              <w:left w:val="single" w:sz="7" w:space="0" w:color="000000"/>
              <w:bottom w:val="single" w:sz="6" w:space="0" w:color="FFFFFF"/>
              <w:right w:val="single" w:sz="6" w:space="0" w:color="FFFFFF"/>
            </w:tcBorders>
          </w:tcPr>
          <w:p w14:paraId="7B6C89ED" w14:textId="77777777" w:rsidR="00D91218" w:rsidRPr="00126472" w:rsidRDefault="00D91218" w:rsidP="00425C31">
            <w:pP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14:paraId="0DF43B24" w14:textId="77777777" w:rsidR="00D91218" w:rsidRPr="00126472" w:rsidRDefault="00D91218" w:rsidP="00425C31">
            <w:pPr>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14:paraId="6D8D993C" w14:textId="77777777" w:rsidR="00D91218" w:rsidRPr="00126472" w:rsidRDefault="00D91218" w:rsidP="00425C31">
            <w:pPr>
              <w:jc w:val="center"/>
              <w:rPr>
                <w:rFonts w:ascii="Times New Roman" w:hAnsi="Times New Roman"/>
                <w:sz w:val="22"/>
                <w:szCs w:val="22"/>
              </w:rPr>
            </w:pPr>
            <w:r w:rsidRPr="00126472">
              <w:rPr>
                <w:rFonts w:ascii="Times New Roman" w:hAnsi="Times New Roman"/>
                <w:sz w:val="22"/>
                <w:szCs w:val="22"/>
              </w:rPr>
              <w:t>X</w:t>
            </w:r>
          </w:p>
        </w:tc>
      </w:tr>
      <w:tr w:rsidR="00427659" w:rsidRPr="00126472" w14:paraId="7943883E"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68E36FB6" w14:textId="77777777" w:rsidR="00427659" w:rsidRPr="00126472" w:rsidRDefault="00427659" w:rsidP="00425C31">
            <w:pPr>
              <w:widowControl/>
              <w:rPr>
                <w:rFonts w:ascii="Times New Roman" w:hAnsi="Times New Roman"/>
                <w:sz w:val="22"/>
                <w:szCs w:val="22"/>
              </w:rPr>
            </w:pPr>
            <w:r w:rsidRPr="00126472">
              <w:rPr>
                <w:rFonts w:ascii="Times New Roman" w:hAnsi="Times New Roman"/>
                <w:b/>
                <w:bCs/>
                <w:sz w:val="22"/>
                <w:szCs w:val="22"/>
              </w:rPr>
              <w:t>Staffing</w:t>
            </w:r>
          </w:p>
        </w:tc>
        <w:tc>
          <w:tcPr>
            <w:tcW w:w="2340" w:type="dxa"/>
            <w:tcBorders>
              <w:top w:val="single" w:sz="7" w:space="0" w:color="000000"/>
              <w:left w:val="single" w:sz="7" w:space="0" w:color="000000"/>
              <w:bottom w:val="single" w:sz="6" w:space="0" w:color="FFFFFF"/>
              <w:right w:val="single" w:sz="6" w:space="0" w:color="FFFFFF"/>
            </w:tcBorders>
          </w:tcPr>
          <w:p w14:paraId="7841810A" w14:textId="77777777"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14:paraId="04005A5E"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14:paraId="1C9773D6"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14:paraId="480E5B16"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2ECEB8DF" w14:textId="77777777"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SBO/SBAP FTEs</w:t>
            </w:r>
          </w:p>
        </w:tc>
        <w:tc>
          <w:tcPr>
            <w:tcW w:w="2340" w:type="dxa"/>
            <w:tcBorders>
              <w:top w:val="single" w:sz="7" w:space="0" w:color="000000"/>
              <w:left w:val="single" w:sz="7" w:space="0" w:color="000000"/>
              <w:bottom w:val="single" w:sz="6" w:space="0" w:color="FFFFFF"/>
              <w:right w:val="single" w:sz="6" w:space="0" w:color="FFFFFF"/>
            </w:tcBorders>
          </w:tcPr>
          <w:p w14:paraId="4B9710B6" w14:textId="77777777"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14:paraId="7D68FDD1"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14:paraId="3FDE23C0"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14:paraId="43D2B12F"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69C928C4" w14:textId="77777777"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Status of CAP</w:t>
            </w:r>
          </w:p>
        </w:tc>
        <w:tc>
          <w:tcPr>
            <w:tcW w:w="2340" w:type="dxa"/>
            <w:tcBorders>
              <w:top w:val="single" w:sz="7" w:space="0" w:color="000000"/>
              <w:left w:val="single" w:sz="7" w:space="0" w:color="000000"/>
              <w:bottom w:val="single" w:sz="6" w:space="0" w:color="FFFFFF"/>
              <w:right w:val="single" w:sz="6" w:space="0" w:color="FFFFFF"/>
            </w:tcBorders>
          </w:tcPr>
          <w:p w14:paraId="652DD5DF" w14:textId="77777777"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14:paraId="2A72B0B8"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14:paraId="0CF23B1E"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9A550D" w:rsidRPr="00126472" w14:paraId="4202682E" w14:textId="77777777" w:rsidTr="00126472">
        <w:trPr>
          <w:cantSplit/>
          <w:jc w:val="center"/>
        </w:trPr>
        <w:tc>
          <w:tcPr>
            <w:tcW w:w="10170" w:type="dxa"/>
            <w:gridSpan w:val="4"/>
            <w:tcBorders>
              <w:top w:val="single" w:sz="7" w:space="0" w:color="000000"/>
              <w:left w:val="double" w:sz="7" w:space="0" w:color="000000"/>
              <w:bottom w:val="single" w:sz="6" w:space="0" w:color="FFFFFF"/>
              <w:right w:val="double" w:sz="7" w:space="0" w:color="000000"/>
            </w:tcBorders>
          </w:tcPr>
          <w:p w14:paraId="04E43643" w14:textId="77777777" w:rsidR="00427659" w:rsidRPr="00126472" w:rsidRDefault="00427659" w:rsidP="00425C31">
            <w:pPr>
              <w:widowControl/>
              <w:rPr>
                <w:rFonts w:ascii="Times New Roman" w:hAnsi="Times New Roman"/>
                <w:sz w:val="22"/>
                <w:szCs w:val="22"/>
              </w:rPr>
            </w:pPr>
            <w:r w:rsidRPr="00126472">
              <w:rPr>
                <w:rFonts w:ascii="Times New Roman" w:hAnsi="Times New Roman"/>
                <w:b/>
                <w:bCs/>
                <w:sz w:val="22"/>
                <w:szCs w:val="22"/>
              </w:rPr>
              <w:t>Outreach and Technical Assistance</w:t>
            </w:r>
          </w:p>
        </w:tc>
      </w:tr>
      <w:tr w:rsidR="00427659" w:rsidRPr="00126472" w14:paraId="347C64D7"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71637D42" w14:textId="77777777"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Air-only or Multimedia Assistance</w:t>
            </w:r>
          </w:p>
        </w:tc>
        <w:tc>
          <w:tcPr>
            <w:tcW w:w="2340" w:type="dxa"/>
            <w:tcBorders>
              <w:top w:val="single" w:sz="7" w:space="0" w:color="000000"/>
              <w:left w:val="single" w:sz="7" w:space="0" w:color="000000"/>
              <w:bottom w:val="single" w:sz="6" w:space="0" w:color="FFFFFF"/>
              <w:right w:val="single" w:sz="6" w:space="0" w:color="FFFFFF"/>
            </w:tcBorders>
          </w:tcPr>
          <w:p w14:paraId="10C930EF" w14:textId="77777777" w:rsidR="00427659" w:rsidRPr="00126472" w:rsidRDefault="00427659"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14:paraId="1167004B"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6" w:space="0" w:color="FFFFFF"/>
              <w:right w:val="double" w:sz="7" w:space="0" w:color="000000"/>
            </w:tcBorders>
          </w:tcPr>
          <w:p w14:paraId="3782EAF4"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926D76" w:rsidRPr="00126472" w14:paraId="72120E7E"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2335498C" w14:textId="77777777" w:rsidR="00926D76" w:rsidRPr="00126472" w:rsidRDefault="00926D76" w:rsidP="00425C31">
            <w:pPr>
              <w:widowControl/>
              <w:rPr>
                <w:rFonts w:ascii="Times New Roman" w:hAnsi="Times New Roman"/>
                <w:sz w:val="22"/>
                <w:szCs w:val="22"/>
              </w:rPr>
            </w:pPr>
            <w:r w:rsidRPr="00126472">
              <w:rPr>
                <w:rFonts w:ascii="Times New Roman" w:hAnsi="Times New Roman"/>
                <w:sz w:val="22"/>
                <w:szCs w:val="22"/>
              </w:rPr>
              <w:t>Data on Offered Services/Activities</w:t>
            </w:r>
          </w:p>
        </w:tc>
        <w:tc>
          <w:tcPr>
            <w:tcW w:w="2340" w:type="dxa"/>
            <w:tcBorders>
              <w:top w:val="single" w:sz="7" w:space="0" w:color="000000"/>
              <w:left w:val="single" w:sz="7" w:space="0" w:color="000000"/>
              <w:bottom w:val="single" w:sz="6" w:space="0" w:color="FFFFFF"/>
              <w:right w:val="single" w:sz="6" w:space="0" w:color="FFFFFF"/>
            </w:tcBorders>
          </w:tcPr>
          <w:p w14:paraId="4E53579A" w14:textId="77777777"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1620" w:type="dxa"/>
            <w:tcBorders>
              <w:top w:val="single" w:sz="7" w:space="0" w:color="000000"/>
              <w:left w:val="single" w:sz="7" w:space="0" w:color="000000"/>
              <w:bottom w:val="single" w:sz="6" w:space="0" w:color="FFFFFF"/>
              <w:right w:val="single" w:sz="6" w:space="0" w:color="FFFFFF"/>
            </w:tcBorders>
          </w:tcPr>
          <w:p w14:paraId="6E547D51" w14:textId="77777777"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 xml:space="preserve"> </w:t>
            </w:r>
          </w:p>
        </w:tc>
        <w:tc>
          <w:tcPr>
            <w:tcW w:w="783" w:type="dxa"/>
            <w:tcBorders>
              <w:top w:val="single" w:sz="7" w:space="0" w:color="000000"/>
              <w:left w:val="single" w:sz="7" w:space="0" w:color="000000"/>
              <w:bottom w:val="single" w:sz="6" w:space="0" w:color="FFFFFF"/>
              <w:right w:val="double" w:sz="7" w:space="0" w:color="000000"/>
            </w:tcBorders>
          </w:tcPr>
          <w:p w14:paraId="3A588C7B" w14:textId="77777777"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14:paraId="7E9D5690"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39C2E060" w14:textId="77777777" w:rsidR="00427659" w:rsidRPr="00126472" w:rsidRDefault="00427659" w:rsidP="00425C31">
            <w:pPr>
              <w:widowControl/>
              <w:rPr>
                <w:rFonts w:ascii="Times New Roman" w:hAnsi="Times New Roman"/>
                <w:sz w:val="22"/>
                <w:szCs w:val="22"/>
              </w:rPr>
            </w:pPr>
            <w:r w:rsidRPr="00126472">
              <w:rPr>
                <w:rFonts w:ascii="Times New Roman" w:hAnsi="Times New Roman"/>
                <w:sz w:val="22"/>
                <w:szCs w:val="22"/>
              </w:rPr>
              <w:t xml:space="preserve">Data on </w:t>
            </w:r>
            <w:r w:rsidR="00926D76" w:rsidRPr="00126472">
              <w:rPr>
                <w:rFonts w:ascii="Times New Roman" w:hAnsi="Times New Roman"/>
                <w:sz w:val="22"/>
                <w:szCs w:val="22"/>
              </w:rPr>
              <w:t>Promotional Activities</w:t>
            </w:r>
          </w:p>
        </w:tc>
        <w:tc>
          <w:tcPr>
            <w:tcW w:w="2340" w:type="dxa"/>
            <w:tcBorders>
              <w:top w:val="single" w:sz="7" w:space="0" w:color="000000"/>
              <w:left w:val="single" w:sz="7" w:space="0" w:color="000000"/>
              <w:bottom w:val="single" w:sz="6" w:space="0" w:color="FFFFFF"/>
              <w:right w:val="single" w:sz="6" w:space="0" w:color="FFFFFF"/>
            </w:tcBorders>
          </w:tcPr>
          <w:p w14:paraId="04268C3C"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1620" w:type="dxa"/>
            <w:tcBorders>
              <w:top w:val="single" w:sz="7" w:space="0" w:color="000000"/>
              <w:left w:val="single" w:sz="7" w:space="0" w:color="000000"/>
              <w:bottom w:val="single" w:sz="6" w:space="0" w:color="FFFFFF"/>
              <w:right w:val="single" w:sz="6" w:space="0" w:color="FFFFFF"/>
            </w:tcBorders>
          </w:tcPr>
          <w:p w14:paraId="55DE869A"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 xml:space="preserve"> </w:t>
            </w:r>
          </w:p>
        </w:tc>
        <w:tc>
          <w:tcPr>
            <w:tcW w:w="783" w:type="dxa"/>
            <w:tcBorders>
              <w:top w:val="single" w:sz="7" w:space="0" w:color="000000"/>
              <w:left w:val="single" w:sz="7" w:space="0" w:color="000000"/>
              <w:bottom w:val="single" w:sz="6" w:space="0" w:color="FFFFFF"/>
              <w:right w:val="double" w:sz="7" w:space="0" w:color="000000"/>
            </w:tcBorders>
          </w:tcPr>
          <w:p w14:paraId="54DEB39C" w14:textId="77777777" w:rsidR="00427659" w:rsidRPr="00126472" w:rsidRDefault="00427659" w:rsidP="00425C31">
            <w:pPr>
              <w:widowControl/>
              <w:jc w:val="center"/>
              <w:rPr>
                <w:rFonts w:ascii="Times New Roman" w:hAnsi="Times New Roman"/>
                <w:sz w:val="22"/>
                <w:szCs w:val="22"/>
              </w:rPr>
            </w:pPr>
            <w:r w:rsidRPr="00126472">
              <w:rPr>
                <w:rFonts w:ascii="Times New Roman" w:hAnsi="Times New Roman"/>
                <w:sz w:val="22"/>
                <w:szCs w:val="22"/>
              </w:rPr>
              <w:t>X</w:t>
            </w:r>
          </w:p>
        </w:tc>
      </w:tr>
      <w:tr w:rsidR="00926D76" w:rsidRPr="00126472" w14:paraId="44E9FA3C" w14:textId="77777777" w:rsidTr="00766FCA">
        <w:trPr>
          <w:cantSplit/>
          <w:jc w:val="center"/>
        </w:trPr>
        <w:tc>
          <w:tcPr>
            <w:tcW w:w="5427" w:type="dxa"/>
            <w:tcBorders>
              <w:top w:val="single" w:sz="7" w:space="0" w:color="000000"/>
              <w:left w:val="double" w:sz="7" w:space="0" w:color="000000"/>
              <w:bottom w:val="single" w:sz="6" w:space="0" w:color="FFFFFF"/>
              <w:right w:val="single" w:sz="6" w:space="0" w:color="FFFFFF"/>
            </w:tcBorders>
          </w:tcPr>
          <w:p w14:paraId="750ECBEB" w14:textId="77777777" w:rsidR="00926D76" w:rsidRPr="00126472" w:rsidRDefault="00926D76" w:rsidP="00425C31">
            <w:pPr>
              <w:widowControl/>
              <w:rPr>
                <w:rFonts w:ascii="Times New Roman" w:hAnsi="Times New Roman"/>
                <w:sz w:val="22"/>
                <w:szCs w:val="22"/>
              </w:rPr>
            </w:pPr>
            <w:r w:rsidRPr="00126472">
              <w:rPr>
                <w:rFonts w:ascii="Times New Roman" w:hAnsi="Times New Roman"/>
                <w:sz w:val="22"/>
                <w:szCs w:val="22"/>
              </w:rPr>
              <w:t>Data on Website Activities</w:t>
            </w:r>
          </w:p>
        </w:tc>
        <w:tc>
          <w:tcPr>
            <w:tcW w:w="2340" w:type="dxa"/>
            <w:tcBorders>
              <w:top w:val="single" w:sz="7" w:space="0" w:color="000000"/>
              <w:left w:val="single" w:sz="7" w:space="0" w:color="000000"/>
              <w:bottom w:val="single" w:sz="6" w:space="0" w:color="FFFFFF"/>
              <w:right w:val="single" w:sz="6" w:space="0" w:color="FFFFFF"/>
            </w:tcBorders>
          </w:tcPr>
          <w:p w14:paraId="53B1EF14" w14:textId="77777777" w:rsidR="00926D76" w:rsidRPr="00126472" w:rsidRDefault="00926D76" w:rsidP="00425C31">
            <w:pPr>
              <w:widowControl/>
              <w:jc w:val="center"/>
              <w:rPr>
                <w:rFonts w:ascii="Times New Roman" w:hAnsi="Times New Roman"/>
                <w:sz w:val="22"/>
                <w:szCs w:val="22"/>
              </w:rPr>
            </w:pPr>
          </w:p>
        </w:tc>
        <w:tc>
          <w:tcPr>
            <w:tcW w:w="1620" w:type="dxa"/>
            <w:tcBorders>
              <w:top w:val="single" w:sz="7" w:space="0" w:color="000000"/>
              <w:left w:val="single" w:sz="7" w:space="0" w:color="000000"/>
              <w:bottom w:val="single" w:sz="6" w:space="0" w:color="FFFFFF"/>
              <w:right w:val="single" w:sz="6" w:space="0" w:color="FFFFFF"/>
            </w:tcBorders>
          </w:tcPr>
          <w:p w14:paraId="6C2DC414" w14:textId="77777777" w:rsidR="00926D76" w:rsidRPr="00126472" w:rsidRDefault="00926D76" w:rsidP="00425C31">
            <w:pPr>
              <w:widowControl/>
              <w:jc w:val="center"/>
              <w:rPr>
                <w:rFonts w:ascii="Times New Roman" w:hAnsi="Times New Roman"/>
                <w:sz w:val="22"/>
                <w:szCs w:val="22"/>
              </w:rPr>
            </w:pPr>
          </w:p>
        </w:tc>
        <w:tc>
          <w:tcPr>
            <w:tcW w:w="783" w:type="dxa"/>
            <w:tcBorders>
              <w:top w:val="single" w:sz="7" w:space="0" w:color="000000"/>
              <w:left w:val="single" w:sz="7" w:space="0" w:color="000000"/>
              <w:bottom w:val="single" w:sz="6" w:space="0" w:color="FFFFFF"/>
              <w:right w:val="double" w:sz="7" w:space="0" w:color="000000"/>
            </w:tcBorders>
          </w:tcPr>
          <w:p w14:paraId="32C83019" w14:textId="77777777"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X</w:t>
            </w:r>
          </w:p>
        </w:tc>
      </w:tr>
      <w:tr w:rsidR="00427659" w:rsidRPr="00126472" w14:paraId="16B04DD4" w14:textId="77777777" w:rsidTr="00766FCA">
        <w:trPr>
          <w:cantSplit/>
          <w:jc w:val="center"/>
        </w:trPr>
        <w:tc>
          <w:tcPr>
            <w:tcW w:w="5427" w:type="dxa"/>
            <w:tcBorders>
              <w:top w:val="single" w:sz="7" w:space="0" w:color="000000"/>
              <w:left w:val="double" w:sz="7" w:space="0" w:color="000000"/>
              <w:bottom w:val="single" w:sz="8" w:space="0" w:color="000000"/>
              <w:right w:val="single" w:sz="6" w:space="0" w:color="FFFFFF"/>
            </w:tcBorders>
          </w:tcPr>
          <w:p w14:paraId="5F31B0C1" w14:textId="77777777" w:rsidR="00427659" w:rsidRPr="00126472" w:rsidRDefault="00427659" w:rsidP="00766FCA">
            <w:pPr>
              <w:widowControl/>
              <w:spacing w:after="58"/>
              <w:rPr>
                <w:rFonts w:ascii="Times New Roman" w:hAnsi="Times New Roman"/>
                <w:sz w:val="22"/>
                <w:szCs w:val="22"/>
              </w:rPr>
            </w:pPr>
            <w:r w:rsidRPr="00126472">
              <w:rPr>
                <w:rFonts w:ascii="Times New Roman" w:hAnsi="Times New Roman"/>
                <w:sz w:val="22"/>
                <w:szCs w:val="22"/>
              </w:rPr>
              <w:t xml:space="preserve">Significant Accomplishments, Awards, Highlights            </w:t>
            </w:r>
          </w:p>
        </w:tc>
        <w:tc>
          <w:tcPr>
            <w:tcW w:w="2340" w:type="dxa"/>
            <w:tcBorders>
              <w:top w:val="single" w:sz="7" w:space="0" w:color="000000"/>
              <w:left w:val="single" w:sz="7" w:space="0" w:color="000000"/>
              <w:bottom w:val="single" w:sz="8" w:space="0" w:color="000000"/>
              <w:right w:val="single" w:sz="6" w:space="0" w:color="FFFFFF"/>
            </w:tcBorders>
          </w:tcPr>
          <w:p w14:paraId="1056B79B" w14:textId="77777777" w:rsidR="00427659" w:rsidRPr="00126472" w:rsidRDefault="00427659" w:rsidP="00425C31">
            <w:pPr>
              <w:widowControl/>
              <w:spacing w:after="58"/>
              <w:jc w:val="center"/>
              <w:rPr>
                <w:rFonts w:ascii="Times New Roman" w:hAnsi="Times New Roman"/>
                <w:sz w:val="22"/>
                <w:szCs w:val="22"/>
              </w:rPr>
            </w:pPr>
            <w:r w:rsidRPr="00126472">
              <w:rPr>
                <w:rFonts w:ascii="Times New Roman" w:hAnsi="Times New Roman"/>
                <w:sz w:val="22"/>
                <w:szCs w:val="22"/>
              </w:rPr>
              <w:t xml:space="preserve"> </w:t>
            </w:r>
          </w:p>
        </w:tc>
        <w:tc>
          <w:tcPr>
            <w:tcW w:w="1620" w:type="dxa"/>
            <w:tcBorders>
              <w:top w:val="single" w:sz="7" w:space="0" w:color="000000"/>
              <w:left w:val="single" w:sz="7" w:space="0" w:color="000000"/>
              <w:bottom w:val="single" w:sz="8" w:space="0" w:color="000000"/>
              <w:right w:val="single" w:sz="6" w:space="0" w:color="FFFFFF"/>
            </w:tcBorders>
          </w:tcPr>
          <w:p w14:paraId="69CE6077" w14:textId="77777777" w:rsidR="00427659" w:rsidRPr="00126472" w:rsidRDefault="00427659" w:rsidP="00425C31">
            <w:pPr>
              <w:widowControl/>
              <w:spacing w:after="58"/>
              <w:jc w:val="center"/>
              <w:rPr>
                <w:rFonts w:ascii="Times New Roman" w:hAnsi="Times New Roman"/>
                <w:sz w:val="22"/>
                <w:szCs w:val="22"/>
              </w:rPr>
            </w:pPr>
            <w:r w:rsidRPr="00126472">
              <w:rPr>
                <w:rFonts w:ascii="Times New Roman" w:hAnsi="Times New Roman"/>
                <w:sz w:val="22"/>
                <w:szCs w:val="22"/>
              </w:rPr>
              <w:t>X</w:t>
            </w:r>
          </w:p>
        </w:tc>
        <w:tc>
          <w:tcPr>
            <w:tcW w:w="783" w:type="dxa"/>
            <w:tcBorders>
              <w:top w:val="single" w:sz="7" w:space="0" w:color="000000"/>
              <w:left w:val="single" w:sz="7" w:space="0" w:color="000000"/>
              <w:bottom w:val="single" w:sz="8" w:space="0" w:color="000000"/>
              <w:right w:val="double" w:sz="7" w:space="0" w:color="000000"/>
            </w:tcBorders>
          </w:tcPr>
          <w:p w14:paraId="2D57A70C" w14:textId="77777777" w:rsidR="00427659" w:rsidRPr="00126472" w:rsidRDefault="00427659" w:rsidP="00425C31">
            <w:pPr>
              <w:widowControl/>
              <w:spacing w:after="58"/>
              <w:jc w:val="center"/>
              <w:rPr>
                <w:rFonts w:ascii="Times New Roman" w:hAnsi="Times New Roman"/>
                <w:sz w:val="22"/>
                <w:szCs w:val="22"/>
              </w:rPr>
            </w:pPr>
            <w:r w:rsidRPr="00126472">
              <w:rPr>
                <w:rFonts w:ascii="Times New Roman" w:hAnsi="Times New Roman"/>
                <w:sz w:val="22"/>
                <w:szCs w:val="22"/>
              </w:rPr>
              <w:t>X</w:t>
            </w:r>
          </w:p>
        </w:tc>
      </w:tr>
      <w:tr w:rsidR="00926D76" w:rsidRPr="00126472" w14:paraId="43E8D26E" w14:textId="77777777" w:rsidTr="00766FCA">
        <w:trPr>
          <w:cantSplit/>
          <w:jc w:val="center"/>
        </w:trPr>
        <w:tc>
          <w:tcPr>
            <w:tcW w:w="5427" w:type="dxa"/>
            <w:tcBorders>
              <w:top w:val="single" w:sz="4" w:space="0" w:color="auto"/>
              <w:left w:val="double" w:sz="7" w:space="0" w:color="000000"/>
              <w:bottom w:val="double" w:sz="7" w:space="0" w:color="000000"/>
              <w:right w:val="single" w:sz="6" w:space="0" w:color="FFFFFF"/>
            </w:tcBorders>
          </w:tcPr>
          <w:p w14:paraId="04A68906" w14:textId="77777777" w:rsidR="00926D76" w:rsidRPr="00126472" w:rsidRDefault="00304F6C" w:rsidP="00425C31">
            <w:pPr>
              <w:widowControl/>
              <w:rPr>
                <w:rFonts w:ascii="Times New Roman" w:hAnsi="Times New Roman"/>
                <w:sz w:val="22"/>
                <w:szCs w:val="22"/>
              </w:rPr>
            </w:pPr>
            <w:r w:rsidRPr="00126472">
              <w:rPr>
                <w:rFonts w:ascii="Times New Roman" w:hAnsi="Times New Roman"/>
                <w:sz w:val="22"/>
                <w:szCs w:val="22"/>
              </w:rPr>
              <w:t>Outcome</w:t>
            </w:r>
            <w:r w:rsidR="008F2653" w:rsidRPr="00126472">
              <w:rPr>
                <w:rFonts w:ascii="Times New Roman" w:hAnsi="Times New Roman"/>
                <w:sz w:val="22"/>
                <w:szCs w:val="22"/>
              </w:rPr>
              <w:t xml:space="preserve"> Measures</w:t>
            </w:r>
          </w:p>
        </w:tc>
        <w:tc>
          <w:tcPr>
            <w:tcW w:w="2340" w:type="dxa"/>
            <w:tcBorders>
              <w:top w:val="single" w:sz="4" w:space="0" w:color="auto"/>
              <w:left w:val="single" w:sz="7" w:space="0" w:color="000000"/>
              <w:bottom w:val="double" w:sz="7" w:space="0" w:color="000000"/>
              <w:right w:val="single" w:sz="6" w:space="0" w:color="FFFFFF"/>
            </w:tcBorders>
          </w:tcPr>
          <w:p w14:paraId="03E357D7" w14:textId="77777777" w:rsidR="00926D76" w:rsidRPr="00126472" w:rsidRDefault="008F2653" w:rsidP="00425C31">
            <w:pPr>
              <w:widowControl/>
              <w:jc w:val="center"/>
              <w:rPr>
                <w:rFonts w:ascii="Times New Roman" w:hAnsi="Times New Roman"/>
                <w:sz w:val="22"/>
                <w:szCs w:val="22"/>
              </w:rPr>
            </w:pPr>
            <w:r w:rsidRPr="00126472">
              <w:rPr>
                <w:rFonts w:ascii="Times New Roman" w:hAnsi="Times New Roman"/>
                <w:sz w:val="22"/>
                <w:szCs w:val="22"/>
              </w:rPr>
              <w:t>X</w:t>
            </w:r>
          </w:p>
        </w:tc>
        <w:tc>
          <w:tcPr>
            <w:tcW w:w="1620" w:type="dxa"/>
            <w:tcBorders>
              <w:top w:val="single" w:sz="4" w:space="0" w:color="auto"/>
              <w:left w:val="single" w:sz="7" w:space="0" w:color="000000"/>
              <w:bottom w:val="double" w:sz="7" w:space="0" w:color="000000"/>
              <w:right w:val="single" w:sz="6" w:space="0" w:color="FFFFFF"/>
            </w:tcBorders>
          </w:tcPr>
          <w:p w14:paraId="43AD9079" w14:textId="77777777" w:rsidR="00926D76" w:rsidRPr="00126472" w:rsidRDefault="00926D76" w:rsidP="00425C31">
            <w:pPr>
              <w:widowControl/>
              <w:jc w:val="center"/>
              <w:rPr>
                <w:rFonts w:ascii="Times New Roman" w:hAnsi="Times New Roman"/>
                <w:sz w:val="22"/>
                <w:szCs w:val="22"/>
              </w:rPr>
            </w:pPr>
          </w:p>
        </w:tc>
        <w:tc>
          <w:tcPr>
            <w:tcW w:w="783" w:type="dxa"/>
            <w:tcBorders>
              <w:top w:val="single" w:sz="4" w:space="0" w:color="auto"/>
              <w:left w:val="single" w:sz="7" w:space="0" w:color="000000"/>
              <w:bottom w:val="double" w:sz="7" w:space="0" w:color="000000"/>
              <w:right w:val="double" w:sz="7" w:space="0" w:color="000000"/>
            </w:tcBorders>
          </w:tcPr>
          <w:p w14:paraId="748C42BA" w14:textId="77777777" w:rsidR="00926D76" w:rsidRPr="00126472" w:rsidRDefault="00926D76" w:rsidP="00425C31">
            <w:pPr>
              <w:widowControl/>
              <w:jc w:val="center"/>
              <w:rPr>
                <w:rFonts w:ascii="Times New Roman" w:hAnsi="Times New Roman"/>
                <w:sz w:val="22"/>
                <w:szCs w:val="22"/>
              </w:rPr>
            </w:pPr>
            <w:r w:rsidRPr="00126472">
              <w:rPr>
                <w:rFonts w:ascii="Times New Roman" w:hAnsi="Times New Roman"/>
                <w:sz w:val="22"/>
                <w:szCs w:val="22"/>
              </w:rPr>
              <w:t>X</w:t>
            </w:r>
          </w:p>
        </w:tc>
      </w:tr>
    </w:tbl>
    <w:p w14:paraId="55DD9F59" w14:textId="77777777" w:rsidR="00427659" w:rsidRPr="000774A5" w:rsidRDefault="00427659" w:rsidP="00425C31">
      <w:pPr>
        <w:widowControl/>
        <w:rPr>
          <w:rFonts w:ascii="Times New Roman" w:hAnsi="Times New Roman"/>
        </w:rPr>
      </w:pPr>
    </w:p>
    <w:p w14:paraId="051DE27E" w14:textId="77777777" w:rsidR="00427659" w:rsidRPr="000774A5" w:rsidRDefault="00427659" w:rsidP="00425C31">
      <w:pPr>
        <w:widowControl/>
        <w:rPr>
          <w:rFonts w:ascii="Times New Roman" w:hAnsi="Times New Roman"/>
        </w:rPr>
      </w:pPr>
    </w:p>
    <w:p w14:paraId="6686A163" w14:textId="36E4A257" w:rsidR="00427659" w:rsidRPr="000774A5" w:rsidRDefault="00AB4CC9" w:rsidP="00804523">
      <w:pPr>
        <w:widowControl/>
        <w:tabs>
          <w:tab w:val="left" w:pos="-1440"/>
        </w:tabs>
        <w:ind w:left="1440" w:hanging="720"/>
        <w:rPr>
          <w:rFonts w:ascii="Times New Roman" w:hAnsi="Times New Roman"/>
        </w:rPr>
      </w:pPr>
      <w:r>
        <w:rPr>
          <w:rFonts w:ascii="Times New Roman" w:hAnsi="Times New Roman"/>
          <w:b/>
          <w:bCs/>
        </w:rPr>
        <w:lastRenderedPageBreak/>
        <w:tab/>
      </w:r>
      <w:r w:rsidR="00427659" w:rsidRPr="000774A5">
        <w:rPr>
          <w:rFonts w:ascii="Times New Roman" w:hAnsi="Times New Roman"/>
          <w:b/>
          <w:bCs/>
        </w:rPr>
        <w:t>(ii)</w:t>
      </w:r>
      <w:r w:rsidR="00427659" w:rsidRPr="000774A5">
        <w:rPr>
          <w:rFonts w:ascii="Times New Roman" w:hAnsi="Times New Roman"/>
          <w:b/>
          <w:bCs/>
        </w:rPr>
        <w:tab/>
        <w:t xml:space="preserve">Respondent Activities (see </w:t>
      </w:r>
      <w:r w:rsidR="0036076D" w:rsidRPr="000774A5">
        <w:rPr>
          <w:rFonts w:ascii="Times New Roman" w:hAnsi="Times New Roman"/>
          <w:b/>
          <w:bCs/>
        </w:rPr>
        <w:t>draft</w:t>
      </w:r>
      <w:r w:rsidR="00427659" w:rsidRPr="000774A5">
        <w:rPr>
          <w:rFonts w:ascii="Times New Roman" w:hAnsi="Times New Roman"/>
          <w:b/>
          <w:bCs/>
        </w:rPr>
        <w:t xml:space="preserve"> </w:t>
      </w:r>
      <w:r w:rsidR="0036076D" w:rsidRPr="000774A5">
        <w:rPr>
          <w:rFonts w:ascii="Times New Roman" w:hAnsi="Times New Roman"/>
          <w:b/>
          <w:bCs/>
        </w:rPr>
        <w:t>survey</w:t>
      </w:r>
      <w:r w:rsidR="00427659" w:rsidRPr="000774A5">
        <w:rPr>
          <w:rFonts w:ascii="Times New Roman" w:hAnsi="Times New Roman"/>
          <w:b/>
          <w:bCs/>
        </w:rPr>
        <w:t xml:space="preserve"> below)</w:t>
      </w:r>
    </w:p>
    <w:p w14:paraId="06FAA5A8" w14:textId="77777777" w:rsidR="00331873" w:rsidRDefault="00331873" w:rsidP="00766FCA">
      <w:pPr>
        <w:widowControl/>
        <w:ind w:left="720"/>
        <w:rPr>
          <w:rFonts w:ascii="Times New Roman" w:hAnsi="Times New Roman"/>
        </w:rPr>
      </w:pPr>
    </w:p>
    <w:p w14:paraId="55EA33D9" w14:textId="256B681D" w:rsidR="00427659" w:rsidRPr="000774A5" w:rsidRDefault="00427659" w:rsidP="006100E4">
      <w:pPr>
        <w:widowControl/>
        <w:ind w:firstLine="720"/>
        <w:rPr>
          <w:rFonts w:ascii="Times New Roman" w:hAnsi="Times New Roman"/>
        </w:rPr>
      </w:pPr>
      <w:r w:rsidRPr="000774A5">
        <w:rPr>
          <w:rFonts w:ascii="Times New Roman" w:hAnsi="Times New Roman"/>
        </w:rPr>
        <w:t>The respondents will engage in the following activities to assemble, submit, and store the data items l</w:t>
      </w:r>
      <w:r w:rsidR="000D1AD7">
        <w:rPr>
          <w:rFonts w:ascii="Times New Roman" w:hAnsi="Times New Roman"/>
        </w:rPr>
        <w:t xml:space="preserve">isted in the previous section. </w:t>
      </w:r>
      <w:r w:rsidRPr="000774A5">
        <w:rPr>
          <w:rFonts w:ascii="Times New Roman" w:hAnsi="Times New Roman"/>
        </w:rPr>
        <w:t>These activities reflect the items of burden mandated by the 1995 Paperwork Reduction Act.</w:t>
      </w:r>
    </w:p>
    <w:p w14:paraId="14D3E05B" w14:textId="77777777" w:rsidR="00427659" w:rsidRPr="00AB4CC9" w:rsidRDefault="00427659" w:rsidP="00425C31">
      <w:pPr>
        <w:widowControl/>
        <w:rPr>
          <w:rFonts w:ascii="Times New Roman" w:hAnsi="Times New Roman"/>
          <w:i/>
        </w:rPr>
      </w:pPr>
    </w:p>
    <w:p w14:paraId="1F52B257" w14:textId="27454428" w:rsidR="00427659" w:rsidRPr="000774A5" w:rsidRDefault="00427659" w:rsidP="006100E4">
      <w:pPr>
        <w:widowControl/>
        <w:rPr>
          <w:rFonts w:ascii="Times New Roman" w:hAnsi="Times New Roman"/>
        </w:rPr>
      </w:pPr>
      <w:r w:rsidRPr="00AB4CC9">
        <w:rPr>
          <w:rFonts w:ascii="Times New Roman" w:hAnsi="Times New Roman"/>
          <w:i/>
          <w:iCs/>
        </w:rPr>
        <w:t>Review Instructions</w:t>
      </w:r>
      <w:r w:rsidRPr="00AB4CC9">
        <w:rPr>
          <w:rFonts w:ascii="Times New Roman" w:hAnsi="Times New Roman"/>
          <w:iCs/>
        </w:rPr>
        <w:t xml:space="preserve"> </w:t>
      </w:r>
      <w:r w:rsidR="004D1D3B" w:rsidRPr="00AB4CC9">
        <w:rPr>
          <w:rFonts w:ascii="Times New Roman" w:hAnsi="Times New Roman"/>
        </w:rPr>
        <w:t>–</w:t>
      </w:r>
      <w:r w:rsidRPr="000774A5">
        <w:rPr>
          <w:rFonts w:ascii="Times New Roman" w:hAnsi="Times New Roman"/>
        </w:rPr>
        <w:t xml:space="preserve"> </w:t>
      </w:r>
      <w:r w:rsidR="004D1D3B">
        <w:rPr>
          <w:rFonts w:ascii="Times New Roman" w:hAnsi="Times New Roman"/>
        </w:rPr>
        <w:t>The i</w:t>
      </w:r>
      <w:r w:rsidRPr="000774A5">
        <w:rPr>
          <w:rFonts w:ascii="Times New Roman" w:hAnsi="Times New Roman"/>
        </w:rPr>
        <w:t>nstructions are straight forward</w:t>
      </w:r>
      <w:r w:rsidR="008F2653" w:rsidRPr="000774A5">
        <w:rPr>
          <w:rFonts w:ascii="Times New Roman" w:hAnsi="Times New Roman"/>
        </w:rPr>
        <w:t xml:space="preserve">, </w:t>
      </w:r>
      <w:r w:rsidR="003A7A45" w:rsidRPr="000774A5">
        <w:rPr>
          <w:rFonts w:ascii="Times New Roman" w:hAnsi="Times New Roman"/>
        </w:rPr>
        <w:t>include</w:t>
      </w:r>
      <w:r w:rsidR="008F2653" w:rsidRPr="000774A5">
        <w:rPr>
          <w:rFonts w:ascii="Times New Roman" w:hAnsi="Times New Roman"/>
        </w:rPr>
        <w:t xml:space="preserve"> several examples</w:t>
      </w:r>
      <w:r w:rsidRPr="000774A5">
        <w:rPr>
          <w:rFonts w:ascii="Times New Roman" w:hAnsi="Times New Roman"/>
        </w:rPr>
        <w:t xml:space="preserve">, and </w:t>
      </w:r>
      <w:r w:rsidR="004D1D3B">
        <w:rPr>
          <w:rFonts w:ascii="Times New Roman" w:hAnsi="Times New Roman"/>
        </w:rPr>
        <w:t xml:space="preserve">makes note that </w:t>
      </w:r>
      <w:r w:rsidR="008F2653" w:rsidRPr="000774A5">
        <w:rPr>
          <w:rFonts w:ascii="Times New Roman" w:hAnsi="Times New Roman"/>
        </w:rPr>
        <w:t>the Form will remain the same f</w:t>
      </w:r>
      <w:r w:rsidRPr="000774A5">
        <w:rPr>
          <w:rFonts w:ascii="Times New Roman" w:hAnsi="Times New Roman"/>
        </w:rPr>
        <w:t>o</w:t>
      </w:r>
      <w:r w:rsidR="008F2653" w:rsidRPr="000774A5">
        <w:rPr>
          <w:rFonts w:ascii="Times New Roman" w:hAnsi="Times New Roman"/>
        </w:rPr>
        <w:t>r the next three years</w:t>
      </w:r>
      <w:r w:rsidRPr="000774A5">
        <w:rPr>
          <w:rFonts w:ascii="Times New Roman" w:hAnsi="Times New Roman"/>
        </w:rPr>
        <w:t>.</w:t>
      </w:r>
    </w:p>
    <w:p w14:paraId="42907EAF" w14:textId="77777777" w:rsidR="00427659" w:rsidRPr="000774A5" w:rsidRDefault="00427659" w:rsidP="00425C31">
      <w:pPr>
        <w:widowControl/>
        <w:rPr>
          <w:rFonts w:ascii="Times New Roman" w:hAnsi="Times New Roman"/>
        </w:rPr>
      </w:pPr>
    </w:p>
    <w:p w14:paraId="3C58D990" w14:textId="77777777" w:rsidR="00427659" w:rsidRPr="000774A5" w:rsidRDefault="00427659" w:rsidP="006100E4">
      <w:pPr>
        <w:widowControl/>
        <w:rPr>
          <w:rFonts w:ascii="Times New Roman" w:hAnsi="Times New Roman"/>
        </w:rPr>
      </w:pPr>
      <w:r w:rsidRPr="000774A5">
        <w:rPr>
          <w:rFonts w:ascii="Times New Roman" w:hAnsi="Times New Roman"/>
          <w:i/>
          <w:iCs/>
        </w:rPr>
        <w:t>Acquire, Install, and Utilize Technology and Systems</w:t>
      </w:r>
      <w:r w:rsidRPr="000774A5">
        <w:rPr>
          <w:rFonts w:ascii="Times New Roman" w:hAnsi="Times New Roman"/>
        </w:rPr>
        <w:t xml:space="preserve"> -- Information requested in this ICR is typical of information gathered as part of good business practices</w:t>
      </w:r>
      <w:r w:rsidR="008F2653" w:rsidRPr="000774A5">
        <w:rPr>
          <w:rFonts w:ascii="Times New Roman" w:hAnsi="Times New Roman"/>
        </w:rPr>
        <w:t xml:space="preserve"> and anticipates future data needs</w:t>
      </w:r>
      <w:r w:rsidRPr="000774A5">
        <w:rPr>
          <w:rFonts w:ascii="Times New Roman" w:hAnsi="Times New Roman"/>
        </w:rPr>
        <w:t xml:space="preserve">.  No special technology or systems </w:t>
      </w:r>
      <w:r w:rsidR="0033139D" w:rsidRPr="000774A5">
        <w:rPr>
          <w:rFonts w:ascii="Times New Roman" w:hAnsi="Times New Roman"/>
        </w:rPr>
        <w:t>are</w:t>
      </w:r>
      <w:r w:rsidRPr="000774A5">
        <w:rPr>
          <w:rFonts w:ascii="Times New Roman" w:hAnsi="Times New Roman"/>
        </w:rPr>
        <w:t xml:space="preserve"> required for this collection</w:t>
      </w:r>
      <w:r w:rsidR="003A7A45" w:rsidRPr="000774A5">
        <w:rPr>
          <w:rFonts w:ascii="Times New Roman" w:hAnsi="Times New Roman"/>
        </w:rPr>
        <w:t>.  H</w:t>
      </w:r>
      <w:r w:rsidR="008F2653" w:rsidRPr="000774A5">
        <w:rPr>
          <w:rFonts w:ascii="Times New Roman" w:hAnsi="Times New Roman"/>
        </w:rPr>
        <w:t xml:space="preserve">owever programs will be encouraged to share methods they have developed </w:t>
      </w:r>
      <w:r w:rsidR="003A7A45" w:rsidRPr="000774A5">
        <w:rPr>
          <w:rFonts w:ascii="Times New Roman" w:hAnsi="Times New Roman"/>
        </w:rPr>
        <w:t>to</w:t>
      </w:r>
      <w:r w:rsidR="008F2653" w:rsidRPr="000774A5">
        <w:rPr>
          <w:rFonts w:ascii="Times New Roman" w:hAnsi="Times New Roman"/>
        </w:rPr>
        <w:t xml:space="preserve"> make the data collection easier</w:t>
      </w:r>
      <w:r w:rsidRPr="000774A5">
        <w:rPr>
          <w:rFonts w:ascii="Times New Roman" w:hAnsi="Times New Roman"/>
        </w:rPr>
        <w:t>.</w:t>
      </w:r>
    </w:p>
    <w:p w14:paraId="379F48EC" w14:textId="77777777" w:rsidR="00427659" w:rsidRPr="000774A5" w:rsidRDefault="00427659" w:rsidP="00193C23">
      <w:pPr>
        <w:widowControl/>
        <w:ind w:left="1440"/>
        <w:rPr>
          <w:rFonts w:ascii="Times New Roman" w:hAnsi="Times New Roman"/>
        </w:rPr>
      </w:pPr>
    </w:p>
    <w:p w14:paraId="74BD56E1" w14:textId="775C864D" w:rsidR="00427659" w:rsidRPr="000774A5" w:rsidRDefault="00427659" w:rsidP="006100E4">
      <w:pPr>
        <w:widowControl/>
        <w:rPr>
          <w:rFonts w:ascii="Times New Roman" w:hAnsi="Times New Roman"/>
        </w:rPr>
      </w:pPr>
      <w:r w:rsidRPr="000774A5">
        <w:rPr>
          <w:rFonts w:ascii="Times New Roman" w:hAnsi="Times New Roman"/>
          <w:i/>
          <w:iCs/>
        </w:rPr>
        <w:t>Adjust the Existing Ways to Comply with Any Previously Applicable Instructions and Requirements</w:t>
      </w:r>
      <w:r w:rsidRPr="000774A5">
        <w:rPr>
          <w:rFonts w:ascii="Times New Roman" w:hAnsi="Times New Roman"/>
        </w:rPr>
        <w:t xml:space="preserve"> -- </w:t>
      </w:r>
      <w:r w:rsidR="00985FD2" w:rsidRPr="000774A5">
        <w:rPr>
          <w:rFonts w:ascii="Times New Roman" w:hAnsi="Times New Roman"/>
        </w:rPr>
        <w:t>T</w:t>
      </w:r>
      <w:r w:rsidRPr="000774A5">
        <w:rPr>
          <w:rFonts w:ascii="Times New Roman" w:hAnsi="Times New Roman"/>
        </w:rPr>
        <w:t>he Reporting Form will rema</w:t>
      </w:r>
      <w:r w:rsidR="00782578">
        <w:rPr>
          <w:rFonts w:ascii="Times New Roman" w:hAnsi="Times New Roman"/>
        </w:rPr>
        <w:t xml:space="preserve">in the same from year to year. </w:t>
      </w:r>
      <w:r w:rsidR="0097735C">
        <w:rPr>
          <w:rFonts w:ascii="Times New Roman" w:hAnsi="Times New Roman"/>
        </w:rPr>
        <w:t>R</w:t>
      </w:r>
      <w:r w:rsidR="00985FD2" w:rsidRPr="000774A5">
        <w:rPr>
          <w:rFonts w:ascii="Times New Roman" w:hAnsi="Times New Roman"/>
        </w:rPr>
        <w:t xml:space="preserve">espondents </w:t>
      </w:r>
      <w:r w:rsidR="0097735C">
        <w:rPr>
          <w:rFonts w:ascii="Times New Roman" w:hAnsi="Times New Roman"/>
        </w:rPr>
        <w:t xml:space="preserve">have consistently found the basic structure and breadth of questions to remain the same as </w:t>
      </w:r>
      <w:r w:rsidR="003C7F1B">
        <w:rPr>
          <w:rFonts w:ascii="Times New Roman" w:hAnsi="Times New Roman"/>
        </w:rPr>
        <w:t xml:space="preserve">the </w:t>
      </w:r>
      <w:r w:rsidR="0097735C">
        <w:rPr>
          <w:rFonts w:ascii="Times New Roman" w:hAnsi="Times New Roman"/>
        </w:rPr>
        <w:t>previous</w:t>
      </w:r>
      <w:r w:rsidR="003C7F1B">
        <w:rPr>
          <w:rFonts w:ascii="Times New Roman" w:hAnsi="Times New Roman"/>
        </w:rPr>
        <w:t>ly approved</w:t>
      </w:r>
      <w:r w:rsidR="0097735C">
        <w:rPr>
          <w:rFonts w:ascii="Times New Roman" w:hAnsi="Times New Roman"/>
        </w:rPr>
        <w:t xml:space="preserve"> versions</w:t>
      </w:r>
      <w:r w:rsidR="00985FD2" w:rsidRPr="000774A5">
        <w:rPr>
          <w:rFonts w:ascii="Times New Roman" w:hAnsi="Times New Roman"/>
        </w:rPr>
        <w:t>.</w:t>
      </w:r>
    </w:p>
    <w:p w14:paraId="1EBAEB14" w14:textId="77777777" w:rsidR="00427659" w:rsidRPr="000774A5" w:rsidRDefault="00427659" w:rsidP="00193C23">
      <w:pPr>
        <w:widowControl/>
        <w:ind w:left="1440"/>
        <w:rPr>
          <w:rFonts w:ascii="Times New Roman" w:hAnsi="Times New Roman"/>
        </w:rPr>
      </w:pPr>
    </w:p>
    <w:p w14:paraId="03D92321" w14:textId="19C35120" w:rsidR="00427659" w:rsidRPr="000774A5" w:rsidRDefault="00427659" w:rsidP="006100E4">
      <w:pPr>
        <w:widowControl/>
        <w:rPr>
          <w:rFonts w:ascii="Times New Roman" w:hAnsi="Times New Roman"/>
        </w:rPr>
      </w:pPr>
      <w:r w:rsidRPr="000774A5">
        <w:rPr>
          <w:rFonts w:ascii="Times New Roman" w:hAnsi="Times New Roman"/>
          <w:i/>
          <w:iCs/>
        </w:rPr>
        <w:t>Search Data Sources</w:t>
      </w:r>
      <w:r w:rsidRPr="000774A5">
        <w:rPr>
          <w:rFonts w:ascii="Times New Roman" w:hAnsi="Times New Roman"/>
        </w:rPr>
        <w:t xml:space="preserve"> -- Gathering and updating information is an annual task</w:t>
      </w:r>
      <w:r w:rsidR="003A7A45" w:rsidRPr="000774A5">
        <w:rPr>
          <w:rFonts w:ascii="Times New Roman" w:hAnsi="Times New Roman"/>
        </w:rPr>
        <w:t xml:space="preserve"> and</w:t>
      </w:r>
      <w:r w:rsidRPr="000774A5">
        <w:rPr>
          <w:rFonts w:ascii="Times New Roman" w:hAnsi="Times New Roman"/>
        </w:rPr>
        <w:t xml:space="preserve"> states have been reporting on the activities</w:t>
      </w:r>
      <w:r w:rsidR="000D1AD7">
        <w:rPr>
          <w:rFonts w:ascii="Times New Roman" w:hAnsi="Times New Roman"/>
        </w:rPr>
        <w:t xml:space="preserve"> of their programs since 1995. </w:t>
      </w:r>
      <w:r w:rsidR="00EA0C95">
        <w:rPr>
          <w:rFonts w:ascii="Times New Roman" w:hAnsi="Times New Roman"/>
        </w:rPr>
        <w:t>Most d</w:t>
      </w:r>
      <w:r w:rsidRPr="000774A5">
        <w:rPr>
          <w:rFonts w:ascii="Times New Roman" w:hAnsi="Times New Roman"/>
        </w:rPr>
        <w:t>ata items requested</w:t>
      </w:r>
      <w:r w:rsidR="00985FD2" w:rsidRPr="000774A5">
        <w:rPr>
          <w:rFonts w:ascii="Times New Roman" w:hAnsi="Times New Roman"/>
        </w:rPr>
        <w:t xml:space="preserve"> are</w:t>
      </w:r>
      <w:r w:rsidRPr="000774A5">
        <w:rPr>
          <w:rFonts w:ascii="Times New Roman" w:hAnsi="Times New Roman"/>
        </w:rPr>
        <w:t xml:space="preserve"> in the </w:t>
      </w:r>
      <w:r w:rsidR="003A7A45" w:rsidRPr="000774A5">
        <w:rPr>
          <w:rFonts w:ascii="Times New Roman" w:hAnsi="Times New Roman"/>
        </w:rPr>
        <w:t xml:space="preserve">current </w:t>
      </w:r>
      <w:r w:rsidRPr="000774A5">
        <w:rPr>
          <w:rFonts w:ascii="Times New Roman" w:hAnsi="Times New Roman"/>
        </w:rPr>
        <w:t xml:space="preserve">Form </w:t>
      </w:r>
      <w:r w:rsidR="00985FD2" w:rsidRPr="000774A5">
        <w:rPr>
          <w:rFonts w:ascii="Times New Roman" w:hAnsi="Times New Roman"/>
        </w:rPr>
        <w:t xml:space="preserve">and </w:t>
      </w:r>
      <w:r w:rsidR="00EA0C95">
        <w:rPr>
          <w:rFonts w:ascii="Times New Roman" w:hAnsi="Times New Roman"/>
        </w:rPr>
        <w:t xml:space="preserve">all data are </w:t>
      </w:r>
      <w:r w:rsidRPr="000774A5">
        <w:rPr>
          <w:rFonts w:ascii="Times New Roman" w:hAnsi="Times New Roman"/>
        </w:rPr>
        <w:t xml:space="preserve">collected as </w:t>
      </w:r>
      <w:r w:rsidR="00985FD2" w:rsidRPr="000774A5">
        <w:rPr>
          <w:rFonts w:ascii="Times New Roman" w:hAnsi="Times New Roman"/>
        </w:rPr>
        <w:t xml:space="preserve">a </w:t>
      </w:r>
      <w:r w:rsidRPr="000774A5">
        <w:rPr>
          <w:rFonts w:ascii="Times New Roman" w:hAnsi="Times New Roman"/>
        </w:rPr>
        <w:t>customary business practice</w:t>
      </w:r>
      <w:r w:rsidR="00EA0C95">
        <w:rPr>
          <w:rFonts w:ascii="Times New Roman" w:hAnsi="Times New Roman"/>
        </w:rPr>
        <w:t>.</w:t>
      </w:r>
    </w:p>
    <w:p w14:paraId="3C2559B1" w14:textId="77777777" w:rsidR="00427659" w:rsidRPr="000774A5" w:rsidRDefault="00427659" w:rsidP="00193C23">
      <w:pPr>
        <w:widowControl/>
        <w:ind w:left="1440"/>
        <w:rPr>
          <w:rFonts w:ascii="Times New Roman" w:hAnsi="Times New Roman"/>
        </w:rPr>
      </w:pPr>
    </w:p>
    <w:p w14:paraId="7FEEB7AF" w14:textId="10FF004A" w:rsidR="00427659" w:rsidRPr="000774A5" w:rsidRDefault="00427659" w:rsidP="006100E4">
      <w:pPr>
        <w:widowControl/>
        <w:rPr>
          <w:rFonts w:ascii="Times New Roman" w:hAnsi="Times New Roman"/>
        </w:rPr>
      </w:pPr>
      <w:r w:rsidRPr="000774A5">
        <w:rPr>
          <w:rFonts w:ascii="Times New Roman" w:hAnsi="Times New Roman"/>
          <w:i/>
          <w:iCs/>
        </w:rPr>
        <w:t>Complete and Review the Collection of Information</w:t>
      </w:r>
      <w:r w:rsidRPr="000774A5">
        <w:rPr>
          <w:rFonts w:ascii="Times New Roman" w:hAnsi="Times New Roman"/>
        </w:rPr>
        <w:t xml:space="preserve"> -- Programs will provide data and one narrative to complete their submissions.  </w:t>
      </w:r>
      <w:r w:rsidR="00985FD2" w:rsidRPr="000774A5">
        <w:rPr>
          <w:rFonts w:ascii="Times New Roman" w:hAnsi="Times New Roman"/>
        </w:rPr>
        <w:t>Most of the</w:t>
      </w:r>
      <w:r w:rsidRPr="000774A5">
        <w:rPr>
          <w:rFonts w:ascii="Times New Roman" w:hAnsi="Times New Roman"/>
        </w:rPr>
        <w:t xml:space="preserve"> information should be readily available.  </w:t>
      </w:r>
      <w:r w:rsidR="00C71017" w:rsidRPr="000774A5">
        <w:rPr>
          <w:rFonts w:ascii="Times New Roman" w:hAnsi="Times New Roman"/>
        </w:rPr>
        <w:t>For their narrative submission, s</w:t>
      </w:r>
      <w:r w:rsidRPr="000774A5">
        <w:rPr>
          <w:rFonts w:ascii="Times New Roman" w:hAnsi="Times New Roman"/>
        </w:rPr>
        <w:t xml:space="preserve">tates </w:t>
      </w:r>
      <w:r w:rsidR="00985FD2" w:rsidRPr="000774A5">
        <w:rPr>
          <w:rFonts w:ascii="Times New Roman" w:hAnsi="Times New Roman"/>
        </w:rPr>
        <w:t>are encouraged to select examples that</w:t>
      </w:r>
      <w:r w:rsidRPr="000774A5">
        <w:rPr>
          <w:rFonts w:ascii="Times New Roman" w:hAnsi="Times New Roman"/>
        </w:rPr>
        <w:t xml:space="preserve"> best </w:t>
      </w:r>
      <w:r w:rsidR="00985FD2" w:rsidRPr="000774A5">
        <w:rPr>
          <w:rFonts w:ascii="Times New Roman" w:hAnsi="Times New Roman"/>
        </w:rPr>
        <w:t>demonstrate</w:t>
      </w:r>
      <w:r w:rsidRPr="000774A5">
        <w:rPr>
          <w:rFonts w:ascii="Times New Roman" w:hAnsi="Times New Roman"/>
        </w:rPr>
        <w:t xml:space="preserve"> the operations and accomplishments </w:t>
      </w:r>
      <w:r w:rsidR="00C71017" w:rsidRPr="000774A5">
        <w:rPr>
          <w:rFonts w:ascii="Times New Roman" w:hAnsi="Times New Roman"/>
        </w:rPr>
        <w:t>of</w:t>
      </w:r>
      <w:r w:rsidRPr="000774A5">
        <w:rPr>
          <w:rFonts w:ascii="Times New Roman" w:hAnsi="Times New Roman"/>
        </w:rPr>
        <w:t xml:space="preserve"> their programs</w:t>
      </w:r>
      <w:r w:rsidR="00C71017" w:rsidRPr="000774A5">
        <w:rPr>
          <w:rFonts w:ascii="Times New Roman" w:hAnsi="Times New Roman"/>
        </w:rPr>
        <w:t>.</w:t>
      </w:r>
      <w:r w:rsidR="000D1AD7">
        <w:rPr>
          <w:rFonts w:ascii="Times New Roman" w:hAnsi="Times New Roman"/>
        </w:rPr>
        <w:t xml:space="preserve"> </w:t>
      </w:r>
      <w:r w:rsidRPr="000774A5">
        <w:rPr>
          <w:rFonts w:ascii="Times New Roman" w:hAnsi="Times New Roman"/>
        </w:rPr>
        <w:t>Recording and reviewing the required information should be s</w:t>
      </w:r>
      <w:r w:rsidR="000D1AD7">
        <w:rPr>
          <w:rFonts w:ascii="Times New Roman" w:hAnsi="Times New Roman"/>
        </w:rPr>
        <w:t xml:space="preserve">traightforward and procedural. </w:t>
      </w:r>
      <w:r w:rsidRPr="000774A5">
        <w:rPr>
          <w:rFonts w:ascii="Times New Roman" w:hAnsi="Times New Roman"/>
        </w:rPr>
        <w:t>Completion and review of the Reporting Form is anticipated to be a cooperative effort among the key program staff.</w:t>
      </w:r>
    </w:p>
    <w:p w14:paraId="0409B35B" w14:textId="77777777" w:rsidR="00427659" w:rsidRPr="000774A5" w:rsidRDefault="00427659" w:rsidP="00425C31">
      <w:pPr>
        <w:widowControl/>
        <w:rPr>
          <w:rFonts w:ascii="Times New Roman" w:hAnsi="Times New Roman"/>
        </w:rPr>
      </w:pPr>
    </w:p>
    <w:p w14:paraId="03326A6D" w14:textId="41285A77" w:rsidR="00427659" w:rsidRPr="000774A5" w:rsidRDefault="00427659" w:rsidP="006100E4">
      <w:pPr>
        <w:widowControl/>
        <w:rPr>
          <w:rFonts w:ascii="Times New Roman" w:hAnsi="Times New Roman"/>
        </w:rPr>
      </w:pPr>
      <w:r w:rsidRPr="000774A5">
        <w:rPr>
          <w:rFonts w:ascii="Times New Roman" w:hAnsi="Times New Roman"/>
          <w:i/>
          <w:iCs/>
        </w:rPr>
        <w:t>Transmit or Otherwise Disclose the Information</w:t>
      </w:r>
      <w:r w:rsidRPr="000774A5">
        <w:rPr>
          <w:rFonts w:ascii="Times New Roman" w:hAnsi="Times New Roman"/>
        </w:rPr>
        <w:t xml:space="preserve"> -- The Reporting Form will be </w:t>
      </w:r>
      <w:r w:rsidR="00985FD2" w:rsidRPr="000774A5">
        <w:rPr>
          <w:rFonts w:ascii="Times New Roman" w:hAnsi="Times New Roman"/>
        </w:rPr>
        <w:t>given to the respondents via email</w:t>
      </w:r>
      <w:r w:rsidRPr="000774A5">
        <w:rPr>
          <w:rFonts w:ascii="Times New Roman" w:hAnsi="Times New Roman"/>
        </w:rPr>
        <w:t xml:space="preserve">.  Each respondent will </w:t>
      </w:r>
      <w:r w:rsidR="00985FD2" w:rsidRPr="000774A5">
        <w:rPr>
          <w:rFonts w:ascii="Times New Roman" w:hAnsi="Times New Roman"/>
        </w:rPr>
        <w:t xml:space="preserve">then complete the information and return it to the </w:t>
      </w:r>
      <w:r w:rsidR="003C7F1B">
        <w:rPr>
          <w:rFonts w:ascii="Times New Roman" w:hAnsi="Times New Roman"/>
        </w:rPr>
        <w:t>A</w:t>
      </w:r>
      <w:r w:rsidR="00985FD2" w:rsidRPr="000774A5">
        <w:rPr>
          <w:rFonts w:ascii="Times New Roman" w:hAnsi="Times New Roman"/>
        </w:rPr>
        <w:t>SBO using the same method</w:t>
      </w:r>
      <w:r w:rsidR="000D1AD7">
        <w:rPr>
          <w:rFonts w:ascii="Times New Roman" w:hAnsi="Times New Roman"/>
        </w:rPr>
        <w:t xml:space="preserve">. </w:t>
      </w:r>
      <w:r w:rsidRPr="000774A5">
        <w:rPr>
          <w:rFonts w:ascii="Times New Roman" w:hAnsi="Times New Roman"/>
        </w:rPr>
        <w:t xml:space="preserve">This approach will enable the </w:t>
      </w:r>
      <w:r w:rsidR="003C7F1B">
        <w:rPr>
          <w:rFonts w:ascii="Times New Roman" w:hAnsi="Times New Roman"/>
        </w:rPr>
        <w:t>A</w:t>
      </w:r>
      <w:r w:rsidRPr="000774A5">
        <w:rPr>
          <w:rFonts w:ascii="Times New Roman" w:hAnsi="Times New Roman"/>
        </w:rPr>
        <w:t>SBO to efficiently compile the information from the individual p</w:t>
      </w:r>
      <w:r w:rsidR="00782578">
        <w:rPr>
          <w:rFonts w:ascii="Times New Roman" w:hAnsi="Times New Roman"/>
        </w:rPr>
        <w:t>rograms and prepare a periodic r</w:t>
      </w:r>
      <w:r w:rsidRPr="000774A5">
        <w:rPr>
          <w:rFonts w:ascii="Times New Roman" w:hAnsi="Times New Roman"/>
        </w:rPr>
        <w:t>eport.</w:t>
      </w:r>
    </w:p>
    <w:p w14:paraId="40298C33" w14:textId="77777777" w:rsidR="00427659" w:rsidRPr="000774A5" w:rsidRDefault="00427659" w:rsidP="00193C23">
      <w:pPr>
        <w:widowControl/>
        <w:ind w:left="1440"/>
        <w:rPr>
          <w:rFonts w:ascii="Times New Roman" w:hAnsi="Times New Roman"/>
        </w:rPr>
      </w:pPr>
    </w:p>
    <w:p w14:paraId="14F447A4" w14:textId="36C768B2" w:rsidR="009D4735" w:rsidRPr="000774A5" w:rsidRDefault="00427659" w:rsidP="006100E4">
      <w:pPr>
        <w:widowControl/>
        <w:rPr>
          <w:rFonts w:ascii="Times New Roman" w:hAnsi="Times New Roman"/>
        </w:rPr>
      </w:pPr>
      <w:r w:rsidRPr="000774A5">
        <w:rPr>
          <w:rFonts w:ascii="Times New Roman" w:hAnsi="Times New Roman"/>
          <w:i/>
          <w:iCs/>
        </w:rPr>
        <w:t>Store, File, and Maintain</w:t>
      </w:r>
      <w:r w:rsidRPr="000774A5">
        <w:rPr>
          <w:rFonts w:ascii="Times New Roman" w:hAnsi="Times New Roman"/>
        </w:rPr>
        <w:t xml:space="preserve"> -- The EPA </w:t>
      </w:r>
      <w:r w:rsidR="003C7F1B">
        <w:rPr>
          <w:rFonts w:ascii="Times New Roman" w:hAnsi="Times New Roman"/>
        </w:rPr>
        <w:t>A</w:t>
      </w:r>
      <w:r w:rsidRPr="000774A5">
        <w:rPr>
          <w:rFonts w:ascii="Times New Roman" w:hAnsi="Times New Roman"/>
        </w:rPr>
        <w:t>SBO does not mandate any requirement on file storage and retention.  Each state may set its own requirements on the length of time and the manner in which they store and retain their files.</w:t>
      </w:r>
    </w:p>
    <w:p w14:paraId="4537F64F" w14:textId="77777777" w:rsidR="00D02CFD" w:rsidRPr="000774A5" w:rsidRDefault="00D02CFD" w:rsidP="006100E4">
      <w:pPr>
        <w:widowControl/>
        <w:rPr>
          <w:rFonts w:ascii="Times New Roman" w:hAnsi="Times New Roman"/>
        </w:rPr>
      </w:pPr>
    </w:p>
    <w:p w14:paraId="0EF11955" w14:textId="77777777" w:rsidR="000774A5" w:rsidRPr="000774A5" w:rsidRDefault="000774A5" w:rsidP="00425C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0774A5">
        <w:rPr>
          <w:rFonts w:ascii="Times New Roman" w:hAnsi="Times New Roman"/>
          <w:b/>
          <w:bCs/>
        </w:rPr>
        <w:t>5.</w:t>
      </w:r>
      <w:r w:rsidRPr="000774A5">
        <w:rPr>
          <w:rFonts w:ascii="Times New Roman" w:hAnsi="Times New Roman"/>
          <w:b/>
          <w:bCs/>
        </w:rPr>
        <w:tab/>
        <w:t>THE INFORMATION COLLECTED -- AGENCY ACTIVITIES, COLLECTION METHODOLOGY, AND INFORMATION MANAGEMENT</w:t>
      </w:r>
    </w:p>
    <w:p w14:paraId="5265832E" w14:textId="77777777" w:rsidR="000774A5" w:rsidRPr="000774A5" w:rsidRDefault="000774A5" w:rsidP="00425C31">
      <w:pPr>
        <w:widowControl/>
        <w:rPr>
          <w:rFonts w:ascii="Times New Roman" w:hAnsi="Times New Roman"/>
        </w:rPr>
      </w:pPr>
    </w:p>
    <w:p w14:paraId="1B66697C" w14:textId="7C34BFB0" w:rsidR="000774A5" w:rsidRPr="000774A5" w:rsidRDefault="00AB4CC9"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sidR="000774A5" w:rsidRPr="000774A5">
        <w:rPr>
          <w:rFonts w:ascii="Times New Roman" w:hAnsi="Times New Roman"/>
          <w:b/>
          <w:bCs/>
        </w:rPr>
        <w:t>5(a)</w:t>
      </w:r>
      <w:r w:rsidR="000774A5" w:rsidRPr="000774A5">
        <w:rPr>
          <w:rFonts w:ascii="Times New Roman" w:hAnsi="Times New Roman"/>
          <w:b/>
          <w:bCs/>
        </w:rPr>
        <w:tab/>
        <w:t>Agency Activities</w:t>
      </w:r>
    </w:p>
    <w:p w14:paraId="68F480B6" w14:textId="77777777" w:rsidR="00331873" w:rsidRDefault="00331873" w:rsidP="00193C23">
      <w:pPr>
        <w:widowControl/>
        <w:ind w:left="720"/>
        <w:rPr>
          <w:rFonts w:ascii="Times New Roman" w:hAnsi="Times New Roman"/>
        </w:rPr>
      </w:pPr>
    </w:p>
    <w:p w14:paraId="42E9717E" w14:textId="4E41E73C" w:rsidR="000774A5" w:rsidRPr="000774A5" w:rsidRDefault="000774A5" w:rsidP="006100E4">
      <w:pPr>
        <w:widowControl/>
        <w:ind w:firstLine="720"/>
        <w:rPr>
          <w:rFonts w:ascii="Times New Roman" w:hAnsi="Times New Roman"/>
        </w:rPr>
      </w:pPr>
      <w:r w:rsidRPr="000774A5">
        <w:rPr>
          <w:rFonts w:ascii="Times New Roman" w:hAnsi="Times New Roman"/>
        </w:rPr>
        <w:t>The electronic Reporting Form will be available to states and territories near the be</w:t>
      </w:r>
      <w:r w:rsidR="000D1AD7">
        <w:rPr>
          <w:rFonts w:ascii="Times New Roman" w:hAnsi="Times New Roman"/>
        </w:rPr>
        <w:t xml:space="preserve">ginning of each calendar year. </w:t>
      </w:r>
      <w:r w:rsidRPr="000774A5">
        <w:rPr>
          <w:rFonts w:ascii="Times New Roman" w:hAnsi="Times New Roman"/>
        </w:rPr>
        <w:t xml:space="preserve">Respondents will have at </w:t>
      </w:r>
      <w:r w:rsidR="00321CC2">
        <w:rPr>
          <w:rFonts w:ascii="Times New Roman" w:hAnsi="Times New Roman"/>
        </w:rPr>
        <w:t xml:space="preserve">least </w:t>
      </w:r>
      <w:r w:rsidRPr="000774A5">
        <w:rPr>
          <w:rFonts w:ascii="Times New Roman" w:hAnsi="Times New Roman"/>
        </w:rPr>
        <w:t>60</w:t>
      </w:r>
      <w:r w:rsidR="00EB5376">
        <w:rPr>
          <w:rFonts w:ascii="Times New Roman" w:hAnsi="Times New Roman"/>
        </w:rPr>
        <w:t>-90</w:t>
      </w:r>
      <w:r w:rsidRPr="000774A5">
        <w:rPr>
          <w:rFonts w:ascii="Times New Roman" w:hAnsi="Times New Roman"/>
        </w:rPr>
        <w:t xml:space="preserve"> days to respond to the request for </w:t>
      </w:r>
      <w:r w:rsidRPr="000774A5">
        <w:rPr>
          <w:rFonts w:ascii="Times New Roman" w:hAnsi="Times New Roman"/>
        </w:rPr>
        <w:lastRenderedPageBreak/>
        <w:t xml:space="preserve">information.  The EPA’s </w:t>
      </w:r>
      <w:r>
        <w:rPr>
          <w:rFonts w:ascii="Times New Roman" w:hAnsi="Times New Roman"/>
        </w:rPr>
        <w:t xml:space="preserve">SBO </w:t>
      </w:r>
      <w:r w:rsidRPr="000774A5">
        <w:rPr>
          <w:rFonts w:ascii="Times New Roman" w:hAnsi="Times New Roman"/>
        </w:rPr>
        <w:t>will answer questions from the respondents regarding the Reporting Form.</w:t>
      </w:r>
    </w:p>
    <w:p w14:paraId="10B3D880" w14:textId="77777777" w:rsidR="000774A5" w:rsidRPr="000774A5" w:rsidRDefault="000774A5" w:rsidP="00425C31">
      <w:pPr>
        <w:widowControl/>
        <w:ind w:left="720"/>
        <w:rPr>
          <w:rFonts w:ascii="Times New Roman" w:hAnsi="Times New Roman"/>
        </w:rPr>
      </w:pPr>
    </w:p>
    <w:p w14:paraId="5E85654A" w14:textId="68199456" w:rsidR="000774A5" w:rsidRPr="000774A5" w:rsidRDefault="000774A5" w:rsidP="006100E4">
      <w:pPr>
        <w:widowControl/>
        <w:ind w:firstLine="720"/>
        <w:rPr>
          <w:rFonts w:ascii="Times New Roman" w:hAnsi="Times New Roman"/>
        </w:rPr>
      </w:pPr>
      <w:r w:rsidRPr="000774A5">
        <w:rPr>
          <w:rFonts w:ascii="Times New Roman" w:hAnsi="Times New Roman"/>
        </w:rPr>
        <w:t xml:space="preserve">The EPA </w:t>
      </w:r>
      <w:r w:rsidR="00552F63">
        <w:rPr>
          <w:rFonts w:ascii="Times New Roman" w:hAnsi="Times New Roman"/>
        </w:rPr>
        <w:t>A</w:t>
      </w:r>
      <w:r w:rsidRPr="000774A5">
        <w:rPr>
          <w:rFonts w:ascii="Times New Roman" w:hAnsi="Times New Roman"/>
        </w:rPr>
        <w:t>SBO will collect</w:t>
      </w:r>
      <w:r>
        <w:rPr>
          <w:rFonts w:ascii="Times New Roman" w:hAnsi="Times New Roman"/>
        </w:rPr>
        <w:t>,</w:t>
      </w:r>
      <w:r w:rsidRPr="000774A5">
        <w:rPr>
          <w:rFonts w:ascii="Times New Roman" w:hAnsi="Times New Roman"/>
        </w:rPr>
        <w:t xml:space="preserve"> assemble, analyze, and store the information</w:t>
      </w:r>
      <w:r w:rsidR="00331873">
        <w:rPr>
          <w:rFonts w:ascii="Times New Roman" w:hAnsi="Times New Roman"/>
        </w:rPr>
        <w:t xml:space="preserve"> provided by the 507 programs. </w:t>
      </w:r>
      <w:r w:rsidRPr="000774A5">
        <w:rPr>
          <w:rFonts w:ascii="Times New Roman" w:hAnsi="Times New Roman"/>
        </w:rPr>
        <w:t xml:space="preserve">The </w:t>
      </w:r>
      <w:r w:rsidR="00552F63">
        <w:rPr>
          <w:rFonts w:ascii="Times New Roman" w:hAnsi="Times New Roman"/>
        </w:rPr>
        <w:t>ASBO</w:t>
      </w:r>
      <w:r w:rsidRPr="000774A5">
        <w:rPr>
          <w:rFonts w:ascii="Times New Roman" w:hAnsi="Times New Roman"/>
        </w:rPr>
        <w:t xml:space="preserve"> will use this information to prepare the </w:t>
      </w:r>
      <w:r w:rsidR="00A325BF">
        <w:rPr>
          <w:rFonts w:ascii="Times New Roman" w:hAnsi="Times New Roman"/>
        </w:rPr>
        <w:t>periodic r</w:t>
      </w:r>
      <w:r w:rsidRPr="00EB5376">
        <w:rPr>
          <w:rFonts w:ascii="Times New Roman" w:hAnsi="Times New Roman"/>
        </w:rPr>
        <w:t>eport</w:t>
      </w:r>
      <w:r w:rsidR="00A325BF">
        <w:rPr>
          <w:rFonts w:ascii="Times New Roman" w:hAnsi="Times New Roman"/>
        </w:rPr>
        <w:t xml:space="preserve"> made available to the Congress</w:t>
      </w:r>
      <w:r w:rsidRPr="000774A5">
        <w:rPr>
          <w:rFonts w:ascii="Times New Roman" w:hAnsi="Times New Roman"/>
        </w:rPr>
        <w:t>.</w:t>
      </w:r>
      <w:r w:rsidR="00331873">
        <w:rPr>
          <w:rFonts w:ascii="Times New Roman" w:hAnsi="Times New Roman"/>
        </w:rPr>
        <w:t xml:space="preserve"> </w:t>
      </w:r>
      <w:r w:rsidRPr="000774A5">
        <w:rPr>
          <w:rFonts w:ascii="Times New Roman" w:hAnsi="Times New Roman"/>
        </w:rPr>
        <w:t xml:space="preserve">The </w:t>
      </w:r>
      <w:r w:rsidR="00782578">
        <w:rPr>
          <w:rFonts w:ascii="Times New Roman" w:hAnsi="Times New Roman"/>
        </w:rPr>
        <w:t>periodic r</w:t>
      </w:r>
      <w:r w:rsidRPr="000774A5">
        <w:rPr>
          <w:rFonts w:ascii="Times New Roman" w:hAnsi="Times New Roman"/>
        </w:rPr>
        <w:t>eport, which will contain summary information</w:t>
      </w:r>
      <w:r w:rsidR="00552F63">
        <w:rPr>
          <w:rFonts w:ascii="Times New Roman" w:hAnsi="Times New Roman"/>
        </w:rPr>
        <w:t xml:space="preserve"> developed from the data collection forms from the states</w:t>
      </w:r>
      <w:r w:rsidRPr="000774A5">
        <w:rPr>
          <w:rFonts w:ascii="Times New Roman" w:hAnsi="Times New Roman"/>
        </w:rPr>
        <w:t>, a perspective on the materials provided, selected highlights, conclusions, and recommendations</w:t>
      </w:r>
      <w:r w:rsidR="00552F63">
        <w:rPr>
          <w:rFonts w:ascii="Times New Roman" w:hAnsi="Times New Roman"/>
        </w:rPr>
        <w:t xml:space="preserve"> on the overall effectiveness of the 507 program</w:t>
      </w:r>
      <w:r w:rsidR="000D1AD7">
        <w:rPr>
          <w:rFonts w:ascii="Times New Roman" w:hAnsi="Times New Roman"/>
        </w:rPr>
        <w:t xml:space="preserve">. </w:t>
      </w:r>
      <w:r w:rsidRPr="000774A5">
        <w:rPr>
          <w:rFonts w:ascii="Times New Roman" w:hAnsi="Times New Roman"/>
        </w:rPr>
        <w:t xml:space="preserve">The EPA </w:t>
      </w:r>
      <w:r w:rsidR="00552F63">
        <w:rPr>
          <w:rFonts w:ascii="Times New Roman" w:hAnsi="Times New Roman"/>
        </w:rPr>
        <w:t>A</w:t>
      </w:r>
      <w:r w:rsidRPr="000774A5">
        <w:rPr>
          <w:rFonts w:ascii="Times New Roman" w:hAnsi="Times New Roman"/>
        </w:rPr>
        <w:t>SBO will maintain copies of state submittals and the Annual Report electronically.</w:t>
      </w:r>
    </w:p>
    <w:p w14:paraId="3E8BA9F7" w14:textId="77777777" w:rsidR="000774A5" w:rsidRPr="000774A5" w:rsidRDefault="000774A5" w:rsidP="00425C31">
      <w:pPr>
        <w:widowControl/>
        <w:ind w:left="720"/>
        <w:rPr>
          <w:rFonts w:ascii="Times New Roman" w:hAnsi="Times New Roman"/>
        </w:rPr>
      </w:pPr>
    </w:p>
    <w:p w14:paraId="0F0439A8" w14:textId="0EAACC36" w:rsidR="000774A5" w:rsidRPr="000774A5" w:rsidRDefault="00AB4CC9" w:rsidP="008045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sidR="000774A5" w:rsidRPr="000774A5">
        <w:rPr>
          <w:rFonts w:ascii="Times New Roman" w:hAnsi="Times New Roman"/>
          <w:b/>
          <w:bCs/>
        </w:rPr>
        <w:t>5(b)</w:t>
      </w:r>
      <w:r w:rsidR="000774A5" w:rsidRPr="000774A5">
        <w:rPr>
          <w:rFonts w:ascii="Times New Roman" w:hAnsi="Times New Roman"/>
          <w:b/>
          <w:bCs/>
        </w:rPr>
        <w:tab/>
        <w:t>Collection Methodology and Management</w:t>
      </w:r>
    </w:p>
    <w:p w14:paraId="3AD24635" w14:textId="77777777" w:rsidR="00331873" w:rsidRDefault="00331873" w:rsidP="00193C23">
      <w:pPr>
        <w:widowControl/>
        <w:ind w:left="720"/>
        <w:rPr>
          <w:rFonts w:ascii="Times New Roman" w:hAnsi="Times New Roman"/>
        </w:rPr>
      </w:pPr>
    </w:p>
    <w:p w14:paraId="1C8BB8DC" w14:textId="77777777" w:rsidR="00AB4CC9" w:rsidRPr="00AB4CC9" w:rsidRDefault="00AB4CC9" w:rsidP="006100E4">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sidRPr="00AB4CC9">
        <w:rPr>
          <w:rFonts w:ascii="Times New Roman" w:hAnsi="Times New Roman"/>
          <w:color w:val="000000"/>
        </w:rPr>
        <w:t>EPA conducts the following activities in connection with the acquisition, analysis, storage, and distribution of the required information.</w:t>
      </w:r>
    </w:p>
    <w:p w14:paraId="55A9F837" w14:textId="77777777" w:rsidR="00713C64" w:rsidRDefault="00713C64" w:rsidP="00713C64">
      <w:pPr>
        <w:widowControl/>
        <w:rPr>
          <w:rFonts w:ascii="Times New Roman" w:hAnsi="Times New Roman"/>
        </w:rPr>
      </w:pPr>
    </w:p>
    <w:tbl>
      <w:tblPr>
        <w:tblStyle w:val="TableGrid"/>
        <w:tblW w:w="0" w:type="auto"/>
        <w:tblInd w:w="720" w:type="dxa"/>
        <w:tblLook w:val="04A0" w:firstRow="1" w:lastRow="0" w:firstColumn="1" w:lastColumn="0" w:noHBand="0" w:noVBand="1"/>
      </w:tblPr>
      <w:tblGrid>
        <w:gridCol w:w="8905"/>
      </w:tblGrid>
      <w:tr w:rsidR="00AB4CC9" w14:paraId="709C875F" w14:textId="77777777" w:rsidTr="00AB4CC9">
        <w:tc>
          <w:tcPr>
            <w:tcW w:w="8905" w:type="dxa"/>
          </w:tcPr>
          <w:p w14:paraId="00100FCA" w14:textId="5A503DE4" w:rsidR="00AB4CC9" w:rsidRDefault="00AB4CC9" w:rsidP="00713C64">
            <w:pPr>
              <w:widowControl/>
              <w:rPr>
                <w:rFonts w:ascii="Times New Roman" w:hAnsi="Times New Roman"/>
              </w:rPr>
            </w:pPr>
            <w:r>
              <w:rPr>
                <w:rFonts w:ascii="Times New Roman" w:hAnsi="Times New Roman"/>
              </w:rPr>
              <w:t xml:space="preserve">1. Respondents receive </w:t>
            </w:r>
            <w:r w:rsidRPr="000774A5">
              <w:rPr>
                <w:rFonts w:ascii="Times New Roman" w:hAnsi="Times New Roman"/>
              </w:rPr>
              <w:t xml:space="preserve">electronic Reporting Form </w:t>
            </w:r>
            <w:r>
              <w:rPr>
                <w:rFonts w:ascii="Times New Roman" w:hAnsi="Times New Roman"/>
              </w:rPr>
              <w:t xml:space="preserve">and instructions </w:t>
            </w:r>
            <w:r w:rsidRPr="000774A5">
              <w:rPr>
                <w:rFonts w:ascii="Times New Roman" w:hAnsi="Times New Roman"/>
              </w:rPr>
              <w:t>via email</w:t>
            </w:r>
          </w:p>
        </w:tc>
      </w:tr>
      <w:tr w:rsidR="00AB4CC9" w14:paraId="260991D6" w14:textId="77777777" w:rsidTr="00AB4CC9">
        <w:tc>
          <w:tcPr>
            <w:tcW w:w="8905" w:type="dxa"/>
          </w:tcPr>
          <w:p w14:paraId="40024449" w14:textId="07E20D5B" w:rsidR="00AB4CC9" w:rsidRPr="00AB4CC9" w:rsidRDefault="00AB4CC9" w:rsidP="00AB4CC9">
            <w:pPr>
              <w:widowControl/>
              <w:rPr>
                <w:rFonts w:ascii="Times New Roman" w:hAnsi="Times New Roman"/>
              </w:rPr>
            </w:pPr>
            <w:r>
              <w:rPr>
                <w:rFonts w:ascii="Times New Roman" w:hAnsi="Times New Roman"/>
              </w:rPr>
              <w:t>2. Data quality will be checked upon receipt of each state’s Reporting Form during a</w:t>
            </w:r>
            <w:r w:rsidRPr="00AB4CC9">
              <w:rPr>
                <w:rFonts w:ascii="Times New Roman" w:hAnsi="Times New Roman"/>
              </w:rPr>
              <w:t>nalysis</w:t>
            </w:r>
            <w:r>
              <w:rPr>
                <w:rFonts w:ascii="Times New Roman" w:hAnsi="Times New Roman"/>
              </w:rPr>
              <w:t xml:space="preserve"> and the f</w:t>
            </w:r>
            <w:r w:rsidRPr="00AB4CC9">
              <w:rPr>
                <w:rFonts w:ascii="Times New Roman" w:hAnsi="Times New Roman"/>
              </w:rPr>
              <w:t>inal Review</w:t>
            </w:r>
          </w:p>
        </w:tc>
      </w:tr>
      <w:tr w:rsidR="00AB4CC9" w14:paraId="1CD7C15A" w14:textId="77777777" w:rsidTr="00AB4CC9">
        <w:tc>
          <w:tcPr>
            <w:tcW w:w="8905" w:type="dxa"/>
          </w:tcPr>
          <w:p w14:paraId="582C7E35" w14:textId="456D1EA7" w:rsidR="00AB4CC9" w:rsidRDefault="00AB4CC9" w:rsidP="00713C64">
            <w:pPr>
              <w:widowControl/>
              <w:rPr>
                <w:rFonts w:ascii="Times New Roman" w:hAnsi="Times New Roman"/>
              </w:rPr>
            </w:pPr>
            <w:r>
              <w:rPr>
                <w:rFonts w:ascii="Times New Roman" w:hAnsi="Times New Roman"/>
              </w:rPr>
              <w:t>3. Data is processed using spreadsheet software and input manually</w:t>
            </w:r>
          </w:p>
        </w:tc>
      </w:tr>
      <w:tr w:rsidR="00AB4CC9" w14:paraId="3C5CA3E1" w14:textId="77777777" w:rsidTr="00AB4CC9">
        <w:tc>
          <w:tcPr>
            <w:tcW w:w="8905" w:type="dxa"/>
          </w:tcPr>
          <w:p w14:paraId="1C215724" w14:textId="14C4AE1F" w:rsidR="00AB4CC9" w:rsidRPr="00AB4CC9" w:rsidRDefault="00AB4CC9" w:rsidP="00AB4CC9">
            <w:pPr>
              <w:widowControl/>
              <w:rPr>
                <w:rFonts w:ascii="Times New Roman" w:hAnsi="Times New Roman"/>
              </w:rPr>
            </w:pPr>
            <w:r>
              <w:rPr>
                <w:rFonts w:ascii="Times New Roman" w:hAnsi="Times New Roman"/>
              </w:rPr>
              <w:t>4. Data is made publicly accessible through Period Report made available to Congress and is a</w:t>
            </w:r>
            <w:r w:rsidRPr="00AB4CC9">
              <w:rPr>
                <w:rFonts w:ascii="Times New Roman" w:hAnsi="Times New Roman"/>
              </w:rPr>
              <w:t>ccessible on-line</w:t>
            </w:r>
          </w:p>
        </w:tc>
      </w:tr>
    </w:tbl>
    <w:p w14:paraId="7777004D" w14:textId="77777777" w:rsidR="000774A5" w:rsidRPr="000774A5" w:rsidRDefault="000774A5" w:rsidP="00425C31">
      <w:pPr>
        <w:widowControl/>
        <w:ind w:left="720"/>
        <w:rPr>
          <w:rFonts w:ascii="Times New Roman" w:hAnsi="Times New Roman"/>
        </w:rPr>
      </w:pPr>
    </w:p>
    <w:p w14:paraId="2B537965" w14:textId="4968DE1A" w:rsidR="000774A5" w:rsidRPr="000774A5" w:rsidRDefault="00AB4CC9"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sidR="000774A5" w:rsidRPr="000774A5">
        <w:rPr>
          <w:rFonts w:ascii="Times New Roman" w:hAnsi="Times New Roman"/>
          <w:b/>
          <w:bCs/>
        </w:rPr>
        <w:t>5(c)</w:t>
      </w:r>
      <w:r w:rsidR="000774A5" w:rsidRPr="000774A5">
        <w:rPr>
          <w:rFonts w:ascii="Times New Roman" w:hAnsi="Times New Roman"/>
          <w:b/>
          <w:bCs/>
        </w:rPr>
        <w:tab/>
        <w:t>Small Entity Flexibility</w:t>
      </w:r>
    </w:p>
    <w:p w14:paraId="33897174" w14:textId="77777777" w:rsidR="00331873" w:rsidRDefault="00331873" w:rsidP="00193C23">
      <w:pPr>
        <w:widowControl/>
        <w:ind w:left="720"/>
        <w:rPr>
          <w:rFonts w:ascii="Times New Roman" w:hAnsi="Times New Roman"/>
        </w:rPr>
      </w:pPr>
    </w:p>
    <w:p w14:paraId="3C64CF10" w14:textId="77777777" w:rsidR="000774A5" w:rsidRPr="000774A5" w:rsidRDefault="000774A5" w:rsidP="006100E4">
      <w:pPr>
        <w:widowControl/>
        <w:rPr>
          <w:rFonts w:ascii="Times New Roman" w:hAnsi="Times New Roman"/>
        </w:rPr>
      </w:pPr>
      <w:r w:rsidRPr="000774A5">
        <w:rPr>
          <w:rFonts w:ascii="Times New Roman" w:hAnsi="Times New Roman"/>
        </w:rPr>
        <w:t>The completion of the Reporting Form does not require any input or action by any small entity.</w:t>
      </w:r>
    </w:p>
    <w:p w14:paraId="02687B92" w14:textId="77777777" w:rsidR="000774A5" w:rsidRPr="000774A5" w:rsidRDefault="000774A5" w:rsidP="00425C31">
      <w:pPr>
        <w:widowControl/>
        <w:ind w:left="720"/>
        <w:rPr>
          <w:rFonts w:ascii="Times New Roman" w:hAnsi="Times New Roman"/>
        </w:rPr>
      </w:pPr>
    </w:p>
    <w:p w14:paraId="7D5952F2" w14:textId="69AB117B" w:rsidR="000774A5" w:rsidRPr="000774A5" w:rsidRDefault="00331873"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sidR="000774A5" w:rsidRPr="000774A5">
        <w:rPr>
          <w:rFonts w:ascii="Times New Roman" w:hAnsi="Times New Roman"/>
          <w:b/>
          <w:bCs/>
        </w:rPr>
        <w:t>5(d)</w:t>
      </w:r>
      <w:r w:rsidR="000774A5" w:rsidRPr="000774A5">
        <w:rPr>
          <w:rFonts w:ascii="Times New Roman" w:hAnsi="Times New Roman"/>
          <w:b/>
          <w:bCs/>
        </w:rPr>
        <w:tab/>
        <w:t>Collection Schedule</w:t>
      </w:r>
    </w:p>
    <w:p w14:paraId="7E6F3939" w14:textId="77777777" w:rsidR="006100E4" w:rsidRDefault="006100E4" w:rsidP="006100E4">
      <w:pPr>
        <w:widowControl/>
        <w:rPr>
          <w:rFonts w:ascii="Times New Roman" w:hAnsi="Times New Roman"/>
        </w:rPr>
      </w:pPr>
    </w:p>
    <w:p w14:paraId="0F7DDFA7" w14:textId="77777777" w:rsidR="00331873" w:rsidRDefault="000774A5" w:rsidP="006100E4">
      <w:pPr>
        <w:widowControl/>
        <w:ind w:firstLine="720"/>
        <w:rPr>
          <w:rFonts w:ascii="Times New Roman" w:hAnsi="Times New Roman"/>
        </w:rPr>
      </w:pPr>
      <w:r w:rsidRPr="000774A5">
        <w:rPr>
          <w:rFonts w:ascii="Times New Roman" w:hAnsi="Times New Roman"/>
        </w:rPr>
        <w:t xml:space="preserve">This is an annual (calendar year) collection of information on the states’ activities, </w:t>
      </w:r>
    </w:p>
    <w:p w14:paraId="66D015FC" w14:textId="523DB85E" w:rsidR="000774A5" w:rsidRDefault="000774A5" w:rsidP="006100E4">
      <w:pPr>
        <w:widowControl/>
        <w:rPr>
          <w:rFonts w:ascii="Times New Roman" w:hAnsi="Times New Roman"/>
        </w:rPr>
      </w:pPr>
      <w:proofErr w:type="gramStart"/>
      <w:r w:rsidRPr="000774A5">
        <w:rPr>
          <w:rFonts w:ascii="Times New Roman" w:hAnsi="Times New Roman"/>
        </w:rPr>
        <w:t>accomplishments</w:t>
      </w:r>
      <w:proofErr w:type="gramEnd"/>
      <w:r w:rsidRPr="000774A5">
        <w:rPr>
          <w:rFonts w:ascii="Times New Roman" w:hAnsi="Times New Roman"/>
        </w:rPr>
        <w:t>, and data outputs</w:t>
      </w:r>
      <w:r w:rsidR="000D1AD7">
        <w:rPr>
          <w:rFonts w:ascii="Times New Roman" w:hAnsi="Times New Roman"/>
        </w:rPr>
        <w:t xml:space="preserve"> under Section 507 of the CAA. </w:t>
      </w:r>
      <w:r w:rsidRPr="000774A5">
        <w:rPr>
          <w:rFonts w:ascii="Times New Roman" w:hAnsi="Times New Roman"/>
        </w:rPr>
        <w:t>A typical reporting schedule would look as follows:</w:t>
      </w:r>
    </w:p>
    <w:p w14:paraId="1704CFAF" w14:textId="77777777" w:rsidR="00713C64" w:rsidRPr="000774A5" w:rsidRDefault="00713C64" w:rsidP="00331873">
      <w:pPr>
        <w:widowControl/>
        <w:ind w:left="720"/>
        <w:rPr>
          <w:rFonts w:ascii="Times New Roman" w:hAnsi="Times New Roman"/>
        </w:rPr>
      </w:pPr>
    </w:p>
    <w:p w14:paraId="57E85011" w14:textId="0B6CA634" w:rsidR="000774A5" w:rsidRPr="000774A5" w:rsidRDefault="000774A5" w:rsidP="00804523">
      <w:pPr>
        <w:widowControl/>
        <w:numPr>
          <w:ilvl w:val="0"/>
          <w:numId w:val="13"/>
        </w:numPr>
        <w:autoSpaceDE/>
        <w:autoSpaceDN/>
        <w:rPr>
          <w:rFonts w:ascii="Times New Roman" w:hAnsi="Times New Roman"/>
        </w:rPr>
      </w:pPr>
      <w:r w:rsidRPr="000774A5">
        <w:rPr>
          <w:rFonts w:ascii="Times New Roman" w:hAnsi="Times New Roman"/>
        </w:rPr>
        <w:t>Electronic Reporting Form is made available to states: January</w:t>
      </w:r>
      <w:r w:rsidR="00552F63">
        <w:rPr>
          <w:rFonts w:ascii="Times New Roman" w:hAnsi="Times New Roman"/>
        </w:rPr>
        <w:t>-March</w:t>
      </w:r>
    </w:p>
    <w:p w14:paraId="06548F1F" w14:textId="588AA8A3"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States complete Reporting Form: March</w:t>
      </w:r>
      <w:r w:rsidR="00552F63">
        <w:rPr>
          <w:rFonts w:ascii="Times New Roman" w:hAnsi="Times New Roman"/>
        </w:rPr>
        <w:t>-June</w:t>
      </w:r>
    </w:p>
    <w:p w14:paraId="75033DCC" w14:textId="0A6B4F98"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State agency submits reporting form to EPA SBO: M</w:t>
      </w:r>
      <w:r w:rsidR="00552F63">
        <w:rPr>
          <w:rFonts w:ascii="Times New Roman" w:hAnsi="Times New Roman"/>
        </w:rPr>
        <w:t>ay</w:t>
      </w:r>
      <w:r w:rsidRPr="000774A5">
        <w:rPr>
          <w:rFonts w:ascii="Times New Roman" w:hAnsi="Times New Roman"/>
        </w:rPr>
        <w:t xml:space="preserve"> 31</w:t>
      </w:r>
      <w:r w:rsidR="00552F63">
        <w:rPr>
          <w:rFonts w:ascii="Times New Roman" w:hAnsi="Times New Roman"/>
        </w:rPr>
        <w:t xml:space="preserve"> with option for extension if needed, provided on a case by case basis.</w:t>
      </w:r>
    </w:p>
    <w:p w14:paraId="1866BB64" w14:textId="7AB00319"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 xml:space="preserve">EPA </w:t>
      </w:r>
      <w:r w:rsidR="00552F63">
        <w:rPr>
          <w:rFonts w:ascii="Times New Roman" w:hAnsi="Times New Roman"/>
        </w:rPr>
        <w:t>A</w:t>
      </w:r>
      <w:r w:rsidRPr="000774A5">
        <w:rPr>
          <w:rFonts w:ascii="Times New Roman" w:hAnsi="Times New Roman"/>
        </w:rPr>
        <w:t xml:space="preserve">SBO Transfers Data to Spread sheet and conducts Analysis: </w:t>
      </w:r>
      <w:r w:rsidR="00552F63">
        <w:rPr>
          <w:rFonts w:ascii="Times New Roman" w:hAnsi="Times New Roman"/>
        </w:rPr>
        <w:t>June/July</w:t>
      </w:r>
    </w:p>
    <w:p w14:paraId="382F9D9B" w14:textId="7DB8B82E"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Data is made available to state programs: July</w:t>
      </w:r>
      <w:r w:rsidR="00552F63">
        <w:rPr>
          <w:rFonts w:ascii="Times New Roman" w:hAnsi="Times New Roman"/>
        </w:rPr>
        <w:t xml:space="preserve"> or as requested</w:t>
      </w:r>
    </w:p>
    <w:p w14:paraId="15BE1894" w14:textId="7EE7D3B4"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 xml:space="preserve">EPA </w:t>
      </w:r>
      <w:r w:rsidR="00552F63">
        <w:rPr>
          <w:rFonts w:ascii="Times New Roman" w:hAnsi="Times New Roman"/>
        </w:rPr>
        <w:t>ASBO prepares a</w:t>
      </w:r>
      <w:r w:rsidRPr="000774A5">
        <w:rPr>
          <w:rFonts w:ascii="Times New Roman" w:hAnsi="Times New Roman"/>
        </w:rPr>
        <w:t xml:space="preserve"> periodic report</w:t>
      </w:r>
      <w:r w:rsidR="00552F63">
        <w:rPr>
          <w:rFonts w:ascii="Times New Roman" w:hAnsi="Times New Roman"/>
        </w:rPr>
        <w:t xml:space="preserve"> (per the 1990 CAA Amendment requirements)</w:t>
      </w:r>
      <w:r w:rsidRPr="000774A5">
        <w:rPr>
          <w:rFonts w:ascii="Times New Roman" w:hAnsi="Times New Roman"/>
        </w:rPr>
        <w:t xml:space="preserve"> and obtains final EPA approvals: Typically on a bi-annual basis</w:t>
      </w:r>
    </w:p>
    <w:p w14:paraId="38C1B45E" w14:textId="5E55F873" w:rsidR="000774A5" w:rsidRPr="000774A5" w:rsidRDefault="000774A5" w:rsidP="00804523">
      <w:pPr>
        <w:numPr>
          <w:ilvl w:val="0"/>
          <w:numId w:val="13"/>
        </w:numPr>
        <w:autoSpaceDE/>
        <w:autoSpaceDN/>
        <w:rPr>
          <w:rFonts w:ascii="Times New Roman" w:hAnsi="Times New Roman"/>
        </w:rPr>
      </w:pPr>
      <w:r w:rsidRPr="000774A5">
        <w:rPr>
          <w:rFonts w:ascii="Times New Roman" w:hAnsi="Times New Roman"/>
        </w:rPr>
        <w:t xml:space="preserve">EPA </w:t>
      </w:r>
      <w:r w:rsidR="00552F63">
        <w:rPr>
          <w:rFonts w:ascii="Times New Roman" w:hAnsi="Times New Roman"/>
        </w:rPr>
        <w:t>A</w:t>
      </w:r>
      <w:r w:rsidRPr="000774A5">
        <w:rPr>
          <w:rFonts w:ascii="Times New Roman" w:hAnsi="Times New Roman"/>
        </w:rPr>
        <w:t xml:space="preserve">SBO </w:t>
      </w:r>
      <w:r w:rsidR="00552F63">
        <w:rPr>
          <w:rFonts w:ascii="Times New Roman" w:hAnsi="Times New Roman"/>
        </w:rPr>
        <w:t>makes the report available</w:t>
      </w:r>
      <w:r w:rsidR="00552F63" w:rsidRPr="000774A5">
        <w:rPr>
          <w:rFonts w:ascii="Times New Roman" w:hAnsi="Times New Roman"/>
        </w:rPr>
        <w:t xml:space="preserve"> to congress</w:t>
      </w:r>
      <w:r w:rsidRPr="000774A5">
        <w:rPr>
          <w:rFonts w:ascii="Times New Roman" w:hAnsi="Times New Roman"/>
        </w:rPr>
        <w:t xml:space="preserve">: </w:t>
      </w:r>
      <w:r w:rsidR="00552F63">
        <w:rPr>
          <w:rFonts w:ascii="Times New Roman" w:hAnsi="Times New Roman"/>
        </w:rPr>
        <w:t xml:space="preserve">Fall </w:t>
      </w:r>
      <w:r w:rsidRPr="000774A5">
        <w:rPr>
          <w:rFonts w:ascii="Times New Roman" w:hAnsi="Times New Roman"/>
        </w:rPr>
        <w:t xml:space="preserve">of </w:t>
      </w:r>
      <w:r w:rsidR="00552F63">
        <w:rPr>
          <w:rFonts w:ascii="Times New Roman" w:hAnsi="Times New Roman"/>
        </w:rPr>
        <w:t xml:space="preserve">the Reporting Year, which is posted </w:t>
      </w:r>
      <w:r w:rsidRPr="000774A5">
        <w:rPr>
          <w:rFonts w:ascii="Times New Roman" w:hAnsi="Times New Roman"/>
        </w:rPr>
        <w:t>on</w:t>
      </w:r>
      <w:r w:rsidR="00321CC2">
        <w:rPr>
          <w:rFonts w:ascii="Times New Roman" w:hAnsi="Times New Roman"/>
        </w:rPr>
        <w:t>line</w:t>
      </w:r>
      <w:r w:rsidR="00552F63">
        <w:rPr>
          <w:rFonts w:ascii="Times New Roman" w:hAnsi="Times New Roman"/>
        </w:rPr>
        <w:t xml:space="preserve"> with a memo to the Congress, notifying them of the report and how to access it</w:t>
      </w:r>
      <w:r w:rsidR="00321CC2">
        <w:rPr>
          <w:rFonts w:ascii="Times New Roman" w:hAnsi="Times New Roman"/>
        </w:rPr>
        <w:t>.</w:t>
      </w:r>
    </w:p>
    <w:p w14:paraId="7A314260" w14:textId="77777777" w:rsidR="000774A5" w:rsidRDefault="000774A5" w:rsidP="00425C31">
      <w:pPr>
        <w:widowControl/>
        <w:rPr>
          <w:rFonts w:ascii="Times New Roman" w:hAnsi="Times New Roman"/>
        </w:rPr>
      </w:pPr>
    </w:p>
    <w:p w14:paraId="58A41A86" w14:textId="77777777" w:rsidR="006100E4" w:rsidRPr="000774A5" w:rsidRDefault="006100E4" w:rsidP="00425C31">
      <w:pPr>
        <w:widowControl/>
        <w:rPr>
          <w:rFonts w:ascii="Times New Roman" w:hAnsi="Times New Roman"/>
        </w:rPr>
      </w:pPr>
    </w:p>
    <w:p w14:paraId="4ECC60F9" w14:textId="77777777" w:rsidR="000774A5" w:rsidRPr="000774A5" w:rsidRDefault="000774A5" w:rsidP="00425C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0774A5">
        <w:rPr>
          <w:rFonts w:ascii="Times New Roman" w:hAnsi="Times New Roman"/>
          <w:b/>
          <w:bCs/>
        </w:rPr>
        <w:lastRenderedPageBreak/>
        <w:t>6.</w:t>
      </w:r>
      <w:r w:rsidRPr="000774A5">
        <w:rPr>
          <w:rFonts w:ascii="Times New Roman" w:hAnsi="Times New Roman"/>
          <w:b/>
          <w:bCs/>
        </w:rPr>
        <w:tab/>
        <w:t>ESTIMATING THE BURDEN AND COST OF THE COLLECTION</w:t>
      </w:r>
    </w:p>
    <w:p w14:paraId="11B1134A" w14:textId="77777777" w:rsidR="000774A5" w:rsidRPr="000774A5" w:rsidRDefault="000774A5" w:rsidP="00425C31">
      <w:pPr>
        <w:widowControl/>
        <w:rPr>
          <w:rFonts w:ascii="Times New Roman" w:hAnsi="Times New Roman"/>
        </w:rPr>
      </w:pPr>
    </w:p>
    <w:p w14:paraId="513DC7C3" w14:textId="0ABF584C" w:rsidR="000774A5" w:rsidRPr="000774A5" w:rsidRDefault="00331873"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sidR="000774A5" w:rsidRPr="000774A5">
        <w:rPr>
          <w:rFonts w:ascii="Times New Roman" w:hAnsi="Times New Roman"/>
          <w:b/>
          <w:bCs/>
        </w:rPr>
        <w:t>6(a)</w:t>
      </w:r>
      <w:r w:rsidR="000774A5" w:rsidRPr="000774A5">
        <w:rPr>
          <w:rFonts w:ascii="Times New Roman" w:hAnsi="Times New Roman"/>
          <w:b/>
          <w:bCs/>
        </w:rPr>
        <w:tab/>
        <w:t>Estimating Respondent Burden</w:t>
      </w:r>
      <w:r w:rsidR="00581FB3">
        <w:rPr>
          <w:rFonts w:ascii="Times New Roman" w:hAnsi="Times New Roman"/>
          <w:b/>
          <w:bCs/>
        </w:rPr>
        <w:t xml:space="preserve"> Hours</w:t>
      </w:r>
    </w:p>
    <w:p w14:paraId="58B1C1D9" w14:textId="77777777" w:rsidR="00331873" w:rsidRDefault="00331873" w:rsidP="00033857">
      <w:pPr>
        <w:widowControl/>
        <w:ind w:left="720"/>
        <w:rPr>
          <w:rFonts w:ascii="Times New Roman" w:hAnsi="Times New Roman"/>
        </w:rPr>
      </w:pPr>
    </w:p>
    <w:p w14:paraId="58034664" w14:textId="2159553D" w:rsidR="00033857" w:rsidRPr="000774A5" w:rsidRDefault="00033857" w:rsidP="006100E4">
      <w:pPr>
        <w:widowControl/>
        <w:ind w:firstLine="720"/>
        <w:rPr>
          <w:rFonts w:ascii="Times New Roman" w:hAnsi="Times New Roman"/>
        </w:rPr>
      </w:pPr>
      <w:r>
        <w:rPr>
          <w:rFonts w:ascii="Times New Roman" w:hAnsi="Times New Roman"/>
        </w:rPr>
        <w:t>There are a total of 53 respondents with a total of 40 burden hours in responding to</w:t>
      </w:r>
      <w:r w:rsidR="000D1AD7">
        <w:rPr>
          <w:rFonts w:ascii="Times New Roman" w:hAnsi="Times New Roman"/>
        </w:rPr>
        <w:t xml:space="preserve"> this data collection request. </w:t>
      </w:r>
      <w:r w:rsidRPr="000774A5">
        <w:rPr>
          <w:rFonts w:ascii="Times New Roman" w:hAnsi="Times New Roman"/>
        </w:rPr>
        <w:t>On average, the requested information can be compiled readily and maintained by the state within 40 hours (assuming the state organization continuously maintains their records in a reasonably efficient manner) using experienced pr</w:t>
      </w:r>
      <w:r w:rsidR="000D1AD7">
        <w:rPr>
          <w:rFonts w:ascii="Times New Roman" w:hAnsi="Times New Roman"/>
        </w:rPr>
        <w:t xml:space="preserve">ofessional or technical staff. </w:t>
      </w:r>
      <w:r w:rsidRPr="000774A5">
        <w:rPr>
          <w:rFonts w:ascii="Times New Roman" w:hAnsi="Times New Roman"/>
        </w:rPr>
        <w:t>The 40-hour forecast includes 36 hours for record keeping and 4 hours for reporting the required information.</w:t>
      </w:r>
    </w:p>
    <w:p w14:paraId="409F4FE8" w14:textId="77777777" w:rsidR="00033857" w:rsidRDefault="00033857" w:rsidP="00193C23">
      <w:pPr>
        <w:widowControl/>
        <w:ind w:left="720"/>
        <w:rPr>
          <w:rFonts w:ascii="Times New Roman" w:hAnsi="Times New Roman"/>
        </w:rPr>
      </w:pPr>
    </w:p>
    <w:p w14:paraId="4A25616D" w14:textId="4ADE2188" w:rsidR="000774A5" w:rsidRPr="000774A5" w:rsidRDefault="000774A5" w:rsidP="006100E4">
      <w:pPr>
        <w:widowControl/>
        <w:ind w:firstLine="720"/>
        <w:rPr>
          <w:rFonts w:ascii="Times New Roman" w:hAnsi="Times New Roman"/>
        </w:rPr>
      </w:pPr>
      <w:r w:rsidRPr="000774A5">
        <w:rPr>
          <w:rFonts w:ascii="Times New Roman" w:hAnsi="Times New Roman"/>
        </w:rPr>
        <w:t>Burden hour estimates are based on the results of a pretest of the original survey information and report preparation cycle</w:t>
      </w:r>
      <w:r w:rsidR="00782578">
        <w:rPr>
          <w:rFonts w:ascii="Times New Roman" w:hAnsi="Times New Roman"/>
        </w:rPr>
        <w:t>,</w:t>
      </w:r>
      <w:r w:rsidR="00C548BE">
        <w:rPr>
          <w:rFonts w:ascii="Times New Roman" w:hAnsi="Times New Roman"/>
        </w:rPr>
        <w:t xml:space="preserve"> and experience with similar past surveys</w:t>
      </w:r>
      <w:r w:rsidRPr="000774A5">
        <w:rPr>
          <w:rFonts w:ascii="Times New Roman" w:hAnsi="Times New Roman"/>
        </w:rPr>
        <w:t xml:space="preserve">.  The revised </w:t>
      </w:r>
      <w:r w:rsidR="00915414">
        <w:rPr>
          <w:rFonts w:ascii="Times New Roman" w:hAnsi="Times New Roman"/>
        </w:rPr>
        <w:t xml:space="preserve">2012 </w:t>
      </w:r>
      <w:r w:rsidRPr="000774A5">
        <w:rPr>
          <w:rFonts w:ascii="Times New Roman" w:hAnsi="Times New Roman"/>
        </w:rPr>
        <w:t xml:space="preserve">Reporting Form </w:t>
      </w:r>
      <w:r w:rsidR="00915414">
        <w:rPr>
          <w:rFonts w:ascii="Times New Roman" w:hAnsi="Times New Roman"/>
        </w:rPr>
        <w:t xml:space="preserve">(which continues to be used to collect data) </w:t>
      </w:r>
      <w:r w:rsidRPr="000774A5">
        <w:rPr>
          <w:rFonts w:ascii="Times New Roman" w:hAnsi="Times New Roman"/>
        </w:rPr>
        <w:t xml:space="preserve">was discussed in </w:t>
      </w:r>
      <w:r w:rsidR="00915414">
        <w:rPr>
          <w:rFonts w:ascii="Times New Roman" w:hAnsi="Times New Roman"/>
        </w:rPr>
        <w:t xml:space="preserve">great </w:t>
      </w:r>
      <w:r w:rsidRPr="000774A5">
        <w:rPr>
          <w:rFonts w:ascii="Times New Roman" w:hAnsi="Times New Roman"/>
        </w:rPr>
        <w:t xml:space="preserve">detail </w:t>
      </w:r>
      <w:r w:rsidR="00093E6C">
        <w:rPr>
          <w:rFonts w:ascii="Times New Roman" w:hAnsi="Times New Roman"/>
        </w:rPr>
        <w:t xml:space="preserve">prior to the 2012 ICR renewal </w:t>
      </w:r>
      <w:r w:rsidR="00915414">
        <w:rPr>
          <w:rFonts w:ascii="Times New Roman" w:hAnsi="Times New Roman"/>
        </w:rPr>
        <w:t xml:space="preserve">package </w:t>
      </w:r>
      <w:r w:rsidRPr="000774A5">
        <w:rPr>
          <w:rFonts w:ascii="Times New Roman" w:hAnsi="Times New Roman"/>
        </w:rPr>
        <w:t xml:space="preserve">with state </w:t>
      </w:r>
      <w:r w:rsidR="00093E6C">
        <w:rPr>
          <w:rFonts w:ascii="Times New Roman" w:hAnsi="Times New Roman"/>
        </w:rPr>
        <w:t xml:space="preserve">program staff, included state </w:t>
      </w:r>
      <w:r w:rsidRPr="000774A5">
        <w:rPr>
          <w:rFonts w:ascii="Times New Roman" w:hAnsi="Times New Roman"/>
        </w:rPr>
        <w:t xml:space="preserve">ombudsmen </w:t>
      </w:r>
      <w:r w:rsidR="00093E6C">
        <w:rPr>
          <w:rFonts w:ascii="Times New Roman" w:hAnsi="Times New Roman"/>
        </w:rPr>
        <w:t>and/</w:t>
      </w:r>
      <w:r w:rsidRPr="000774A5">
        <w:rPr>
          <w:rFonts w:ascii="Times New Roman" w:hAnsi="Times New Roman"/>
        </w:rPr>
        <w:t xml:space="preserve">or small business assistance program </w:t>
      </w:r>
      <w:r w:rsidR="00EA0C95">
        <w:rPr>
          <w:rFonts w:ascii="Times New Roman" w:hAnsi="Times New Roman"/>
        </w:rPr>
        <w:t>managers</w:t>
      </w:r>
      <w:r w:rsidR="00EA0C95" w:rsidRPr="000774A5">
        <w:rPr>
          <w:rFonts w:ascii="Times New Roman" w:hAnsi="Times New Roman"/>
        </w:rPr>
        <w:t xml:space="preserve"> </w:t>
      </w:r>
      <w:r w:rsidRPr="000774A5">
        <w:rPr>
          <w:rFonts w:ascii="Times New Roman" w:hAnsi="Times New Roman"/>
        </w:rPr>
        <w:t>from ten of the 53 Section 507 reporting state programs (i.e., comprising the 50 states, the District of Columbia, the Vir</w:t>
      </w:r>
      <w:r w:rsidR="000F0106">
        <w:rPr>
          <w:rFonts w:ascii="Times New Roman" w:hAnsi="Times New Roman"/>
        </w:rPr>
        <w:t xml:space="preserve">gin Islands, and Puerto Rico). </w:t>
      </w:r>
      <w:r w:rsidRPr="000774A5">
        <w:rPr>
          <w:rFonts w:ascii="Times New Roman" w:hAnsi="Times New Roman"/>
        </w:rPr>
        <w:t>They formulated a general consensus of how long it would take to complete the reporting form and who would likely be responsible from each state to complete the task.</w:t>
      </w:r>
    </w:p>
    <w:p w14:paraId="1717676B" w14:textId="77777777" w:rsidR="000774A5" w:rsidRPr="000774A5" w:rsidRDefault="000774A5" w:rsidP="00425C31">
      <w:pPr>
        <w:widowControl/>
        <w:ind w:left="720"/>
        <w:rPr>
          <w:rFonts w:ascii="Times New Roman" w:hAnsi="Times New Roman"/>
        </w:rPr>
      </w:pPr>
    </w:p>
    <w:p w14:paraId="77E73F05" w14:textId="6A095A9E" w:rsidR="000774A5" w:rsidRPr="000774A5" w:rsidRDefault="000774A5" w:rsidP="006100E4">
      <w:pPr>
        <w:widowControl/>
        <w:ind w:firstLine="720"/>
        <w:rPr>
          <w:rFonts w:ascii="Times New Roman" w:hAnsi="Times New Roman"/>
        </w:rPr>
      </w:pPr>
      <w:r w:rsidRPr="000774A5">
        <w:rPr>
          <w:rFonts w:ascii="Times New Roman" w:hAnsi="Times New Roman"/>
        </w:rPr>
        <w:t>The information requested was confirmed to be normal program activity information the 507 program</w:t>
      </w:r>
      <w:r w:rsidR="000D1AD7">
        <w:rPr>
          <w:rFonts w:ascii="Times New Roman" w:hAnsi="Times New Roman"/>
        </w:rPr>
        <w:t xml:space="preserve">s collect on an ongoing basis. </w:t>
      </w:r>
      <w:r w:rsidRPr="000774A5">
        <w:rPr>
          <w:rFonts w:ascii="Times New Roman" w:hAnsi="Times New Roman"/>
        </w:rPr>
        <w:t>Where a few state environmental agencies have delegated or contracted management of their technical assistance program, this information is part of the project management responsibi</w:t>
      </w:r>
      <w:r w:rsidR="000D1AD7">
        <w:rPr>
          <w:rFonts w:ascii="Times New Roman" w:hAnsi="Times New Roman"/>
        </w:rPr>
        <w:t xml:space="preserve">lities. </w:t>
      </w:r>
      <w:r w:rsidRPr="000774A5">
        <w:rPr>
          <w:rFonts w:ascii="Times New Roman" w:hAnsi="Times New Roman"/>
        </w:rPr>
        <w:t>This requested reporting information typically would be compiled by experienced professional or technical staff.</w:t>
      </w:r>
    </w:p>
    <w:p w14:paraId="7D69AA22" w14:textId="77777777" w:rsidR="000774A5" w:rsidRPr="000774A5" w:rsidRDefault="000774A5" w:rsidP="00193C23">
      <w:pPr>
        <w:widowControl/>
        <w:ind w:left="1440"/>
        <w:rPr>
          <w:rFonts w:ascii="Times New Roman" w:hAnsi="Times New Roman"/>
        </w:rPr>
      </w:pPr>
    </w:p>
    <w:p w14:paraId="7102483A" w14:textId="77777777" w:rsidR="000774A5" w:rsidRPr="000774A5" w:rsidRDefault="000774A5" w:rsidP="00425C31">
      <w:pPr>
        <w:widowControl/>
        <w:ind w:left="720"/>
        <w:rPr>
          <w:rFonts w:ascii="Times New Roman" w:hAnsi="Times New Roman"/>
        </w:rPr>
      </w:pPr>
    </w:p>
    <w:p w14:paraId="7F99C99C" w14:textId="69B84964" w:rsidR="000774A5" w:rsidRPr="000774A5" w:rsidRDefault="00331873"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sidR="000774A5" w:rsidRPr="000774A5">
        <w:rPr>
          <w:rFonts w:ascii="Times New Roman" w:hAnsi="Times New Roman"/>
          <w:b/>
          <w:bCs/>
        </w:rPr>
        <w:t>6(b)</w:t>
      </w:r>
      <w:r w:rsidR="000774A5" w:rsidRPr="000774A5">
        <w:rPr>
          <w:rFonts w:ascii="Times New Roman" w:hAnsi="Times New Roman"/>
          <w:b/>
          <w:bCs/>
        </w:rPr>
        <w:tab/>
        <w:t>Estimating the Respondent Burden</w:t>
      </w:r>
      <w:r w:rsidR="00581FB3">
        <w:rPr>
          <w:rFonts w:ascii="Times New Roman" w:hAnsi="Times New Roman"/>
          <w:b/>
          <w:bCs/>
        </w:rPr>
        <w:t xml:space="preserve"> Costs</w:t>
      </w:r>
    </w:p>
    <w:p w14:paraId="366674EE" w14:textId="77777777" w:rsidR="00331873" w:rsidRDefault="00331873" w:rsidP="00193C23">
      <w:pPr>
        <w:widowControl/>
        <w:ind w:left="720"/>
        <w:rPr>
          <w:rFonts w:ascii="Times New Roman" w:hAnsi="Times New Roman"/>
        </w:rPr>
      </w:pPr>
    </w:p>
    <w:p w14:paraId="49D85F48" w14:textId="48DB0FA3" w:rsidR="000774A5" w:rsidRDefault="00C66FF4" w:rsidP="006100E4">
      <w:pPr>
        <w:widowControl/>
        <w:ind w:firstLine="720"/>
        <w:rPr>
          <w:rFonts w:ascii="Times New Roman" w:hAnsi="Times New Roman"/>
        </w:rPr>
      </w:pPr>
      <w:r>
        <w:rPr>
          <w:rFonts w:ascii="Times New Roman" w:hAnsi="Times New Roman"/>
        </w:rPr>
        <w:t xml:space="preserve">The burden costs were derived from the labor hours, which remain consistent from the current ICR collection of 53 respondents, </w:t>
      </w:r>
      <w:r w:rsidR="000A324A">
        <w:rPr>
          <w:rFonts w:ascii="Times New Roman" w:hAnsi="Times New Roman"/>
        </w:rPr>
        <w:t>but have slightly increased due to inflation and the increase in</w:t>
      </w:r>
      <w:r w:rsidR="000F0106">
        <w:rPr>
          <w:rFonts w:ascii="Times New Roman" w:hAnsi="Times New Roman"/>
        </w:rPr>
        <w:t xml:space="preserve"> salary costs for respondents. </w:t>
      </w:r>
      <w:r w:rsidR="000774A5" w:rsidRPr="000774A5">
        <w:rPr>
          <w:rFonts w:ascii="Times New Roman" w:hAnsi="Times New Roman"/>
        </w:rPr>
        <w:t xml:space="preserve">Labor rates were derived from the Bureau of Labor Statistics, Employment Cost Trends, </w:t>
      </w:r>
      <w:proofErr w:type="gramStart"/>
      <w:r w:rsidR="000774A5" w:rsidRPr="000774A5">
        <w:rPr>
          <w:rFonts w:ascii="Times New Roman" w:hAnsi="Times New Roman"/>
        </w:rPr>
        <w:t>Table</w:t>
      </w:r>
      <w:proofErr w:type="gramEnd"/>
      <w:r w:rsidR="000774A5" w:rsidRPr="000774A5">
        <w:rPr>
          <w:rFonts w:ascii="Times New Roman" w:hAnsi="Times New Roman"/>
        </w:rPr>
        <w:t xml:space="preserve"> 4: State and Local Government by Occupational and Industry Group </w:t>
      </w:r>
      <w:r w:rsidR="000774A5" w:rsidRPr="00353B99">
        <w:rPr>
          <w:rFonts w:ascii="Times New Roman" w:hAnsi="Times New Roman"/>
        </w:rPr>
        <w:t>(</w:t>
      </w:r>
      <w:hyperlink r:id="rId8" w:history="1">
        <w:r w:rsidR="000774A5" w:rsidRPr="00353B99">
          <w:rPr>
            <w:rStyle w:val="Hyperlink"/>
            <w:rFonts w:ascii="Times New Roman" w:hAnsi="Times New Roman"/>
            <w:color w:val="auto"/>
            <w:u w:val="none"/>
          </w:rPr>
          <w:t>http://data.bls.gov/cgi-bin/print.pl/news.release/ecec.t04.htm</w:t>
        </w:r>
      </w:hyperlink>
      <w:r w:rsidR="000774A5" w:rsidRPr="000774A5">
        <w:rPr>
          <w:rFonts w:ascii="Times New Roman" w:hAnsi="Times New Roman"/>
        </w:rPr>
        <w:t>). Please refer to Worksheet 1.</w:t>
      </w:r>
    </w:p>
    <w:p w14:paraId="70180091" w14:textId="77777777" w:rsidR="00766F4D" w:rsidRDefault="00766F4D" w:rsidP="00193C23">
      <w:pPr>
        <w:widowControl/>
        <w:ind w:left="720"/>
        <w:rPr>
          <w:rFonts w:ascii="Times New Roman" w:hAnsi="Times New Roman"/>
        </w:rPr>
      </w:pPr>
    </w:p>
    <w:p w14:paraId="0DE1633F" w14:textId="59B4F4F2" w:rsidR="000774A5" w:rsidRPr="000774A5" w:rsidRDefault="00331873"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sidR="000774A5" w:rsidRPr="000774A5">
        <w:rPr>
          <w:rFonts w:ascii="Times New Roman" w:hAnsi="Times New Roman"/>
          <w:b/>
          <w:bCs/>
        </w:rPr>
        <w:t>6(c)</w:t>
      </w:r>
      <w:r w:rsidR="000774A5" w:rsidRPr="000774A5">
        <w:rPr>
          <w:rFonts w:ascii="Times New Roman" w:hAnsi="Times New Roman"/>
          <w:b/>
          <w:bCs/>
        </w:rPr>
        <w:tab/>
        <w:t>Estimating Agency Burden and Cost</w:t>
      </w:r>
    </w:p>
    <w:p w14:paraId="13A092CC" w14:textId="77777777" w:rsidR="00331873" w:rsidRDefault="00331873" w:rsidP="00193C23">
      <w:pPr>
        <w:widowControl/>
        <w:ind w:left="720"/>
        <w:rPr>
          <w:rFonts w:ascii="Times New Roman" w:hAnsi="Times New Roman"/>
        </w:rPr>
      </w:pPr>
    </w:p>
    <w:p w14:paraId="1AA91106" w14:textId="33E956EB" w:rsidR="000774A5" w:rsidRPr="000774A5" w:rsidRDefault="00646E28" w:rsidP="006100E4">
      <w:pPr>
        <w:widowControl/>
        <w:ind w:firstLine="720"/>
        <w:rPr>
          <w:rFonts w:ascii="Times New Roman" w:hAnsi="Times New Roman"/>
        </w:rPr>
      </w:pPr>
      <w:r>
        <w:rPr>
          <w:rFonts w:ascii="Times New Roman" w:hAnsi="Times New Roman"/>
        </w:rPr>
        <w:t>Agency rates are b</w:t>
      </w:r>
      <w:r w:rsidR="000774A5" w:rsidRPr="000774A5">
        <w:rPr>
          <w:rFonts w:ascii="Times New Roman" w:hAnsi="Times New Roman"/>
        </w:rPr>
        <w:t xml:space="preserve">ased on the US Office of Personnel Management </w:t>
      </w:r>
      <w:r w:rsidR="00970029">
        <w:rPr>
          <w:rFonts w:ascii="Times New Roman" w:hAnsi="Times New Roman"/>
        </w:rPr>
        <w:t>2015</w:t>
      </w:r>
      <w:r w:rsidR="00C548BE">
        <w:rPr>
          <w:rFonts w:ascii="Times New Roman" w:hAnsi="Times New Roman"/>
        </w:rPr>
        <w:t xml:space="preserve"> General Sche</w:t>
      </w:r>
      <w:r>
        <w:rPr>
          <w:rFonts w:ascii="Times New Roman" w:hAnsi="Times New Roman"/>
        </w:rPr>
        <w:t>d</w:t>
      </w:r>
      <w:r w:rsidR="00C548BE">
        <w:rPr>
          <w:rFonts w:ascii="Times New Roman" w:hAnsi="Times New Roman"/>
        </w:rPr>
        <w:t>ule Locality Pay Tables</w:t>
      </w:r>
      <w:r>
        <w:rPr>
          <w:rFonts w:ascii="Times New Roman" w:hAnsi="Times New Roman"/>
        </w:rPr>
        <w:t xml:space="preserve">. </w:t>
      </w:r>
      <w:r w:rsidR="000774A5" w:rsidRPr="000774A5">
        <w:rPr>
          <w:rFonts w:ascii="Times New Roman" w:hAnsi="Times New Roman"/>
        </w:rPr>
        <w:t xml:space="preserve"> EPA estimates an average hourly regional labor cost of $</w:t>
      </w:r>
      <w:r w:rsidR="00970029">
        <w:rPr>
          <w:rFonts w:ascii="Times New Roman" w:hAnsi="Times New Roman"/>
        </w:rPr>
        <w:t>68.56</w:t>
      </w:r>
      <w:r w:rsidR="000774A5" w:rsidRPr="000774A5">
        <w:rPr>
          <w:rFonts w:ascii="Times New Roman" w:hAnsi="Times New Roman"/>
        </w:rPr>
        <w:t xml:space="preserve"> for GS-15,</w:t>
      </w:r>
      <w:r w:rsidR="00C548BE">
        <w:rPr>
          <w:rFonts w:ascii="Times New Roman" w:hAnsi="Times New Roman"/>
        </w:rPr>
        <w:t xml:space="preserve"> </w:t>
      </w:r>
      <w:r w:rsidR="000774A5" w:rsidRPr="000774A5">
        <w:rPr>
          <w:rFonts w:ascii="Times New Roman" w:hAnsi="Times New Roman"/>
        </w:rPr>
        <w:t>$</w:t>
      </w:r>
      <w:r w:rsidR="00970029">
        <w:rPr>
          <w:rFonts w:ascii="Times New Roman" w:hAnsi="Times New Roman"/>
        </w:rPr>
        <w:t>49.32 for GS-13</w:t>
      </w:r>
      <w:r w:rsidR="000774A5" w:rsidRPr="000774A5">
        <w:rPr>
          <w:rFonts w:ascii="Times New Roman" w:hAnsi="Times New Roman"/>
        </w:rPr>
        <w:t>; and $</w:t>
      </w:r>
      <w:r w:rsidR="00970029">
        <w:rPr>
          <w:rFonts w:ascii="Times New Roman" w:hAnsi="Times New Roman"/>
        </w:rPr>
        <w:t>41.69</w:t>
      </w:r>
      <w:r w:rsidR="000774A5" w:rsidRPr="000774A5">
        <w:rPr>
          <w:rFonts w:ascii="Times New Roman" w:hAnsi="Times New Roman"/>
        </w:rPr>
        <w:t xml:space="preserve"> for GS-</w:t>
      </w:r>
      <w:r>
        <w:rPr>
          <w:rFonts w:ascii="Times New Roman" w:hAnsi="Times New Roman"/>
        </w:rPr>
        <w:t>12 (all hourly rates are for step 5)</w:t>
      </w:r>
      <w:r w:rsidR="000D1AD7">
        <w:rPr>
          <w:rFonts w:ascii="Times New Roman" w:hAnsi="Times New Roman"/>
        </w:rPr>
        <w:t xml:space="preserve">. </w:t>
      </w:r>
      <w:r w:rsidR="000774A5" w:rsidRPr="000774A5">
        <w:rPr>
          <w:rFonts w:ascii="Times New Roman" w:hAnsi="Times New Roman"/>
        </w:rPr>
        <w:t>Refer to Worksheet 2</w:t>
      </w:r>
    </w:p>
    <w:p w14:paraId="62FEE24D" w14:textId="77777777" w:rsidR="000774A5" w:rsidRPr="000774A5" w:rsidRDefault="000774A5" w:rsidP="00425C31">
      <w:pPr>
        <w:widowControl/>
        <w:ind w:left="720"/>
        <w:rPr>
          <w:rFonts w:ascii="Times New Roman" w:hAnsi="Times New Roman"/>
        </w:rPr>
      </w:pPr>
    </w:p>
    <w:p w14:paraId="673C9CFB" w14:textId="0E25DDB4" w:rsidR="000774A5" w:rsidRPr="000774A5" w:rsidRDefault="00331873"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sidR="000774A5" w:rsidRPr="000774A5">
        <w:rPr>
          <w:rFonts w:ascii="Times New Roman" w:hAnsi="Times New Roman"/>
          <w:b/>
          <w:bCs/>
        </w:rPr>
        <w:t>6(d)</w:t>
      </w:r>
      <w:r w:rsidR="000774A5" w:rsidRPr="000774A5">
        <w:rPr>
          <w:rFonts w:ascii="Times New Roman" w:hAnsi="Times New Roman"/>
          <w:b/>
          <w:bCs/>
        </w:rPr>
        <w:tab/>
        <w:t>Estimating the Respondent Universe and Total Burden and Costs</w:t>
      </w:r>
    </w:p>
    <w:p w14:paraId="122C68C4" w14:textId="77777777" w:rsidR="00331873" w:rsidRDefault="00177124" w:rsidP="00177124">
      <w:pPr>
        <w:widowControl/>
        <w:tabs>
          <w:tab w:val="left" w:pos="-1440"/>
        </w:tabs>
        <w:ind w:left="720" w:hanging="720"/>
        <w:rPr>
          <w:rFonts w:ascii="Times New Roman" w:hAnsi="Times New Roman"/>
        </w:rPr>
      </w:pPr>
      <w:r>
        <w:rPr>
          <w:rFonts w:ascii="Times New Roman" w:hAnsi="Times New Roman"/>
        </w:rPr>
        <w:tab/>
      </w:r>
    </w:p>
    <w:p w14:paraId="440D6299" w14:textId="77777777" w:rsidR="000D1AD7" w:rsidRDefault="006100E4" w:rsidP="006100E4">
      <w:pPr>
        <w:widowControl/>
        <w:tabs>
          <w:tab w:val="left" w:pos="-1440"/>
        </w:tabs>
        <w:ind w:left="720" w:hanging="720"/>
        <w:rPr>
          <w:rFonts w:ascii="Times New Roman" w:hAnsi="Times New Roman"/>
        </w:rPr>
      </w:pPr>
      <w:r>
        <w:rPr>
          <w:rFonts w:ascii="Times New Roman" w:hAnsi="Times New Roman"/>
        </w:rPr>
        <w:tab/>
      </w:r>
      <w:r w:rsidR="00177124">
        <w:rPr>
          <w:rFonts w:ascii="Times New Roman" w:hAnsi="Times New Roman"/>
        </w:rPr>
        <w:t xml:space="preserve">The </w:t>
      </w:r>
      <w:r w:rsidR="000774A5" w:rsidRPr="000774A5">
        <w:rPr>
          <w:rFonts w:ascii="Times New Roman" w:hAnsi="Times New Roman"/>
        </w:rPr>
        <w:t>Respondent Burden</w:t>
      </w:r>
      <w:r w:rsidR="00177124">
        <w:rPr>
          <w:rFonts w:ascii="Times New Roman" w:hAnsi="Times New Roman"/>
        </w:rPr>
        <w:t xml:space="preserve"> hours</w:t>
      </w:r>
      <w:r w:rsidR="00DF0E74">
        <w:rPr>
          <w:rFonts w:ascii="Times New Roman" w:hAnsi="Times New Roman"/>
        </w:rPr>
        <w:t xml:space="preserve"> </w:t>
      </w:r>
      <w:r w:rsidR="00177124">
        <w:rPr>
          <w:rFonts w:ascii="Times New Roman" w:hAnsi="Times New Roman"/>
        </w:rPr>
        <w:t>have remained consistent and have not change</w:t>
      </w:r>
      <w:r w:rsidR="000D1AD7">
        <w:rPr>
          <w:rFonts w:ascii="Times New Roman" w:hAnsi="Times New Roman"/>
        </w:rPr>
        <w:t>d since the last</w:t>
      </w:r>
    </w:p>
    <w:p w14:paraId="1B5F3070" w14:textId="508C6684" w:rsidR="000774A5" w:rsidRPr="000774A5" w:rsidRDefault="000F0106" w:rsidP="000D1AD7">
      <w:pPr>
        <w:widowControl/>
        <w:tabs>
          <w:tab w:val="left" w:pos="-1440"/>
        </w:tabs>
        <w:rPr>
          <w:rFonts w:ascii="Times New Roman" w:hAnsi="Times New Roman"/>
        </w:rPr>
      </w:pPr>
      <w:proofErr w:type="gramStart"/>
      <w:r>
        <w:rPr>
          <w:rFonts w:ascii="Times New Roman" w:hAnsi="Times New Roman"/>
        </w:rPr>
        <w:t>approved</w:t>
      </w:r>
      <w:proofErr w:type="gramEnd"/>
      <w:r>
        <w:rPr>
          <w:rFonts w:ascii="Times New Roman" w:hAnsi="Times New Roman"/>
        </w:rPr>
        <w:t xml:space="preserve"> ICR. </w:t>
      </w:r>
      <w:r w:rsidR="00177124">
        <w:rPr>
          <w:rFonts w:ascii="Times New Roman" w:hAnsi="Times New Roman"/>
        </w:rPr>
        <w:t>The burden hours continue to total</w:t>
      </w:r>
      <w:r w:rsidR="000D1AD7">
        <w:rPr>
          <w:rFonts w:ascii="Times New Roman" w:hAnsi="Times New Roman"/>
        </w:rPr>
        <w:t xml:space="preserve"> 40 hours per each respondent. </w:t>
      </w:r>
      <w:r w:rsidR="00177124">
        <w:rPr>
          <w:rFonts w:ascii="Times New Roman" w:hAnsi="Times New Roman"/>
        </w:rPr>
        <w:t xml:space="preserve">The total cost of these burden hours has slightly increased due to inflation. </w:t>
      </w:r>
      <w:r w:rsidR="00177124" w:rsidRPr="000339EF">
        <w:rPr>
          <w:rFonts w:ascii="Times New Roman" w:hAnsi="Times New Roman"/>
        </w:rPr>
        <w:t xml:space="preserve">The total respondent cost is estimated to be </w:t>
      </w:r>
      <w:r w:rsidR="00177124" w:rsidRPr="000339EF">
        <w:rPr>
          <w:rFonts w:ascii="Times New Roman" w:hAnsi="Times New Roman"/>
        </w:rPr>
        <w:lastRenderedPageBreak/>
        <w:t>$</w:t>
      </w:r>
      <w:r w:rsidR="00177124" w:rsidRPr="000339EF">
        <w:rPr>
          <w:rFonts w:ascii="Times New Roman" w:hAnsi="Times New Roman"/>
          <w:color w:val="000000"/>
          <w:sz w:val="22"/>
          <w:szCs w:val="22"/>
        </w:rPr>
        <w:t xml:space="preserve">112,105.60 </w:t>
      </w:r>
      <w:r w:rsidR="00177124" w:rsidRPr="000339EF">
        <w:rPr>
          <w:rFonts w:ascii="Times New Roman" w:hAnsi="Times New Roman"/>
        </w:rPr>
        <w:t>per year, which is a $7,441.6 increase from the 2012 estimate of $104,664, due to inflation and wage rate increases.</w:t>
      </w:r>
      <w:r w:rsidR="00177124">
        <w:rPr>
          <w:rFonts w:ascii="Times New Roman" w:hAnsi="Times New Roman"/>
        </w:rPr>
        <w:t xml:space="preserve"> </w:t>
      </w:r>
      <w:r w:rsidR="000774A5" w:rsidRPr="000774A5">
        <w:rPr>
          <w:rFonts w:ascii="Times New Roman" w:hAnsi="Times New Roman"/>
        </w:rPr>
        <w:t>Refer to Worksheet 1.</w:t>
      </w:r>
    </w:p>
    <w:p w14:paraId="2DD1F7B4" w14:textId="77777777" w:rsidR="000774A5" w:rsidRPr="000774A5" w:rsidRDefault="000774A5" w:rsidP="00425C31">
      <w:pPr>
        <w:widowControl/>
        <w:ind w:left="720"/>
        <w:rPr>
          <w:rFonts w:ascii="Times New Roman" w:hAnsi="Times New Roman"/>
        </w:rPr>
      </w:pPr>
    </w:p>
    <w:p w14:paraId="6884A2A0" w14:textId="7D81FE11" w:rsidR="00177124" w:rsidRDefault="00177124" w:rsidP="006100E4">
      <w:pPr>
        <w:widowControl/>
        <w:ind w:firstLine="720"/>
        <w:rPr>
          <w:rFonts w:ascii="Times New Roman" w:hAnsi="Times New Roman"/>
        </w:rPr>
      </w:pPr>
      <w:r w:rsidRPr="00713C64">
        <w:rPr>
          <w:rFonts w:ascii="Times New Roman" w:hAnsi="Times New Roman"/>
        </w:rPr>
        <w:t xml:space="preserve">The </w:t>
      </w:r>
      <w:r w:rsidR="000774A5" w:rsidRPr="00713C64">
        <w:rPr>
          <w:rFonts w:ascii="Times New Roman" w:hAnsi="Times New Roman"/>
        </w:rPr>
        <w:t>Agency Burden</w:t>
      </w:r>
      <w:r w:rsidRPr="00713C64">
        <w:rPr>
          <w:rFonts w:ascii="Times New Roman" w:hAnsi="Times New Roman"/>
        </w:rPr>
        <w:t xml:space="preserve"> has </w:t>
      </w:r>
      <w:r w:rsidR="008A4693" w:rsidRPr="00713C64">
        <w:rPr>
          <w:rFonts w:ascii="Times New Roman" w:hAnsi="Times New Roman"/>
        </w:rPr>
        <w:t>increased both in burden hours and in direct labor costs.</w:t>
      </w:r>
      <w:r w:rsidR="00DF0E74" w:rsidRPr="00713C64">
        <w:rPr>
          <w:rFonts w:ascii="Times New Roman" w:hAnsi="Times New Roman"/>
        </w:rPr>
        <w:t xml:space="preserve"> </w:t>
      </w:r>
      <w:r w:rsidR="008A4693" w:rsidRPr="00713C64">
        <w:rPr>
          <w:rFonts w:ascii="Times New Roman" w:hAnsi="Times New Roman"/>
        </w:rPr>
        <w:t>Due to diminish financial resources EPA’s Ombudsman office is compiling the data forms and reports without contractor support that was once avail</w:t>
      </w:r>
      <w:r w:rsidR="000D1AD7">
        <w:rPr>
          <w:rFonts w:ascii="Times New Roman" w:hAnsi="Times New Roman"/>
        </w:rPr>
        <w:t xml:space="preserve">able to assist in this effort. </w:t>
      </w:r>
      <w:r w:rsidR="008A4693" w:rsidRPr="00713C64">
        <w:rPr>
          <w:rFonts w:ascii="Times New Roman" w:hAnsi="Times New Roman"/>
        </w:rPr>
        <w:t>The previous 2012 ICR package included the contract support rates but that has been omitted from this package. EPA staff hours have increased</w:t>
      </w:r>
      <w:r w:rsidR="000339EF" w:rsidRPr="00713C64">
        <w:rPr>
          <w:rFonts w:ascii="Times New Roman" w:hAnsi="Times New Roman"/>
        </w:rPr>
        <w:t xml:space="preserve"> to fill in this</w:t>
      </w:r>
      <w:r w:rsidR="008A4693" w:rsidRPr="00713C64">
        <w:rPr>
          <w:rFonts w:ascii="Times New Roman" w:hAnsi="Times New Roman"/>
        </w:rPr>
        <w:t xml:space="preserve"> gap of support. </w:t>
      </w:r>
      <w:r w:rsidRPr="00713C64">
        <w:rPr>
          <w:rFonts w:ascii="Times New Roman" w:hAnsi="Times New Roman"/>
          <w:color w:val="000000"/>
        </w:rPr>
        <w:t xml:space="preserve">Activities include </w:t>
      </w:r>
      <w:r w:rsidRPr="00713C64">
        <w:rPr>
          <w:rFonts w:ascii="Times New Roman" w:hAnsi="Times New Roman"/>
        </w:rPr>
        <w:t>Review/update survey instrument (not including the cost of renewing the ICR every three years), maintaining a master informational data base, answering respondent questions, review of submissions for accuracy and completeness, preparing a report from the data, Agency review and approval process, and distributing the report.</w:t>
      </w:r>
      <w:r w:rsidR="000339EF" w:rsidRPr="00713C64">
        <w:rPr>
          <w:rFonts w:ascii="Times New Roman" w:hAnsi="Times New Roman"/>
        </w:rPr>
        <w:t xml:space="preserve"> Refer to Worksheet 2.</w:t>
      </w:r>
    </w:p>
    <w:p w14:paraId="59BFA318" w14:textId="77777777" w:rsidR="000339EF" w:rsidRDefault="000339EF" w:rsidP="000339EF">
      <w:pPr>
        <w:widowControl/>
        <w:ind w:left="720"/>
        <w:rPr>
          <w:rFonts w:ascii="Times New Roman" w:hAnsi="Times New Roman"/>
        </w:rPr>
      </w:pPr>
    </w:p>
    <w:p w14:paraId="57B72F1A" w14:textId="426AB8A5" w:rsidR="00581FB3" w:rsidRDefault="000339EF" w:rsidP="006100E4">
      <w:pPr>
        <w:widowControl/>
        <w:ind w:firstLine="720"/>
        <w:rPr>
          <w:rFonts w:ascii="Times New Roman" w:hAnsi="Times New Roman"/>
        </w:rPr>
      </w:pPr>
      <w:r>
        <w:rPr>
          <w:rFonts w:ascii="Times New Roman" w:hAnsi="Times New Roman"/>
        </w:rPr>
        <w:t xml:space="preserve">The Respondent Universe Burden and Costs is </w:t>
      </w:r>
      <w:r w:rsidR="00581FB3">
        <w:rPr>
          <w:rFonts w:ascii="Times New Roman" w:hAnsi="Times New Roman"/>
        </w:rPr>
        <w:t xml:space="preserve">lower in both hourly burden and cost.  The hours were less overall due to moving the data collection, review and reporting in-house, rather than having both agency and contractor hours and costs </w:t>
      </w:r>
      <w:r w:rsidR="000D1AD7">
        <w:rPr>
          <w:rFonts w:ascii="Times New Roman" w:hAnsi="Times New Roman"/>
        </w:rPr>
        <w:t xml:space="preserve">included as in previous years. </w:t>
      </w:r>
      <w:r w:rsidR="00581FB3">
        <w:rPr>
          <w:rFonts w:ascii="Times New Roman" w:hAnsi="Times New Roman"/>
        </w:rPr>
        <w:t xml:space="preserve">The total cost is </w:t>
      </w:r>
      <w:r>
        <w:rPr>
          <w:rFonts w:ascii="Times New Roman" w:hAnsi="Times New Roman"/>
        </w:rPr>
        <w:t>roughly $383,000 for the full three years of the ICR</w:t>
      </w:r>
      <w:r w:rsidR="00581FB3">
        <w:rPr>
          <w:rFonts w:ascii="Times New Roman" w:hAnsi="Times New Roman"/>
        </w:rPr>
        <w:t>, which</w:t>
      </w:r>
      <w:r>
        <w:rPr>
          <w:rFonts w:ascii="Times New Roman" w:hAnsi="Times New Roman"/>
        </w:rPr>
        <w:t xml:space="preserve"> is significantly lower than the previous 2012 ICR package</w:t>
      </w:r>
      <w:r w:rsidR="00581FB3">
        <w:rPr>
          <w:rFonts w:ascii="Times New Roman" w:hAnsi="Times New Roman"/>
        </w:rPr>
        <w:t xml:space="preserve"> of $418,776. </w:t>
      </w:r>
      <w:r w:rsidR="00581FB3" w:rsidRPr="000774A5">
        <w:rPr>
          <w:rFonts w:ascii="Times New Roman" w:hAnsi="Times New Roman"/>
        </w:rPr>
        <w:t xml:space="preserve">Refer to </w:t>
      </w:r>
      <w:r w:rsidR="00581FB3">
        <w:rPr>
          <w:rFonts w:ascii="Times New Roman" w:hAnsi="Times New Roman"/>
        </w:rPr>
        <w:t>Worksheet 3.</w:t>
      </w:r>
    </w:p>
    <w:p w14:paraId="4178718F" w14:textId="77777777" w:rsidR="00581FB3" w:rsidRPr="000774A5" w:rsidRDefault="00581FB3" w:rsidP="00581FB3">
      <w:pPr>
        <w:widowControl/>
        <w:ind w:left="720"/>
        <w:rPr>
          <w:rFonts w:ascii="Times New Roman" w:hAnsi="Times New Roman"/>
        </w:rPr>
      </w:pPr>
    </w:p>
    <w:p w14:paraId="564DE7B8" w14:textId="5DE4753E" w:rsidR="000774A5" w:rsidRPr="000774A5" w:rsidRDefault="00331873" w:rsidP="00766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Pr>
          <w:rFonts w:ascii="Times New Roman" w:hAnsi="Times New Roman"/>
          <w:b/>
          <w:bCs/>
        </w:rPr>
        <w:tab/>
      </w:r>
      <w:r w:rsidR="000774A5" w:rsidRPr="000774A5">
        <w:rPr>
          <w:rFonts w:ascii="Times New Roman" w:hAnsi="Times New Roman"/>
          <w:b/>
          <w:bCs/>
        </w:rPr>
        <w:t>6(e)</w:t>
      </w:r>
      <w:r w:rsidR="000774A5" w:rsidRPr="000774A5">
        <w:rPr>
          <w:rFonts w:ascii="Times New Roman" w:hAnsi="Times New Roman"/>
          <w:b/>
          <w:bCs/>
        </w:rPr>
        <w:tab/>
        <w:t>Bottom Line Burden Hours and Cost Tables</w:t>
      </w:r>
    </w:p>
    <w:p w14:paraId="1C79195F" w14:textId="77777777" w:rsidR="000774A5" w:rsidRPr="000774A5" w:rsidRDefault="000774A5" w:rsidP="00425C31">
      <w:pPr>
        <w:widowControl/>
        <w:ind w:left="720"/>
        <w:rPr>
          <w:rFonts w:ascii="Times New Roman" w:hAnsi="Times New Roman"/>
        </w:rPr>
      </w:pPr>
    </w:p>
    <w:p w14:paraId="6CCF2055" w14:textId="4065CA70" w:rsidR="000774A5" w:rsidRPr="000774A5" w:rsidRDefault="000774A5" w:rsidP="006100E4">
      <w:pPr>
        <w:widowControl/>
        <w:ind w:firstLine="720"/>
        <w:rPr>
          <w:rFonts w:ascii="Times New Roman" w:hAnsi="Times New Roman"/>
        </w:rPr>
      </w:pPr>
      <w:r w:rsidRPr="000774A5">
        <w:rPr>
          <w:rFonts w:ascii="Times New Roman" w:hAnsi="Times New Roman"/>
        </w:rPr>
        <w:t>Fifty-three states and territories will complete the Reporting form annually during the period covered by this ICR.  No significant variation (more than 25 percent) in the annual reporting/record keeping burden over the life of this ICR is expected for the agency or the respondents.</w:t>
      </w:r>
      <w:r w:rsidR="000D1AD7">
        <w:rPr>
          <w:rFonts w:ascii="Times New Roman" w:hAnsi="Times New Roman"/>
        </w:rPr>
        <w:t xml:space="preserve"> </w:t>
      </w:r>
      <w:r w:rsidR="008A4693" w:rsidRPr="000774A5">
        <w:rPr>
          <w:rFonts w:ascii="Times New Roman" w:hAnsi="Times New Roman"/>
        </w:rPr>
        <w:t xml:space="preserve">Please see Worksheets 1, </w:t>
      </w:r>
      <w:r w:rsidR="008A4693">
        <w:rPr>
          <w:rFonts w:ascii="Times New Roman" w:hAnsi="Times New Roman"/>
        </w:rPr>
        <w:t>2 and 3</w:t>
      </w:r>
      <w:r w:rsidR="008A4693" w:rsidRPr="000774A5">
        <w:rPr>
          <w:rFonts w:ascii="Times New Roman" w:hAnsi="Times New Roman"/>
        </w:rPr>
        <w:t>.</w:t>
      </w:r>
      <w:r w:rsidR="008A4693">
        <w:rPr>
          <w:rFonts w:ascii="Times New Roman" w:hAnsi="Times New Roman"/>
        </w:rPr>
        <w:t xml:space="preserve"> </w:t>
      </w:r>
      <w:r w:rsidR="004714C6">
        <w:rPr>
          <w:rFonts w:ascii="Times New Roman" w:hAnsi="Times New Roman"/>
        </w:rPr>
        <w:t>The cost over the entire period covered by the ICR is in Table 3.</w:t>
      </w:r>
    </w:p>
    <w:p w14:paraId="61186060" w14:textId="77777777" w:rsidR="000774A5" w:rsidRPr="000774A5" w:rsidRDefault="000774A5" w:rsidP="00425C31">
      <w:pPr>
        <w:widowControl/>
        <w:ind w:left="720"/>
        <w:rPr>
          <w:rFonts w:ascii="Times New Roman" w:hAnsi="Times New Roman"/>
        </w:rPr>
      </w:pPr>
    </w:p>
    <w:p w14:paraId="7F363AAF" w14:textId="2072A54A" w:rsidR="000774A5" w:rsidRPr="000774A5" w:rsidRDefault="00331873" w:rsidP="00193C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Pr>
          <w:rFonts w:ascii="Times New Roman" w:hAnsi="Times New Roman"/>
          <w:b/>
          <w:bCs/>
        </w:rPr>
        <w:tab/>
      </w:r>
      <w:r w:rsidR="000774A5" w:rsidRPr="000774A5">
        <w:rPr>
          <w:rFonts w:ascii="Times New Roman" w:hAnsi="Times New Roman"/>
          <w:b/>
          <w:bCs/>
        </w:rPr>
        <w:t>6(f)</w:t>
      </w:r>
      <w:r w:rsidR="000774A5" w:rsidRPr="000774A5">
        <w:rPr>
          <w:rFonts w:ascii="Times New Roman" w:hAnsi="Times New Roman"/>
          <w:b/>
          <w:bCs/>
        </w:rPr>
        <w:tab/>
        <w:t>Reasons for Change in Burden</w:t>
      </w:r>
    </w:p>
    <w:p w14:paraId="44033DA9" w14:textId="77777777" w:rsidR="00331873" w:rsidRDefault="00331873" w:rsidP="00033857">
      <w:pPr>
        <w:ind w:left="720"/>
        <w:rPr>
          <w:rFonts w:ascii="Times New Roman" w:hAnsi="Times New Roman"/>
          <w:color w:val="000000"/>
        </w:rPr>
      </w:pPr>
    </w:p>
    <w:p w14:paraId="3BBAC058" w14:textId="48B15B88" w:rsidR="00DF3F89" w:rsidRPr="00DF3F89" w:rsidRDefault="00033857" w:rsidP="006100E4">
      <w:pPr>
        <w:ind w:firstLine="720"/>
        <w:rPr>
          <w:rFonts w:ascii="Times New Roman" w:hAnsi="Times New Roman"/>
          <w:color w:val="000000"/>
        </w:rPr>
      </w:pPr>
      <w:r w:rsidRPr="00033857">
        <w:rPr>
          <w:rFonts w:ascii="Times New Roman" w:hAnsi="Times New Roman"/>
          <w:color w:val="000000"/>
        </w:rPr>
        <w:t>There is no change in the total estimated respondent burden compared with the ICR currently approved by OMB.</w:t>
      </w:r>
      <w:r>
        <w:rPr>
          <w:rFonts w:ascii="Times New Roman" w:hAnsi="Times New Roman"/>
          <w:color w:val="000000"/>
        </w:rPr>
        <w:t xml:space="preserve">  </w:t>
      </w:r>
    </w:p>
    <w:p w14:paraId="7EC2D405" w14:textId="77777777" w:rsidR="000774A5" w:rsidRPr="000774A5" w:rsidRDefault="000774A5" w:rsidP="00353B99">
      <w:pPr>
        <w:widowControl/>
        <w:rPr>
          <w:rFonts w:ascii="Times New Roman" w:hAnsi="Times New Roman"/>
        </w:rPr>
      </w:pPr>
    </w:p>
    <w:p w14:paraId="134CB8A2" w14:textId="693BD296" w:rsidR="000774A5" w:rsidRPr="000774A5" w:rsidRDefault="00331873" w:rsidP="00193C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bCs/>
        </w:rPr>
        <w:tab/>
      </w:r>
      <w:r>
        <w:rPr>
          <w:rFonts w:ascii="Times New Roman" w:hAnsi="Times New Roman"/>
          <w:b/>
          <w:bCs/>
        </w:rPr>
        <w:tab/>
      </w:r>
      <w:r w:rsidR="000774A5" w:rsidRPr="000774A5">
        <w:rPr>
          <w:rFonts w:ascii="Times New Roman" w:hAnsi="Times New Roman"/>
          <w:b/>
          <w:bCs/>
        </w:rPr>
        <w:t>6(g)</w:t>
      </w:r>
      <w:r w:rsidR="000774A5" w:rsidRPr="000774A5">
        <w:rPr>
          <w:rFonts w:ascii="Times New Roman" w:hAnsi="Times New Roman"/>
          <w:b/>
          <w:bCs/>
        </w:rPr>
        <w:tab/>
        <w:t>Burden Statement</w:t>
      </w:r>
    </w:p>
    <w:p w14:paraId="5CB5C2E9" w14:textId="77777777" w:rsidR="00331873" w:rsidRDefault="00331873" w:rsidP="00193C23">
      <w:pPr>
        <w:widowControl/>
        <w:ind w:left="720"/>
        <w:rPr>
          <w:rFonts w:ascii="Times New Roman" w:hAnsi="Times New Roman"/>
        </w:rPr>
      </w:pPr>
    </w:p>
    <w:p w14:paraId="74E6C2C4" w14:textId="7FDD1B54" w:rsidR="000774A5" w:rsidRPr="000774A5" w:rsidRDefault="00713C64" w:rsidP="006100E4">
      <w:pPr>
        <w:widowControl/>
        <w:ind w:firstLine="720"/>
        <w:rPr>
          <w:rFonts w:ascii="Times New Roman" w:hAnsi="Times New Roman"/>
        </w:rPr>
      </w:pPr>
      <w:r>
        <w:rPr>
          <w:rFonts w:ascii="Times New Roman" w:hAnsi="Times New Roman"/>
        </w:rPr>
        <w:t>The annual p</w:t>
      </w:r>
      <w:r w:rsidR="000774A5" w:rsidRPr="000774A5">
        <w:rPr>
          <w:rFonts w:ascii="Times New Roman" w:hAnsi="Times New Roman"/>
        </w:rPr>
        <w:t xml:space="preserve">ublic reporting </w:t>
      </w:r>
      <w:r>
        <w:rPr>
          <w:rFonts w:ascii="Times New Roman" w:hAnsi="Times New Roman"/>
        </w:rPr>
        <w:t xml:space="preserve">and recordkeeping </w:t>
      </w:r>
      <w:r w:rsidR="000774A5" w:rsidRPr="000774A5">
        <w:rPr>
          <w:rFonts w:ascii="Times New Roman" w:hAnsi="Times New Roman"/>
        </w:rPr>
        <w:t xml:space="preserve">burden for this collection is estimated to average </w:t>
      </w:r>
      <w:r>
        <w:rPr>
          <w:rFonts w:ascii="Times New Roman" w:hAnsi="Times New Roman"/>
        </w:rPr>
        <w:t>40 hours per response.</w:t>
      </w:r>
      <w:r w:rsidR="006100E4">
        <w:rPr>
          <w:rFonts w:ascii="Times New Roman" w:hAnsi="Times New Roman"/>
        </w:rPr>
        <w:t xml:space="preserve"> </w:t>
      </w:r>
      <w:r w:rsidR="000774A5" w:rsidRPr="000774A5">
        <w:rPr>
          <w:rFonts w:ascii="Times New Roman" w:hAnsi="Times New Roman"/>
        </w:rPr>
        <w:t>Burden means the total time, effort, or financial resources expended by persons to generate, maintain, retain, or disclose or provide informati</w:t>
      </w:r>
      <w:r>
        <w:rPr>
          <w:rFonts w:ascii="Times New Roman" w:hAnsi="Times New Roman"/>
        </w:rPr>
        <w:t xml:space="preserve">on to or for a federal agency. </w:t>
      </w:r>
      <w:r w:rsidR="000774A5" w:rsidRPr="000774A5">
        <w:rPr>
          <w:rFonts w:ascii="Times New Roman" w:hAnsi="Times New Roman"/>
        </w:rPr>
        <w:t>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 applicable instructions and requirements; train personnel to respond to the collection of information; and transmit or other</w:t>
      </w:r>
      <w:r>
        <w:rPr>
          <w:rFonts w:ascii="Times New Roman" w:hAnsi="Times New Roman"/>
        </w:rPr>
        <w:t xml:space="preserve">wise disclose the information. </w:t>
      </w:r>
      <w:r w:rsidR="000774A5" w:rsidRPr="000774A5">
        <w:rPr>
          <w:rFonts w:ascii="Times New Roman" w:hAnsi="Times New Roman"/>
        </w:rPr>
        <w:t>An agency may not conduct or sponsor, and a person is not required to respond to, a collection of information unless it displays a currently valid OMB control number. The OMB control number for EPA's regulations are listed in 40 CFR Part 9 and 48 CFR Chapter 15.</w:t>
      </w:r>
    </w:p>
    <w:p w14:paraId="53CAD565" w14:textId="77777777" w:rsidR="000774A5" w:rsidRPr="000774A5" w:rsidRDefault="000774A5" w:rsidP="00425C31">
      <w:pPr>
        <w:widowControl/>
        <w:rPr>
          <w:rFonts w:ascii="Times New Roman" w:hAnsi="Times New Roman"/>
        </w:rPr>
      </w:pPr>
    </w:p>
    <w:p w14:paraId="27697369" w14:textId="32739416" w:rsidR="00E067DA" w:rsidRDefault="00734D95" w:rsidP="006100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rPr>
      </w:pPr>
      <w:r w:rsidRPr="00734D95">
        <w:rPr>
          <w:rFonts w:ascii="Times New Roman" w:hAnsi="Times New Roman"/>
        </w:rPr>
        <w:t>To comment</w:t>
      </w:r>
      <w:r w:rsidR="000774A5" w:rsidRPr="00734D95">
        <w:rPr>
          <w:rFonts w:ascii="Times New Roman" w:hAnsi="Times New Roman"/>
        </w:rPr>
        <w:t xml:space="preserve"> on the Agency's need for this information, the accuracy of the provided burden estimates, </w:t>
      </w:r>
      <w:r w:rsidR="000774A5" w:rsidRPr="00734D95">
        <w:rPr>
          <w:rFonts w:ascii="Times New Roman" w:hAnsi="Times New Roman"/>
        </w:rPr>
        <w:lastRenderedPageBreak/>
        <w:t xml:space="preserve">and any suggested methods for minimizing respondent burden, including the use of Automated Collection techniques, </w:t>
      </w:r>
      <w:r w:rsidR="00162F5A">
        <w:rPr>
          <w:rFonts w:ascii="Times New Roman" w:hAnsi="Times New Roman"/>
        </w:rPr>
        <w:t xml:space="preserve">EPA has established a public docket for this ICR under Docket ID Number EPA-HQ-OA-2007-0706 , which is available for online viewing at </w:t>
      </w:r>
      <w:hyperlink r:id="rId9" w:history="1">
        <w:r w:rsidRPr="00AB4CC9">
          <w:rPr>
            <w:rStyle w:val="Hyperlink"/>
            <w:rFonts w:ascii="Times New Roman" w:hAnsi="Times New Roman"/>
            <w:color w:val="auto"/>
            <w:u w:val="none"/>
          </w:rPr>
          <w:t>www.regulations.gov</w:t>
        </w:r>
      </w:hyperlink>
      <w:r w:rsidRPr="00713C64">
        <w:rPr>
          <w:rFonts w:ascii="Times New Roman" w:hAnsi="Times New Roman"/>
        </w:rPr>
        <w:t xml:space="preserve">, </w:t>
      </w:r>
      <w:r w:rsidRPr="00734D95">
        <w:rPr>
          <w:rFonts w:ascii="Times New Roman" w:hAnsi="Times New Roman"/>
        </w:rPr>
        <w:t>or in person viewing at the EPA Docket Center (EPA/DC), EPA West, Room 3334, 1301 Constitution Avenue, NW, Washington, D.C. The EPA Docket Center Public Reading Room is open</w:t>
      </w:r>
      <w:r w:rsidR="00162F5A">
        <w:rPr>
          <w:rFonts w:ascii="Times New Roman" w:hAnsi="Times New Roman"/>
        </w:rPr>
        <w:t xml:space="preserve"> from 8:30 a.m. to 4:30 p.m., Monday through Friday, excluding legal holidays. </w:t>
      </w:r>
      <w:r w:rsidR="00162F5A" w:rsidRPr="00162F5A">
        <w:rPr>
          <w:rFonts w:ascii="Times New Roman" w:hAnsi="Times New Roman"/>
          <w:color w:val="0F0F0F"/>
        </w:rPr>
        <w:t>The telephone number for the Reading Room is (202) 566-1744, and the telephone number for the</w:t>
      </w:r>
      <w:r>
        <w:rPr>
          <w:rFonts w:ascii="Times New Roman" w:hAnsi="Times New Roman"/>
          <w:color w:val="0F0F0F"/>
        </w:rPr>
        <w:t xml:space="preserve"> OEI Docket</w:t>
      </w:r>
      <w:r w:rsidR="00162F5A" w:rsidRPr="00162F5A">
        <w:rPr>
          <w:rFonts w:ascii="Times New Roman" w:hAnsi="Times New Roman"/>
          <w:color w:val="0F0F0F"/>
        </w:rPr>
        <w:t xml:space="preserve"> is (202) 566-</w:t>
      </w:r>
      <w:r w:rsidR="00A325BF">
        <w:rPr>
          <w:rFonts w:ascii="Times New Roman" w:hAnsi="Times New Roman"/>
        </w:rPr>
        <w:t>1744</w:t>
      </w:r>
      <w:r w:rsidR="00162F5A" w:rsidRPr="00FF53EF">
        <w:rPr>
          <w:rFonts w:ascii="Times New Roman" w:hAnsi="Times New Roman"/>
        </w:rPr>
        <w:t>.  An electronic version of the public docket is ava</w:t>
      </w:r>
      <w:r w:rsidR="00713C64">
        <w:rPr>
          <w:rFonts w:ascii="Times New Roman" w:hAnsi="Times New Roman"/>
        </w:rPr>
        <w:t xml:space="preserve">ilable at www.regulations.gov. </w:t>
      </w:r>
      <w:r w:rsidR="00162F5A" w:rsidRPr="00FF53EF">
        <w:rPr>
          <w:rFonts w:ascii="Times New Roman" w:hAnsi="Times New Roman"/>
        </w:rPr>
        <w:t>This site can be used to submit or view public comments, access the index listing of the contents of the public docket, and to access those documents in the public docket that</w:t>
      </w:r>
      <w:r w:rsidR="00713C64">
        <w:rPr>
          <w:rFonts w:ascii="Times New Roman" w:hAnsi="Times New Roman"/>
        </w:rPr>
        <w:t xml:space="preserve"> are available electronically. </w:t>
      </w:r>
      <w:r w:rsidR="00162F5A" w:rsidRPr="00FF53EF">
        <w:rPr>
          <w:rFonts w:ascii="Times New Roman" w:hAnsi="Times New Roman"/>
        </w:rPr>
        <w:t>When in the system, select “search,” then key in the Docket ID Number identified above.  Also, you can send comments to the Office of Information and Regulatory Affairs, Office of Management and Budget, 725 17th Street, NW, Washington, D.C. 20503, At</w:t>
      </w:r>
      <w:r w:rsidR="00713C64">
        <w:rPr>
          <w:rFonts w:ascii="Times New Roman" w:hAnsi="Times New Roman"/>
        </w:rPr>
        <w:t xml:space="preserve">tention: Desk Officer for EPA. </w:t>
      </w:r>
      <w:r w:rsidR="00162F5A" w:rsidRPr="00FF53EF">
        <w:rPr>
          <w:rFonts w:ascii="Times New Roman" w:hAnsi="Times New Roman"/>
        </w:rPr>
        <w:t>Please include the EPA Docket ID Number EPA-HQ</w:t>
      </w:r>
      <w:r w:rsidRPr="00FF53EF">
        <w:rPr>
          <w:rFonts w:ascii="Times New Roman" w:hAnsi="Times New Roman"/>
        </w:rPr>
        <w:t xml:space="preserve">-OA-2007-0706 </w:t>
      </w:r>
      <w:r w:rsidR="00162F5A" w:rsidRPr="00FF53EF">
        <w:rPr>
          <w:rFonts w:ascii="Times New Roman" w:hAnsi="Times New Roman"/>
        </w:rPr>
        <w:t xml:space="preserve">and OMB Control Number </w:t>
      </w:r>
      <w:r w:rsidRPr="00FF53EF">
        <w:rPr>
          <w:rFonts w:ascii="Times New Roman" w:hAnsi="Times New Roman"/>
        </w:rPr>
        <w:t>2060-0337</w:t>
      </w:r>
      <w:r w:rsidR="00162F5A" w:rsidRPr="00FF53EF">
        <w:rPr>
          <w:rFonts w:ascii="Times New Roman" w:hAnsi="Times New Roman"/>
        </w:rPr>
        <w:t xml:space="preserve"> in any correspondence.</w:t>
      </w:r>
    </w:p>
    <w:p w14:paraId="4A652CBA" w14:textId="682CB4EE" w:rsidR="00734D95" w:rsidRDefault="00734D95">
      <w:pPr>
        <w:widowControl/>
        <w:autoSpaceDE/>
        <w:autoSpaceDN/>
        <w:adjustRightInd/>
        <w:rPr>
          <w:rFonts w:ascii="Times New Roman" w:hAnsi="Times New Roman"/>
          <w:color w:val="000000"/>
        </w:rPr>
      </w:pPr>
    </w:p>
    <w:p w14:paraId="606E6A5D" w14:textId="77777777" w:rsidR="006100E4" w:rsidRDefault="006100E4">
      <w:pPr>
        <w:widowControl/>
        <w:autoSpaceDE/>
        <w:autoSpaceDN/>
        <w:adjustRightInd/>
        <w:rPr>
          <w:rFonts w:ascii="Times New Roman" w:hAnsi="Times New Roman"/>
          <w:color w:val="000000"/>
        </w:rPr>
      </w:pPr>
    </w:p>
    <w:p w14:paraId="643D51D8" w14:textId="77777777" w:rsidR="00D96D13" w:rsidRDefault="00D96D13">
      <w:pPr>
        <w:widowControl/>
        <w:autoSpaceDE/>
        <w:autoSpaceDN/>
        <w:adjustRightInd/>
        <w:rPr>
          <w:rFonts w:ascii="Times New Roman" w:hAnsi="Times New Roman"/>
          <w:color w:val="000000"/>
        </w:rPr>
      </w:pPr>
    </w:p>
    <w:p w14:paraId="1F79B27F" w14:textId="77777777" w:rsidR="00D96D13" w:rsidRDefault="00D96D13">
      <w:pPr>
        <w:widowControl/>
        <w:autoSpaceDE/>
        <w:autoSpaceDN/>
        <w:adjustRightInd/>
        <w:rPr>
          <w:rFonts w:ascii="Times New Roman" w:hAnsi="Times New Roman"/>
          <w:color w:val="000000"/>
        </w:rPr>
      </w:pPr>
    </w:p>
    <w:p w14:paraId="1AC1829D" w14:textId="77777777" w:rsidR="00D96D13" w:rsidRDefault="00D96D13">
      <w:pPr>
        <w:widowControl/>
        <w:autoSpaceDE/>
        <w:autoSpaceDN/>
        <w:adjustRightInd/>
        <w:rPr>
          <w:rFonts w:ascii="Times New Roman" w:hAnsi="Times New Roman"/>
          <w:color w:val="000000"/>
        </w:rPr>
      </w:pPr>
    </w:p>
    <w:p w14:paraId="0CBC77A9" w14:textId="77777777" w:rsidR="00D96D13" w:rsidRDefault="00D96D13">
      <w:pPr>
        <w:widowControl/>
        <w:autoSpaceDE/>
        <w:autoSpaceDN/>
        <w:adjustRightInd/>
        <w:rPr>
          <w:rFonts w:ascii="Times New Roman" w:hAnsi="Times New Roman"/>
          <w:color w:val="000000"/>
        </w:rPr>
      </w:pPr>
    </w:p>
    <w:p w14:paraId="354751D5" w14:textId="77777777" w:rsidR="00D96D13" w:rsidRDefault="00D96D13">
      <w:pPr>
        <w:widowControl/>
        <w:autoSpaceDE/>
        <w:autoSpaceDN/>
        <w:adjustRightInd/>
        <w:rPr>
          <w:rFonts w:ascii="Times New Roman" w:hAnsi="Times New Roman"/>
          <w:color w:val="000000"/>
        </w:rPr>
      </w:pPr>
    </w:p>
    <w:p w14:paraId="0C1B1E24" w14:textId="77777777" w:rsidR="00D96D13" w:rsidRDefault="00D96D13">
      <w:pPr>
        <w:widowControl/>
        <w:autoSpaceDE/>
        <w:autoSpaceDN/>
        <w:adjustRightInd/>
        <w:rPr>
          <w:rFonts w:ascii="Times New Roman" w:hAnsi="Times New Roman"/>
          <w:color w:val="000000"/>
        </w:rPr>
      </w:pPr>
    </w:p>
    <w:p w14:paraId="076002AE" w14:textId="77777777" w:rsidR="00D96D13" w:rsidRDefault="00D96D13">
      <w:pPr>
        <w:widowControl/>
        <w:autoSpaceDE/>
        <w:autoSpaceDN/>
        <w:adjustRightInd/>
        <w:rPr>
          <w:rFonts w:ascii="Times New Roman" w:hAnsi="Times New Roman"/>
          <w:color w:val="000000"/>
        </w:rPr>
      </w:pPr>
    </w:p>
    <w:p w14:paraId="09537826" w14:textId="77777777" w:rsidR="00D96D13" w:rsidRDefault="00D96D13">
      <w:pPr>
        <w:widowControl/>
        <w:autoSpaceDE/>
        <w:autoSpaceDN/>
        <w:adjustRightInd/>
        <w:rPr>
          <w:rFonts w:ascii="Times New Roman" w:hAnsi="Times New Roman"/>
          <w:color w:val="000000"/>
        </w:rPr>
      </w:pPr>
    </w:p>
    <w:p w14:paraId="6235005A" w14:textId="77777777" w:rsidR="00D96D13" w:rsidRDefault="00D96D13">
      <w:pPr>
        <w:widowControl/>
        <w:autoSpaceDE/>
        <w:autoSpaceDN/>
        <w:adjustRightInd/>
        <w:rPr>
          <w:rFonts w:ascii="Times New Roman" w:hAnsi="Times New Roman"/>
          <w:color w:val="000000"/>
        </w:rPr>
      </w:pPr>
    </w:p>
    <w:p w14:paraId="265B5F87" w14:textId="77777777" w:rsidR="00D96D13" w:rsidRDefault="00D96D13">
      <w:pPr>
        <w:widowControl/>
        <w:autoSpaceDE/>
        <w:autoSpaceDN/>
        <w:adjustRightInd/>
        <w:rPr>
          <w:rFonts w:ascii="Times New Roman" w:hAnsi="Times New Roman"/>
          <w:color w:val="000000"/>
        </w:rPr>
      </w:pPr>
    </w:p>
    <w:p w14:paraId="1A6C87ED" w14:textId="77777777" w:rsidR="00D96D13" w:rsidRDefault="00D96D13">
      <w:pPr>
        <w:widowControl/>
        <w:autoSpaceDE/>
        <w:autoSpaceDN/>
        <w:adjustRightInd/>
        <w:rPr>
          <w:rFonts w:ascii="Times New Roman" w:hAnsi="Times New Roman"/>
          <w:color w:val="000000"/>
        </w:rPr>
      </w:pPr>
    </w:p>
    <w:p w14:paraId="50A74652" w14:textId="77777777" w:rsidR="00D96D13" w:rsidRDefault="00D96D13">
      <w:pPr>
        <w:widowControl/>
        <w:autoSpaceDE/>
        <w:autoSpaceDN/>
        <w:adjustRightInd/>
        <w:rPr>
          <w:rFonts w:ascii="Times New Roman" w:hAnsi="Times New Roman"/>
          <w:color w:val="000000"/>
        </w:rPr>
      </w:pPr>
    </w:p>
    <w:p w14:paraId="3C418C9C" w14:textId="77777777" w:rsidR="00D96D13" w:rsidRDefault="00D96D13">
      <w:pPr>
        <w:widowControl/>
        <w:autoSpaceDE/>
        <w:autoSpaceDN/>
        <w:adjustRightInd/>
        <w:rPr>
          <w:rFonts w:ascii="Times New Roman" w:hAnsi="Times New Roman"/>
          <w:color w:val="000000"/>
        </w:rPr>
      </w:pPr>
    </w:p>
    <w:p w14:paraId="39BC07D3" w14:textId="77777777" w:rsidR="00D96D13" w:rsidRDefault="00D96D13">
      <w:pPr>
        <w:widowControl/>
        <w:autoSpaceDE/>
        <w:autoSpaceDN/>
        <w:adjustRightInd/>
        <w:rPr>
          <w:rFonts w:ascii="Times New Roman" w:hAnsi="Times New Roman"/>
          <w:color w:val="000000"/>
        </w:rPr>
      </w:pPr>
    </w:p>
    <w:p w14:paraId="7D850A9B" w14:textId="77777777" w:rsidR="00D96D13" w:rsidRDefault="00D96D13">
      <w:pPr>
        <w:widowControl/>
        <w:autoSpaceDE/>
        <w:autoSpaceDN/>
        <w:adjustRightInd/>
        <w:rPr>
          <w:rFonts w:ascii="Times New Roman" w:hAnsi="Times New Roman"/>
          <w:color w:val="000000"/>
        </w:rPr>
      </w:pPr>
    </w:p>
    <w:p w14:paraId="73F4DE28" w14:textId="77777777" w:rsidR="00D96D13" w:rsidRDefault="00D96D13">
      <w:pPr>
        <w:widowControl/>
        <w:autoSpaceDE/>
        <w:autoSpaceDN/>
        <w:adjustRightInd/>
        <w:rPr>
          <w:rFonts w:ascii="Times New Roman" w:hAnsi="Times New Roman"/>
          <w:color w:val="000000"/>
        </w:rPr>
      </w:pPr>
    </w:p>
    <w:p w14:paraId="13FB9C7F" w14:textId="77777777" w:rsidR="00D96D13" w:rsidRDefault="00D96D13">
      <w:pPr>
        <w:widowControl/>
        <w:autoSpaceDE/>
        <w:autoSpaceDN/>
        <w:adjustRightInd/>
        <w:rPr>
          <w:rFonts w:ascii="Times New Roman" w:hAnsi="Times New Roman"/>
          <w:color w:val="000000"/>
        </w:rPr>
      </w:pPr>
    </w:p>
    <w:p w14:paraId="36AF6045" w14:textId="77777777" w:rsidR="00D96D13" w:rsidRDefault="00D96D13">
      <w:pPr>
        <w:widowControl/>
        <w:autoSpaceDE/>
        <w:autoSpaceDN/>
        <w:adjustRightInd/>
        <w:rPr>
          <w:rFonts w:ascii="Times New Roman" w:hAnsi="Times New Roman"/>
          <w:color w:val="000000"/>
        </w:rPr>
      </w:pPr>
    </w:p>
    <w:p w14:paraId="010D1063" w14:textId="77777777" w:rsidR="00D96D13" w:rsidRDefault="00D96D13">
      <w:pPr>
        <w:widowControl/>
        <w:autoSpaceDE/>
        <w:autoSpaceDN/>
        <w:adjustRightInd/>
        <w:rPr>
          <w:rFonts w:ascii="Times New Roman" w:hAnsi="Times New Roman"/>
          <w:color w:val="000000"/>
        </w:rPr>
      </w:pPr>
    </w:p>
    <w:p w14:paraId="6D3A46DB" w14:textId="77777777" w:rsidR="00D96D13" w:rsidRDefault="00D96D13">
      <w:pPr>
        <w:widowControl/>
        <w:autoSpaceDE/>
        <w:autoSpaceDN/>
        <w:adjustRightInd/>
        <w:rPr>
          <w:rFonts w:ascii="Times New Roman" w:hAnsi="Times New Roman"/>
          <w:color w:val="000000"/>
        </w:rPr>
      </w:pPr>
    </w:p>
    <w:p w14:paraId="6FBD35CB" w14:textId="77777777" w:rsidR="00D96D13" w:rsidRDefault="00D96D13">
      <w:pPr>
        <w:widowControl/>
        <w:autoSpaceDE/>
        <w:autoSpaceDN/>
        <w:adjustRightInd/>
        <w:rPr>
          <w:rFonts w:ascii="Times New Roman" w:hAnsi="Times New Roman"/>
          <w:color w:val="000000"/>
        </w:rPr>
      </w:pPr>
    </w:p>
    <w:p w14:paraId="48C5AA40" w14:textId="77777777" w:rsidR="00D96D13" w:rsidRDefault="00D96D13">
      <w:pPr>
        <w:widowControl/>
        <w:autoSpaceDE/>
        <w:autoSpaceDN/>
        <w:adjustRightInd/>
        <w:rPr>
          <w:rFonts w:ascii="Times New Roman" w:hAnsi="Times New Roman"/>
          <w:color w:val="000000"/>
        </w:rPr>
      </w:pPr>
    </w:p>
    <w:p w14:paraId="62213CAE" w14:textId="77777777" w:rsidR="00D96D13" w:rsidRDefault="00D96D13">
      <w:pPr>
        <w:widowControl/>
        <w:autoSpaceDE/>
        <w:autoSpaceDN/>
        <w:adjustRightInd/>
        <w:rPr>
          <w:rFonts w:ascii="Times New Roman" w:hAnsi="Times New Roman"/>
          <w:color w:val="000000"/>
        </w:rPr>
      </w:pPr>
    </w:p>
    <w:p w14:paraId="3021BA7A" w14:textId="77777777" w:rsidR="00D96D13" w:rsidRDefault="00D96D13">
      <w:pPr>
        <w:widowControl/>
        <w:autoSpaceDE/>
        <w:autoSpaceDN/>
        <w:adjustRightInd/>
        <w:rPr>
          <w:rFonts w:ascii="Times New Roman" w:hAnsi="Times New Roman"/>
          <w:color w:val="000000"/>
        </w:rPr>
      </w:pPr>
    </w:p>
    <w:p w14:paraId="18FB96F1" w14:textId="77777777" w:rsidR="00D96D13" w:rsidRDefault="00D96D13">
      <w:pPr>
        <w:widowControl/>
        <w:autoSpaceDE/>
        <w:autoSpaceDN/>
        <w:adjustRightInd/>
        <w:rPr>
          <w:rFonts w:ascii="Times New Roman" w:hAnsi="Times New Roman"/>
          <w:color w:val="000000"/>
        </w:rPr>
      </w:pPr>
    </w:p>
    <w:p w14:paraId="06DA4D02" w14:textId="77777777" w:rsidR="00D96D13" w:rsidRDefault="00D96D13">
      <w:pPr>
        <w:widowControl/>
        <w:autoSpaceDE/>
        <w:autoSpaceDN/>
        <w:adjustRightInd/>
        <w:rPr>
          <w:rFonts w:ascii="Times New Roman" w:hAnsi="Times New Roman"/>
          <w:color w:val="000000"/>
        </w:rPr>
      </w:pPr>
    </w:p>
    <w:p w14:paraId="7FC8F4B4" w14:textId="77777777" w:rsidR="00D96D13" w:rsidRDefault="00D96D13">
      <w:pPr>
        <w:widowControl/>
        <w:autoSpaceDE/>
        <w:autoSpaceDN/>
        <w:adjustRightInd/>
        <w:rPr>
          <w:rFonts w:ascii="Times New Roman" w:hAnsi="Times New Roman"/>
          <w:color w:val="000000"/>
        </w:rPr>
      </w:pPr>
    </w:p>
    <w:p w14:paraId="23E6C96A" w14:textId="77777777" w:rsidR="00D96D13" w:rsidRDefault="00D96D13">
      <w:pPr>
        <w:widowControl/>
        <w:autoSpaceDE/>
        <w:autoSpaceDN/>
        <w:adjustRightInd/>
        <w:rPr>
          <w:rFonts w:ascii="Times New Roman" w:hAnsi="Times New Roman"/>
          <w:color w:val="000000"/>
        </w:rPr>
      </w:pPr>
    </w:p>
    <w:p w14:paraId="2671CA77" w14:textId="77777777" w:rsidR="000774A5" w:rsidRPr="000774A5" w:rsidRDefault="000774A5" w:rsidP="00766FCA">
      <w:pPr>
        <w:keepNext/>
        <w:widowControl/>
        <w:jc w:val="center"/>
        <w:rPr>
          <w:rFonts w:ascii="Times New Roman" w:hAnsi="Times New Roman"/>
          <w:color w:val="000000"/>
        </w:rPr>
      </w:pPr>
      <w:r w:rsidRPr="000774A5">
        <w:rPr>
          <w:rFonts w:ascii="Times New Roman" w:hAnsi="Times New Roman"/>
          <w:b/>
          <w:bCs/>
          <w:color w:val="000000"/>
        </w:rPr>
        <w:lastRenderedPageBreak/>
        <w:t>WORKSHEET 1:  ANNUAL RESPONDENT BURDEN/COST ESTIMATE</w:t>
      </w:r>
    </w:p>
    <w:tbl>
      <w:tblPr>
        <w:tblpPr w:leftFromText="180" w:rightFromText="180" w:vertAnchor="text" w:horzAnchor="margin" w:tblpXSpec="center" w:tblpY="71"/>
        <w:tblW w:w="10620" w:type="dxa"/>
        <w:tblLayout w:type="fixed"/>
        <w:tblCellMar>
          <w:left w:w="134" w:type="dxa"/>
          <w:right w:w="134" w:type="dxa"/>
        </w:tblCellMar>
        <w:tblLook w:val="0000" w:firstRow="0" w:lastRow="0" w:firstColumn="0" w:lastColumn="0" w:noHBand="0" w:noVBand="0"/>
      </w:tblPr>
      <w:tblGrid>
        <w:gridCol w:w="1844"/>
        <w:gridCol w:w="990"/>
        <w:gridCol w:w="1440"/>
        <w:gridCol w:w="1080"/>
        <w:gridCol w:w="990"/>
        <w:gridCol w:w="1440"/>
        <w:gridCol w:w="1440"/>
        <w:gridCol w:w="1396"/>
      </w:tblGrid>
      <w:tr w:rsidR="00766FCA" w:rsidRPr="001D4CE1" w14:paraId="124BE196" w14:textId="77777777" w:rsidTr="00766FCA">
        <w:trPr>
          <w:cantSplit/>
          <w:trHeight w:val="1159"/>
        </w:trPr>
        <w:tc>
          <w:tcPr>
            <w:tcW w:w="1844" w:type="dxa"/>
            <w:tcBorders>
              <w:top w:val="double" w:sz="7" w:space="0" w:color="000000"/>
              <w:left w:val="double" w:sz="7" w:space="0" w:color="000000"/>
              <w:bottom w:val="nil"/>
              <w:right w:val="single" w:sz="6" w:space="0" w:color="FFFFFF"/>
            </w:tcBorders>
            <w:vAlign w:val="center"/>
          </w:tcPr>
          <w:p w14:paraId="76710A79" w14:textId="77777777"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Collection Activity</w:t>
            </w:r>
          </w:p>
        </w:tc>
        <w:tc>
          <w:tcPr>
            <w:tcW w:w="990" w:type="dxa"/>
            <w:tcBorders>
              <w:top w:val="double" w:sz="7" w:space="0" w:color="000000"/>
              <w:left w:val="single" w:sz="7" w:space="0" w:color="000000"/>
              <w:right w:val="single" w:sz="6" w:space="0" w:color="FFFFFF"/>
            </w:tcBorders>
            <w:vAlign w:val="center"/>
          </w:tcPr>
          <w:p w14:paraId="69ABBC97" w14:textId="77777777"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Burden Hours</w:t>
            </w:r>
          </w:p>
        </w:tc>
        <w:tc>
          <w:tcPr>
            <w:tcW w:w="1440" w:type="dxa"/>
            <w:tcBorders>
              <w:top w:val="double" w:sz="7" w:space="0" w:color="000000"/>
              <w:left w:val="single" w:sz="7" w:space="0" w:color="000000"/>
              <w:bottom w:val="nil"/>
              <w:right w:val="single" w:sz="6" w:space="0" w:color="FFFFFF"/>
            </w:tcBorders>
            <w:vAlign w:val="center"/>
          </w:tcPr>
          <w:p w14:paraId="7C6ED7C6" w14:textId="77777777"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Total Labor Costs Per Year*</w:t>
            </w:r>
          </w:p>
        </w:tc>
        <w:tc>
          <w:tcPr>
            <w:tcW w:w="1080" w:type="dxa"/>
            <w:tcBorders>
              <w:top w:val="double" w:sz="7" w:space="0" w:color="000000"/>
              <w:left w:val="single" w:sz="7" w:space="0" w:color="000000"/>
              <w:bottom w:val="nil"/>
              <w:right w:val="single" w:sz="6" w:space="0" w:color="FFFFFF"/>
            </w:tcBorders>
            <w:vAlign w:val="center"/>
          </w:tcPr>
          <w:p w14:paraId="4358CEDA" w14:textId="77777777"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Capital Costs</w:t>
            </w:r>
          </w:p>
        </w:tc>
        <w:tc>
          <w:tcPr>
            <w:tcW w:w="990" w:type="dxa"/>
            <w:tcBorders>
              <w:top w:val="double" w:sz="7" w:space="0" w:color="000000"/>
              <w:left w:val="single" w:sz="7" w:space="0" w:color="000000"/>
              <w:bottom w:val="nil"/>
              <w:right w:val="single" w:sz="6" w:space="0" w:color="FFFFFF"/>
            </w:tcBorders>
            <w:vAlign w:val="center"/>
          </w:tcPr>
          <w:p w14:paraId="410447DA" w14:textId="77777777"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O &amp; M Costs</w:t>
            </w:r>
          </w:p>
        </w:tc>
        <w:tc>
          <w:tcPr>
            <w:tcW w:w="1440" w:type="dxa"/>
            <w:tcBorders>
              <w:top w:val="double" w:sz="7" w:space="0" w:color="000000"/>
              <w:left w:val="single" w:sz="7" w:space="0" w:color="000000"/>
              <w:bottom w:val="nil"/>
              <w:right w:val="single" w:sz="6" w:space="0" w:color="FFFFFF"/>
            </w:tcBorders>
            <w:vAlign w:val="center"/>
          </w:tcPr>
          <w:p w14:paraId="5C455B0C" w14:textId="77777777" w:rsidR="00C548BE" w:rsidRPr="001D4CE1" w:rsidRDefault="00295A9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Respondent</w:t>
            </w:r>
            <w:r w:rsidR="00766FCA">
              <w:rPr>
                <w:rFonts w:ascii="Times New Roman" w:hAnsi="Times New Roman"/>
                <w:b/>
                <w:color w:val="000000"/>
                <w:sz w:val="22"/>
                <w:szCs w:val="22"/>
              </w:rPr>
              <w:t xml:space="preserve"> </w:t>
            </w:r>
            <w:r w:rsidR="00C548BE" w:rsidRPr="001D4CE1">
              <w:rPr>
                <w:rFonts w:ascii="Times New Roman" w:hAnsi="Times New Roman"/>
                <w:b/>
                <w:color w:val="000000"/>
                <w:sz w:val="22"/>
                <w:szCs w:val="22"/>
              </w:rPr>
              <w:t>Universe</w:t>
            </w:r>
          </w:p>
        </w:tc>
        <w:tc>
          <w:tcPr>
            <w:tcW w:w="1440" w:type="dxa"/>
            <w:tcBorders>
              <w:top w:val="double" w:sz="7" w:space="0" w:color="000000"/>
              <w:left w:val="single" w:sz="7" w:space="0" w:color="000000"/>
              <w:bottom w:val="nil"/>
              <w:right w:val="single" w:sz="6" w:space="0" w:color="FFFFFF"/>
            </w:tcBorders>
            <w:vAlign w:val="center"/>
          </w:tcPr>
          <w:p w14:paraId="6BC2C7EE" w14:textId="77777777"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Total Hours Per Year</w:t>
            </w:r>
            <w:r w:rsidR="00295A92" w:rsidRPr="001D4CE1">
              <w:rPr>
                <w:rFonts w:ascii="Times New Roman" w:hAnsi="Times New Roman"/>
                <w:b/>
                <w:color w:val="000000"/>
                <w:sz w:val="22"/>
                <w:szCs w:val="22"/>
              </w:rPr>
              <w:t>-</w:t>
            </w:r>
            <w:r w:rsidRPr="001D4CE1">
              <w:rPr>
                <w:rFonts w:ascii="Times New Roman" w:hAnsi="Times New Roman"/>
                <w:b/>
                <w:color w:val="000000"/>
                <w:sz w:val="22"/>
                <w:szCs w:val="22"/>
              </w:rPr>
              <w:t xml:space="preserve">all </w:t>
            </w:r>
            <w:r w:rsidR="00295A92" w:rsidRPr="001D4CE1">
              <w:rPr>
                <w:rFonts w:ascii="Times New Roman" w:hAnsi="Times New Roman"/>
                <w:b/>
                <w:color w:val="000000"/>
                <w:sz w:val="22"/>
                <w:szCs w:val="22"/>
              </w:rPr>
              <w:t>respondents</w:t>
            </w:r>
          </w:p>
        </w:tc>
        <w:tc>
          <w:tcPr>
            <w:tcW w:w="1396" w:type="dxa"/>
            <w:tcBorders>
              <w:top w:val="double" w:sz="7" w:space="0" w:color="000000"/>
              <w:left w:val="single" w:sz="7" w:space="0" w:color="000000"/>
              <w:bottom w:val="nil"/>
              <w:right w:val="double" w:sz="7" w:space="0" w:color="000000"/>
            </w:tcBorders>
            <w:vAlign w:val="center"/>
          </w:tcPr>
          <w:p w14:paraId="2A7CD6DF" w14:textId="77777777" w:rsidR="00126472" w:rsidRPr="001D4CE1" w:rsidRDefault="00126472" w:rsidP="00766FCA">
            <w:pPr>
              <w:keepNext/>
              <w:widowControl/>
              <w:jc w:val="center"/>
              <w:rPr>
                <w:rFonts w:ascii="Times New Roman" w:hAnsi="Times New Roman"/>
                <w:b/>
                <w:color w:val="000000"/>
                <w:sz w:val="22"/>
                <w:szCs w:val="22"/>
              </w:rPr>
            </w:pPr>
            <w:r w:rsidRPr="001D4CE1">
              <w:rPr>
                <w:rFonts w:ascii="Times New Roman" w:hAnsi="Times New Roman"/>
                <w:b/>
                <w:color w:val="000000"/>
                <w:sz w:val="22"/>
                <w:szCs w:val="22"/>
              </w:rPr>
              <w:t>Total Cost Per Year</w:t>
            </w:r>
            <w:r w:rsidR="00295A92" w:rsidRPr="001D4CE1">
              <w:rPr>
                <w:rFonts w:ascii="Times New Roman" w:hAnsi="Times New Roman"/>
                <w:b/>
                <w:color w:val="000000"/>
                <w:sz w:val="22"/>
                <w:szCs w:val="22"/>
              </w:rPr>
              <w:t>-all respondents</w:t>
            </w:r>
          </w:p>
        </w:tc>
      </w:tr>
      <w:tr w:rsidR="00766FCA" w:rsidRPr="001D4CE1" w14:paraId="61383D47" w14:textId="77777777" w:rsidTr="00766FCA">
        <w:trPr>
          <w:cantSplit/>
        </w:trPr>
        <w:tc>
          <w:tcPr>
            <w:tcW w:w="1844" w:type="dxa"/>
            <w:tcBorders>
              <w:top w:val="double" w:sz="7" w:space="0" w:color="000000"/>
              <w:left w:val="double" w:sz="7" w:space="0" w:color="000000"/>
              <w:bottom w:val="single" w:sz="6" w:space="0" w:color="FFFFFF"/>
              <w:right w:val="single" w:sz="6" w:space="0" w:color="FFFFFF"/>
            </w:tcBorders>
          </w:tcPr>
          <w:p w14:paraId="0419F04B" w14:textId="77777777" w:rsidR="00126472" w:rsidRPr="001D4CE1" w:rsidRDefault="00126472" w:rsidP="00425C31">
            <w:pPr>
              <w:widowControl/>
              <w:spacing w:before="60" w:after="60"/>
              <w:rPr>
                <w:rFonts w:ascii="Times New Roman" w:hAnsi="Times New Roman"/>
                <w:color w:val="000000"/>
                <w:sz w:val="22"/>
                <w:szCs w:val="22"/>
              </w:rPr>
            </w:pPr>
            <w:r w:rsidRPr="001D4CE1">
              <w:rPr>
                <w:rFonts w:ascii="Times New Roman" w:hAnsi="Times New Roman"/>
                <w:color w:val="000000"/>
                <w:sz w:val="22"/>
                <w:szCs w:val="22"/>
              </w:rPr>
              <w:t>Annual Recordkeeping burden</w:t>
            </w:r>
          </w:p>
        </w:tc>
        <w:tc>
          <w:tcPr>
            <w:tcW w:w="990" w:type="dxa"/>
            <w:tcBorders>
              <w:top w:val="double" w:sz="7" w:space="0" w:color="000000"/>
              <w:left w:val="single" w:sz="7" w:space="0" w:color="000000"/>
              <w:bottom w:val="single" w:sz="6" w:space="0" w:color="FFFFFF"/>
              <w:right w:val="single" w:sz="6" w:space="0" w:color="FFFFFF"/>
            </w:tcBorders>
            <w:vAlign w:val="center"/>
          </w:tcPr>
          <w:p w14:paraId="72241495" w14:textId="77777777"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36</w:t>
            </w:r>
          </w:p>
        </w:tc>
        <w:tc>
          <w:tcPr>
            <w:tcW w:w="1440" w:type="dxa"/>
            <w:tcBorders>
              <w:top w:val="double" w:sz="7" w:space="0" w:color="000000"/>
              <w:left w:val="single" w:sz="7" w:space="0" w:color="000000"/>
              <w:bottom w:val="single" w:sz="6" w:space="0" w:color="FFFFFF"/>
              <w:right w:val="single" w:sz="6" w:space="0" w:color="FFFFFF"/>
            </w:tcBorders>
            <w:vAlign w:val="center"/>
          </w:tcPr>
          <w:p w14:paraId="6D367FD4" w14:textId="7C07D302" w:rsidR="00126472" w:rsidRPr="001D4CE1" w:rsidRDefault="00126472" w:rsidP="009D6562">
            <w:pPr>
              <w:jc w:val="center"/>
              <w:rPr>
                <w:rFonts w:ascii="Times New Roman" w:hAnsi="Times New Roman"/>
                <w:color w:val="000000"/>
                <w:sz w:val="22"/>
                <w:szCs w:val="22"/>
              </w:rPr>
            </w:pPr>
            <w:r w:rsidRPr="001D4CE1">
              <w:rPr>
                <w:rFonts w:ascii="Times New Roman" w:hAnsi="Times New Roman"/>
                <w:color w:val="000000"/>
                <w:sz w:val="22"/>
                <w:szCs w:val="22"/>
              </w:rPr>
              <w:t>$</w:t>
            </w:r>
            <w:r w:rsidR="00031671">
              <w:rPr>
                <w:rFonts w:ascii="Times New Roman" w:hAnsi="Times New Roman"/>
                <w:color w:val="000000"/>
                <w:sz w:val="22"/>
                <w:szCs w:val="22"/>
              </w:rPr>
              <w:t>1,903.68</w:t>
            </w:r>
          </w:p>
        </w:tc>
        <w:tc>
          <w:tcPr>
            <w:tcW w:w="1080" w:type="dxa"/>
            <w:tcBorders>
              <w:top w:val="double" w:sz="7" w:space="0" w:color="000000"/>
              <w:left w:val="single" w:sz="7" w:space="0" w:color="000000"/>
              <w:bottom w:val="single" w:sz="6" w:space="0" w:color="FFFFFF"/>
              <w:right w:val="single" w:sz="6" w:space="0" w:color="FFFFFF"/>
            </w:tcBorders>
            <w:vAlign w:val="center"/>
          </w:tcPr>
          <w:p w14:paraId="5ED2D0D7" w14:textId="77777777"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990" w:type="dxa"/>
            <w:tcBorders>
              <w:top w:val="double" w:sz="7" w:space="0" w:color="000000"/>
              <w:left w:val="single" w:sz="7" w:space="0" w:color="000000"/>
              <w:bottom w:val="single" w:sz="6" w:space="0" w:color="FFFFFF"/>
              <w:right w:val="single" w:sz="6" w:space="0" w:color="FFFFFF"/>
            </w:tcBorders>
            <w:vAlign w:val="center"/>
          </w:tcPr>
          <w:p w14:paraId="58A2A670" w14:textId="77777777"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1440" w:type="dxa"/>
            <w:tcBorders>
              <w:top w:val="double" w:sz="7" w:space="0" w:color="000000"/>
              <w:left w:val="single" w:sz="7" w:space="0" w:color="000000"/>
              <w:bottom w:val="single" w:sz="6" w:space="0" w:color="FFFFFF"/>
              <w:right w:val="single" w:sz="6" w:space="0" w:color="FFFFFF"/>
            </w:tcBorders>
            <w:vAlign w:val="center"/>
          </w:tcPr>
          <w:p w14:paraId="72D80AD3" w14:textId="77777777"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53</w:t>
            </w:r>
          </w:p>
        </w:tc>
        <w:tc>
          <w:tcPr>
            <w:tcW w:w="1440" w:type="dxa"/>
            <w:tcBorders>
              <w:top w:val="double" w:sz="7" w:space="0" w:color="000000"/>
              <w:left w:val="single" w:sz="7" w:space="0" w:color="000000"/>
              <w:bottom w:val="single" w:sz="6" w:space="0" w:color="FFFFFF"/>
              <w:right w:val="single" w:sz="6" w:space="0" w:color="FFFFFF"/>
            </w:tcBorders>
            <w:vAlign w:val="center"/>
          </w:tcPr>
          <w:p w14:paraId="65242F52" w14:textId="77777777" w:rsidR="00126472" w:rsidRPr="001D4CE1" w:rsidRDefault="00295A9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1</w:t>
            </w:r>
            <w:r w:rsidR="00D14620">
              <w:rPr>
                <w:rFonts w:ascii="Times New Roman" w:hAnsi="Times New Roman"/>
                <w:color w:val="000000"/>
                <w:sz w:val="22"/>
                <w:szCs w:val="22"/>
              </w:rPr>
              <w:t>,</w:t>
            </w:r>
            <w:r w:rsidRPr="001D4CE1">
              <w:rPr>
                <w:rFonts w:ascii="Times New Roman" w:hAnsi="Times New Roman"/>
                <w:color w:val="000000"/>
                <w:sz w:val="22"/>
                <w:szCs w:val="22"/>
              </w:rPr>
              <w:t>908</w:t>
            </w:r>
          </w:p>
        </w:tc>
        <w:tc>
          <w:tcPr>
            <w:tcW w:w="1396" w:type="dxa"/>
            <w:tcBorders>
              <w:top w:val="double" w:sz="7" w:space="0" w:color="000000"/>
              <w:left w:val="single" w:sz="7" w:space="0" w:color="000000"/>
              <w:bottom w:val="single" w:sz="6" w:space="0" w:color="FFFFFF"/>
              <w:right w:val="double" w:sz="7" w:space="0" w:color="000000"/>
            </w:tcBorders>
            <w:vAlign w:val="center"/>
          </w:tcPr>
          <w:p w14:paraId="38384192" w14:textId="66956DB7" w:rsidR="00126472" w:rsidRPr="001D4CE1" w:rsidRDefault="00126472" w:rsidP="009D6562">
            <w:pPr>
              <w:widowControl/>
              <w:jc w:val="center"/>
              <w:rPr>
                <w:rFonts w:ascii="Times New Roman" w:hAnsi="Times New Roman"/>
                <w:color w:val="000000"/>
                <w:sz w:val="22"/>
                <w:szCs w:val="22"/>
              </w:rPr>
            </w:pPr>
            <w:r w:rsidRPr="001D4CE1">
              <w:rPr>
                <w:rFonts w:ascii="Times New Roman" w:hAnsi="Times New Roman"/>
                <w:color w:val="000000"/>
                <w:sz w:val="22"/>
                <w:szCs w:val="22"/>
              </w:rPr>
              <w:t>$</w:t>
            </w:r>
            <w:r w:rsidR="00031671">
              <w:rPr>
                <w:rFonts w:ascii="Times New Roman" w:hAnsi="Times New Roman"/>
                <w:color w:val="000000"/>
                <w:sz w:val="22"/>
                <w:szCs w:val="22"/>
              </w:rPr>
              <w:t>100,895.04</w:t>
            </w:r>
          </w:p>
        </w:tc>
      </w:tr>
      <w:tr w:rsidR="00766FCA" w:rsidRPr="001D4CE1" w14:paraId="2CB998F9" w14:textId="77777777" w:rsidTr="00766FCA">
        <w:trPr>
          <w:cantSplit/>
        </w:trPr>
        <w:tc>
          <w:tcPr>
            <w:tcW w:w="1844" w:type="dxa"/>
            <w:tcBorders>
              <w:top w:val="single" w:sz="7" w:space="0" w:color="000000"/>
              <w:left w:val="double" w:sz="7" w:space="0" w:color="000000"/>
              <w:bottom w:val="single" w:sz="6" w:space="0" w:color="FFFFFF"/>
              <w:right w:val="single" w:sz="6" w:space="0" w:color="FFFFFF"/>
            </w:tcBorders>
          </w:tcPr>
          <w:p w14:paraId="4593B252" w14:textId="77777777" w:rsidR="00126472" w:rsidRPr="001D4CE1" w:rsidRDefault="00126472" w:rsidP="00425C31">
            <w:pPr>
              <w:widowControl/>
              <w:spacing w:before="60" w:after="60"/>
              <w:rPr>
                <w:rFonts w:ascii="Times New Roman" w:hAnsi="Times New Roman"/>
                <w:color w:val="000000"/>
                <w:sz w:val="22"/>
                <w:szCs w:val="22"/>
              </w:rPr>
            </w:pPr>
            <w:r w:rsidRPr="001D4CE1">
              <w:rPr>
                <w:rFonts w:ascii="Times New Roman" w:hAnsi="Times New Roman"/>
                <w:color w:val="000000"/>
                <w:sz w:val="22"/>
                <w:szCs w:val="22"/>
              </w:rPr>
              <w:t>Annual Reporting Burden</w:t>
            </w:r>
          </w:p>
        </w:tc>
        <w:tc>
          <w:tcPr>
            <w:tcW w:w="990" w:type="dxa"/>
            <w:tcBorders>
              <w:top w:val="single" w:sz="7" w:space="0" w:color="000000"/>
              <w:left w:val="single" w:sz="7" w:space="0" w:color="000000"/>
              <w:bottom w:val="single" w:sz="6" w:space="0" w:color="FFFFFF"/>
              <w:right w:val="single" w:sz="6" w:space="0" w:color="FFFFFF"/>
            </w:tcBorders>
            <w:vAlign w:val="center"/>
          </w:tcPr>
          <w:p w14:paraId="4E2CD259" w14:textId="77777777"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4</w:t>
            </w:r>
          </w:p>
        </w:tc>
        <w:tc>
          <w:tcPr>
            <w:tcW w:w="1440" w:type="dxa"/>
            <w:tcBorders>
              <w:top w:val="single" w:sz="7" w:space="0" w:color="000000"/>
              <w:left w:val="single" w:sz="7" w:space="0" w:color="000000"/>
              <w:bottom w:val="single" w:sz="6" w:space="0" w:color="FFFFFF"/>
              <w:right w:val="single" w:sz="6" w:space="0" w:color="FFFFFF"/>
            </w:tcBorders>
            <w:vAlign w:val="center"/>
          </w:tcPr>
          <w:p w14:paraId="288E8304" w14:textId="5336F474" w:rsidR="00126472" w:rsidRPr="001D4CE1" w:rsidRDefault="00126472" w:rsidP="009D6562">
            <w:pPr>
              <w:jc w:val="center"/>
              <w:rPr>
                <w:rFonts w:ascii="Times New Roman" w:hAnsi="Times New Roman"/>
                <w:color w:val="000000"/>
                <w:sz w:val="22"/>
                <w:szCs w:val="22"/>
              </w:rPr>
            </w:pPr>
            <w:r w:rsidRPr="001D4CE1">
              <w:rPr>
                <w:rFonts w:ascii="Times New Roman" w:hAnsi="Times New Roman"/>
                <w:color w:val="000000"/>
                <w:sz w:val="22"/>
                <w:szCs w:val="22"/>
              </w:rPr>
              <w:t>$</w:t>
            </w:r>
            <w:r w:rsidR="00031671">
              <w:rPr>
                <w:rFonts w:ascii="Times New Roman" w:hAnsi="Times New Roman"/>
                <w:color w:val="000000"/>
                <w:sz w:val="22"/>
                <w:szCs w:val="22"/>
              </w:rPr>
              <w:t>211.52</w:t>
            </w:r>
          </w:p>
        </w:tc>
        <w:tc>
          <w:tcPr>
            <w:tcW w:w="1080" w:type="dxa"/>
            <w:tcBorders>
              <w:top w:val="single" w:sz="7" w:space="0" w:color="000000"/>
              <w:left w:val="single" w:sz="7" w:space="0" w:color="000000"/>
              <w:bottom w:val="single" w:sz="6" w:space="0" w:color="FFFFFF"/>
              <w:right w:val="single" w:sz="6" w:space="0" w:color="FFFFFF"/>
            </w:tcBorders>
            <w:vAlign w:val="center"/>
          </w:tcPr>
          <w:p w14:paraId="7E44EC64" w14:textId="77777777"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990" w:type="dxa"/>
            <w:tcBorders>
              <w:top w:val="single" w:sz="7" w:space="0" w:color="000000"/>
              <w:left w:val="single" w:sz="7" w:space="0" w:color="000000"/>
              <w:bottom w:val="single" w:sz="6" w:space="0" w:color="FFFFFF"/>
              <w:right w:val="single" w:sz="6" w:space="0" w:color="FFFFFF"/>
            </w:tcBorders>
            <w:vAlign w:val="center"/>
          </w:tcPr>
          <w:p w14:paraId="352DC485" w14:textId="77777777"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37D8F676" w14:textId="77777777" w:rsidR="00126472" w:rsidRPr="001D4CE1" w:rsidRDefault="0012647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53</w:t>
            </w:r>
          </w:p>
        </w:tc>
        <w:tc>
          <w:tcPr>
            <w:tcW w:w="1440" w:type="dxa"/>
            <w:tcBorders>
              <w:top w:val="single" w:sz="7" w:space="0" w:color="000000"/>
              <w:left w:val="single" w:sz="7" w:space="0" w:color="000000"/>
              <w:bottom w:val="single" w:sz="6" w:space="0" w:color="FFFFFF"/>
              <w:right w:val="single" w:sz="6" w:space="0" w:color="FFFFFF"/>
            </w:tcBorders>
            <w:vAlign w:val="center"/>
          </w:tcPr>
          <w:p w14:paraId="1973E609" w14:textId="77777777" w:rsidR="00126472" w:rsidRPr="001D4CE1" w:rsidRDefault="00295A92" w:rsidP="00425C31">
            <w:pPr>
              <w:widowControl/>
              <w:jc w:val="center"/>
              <w:rPr>
                <w:rFonts w:ascii="Times New Roman" w:hAnsi="Times New Roman"/>
                <w:color w:val="000000"/>
                <w:sz w:val="22"/>
                <w:szCs w:val="22"/>
              </w:rPr>
            </w:pPr>
            <w:r w:rsidRPr="001D4CE1">
              <w:rPr>
                <w:rFonts w:ascii="Times New Roman" w:hAnsi="Times New Roman"/>
                <w:color w:val="000000"/>
                <w:sz w:val="22"/>
                <w:szCs w:val="22"/>
              </w:rPr>
              <w:t>212</w:t>
            </w:r>
          </w:p>
        </w:tc>
        <w:tc>
          <w:tcPr>
            <w:tcW w:w="1396" w:type="dxa"/>
            <w:tcBorders>
              <w:top w:val="single" w:sz="7" w:space="0" w:color="000000"/>
              <w:left w:val="single" w:sz="7" w:space="0" w:color="000000"/>
              <w:bottom w:val="single" w:sz="6" w:space="0" w:color="FFFFFF"/>
              <w:right w:val="double" w:sz="7" w:space="0" w:color="000000"/>
            </w:tcBorders>
            <w:vAlign w:val="center"/>
          </w:tcPr>
          <w:p w14:paraId="0E4CA098" w14:textId="60BCE734" w:rsidR="00126472" w:rsidRPr="001D4CE1" w:rsidRDefault="00031671" w:rsidP="00031671">
            <w:pPr>
              <w:widowControl/>
              <w:jc w:val="center"/>
              <w:rPr>
                <w:rFonts w:ascii="Times New Roman" w:hAnsi="Times New Roman"/>
                <w:color w:val="000000"/>
                <w:sz w:val="22"/>
                <w:szCs w:val="22"/>
              </w:rPr>
            </w:pPr>
            <w:r>
              <w:rPr>
                <w:rFonts w:ascii="Times New Roman" w:hAnsi="Times New Roman"/>
                <w:color w:val="000000"/>
                <w:sz w:val="22"/>
                <w:szCs w:val="22"/>
              </w:rPr>
              <w:t>$11,210.56</w:t>
            </w:r>
          </w:p>
        </w:tc>
      </w:tr>
      <w:tr w:rsidR="00766FCA" w:rsidRPr="001D4CE1" w14:paraId="156B3162" w14:textId="77777777" w:rsidTr="00766FCA">
        <w:trPr>
          <w:cantSplit/>
        </w:trPr>
        <w:tc>
          <w:tcPr>
            <w:tcW w:w="1844" w:type="dxa"/>
            <w:tcBorders>
              <w:top w:val="single" w:sz="7" w:space="0" w:color="000000"/>
              <w:left w:val="double" w:sz="7" w:space="0" w:color="000000"/>
              <w:bottom w:val="double" w:sz="7" w:space="0" w:color="000000"/>
              <w:right w:val="single" w:sz="6" w:space="0" w:color="FFFFFF"/>
            </w:tcBorders>
          </w:tcPr>
          <w:p w14:paraId="672E534F" w14:textId="77777777" w:rsidR="00126472" w:rsidRPr="001D4CE1" w:rsidRDefault="00126472" w:rsidP="00425C31">
            <w:pPr>
              <w:widowControl/>
              <w:spacing w:before="60" w:after="60"/>
              <w:rPr>
                <w:rFonts w:ascii="Times New Roman" w:hAnsi="Times New Roman"/>
                <w:color w:val="000000"/>
                <w:sz w:val="22"/>
                <w:szCs w:val="22"/>
              </w:rPr>
            </w:pPr>
            <w:r w:rsidRPr="001D4CE1">
              <w:rPr>
                <w:rFonts w:ascii="Times New Roman" w:hAnsi="Times New Roman"/>
                <w:color w:val="000000"/>
                <w:sz w:val="22"/>
                <w:szCs w:val="22"/>
              </w:rPr>
              <w:t>TOTALS</w:t>
            </w:r>
          </w:p>
        </w:tc>
        <w:tc>
          <w:tcPr>
            <w:tcW w:w="990" w:type="dxa"/>
            <w:tcBorders>
              <w:top w:val="single" w:sz="7" w:space="0" w:color="000000"/>
              <w:left w:val="single" w:sz="7" w:space="0" w:color="000000"/>
              <w:bottom w:val="double" w:sz="7" w:space="0" w:color="000000"/>
              <w:right w:val="single" w:sz="6" w:space="0" w:color="FFFFFF"/>
            </w:tcBorders>
            <w:vAlign w:val="center"/>
          </w:tcPr>
          <w:p w14:paraId="773EE925" w14:textId="77777777"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40</w:t>
            </w:r>
          </w:p>
        </w:tc>
        <w:tc>
          <w:tcPr>
            <w:tcW w:w="1440" w:type="dxa"/>
            <w:tcBorders>
              <w:top w:val="single" w:sz="7" w:space="0" w:color="000000"/>
              <w:left w:val="single" w:sz="7" w:space="0" w:color="000000"/>
              <w:bottom w:val="double" w:sz="7" w:space="0" w:color="000000"/>
              <w:right w:val="single" w:sz="6" w:space="0" w:color="FFFFFF"/>
            </w:tcBorders>
            <w:vAlign w:val="center"/>
          </w:tcPr>
          <w:p w14:paraId="43831C6A" w14:textId="7E4CE260" w:rsidR="00126472" w:rsidRPr="001D4CE1" w:rsidRDefault="00126472" w:rsidP="009D6562">
            <w:pPr>
              <w:jc w:val="center"/>
              <w:rPr>
                <w:rFonts w:ascii="Times New Roman" w:hAnsi="Times New Roman"/>
                <w:color w:val="000000"/>
                <w:sz w:val="22"/>
                <w:szCs w:val="22"/>
              </w:rPr>
            </w:pPr>
            <w:r w:rsidRPr="001D4CE1">
              <w:rPr>
                <w:rFonts w:ascii="Times New Roman" w:hAnsi="Times New Roman"/>
                <w:color w:val="000000"/>
                <w:sz w:val="22"/>
                <w:szCs w:val="22"/>
              </w:rPr>
              <w:t>$</w:t>
            </w:r>
            <w:r w:rsidR="00031671">
              <w:rPr>
                <w:rFonts w:ascii="Times New Roman" w:hAnsi="Times New Roman"/>
                <w:color w:val="000000"/>
                <w:sz w:val="22"/>
                <w:szCs w:val="22"/>
              </w:rPr>
              <w:t>2,115.20</w:t>
            </w:r>
          </w:p>
        </w:tc>
        <w:tc>
          <w:tcPr>
            <w:tcW w:w="1080" w:type="dxa"/>
            <w:tcBorders>
              <w:top w:val="single" w:sz="7" w:space="0" w:color="000000"/>
              <w:left w:val="single" w:sz="7" w:space="0" w:color="000000"/>
              <w:bottom w:val="double" w:sz="7" w:space="0" w:color="000000"/>
              <w:right w:val="single" w:sz="6" w:space="0" w:color="FFFFFF"/>
            </w:tcBorders>
            <w:vAlign w:val="center"/>
          </w:tcPr>
          <w:p w14:paraId="17E5DE9C" w14:textId="77777777"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990" w:type="dxa"/>
            <w:tcBorders>
              <w:top w:val="single" w:sz="7" w:space="0" w:color="000000"/>
              <w:left w:val="single" w:sz="7" w:space="0" w:color="000000"/>
              <w:bottom w:val="double" w:sz="7" w:space="0" w:color="000000"/>
              <w:right w:val="single" w:sz="6" w:space="0" w:color="FFFFFF"/>
            </w:tcBorders>
            <w:vAlign w:val="center"/>
          </w:tcPr>
          <w:p w14:paraId="6899C0D0" w14:textId="77777777"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0</w:t>
            </w:r>
          </w:p>
        </w:tc>
        <w:tc>
          <w:tcPr>
            <w:tcW w:w="1440" w:type="dxa"/>
            <w:tcBorders>
              <w:top w:val="single" w:sz="7" w:space="0" w:color="000000"/>
              <w:left w:val="single" w:sz="7" w:space="0" w:color="000000"/>
              <w:bottom w:val="double" w:sz="7" w:space="0" w:color="000000"/>
              <w:right w:val="single" w:sz="6" w:space="0" w:color="FFFFFF"/>
            </w:tcBorders>
            <w:vAlign w:val="center"/>
          </w:tcPr>
          <w:p w14:paraId="6D86E9F7" w14:textId="77777777"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53</w:t>
            </w:r>
          </w:p>
        </w:tc>
        <w:tc>
          <w:tcPr>
            <w:tcW w:w="1440" w:type="dxa"/>
            <w:tcBorders>
              <w:top w:val="single" w:sz="7" w:space="0" w:color="000000"/>
              <w:left w:val="single" w:sz="7" w:space="0" w:color="000000"/>
              <w:bottom w:val="double" w:sz="7" w:space="0" w:color="000000"/>
              <w:right w:val="single" w:sz="6" w:space="0" w:color="FFFFFF"/>
            </w:tcBorders>
            <w:vAlign w:val="center"/>
          </w:tcPr>
          <w:p w14:paraId="6BCA92FA" w14:textId="77777777" w:rsidR="00126472" w:rsidRPr="001D4CE1" w:rsidRDefault="00126472" w:rsidP="00425C31">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2,120</w:t>
            </w:r>
          </w:p>
        </w:tc>
        <w:tc>
          <w:tcPr>
            <w:tcW w:w="1396" w:type="dxa"/>
            <w:tcBorders>
              <w:top w:val="single" w:sz="7" w:space="0" w:color="000000"/>
              <w:left w:val="single" w:sz="7" w:space="0" w:color="000000"/>
              <w:bottom w:val="double" w:sz="7" w:space="0" w:color="000000"/>
              <w:right w:val="double" w:sz="7" w:space="0" w:color="000000"/>
            </w:tcBorders>
            <w:vAlign w:val="center"/>
          </w:tcPr>
          <w:p w14:paraId="5575708A" w14:textId="49FEA1C9" w:rsidR="00126472" w:rsidRPr="001D4CE1" w:rsidRDefault="00126472" w:rsidP="009D6562">
            <w:pPr>
              <w:widowControl/>
              <w:spacing w:after="58"/>
              <w:jc w:val="center"/>
              <w:rPr>
                <w:rFonts w:ascii="Times New Roman" w:hAnsi="Times New Roman"/>
                <w:color w:val="000000"/>
                <w:sz w:val="22"/>
                <w:szCs w:val="22"/>
              </w:rPr>
            </w:pPr>
            <w:r w:rsidRPr="001D4CE1">
              <w:rPr>
                <w:rFonts w:ascii="Times New Roman" w:hAnsi="Times New Roman"/>
                <w:color w:val="000000"/>
                <w:sz w:val="22"/>
                <w:szCs w:val="22"/>
              </w:rPr>
              <w:t>$</w:t>
            </w:r>
            <w:r w:rsidR="00031671">
              <w:rPr>
                <w:rFonts w:ascii="Times New Roman" w:hAnsi="Times New Roman"/>
                <w:color w:val="000000"/>
                <w:sz w:val="22"/>
                <w:szCs w:val="22"/>
              </w:rPr>
              <w:t>112,105.60</w:t>
            </w:r>
          </w:p>
        </w:tc>
      </w:tr>
    </w:tbl>
    <w:p w14:paraId="4C522882" w14:textId="2BF89F66" w:rsidR="00126472" w:rsidRDefault="00126472" w:rsidP="00425C31">
      <w:pPr>
        <w:widowControl/>
        <w:rPr>
          <w:rFonts w:ascii="Times New Roman" w:hAnsi="Times New Roman"/>
          <w:color w:val="000000"/>
        </w:rPr>
      </w:pPr>
      <w:r w:rsidRPr="00126472">
        <w:rPr>
          <w:rFonts w:ascii="Times New Roman" w:hAnsi="Times New Roman"/>
          <w:color w:val="000000"/>
        </w:rPr>
        <w:t>*</w:t>
      </w:r>
      <w:r>
        <w:rPr>
          <w:rFonts w:ascii="Times New Roman" w:hAnsi="Times New Roman"/>
          <w:color w:val="000000"/>
        </w:rPr>
        <w:t xml:space="preserve"> Based on </w:t>
      </w:r>
      <w:r w:rsidRPr="00126472">
        <w:rPr>
          <w:rFonts w:ascii="Times New Roman" w:hAnsi="Times New Roman"/>
          <w:color w:val="000000"/>
          <w:sz w:val="22"/>
          <w:szCs w:val="22"/>
        </w:rPr>
        <w:t xml:space="preserve">Prof/Tech </w:t>
      </w:r>
      <w:r>
        <w:rPr>
          <w:rFonts w:ascii="Times New Roman" w:hAnsi="Times New Roman"/>
          <w:color w:val="000000"/>
          <w:sz w:val="22"/>
          <w:szCs w:val="22"/>
        </w:rPr>
        <w:t xml:space="preserve">rate of </w:t>
      </w:r>
      <w:r w:rsidRPr="00126472">
        <w:rPr>
          <w:rFonts w:ascii="Times New Roman" w:hAnsi="Times New Roman"/>
          <w:color w:val="000000"/>
          <w:sz w:val="22"/>
          <w:szCs w:val="22"/>
        </w:rPr>
        <w:t>$</w:t>
      </w:r>
      <w:r w:rsidR="00031671">
        <w:rPr>
          <w:rFonts w:ascii="Times New Roman" w:hAnsi="Times New Roman"/>
          <w:color w:val="000000"/>
          <w:sz w:val="22"/>
          <w:szCs w:val="22"/>
        </w:rPr>
        <w:t>52.88 per hour, a $3.51 an hour increase from the 2012 rate of $</w:t>
      </w:r>
      <w:r w:rsidR="00D14620">
        <w:rPr>
          <w:rFonts w:ascii="Times New Roman" w:hAnsi="Times New Roman"/>
          <w:color w:val="000000"/>
          <w:sz w:val="22"/>
          <w:szCs w:val="22"/>
        </w:rPr>
        <w:t>49.37</w:t>
      </w:r>
      <w:r>
        <w:rPr>
          <w:rFonts w:ascii="Times New Roman" w:hAnsi="Times New Roman"/>
          <w:color w:val="000000"/>
          <w:sz w:val="22"/>
          <w:szCs w:val="22"/>
        </w:rPr>
        <w:t xml:space="preserve"> per hour</w:t>
      </w:r>
    </w:p>
    <w:p w14:paraId="06E8EE01" w14:textId="77777777" w:rsidR="004F2E9C" w:rsidRPr="000774A5" w:rsidRDefault="004F2E9C" w:rsidP="00766FCA">
      <w:pPr>
        <w:widowControl/>
        <w:spacing w:after="120"/>
        <w:rPr>
          <w:rFonts w:ascii="Times New Roman" w:hAnsi="Times New Roman"/>
          <w:b/>
          <w:bCs/>
          <w:color w:val="000000"/>
        </w:rPr>
      </w:pPr>
    </w:p>
    <w:p w14:paraId="30FF499F" w14:textId="5A928F77" w:rsidR="000774A5" w:rsidRPr="000774A5" w:rsidRDefault="000774A5" w:rsidP="00425C31">
      <w:pPr>
        <w:widowControl/>
        <w:jc w:val="center"/>
        <w:rPr>
          <w:rFonts w:ascii="Times New Roman" w:hAnsi="Times New Roman"/>
          <w:color w:val="000000"/>
        </w:rPr>
      </w:pPr>
      <w:r w:rsidRPr="000774A5">
        <w:rPr>
          <w:rFonts w:ascii="Times New Roman" w:hAnsi="Times New Roman"/>
          <w:b/>
          <w:bCs/>
          <w:color w:val="000000"/>
        </w:rPr>
        <w:t>WORKSHEET 2:  ANNUAL AGENCY BURDEN/COST ESTIMATE</w:t>
      </w:r>
    </w:p>
    <w:tbl>
      <w:tblPr>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30"/>
        <w:gridCol w:w="1707"/>
        <w:gridCol w:w="1350"/>
        <w:gridCol w:w="1260"/>
        <w:gridCol w:w="990"/>
        <w:gridCol w:w="925"/>
        <w:gridCol w:w="1508"/>
      </w:tblGrid>
      <w:tr w:rsidR="00B135E1" w:rsidRPr="002D0A09" w14:paraId="0E99E16C" w14:textId="77777777" w:rsidTr="00E55DEE">
        <w:trPr>
          <w:jc w:val="center"/>
        </w:trPr>
        <w:tc>
          <w:tcPr>
            <w:tcW w:w="1230" w:type="dxa"/>
            <w:tcBorders>
              <w:bottom w:val="double" w:sz="4" w:space="0" w:color="auto"/>
              <w:right w:val="single" w:sz="4" w:space="0" w:color="auto"/>
            </w:tcBorders>
          </w:tcPr>
          <w:p w14:paraId="4CB82783" w14:textId="77777777"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color w:val="000000"/>
                <w:sz w:val="22"/>
                <w:szCs w:val="22"/>
              </w:rPr>
              <w:t>GS Level</w:t>
            </w:r>
          </w:p>
        </w:tc>
        <w:tc>
          <w:tcPr>
            <w:tcW w:w="1707" w:type="dxa"/>
            <w:tcBorders>
              <w:left w:val="single" w:sz="4" w:space="0" w:color="auto"/>
              <w:bottom w:val="double" w:sz="4" w:space="0" w:color="auto"/>
              <w:right w:val="single" w:sz="4" w:space="0" w:color="auto"/>
            </w:tcBorders>
          </w:tcPr>
          <w:p w14:paraId="4FD0A2C2" w14:textId="77777777"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sz w:val="22"/>
                <w:szCs w:val="22"/>
              </w:rPr>
              <w:t>Agency Burden Hours</w:t>
            </w:r>
          </w:p>
        </w:tc>
        <w:tc>
          <w:tcPr>
            <w:tcW w:w="1350" w:type="dxa"/>
            <w:tcBorders>
              <w:left w:val="single" w:sz="4" w:space="0" w:color="auto"/>
              <w:bottom w:val="double" w:sz="4" w:space="0" w:color="auto"/>
              <w:right w:val="single" w:sz="4" w:space="0" w:color="auto"/>
            </w:tcBorders>
          </w:tcPr>
          <w:p w14:paraId="1200C1F9" w14:textId="77777777"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color w:val="000000"/>
                <w:sz w:val="22"/>
                <w:szCs w:val="22"/>
              </w:rPr>
              <w:t>Federal pay rate (step 5)</w:t>
            </w:r>
          </w:p>
        </w:tc>
        <w:tc>
          <w:tcPr>
            <w:tcW w:w="1260" w:type="dxa"/>
            <w:tcBorders>
              <w:left w:val="single" w:sz="4" w:space="0" w:color="auto"/>
              <w:bottom w:val="double" w:sz="4" w:space="0" w:color="auto"/>
              <w:right w:val="single" w:sz="4" w:space="0" w:color="auto"/>
            </w:tcBorders>
          </w:tcPr>
          <w:p w14:paraId="421E2A99" w14:textId="77777777" w:rsidR="00B135E1" w:rsidRPr="002D0A09" w:rsidRDefault="00E55DEE" w:rsidP="00E55DEE">
            <w:pPr>
              <w:widowControl/>
              <w:jc w:val="center"/>
              <w:rPr>
                <w:rFonts w:ascii="Times New Roman" w:hAnsi="Times New Roman"/>
                <w:b/>
                <w:color w:val="000000"/>
                <w:sz w:val="22"/>
                <w:szCs w:val="22"/>
              </w:rPr>
            </w:pPr>
            <w:r>
              <w:rPr>
                <w:rFonts w:ascii="Times New Roman" w:hAnsi="Times New Roman"/>
                <w:b/>
                <w:color w:val="000000"/>
                <w:sz w:val="22"/>
                <w:szCs w:val="22"/>
              </w:rPr>
              <w:t>Annual C</w:t>
            </w:r>
            <w:r w:rsidR="00B135E1" w:rsidRPr="002D0A09">
              <w:rPr>
                <w:rFonts w:ascii="Times New Roman" w:hAnsi="Times New Roman"/>
                <w:b/>
                <w:color w:val="000000"/>
                <w:sz w:val="22"/>
                <w:szCs w:val="22"/>
              </w:rPr>
              <w:t xml:space="preserve">ost </w:t>
            </w:r>
          </w:p>
        </w:tc>
        <w:tc>
          <w:tcPr>
            <w:tcW w:w="990" w:type="dxa"/>
            <w:tcBorders>
              <w:left w:val="single" w:sz="4" w:space="0" w:color="auto"/>
              <w:bottom w:val="double" w:sz="4" w:space="0" w:color="auto"/>
              <w:right w:val="single" w:sz="4" w:space="0" w:color="auto"/>
            </w:tcBorders>
          </w:tcPr>
          <w:p w14:paraId="1A5511D1" w14:textId="77777777"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color w:val="000000"/>
                <w:sz w:val="22"/>
                <w:szCs w:val="22"/>
              </w:rPr>
              <w:t>Capital Costs</w:t>
            </w:r>
          </w:p>
        </w:tc>
        <w:tc>
          <w:tcPr>
            <w:tcW w:w="925" w:type="dxa"/>
            <w:tcBorders>
              <w:left w:val="single" w:sz="4" w:space="0" w:color="auto"/>
              <w:bottom w:val="double" w:sz="4" w:space="0" w:color="auto"/>
              <w:right w:val="single" w:sz="4" w:space="0" w:color="auto"/>
            </w:tcBorders>
          </w:tcPr>
          <w:p w14:paraId="4C99376C" w14:textId="77777777" w:rsidR="00B135E1" w:rsidRPr="00193C23" w:rsidRDefault="00B135E1" w:rsidP="00193C23">
            <w:pPr>
              <w:widowControl/>
              <w:jc w:val="center"/>
              <w:rPr>
                <w:rFonts w:ascii="Times New Roman" w:hAnsi="Times New Roman"/>
                <w:b/>
                <w:sz w:val="22"/>
                <w:szCs w:val="22"/>
              </w:rPr>
            </w:pPr>
            <w:r w:rsidRPr="002D0A09">
              <w:rPr>
                <w:rFonts w:ascii="Times New Roman" w:hAnsi="Times New Roman"/>
                <w:b/>
                <w:sz w:val="22"/>
                <w:szCs w:val="22"/>
              </w:rPr>
              <w:t>O &amp; M Costs</w:t>
            </w:r>
          </w:p>
        </w:tc>
        <w:tc>
          <w:tcPr>
            <w:tcW w:w="1508" w:type="dxa"/>
            <w:tcBorders>
              <w:left w:val="single" w:sz="4" w:space="0" w:color="auto"/>
              <w:bottom w:val="double" w:sz="4" w:space="0" w:color="auto"/>
            </w:tcBorders>
          </w:tcPr>
          <w:p w14:paraId="2CF0026D" w14:textId="77777777" w:rsidR="00B135E1" w:rsidRPr="002D0A09" w:rsidRDefault="00B135E1" w:rsidP="00193C23">
            <w:pPr>
              <w:widowControl/>
              <w:jc w:val="center"/>
              <w:rPr>
                <w:rFonts w:ascii="Times New Roman" w:hAnsi="Times New Roman"/>
                <w:b/>
                <w:color w:val="000000"/>
                <w:sz w:val="22"/>
                <w:szCs w:val="22"/>
              </w:rPr>
            </w:pPr>
            <w:r w:rsidRPr="002D0A09">
              <w:rPr>
                <w:rFonts w:ascii="Times New Roman" w:hAnsi="Times New Roman"/>
                <w:b/>
                <w:color w:val="000000"/>
                <w:sz w:val="22"/>
                <w:szCs w:val="22"/>
              </w:rPr>
              <w:t>Total Costs</w:t>
            </w:r>
          </w:p>
        </w:tc>
      </w:tr>
      <w:tr w:rsidR="00B135E1" w:rsidRPr="002D0A09" w14:paraId="02E90780" w14:textId="77777777" w:rsidTr="00E55DEE">
        <w:trPr>
          <w:jc w:val="center"/>
        </w:trPr>
        <w:tc>
          <w:tcPr>
            <w:tcW w:w="1230" w:type="dxa"/>
            <w:tcBorders>
              <w:top w:val="double" w:sz="4" w:space="0" w:color="auto"/>
              <w:bottom w:val="single" w:sz="4" w:space="0" w:color="auto"/>
              <w:right w:val="single" w:sz="4" w:space="0" w:color="auto"/>
            </w:tcBorders>
          </w:tcPr>
          <w:p w14:paraId="4069AD33"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GS15</w:t>
            </w:r>
          </w:p>
        </w:tc>
        <w:tc>
          <w:tcPr>
            <w:tcW w:w="1707" w:type="dxa"/>
            <w:tcBorders>
              <w:top w:val="double" w:sz="4" w:space="0" w:color="auto"/>
              <w:left w:val="single" w:sz="4" w:space="0" w:color="auto"/>
              <w:bottom w:val="single" w:sz="4" w:space="0" w:color="auto"/>
              <w:right w:val="single" w:sz="4" w:space="0" w:color="auto"/>
            </w:tcBorders>
          </w:tcPr>
          <w:p w14:paraId="31264383" w14:textId="73BC034C" w:rsidR="00B135E1" w:rsidRPr="002D0A09" w:rsidRDefault="00F60B73" w:rsidP="00425C31">
            <w:pPr>
              <w:widowControl/>
              <w:jc w:val="center"/>
              <w:rPr>
                <w:rFonts w:ascii="Times New Roman" w:hAnsi="Times New Roman"/>
                <w:color w:val="000000"/>
                <w:sz w:val="22"/>
                <w:szCs w:val="22"/>
              </w:rPr>
            </w:pPr>
            <w:r>
              <w:rPr>
                <w:rFonts w:ascii="Times New Roman" w:hAnsi="Times New Roman"/>
                <w:color w:val="000000"/>
                <w:sz w:val="22"/>
                <w:szCs w:val="22"/>
              </w:rPr>
              <w:t>75</w:t>
            </w:r>
          </w:p>
        </w:tc>
        <w:tc>
          <w:tcPr>
            <w:tcW w:w="1350" w:type="dxa"/>
            <w:tcBorders>
              <w:top w:val="double" w:sz="4" w:space="0" w:color="auto"/>
              <w:left w:val="single" w:sz="4" w:space="0" w:color="auto"/>
              <w:bottom w:val="single" w:sz="4" w:space="0" w:color="auto"/>
              <w:right w:val="single" w:sz="4" w:space="0" w:color="auto"/>
            </w:tcBorders>
          </w:tcPr>
          <w:p w14:paraId="23F8C518" w14:textId="2BA8CE0A" w:rsidR="00B135E1" w:rsidRPr="002D0A09" w:rsidRDefault="00B135E1" w:rsidP="00F60B73">
            <w:pPr>
              <w:widowControl/>
              <w:jc w:val="center"/>
              <w:rPr>
                <w:rFonts w:ascii="Times New Roman" w:hAnsi="Times New Roman"/>
                <w:color w:val="000000"/>
                <w:sz w:val="22"/>
                <w:szCs w:val="22"/>
              </w:rPr>
            </w:pPr>
            <w:r w:rsidRPr="002D0A09">
              <w:rPr>
                <w:rFonts w:ascii="Times New Roman" w:hAnsi="Times New Roman"/>
                <w:sz w:val="22"/>
                <w:szCs w:val="22"/>
              </w:rPr>
              <w:t>$</w:t>
            </w:r>
            <w:r w:rsidR="00F60B73">
              <w:rPr>
                <w:rFonts w:ascii="Times New Roman" w:hAnsi="Times New Roman"/>
                <w:sz w:val="22"/>
                <w:szCs w:val="22"/>
              </w:rPr>
              <w:t>68.56</w:t>
            </w:r>
            <w:r w:rsidRPr="002D0A09">
              <w:rPr>
                <w:rFonts w:ascii="Times New Roman" w:hAnsi="Times New Roman"/>
                <w:sz w:val="22"/>
                <w:szCs w:val="22"/>
              </w:rPr>
              <w:t>/</w:t>
            </w:r>
            <w:proofErr w:type="spellStart"/>
            <w:r w:rsidRPr="002D0A09">
              <w:rPr>
                <w:rFonts w:ascii="Times New Roman" w:hAnsi="Times New Roman"/>
                <w:sz w:val="22"/>
                <w:szCs w:val="22"/>
              </w:rPr>
              <w:t>hr</w:t>
            </w:r>
            <w:proofErr w:type="spellEnd"/>
          </w:p>
        </w:tc>
        <w:tc>
          <w:tcPr>
            <w:tcW w:w="1260" w:type="dxa"/>
            <w:tcBorders>
              <w:top w:val="double" w:sz="4" w:space="0" w:color="auto"/>
              <w:left w:val="single" w:sz="4" w:space="0" w:color="auto"/>
              <w:bottom w:val="single" w:sz="4" w:space="0" w:color="auto"/>
              <w:right w:val="single" w:sz="4" w:space="0" w:color="auto"/>
            </w:tcBorders>
          </w:tcPr>
          <w:p w14:paraId="19ADEEA8" w14:textId="33E66DAE"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w:t>
            </w:r>
            <w:r w:rsidR="00FF721D">
              <w:rPr>
                <w:rFonts w:ascii="Times New Roman" w:hAnsi="Times New Roman"/>
                <w:color w:val="000000"/>
                <w:sz w:val="22"/>
                <w:szCs w:val="22"/>
              </w:rPr>
              <w:t>5,142</w:t>
            </w:r>
          </w:p>
        </w:tc>
        <w:tc>
          <w:tcPr>
            <w:tcW w:w="990" w:type="dxa"/>
            <w:tcBorders>
              <w:top w:val="double" w:sz="4" w:space="0" w:color="auto"/>
              <w:left w:val="single" w:sz="4" w:space="0" w:color="auto"/>
              <w:bottom w:val="single" w:sz="4" w:space="0" w:color="auto"/>
              <w:right w:val="single" w:sz="4" w:space="0" w:color="auto"/>
            </w:tcBorders>
          </w:tcPr>
          <w:p w14:paraId="40A95AB4"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925" w:type="dxa"/>
            <w:tcBorders>
              <w:top w:val="double" w:sz="4" w:space="0" w:color="auto"/>
              <w:left w:val="single" w:sz="4" w:space="0" w:color="auto"/>
              <w:bottom w:val="single" w:sz="4" w:space="0" w:color="auto"/>
              <w:right w:val="single" w:sz="4" w:space="0" w:color="auto"/>
            </w:tcBorders>
          </w:tcPr>
          <w:p w14:paraId="3C0983A8"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1508" w:type="dxa"/>
            <w:tcBorders>
              <w:top w:val="double" w:sz="4" w:space="0" w:color="auto"/>
              <w:left w:val="single" w:sz="4" w:space="0" w:color="auto"/>
              <w:bottom w:val="single" w:sz="4" w:space="0" w:color="auto"/>
            </w:tcBorders>
          </w:tcPr>
          <w:p w14:paraId="540C9CD2" w14:textId="2009ED43" w:rsidR="00B135E1" w:rsidRPr="002D0A09" w:rsidRDefault="00B135E1" w:rsidP="00FF721D">
            <w:pPr>
              <w:widowControl/>
              <w:jc w:val="center"/>
              <w:rPr>
                <w:rFonts w:ascii="Times New Roman" w:hAnsi="Times New Roman"/>
                <w:color w:val="000000"/>
                <w:sz w:val="22"/>
                <w:szCs w:val="22"/>
              </w:rPr>
            </w:pPr>
            <w:r w:rsidRPr="002D0A09">
              <w:rPr>
                <w:rFonts w:ascii="Times New Roman" w:hAnsi="Times New Roman"/>
                <w:color w:val="000000"/>
                <w:sz w:val="22"/>
                <w:szCs w:val="22"/>
              </w:rPr>
              <w:t>$</w:t>
            </w:r>
            <w:r w:rsidR="00FF721D">
              <w:rPr>
                <w:rFonts w:ascii="Times New Roman" w:hAnsi="Times New Roman"/>
                <w:color w:val="000000"/>
                <w:sz w:val="22"/>
                <w:szCs w:val="22"/>
              </w:rPr>
              <w:t>5,142</w:t>
            </w:r>
          </w:p>
        </w:tc>
      </w:tr>
      <w:tr w:rsidR="00B135E1" w:rsidRPr="002D0A09" w14:paraId="4602B3F7" w14:textId="77777777" w:rsidTr="00E55DEE">
        <w:trPr>
          <w:jc w:val="center"/>
        </w:trPr>
        <w:tc>
          <w:tcPr>
            <w:tcW w:w="1230" w:type="dxa"/>
            <w:tcBorders>
              <w:top w:val="single" w:sz="4" w:space="0" w:color="auto"/>
              <w:bottom w:val="single" w:sz="4" w:space="0" w:color="auto"/>
              <w:right w:val="single" w:sz="4" w:space="0" w:color="auto"/>
            </w:tcBorders>
          </w:tcPr>
          <w:p w14:paraId="40D1597F" w14:textId="129F255A"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GS1</w:t>
            </w:r>
            <w:r w:rsidR="00031671">
              <w:rPr>
                <w:rFonts w:ascii="Times New Roman" w:hAnsi="Times New Roman"/>
                <w:color w:val="000000"/>
                <w:sz w:val="22"/>
                <w:szCs w:val="22"/>
              </w:rPr>
              <w:t>3</w:t>
            </w:r>
          </w:p>
        </w:tc>
        <w:tc>
          <w:tcPr>
            <w:tcW w:w="1707" w:type="dxa"/>
            <w:tcBorders>
              <w:top w:val="single" w:sz="4" w:space="0" w:color="auto"/>
              <w:left w:val="single" w:sz="4" w:space="0" w:color="auto"/>
              <w:bottom w:val="single" w:sz="4" w:space="0" w:color="auto"/>
              <w:right w:val="single" w:sz="4" w:space="0" w:color="auto"/>
            </w:tcBorders>
          </w:tcPr>
          <w:p w14:paraId="3A63261F" w14:textId="02135259" w:rsidR="00B135E1" w:rsidRPr="002D0A09" w:rsidRDefault="00F60B73" w:rsidP="00F60B73">
            <w:pPr>
              <w:widowControl/>
              <w:jc w:val="center"/>
              <w:rPr>
                <w:rFonts w:ascii="Times New Roman" w:hAnsi="Times New Roman"/>
                <w:color w:val="000000"/>
                <w:sz w:val="22"/>
                <w:szCs w:val="22"/>
              </w:rPr>
            </w:pPr>
            <w:r>
              <w:rPr>
                <w:rFonts w:ascii="Times New Roman" w:hAnsi="Times New Roman"/>
                <w:color w:val="000000"/>
                <w:sz w:val="22"/>
                <w:szCs w:val="22"/>
              </w:rPr>
              <w:t>130</w:t>
            </w:r>
          </w:p>
        </w:tc>
        <w:tc>
          <w:tcPr>
            <w:tcW w:w="1350" w:type="dxa"/>
            <w:tcBorders>
              <w:top w:val="single" w:sz="4" w:space="0" w:color="auto"/>
              <w:left w:val="single" w:sz="4" w:space="0" w:color="auto"/>
              <w:bottom w:val="single" w:sz="4" w:space="0" w:color="auto"/>
              <w:right w:val="single" w:sz="4" w:space="0" w:color="auto"/>
            </w:tcBorders>
          </w:tcPr>
          <w:p w14:paraId="08BA3A99" w14:textId="2B8D5D97" w:rsidR="00B135E1" w:rsidRPr="002D0A09" w:rsidRDefault="00B135E1" w:rsidP="00F60B73">
            <w:pPr>
              <w:widowControl/>
              <w:jc w:val="center"/>
              <w:rPr>
                <w:rFonts w:ascii="Times New Roman" w:hAnsi="Times New Roman"/>
                <w:color w:val="000000"/>
                <w:sz w:val="22"/>
                <w:szCs w:val="22"/>
              </w:rPr>
            </w:pPr>
            <w:r w:rsidRPr="002D0A09">
              <w:rPr>
                <w:rFonts w:ascii="Times New Roman" w:hAnsi="Times New Roman"/>
                <w:sz w:val="22"/>
                <w:szCs w:val="22"/>
              </w:rPr>
              <w:t>$</w:t>
            </w:r>
            <w:r w:rsidR="00F60B73">
              <w:rPr>
                <w:rFonts w:ascii="Times New Roman" w:hAnsi="Times New Roman"/>
                <w:sz w:val="22"/>
                <w:szCs w:val="22"/>
              </w:rPr>
              <w:t>49.32</w:t>
            </w:r>
            <w:r w:rsidRPr="002D0A09">
              <w:rPr>
                <w:rFonts w:ascii="Times New Roman" w:hAnsi="Times New Roman"/>
                <w:sz w:val="22"/>
                <w:szCs w:val="22"/>
              </w:rPr>
              <w:t>/</w:t>
            </w:r>
            <w:proofErr w:type="spellStart"/>
            <w:r w:rsidRPr="002D0A09">
              <w:rPr>
                <w:rFonts w:ascii="Times New Roman" w:hAnsi="Times New Roman"/>
                <w:sz w:val="22"/>
                <w:szCs w:val="22"/>
              </w:rPr>
              <w:t>hr</w:t>
            </w:r>
            <w:proofErr w:type="spellEnd"/>
          </w:p>
        </w:tc>
        <w:tc>
          <w:tcPr>
            <w:tcW w:w="1260" w:type="dxa"/>
            <w:tcBorders>
              <w:top w:val="single" w:sz="4" w:space="0" w:color="auto"/>
              <w:left w:val="single" w:sz="4" w:space="0" w:color="auto"/>
              <w:bottom w:val="single" w:sz="4" w:space="0" w:color="auto"/>
              <w:right w:val="single" w:sz="4" w:space="0" w:color="auto"/>
            </w:tcBorders>
          </w:tcPr>
          <w:p w14:paraId="6B66B00F" w14:textId="46E3B2F9" w:rsidR="00B135E1" w:rsidRPr="002D0A09" w:rsidRDefault="00B135E1" w:rsidP="00FF721D">
            <w:pPr>
              <w:widowControl/>
              <w:jc w:val="center"/>
              <w:rPr>
                <w:rFonts w:ascii="Times New Roman" w:hAnsi="Times New Roman"/>
                <w:color w:val="000000"/>
                <w:sz w:val="22"/>
                <w:szCs w:val="22"/>
              </w:rPr>
            </w:pPr>
            <w:r w:rsidRPr="002D0A09">
              <w:rPr>
                <w:rFonts w:ascii="Times New Roman" w:hAnsi="Times New Roman"/>
                <w:color w:val="000000"/>
                <w:sz w:val="22"/>
                <w:szCs w:val="22"/>
              </w:rPr>
              <w:t>$</w:t>
            </w:r>
            <w:r w:rsidR="00FF721D">
              <w:rPr>
                <w:rFonts w:ascii="Times New Roman" w:hAnsi="Times New Roman"/>
                <w:color w:val="000000"/>
                <w:sz w:val="22"/>
                <w:szCs w:val="22"/>
              </w:rPr>
              <w:t>6,411.60</w:t>
            </w:r>
          </w:p>
        </w:tc>
        <w:tc>
          <w:tcPr>
            <w:tcW w:w="990" w:type="dxa"/>
            <w:tcBorders>
              <w:top w:val="single" w:sz="4" w:space="0" w:color="auto"/>
              <w:left w:val="single" w:sz="4" w:space="0" w:color="auto"/>
              <w:bottom w:val="single" w:sz="4" w:space="0" w:color="auto"/>
              <w:right w:val="single" w:sz="4" w:space="0" w:color="auto"/>
            </w:tcBorders>
          </w:tcPr>
          <w:p w14:paraId="5D7D1D4B"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925" w:type="dxa"/>
            <w:tcBorders>
              <w:top w:val="single" w:sz="4" w:space="0" w:color="auto"/>
              <w:left w:val="single" w:sz="4" w:space="0" w:color="auto"/>
              <w:bottom w:val="single" w:sz="4" w:space="0" w:color="auto"/>
              <w:right w:val="single" w:sz="4" w:space="0" w:color="auto"/>
            </w:tcBorders>
          </w:tcPr>
          <w:p w14:paraId="23D9AB2D"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1508" w:type="dxa"/>
            <w:tcBorders>
              <w:top w:val="single" w:sz="4" w:space="0" w:color="auto"/>
              <w:left w:val="single" w:sz="4" w:space="0" w:color="auto"/>
              <w:bottom w:val="single" w:sz="4" w:space="0" w:color="auto"/>
            </w:tcBorders>
          </w:tcPr>
          <w:p w14:paraId="7088AA85" w14:textId="21760F35" w:rsidR="00B135E1" w:rsidRPr="002D0A09" w:rsidRDefault="00B135E1" w:rsidP="00FF721D">
            <w:pPr>
              <w:widowControl/>
              <w:jc w:val="center"/>
              <w:rPr>
                <w:rFonts w:ascii="Times New Roman" w:hAnsi="Times New Roman"/>
                <w:color w:val="000000"/>
                <w:sz w:val="22"/>
                <w:szCs w:val="22"/>
              </w:rPr>
            </w:pPr>
            <w:r w:rsidRPr="002D0A09">
              <w:rPr>
                <w:rFonts w:ascii="Times New Roman" w:hAnsi="Times New Roman"/>
                <w:color w:val="000000"/>
                <w:sz w:val="22"/>
                <w:szCs w:val="22"/>
              </w:rPr>
              <w:t>$</w:t>
            </w:r>
            <w:r w:rsidR="00FF721D">
              <w:rPr>
                <w:rFonts w:ascii="Times New Roman" w:hAnsi="Times New Roman"/>
                <w:color w:val="000000"/>
                <w:sz w:val="22"/>
                <w:szCs w:val="22"/>
              </w:rPr>
              <w:t>6,411.60</w:t>
            </w:r>
          </w:p>
        </w:tc>
      </w:tr>
      <w:tr w:rsidR="00B135E1" w:rsidRPr="002D0A09" w14:paraId="5FA9F7B1" w14:textId="77777777" w:rsidTr="00E55DEE">
        <w:trPr>
          <w:jc w:val="center"/>
        </w:trPr>
        <w:tc>
          <w:tcPr>
            <w:tcW w:w="1230" w:type="dxa"/>
            <w:tcBorders>
              <w:top w:val="single" w:sz="4" w:space="0" w:color="auto"/>
              <w:bottom w:val="single" w:sz="4" w:space="0" w:color="auto"/>
              <w:right w:val="single" w:sz="4" w:space="0" w:color="auto"/>
            </w:tcBorders>
          </w:tcPr>
          <w:p w14:paraId="70BEEA1D"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GS12</w:t>
            </w:r>
          </w:p>
        </w:tc>
        <w:tc>
          <w:tcPr>
            <w:tcW w:w="1707" w:type="dxa"/>
            <w:tcBorders>
              <w:top w:val="single" w:sz="4" w:space="0" w:color="auto"/>
              <w:left w:val="single" w:sz="4" w:space="0" w:color="auto"/>
              <w:bottom w:val="single" w:sz="4" w:space="0" w:color="auto"/>
              <w:right w:val="single" w:sz="4" w:space="0" w:color="auto"/>
            </w:tcBorders>
          </w:tcPr>
          <w:p w14:paraId="67283D24" w14:textId="3A4AC160" w:rsidR="00B135E1" w:rsidRPr="002D0A09" w:rsidRDefault="00F60B73" w:rsidP="00425C31">
            <w:pPr>
              <w:widowControl/>
              <w:jc w:val="center"/>
              <w:rPr>
                <w:rFonts w:ascii="Times New Roman" w:hAnsi="Times New Roman"/>
                <w:color w:val="000000"/>
                <w:sz w:val="22"/>
                <w:szCs w:val="22"/>
              </w:rPr>
            </w:pPr>
            <w:r>
              <w:rPr>
                <w:rFonts w:ascii="Times New Roman" w:hAnsi="Times New Roman"/>
                <w:color w:val="000000"/>
                <w:sz w:val="22"/>
                <w:szCs w:val="22"/>
              </w:rPr>
              <w:t>100</w:t>
            </w:r>
          </w:p>
        </w:tc>
        <w:tc>
          <w:tcPr>
            <w:tcW w:w="1350" w:type="dxa"/>
            <w:tcBorders>
              <w:top w:val="single" w:sz="4" w:space="0" w:color="auto"/>
              <w:left w:val="single" w:sz="4" w:space="0" w:color="auto"/>
              <w:bottom w:val="single" w:sz="4" w:space="0" w:color="auto"/>
              <w:right w:val="single" w:sz="4" w:space="0" w:color="auto"/>
            </w:tcBorders>
          </w:tcPr>
          <w:p w14:paraId="0DBE696B" w14:textId="05F51C85" w:rsidR="00B135E1" w:rsidRPr="002D0A09" w:rsidRDefault="00B135E1" w:rsidP="00F60B73">
            <w:pPr>
              <w:widowControl/>
              <w:jc w:val="center"/>
              <w:rPr>
                <w:rFonts w:ascii="Times New Roman" w:hAnsi="Times New Roman"/>
                <w:color w:val="000000"/>
                <w:sz w:val="22"/>
                <w:szCs w:val="22"/>
              </w:rPr>
            </w:pPr>
            <w:r w:rsidRPr="002D0A09">
              <w:rPr>
                <w:rFonts w:ascii="Times New Roman" w:hAnsi="Times New Roman"/>
                <w:sz w:val="22"/>
                <w:szCs w:val="22"/>
              </w:rPr>
              <w:t>$</w:t>
            </w:r>
            <w:r w:rsidR="00F60B73">
              <w:rPr>
                <w:rFonts w:ascii="Times New Roman" w:hAnsi="Times New Roman"/>
                <w:sz w:val="22"/>
                <w:szCs w:val="22"/>
              </w:rPr>
              <w:t>41.69</w:t>
            </w:r>
            <w:r w:rsidRPr="002D0A09">
              <w:rPr>
                <w:rFonts w:ascii="Times New Roman" w:hAnsi="Times New Roman"/>
                <w:sz w:val="22"/>
                <w:szCs w:val="22"/>
              </w:rPr>
              <w:t>/</w:t>
            </w:r>
            <w:proofErr w:type="spellStart"/>
            <w:r w:rsidRPr="002D0A09">
              <w:rPr>
                <w:rFonts w:ascii="Times New Roman" w:hAnsi="Times New Roman"/>
                <w:sz w:val="22"/>
                <w:szCs w:val="22"/>
              </w:rPr>
              <w:t>hr</w:t>
            </w:r>
            <w:proofErr w:type="spellEnd"/>
          </w:p>
        </w:tc>
        <w:tc>
          <w:tcPr>
            <w:tcW w:w="1260" w:type="dxa"/>
            <w:tcBorders>
              <w:top w:val="single" w:sz="4" w:space="0" w:color="auto"/>
              <w:left w:val="single" w:sz="4" w:space="0" w:color="auto"/>
              <w:bottom w:val="single" w:sz="4" w:space="0" w:color="auto"/>
              <w:right w:val="single" w:sz="4" w:space="0" w:color="auto"/>
            </w:tcBorders>
          </w:tcPr>
          <w:p w14:paraId="5CDEF174" w14:textId="0003362E" w:rsidR="00B135E1" w:rsidRPr="002D0A09" w:rsidRDefault="00B135E1" w:rsidP="00FF721D">
            <w:pPr>
              <w:widowControl/>
              <w:jc w:val="center"/>
              <w:rPr>
                <w:rFonts w:ascii="Times New Roman" w:hAnsi="Times New Roman"/>
                <w:color w:val="000000"/>
                <w:sz w:val="22"/>
                <w:szCs w:val="22"/>
              </w:rPr>
            </w:pPr>
            <w:r w:rsidRPr="002D0A09">
              <w:rPr>
                <w:rFonts w:ascii="Times New Roman" w:hAnsi="Times New Roman"/>
                <w:color w:val="000000"/>
                <w:sz w:val="22"/>
                <w:szCs w:val="22"/>
              </w:rPr>
              <w:t>$</w:t>
            </w:r>
            <w:r w:rsidR="00FF721D">
              <w:rPr>
                <w:rFonts w:ascii="Times New Roman" w:hAnsi="Times New Roman"/>
                <w:color w:val="000000"/>
                <w:sz w:val="22"/>
                <w:szCs w:val="22"/>
              </w:rPr>
              <w:t>4,169</w:t>
            </w:r>
          </w:p>
        </w:tc>
        <w:tc>
          <w:tcPr>
            <w:tcW w:w="990" w:type="dxa"/>
            <w:tcBorders>
              <w:top w:val="single" w:sz="4" w:space="0" w:color="auto"/>
              <w:left w:val="single" w:sz="4" w:space="0" w:color="auto"/>
              <w:bottom w:val="single" w:sz="4" w:space="0" w:color="auto"/>
              <w:right w:val="single" w:sz="4" w:space="0" w:color="auto"/>
            </w:tcBorders>
          </w:tcPr>
          <w:p w14:paraId="6FE1E932"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925" w:type="dxa"/>
            <w:tcBorders>
              <w:top w:val="single" w:sz="4" w:space="0" w:color="auto"/>
              <w:left w:val="single" w:sz="4" w:space="0" w:color="auto"/>
              <w:bottom w:val="single" w:sz="4" w:space="0" w:color="auto"/>
              <w:right w:val="single" w:sz="4" w:space="0" w:color="auto"/>
            </w:tcBorders>
          </w:tcPr>
          <w:p w14:paraId="48BC1F3F"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1508" w:type="dxa"/>
            <w:tcBorders>
              <w:top w:val="single" w:sz="4" w:space="0" w:color="auto"/>
              <w:left w:val="single" w:sz="4" w:space="0" w:color="auto"/>
              <w:bottom w:val="single" w:sz="4" w:space="0" w:color="auto"/>
            </w:tcBorders>
          </w:tcPr>
          <w:p w14:paraId="740785EE" w14:textId="24A7F15F" w:rsidR="00B135E1" w:rsidRPr="002D0A09" w:rsidRDefault="00B135E1" w:rsidP="00FF721D">
            <w:pPr>
              <w:widowControl/>
              <w:jc w:val="center"/>
              <w:rPr>
                <w:rFonts w:ascii="Times New Roman" w:hAnsi="Times New Roman"/>
                <w:color w:val="000000"/>
                <w:sz w:val="22"/>
                <w:szCs w:val="22"/>
              </w:rPr>
            </w:pPr>
            <w:r w:rsidRPr="002D0A09">
              <w:rPr>
                <w:rFonts w:ascii="Times New Roman" w:hAnsi="Times New Roman"/>
                <w:color w:val="000000"/>
                <w:sz w:val="22"/>
                <w:szCs w:val="22"/>
              </w:rPr>
              <w:t>$</w:t>
            </w:r>
            <w:r w:rsidR="00FF721D">
              <w:rPr>
                <w:rFonts w:ascii="Times New Roman" w:hAnsi="Times New Roman"/>
                <w:color w:val="000000"/>
                <w:sz w:val="22"/>
                <w:szCs w:val="22"/>
              </w:rPr>
              <w:t>4,169</w:t>
            </w:r>
          </w:p>
        </w:tc>
      </w:tr>
      <w:tr w:rsidR="000813B1" w:rsidRPr="002D0A09" w14:paraId="118DAAF1" w14:textId="77777777" w:rsidTr="00E55DEE">
        <w:trPr>
          <w:jc w:val="center"/>
        </w:trPr>
        <w:tc>
          <w:tcPr>
            <w:tcW w:w="1230" w:type="dxa"/>
            <w:tcBorders>
              <w:top w:val="single" w:sz="4" w:space="0" w:color="auto"/>
              <w:right w:val="single" w:sz="4" w:space="0" w:color="auto"/>
            </w:tcBorders>
          </w:tcPr>
          <w:p w14:paraId="16902170" w14:textId="77777777" w:rsidR="000813B1" w:rsidRPr="002D0A09" w:rsidRDefault="000813B1" w:rsidP="00425C31">
            <w:pPr>
              <w:widowControl/>
              <w:jc w:val="center"/>
              <w:rPr>
                <w:rFonts w:ascii="Times New Roman" w:hAnsi="Times New Roman"/>
                <w:color w:val="000000"/>
                <w:sz w:val="22"/>
                <w:szCs w:val="22"/>
              </w:rPr>
            </w:pPr>
          </w:p>
        </w:tc>
        <w:tc>
          <w:tcPr>
            <w:tcW w:w="1707" w:type="dxa"/>
            <w:tcBorders>
              <w:top w:val="single" w:sz="4" w:space="0" w:color="auto"/>
              <w:left w:val="single" w:sz="4" w:space="0" w:color="auto"/>
              <w:right w:val="single" w:sz="4" w:space="0" w:color="auto"/>
            </w:tcBorders>
          </w:tcPr>
          <w:p w14:paraId="325F7AE3" w14:textId="77777777" w:rsidR="000813B1" w:rsidRPr="002D0A09" w:rsidRDefault="000813B1" w:rsidP="00425C31">
            <w:pPr>
              <w:widowControl/>
              <w:jc w:val="center"/>
              <w:rPr>
                <w:rFonts w:ascii="Times New Roman" w:hAnsi="Times New Roman"/>
                <w:color w:val="000000"/>
                <w:sz w:val="22"/>
                <w:szCs w:val="22"/>
              </w:rPr>
            </w:pPr>
          </w:p>
        </w:tc>
        <w:tc>
          <w:tcPr>
            <w:tcW w:w="1350" w:type="dxa"/>
            <w:tcBorders>
              <w:top w:val="single" w:sz="4" w:space="0" w:color="auto"/>
              <w:left w:val="single" w:sz="4" w:space="0" w:color="auto"/>
              <w:right w:val="single" w:sz="4" w:space="0" w:color="auto"/>
            </w:tcBorders>
            <w:shd w:val="clear" w:color="auto" w:fill="D9D9D9"/>
          </w:tcPr>
          <w:p w14:paraId="13FA2EF5" w14:textId="77777777" w:rsidR="000813B1" w:rsidRPr="002D0A09" w:rsidRDefault="000813B1" w:rsidP="00425C31">
            <w:pPr>
              <w:widowControl/>
              <w:jc w:val="center"/>
              <w:rPr>
                <w:rFonts w:ascii="Times New Roman" w:hAnsi="Times New Roman"/>
                <w:color w:val="000000"/>
                <w:sz w:val="22"/>
                <w:szCs w:val="22"/>
              </w:rPr>
            </w:pPr>
          </w:p>
        </w:tc>
        <w:tc>
          <w:tcPr>
            <w:tcW w:w="1260" w:type="dxa"/>
            <w:tcBorders>
              <w:top w:val="single" w:sz="4" w:space="0" w:color="auto"/>
              <w:left w:val="single" w:sz="4" w:space="0" w:color="auto"/>
              <w:right w:val="single" w:sz="4" w:space="0" w:color="auto"/>
            </w:tcBorders>
          </w:tcPr>
          <w:p w14:paraId="7FE83455" w14:textId="77777777" w:rsidR="000813B1" w:rsidRPr="002D0A09" w:rsidRDefault="000813B1" w:rsidP="00425C31">
            <w:pPr>
              <w:widowControl/>
              <w:jc w:val="center"/>
              <w:rPr>
                <w:rFonts w:ascii="Times New Roman" w:hAnsi="Times New Roman"/>
                <w:color w:val="000000"/>
                <w:sz w:val="22"/>
                <w:szCs w:val="22"/>
              </w:rPr>
            </w:pPr>
          </w:p>
        </w:tc>
        <w:tc>
          <w:tcPr>
            <w:tcW w:w="990" w:type="dxa"/>
            <w:tcBorders>
              <w:top w:val="single" w:sz="4" w:space="0" w:color="auto"/>
              <w:left w:val="single" w:sz="4" w:space="0" w:color="auto"/>
              <w:right w:val="single" w:sz="4" w:space="0" w:color="auto"/>
            </w:tcBorders>
          </w:tcPr>
          <w:p w14:paraId="0A2C9E16" w14:textId="77777777" w:rsidR="000813B1" w:rsidRPr="002D0A09" w:rsidRDefault="000813B1" w:rsidP="00425C31">
            <w:pPr>
              <w:widowControl/>
              <w:jc w:val="center"/>
              <w:rPr>
                <w:rFonts w:ascii="Times New Roman" w:hAnsi="Times New Roman"/>
                <w:color w:val="000000"/>
                <w:sz w:val="22"/>
                <w:szCs w:val="22"/>
              </w:rPr>
            </w:pPr>
          </w:p>
        </w:tc>
        <w:tc>
          <w:tcPr>
            <w:tcW w:w="925" w:type="dxa"/>
            <w:tcBorders>
              <w:top w:val="single" w:sz="4" w:space="0" w:color="auto"/>
              <w:left w:val="single" w:sz="4" w:space="0" w:color="auto"/>
              <w:right w:val="single" w:sz="4" w:space="0" w:color="auto"/>
            </w:tcBorders>
          </w:tcPr>
          <w:p w14:paraId="6CB9798C" w14:textId="77777777" w:rsidR="000813B1" w:rsidRPr="002D0A09" w:rsidRDefault="000813B1" w:rsidP="00425C31">
            <w:pPr>
              <w:widowControl/>
              <w:jc w:val="center"/>
              <w:rPr>
                <w:rFonts w:ascii="Times New Roman" w:hAnsi="Times New Roman"/>
                <w:color w:val="000000"/>
                <w:sz w:val="22"/>
                <w:szCs w:val="22"/>
              </w:rPr>
            </w:pPr>
          </w:p>
        </w:tc>
        <w:tc>
          <w:tcPr>
            <w:tcW w:w="1508" w:type="dxa"/>
            <w:tcBorders>
              <w:top w:val="single" w:sz="4" w:space="0" w:color="auto"/>
              <w:left w:val="single" w:sz="4" w:space="0" w:color="auto"/>
            </w:tcBorders>
          </w:tcPr>
          <w:p w14:paraId="2278DB9C" w14:textId="77777777" w:rsidR="000813B1" w:rsidRPr="002D0A09" w:rsidRDefault="000813B1" w:rsidP="00425C31">
            <w:pPr>
              <w:widowControl/>
              <w:jc w:val="center"/>
              <w:rPr>
                <w:rFonts w:ascii="Times New Roman" w:hAnsi="Times New Roman"/>
                <w:color w:val="000000"/>
                <w:sz w:val="22"/>
                <w:szCs w:val="22"/>
              </w:rPr>
            </w:pPr>
          </w:p>
        </w:tc>
      </w:tr>
      <w:tr w:rsidR="00B135E1" w:rsidRPr="002D0A09" w14:paraId="2E893827" w14:textId="77777777" w:rsidTr="00E55DEE">
        <w:trPr>
          <w:jc w:val="center"/>
        </w:trPr>
        <w:tc>
          <w:tcPr>
            <w:tcW w:w="1230" w:type="dxa"/>
            <w:tcBorders>
              <w:top w:val="single" w:sz="4" w:space="0" w:color="auto"/>
              <w:right w:val="single" w:sz="4" w:space="0" w:color="auto"/>
            </w:tcBorders>
          </w:tcPr>
          <w:p w14:paraId="02E3AD08"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Total</w:t>
            </w:r>
          </w:p>
        </w:tc>
        <w:tc>
          <w:tcPr>
            <w:tcW w:w="1707" w:type="dxa"/>
            <w:tcBorders>
              <w:top w:val="single" w:sz="4" w:space="0" w:color="auto"/>
              <w:left w:val="single" w:sz="4" w:space="0" w:color="auto"/>
              <w:right w:val="single" w:sz="4" w:space="0" w:color="auto"/>
            </w:tcBorders>
          </w:tcPr>
          <w:p w14:paraId="7371B856" w14:textId="7960A3A7" w:rsidR="00B135E1" w:rsidRPr="002D0A09" w:rsidRDefault="00FF721D" w:rsidP="00425C31">
            <w:pPr>
              <w:widowControl/>
              <w:jc w:val="center"/>
              <w:rPr>
                <w:rFonts w:ascii="Times New Roman" w:hAnsi="Times New Roman"/>
                <w:color w:val="000000"/>
                <w:sz w:val="22"/>
                <w:szCs w:val="22"/>
              </w:rPr>
            </w:pPr>
            <w:r>
              <w:rPr>
                <w:rFonts w:ascii="Times New Roman" w:hAnsi="Times New Roman"/>
                <w:color w:val="000000"/>
                <w:sz w:val="22"/>
                <w:szCs w:val="22"/>
              </w:rPr>
              <w:t>305</w:t>
            </w:r>
          </w:p>
        </w:tc>
        <w:tc>
          <w:tcPr>
            <w:tcW w:w="1350" w:type="dxa"/>
            <w:tcBorders>
              <w:top w:val="single" w:sz="4" w:space="0" w:color="auto"/>
              <w:left w:val="single" w:sz="4" w:space="0" w:color="auto"/>
              <w:right w:val="single" w:sz="4" w:space="0" w:color="auto"/>
            </w:tcBorders>
            <w:shd w:val="clear" w:color="auto" w:fill="D9D9D9"/>
          </w:tcPr>
          <w:p w14:paraId="6CB9B06E" w14:textId="77777777" w:rsidR="00B135E1" w:rsidRPr="002D0A09" w:rsidRDefault="00B135E1" w:rsidP="00425C31">
            <w:pPr>
              <w:widowControl/>
              <w:jc w:val="center"/>
              <w:rPr>
                <w:rFonts w:ascii="Times New Roman" w:hAnsi="Times New Roman"/>
                <w:color w:val="000000"/>
                <w:sz w:val="22"/>
                <w:szCs w:val="22"/>
              </w:rPr>
            </w:pPr>
          </w:p>
        </w:tc>
        <w:tc>
          <w:tcPr>
            <w:tcW w:w="1260" w:type="dxa"/>
            <w:tcBorders>
              <w:top w:val="single" w:sz="4" w:space="0" w:color="auto"/>
              <w:left w:val="single" w:sz="4" w:space="0" w:color="auto"/>
              <w:right w:val="single" w:sz="4" w:space="0" w:color="auto"/>
            </w:tcBorders>
          </w:tcPr>
          <w:p w14:paraId="2AB2602D" w14:textId="078145F5" w:rsidR="00B135E1" w:rsidRPr="002D0A09" w:rsidRDefault="00B135E1" w:rsidP="00FF721D">
            <w:pPr>
              <w:widowControl/>
              <w:jc w:val="center"/>
              <w:rPr>
                <w:rFonts w:ascii="Times New Roman" w:hAnsi="Times New Roman"/>
                <w:color w:val="000000"/>
                <w:sz w:val="22"/>
                <w:szCs w:val="22"/>
              </w:rPr>
            </w:pPr>
            <w:r w:rsidRPr="002D0A09">
              <w:rPr>
                <w:rFonts w:ascii="Times New Roman" w:hAnsi="Times New Roman"/>
                <w:color w:val="000000"/>
                <w:sz w:val="22"/>
                <w:szCs w:val="22"/>
              </w:rPr>
              <w:t>$</w:t>
            </w:r>
            <w:r w:rsidR="00FF721D">
              <w:rPr>
                <w:rFonts w:ascii="Times New Roman" w:hAnsi="Times New Roman"/>
                <w:color w:val="000000"/>
                <w:sz w:val="22"/>
                <w:szCs w:val="22"/>
              </w:rPr>
              <w:t>15,722.60</w:t>
            </w:r>
          </w:p>
        </w:tc>
        <w:tc>
          <w:tcPr>
            <w:tcW w:w="990" w:type="dxa"/>
            <w:tcBorders>
              <w:top w:val="single" w:sz="4" w:space="0" w:color="auto"/>
              <w:left w:val="single" w:sz="4" w:space="0" w:color="auto"/>
              <w:right w:val="single" w:sz="4" w:space="0" w:color="auto"/>
            </w:tcBorders>
          </w:tcPr>
          <w:p w14:paraId="18206DB3"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925" w:type="dxa"/>
            <w:tcBorders>
              <w:top w:val="single" w:sz="4" w:space="0" w:color="auto"/>
              <w:left w:val="single" w:sz="4" w:space="0" w:color="auto"/>
              <w:right w:val="single" w:sz="4" w:space="0" w:color="auto"/>
            </w:tcBorders>
          </w:tcPr>
          <w:p w14:paraId="2F1D2D37" w14:textId="77777777" w:rsidR="00B135E1" w:rsidRPr="002D0A09" w:rsidRDefault="00B135E1" w:rsidP="00425C31">
            <w:pPr>
              <w:widowControl/>
              <w:jc w:val="center"/>
              <w:rPr>
                <w:rFonts w:ascii="Times New Roman" w:hAnsi="Times New Roman"/>
                <w:color w:val="000000"/>
                <w:sz w:val="22"/>
                <w:szCs w:val="22"/>
              </w:rPr>
            </w:pPr>
            <w:r w:rsidRPr="002D0A09">
              <w:rPr>
                <w:rFonts w:ascii="Times New Roman" w:hAnsi="Times New Roman"/>
                <w:color w:val="000000"/>
                <w:sz w:val="22"/>
                <w:szCs w:val="22"/>
              </w:rPr>
              <w:t>0</w:t>
            </w:r>
          </w:p>
        </w:tc>
        <w:tc>
          <w:tcPr>
            <w:tcW w:w="1508" w:type="dxa"/>
            <w:tcBorders>
              <w:top w:val="single" w:sz="4" w:space="0" w:color="auto"/>
              <w:left w:val="single" w:sz="4" w:space="0" w:color="auto"/>
            </w:tcBorders>
          </w:tcPr>
          <w:p w14:paraId="0D5C71DF" w14:textId="096F4E5E" w:rsidR="00B135E1" w:rsidRPr="002D0A09" w:rsidRDefault="00B135E1" w:rsidP="00FF721D">
            <w:pPr>
              <w:widowControl/>
              <w:jc w:val="center"/>
              <w:rPr>
                <w:rFonts w:ascii="Times New Roman" w:hAnsi="Times New Roman"/>
                <w:color w:val="000000"/>
                <w:sz w:val="22"/>
                <w:szCs w:val="22"/>
              </w:rPr>
            </w:pPr>
            <w:r w:rsidRPr="002D0A09">
              <w:rPr>
                <w:rFonts w:ascii="Times New Roman" w:hAnsi="Times New Roman"/>
                <w:color w:val="000000"/>
                <w:sz w:val="22"/>
                <w:szCs w:val="22"/>
              </w:rPr>
              <w:t>$</w:t>
            </w:r>
            <w:r w:rsidR="00FF721D">
              <w:rPr>
                <w:rFonts w:ascii="Times New Roman" w:hAnsi="Times New Roman"/>
                <w:color w:val="000000"/>
                <w:sz w:val="22"/>
                <w:szCs w:val="22"/>
              </w:rPr>
              <w:t>15,722.60</w:t>
            </w:r>
          </w:p>
        </w:tc>
      </w:tr>
    </w:tbl>
    <w:p w14:paraId="613BF639" w14:textId="77777777" w:rsidR="004E7FC6" w:rsidRDefault="004E7FC6" w:rsidP="00425C31">
      <w:pPr>
        <w:widowControl/>
        <w:rPr>
          <w:rFonts w:ascii="Times New Roman" w:hAnsi="Times New Roman"/>
          <w:color w:val="000000"/>
          <w:sz w:val="20"/>
          <w:szCs w:val="20"/>
        </w:rPr>
      </w:pPr>
    </w:p>
    <w:p w14:paraId="69E4AA36" w14:textId="77777777" w:rsidR="000813B1" w:rsidRDefault="000813B1" w:rsidP="00766FCA">
      <w:pPr>
        <w:widowControl/>
        <w:spacing w:after="120"/>
        <w:rPr>
          <w:rFonts w:ascii="Times New Roman" w:hAnsi="Times New Roman"/>
          <w:color w:val="000000"/>
          <w:szCs w:val="22"/>
        </w:rPr>
      </w:pPr>
    </w:p>
    <w:p w14:paraId="06F34D93" w14:textId="77777777" w:rsidR="006100E4" w:rsidRDefault="006100E4" w:rsidP="00766FCA">
      <w:pPr>
        <w:widowControl/>
        <w:spacing w:after="120"/>
        <w:rPr>
          <w:rFonts w:ascii="Times New Roman" w:hAnsi="Times New Roman"/>
          <w:color w:val="000000"/>
          <w:szCs w:val="22"/>
        </w:rPr>
      </w:pPr>
    </w:p>
    <w:p w14:paraId="0462C285" w14:textId="77777777" w:rsidR="000813B1" w:rsidRDefault="00C548BE" w:rsidP="00425C31">
      <w:pPr>
        <w:widowControl/>
        <w:jc w:val="center"/>
        <w:rPr>
          <w:rFonts w:ascii="Times New Roman" w:hAnsi="Times New Roman"/>
          <w:b/>
          <w:color w:val="000000"/>
          <w:szCs w:val="22"/>
        </w:rPr>
      </w:pPr>
      <w:r w:rsidRPr="00C548BE">
        <w:rPr>
          <w:rFonts w:ascii="Times New Roman" w:hAnsi="Times New Roman"/>
          <w:b/>
          <w:color w:val="000000"/>
          <w:szCs w:val="22"/>
        </w:rPr>
        <w:t>WORKSHEET 3: COSTS OVER THE ENTIRE</w:t>
      </w:r>
      <w:r>
        <w:rPr>
          <w:rFonts w:ascii="Times New Roman" w:hAnsi="Times New Roman"/>
          <w:b/>
          <w:color w:val="000000"/>
          <w:szCs w:val="22"/>
        </w:rPr>
        <w:t xml:space="preserve"> </w:t>
      </w:r>
      <w:r w:rsidRPr="00C548BE">
        <w:rPr>
          <w:rFonts w:ascii="Times New Roman" w:hAnsi="Times New Roman"/>
          <w:b/>
          <w:color w:val="000000"/>
          <w:szCs w:val="22"/>
        </w:rPr>
        <w:t>PERIOD COVERED BY THE ICR</w:t>
      </w:r>
    </w:p>
    <w:tbl>
      <w:tblPr>
        <w:tblW w:w="6671" w:type="dxa"/>
        <w:jc w:val="center"/>
        <w:tblLook w:val="04A0" w:firstRow="1" w:lastRow="0" w:firstColumn="1" w:lastColumn="0" w:noHBand="0" w:noVBand="1"/>
      </w:tblPr>
      <w:tblGrid>
        <w:gridCol w:w="1960"/>
        <w:gridCol w:w="2101"/>
        <w:gridCol w:w="2610"/>
      </w:tblGrid>
      <w:tr w:rsidR="00646E28" w:rsidRPr="00646E28" w14:paraId="4085FD63" w14:textId="77777777" w:rsidTr="004714C6">
        <w:trPr>
          <w:trHeight w:val="288"/>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D272E" w14:textId="77777777" w:rsidR="00646E28" w:rsidRPr="00646E28" w:rsidRDefault="00646E28" w:rsidP="00425C31">
            <w:pPr>
              <w:widowControl/>
              <w:autoSpaceDE/>
              <w:autoSpaceDN/>
              <w:adjustRightInd/>
              <w:jc w:val="center"/>
              <w:rPr>
                <w:rFonts w:ascii="Times New Roman" w:hAnsi="Times New Roman"/>
                <w:color w:val="000000"/>
                <w:sz w:val="22"/>
                <w:szCs w:val="22"/>
              </w:rPr>
            </w:pPr>
          </w:p>
        </w:tc>
        <w:tc>
          <w:tcPr>
            <w:tcW w:w="2101" w:type="dxa"/>
            <w:tcBorders>
              <w:top w:val="single" w:sz="4" w:space="0" w:color="auto"/>
              <w:left w:val="nil"/>
              <w:bottom w:val="single" w:sz="4" w:space="0" w:color="auto"/>
              <w:right w:val="single" w:sz="4" w:space="0" w:color="auto"/>
            </w:tcBorders>
            <w:shd w:val="clear" w:color="auto" w:fill="auto"/>
            <w:noWrap/>
            <w:vAlign w:val="bottom"/>
            <w:hideMark/>
          </w:tcPr>
          <w:p w14:paraId="6864F8C2" w14:textId="77777777" w:rsidR="00646E28" w:rsidRPr="00646E28" w:rsidRDefault="00646E28" w:rsidP="00425C31">
            <w:pPr>
              <w:widowControl/>
              <w:autoSpaceDE/>
              <w:autoSpaceDN/>
              <w:adjustRightInd/>
              <w:jc w:val="center"/>
              <w:rPr>
                <w:rFonts w:ascii="Times New Roman" w:hAnsi="Times New Roman"/>
                <w:b/>
                <w:color w:val="000000"/>
                <w:sz w:val="22"/>
                <w:szCs w:val="22"/>
              </w:rPr>
            </w:pPr>
            <w:r w:rsidRPr="00646E28">
              <w:rPr>
                <w:rFonts w:ascii="Times New Roman" w:hAnsi="Times New Roman"/>
                <w:b/>
                <w:color w:val="000000"/>
                <w:sz w:val="22"/>
                <w:szCs w:val="22"/>
              </w:rPr>
              <w:t>Total Annual Costs</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04A81DA5" w14:textId="77777777" w:rsidR="00646E28" w:rsidRPr="00646E28" w:rsidRDefault="00646E28" w:rsidP="00425C31">
            <w:pPr>
              <w:widowControl/>
              <w:autoSpaceDE/>
              <w:autoSpaceDN/>
              <w:adjustRightInd/>
              <w:jc w:val="center"/>
              <w:rPr>
                <w:rFonts w:ascii="Times New Roman" w:hAnsi="Times New Roman"/>
                <w:b/>
                <w:color w:val="000000"/>
                <w:sz w:val="22"/>
                <w:szCs w:val="22"/>
              </w:rPr>
            </w:pPr>
            <w:r w:rsidRPr="00646E28">
              <w:rPr>
                <w:rFonts w:ascii="Times New Roman" w:hAnsi="Times New Roman"/>
                <w:b/>
                <w:color w:val="000000"/>
                <w:sz w:val="22"/>
                <w:szCs w:val="22"/>
              </w:rPr>
              <w:t>Costs over 3 years</w:t>
            </w:r>
          </w:p>
        </w:tc>
      </w:tr>
      <w:tr w:rsidR="00646E28" w:rsidRPr="00646E28" w14:paraId="272B861D" w14:textId="77777777" w:rsidTr="004714C6">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568C83" w14:textId="77777777"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Agency</w:t>
            </w:r>
          </w:p>
        </w:tc>
        <w:tc>
          <w:tcPr>
            <w:tcW w:w="2101" w:type="dxa"/>
            <w:tcBorders>
              <w:top w:val="nil"/>
              <w:left w:val="nil"/>
              <w:bottom w:val="single" w:sz="4" w:space="0" w:color="auto"/>
              <w:right w:val="single" w:sz="4" w:space="0" w:color="auto"/>
            </w:tcBorders>
            <w:shd w:val="clear" w:color="auto" w:fill="auto"/>
            <w:noWrap/>
            <w:vAlign w:val="bottom"/>
            <w:hideMark/>
          </w:tcPr>
          <w:p w14:paraId="66597DB7" w14:textId="58070F02" w:rsidR="00646E28" w:rsidRPr="00646E28" w:rsidRDefault="00646E28" w:rsidP="00FF721D">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w:t>
            </w:r>
            <w:r w:rsidR="00FF721D">
              <w:rPr>
                <w:rFonts w:ascii="Times New Roman" w:hAnsi="Times New Roman"/>
                <w:color w:val="000000"/>
                <w:sz w:val="22"/>
                <w:szCs w:val="22"/>
              </w:rPr>
              <w:t>15,722.60</w:t>
            </w:r>
          </w:p>
        </w:tc>
        <w:tc>
          <w:tcPr>
            <w:tcW w:w="2610" w:type="dxa"/>
            <w:tcBorders>
              <w:top w:val="nil"/>
              <w:left w:val="nil"/>
              <w:bottom w:val="single" w:sz="4" w:space="0" w:color="auto"/>
              <w:right w:val="single" w:sz="4" w:space="0" w:color="auto"/>
            </w:tcBorders>
            <w:shd w:val="clear" w:color="auto" w:fill="auto"/>
            <w:noWrap/>
            <w:vAlign w:val="bottom"/>
            <w:hideMark/>
          </w:tcPr>
          <w:p w14:paraId="1238C6B3" w14:textId="0911EE6C" w:rsidR="00646E28" w:rsidRPr="00646E28" w:rsidRDefault="004714C6" w:rsidP="00FF721D">
            <w:pPr>
              <w:widowControl/>
              <w:autoSpaceDE/>
              <w:autoSpaceDN/>
              <w:adjustRightInd/>
              <w:jc w:val="center"/>
              <w:rPr>
                <w:rFonts w:ascii="Times New Roman" w:hAnsi="Times New Roman"/>
                <w:color w:val="000000"/>
                <w:sz w:val="22"/>
                <w:szCs w:val="22"/>
              </w:rPr>
            </w:pPr>
            <w:r w:rsidRPr="004714C6">
              <w:rPr>
                <w:rFonts w:ascii="Times New Roman" w:hAnsi="Times New Roman"/>
                <w:color w:val="000000"/>
                <w:sz w:val="22"/>
                <w:szCs w:val="22"/>
              </w:rPr>
              <w:t>$</w:t>
            </w:r>
            <w:r w:rsidR="00FF721D">
              <w:rPr>
                <w:rFonts w:ascii="Times New Roman" w:hAnsi="Times New Roman"/>
                <w:color w:val="000000"/>
                <w:sz w:val="22"/>
                <w:szCs w:val="22"/>
              </w:rPr>
              <w:t>47,167.80</w:t>
            </w:r>
          </w:p>
        </w:tc>
      </w:tr>
      <w:tr w:rsidR="00646E28" w:rsidRPr="00646E28" w14:paraId="37CBD40B" w14:textId="77777777" w:rsidTr="004714C6">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B2F771" w14:textId="77777777"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 xml:space="preserve">All </w:t>
            </w:r>
            <w:r w:rsidR="004B0042" w:rsidRPr="00646E28">
              <w:rPr>
                <w:rFonts w:ascii="Times New Roman" w:hAnsi="Times New Roman"/>
                <w:color w:val="000000"/>
                <w:sz w:val="22"/>
                <w:szCs w:val="22"/>
              </w:rPr>
              <w:t>respondents</w:t>
            </w:r>
          </w:p>
        </w:tc>
        <w:tc>
          <w:tcPr>
            <w:tcW w:w="2101" w:type="dxa"/>
            <w:tcBorders>
              <w:top w:val="nil"/>
              <w:left w:val="nil"/>
              <w:bottom w:val="single" w:sz="4" w:space="0" w:color="auto"/>
              <w:right w:val="single" w:sz="4" w:space="0" w:color="auto"/>
            </w:tcBorders>
            <w:shd w:val="clear" w:color="auto" w:fill="auto"/>
            <w:noWrap/>
            <w:vAlign w:val="bottom"/>
            <w:hideMark/>
          </w:tcPr>
          <w:p w14:paraId="1CCB9D25" w14:textId="698C85EE" w:rsidR="00646E28" w:rsidRPr="00646E28" w:rsidRDefault="00646E28" w:rsidP="00FF721D">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w:t>
            </w:r>
            <w:r w:rsidR="00FF721D">
              <w:rPr>
                <w:rFonts w:ascii="Times New Roman" w:hAnsi="Times New Roman"/>
                <w:color w:val="000000"/>
                <w:sz w:val="22"/>
                <w:szCs w:val="22"/>
              </w:rPr>
              <w:t>112,105.60</w:t>
            </w:r>
          </w:p>
        </w:tc>
        <w:tc>
          <w:tcPr>
            <w:tcW w:w="2610" w:type="dxa"/>
            <w:tcBorders>
              <w:top w:val="nil"/>
              <w:left w:val="nil"/>
              <w:bottom w:val="single" w:sz="4" w:space="0" w:color="auto"/>
              <w:right w:val="single" w:sz="4" w:space="0" w:color="auto"/>
            </w:tcBorders>
            <w:shd w:val="clear" w:color="auto" w:fill="auto"/>
            <w:noWrap/>
            <w:vAlign w:val="bottom"/>
            <w:hideMark/>
          </w:tcPr>
          <w:p w14:paraId="4A5847EB" w14:textId="2CF90469" w:rsidR="00646E28" w:rsidRPr="00646E28" w:rsidRDefault="00646E28" w:rsidP="00FF721D">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w:t>
            </w:r>
            <w:r w:rsidR="00FF721D">
              <w:rPr>
                <w:rFonts w:ascii="Times New Roman" w:hAnsi="Times New Roman"/>
                <w:color w:val="000000"/>
                <w:sz w:val="22"/>
                <w:szCs w:val="22"/>
              </w:rPr>
              <w:t>336,316.80</w:t>
            </w:r>
          </w:p>
        </w:tc>
      </w:tr>
      <w:tr w:rsidR="00646E28" w:rsidRPr="00646E28" w14:paraId="12A11D91" w14:textId="77777777" w:rsidTr="004714C6">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928363" w14:textId="77777777" w:rsidR="00646E28" w:rsidRPr="00646E28" w:rsidRDefault="00646E28" w:rsidP="00425C31">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TOTAL</w:t>
            </w:r>
          </w:p>
        </w:tc>
        <w:tc>
          <w:tcPr>
            <w:tcW w:w="2101" w:type="dxa"/>
            <w:tcBorders>
              <w:top w:val="nil"/>
              <w:left w:val="nil"/>
              <w:bottom w:val="single" w:sz="4" w:space="0" w:color="auto"/>
              <w:right w:val="single" w:sz="4" w:space="0" w:color="auto"/>
            </w:tcBorders>
            <w:shd w:val="clear" w:color="auto" w:fill="D9D9D9"/>
            <w:noWrap/>
            <w:vAlign w:val="bottom"/>
            <w:hideMark/>
          </w:tcPr>
          <w:p w14:paraId="0CC73B32" w14:textId="77777777" w:rsidR="00646E28" w:rsidRPr="00646E28" w:rsidRDefault="00646E28" w:rsidP="00425C31">
            <w:pPr>
              <w:widowControl/>
              <w:autoSpaceDE/>
              <w:autoSpaceDN/>
              <w:adjustRightInd/>
              <w:jc w:val="center"/>
              <w:rPr>
                <w:rFonts w:ascii="Times New Roman" w:hAnsi="Times New Roman"/>
                <w:color w:val="000000"/>
                <w:sz w:val="22"/>
                <w:szCs w:val="22"/>
              </w:rPr>
            </w:pPr>
          </w:p>
        </w:tc>
        <w:tc>
          <w:tcPr>
            <w:tcW w:w="2610" w:type="dxa"/>
            <w:tcBorders>
              <w:top w:val="nil"/>
              <w:left w:val="nil"/>
              <w:bottom w:val="single" w:sz="4" w:space="0" w:color="auto"/>
              <w:right w:val="single" w:sz="4" w:space="0" w:color="auto"/>
            </w:tcBorders>
            <w:shd w:val="clear" w:color="auto" w:fill="auto"/>
            <w:noWrap/>
            <w:vAlign w:val="bottom"/>
            <w:hideMark/>
          </w:tcPr>
          <w:p w14:paraId="5236928D" w14:textId="537EB8FF" w:rsidR="00646E28" w:rsidRPr="00646E28" w:rsidRDefault="00646E28" w:rsidP="00FF721D">
            <w:pPr>
              <w:widowControl/>
              <w:autoSpaceDE/>
              <w:autoSpaceDN/>
              <w:adjustRightInd/>
              <w:jc w:val="center"/>
              <w:rPr>
                <w:rFonts w:ascii="Times New Roman" w:hAnsi="Times New Roman"/>
                <w:color w:val="000000"/>
                <w:sz w:val="22"/>
                <w:szCs w:val="22"/>
              </w:rPr>
            </w:pPr>
            <w:r w:rsidRPr="00646E28">
              <w:rPr>
                <w:rFonts w:ascii="Times New Roman" w:hAnsi="Times New Roman"/>
                <w:color w:val="000000"/>
                <w:sz w:val="22"/>
                <w:szCs w:val="22"/>
              </w:rPr>
              <w:t>$</w:t>
            </w:r>
            <w:r w:rsidR="00FF721D">
              <w:rPr>
                <w:rFonts w:ascii="Times New Roman" w:hAnsi="Times New Roman"/>
                <w:color w:val="000000"/>
                <w:sz w:val="22"/>
                <w:szCs w:val="22"/>
              </w:rPr>
              <w:t>383,484.60</w:t>
            </w:r>
          </w:p>
        </w:tc>
      </w:tr>
    </w:tbl>
    <w:p w14:paraId="49F7FE32" w14:textId="77777777" w:rsidR="00646E28" w:rsidRPr="004714C6" w:rsidRDefault="00646E28" w:rsidP="00321CC2">
      <w:pPr>
        <w:widowControl/>
        <w:rPr>
          <w:rFonts w:ascii="Times New Roman" w:hAnsi="Times New Roman"/>
          <w:b/>
          <w:color w:val="000000"/>
          <w:szCs w:val="22"/>
        </w:rPr>
      </w:pPr>
    </w:p>
    <w:sectPr w:rsidR="00646E28" w:rsidRPr="004714C6" w:rsidSect="00233C4B">
      <w:footerReference w:type="default" r:id="rId10"/>
      <w:type w:val="continuous"/>
      <w:pgSz w:w="12240" w:h="15840"/>
      <w:pgMar w:top="1152" w:right="1152" w:bottom="1152" w:left="1152"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8D4C3" w14:textId="77777777" w:rsidR="00664784" w:rsidRDefault="00664784">
      <w:r>
        <w:separator/>
      </w:r>
    </w:p>
  </w:endnote>
  <w:endnote w:type="continuationSeparator" w:id="0">
    <w:p w14:paraId="2DC9785E" w14:textId="77777777" w:rsidR="00664784" w:rsidRDefault="0066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YNN">
    <w:altName w:val="Georgia"/>
    <w:charset w:val="00"/>
    <w:family w:val="auto"/>
    <w:pitch w:val="variable"/>
    <w:sig w:usb0="8000002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25F04" w14:textId="77777777" w:rsidR="008B4D7F" w:rsidRDefault="001F466F">
    <w:pPr>
      <w:pStyle w:val="Footer"/>
      <w:jc w:val="center"/>
    </w:pPr>
    <w:r>
      <w:fldChar w:fldCharType="begin"/>
    </w:r>
    <w:r>
      <w:instrText xml:space="preserve"> PAGE   \* MERGEFORMAT </w:instrText>
    </w:r>
    <w:r>
      <w:fldChar w:fldCharType="separate"/>
    </w:r>
    <w:r w:rsidR="00A00666">
      <w:rPr>
        <w:noProof/>
      </w:rPr>
      <w:t>10</w:t>
    </w:r>
    <w:r>
      <w:rPr>
        <w:noProof/>
      </w:rPr>
      <w:fldChar w:fldCharType="end"/>
    </w:r>
  </w:p>
  <w:p w14:paraId="7C340B92" w14:textId="77777777" w:rsidR="000774A5" w:rsidRDefault="000774A5" w:rsidP="006A6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68ECE" w14:textId="77777777" w:rsidR="00664784" w:rsidRDefault="00664784">
      <w:r>
        <w:separator/>
      </w:r>
    </w:p>
  </w:footnote>
  <w:footnote w:type="continuationSeparator" w:id="0">
    <w:p w14:paraId="032DA6BE" w14:textId="77777777" w:rsidR="00664784" w:rsidRDefault="00664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37E8866"/>
    <w:lvl w:ilvl="0">
      <w:numFmt w:val="bullet"/>
      <w:lvlText w:val="*"/>
      <w:lvlJc w:val="left"/>
    </w:lvl>
  </w:abstractNum>
  <w:abstractNum w:abstractNumId="1">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393085"/>
    <w:multiLevelType w:val="hybridMultilevel"/>
    <w:tmpl w:val="5DB0B616"/>
    <w:lvl w:ilvl="0" w:tplc="5B22B108">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6A0643"/>
    <w:multiLevelType w:val="hybridMultilevel"/>
    <w:tmpl w:val="E9CC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52307"/>
    <w:multiLevelType w:val="hybridMultilevel"/>
    <w:tmpl w:val="0786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B437F"/>
    <w:multiLevelType w:val="hybridMultilevel"/>
    <w:tmpl w:val="5C9EA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D36DA"/>
    <w:multiLevelType w:val="hybridMultilevel"/>
    <w:tmpl w:val="F2D219A8"/>
    <w:lvl w:ilvl="0" w:tplc="2B9090D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8227F0"/>
    <w:multiLevelType w:val="hybridMultilevel"/>
    <w:tmpl w:val="A9849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EC685E"/>
    <w:multiLevelType w:val="hybridMultilevel"/>
    <w:tmpl w:val="3BB6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DB1970"/>
    <w:multiLevelType w:val="hybridMultilevel"/>
    <w:tmpl w:val="F176F76E"/>
    <w:lvl w:ilvl="0" w:tplc="A916534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DA622D"/>
    <w:multiLevelType w:val="hybridMultilevel"/>
    <w:tmpl w:val="5704A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985A26"/>
    <w:multiLevelType w:val="hybridMultilevel"/>
    <w:tmpl w:val="68562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8F44B8"/>
    <w:multiLevelType w:val="hybridMultilevel"/>
    <w:tmpl w:val="424E0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80690C"/>
    <w:multiLevelType w:val="hybridMultilevel"/>
    <w:tmpl w:val="5DB0B616"/>
    <w:lvl w:ilvl="0" w:tplc="D1287C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942950"/>
    <w:multiLevelType w:val="hybridMultilevel"/>
    <w:tmpl w:val="26C262A6"/>
    <w:lvl w:ilvl="0" w:tplc="8062BF1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5A110E3"/>
    <w:multiLevelType w:val="hybridMultilevel"/>
    <w:tmpl w:val="1B4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F57170"/>
    <w:multiLevelType w:val="hybridMultilevel"/>
    <w:tmpl w:val="3D3A32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547ABB"/>
    <w:multiLevelType w:val="hybridMultilevel"/>
    <w:tmpl w:val="B71E6D6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A0022A"/>
    <w:multiLevelType w:val="hybridMultilevel"/>
    <w:tmpl w:val="7D38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772554"/>
    <w:multiLevelType w:val="hybridMultilevel"/>
    <w:tmpl w:val="1C264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E9D28A9"/>
    <w:multiLevelType w:val="hybridMultilevel"/>
    <w:tmpl w:val="2A06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7"/>
  </w:num>
  <w:num w:numId="3">
    <w:abstractNumId w:val="14"/>
  </w:num>
  <w:num w:numId="4">
    <w:abstractNumId w:val="3"/>
  </w:num>
  <w:num w:numId="5">
    <w:abstractNumId w:val="10"/>
  </w:num>
  <w:num w:numId="6">
    <w:abstractNumId w:val="8"/>
  </w:num>
  <w:num w:numId="7">
    <w:abstractNumId w:val="15"/>
  </w:num>
  <w:num w:numId="8">
    <w:abstractNumId w:val="18"/>
  </w:num>
  <w:num w:numId="9">
    <w:abstractNumId w:val="20"/>
  </w:num>
  <w:num w:numId="10">
    <w:abstractNumId w:val="6"/>
  </w:num>
  <w:num w:numId="11">
    <w:abstractNumId w:val="9"/>
  </w:num>
  <w:num w:numId="12">
    <w:abstractNumId w:val="16"/>
  </w:num>
  <w:num w:numId="13">
    <w:abstractNumId w:val="17"/>
  </w:num>
  <w:num w:numId="14">
    <w:abstractNumId w:val="11"/>
  </w:num>
  <w:num w:numId="15">
    <w:abstractNumId w:val="19"/>
  </w:num>
  <w:num w:numId="16">
    <w:abstractNumId w:val="12"/>
  </w:num>
  <w:num w:numId="17">
    <w:abstractNumId w:val="13"/>
  </w:num>
  <w:num w:numId="18">
    <w:abstractNumId w:val="5"/>
  </w:num>
  <w:num w:numId="19">
    <w:abstractNumId w:val="2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59"/>
    <w:rsid w:val="0000189E"/>
    <w:rsid w:val="00013F7A"/>
    <w:rsid w:val="00017AE3"/>
    <w:rsid w:val="000234FC"/>
    <w:rsid w:val="00031671"/>
    <w:rsid w:val="00033857"/>
    <w:rsid w:val="000339EF"/>
    <w:rsid w:val="00041E47"/>
    <w:rsid w:val="0005728C"/>
    <w:rsid w:val="00061A33"/>
    <w:rsid w:val="000774A5"/>
    <w:rsid w:val="000813B1"/>
    <w:rsid w:val="00093E6C"/>
    <w:rsid w:val="000A324A"/>
    <w:rsid w:val="000B5A82"/>
    <w:rsid w:val="000C1FC3"/>
    <w:rsid w:val="000D1AD7"/>
    <w:rsid w:val="000F0106"/>
    <w:rsid w:val="000F235F"/>
    <w:rsid w:val="001014A0"/>
    <w:rsid w:val="00126472"/>
    <w:rsid w:val="001618A9"/>
    <w:rsid w:val="001626F0"/>
    <w:rsid w:val="00162F5A"/>
    <w:rsid w:val="00173696"/>
    <w:rsid w:val="001742FD"/>
    <w:rsid w:val="00177124"/>
    <w:rsid w:val="0018662E"/>
    <w:rsid w:val="00193C23"/>
    <w:rsid w:val="001A769A"/>
    <w:rsid w:val="001A7D8D"/>
    <w:rsid w:val="001C6AFC"/>
    <w:rsid w:val="001C6FDE"/>
    <w:rsid w:val="001D4CE1"/>
    <w:rsid w:val="001F466F"/>
    <w:rsid w:val="002049F0"/>
    <w:rsid w:val="00205EB4"/>
    <w:rsid w:val="002152B8"/>
    <w:rsid w:val="00220E6A"/>
    <w:rsid w:val="00233C4B"/>
    <w:rsid w:val="00246641"/>
    <w:rsid w:val="002537C8"/>
    <w:rsid w:val="00270C34"/>
    <w:rsid w:val="00270ED2"/>
    <w:rsid w:val="00271583"/>
    <w:rsid w:val="0028444D"/>
    <w:rsid w:val="00284E65"/>
    <w:rsid w:val="00286C7D"/>
    <w:rsid w:val="0029272A"/>
    <w:rsid w:val="00295A92"/>
    <w:rsid w:val="002A2264"/>
    <w:rsid w:val="002A51E3"/>
    <w:rsid w:val="002A5DF6"/>
    <w:rsid w:val="002B5C85"/>
    <w:rsid w:val="002C4C04"/>
    <w:rsid w:val="002D0A09"/>
    <w:rsid w:val="002D33CE"/>
    <w:rsid w:val="002D7228"/>
    <w:rsid w:val="00304F6C"/>
    <w:rsid w:val="00321CC2"/>
    <w:rsid w:val="00326FA5"/>
    <w:rsid w:val="0033139D"/>
    <w:rsid w:val="00331873"/>
    <w:rsid w:val="00353B99"/>
    <w:rsid w:val="0036076D"/>
    <w:rsid w:val="00367556"/>
    <w:rsid w:val="003A7A45"/>
    <w:rsid w:val="003B3102"/>
    <w:rsid w:val="003C2386"/>
    <w:rsid w:val="003C60B9"/>
    <w:rsid w:val="003C7630"/>
    <w:rsid w:val="003C7F1B"/>
    <w:rsid w:val="003D3218"/>
    <w:rsid w:val="003E4F7D"/>
    <w:rsid w:val="003E7303"/>
    <w:rsid w:val="00425C31"/>
    <w:rsid w:val="00427659"/>
    <w:rsid w:val="004714C6"/>
    <w:rsid w:val="004926C0"/>
    <w:rsid w:val="0049686B"/>
    <w:rsid w:val="004B0042"/>
    <w:rsid w:val="004B04AB"/>
    <w:rsid w:val="004C2783"/>
    <w:rsid w:val="004C7510"/>
    <w:rsid w:val="004D1D3B"/>
    <w:rsid w:val="004E7FC6"/>
    <w:rsid w:val="004F2E9C"/>
    <w:rsid w:val="0050454E"/>
    <w:rsid w:val="00505B6B"/>
    <w:rsid w:val="005528FB"/>
    <w:rsid w:val="00552F63"/>
    <w:rsid w:val="00567AC5"/>
    <w:rsid w:val="00574E43"/>
    <w:rsid w:val="00581FB3"/>
    <w:rsid w:val="00585FA0"/>
    <w:rsid w:val="005930D4"/>
    <w:rsid w:val="005B52D9"/>
    <w:rsid w:val="005D6A69"/>
    <w:rsid w:val="005E4A50"/>
    <w:rsid w:val="005E54C4"/>
    <w:rsid w:val="005F383E"/>
    <w:rsid w:val="006100E4"/>
    <w:rsid w:val="00620DDA"/>
    <w:rsid w:val="00646E28"/>
    <w:rsid w:val="00657687"/>
    <w:rsid w:val="00664784"/>
    <w:rsid w:val="006719F2"/>
    <w:rsid w:val="006A24A5"/>
    <w:rsid w:val="006A6521"/>
    <w:rsid w:val="006B4AD4"/>
    <w:rsid w:val="006C6783"/>
    <w:rsid w:val="006C6932"/>
    <w:rsid w:val="006D7495"/>
    <w:rsid w:val="006E3F6C"/>
    <w:rsid w:val="0070024C"/>
    <w:rsid w:val="00713C64"/>
    <w:rsid w:val="007262E7"/>
    <w:rsid w:val="007268F5"/>
    <w:rsid w:val="00734605"/>
    <w:rsid w:val="00734D95"/>
    <w:rsid w:val="00755071"/>
    <w:rsid w:val="00766F4D"/>
    <w:rsid w:val="00766FCA"/>
    <w:rsid w:val="00782578"/>
    <w:rsid w:val="007A45E2"/>
    <w:rsid w:val="007F43E0"/>
    <w:rsid w:val="00804523"/>
    <w:rsid w:val="0081308F"/>
    <w:rsid w:val="00823BC9"/>
    <w:rsid w:val="00832B1B"/>
    <w:rsid w:val="00833B4D"/>
    <w:rsid w:val="00842863"/>
    <w:rsid w:val="008620C9"/>
    <w:rsid w:val="008A0379"/>
    <w:rsid w:val="008A3838"/>
    <w:rsid w:val="008A4693"/>
    <w:rsid w:val="008A639B"/>
    <w:rsid w:val="008A7A0D"/>
    <w:rsid w:val="008B1737"/>
    <w:rsid w:val="008B45F0"/>
    <w:rsid w:val="008B4D7F"/>
    <w:rsid w:val="008C1F2D"/>
    <w:rsid w:val="008C3734"/>
    <w:rsid w:val="008F1AA3"/>
    <w:rsid w:val="008F2653"/>
    <w:rsid w:val="008F266B"/>
    <w:rsid w:val="00915414"/>
    <w:rsid w:val="00926D76"/>
    <w:rsid w:val="00931A79"/>
    <w:rsid w:val="00940B52"/>
    <w:rsid w:val="009510E1"/>
    <w:rsid w:val="00955A16"/>
    <w:rsid w:val="00955E0B"/>
    <w:rsid w:val="00962DFB"/>
    <w:rsid w:val="00970029"/>
    <w:rsid w:val="00973B2E"/>
    <w:rsid w:val="0097735C"/>
    <w:rsid w:val="00985FD2"/>
    <w:rsid w:val="009A42D2"/>
    <w:rsid w:val="009A550D"/>
    <w:rsid w:val="009C7653"/>
    <w:rsid w:val="009D40E1"/>
    <w:rsid w:val="009D4735"/>
    <w:rsid w:val="009D6562"/>
    <w:rsid w:val="009E1D1B"/>
    <w:rsid w:val="009F3C35"/>
    <w:rsid w:val="00A00666"/>
    <w:rsid w:val="00A11DA3"/>
    <w:rsid w:val="00A22416"/>
    <w:rsid w:val="00A325BF"/>
    <w:rsid w:val="00A35DE2"/>
    <w:rsid w:val="00A46248"/>
    <w:rsid w:val="00A46454"/>
    <w:rsid w:val="00A5550F"/>
    <w:rsid w:val="00A55A76"/>
    <w:rsid w:val="00A65D36"/>
    <w:rsid w:val="00A77D19"/>
    <w:rsid w:val="00A84616"/>
    <w:rsid w:val="00A86F78"/>
    <w:rsid w:val="00A9330E"/>
    <w:rsid w:val="00AA5CAA"/>
    <w:rsid w:val="00AB4CC9"/>
    <w:rsid w:val="00AD3DBF"/>
    <w:rsid w:val="00B135E1"/>
    <w:rsid w:val="00B2017D"/>
    <w:rsid w:val="00B2074F"/>
    <w:rsid w:val="00B31DF0"/>
    <w:rsid w:val="00B42074"/>
    <w:rsid w:val="00B43B4E"/>
    <w:rsid w:val="00B46D0D"/>
    <w:rsid w:val="00B62722"/>
    <w:rsid w:val="00BA2725"/>
    <w:rsid w:val="00BA7FBB"/>
    <w:rsid w:val="00BC38BD"/>
    <w:rsid w:val="00BE2592"/>
    <w:rsid w:val="00BF0FE9"/>
    <w:rsid w:val="00BF27FD"/>
    <w:rsid w:val="00BF30E4"/>
    <w:rsid w:val="00C024A2"/>
    <w:rsid w:val="00C3427D"/>
    <w:rsid w:val="00C548BE"/>
    <w:rsid w:val="00C62F3B"/>
    <w:rsid w:val="00C63791"/>
    <w:rsid w:val="00C66FF4"/>
    <w:rsid w:val="00C71017"/>
    <w:rsid w:val="00C75356"/>
    <w:rsid w:val="00C836C4"/>
    <w:rsid w:val="00C95996"/>
    <w:rsid w:val="00CA2EAE"/>
    <w:rsid w:val="00CD73E8"/>
    <w:rsid w:val="00CE335D"/>
    <w:rsid w:val="00CF7061"/>
    <w:rsid w:val="00CF762A"/>
    <w:rsid w:val="00D02CFD"/>
    <w:rsid w:val="00D14620"/>
    <w:rsid w:val="00D15026"/>
    <w:rsid w:val="00D20FFC"/>
    <w:rsid w:val="00D2583B"/>
    <w:rsid w:val="00D73D10"/>
    <w:rsid w:val="00D82B4C"/>
    <w:rsid w:val="00D91218"/>
    <w:rsid w:val="00D96D13"/>
    <w:rsid w:val="00DA0400"/>
    <w:rsid w:val="00DB116A"/>
    <w:rsid w:val="00DD1B4D"/>
    <w:rsid w:val="00DE278D"/>
    <w:rsid w:val="00DE383F"/>
    <w:rsid w:val="00DF0E74"/>
    <w:rsid w:val="00DF3F89"/>
    <w:rsid w:val="00DF4D00"/>
    <w:rsid w:val="00E04F79"/>
    <w:rsid w:val="00E067DA"/>
    <w:rsid w:val="00E06FEB"/>
    <w:rsid w:val="00E15D7C"/>
    <w:rsid w:val="00E267BA"/>
    <w:rsid w:val="00E37A1B"/>
    <w:rsid w:val="00E51940"/>
    <w:rsid w:val="00E53462"/>
    <w:rsid w:val="00E55DEE"/>
    <w:rsid w:val="00E66BEC"/>
    <w:rsid w:val="00E778E5"/>
    <w:rsid w:val="00EA0C95"/>
    <w:rsid w:val="00EA3DDD"/>
    <w:rsid w:val="00EB5376"/>
    <w:rsid w:val="00EC1750"/>
    <w:rsid w:val="00EC5145"/>
    <w:rsid w:val="00EC59FA"/>
    <w:rsid w:val="00ED0AA5"/>
    <w:rsid w:val="00EE6744"/>
    <w:rsid w:val="00EF1DC4"/>
    <w:rsid w:val="00F20852"/>
    <w:rsid w:val="00F2432B"/>
    <w:rsid w:val="00F60B73"/>
    <w:rsid w:val="00F74867"/>
    <w:rsid w:val="00F94028"/>
    <w:rsid w:val="00FA5907"/>
    <w:rsid w:val="00FB7887"/>
    <w:rsid w:val="00FF53EF"/>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72F61"/>
  <w15:docId w15:val="{EA9BDC66-B89B-4684-A588-1074DFA3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5A"/>
    <w:pPr>
      <w:widowControl w:val="0"/>
      <w:autoSpaceDE w:val="0"/>
      <w:autoSpaceDN w:val="0"/>
      <w:adjustRightInd w:val="0"/>
    </w:pPr>
    <w:rPr>
      <w:rFonts w:ascii="LYNN" w:hAnsi="LYNN"/>
      <w:sz w:val="24"/>
      <w:szCs w:val="24"/>
    </w:rPr>
  </w:style>
  <w:style w:type="paragraph" w:styleId="Heading1">
    <w:name w:val="heading 1"/>
    <w:basedOn w:val="Normal"/>
    <w:next w:val="Normal"/>
    <w:qFormat/>
    <w:rsid w:val="00985FD2"/>
    <w:pPr>
      <w:keepNext/>
      <w:widowControl/>
      <w:autoSpaceDE/>
      <w:autoSpaceDN/>
      <w:adjustRightInd/>
      <w:outlineLvl w:val="0"/>
    </w:pPr>
    <w:rPr>
      <w:rFonts w:ascii="CG Times" w:hAnsi="CG Times"/>
      <w:b/>
      <w:szCs w:val="20"/>
    </w:rPr>
  </w:style>
  <w:style w:type="paragraph" w:styleId="Heading2">
    <w:name w:val="heading 2"/>
    <w:basedOn w:val="Normal"/>
    <w:next w:val="Normal"/>
    <w:qFormat/>
    <w:rsid w:val="00985FD2"/>
    <w:pPr>
      <w:keepNext/>
      <w:widowControl/>
      <w:autoSpaceDE/>
      <w:autoSpaceDN/>
      <w:adjustRightInd/>
      <w:spacing w:before="84" w:after="641"/>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62F5A"/>
  </w:style>
  <w:style w:type="paragraph" w:customStyle="1" w:styleId="Level1">
    <w:name w:val="Level 1"/>
    <w:basedOn w:val="Normal"/>
    <w:rsid w:val="00162F5A"/>
    <w:pPr>
      <w:ind w:left="1440" w:hanging="720"/>
    </w:pPr>
  </w:style>
  <w:style w:type="numbering" w:customStyle="1" w:styleId="NoList1">
    <w:name w:val="No List1"/>
    <w:next w:val="NoList"/>
    <w:semiHidden/>
    <w:rsid w:val="00985FD2"/>
  </w:style>
  <w:style w:type="paragraph" w:styleId="Header">
    <w:name w:val="header"/>
    <w:basedOn w:val="Normal"/>
    <w:rsid w:val="00985FD2"/>
    <w:pPr>
      <w:widowControl/>
      <w:tabs>
        <w:tab w:val="center" w:pos="4320"/>
        <w:tab w:val="right" w:pos="8640"/>
      </w:tabs>
      <w:autoSpaceDE/>
      <w:autoSpaceDN/>
      <w:adjustRightInd/>
    </w:pPr>
    <w:rPr>
      <w:rFonts w:ascii="Times New Roman" w:hAnsi="Times New Roman"/>
      <w:szCs w:val="20"/>
    </w:rPr>
  </w:style>
  <w:style w:type="character" w:customStyle="1" w:styleId="1">
    <w:name w:val="1"/>
    <w:rsid w:val="00985FD2"/>
  </w:style>
  <w:style w:type="paragraph" w:customStyle="1" w:styleId="a">
    <w:name w:val="آ"/>
    <w:basedOn w:val="Normal"/>
    <w:rsid w:val="00985FD2"/>
    <w:pPr>
      <w:autoSpaceDE/>
      <w:autoSpaceDN/>
      <w:adjustRightInd/>
    </w:pPr>
    <w:rPr>
      <w:rFonts w:ascii="Times New Roman" w:hAnsi="Times New Roman"/>
      <w:szCs w:val="20"/>
    </w:rPr>
  </w:style>
  <w:style w:type="paragraph" w:styleId="Footer">
    <w:name w:val="footer"/>
    <w:basedOn w:val="Normal"/>
    <w:link w:val="FooterChar"/>
    <w:uiPriority w:val="99"/>
    <w:rsid w:val="00985FD2"/>
    <w:pPr>
      <w:widowControl/>
      <w:tabs>
        <w:tab w:val="center" w:pos="4320"/>
        <w:tab w:val="right" w:pos="8640"/>
      </w:tabs>
      <w:autoSpaceDE/>
      <w:autoSpaceDN/>
      <w:adjustRightInd/>
    </w:pPr>
    <w:rPr>
      <w:rFonts w:ascii="Times New Roman" w:hAnsi="Times New Roman"/>
      <w:szCs w:val="20"/>
    </w:rPr>
  </w:style>
  <w:style w:type="character" w:styleId="Strong">
    <w:name w:val="Strong"/>
    <w:basedOn w:val="DefaultParagraphFont"/>
    <w:qFormat/>
    <w:rsid w:val="00985FD2"/>
    <w:rPr>
      <w:b/>
      <w:bCs/>
    </w:rPr>
  </w:style>
  <w:style w:type="character" w:styleId="Hyperlink">
    <w:name w:val="Hyperlink"/>
    <w:basedOn w:val="DefaultParagraphFont"/>
    <w:rsid w:val="00985FD2"/>
    <w:rPr>
      <w:color w:val="0000FF"/>
      <w:u w:val="single"/>
    </w:rPr>
  </w:style>
  <w:style w:type="character" w:styleId="FollowedHyperlink">
    <w:name w:val="FollowedHyperlink"/>
    <w:basedOn w:val="DefaultParagraphFont"/>
    <w:rsid w:val="00985FD2"/>
    <w:rPr>
      <w:color w:val="800080"/>
      <w:u w:val="single"/>
    </w:rPr>
  </w:style>
  <w:style w:type="table" w:styleId="TableGrid">
    <w:name w:val="Table Grid"/>
    <w:basedOn w:val="TableNormal"/>
    <w:uiPriority w:val="59"/>
    <w:rsid w:val="0098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85FD2"/>
    <w:pPr>
      <w:widowControl/>
      <w:autoSpaceDE/>
      <w:autoSpaceDN/>
      <w:adjustRightInd/>
    </w:pPr>
    <w:rPr>
      <w:rFonts w:ascii="Tahoma" w:hAnsi="Tahoma" w:cs="Tahoma"/>
      <w:sz w:val="16"/>
      <w:szCs w:val="16"/>
    </w:rPr>
  </w:style>
  <w:style w:type="character" w:styleId="CommentReference">
    <w:name w:val="annotation reference"/>
    <w:basedOn w:val="DefaultParagraphFont"/>
    <w:semiHidden/>
    <w:rsid w:val="00985FD2"/>
    <w:rPr>
      <w:sz w:val="16"/>
      <w:szCs w:val="16"/>
    </w:rPr>
  </w:style>
  <w:style w:type="paragraph" w:styleId="CommentText">
    <w:name w:val="annotation text"/>
    <w:basedOn w:val="Normal"/>
    <w:semiHidden/>
    <w:rsid w:val="00985FD2"/>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985FD2"/>
    <w:rPr>
      <w:b/>
      <w:bCs/>
    </w:rPr>
  </w:style>
  <w:style w:type="paragraph" w:styleId="Revision">
    <w:name w:val="Revision"/>
    <w:hidden/>
    <w:uiPriority w:val="99"/>
    <w:semiHidden/>
    <w:rsid w:val="00782578"/>
    <w:rPr>
      <w:rFonts w:ascii="LYNN" w:hAnsi="LYNN"/>
      <w:sz w:val="24"/>
      <w:szCs w:val="24"/>
    </w:rPr>
  </w:style>
  <w:style w:type="character" w:customStyle="1" w:styleId="FooterChar">
    <w:name w:val="Footer Char"/>
    <w:basedOn w:val="DefaultParagraphFont"/>
    <w:link w:val="Footer"/>
    <w:uiPriority w:val="99"/>
    <w:rsid w:val="008B4D7F"/>
    <w:rPr>
      <w:sz w:val="24"/>
    </w:rPr>
  </w:style>
  <w:style w:type="paragraph" w:styleId="Title">
    <w:name w:val="Title"/>
    <w:basedOn w:val="Normal"/>
    <w:next w:val="Normal"/>
    <w:link w:val="TitleChar"/>
    <w:uiPriority w:val="99"/>
    <w:qFormat/>
    <w:rsid w:val="002B5C85"/>
    <w:pPr>
      <w:widowControl/>
      <w:pBdr>
        <w:bottom w:val="single" w:sz="8" w:space="4" w:color="4F81BD"/>
      </w:pBdr>
      <w:autoSpaceDE/>
      <w:autoSpaceDN/>
      <w:adjustRightInd/>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2B5C85"/>
    <w:rPr>
      <w:rFonts w:ascii="Cambria" w:hAnsi="Cambria"/>
      <w:color w:val="17365D"/>
      <w:spacing w:val="5"/>
      <w:kern w:val="28"/>
      <w:sz w:val="52"/>
      <w:szCs w:val="52"/>
    </w:rPr>
  </w:style>
  <w:style w:type="paragraph" w:styleId="ListParagraph">
    <w:name w:val="List Paragraph"/>
    <w:basedOn w:val="Normal"/>
    <w:uiPriority w:val="34"/>
    <w:qFormat/>
    <w:rsid w:val="00955A16"/>
    <w:pPr>
      <w:ind w:left="720"/>
      <w:contextualSpacing/>
    </w:pPr>
  </w:style>
  <w:style w:type="character" w:customStyle="1" w:styleId="page">
    <w:name w:val="page"/>
    <w:basedOn w:val="DefaultParagraphFont"/>
    <w:rsid w:val="0061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1550">
      <w:bodyDiv w:val="1"/>
      <w:marLeft w:val="0"/>
      <w:marRight w:val="0"/>
      <w:marTop w:val="0"/>
      <w:marBottom w:val="0"/>
      <w:divBdr>
        <w:top w:val="none" w:sz="0" w:space="0" w:color="auto"/>
        <w:left w:val="none" w:sz="0" w:space="0" w:color="auto"/>
        <w:bottom w:val="none" w:sz="0" w:space="0" w:color="auto"/>
        <w:right w:val="none" w:sz="0" w:space="0" w:color="auto"/>
      </w:divBdr>
    </w:div>
    <w:div w:id="370303904">
      <w:bodyDiv w:val="1"/>
      <w:marLeft w:val="0"/>
      <w:marRight w:val="0"/>
      <w:marTop w:val="0"/>
      <w:marBottom w:val="0"/>
      <w:divBdr>
        <w:top w:val="none" w:sz="0" w:space="0" w:color="auto"/>
        <w:left w:val="none" w:sz="0" w:space="0" w:color="auto"/>
        <w:bottom w:val="none" w:sz="0" w:space="0" w:color="auto"/>
        <w:right w:val="none" w:sz="0" w:space="0" w:color="auto"/>
      </w:divBdr>
    </w:div>
    <w:div w:id="425809399">
      <w:bodyDiv w:val="1"/>
      <w:marLeft w:val="0"/>
      <w:marRight w:val="0"/>
      <w:marTop w:val="0"/>
      <w:marBottom w:val="0"/>
      <w:divBdr>
        <w:top w:val="none" w:sz="0" w:space="0" w:color="auto"/>
        <w:left w:val="none" w:sz="0" w:space="0" w:color="auto"/>
        <w:bottom w:val="none" w:sz="0" w:space="0" w:color="auto"/>
        <w:right w:val="none" w:sz="0" w:space="0" w:color="auto"/>
      </w:divBdr>
    </w:div>
    <w:div w:id="575018567">
      <w:bodyDiv w:val="1"/>
      <w:marLeft w:val="0"/>
      <w:marRight w:val="0"/>
      <w:marTop w:val="0"/>
      <w:marBottom w:val="0"/>
      <w:divBdr>
        <w:top w:val="none" w:sz="0" w:space="0" w:color="auto"/>
        <w:left w:val="none" w:sz="0" w:space="0" w:color="auto"/>
        <w:bottom w:val="none" w:sz="0" w:space="0" w:color="auto"/>
        <w:right w:val="none" w:sz="0" w:space="0" w:color="auto"/>
      </w:divBdr>
    </w:div>
    <w:div w:id="646513384">
      <w:bodyDiv w:val="1"/>
      <w:marLeft w:val="0"/>
      <w:marRight w:val="0"/>
      <w:marTop w:val="0"/>
      <w:marBottom w:val="0"/>
      <w:divBdr>
        <w:top w:val="none" w:sz="0" w:space="0" w:color="auto"/>
        <w:left w:val="none" w:sz="0" w:space="0" w:color="auto"/>
        <w:bottom w:val="none" w:sz="0" w:space="0" w:color="auto"/>
        <w:right w:val="none" w:sz="0" w:space="0" w:color="auto"/>
      </w:divBdr>
    </w:div>
    <w:div w:id="692459418">
      <w:bodyDiv w:val="1"/>
      <w:marLeft w:val="0"/>
      <w:marRight w:val="0"/>
      <w:marTop w:val="0"/>
      <w:marBottom w:val="0"/>
      <w:divBdr>
        <w:top w:val="none" w:sz="0" w:space="0" w:color="auto"/>
        <w:left w:val="none" w:sz="0" w:space="0" w:color="auto"/>
        <w:bottom w:val="none" w:sz="0" w:space="0" w:color="auto"/>
        <w:right w:val="none" w:sz="0" w:space="0" w:color="auto"/>
      </w:divBdr>
    </w:div>
    <w:div w:id="842552871">
      <w:bodyDiv w:val="1"/>
      <w:marLeft w:val="0"/>
      <w:marRight w:val="0"/>
      <w:marTop w:val="0"/>
      <w:marBottom w:val="0"/>
      <w:divBdr>
        <w:top w:val="none" w:sz="0" w:space="0" w:color="auto"/>
        <w:left w:val="none" w:sz="0" w:space="0" w:color="auto"/>
        <w:bottom w:val="none" w:sz="0" w:space="0" w:color="auto"/>
        <w:right w:val="none" w:sz="0" w:space="0" w:color="auto"/>
      </w:divBdr>
    </w:div>
    <w:div w:id="1044863054">
      <w:bodyDiv w:val="1"/>
      <w:marLeft w:val="0"/>
      <w:marRight w:val="0"/>
      <w:marTop w:val="0"/>
      <w:marBottom w:val="0"/>
      <w:divBdr>
        <w:top w:val="none" w:sz="0" w:space="0" w:color="auto"/>
        <w:left w:val="none" w:sz="0" w:space="0" w:color="auto"/>
        <w:bottom w:val="none" w:sz="0" w:space="0" w:color="auto"/>
        <w:right w:val="none" w:sz="0" w:space="0" w:color="auto"/>
      </w:divBdr>
    </w:div>
    <w:div w:id="1157188701">
      <w:bodyDiv w:val="1"/>
      <w:marLeft w:val="0"/>
      <w:marRight w:val="0"/>
      <w:marTop w:val="0"/>
      <w:marBottom w:val="0"/>
      <w:divBdr>
        <w:top w:val="none" w:sz="0" w:space="0" w:color="auto"/>
        <w:left w:val="none" w:sz="0" w:space="0" w:color="auto"/>
        <w:bottom w:val="none" w:sz="0" w:space="0" w:color="auto"/>
        <w:right w:val="none" w:sz="0" w:space="0" w:color="auto"/>
      </w:divBdr>
    </w:div>
    <w:div w:id="1283729356">
      <w:bodyDiv w:val="1"/>
      <w:marLeft w:val="0"/>
      <w:marRight w:val="0"/>
      <w:marTop w:val="0"/>
      <w:marBottom w:val="0"/>
      <w:divBdr>
        <w:top w:val="none" w:sz="0" w:space="0" w:color="auto"/>
        <w:left w:val="none" w:sz="0" w:space="0" w:color="auto"/>
        <w:bottom w:val="none" w:sz="0" w:space="0" w:color="auto"/>
        <w:right w:val="none" w:sz="0" w:space="0" w:color="auto"/>
      </w:divBdr>
    </w:div>
    <w:div w:id="1352490214">
      <w:bodyDiv w:val="1"/>
      <w:marLeft w:val="0"/>
      <w:marRight w:val="0"/>
      <w:marTop w:val="0"/>
      <w:marBottom w:val="0"/>
      <w:divBdr>
        <w:top w:val="none" w:sz="0" w:space="0" w:color="auto"/>
        <w:left w:val="none" w:sz="0" w:space="0" w:color="auto"/>
        <w:bottom w:val="none" w:sz="0" w:space="0" w:color="auto"/>
        <w:right w:val="none" w:sz="0" w:space="0" w:color="auto"/>
      </w:divBdr>
    </w:div>
    <w:div w:id="1371342990">
      <w:bodyDiv w:val="1"/>
      <w:marLeft w:val="0"/>
      <w:marRight w:val="0"/>
      <w:marTop w:val="0"/>
      <w:marBottom w:val="0"/>
      <w:divBdr>
        <w:top w:val="none" w:sz="0" w:space="0" w:color="auto"/>
        <w:left w:val="none" w:sz="0" w:space="0" w:color="auto"/>
        <w:bottom w:val="none" w:sz="0" w:space="0" w:color="auto"/>
        <w:right w:val="none" w:sz="0" w:space="0" w:color="auto"/>
      </w:divBdr>
    </w:div>
    <w:div w:id="1467700516">
      <w:bodyDiv w:val="1"/>
      <w:marLeft w:val="0"/>
      <w:marRight w:val="0"/>
      <w:marTop w:val="0"/>
      <w:marBottom w:val="0"/>
      <w:divBdr>
        <w:top w:val="none" w:sz="0" w:space="0" w:color="auto"/>
        <w:left w:val="none" w:sz="0" w:space="0" w:color="auto"/>
        <w:bottom w:val="none" w:sz="0" w:space="0" w:color="auto"/>
        <w:right w:val="none" w:sz="0" w:space="0" w:color="auto"/>
      </w:divBdr>
    </w:div>
    <w:div w:id="1526551117">
      <w:bodyDiv w:val="1"/>
      <w:marLeft w:val="0"/>
      <w:marRight w:val="0"/>
      <w:marTop w:val="0"/>
      <w:marBottom w:val="0"/>
      <w:divBdr>
        <w:top w:val="none" w:sz="0" w:space="0" w:color="auto"/>
        <w:left w:val="none" w:sz="0" w:space="0" w:color="auto"/>
        <w:bottom w:val="none" w:sz="0" w:space="0" w:color="auto"/>
        <w:right w:val="none" w:sz="0" w:space="0" w:color="auto"/>
      </w:divBdr>
    </w:div>
    <w:div w:id="1567840831">
      <w:bodyDiv w:val="1"/>
      <w:marLeft w:val="0"/>
      <w:marRight w:val="0"/>
      <w:marTop w:val="0"/>
      <w:marBottom w:val="0"/>
      <w:divBdr>
        <w:top w:val="none" w:sz="0" w:space="0" w:color="auto"/>
        <w:left w:val="none" w:sz="0" w:space="0" w:color="auto"/>
        <w:bottom w:val="none" w:sz="0" w:space="0" w:color="auto"/>
        <w:right w:val="none" w:sz="0" w:space="0" w:color="auto"/>
      </w:divBdr>
    </w:div>
    <w:div w:id="1727024056">
      <w:bodyDiv w:val="1"/>
      <w:marLeft w:val="0"/>
      <w:marRight w:val="0"/>
      <w:marTop w:val="0"/>
      <w:marBottom w:val="0"/>
      <w:divBdr>
        <w:top w:val="none" w:sz="0" w:space="0" w:color="auto"/>
        <w:left w:val="none" w:sz="0" w:space="0" w:color="auto"/>
        <w:bottom w:val="none" w:sz="0" w:space="0" w:color="auto"/>
        <w:right w:val="none" w:sz="0" w:space="0" w:color="auto"/>
      </w:divBdr>
    </w:div>
    <w:div w:id="1841770283">
      <w:bodyDiv w:val="1"/>
      <w:marLeft w:val="0"/>
      <w:marRight w:val="0"/>
      <w:marTop w:val="0"/>
      <w:marBottom w:val="0"/>
      <w:divBdr>
        <w:top w:val="none" w:sz="0" w:space="0" w:color="auto"/>
        <w:left w:val="none" w:sz="0" w:space="0" w:color="auto"/>
        <w:bottom w:val="none" w:sz="0" w:space="0" w:color="auto"/>
        <w:right w:val="none" w:sz="0" w:space="0" w:color="auto"/>
      </w:divBdr>
    </w:div>
    <w:div w:id="1875192734">
      <w:bodyDiv w:val="1"/>
      <w:marLeft w:val="0"/>
      <w:marRight w:val="0"/>
      <w:marTop w:val="0"/>
      <w:marBottom w:val="0"/>
      <w:divBdr>
        <w:top w:val="none" w:sz="0" w:space="0" w:color="auto"/>
        <w:left w:val="none" w:sz="0" w:space="0" w:color="auto"/>
        <w:bottom w:val="none" w:sz="0" w:space="0" w:color="auto"/>
        <w:right w:val="none" w:sz="0" w:space="0" w:color="auto"/>
      </w:divBdr>
    </w:div>
    <w:div w:id="2076928250">
      <w:bodyDiv w:val="1"/>
      <w:marLeft w:val="0"/>
      <w:marRight w:val="0"/>
      <w:marTop w:val="0"/>
      <w:marBottom w:val="0"/>
      <w:divBdr>
        <w:top w:val="none" w:sz="0" w:space="0" w:color="auto"/>
        <w:left w:val="none" w:sz="0" w:space="0" w:color="auto"/>
        <w:bottom w:val="none" w:sz="0" w:space="0" w:color="auto"/>
        <w:right w:val="none" w:sz="0" w:space="0" w:color="auto"/>
      </w:divBdr>
    </w:div>
    <w:div w:id="2113352914">
      <w:bodyDiv w:val="1"/>
      <w:marLeft w:val="0"/>
      <w:marRight w:val="0"/>
      <w:marTop w:val="0"/>
      <w:marBottom w:val="0"/>
      <w:divBdr>
        <w:top w:val="none" w:sz="0" w:space="0" w:color="auto"/>
        <w:left w:val="none" w:sz="0" w:space="0" w:color="auto"/>
        <w:bottom w:val="none" w:sz="0" w:space="0" w:color="auto"/>
        <w:right w:val="none" w:sz="0" w:space="0" w:color="auto"/>
      </w:divBdr>
    </w:div>
    <w:div w:id="21364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ls.gov/cgi-bin/print.pl/news.release/ecec.t0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67D5B-A176-4F9B-835F-0A28538B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23093</CharactersWithSpaces>
  <SharedDoc>false</SharedDoc>
  <HLinks>
    <vt:vector size="6" baseType="variant">
      <vt:variant>
        <vt:i4>7012469</vt:i4>
      </vt:variant>
      <vt:variant>
        <vt:i4>0</vt:i4>
      </vt:variant>
      <vt:variant>
        <vt:i4>0</vt:i4>
      </vt:variant>
      <vt:variant>
        <vt:i4>5</vt:i4>
      </vt:variant>
      <vt:variant>
        <vt:lpwstr>http://data.bls.gov/cgi-bin/print.pl/news.release/ecec.t04.htm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Tiffin Shewmake</dc:creator>
  <cp:keywords/>
  <dc:description/>
  <cp:lastModifiedBy>VanBronkhorst, Kelly</cp:lastModifiedBy>
  <cp:revision>3</cp:revision>
  <cp:lastPrinted>2015-02-19T18:45:00Z</cp:lastPrinted>
  <dcterms:created xsi:type="dcterms:W3CDTF">2015-04-08T13:55:00Z</dcterms:created>
  <dcterms:modified xsi:type="dcterms:W3CDTF">2015-04-08T14:05:00Z</dcterms:modified>
</cp:coreProperties>
</file>