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sidRPr="00AE051E">
        <w:rPr>
          <w:sz w:val="28"/>
        </w:rPr>
        <w:t>1905-0186</w:t>
      </w:r>
      <w:r w:rsidR="00DE2858">
        <w:rPr>
          <w:sz w:val="28"/>
        </w:rPr>
        <w:t>)</w:t>
      </w:r>
    </w:p>
    <w:p w:rsidR="00DE2858" w:rsidRDefault="00DE2858" w:rsidP="00DE2858">
      <w:pPr>
        <w:pStyle w:val="Heading2"/>
        <w:tabs>
          <w:tab w:val="left" w:pos="900"/>
        </w:tabs>
        <w:ind w:right="-180"/>
        <w:rPr>
          <w:b w:val="0"/>
        </w:rPr>
      </w:pPr>
    </w:p>
    <w:p w:rsidR="0064010A" w:rsidRPr="0064010A" w:rsidRDefault="00D0035D" w:rsidP="0064010A">
      <w:pPr>
        <w:pStyle w:val="Heading2"/>
        <w:tabs>
          <w:tab w:val="left" w:pos="900"/>
        </w:tabs>
        <w:ind w:right="-180"/>
      </w:pPr>
      <w:r>
        <w:rPr>
          <w:noProof/>
        </w:rPr>
        <mc:AlternateContent>
          <mc:Choice Requires="wps">
            <w:drawing>
              <wp:anchor distT="0" distB="0" distL="114300" distR="114300" simplePos="0" relativeHeight="251657216" behindDoc="0" locked="0" layoutInCell="0" allowOverlap="1" wp14:anchorId="634EE3D3" wp14:editId="648707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35C64">
        <w:t xml:space="preserve"> </w:t>
      </w:r>
      <w:r w:rsidR="0064010A" w:rsidRPr="0064010A">
        <w:t xml:space="preserve">Cognitive Research for Proposed </w:t>
      </w:r>
      <w:r w:rsidR="00110AC4">
        <w:t>Modifications</w:t>
      </w:r>
      <w:r w:rsidR="00E112D4">
        <w:t xml:space="preserve"> to</w:t>
      </w:r>
      <w:r w:rsidR="0064010A" w:rsidRPr="0064010A">
        <w:t xml:space="preserve"> the Coal Program </w:t>
      </w:r>
      <w:r w:rsidR="00E112D4">
        <w:t xml:space="preserve">Information Collection </w:t>
      </w:r>
      <w:r w:rsidR="0064010A" w:rsidRPr="0064010A">
        <w:t>Package:  Forms EIA-3, EIA-7A and EIA-8A</w:t>
      </w:r>
    </w:p>
    <w:p w:rsidR="000F1579" w:rsidRPr="000F1579" w:rsidRDefault="000F1579" w:rsidP="00D0035D"/>
    <w:p w:rsidR="008A426F" w:rsidRDefault="008A426F" w:rsidP="008D0D7F"/>
    <w:p w:rsidR="00A15B9F" w:rsidRPr="007E30AE" w:rsidRDefault="00F15956" w:rsidP="00A15B9F">
      <w:r w:rsidRPr="007E6415">
        <w:rPr>
          <w:b/>
        </w:rPr>
        <w:t>PURPOSE:</w:t>
      </w:r>
      <w:r w:rsidR="00C14CC4" w:rsidRPr="007E6415">
        <w:rPr>
          <w:b/>
        </w:rPr>
        <w:t xml:space="preserve"> </w:t>
      </w:r>
      <w:r w:rsidR="0009166E" w:rsidRPr="0009166E">
        <w:t xml:space="preserve">This request is </w:t>
      </w:r>
      <w:r w:rsidR="0009166E">
        <w:t>to</w:t>
      </w:r>
      <w:r w:rsidR="0009166E" w:rsidRPr="0009166E">
        <w:t xml:space="preserve"> conduct</w:t>
      </w:r>
      <w:r w:rsidR="0009166E">
        <w:t xml:space="preserve"> </w:t>
      </w:r>
      <w:r w:rsidR="0009166E" w:rsidRPr="0009166E">
        <w:t xml:space="preserve">cognitive research to assess the ability of EIA </w:t>
      </w:r>
      <w:r w:rsidR="0009166E">
        <w:t xml:space="preserve">survey </w:t>
      </w:r>
      <w:r w:rsidR="0009166E" w:rsidRPr="0009166E">
        <w:t xml:space="preserve">respondents to report </w:t>
      </w:r>
      <w:r w:rsidR="0009166E">
        <w:t>information</w:t>
      </w:r>
      <w:r w:rsidR="0009166E" w:rsidRPr="0009166E">
        <w:t xml:space="preserve"> </w:t>
      </w:r>
      <w:r w:rsidR="0009166E">
        <w:t xml:space="preserve">on coal mining </w:t>
      </w:r>
      <w:r w:rsidR="00110AC4">
        <w:t>activity</w:t>
      </w:r>
      <w:r w:rsidR="0009166E">
        <w:t>.</w:t>
      </w:r>
      <w:r w:rsidR="0009166E" w:rsidRPr="0009166E">
        <w:t xml:space="preserve"> </w:t>
      </w:r>
      <w:r w:rsidR="00C14CC4" w:rsidRPr="0009166E">
        <w:t xml:space="preserve"> </w:t>
      </w:r>
      <w:r w:rsidR="0027131E" w:rsidRPr="0009166E">
        <w:t>Form</w:t>
      </w:r>
      <w:r w:rsidR="00A15B9F" w:rsidRPr="007E30AE">
        <w:rPr>
          <w:iCs/>
        </w:rPr>
        <w:t xml:space="preserve"> EIA-</w:t>
      </w:r>
      <w:r w:rsidR="00110AC4">
        <w:rPr>
          <w:iCs/>
        </w:rPr>
        <w:t>3</w:t>
      </w:r>
      <w:r w:rsidR="00110AC4" w:rsidRPr="007E30AE">
        <w:rPr>
          <w:iCs/>
        </w:rPr>
        <w:t xml:space="preserve"> “</w:t>
      </w:r>
      <w:r w:rsidR="005D581A">
        <w:rPr>
          <w:iCs/>
        </w:rPr>
        <w:t>Quarterly Survey of Non-Electric Sector Coal Data</w:t>
      </w:r>
      <w:r w:rsidR="00A15B9F" w:rsidRPr="007E30AE">
        <w:rPr>
          <w:iCs/>
        </w:rPr>
        <w:t>,</w:t>
      </w:r>
      <w:r w:rsidR="0027131E">
        <w:rPr>
          <w:iCs/>
        </w:rPr>
        <w:t>”</w:t>
      </w:r>
      <w:r w:rsidR="00A15B9F" w:rsidRPr="007E30AE">
        <w:rPr>
          <w:iCs/>
        </w:rPr>
        <w:t xml:space="preserve"> </w:t>
      </w:r>
      <w:r w:rsidR="00C679EE">
        <w:rPr>
          <w:sz w:val="22"/>
          <w:szCs w:val="22"/>
        </w:rPr>
        <w:t xml:space="preserve">is a survey that collects </w:t>
      </w:r>
      <w:r w:rsidR="005D581A">
        <w:rPr>
          <w:sz w:val="22"/>
          <w:szCs w:val="22"/>
        </w:rPr>
        <w:t xml:space="preserve">data on </w:t>
      </w:r>
      <w:r w:rsidR="005D581A">
        <w:t>coal received during the quarter. Details collected on the received coal  include origin, coal rank, type of purchase contract, quantity, transportation mode, quality (i.e., Btu, sulfur, and ash contents), and cost data. Additionally, this survey also collects data on coal transformed during the quarter, data is collected based on transformation type: Gasification, Liquefaction, Refined Coal, Coking Coal. Facilities that consume in excess of 1,000 short tons of anthracite, bituminous, sub-bituminous coal or lignite are required to submit a quarterly survey. Data from the Form EIA-3 appear</w:t>
      </w:r>
      <w:r w:rsidR="00011FD4">
        <w:t>s</w:t>
      </w:r>
      <w:r w:rsidR="005D581A">
        <w:t xml:space="preserve"> in EIA publications, such as the </w:t>
      </w:r>
      <w:r w:rsidR="005D581A">
        <w:rPr>
          <w:rStyle w:val="Emphasis"/>
        </w:rPr>
        <w:t>Quarterly Coal Report</w:t>
      </w:r>
      <w:r w:rsidR="005D581A">
        <w:t xml:space="preserve">, </w:t>
      </w:r>
      <w:r w:rsidR="005D581A">
        <w:rPr>
          <w:rStyle w:val="Emphasis"/>
        </w:rPr>
        <w:t>Monthly Energy Review</w:t>
      </w:r>
      <w:r w:rsidR="005D581A">
        <w:t xml:space="preserve">, </w:t>
      </w:r>
      <w:r w:rsidR="005D581A">
        <w:rPr>
          <w:rStyle w:val="Emphasis"/>
        </w:rPr>
        <w:t>Annual Energy Review</w:t>
      </w:r>
      <w:r w:rsidR="005D581A">
        <w:t xml:space="preserve">, and the </w:t>
      </w:r>
      <w:r w:rsidR="005D581A">
        <w:rPr>
          <w:rStyle w:val="Emphasis"/>
        </w:rPr>
        <w:t>Annual Coal Report</w:t>
      </w:r>
      <w:r w:rsidR="005D581A">
        <w:t>. In addition, the EIA uses the data for coal supply analyses and short-term modeling. </w:t>
      </w:r>
      <w:r w:rsidR="00C679EE">
        <w:rPr>
          <w:i/>
          <w:iCs/>
          <w:sz w:val="22"/>
          <w:szCs w:val="22"/>
        </w:rPr>
        <w:t>.</w:t>
      </w:r>
    </w:p>
    <w:p w:rsidR="00A15B9F" w:rsidRPr="007E30AE" w:rsidRDefault="00A15B9F" w:rsidP="00A15B9F">
      <w:pPr>
        <w:autoSpaceDE w:val="0"/>
        <w:autoSpaceDN w:val="0"/>
        <w:adjustRightInd w:val="0"/>
        <w:rPr>
          <w:iCs/>
        </w:rPr>
      </w:pPr>
    </w:p>
    <w:p w:rsidR="00A15B9F" w:rsidRDefault="00A15B9F" w:rsidP="00A15B9F">
      <w:pPr>
        <w:rPr>
          <w:bCs/>
        </w:rPr>
      </w:pPr>
      <w:r w:rsidRPr="00947DD5">
        <w:rPr>
          <w:bCs/>
        </w:rPr>
        <w:t xml:space="preserve">EIA would like to add the collection of </w:t>
      </w:r>
      <w:r w:rsidR="00947DD5" w:rsidRPr="00947DD5">
        <w:rPr>
          <w:bCs/>
        </w:rPr>
        <w:t>Pulverized Coal Injections (PCI)</w:t>
      </w:r>
      <w:r w:rsidR="0027131E">
        <w:rPr>
          <w:bCs/>
        </w:rPr>
        <w:t xml:space="preserve"> to Form EIA-3 and seeks through this research</w:t>
      </w:r>
      <w:r w:rsidR="00947DD5" w:rsidRPr="00947DD5">
        <w:rPr>
          <w:bCs/>
        </w:rPr>
        <w:t xml:space="preserve"> to better understand how PCI is used by respondents</w:t>
      </w:r>
      <w:r w:rsidRPr="00947DD5">
        <w:rPr>
          <w:bCs/>
        </w:rPr>
        <w:t>. EIA is exploring</w:t>
      </w:r>
      <w:r w:rsidR="00947DD5" w:rsidRPr="00947DD5">
        <w:rPr>
          <w:bCs/>
        </w:rPr>
        <w:t xml:space="preserve"> the collection of delivery cost with purchased coal and whether respondents are able to determine the</w:t>
      </w:r>
      <w:r w:rsidR="00D514E0">
        <w:rPr>
          <w:bCs/>
        </w:rPr>
        <w:t xml:space="preserve"> mine </w:t>
      </w:r>
      <w:r w:rsidR="00947DD5" w:rsidRPr="00947DD5">
        <w:rPr>
          <w:bCs/>
        </w:rPr>
        <w:t xml:space="preserve">origin of the coal </w:t>
      </w:r>
      <w:r w:rsidR="0027131E">
        <w:rPr>
          <w:bCs/>
        </w:rPr>
        <w:t xml:space="preserve">that they </w:t>
      </w:r>
      <w:r w:rsidR="00947DD5" w:rsidRPr="00947DD5">
        <w:rPr>
          <w:bCs/>
        </w:rPr>
        <w:t xml:space="preserve">purchase. </w:t>
      </w:r>
      <w:r w:rsidRPr="00947DD5">
        <w:rPr>
          <w:bCs/>
        </w:rPr>
        <w:t xml:space="preserve"> </w:t>
      </w:r>
    </w:p>
    <w:p w:rsidR="00947DD5" w:rsidRDefault="00947DD5" w:rsidP="00A15B9F">
      <w:pPr>
        <w:rPr>
          <w:bCs/>
        </w:rPr>
      </w:pPr>
    </w:p>
    <w:p w:rsidR="000608BD" w:rsidRPr="007E30AE" w:rsidRDefault="0027131E" w:rsidP="000608BD">
      <w:r>
        <w:rPr>
          <w:iCs/>
        </w:rPr>
        <w:t>Form</w:t>
      </w:r>
      <w:r w:rsidR="000608BD" w:rsidRPr="007E30AE">
        <w:rPr>
          <w:iCs/>
        </w:rPr>
        <w:t xml:space="preserve"> EIA-</w:t>
      </w:r>
      <w:r w:rsidR="000608BD">
        <w:rPr>
          <w:iCs/>
        </w:rPr>
        <w:t>7A</w:t>
      </w:r>
      <w:r w:rsidR="000608BD" w:rsidRPr="007E30AE">
        <w:rPr>
          <w:iCs/>
        </w:rPr>
        <w:t xml:space="preserve">, </w:t>
      </w:r>
      <w:r w:rsidR="00F173C7">
        <w:rPr>
          <w:iCs/>
        </w:rPr>
        <w:t>“</w:t>
      </w:r>
      <w:r w:rsidR="000608BD">
        <w:rPr>
          <w:iCs/>
        </w:rPr>
        <w:t xml:space="preserve">Annual Survey of Coal Production and Preparation </w:t>
      </w:r>
      <w:r w:rsidR="000608BD" w:rsidRPr="007E30AE">
        <w:rPr>
          <w:iCs/>
        </w:rPr>
        <w:t>Report,</w:t>
      </w:r>
      <w:r w:rsidR="0009166E">
        <w:rPr>
          <w:iCs/>
        </w:rPr>
        <w:t>”</w:t>
      </w:r>
      <w:r w:rsidR="000608BD" w:rsidRPr="007E30AE">
        <w:rPr>
          <w:iCs/>
        </w:rPr>
        <w:t xml:space="preserve"> </w:t>
      </w:r>
      <w:r w:rsidR="000608BD">
        <w:rPr>
          <w:sz w:val="22"/>
          <w:szCs w:val="22"/>
        </w:rPr>
        <w:t xml:space="preserve">collects production </w:t>
      </w:r>
      <w:r w:rsidR="0009166E">
        <w:rPr>
          <w:sz w:val="22"/>
          <w:szCs w:val="22"/>
        </w:rPr>
        <w:t xml:space="preserve">and sales </w:t>
      </w:r>
      <w:r w:rsidR="000608BD">
        <w:rPr>
          <w:sz w:val="22"/>
          <w:szCs w:val="22"/>
        </w:rPr>
        <w:t>data</w:t>
      </w:r>
      <w:r w:rsidR="0009166E">
        <w:rPr>
          <w:sz w:val="22"/>
          <w:szCs w:val="22"/>
        </w:rPr>
        <w:t>, and coal characteristic information</w:t>
      </w:r>
      <w:r w:rsidR="000608BD">
        <w:rPr>
          <w:sz w:val="22"/>
          <w:szCs w:val="22"/>
        </w:rPr>
        <w:t xml:space="preserve"> from U.S. coal mining companies. It includes information on the type and status of coal operations, characteristics of coalbeds mined, recoverable reserves, productive capacity and the disposition of coal. These items data are used in many the following EIA publications; </w:t>
      </w:r>
      <w:r w:rsidR="000608BD">
        <w:rPr>
          <w:i/>
          <w:iCs/>
          <w:sz w:val="22"/>
          <w:szCs w:val="22"/>
        </w:rPr>
        <w:t xml:space="preserve">Annual Coal Report, Quarterly Coal Report, Monthly Energy Review, Annual Energy Review, Short-Term Energy Outlook, </w:t>
      </w:r>
      <w:r w:rsidR="000608BD">
        <w:rPr>
          <w:sz w:val="22"/>
          <w:szCs w:val="22"/>
        </w:rPr>
        <w:t xml:space="preserve">and </w:t>
      </w:r>
      <w:r w:rsidR="000608BD">
        <w:rPr>
          <w:i/>
          <w:iCs/>
          <w:sz w:val="22"/>
          <w:szCs w:val="22"/>
        </w:rPr>
        <w:t>Annual Energy Outlook.</w:t>
      </w:r>
    </w:p>
    <w:p w:rsidR="000608BD" w:rsidRPr="007E30AE" w:rsidRDefault="000608BD" w:rsidP="000608BD">
      <w:pPr>
        <w:autoSpaceDE w:val="0"/>
        <w:autoSpaceDN w:val="0"/>
        <w:adjustRightInd w:val="0"/>
        <w:rPr>
          <w:iCs/>
        </w:rPr>
      </w:pPr>
    </w:p>
    <w:p w:rsidR="000608BD" w:rsidRDefault="000608BD" w:rsidP="000608BD">
      <w:pPr>
        <w:rPr>
          <w:bCs/>
        </w:rPr>
      </w:pPr>
      <w:r w:rsidRPr="006D5B3F">
        <w:rPr>
          <w:bCs/>
        </w:rPr>
        <w:t xml:space="preserve">EIA would like to determine whether or not respondents are able to separate and report coal sold both affiliated and non-affiliated coal brokers. EIA is also exploring the collection of coal broker information to better understand the role </w:t>
      </w:r>
      <w:r w:rsidR="0027131E">
        <w:rPr>
          <w:bCs/>
        </w:rPr>
        <w:t xml:space="preserve">that </w:t>
      </w:r>
      <w:r w:rsidRPr="006D5B3F">
        <w:rPr>
          <w:bCs/>
        </w:rPr>
        <w:t xml:space="preserve">brokers’ play </w:t>
      </w:r>
      <w:r w:rsidR="00F173C7">
        <w:rPr>
          <w:bCs/>
        </w:rPr>
        <w:t>in the wholesale coal market</w:t>
      </w:r>
      <w:r w:rsidRPr="006D5B3F">
        <w:rPr>
          <w:bCs/>
        </w:rPr>
        <w:t>.</w:t>
      </w:r>
      <w:r w:rsidR="0027131E">
        <w:rPr>
          <w:bCs/>
        </w:rPr>
        <w:t xml:space="preserve">  EIA also seeks to research some possible causes of misreporting and measurement error by asking respondents how they interpret terms and questions on the form that relate to open and captive market sales, mining method used at a mine, and what assumptions they use to calculate capacity.</w:t>
      </w:r>
    </w:p>
    <w:p w:rsidR="000608BD" w:rsidRDefault="000608BD" w:rsidP="000608BD">
      <w:pPr>
        <w:rPr>
          <w:bCs/>
        </w:rPr>
      </w:pPr>
      <w:r w:rsidRPr="006D5B3F">
        <w:rPr>
          <w:bCs/>
        </w:rPr>
        <w:t xml:space="preserve"> </w:t>
      </w:r>
    </w:p>
    <w:p w:rsidR="000608BD" w:rsidRPr="007E30AE" w:rsidRDefault="0027131E" w:rsidP="000608BD">
      <w:r>
        <w:rPr>
          <w:iCs/>
        </w:rPr>
        <w:t>Form</w:t>
      </w:r>
      <w:r w:rsidR="000608BD" w:rsidRPr="007E30AE">
        <w:rPr>
          <w:iCs/>
        </w:rPr>
        <w:t xml:space="preserve"> EIA-</w:t>
      </w:r>
      <w:r w:rsidR="000608BD">
        <w:rPr>
          <w:iCs/>
        </w:rPr>
        <w:t>8A</w:t>
      </w:r>
      <w:r>
        <w:rPr>
          <w:iCs/>
        </w:rPr>
        <w:t>,</w:t>
      </w:r>
      <w:r w:rsidR="000608BD" w:rsidRPr="007E30AE">
        <w:rPr>
          <w:iCs/>
        </w:rPr>
        <w:t xml:space="preserve"> </w:t>
      </w:r>
      <w:r w:rsidR="00F173C7">
        <w:rPr>
          <w:iCs/>
        </w:rPr>
        <w:t>“</w:t>
      </w:r>
      <w:r w:rsidR="000608BD">
        <w:rPr>
          <w:iCs/>
        </w:rPr>
        <w:t xml:space="preserve">Annual Survey of Coal Stocks and Coal Export </w:t>
      </w:r>
      <w:r w:rsidR="000608BD" w:rsidRPr="007E30AE">
        <w:rPr>
          <w:iCs/>
        </w:rPr>
        <w:t>Report,</w:t>
      </w:r>
      <w:r>
        <w:rPr>
          <w:iCs/>
        </w:rPr>
        <w:t>”</w:t>
      </w:r>
      <w:r w:rsidR="000608BD" w:rsidRPr="007E30AE">
        <w:rPr>
          <w:iCs/>
        </w:rPr>
        <w:t xml:space="preserve"> </w:t>
      </w:r>
      <w:r w:rsidR="000608BD">
        <w:rPr>
          <w:sz w:val="22"/>
          <w:szCs w:val="22"/>
        </w:rPr>
        <w:t xml:space="preserve">collects </w:t>
      </w:r>
      <w:r w:rsidR="000608BD">
        <w:t>coal stocks data for publications, analyses, and statistical reports used by public and private analysts. Data collected include coal stocks by state location, exported coal by origin state, and export revenue of coal sold during the reporting year</w:t>
      </w:r>
      <w:r w:rsidR="000608BD">
        <w:rPr>
          <w:sz w:val="22"/>
          <w:szCs w:val="22"/>
        </w:rPr>
        <w:t xml:space="preserve"> These items data are used in many the following EIA publications; </w:t>
      </w:r>
      <w:r w:rsidR="000608BD">
        <w:rPr>
          <w:i/>
          <w:iCs/>
          <w:sz w:val="22"/>
          <w:szCs w:val="22"/>
        </w:rPr>
        <w:t xml:space="preserve">Annual Coal Report, Quarterly Coal Report, Monthly Energy Review, Annual Energy Review, Short-Term Energy Outlook, </w:t>
      </w:r>
      <w:r w:rsidR="000608BD">
        <w:rPr>
          <w:sz w:val="22"/>
          <w:szCs w:val="22"/>
        </w:rPr>
        <w:t xml:space="preserve">and </w:t>
      </w:r>
      <w:r w:rsidR="000608BD">
        <w:rPr>
          <w:i/>
          <w:iCs/>
          <w:sz w:val="22"/>
          <w:szCs w:val="22"/>
        </w:rPr>
        <w:t>Annual Energy Outlook.</w:t>
      </w:r>
    </w:p>
    <w:p w:rsidR="000608BD" w:rsidRPr="007E30AE" w:rsidRDefault="000608BD" w:rsidP="000608BD">
      <w:pPr>
        <w:autoSpaceDE w:val="0"/>
        <w:autoSpaceDN w:val="0"/>
        <w:adjustRightInd w:val="0"/>
        <w:rPr>
          <w:iCs/>
        </w:rPr>
      </w:pPr>
    </w:p>
    <w:p w:rsidR="000608BD" w:rsidRDefault="000608BD" w:rsidP="000608BD">
      <w:pPr>
        <w:rPr>
          <w:bCs/>
        </w:rPr>
      </w:pPr>
      <w:r w:rsidRPr="007B2D3E">
        <w:rPr>
          <w:bCs/>
        </w:rPr>
        <w:lastRenderedPageBreak/>
        <w:t>EIA</w:t>
      </w:r>
      <w:r>
        <w:rPr>
          <w:bCs/>
        </w:rPr>
        <w:t xml:space="preserve"> is considering</w:t>
      </w:r>
      <w:r w:rsidRPr="007B2D3E">
        <w:rPr>
          <w:bCs/>
        </w:rPr>
        <w:t xml:space="preserve"> add</w:t>
      </w:r>
      <w:r>
        <w:rPr>
          <w:bCs/>
        </w:rPr>
        <w:t>ing</w:t>
      </w:r>
      <w:r w:rsidRPr="007B2D3E">
        <w:rPr>
          <w:bCs/>
        </w:rPr>
        <w:t xml:space="preserve"> the collection of broker affiliate information. Additionally, EIA is exploring the </w:t>
      </w:r>
      <w:r>
        <w:rPr>
          <w:bCs/>
        </w:rPr>
        <w:t xml:space="preserve">potential to </w:t>
      </w:r>
      <w:r w:rsidRPr="007B2D3E">
        <w:rPr>
          <w:bCs/>
        </w:rPr>
        <w:t>collect more detailed information regarding coal exports, specifically the port of export, destination count</w:t>
      </w:r>
      <w:r>
        <w:rPr>
          <w:bCs/>
        </w:rPr>
        <w:t>r</w:t>
      </w:r>
      <w:r w:rsidRPr="007B2D3E">
        <w:rPr>
          <w:bCs/>
        </w:rPr>
        <w:t xml:space="preserve">y, and mode of transportation to the port of export.  </w:t>
      </w:r>
    </w:p>
    <w:p w:rsidR="000608BD" w:rsidRDefault="000608BD" w:rsidP="00A15B9F">
      <w:pPr>
        <w:rPr>
          <w:bCs/>
        </w:rPr>
      </w:pPr>
    </w:p>
    <w:p w:rsidR="00997519" w:rsidRDefault="00A15B9F" w:rsidP="00A15B9F">
      <w:pPr>
        <w:rPr>
          <w:bCs/>
        </w:rPr>
      </w:pPr>
      <w:r w:rsidRPr="007E30AE">
        <w:rPr>
          <w:bCs/>
        </w:rPr>
        <w:t xml:space="preserve">In order to </w:t>
      </w:r>
      <w:r w:rsidR="0027131E">
        <w:rPr>
          <w:bCs/>
        </w:rPr>
        <w:t xml:space="preserve">assess the industry’s ability to report on additional data elements and to </w:t>
      </w:r>
      <w:r w:rsidRPr="007E30AE">
        <w:rPr>
          <w:bCs/>
        </w:rPr>
        <w:t>under</w:t>
      </w:r>
      <w:r w:rsidR="00AE051E">
        <w:rPr>
          <w:bCs/>
        </w:rPr>
        <w:t xml:space="preserve">stand both the current and potential measurement </w:t>
      </w:r>
      <w:r w:rsidRPr="007E30AE">
        <w:rPr>
          <w:bCs/>
        </w:rPr>
        <w:t>error</w:t>
      </w:r>
      <w:r w:rsidR="00AE051E">
        <w:rPr>
          <w:bCs/>
        </w:rPr>
        <w:t xml:space="preserve"> issues </w:t>
      </w:r>
      <w:r w:rsidR="00F50392">
        <w:rPr>
          <w:bCs/>
        </w:rPr>
        <w:t>with these</w:t>
      </w:r>
      <w:r w:rsidR="00AE051E">
        <w:rPr>
          <w:bCs/>
        </w:rPr>
        <w:t xml:space="preserve"> survey</w:t>
      </w:r>
      <w:r w:rsidR="000608BD">
        <w:rPr>
          <w:bCs/>
        </w:rPr>
        <w:t>s</w:t>
      </w:r>
      <w:r w:rsidR="00AE051E">
        <w:rPr>
          <w:bCs/>
        </w:rPr>
        <w:t xml:space="preserve">, </w:t>
      </w:r>
      <w:r w:rsidR="00AE051E" w:rsidRPr="007E30AE">
        <w:rPr>
          <w:bCs/>
        </w:rPr>
        <w:t>EIA’s</w:t>
      </w:r>
      <w:r w:rsidRPr="007E30AE">
        <w:rPr>
          <w:bCs/>
        </w:rPr>
        <w:t xml:space="preserve"> survey methodologists would like to conduct cognitive interviews with </w:t>
      </w:r>
      <w:r w:rsidR="00F50392" w:rsidRPr="007E30AE">
        <w:rPr>
          <w:bCs/>
        </w:rPr>
        <w:t>existing respondents</w:t>
      </w:r>
      <w:r w:rsidR="000608BD">
        <w:rPr>
          <w:bCs/>
        </w:rPr>
        <w:t xml:space="preserve"> for each survey</w:t>
      </w:r>
      <w:r w:rsidRPr="007E30AE">
        <w:rPr>
          <w:bCs/>
        </w:rPr>
        <w:t xml:space="preserve">. </w:t>
      </w:r>
      <w:r w:rsidR="00997519">
        <w:rPr>
          <w:bCs/>
        </w:rPr>
        <w:t xml:space="preserve"> EIA requests approval to conduct these interviews un</w:t>
      </w:r>
      <w:r w:rsidR="00997519">
        <w:t>der</w:t>
      </w:r>
      <w:r w:rsidR="000F1579">
        <w:t xml:space="preserve"> the Generic Clearance ICR EIA-882T</w:t>
      </w:r>
      <w:r w:rsidR="00997519">
        <w:t>.</w:t>
      </w:r>
    </w:p>
    <w:p w:rsidR="00A15B9F" w:rsidRDefault="00A15B9F" w:rsidP="00A15B9F">
      <w:pPr>
        <w:rPr>
          <w:bCs/>
        </w:rPr>
      </w:pPr>
    </w:p>
    <w:p w:rsidR="00A15B9F" w:rsidRDefault="00A15B9F" w:rsidP="00A15B9F">
      <w:pPr>
        <w:rPr>
          <w:bCs/>
        </w:rPr>
      </w:pPr>
      <w:r w:rsidRPr="007E30AE">
        <w:rPr>
          <w:bCs/>
        </w:rPr>
        <w:t xml:space="preserve">The purpose of these </w:t>
      </w:r>
      <w:r w:rsidR="0027131E">
        <w:rPr>
          <w:bCs/>
        </w:rPr>
        <w:t xml:space="preserve">interviews and/or </w:t>
      </w:r>
      <w:r w:rsidRPr="007E30AE">
        <w:rPr>
          <w:bCs/>
        </w:rPr>
        <w:t>visits will be</w:t>
      </w:r>
      <w:r w:rsidR="0027131E">
        <w:rPr>
          <w:bCs/>
        </w:rPr>
        <w:t xml:space="preserve"> to</w:t>
      </w:r>
      <w:r w:rsidRPr="007E30AE">
        <w:rPr>
          <w:bCs/>
        </w:rPr>
        <w:t>:</w:t>
      </w:r>
    </w:p>
    <w:p w:rsidR="002E6E8E" w:rsidRPr="007E30AE" w:rsidRDefault="002E6E8E" w:rsidP="00A15B9F">
      <w:pPr>
        <w:rPr>
          <w:bCs/>
        </w:rPr>
      </w:pPr>
    </w:p>
    <w:p w:rsidR="00A15B9F" w:rsidRPr="00947DD5" w:rsidRDefault="00947DD5" w:rsidP="00A15B9F">
      <w:pPr>
        <w:pStyle w:val="ListParagraph"/>
        <w:numPr>
          <w:ilvl w:val="0"/>
          <w:numId w:val="21"/>
        </w:numPr>
        <w:contextualSpacing w:val="0"/>
      </w:pPr>
      <w:r w:rsidRPr="00947DD5">
        <w:t>understand how respondents use Pulverized Coal Injections (PCI)</w:t>
      </w:r>
      <w:r w:rsidR="00A15B9F" w:rsidRPr="00947DD5">
        <w:t>;</w:t>
      </w:r>
    </w:p>
    <w:p w:rsidR="00A15B9F" w:rsidRPr="00947DD5" w:rsidRDefault="00A15B9F" w:rsidP="00A15B9F">
      <w:pPr>
        <w:pStyle w:val="ListParagraph"/>
        <w:numPr>
          <w:ilvl w:val="0"/>
          <w:numId w:val="21"/>
        </w:numPr>
        <w:contextualSpacing w:val="0"/>
      </w:pPr>
      <w:r w:rsidRPr="00947DD5">
        <w:t xml:space="preserve">understand </w:t>
      </w:r>
      <w:r w:rsidR="00FA2D1E" w:rsidRPr="00947DD5">
        <w:t xml:space="preserve">how respondents </w:t>
      </w:r>
      <w:r w:rsidR="00947DD5" w:rsidRPr="00947DD5">
        <w:t xml:space="preserve">calculate their total cost of coal and </w:t>
      </w:r>
      <w:r w:rsidR="00BB46EA">
        <w:t xml:space="preserve">their </w:t>
      </w:r>
      <w:r w:rsidR="00947DD5" w:rsidRPr="00947DD5">
        <w:t>cost of delivery</w:t>
      </w:r>
      <w:r w:rsidRPr="00947DD5">
        <w:t xml:space="preserve">; </w:t>
      </w:r>
    </w:p>
    <w:p w:rsidR="00A15B9F" w:rsidRDefault="00FA2D1E" w:rsidP="00A15B9F">
      <w:pPr>
        <w:pStyle w:val="ListParagraph"/>
        <w:numPr>
          <w:ilvl w:val="0"/>
          <w:numId w:val="21"/>
        </w:numPr>
        <w:contextualSpacing w:val="0"/>
      </w:pPr>
      <w:r w:rsidRPr="00947DD5">
        <w:t xml:space="preserve">gather more information on </w:t>
      </w:r>
      <w:r w:rsidR="00FB2AE0" w:rsidRPr="00947DD5">
        <w:t xml:space="preserve">whether or not respondents </w:t>
      </w:r>
      <w:r w:rsidR="00947DD5" w:rsidRPr="00947DD5">
        <w:t xml:space="preserve">are </w:t>
      </w:r>
      <w:r w:rsidR="00BB46EA">
        <w:t xml:space="preserve">able </w:t>
      </w:r>
      <w:r w:rsidR="00947DD5" w:rsidRPr="00947DD5">
        <w:t>to report the origin of coal received</w:t>
      </w:r>
      <w:r w:rsidR="000608BD">
        <w:t>;</w:t>
      </w:r>
      <w:r w:rsidR="00D514E0">
        <w:t xml:space="preserve"> </w:t>
      </w:r>
    </w:p>
    <w:p w:rsidR="000608BD" w:rsidRPr="006D5B3F" w:rsidRDefault="000608BD" w:rsidP="000608BD">
      <w:pPr>
        <w:pStyle w:val="ListParagraph"/>
        <w:numPr>
          <w:ilvl w:val="0"/>
          <w:numId w:val="21"/>
        </w:numPr>
        <w:contextualSpacing w:val="0"/>
      </w:pPr>
      <w:r w:rsidRPr="006D5B3F">
        <w:t xml:space="preserve">assess if respondents are able to distinguish between </w:t>
      </w:r>
      <w:r>
        <w:t>open market and captive market</w:t>
      </w:r>
      <w:r w:rsidRPr="006D5B3F">
        <w:t xml:space="preserve"> sales categories;</w:t>
      </w:r>
    </w:p>
    <w:p w:rsidR="000608BD" w:rsidRPr="006D5B3F" w:rsidRDefault="000608BD" w:rsidP="000608BD">
      <w:pPr>
        <w:pStyle w:val="ListParagraph"/>
        <w:numPr>
          <w:ilvl w:val="0"/>
          <w:numId w:val="21"/>
        </w:numPr>
        <w:contextualSpacing w:val="0"/>
      </w:pPr>
      <w:r w:rsidRPr="006D5B3F">
        <w:t xml:space="preserve">understand how respondents determine and report their maximum annual capacity figures; </w:t>
      </w:r>
    </w:p>
    <w:p w:rsidR="000608BD" w:rsidRPr="006D5B3F" w:rsidRDefault="000608BD" w:rsidP="000608BD">
      <w:pPr>
        <w:pStyle w:val="ListParagraph"/>
        <w:numPr>
          <w:ilvl w:val="0"/>
          <w:numId w:val="21"/>
        </w:numPr>
        <w:contextualSpacing w:val="0"/>
      </w:pPr>
      <w:r w:rsidRPr="006D5B3F">
        <w:t xml:space="preserve">gather more information on the </w:t>
      </w:r>
      <w:r w:rsidR="0027131E">
        <w:t xml:space="preserve">wholesale activity and </w:t>
      </w:r>
      <w:r w:rsidRPr="006D5B3F">
        <w:t xml:space="preserve">role </w:t>
      </w:r>
      <w:r w:rsidR="0027131E">
        <w:t xml:space="preserve">that </w:t>
      </w:r>
      <w:r w:rsidRPr="006D5B3F">
        <w:t xml:space="preserve">brokers play in the coal </w:t>
      </w:r>
      <w:r>
        <w:t xml:space="preserve">export </w:t>
      </w:r>
      <w:r w:rsidRPr="006D5B3F">
        <w:t>market. Specifically, how respondents report their sales with coal brokers and how EIA can best collect data pertaining to coal brokers</w:t>
      </w:r>
      <w:r>
        <w:t xml:space="preserve"> and activity on coal exports;</w:t>
      </w:r>
    </w:p>
    <w:p w:rsidR="000608BD" w:rsidRPr="007B2D3E" w:rsidRDefault="000608BD" w:rsidP="000608BD">
      <w:pPr>
        <w:pStyle w:val="ListParagraph"/>
        <w:numPr>
          <w:ilvl w:val="0"/>
          <w:numId w:val="21"/>
        </w:numPr>
        <w:contextualSpacing w:val="0"/>
      </w:pPr>
      <w:r w:rsidRPr="007B2D3E">
        <w:t xml:space="preserve">assess </w:t>
      </w:r>
      <w:r w:rsidR="0027131E">
        <w:t>the affiliations and relationships of</w:t>
      </w:r>
      <w:r w:rsidR="001F3624">
        <w:t xml:space="preserve"> owners and operators of coal mines and coal brokers and traders and understand these relationships</w:t>
      </w:r>
      <w:r w:rsidRPr="007B2D3E">
        <w:t xml:space="preserve"> throughout the coal industry;</w:t>
      </w:r>
    </w:p>
    <w:p w:rsidR="000608BD" w:rsidRPr="007B2D3E" w:rsidRDefault="000608BD" w:rsidP="000608BD">
      <w:pPr>
        <w:pStyle w:val="ListParagraph"/>
        <w:numPr>
          <w:ilvl w:val="0"/>
          <w:numId w:val="21"/>
        </w:numPr>
        <w:contextualSpacing w:val="0"/>
      </w:pPr>
      <w:r w:rsidRPr="007B2D3E">
        <w:t xml:space="preserve">understand how respondents track coal stocks and report coal stocks in transit; </w:t>
      </w:r>
      <w:r w:rsidR="0053044A">
        <w:t>and</w:t>
      </w:r>
    </w:p>
    <w:p w:rsidR="00AB3334" w:rsidRPr="00947DD5" w:rsidRDefault="000608BD" w:rsidP="001E63AA">
      <w:pPr>
        <w:pStyle w:val="ListParagraph"/>
        <w:numPr>
          <w:ilvl w:val="0"/>
          <w:numId w:val="21"/>
        </w:numPr>
        <w:contextualSpacing w:val="0"/>
      </w:pPr>
      <w:r w:rsidRPr="007B2D3E">
        <w:t>gather more information on whether or not respondents are able to properly report coal export information.</w:t>
      </w:r>
    </w:p>
    <w:p w:rsidR="00AB3334" w:rsidRPr="007E6415" w:rsidRDefault="00AB3334" w:rsidP="00434E33">
      <w:pPr>
        <w:pStyle w:val="Header"/>
        <w:tabs>
          <w:tab w:val="clear" w:pos="4320"/>
          <w:tab w:val="clear" w:pos="8640"/>
        </w:tabs>
        <w:rPr>
          <w:b/>
        </w:rPr>
      </w:pPr>
    </w:p>
    <w:p w:rsidR="00434E33" w:rsidRPr="007E6415" w:rsidRDefault="00434E33" w:rsidP="00434E33">
      <w:pPr>
        <w:pStyle w:val="Header"/>
        <w:tabs>
          <w:tab w:val="clear" w:pos="4320"/>
          <w:tab w:val="clear" w:pos="8640"/>
        </w:tabs>
        <w:rPr>
          <w:i/>
          <w:snapToGrid/>
        </w:rPr>
      </w:pPr>
      <w:r w:rsidRPr="00F173C7">
        <w:rPr>
          <w:b/>
        </w:rPr>
        <w:t>DESCRIPTION OF RESPONDENTS</w:t>
      </w:r>
      <w:r w:rsidRPr="00F173C7">
        <w:t xml:space="preserve">: </w:t>
      </w:r>
      <w:r w:rsidR="00A15B9F" w:rsidRPr="00F173C7">
        <w:rPr>
          <w:bCs/>
        </w:rPr>
        <w:t xml:space="preserve">Current </w:t>
      </w:r>
      <w:r w:rsidR="0022083A" w:rsidRPr="00F173C7">
        <w:rPr>
          <w:bCs/>
        </w:rPr>
        <w:t>EIA</w:t>
      </w:r>
      <w:r w:rsidR="00AB3334" w:rsidRPr="00F173C7">
        <w:rPr>
          <w:bCs/>
        </w:rPr>
        <w:t xml:space="preserve"> </w:t>
      </w:r>
      <w:r w:rsidR="00A15B9F" w:rsidRPr="00F173C7">
        <w:rPr>
          <w:bCs/>
        </w:rPr>
        <w:t>respondent</w:t>
      </w:r>
      <w:r w:rsidR="00C679EE" w:rsidRPr="00F173C7">
        <w:rPr>
          <w:bCs/>
        </w:rPr>
        <w:t>s that are operators of coal mining establishments</w:t>
      </w:r>
      <w:r w:rsidR="00AB3334" w:rsidRPr="00F173C7">
        <w:rPr>
          <w:bCs/>
        </w:rPr>
        <w:t xml:space="preserve">, coal brokers, or </w:t>
      </w:r>
      <w:r w:rsidR="00327963" w:rsidRPr="00F173C7">
        <w:rPr>
          <w:bCs/>
        </w:rPr>
        <w:t>operators of Coke plants</w:t>
      </w:r>
      <w:r w:rsidR="00C679EE" w:rsidRPr="00F173C7">
        <w:rPr>
          <w:bCs/>
        </w:rPr>
        <w:t>.</w:t>
      </w:r>
      <w:r w:rsidR="00C679EE">
        <w:rPr>
          <w:bCs/>
        </w:rPr>
        <w:t xml:space="preserve"> </w:t>
      </w:r>
      <w:r w:rsidR="00A15B9F">
        <w:rPr>
          <w:bCs/>
        </w:rPr>
        <w:t xml:space="preserve"> </w:t>
      </w:r>
    </w:p>
    <w:p w:rsidR="00E26329" w:rsidRPr="007E6415" w:rsidRDefault="00E26329"/>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AD70D5" w:rsidRPr="008A6292">
        <w:rPr>
          <w:bCs/>
          <w:sz w:val="24"/>
        </w:rPr>
        <w:t>X</w:t>
      </w:r>
      <w:r w:rsidRPr="0064010A">
        <w:rPr>
          <w:bCs/>
          <w:sz w:val="24"/>
        </w:rPr>
        <w:t>]</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F8184D" w:rsidRPr="007E6415" w:rsidRDefault="00F8184D" w:rsidP="00F8184D">
      <w:r w:rsidRPr="007E6415">
        <w:t xml:space="preserve">Name: </w:t>
      </w:r>
      <w:r w:rsidR="00E93DC5">
        <w:rPr>
          <w:u w:val="single"/>
        </w:rPr>
        <w:t>Stephen Harvey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Default="009C13B9" w:rsidP="009C13B9">
      <w:r w:rsidRPr="007E6415">
        <w:t>To assist review, please provide answers to the following question</w:t>
      </w:r>
      <w:r w:rsidR="000719C1">
        <w:t>s</w:t>
      </w:r>
      <w:r w:rsidRPr="007E6415">
        <w:t>:</w:t>
      </w:r>
    </w:p>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AD70D5">
        <w:t>X</w:t>
      </w:r>
      <w:r w:rsidR="009239AA" w:rsidRPr="00B40F03">
        <w:t xml:space="preserve">]  No </w:t>
      </w:r>
    </w:p>
    <w:p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AD70D5">
        <w:t>X</w:t>
      </w:r>
      <w:r w:rsidR="00E44672" w:rsidRPr="007E6415">
        <w:t>] No</w:t>
      </w:r>
    </w:p>
    <w:p w:rsidR="00F24CFC" w:rsidRPr="007E6415" w:rsidRDefault="00F24CFC">
      <w:pPr>
        <w:rPr>
          <w:b/>
        </w:rPr>
      </w:pP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AB3334">
        <w:trPr>
          <w:trHeight w:val="274"/>
        </w:trPr>
        <w:tc>
          <w:tcPr>
            <w:tcW w:w="5418" w:type="dxa"/>
          </w:tcPr>
          <w:p w:rsidR="006832D9" w:rsidRPr="00CC1D85" w:rsidRDefault="00E40B50" w:rsidP="00C8488C">
            <w:pPr>
              <w:rPr>
                <w:b/>
                <w:highlight w:val="yellow"/>
              </w:rPr>
            </w:pPr>
            <w:r w:rsidRPr="0064010A">
              <w:rPr>
                <w:b/>
              </w:rPr>
              <w:t>Category of Respondent</w:t>
            </w:r>
            <w:r w:rsidR="00EF2095" w:rsidRPr="0064010A">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003" w:type="dxa"/>
          </w:tcPr>
          <w:p w:rsidR="006832D9" w:rsidRPr="007E6415" w:rsidRDefault="006832D9" w:rsidP="00843796">
            <w:pPr>
              <w:rPr>
                <w:b/>
              </w:rPr>
            </w:pPr>
            <w:r w:rsidRPr="007E6415">
              <w:rPr>
                <w:b/>
              </w:rPr>
              <w:t>Burden</w:t>
            </w:r>
          </w:p>
        </w:tc>
      </w:tr>
      <w:tr w:rsidR="00EF2095" w:rsidRPr="007E6415" w:rsidTr="00AB3334">
        <w:trPr>
          <w:trHeight w:val="274"/>
        </w:trPr>
        <w:tc>
          <w:tcPr>
            <w:tcW w:w="5418" w:type="dxa"/>
          </w:tcPr>
          <w:p w:rsidR="006832D9" w:rsidRPr="00CC1D85" w:rsidRDefault="00AB3334" w:rsidP="00816FC3">
            <w:pPr>
              <w:rPr>
                <w:highlight w:val="yellow"/>
              </w:rPr>
            </w:pPr>
            <w:r>
              <w:t>EIA-3</w:t>
            </w:r>
            <w:r w:rsidR="000608BD">
              <w:t>Respondents</w:t>
            </w:r>
          </w:p>
        </w:tc>
        <w:tc>
          <w:tcPr>
            <w:tcW w:w="1530" w:type="dxa"/>
          </w:tcPr>
          <w:p w:rsidR="006832D9" w:rsidRPr="00600F53" w:rsidRDefault="0071483A" w:rsidP="00A15B9F">
            <w:pPr>
              <w:rPr>
                <w:highlight w:val="yellow"/>
              </w:rPr>
            </w:pPr>
            <w:r w:rsidRPr="0064010A">
              <w:t>12</w:t>
            </w:r>
          </w:p>
        </w:tc>
        <w:tc>
          <w:tcPr>
            <w:tcW w:w="1710" w:type="dxa"/>
          </w:tcPr>
          <w:p w:rsidR="006832D9" w:rsidRPr="007E6415" w:rsidRDefault="0071483A" w:rsidP="00843796">
            <w:r>
              <w:t>1</w:t>
            </w:r>
          </w:p>
        </w:tc>
        <w:tc>
          <w:tcPr>
            <w:tcW w:w="1003" w:type="dxa"/>
          </w:tcPr>
          <w:p w:rsidR="006832D9" w:rsidRPr="007E6415" w:rsidRDefault="0071483A" w:rsidP="00A15B9F">
            <w:r>
              <w:t>12</w:t>
            </w:r>
          </w:p>
        </w:tc>
      </w:tr>
      <w:tr w:rsidR="00EF2095" w:rsidRPr="007E6415" w:rsidTr="00AB3334">
        <w:trPr>
          <w:trHeight w:val="274"/>
        </w:trPr>
        <w:tc>
          <w:tcPr>
            <w:tcW w:w="5418" w:type="dxa"/>
          </w:tcPr>
          <w:p w:rsidR="006832D9" w:rsidRPr="007E6415" w:rsidRDefault="00AB3334" w:rsidP="00843796">
            <w:r>
              <w:t>EIA-7A</w:t>
            </w:r>
            <w:r w:rsidR="000608BD">
              <w:t xml:space="preserve"> Respondents</w:t>
            </w:r>
          </w:p>
        </w:tc>
        <w:tc>
          <w:tcPr>
            <w:tcW w:w="1530" w:type="dxa"/>
          </w:tcPr>
          <w:p w:rsidR="006832D9" w:rsidRPr="007E6415" w:rsidRDefault="00AB3334" w:rsidP="00843796">
            <w:r>
              <w:t>12</w:t>
            </w:r>
          </w:p>
        </w:tc>
        <w:tc>
          <w:tcPr>
            <w:tcW w:w="1710" w:type="dxa"/>
          </w:tcPr>
          <w:p w:rsidR="006832D9" w:rsidRPr="007E6415" w:rsidRDefault="00AB3334" w:rsidP="00843796">
            <w:r>
              <w:t>1</w:t>
            </w:r>
          </w:p>
        </w:tc>
        <w:tc>
          <w:tcPr>
            <w:tcW w:w="1003" w:type="dxa"/>
          </w:tcPr>
          <w:p w:rsidR="006832D9" w:rsidRPr="007E6415" w:rsidRDefault="00AB3334" w:rsidP="00843796">
            <w:r>
              <w:t>12</w:t>
            </w:r>
          </w:p>
        </w:tc>
      </w:tr>
      <w:tr w:rsidR="00EF2095" w:rsidRPr="007E6415" w:rsidTr="00AB3334">
        <w:trPr>
          <w:trHeight w:val="289"/>
        </w:trPr>
        <w:tc>
          <w:tcPr>
            <w:tcW w:w="5418" w:type="dxa"/>
          </w:tcPr>
          <w:p w:rsidR="006832D9" w:rsidRPr="007E6415" w:rsidRDefault="00AB3334" w:rsidP="00843796">
            <w:pPr>
              <w:rPr>
                <w:b/>
              </w:rPr>
            </w:pPr>
            <w:r>
              <w:t>EIA-8A</w:t>
            </w:r>
            <w:r w:rsidR="000608BD">
              <w:t xml:space="preserve"> Respondents</w:t>
            </w:r>
          </w:p>
        </w:tc>
        <w:tc>
          <w:tcPr>
            <w:tcW w:w="1530" w:type="dxa"/>
          </w:tcPr>
          <w:p w:rsidR="006832D9" w:rsidRPr="00AB3334" w:rsidRDefault="00AB3334" w:rsidP="00843796">
            <w:r w:rsidRPr="00AB3334">
              <w:t>12</w:t>
            </w:r>
          </w:p>
        </w:tc>
        <w:tc>
          <w:tcPr>
            <w:tcW w:w="1710" w:type="dxa"/>
          </w:tcPr>
          <w:p w:rsidR="006832D9" w:rsidRPr="007E6415" w:rsidRDefault="00AB3334" w:rsidP="00843796">
            <w:r>
              <w:t>1</w:t>
            </w:r>
          </w:p>
        </w:tc>
        <w:tc>
          <w:tcPr>
            <w:tcW w:w="1003" w:type="dxa"/>
          </w:tcPr>
          <w:p w:rsidR="006832D9" w:rsidRPr="00AB3334" w:rsidRDefault="00AB3334" w:rsidP="00843796">
            <w:r w:rsidRPr="00AB3334">
              <w:t>12</w:t>
            </w:r>
          </w:p>
        </w:tc>
      </w:tr>
      <w:tr w:rsidR="0064010A" w:rsidRPr="007E6415" w:rsidTr="00AB3334">
        <w:trPr>
          <w:trHeight w:val="289"/>
        </w:trPr>
        <w:tc>
          <w:tcPr>
            <w:tcW w:w="5418" w:type="dxa"/>
          </w:tcPr>
          <w:p w:rsidR="0064010A" w:rsidRPr="00AB3334" w:rsidRDefault="00AB3334" w:rsidP="00843796">
            <w:pPr>
              <w:rPr>
                <w:b/>
              </w:rPr>
            </w:pPr>
            <w:r>
              <w:rPr>
                <w:b/>
              </w:rPr>
              <w:t>Totals</w:t>
            </w:r>
          </w:p>
        </w:tc>
        <w:tc>
          <w:tcPr>
            <w:tcW w:w="1530" w:type="dxa"/>
          </w:tcPr>
          <w:p w:rsidR="0064010A" w:rsidRPr="007E6415" w:rsidRDefault="00AB3334" w:rsidP="00843796">
            <w:pPr>
              <w:rPr>
                <w:b/>
              </w:rPr>
            </w:pPr>
            <w:r>
              <w:rPr>
                <w:b/>
              </w:rPr>
              <w:t>36</w:t>
            </w:r>
          </w:p>
        </w:tc>
        <w:tc>
          <w:tcPr>
            <w:tcW w:w="1710" w:type="dxa"/>
          </w:tcPr>
          <w:p w:rsidR="0064010A" w:rsidRPr="00AB3334" w:rsidRDefault="0064010A" w:rsidP="00843796">
            <w:pPr>
              <w:rPr>
                <w:b/>
              </w:rPr>
            </w:pPr>
          </w:p>
        </w:tc>
        <w:tc>
          <w:tcPr>
            <w:tcW w:w="1003" w:type="dxa"/>
          </w:tcPr>
          <w:p w:rsidR="0064010A" w:rsidRPr="007E6415" w:rsidRDefault="00AB3334" w:rsidP="00843796">
            <w:pPr>
              <w:rPr>
                <w:b/>
              </w:rPr>
            </w:pPr>
            <w:r>
              <w:rPr>
                <w:b/>
              </w:rPr>
              <w:t>36</w:t>
            </w:r>
          </w:p>
        </w:tc>
      </w:tr>
    </w:tbl>
    <w:p w:rsidR="00F3170F" w:rsidRPr="007E6415" w:rsidRDefault="00F3170F" w:rsidP="00F3170F"/>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AD70D5">
        <w:t xml:space="preserve"> $</w:t>
      </w:r>
      <w:r w:rsidR="001F3624">
        <w:t>2,590.95</w:t>
      </w:r>
    </w:p>
    <w:p w:rsidR="0092627E" w:rsidRDefault="0092627E"/>
    <w:p w:rsidR="00BA08F2" w:rsidRDefault="00BA08F2" w:rsidP="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375C5D">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rsidR="00222ECB" w:rsidRDefault="00222ECB" w:rsidP="001B0AAA"/>
    <w:p w:rsidR="00375C5D" w:rsidRDefault="00375C5D" w:rsidP="001B0AAA">
      <w:r>
        <w:t>We will recruit respondents to participate in cognitive</w:t>
      </w:r>
      <w:r w:rsidR="00816FC3">
        <w:t xml:space="preserve"> research by contacting companies listed in</w:t>
      </w:r>
      <w:r w:rsidR="00F173C7">
        <w:t xml:space="preserve"> </w:t>
      </w:r>
      <w:r>
        <w:t xml:space="preserve">the current </w:t>
      </w:r>
      <w:r w:rsidR="00816FC3">
        <w:t xml:space="preserve">frame files for Forms EIA-3, 7A, and 8A. </w:t>
      </w:r>
      <w:r w:rsidR="000412F3">
        <w:t>Participation  in this research is voluntary</w:t>
      </w:r>
    </w:p>
    <w:p w:rsidR="00A403BB" w:rsidRPr="007E6415" w:rsidRDefault="00A403BB" w:rsidP="00757E5D">
      <w:pPr>
        <w:pStyle w:val="ListParagraph"/>
        <w:ind w:left="0"/>
      </w:pP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rsidR="001B0AAA" w:rsidRPr="007E6415" w:rsidRDefault="00A403BB" w:rsidP="001B0AAA">
      <w:pPr>
        <w:ind w:left="720"/>
      </w:pPr>
      <w:r w:rsidRPr="007E6415">
        <w:t>[</w:t>
      </w:r>
      <w:r w:rsidR="000412F3">
        <w:t>X</w:t>
      </w:r>
      <w:r w:rsidRPr="007E6415">
        <w:t xml:space="preserve"> ] Telephone</w:t>
      </w:r>
      <w:r w:rsidRPr="007E6415">
        <w:tab/>
      </w:r>
    </w:p>
    <w:p w:rsidR="001B0AAA" w:rsidRPr="007E6415" w:rsidRDefault="00A403BB" w:rsidP="001B0AAA">
      <w:pPr>
        <w:ind w:left="720"/>
      </w:pPr>
      <w:r w:rsidRPr="00AB3334">
        <w:t>[</w:t>
      </w:r>
      <w:r w:rsidR="00375C5D" w:rsidRPr="00AB3334">
        <w:t>X</w:t>
      </w:r>
      <w:r w:rsidRPr="00AB3334">
        <w:t>]</w:t>
      </w:r>
      <w:r w:rsidRPr="007E6415">
        <w:t xml:space="preserve"> In-person</w:t>
      </w:r>
      <w:r w:rsidRPr="007E6415">
        <w:tab/>
      </w:r>
    </w:p>
    <w:p w:rsidR="001B0AAA" w:rsidRPr="007E6415" w:rsidRDefault="00A403BB" w:rsidP="001B0AAA">
      <w:pPr>
        <w:ind w:left="720"/>
      </w:pPr>
      <w:r w:rsidRPr="007E6415">
        <w:t>[ ] Mail</w:t>
      </w:r>
      <w:r w:rsidR="001B0AAA" w:rsidRPr="007E6415">
        <w:t xml:space="preserve"> </w:t>
      </w:r>
    </w:p>
    <w:p w:rsidR="001B0AAA" w:rsidRDefault="00A403BB" w:rsidP="001B0AAA">
      <w:pPr>
        <w:ind w:left="720"/>
      </w:pPr>
      <w:r w:rsidRPr="007E6415">
        <w:t>[ ] Other, Explain</w:t>
      </w:r>
    </w:p>
    <w:p w:rsidR="00AD70D5" w:rsidRPr="007E6415" w:rsidRDefault="00AD70D5" w:rsidP="001B0AAA">
      <w:pPr>
        <w:ind w:left="720"/>
      </w:pPr>
    </w:p>
    <w:p w:rsidR="00F24CFC" w:rsidRPr="007E6415" w:rsidRDefault="00F24CFC" w:rsidP="00F24CFC">
      <w:pPr>
        <w:pStyle w:val="ListParagraph"/>
        <w:numPr>
          <w:ilvl w:val="0"/>
          <w:numId w:val="17"/>
        </w:numPr>
      </w:pPr>
      <w:r w:rsidRPr="007E6415">
        <w:t>Will interviewers or facilitators be used</w:t>
      </w:r>
      <w:r w:rsidRPr="00AB3334">
        <w:t>?  [</w:t>
      </w:r>
      <w:r w:rsidR="00375C5D" w:rsidRPr="00AB3334">
        <w:t>X</w:t>
      </w:r>
      <w:r w:rsidRPr="007E6415">
        <w:t>] Yes [</w:t>
      </w:r>
      <w:r w:rsidR="007E6415" w:rsidRPr="007E6415">
        <w:t xml:space="preserve"> </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D0035D"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A7" w:rsidRDefault="00E03CA7">
      <w:r>
        <w:separator/>
      </w:r>
    </w:p>
  </w:endnote>
  <w:endnote w:type="continuationSeparator" w:id="0">
    <w:p w:rsidR="00E03CA7" w:rsidRDefault="00E0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67D4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A7" w:rsidRDefault="00E03CA7">
      <w:r>
        <w:separator/>
      </w:r>
    </w:p>
  </w:footnote>
  <w:footnote w:type="continuationSeparator" w:id="0">
    <w:p w:rsidR="00E03CA7" w:rsidRDefault="00E03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FD4"/>
    <w:rsid w:val="00023A57"/>
    <w:rsid w:val="000412F3"/>
    <w:rsid w:val="00047A64"/>
    <w:rsid w:val="000552FD"/>
    <w:rsid w:val="000608BD"/>
    <w:rsid w:val="00067329"/>
    <w:rsid w:val="000719C1"/>
    <w:rsid w:val="00072268"/>
    <w:rsid w:val="0009166E"/>
    <w:rsid w:val="00093CB8"/>
    <w:rsid w:val="000B2838"/>
    <w:rsid w:val="000C204B"/>
    <w:rsid w:val="000D44CA"/>
    <w:rsid w:val="000E200B"/>
    <w:rsid w:val="000E6260"/>
    <w:rsid w:val="000F1579"/>
    <w:rsid w:val="000F68BE"/>
    <w:rsid w:val="001023BC"/>
    <w:rsid w:val="00110AC4"/>
    <w:rsid w:val="00111566"/>
    <w:rsid w:val="00134FBA"/>
    <w:rsid w:val="00183B37"/>
    <w:rsid w:val="001927A4"/>
    <w:rsid w:val="00193F31"/>
    <w:rsid w:val="00194AC6"/>
    <w:rsid w:val="001A23B0"/>
    <w:rsid w:val="001A25CC"/>
    <w:rsid w:val="001B0AAA"/>
    <w:rsid w:val="001B31EB"/>
    <w:rsid w:val="001B48DA"/>
    <w:rsid w:val="001B4B27"/>
    <w:rsid w:val="001C0592"/>
    <w:rsid w:val="001C39F7"/>
    <w:rsid w:val="001C6EE3"/>
    <w:rsid w:val="001D12B1"/>
    <w:rsid w:val="001E0609"/>
    <w:rsid w:val="001E1871"/>
    <w:rsid w:val="001E63AA"/>
    <w:rsid w:val="001F3624"/>
    <w:rsid w:val="0020188E"/>
    <w:rsid w:val="00207BF0"/>
    <w:rsid w:val="0022083A"/>
    <w:rsid w:val="002220B7"/>
    <w:rsid w:val="00222ECB"/>
    <w:rsid w:val="0022595F"/>
    <w:rsid w:val="00233180"/>
    <w:rsid w:val="00237B48"/>
    <w:rsid w:val="002444CC"/>
    <w:rsid w:val="0024521E"/>
    <w:rsid w:val="00263C3D"/>
    <w:rsid w:val="0027131E"/>
    <w:rsid w:val="00274D0B"/>
    <w:rsid w:val="00284E72"/>
    <w:rsid w:val="002B052D"/>
    <w:rsid w:val="002B169E"/>
    <w:rsid w:val="002B34CD"/>
    <w:rsid w:val="002B3C95"/>
    <w:rsid w:val="002B5AB0"/>
    <w:rsid w:val="002D0B92"/>
    <w:rsid w:val="002D4305"/>
    <w:rsid w:val="002E1D51"/>
    <w:rsid w:val="002E6E8E"/>
    <w:rsid w:val="00327963"/>
    <w:rsid w:val="0034535E"/>
    <w:rsid w:val="00367D4C"/>
    <w:rsid w:val="00375C5D"/>
    <w:rsid w:val="0038745B"/>
    <w:rsid w:val="003901BC"/>
    <w:rsid w:val="003B0742"/>
    <w:rsid w:val="003C61F7"/>
    <w:rsid w:val="003D0A13"/>
    <w:rsid w:val="003D5BBE"/>
    <w:rsid w:val="003E3C61"/>
    <w:rsid w:val="003F1C5B"/>
    <w:rsid w:val="0042468E"/>
    <w:rsid w:val="00431EFF"/>
    <w:rsid w:val="00434E33"/>
    <w:rsid w:val="00441434"/>
    <w:rsid w:val="00443BB0"/>
    <w:rsid w:val="0045264C"/>
    <w:rsid w:val="00464E77"/>
    <w:rsid w:val="00481628"/>
    <w:rsid w:val="004876EC"/>
    <w:rsid w:val="004D6E14"/>
    <w:rsid w:val="004F6115"/>
    <w:rsid w:val="005009B0"/>
    <w:rsid w:val="0051288C"/>
    <w:rsid w:val="0053044A"/>
    <w:rsid w:val="0055462A"/>
    <w:rsid w:val="00554B7B"/>
    <w:rsid w:val="00561D2C"/>
    <w:rsid w:val="00565210"/>
    <w:rsid w:val="005A1006"/>
    <w:rsid w:val="005D581A"/>
    <w:rsid w:val="005E3F04"/>
    <w:rsid w:val="005E714A"/>
    <w:rsid w:val="005F1172"/>
    <w:rsid w:val="005F693D"/>
    <w:rsid w:val="00600F53"/>
    <w:rsid w:val="00607B05"/>
    <w:rsid w:val="006140A0"/>
    <w:rsid w:val="00621480"/>
    <w:rsid w:val="006342A4"/>
    <w:rsid w:val="00635ABE"/>
    <w:rsid w:val="00635C64"/>
    <w:rsid w:val="00636621"/>
    <w:rsid w:val="0064010A"/>
    <w:rsid w:val="00642B49"/>
    <w:rsid w:val="00654847"/>
    <w:rsid w:val="0066169B"/>
    <w:rsid w:val="006832D9"/>
    <w:rsid w:val="0068509D"/>
    <w:rsid w:val="006935DC"/>
    <w:rsid w:val="0069403B"/>
    <w:rsid w:val="006A18CB"/>
    <w:rsid w:val="006A5E53"/>
    <w:rsid w:val="006B45F9"/>
    <w:rsid w:val="006C3442"/>
    <w:rsid w:val="006E66BF"/>
    <w:rsid w:val="006F209E"/>
    <w:rsid w:val="006F3DDE"/>
    <w:rsid w:val="006F46FD"/>
    <w:rsid w:val="00704678"/>
    <w:rsid w:val="0071483A"/>
    <w:rsid w:val="007177F6"/>
    <w:rsid w:val="007425E7"/>
    <w:rsid w:val="00757E5D"/>
    <w:rsid w:val="007B372D"/>
    <w:rsid w:val="007B6AEF"/>
    <w:rsid w:val="007C52C6"/>
    <w:rsid w:val="007E6415"/>
    <w:rsid w:val="007F7080"/>
    <w:rsid w:val="00802607"/>
    <w:rsid w:val="008101A5"/>
    <w:rsid w:val="0081222D"/>
    <w:rsid w:val="00816FC3"/>
    <w:rsid w:val="00822664"/>
    <w:rsid w:val="008264EF"/>
    <w:rsid w:val="00843796"/>
    <w:rsid w:val="00895229"/>
    <w:rsid w:val="008A426F"/>
    <w:rsid w:val="008A6292"/>
    <w:rsid w:val="008B2EB3"/>
    <w:rsid w:val="008D0D7F"/>
    <w:rsid w:val="008F0203"/>
    <w:rsid w:val="008F50D4"/>
    <w:rsid w:val="009239AA"/>
    <w:rsid w:val="0092627E"/>
    <w:rsid w:val="009331E4"/>
    <w:rsid w:val="00935ADA"/>
    <w:rsid w:val="00946B6C"/>
    <w:rsid w:val="00947DD5"/>
    <w:rsid w:val="00955A71"/>
    <w:rsid w:val="0096108F"/>
    <w:rsid w:val="00997519"/>
    <w:rsid w:val="009C13B9"/>
    <w:rsid w:val="009D01A2"/>
    <w:rsid w:val="009F5308"/>
    <w:rsid w:val="009F5923"/>
    <w:rsid w:val="00A05A73"/>
    <w:rsid w:val="00A15B9F"/>
    <w:rsid w:val="00A33FAC"/>
    <w:rsid w:val="00A34B5D"/>
    <w:rsid w:val="00A403BB"/>
    <w:rsid w:val="00A674DF"/>
    <w:rsid w:val="00A83AA6"/>
    <w:rsid w:val="00A930ED"/>
    <w:rsid w:val="00A934D6"/>
    <w:rsid w:val="00A9485E"/>
    <w:rsid w:val="00AA2E39"/>
    <w:rsid w:val="00AB3334"/>
    <w:rsid w:val="00AD70D5"/>
    <w:rsid w:val="00AE051E"/>
    <w:rsid w:val="00AE1809"/>
    <w:rsid w:val="00B24E80"/>
    <w:rsid w:val="00B40F03"/>
    <w:rsid w:val="00B80D76"/>
    <w:rsid w:val="00B97C28"/>
    <w:rsid w:val="00BA08F2"/>
    <w:rsid w:val="00BA2105"/>
    <w:rsid w:val="00BA415C"/>
    <w:rsid w:val="00BA7E06"/>
    <w:rsid w:val="00BB43B5"/>
    <w:rsid w:val="00BB46EA"/>
    <w:rsid w:val="00BB6219"/>
    <w:rsid w:val="00BD290F"/>
    <w:rsid w:val="00BF3ABB"/>
    <w:rsid w:val="00C14CC4"/>
    <w:rsid w:val="00C24E1E"/>
    <w:rsid w:val="00C33C52"/>
    <w:rsid w:val="00C33EFA"/>
    <w:rsid w:val="00C36CE8"/>
    <w:rsid w:val="00C40D8B"/>
    <w:rsid w:val="00C679EE"/>
    <w:rsid w:val="00C713F3"/>
    <w:rsid w:val="00C8407A"/>
    <w:rsid w:val="00C8488C"/>
    <w:rsid w:val="00C86E91"/>
    <w:rsid w:val="00CA2650"/>
    <w:rsid w:val="00CB1078"/>
    <w:rsid w:val="00CC1D85"/>
    <w:rsid w:val="00CC6FAF"/>
    <w:rsid w:val="00CF6542"/>
    <w:rsid w:val="00D0035D"/>
    <w:rsid w:val="00D24698"/>
    <w:rsid w:val="00D514E0"/>
    <w:rsid w:val="00D55CAA"/>
    <w:rsid w:val="00D6383F"/>
    <w:rsid w:val="00D72CFF"/>
    <w:rsid w:val="00D828DD"/>
    <w:rsid w:val="00DA1354"/>
    <w:rsid w:val="00DB42BA"/>
    <w:rsid w:val="00DB52BC"/>
    <w:rsid w:val="00DB59D0"/>
    <w:rsid w:val="00DC33D3"/>
    <w:rsid w:val="00DE2858"/>
    <w:rsid w:val="00DE602D"/>
    <w:rsid w:val="00DF1D7E"/>
    <w:rsid w:val="00E03CA7"/>
    <w:rsid w:val="00E112D4"/>
    <w:rsid w:val="00E15F08"/>
    <w:rsid w:val="00E26329"/>
    <w:rsid w:val="00E334E3"/>
    <w:rsid w:val="00E40B50"/>
    <w:rsid w:val="00E44672"/>
    <w:rsid w:val="00E46D6A"/>
    <w:rsid w:val="00E50293"/>
    <w:rsid w:val="00E65FFC"/>
    <w:rsid w:val="00E744EA"/>
    <w:rsid w:val="00E75ACD"/>
    <w:rsid w:val="00E80951"/>
    <w:rsid w:val="00E86CC6"/>
    <w:rsid w:val="00E93DC5"/>
    <w:rsid w:val="00EA0A43"/>
    <w:rsid w:val="00EA569E"/>
    <w:rsid w:val="00EB56B3"/>
    <w:rsid w:val="00EC2D4D"/>
    <w:rsid w:val="00EC410A"/>
    <w:rsid w:val="00ED6492"/>
    <w:rsid w:val="00EF2095"/>
    <w:rsid w:val="00F013EB"/>
    <w:rsid w:val="00F06866"/>
    <w:rsid w:val="00F15956"/>
    <w:rsid w:val="00F173C7"/>
    <w:rsid w:val="00F23295"/>
    <w:rsid w:val="00F24CFC"/>
    <w:rsid w:val="00F3170F"/>
    <w:rsid w:val="00F37F1D"/>
    <w:rsid w:val="00F44403"/>
    <w:rsid w:val="00F50392"/>
    <w:rsid w:val="00F56DDC"/>
    <w:rsid w:val="00F57378"/>
    <w:rsid w:val="00F57881"/>
    <w:rsid w:val="00F8184D"/>
    <w:rsid w:val="00F976B0"/>
    <w:rsid w:val="00F977AB"/>
    <w:rsid w:val="00FA2D1E"/>
    <w:rsid w:val="00FA6DE7"/>
    <w:rsid w:val="00FB2AE0"/>
    <w:rsid w:val="00FB7375"/>
    <w:rsid w:val="00FB7526"/>
    <w:rsid w:val="00FC0A8E"/>
    <w:rsid w:val="00FC5E2C"/>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styleId="Emphasis">
    <w:name w:val="Emphasis"/>
    <w:basedOn w:val="DefaultParagraphFont"/>
    <w:uiPriority w:val="20"/>
    <w:qFormat/>
    <w:rsid w:val="005D58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styleId="Emphasis">
    <w:name w:val="Emphasis"/>
    <w:basedOn w:val="DefaultParagraphFont"/>
    <w:uiPriority w:val="20"/>
    <w:qFormat/>
    <w:rsid w:val="005D5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41406">
      <w:bodyDiv w:val="1"/>
      <w:marLeft w:val="0"/>
      <w:marRight w:val="0"/>
      <w:marTop w:val="0"/>
      <w:marBottom w:val="0"/>
      <w:divBdr>
        <w:top w:val="none" w:sz="0" w:space="0" w:color="auto"/>
        <w:left w:val="none" w:sz="0" w:space="0" w:color="auto"/>
        <w:bottom w:val="none" w:sz="0" w:space="0" w:color="auto"/>
        <w:right w:val="none" w:sz="0" w:space="0" w:color="auto"/>
      </w:divBdr>
    </w:div>
    <w:div w:id="1194882499">
      <w:bodyDiv w:val="1"/>
      <w:marLeft w:val="0"/>
      <w:marRight w:val="0"/>
      <w:marTop w:val="0"/>
      <w:marBottom w:val="0"/>
      <w:divBdr>
        <w:top w:val="none" w:sz="0" w:space="0" w:color="auto"/>
        <w:left w:val="none" w:sz="0" w:space="0" w:color="auto"/>
        <w:bottom w:val="none" w:sz="0" w:space="0" w:color="auto"/>
        <w:right w:val="none" w:sz="0" w:space="0" w:color="auto"/>
      </w:divBdr>
    </w:div>
    <w:div w:id="12414516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DAD9F-00DB-4162-8B3F-8C7A532A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9779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Brian Hewitt</cp:lastModifiedBy>
  <cp:revision>2</cp:revision>
  <cp:lastPrinted>2015-12-15T15:19:00Z</cp:lastPrinted>
  <dcterms:created xsi:type="dcterms:W3CDTF">2015-12-16T16:15:00Z</dcterms:created>
  <dcterms:modified xsi:type="dcterms:W3CDTF">2015-12-16T16:15:00Z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