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7D0F" w:rsidRPr="007629F0" w:rsidRDefault="004B7D0F" w:rsidP="004B7D0F">
      <w:pPr>
        <w:jc w:val="center"/>
        <w:rPr>
          <w:b/>
        </w:rPr>
      </w:pPr>
      <w:r>
        <w:rPr>
          <w:b/>
        </w:rPr>
        <w:t>Justification for Nonmaterial/</w:t>
      </w:r>
      <w:proofErr w:type="spellStart"/>
      <w:r>
        <w:rPr>
          <w:b/>
        </w:rPr>
        <w:t>Nonsubstantive</w:t>
      </w:r>
      <w:proofErr w:type="spellEnd"/>
      <w:r>
        <w:rPr>
          <w:b/>
        </w:rPr>
        <w:t xml:space="preserve"> Change</w:t>
      </w:r>
    </w:p>
    <w:p w:rsidR="004B7D0F" w:rsidRDefault="004B7D0F" w:rsidP="004B7D0F"/>
    <w:p w:rsidR="00B664FB" w:rsidRDefault="004B7D0F" w:rsidP="004B7D0F">
      <w:r>
        <w:t xml:space="preserve">The Department is submitting </w:t>
      </w:r>
      <w:r w:rsidRPr="00DF1E03">
        <w:t>a no-material change</w:t>
      </w:r>
      <w:r w:rsidR="006C7BF9">
        <w:t xml:space="preserve"> request</w:t>
      </w:r>
      <w:r w:rsidR="00D766CF">
        <w:t xml:space="preserve"> </w:t>
      </w:r>
      <w:r w:rsidR="00434D78">
        <w:t xml:space="preserve">to OMB </w:t>
      </w:r>
      <w:r w:rsidR="00D766CF">
        <w:t xml:space="preserve">for the ICR, because </w:t>
      </w:r>
      <w:r>
        <w:t xml:space="preserve">the </w:t>
      </w:r>
      <w:r w:rsidR="00D766CF">
        <w:t xml:space="preserve">Department’s </w:t>
      </w:r>
      <w:r>
        <w:t>contractor</w:t>
      </w:r>
      <w:r w:rsidR="00D766CF">
        <w:t xml:space="preserve"> (ICF) has found it more difficult than anticipated to </w:t>
      </w:r>
      <w:r w:rsidR="00134E40">
        <w:t>recruit focus</w:t>
      </w:r>
      <w:r w:rsidR="00D766CF">
        <w:t xml:space="preserve"> group </w:t>
      </w:r>
      <w:r>
        <w:t xml:space="preserve">participants.  </w:t>
      </w:r>
      <w:r w:rsidR="00D766CF">
        <w:t>In designing t</w:t>
      </w:r>
      <w:r>
        <w:t>he original ICR</w:t>
      </w:r>
      <w:r w:rsidR="00D766CF">
        <w:t>, the Department and</w:t>
      </w:r>
      <w:r>
        <w:t xml:space="preserve"> </w:t>
      </w:r>
      <w:r w:rsidR="00D766CF">
        <w:t xml:space="preserve">ICF thought that </w:t>
      </w:r>
      <w:r w:rsidR="00134E40">
        <w:t>providing pension</w:t>
      </w:r>
      <w:r w:rsidR="00D766CF">
        <w:t xml:space="preserve"> plan </w:t>
      </w:r>
      <w:r>
        <w:t>fiduciar</w:t>
      </w:r>
      <w:r w:rsidR="00D766CF">
        <w:t xml:space="preserve">ies with an opportunity to share their experience with the 408(b)(2) regulation would provide sufficient </w:t>
      </w:r>
      <w:r w:rsidR="006C7BF9">
        <w:t xml:space="preserve"> </w:t>
      </w:r>
      <w:r>
        <w:t xml:space="preserve">incentive </w:t>
      </w:r>
      <w:r w:rsidR="006C7BF9">
        <w:t xml:space="preserve">for </w:t>
      </w:r>
      <w:r>
        <w:t>them to participate.</w:t>
      </w:r>
      <w:r w:rsidR="00D766CF">
        <w:t xml:space="preserve"> That, however</w:t>
      </w:r>
      <w:r w:rsidR="000C5D5F">
        <w:t>,</w:t>
      </w:r>
      <w:r w:rsidR="00D766CF">
        <w:t xml:space="preserve"> has not been the case.  As a result, </w:t>
      </w:r>
      <w:r w:rsidR="00134E40">
        <w:t>the Department</w:t>
      </w:r>
      <w:r>
        <w:t xml:space="preserve"> </w:t>
      </w:r>
      <w:r w:rsidR="00D766CF">
        <w:t xml:space="preserve">and ICF have </w:t>
      </w:r>
      <w:r w:rsidR="00134E40">
        <w:t>explored ways</w:t>
      </w:r>
      <w:r>
        <w:t xml:space="preserve"> to increase </w:t>
      </w:r>
      <w:r w:rsidR="00D766CF">
        <w:t xml:space="preserve">focus group </w:t>
      </w:r>
      <w:r>
        <w:t>participatio</w:t>
      </w:r>
      <w:r w:rsidR="00D766CF">
        <w:t xml:space="preserve">n and have concluded </w:t>
      </w:r>
      <w:r w:rsidR="00134E40">
        <w:t>that offering</w:t>
      </w:r>
      <w:r>
        <w:t xml:space="preserve"> </w:t>
      </w:r>
      <w:r w:rsidR="00434D78">
        <w:t xml:space="preserve">limited </w:t>
      </w:r>
      <w:r>
        <w:t>cash or gift card</w:t>
      </w:r>
      <w:r w:rsidR="00D766CF">
        <w:t xml:space="preserve"> incentives may be </w:t>
      </w:r>
      <w:r w:rsidR="000C5D5F">
        <w:t xml:space="preserve">an </w:t>
      </w:r>
      <w:r w:rsidR="00D766CF">
        <w:t>effecti</w:t>
      </w:r>
      <w:r w:rsidR="000C5D5F">
        <w:t>ve</w:t>
      </w:r>
      <w:r w:rsidR="00434D78">
        <w:t xml:space="preserve"> recruitment</w:t>
      </w:r>
      <w:r w:rsidR="000C5D5F">
        <w:t xml:space="preserve"> tool</w:t>
      </w:r>
      <w:r w:rsidR="00D766CF">
        <w:t xml:space="preserve">. Therefore, </w:t>
      </w:r>
      <w:r w:rsidR="00134E40">
        <w:t>the Department</w:t>
      </w:r>
      <w:r w:rsidR="006C7BF9">
        <w:t xml:space="preserve"> is </w:t>
      </w:r>
      <w:r w:rsidR="00D766CF">
        <w:t xml:space="preserve">hereby </w:t>
      </w:r>
      <w:r w:rsidR="006C7BF9">
        <w:t>request</w:t>
      </w:r>
      <w:r w:rsidR="00D766CF">
        <w:t xml:space="preserve">ing OMB to approve </w:t>
      </w:r>
      <w:r w:rsidR="00134E40">
        <w:t>providing focus</w:t>
      </w:r>
      <w:r w:rsidR="00D766CF">
        <w:t xml:space="preserve"> group </w:t>
      </w:r>
      <w:r w:rsidR="006C7BF9">
        <w:t xml:space="preserve">participants </w:t>
      </w:r>
      <w:r w:rsidR="00D766CF">
        <w:t xml:space="preserve">with </w:t>
      </w:r>
      <w:r w:rsidR="006C7BF9">
        <w:t>cash or a gift card</w:t>
      </w:r>
      <w:r>
        <w:t xml:space="preserve"> </w:t>
      </w:r>
      <w:r w:rsidR="00434D78">
        <w:t xml:space="preserve">limited </w:t>
      </w:r>
      <w:r>
        <w:t>to a maximum</w:t>
      </w:r>
      <w:r w:rsidR="006C7BF9">
        <w:t xml:space="preserve"> of $45 for </w:t>
      </w:r>
      <w:r w:rsidR="000C5D5F">
        <w:t xml:space="preserve">their </w:t>
      </w:r>
      <w:r w:rsidR="006C7BF9">
        <w:t>participation.</w:t>
      </w:r>
    </w:p>
    <w:p w:rsidR="00422F57" w:rsidRDefault="00422F57" w:rsidP="004B7D0F"/>
    <w:p w:rsidR="00422F57" w:rsidRDefault="00422F57" w:rsidP="004B7D0F">
      <w:r>
        <w:t>Below is an estimate of the cost of offering the incentive.</w:t>
      </w:r>
    </w:p>
    <w:p w:rsidR="00422F57" w:rsidRDefault="00422F57" w:rsidP="004B7D0F"/>
    <w:p w:rsidR="00422F57" w:rsidRDefault="00422F57" w:rsidP="004B7D0F"/>
    <w:tbl>
      <w:tblPr>
        <w:tblW w:w="5500" w:type="dxa"/>
        <w:tblInd w:w="93" w:type="dxa"/>
        <w:tblLook w:val="04A0" w:firstRow="1" w:lastRow="0" w:firstColumn="1" w:lastColumn="0" w:noHBand="0" w:noVBand="1"/>
      </w:tblPr>
      <w:tblGrid>
        <w:gridCol w:w="2017"/>
        <w:gridCol w:w="1317"/>
        <w:gridCol w:w="1228"/>
        <w:gridCol w:w="938"/>
      </w:tblGrid>
      <w:tr w:rsidR="00B74BAA" w:rsidRPr="00422F57" w:rsidTr="00422F57">
        <w:trPr>
          <w:trHeight w:val="1305"/>
        </w:trPr>
        <w:tc>
          <w:tcPr>
            <w:tcW w:w="2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22F57" w:rsidRPr="00422F57" w:rsidRDefault="00422F57" w:rsidP="00422F57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22F57">
              <w:rPr>
                <w:b/>
                <w:bCs/>
                <w:color w:val="000000"/>
                <w:sz w:val="20"/>
                <w:szCs w:val="20"/>
              </w:rPr>
              <w:t>Focus Groups</w:t>
            </w:r>
          </w:p>
        </w:tc>
        <w:tc>
          <w:tcPr>
            <w:tcW w:w="13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22F57" w:rsidRPr="00422F57" w:rsidRDefault="00422F57" w:rsidP="00422F57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22F57">
              <w:rPr>
                <w:b/>
                <w:bCs/>
                <w:color w:val="000000"/>
                <w:sz w:val="20"/>
                <w:szCs w:val="20"/>
              </w:rPr>
              <w:t>Number of Respondents Over 1 Year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22F57" w:rsidRPr="00422F57" w:rsidRDefault="00422F57" w:rsidP="00422F57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22F57">
              <w:rPr>
                <w:b/>
                <w:bCs/>
                <w:color w:val="000000"/>
                <w:sz w:val="20"/>
                <w:szCs w:val="20"/>
              </w:rPr>
              <w:t> </w:t>
            </w:r>
            <w:r w:rsidR="00D35DC7">
              <w:rPr>
                <w:b/>
                <w:bCs/>
                <w:color w:val="000000"/>
                <w:sz w:val="20"/>
                <w:szCs w:val="20"/>
              </w:rPr>
              <w:t>Cost Per Respondent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22F57" w:rsidRPr="00422F57" w:rsidRDefault="00422F57" w:rsidP="00422F57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22F57">
              <w:rPr>
                <w:b/>
                <w:bCs/>
                <w:color w:val="000000"/>
                <w:sz w:val="20"/>
                <w:szCs w:val="20"/>
              </w:rPr>
              <w:t>Total Burden Hours Over 1 Year</w:t>
            </w:r>
          </w:p>
        </w:tc>
      </w:tr>
      <w:tr w:rsidR="00B74BAA" w:rsidRPr="00422F57" w:rsidTr="00422F57">
        <w:trPr>
          <w:trHeight w:val="1035"/>
        </w:trPr>
        <w:tc>
          <w:tcPr>
            <w:tcW w:w="22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2F57" w:rsidRPr="00422F57" w:rsidRDefault="00422F57" w:rsidP="00422F57">
            <w:pPr>
              <w:widowControl/>
              <w:autoSpaceDE/>
              <w:autoSpaceDN/>
              <w:adjustRightInd/>
              <w:rPr>
                <w:color w:val="000000"/>
                <w:sz w:val="20"/>
                <w:szCs w:val="20"/>
              </w:rPr>
            </w:pPr>
            <w:r w:rsidRPr="00422F57">
              <w:rPr>
                <w:b/>
                <w:bCs/>
                <w:color w:val="000000"/>
                <w:sz w:val="20"/>
                <w:szCs w:val="20"/>
              </w:rPr>
              <w:t>Lower range</w:t>
            </w:r>
            <w:r w:rsidR="00B74BAA">
              <w:rPr>
                <w:color w:val="000000"/>
                <w:sz w:val="20"/>
                <w:szCs w:val="20"/>
              </w:rPr>
              <w:t xml:space="preserve"> </w:t>
            </w:r>
            <w:r w:rsidRPr="00422F57">
              <w:rPr>
                <w:color w:val="000000"/>
                <w:sz w:val="20"/>
                <w:szCs w:val="20"/>
              </w:rPr>
              <w:t>(estimated at 70 respondents total for 8 Focus groups)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2F57" w:rsidRPr="00422F57" w:rsidRDefault="00422F57" w:rsidP="00422F57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 w:rsidRPr="00422F57">
              <w:rPr>
                <w:color w:val="000000"/>
                <w:sz w:val="20"/>
                <w:szCs w:val="20"/>
              </w:rPr>
              <w:t>70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2F57" w:rsidRPr="00422F57" w:rsidRDefault="00422F57" w:rsidP="00422F57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 w:rsidRPr="00422F57">
              <w:rPr>
                <w:color w:val="000000"/>
                <w:sz w:val="20"/>
                <w:szCs w:val="20"/>
              </w:rPr>
              <w:t xml:space="preserve">$45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2F57" w:rsidRPr="00422F57" w:rsidRDefault="00422F57" w:rsidP="00422F57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 w:rsidRPr="00422F57">
              <w:rPr>
                <w:color w:val="000000"/>
                <w:sz w:val="20"/>
                <w:szCs w:val="20"/>
              </w:rPr>
              <w:t xml:space="preserve">$3,150 </w:t>
            </w:r>
          </w:p>
        </w:tc>
      </w:tr>
      <w:tr w:rsidR="00B74BAA" w:rsidRPr="00422F57" w:rsidTr="00422F57">
        <w:trPr>
          <w:trHeight w:val="1035"/>
        </w:trPr>
        <w:tc>
          <w:tcPr>
            <w:tcW w:w="2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2F57" w:rsidRPr="00422F57" w:rsidRDefault="00422F57" w:rsidP="00422F57">
            <w:pPr>
              <w:widowControl/>
              <w:autoSpaceDE/>
              <w:autoSpaceDN/>
              <w:adjustRightInd/>
              <w:rPr>
                <w:color w:val="000000"/>
                <w:sz w:val="20"/>
                <w:szCs w:val="20"/>
              </w:rPr>
            </w:pPr>
            <w:r w:rsidRPr="00422F57">
              <w:rPr>
                <w:b/>
                <w:bCs/>
                <w:color w:val="000000"/>
                <w:sz w:val="20"/>
                <w:szCs w:val="20"/>
              </w:rPr>
              <w:t>Upper range</w:t>
            </w:r>
            <w:r w:rsidRPr="00422F57">
              <w:rPr>
                <w:color w:val="000000"/>
                <w:sz w:val="20"/>
                <w:szCs w:val="20"/>
              </w:rPr>
              <w:t xml:space="preserve">  (estimated at 100 respondents total for 8 focus groups)</w:t>
            </w:r>
          </w:p>
        </w:tc>
        <w:tc>
          <w:tcPr>
            <w:tcW w:w="13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2F57" w:rsidRPr="00422F57" w:rsidRDefault="00422F57" w:rsidP="00422F57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 w:rsidRPr="00422F57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2F57" w:rsidRPr="00422F57" w:rsidRDefault="00422F57" w:rsidP="00422F57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 w:rsidRPr="00422F57">
              <w:rPr>
                <w:color w:val="000000"/>
                <w:sz w:val="20"/>
                <w:szCs w:val="20"/>
              </w:rPr>
              <w:t xml:space="preserve">$45 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2F57" w:rsidRPr="00422F57" w:rsidRDefault="00422F57" w:rsidP="00422F57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 w:rsidRPr="00422F57">
              <w:rPr>
                <w:color w:val="000000"/>
                <w:sz w:val="20"/>
                <w:szCs w:val="20"/>
              </w:rPr>
              <w:t xml:space="preserve">$4,500 </w:t>
            </w:r>
          </w:p>
        </w:tc>
      </w:tr>
      <w:tr w:rsidR="00B74BAA" w:rsidRPr="00422F57" w:rsidTr="00422F57">
        <w:trPr>
          <w:trHeight w:val="315"/>
        </w:trPr>
        <w:tc>
          <w:tcPr>
            <w:tcW w:w="2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2F57" w:rsidRPr="00422F57" w:rsidRDefault="00422F57" w:rsidP="00422F57">
            <w:pPr>
              <w:widowControl/>
              <w:autoSpaceDE/>
              <w:autoSpaceDN/>
              <w:adjustRightInd/>
              <w:rPr>
                <w:b/>
                <w:bCs/>
                <w:color w:val="000000"/>
                <w:sz w:val="20"/>
                <w:szCs w:val="20"/>
              </w:rPr>
            </w:pPr>
            <w:r w:rsidRPr="00422F57">
              <w:rPr>
                <w:b/>
                <w:bCs/>
                <w:color w:val="000000"/>
                <w:sz w:val="20"/>
                <w:szCs w:val="20"/>
              </w:rPr>
              <w:t>Midpoint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2F57" w:rsidRPr="00422F57" w:rsidRDefault="00422F57" w:rsidP="00422F57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 w:rsidRPr="00422F57">
              <w:rPr>
                <w:bCs/>
                <w:color w:val="000000"/>
                <w:sz w:val="20"/>
                <w:szCs w:val="20"/>
              </w:rPr>
              <w:t>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2F57" w:rsidRPr="00422F57" w:rsidRDefault="00422F57" w:rsidP="00422F57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 w:rsidRPr="00422F57">
              <w:rPr>
                <w:bCs/>
                <w:color w:val="000000"/>
                <w:sz w:val="20"/>
                <w:szCs w:val="20"/>
              </w:rPr>
              <w:t xml:space="preserve">$45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2F57" w:rsidRPr="00422F57" w:rsidRDefault="00422F57" w:rsidP="00422F57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 w:rsidRPr="00422F57">
              <w:rPr>
                <w:color w:val="000000"/>
                <w:sz w:val="20"/>
                <w:szCs w:val="20"/>
              </w:rPr>
              <w:t xml:space="preserve">$3,825 </w:t>
            </w:r>
          </w:p>
        </w:tc>
        <w:bookmarkStart w:id="0" w:name="_GoBack"/>
        <w:bookmarkEnd w:id="0"/>
      </w:tr>
    </w:tbl>
    <w:p w:rsidR="00422F57" w:rsidRDefault="00422F57" w:rsidP="004B7D0F"/>
    <w:sectPr w:rsidR="00422F57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2185" w:rsidRDefault="005E2185" w:rsidP="006C7BF9">
      <w:r>
        <w:separator/>
      </w:r>
    </w:p>
  </w:endnote>
  <w:endnote w:type="continuationSeparator" w:id="0">
    <w:p w:rsidR="005E2185" w:rsidRDefault="005E2185" w:rsidP="006C7B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2185" w:rsidRDefault="005E2185" w:rsidP="006C7BF9">
      <w:r>
        <w:separator/>
      </w:r>
    </w:p>
  </w:footnote>
  <w:footnote w:type="continuationSeparator" w:id="0">
    <w:p w:rsidR="005E2185" w:rsidRDefault="005E2185" w:rsidP="006C7BF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7BF9" w:rsidRPr="006C7BF9" w:rsidRDefault="006C7BF9" w:rsidP="006C7BF9">
    <w:pPr>
      <w:pStyle w:val="Header"/>
      <w:jc w:val="right"/>
      <w:rPr>
        <w:b/>
        <w:sz w:val="20"/>
        <w:szCs w:val="20"/>
      </w:rPr>
    </w:pPr>
    <w:r w:rsidRPr="006C7BF9">
      <w:rPr>
        <w:b/>
        <w:sz w:val="20"/>
        <w:szCs w:val="20"/>
      </w:rPr>
      <w:t>Evaluating the Effectiveness of the 408(b</w:t>
    </w:r>
    <w:proofErr w:type="gramStart"/>
    <w:r w:rsidRPr="006C7BF9">
      <w:rPr>
        <w:b/>
        <w:sz w:val="20"/>
        <w:szCs w:val="20"/>
      </w:rPr>
      <w:t>)(</w:t>
    </w:r>
    <w:proofErr w:type="gramEnd"/>
    <w:r w:rsidRPr="006C7BF9">
      <w:rPr>
        <w:b/>
        <w:sz w:val="20"/>
        <w:szCs w:val="20"/>
      </w:rPr>
      <w:t>2) Disclosure Requirements Focus Group</w:t>
    </w:r>
  </w:p>
  <w:p w:rsidR="006C7BF9" w:rsidRPr="006C7BF9" w:rsidRDefault="006C7BF9" w:rsidP="006C7BF9">
    <w:pPr>
      <w:pStyle w:val="Header"/>
      <w:ind w:left="720"/>
      <w:jc w:val="right"/>
      <w:rPr>
        <w:rFonts w:eastAsiaTheme="minorHAnsi"/>
        <w:b/>
        <w:sz w:val="20"/>
        <w:szCs w:val="20"/>
      </w:rPr>
    </w:pPr>
    <w:r w:rsidRPr="006C7BF9">
      <w:rPr>
        <w:rFonts w:eastAsiaTheme="minorHAnsi"/>
        <w:b/>
        <w:sz w:val="20"/>
        <w:szCs w:val="20"/>
      </w:rPr>
      <w:t>OMB Control Number 1210-0154</w:t>
    </w:r>
  </w:p>
  <w:p w:rsidR="006C7BF9" w:rsidRPr="006C7BF9" w:rsidRDefault="00134E40" w:rsidP="006C7BF9">
    <w:pPr>
      <w:pStyle w:val="Header"/>
      <w:ind w:left="720"/>
      <w:jc w:val="right"/>
      <w:rPr>
        <w:b/>
      </w:rPr>
    </w:pPr>
    <w:r>
      <w:rPr>
        <w:rFonts w:eastAsiaTheme="minorHAnsi"/>
        <w:b/>
        <w:sz w:val="20"/>
        <w:szCs w:val="20"/>
      </w:rPr>
      <w:t>March</w:t>
    </w:r>
    <w:r w:rsidRPr="006C7BF9">
      <w:rPr>
        <w:rFonts w:eastAsiaTheme="minorHAnsi"/>
        <w:b/>
        <w:sz w:val="20"/>
        <w:szCs w:val="20"/>
      </w:rPr>
      <w:t xml:space="preserve"> </w:t>
    </w:r>
    <w:r w:rsidR="006C7BF9" w:rsidRPr="006C7BF9">
      <w:rPr>
        <w:rFonts w:eastAsiaTheme="minorHAnsi"/>
        <w:b/>
        <w:sz w:val="20"/>
        <w:szCs w:val="20"/>
      </w:rPr>
      <w:t>2015</w:t>
    </w:r>
  </w:p>
  <w:p w:rsidR="006C7BF9" w:rsidRDefault="006C7BF9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7D0F"/>
    <w:rsid w:val="000C5D5F"/>
    <w:rsid w:val="0012178B"/>
    <w:rsid w:val="00134E40"/>
    <w:rsid w:val="001D5ACB"/>
    <w:rsid w:val="00303F91"/>
    <w:rsid w:val="00422F57"/>
    <w:rsid w:val="00434D78"/>
    <w:rsid w:val="004B7D0F"/>
    <w:rsid w:val="005E2185"/>
    <w:rsid w:val="0065071E"/>
    <w:rsid w:val="006C7BF9"/>
    <w:rsid w:val="007E0089"/>
    <w:rsid w:val="00B664FB"/>
    <w:rsid w:val="00B74BAA"/>
    <w:rsid w:val="00D35DC7"/>
    <w:rsid w:val="00D76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7D0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6C7BF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6C7BF9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C7BF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C7BF9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178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178B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7D0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6C7BF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6C7BF9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C7BF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C7BF9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178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178B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36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189</Words>
  <Characters>1082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EBSA</Company>
  <LinksUpToDate>false</LinksUpToDate>
  <CharactersWithSpaces>1269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Butikofer, James - EBSA</dc:creator>
  <cp:lastModifiedBy>Butikofer, James - EBSA</cp:lastModifiedBy>
  <cp:revision>7</cp:revision>
  <dcterms:created xsi:type="dcterms:W3CDTF">2015-03-31T14:52:00Z</dcterms:created>
  <dcterms:modified xsi:type="dcterms:W3CDTF">2015-04-01T17:23:00Z</dcterms:modified>
</cp:coreProperties>
</file>