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FB" w:rsidRPr="00CB57FB" w:rsidRDefault="00CB57FB" w:rsidP="00CB57FB">
      <w:r w:rsidRPr="00CB57FB">
        <w:t>SUPPORTING STATEMENT FOR PAPERWORK REDUCTION ACT 1995 SUBMISSIONS</w:t>
      </w:r>
    </w:p>
    <w:p w:rsidR="001E4138" w:rsidRPr="00CB57FB" w:rsidRDefault="001E4138" w:rsidP="001E4138">
      <w:pPr>
        <w:autoSpaceDE w:val="0"/>
        <w:autoSpaceDN w:val="0"/>
        <w:adjustRightInd w:val="0"/>
      </w:pPr>
    </w:p>
    <w:p w:rsidR="00EB2759" w:rsidRDefault="00EB2759" w:rsidP="00DD5651">
      <w:pPr>
        <w:rPr>
          <w:b/>
          <w:bCs/>
        </w:rPr>
      </w:pPr>
      <w:r w:rsidRPr="00CB57FB">
        <w:rPr>
          <w:b/>
          <w:bCs/>
        </w:rPr>
        <w:t xml:space="preserve">A.        </w:t>
      </w:r>
      <w:r w:rsidR="00CB57FB" w:rsidRPr="00CB57FB">
        <w:rPr>
          <w:b/>
          <w:bCs/>
        </w:rPr>
        <w:t>Justification</w:t>
      </w:r>
    </w:p>
    <w:p w:rsidR="00E527C7" w:rsidRPr="00CB57FB" w:rsidRDefault="00E527C7" w:rsidP="00DD5651"/>
    <w:p w:rsidR="00EB2759" w:rsidRPr="00CB57FB" w:rsidRDefault="00EB2759" w:rsidP="00DD5651">
      <w:pPr>
        <w:rPr>
          <w:bCs/>
          <w:i/>
        </w:rPr>
      </w:pPr>
      <w:r w:rsidRPr="00CB57FB">
        <w:rPr>
          <w:bCs/>
          <w:i/>
        </w:rPr>
        <w:t>1.</w:t>
      </w:r>
      <w:r w:rsidR="000839EE" w:rsidRPr="00CB57FB">
        <w:rPr>
          <w:bCs/>
          <w:i/>
        </w:rPr>
        <w:tab/>
      </w:r>
      <w:r w:rsidRPr="00CB57FB">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6167" w:rsidRPr="00CB57FB" w:rsidRDefault="007E6167" w:rsidP="00DD5651"/>
    <w:p w:rsidR="00F61C4F" w:rsidRPr="00CB57FB" w:rsidRDefault="00F61C4F" w:rsidP="00F61C4F">
      <w:pPr>
        <w:autoSpaceDE w:val="0"/>
        <w:autoSpaceDN w:val="0"/>
        <w:adjustRightInd w:val="0"/>
      </w:pPr>
      <w:r w:rsidRPr="00CB57FB">
        <w:t>The Employee Retirement Income Security Act (ERISA) requires plan fiduciaries, when selecting and monitoring service providers and plan investments, to act prudently and solely in the interest of the plan</w:t>
      </w:r>
      <w:r w:rsidR="0070408A">
        <w:t>’</w:t>
      </w:r>
      <w:r w:rsidRPr="00CB57FB">
        <w:t xml:space="preserve">s participants and beneficiaries. </w:t>
      </w:r>
      <w:r w:rsidR="00675427">
        <w:t xml:space="preserve"> </w:t>
      </w:r>
      <w:r w:rsidRPr="00CB57FB">
        <w:t xml:space="preserve">Responsible plan fiduciaries also must ensure that arrangements with their service providers are </w:t>
      </w:r>
      <w:r w:rsidR="00154666">
        <w:t>“</w:t>
      </w:r>
      <w:r w:rsidRPr="00CB57FB">
        <w:t>reasonable</w:t>
      </w:r>
      <w:r w:rsidR="00154666">
        <w:t>”</w:t>
      </w:r>
      <w:r w:rsidRPr="00CB57FB">
        <w:t xml:space="preserve"> and that only </w:t>
      </w:r>
      <w:r w:rsidR="00154666">
        <w:t>“</w:t>
      </w:r>
      <w:r w:rsidRPr="00CB57FB">
        <w:t>reasonable</w:t>
      </w:r>
      <w:r w:rsidR="00154666">
        <w:t>”</w:t>
      </w:r>
      <w:r w:rsidRPr="00CB57FB">
        <w:t xml:space="preserve"> compensation is paid for services. </w:t>
      </w:r>
      <w:r w:rsidR="00675427">
        <w:t xml:space="preserve"> </w:t>
      </w:r>
      <w:r w:rsidRPr="00CB57FB">
        <w:t>Fundamental to the ability of fiduciaries to discharge these obligations is obtaining information sufficient to enable them to make informed decisions about an employee benefit plan</w:t>
      </w:r>
      <w:r w:rsidR="0070408A">
        <w:t>’</w:t>
      </w:r>
      <w:r w:rsidRPr="00CB57FB">
        <w:t>s services, the costs of such services, and the service providers.</w:t>
      </w:r>
    </w:p>
    <w:p w:rsidR="00F61C4F" w:rsidRPr="00CB57FB" w:rsidRDefault="00F61C4F" w:rsidP="00B9489B">
      <w:pPr>
        <w:autoSpaceDE w:val="0"/>
        <w:autoSpaceDN w:val="0"/>
        <w:adjustRightInd w:val="0"/>
        <w:ind w:firstLine="720"/>
      </w:pPr>
    </w:p>
    <w:p w:rsidR="00F61C4F" w:rsidRPr="00CB57FB" w:rsidRDefault="00F61C4F" w:rsidP="00F61C4F">
      <w:pPr>
        <w:autoSpaceDE w:val="0"/>
        <w:autoSpaceDN w:val="0"/>
        <w:adjustRightInd w:val="0"/>
      </w:pPr>
      <w:r w:rsidRPr="00CB57FB">
        <w:t xml:space="preserve">In February 2012, </w:t>
      </w:r>
      <w:r w:rsidR="00B15C4E" w:rsidRPr="00CB57FB">
        <w:t>Employee Benefits Security Administration (</w:t>
      </w:r>
      <w:r w:rsidR="00B15C4E">
        <w:t>“</w:t>
      </w:r>
      <w:r w:rsidR="00B15C4E" w:rsidRPr="00CB57FB">
        <w:t>EBSA</w:t>
      </w:r>
      <w:r w:rsidR="00B15C4E">
        <w:t>”</w:t>
      </w:r>
      <w:r w:rsidR="00B15C4E" w:rsidRPr="00CB57FB">
        <w:t>)</w:t>
      </w:r>
      <w:r w:rsidRPr="00CB57FB">
        <w:t xml:space="preserve"> issued </w:t>
      </w:r>
      <w:proofErr w:type="gramStart"/>
      <w:r w:rsidRPr="00CB57FB">
        <w:t>the  ERISA</w:t>
      </w:r>
      <w:proofErr w:type="gramEnd"/>
      <w:r w:rsidRPr="00CB57FB">
        <w:t xml:space="preserve"> section 408(b)(2) final regulations, which require covered service providers (</w:t>
      </w:r>
      <w:r w:rsidR="00154666">
        <w:t>“</w:t>
      </w:r>
      <w:r w:rsidRPr="00CB57FB">
        <w:t>CSPs</w:t>
      </w:r>
      <w:r w:rsidR="00154666">
        <w:t>”</w:t>
      </w:r>
      <w:r w:rsidRPr="00CB57FB">
        <w:t>) to ERISA-covered pension plans to provide specified information to assist responsible plan fiduciaries (</w:t>
      </w:r>
      <w:r w:rsidR="00154666">
        <w:t>“</w:t>
      </w:r>
      <w:r w:rsidRPr="00CB57FB">
        <w:t>RPFs</w:t>
      </w:r>
      <w:r w:rsidR="00154666">
        <w:t>”</w:t>
      </w:r>
      <w:r w:rsidRPr="00CB57FB">
        <w:t>)  in assessing the reasonableness of the compensation paid for services and the conflicts of interest that may affect a service provider</w:t>
      </w:r>
      <w:r w:rsidR="0070408A">
        <w:t>’</w:t>
      </w:r>
      <w:r w:rsidRPr="00CB57FB">
        <w:t xml:space="preserve">s performance of services. </w:t>
      </w:r>
      <w:r w:rsidR="00E527C7">
        <w:t xml:space="preserve"> </w:t>
      </w:r>
      <w:r w:rsidRPr="00CB57FB">
        <w:t>In the preamble to the final rule, EBSA encouraged CSPs to provide RPFs, especially those to small- and medium-size plans, with a guide, summary, or similar tool to assist RPFs in identifying all of the disclosures required under the final rule, particularly when service arrangements and related compensation are complex and information is disclosed in multiple documents.  EBSA did not adopt such a guide requirement as part of the final rule but included a sample guide as an appendix to the final rule that can be used on a voluntary basis by CSPs as a model for such a guide</w:t>
      </w:r>
      <w:r w:rsidR="00E527C7" w:rsidRPr="00CB57FB">
        <w:t xml:space="preserve">.  </w:t>
      </w:r>
      <w:r w:rsidRPr="00CB57FB">
        <w:t>In the preamble to the final rule, EBSA stated that it intends to publish a notice of proposed rulemaking in the near future under which CSPs may be required to furnish a guide or similar tool to assist RPFs</w:t>
      </w:r>
      <w:r w:rsidR="0070408A">
        <w:t>’</w:t>
      </w:r>
      <w:r w:rsidRPr="00CB57FB">
        <w:t xml:space="preserve"> review the disclosures</w:t>
      </w:r>
      <w:r w:rsidR="00E527C7" w:rsidRPr="00CB57FB">
        <w:t xml:space="preserve">.  </w:t>
      </w:r>
      <w:r w:rsidRPr="00CB57FB">
        <w:t>EBSA recently published a notice of proposed ruling that would require CSPs to provide RPFs with a guide.</w:t>
      </w:r>
    </w:p>
    <w:p w:rsidR="00F61C4F" w:rsidRPr="00CB57FB" w:rsidRDefault="00F61C4F" w:rsidP="00F61C4F">
      <w:pPr>
        <w:autoSpaceDE w:val="0"/>
        <w:autoSpaceDN w:val="0"/>
        <w:adjustRightInd w:val="0"/>
      </w:pPr>
    </w:p>
    <w:p w:rsidR="00F61C4F" w:rsidRPr="00CB57FB" w:rsidRDefault="00F61C4F" w:rsidP="00F61C4F">
      <w:pPr>
        <w:autoSpaceDE w:val="0"/>
        <w:autoSpaceDN w:val="0"/>
        <w:adjustRightInd w:val="0"/>
      </w:pPr>
      <w:r w:rsidRPr="00CB57FB">
        <w:t>In connection with the issuance of the notice of proposed rulemaking, the Department</w:t>
      </w:r>
      <w:r w:rsidR="0070408A">
        <w:t>’</w:t>
      </w:r>
      <w:r w:rsidRPr="00CB57FB">
        <w:t xml:space="preserve">s </w:t>
      </w:r>
      <w:r w:rsidR="00B15C4E">
        <w:t xml:space="preserve">EBSA </w:t>
      </w:r>
      <w:r w:rsidRPr="00CB57FB">
        <w:t>and the Office of Assistant Secretary for Policy/Chief Evaluation Office (</w:t>
      </w:r>
      <w:r w:rsidR="00154666">
        <w:t>“</w:t>
      </w:r>
      <w:r w:rsidRPr="00CB57FB">
        <w:t>CEO</w:t>
      </w:r>
      <w:r w:rsidR="00154666">
        <w:t>”</w:t>
      </w:r>
      <w:r w:rsidRPr="00CB57FB">
        <w:t xml:space="preserve">) </w:t>
      </w:r>
      <w:r w:rsidR="00F7638C">
        <w:t>seek</w:t>
      </w:r>
      <w:r w:rsidRPr="00CB57FB">
        <w:t xml:space="preserve"> approval from the Office of Management and Budget (OMB) for </w:t>
      </w:r>
      <w:r w:rsidR="0025676E" w:rsidRPr="00CB57FB">
        <w:t xml:space="preserve">an information collection request (ICR) titled </w:t>
      </w:r>
      <w:r w:rsidR="00154666">
        <w:t>“</w:t>
      </w:r>
      <w:r w:rsidRPr="00CB57FB">
        <w:t>Evaluating the Effectiveness of the 408(b)(2) Disclosure Requirements.</w:t>
      </w:r>
      <w:r w:rsidR="00154666">
        <w:t>”</w:t>
      </w:r>
      <w:r w:rsidRPr="00CB57FB">
        <w:t xml:space="preserve">  The </w:t>
      </w:r>
      <w:r w:rsidR="0025676E" w:rsidRPr="00CB57FB">
        <w:t>ICR</w:t>
      </w:r>
      <w:r w:rsidRPr="00CB57FB">
        <w:t xml:space="preserve"> is designed to explore current practices and effects of EBSA</w:t>
      </w:r>
      <w:r w:rsidR="0070408A">
        <w:t>’</w:t>
      </w:r>
      <w:r w:rsidRPr="00CB57FB">
        <w:t>s final 408(b</w:t>
      </w:r>
      <w:proofErr w:type="gramStart"/>
      <w:r w:rsidRPr="00CB57FB">
        <w:t>)(</w:t>
      </w:r>
      <w:proofErr w:type="gramEnd"/>
      <w:r w:rsidRPr="00CB57FB">
        <w:t xml:space="preserve">2) regulation and to gather information about the need for a guide, summary, or </w:t>
      </w:r>
      <w:r w:rsidR="00E527C7" w:rsidRPr="00CB57FB">
        <w:t>similar tool</w:t>
      </w:r>
      <w:r w:rsidRPr="00CB57FB">
        <w:t xml:space="preserve"> to help RPFs navigate through and understand the disclosures.  </w:t>
      </w:r>
    </w:p>
    <w:p w:rsidR="00F61C4F" w:rsidRPr="00CB57FB" w:rsidRDefault="00F61C4F" w:rsidP="00F61C4F">
      <w:pPr>
        <w:autoSpaceDE w:val="0"/>
        <w:autoSpaceDN w:val="0"/>
        <w:adjustRightInd w:val="0"/>
      </w:pPr>
      <w:r w:rsidRPr="00CB57FB">
        <w:tab/>
      </w:r>
    </w:p>
    <w:p w:rsidR="00F61C4F" w:rsidRPr="00CB57FB" w:rsidRDefault="00F61C4F" w:rsidP="00F61C4F">
      <w:pPr>
        <w:autoSpaceDE w:val="0"/>
        <w:autoSpaceDN w:val="0"/>
        <w:adjustRightInd w:val="0"/>
      </w:pPr>
      <w:r w:rsidRPr="00CB57FB">
        <w:t xml:space="preserve">As part of this </w:t>
      </w:r>
      <w:r w:rsidR="0025676E" w:rsidRPr="00CB57FB">
        <w:t>ICR</w:t>
      </w:r>
      <w:r w:rsidRPr="00CB57FB">
        <w:t>, EBSA and CEO intend to conduct eight focus group sessions with approximately 70 to 100 RPFs</w:t>
      </w:r>
      <w:r w:rsidR="002C6F75">
        <w:t>, primarily focusing on RPFs</w:t>
      </w:r>
      <w:r w:rsidRPr="00CB57FB">
        <w:t xml:space="preserve"> to small pension plans (those with less than 100 participants)</w:t>
      </w:r>
      <w:r w:rsidR="00E527C7" w:rsidRPr="00CB57FB">
        <w:t xml:space="preserve">.  </w:t>
      </w:r>
      <w:r w:rsidR="002C6F75">
        <w:t>Six focus groups will include RPF</w:t>
      </w:r>
      <w:r w:rsidR="009D0DAC">
        <w:t>s</w:t>
      </w:r>
      <w:r w:rsidR="002C6F75">
        <w:t xml:space="preserve"> from small plans, one focus group will include RPFs from plan</w:t>
      </w:r>
      <w:r w:rsidR="009D0DAC">
        <w:t>s</w:t>
      </w:r>
      <w:r w:rsidR="002C6F75">
        <w:t xml:space="preserve"> with 100 to 999, and one focus group will include RPFs from plans with over 1,000 participants</w:t>
      </w:r>
      <w:r w:rsidR="00E527C7">
        <w:t xml:space="preserve">.  </w:t>
      </w:r>
      <w:r w:rsidRPr="00CB57FB">
        <w:t xml:space="preserve">They will be asked to provide information including  </w:t>
      </w:r>
      <w:r w:rsidRPr="00CB57FB">
        <w:lastRenderedPageBreak/>
        <w:t>the following: (1) their role with respect to  their plan; (2) the number of service  providers hired by the plan; (3) whether they are aware of and understand the disclosures mandated by the 408(b)(2) final regulation; (4) their experience with receiving the disclosures;  (5) whether they were able to find information regarding the services that would be provided and the costs of those services; (6) whether their review of the disclosures impacted their decision-making with regard to hiring, monitoring, or retaining service providers or changing plan investment options; (7) whether their CSP</w:t>
      </w:r>
      <w:r w:rsidR="00336803" w:rsidRPr="00CB57FB">
        <w:t>s</w:t>
      </w:r>
      <w:r w:rsidRPr="00CB57FB">
        <w:t xml:space="preserve"> provide a guide or similar organizational tool to help find specific information within the disclosures; and (7)   whether a guide  to the required disclosures would be beneficial to them, and if so, how much they would be willing to pay to receive a guide. </w:t>
      </w:r>
    </w:p>
    <w:p w:rsidR="00F61C4F" w:rsidRPr="00CB57FB" w:rsidRDefault="00F61C4F" w:rsidP="00F61C4F">
      <w:pPr>
        <w:autoSpaceDE w:val="0"/>
        <w:autoSpaceDN w:val="0"/>
        <w:adjustRightInd w:val="0"/>
      </w:pPr>
    </w:p>
    <w:p w:rsidR="00F61C4F" w:rsidRPr="00CB57FB" w:rsidRDefault="00F61C4F" w:rsidP="00F61C4F">
      <w:pPr>
        <w:autoSpaceDE w:val="0"/>
        <w:autoSpaceDN w:val="0"/>
        <w:adjustRightInd w:val="0"/>
      </w:pPr>
      <w:r w:rsidRPr="00CB57FB">
        <w:t>EBSA intends to use information collected from the focus groups to: (1) assess responsible plan fiduciaries</w:t>
      </w:r>
      <w:r w:rsidR="0070408A">
        <w:t>’</w:t>
      </w:r>
      <w:r w:rsidRPr="00CB57FB">
        <w:t xml:space="preserve"> experience in receiving the 408(b)(2) regulation</w:t>
      </w:r>
      <w:r w:rsidR="0070408A">
        <w:t>’</w:t>
      </w:r>
      <w:r w:rsidRPr="00CB57FB">
        <w:t>s required disclosures; (2) assess the effectiveness of these disclosures in helping plan fiduciaries make decisions; (3) determine how well plan fiduciaries understood the disclosures, especially in the small plan marketplace (100 participants or less); and (4) evaluate whether, and how, a guide, summary, or similar tool would help fiduciaries understand the disclosures.  The focus group results will be used to inform and support the Department</w:t>
      </w:r>
      <w:r w:rsidR="0070408A">
        <w:t>’</w:t>
      </w:r>
      <w:r w:rsidRPr="00CB57FB">
        <w:t>s notice of final rulemaking for the guide requirement.</w:t>
      </w:r>
    </w:p>
    <w:p w:rsidR="007E6167" w:rsidRPr="00CB57FB" w:rsidRDefault="007E6167" w:rsidP="00DD5651"/>
    <w:p w:rsidR="00EB2759" w:rsidRPr="00CB57FB" w:rsidRDefault="00EB2759" w:rsidP="00DD5651">
      <w:pPr>
        <w:rPr>
          <w:bCs/>
          <w:i/>
        </w:rPr>
      </w:pPr>
      <w:r w:rsidRPr="00CB57FB">
        <w:rPr>
          <w:bCs/>
          <w:i/>
        </w:rPr>
        <w:t>2.</w:t>
      </w:r>
      <w:r w:rsidR="000839EE" w:rsidRPr="00CB57FB">
        <w:rPr>
          <w:bCs/>
          <w:i/>
        </w:rPr>
        <w:tab/>
      </w:r>
      <w:r w:rsidRPr="00CB57FB">
        <w:rPr>
          <w:bCs/>
          <w:i/>
        </w:rPr>
        <w:t>Indicate how, by whom, and for what purpose the information is to be used.  Except for a new collection, indicate the actual use the agency has made of the information received from the current collection.</w:t>
      </w:r>
    </w:p>
    <w:p w:rsidR="007E6167" w:rsidRPr="00CB57FB" w:rsidRDefault="007E6167" w:rsidP="00DD5651">
      <w:pPr>
        <w:rPr>
          <w:b/>
          <w:bCs/>
        </w:rPr>
      </w:pPr>
    </w:p>
    <w:p w:rsidR="003A31B2" w:rsidRPr="00CB57FB" w:rsidRDefault="00600ACC" w:rsidP="00DD5651">
      <w:pPr>
        <w:pStyle w:val="BodyTextIndent"/>
        <w:spacing w:after="0"/>
        <w:ind w:left="0"/>
      </w:pPr>
      <w:r w:rsidRPr="00CB57FB">
        <w:t xml:space="preserve">The </w:t>
      </w:r>
      <w:r w:rsidR="00696E55" w:rsidRPr="00CB57FB">
        <w:t>focus group</w:t>
      </w:r>
      <w:r w:rsidRPr="00CB57FB">
        <w:t>s</w:t>
      </w:r>
      <w:r w:rsidR="00696E55" w:rsidRPr="00CB57FB">
        <w:t xml:space="preserve"> under this research project</w:t>
      </w:r>
      <w:r w:rsidR="00393D9E" w:rsidRPr="00CB57FB">
        <w:t xml:space="preserve"> </w:t>
      </w:r>
      <w:r w:rsidRPr="00CB57FB">
        <w:t xml:space="preserve">are </w:t>
      </w:r>
      <w:r w:rsidR="00393D9E" w:rsidRPr="00CB57FB">
        <w:t>a</w:t>
      </w:r>
      <w:r w:rsidR="003A31B2" w:rsidRPr="00CB57FB">
        <w:t xml:space="preserve"> new collection.  The</w:t>
      </w:r>
      <w:r w:rsidR="00393D9E" w:rsidRPr="00CB57FB">
        <w:t xml:space="preserve"> </w:t>
      </w:r>
      <w:r w:rsidR="00D53528" w:rsidRPr="00CB57FB">
        <w:t xml:space="preserve">data collection efforts </w:t>
      </w:r>
      <w:r w:rsidR="00696E55" w:rsidRPr="00CB57FB">
        <w:t>will</w:t>
      </w:r>
      <w:r w:rsidR="00D53528" w:rsidRPr="00CB57FB">
        <w:t xml:space="preserve"> include</w:t>
      </w:r>
      <w:r w:rsidR="00696E55" w:rsidRPr="00CB57FB">
        <w:t xml:space="preserve"> </w:t>
      </w:r>
      <w:r w:rsidR="004A737F" w:rsidRPr="00CB57FB">
        <w:t>focus groups</w:t>
      </w:r>
      <w:r w:rsidR="009362B1" w:rsidRPr="00CB57FB">
        <w:t xml:space="preserve"> only</w:t>
      </w:r>
      <w:r w:rsidR="000771BD" w:rsidRPr="00CB57FB">
        <w:t>.</w:t>
      </w:r>
      <w:r w:rsidR="00386E58" w:rsidRPr="00CB57FB">
        <w:t xml:space="preserve">  </w:t>
      </w:r>
      <w:r w:rsidR="00D53528" w:rsidRPr="00CB57FB">
        <w:t>The information will be used for research and evaluation purposes</w:t>
      </w:r>
      <w:r w:rsidR="00696E55" w:rsidRPr="00CB57FB">
        <w:t xml:space="preserve"> to evaluate plan fiduciaries</w:t>
      </w:r>
      <w:r w:rsidR="0070408A">
        <w:t>’</w:t>
      </w:r>
      <w:r w:rsidR="00696E55" w:rsidRPr="00CB57FB">
        <w:t xml:space="preserve"> experience </w:t>
      </w:r>
      <w:r w:rsidR="0036604C" w:rsidRPr="00CB57FB">
        <w:t xml:space="preserve">with the requirements under </w:t>
      </w:r>
      <w:r w:rsidR="0014757E" w:rsidRPr="00CB57FB">
        <w:t xml:space="preserve">the </w:t>
      </w:r>
      <w:r w:rsidR="0036604C" w:rsidRPr="00CB57FB">
        <w:t>408(b</w:t>
      </w:r>
      <w:proofErr w:type="gramStart"/>
      <w:r w:rsidR="0036604C" w:rsidRPr="00CB57FB">
        <w:t>)(</w:t>
      </w:r>
      <w:proofErr w:type="gramEnd"/>
      <w:r w:rsidR="0036604C" w:rsidRPr="00CB57FB">
        <w:t>2)</w:t>
      </w:r>
      <w:r w:rsidR="0014757E" w:rsidRPr="00CB57FB">
        <w:t xml:space="preserve"> regulation</w:t>
      </w:r>
      <w:r w:rsidR="00E527C7" w:rsidRPr="00CB57FB">
        <w:t xml:space="preserve">.  </w:t>
      </w:r>
      <w:r w:rsidR="00D53528" w:rsidRPr="00CB57FB">
        <w:rPr>
          <w:color w:val="000000"/>
        </w:rPr>
        <w:t xml:space="preserve">The results from </w:t>
      </w:r>
      <w:r w:rsidR="00E70F5B" w:rsidRPr="00CB57FB">
        <w:rPr>
          <w:color w:val="000000"/>
        </w:rPr>
        <w:t xml:space="preserve">these </w:t>
      </w:r>
      <w:r w:rsidR="0036604C" w:rsidRPr="00CB57FB">
        <w:rPr>
          <w:color w:val="000000"/>
        </w:rPr>
        <w:t>focus groups</w:t>
      </w:r>
      <w:r w:rsidR="006E7D60" w:rsidRPr="00CB57FB">
        <w:rPr>
          <w:color w:val="000000"/>
        </w:rPr>
        <w:t xml:space="preserve"> </w:t>
      </w:r>
      <w:r w:rsidR="00E70F5B" w:rsidRPr="00CB57FB">
        <w:rPr>
          <w:color w:val="000000"/>
        </w:rPr>
        <w:t xml:space="preserve">will </w:t>
      </w:r>
      <w:r w:rsidR="006E7D60" w:rsidRPr="00CB57FB">
        <w:rPr>
          <w:color w:val="000000"/>
        </w:rPr>
        <w:t>inform policy, advance DOL</w:t>
      </w:r>
      <w:r w:rsidR="0070408A">
        <w:rPr>
          <w:color w:val="000000"/>
        </w:rPr>
        <w:t>’</w:t>
      </w:r>
      <w:r w:rsidR="00D53528" w:rsidRPr="00CB57FB">
        <w:rPr>
          <w:color w:val="000000"/>
        </w:rPr>
        <w:t>s mission, and improve</w:t>
      </w:r>
      <w:r w:rsidR="006E7D60" w:rsidRPr="00CB57FB">
        <w:rPr>
          <w:color w:val="000000"/>
        </w:rPr>
        <w:t xml:space="preserve"> DOL</w:t>
      </w:r>
      <w:r w:rsidR="0070408A">
        <w:rPr>
          <w:color w:val="000000"/>
        </w:rPr>
        <w:t>’</w:t>
      </w:r>
      <w:r w:rsidR="006E7D60" w:rsidRPr="00CB57FB">
        <w:rPr>
          <w:color w:val="000000"/>
        </w:rPr>
        <w:t xml:space="preserve">s </w:t>
      </w:r>
      <w:r w:rsidR="0036604C" w:rsidRPr="00CB57FB">
        <w:rPr>
          <w:color w:val="000000"/>
        </w:rPr>
        <w:t>approach to regulation</w:t>
      </w:r>
      <w:r w:rsidR="00E527C7" w:rsidRPr="00CB57FB">
        <w:rPr>
          <w:color w:val="000000"/>
        </w:rPr>
        <w:t xml:space="preserve">.  </w:t>
      </w:r>
      <w:r w:rsidR="003A31B2" w:rsidRPr="00CB57FB">
        <w:t xml:space="preserve">Since </w:t>
      </w:r>
      <w:r w:rsidR="00990B06" w:rsidRPr="00CB57FB">
        <w:t>this</w:t>
      </w:r>
      <w:r w:rsidR="003A31B2" w:rsidRPr="00CB57FB">
        <w:t xml:space="preserve"> is a new collection, there has been no use of the information yet.</w:t>
      </w:r>
    </w:p>
    <w:p w:rsidR="006457DB" w:rsidRPr="00CB57FB" w:rsidRDefault="006457DB" w:rsidP="00DD5651"/>
    <w:p w:rsidR="00EB2759" w:rsidRPr="00CB57FB" w:rsidRDefault="00EB2759" w:rsidP="00DD5651">
      <w:pPr>
        <w:rPr>
          <w:i/>
        </w:rPr>
      </w:pPr>
      <w:r w:rsidRPr="00CB57FB">
        <w:rPr>
          <w:bCs/>
          <w:i/>
        </w:rPr>
        <w:t>3.</w:t>
      </w:r>
      <w:r w:rsidR="000839EE" w:rsidRPr="00CB57FB">
        <w:rPr>
          <w:bCs/>
          <w:i/>
        </w:rPr>
        <w:tab/>
      </w:r>
      <w:r w:rsidRPr="00CB57FB">
        <w:rPr>
          <w:bCs/>
          <w:i/>
        </w:rPr>
        <w:t>Describe whether, and to what extent, the collection of information involves </w:t>
      </w:r>
      <w:r w:rsidR="00320763" w:rsidRPr="00CB57FB">
        <w:rPr>
          <w:bCs/>
          <w:i/>
        </w:rPr>
        <w:t>the</w:t>
      </w:r>
      <w:r w:rsidRPr="00CB57FB">
        <w:rPr>
          <w:bCs/>
          <w:i/>
        </w:rPr>
        <w:t xml:space="preserve"> use of automated, electronic, mechanical, or other technological collection techniques or other forms of information technology, e.g., permitting electronic submission of responses, and the basis for the decision for adopting this means of collection.  </w:t>
      </w:r>
      <w:r w:rsidR="00E527C7" w:rsidRPr="00CB57FB">
        <w:rPr>
          <w:bCs/>
          <w:i/>
        </w:rPr>
        <w:t>Also,</w:t>
      </w:r>
      <w:r w:rsidRPr="00CB57FB">
        <w:rPr>
          <w:bCs/>
          <w:i/>
        </w:rPr>
        <w:t xml:space="preserve"> describe any consideration of using information technology to reduce burden.</w:t>
      </w:r>
    </w:p>
    <w:p w:rsidR="00EB2759" w:rsidRPr="00CB57FB" w:rsidRDefault="00EB2759" w:rsidP="00DD5651">
      <w:pPr>
        <w:rPr>
          <w:sz w:val="28"/>
          <w:szCs w:val="28"/>
        </w:rPr>
      </w:pPr>
      <w:r w:rsidRPr="00CB57FB">
        <w:rPr>
          <w:sz w:val="28"/>
          <w:szCs w:val="28"/>
        </w:rPr>
        <w:t> </w:t>
      </w:r>
    </w:p>
    <w:p w:rsidR="00226577" w:rsidRDefault="00132BE6" w:rsidP="00DD5651">
      <w:r w:rsidRPr="00CB57FB">
        <w:t xml:space="preserve">The information to be collected </w:t>
      </w:r>
      <w:r w:rsidR="0036604C" w:rsidRPr="00CB57FB">
        <w:t>will come from</w:t>
      </w:r>
      <w:r w:rsidRPr="00CB57FB">
        <w:t xml:space="preserve"> focus groups.</w:t>
      </w:r>
      <w:r w:rsidR="001653EC" w:rsidRPr="00CB57FB">
        <w:t xml:space="preserve"> </w:t>
      </w:r>
      <w:r w:rsidR="00226577">
        <w:t xml:space="preserve">Prospective focus group participants will be contacted first by mail explaining the focus groups.  They will then be contacted by telephone.  Later contact with reminders of the date and time </w:t>
      </w:r>
      <w:r w:rsidR="00F413EA">
        <w:t>will</w:t>
      </w:r>
      <w:r w:rsidR="00226577">
        <w:t xml:space="preserve"> be by</w:t>
      </w:r>
      <w:r w:rsidR="00226577" w:rsidRPr="00CB57FB">
        <w:t xml:space="preserve"> </w:t>
      </w:r>
      <w:r w:rsidR="00226577">
        <w:t xml:space="preserve">phone or email.  </w:t>
      </w:r>
    </w:p>
    <w:p w:rsidR="00226577" w:rsidRDefault="00226577" w:rsidP="00DD5651"/>
    <w:p w:rsidR="008D494A" w:rsidRPr="00CB57FB" w:rsidRDefault="00226577" w:rsidP="00DD5651">
      <w:r>
        <w:t>During the focus groups</w:t>
      </w:r>
      <w:r w:rsidR="00132BE6" w:rsidRPr="00CB57FB">
        <w:t xml:space="preserve"> </w:t>
      </w:r>
      <w:r w:rsidR="000914C0">
        <w:t>e</w:t>
      </w:r>
      <w:r w:rsidR="009A7C05" w:rsidRPr="00CB57FB">
        <w:t xml:space="preserve">valuators </w:t>
      </w:r>
      <w:r w:rsidR="000914C0">
        <w:t>will</w:t>
      </w:r>
      <w:r w:rsidR="000914C0" w:rsidRPr="00CB57FB">
        <w:t xml:space="preserve"> </w:t>
      </w:r>
      <w:r w:rsidR="00E70F5B" w:rsidRPr="00CB57FB">
        <w:t>use</w:t>
      </w:r>
      <w:r w:rsidR="004B7257" w:rsidRPr="00CB57FB">
        <w:t xml:space="preserve"> different modes for gathering data</w:t>
      </w:r>
      <w:r w:rsidR="00F413EA">
        <w:t xml:space="preserve"> during the focus group</w:t>
      </w:r>
      <w:r w:rsidR="004B7257" w:rsidRPr="00CB57FB">
        <w:t xml:space="preserve">, such as </w:t>
      </w:r>
      <w:r w:rsidR="009A7C05" w:rsidRPr="00CB57FB">
        <w:t>tak</w:t>
      </w:r>
      <w:r w:rsidR="004B7257" w:rsidRPr="00CB57FB">
        <w:t>ing</w:t>
      </w:r>
      <w:r w:rsidR="009A7C05" w:rsidRPr="00CB57FB">
        <w:t xml:space="preserve"> notes on their l</w:t>
      </w:r>
      <w:r w:rsidR="00DB182A" w:rsidRPr="00CB57FB">
        <w:t>aptops and/or notepads</w:t>
      </w:r>
      <w:r w:rsidR="000914C0">
        <w:t xml:space="preserve"> and </w:t>
      </w:r>
      <w:r w:rsidR="009362B1" w:rsidRPr="00CB57FB">
        <w:t xml:space="preserve">voice </w:t>
      </w:r>
      <w:r w:rsidR="004B7257" w:rsidRPr="00CB57FB">
        <w:t>recording</w:t>
      </w:r>
      <w:r w:rsidR="0046423E">
        <w:t>.</w:t>
      </w:r>
      <w:r w:rsidR="004B7257" w:rsidRPr="00CB57FB">
        <w:t xml:space="preserve">  </w:t>
      </w:r>
    </w:p>
    <w:p w:rsidR="00855406" w:rsidRPr="00CB57FB" w:rsidRDefault="00855406" w:rsidP="00DD5651">
      <w:pPr>
        <w:rPr>
          <w:sz w:val="28"/>
          <w:szCs w:val="28"/>
        </w:rPr>
      </w:pPr>
    </w:p>
    <w:p w:rsidR="00EB2759" w:rsidRPr="00CB57FB" w:rsidRDefault="00EB2759" w:rsidP="00DD5651">
      <w:pPr>
        <w:rPr>
          <w:i/>
        </w:rPr>
      </w:pPr>
      <w:r w:rsidRPr="00CB57FB">
        <w:rPr>
          <w:bCs/>
          <w:i/>
        </w:rPr>
        <w:t>4.</w:t>
      </w:r>
      <w:r w:rsidR="000839EE" w:rsidRPr="00CB57FB">
        <w:rPr>
          <w:bCs/>
          <w:i/>
        </w:rPr>
        <w:tab/>
      </w:r>
      <w:r w:rsidRPr="00CB57FB">
        <w:rPr>
          <w:bCs/>
          <w:i/>
        </w:rPr>
        <w:t>Describe efforts to identify duplication.  Show specifically why any similar information already available cannot be used or modified for use for the purposes described in item 2 above.</w:t>
      </w:r>
    </w:p>
    <w:p w:rsidR="00AE6AAF" w:rsidRPr="00CB57FB" w:rsidRDefault="00AE6AAF" w:rsidP="00DD5651"/>
    <w:p w:rsidR="00D93B29" w:rsidRPr="00CB57FB" w:rsidRDefault="0036604C" w:rsidP="00DD5651">
      <w:r w:rsidRPr="00CB57FB">
        <w:t>Focus</w:t>
      </w:r>
      <w:r w:rsidR="00501583" w:rsidRPr="00CB57FB">
        <w:t xml:space="preserve"> groups will provide distinctive information about </w:t>
      </w:r>
      <w:r w:rsidRPr="00CB57FB">
        <w:t xml:space="preserve">experience of </w:t>
      </w:r>
      <w:r w:rsidR="00E15886" w:rsidRPr="00CB57FB">
        <w:t>plan fiduciaries in receiving the 408(b</w:t>
      </w:r>
      <w:proofErr w:type="gramStart"/>
      <w:r w:rsidR="00E15886" w:rsidRPr="00CB57FB">
        <w:t>)(</w:t>
      </w:r>
      <w:proofErr w:type="gramEnd"/>
      <w:r w:rsidR="009362B1" w:rsidRPr="00CB57FB">
        <w:t>2</w:t>
      </w:r>
      <w:r w:rsidR="00E15886" w:rsidRPr="00CB57FB">
        <w:t xml:space="preserve">) </w:t>
      </w:r>
      <w:r w:rsidR="0014757E" w:rsidRPr="00CB57FB">
        <w:t>regulation</w:t>
      </w:r>
      <w:r w:rsidR="0070408A">
        <w:t>’</w:t>
      </w:r>
      <w:r w:rsidR="0014757E" w:rsidRPr="00CB57FB">
        <w:t xml:space="preserve">s </w:t>
      </w:r>
      <w:r w:rsidR="00E15886" w:rsidRPr="00CB57FB">
        <w:t>required disclosures</w:t>
      </w:r>
      <w:r w:rsidR="00501583" w:rsidRPr="00CB57FB">
        <w:t>.  I</w:t>
      </w:r>
      <w:r w:rsidR="00D93B29" w:rsidRPr="00CB57FB">
        <w:t xml:space="preserve">nformation </w:t>
      </w:r>
      <w:r w:rsidR="004E0213" w:rsidRPr="00CB57FB">
        <w:t xml:space="preserve">collected </w:t>
      </w:r>
      <w:r w:rsidR="004648D8" w:rsidRPr="00CB57FB">
        <w:t>from these data collection methods</w:t>
      </w:r>
      <w:r w:rsidR="00DB182A" w:rsidRPr="00CB57FB">
        <w:t xml:space="preserve"> is</w:t>
      </w:r>
      <w:r w:rsidR="00D93B29" w:rsidRPr="00CB57FB">
        <w:t xml:space="preserve"> not </w:t>
      </w:r>
      <w:r w:rsidR="001918F2">
        <w:t>otherwise</w:t>
      </w:r>
      <w:r w:rsidR="0022791D">
        <w:t xml:space="preserve"> </w:t>
      </w:r>
      <w:r w:rsidR="004E0213" w:rsidRPr="00CB57FB">
        <w:t>a</w:t>
      </w:r>
      <w:r w:rsidR="00D93B29" w:rsidRPr="00CB57FB">
        <w:t>vailable</w:t>
      </w:r>
      <w:r w:rsidR="005C787E" w:rsidRPr="00CB57FB">
        <w:t xml:space="preserve"> from Department</w:t>
      </w:r>
      <w:r w:rsidR="0022791D">
        <w:t>al</w:t>
      </w:r>
      <w:r w:rsidR="005C787E" w:rsidRPr="00CB57FB">
        <w:t xml:space="preserve"> or </w:t>
      </w:r>
      <w:r w:rsidR="009362B1" w:rsidRPr="00CB57FB">
        <w:t xml:space="preserve">from </w:t>
      </w:r>
      <w:r w:rsidR="005C787E" w:rsidRPr="00CB57FB">
        <w:t>public sources</w:t>
      </w:r>
      <w:r w:rsidR="006457DB" w:rsidRPr="00CB57FB">
        <w:t xml:space="preserve">.  </w:t>
      </w:r>
      <w:r w:rsidR="00501583" w:rsidRPr="00CB57FB">
        <w:t xml:space="preserve">These data will, as a result, enable DOL to gain a deeper insight into the </w:t>
      </w:r>
      <w:r w:rsidR="00E15886" w:rsidRPr="00CB57FB">
        <w:t xml:space="preserve">experience of plan fiduciaries under this regulation and assist in determining whether a summary or guide is necessary to help plan sponsors understand the disclosures.  </w:t>
      </w:r>
      <w:r w:rsidR="00FE0DC6" w:rsidRPr="00CB57FB">
        <w:t>T</w:t>
      </w:r>
      <w:r w:rsidR="00D93B29" w:rsidRPr="00CB57FB">
        <w:t>here are no other sources</w:t>
      </w:r>
      <w:r w:rsidR="00B70244" w:rsidRPr="00CB57FB">
        <w:t xml:space="preserve"> </w:t>
      </w:r>
      <w:r w:rsidR="00D93B29" w:rsidRPr="00CB57FB">
        <w:t xml:space="preserve">of information that could be used in place of the </w:t>
      </w:r>
      <w:r w:rsidR="00DB182A" w:rsidRPr="00CB57FB">
        <w:t xml:space="preserve">information collected by </w:t>
      </w:r>
      <w:r w:rsidR="005C787E" w:rsidRPr="00CB57FB">
        <w:t>the</w:t>
      </w:r>
      <w:r w:rsidR="00AE6AAF" w:rsidRPr="00CB57FB">
        <w:t xml:space="preserve"> focus group</w:t>
      </w:r>
      <w:r w:rsidR="005C787E" w:rsidRPr="00CB57FB">
        <w:t>s</w:t>
      </w:r>
      <w:r w:rsidR="00DB182A" w:rsidRPr="00CB57FB">
        <w:t>.</w:t>
      </w:r>
      <w:r w:rsidR="00FE0DC6" w:rsidRPr="00CB57FB">
        <w:t xml:space="preserve"> </w:t>
      </w:r>
    </w:p>
    <w:p w:rsidR="00EB2759" w:rsidRPr="00CB57FB" w:rsidRDefault="00EB2759" w:rsidP="00DD5651">
      <w:pPr>
        <w:rPr>
          <w:sz w:val="28"/>
          <w:szCs w:val="28"/>
        </w:rPr>
      </w:pPr>
    </w:p>
    <w:p w:rsidR="00EB2759" w:rsidRPr="00CB57FB" w:rsidRDefault="00EB2759" w:rsidP="00DD5651">
      <w:pPr>
        <w:rPr>
          <w:bCs/>
          <w:i/>
        </w:rPr>
      </w:pPr>
      <w:r w:rsidRPr="00CB57FB">
        <w:rPr>
          <w:bCs/>
          <w:i/>
        </w:rPr>
        <w:t>5.</w:t>
      </w:r>
      <w:r w:rsidR="000839EE" w:rsidRPr="00CB57FB">
        <w:rPr>
          <w:bCs/>
          <w:i/>
        </w:rPr>
        <w:tab/>
      </w:r>
      <w:r w:rsidRPr="00CB57FB">
        <w:rPr>
          <w:bCs/>
          <w:i/>
        </w:rPr>
        <w:t>If the collection of information impacts small businesses or other small entities, describe any methods used to minimize burden.</w:t>
      </w:r>
    </w:p>
    <w:p w:rsidR="007E6167" w:rsidRPr="00CB57FB" w:rsidRDefault="007E6167" w:rsidP="00DD5651">
      <w:pPr>
        <w:rPr>
          <w:i/>
        </w:rPr>
      </w:pPr>
    </w:p>
    <w:p w:rsidR="00E71B0C" w:rsidRPr="00CB57FB" w:rsidRDefault="00E70F5B" w:rsidP="00DD5651">
      <w:r w:rsidRPr="00CB57FB">
        <w:t>The Department has developed an efficient focus group protocol designed to minimize the burden on all businesses, including small businesses and other small entities.</w:t>
      </w:r>
    </w:p>
    <w:p w:rsidR="00E70F5B" w:rsidRPr="00CB57FB" w:rsidRDefault="00E70F5B" w:rsidP="00DD5651"/>
    <w:p w:rsidR="00EB2759" w:rsidRPr="00CB57FB" w:rsidRDefault="00EB2759" w:rsidP="00DD5651">
      <w:pPr>
        <w:rPr>
          <w:bCs/>
          <w:i/>
        </w:rPr>
      </w:pPr>
      <w:r w:rsidRPr="00CB57FB">
        <w:rPr>
          <w:bCs/>
          <w:i/>
        </w:rPr>
        <w:t>6.</w:t>
      </w:r>
      <w:r w:rsidR="000839EE" w:rsidRPr="00CB57FB">
        <w:rPr>
          <w:bCs/>
          <w:i/>
        </w:rPr>
        <w:tab/>
      </w:r>
      <w:r w:rsidRPr="00CB57FB">
        <w:rPr>
          <w:bCs/>
          <w:i/>
        </w:rPr>
        <w:t>Describe the consequences to Federal program or policy activities if the collection is not conducted or is conducted less frequently, as well as any technical or legal obstacles in reducing burden.</w:t>
      </w:r>
    </w:p>
    <w:p w:rsidR="007E6167" w:rsidRPr="00CB57FB" w:rsidRDefault="007E6167" w:rsidP="00DD5651">
      <w:pPr>
        <w:rPr>
          <w:i/>
        </w:rPr>
      </w:pPr>
    </w:p>
    <w:p w:rsidR="00E15886" w:rsidRPr="00CB57FB" w:rsidRDefault="0036604C" w:rsidP="00DD5651">
      <w:r w:rsidRPr="00CB57FB">
        <w:t>Focus groups</w:t>
      </w:r>
      <w:r w:rsidR="00EE5A80" w:rsidRPr="00CB57FB">
        <w:t xml:space="preserve"> are important opportunities for DOL to learn about </w:t>
      </w:r>
      <w:r w:rsidRPr="00CB57FB">
        <w:t>the impact of a regulation and the experience</w:t>
      </w:r>
      <w:r w:rsidR="009362B1" w:rsidRPr="00CB57FB">
        <w:t>s</w:t>
      </w:r>
      <w:r w:rsidRPr="00CB57FB">
        <w:t xml:space="preserve"> of the </w:t>
      </w:r>
      <w:r w:rsidR="00262E20" w:rsidRPr="00CB57FB">
        <w:t>entities affected by disclosures under</w:t>
      </w:r>
      <w:r w:rsidR="00E15886" w:rsidRPr="00CB57FB">
        <w:t xml:space="preserve"> this</w:t>
      </w:r>
      <w:r w:rsidR="00262E20" w:rsidRPr="00CB57FB">
        <w:t xml:space="preserve"> regulation.</w:t>
      </w:r>
      <w:r w:rsidR="00EE5A80" w:rsidRPr="00CB57FB">
        <w:t xml:space="preserve">  If the information collection requested by this package is not conducted, policymakers, program </w:t>
      </w:r>
      <w:r w:rsidR="00460C61" w:rsidRPr="00CB57FB">
        <w:t>administrators</w:t>
      </w:r>
      <w:r w:rsidR="00EE5A80" w:rsidRPr="00CB57FB">
        <w:t xml:space="preserve">, and service providers </w:t>
      </w:r>
      <w:r w:rsidR="0081339A" w:rsidRPr="00CB57FB">
        <w:t xml:space="preserve">may </w:t>
      </w:r>
      <w:r w:rsidR="00EE5A80" w:rsidRPr="00CB57FB">
        <w:t xml:space="preserve">lack high-quality information on the </w:t>
      </w:r>
      <w:r w:rsidR="00857454" w:rsidRPr="00CB57FB">
        <w:t xml:space="preserve">regulation </w:t>
      </w:r>
      <w:r w:rsidR="00262E20" w:rsidRPr="00CB57FB">
        <w:t xml:space="preserve">of </w:t>
      </w:r>
      <w:r w:rsidR="00857454" w:rsidRPr="00CB57FB">
        <w:t>and the experience</w:t>
      </w:r>
      <w:r w:rsidR="009362B1" w:rsidRPr="00CB57FB">
        <w:t>s</w:t>
      </w:r>
      <w:r w:rsidR="00857454" w:rsidRPr="00CB57FB">
        <w:t xml:space="preserve"> of plan fiduciaries with the disclosures under </w:t>
      </w:r>
      <w:r w:rsidR="0014757E" w:rsidRPr="00CB57FB">
        <w:t xml:space="preserve">the </w:t>
      </w:r>
      <w:r w:rsidR="00857454" w:rsidRPr="00CB57FB">
        <w:t>408(b</w:t>
      </w:r>
      <w:proofErr w:type="gramStart"/>
      <w:r w:rsidR="00857454" w:rsidRPr="00CB57FB">
        <w:t>)(</w:t>
      </w:r>
      <w:proofErr w:type="gramEnd"/>
      <w:r w:rsidR="00857454" w:rsidRPr="00CB57FB">
        <w:t>2)</w:t>
      </w:r>
      <w:r w:rsidR="0014757E" w:rsidRPr="00CB57FB">
        <w:t xml:space="preserve"> regulation</w:t>
      </w:r>
      <w:r w:rsidR="00857454" w:rsidRPr="00CB57FB">
        <w:t>.</w:t>
      </w:r>
      <w:r w:rsidR="00EE5A80" w:rsidRPr="00CB57FB">
        <w:t xml:space="preserve">  Without these data collection efforts, DOL will </w:t>
      </w:r>
      <w:r w:rsidR="00744C60" w:rsidRPr="00CB57FB">
        <w:t xml:space="preserve">not </w:t>
      </w:r>
      <w:r w:rsidR="001952A5" w:rsidRPr="00CB57FB">
        <w:t>benefit from the</w:t>
      </w:r>
      <w:r w:rsidR="00744C60" w:rsidRPr="00CB57FB">
        <w:t xml:space="preserve"> specific, experience-based input that the focus group</w:t>
      </w:r>
      <w:r w:rsidR="001952A5" w:rsidRPr="00CB57FB">
        <w:t>s</w:t>
      </w:r>
      <w:r w:rsidR="00744C60" w:rsidRPr="00CB57FB">
        <w:t xml:space="preserve"> would provide as to the efficacy of the regulation.  This input would help DOL determine plan fiduciaries</w:t>
      </w:r>
      <w:r w:rsidR="0070408A">
        <w:t>’</w:t>
      </w:r>
      <w:r w:rsidR="00744C60" w:rsidRPr="00CB57FB">
        <w:t xml:space="preserve"> need</w:t>
      </w:r>
      <w:r w:rsidR="009362B1" w:rsidRPr="00CB57FB">
        <w:t>s</w:t>
      </w:r>
      <w:r w:rsidR="00744C60" w:rsidRPr="00CB57FB">
        <w:t xml:space="preserve"> for additional guidance or for further </w:t>
      </w:r>
      <w:r w:rsidR="005C787E" w:rsidRPr="00CB57FB">
        <w:t xml:space="preserve">development </w:t>
      </w:r>
      <w:r w:rsidR="00744C60" w:rsidRPr="00CB57FB">
        <w:t>of the final 408(b</w:t>
      </w:r>
      <w:proofErr w:type="gramStart"/>
      <w:r w:rsidR="00744C60" w:rsidRPr="00CB57FB">
        <w:t>)(</w:t>
      </w:r>
      <w:proofErr w:type="gramEnd"/>
      <w:r w:rsidR="00744C60" w:rsidRPr="00CB57FB">
        <w:t>2) regulation.</w:t>
      </w:r>
    </w:p>
    <w:p w:rsidR="007E6167" w:rsidRPr="00CB57FB" w:rsidRDefault="00E15886" w:rsidP="00DD5651">
      <w:pPr>
        <w:rPr>
          <w:sz w:val="28"/>
          <w:szCs w:val="28"/>
        </w:rPr>
      </w:pPr>
      <w:r w:rsidRPr="00CB57FB">
        <w:rPr>
          <w:sz w:val="28"/>
          <w:szCs w:val="28"/>
        </w:rPr>
        <w:t xml:space="preserve"> </w:t>
      </w:r>
    </w:p>
    <w:p w:rsidR="00EB2759" w:rsidRPr="00CB57FB" w:rsidRDefault="00EB2759" w:rsidP="00DD5651">
      <w:pPr>
        <w:rPr>
          <w:i/>
        </w:rPr>
      </w:pPr>
      <w:r w:rsidRPr="00CB57FB">
        <w:rPr>
          <w:bCs/>
          <w:i/>
        </w:rPr>
        <w:t>7.</w:t>
      </w:r>
      <w:r w:rsidR="000839EE" w:rsidRPr="00CB57FB">
        <w:rPr>
          <w:bCs/>
          <w:i/>
        </w:rPr>
        <w:tab/>
      </w:r>
      <w:r w:rsidRPr="00CB57FB">
        <w:rPr>
          <w:bCs/>
          <w:i/>
        </w:rPr>
        <w:t>Explain any special circumstances that would cause an information collection to be conducted in a manner:</w:t>
      </w:r>
    </w:p>
    <w:p w:rsidR="00EB2759" w:rsidRPr="00CB57FB" w:rsidRDefault="00EB2759" w:rsidP="00DD5651">
      <w:pPr>
        <w:numPr>
          <w:ilvl w:val="0"/>
          <w:numId w:val="19"/>
        </w:numPr>
        <w:rPr>
          <w:i/>
        </w:rPr>
      </w:pPr>
      <w:r w:rsidRPr="00CB57FB">
        <w:rPr>
          <w:bCs/>
          <w:i/>
        </w:rPr>
        <w:t>requiring respondents to report information to the agency more often than quarterly;</w:t>
      </w:r>
    </w:p>
    <w:p w:rsidR="00EB2759" w:rsidRPr="00CB57FB" w:rsidRDefault="00EB2759" w:rsidP="00DD5651">
      <w:pPr>
        <w:numPr>
          <w:ilvl w:val="0"/>
          <w:numId w:val="19"/>
        </w:numPr>
        <w:rPr>
          <w:i/>
        </w:rPr>
      </w:pPr>
      <w:r w:rsidRPr="00CB57FB">
        <w:rPr>
          <w:bCs/>
          <w:i/>
        </w:rPr>
        <w:t>requiring respondents to prepare a written response to a collection of information in fewer than 30 days after receipt of it;</w:t>
      </w:r>
    </w:p>
    <w:p w:rsidR="00EB2759" w:rsidRPr="00CB57FB" w:rsidRDefault="00EB2759" w:rsidP="00DD5651">
      <w:pPr>
        <w:numPr>
          <w:ilvl w:val="0"/>
          <w:numId w:val="19"/>
        </w:numPr>
        <w:rPr>
          <w:i/>
        </w:rPr>
      </w:pPr>
      <w:r w:rsidRPr="00CB57FB">
        <w:rPr>
          <w:bCs/>
          <w:i/>
        </w:rPr>
        <w:t>requiring respondents to submit more than an original and two copies of any document;</w:t>
      </w:r>
    </w:p>
    <w:p w:rsidR="00EB2759" w:rsidRPr="00CB57FB" w:rsidRDefault="00EB2759" w:rsidP="00DD5651">
      <w:pPr>
        <w:numPr>
          <w:ilvl w:val="0"/>
          <w:numId w:val="19"/>
        </w:numPr>
        <w:rPr>
          <w:i/>
        </w:rPr>
      </w:pPr>
      <w:r w:rsidRPr="00CB57FB">
        <w:rPr>
          <w:bCs/>
          <w:i/>
        </w:rPr>
        <w:t>requiring respondents to retain records, other than health, medical, government contract, grant-in-aid, or tax records, for more than three years;</w:t>
      </w:r>
    </w:p>
    <w:p w:rsidR="00EB2759" w:rsidRPr="00CB57FB" w:rsidRDefault="00EB2759" w:rsidP="00DD5651">
      <w:pPr>
        <w:numPr>
          <w:ilvl w:val="0"/>
          <w:numId w:val="19"/>
        </w:numPr>
        <w:rPr>
          <w:i/>
        </w:rPr>
      </w:pPr>
      <w:r w:rsidRPr="00CB57FB">
        <w:rPr>
          <w:bCs/>
          <w:i/>
        </w:rPr>
        <w:t>in connection with a statistical survey, that is not designed to produce valid and reliable results that can be generalized to the universe of study;</w:t>
      </w:r>
    </w:p>
    <w:p w:rsidR="00EB2759" w:rsidRPr="00CB57FB" w:rsidRDefault="00EB2759" w:rsidP="00DD5651">
      <w:pPr>
        <w:numPr>
          <w:ilvl w:val="0"/>
          <w:numId w:val="19"/>
        </w:numPr>
        <w:rPr>
          <w:i/>
        </w:rPr>
      </w:pPr>
      <w:r w:rsidRPr="00CB57FB">
        <w:rPr>
          <w:bCs/>
          <w:i/>
        </w:rPr>
        <w:t>requiring the use of statistical data classification that has not been reviewed and approved by OMB;</w:t>
      </w:r>
    </w:p>
    <w:p w:rsidR="00EB2759" w:rsidRPr="00CB57FB" w:rsidRDefault="00EB2759" w:rsidP="00DD5651">
      <w:pPr>
        <w:numPr>
          <w:ilvl w:val="0"/>
          <w:numId w:val="19"/>
        </w:numPr>
        <w:rPr>
          <w:i/>
        </w:rPr>
      </w:pPr>
      <w:r w:rsidRPr="00CB57FB">
        <w:rPr>
          <w:bCs/>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B2759" w:rsidRPr="00CB57FB" w:rsidRDefault="00EB2759" w:rsidP="00DD5651">
      <w:pPr>
        <w:numPr>
          <w:ilvl w:val="0"/>
          <w:numId w:val="19"/>
        </w:numPr>
        <w:rPr>
          <w:bCs/>
          <w:i/>
        </w:rPr>
      </w:pPr>
      <w:proofErr w:type="gramStart"/>
      <w:r w:rsidRPr="00CB57FB">
        <w:rPr>
          <w:bCs/>
          <w:i/>
        </w:rPr>
        <w:t>requiring</w:t>
      </w:r>
      <w:proofErr w:type="gramEnd"/>
      <w:r w:rsidRPr="00CB57FB">
        <w:rPr>
          <w:bCs/>
          <w:i/>
        </w:rPr>
        <w:t xml:space="preserve"> respondents to submit proprietary trade secrets, or other confidential information unless the agency can demonstrate that it has instituted procedures to protect the information</w:t>
      </w:r>
      <w:r w:rsidR="0070408A">
        <w:rPr>
          <w:bCs/>
          <w:i/>
        </w:rPr>
        <w:t>’</w:t>
      </w:r>
      <w:r w:rsidRPr="00CB57FB">
        <w:rPr>
          <w:bCs/>
          <w:i/>
        </w:rPr>
        <w:t>s confidentiality to the extent permitted by law.</w:t>
      </w:r>
    </w:p>
    <w:p w:rsidR="007E6167" w:rsidRPr="00CB57FB" w:rsidRDefault="007E6167" w:rsidP="00DD5651">
      <w:pPr>
        <w:ind w:left="1080" w:hanging="360"/>
      </w:pPr>
    </w:p>
    <w:p w:rsidR="00EB2759" w:rsidRPr="00CB57FB" w:rsidRDefault="00EB2759" w:rsidP="00DD5651">
      <w:r w:rsidRPr="00CB57FB">
        <w:t xml:space="preserve">There are no special circumstances that would cause this information collection to be conducted in any manner listed above.  </w:t>
      </w:r>
    </w:p>
    <w:p w:rsidR="007E6167" w:rsidRPr="00CB57FB" w:rsidRDefault="007E6167" w:rsidP="00DD5651"/>
    <w:p w:rsidR="00EB2759" w:rsidRPr="00CB57FB" w:rsidRDefault="00EB2759" w:rsidP="00DD5651">
      <w:pPr>
        <w:rPr>
          <w:bCs/>
          <w:i/>
        </w:rPr>
      </w:pPr>
      <w:r w:rsidRPr="00CB57FB">
        <w:rPr>
          <w:bCs/>
          <w:i/>
        </w:rPr>
        <w:t>8.</w:t>
      </w:r>
      <w:r w:rsidR="000839EE" w:rsidRPr="00CB57FB">
        <w:rPr>
          <w:bCs/>
          <w:i/>
        </w:rPr>
        <w:tab/>
        <w:t>I</w:t>
      </w:r>
      <w:r w:rsidRPr="00CB57FB">
        <w:rPr>
          <w:bCs/>
          <w:i/>
        </w:rPr>
        <w:t>f applicable, provide a copy and identify the date and page number of publication in the Federal Register of the agency</w:t>
      </w:r>
      <w:r w:rsidR="0070408A">
        <w:rPr>
          <w:bCs/>
          <w:i/>
        </w:rPr>
        <w:t>’</w:t>
      </w:r>
      <w:r w:rsidRPr="00CB57FB">
        <w:rPr>
          <w:bCs/>
          <w:i/>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E6167" w:rsidRPr="00CB57FB" w:rsidRDefault="007E6167" w:rsidP="00DD5651">
      <w:pPr>
        <w:rPr>
          <w:i/>
        </w:rPr>
      </w:pPr>
    </w:p>
    <w:p w:rsidR="00EB2759" w:rsidRPr="00CB57FB" w:rsidRDefault="00EB2759" w:rsidP="00DD5651">
      <w:pPr>
        <w:rPr>
          <w:bCs/>
          <w:i/>
        </w:rPr>
      </w:pPr>
      <w:r w:rsidRPr="00CB57FB">
        <w:rPr>
          <w:bCs/>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6167" w:rsidRPr="00CB57FB" w:rsidRDefault="007E6167" w:rsidP="00DD5651">
      <w:pPr>
        <w:rPr>
          <w:i/>
        </w:rPr>
      </w:pPr>
    </w:p>
    <w:p w:rsidR="00EB2759" w:rsidRPr="00CB57FB" w:rsidRDefault="00EB2759" w:rsidP="00DD5651">
      <w:pPr>
        <w:rPr>
          <w:bCs/>
          <w:i/>
        </w:rPr>
      </w:pPr>
      <w:r w:rsidRPr="00CB57FB">
        <w:rPr>
          <w:bCs/>
          <w:i/>
        </w:rPr>
        <w:t xml:space="preserve">Consultation with representatives of those from whom information is to be obtained or those who must compile records should occur at least once every 3 years </w:t>
      </w:r>
      <w:r w:rsidR="00E4712A" w:rsidRPr="00CB57FB">
        <w:rPr>
          <w:bCs/>
          <w:i/>
        </w:rPr>
        <w:t>--</w:t>
      </w:r>
      <w:r w:rsidRPr="00CB57FB">
        <w:rPr>
          <w:bCs/>
          <w:i/>
        </w:rPr>
        <w:t xml:space="preserve"> even if the collection of information activity is the same as in prior periods.  There may be circumstances that may preclude consultation in a specific situation.  These circumstances should be explained.</w:t>
      </w:r>
    </w:p>
    <w:p w:rsidR="00AA69B2" w:rsidRDefault="00AA69B2" w:rsidP="00DD5651"/>
    <w:p w:rsidR="00AA69B2" w:rsidRDefault="00AA69B2" w:rsidP="00AA69B2">
      <w:r w:rsidRPr="00735474">
        <w:t>The Department</w:t>
      </w:r>
      <w:r w:rsidR="0070408A">
        <w:t>’</w:t>
      </w:r>
      <w:r w:rsidRPr="00735474">
        <w:t xml:space="preserve">s notice soliciting public comment and providing 60 days for that purpose as required by 5 CFR 1320.8 (d) was published in the Federal Register on </w:t>
      </w:r>
      <w:r>
        <w:t>March 12, 2014</w:t>
      </w:r>
      <w:r w:rsidRPr="00735474">
        <w:t xml:space="preserve"> (</w:t>
      </w:r>
      <w:r>
        <w:t>79</w:t>
      </w:r>
      <w:r w:rsidRPr="00735474">
        <w:t xml:space="preserve"> FR </w:t>
      </w:r>
      <w:r>
        <w:t>14085</w:t>
      </w:r>
      <w:r w:rsidRPr="00735474">
        <w:t>).</w:t>
      </w:r>
      <w:r>
        <w:t xml:space="preserve">  The Department received seven comments in response to the publication of the 60-day notice.  The comments were focused on six areas: 1) concern with overall timing of the focus groups relative to the publication of the NPRM; 2) whether fiduciaries of large plans should be included in the focus groups; 3) whether service providers should be included in focus groups; 4) whether a survey should be used instead of, or in conjunction with, the focus groups; 5) participant recall of disclosures received in the past; and 6) comments on specific questions of the script</w:t>
      </w:r>
      <w:r w:rsidR="00EF4A80">
        <w:t xml:space="preserve">.  </w:t>
      </w:r>
      <w:r w:rsidR="00811A97">
        <w:t>The comments are summarized below.</w:t>
      </w:r>
    </w:p>
    <w:p w:rsidR="00AA69B2" w:rsidRDefault="00AA69B2" w:rsidP="00AA69B2"/>
    <w:p w:rsidR="00AA69B2" w:rsidRPr="005E0DFC" w:rsidRDefault="00AA69B2" w:rsidP="00AA69B2">
      <w:pPr>
        <w:rPr>
          <w:b/>
        </w:rPr>
      </w:pPr>
      <w:r>
        <w:rPr>
          <w:b/>
        </w:rPr>
        <w:t>Timing of the Focus Groups Relative to the Publication of the NPRM</w:t>
      </w:r>
    </w:p>
    <w:p w:rsidR="00AA69B2" w:rsidRDefault="00AA69B2" w:rsidP="00AA69B2">
      <w:r>
        <w:t xml:space="preserve">Commenters raised concerns about the timing of conducting the focus groups relative to the publication of the NPRM.  They assert that </w:t>
      </w:r>
      <w:r w:rsidRPr="00137461">
        <w:t>EBSA should have completed the focus group testing before issuing the NPRM</w:t>
      </w:r>
      <w:r>
        <w:t xml:space="preserve">, because the focus groups would </w:t>
      </w:r>
      <w:r w:rsidRPr="00137461">
        <w:t xml:space="preserve">have provided EBSA with information to determine whether the proposed guide requirement is necessary and whether its benefits justify its costs.  </w:t>
      </w:r>
      <w:r>
        <w:t xml:space="preserve">The Department, with OMB approval, already has published the NPRM.  However, the Department will consider the results of the focus group testing in determining whether, and what, final guidance will be issued in response to the NPRM.  </w:t>
      </w:r>
      <w:r w:rsidRPr="00216964">
        <w:t xml:space="preserve">The </w:t>
      </w:r>
      <w:r>
        <w:t xml:space="preserve">view </w:t>
      </w:r>
      <w:r w:rsidRPr="00216964">
        <w:t xml:space="preserve">of these commenters is that they ought to have an opportunity to </w:t>
      </w:r>
      <w:r>
        <w:t xml:space="preserve">review and </w:t>
      </w:r>
      <w:r w:rsidRPr="00216964">
        <w:t>comment on the results of the focus group</w:t>
      </w:r>
      <w:r>
        <w:t>s</w:t>
      </w:r>
      <w:r w:rsidRPr="00216964">
        <w:t>.  In the preamble to the NPRM, the Department has already said it may reopen the comment period on the NPRM once the focus group report is made public</w:t>
      </w:r>
      <w:r w:rsidRPr="00E516B1">
        <w:t xml:space="preserve"> to allow interested parties to comment on the focus group results</w:t>
      </w:r>
      <w:r w:rsidR="00EF4A80" w:rsidRPr="00E516B1">
        <w:t>.</w:t>
      </w:r>
      <w:r w:rsidR="00EF4A80" w:rsidRPr="007C471C">
        <w:t xml:space="preserve">  </w:t>
      </w:r>
      <w:r w:rsidRPr="007C471C">
        <w:t xml:space="preserve">The Department will revisit the issue of whether to reopen </w:t>
      </w:r>
      <w:r w:rsidRPr="00E17811">
        <w:t>the comment period on NRPM when we have the results of the focus group in hand.</w:t>
      </w:r>
    </w:p>
    <w:p w:rsidR="00AA69B2" w:rsidRPr="00E17811" w:rsidRDefault="00AA69B2" w:rsidP="00AA69B2"/>
    <w:p w:rsidR="00AA69B2" w:rsidRPr="005E0DFC" w:rsidRDefault="00AA69B2" w:rsidP="00AA69B2">
      <w:pPr>
        <w:rPr>
          <w:b/>
        </w:rPr>
      </w:pPr>
      <w:r>
        <w:rPr>
          <w:b/>
        </w:rPr>
        <w:t>Include Fiduciaries of Large Plans in the Focus Groups</w:t>
      </w:r>
    </w:p>
    <w:p w:rsidR="00AA69B2" w:rsidRDefault="00AA69B2" w:rsidP="00AA69B2">
      <w:r>
        <w:t>Commenters suggested that large plan fiduciaries should be included in the focus groups, given that most plan participants are in large plans and that the NPRM would apply to such plans</w:t>
      </w:r>
      <w:r w:rsidR="00EF4A80">
        <w:t xml:space="preserve">.  </w:t>
      </w:r>
      <w:r>
        <w:t>In response, the Department is adding two separate focus groups for large plan fiduciaries and retaining six focus groups for small plan fiduciaries.  There are more focus groups for small plan fiduciaries than for large plan fiduciaries because the Department understands that small plan fiduciaries are  most likely to be having problems with the 408(b)(2) disclosures</w:t>
      </w:r>
      <w:r w:rsidR="00EF4A80">
        <w:t xml:space="preserve">.  </w:t>
      </w:r>
      <w:r>
        <w:t>Moreover, although most participants are in large plans, most plans are small</w:t>
      </w:r>
      <w:r w:rsidR="00EF4A80">
        <w:t xml:space="preserve">.  </w:t>
      </w:r>
      <w:r>
        <w:t>Therefore, the Department continues to include more focus groups for small plan fiduciaries.</w:t>
      </w:r>
    </w:p>
    <w:p w:rsidR="00AA69B2" w:rsidRDefault="00AA69B2" w:rsidP="00AA69B2"/>
    <w:p w:rsidR="00AA69B2" w:rsidRPr="000D63B6" w:rsidRDefault="00AA69B2" w:rsidP="00AA69B2">
      <w:pPr>
        <w:rPr>
          <w:b/>
        </w:rPr>
      </w:pPr>
      <w:r>
        <w:rPr>
          <w:b/>
        </w:rPr>
        <w:t>Including Service Providers in Focus Groups</w:t>
      </w:r>
    </w:p>
    <w:p w:rsidR="00AA69B2" w:rsidRDefault="00AA69B2" w:rsidP="00AA69B2">
      <w:r>
        <w:t xml:space="preserve">Commenters suggested either that plan fiduciaries be asked or permitted to bring their service providers with them to the focus groups, or that the Department conduct separate focus groups for service providers.  They asserted </w:t>
      </w:r>
      <w:r>
        <w:rPr>
          <w:rFonts w:ascii="Book Antiqua" w:hAnsi="Book Antiqua"/>
          <w:sz w:val="22"/>
        </w:rPr>
        <w:t>that often it is an adviser or other service provider that actually reviews the disclosures and assists the small employer in selecting other plan services and service providers.  These commenters question whether the Department will learn much from these small employers without the assistance of these advisers.</w:t>
      </w:r>
      <w:r w:rsidRPr="00C95A75">
        <w:t xml:space="preserve">  </w:t>
      </w:r>
      <w:r>
        <w:t xml:space="preserve">The Department did not accommodate this suggestion.  </w:t>
      </w:r>
      <w:r w:rsidRPr="00C95A75">
        <w:t>Fiduciaries are the target audience of the regulation</w:t>
      </w:r>
      <w:r w:rsidR="0070408A">
        <w:t>’</w:t>
      </w:r>
      <w:r w:rsidRPr="00C95A75">
        <w:t xml:space="preserve">s requirements and are ultimately responsible for the selecting and monitoring </w:t>
      </w:r>
      <w:r>
        <w:t xml:space="preserve">of </w:t>
      </w:r>
      <w:r w:rsidRPr="00C95A75">
        <w:t>plan service providers</w:t>
      </w:r>
      <w:r w:rsidR="00EF4A80" w:rsidRPr="00C95A75">
        <w:t>.</w:t>
      </w:r>
      <w:r w:rsidR="00EF4A80">
        <w:t xml:space="preserve">  </w:t>
      </w:r>
      <w:r>
        <w:t>The focus groups are being conducted to evaluate the effectiveness of the 408(b</w:t>
      </w:r>
      <w:proofErr w:type="gramStart"/>
      <w:r>
        <w:t>)(</w:t>
      </w:r>
      <w:proofErr w:type="gramEnd"/>
      <w:r>
        <w:t>2) regulations in helping fiduciaries to find and understand the information they need to make decisions.  Therefore, the Department has decided that the focus groups will continue to include only plan fiduciaries.  Service providers may still submit their comments through the public comment process for the NPRM.</w:t>
      </w:r>
    </w:p>
    <w:p w:rsidR="00AA69B2" w:rsidRDefault="00AA69B2" w:rsidP="00AA69B2"/>
    <w:p w:rsidR="00AA69B2" w:rsidRDefault="00AA69B2" w:rsidP="00AA69B2">
      <w:pPr>
        <w:rPr>
          <w:b/>
        </w:rPr>
      </w:pPr>
      <w:r>
        <w:rPr>
          <w:b/>
        </w:rPr>
        <w:t>Conduct a Survey</w:t>
      </w:r>
    </w:p>
    <w:p w:rsidR="00AA69B2" w:rsidRDefault="00AA69B2" w:rsidP="00AA69B2">
      <w:r>
        <w:t>Commenters suggested that the Department conduct a survey in place of, or in addition to, a focus group.  The Department understands that a survey could provide statistical validity depending on how it is constructed and carried out, whereas a focus group would not.  The Department has decided not to pursue a</w:t>
      </w:r>
      <w:r w:rsidRPr="001E2D77">
        <w:t xml:space="preserve"> survey </w:t>
      </w:r>
      <w:r>
        <w:t xml:space="preserve">at this time, because </w:t>
      </w:r>
      <w:r w:rsidR="00B36B74">
        <w:t xml:space="preserve">a focus group allows more in-depth study of the topic, including responses to other focus group participants’ ideas and comments.  </w:t>
      </w:r>
      <w:r w:rsidR="00695F8B">
        <w:t xml:space="preserve">The development and clearance of a survey </w:t>
      </w:r>
      <w:r w:rsidR="00F21DAB">
        <w:t>w</w:t>
      </w:r>
      <w:r w:rsidR="00695F8B">
        <w:t xml:space="preserve">ould also delay </w:t>
      </w:r>
      <w:r w:rsidR="00F21DAB">
        <w:t xml:space="preserve">obtaining </w:t>
      </w:r>
      <w:r w:rsidR="00261CDE">
        <w:t xml:space="preserve">information, including </w:t>
      </w:r>
      <w:r w:rsidRPr="001E2D77">
        <w:t>a</w:t>
      </w:r>
      <w:r w:rsidR="0011051C">
        <w:t>nother</w:t>
      </w:r>
      <w:r w:rsidRPr="001E2D77">
        <w:t xml:space="preserve"> </w:t>
      </w:r>
      <w:r w:rsidR="00B36B74">
        <w:t>ICR</w:t>
      </w:r>
      <w:r w:rsidR="00B2706B">
        <w:t>.  Coupled, these two items suggest a survey</w:t>
      </w:r>
      <w:r w:rsidR="0011051C">
        <w:t xml:space="preserve"> </w:t>
      </w:r>
      <w:r w:rsidR="00A820A4">
        <w:t>might</w:t>
      </w:r>
      <w:r w:rsidR="0011051C">
        <w:t xml:space="preserve"> have limited practical utility for the Department</w:t>
      </w:r>
      <w:r>
        <w:t xml:space="preserve">.  </w:t>
      </w:r>
      <w:r w:rsidR="00C22A20">
        <w:t>A</w:t>
      </w:r>
      <w:r w:rsidRPr="001E2D77">
        <w:t xml:space="preserve"> survey is </w:t>
      </w:r>
      <w:r w:rsidR="00C22A20">
        <w:t xml:space="preserve">also </w:t>
      </w:r>
      <w:r w:rsidRPr="001E2D77">
        <w:t>not within the scope of the</w:t>
      </w:r>
      <w:r>
        <w:t xml:space="preserve"> Department</w:t>
      </w:r>
      <w:r w:rsidR="0070408A">
        <w:t>’</w:t>
      </w:r>
      <w:r>
        <w:t>s</w:t>
      </w:r>
      <w:r w:rsidRPr="001E2D77">
        <w:t xml:space="preserve"> cur</w:t>
      </w:r>
      <w:r>
        <w:t>rent contract (and funding).  Moreover, t</w:t>
      </w:r>
      <w:r w:rsidRPr="001E2D77">
        <w:t xml:space="preserve">he </w:t>
      </w:r>
      <w:r w:rsidR="00154666">
        <w:t>“</w:t>
      </w:r>
      <w:r w:rsidRPr="001E2D77">
        <w:t>recall</w:t>
      </w:r>
      <w:r w:rsidR="00154666">
        <w:t>”</w:t>
      </w:r>
      <w:r w:rsidRPr="001E2D77">
        <w:t xml:space="preserve"> issue discussed below is </w:t>
      </w:r>
      <w:r>
        <w:t xml:space="preserve">of even greater </w:t>
      </w:r>
      <w:r w:rsidRPr="001E2D77">
        <w:t>concern with a survey, because respondents would not be prompted by</w:t>
      </w:r>
      <w:r>
        <w:t xml:space="preserve"> a</w:t>
      </w:r>
      <w:r w:rsidRPr="001E2D77">
        <w:t xml:space="preserve"> moderator to refresh their recollection abou</w:t>
      </w:r>
      <w:r>
        <w:t xml:space="preserve">t the disclosures they received, </w:t>
      </w:r>
      <w:r w:rsidRPr="001E2D77">
        <w:t>as they would in a focus group</w:t>
      </w:r>
      <w:r>
        <w:t xml:space="preserve"> setting.</w:t>
      </w:r>
    </w:p>
    <w:p w:rsidR="00AA69B2" w:rsidRDefault="00AA69B2" w:rsidP="00AA69B2"/>
    <w:p w:rsidR="00AA69B2" w:rsidRPr="00E41C60" w:rsidRDefault="00AA69B2" w:rsidP="00AA69B2">
      <w:pPr>
        <w:rPr>
          <w:b/>
        </w:rPr>
      </w:pPr>
      <w:r>
        <w:rPr>
          <w:b/>
        </w:rPr>
        <w:t>Participant Recall</w:t>
      </w:r>
    </w:p>
    <w:p w:rsidR="00AA69B2" w:rsidRDefault="00EF4A80" w:rsidP="00AA69B2">
      <w:r>
        <w:t xml:space="preserve">Commenters expressed concern and skepticism that focus group participants would be able meaningfully </w:t>
      </w:r>
      <w:r w:rsidRPr="00B13EE3">
        <w:t xml:space="preserve">to </w:t>
      </w:r>
      <w:r>
        <w:t xml:space="preserve">recall details about disclosures received, in some cases, two years in the past.  </w:t>
      </w:r>
      <w:r w:rsidR="00AA69B2">
        <w:t>The Department appreciates this concern and has taken steps to address this concern.  For instance, prospective focus group participants will be contacted prior to the focus group and will be encouraged to review their disclosures before attending the focus groups, or even bring them to the focus groups.  The Department also notes that at least some participating fiduciaries will have reviewed their disclosures recently as part of their periodic review of their plans</w:t>
      </w:r>
      <w:r w:rsidR="0070408A">
        <w:t>’</w:t>
      </w:r>
      <w:r w:rsidR="00AA69B2">
        <w:t xml:space="preserve"> service providers, or if they are contemplating changing a service provider.  In addition, some plan fiduciaries may have recently received updated disclosures from their service providers.</w:t>
      </w:r>
    </w:p>
    <w:p w:rsidR="00AA69B2" w:rsidRDefault="00AA69B2" w:rsidP="00DD5651"/>
    <w:p w:rsidR="00AA69B2" w:rsidRPr="00AA69B2" w:rsidRDefault="00AA69B2" w:rsidP="00AA69B2">
      <w:pPr>
        <w:pStyle w:val="CommentText"/>
        <w:rPr>
          <w:sz w:val="24"/>
          <w:szCs w:val="24"/>
        </w:rPr>
      </w:pPr>
      <w:r w:rsidRPr="00AA69B2">
        <w:rPr>
          <w:sz w:val="24"/>
          <w:szCs w:val="24"/>
        </w:rPr>
        <w:t xml:space="preserve">In addition to </w:t>
      </w:r>
      <w:r>
        <w:rPr>
          <w:sz w:val="24"/>
          <w:szCs w:val="24"/>
        </w:rPr>
        <w:t xml:space="preserve">the </w:t>
      </w:r>
      <w:r w:rsidRPr="00AA69B2">
        <w:rPr>
          <w:sz w:val="24"/>
          <w:szCs w:val="24"/>
        </w:rPr>
        <w:t xml:space="preserve">principal issues mentioned above, the Department, at the specific request of commenters, made approximately 15 changes to </w:t>
      </w:r>
      <w:r>
        <w:rPr>
          <w:sz w:val="24"/>
          <w:szCs w:val="24"/>
        </w:rPr>
        <w:t xml:space="preserve">specific questions on </w:t>
      </w:r>
      <w:r w:rsidRPr="00AA69B2">
        <w:rPr>
          <w:sz w:val="24"/>
          <w:szCs w:val="24"/>
        </w:rPr>
        <w:t>the focus group script.  Some of these changes were editorial and others were to reduce or el</w:t>
      </w:r>
      <w:r>
        <w:rPr>
          <w:sz w:val="24"/>
          <w:szCs w:val="24"/>
        </w:rPr>
        <w:t>iminate potential answer bias.</w:t>
      </w:r>
      <w:r w:rsidRPr="00AA69B2">
        <w:rPr>
          <w:sz w:val="24"/>
          <w:szCs w:val="24"/>
        </w:rPr>
        <w:t xml:space="preserve"> </w:t>
      </w:r>
    </w:p>
    <w:p w:rsidR="00947B22" w:rsidRPr="00CB57FB" w:rsidRDefault="00947B22" w:rsidP="00DD5651"/>
    <w:p w:rsidR="00EB2759" w:rsidRPr="00CB57FB" w:rsidRDefault="00EB2759" w:rsidP="00DD5651">
      <w:pPr>
        <w:rPr>
          <w:bCs/>
          <w:i/>
        </w:rPr>
      </w:pPr>
      <w:r w:rsidRPr="00CB57FB">
        <w:rPr>
          <w:bCs/>
          <w:i/>
        </w:rPr>
        <w:t>9.</w:t>
      </w:r>
      <w:r w:rsidR="000839EE" w:rsidRPr="00CB57FB">
        <w:rPr>
          <w:bCs/>
          <w:i/>
        </w:rPr>
        <w:tab/>
      </w:r>
      <w:r w:rsidRPr="00CB57FB">
        <w:rPr>
          <w:bCs/>
          <w:i/>
        </w:rPr>
        <w:t>Explain any decision to provide any payment or gift to respondents, other than remuneration of contractors or grantees.</w:t>
      </w:r>
    </w:p>
    <w:p w:rsidR="007E6167" w:rsidRPr="00CB57FB" w:rsidRDefault="007E6167" w:rsidP="00DD5651"/>
    <w:p w:rsidR="00EB2759" w:rsidRPr="00CB57FB" w:rsidRDefault="00471C79" w:rsidP="00DD5651">
      <w:r w:rsidRPr="00CB57FB">
        <w:t xml:space="preserve">No payments or gifts </w:t>
      </w:r>
      <w:r w:rsidR="005C787E" w:rsidRPr="00CB57FB">
        <w:t xml:space="preserve">will be </w:t>
      </w:r>
      <w:r w:rsidRPr="00CB57FB">
        <w:t>provided to respondents.</w:t>
      </w:r>
    </w:p>
    <w:p w:rsidR="007E6167" w:rsidRPr="00CB57FB" w:rsidRDefault="007E6167" w:rsidP="00DD5651"/>
    <w:p w:rsidR="00EB2759" w:rsidRPr="00CB57FB" w:rsidRDefault="00EB2759" w:rsidP="00DD5651">
      <w:pPr>
        <w:rPr>
          <w:bCs/>
          <w:i/>
        </w:rPr>
      </w:pPr>
      <w:r w:rsidRPr="00CB57FB">
        <w:rPr>
          <w:bCs/>
          <w:i/>
        </w:rPr>
        <w:t>10.</w:t>
      </w:r>
      <w:r w:rsidR="000839EE" w:rsidRPr="00CB57FB">
        <w:rPr>
          <w:bCs/>
          <w:i/>
        </w:rPr>
        <w:tab/>
      </w:r>
      <w:r w:rsidRPr="00CB57FB">
        <w:rPr>
          <w:bCs/>
          <w:i/>
        </w:rPr>
        <w:t>Describe any assurance of confidentiality provided to respondents and the basis for the assurance in statute, regulation, or agency policy.</w:t>
      </w:r>
    </w:p>
    <w:p w:rsidR="007E6167" w:rsidRPr="00CB57FB" w:rsidRDefault="007E6167" w:rsidP="00DD5651"/>
    <w:p w:rsidR="003D0628" w:rsidRPr="00CB57FB" w:rsidRDefault="00005A45" w:rsidP="00DD5651">
      <w:r w:rsidRPr="00CB57FB">
        <w:t>The Department of Labor will be blind to the focus group process</w:t>
      </w:r>
      <w:r w:rsidR="00EF4A80" w:rsidRPr="00CB57FB">
        <w:t xml:space="preserve">.  </w:t>
      </w:r>
      <w:r w:rsidR="000839EE" w:rsidRPr="00CB57FB">
        <w:t>The focus group</w:t>
      </w:r>
      <w:r w:rsidR="009362B1" w:rsidRPr="00CB57FB">
        <w:t>s</w:t>
      </w:r>
      <w:r w:rsidR="000839EE" w:rsidRPr="00CB57FB">
        <w:t xml:space="preserve"> will be conducted by a contractor and the raw data </w:t>
      </w:r>
      <w:r w:rsidRPr="00CB57FB">
        <w:t>obtained in</w:t>
      </w:r>
      <w:r w:rsidR="000839EE" w:rsidRPr="00CB57FB">
        <w:t xml:space="preserve"> the focus groups will not be shared with the Department.  </w:t>
      </w:r>
      <w:r w:rsidR="004D115A" w:rsidRPr="00CB57FB">
        <w:t>The Department will thus not be able to determine the identity of any of the focus group participants</w:t>
      </w:r>
      <w:r w:rsidR="00EF4A80" w:rsidRPr="00CB57FB">
        <w:t xml:space="preserve">.  </w:t>
      </w:r>
      <w:r w:rsidR="005C787E" w:rsidRPr="00CB57FB">
        <w:t>T</w:t>
      </w:r>
      <w:r w:rsidR="004D115A" w:rsidRPr="00CB57FB">
        <w:t xml:space="preserve">he focus group participants will be </w:t>
      </w:r>
      <w:r w:rsidR="009362B1" w:rsidRPr="00CB57FB">
        <w:t>assured</w:t>
      </w:r>
      <w:r w:rsidR="004D115A" w:rsidRPr="00CB57FB">
        <w:t xml:space="preserve"> that </w:t>
      </w:r>
      <w:r w:rsidR="00EA2417">
        <w:rPr>
          <w:rFonts w:ascii="Garamond" w:hAnsi="Garamond"/>
        </w:rPr>
        <w:t>any</w:t>
      </w:r>
      <w:r w:rsidR="00D7648B">
        <w:rPr>
          <w:rFonts w:ascii="Garamond" w:hAnsi="Garamond"/>
        </w:rPr>
        <w:t xml:space="preserve"> information the contractor shares with the Department </w:t>
      </w:r>
      <w:r w:rsidR="008F366A">
        <w:rPr>
          <w:rFonts w:ascii="Garamond" w:hAnsi="Garamond"/>
        </w:rPr>
        <w:t xml:space="preserve">will </w:t>
      </w:r>
      <w:r w:rsidR="00D7648B">
        <w:rPr>
          <w:rFonts w:ascii="Garamond" w:hAnsi="Garamond"/>
        </w:rPr>
        <w:t xml:space="preserve">not include </w:t>
      </w:r>
      <w:r w:rsidR="008F366A">
        <w:rPr>
          <w:rFonts w:ascii="Garamond" w:hAnsi="Garamond"/>
        </w:rPr>
        <w:t>participants</w:t>
      </w:r>
      <w:r w:rsidR="009A548D">
        <w:rPr>
          <w:rFonts w:ascii="Garamond" w:hAnsi="Garamond"/>
        </w:rPr>
        <w:t>’</w:t>
      </w:r>
      <w:r w:rsidR="008F366A">
        <w:rPr>
          <w:rFonts w:ascii="Garamond" w:hAnsi="Garamond"/>
        </w:rPr>
        <w:t xml:space="preserve"> or their employers’ </w:t>
      </w:r>
      <w:r w:rsidR="00D7648B" w:rsidRPr="00F91D62">
        <w:rPr>
          <w:rFonts w:ascii="Garamond" w:hAnsi="Garamond"/>
        </w:rPr>
        <w:t>name</w:t>
      </w:r>
      <w:r w:rsidR="008F366A">
        <w:rPr>
          <w:rFonts w:ascii="Garamond" w:hAnsi="Garamond"/>
        </w:rPr>
        <w:t>s</w:t>
      </w:r>
      <w:r w:rsidR="004D115A" w:rsidRPr="00CB57FB">
        <w:t>.</w:t>
      </w:r>
    </w:p>
    <w:p w:rsidR="00E33B9C" w:rsidRPr="00CB57FB" w:rsidRDefault="00E33B9C" w:rsidP="00DD5651">
      <w:pPr>
        <w:rPr>
          <w:sz w:val="28"/>
          <w:szCs w:val="28"/>
        </w:rPr>
      </w:pPr>
    </w:p>
    <w:p w:rsidR="00EB2759" w:rsidRPr="00CB57FB" w:rsidRDefault="00EB2759" w:rsidP="00DD5651">
      <w:pPr>
        <w:rPr>
          <w:bCs/>
          <w:i/>
        </w:rPr>
      </w:pPr>
      <w:r w:rsidRPr="00CB57FB">
        <w:rPr>
          <w:bCs/>
          <w:i/>
        </w:rPr>
        <w:t>11.</w:t>
      </w:r>
      <w:r w:rsidR="000839EE" w:rsidRPr="00CB57FB">
        <w:rPr>
          <w:bCs/>
          <w:i/>
        </w:rPr>
        <w:tab/>
      </w:r>
      <w:r w:rsidRPr="00CB57FB">
        <w:rPr>
          <w:bCs/>
          <w:i/>
        </w:rPr>
        <w:t>Provide additional justification for any questions of a sensitive nature, such as sexual behavior and attitudes, religious beliefs, and other matters that are commonly considered private.  This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7E6167" w:rsidRPr="00CB57FB" w:rsidRDefault="007E6167" w:rsidP="00DD5651"/>
    <w:p w:rsidR="00436A4A" w:rsidRPr="00CB57FB" w:rsidRDefault="00492B24" w:rsidP="00436A4A">
      <w:proofErr w:type="gramStart"/>
      <w:r w:rsidRPr="00CB57FB">
        <w:t>None.</w:t>
      </w:r>
      <w:proofErr w:type="gramEnd"/>
    </w:p>
    <w:p w:rsidR="008D494A" w:rsidRPr="00CB57FB" w:rsidRDefault="008D494A" w:rsidP="00DD5651">
      <w:pPr>
        <w:autoSpaceDE w:val="0"/>
        <w:autoSpaceDN w:val="0"/>
        <w:adjustRightInd w:val="0"/>
      </w:pPr>
    </w:p>
    <w:p w:rsidR="000D05C3" w:rsidRPr="00CB57FB" w:rsidRDefault="00EB2759" w:rsidP="00DD5651">
      <w:pPr>
        <w:rPr>
          <w:bCs/>
          <w:i/>
        </w:rPr>
      </w:pPr>
      <w:r w:rsidRPr="00CB57FB">
        <w:rPr>
          <w:bCs/>
          <w:i/>
        </w:rPr>
        <w:t>12.</w:t>
      </w:r>
      <w:r w:rsidR="000839EE" w:rsidRPr="00CB57FB">
        <w:rPr>
          <w:bCs/>
          <w:i/>
        </w:rPr>
        <w:tab/>
      </w:r>
      <w:r w:rsidRPr="00CB57FB">
        <w:rPr>
          <w:bCs/>
          <w:i/>
        </w:rPr>
        <w:t>Provide estimates of the hour burden of the collection of information.  The statement should:</w:t>
      </w:r>
      <w:r w:rsidR="00C56535" w:rsidRPr="00CB57FB">
        <w:rPr>
          <w:bCs/>
          <w:i/>
        </w:rPr>
        <w:t xml:space="preserve">  </w:t>
      </w:r>
      <w:r w:rsidRPr="00CB57FB">
        <w:rPr>
          <w:bCs/>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F2534" w:rsidRPr="00CB57FB" w:rsidRDefault="003F2534" w:rsidP="00DD5651"/>
    <w:p w:rsidR="00406862" w:rsidRPr="00CB57FB" w:rsidRDefault="00004F4B" w:rsidP="00DD5651">
      <w:r w:rsidRPr="00CB57FB">
        <w:t>Table 1</w:t>
      </w:r>
      <w:r w:rsidR="009362B1" w:rsidRPr="00CB57FB">
        <w:t>, below,</w:t>
      </w:r>
      <w:r w:rsidRPr="00CB57FB">
        <w:t xml:space="preserve"> provides the estimate of the respondent hour burden for </w:t>
      </w:r>
      <w:r w:rsidR="005C45AC" w:rsidRPr="00CB57FB">
        <w:t xml:space="preserve">participating in the </w:t>
      </w:r>
      <w:r w:rsidR="00EF381D" w:rsidRPr="00CB57FB">
        <w:t xml:space="preserve">focus groups </w:t>
      </w:r>
      <w:r w:rsidR="00B11F19" w:rsidRPr="00CB57FB">
        <w:t>conducted by the evaluators</w:t>
      </w:r>
      <w:r w:rsidR="00652B44" w:rsidRPr="00CB57FB">
        <w:t xml:space="preserve">. </w:t>
      </w:r>
      <w:r w:rsidR="00EF381D" w:rsidRPr="00CB57FB">
        <w:t xml:space="preserve"> </w:t>
      </w:r>
      <w:r w:rsidR="00652B44" w:rsidRPr="00CB57FB">
        <w:t xml:space="preserve">The </w:t>
      </w:r>
      <w:r w:rsidR="00F31AF3" w:rsidRPr="00CB57FB">
        <w:t xml:space="preserve">hour burden </w:t>
      </w:r>
      <w:r w:rsidR="00652B44" w:rsidRPr="00CB57FB">
        <w:t xml:space="preserve">estimate for </w:t>
      </w:r>
      <w:r w:rsidR="00F31AF3" w:rsidRPr="00CB57FB">
        <w:t xml:space="preserve">data </w:t>
      </w:r>
      <w:r w:rsidR="00652B44" w:rsidRPr="00CB57FB">
        <w:t>collection</w:t>
      </w:r>
      <w:r w:rsidR="00B11F19" w:rsidRPr="00CB57FB">
        <w:t xml:space="preserve"> through </w:t>
      </w:r>
      <w:r w:rsidR="00786D00" w:rsidRPr="00CB57FB">
        <w:t>focus groups</w:t>
      </w:r>
      <w:r w:rsidR="005B3BC0" w:rsidRPr="00CB57FB">
        <w:t xml:space="preserve"> over one year r</w:t>
      </w:r>
      <w:r w:rsidR="00652B44" w:rsidRPr="00CB57FB">
        <w:t>anges from</w:t>
      </w:r>
      <w:r w:rsidR="00786D00" w:rsidRPr="00CB57FB">
        <w:t xml:space="preserve"> </w:t>
      </w:r>
      <w:r w:rsidR="000E42A9" w:rsidRPr="00CB57FB">
        <w:t>70</w:t>
      </w:r>
      <w:r w:rsidR="00786D00" w:rsidRPr="00CB57FB">
        <w:t xml:space="preserve"> to </w:t>
      </w:r>
      <w:r w:rsidR="000E42A9" w:rsidRPr="00CB57FB">
        <w:t>2</w:t>
      </w:r>
      <w:r w:rsidR="00786D00" w:rsidRPr="00CB57FB">
        <w:t>00</w:t>
      </w:r>
      <w:r w:rsidR="00922515" w:rsidRPr="00CB57FB">
        <w:t xml:space="preserve"> </w:t>
      </w:r>
      <w:r w:rsidR="00652B44" w:rsidRPr="00CB57FB">
        <w:t>hours</w:t>
      </w:r>
      <w:r w:rsidR="005F1A21" w:rsidRPr="00CB57FB">
        <w:t xml:space="preserve">.  The </w:t>
      </w:r>
      <w:r w:rsidR="00922515" w:rsidRPr="00CB57FB">
        <w:t>actual</w:t>
      </w:r>
      <w:r w:rsidR="005F1A21" w:rsidRPr="00CB57FB">
        <w:t xml:space="preserve"> number </w:t>
      </w:r>
      <w:r w:rsidR="00922515" w:rsidRPr="00CB57FB">
        <w:t xml:space="preserve">will </w:t>
      </w:r>
      <w:r w:rsidR="005F1A21" w:rsidRPr="00CB57FB">
        <w:t>vary based on the</w:t>
      </w:r>
      <w:r w:rsidR="00E87C96" w:rsidRPr="00CB57FB">
        <w:t xml:space="preserve"> complexity </w:t>
      </w:r>
      <w:r w:rsidR="00786D00" w:rsidRPr="00CB57FB">
        <w:t xml:space="preserve">and duration </w:t>
      </w:r>
      <w:r w:rsidR="00E87C96" w:rsidRPr="00CB57FB">
        <w:t xml:space="preserve">of </w:t>
      </w:r>
      <w:r w:rsidR="009362B1" w:rsidRPr="00CB57FB">
        <w:t xml:space="preserve">each </w:t>
      </w:r>
      <w:r w:rsidR="00786D00" w:rsidRPr="00CB57FB">
        <w:t>focus group</w:t>
      </w:r>
      <w:r w:rsidR="00430A86">
        <w:t>.</w:t>
      </w:r>
      <w:r w:rsidR="005F1A21" w:rsidRPr="00CB57FB">
        <w:t xml:space="preserve">  </w:t>
      </w:r>
      <w:r w:rsidR="00624F0F" w:rsidRPr="00CB57FB">
        <w:t>The lower range assumes</w:t>
      </w:r>
      <w:r w:rsidR="00E87C96" w:rsidRPr="00CB57FB">
        <w:t xml:space="preserve"> a smaller nu</w:t>
      </w:r>
      <w:r w:rsidR="00FA43A2" w:rsidRPr="00CB57FB">
        <w:t xml:space="preserve">mber of </w:t>
      </w:r>
      <w:r w:rsidR="00786D00" w:rsidRPr="00CB57FB">
        <w:t>participants</w:t>
      </w:r>
      <w:r w:rsidR="008F01D8" w:rsidRPr="00CB57FB">
        <w:t xml:space="preserve"> (</w:t>
      </w:r>
      <w:r w:rsidR="000C435B" w:rsidRPr="00CB57FB">
        <w:t xml:space="preserve">a total of </w:t>
      </w:r>
      <w:r w:rsidR="008F01D8" w:rsidRPr="00CB57FB">
        <w:t xml:space="preserve">70 </w:t>
      </w:r>
      <w:r w:rsidR="00E71B0C" w:rsidRPr="00CB57FB">
        <w:t>respondents</w:t>
      </w:r>
      <w:r w:rsidR="008F01D8" w:rsidRPr="00CB57FB">
        <w:t xml:space="preserve"> in the year) </w:t>
      </w:r>
      <w:r w:rsidR="00FA43A2" w:rsidRPr="00CB57FB">
        <w:t xml:space="preserve">and </w:t>
      </w:r>
      <w:r w:rsidR="00786D00" w:rsidRPr="00CB57FB">
        <w:t xml:space="preserve">a smaller time burden </w:t>
      </w:r>
      <w:r w:rsidR="008F01D8" w:rsidRPr="00CB57FB">
        <w:t xml:space="preserve">(60 minutes) </w:t>
      </w:r>
      <w:r w:rsidR="00786D00" w:rsidRPr="00CB57FB">
        <w:t>for each focus group.  The</w:t>
      </w:r>
      <w:r w:rsidR="00FA43A2" w:rsidRPr="00CB57FB">
        <w:t xml:space="preserve"> </w:t>
      </w:r>
      <w:r w:rsidR="005C787E" w:rsidRPr="00CB57FB">
        <w:t xml:space="preserve">upper </w:t>
      </w:r>
      <w:r w:rsidR="00E87C96" w:rsidRPr="00CB57FB">
        <w:t xml:space="preserve">range assumes </w:t>
      </w:r>
      <w:r w:rsidR="008F01D8" w:rsidRPr="00CB57FB">
        <w:t>a larger number of participants (</w:t>
      </w:r>
      <w:r w:rsidR="000C435B" w:rsidRPr="00CB57FB">
        <w:t xml:space="preserve">a total of </w:t>
      </w:r>
      <w:r w:rsidR="008F01D8" w:rsidRPr="00CB57FB">
        <w:t xml:space="preserve">100 </w:t>
      </w:r>
      <w:r w:rsidR="00E71B0C" w:rsidRPr="00CB57FB">
        <w:t>respondents</w:t>
      </w:r>
      <w:r w:rsidR="008F01D8" w:rsidRPr="00CB57FB">
        <w:t xml:space="preserve"> in the year) and a larger time burden (120 minutes) for each focus group.</w:t>
      </w:r>
      <w:r w:rsidR="00FA43A2" w:rsidRPr="00CB57FB">
        <w:t xml:space="preserve">  </w:t>
      </w:r>
    </w:p>
    <w:p w:rsidR="007E6167" w:rsidRPr="00CB57FB" w:rsidRDefault="007E6167" w:rsidP="00DD5651"/>
    <w:p w:rsidR="00406862" w:rsidRPr="00CB57FB" w:rsidRDefault="00406862" w:rsidP="00DD5651">
      <w:pPr>
        <w:rPr>
          <w:b/>
        </w:rPr>
      </w:pPr>
      <w:r w:rsidRPr="00CB57FB">
        <w:rPr>
          <w:b/>
        </w:rPr>
        <w:t>Total Hour Burden Estimates</w:t>
      </w:r>
      <w:r w:rsidR="000D43AA" w:rsidRPr="00CB57FB">
        <w:rPr>
          <w:b/>
        </w:rPr>
        <w:t xml:space="preserve"> for </w:t>
      </w:r>
      <w:r w:rsidR="005B3BC0" w:rsidRPr="00CB57FB">
        <w:rPr>
          <w:b/>
        </w:rPr>
        <w:t>One Year</w:t>
      </w:r>
      <w:r w:rsidRPr="00CB57FB">
        <w:rPr>
          <w:b/>
        </w:rPr>
        <w:t>:</w:t>
      </w:r>
    </w:p>
    <w:p w:rsidR="000F4845" w:rsidRPr="00CB57FB" w:rsidRDefault="00406862" w:rsidP="00DD5651">
      <w:pPr>
        <w:numPr>
          <w:ilvl w:val="0"/>
          <w:numId w:val="17"/>
        </w:numPr>
      </w:pPr>
      <w:r w:rsidRPr="00CB57FB">
        <w:t xml:space="preserve">Lower range totals:  focus groups = </w:t>
      </w:r>
      <w:r w:rsidR="00850C8C" w:rsidRPr="00CB57FB">
        <w:rPr>
          <w:b/>
        </w:rPr>
        <w:t>70</w:t>
      </w:r>
      <w:r w:rsidRPr="00CB57FB">
        <w:rPr>
          <w:b/>
        </w:rPr>
        <w:t xml:space="preserve"> total hours</w:t>
      </w:r>
    </w:p>
    <w:p w:rsidR="00406862" w:rsidRPr="00CB57FB" w:rsidRDefault="00406862" w:rsidP="00DD5651">
      <w:pPr>
        <w:numPr>
          <w:ilvl w:val="0"/>
          <w:numId w:val="17"/>
        </w:numPr>
      </w:pPr>
      <w:r w:rsidRPr="00CB57FB">
        <w:t xml:space="preserve">Higher range totals:  </w:t>
      </w:r>
      <w:r w:rsidR="008F01D8" w:rsidRPr="00CB57FB">
        <w:t>focus groups</w:t>
      </w:r>
      <w:r w:rsidRPr="00CB57FB">
        <w:t xml:space="preserve"> = </w:t>
      </w:r>
      <w:r w:rsidR="00850C8C" w:rsidRPr="00CB57FB">
        <w:rPr>
          <w:b/>
        </w:rPr>
        <w:t>200</w:t>
      </w:r>
      <w:r w:rsidR="005B3BC0" w:rsidRPr="00CB57FB">
        <w:rPr>
          <w:b/>
        </w:rPr>
        <w:t xml:space="preserve"> </w:t>
      </w:r>
      <w:r w:rsidRPr="00CB57FB">
        <w:rPr>
          <w:b/>
        </w:rPr>
        <w:t>total hours</w:t>
      </w:r>
    </w:p>
    <w:p w:rsidR="00786D00" w:rsidRPr="00CB57FB" w:rsidRDefault="00786D00" w:rsidP="00DD5651">
      <w:pPr>
        <w:autoSpaceDE w:val="0"/>
        <w:autoSpaceDN w:val="0"/>
        <w:adjustRightInd w:val="0"/>
        <w:jc w:val="center"/>
        <w:rPr>
          <w:b/>
          <w:bCs/>
        </w:rPr>
      </w:pPr>
    </w:p>
    <w:p w:rsidR="00004F4B" w:rsidRPr="00CB57FB" w:rsidRDefault="00786D00" w:rsidP="00DD5651">
      <w:pPr>
        <w:autoSpaceDE w:val="0"/>
        <w:autoSpaceDN w:val="0"/>
        <w:adjustRightInd w:val="0"/>
        <w:jc w:val="center"/>
        <w:rPr>
          <w:b/>
          <w:bCs/>
        </w:rPr>
      </w:pPr>
      <w:r w:rsidRPr="00CB57FB">
        <w:rPr>
          <w:b/>
          <w:bCs/>
        </w:rPr>
        <w:t>T</w:t>
      </w:r>
      <w:r w:rsidR="00004F4B" w:rsidRPr="00CB57FB">
        <w:rPr>
          <w:b/>
          <w:bCs/>
        </w:rPr>
        <w:t>ABLE 1:  ESTIMATED RESPONSE BURDEN IN HOURS OF DATA COLLECTION</w:t>
      </w:r>
      <w:r w:rsidR="006F1429" w:rsidRPr="00CB57FB">
        <w:rPr>
          <w:b/>
          <w:bCs/>
        </w:rPr>
        <w:t xml:space="preserve"> OVER </w:t>
      </w:r>
      <w:r w:rsidR="005F7806" w:rsidRPr="00CB57FB">
        <w:rPr>
          <w:b/>
          <w:bCs/>
        </w:rPr>
        <w:t>1</w:t>
      </w:r>
      <w:r w:rsidR="006F1429" w:rsidRPr="00CB57FB">
        <w:rPr>
          <w:b/>
          <w:bCs/>
        </w:rPr>
        <w:t xml:space="preserve"> YEARS</w:t>
      </w:r>
    </w:p>
    <w:p w:rsidR="00004F4B" w:rsidRPr="00CB57FB" w:rsidRDefault="00004F4B" w:rsidP="00DD5651">
      <w:pPr>
        <w:autoSpaceDE w:val="0"/>
        <w:autoSpaceDN w:val="0"/>
        <w:adjustRightInd w:val="0"/>
        <w:rPr>
          <w:bCs/>
          <w:sz w:val="28"/>
          <w:szCs w:val="28"/>
        </w:rPr>
      </w:pPr>
    </w:p>
    <w:tbl>
      <w:tblPr>
        <w:tblW w:w="7635"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306"/>
        <w:gridCol w:w="1228"/>
        <w:gridCol w:w="1350"/>
        <w:gridCol w:w="1646"/>
      </w:tblGrid>
      <w:tr w:rsidR="00786D00" w:rsidRPr="00CB57FB" w:rsidTr="00786D00">
        <w:trPr>
          <w:jc w:val="center"/>
        </w:trPr>
        <w:tc>
          <w:tcPr>
            <w:tcW w:w="2115"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Data Collection Activity</w:t>
            </w:r>
          </w:p>
        </w:tc>
        <w:tc>
          <w:tcPr>
            <w:tcW w:w="1296" w:type="dxa"/>
            <w:tcBorders>
              <w:bottom w:val="single" w:sz="4" w:space="0" w:color="auto"/>
            </w:tcBorders>
          </w:tcPr>
          <w:p w:rsidR="00786D00" w:rsidRPr="00CB57FB" w:rsidRDefault="00786D00" w:rsidP="00DD5651">
            <w:pPr>
              <w:autoSpaceDE w:val="0"/>
              <w:autoSpaceDN w:val="0"/>
              <w:adjustRightInd w:val="0"/>
              <w:jc w:val="center"/>
              <w:rPr>
                <w:b/>
                <w:bCs/>
                <w:sz w:val="20"/>
                <w:szCs w:val="20"/>
              </w:rPr>
            </w:pPr>
          </w:p>
          <w:p w:rsidR="00786D00" w:rsidRPr="00CB57FB" w:rsidRDefault="00786D00" w:rsidP="005B3BC0">
            <w:pPr>
              <w:autoSpaceDE w:val="0"/>
              <w:autoSpaceDN w:val="0"/>
              <w:adjustRightInd w:val="0"/>
              <w:jc w:val="center"/>
              <w:rPr>
                <w:b/>
                <w:bCs/>
                <w:sz w:val="20"/>
                <w:szCs w:val="20"/>
              </w:rPr>
            </w:pPr>
            <w:r w:rsidRPr="00CB57FB">
              <w:rPr>
                <w:b/>
                <w:bCs/>
                <w:sz w:val="20"/>
                <w:szCs w:val="20"/>
              </w:rPr>
              <w:t>Number of Respondents Over 1 Year</w:t>
            </w:r>
          </w:p>
        </w:tc>
        <w:tc>
          <w:tcPr>
            <w:tcW w:w="1216"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Frequency of Collection per Respondent</w:t>
            </w:r>
          </w:p>
        </w:tc>
        <w:tc>
          <w:tcPr>
            <w:tcW w:w="1351" w:type="dxa"/>
            <w:tcBorders>
              <w:bottom w:val="single" w:sz="4" w:space="0" w:color="auto"/>
            </w:tcBorders>
            <w:vAlign w:val="center"/>
          </w:tcPr>
          <w:p w:rsidR="00786D00" w:rsidRPr="00CB57FB" w:rsidRDefault="00786D00" w:rsidP="00DD5651">
            <w:pPr>
              <w:autoSpaceDE w:val="0"/>
              <w:autoSpaceDN w:val="0"/>
              <w:adjustRightInd w:val="0"/>
              <w:jc w:val="center"/>
              <w:rPr>
                <w:b/>
                <w:bCs/>
                <w:sz w:val="20"/>
                <w:szCs w:val="20"/>
              </w:rPr>
            </w:pPr>
            <w:r w:rsidRPr="00CB57FB">
              <w:rPr>
                <w:b/>
                <w:bCs/>
                <w:sz w:val="20"/>
                <w:szCs w:val="20"/>
              </w:rPr>
              <w:t>Time Per Respondent</w:t>
            </w:r>
          </w:p>
        </w:tc>
        <w:tc>
          <w:tcPr>
            <w:tcW w:w="1657" w:type="dxa"/>
            <w:tcBorders>
              <w:bottom w:val="single" w:sz="4" w:space="0" w:color="auto"/>
            </w:tcBorders>
          </w:tcPr>
          <w:p w:rsidR="00786D00" w:rsidRPr="00CB57FB" w:rsidRDefault="00786D00" w:rsidP="00DD5651">
            <w:pPr>
              <w:autoSpaceDE w:val="0"/>
              <w:autoSpaceDN w:val="0"/>
              <w:adjustRightInd w:val="0"/>
              <w:jc w:val="center"/>
              <w:rPr>
                <w:b/>
                <w:bCs/>
                <w:sz w:val="20"/>
                <w:szCs w:val="20"/>
              </w:rPr>
            </w:pPr>
          </w:p>
          <w:p w:rsidR="00786D00" w:rsidRPr="00CB57FB" w:rsidRDefault="00786D00" w:rsidP="00200954">
            <w:pPr>
              <w:tabs>
                <w:tab w:val="left" w:pos="1706"/>
              </w:tabs>
              <w:autoSpaceDE w:val="0"/>
              <w:autoSpaceDN w:val="0"/>
              <w:adjustRightInd w:val="0"/>
              <w:ind w:left="-94" w:right="-130"/>
              <w:jc w:val="center"/>
              <w:rPr>
                <w:b/>
                <w:bCs/>
                <w:sz w:val="20"/>
                <w:szCs w:val="20"/>
              </w:rPr>
            </w:pPr>
            <w:r w:rsidRPr="00CB57FB">
              <w:rPr>
                <w:b/>
                <w:bCs/>
                <w:sz w:val="20"/>
                <w:szCs w:val="20"/>
              </w:rPr>
              <w:t>Total Burden Hours Over 1 Year</w:t>
            </w:r>
          </w:p>
        </w:tc>
      </w:tr>
      <w:tr w:rsidR="00786D00" w:rsidRPr="00CB57FB" w:rsidTr="00786D00">
        <w:trPr>
          <w:trHeight w:val="1070"/>
          <w:jc w:val="center"/>
        </w:trPr>
        <w:tc>
          <w:tcPr>
            <w:tcW w:w="2115" w:type="dxa"/>
            <w:tcBorders>
              <w:bottom w:val="nil"/>
            </w:tcBorders>
          </w:tcPr>
          <w:p w:rsidR="00786D00" w:rsidRPr="00CB57FB" w:rsidRDefault="00786D00" w:rsidP="00DD5651">
            <w:pPr>
              <w:autoSpaceDE w:val="0"/>
              <w:autoSpaceDN w:val="0"/>
              <w:adjustRightInd w:val="0"/>
              <w:rPr>
                <w:b/>
                <w:bCs/>
                <w:sz w:val="20"/>
                <w:szCs w:val="20"/>
              </w:rPr>
            </w:pPr>
            <w:r w:rsidRPr="00CB57FB">
              <w:rPr>
                <w:b/>
                <w:bCs/>
                <w:sz w:val="20"/>
                <w:szCs w:val="20"/>
              </w:rPr>
              <w:t>Focus Groups</w:t>
            </w:r>
          </w:p>
          <w:p w:rsidR="00786D00" w:rsidRPr="00CB57FB" w:rsidRDefault="00786D00" w:rsidP="00DD5651">
            <w:pPr>
              <w:autoSpaceDE w:val="0"/>
              <w:autoSpaceDN w:val="0"/>
              <w:adjustRightInd w:val="0"/>
              <w:rPr>
                <w:bCs/>
                <w:sz w:val="20"/>
                <w:szCs w:val="20"/>
              </w:rPr>
            </w:pPr>
            <w:r w:rsidRPr="00CB57FB">
              <w:rPr>
                <w:bCs/>
                <w:sz w:val="20"/>
                <w:szCs w:val="20"/>
              </w:rPr>
              <w:t>Lower range # of studies</w:t>
            </w:r>
          </w:p>
          <w:p w:rsidR="00786D00" w:rsidRPr="00CB57FB" w:rsidRDefault="00786D00" w:rsidP="00430A86">
            <w:pPr>
              <w:autoSpaceDE w:val="0"/>
              <w:autoSpaceDN w:val="0"/>
              <w:adjustRightInd w:val="0"/>
              <w:rPr>
                <w:bCs/>
                <w:sz w:val="20"/>
                <w:szCs w:val="20"/>
              </w:rPr>
            </w:pPr>
            <w:r w:rsidRPr="00CB57FB">
              <w:rPr>
                <w:bCs/>
                <w:sz w:val="20"/>
                <w:szCs w:val="20"/>
              </w:rPr>
              <w:t>(estimated at 70 respondents</w:t>
            </w:r>
            <w:r w:rsidR="008F01D8" w:rsidRPr="00CB57FB">
              <w:rPr>
                <w:bCs/>
                <w:sz w:val="20"/>
                <w:szCs w:val="20"/>
              </w:rPr>
              <w:t xml:space="preserve"> total</w:t>
            </w:r>
            <w:r w:rsidRPr="00CB57FB">
              <w:rPr>
                <w:bCs/>
                <w:sz w:val="20"/>
                <w:szCs w:val="20"/>
              </w:rPr>
              <w:t xml:space="preserve"> for 8ocus groups</w:t>
            </w:r>
            <w:r w:rsidR="00E15886" w:rsidRPr="00CB57FB">
              <w:rPr>
                <w:bCs/>
                <w:sz w:val="20"/>
                <w:szCs w:val="20"/>
              </w:rPr>
              <w:t>)</w:t>
            </w:r>
          </w:p>
        </w:tc>
        <w:tc>
          <w:tcPr>
            <w:tcW w:w="1296" w:type="dxa"/>
            <w:tcBorders>
              <w:bottom w:val="nil"/>
            </w:tcBorders>
          </w:tcPr>
          <w:p w:rsidR="00786D00" w:rsidRPr="00CB57FB" w:rsidRDefault="00786D00" w:rsidP="00DD5651">
            <w:pPr>
              <w:autoSpaceDE w:val="0"/>
              <w:autoSpaceDN w:val="0"/>
              <w:adjustRightInd w:val="0"/>
              <w:jc w:val="right"/>
              <w:rPr>
                <w:bCs/>
                <w:sz w:val="20"/>
                <w:szCs w:val="20"/>
              </w:rPr>
            </w:pPr>
            <w:r w:rsidRPr="00CB57FB">
              <w:rPr>
                <w:bCs/>
                <w:sz w:val="20"/>
                <w:szCs w:val="20"/>
              </w:rPr>
              <w:t>70</w:t>
            </w:r>
          </w:p>
        </w:tc>
        <w:tc>
          <w:tcPr>
            <w:tcW w:w="1216" w:type="dxa"/>
            <w:tcBorders>
              <w:bottom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w:t>
            </w:r>
          </w:p>
        </w:tc>
        <w:tc>
          <w:tcPr>
            <w:tcW w:w="1351" w:type="dxa"/>
            <w:tcBorders>
              <w:bottom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60 minutes</w:t>
            </w:r>
          </w:p>
        </w:tc>
        <w:tc>
          <w:tcPr>
            <w:tcW w:w="1657" w:type="dxa"/>
            <w:tcBorders>
              <w:bottom w:val="nil"/>
            </w:tcBorders>
          </w:tcPr>
          <w:p w:rsidR="00786D00" w:rsidRPr="00CB57FB" w:rsidRDefault="00850C8C" w:rsidP="00786D00">
            <w:pPr>
              <w:autoSpaceDE w:val="0"/>
              <w:autoSpaceDN w:val="0"/>
              <w:adjustRightInd w:val="0"/>
              <w:jc w:val="right"/>
              <w:rPr>
                <w:bCs/>
                <w:sz w:val="20"/>
                <w:szCs w:val="20"/>
              </w:rPr>
            </w:pPr>
            <w:r w:rsidRPr="00CB57FB">
              <w:rPr>
                <w:bCs/>
                <w:sz w:val="20"/>
                <w:szCs w:val="20"/>
              </w:rPr>
              <w:t>70 hours</w:t>
            </w:r>
          </w:p>
        </w:tc>
      </w:tr>
      <w:tr w:rsidR="00786D00" w:rsidRPr="00CB57FB" w:rsidTr="00786D00">
        <w:trPr>
          <w:jc w:val="center"/>
        </w:trPr>
        <w:tc>
          <w:tcPr>
            <w:tcW w:w="2115" w:type="dxa"/>
            <w:tcBorders>
              <w:top w:val="nil"/>
            </w:tcBorders>
          </w:tcPr>
          <w:p w:rsidR="00786D00" w:rsidRPr="00CB57FB" w:rsidRDefault="00786D00" w:rsidP="00DD5651">
            <w:pPr>
              <w:autoSpaceDE w:val="0"/>
              <w:autoSpaceDN w:val="0"/>
              <w:adjustRightInd w:val="0"/>
              <w:rPr>
                <w:bCs/>
                <w:sz w:val="20"/>
                <w:szCs w:val="20"/>
              </w:rPr>
            </w:pPr>
            <w:r w:rsidRPr="00CB57FB">
              <w:rPr>
                <w:bCs/>
                <w:sz w:val="20"/>
                <w:szCs w:val="20"/>
              </w:rPr>
              <w:t>Upper range # of studies</w:t>
            </w:r>
          </w:p>
          <w:p w:rsidR="00786D00" w:rsidRPr="00CB57FB" w:rsidRDefault="00786D00" w:rsidP="00430A86">
            <w:pPr>
              <w:autoSpaceDE w:val="0"/>
              <w:autoSpaceDN w:val="0"/>
              <w:adjustRightInd w:val="0"/>
              <w:rPr>
                <w:bCs/>
                <w:sz w:val="20"/>
                <w:szCs w:val="20"/>
              </w:rPr>
            </w:pPr>
            <w:r w:rsidRPr="00CB57FB">
              <w:rPr>
                <w:bCs/>
                <w:sz w:val="20"/>
                <w:szCs w:val="20"/>
              </w:rPr>
              <w:t>(estimated at 100 respondents</w:t>
            </w:r>
            <w:r w:rsidR="008F01D8" w:rsidRPr="00CB57FB">
              <w:rPr>
                <w:bCs/>
                <w:sz w:val="20"/>
                <w:szCs w:val="20"/>
              </w:rPr>
              <w:t xml:space="preserve"> total for</w:t>
            </w:r>
            <w:r w:rsidRPr="00CB57FB">
              <w:rPr>
                <w:bCs/>
                <w:sz w:val="20"/>
                <w:szCs w:val="20"/>
              </w:rPr>
              <w:t xml:space="preserve"> 8 focus groups)</w:t>
            </w:r>
          </w:p>
        </w:tc>
        <w:tc>
          <w:tcPr>
            <w:tcW w:w="1296" w:type="dxa"/>
            <w:tcBorders>
              <w:top w:val="nil"/>
            </w:tcBorders>
          </w:tcPr>
          <w:p w:rsidR="00786D00" w:rsidRPr="00CB57FB" w:rsidRDefault="00786D00" w:rsidP="00DD5651">
            <w:pPr>
              <w:autoSpaceDE w:val="0"/>
              <w:autoSpaceDN w:val="0"/>
              <w:adjustRightInd w:val="0"/>
              <w:jc w:val="right"/>
              <w:rPr>
                <w:bCs/>
                <w:sz w:val="20"/>
                <w:szCs w:val="20"/>
              </w:rPr>
            </w:pPr>
            <w:r w:rsidRPr="00CB57FB">
              <w:rPr>
                <w:bCs/>
                <w:sz w:val="20"/>
                <w:szCs w:val="20"/>
              </w:rPr>
              <w:t>100</w:t>
            </w:r>
          </w:p>
        </w:tc>
        <w:tc>
          <w:tcPr>
            <w:tcW w:w="1216" w:type="dxa"/>
            <w:tcBorders>
              <w:top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w:t>
            </w:r>
          </w:p>
        </w:tc>
        <w:tc>
          <w:tcPr>
            <w:tcW w:w="1351" w:type="dxa"/>
            <w:tcBorders>
              <w:top w:val="nil"/>
            </w:tcBorders>
          </w:tcPr>
          <w:p w:rsidR="00786D00" w:rsidRPr="00CB57FB" w:rsidRDefault="00786D00" w:rsidP="00DD5651">
            <w:pPr>
              <w:autoSpaceDE w:val="0"/>
              <w:autoSpaceDN w:val="0"/>
              <w:adjustRightInd w:val="0"/>
              <w:jc w:val="center"/>
              <w:rPr>
                <w:bCs/>
                <w:sz w:val="20"/>
                <w:szCs w:val="20"/>
              </w:rPr>
            </w:pPr>
            <w:r w:rsidRPr="00CB57FB">
              <w:rPr>
                <w:bCs/>
                <w:sz w:val="20"/>
                <w:szCs w:val="20"/>
              </w:rPr>
              <w:t>120 minutes</w:t>
            </w:r>
          </w:p>
        </w:tc>
        <w:tc>
          <w:tcPr>
            <w:tcW w:w="1657" w:type="dxa"/>
            <w:tcBorders>
              <w:top w:val="nil"/>
            </w:tcBorders>
          </w:tcPr>
          <w:p w:rsidR="00786D00" w:rsidRPr="00CB57FB" w:rsidRDefault="00850C8C" w:rsidP="008630F3">
            <w:pPr>
              <w:tabs>
                <w:tab w:val="left" w:pos="1019"/>
              </w:tabs>
              <w:autoSpaceDE w:val="0"/>
              <w:autoSpaceDN w:val="0"/>
              <w:adjustRightInd w:val="0"/>
              <w:jc w:val="right"/>
              <w:rPr>
                <w:bCs/>
                <w:sz w:val="20"/>
                <w:szCs w:val="20"/>
              </w:rPr>
            </w:pPr>
            <w:r w:rsidRPr="00CB57FB">
              <w:rPr>
                <w:bCs/>
                <w:sz w:val="20"/>
                <w:szCs w:val="20"/>
              </w:rPr>
              <w:t>200 hours</w:t>
            </w:r>
          </w:p>
        </w:tc>
      </w:tr>
      <w:tr w:rsidR="00786D00" w:rsidRPr="00CB57FB" w:rsidTr="00786D00">
        <w:trPr>
          <w:jc w:val="center"/>
        </w:trPr>
        <w:tc>
          <w:tcPr>
            <w:tcW w:w="2115" w:type="dxa"/>
          </w:tcPr>
          <w:p w:rsidR="00786D00" w:rsidRPr="00CB57FB" w:rsidRDefault="007464F6" w:rsidP="00DD5651">
            <w:pPr>
              <w:autoSpaceDE w:val="0"/>
              <w:autoSpaceDN w:val="0"/>
              <w:adjustRightInd w:val="0"/>
              <w:rPr>
                <w:b/>
                <w:bCs/>
                <w:sz w:val="20"/>
                <w:szCs w:val="20"/>
              </w:rPr>
            </w:pPr>
            <w:r>
              <w:rPr>
                <w:b/>
                <w:bCs/>
                <w:sz w:val="20"/>
                <w:szCs w:val="20"/>
              </w:rPr>
              <w:t>Midpoint</w:t>
            </w:r>
          </w:p>
        </w:tc>
        <w:tc>
          <w:tcPr>
            <w:tcW w:w="1296" w:type="dxa"/>
          </w:tcPr>
          <w:p w:rsidR="00786D00" w:rsidRPr="00CB57FB" w:rsidRDefault="007464F6" w:rsidP="00DD5651">
            <w:pPr>
              <w:autoSpaceDE w:val="0"/>
              <w:autoSpaceDN w:val="0"/>
              <w:adjustRightInd w:val="0"/>
              <w:jc w:val="right"/>
              <w:rPr>
                <w:bCs/>
                <w:sz w:val="20"/>
                <w:szCs w:val="20"/>
              </w:rPr>
            </w:pPr>
            <w:r>
              <w:rPr>
                <w:bCs/>
                <w:sz w:val="20"/>
                <w:szCs w:val="20"/>
              </w:rPr>
              <w:t>85</w:t>
            </w:r>
          </w:p>
          <w:p w:rsidR="00786D00" w:rsidRPr="00CB57FB" w:rsidRDefault="00786D00" w:rsidP="00DD5651">
            <w:pPr>
              <w:autoSpaceDE w:val="0"/>
              <w:autoSpaceDN w:val="0"/>
              <w:adjustRightInd w:val="0"/>
              <w:jc w:val="right"/>
              <w:rPr>
                <w:bCs/>
                <w:sz w:val="20"/>
                <w:szCs w:val="20"/>
              </w:rPr>
            </w:pPr>
            <w:r w:rsidRPr="00CB57FB">
              <w:rPr>
                <w:bCs/>
                <w:sz w:val="20"/>
                <w:szCs w:val="20"/>
              </w:rPr>
              <w:t>respondents</w:t>
            </w:r>
          </w:p>
        </w:tc>
        <w:tc>
          <w:tcPr>
            <w:tcW w:w="1216" w:type="dxa"/>
          </w:tcPr>
          <w:p w:rsidR="00786D00" w:rsidRPr="00CB57FB" w:rsidRDefault="007464F6" w:rsidP="00DD5651">
            <w:pPr>
              <w:autoSpaceDE w:val="0"/>
              <w:autoSpaceDN w:val="0"/>
              <w:adjustRightInd w:val="0"/>
              <w:jc w:val="center"/>
              <w:rPr>
                <w:bCs/>
                <w:sz w:val="20"/>
                <w:szCs w:val="20"/>
              </w:rPr>
            </w:pPr>
            <w:r>
              <w:rPr>
                <w:bCs/>
                <w:sz w:val="20"/>
                <w:szCs w:val="20"/>
              </w:rPr>
              <w:t>1</w:t>
            </w:r>
          </w:p>
        </w:tc>
        <w:tc>
          <w:tcPr>
            <w:tcW w:w="1351" w:type="dxa"/>
          </w:tcPr>
          <w:p w:rsidR="00786D00" w:rsidRPr="00CB57FB" w:rsidRDefault="007464F6" w:rsidP="00DD5651">
            <w:pPr>
              <w:autoSpaceDE w:val="0"/>
              <w:autoSpaceDN w:val="0"/>
              <w:adjustRightInd w:val="0"/>
              <w:jc w:val="center"/>
              <w:rPr>
                <w:bCs/>
                <w:sz w:val="20"/>
                <w:szCs w:val="20"/>
              </w:rPr>
            </w:pPr>
            <w:r>
              <w:rPr>
                <w:bCs/>
                <w:sz w:val="20"/>
                <w:szCs w:val="20"/>
              </w:rPr>
              <w:t>90</w:t>
            </w:r>
            <w:r w:rsidR="00962949">
              <w:rPr>
                <w:bCs/>
                <w:sz w:val="20"/>
                <w:szCs w:val="20"/>
              </w:rPr>
              <w:t xml:space="preserve"> minutes</w:t>
            </w:r>
          </w:p>
        </w:tc>
        <w:tc>
          <w:tcPr>
            <w:tcW w:w="1657" w:type="dxa"/>
          </w:tcPr>
          <w:p w:rsidR="00786D00" w:rsidRPr="00CB57FB" w:rsidRDefault="00962949" w:rsidP="00DD5651">
            <w:pPr>
              <w:autoSpaceDE w:val="0"/>
              <w:autoSpaceDN w:val="0"/>
              <w:adjustRightInd w:val="0"/>
              <w:jc w:val="right"/>
              <w:rPr>
                <w:bCs/>
                <w:sz w:val="20"/>
                <w:szCs w:val="20"/>
              </w:rPr>
            </w:pPr>
            <w:r>
              <w:rPr>
                <w:bCs/>
                <w:sz w:val="20"/>
                <w:szCs w:val="20"/>
              </w:rPr>
              <w:t>128</w:t>
            </w:r>
          </w:p>
          <w:p w:rsidR="00786D00" w:rsidRPr="00CB57FB" w:rsidRDefault="00786D00" w:rsidP="00DD5651">
            <w:pPr>
              <w:autoSpaceDE w:val="0"/>
              <w:autoSpaceDN w:val="0"/>
              <w:adjustRightInd w:val="0"/>
              <w:jc w:val="right"/>
              <w:rPr>
                <w:bCs/>
                <w:sz w:val="20"/>
                <w:szCs w:val="20"/>
              </w:rPr>
            </w:pPr>
            <w:r w:rsidRPr="00CB57FB">
              <w:rPr>
                <w:bCs/>
                <w:sz w:val="20"/>
                <w:szCs w:val="20"/>
              </w:rPr>
              <w:t xml:space="preserve">hours </w:t>
            </w:r>
          </w:p>
        </w:tc>
      </w:tr>
    </w:tbl>
    <w:p w:rsidR="00A811D6" w:rsidRPr="00CB57FB" w:rsidRDefault="00A811D6" w:rsidP="00DD5651">
      <w:pPr>
        <w:ind w:left="360"/>
      </w:pPr>
    </w:p>
    <w:p w:rsidR="00A811D6" w:rsidRPr="00CB57FB" w:rsidRDefault="00A811D6" w:rsidP="00DD5651">
      <w:pPr>
        <w:ind w:left="360"/>
      </w:pPr>
      <w:r w:rsidRPr="00CB57FB">
        <w:t xml:space="preserve">The figures in Table 1 are based on the following assumptions about </w:t>
      </w:r>
      <w:r w:rsidR="00FE5C39" w:rsidRPr="00CB57FB">
        <w:t>the number of focus groups and the number of participants in each focus group:</w:t>
      </w:r>
    </w:p>
    <w:p w:rsidR="00C56535" w:rsidRPr="00CB57FB" w:rsidRDefault="00C56535" w:rsidP="00DD5651">
      <w:pPr>
        <w:ind w:left="360"/>
      </w:pPr>
    </w:p>
    <w:p w:rsidR="00A811D6" w:rsidRPr="00CB57FB" w:rsidRDefault="00A811D6" w:rsidP="00DD5651">
      <w:pPr>
        <w:numPr>
          <w:ilvl w:val="0"/>
          <w:numId w:val="16"/>
        </w:numPr>
      </w:pPr>
      <w:r w:rsidRPr="00CB57FB">
        <w:rPr>
          <w:b/>
        </w:rPr>
        <w:t>Focus groups</w:t>
      </w:r>
      <w:r w:rsidR="00C56535" w:rsidRPr="00CB57FB">
        <w:rPr>
          <w:b/>
        </w:rPr>
        <w:t>:</w:t>
      </w:r>
      <w:r w:rsidRPr="00CB57FB">
        <w:t xml:space="preserve">  </w:t>
      </w:r>
    </w:p>
    <w:p w:rsidR="009439F8" w:rsidRPr="00CB57FB" w:rsidRDefault="009439F8" w:rsidP="00DD5651">
      <w:pPr>
        <w:numPr>
          <w:ilvl w:val="1"/>
          <w:numId w:val="16"/>
        </w:numPr>
      </w:pPr>
      <w:r w:rsidRPr="00CB57FB">
        <w:rPr>
          <w:b/>
        </w:rPr>
        <w:t xml:space="preserve">Lower Range.  </w:t>
      </w:r>
      <w:r w:rsidR="008519AC" w:rsidRPr="00CB57FB">
        <w:t xml:space="preserve">The lower range was calculated by estimating </w:t>
      </w:r>
      <w:r w:rsidR="00850C8C" w:rsidRPr="00CB57FB">
        <w:t>8</w:t>
      </w:r>
      <w:r w:rsidR="00430A86">
        <w:t xml:space="preserve"> </w:t>
      </w:r>
      <w:r w:rsidR="00786D00" w:rsidRPr="00CB57FB">
        <w:t xml:space="preserve">focus groups over the </w:t>
      </w:r>
      <w:r w:rsidR="00EF4A80" w:rsidRPr="00CB57FB">
        <w:t>one-year</w:t>
      </w:r>
      <w:r w:rsidR="00786D00" w:rsidRPr="00CB57FB">
        <w:t xml:space="preserve"> clearance </w:t>
      </w:r>
      <w:r w:rsidR="008519AC" w:rsidRPr="00CB57FB">
        <w:t>timeframe</w:t>
      </w:r>
      <w:r w:rsidR="00430A86">
        <w:t xml:space="preserve"> with</w:t>
      </w:r>
      <w:r w:rsidR="00850C8C" w:rsidRPr="00CB57FB">
        <w:t xml:space="preserve"> </w:t>
      </w:r>
      <w:r w:rsidR="00786D00" w:rsidRPr="00CB57FB">
        <w:t>7</w:t>
      </w:r>
      <w:r w:rsidR="008519AC" w:rsidRPr="00CB57FB">
        <w:t xml:space="preserve">0 respondents </w:t>
      </w:r>
      <w:r w:rsidR="00850C8C" w:rsidRPr="00CB57FB">
        <w:t>over</w:t>
      </w:r>
      <w:r w:rsidR="008519AC" w:rsidRPr="00CB57FB">
        <w:t xml:space="preserve"> the </w:t>
      </w:r>
      <w:r w:rsidR="00EF4A80" w:rsidRPr="00CB57FB">
        <w:t>one-year</w:t>
      </w:r>
      <w:r w:rsidR="008519AC" w:rsidRPr="00CB57FB">
        <w:t xml:space="preserve"> clearance timeframe.  Assuming that e</w:t>
      </w:r>
      <w:r w:rsidR="00786D00" w:rsidRPr="00CB57FB">
        <w:t>ach respondent will be asked to participate in a focus group once</w:t>
      </w:r>
      <w:r w:rsidR="008519AC" w:rsidRPr="00CB57FB">
        <w:t xml:space="preserve">, with each </w:t>
      </w:r>
      <w:r w:rsidR="00786D00" w:rsidRPr="00CB57FB">
        <w:t>focus group</w:t>
      </w:r>
      <w:r w:rsidR="008519AC" w:rsidRPr="00CB57FB">
        <w:t xml:space="preserve"> at approximately </w:t>
      </w:r>
      <w:r w:rsidR="00786D00" w:rsidRPr="00CB57FB">
        <w:t>60</w:t>
      </w:r>
      <w:r w:rsidR="008519AC" w:rsidRPr="00CB57FB">
        <w:t xml:space="preserve"> minutes, the total estimated burden hours is calculated at </w:t>
      </w:r>
      <w:r w:rsidR="00850C8C" w:rsidRPr="00CB57FB">
        <w:t xml:space="preserve">70 hours </w:t>
      </w:r>
      <w:r w:rsidR="003B1928" w:rsidRPr="00CB57FB">
        <w:t>per year</w:t>
      </w:r>
      <w:r w:rsidR="008519AC" w:rsidRPr="00CB57FB">
        <w:t>.</w:t>
      </w:r>
    </w:p>
    <w:p w:rsidR="00E00583" w:rsidRPr="00CB57FB" w:rsidRDefault="00E00583" w:rsidP="00C60FA1">
      <w:pPr>
        <w:ind w:left="1440"/>
      </w:pPr>
    </w:p>
    <w:p w:rsidR="008630F3" w:rsidRPr="00CB57FB" w:rsidRDefault="009439F8" w:rsidP="008630F3">
      <w:pPr>
        <w:pStyle w:val="ListParagraph"/>
        <w:numPr>
          <w:ilvl w:val="1"/>
          <w:numId w:val="16"/>
        </w:numPr>
      </w:pPr>
      <w:r w:rsidRPr="00CB57FB">
        <w:rPr>
          <w:b/>
        </w:rPr>
        <w:t>Higher Range.</w:t>
      </w:r>
      <w:r w:rsidRPr="00CB57FB">
        <w:t xml:space="preserve">  </w:t>
      </w:r>
      <w:r w:rsidR="008519AC" w:rsidRPr="00CB57FB">
        <w:t>The higher ran</w:t>
      </w:r>
      <w:r w:rsidR="008630F3" w:rsidRPr="00CB57FB">
        <w:t xml:space="preserve">ge was calculated by estimating </w:t>
      </w:r>
      <w:r w:rsidR="00430A86">
        <w:t>8</w:t>
      </w:r>
      <w:r w:rsidR="00430A86" w:rsidRPr="00CB57FB">
        <w:t xml:space="preserve"> </w:t>
      </w:r>
      <w:r w:rsidR="00786D00" w:rsidRPr="00CB57FB">
        <w:t>focus groups over the</w:t>
      </w:r>
      <w:r w:rsidR="008519AC" w:rsidRPr="00CB57FB">
        <w:t xml:space="preserve"> </w:t>
      </w:r>
      <w:r w:rsidR="00EF4A80" w:rsidRPr="00CB57FB">
        <w:t>one-year</w:t>
      </w:r>
      <w:r w:rsidR="008519AC" w:rsidRPr="00CB57FB">
        <w:t xml:space="preserve"> clearance timeframe</w:t>
      </w:r>
      <w:r w:rsidR="00430A86">
        <w:t xml:space="preserve"> with </w:t>
      </w:r>
      <w:r w:rsidR="008630F3" w:rsidRPr="00CB57FB">
        <w:t xml:space="preserve">100 respondents over the </w:t>
      </w:r>
      <w:r w:rsidR="00EF4A80" w:rsidRPr="00CB57FB">
        <w:t>one-year</w:t>
      </w:r>
      <w:r w:rsidR="008630F3" w:rsidRPr="00CB57FB">
        <w:t xml:space="preserve"> clearance timeframe.  Assuming that each respondent will be asked to participate in a focus group once, with each focus group at approximately 120 minutes, the total estimated burden hours is calculated at 200 hours per year.</w:t>
      </w:r>
    </w:p>
    <w:p w:rsidR="00C56535" w:rsidRPr="00CB57FB" w:rsidRDefault="00C56535" w:rsidP="008630F3">
      <w:pPr>
        <w:ind w:left="1440"/>
      </w:pPr>
    </w:p>
    <w:p w:rsidR="006851DA" w:rsidRPr="00922C49" w:rsidRDefault="00EB2759" w:rsidP="00DD5651">
      <w:pPr>
        <w:ind w:left="360"/>
        <w:rPr>
          <w:bCs/>
          <w:i/>
        </w:rPr>
      </w:pPr>
      <w:r w:rsidRPr="00922C49">
        <w:rPr>
          <w:bCs/>
          <w:i/>
        </w:rPr>
        <w:t xml:space="preserve">Provide estimates of annualized cost to respondents for the hour burdens for collections of information, identifying and using appropriate wage and rate categories.  The cost of contracting out or paying outside parties for information collection activities should not </w:t>
      </w:r>
      <w:r w:rsidR="006851DA" w:rsidRPr="00922C49">
        <w:rPr>
          <w:bCs/>
          <w:i/>
        </w:rPr>
        <w:t>be included here.  Instead, this cost should be included in Item 13.</w:t>
      </w:r>
    </w:p>
    <w:p w:rsidR="00185318" w:rsidRPr="00CB57FB" w:rsidRDefault="00185318" w:rsidP="00DD5651">
      <w:pPr>
        <w:pStyle w:val="Style1"/>
        <w:numPr>
          <w:ilvl w:val="0"/>
          <w:numId w:val="0"/>
        </w:numPr>
        <w:spacing w:before="0" w:after="0"/>
        <w:rPr>
          <w:rFonts w:cs="Times New Roman"/>
          <w:kern w:val="0"/>
          <w:sz w:val="24"/>
          <w:szCs w:val="24"/>
        </w:rPr>
      </w:pPr>
    </w:p>
    <w:p w:rsidR="00A11680" w:rsidRPr="00CB57FB" w:rsidRDefault="005A391F" w:rsidP="00DD5651">
      <w:pPr>
        <w:pStyle w:val="Style1"/>
        <w:numPr>
          <w:ilvl w:val="0"/>
          <w:numId w:val="0"/>
        </w:numPr>
        <w:spacing w:before="0" w:after="0"/>
        <w:rPr>
          <w:rFonts w:cs="Times New Roman"/>
          <w:kern w:val="0"/>
          <w:sz w:val="24"/>
          <w:szCs w:val="24"/>
        </w:rPr>
      </w:pPr>
      <w:r w:rsidRPr="00CB57FB">
        <w:rPr>
          <w:rFonts w:cs="Times New Roman"/>
          <w:kern w:val="0"/>
          <w:sz w:val="24"/>
          <w:szCs w:val="24"/>
        </w:rPr>
        <w:t xml:space="preserve">A range of </w:t>
      </w:r>
      <w:r w:rsidR="00B27928" w:rsidRPr="00CB57FB">
        <w:rPr>
          <w:rFonts w:cs="Times New Roman"/>
          <w:kern w:val="0"/>
          <w:sz w:val="24"/>
          <w:szCs w:val="24"/>
        </w:rPr>
        <w:t>total annualized cost</w:t>
      </w:r>
      <w:r w:rsidR="00893C15" w:rsidRPr="00CB57FB">
        <w:rPr>
          <w:rFonts w:cs="Times New Roman"/>
          <w:kern w:val="0"/>
          <w:sz w:val="24"/>
          <w:szCs w:val="24"/>
        </w:rPr>
        <w:t>s</w:t>
      </w:r>
      <w:r w:rsidR="00B27928" w:rsidRPr="00CB57FB">
        <w:rPr>
          <w:rFonts w:cs="Times New Roman"/>
          <w:kern w:val="0"/>
          <w:sz w:val="24"/>
          <w:szCs w:val="24"/>
        </w:rPr>
        <w:t xml:space="preserve"> to respondents associated with </w:t>
      </w:r>
      <w:r w:rsidR="00A11680" w:rsidRPr="00CB57FB">
        <w:rPr>
          <w:rFonts w:cs="Times New Roman"/>
          <w:kern w:val="0"/>
          <w:sz w:val="24"/>
          <w:szCs w:val="24"/>
        </w:rPr>
        <w:t xml:space="preserve">site visit interview and focus groups </w:t>
      </w:r>
      <w:r w:rsidR="00B27928" w:rsidRPr="00CB57FB">
        <w:rPr>
          <w:rFonts w:cs="Times New Roman"/>
          <w:kern w:val="0"/>
          <w:sz w:val="24"/>
          <w:szCs w:val="24"/>
        </w:rPr>
        <w:t xml:space="preserve">is presented in Table 2.  The hourly wage in that table is the </w:t>
      </w:r>
      <w:r w:rsidR="00652B44" w:rsidRPr="00CB57FB">
        <w:rPr>
          <w:rFonts w:cs="Times New Roman"/>
          <w:kern w:val="0"/>
          <w:sz w:val="24"/>
          <w:szCs w:val="24"/>
        </w:rPr>
        <w:t xml:space="preserve">average </w:t>
      </w:r>
      <w:r w:rsidR="00B27928" w:rsidRPr="00CB57FB">
        <w:rPr>
          <w:rFonts w:cs="Times New Roman"/>
          <w:kern w:val="0"/>
          <w:sz w:val="24"/>
          <w:szCs w:val="24"/>
        </w:rPr>
        <w:t>hourly wage</w:t>
      </w:r>
      <w:r w:rsidR="008A6729" w:rsidRPr="00CB57FB">
        <w:rPr>
          <w:rFonts w:cs="Times New Roman"/>
          <w:kern w:val="0"/>
          <w:sz w:val="24"/>
          <w:szCs w:val="24"/>
        </w:rPr>
        <w:t>,</w:t>
      </w:r>
      <w:r w:rsidR="004042A6" w:rsidRPr="00CB57FB">
        <w:rPr>
          <w:rFonts w:cs="Times New Roman"/>
          <w:kern w:val="0"/>
          <w:sz w:val="24"/>
          <w:szCs w:val="24"/>
        </w:rPr>
        <w:t xml:space="preserve"> including benefits and overhead</w:t>
      </w:r>
      <w:r w:rsidR="008A6729" w:rsidRPr="00CB57FB">
        <w:rPr>
          <w:rFonts w:cs="Times New Roman"/>
          <w:kern w:val="0"/>
          <w:sz w:val="24"/>
          <w:szCs w:val="24"/>
        </w:rPr>
        <w:t>,</w:t>
      </w:r>
      <w:r w:rsidR="004042A6" w:rsidRPr="00CB57FB">
        <w:rPr>
          <w:rFonts w:cs="Times New Roman"/>
          <w:kern w:val="0"/>
          <w:sz w:val="24"/>
          <w:szCs w:val="24"/>
        </w:rPr>
        <w:t xml:space="preserve"> </w:t>
      </w:r>
      <w:r w:rsidR="00B27928" w:rsidRPr="00CB57FB">
        <w:rPr>
          <w:rFonts w:cs="Times New Roman"/>
          <w:kern w:val="0"/>
          <w:sz w:val="24"/>
          <w:szCs w:val="24"/>
        </w:rPr>
        <w:t xml:space="preserve">of </w:t>
      </w:r>
      <w:r w:rsidR="00804874" w:rsidRPr="00CB57FB">
        <w:rPr>
          <w:rFonts w:cs="Times New Roman"/>
          <w:kern w:val="0"/>
          <w:sz w:val="24"/>
          <w:szCs w:val="24"/>
        </w:rPr>
        <w:t>$</w:t>
      </w:r>
      <w:r w:rsidR="0014757E" w:rsidRPr="00CB57FB">
        <w:rPr>
          <w:rFonts w:cs="Times New Roman"/>
          <w:kern w:val="0"/>
          <w:sz w:val="24"/>
          <w:szCs w:val="24"/>
        </w:rPr>
        <w:t>117.88</w:t>
      </w:r>
      <w:r w:rsidR="004042A6" w:rsidRPr="00CB57FB">
        <w:rPr>
          <w:rFonts w:cs="Times New Roman"/>
          <w:kern w:val="0"/>
          <w:sz w:val="24"/>
          <w:szCs w:val="24"/>
        </w:rPr>
        <w:t>.</w:t>
      </w:r>
      <w:r w:rsidR="0014757E" w:rsidRPr="00CB57FB">
        <w:rPr>
          <w:rStyle w:val="FootnoteReference"/>
          <w:rFonts w:cs="Times New Roman"/>
          <w:kern w:val="0"/>
          <w:sz w:val="24"/>
          <w:szCs w:val="24"/>
        </w:rPr>
        <w:footnoteReference w:id="1"/>
      </w:r>
      <w:r w:rsidR="009B0489" w:rsidRPr="00CB57FB">
        <w:rPr>
          <w:rFonts w:cs="Times New Roman"/>
          <w:kern w:val="0"/>
          <w:sz w:val="24"/>
          <w:szCs w:val="24"/>
        </w:rPr>
        <w:t xml:space="preserve">  </w:t>
      </w:r>
      <w:r w:rsidR="004042A6" w:rsidRPr="00CB57FB">
        <w:rPr>
          <w:rFonts w:cs="Times New Roman"/>
          <w:kern w:val="0"/>
          <w:sz w:val="24"/>
          <w:szCs w:val="24"/>
        </w:rPr>
        <w:t xml:space="preserve">This estimate represents an upper bound of the hourly cost that could be incurred </w:t>
      </w:r>
      <w:r w:rsidR="009B0489" w:rsidRPr="00CB57FB">
        <w:rPr>
          <w:rFonts w:cs="Times New Roman"/>
          <w:kern w:val="0"/>
          <w:sz w:val="24"/>
          <w:szCs w:val="24"/>
        </w:rPr>
        <w:t>for this collection.  The $</w:t>
      </w:r>
      <w:r w:rsidR="0014757E" w:rsidRPr="00CB57FB">
        <w:rPr>
          <w:rFonts w:cs="Times New Roman"/>
          <w:kern w:val="0"/>
          <w:sz w:val="24"/>
          <w:szCs w:val="24"/>
        </w:rPr>
        <w:t>117.88</w:t>
      </w:r>
      <w:r w:rsidR="009B0489" w:rsidRPr="00CB57FB">
        <w:rPr>
          <w:rFonts w:cs="Times New Roman"/>
          <w:kern w:val="0"/>
          <w:sz w:val="24"/>
          <w:szCs w:val="24"/>
        </w:rPr>
        <w:t xml:space="preserve"> hourly rate assumes that fiduciary agents will be participating in the </w:t>
      </w:r>
      <w:r w:rsidR="00DA694B" w:rsidRPr="00CB57FB">
        <w:rPr>
          <w:rFonts w:cs="Times New Roman"/>
          <w:kern w:val="0"/>
          <w:sz w:val="24"/>
          <w:szCs w:val="24"/>
        </w:rPr>
        <w:t>focus groups.</w:t>
      </w:r>
    </w:p>
    <w:p w:rsidR="005C787E" w:rsidRPr="00CB57FB" w:rsidRDefault="005C787E" w:rsidP="00DD5651">
      <w:pPr>
        <w:pStyle w:val="Style1"/>
        <w:numPr>
          <w:ilvl w:val="0"/>
          <w:numId w:val="0"/>
        </w:numPr>
        <w:spacing w:before="0" w:after="0"/>
        <w:rPr>
          <w:rFonts w:cs="Times New Roman"/>
          <w:kern w:val="0"/>
          <w:sz w:val="24"/>
          <w:szCs w:val="24"/>
        </w:rPr>
      </w:pPr>
    </w:p>
    <w:p w:rsidR="00655BC6" w:rsidRPr="00CB57FB" w:rsidRDefault="00655BC6" w:rsidP="00DD5651">
      <w:pPr>
        <w:autoSpaceDE w:val="0"/>
        <w:autoSpaceDN w:val="0"/>
        <w:adjustRightInd w:val="0"/>
        <w:jc w:val="center"/>
        <w:rPr>
          <w:b/>
          <w:bCs/>
        </w:rPr>
      </w:pPr>
      <w:r w:rsidRPr="00CB57FB">
        <w:rPr>
          <w:b/>
          <w:bCs/>
        </w:rPr>
        <w:t xml:space="preserve">TABLE </w:t>
      </w:r>
      <w:r w:rsidR="00AD5DA4" w:rsidRPr="00CB57FB">
        <w:rPr>
          <w:b/>
          <w:bCs/>
        </w:rPr>
        <w:t>2</w:t>
      </w:r>
      <w:r w:rsidRPr="00CB57FB">
        <w:rPr>
          <w:b/>
          <w:bCs/>
        </w:rPr>
        <w:t xml:space="preserve">:  ESTIMATED RESPONSE BURDEN IN HOURS OF DATA COLLECTION </w:t>
      </w:r>
    </w:p>
    <w:p w:rsidR="00655BC6" w:rsidRPr="00CB57FB" w:rsidRDefault="00655BC6" w:rsidP="00DD5651">
      <w:pPr>
        <w:autoSpaceDE w:val="0"/>
        <w:autoSpaceDN w:val="0"/>
        <w:adjustRightInd w:val="0"/>
        <w:rPr>
          <w:bCs/>
          <w:sz w:val="28"/>
          <w:szCs w:val="28"/>
        </w:rPr>
      </w:pPr>
    </w:p>
    <w:tbl>
      <w:tblPr>
        <w:tblW w:w="10005" w:type="dxa"/>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1710"/>
        <w:gridCol w:w="1710"/>
        <w:gridCol w:w="1499"/>
        <w:gridCol w:w="1609"/>
      </w:tblGrid>
      <w:tr w:rsidR="003B1928" w:rsidRPr="00CB57FB" w:rsidTr="003B1928">
        <w:trPr>
          <w:jc w:val="center"/>
        </w:trPr>
        <w:tc>
          <w:tcPr>
            <w:tcW w:w="3477" w:type="dxa"/>
            <w:tcBorders>
              <w:bottom w:val="single" w:sz="4" w:space="0" w:color="auto"/>
            </w:tcBorders>
            <w:vAlign w:val="center"/>
          </w:tcPr>
          <w:p w:rsidR="003B1928" w:rsidRPr="00CB57FB" w:rsidRDefault="003B1928" w:rsidP="00DD5651">
            <w:pPr>
              <w:autoSpaceDE w:val="0"/>
              <w:autoSpaceDN w:val="0"/>
              <w:adjustRightInd w:val="0"/>
              <w:jc w:val="center"/>
              <w:rPr>
                <w:b/>
                <w:bCs/>
                <w:sz w:val="20"/>
                <w:szCs w:val="20"/>
              </w:rPr>
            </w:pPr>
            <w:r w:rsidRPr="00CB57FB">
              <w:rPr>
                <w:b/>
                <w:bCs/>
                <w:sz w:val="20"/>
                <w:szCs w:val="20"/>
              </w:rPr>
              <w:t>Data Collection Activity</w:t>
            </w:r>
          </w:p>
        </w:tc>
        <w:tc>
          <w:tcPr>
            <w:tcW w:w="1710" w:type="dxa"/>
            <w:tcBorders>
              <w:bottom w:val="single" w:sz="4" w:space="0" w:color="auto"/>
            </w:tcBorders>
            <w:vAlign w:val="center"/>
          </w:tcPr>
          <w:p w:rsidR="003B1928" w:rsidRPr="00CB57FB" w:rsidRDefault="003B1928" w:rsidP="00786D00">
            <w:pPr>
              <w:autoSpaceDE w:val="0"/>
              <w:autoSpaceDN w:val="0"/>
              <w:adjustRightInd w:val="0"/>
              <w:jc w:val="center"/>
              <w:rPr>
                <w:b/>
                <w:bCs/>
                <w:sz w:val="20"/>
                <w:szCs w:val="20"/>
              </w:rPr>
            </w:pPr>
            <w:r w:rsidRPr="00CB57FB">
              <w:rPr>
                <w:b/>
                <w:bCs/>
                <w:sz w:val="20"/>
                <w:szCs w:val="20"/>
              </w:rPr>
              <w:t xml:space="preserve">Total Burden Hours Over </w:t>
            </w:r>
            <w:r w:rsidR="00786D00" w:rsidRPr="00CB57FB">
              <w:rPr>
                <w:b/>
                <w:bCs/>
                <w:sz w:val="20"/>
                <w:szCs w:val="20"/>
              </w:rPr>
              <w:t>1</w:t>
            </w:r>
            <w:r w:rsidRPr="00CB57FB">
              <w:rPr>
                <w:b/>
                <w:bCs/>
                <w:sz w:val="20"/>
                <w:szCs w:val="20"/>
              </w:rPr>
              <w:t xml:space="preserve"> Years</w:t>
            </w:r>
          </w:p>
        </w:tc>
        <w:tc>
          <w:tcPr>
            <w:tcW w:w="1710" w:type="dxa"/>
            <w:tcBorders>
              <w:bottom w:val="single" w:sz="4" w:space="0" w:color="auto"/>
            </w:tcBorders>
          </w:tcPr>
          <w:p w:rsidR="003B1928" w:rsidRPr="00CB57FB" w:rsidRDefault="003B1928" w:rsidP="00DD5651">
            <w:pPr>
              <w:autoSpaceDE w:val="0"/>
              <w:autoSpaceDN w:val="0"/>
              <w:adjustRightInd w:val="0"/>
              <w:jc w:val="center"/>
              <w:rPr>
                <w:b/>
                <w:bCs/>
                <w:sz w:val="20"/>
                <w:szCs w:val="20"/>
              </w:rPr>
            </w:pPr>
            <w:r w:rsidRPr="00CB57FB">
              <w:rPr>
                <w:b/>
                <w:bCs/>
                <w:sz w:val="20"/>
                <w:szCs w:val="20"/>
              </w:rPr>
              <w:t>Annualized Number of Burden Hours</w:t>
            </w:r>
          </w:p>
        </w:tc>
        <w:tc>
          <w:tcPr>
            <w:tcW w:w="1499" w:type="dxa"/>
            <w:tcBorders>
              <w:bottom w:val="single" w:sz="4" w:space="0" w:color="auto"/>
            </w:tcBorders>
            <w:vAlign w:val="center"/>
          </w:tcPr>
          <w:p w:rsidR="003B1928" w:rsidRPr="00CB57FB" w:rsidRDefault="003B1928" w:rsidP="00DD5651">
            <w:pPr>
              <w:autoSpaceDE w:val="0"/>
              <w:autoSpaceDN w:val="0"/>
              <w:adjustRightInd w:val="0"/>
              <w:jc w:val="center"/>
              <w:rPr>
                <w:b/>
                <w:bCs/>
                <w:sz w:val="20"/>
                <w:szCs w:val="20"/>
              </w:rPr>
            </w:pPr>
            <w:r w:rsidRPr="00CB57FB">
              <w:rPr>
                <w:b/>
                <w:bCs/>
                <w:sz w:val="20"/>
                <w:szCs w:val="20"/>
              </w:rPr>
              <w:t>Average Hourly Wage</w:t>
            </w:r>
          </w:p>
        </w:tc>
        <w:tc>
          <w:tcPr>
            <w:tcW w:w="1609" w:type="dxa"/>
            <w:tcBorders>
              <w:bottom w:val="single" w:sz="4" w:space="0" w:color="auto"/>
            </w:tcBorders>
            <w:vAlign w:val="center"/>
          </w:tcPr>
          <w:p w:rsidR="003B1928" w:rsidRPr="00CB57FB" w:rsidRDefault="003B1928" w:rsidP="0058113C">
            <w:pPr>
              <w:autoSpaceDE w:val="0"/>
              <w:autoSpaceDN w:val="0"/>
              <w:adjustRightInd w:val="0"/>
              <w:jc w:val="center"/>
              <w:rPr>
                <w:b/>
                <w:bCs/>
                <w:sz w:val="20"/>
                <w:szCs w:val="20"/>
              </w:rPr>
            </w:pPr>
            <w:r w:rsidRPr="00CB57FB">
              <w:rPr>
                <w:b/>
                <w:bCs/>
                <w:sz w:val="20"/>
                <w:szCs w:val="20"/>
              </w:rPr>
              <w:t xml:space="preserve">Total Annualized </w:t>
            </w:r>
            <w:r w:rsidR="0058113C" w:rsidRPr="00CB57FB">
              <w:rPr>
                <w:b/>
                <w:bCs/>
                <w:sz w:val="20"/>
                <w:szCs w:val="20"/>
              </w:rPr>
              <w:t>Equivalent</w:t>
            </w:r>
            <w:r w:rsidRPr="00CB57FB">
              <w:rPr>
                <w:b/>
                <w:bCs/>
                <w:sz w:val="20"/>
                <w:szCs w:val="20"/>
              </w:rPr>
              <w:t xml:space="preserve"> Cost</w:t>
            </w:r>
          </w:p>
        </w:tc>
      </w:tr>
      <w:tr w:rsidR="003B1928" w:rsidRPr="00CB57FB" w:rsidTr="003B1928">
        <w:trPr>
          <w:trHeight w:val="1088"/>
          <w:jc w:val="center"/>
        </w:trPr>
        <w:tc>
          <w:tcPr>
            <w:tcW w:w="3477" w:type="dxa"/>
            <w:tcBorders>
              <w:bottom w:val="nil"/>
            </w:tcBorders>
          </w:tcPr>
          <w:p w:rsidR="003B1928" w:rsidRPr="00CB57FB" w:rsidRDefault="003B1928" w:rsidP="00DD5651">
            <w:pPr>
              <w:autoSpaceDE w:val="0"/>
              <w:autoSpaceDN w:val="0"/>
              <w:adjustRightInd w:val="0"/>
              <w:rPr>
                <w:b/>
                <w:bCs/>
                <w:sz w:val="20"/>
                <w:szCs w:val="20"/>
              </w:rPr>
            </w:pPr>
            <w:r w:rsidRPr="00CB57FB">
              <w:rPr>
                <w:b/>
                <w:bCs/>
                <w:sz w:val="20"/>
                <w:szCs w:val="20"/>
              </w:rPr>
              <w:t>Site Visit Focus Groups</w:t>
            </w:r>
          </w:p>
          <w:p w:rsidR="003B1928" w:rsidRPr="00CB57FB" w:rsidRDefault="003B1928" w:rsidP="00DD5651">
            <w:pPr>
              <w:autoSpaceDE w:val="0"/>
              <w:autoSpaceDN w:val="0"/>
              <w:adjustRightInd w:val="0"/>
              <w:rPr>
                <w:bCs/>
                <w:sz w:val="20"/>
                <w:szCs w:val="20"/>
              </w:rPr>
            </w:pPr>
            <w:r w:rsidRPr="00CB57FB">
              <w:rPr>
                <w:bCs/>
                <w:sz w:val="20"/>
                <w:szCs w:val="20"/>
              </w:rPr>
              <w:t xml:space="preserve">Lower range # of </w:t>
            </w:r>
            <w:r w:rsidR="008F01D8" w:rsidRPr="00CB57FB">
              <w:rPr>
                <w:bCs/>
                <w:sz w:val="20"/>
                <w:szCs w:val="20"/>
              </w:rPr>
              <w:t>focus group participants</w:t>
            </w:r>
          </w:p>
          <w:p w:rsidR="003B1928" w:rsidRPr="00CB57FB" w:rsidRDefault="003B1928" w:rsidP="008F01D8">
            <w:pPr>
              <w:autoSpaceDE w:val="0"/>
              <w:autoSpaceDN w:val="0"/>
              <w:adjustRightInd w:val="0"/>
              <w:rPr>
                <w:bCs/>
                <w:sz w:val="20"/>
                <w:szCs w:val="20"/>
              </w:rPr>
            </w:pPr>
            <w:r w:rsidRPr="00CB57FB">
              <w:rPr>
                <w:bCs/>
                <w:sz w:val="20"/>
                <w:szCs w:val="20"/>
              </w:rPr>
              <w:t xml:space="preserve">(estimated at </w:t>
            </w:r>
            <w:r w:rsidR="008F01D8" w:rsidRPr="00CB57FB">
              <w:rPr>
                <w:bCs/>
                <w:sz w:val="20"/>
                <w:szCs w:val="20"/>
              </w:rPr>
              <w:t>70 focus group participants for the year)</w:t>
            </w:r>
          </w:p>
        </w:tc>
        <w:tc>
          <w:tcPr>
            <w:tcW w:w="1710"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8630F3" w:rsidP="008F01D8">
            <w:pPr>
              <w:autoSpaceDE w:val="0"/>
              <w:autoSpaceDN w:val="0"/>
              <w:adjustRightInd w:val="0"/>
              <w:jc w:val="right"/>
              <w:rPr>
                <w:bCs/>
                <w:sz w:val="20"/>
                <w:szCs w:val="20"/>
              </w:rPr>
            </w:pPr>
            <w:r w:rsidRPr="00CB57FB">
              <w:rPr>
                <w:bCs/>
                <w:sz w:val="20"/>
                <w:szCs w:val="20"/>
              </w:rPr>
              <w:t>70</w:t>
            </w:r>
          </w:p>
        </w:tc>
        <w:tc>
          <w:tcPr>
            <w:tcW w:w="1710"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8630F3" w:rsidP="008F01D8">
            <w:pPr>
              <w:autoSpaceDE w:val="0"/>
              <w:autoSpaceDN w:val="0"/>
              <w:adjustRightInd w:val="0"/>
              <w:jc w:val="right"/>
              <w:rPr>
                <w:bCs/>
                <w:sz w:val="20"/>
                <w:szCs w:val="20"/>
              </w:rPr>
            </w:pPr>
            <w:r w:rsidRPr="00CB57FB">
              <w:rPr>
                <w:bCs/>
                <w:sz w:val="20"/>
                <w:szCs w:val="20"/>
              </w:rPr>
              <w:t>70</w:t>
            </w:r>
          </w:p>
        </w:tc>
        <w:tc>
          <w:tcPr>
            <w:tcW w:w="1499" w:type="dxa"/>
            <w:tcBorders>
              <w:bottom w:val="nil"/>
            </w:tcBorders>
          </w:tcPr>
          <w:p w:rsidR="003B1928" w:rsidRPr="00CB57FB" w:rsidRDefault="003B1928" w:rsidP="00DD5651">
            <w:pPr>
              <w:autoSpaceDE w:val="0"/>
              <w:autoSpaceDN w:val="0"/>
              <w:adjustRightInd w:val="0"/>
              <w:jc w:val="right"/>
              <w:rPr>
                <w:bCs/>
                <w:sz w:val="20"/>
                <w:szCs w:val="20"/>
              </w:rPr>
            </w:pPr>
          </w:p>
          <w:p w:rsidR="003B1928" w:rsidRPr="00CB57FB" w:rsidRDefault="003B1928" w:rsidP="00712BC7">
            <w:pPr>
              <w:autoSpaceDE w:val="0"/>
              <w:autoSpaceDN w:val="0"/>
              <w:adjustRightInd w:val="0"/>
              <w:jc w:val="right"/>
              <w:rPr>
                <w:sz w:val="20"/>
                <w:szCs w:val="20"/>
              </w:rPr>
            </w:pPr>
            <w:r w:rsidRPr="00CB57FB">
              <w:rPr>
                <w:bCs/>
                <w:sz w:val="20"/>
                <w:szCs w:val="20"/>
              </w:rPr>
              <w:t>$</w:t>
            </w:r>
            <w:r w:rsidR="00712BC7">
              <w:rPr>
                <w:bCs/>
                <w:sz w:val="20"/>
                <w:szCs w:val="20"/>
              </w:rPr>
              <w:t>102.41</w:t>
            </w:r>
          </w:p>
        </w:tc>
        <w:tc>
          <w:tcPr>
            <w:tcW w:w="1609" w:type="dxa"/>
            <w:tcBorders>
              <w:bottom w:val="nil"/>
            </w:tcBorders>
          </w:tcPr>
          <w:p w:rsidR="003B1928" w:rsidRPr="00CB57FB" w:rsidRDefault="003B1928" w:rsidP="00DD5651">
            <w:pPr>
              <w:autoSpaceDE w:val="0"/>
              <w:autoSpaceDN w:val="0"/>
              <w:adjustRightInd w:val="0"/>
              <w:jc w:val="right"/>
              <w:rPr>
                <w:bCs/>
                <w:sz w:val="20"/>
                <w:szCs w:val="20"/>
              </w:rPr>
            </w:pPr>
          </w:p>
          <w:p w:rsidR="008630F3" w:rsidRPr="00CB57FB" w:rsidRDefault="008630F3" w:rsidP="008630F3">
            <w:pPr>
              <w:jc w:val="right"/>
              <w:rPr>
                <w:color w:val="000000"/>
                <w:sz w:val="20"/>
                <w:szCs w:val="20"/>
              </w:rPr>
            </w:pPr>
            <w:r w:rsidRPr="00CB57FB">
              <w:rPr>
                <w:color w:val="000000"/>
                <w:sz w:val="20"/>
                <w:szCs w:val="20"/>
              </w:rPr>
              <w:t>$</w:t>
            </w:r>
            <w:r w:rsidR="00712BC7">
              <w:rPr>
                <w:color w:val="000000"/>
                <w:sz w:val="20"/>
                <w:szCs w:val="20"/>
              </w:rPr>
              <w:t>7,169</w:t>
            </w:r>
            <w:r w:rsidRPr="00CB57FB">
              <w:rPr>
                <w:color w:val="000000"/>
                <w:sz w:val="20"/>
                <w:szCs w:val="20"/>
              </w:rPr>
              <w:t xml:space="preserve"> </w:t>
            </w:r>
          </w:p>
          <w:p w:rsidR="003B1928" w:rsidRPr="00CB57FB" w:rsidRDefault="003B1928" w:rsidP="00804874">
            <w:pPr>
              <w:autoSpaceDE w:val="0"/>
              <w:autoSpaceDN w:val="0"/>
              <w:adjustRightInd w:val="0"/>
              <w:jc w:val="right"/>
              <w:rPr>
                <w:bCs/>
                <w:sz w:val="20"/>
                <w:szCs w:val="20"/>
              </w:rPr>
            </w:pPr>
          </w:p>
        </w:tc>
      </w:tr>
      <w:tr w:rsidR="003B1928" w:rsidRPr="00CB57FB" w:rsidTr="003B1928">
        <w:trPr>
          <w:jc w:val="center"/>
        </w:trPr>
        <w:tc>
          <w:tcPr>
            <w:tcW w:w="3477" w:type="dxa"/>
            <w:tcBorders>
              <w:top w:val="nil"/>
            </w:tcBorders>
          </w:tcPr>
          <w:p w:rsidR="003B1928" w:rsidRPr="00CB57FB" w:rsidRDefault="003B1928" w:rsidP="00DD5651">
            <w:pPr>
              <w:autoSpaceDE w:val="0"/>
              <w:autoSpaceDN w:val="0"/>
              <w:adjustRightInd w:val="0"/>
              <w:rPr>
                <w:bCs/>
                <w:sz w:val="20"/>
                <w:szCs w:val="20"/>
              </w:rPr>
            </w:pPr>
            <w:r w:rsidRPr="00CB57FB">
              <w:rPr>
                <w:bCs/>
                <w:sz w:val="20"/>
                <w:szCs w:val="20"/>
              </w:rPr>
              <w:t xml:space="preserve">Upper range # of </w:t>
            </w:r>
            <w:r w:rsidR="008F01D8" w:rsidRPr="00CB57FB">
              <w:rPr>
                <w:bCs/>
                <w:sz w:val="20"/>
                <w:szCs w:val="20"/>
              </w:rPr>
              <w:t>focus group participants</w:t>
            </w:r>
          </w:p>
          <w:p w:rsidR="003B1928" w:rsidRPr="00CB57FB" w:rsidRDefault="003B1928" w:rsidP="008F01D8">
            <w:pPr>
              <w:autoSpaceDE w:val="0"/>
              <w:autoSpaceDN w:val="0"/>
              <w:adjustRightInd w:val="0"/>
              <w:rPr>
                <w:bCs/>
                <w:sz w:val="20"/>
                <w:szCs w:val="20"/>
              </w:rPr>
            </w:pPr>
            <w:r w:rsidRPr="00CB57FB">
              <w:rPr>
                <w:bCs/>
                <w:sz w:val="20"/>
                <w:szCs w:val="20"/>
              </w:rPr>
              <w:t xml:space="preserve">(estimated at </w:t>
            </w:r>
            <w:r w:rsidR="008F01D8" w:rsidRPr="00CB57FB">
              <w:rPr>
                <w:bCs/>
                <w:sz w:val="20"/>
                <w:szCs w:val="20"/>
              </w:rPr>
              <w:t>100 focus group participants for the year</w:t>
            </w:r>
            <w:r w:rsidRPr="00CB57FB">
              <w:rPr>
                <w:bCs/>
                <w:sz w:val="20"/>
                <w:szCs w:val="20"/>
              </w:rPr>
              <w:t>)</w:t>
            </w:r>
          </w:p>
        </w:tc>
        <w:tc>
          <w:tcPr>
            <w:tcW w:w="1710" w:type="dxa"/>
            <w:tcBorders>
              <w:top w:val="nil"/>
            </w:tcBorders>
          </w:tcPr>
          <w:p w:rsidR="003B1928" w:rsidRPr="00CB57FB" w:rsidRDefault="008630F3" w:rsidP="008F01D8">
            <w:pPr>
              <w:autoSpaceDE w:val="0"/>
              <w:autoSpaceDN w:val="0"/>
              <w:adjustRightInd w:val="0"/>
              <w:jc w:val="right"/>
              <w:rPr>
                <w:bCs/>
                <w:sz w:val="20"/>
                <w:szCs w:val="20"/>
              </w:rPr>
            </w:pPr>
            <w:r w:rsidRPr="00CB57FB">
              <w:rPr>
                <w:bCs/>
                <w:sz w:val="20"/>
                <w:szCs w:val="20"/>
              </w:rPr>
              <w:t>200</w:t>
            </w:r>
          </w:p>
        </w:tc>
        <w:tc>
          <w:tcPr>
            <w:tcW w:w="1710" w:type="dxa"/>
            <w:tcBorders>
              <w:top w:val="nil"/>
            </w:tcBorders>
          </w:tcPr>
          <w:p w:rsidR="003B1928" w:rsidRPr="00CB57FB" w:rsidRDefault="008630F3" w:rsidP="008F01D8">
            <w:pPr>
              <w:autoSpaceDE w:val="0"/>
              <w:autoSpaceDN w:val="0"/>
              <w:adjustRightInd w:val="0"/>
              <w:jc w:val="right"/>
              <w:rPr>
                <w:bCs/>
                <w:sz w:val="20"/>
                <w:szCs w:val="20"/>
              </w:rPr>
            </w:pPr>
            <w:r w:rsidRPr="00CB57FB">
              <w:rPr>
                <w:bCs/>
                <w:sz w:val="20"/>
                <w:szCs w:val="20"/>
              </w:rPr>
              <w:t>200</w:t>
            </w:r>
          </w:p>
        </w:tc>
        <w:tc>
          <w:tcPr>
            <w:tcW w:w="1499" w:type="dxa"/>
            <w:tcBorders>
              <w:top w:val="nil"/>
            </w:tcBorders>
          </w:tcPr>
          <w:p w:rsidR="003B1928" w:rsidRPr="00CB57FB" w:rsidRDefault="003B1928" w:rsidP="00712BC7">
            <w:pPr>
              <w:autoSpaceDE w:val="0"/>
              <w:autoSpaceDN w:val="0"/>
              <w:adjustRightInd w:val="0"/>
              <w:jc w:val="right"/>
              <w:rPr>
                <w:bCs/>
                <w:sz w:val="20"/>
                <w:szCs w:val="20"/>
              </w:rPr>
            </w:pPr>
            <w:r w:rsidRPr="00CB57FB">
              <w:rPr>
                <w:bCs/>
                <w:sz w:val="20"/>
                <w:szCs w:val="20"/>
              </w:rPr>
              <w:t>$</w:t>
            </w:r>
            <w:r w:rsidR="00712BC7">
              <w:rPr>
                <w:bCs/>
                <w:sz w:val="20"/>
                <w:szCs w:val="20"/>
              </w:rPr>
              <w:t>102.41</w:t>
            </w:r>
          </w:p>
        </w:tc>
        <w:tc>
          <w:tcPr>
            <w:tcW w:w="1609" w:type="dxa"/>
            <w:tcBorders>
              <w:top w:val="nil"/>
            </w:tcBorders>
          </w:tcPr>
          <w:p w:rsidR="003B1928" w:rsidRPr="00CB57FB" w:rsidRDefault="00054109" w:rsidP="00712BC7">
            <w:pPr>
              <w:jc w:val="right"/>
              <w:rPr>
                <w:color w:val="000000"/>
                <w:sz w:val="20"/>
                <w:szCs w:val="20"/>
              </w:rPr>
            </w:pPr>
            <w:r w:rsidRPr="00CB57FB">
              <w:rPr>
                <w:color w:val="000000"/>
                <w:sz w:val="20"/>
                <w:szCs w:val="20"/>
              </w:rPr>
              <w:t>$</w:t>
            </w:r>
            <w:r w:rsidR="00712BC7">
              <w:rPr>
                <w:color w:val="000000"/>
                <w:sz w:val="20"/>
                <w:szCs w:val="20"/>
              </w:rPr>
              <w:t>20,482</w:t>
            </w:r>
          </w:p>
        </w:tc>
      </w:tr>
      <w:tr w:rsidR="003B1928" w:rsidRPr="00CB57FB" w:rsidTr="003B1928">
        <w:trPr>
          <w:trHeight w:val="602"/>
          <w:jc w:val="center"/>
        </w:trPr>
        <w:tc>
          <w:tcPr>
            <w:tcW w:w="3477" w:type="dxa"/>
          </w:tcPr>
          <w:p w:rsidR="003B1928" w:rsidRPr="00CB57FB" w:rsidRDefault="00285E89" w:rsidP="00DD5651">
            <w:pPr>
              <w:autoSpaceDE w:val="0"/>
              <w:autoSpaceDN w:val="0"/>
              <w:adjustRightInd w:val="0"/>
              <w:rPr>
                <w:b/>
                <w:bCs/>
                <w:sz w:val="20"/>
                <w:szCs w:val="20"/>
              </w:rPr>
            </w:pPr>
            <w:r>
              <w:rPr>
                <w:b/>
                <w:bCs/>
                <w:sz w:val="20"/>
                <w:szCs w:val="20"/>
              </w:rPr>
              <w:t>Midpoint</w:t>
            </w:r>
          </w:p>
        </w:tc>
        <w:tc>
          <w:tcPr>
            <w:tcW w:w="1710" w:type="dxa"/>
          </w:tcPr>
          <w:p w:rsidR="003B1928" w:rsidRPr="00CB57FB" w:rsidRDefault="0017619E" w:rsidP="00DD5651">
            <w:pPr>
              <w:autoSpaceDE w:val="0"/>
              <w:autoSpaceDN w:val="0"/>
              <w:adjustRightInd w:val="0"/>
              <w:jc w:val="right"/>
              <w:rPr>
                <w:bCs/>
                <w:sz w:val="20"/>
                <w:szCs w:val="20"/>
              </w:rPr>
            </w:pPr>
            <w:r>
              <w:rPr>
                <w:bCs/>
                <w:sz w:val="20"/>
                <w:szCs w:val="20"/>
              </w:rPr>
              <w:t>128</w:t>
            </w:r>
          </w:p>
          <w:p w:rsidR="003B1928" w:rsidRPr="00CB57FB" w:rsidRDefault="003B1928" w:rsidP="00DD5651">
            <w:pPr>
              <w:autoSpaceDE w:val="0"/>
              <w:autoSpaceDN w:val="0"/>
              <w:adjustRightInd w:val="0"/>
              <w:jc w:val="right"/>
              <w:rPr>
                <w:bCs/>
                <w:sz w:val="20"/>
                <w:szCs w:val="20"/>
              </w:rPr>
            </w:pPr>
            <w:r w:rsidRPr="00CB57FB">
              <w:rPr>
                <w:bCs/>
                <w:sz w:val="20"/>
                <w:szCs w:val="20"/>
              </w:rPr>
              <w:t xml:space="preserve">hours </w:t>
            </w:r>
          </w:p>
        </w:tc>
        <w:tc>
          <w:tcPr>
            <w:tcW w:w="1710" w:type="dxa"/>
          </w:tcPr>
          <w:p w:rsidR="008F01D8" w:rsidRPr="00CB57FB" w:rsidRDefault="0017619E" w:rsidP="008F01D8">
            <w:pPr>
              <w:autoSpaceDE w:val="0"/>
              <w:autoSpaceDN w:val="0"/>
              <w:adjustRightInd w:val="0"/>
              <w:jc w:val="right"/>
              <w:rPr>
                <w:bCs/>
                <w:sz w:val="20"/>
                <w:szCs w:val="20"/>
              </w:rPr>
            </w:pPr>
            <w:r>
              <w:rPr>
                <w:bCs/>
                <w:sz w:val="20"/>
                <w:szCs w:val="20"/>
              </w:rPr>
              <w:t>128</w:t>
            </w:r>
          </w:p>
          <w:p w:rsidR="003B1928" w:rsidRPr="00CB57FB" w:rsidRDefault="008F01D8" w:rsidP="008F01D8">
            <w:pPr>
              <w:autoSpaceDE w:val="0"/>
              <w:autoSpaceDN w:val="0"/>
              <w:adjustRightInd w:val="0"/>
              <w:jc w:val="right"/>
              <w:rPr>
                <w:bCs/>
                <w:sz w:val="20"/>
                <w:szCs w:val="20"/>
              </w:rPr>
            </w:pPr>
            <w:r w:rsidRPr="00CB57FB">
              <w:rPr>
                <w:bCs/>
                <w:sz w:val="20"/>
                <w:szCs w:val="20"/>
              </w:rPr>
              <w:t>hours</w:t>
            </w:r>
          </w:p>
        </w:tc>
        <w:tc>
          <w:tcPr>
            <w:tcW w:w="1499" w:type="dxa"/>
          </w:tcPr>
          <w:p w:rsidR="003B1928" w:rsidRPr="00CB57FB" w:rsidRDefault="0017619E" w:rsidP="00712BC7">
            <w:pPr>
              <w:autoSpaceDE w:val="0"/>
              <w:autoSpaceDN w:val="0"/>
              <w:adjustRightInd w:val="0"/>
              <w:jc w:val="right"/>
              <w:rPr>
                <w:bCs/>
                <w:sz w:val="20"/>
                <w:szCs w:val="20"/>
              </w:rPr>
            </w:pPr>
            <w:r>
              <w:rPr>
                <w:bCs/>
                <w:sz w:val="20"/>
                <w:szCs w:val="20"/>
              </w:rPr>
              <w:t>$</w:t>
            </w:r>
            <w:r w:rsidR="00712BC7">
              <w:rPr>
                <w:bCs/>
                <w:sz w:val="20"/>
                <w:szCs w:val="20"/>
              </w:rPr>
              <w:t>102.41</w:t>
            </w:r>
          </w:p>
        </w:tc>
        <w:tc>
          <w:tcPr>
            <w:tcW w:w="1609" w:type="dxa"/>
          </w:tcPr>
          <w:p w:rsidR="003B1928" w:rsidRPr="00CB57FB" w:rsidRDefault="008630F3" w:rsidP="00FE6FE2">
            <w:pPr>
              <w:jc w:val="right"/>
              <w:rPr>
                <w:color w:val="000000"/>
                <w:sz w:val="20"/>
                <w:szCs w:val="20"/>
              </w:rPr>
            </w:pPr>
            <w:r w:rsidRPr="00CB57FB">
              <w:rPr>
                <w:color w:val="000000"/>
                <w:sz w:val="20"/>
                <w:szCs w:val="20"/>
              </w:rPr>
              <w:t>$</w:t>
            </w:r>
            <w:r w:rsidR="00712BC7">
              <w:rPr>
                <w:color w:val="000000"/>
                <w:sz w:val="20"/>
                <w:szCs w:val="20"/>
              </w:rPr>
              <w:t>13,108</w:t>
            </w:r>
          </w:p>
        </w:tc>
      </w:tr>
    </w:tbl>
    <w:p w:rsidR="009E4D6B" w:rsidRPr="00CB57FB" w:rsidRDefault="009E4D6B" w:rsidP="00DD5651">
      <w:pPr>
        <w:autoSpaceDE w:val="0"/>
        <w:autoSpaceDN w:val="0"/>
        <w:adjustRightInd w:val="0"/>
        <w:rPr>
          <w:bCs/>
          <w:sz w:val="28"/>
          <w:szCs w:val="28"/>
        </w:rPr>
      </w:pPr>
    </w:p>
    <w:p w:rsidR="00EB2759" w:rsidRPr="00CB57FB" w:rsidRDefault="00EB2759" w:rsidP="00DD5651">
      <w:pPr>
        <w:rPr>
          <w:bCs/>
          <w:i/>
        </w:rPr>
      </w:pPr>
      <w:r w:rsidRPr="00CB57FB">
        <w:rPr>
          <w:bCs/>
          <w:i/>
        </w:rPr>
        <w:t>13.</w:t>
      </w:r>
      <w:r w:rsidR="000839EE" w:rsidRPr="00CB57FB">
        <w:rPr>
          <w:bCs/>
          <w:i/>
        </w:rPr>
        <w:tab/>
      </w:r>
      <w:r w:rsidRPr="00CB57FB">
        <w:rPr>
          <w:bCs/>
          <w:i/>
        </w:rPr>
        <w:t xml:space="preserve">Provide an estimate for the total annual cost burden to respondents or </w:t>
      </w:r>
      <w:proofErr w:type="spellStart"/>
      <w:r w:rsidRPr="00CB57FB">
        <w:rPr>
          <w:bCs/>
          <w:i/>
        </w:rPr>
        <w:t>recordkeepers</w:t>
      </w:r>
      <w:proofErr w:type="spellEnd"/>
      <w:r w:rsidRPr="00CB57FB">
        <w:rPr>
          <w:bCs/>
          <w:i/>
        </w:rPr>
        <w:t xml:space="preserve"> resulting from the collection of information.  (Do not include the cost of any hour burden shown in Items 12 and 14).</w:t>
      </w:r>
    </w:p>
    <w:p w:rsidR="00E00583" w:rsidRPr="00CB57FB" w:rsidRDefault="00E00583" w:rsidP="00DD5651">
      <w:pPr>
        <w:rPr>
          <w:i/>
        </w:rPr>
      </w:pPr>
    </w:p>
    <w:p w:rsidR="00FC3017" w:rsidRPr="00CB57FB" w:rsidRDefault="00EB2759" w:rsidP="00DD5651">
      <w:pPr>
        <w:rPr>
          <w:i/>
        </w:rPr>
      </w:pPr>
      <w:r w:rsidRPr="00CB57FB">
        <w:rPr>
          <w:bCs/>
          <w:i/>
        </w:rPr>
        <w:t xml:space="preserve">The cost estimate should be split into two components: (a) a total capital and start-up cost component (annualized over its expected useful life) and (b) a total </w:t>
      </w:r>
      <w:r w:rsidR="00E95F27" w:rsidRPr="00CB57FB">
        <w:rPr>
          <w:bCs/>
          <w:i/>
        </w:rPr>
        <w:t>operation, maintenance,</w:t>
      </w:r>
      <w:r w:rsidRPr="00CB57FB">
        <w:rPr>
          <w:bCs/>
          <w:i/>
        </w:rP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00E95F27" w:rsidRPr="00CB57FB">
        <w:rPr>
          <w:bCs/>
          <w:i/>
        </w:rPr>
        <w:t>drilling,</w:t>
      </w:r>
      <w:r w:rsidRPr="00CB57FB">
        <w:rPr>
          <w:bCs/>
          <w:i/>
        </w:rPr>
        <w:t xml:space="preserve"> and testing equipment; and record storage facilities.</w:t>
      </w:r>
    </w:p>
    <w:p w:rsidR="00FC3017" w:rsidRPr="00CB57FB" w:rsidRDefault="00FC3017" w:rsidP="00DD5651">
      <w:pPr>
        <w:rPr>
          <w:i/>
        </w:rPr>
      </w:pPr>
    </w:p>
    <w:p w:rsidR="00EB2759" w:rsidRPr="00CB57FB" w:rsidRDefault="00EB2759" w:rsidP="00DD5651">
      <w:pPr>
        <w:rPr>
          <w:bCs/>
          <w:i/>
        </w:rPr>
      </w:pPr>
      <w:r w:rsidRPr="00CB57FB">
        <w:rPr>
          <w:bCs/>
          <w:i/>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E6167" w:rsidRPr="00CB57FB" w:rsidRDefault="007E6167" w:rsidP="00DD5651">
      <w:pPr>
        <w:rPr>
          <w:i/>
        </w:rPr>
      </w:pPr>
    </w:p>
    <w:p w:rsidR="00EB2759" w:rsidRPr="00CB57FB" w:rsidRDefault="00EB2759" w:rsidP="00DD5651">
      <w:pPr>
        <w:rPr>
          <w:bCs/>
          <w:i/>
        </w:rPr>
      </w:pPr>
      <w:r w:rsidRPr="00CB57FB">
        <w:rPr>
          <w:bCs/>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B57FB">
        <w:rPr>
          <w:bCs/>
          <w:i/>
        </w:rPr>
        <w:t>government,</w:t>
      </w:r>
      <w:proofErr w:type="gramEnd"/>
      <w:r w:rsidRPr="00CB57FB">
        <w:rPr>
          <w:bCs/>
          <w:i/>
        </w:rPr>
        <w:t xml:space="preserve"> or (4) as part of customary and usual business or private practices.</w:t>
      </w:r>
    </w:p>
    <w:p w:rsidR="00C56535" w:rsidRPr="00CB57FB" w:rsidRDefault="00C56535" w:rsidP="00DD5651"/>
    <w:p w:rsidR="00EB2759" w:rsidRPr="00CB57FB" w:rsidRDefault="005D3769" w:rsidP="00DD5651">
      <w:r w:rsidRPr="00CB57FB">
        <w:t xml:space="preserve">There will be no start-up or ongoing financial costs incurred by respondents that result from the data collection efforts submitted under this </w:t>
      </w:r>
      <w:r w:rsidR="00492B24" w:rsidRPr="00CB57FB">
        <w:t>clearance for focus groups</w:t>
      </w:r>
      <w:r w:rsidRPr="00CB57FB">
        <w:t>.  The proposed information collection will not require respondents to purchase equipment or services or to establish new data retrieval mechanisms.</w:t>
      </w:r>
      <w:r w:rsidR="00EB2759" w:rsidRPr="00CB57FB">
        <w:t> </w:t>
      </w:r>
    </w:p>
    <w:p w:rsidR="00E00583" w:rsidRPr="00CB57FB" w:rsidRDefault="00E00583" w:rsidP="00DD5651">
      <w:pPr>
        <w:rPr>
          <w:sz w:val="28"/>
          <w:szCs w:val="28"/>
        </w:rPr>
      </w:pPr>
    </w:p>
    <w:p w:rsidR="00EB2759" w:rsidRPr="00CB57FB" w:rsidRDefault="00EB2759" w:rsidP="00DD5651">
      <w:pPr>
        <w:numPr>
          <w:ilvl w:val="0"/>
          <w:numId w:val="4"/>
        </w:numPr>
        <w:tabs>
          <w:tab w:val="clear" w:pos="960"/>
          <w:tab w:val="num" w:pos="0"/>
        </w:tabs>
        <w:ind w:left="0" w:firstLine="0"/>
        <w:rPr>
          <w:bCs/>
          <w:i/>
        </w:rPr>
      </w:pPr>
      <w:r w:rsidRPr="00CB57FB">
        <w:rPr>
          <w:bCs/>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3017" w:rsidRPr="00CB57FB" w:rsidRDefault="00FC3017" w:rsidP="00DD5651">
      <w:pPr>
        <w:rPr>
          <w:bCs/>
          <w:i/>
        </w:rPr>
      </w:pPr>
    </w:p>
    <w:p w:rsidR="00A64F9E" w:rsidRDefault="004B7D94" w:rsidP="00DD5651">
      <w:r>
        <w:t>The cost to the government to oversee the contractor and review docume</w:t>
      </w:r>
      <w:r w:rsidR="00A64F9E">
        <w:t>nts is estimated at the labor r</w:t>
      </w:r>
      <w:r>
        <w:t xml:space="preserve">ate of </w:t>
      </w:r>
      <w:r w:rsidR="00A64F9E">
        <w:t xml:space="preserve">a </w:t>
      </w:r>
      <w:r>
        <w:t>government worker with a GS14-4 level</w:t>
      </w:r>
      <w:r w:rsidR="00A64F9E">
        <w:t xml:space="preserve"> ($56.01) spending 40 hours with a cost of $2,240</w:t>
      </w:r>
      <w:r w:rsidR="00E95F27" w:rsidRPr="00CB57FB">
        <w:t xml:space="preserve">.  </w:t>
      </w:r>
    </w:p>
    <w:p w:rsidR="00A64F9E" w:rsidRDefault="00A64F9E" w:rsidP="00DD5651"/>
    <w:p w:rsidR="00FC3017" w:rsidRDefault="00893C15" w:rsidP="00DD5651">
      <w:r w:rsidRPr="00CB57FB">
        <w:t xml:space="preserve">The government contractor cost for this information collection is </w:t>
      </w:r>
      <w:r w:rsidR="00305992" w:rsidRPr="00CB57FB">
        <w:t>$</w:t>
      </w:r>
      <w:r w:rsidR="002D24F1" w:rsidRPr="004B3644">
        <w:t>119,611</w:t>
      </w:r>
      <w:r w:rsidR="006C05EF" w:rsidRPr="00CB57FB">
        <w:t xml:space="preserve"> (</w:t>
      </w:r>
      <w:r w:rsidR="00A64F9E">
        <w:t xml:space="preserve">$110,477 </w:t>
      </w:r>
      <w:r w:rsidR="006C05EF" w:rsidRPr="00CB57FB">
        <w:t xml:space="preserve">labor, </w:t>
      </w:r>
      <w:r w:rsidR="00A64F9E">
        <w:t xml:space="preserve">$7,569 </w:t>
      </w:r>
      <w:r w:rsidR="006C05EF" w:rsidRPr="00CB57FB">
        <w:t xml:space="preserve">travel, and </w:t>
      </w:r>
      <w:r w:rsidR="00A64F9E">
        <w:t xml:space="preserve">$1,565 </w:t>
      </w:r>
      <w:r w:rsidR="006C05EF" w:rsidRPr="00CB57FB">
        <w:t>other direct costs).</w:t>
      </w:r>
    </w:p>
    <w:p w:rsidR="00266744" w:rsidRDefault="00266744" w:rsidP="00DD5651"/>
    <w:tbl>
      <w:tblPr>
        <w:tblW w:w="9620" w:type="dxa"/>
        <w:tblInd w:w="93" w:type="dxa"/>
        <w:tblLook w:val="04A0" w:firstRow="1" w:lastRow="0" w:firstColumn="1" w:lastColumn="0" w:noHBand="0" w:noVBand="1"/>
      </w:tblPr>
      <w:tblGrid>
        <w:gridCol w:w="1561"/>
        <w:gridCol w:w="866"/>
        <w:gridCol w:w="705"/>
        <w:gridCol w:w="805"/>
        <w:gridCol w:w="705"/>
        <w:gridCol w:w="805"/>
        <w:gridCol w:w="705"/>
        <w:gridCol w:w="966"/>
        <w:gridCol w:w="705"/>
        <w:gridCol w:w="805"/>
        <w:gridCol w:w="705"/>
        <w:gridCol w:w="966"/>
      </w:tblGrid>
      <w:tr w:rsidR="00F03B42" w:rsidTr="00F03B42">
        <w:trPr>
          <w:trHeight w:val="300"/>
        </w:trPr>
        <w:tc>
          <w:tcPr>
            <w:tcW w:w="2300" w:type="dxa"/>
            <w:gridSpan w:val="2"/>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TABLE.--</w:t>
            </w:r>
            <w:r>
              <w:rPr>
                <w:i/>
                <w:iCs/>
                <w:color w:val="000000"/>
                <w:sz w:val="20"/>
                <w:szCs w:val="20"/>
              </w:rPr>
              <w:t>Contract Costs</w:t>
            </w: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8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single" w:sz="4" w:space="0" w:color="auto"/>
              <w:left w:val="nil"/>
              <w:bottom w:val="nil"/>
              <w:right w:val="nil"/>
            </w:tcBorders>
            <w:shd w:val="clear" w:color="auto" w:fill="auto"/>
            <w:noWrap/>
            <w:vAlign w:val="bottom"/>
            <w:hideMark/>
          </w:tcPr>
          <w:p w:rsidR="00F03B42" w:rsidRDefault="00F03B42">
            <w:pPr>
              <w:rPr>
                <w:rFonts w:ascii="Calibri" w:hAnsi="Calibri"/>
                <w:color w:val="000000"/>
                <w:sz w:val="22"/>
                <w:szCs w:val="22"/>
              </w:rPr>
            </w:pPr>
            <w:r>
              <w:rPr>
                <w:rFonts w:ascii="Calibri" w:hAnsi="Calibri"/>
                <w:color w:val="000000"/>
                <w:sz w:val="22"/>
                <w:szCs w:val="22"/>
              </w:rPr>
              <w:t> </w:t>
            </w:r>
          </w:p>
        </w:tc>
        <w:tc>
          <w:tcPr>
            <w:tcW w:w="800" w:type="dxa"/>
            <w:tcBorders>
              <w:top w:val="single" w:sz="4" w:space="0" w:color="auto"/>
              <w:left w:val="nil"/>
              <w:bottom w:val="nil"/>
              <w:right w:val="nil"/>
            </w:tcBorders>
            <w:shd w:val="clear" w:color="auto" w:fill="auto"/>
            <w:noWrap/>
            <w:vAlign w:val="bottom"/>
            <w:hideMark/>
          </w:tcPr>
          <w:p w:rsidR="00F03B42" w:rsidRDefault="00F03B42">
            <w:pPr>
              <w:rPr>
                <w:rFonts w:ascii="Calibri" w:hAnsi="Calibri"/>
                <w:color w:val="000000"/>
                <w:sz w:val="22"/>
                <w:szCs w:val="22"/>
              </w:rPr>
            </w:pPr>
            <w:r>
              <w:rPr>
                <w:rFonts w:ascii="Calibri" w:hAnsi="Calibri"/>
                <w:color w:val="000000"/>
                <w:sz w:val="22"/>
                <w:szCs w:val="22"/>
              </w:rPr>
              <w:t> </w:t>
            </w:r>
          </w:p>
        </w:tc>
        <w:tc>
          <w:tcPr>
            <w:tcW w:w="140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T1. Initial Project Meeting</w:t>
            </w:r>
          </w:p>
        </w:tc>
        <w:tc>
          <w:tcPr>
            <w:tcW w:w="146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T2. Project Work Plan</w:t>
            </w:r>
          </w:p>
        </w:tc>
        <w:tc>
          <w:tcPr>
            <w:tcW w:w="152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T3. Focus Groups</w:t>
            </w:r>
          </w:p>
        </w:tc>
        <w:tc>
          <w:tcPr>
            <w:tcW w:w="1400" w:type="dxa"/>
            <w:gridSpan w:val="2"/>
            <w:vMerge w:val="restart"/>
            <w:tcBorders>
              <w:top w:val="single" w:sz="4" w:space="0" w:color="auto"/>
              <w:left w:val="nil"/>
              <w:bottom w:val="nil"/>
              <w:right w:val="nil"/>
            </w:tcBorders>
            <w:shd w:val="clear" w:color="auto" w:fill="auto"/>
            <w:hideMark/>
          </w:tcPr>
          <w:p w:rsidR="00F03B42" w:rsidRDefault="00F03B42">
            <w:pPr>
              <w:jc w:val="center"/>
              <w:rPr>
                <w:rFonts w:ascii="Calibri" w:hAnsi="Calibri"/>
                <w:color w:val="000000"/>
                <w:sz w:val="22"/>
                <w:szCs w:val="22"/>
              </w:rPr>
            </w:pPr>
            <w:r>
              <w:rPr>
                <w:rFonts w:ascii="Calibri" w:hAnsi="Calibri"/>
                <w:color w:val="000000"/>
                <w:sz w:val="22"/>
                <w:szCs w:val="22"/>
              </w:rPr>
              <w:t>T4. Monthly Reports/ad hoc Briefings</w:t>
            </w:r>
          </w:p>
        </w:tc>
        <w:tc>
          <w:tcPr>
            <w:tcW w:w="1540" w:type="dxa"/>
            <w:gridSpan w:val="2"/>
            <w:vMerge w:val="restart"/>
            <w:tcBorders>
              <w:top w:val="single" w:sz="4" w:space="0" w:color="auto"/>
              <w:left w:val="nil"/>
              <w:bottom w:val="nil"/>
              <w:right w:val="nil"/>
            </w:tcBorders>
            <w:shd w:val="clear" w:color="auto" w:fill="auto"/>
            <w:vAlign w:val="center"/>
            <w:hideMark/>
          </w:tcPr>
          <w:p w:rsidR="00F03B42" w:rsidRDefault="00F03B42">
            <w:pPr>
              <w:jc w:val="center"/>
              <w:rPr>
                <w:rFonts w:ascii="Calibri" w:hAnsi="Calibri"/>
                <w:color w:val="000000"/>
                <w:sz w:val="22"/>
                <w:szCs w:val="22"/>
              </w:rPr>
            </w:pPr>
            <w:r>
              <w:rPr>
                <w:rFonts w:ascii="Calibri" w:hAnsi="Calibri"/>
                <w:color w:val="000000"/>
                <w:sz w:val="22"/>
                <w:szCs w:val="22"/>
              </w:rPr>
              <w:t>Total</w:t>
            </w: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6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2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4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6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2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40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c>
          <w:tcPr>
            <w:tcW w:w="1540" w:type="dxa"/>
            <w:gridSpan w:val="2"/>
            <w:vMerge/>
            <w:tcBorders>
              <w:top w:val="nil"/>
              <w:left w:val="nil"/>
              <w:bottom w:val="nil"/>
              <w:right w:val="nil"/>
            </w:tcBorders>
            <w:vAlign w:val="center"/>
            <w:hideMark/>
          </w:tcPr>
          <w:p w:rsidR="00F03B42" w:rsidRDefault="00F03B42">
            <w:pPr>
              <w:rPr>
                <w:rFonts w:ascii="Calibri" w:hAnsi="Calibri"/>
                <w:color w:val="000000"/>
                <w:sz w:val="22"/>
                <w:szCs w:val="22"/>
              </w:rPr>
            </w:pPr>
          </w:p>
        </w:tc>
      </w:tr>
      <w:tr w:rsidR="00F03B42" w:rsidTr="00F03B42">
        <w:trPr>
          <w:trHeight w:val="300"/>
        </w:trPr>
        <w:tc>
          <w:tcPr>
            <w:tcW w:w="15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Labor</w:t>
            </w:r>
          </w:p>
        </w:tc>
        <w:tc>
          <w:tcPr>
            <w:tcW w:w="8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nil"/>
              <w:right w:val="nil"/>
            </w:tcBorders>
            <w:shd w:val="clear" w:color="000000" w:fill="BFBFBF"/>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nil"/>
              <w:bottom w:val="nil"/>
              <w:right w:val="nil"/>
            </w:tcBorders>
            <w:shd w:val="clear" w:color="auto" w:fill="auto"/>
            <w:noWrap/>
            <w:vAlign w:val="bottom"/>
            <w:hideMark/>
          </w:tcPr>
          <w:p w:rsidR="00F03B42" w:rsidRDefault="00F03B42">
            <w:pPr>
              <w:rPr>
                <w:rFonts w:ascii="Calibri" w:hAnsi="Calibri"/>
                <w:color w:val="000000"/>
                <w:sz w:val="22"/>
                <w:szCs w:val="22"/>
              </w:rPr>
            </w:pPr>
          </w:p>
        </w:tc>
        <w:tc>
          <w:tcPr>
            <w:tcW w:w="8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Labor Category</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Rate</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 xml:space="preserve">Hours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Hours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03B42" w:rsidRDefault="00F03B42">
            <w:pPr>
              <w:jc w:val="center"/>
              <w:rPr>
                <w:color w:val="000000"/>
                <w:sz w:val="20"/>
                <w:szCs w:val="20"/>
              </w:rPr>
            </w:pPr>
            <w:r>
              <w:rPr>
                <w:color w:val="000000"/>
                <w:sz w:val="20"/>
                <w:szCs w:val="20"/>
              </w:rPr>
              <w:t>Dollars</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$1,152</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$2,305</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$2,305</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$1,728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$7,490</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$3,169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$3,169</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$2,185</w:t>
            </w:r>
          </w:p>
        </w:tc>
        <w:tc>
          <w:tcPr>
            <w:tcW w:w="640" w:type="dxa"/>
            <w:tcBorders>
              <w:top w:val="nil"/>
              <w:left w:val="nil"/>
              <w:bottom w:val="single" w:sz="4" w:space="0" w:color="auto"/>
              <w:right w:val="single" w:sz="4" w:space="0" w:color="auto"/>
            </w:tcBorders>
            <w:shd w:val="clear" w:color="000000" w:fill="FFFFFF"/>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$0</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$2,185</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Senior 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$146.84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$3,818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$3,818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$2,583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$2,583</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$4,768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$4,768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7</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$1,391</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9</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$1,788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39</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$7,749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12</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$13,312</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$20,464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103</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$20,464</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Senior 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$146.84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16</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$2,349</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$2,349</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Project Director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$288.07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$1,152</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19</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$5,473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$9,794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57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$16,420</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Task Leader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$198.68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17</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$3,378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$3,378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$108.34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$9,101</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$9,101</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Research/Admin</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$76.17</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2</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$152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$6,398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86</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$6,551</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Clerical/Admin</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$89.66</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$3,048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$3,048</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Analyst</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$108.34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109</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$11,843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109</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$11,843</w:t>
            </w:r>
          </w:p>
        </w:tc>
      </w:tr>
      <w:tr w:rsidR="00F03B42" w:rsidTr="00F03B4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Total - Labor</w:t>
            </w:r>
          </w:p>
        </w:tc>
        <w:tc>
          <w:tcPr>
            <w:tcW w:w="8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15</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$3,695</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38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$9,718</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613</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$92,952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18</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$4,113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jc w:val="center"/>
              <w:rPr>
                <w:color w:val="000000"/>
                <w:sz w:val="20"/>
                <w:szCs w:val="20"/>
              </w:rPr>
            </w:pPr>
            <w:r>
              <w:rPr>
                <w:color w:val="000000"/>
                <w:sz w:val="20"/>
                <w:szCs w:val="20"/>
              </w:rPr>
              <w:t>684</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$110,478</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single" w:sz="4" w:space="0" w:color="auto"/>
              <w:bottom w:val="nil"/>
              <w:right w:val="nil"/>
            </w:tcBorders>
            <w:shd w:val="clear" w:color="000000" w:fill="BFBFBF"/>
            <w:vAlign w:val="bottom"/>
            <w:hideMark/>
          </w:tcPr>
          <w:p w:rsidR="00F03B42" w:rsidRDefault="00F03B42">
            <w:pPr>
              <w:rPr>
                <w:color w:val="000000"/>
                <w:sz w:val="20"/>
                <w:szCs w:val="20"/>
              </w:rPr>
            </w:pPr>
            <w:r>
              <w:rPr>
                <w:color w:val="000000"/>
                <w:sz w:val="20"/>
                <w:szCs w:val="20"/>
              </w:rPr>
              <w:t>Other Direct Cost (ODC's)</w:t>
            </w:r>
          </w:p>
        </w:tc>
        <w:tc>
          <w:tcPr>
            <w:tcW w:w="800" w:type="dxa"/>
            <w:tcBorders>
              <w:top w:val="nil"/>
              <w:left w:val="nil"/>
              <w:bottom w:val="nil"/>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0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Total - ODCs</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$86</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F03B42" w:rsidRDefault="00F03B42">
            <w:pPr>
              <w:jc w:val="right"/>
              <w:rPr>
                <w:color w:val="000000"/>
                <w:sz w:val="20"/>
                <w:szCs w:val="20"/>
              </w:rPr>
            </w:pPr>
            <w:r>
              <w:rPr>
                <w:color w:val="000000"/>
                <w:sz w:val="20"/>
                <w:szCs w:val="20"/>
              </w:rPr>
              <w:t>$1,412</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$53</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$1,564</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nil"/>
              <w:left w:val="single" w:sz="4" w:space="0" w:color="auto"/>
              <w:bottom w:val="nil"/>
              <w:right w:val="nil"/>
            </w:tcBorders>
            <w:shd w:val="clear" w:color="000000" w:fill="BFBFBF"/>
            <w:vAlign w:val="bottom"/>
            <w:hideMark/>
          </w:tcPr>
          <w:p w:rsidR="00F03B42" w:rsidRDefault="00F03B42">
            <w:pPr>
              <w:rPr>
                <w:color w:val="000000"/>
                <w:sz w:val="20"/>
                <w:szCs w:val="20"/>
              </w:rPr>
            </w:pPr>
            <w:r>
              <w:rPr>
                <w:color w:val="000000"/>
                <w:sz w:val="20"/>
                <w:szCs w:val="20"/>
              </w:rPr>
              <w:t>Travel Cost</w:t>
            </w:r>
          </w:p>
        </w:tc>
        <w:tc>
          <w:tcPr>
            <w:tcW w:w="800" w:type="dxa"/>
            <w:tcBorders>
              <w:top w:val="nil"/>
              <w:left w:val="nil"/>
              <w:bottom w:val="nil"/>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0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88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76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single" w:sz="4" w:space="0" w:color="auto"/>
              <w:left w:val="nil"/>
              <w:bottom w:val="single" w:sz="4" w:space="0" w:color="auto"/>
              <w:right w:val="nil"/>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r>
      <w:tr w:rsidR="00F03B42" w:rsidTr="00F03B42">
        <w:trPr>
          <w:trHeight w:val="300"/>
        </w:trPr>
        <w:tc>
          <w:tcPr>
            <w:tcW w:w="2300" w:type="dxa"/>
            <w:gridSpan w:val="2"/>
            <w:tcBorders>
              <w:top w:val="nil"/>
              <w:left w:val="single" w:sz="4" w:space="0" w:color="auto"/>
              <w:bottom w:val="nil"/>
              <w:right w:val="single" w:sz="4" w:space="0" w:color="000000"/>
            </w:tcBorders>
            <w:shd w:val="clear" w:color="auto" w:fill="auto"/>
            <w:noWrap/>
            <w:vAlign w:val="bottom"/>
            <w:hideMark/>
          </w:tcPr>
          <w:p w:rsidR="00F03B42" w:rsidRDefault="00F03B42">
            <w:pPr>
              <w:rPr>
                <w:color w:val="000000"/>
                <w:sz w:val="20"/>
                <w:szCs w:val="20"/>
              </w:rPr>
            </w:pPr>
            <w:r>
              <w:rPr>
                <w:color w:val="000000"/>
                <w:sz w:val="20"/>
                <w:szCs w:val="20"/>
              </w:rPr>
              <w:t>Total - Travel Cost</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$135</w:t>
            </w:r>
          </w:p>
        </w:tc>
        <w:tc>
          <w:tcPr>
            <w:tcW w:w="70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$7,434</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03B42" w:rsidRDefault="00F03B42">
            <w:pPr>
              <w:jc w:val="right"/>
              <w:rPr>
                <w:color w:val="000000"/>
                <w:sz w:val="20"/>
                <w:szCs w:val="20"/>
              </w:rPr>
            </w:pPr>
            <w:r>
              <w:rPr>
                <w:color w:val="000000"/>
                <w:sz w:val="20"/>
                <w:szCs w:val="20"/>
              </w:rPr>
              <w:t>$7,569</w:t>
            </w:r>
          </w:p>
        </w:tc>
      </w:tr>
      <w:tr w:rsidR="00F03B42" w:rsidTr="00F03B42">
        <w:trPr>
          <w:trHeight w:val="300"/>
        </w:trPr>
        <w:tc>
          <w:tcPr>
            <w:tcW w:w="1500" w:type="dxa"/>
            <w:tcBorders>
              <w:top w:val="nil"/>
              <w:left w:val="single" w:sz="4" w:space="0" w:color="auto"/>
              <w:bottom w:val="nil"/>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800" w:type="dxa"/>
            <w:tcBorders>
              <w:top w:val="nil"/>
              <w:left w:val="nil"/>
              <w:bottom w:val="nil"/>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00" w:type="dxa"/>
            <w:tcBorders>
              <w:top w:val="nil"/>
              <w:left w:val="nil"/>
              <w:bottom w:val="single" w:sz="4" w:space="0" w:color="auto"/>
              <w:right w:val="nil"/>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88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76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64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c>
          <w:tcPr>
            <w:tcW w:w="900" w:type="dxa"/>
            <w:tcBorders>
              <w:top w:val="nil"/>
              <w:left w:val="nil"/>
              <w:bottom w:val="nil"/>
              <w:right w:val="nil"/>
            </w:tcBorders>
            <w:shd w:val="clear" w:color="auto" w:fill="auto"/>
            <w:noWrap/>
            <w:vAlign w:val="bottom"/>
            <w:hideMark/>
          </w:tcPr>
          <w:p w:rsidR="00F03B42" w:rsidRDefault="00F03B42">
            <w:pPr>
              <w:rPr>
                <w:color w:val="000000"/>
                <w:sz w:val="20"/>
                <w:szCs w:val="20"/>
              </w:rPr>
            </w:pPr>
          </w:p>
        </w:tc>
      </w:tr>
      <w:tr w:rsidR="00F03B42" w:rsidTr="00F03B42">
        <w:trPr>
          <w:trHeight w:val="300"/>
        </w:trPr>
        <w:tc>
          <w:tcPr>
            <w:tcW w:w="1500" w:type="dxa"/>
            <w:tcBorders>
              <w:top w:val="nil"/>
              <w:left w:val="single" w:sz="4" w:space="0" w:color="auto"/>
              <w:bottom w:val="single" w:sz="8" w:space="0" w:color="auto"/>
              <w:right w:val="nil"/>
            </w:tcBorders>
            <w:shd w:val="clear" w:color="000000" w:fill="BFBFBF"/>
            <w:vAlign w:val="bottom"/>
            <w:hideMark/>
          </w:tcPr>
          <w:p w:rsidR="00F03B42" w:rsidRDefault="00F03B42">
            <w:pPr>
              <w:rPr>
                <w:color w:val="000000"/>
                <w:sz w:val="20"/>
                <w:szCs w:val="20"/>
              </w:rPr>
            </w:pPr>
            <w:r>
              <w:rPr>
                <w:color w:val="000000"/>
                <w:sz w:val="20"/>
                <w:szCs w:val="20"/>
              </w:rPr>
              <w:t>Total Proposed Price</w:t>
            </w:r>
          </w:p>
        </w:tc>
        <w:tc>
          <w:tcPr>
            <w:tcW w:w="800" w:type="dxa"/>
            <w:tcBorders>
              <w:top w:val="nil"/>
              <w:left w:val="nil"/>
              <w:bottom w:val="single" w:sz="8" w:space="0" w:color="auto"/>
              <w:right w:val="single" w:sz="4" w:space="0" w:color="auto"/>
            </w:tcBorders>
            <w:shd w:val="clear" w:color="000000" w:fill="BFBFBF"/>
            <w:noWrap/>
            <w:vAlign w:val="bottom"/>
            <w:hideMark/>
          </w:tcPr>
          <w:p w:rsidR="00F03B42" w:rsidRDefault="00F03B42">
            <w:pPr>
              <w:rPr>
                <w:color w:val="000000"/>
                <w:sz w:val="20"/>
                <w:szCs w:val="20"/>
              </w:rPr>
            </w:pPr>
            <w:r>
              <w:rPr>
                <w:color w:val="000000"/>
                <w:sz w:val="20"/>
                <w:szCs w:val="20"/>
              </w:rPr>
              <w:t> </w:t>
            </w:r>
          </w:p>
        </w:tc>
        <w:tc>
          <w:tcPr>
            <w:tcW w:w="64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15</w:t>
            </w:r>
          </w:p>
        </w:tc>
        <w:tc>
          <w:tcPr>
            <w:tcW w:w="76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$3,843</w:t>
            </w:r>
          </w:p>
        </w:tc>
        <w:tc>
          <w:tcPr>
            <w:tcW w:w="70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38</w:t>
            </w:r>
          </w:p>
        </w:tc>
        <w:tc>
          <w:tcPr>
            <w:tcW w:w="760" w:type="dxa"/>
            <w:tcBorders>
              <w:top w:val="nil"/>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$9,804</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613</w:t>
            </w:r>
          </w:p>
        </w:tc>
        <w:tc>
          <w:tcPr>
            <w:tcW w:w="88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$101,798</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18</w:t>
            </w:r>
          </w:p>
        </w:tc>
        <w:tc>
          <w:tcPr>
            <w:tcW w:w="76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$4,166</w:t>
            </w:r>
          </w:p>
        </w:tc>
        <w:tc>
          <w:tcPr>
            <w:tcW w:w="64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center"/>
              <w:rPr>
                <w:color w:val="000000"/>
                <w:sz w:val="20"/>
                <w:szCs w:val="20"/>
              </w:rPr>
            </w:pPr>
            <w:r>
              <w:rPr>
                <w:color w:val="000000"/>
                <w:sz w:val="20"/>
                <w:szCs w:val="20"/>
              </w:rPr>
              <w:t>684</w:t>
            </w:r>
          </w:p>
        </w:tc>
        <w:tc>
          <w:tcPr>
            <w:tcW w:w="900" w:type="dxa"/>
            <w:tcBorders>
              <w:top w:val="single" w:sz="4" w:space="0" w:color="auto"/>
              <w:left w:val="nil"/>
              <w:bottom w:val="single" w:sz="8" w:space="0" w:color="auto"/>
              <w:right w:val="single" w:sz="4" w:space="0" w:color="auto"/>
            </w:tcBorders>
            <w:shd w:val="clear" w:color="000000" w:fill="BFBFBF"/>
            <w:noWrap/>
            <w:vAlign w:val="bottom"/>
            <w:hideMark/>
          </w:tcPr>
          <w:p w:rsidR="00F03B42" w:rsidRDefault="00F03B42">
            <w:pPr>
              <w:jc w:val="right"/>
              <w:rPr>
                <w:color w:val="000000"/>
                <w:sz w:val="20"/>
                <w:szCs w:val="20"/>
              </w:rPr>
            </w:pPr>
            <w:r>
              <w:rPr>
                <w:color w:val="000000"/>
                <w:sz w:val="20"/>
                <w:szCs w:val="20"/>
              </w:rPr>
              <w:t>$119,611</w:t>
            </w:r>
          </w:p>
        </w:tc>
      </w:tr>
    </w:tbl>
    <w:p w:rsidR="00266744" w:rsidRDefault="00266744" w:rsidP="00DD5651"/>
    <w:p w:rsidR="00907365" w:rsidRDefault="00907365" w:rsidP="00DD5651"/>
    <w:p w:rsidR="00907365" w:rsidRPr="00CB57FB" w:rsidRDefault="00907365" w:rsidP="00DD5651"/>
    <w:p w:rsidR="00492B24" w:rsidRPr="00CB57FB" w:rsidRDefault="00492B24" w:rsidP="00DD5651">
      <w:pPr>
        <w:rPr>
          <w:b/>
          <w:bCs/>
        </w:rPr>
      </w:pPr>
    </w:p>
    <w:p w:rsidR="00EB2759" w:rsidRPr="00CB57FB" w:rsidRDefault="00EB2759" w:rsidP="00DD5651">
      <w:pPr>
        <w:rPr>
          <w:bCs/>
          <w:i/>
        </w:rPr>
      </w:pPr>
      <w:r w:rsidRPr="00CB57FB">
        <w:rPr>
          <w:bCs/>
          <w:i/>
        </w:rPr>
        <w:t>15.</w:t>
      </w:r>
      <w:r w:rsidR="000839EE" w:rsidRPr="00CB57FB">
        <w:rPr>
          <w:bCs/>
          <w:i/>
        </w:rPr>
        <w:tab/>
      </w:r>
      <w:r w:rsidRPr="00CB57FB">
        <w:rPr>
          <w:bCs/>
          <w:i/>
        </w:rPr>
        <w:t>Explain the reasons for any program changes or adjustments</w:t>
      </w:r>
      <w:r w:rsidR="00B728D3" w:rsidRPr="00CB57FB">
        <w:rPr>
          <w:bCs/>
          <w:i/>
        </w:rPr>
        <w:t>.</w:t>
      </w:r>
    </w:p>
    <w:p w:rsidR="00C56535" w:rsidRPr="00CB57FB" w:rsidRDefault="00C56535" w:rsidP="00DD5651"/>
    <w:p w:rsidR="00492B24" w:rsidRPr="00CB57FB" w:rsidRDefault="00492B24" w:rsidP="00DD5651">
      <w:proofErr w:type="gramStart"/>
      <w:r w:rsidRPr="00CB57FB">
        <w:t>None.</w:t>
      </w:r>
      <w:proofErr w:type="gramEnd"/>
    </w:p>
    <w:p w:rsidR="00792334" w:rsidRPr="00CB57FB" w:rsidRDefault="00792334" w:rsidP="00DD5651">
      <w:pPr>
        <w:autoSpaceDE w:val="0"/>
        <w:autoSpaceDN w:val="0"/>
        <w:adjustRightInd w:val="0"/>
        <w:ind w:firstLine="720"/>
        <w:rPr>
          <w:sz w:val="28"/>
          <w:szCs w:val="28"/>
        </w:rPr>
      </w:pPr>
    </w:p>
    <w:p w:rsidR="00EB2759" w:rsidRPr="00CB57FB" w:rsidRDefault="00EB2759" w:rsidP="00DD5651">
      <w:pPr>
        <w:rPr>
          <w:bCs/>
          <w:i/>
        </w:rPr>
      </w:pPr>
      <w:r w:rsidRPr="00CB57FB">
        <w:rPr>
          <w:bCs/>
          <w:i/>
        </w:rPr>
        <w:t>16.</w:t>
      </w:r>
      <w:r w:rsidR="000839EE" w:rsidRPr="00CB57FB">
        <w:rPr>
          <w:bCs/>
          <w:i/>
        </w:rPr>
        <w:tab/>
      </w:r>
      <w:r w:rsidRPr="00CB57FB">
        <w:rPr>
          <w:bCs/>
          <w:i/>
        </w:rPr>
        <w:t>For collections of information whose results will be published, outline plans for tabulation and publication.  Address any complex analytical techniques that will be used.  Provide the time schedule for the entire project, including beginning and end dates of the collection of information, completion of report, publication dates, and other actions.</w:t>
      </w:r>
    </w:p>
    <w:p w:rsidR="00C56535" w:rsidRPr="00CB57FB" w:rsidRDefault="00C56535" w:rsidP="00DD5651">
      <w:pPr>
        <w:rPr>
          <w:b/>
          <w:bCs/>
        </w:rPr>
      </w:pPr>
    </w:p>
    <w:p w:rsidR="005F55A7" w:rsidRPr="00CB57FB" w:rsidRDefault="00EB1B05" w:rsidP="00DD5651">
      <w:pPr>
        <w:pStyle w:val="Style1"/>
        <w:keepNext w:val="0"/>
        <w:numPr>
          <w:ilvl w:val="0"/>
          <w:numId w:val="0"/>
        </w:numPr>
        <w:spacing w:before="0" w:after="0"/>
        <w:rPr>
          <w:rFonts w:cs="Times New Roman"/>
          <w:sz w:val="24"/>
          <w:szCs w:val="24"/>
        </w:rPr>
      </w:pPr>
      <w:r>
        <w:rPr>
          <w:rFonts w:cs="Times New Roman"/>
          <w:sz w:val="24"/>
          <w:szCs w:val="24"/>
        </w:rPr>
        <w:t>The contract covers the time period 6/24/2013 to 6/23/2015.  The contractor will provide DOL with a final report of the Focus Group findings at the end of the period of performance.</w:t>
      </w:r>
    </w:p>
    <w:p w:rsidR="00492B24" w:rsidRPr="00CB57FB" w:rsidRDefault="00492B24" w:rsidP="00DD5651">
      <w:pPr>
        <w:pStyle w:val="Style1"/>
        <w:keepNext w:val="0"/>
        <w:numPr>
          <w:ilvl w:val="0"/>
          <w:numId w:val="0"/>
        </w:numPr>
        <w:spacing w:before="0" w:after="0"/>
        <w:rPr>
          <w:rFonts w:cs="Times New Roman"/>
          <w:kern w:val="0"/>
          <w:sz w:val="24"/>
          <w:szCs w:val="24"/>
        </w:rPr>
      </w:pPr>
    </w:p>
    <w:p w:rsidR="00EB2759" w:rsidRPr="00CB57FB" w:rsidRDefault="00E95F27" w:rsidP="00DD5651">
      <w:pPr>
        <w:rPr>
          <w:bCs/>
          <w:i/>
        </w:rPr>
      </w:pPr>
      <w:r w:rsidRPr="00CB57FB">
        <w:rPr>
          <w:i/>
        </w:rPr>
        <w:t>17.</w:t>
      </w:r>
      <w:r w:rsidRPr="00CB57FB">
        <w:rPr>
          <w:i/>
        </w:rPr>
        <w:tab/>
      </w:r>
      <w:r w:rsidRPr="00CB57FB">
        <w:rPr>
          <w:bCs/>
          <w:i/>
        </w:rPr>
        <w:t xml:space="preserve">If seeking approval </w:t>
      </w:r>
      <w:r>
        <w:rPr>
          <w:bCs/>
          <w:i/>
        </w:rPr>
        <w:t xml:space="preserve">not </w:t>
      </w:r>
      <w:r w:rsidRPr="00CB57FB">
        <w:rPr>
          <w:bCs/>
          <w:i/>
        </w:rPr>
        <w:t>to display the expiration date for OMB approval of the information collection, explain the reasons that display would be inappropriate.</w:t>
      </w:r>
    </w:p>
    <w:p w:rsidR="00C56535" w:rsidRPr="00CB57FB" w:rsidRDefault="00C56535" w:rsidP="00DD5651"/>
    <w:p w:rsidR="00C56535" w:rsidRPr="00CB57FB" w:rsidRDefault="00492B24" w:rsidP="00DD5651">
      <w:r w:rsidRPr="00CB57FB">
        <w:t>The collection of information will display a currently valid OMB control number.</w:t>
      </w:r>
    </w:p>
    <w:p w:rsidR="00492B24" w:rsidRPr="00CB57FB" w:rsidRDefault="00492B24" w:rsidP="00DD5651">
      <w:pPr>
        <w:rPr>
          <w:i/>
        </w:rPr>
      </w:pPr>
    </w:p>
    <w:p w:rsidR="00EB2759" w:rsidRPr="00CB57FB" w:rsidRDefault="00EB2759" w:rsidP="00DD5651">
      <w:pPr>
        <w:rPr>
          <w:bCs/>
          <w:i/>
        </w:rPr>
      </w:pPr>
      <w:r w:rsidRPr="00CB57FB">
        <w:rPr>
          <w:bCs/>
          <w:i/>
        </w:rPr>
        <w:t>18.</w:t>
      </w:r>
      <w:r w:rsidR="00DA694B" w:rsidRPr="00CB57FB">
        <w:rPr>
          <w:bCs/>
          <w:i/>
        </w:rPr>
        <w:tab/>
      </w:r>
      <w:r w:rsidRPr="00CB57FB">
        <w:rPr>
          <w:bCs/>
          <w:i/>
        </w:rPr>
        <w:t>Explain each exception to the certification statement identified in Item 19, Certification for Paperwork Reduction Act Submissions</w:t>
      </w:r>
      <w:r w:rsidR="00B728D3" w:rsidRPr="00CB57FB">
        <w:rPr>
          <w:bCs/>
          <w:i/>
        </w:rPr>
        <w:t>.</w:t>
      </w:r>
    </w:p>
    <w:p w:rsidR="00C56535" w:rsidRPr="00CB57FB" w:rsidRDefault="00C56535" w:rsidP="00DD5651"/>
    <w:p w:rsidR="00C56535" w:rsidRPr="00CB57FB" w:rsidRDefault="00492B24" w:rsidP="00DD5651">
      <w:r w:rsidRPr="00CB57FB">
        <w:t>Not applicable; no exceptions to the certification statement.</w:t>
      </w:r>
    </w:p>
    <w:p w:rsidR="008A29C7" w:rsidRPr="00CB57FB" w:rsidRDefault="008A29C7" w:rsidP="00CE554C">
      <w:pPr>
        <w:rPr>
          <w:sz w:val="28"/>
          <w:szCs w:val="28"/>
        </w:rPr>
      </w:pPr>
    </w:p>
    <w:sectPr w:rsidR="008A29C7" w:rsidRPr="00CB57FB" w:rsidSect="00C75B3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55" w:rsidRDefault="004B6655">
      <w:r>
        <w:separator/>
      </w:r>
    </w:p>
  </w:endnote>
  <w:endnote w:type="continuationSeparator" w:id="0">
    <w:p w:rsidR="004B6655" w:rsidRDefault="004B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6655" w:rsidRDefault="004B6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75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B90">
      <w:rPr>
        <w:rStyle w:val="PageNumber"/>
        <w:noProof/>
      </w:rPr>
      <w:t>1</w:t>
    </w:r>
    <w:r>
      <w:rPr>
        <w:rStyle w:val="PageNumber"/>
      </w:rPr>
      <w:fldChar w:fldCharType="end"/>
    </w:r>
  </w:p>
  <w:p w:rsidR="004B6655" w:rsidRDefault="004B6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0" w:rsidRDefault="00677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55" w:rsidRDefault="004B6655">
      <w:r>
        <w:separator/>
      </w:r>
    </w:p>
  </w:footnote>
  <w:footnote w:type="continuationSeparator" w:id="0">
    <w:p w:rsidR="004B6655" w:rsidRDefault="004B6655">
      <w:r>
        <w:continuationSeparator/>
      </w:r>
    </w:p>
  </w:footnote>
  <w:footnote w:id="1">
    <w:p w:rsidR="00712BC7" w:rsidRPr="00922C49" w:rsidRDefault="004B6655" w:rsidP="00712BC7">
      <w:pPr>
        <w:rPr>
          <w:sz w:val="20"/>
          <w:szCs w:val="20"/>
        </w:rPr>
      </w:pPr>
      <w:r w:rsidRPr="0014757E">
        <w:rPr>
          <w:rStyle w:val="FootnoteReference"/>
        </w:rPr>
        <w:footnoteRef/>
      </w:r>
      <w:r w:rsidRPr="0014757E">
        <w:t xml:space="preserve"> </w:t>
      </w:r>
      <w:r w:rsidRPr="00922C49">
        <w:rPr>
          <w:sz w:val="20"/>
          <w:szCs w:val="20"/>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Employment Cost Index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r w:rsidR="00712BC7" w:rsidRPr="00922C49">
        <w:rPr>
          <w:sz w:val="20"/>
          <w:szCs w:val="20"/>
        </w:rPr>
        <w:t xml:space="preserve"> Compensation and Benefits Manager (11-3041): $50.92</w:t>
      </w:r>
      <w:r w:rsidR="0019498E" w:rsidRPr="0019498E">
        <w:rPr>
          <w:sz w:val="20"/>
          <w:szCs w:val="20"/>
        </w:rPr>
        <w:t>(2013 BLS Wage rate)</w:t>
      </w:r>
      <w:r w:rsidR="0019498E">
        <w:t xml:space="preserve"> </w:t>
      </w:r>
      <w:r w:rsidR="00712BC7" w:rsidRPr="00922C49">
        <w:rPr>
          <w:sz w:val="20"/>
          <w:szCs w:val="20"/>
        </w:rPr>
        <w:t>/0.697</w:t>
      </w:r>
      <w:r w:rsidR="0019498E" w:rsidRPr="0019498E">
        <w:rPr>
          <w:sz w:val="20"/>
          <w:szCs w:val="20"/>
        </w:rPr>
        <w:t>(ECEC ratio)</w:t>
      </w:r>
      <w:r w:rsidR="0019498E">
        <w:t xml:space="preserve"> </w:t>
      </w:r>
      <w:r w:rsidR="00712BC7" w:rsidRPr="00922C49">
        <w:rPr>
          <w:sz w:val="20"/>
          <w:szCs w:val="20"/>
        </w:rPr>
        <w:t>*1.35</w:t>
      </w:r>
      <w:r w:rsidR="0019498E" w:rsidRPr="0019498E">
        <w:rPr>
          <w:sz w:val="20"/>
          <w:szCs w:val="20"/>
        </w:rPr>
        <w:t>(Overhead Load Factor)</w:t>
      </w:r>
      <w:r w:rsidR="0019498E">
        <w:t xml:space="preserve"> </w:t>
      </w:r>
      <w:r w:rsidR="00712BC7" w:rsidRPr="00922C49">
        <w:rPr>
          <w:sz w:val="20"/>
          <w:szCs w:val="20"/>
        </w:rPr>
        <w:t>*1.023</w:t>
      </w:r>
      <w:r w:rsidR="0019498E">
        <w:t xml:space="preserve"> </w:t>
      </w:r>
      <w:r w:rsidR="0019498E" w:rsidRPr="0019498E">
        <w:rPr>
          <w:sz w:val="20"/>
          <w:szCs w:val="20"/>
        </w:rPr>
        <w:t>(Inflation rate)</w:t>
      </w:r>
      <w:r w:rsidR="0019498E">
        <w:t xml:space="preserve"> </w:t>
      </w:r>
      <w:r w:rsidR="00712BC7" w:rsidRPr="00922C49">
        <w:rPr>
          <w:sz w:val="20"/>
          <w:szCs w:val="20"/>
        </w:rPr>
        <w:t>^2</w:t>
      </w:r>
      <w:r w:rsidR="0019498E" w:rsidRPr="0019498E">
        <w:rPr>
          <w:sz w:val="20"/>
          <w:szCs w:val="20"/>
        </w:rPr>
        <w:t>(Inflated 2 years from base year)</w:t>
      </w:r>
      <w:r w:rsidR="0019498E">
        <w:t xml:space="preserve"> </w:t>
      </w:r>
      <w:r w:rsidR="00712BC7" w:rsidRPr="00922C49">
        <w:rPr>
          <w:sz w:val="20"/>
          <w:szCs w:val="20"/>
        </w:rPr>
        <w:t>= $102.41</w:t>
      </w:r>
      <w:r w:rsidR="0019498E" w:rsidRPr="0019498E">
        <w:rPr>
          <w:sz w:val="20"/>
          <w:szCs w:val="20"/>
        </w:rPr>
        <w:t>(2015 hourly labor rate).</w:t>
      </w:r>
    </w:p>
    <w:p w:rsidR="004B6655" w:rsidRPr="0014757E" w:rsidRDefault="004B66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0" w:rsidRDefault="00677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55" w:rsidRDefault="004B6655" w:rsidP="00CB57FB">
    <w:pPr>
      <w:pStyle w:val="Header"/>
      <w:jc w:val="right"/>
    </w:pPr>
    <w:r>
      <w:t>Evaluating the Effectiveness of the 408(b</w:t>
    </w:r>
    <w:proofErr w:type="gramStart"/>
    <w:r>
      <w:t>)(</w:t>
    </w:r>
    <w:proofErr w:type="gramEnd"/>
    <w:r>
      <w:t>2) Disclosure Requirements Focus Group</w:t>
    </w:r>
  </w:p>
  <w:p w:rsidR="004B6655" w:rsidRDefault="004B6655" w:rsidP="00CB57FB">
    <w:pPr>
      <w:pStyle w:val="Header"/>
      <w:jc w:val="right"/>
    </w:pPr>
    <w:r>
      <w:t>OMB Control Number 1210-</w:t>
    </w:r>
    <w:r w:rsidR="006770C0">
      <w:t>0154</w:t>
    </w:r>
  </w:p>
  <w:p w:rsidR="004B6655" w:rsidRDefault="00670B90" w:rsidP="00CB57FB">
    <w:pPr>
      <w:pStyle w:val="Header"/>
      <w:jc w:val="right"/>
    </w:pPr>
    <w:r>
      <w:t>April 2015</w:t>
    </w:r>
    <w:bookmarkStart w:id="0" w:name="_GoBack"/>
    <w:bookmarkEnd w:id="0"/>
  </w:p>
  <w:p w:rsidR="004B6655" w:rsidRDefault="004B6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0" w:rsidRDefault="00677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DCE5C35"/>
    <w:multiLevelType w:val="hybridMultilevel"/>
    <w:tmpl w:val="A2066B42"/>
    <w:lvl w:ilvl="0" w:tplc="69DEC268">
      <w:start w:val="1"/>
      <w:numFmt w:val="upperLetter"/>
      <w:lvlText w:val="(%1)"/>
      <w:lvlJc w:val="left"/>
      <w:pPr>
        <w:tabs>
          <w:tab w:val="num" w:pos="1260"/>
        </w:tabs>
        <w:ind w:left="1260" w:hanging="39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112B42B6"/>
    <w:multiLevelType w:val="hybridMultilevel"/>
    <w:tmpl w:val="25802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CC231C"/>
    <w:multiLevelType w:val="hybridMultilevel"/>
    <w:tmpl w:val="C722D720"/>
    <w:lvl w:ilvl="0" w:tplc="36DA99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8A03DE1"/>
    <w:multiLevelType w:val="hybridMultilevel"/>
    <w:tmpl w:val="CB6CA8FE"/>
    <w:lvl w:ilvl="0" w:tplc="04090001">
      <w:start w:val="1"/>
      <w:numFmt w:val="decimal"/>
      <w:pStyle w:val="Numbered"/>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41A7B06"/>
    <w:multiLevelType w:val="hybridMultilevel"/>
    <w:tmpl w:val="268C5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12CF3"/>
    <w:multiLevelType w:val="hybridMultilevel"/>
    <w:tmpl w:val="F19C7958"/>
    <w:lvl w:ilvl="0" w:tplc="D74034A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72FA0"/>
    <w:multiLevelType w:val="hybridMultilevel"/>
    <w:tmpl w:val="C888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021BFA"/>
    <w:multiLevelType w:val="hybridMultilevel"/>
    <w:tmpl w:val="D4A6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873BB4"/>
    <w:multiLevelType w:val="hybridMultilevel"/>
    <w:tmpl w:val="61E87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513201"/>
    <w:multiLevelType w:val="hybridMultilevel"/>
    <w:tmpl w:val="2D16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C46419"/>
    <w:multiLevelType w:val="hybridMultilevel"/>
    <w:tmpl w:val="C18A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7171E"/>
    <w:multiLevelType w:val="hybridMultilevel"/>
    <w:tmpl w:val="32F6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30904"/>
    <w:multiLevelType w:val="hybridMultilevel"/>
    <w:tmpl w:val="036483BC"/>
    <w:lvl w:ilvl="0" w:tplc="B0EAA8D8">
      <w:numFmt w:val="bullet"/>
      <w:lvlText w:val=""/>
      <w:lvlJc w:val="left"/>
      <w:pPr>
        <w:ind w:left="915" w:hanging="555"/>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962AD"/>
    <w:multiLevelType w:val="hybridMultilevel"/>
    <w:tmpl w:val="7AF6974A"/>
    <w:lvl w:ilvl="0" w:tplc="894A77BA">
      <w:start w:val="1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3052AC"/>
    <w:multiLevelType w:val="multilevel"/>
    <w:tmpl w:val="A13640DC"/>
    <w:lvl w:ilvl="0">
      <w:start w:val="1"/>
      <w:numFmt w:val="decimal"/>
      <w:lvlText w:val="%1."/>
      <w:lvlJc w:val="left"/>
      <w:pPr>
        <w:tabs>
          <w:tab w:val="num" w:pos="1080"/>
        </w:tabs>
        <w:ind w:left="1080" w:hanging="360"/>
      </w:pPr>
      <w:rPr>
        <w:rFonts w:hint="default"/>
      </w:rPr>
    </w:lvl>
    <w:lvl w:ilvl="1">
      <w:start w:val="1"/>
      <w:numFmt w:val="bullet"/>
      <w:pStyle w:val="Bulleted"/>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4EA08DB"/>
    <w:multiLevelType w:val="hybridMultilevel"/>
    <w:tmpl w:val="BB3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47CEF"/>
    <w:multiLevelType w:val="hybridMultilevel"/>
    <w:tmpl w:val="4498CB10"/>
    <w:lvl w:ilvl="0" w:tplc="B0EAA8D8">
      <w:numFmt w:val="bullet"/>
      <w:lvlText w:val=""/>
      <w:lvlJc w:val="left"/>
      <w:pPr>
        <w:ind w:left="1275" w:hanging="555"/>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6"/>
  </w:num>
  <w:num w:numId="4">
    <w:abstractNumId w:val="15"/>
  </w:num>
  <w:num w:numId="5">
    <w:abstractNumId w:val="16"/>
  </w:num>
  <w:num w:numId="6">
    <w:abstractNumId w:val="5"/>
  </w:num>
  <w:num w:numId="7">
    <w:abstractNumId w:val="19"/>
  </w:num>
  <w:num w:numId="8">
    <w:abstractNumId w:val="4"/>
  </w:num>
  <w:num w:numId="9">
    <w:abstractNumId w:val="2"/>
  </w:num>
  <w:num w:numId="10">
    <w:abstractNumId w:val="11"/>
  </w:num>
  <w:num w:numId="11">
    <w:abstractNumId w:val="17"/>
  </w:num>
  <w:num w:numId="12">
    <w:abstractNumId w:val="14"/>
  </w:num>
  <w:num w:numId="13">
    <w:abstractNumId w:val="18"/>
  </w:num>
  <w:num w:numId="14">
    <w:abstractNumId w:val="3"/>
  </w:num>
  <w:num w:numId="15">
    <w:abstractNumId w:val="8"/>
  </w:num>
  <w:num w:numId="16">
    <w:abstractNumId w:val="13"/>
  </w:num>
  <w:num w:numId="17">
    <w:abstractNumId w:val="9"/>
  </w:num>
  <w:num w:numId="18">
    <w:abstractNumId w:val="12"/>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2E"/>
    <w:rsid w:val="00000AB3"/>
    <w:rsid w:val="00001DE5"/>
    <w:rsid w:val="00004F4B"/>
    <w:rsid w:val="00005A45"/>
    <w:rsid w:val="0000692A"/>
    <w:rsid w:val="0001167A"/>
    <w:rsid w:val="00011CDD"/>
    <w:rsid w:val="00012969"/>
    <w:rsid w:val="0001365D"/>
    <w:rsid w:val="00014811"/>
    <w:rsid w:val="00016107"/>
    <w:rsid w:val="00023F12"/>
    <w:rsid w:val="0003140B"/>
    <w:rsid w:val="00043442"/>
    <w:rsid w:val="0004530F"/>
    <w:rsid w:val="000454C4"/>
    <w:rsid w:val="00046A70"/>
    <w:rsid w:val="00051ADD"/>
    <w:rsid w:val="000520C0"/>
    <w:rsid w:val="00054109"/>
    <w:rsid w:val="0005753B"/>
    <w:rsid w:val="00064793"/>
    <w:rsid w:val="00074022"/>
    <w:rsid w:val="00074E16"/>
    <w:rsid w:val="00075015"/>
    <w:rsid w:val="000771BD"/>
    <w:rsid w:val="000839EE"/>
    <w:rsid w:val="00085F87"/>
    <w:rsid w:val="00090DED"/>
    <w:rsid w:val="000914C0"/>
    <w:rsid w:val="000919F7"/>
    <w:rsid w:val="00093974"/>
    <w:rsid w:val="00096FEB"/>
    <w:rsid w:val="000975E9"/>
    <w:rsid w:val="000B05B5"/>
    <w:rsid w:val="000B2E6D"/>
    <w:rsid w:val="000B37C7"/>
    <w:rsid w:val="000C22B4"/>
    <w:rsid w:val="000C25AC"/>
    <w:rsid w:val="000C435B"/>
    <w:rsid w:val="000C5404"/>
    <w:rsid w:val="000C7953"/>
    <w:rsid w:val="000D0414"/>
    <w:rsid w:val="000D05C3"/>
    <w:rsid w:val="000D43AA"/>
    <w:rsid w:val="000D6D7D"/>
    <w:rsid w:val="000E0237"/>
    <w:rsid w:val="000E3EC9"/>
    <w:rsid w:val="000E42A9"/>
    <w:rsid w:val="000E4618"/>
    <w:rsid w:val="000E66EE"/>
    <w:rsid w:val="000F3DD5"/>
    <w:rsid w:val="000F3F65"/>
    <w:rsid w:val="000F4845"/>
    <w:rsid w:val="000F6D8C"/>
    <w:rsid w:val="00101F69"/>
    <w:rsid w:val="00107458"/>
    <w:rsid w:val="0011051C"/>
    <w:rsid w:val="001126E2"/>
    <w:rsid w:val="00112923"/>
    <w:rsid w:val="00114EE7"/>
    <w:rsid w:val="00117E63"/>
    <w:rsid w:val="0012420F"/>
    <w:rsid w:val="00126B23"/>
    <w:rsid w:val="00127325"/>
    <w:rsid w:val="001305CA"/>
    <w:rsid w:val="00132BE6"/>
    <w:rsid w:val="0014757E"/>
    <w:rsid w:val="00150DC6"/>
    <w:rsid w:val="00154666"/>
    <w:rsid w:val="001566A4"/>
    <w:rsid w:val="00156711"/>
    <w:rsid w:val="001569F4"/>
    <w:rsid w:val="00156B10"/>
    <w:rsid w:val="001618C5"/>
    <w:rsid w:val="001643A3"/>
    <w:rsid w:val="001653EC"/>
    <w:rsid w:val="0016557E"/>
    <w:rsid w:val="00165926"/>
    <w:rsid w:val="001746B1"/>
    <w:rsid w:val="0017619E"/>
    <w:rsid w:val="00185318"/>
    <w:rsid w:val="0018571A"/>
    <w:rsid w:val="0018682E"/>
    <w:rsid w:val="001918F2"/>
    <w:rsid w:val="0019498E"/>
    <w:rsid w:val="001952A5"/>
    <w:rsid w:val="001B2E16"/>
    <w:rsid w:val="001C3C71"/>
    <w:rsid w:val="001C6768"/>
    <w:rsid w:val="001C7208"/>
    <w:rsid w:val="001D4870"/>
    <w:rsid w:val="001E4138"/>
    <w:rsid w:val="001E7E88"/>
    <w:rsid w:val="001F275A"/>
    <w:rsid w:val="00200954"/>
    <w:rsid w:val="002060E9"/>
    <w:rsid w:val="00207387"/>
    <w:rsid w:val="00226577"/>
    <w:rsid w:val="0022791D"/>
    <w:rsid w:val="00232801"/>
    <w:rsid w:val="00233EC6"/>
    <w:rsid w:val="00235614"/>
    <w:rsid w:val="002367C8"/>
    <w:rsid w:val="002450AA"/>
    <w:rsid w:val="002465D3"/>
    <w:rsid w:val="00255AC0"/>
    <w:rsid w:val="00256138"/>
    <w:rsid w:val="0025676E"/>
    <w:rsid w:val="002609BD"/>
    <w:rsid w:val="00261CDE"/>
    <w:rsid w:val="0026274C"/>
    <w:rsid w:val="00262E20"/>
    <w:rsid w:val="00263C7F"/>
    <w:rsid w:val="00266744"/>
    <w:rsid w:val="00267486"/>
    <w:rsid w:val="0027229E"/>
    <w:rsid w:val="00272ADE"/>
    <w:rsid w:val="0027621C"/>
    <w:rsid w:val="00276E20"/>
    <w:rsid w:val="00277B3B"/>
    <w:rsid w:val="0028188E"/>
    <w:rsid w:val="00285E89"/>
    <w:rsid w:val="0029121C"/>
    <w:rsid w:val="002C6F75"/>
    <w:rsid w:val="002D24F1"/>
    <w:rsid w:val="002F069F"/>
    <w:rsid w:val="002F6089"/>
    <w:rsid w:val="00302CA2"/>
    <w:rsid w:val="00303D78"/>
    <w:rsid w:val="00304CF6"/>
    <w:rsid w:val="0030541A"/>
    <w:rsid w:val="00305992"/>
    <w:rsid w:val="003060F8"/>
    <w:rsid w:val="003106BB"/>
    <w:rsid w:val="00316707"/>
    <w:rsid w:val="00320763"/>
    <w:rsid w:val="00324541"/>
    <w:rsid w:val="00324A70"/>
    <w:rsid w:val="00334C54"/>
    <w:rsid w:val="00335B27"/>
    <w:rsid w:val="00336803"/>
    <w:rsid w:val="00342A77"/>
    <w:rsid w:val="003443DC"/>
    <w:rsid w:val="0034488A"/>
    <w:rsid w:val="00347F1C"/>
    <w:rsid w:val="00351F43"/>
    <w:rsid w:val="0035422E"/>
    <w:rsid w:val="0035448C"/>
    <w:rsid w:val="00356D8A"/>
    <w:rsid w:val="0036604C"/>
    <w:rsid w:val="00386E58"/>
    <w:rsid w:val="00390FC3"/>
    <w:rsid w:val="00393330"/>
    <w:rsid w:val="00393D9E"/>
    <w:rsid w:val="003A30F4"/>
    <w:rsid w:val="003A31B2"/>
    <w:rsid w:val="003B009F"/>
    <w:rsid w:val="003B1928"/>
    <w:rsid w:val="003B431E"/>
    <w:rsid w:val="003B67D8"/>
    <w:rsid w:val="003B772C"/>
    <w:rsid w:val="003C061B"/>
    <w:rsid w:val="003C24C7"/>
    <w:rsid w:val="003C3961"/>
    <w:rsid w:val="003D0628"/>
    <w:rsid w:val="003D569F"/>
    <w:rsid w:val="003D7247"/>
    <w:rsid w:val="003E5EB7"/>
    <w:rsid w:val="003E6F29"/>
    <w:rsid w:val="003F2534"/>
    <w:rsid w:val="003F29AF"/>
    <w:rsid w:val="003F5491"/>
    <w:rsid w:val="004042A6"/>
    <w:rsid w:val="00406862"/>
    <w:rsid w:val="004249BE"/>
    <w:rsid w:val="0042780E"/>
    <w:rsid w:val="00430A86"/>
    <w:rsid w:val="00436A4A"/>
    <w:rsid w:val="0043767D"/>
    <w:rsid w:val="00441AC4"/>
    <w:rsid w:val="00442924"/>
    <w:rsid w:val="00446A1E"/>
    <w:rsid w:val="00451024"/>
    <w:rsid w:val="00456E48"/>
    <w:rsid w:val="00457D54"/>
    <w:rsid w:val="00460C61"/>
    <w:rsid w:val="0046420E"/>
    <w:rsid w:val="0046423E"/>
    <w:rsid w:val="004648D8"/>
    <w:rsid w:val="0046665C"/>
    <w:rsid w:val="00471C79"/>
    <w:rsid w:val="00480327"/>
    <w:rsid w:val="0048231E"/>
    <w:rsid w:val="00482E8D"/>
    <w:rsid w:val="004831B0"/>
    <w:rsid w:val="00484B9B"/>
    <w:rsid w:val="00490DEC"/>
    <w:rsid w:val="00491EF9"/>
    <w:rsid w:val="00492B24"/>
    <w:rsid w:val="00497A36"/>
    <w:rsid w:val="00497D10"/>
    <w:rsid w:val="004A0CFD"/>
    <w:rsid w:val="004A1491"/>
    <w:rsid w:val="004A21CC"/>
    <w:rsid w:val="004A737F"/>
    <w:rsid w:val="004B0902"/>
    <w:rsid w:val="004B165B"/>
    <w:rsid w:val="004B3644"/>
    <w:rsid w:val="004B6655"/>
    <w:rsid w:val="004B7257"/>
    <w:rsid w:val="004B7D94"/>
    <w:rsid w:val="004C0FBE"/>
    <w:rsid w:val="004C6652"/>
    <w:rsid w:val="004D115A"/>
    <w:rsid w:val="004D250D"/>
    <w:rsid w:val="004D630F"/>
    <w:rsid w:val="004E0213"/>
    <w:rsid w:val="004F18B7"/>
    <w:rsid w:val="005008CE"/>
    <w:rsid w:val="00501583"/>
    <w:rsid w:val="005021D8"/>
    <w:rsid w:val="0050230A"/>
    <w:rsid w:val="00505816"/>
    <w:rsid w:val="005058D8"/>
    <w:rsid w:val="00505BCF"/>
    <w:rsid w:val="005061E4"/>
    <w:rsid w:val="00512C38"/>
    <w:rsid w:val="00520E4E"/>
    <w:rsid w:val="00533516"/>
    <w:rsid w:val="00535A71"/>
    <w:rsid w:val="00536AFA"/>
    <w:rsid w:val="00545A1F"/>
    <w:rsid w:val="00546903"/>
    <w:rsid w:val="00565278"/>
    <w:rsid w:val="005701E0"/>
    <w:rsid w:val="00576D16"/>
    <w:rsid w:val="00580A27"/>
    <w:rsid w:val="0058113C"/>
    <w:rsid w:val="00582E79"/>
    <w:rsid w:val="00593A9C"/>
    <w:rsid w:val="005A391F"/>
    <w:rsid w:val="005A649C"/>
    <w:rsid w:val="005A7499"/>
    <w:rsid w:val="005B3BC0"/>
    <w:rsid w:val="005B477E"/>
    <w:rsid w:val="005C27E6"/>
    <w:rsid w:val="005C3D88"/>
    <w:rsid w:val="005C45AC"/>
    <w:rsid w:val="005C6A4F"/>
    <w:rsid w:val="005C787E"/>
    <w:rsid w:val="005D0875"/>
    <w:rsid w:val="005D1FCD"/>
    <w:rsid w:val="005D3769"/>
    <w:rsid w:val="005E2562"/>
    <w:rsid w:val="005E5D2D"/>
    <w:rsid w:val="005F1A21"/>
    <w:rsid w:val="005F55A7"/>
    <w:rsid w:val="005F7806"/>
    <w:rsid w:val="005F7FC7"/>
    <w:rsid w:val="0060039F"/>
    <w:rsid w:val="00600ACC"/>
    <w:rsid w:val="0060404A"/>
    <w:rsid w:val="00611AC3"/>
    <w:rsid w:val="006161AD"/>
    <w:rsid w:val="00624F0F"/>
    <w:rsid w:val="00625E5E"/>
    <w:rsid w:val="00630A66"/>
    <w:rsid w:val="00641F31"/>
    <w:rsid w:val="00643168"/>
    <w:rsid w:val="006457DB"/>
    <w:rsid w:val="00652B44"/>
    <w:rsid w:val="00655BC6"/>
    <w:rsid w:val="00666228"/>
    <w:rsid w:val="00670858"/>
    <w:rsid w:val="00670B90"/>
    <w:rsid w:val="00674D5B"/>
    <w:rsid w:val="00675427"/>
    <w:rsid w:val="006770C0"/>
    <w:rsid w:val="00682FC9"/>
    <w:rsid w:val="006851DA"/>
    <w:rsid w:val="0069036F"/>
    <w:rsid w:val="006910F3"/>
    <w:rsid w:val="00695F8B"/>
    <w:rsid w:val="00696207"/>
    <w:rsid w:val="00696E55"/>
    <w:rsid w:val="006A76F5"/>
    <w:rsid w:val="006B6F96"/>
    <w:rsid w:val="006C05EF"/>
    <w:rsid w:val="006C3DDE"/>
    <w:rsid w:val="006D0397"/>
    <w:rsid w:val="006D16D7"/>
    <w:rsid w:val="006D4636"/>
    <w:rsid w:val="006E4C48"/>
    <w:rsid w:val="006E6A6D"/>
    <w:rsid w:val="006E7D60"/>
    <w:rsid w:val="006F056E"/>
    <w:rsid w:val="006F0F9F"/>
    <w:rsid w:val="006F1429"/>
    <w:rsid w:val="00701631"/>
    <w:rsid w:val="00702073"/>
    <w:rsid w:val="00702375"/>
    <w:rsid w:val="0070408A"/>
    <w:rsid w:val="00712BC7"/>
    <w:rsid w:val="00721457"/>
    <w:rsid w:val="00721E29"/>
    <w:rsid w:val="00732452"/>
    <w:rsid w:val="00732FAF"/>
    <w:rsid w:val="0074134E"/>
    <w:rsid w:val="00742FF9"/>
    <w:rsid w:val="00743631"/>
    <w:rsid w:val="00744C60"/>
    <w:rsid w:val="00745868"/>
    <w:rsid w:val="007464F6"/>
    <w:rsid w:val="00753954"/>
    <w:rsid w:val="00756990"/>
    <w:rsid w:val="00762E6C"/>
    <w:rsid w:val="007637AD"/>
    <w:rsid w:val="00777F52"/>
    <w:rsid w:val="00782BB6"/>
    <w:rsid w:val="0078373F"/>
    <w:rsid w:val="00786D00"/>
    <w:rsid w:val="00787DD2"/>
    <w:rsid w:val="00791911"/>
    <w:rsid w:val="00792334"/>
    <w:rsid w:val="00797CCD"/>
    <w:rsid w:val="007B2C85"/>
    <w:rsid w:val="007C1388"/>
    <w:rsid w:val="007C7C68"/>
    <w:rsid w:val="007E39F0"/>
    <w:rsid w:val="007E6167"/>
    <w:rsid w:val="007F0659"/>
    <w:rsid w:val="007F5046"/>
    <w:rsid w:val="007F67A6"/>
    <w:rsid w:val="008010E3"/>
    <w:rsid w:val="008020BF"/>
    <w:rsid w:val="00804874"/>
    <w:rsid w:val="00804BE5"/>
    <w:rsid w:val="00804FE3"/>
    <w:rsid w:val="00806548"/>
    <w:rsid w:val="00811A97"/>
    <w:rsid w:val="0081339A"/>
    <w:rsid w:val="0082194F"/>
    <w:rsid w:val="00821FB3"/>
    <w:rsid w:val="00823FE0"/>
    <w:rsid w:val="00826BFE"/>
    <w:rsid w:val="008346F2"/>
    <w:rsid w:val="00843B37"/>
    <w:rsid w:val="00847D50"/>
    <w:rsid w:val="00850C8C"/>
    <w:rsid w:val="00850D08"/>
    <w:rsid w:val="008519AC"/>
    <w:rsid w:val="00855406"/>
    <w:rsid w:val="00857174"/>
    <w:rsid w:val="00857454"/>
    <w:rsid w:val="00861D2E"/>
    <w:rsid w:val="00862A0B"/>
    <w:rsid w:val="008630F3"/>
    <w:rsid w:val="00864F81"/>
    <w:rsid w:val="00865537"/>
    <w:rsid w:val="00874E18"/>
    <w:rsid w:val="00884F5C"/>
    <w:rsid w:val="00893C15"/>
    <w:rsid w:val="008961AD"/>
    <w:rsid w:val="008A29C7"/>
    <w:rsid w:val="008A6729"/>
    <w:rsid w:val="008B7298"/>
    <w:rsid w:val="008C00BE"/>
    <w:rsid w:val="008C6954"/>
    <w:rsid w:val="008D494A"/>
    <w:rsid w:val="008E320B"/>
    <w:rsid w:val="008F01D8"/>
    <w:rsid w:val="008F2739"/>
    <w:rsid w:val="008F366A"/>
    <w:rsid w:val="008F6EC4"/>
    <w:rsid w:val="0090176A"/>
    <w:rsid w:val="009036F9"/>
    <w:rsid w:val="00907365"/>
    <w:rsid w:val="009172D5"/>
    <w:rsid w:val="00917837"/>
    <w:rsid w:val="00917876"/>
    <w:rsid w:val="00922515"/>
    <w:rsid w:val="00922C49"/>
    <w:rsid w:val="009260CF"/>
    <w:rsid w:val="00933749"/>
    <w:rsid w:val="009362B1"/>
    <w:rsid w:val="0094248D"/>
    <w:rsid w:val="009439F8"/>
    <w:rsid w:val="00947B22"/>
    <w:rsid w:val="00954889"/>
    <w:rsid w:val="00960610"/>
    <w:rsid w:val="00962949"/>
    <w:rsid w:val="00966FBC"/>
    <w:rsid w:val="009706E5"/>
    <w:rsid w:val="009737DB"/>
    <w:rsid w:val="009778AD"/>
    <w:rsid w:val="00990B06"/>
    <w:rsid w:val="009915AE"/>
    <w:rsid w:val="00997F2F"/>
    <w:rsid w:val="009A06B5"/>
    <w:rsid w:val="009A31BE"/>
    <w:rsid w:val="009A5436"/>
    <w:rsid w:val="009A548D"/>
    <w:rsid w:val="009A751D"/>
    <w:rsid w:val="009A7C05"/>
    <w:rsid w:val="009B0489"/>
    <w:rsid w:val="009B4EC0"/>
    <w:rsid w:val="009B51DF"/>
    <w:rsid w:val="009C5C7D"/>
    <w:rsid w:val="009C6BE8"/>
    <w:rsid w:val="009C6FC2"/>
    <w:rsid w:val="009D0DAC"/>
    <w:rsid w:val="009D5C81"/>
    <w:rsid w:val="009D5F69"/>
    <w:rsid w:val="009E4D6B"/>
    <w:rsid w:val="009E5D21"/>
    <w:rsid w:val="00A02618"/>
    <w:rsid w:val="00A11680"/>
    <w:rsid w:val="00A1270B"/>
    <w:rsid w:val="00A14078"/>
    <w:rsid w:val="00A247C1"/>
    <w:rsid w:val="00A2493D"/>
    <w:rsid w:val="00A31B1F"/>
    <w:rsid w:val="00A3791A"/>
    <w:rsid w:val="00A4010B"/>
    <w:rsid w:val="00A41C33"/>
    <w:rsid w:val="00A4404D"/>
    <w:rsid w:val="00A534BF"/>
    <w:rsid w:val="00A54DBC"/>
    <w:rsid w:val="00A54FC2"/>
    <w:rsid w:val="00A55C09"/>
    <w:rsid w:val="00A56E4A"/>
    <w:rsid w:val="00A57EC3"/>
    <w:rsid w:val="00A60EB0"/>
    <w:rsid w:val="00A64F9E"/>
    <w:rsid w:val="00A6588E"/>
    <w:rsid w:val="00A75810"/>
    <w:rsid w:val="00A80F2D"/>
    <w:rsid w:val="00A811D6"/>
    <w:rsid w:val="00A81220"/>
    <w:rsid w:val="00A820A4"/>
    <w:rsid w:val="00A93DD6"/>
    <w:rsid w:val="00A9447F"/>
    <w:rsid w:val="00AA0314"/>
    <w:rsid w:val="00AA69B2"/>
    <w:rsid w:val="00AA7931"/>
    <w:rsid w:val="00AA79FA"/>
    <w:rsid w:val="00AC0982"/>
    <w:rsid w:val="00AC58AF"/>
    <w:rsid w:val="00AD12AE"/>
    <w:rsid w:val="00AD54EC"/>
    <w:rsid w:val="00AD56B8"/>
    <w:rsid w:val="00AD5B7E"/>
    <w:rsid w:val="00AD5BC3"/>
    <w:rsid w:val="00AD5DA4"/>
    <w:rsid w:val="00AE1061"/>
    <w:rsid w:val="00AE6AAF"/>
    <w:rsid w:val="00AE6B03"/>
    <w:rsid w:val="00AE7E95"/>
    <w:rsid w:val="00AF3193"/>
    <w:rsid w:val="00B06E3F"/>
    <w:rsid w:val="00B07DC9"/>
    <w:rsid w:val="00B11F19"/>
    <w:rsid w:val="00B15C4E"/>
    <w:rsid w:val="00B2422B"/>
    <w:rsid w:val="00B2585F"/>
    <w:rsid w:val="00B26A80"/>
    <w:rsid w:val="00B26B1F"/>
    <w:rsid w:val="00B2706B"/>
    <w:rsid w:val="00B27928"/>
    <w:rsid w:val="00B32F81"/>
    <w:rsid w:val="00B36B74"/>
    <w:rsid w:val="00B438E5"/>
    <w:rsid w:val="00B443FA"/>
    <w:rsid w:val="00B53347"/>
    <w:rsid w:val="00B5442C"/>
    <w:rsid w:val="00B623D2"/>
    <w:rsid w:val="00B634B6"/>
    <w:rsid w:val="00B65AF7"/>
    <w:rsid w:val="00B66D9E"/>
    <w:rsid w:val="00B67779"/>
    <w:rsid w:val="00B70244"/>
    <w:rsid w:val="00B70F72"/>
    <w:rsid w:val="00B728D3"/>
    <w:rsid w:val="00B7354F"/>
    <w:rsid w:val="00B816AF"/>
    <w:rsid w:val="00B82773"/>
    <w:rsid w:val="00B85D67"/>
    <w:rsid w:val="00B90AEA"/>
    <w:rsid w:val="00B924C4"/>
    <w:rsid w:val="00B9489B"/>
    <w:rsid w:val="00B956F9"/>
    <w:rsid w:val="00BA7CAC"/>
    <w:rsid w:val="00BA7F57"/>
    <w:rsid w:val="00BB6237"/>
    <w:rsid w:val="00BC3571"/>
    <w:rsid w:val="00BD7BDE"/>
    <w:rsid w:val="00BE1922"/>
    <w:rsid w:val="00BE2CFB"/>
    <w:rsid w:val="00BF1BB2"/>
    <w:rsid w:val="00BF54EF"/>
    <w:rsid w:val="00C00392"/>
    <w:rsid w:val="00C01E15"/>
    <w:rsid w:val="00C02A99"/>
    <w:rsid w:val="00C22A20"/>
    <w:rsid w:val="00C27833"/>
    <w:rsid w:val="00C340AE"/>
    <w:rsid w:val="00C344DD"/>
    <w:rsid w:val="00C4636E"/>
    <w:rsid w:val="00C5309F"/>
    <w:rsid w:val="00C56278"/>
    <w:rsid w:val="00C56535"/>
    <w:rsid w:val="00C57B02"/>
    <w:rsid w:val="00C60E1B"/>
    <w:rsid w:val="00C60FA1"/>
    <w:rsid w:val="00C6137F"/>
    <w:rsid w:val="00C649B8"/>
    <w:rsid w:val="00C75B3B"/>
    <w:rsid w:val="00C76977"/>
    <w:rsid w:val="00C7735A"/>
    <w:rsid w:val="00C80F1C"/>
    <w:rsid w:val="00C8159B"/>
    <w:rsid w:val="00C82AFF"/>
    <w:rsid w:val="00C8341B"/>
    <w:rsid w:val="00C8380C"/>
    <w:rsid w:val="00C83F5B"/>
    <w:rsid w:val="00C86325"/>
    <w:rsid w:val="00C879A6"/>
    <w:rsid w:val="00C90DD7"/>
    <w:rsid w:val="00C91F89"/>
    <w:rsid w:val="00C972CD"/>
    <w:rsid w:val="00CA33D0"/>
    <w:rsid w:val="00CB0754"/>
    <w:rsid w:val="00CB2506"/>
    <w:rsid w:val="00CB3CA8"/>
    <w:rsid w:val="00CB4D21"/>
    <w:rsid w:val="00CB5527"/>
    <w:rsid w:val="00CB57FB"/>
    <w:rsid w:val="00CD1F14"/>
    <w:rsid w:val="00CD20D9"/>
    <w:rsid w:val="00CD6218"/>
    <w:rsid w:val="00CE306C"/>
    <w:rsid w:val="00CE554C"/>
    <w:rsid w:val="00CF7C8E"/>
    <w:rsid w:val="00D03249"/>
    <w:rsid w:val="00D20F83"/>
    <w:rsid w:val="00D215E7"/>
    <w:rsid w:val="00D25948"/>
    <w:rsid w:val="00D31C2D"/>
    <w:rsid w:val="00D53528"/>
    <w:rsid w:val="00D64704"/>
    <w:rsid w:val="00D6471A"/>
    <w:rsid w:val="00D7390E"/>
    <w:rsid w:val="00D7648B"/>
    <w:rsid w:val="00D769F2"/>
    <w:rsid w:val="00D82519"/>
    <w:rsid w:val="00D841EB"/>
    <w:rsid w:val="00D93A5B"/>
    <w:rsid w:val="00D93B29"/>
    <w:rsid w:val="00D97991"/>
    <w:rsid w:val="00DA694B"/>
    <w:rsid w:val="00DB0D95"/>
    <w:rsid w:val="00DB182A"/>
    <w:rsid w:val="00DB1A3B"/>
    <w:rsid w:val="00DB4672"/>
    <w:rsid w:val="00DB6D57"/>
    <w:rsid w:val="00DB7C5D"/>
    <w:rsid w:val="00DC1181"/>
    <w:rsid w:val="00DC576A"/>
    <w:rsid w:val="00DC6445"/>
    <w:rsid w:val="00DC7B7C"/>
    <w:rsid w:val="00DD3DBC"/>
    <w:rsid w:val="00DD5651"/>
    <w:rsid w:val="00DE058D"/>
    <w:rsid w:val="00DE4B4C"/>
    <w:rsid w:val="00DF056C"/>
    <w:rsid w:val="00E002F1"/>
    <w:rsid w:val="00E00583"/>
    <w:rsid w:val="00E02670"/>
    <w:rsid w:val="00E05A87"/>
    <w:rsid w:val="00E06292"/>
    <w:rsid w:val="00E11299"/>
    <w:rsid w:val="00E11B55"/>
    <w:rsid w:val="00E14AAB"/>
    <w:rsid w:val="00E15283"/>
    <w:rsid w:val="00E15886"/>
    <w:rsid w:val="00E270FC"/>
    <w:rsid w:val="00E33B9C"/>
    <w:rsid w:val="00E355F7"/>
    <w:rsid w:val="00E35D0A"/>
    <w:rsid w:val="00E42D13"/>
    <w:rsid w:val="00E43F1A"/>
    <w:rsid w:val="00E46AEA"/>
    <w:rsid w:val="00E4712A"/>
    <w:rsid w:val="00E5119A"/>
    <w:rsid w:val="00E527C7"/>
    <w:rsid w:val="00E530AA"/>
    <w:rsid w:val="00E538D0"/>
    <w:rsid w:val="00E651C4"/>
    <w:rsid w:val="00E65463"/>
    <w:rsid w:val="00E67666"/>
    <w:rsid w:val="00E70F5B"/>
    <w:rsid w:val="00E71B0C"/>
    <w:rsid w:val="00E753E4"/>
    <w:rsid w:val="00E8067D"/>
    <w:rsid w:val="00E81E43"/>
    <w:rsid w:val="00E84664"/>
    <w:rsid w:val="00E87C96"/>
    <w:rsid w:val="00E95F27"/>
    <w:rsid w:val="00E96097"/>
    <w:rsid w:val="00EA056A"/>
    <w:rsid w:val="00EA2417"/>
    <w:rsid w:val="00EA5596"/>
    <w:rsid w:val="00EA79AD"/>
    <w:rsid w:val="00EB1186"/>
    <w:rsid w:val="00EB1B05"/>
    <w:rsid w:val="00EB2759"/>
    <w:rsid w:val="00EB2A7E"/>
    <w:rsid w:val="00EB3263"/>
    <w:rsid w:val="00EB426F"/>
    <w:rsid w:val="00EC00E7"/>
    <w:rsid w:val="00ED149C"/>
    <w:rsid w:val="00EE0B47"/>
    <w:rsid w:val="00EE5A80"/>
    <w:rsid w:val="00EE62FA"/>
    <w:rsid w:val="00EF2894"/>
    <w:rsid w:val="00EF381D"/>
    <w:rsid w:val="00EF4A80"/>
    <w:rsid w:val="00F00D35"/>
    <w:rsid w:val="00F03B42"/>
    <w:rsid w:val="00F16F07"/>
    <w:rsid w:val="00F21DAB"/>
    <w:rsid w:val="00F24205"/>
    <w:rsid w:val="00F26AF0"/>
    <w:rsid w:val="00F272C1"/>
    <w:rsid w:val="00F27594"/>
    <w:rsid w:val="00F31AF3"/>
    <w:rsid w:val="00F3210F"/>
    <w:rsid w:val="00F324FC"/>
    <w:rsid w:val="00F413EA"/>
    <w:rsid w:val="00F430F9"/>
    <w:rsid w:val="00F4316C"/>
    <w:rsid w:val="00F43A1B"/>
    <w:rsid w:val="00F56379"/>
    <w:rsid w:val="00F61C4F"/>
    <w:rsid w:val="00F70353"/>
    <w:rsid w:val="00F70439"/>
    <w:rsid w:val="00F70C87"/>
    <w:rsid w:val="00F70D71"/>
    <w:rsid w:val="00F7638C"/>
    <w:rsid w:val="00F77045"/>
    <w:rsid w:val="00F8555C"/>
    <w:rsid w:val="00F8585E"/>
    <w:rsid w:val="00F859BE"/>
    <w:rsid w:val="00F87E7C"/>
    <w:rsid w:val="00F91D91"/>
    <w:rsid w:val="00FA0003"/>
    <w:rsid w:val="00FA42FB"/>
    <w:rsid w:val="00FA43A2"/>
    <w:rsid w:val="00FA467C"/>
    <w:rsid w:val="00FA4A8E"/>
    <w:rsid w:val="00FA7085"/>
    <w:rsid w:val="00FA7ACE"/>
    <w:rsid w:val="00FB27A7"/>
    <w:rsid w:val="00FB5090"/>
    <w:rsid w:val="00FC0A49"/>
    <w:rsid w:val="00FC3017"/>
    <w:rsid w:val="00FC6D03"/>
    <w:rsid w:val="00FD499B"/>
    <w:rsid w:val="00FD5FE9"/>
    <w:rsid w:val="00FD64E2"/>
    <w:rsid w:val="00FD7425"/>
    <w:rsid w:val="00FE0DC6"/>
    <w:rsid w:val="00FE5839"/>
    <w:rsid w:val="00FE5C39"/>
    <w:rsid w:val="00FE64B6"/>
    <w:rsid w:val="00FE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7D"/>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29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8067D"/>
    <w:pPr>
      <w:autoSpaceDE w:val="0"/>
      <w:autoSpaceDN w:val="0"/>
      <w:ind w:left="720" w:hanging="720"/>
    </w:pPr>
  </w:style>
  <w:style w:type="character" w:customStyle="1" w:styleId="question">
    <w:name w:val="question"/>
    <w:rsid w:val="00E8067D"/>
    <w:rPr>
      <w:b/>
      <w:bCs/>
    </w:rPr>
  </w:style>
  <w:style w:type="character" w:customStyle="1" w:styleId="tabletophe">
    <w:name w:val="tabletophe"/>
    <w:rsid w:val="00E8067D"/>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link w:val="FooterChar"/>
    <w:rsid w:val="00C75B3B"/>
    <w:pPr>
      <w:tabs>
        <w:tab w:val="center" w:pos="4320"/>
        <w:tab w:val="right" w:pos="8640"/>
      </w:tabs>
    </w:pPr>
  </w:style>
  <w:style w:type="character" w:styleId="PageNumber">
    <w:name w:val="page number"/>
    <w:basedOn w:val="DefaultParagraphFont"/>
    <w:rsid w:val="00C75B3B"/>
  </w:style>
  <w:style w:type="paragraph" w:styleId="NormalIndent">
    <w:name w:val="Normal Indent"/>
    <w:basedOn w:val="Normal"/>
    <w:rsid w:val="003D0628"/>
    <w:pPr>
      <w:spacing w:after="240"/>
      <w:ind w:left="720"/>
    </w:pPr>
    <w:rPr>
      <w:rFonts w:cs="Courier New"/>
      <w:szCs w:val="20"/>
    </w:rPr>
  </w:style>
  <w:style w:type="paragraph" w:customStyle="1" w:styleId="NormalText">
    <w:name w:val="Normal Text"/>
    <w:basedOn w:val="Normal"/>
    <w:link w:val="NormalTextChar"/>
    <w:autoRedefine/>
    <w:rsid w:val="003D0628"/>
    <w:pPr>
      <w:spacing w:after="240"/>
    </w:pPr>
    <w:rPr>
      <w:szCs w:val="20"/>
    </w:rPr>
  </w:style>
  <w:style w:type="paragraph" w:customStyle="1" w:styleId="Numbered">
    <w:name w:val="Numbered"/>
    <w:basedOn w:val="Normal"/>
    <w:rsid w:val="003D0628"/>
    <w:pPr>
      <w:numPr>
        <w:numId w:val="6"/>
      </w:numPr>
      <w:spacing w:after="240"/>
    </w:pPr>
    <w:rPr>
      <w:szCs w:val="20"/>
    </w:rPr>
  </w:style>
  <w:style w:type="paragraph" w:customStyle="1" w:styleId="Bulleted">
    <w:name w:val="Bulleted"/>
    <w:basedOn w:val="NormalText"/>
    <w:autoRedefine/>
    <w:rsid w:val="003D0628"/>
    <w:pPr>
      <w:numPr>
        <w:ilvl w:val="1"/>
        <w:numId w:val="5"/>
      </w:numPr>
      <w:tabs>
        <w:tab w:val="clear" w:pos="1080"/>
        <w:tab w:val="num" w:pos="720"/>
      </w:tabs>
      <w:spacing w:after="0"/>
      <w:ind w:left="720"/>
    </w:pPr>
  </w:style>
  <w:style w:type="paragraph" w:customStyle="1" w:styleId="BulletLast">
    <w:name w:val="Bullet Last"/>
    <w:basedOn w:val="Bulleted"/>
    <w:autoRedefine/>
    <w:rsid w:val="003D0628"/>
    <w:pPr>
      <w:numPr>
        <w:ilvl w:val="0"/>
        <w:numId w:val="0"/>
      </w:numPr>
      <w:spacing w:after="240"/>
    </w:pPr>
  </w:style>
  <w:style w:type="character" w:customStyle="1" w:styleId="NormalTextChar">
    <w:name w:val="Normal Text Char"/>
    <w:link w:val="NormalText"/>
    <w:rsid w:val="003D0628"/>
    <w:rPr>
      <w:sz w:val="24"/>
      <w:lang w:val="en-US" w:eastAsia="en-US" w:bidi="ar-SA"/>
    </w:rPr>
  </w:style>
  <w:style w:type="character" w:styleId="CommentReference">
    <w:name w:val="annotation reference"/>
    <w:semiHidden/>
    <w:rsid w:val="00304CF6"/>
    <w:rPr>
      <w:sz w:val="16"/>
      <w:szCs w:val="16"/>
    </w:rPr>
  </w:style>
  <w:style w:type="paragraph" w:styleId="CommentText">
    <w:name w:val="annotation text"/>
    <w:basedOn w:val="Normal"/>
    <w:link w:val="CommentTextChar"/>
    <w:uiPriority w:val="99"/>
    <w:semiHidden/>
    <w:rsid w:val="00304CF6"/>
    <w:rPr>
      <w:sz w:val="20"/>
      <w:szCs w:val="20"/>
    </w:rPr>
  </w:style>
  <w:style w:type="paragraph" w:styleId="CommentSubject">
    <w:name w:val="annotation subject"/>
    <w:basedOn w:val="CommentText"/>
    <w:next w:val="CommentText"/>
    <w:semiHidden/>
    <w:rsid w:val="00304CF6"/>
    <w:rPr>
      <w:b/>
      <w:bCs/>
    </w:rPr>
  </w:style>
  <w:style w:type="paragraph" w:styleId="BalloonText">
    <w:name w:val="Balloon Text"/>
    <w:basedOn w:val="Normal"/>
    <w:semiHidden/>
    <w:rsid w:val="00304CF6"/>
    <w:rPr>
      <w:rFonts w:ascii="Tahoma" w:hAnsi="Tahoma" w:cs="Tahoma"/>
      <w:sz w:val="16"/>
      <w:szCs w:val="16"/>
    </w:rPr>
  </w:style>
  <w:style w:type="paragraph" w:customStyle="1" w:styleId="Style1">
    <w:name w:val="Style1"/>
    <w:basedOn w:val="Heading1"/>
    <w:rsid w:val="008A29C7"/>
    <w:pPr>
      <w:numPr>
        <w:numId w:val="7"/>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A29C7"/>
    <w:pPr>
      <w:numPr>
        <w:ilvl w:val="1"/>
        <w:numId w:val="7"/>
      </w:numPr>
      <w:autoSpaceDE w:val="0"/>
      <w:autoSpaceDN w:val="0"/>
      <w:adjustRightInd w:val="0"/>
    </w:pPr>
    <w:rPr>
      <w:rFonts w:ascii="Times New Roman" w:hAnsi="Times New Roman"/>
      <w:bCs w:val="0"/>
      <w:i w:val="0"/>
      <w:sz w:val="24"/>
    </w:rPr>
  </w:style>
  <w:style w:type="paragraph" w:customStyle="1" w:styleId="Style3">
    <w:name w:val="Style3"/>
    <w:basedOn w:val="Heading3"/>
    <w:rsid w:val="008A29C7"/>
    <w:pPr>
      <w:numPr>
        <w:ilvl w:val="2"/>
        <w:numId w:val="7"/>
      </w:numPr>
      <w:autoSpaceDE w:val="0"/>
      <w:autoSpaceDN w:val="0"/>
      <w:adjustRightInd w:val="0"/>
    </w:pPr>
    <w:rPr>
      <w:rFonts w:ascii="Times New Roman" w:hAnsi="Times New Roman"/>
      <w:bCs w:val="0"/>
      <w:sz w:val="24"/>
    </w:rPr>
  </w:style>
  <w:style w:type="character" w:styleId="Hyperlink">
    <w:name w:val="Hyperlink"/>
    <w:rsid w:val="003A30F4"/>
    <w:rPr>
      <w:color w:val="0000FF"/>
      <w:u w:val="single"/>
    </w:rPr>
  </w:style>
  <w:style w:type="paragraph" w:styleId="BodyTextIndent2">
    <w:name w:val="Body Text Indent 2"/>
    <w:basedOn w:val="Normal"/>
    <w:rsid w:val="003A30F4"/>
    <w:pPr>
      <w:spacing w:after="120" w:line="480" w:lineRule="auto"/>
      <w:ind w:left="360"/>
    </w:pPr>
  </w:style>
  <w:style w:type="paragraph" w:styleId="Header">
    <w:name w:val="header"/>
    <w:basedOn w:val="Normal"/>
    <w:link w:val="HeaderChar"/>
    <w:rsid w:val="00804BE5"/>
    <w:pPr>
      <w:tabs>
        <w:tab w:val="center" w:pos="4320"/>
        <w:tab w:val="right" w:pos="8640"/>
      </w:tabs>
    </w:pPr>
    <w:rPr>
      <w:sz w:val="20"/>
      <w:szCs w:val="20"/>
    </w:rPr>
  </w:style>
  <w:style w:type="character" w:customStyle="1" w:styleId="FooterChar">
    <w:name w:val="Footer Char"/>
    <w:link w:val="Footer"/>
    <w:rsid w:val="00804BE5"/>
    <w:rPr>
      <w:sz w:val="24"/>
      <w:szCs w:val="24"/>
      <w:lang w:val="en-US" w:eastAsia="en-US" w:bidi="ar-SA"/>
    </w:rPr>
  </w:style>
  <w:style w:type="character" w:customStyle="1" w:styleId="HeaderChar">
    <w:name w:val="Header Char"/>
    <w:link w:val="Header"/>
    <w:rsid w:val="00804BE5"/>
    <w:rPr>
      <w:lang w:val="en-US" w:eastAsia="en-US" w:bidi="ar-SA"/>
    </w:rPr>
  </w:style>
  <w:style w:type="paragraph" w:styleId="FootnoteText">
    <w:name w:val="footnote text"/>
    <w:basedOn w:val="Normal"/>
    <w:link w:val="FootnoteTextChar"/>
    <w:semiHidden/>
    <w:rsid w:val="00A81220"/>
    <w:rPr>
      <w:sz w:val="20"/>
      <w:szCs w:val="20"/>
    </w:rPr>
  </w:style>
  <w:style w:type="character" w:styleId="FootnoteReference">
    <w:name w:val="footnote reference"/>
    <w:semiHidden/>
    <w:rsid w:val="00A81220"/>
    <w:rPr>
      <w:vertAlign w:val="superscript"/>
    </w:rPr>
  </w:style>
  <w:style w:type="character" w:customStyle="1" w:styleId="FootnoteTextChar">
    <w:name w:val="Footnote Text Char"/>
    <w:link w:val="FootnoteText"/>
    <w:rsid w:val="00A81220"/>
    <w:rPr>
      <w:lang w:val="en-US" w:eastAsia="en-US" w:bidi="ar-SA"/>
    </w:rPr>
  </w:style>
  <w:style w:type="character" w:styleId="HTMLCite">
    <w:name w:val="HTML Cite"/>
    <w:rsid w:val="00FE0DC6"/>
    <w:rPr>
      <w:i/>
      <w:iCs/>
    </w:rPr>
  </w:style>
  <w:style w:type="paragraph" w:customStyle="1" w:styleId="Reference">
    <w:name w:val="Reference"/>
    <w:rsid w:val="00FE0DC6"/>
    <w:pPr>
      <w:ind w:left="360" w:hanging="360"/>
      <w:jc w:val="both"/>
    </w:pPr>
    <w:rPr>
      <w:rFonts w:ascii="Garamond" w:hAnsi="Garamond"/>
      <w:sz w:val="22"/>
      <w:szCs w:val="24"/>
    </w:rPr>
  </w:style>
  <w:style w:type="character" w:styleId="Strong">
    <w:name w:val="Strong"/>
    <w:uiPriority w:val="22"/>
    <w:qFormat/>
    <w:rsid w:val="006C3DDE"/>
    <w:rPr>
      <w:b/>
      <w:bCs/>
    </w:rPr>
  </w:style>
  <w:style w:type="paragraph" w:styleId="ListParagraph">
    <w:name w:val="List Paragraph"/>
    <w:basedOn w:val="Normal"/>
    <w:uiPriority w:val="34"/>
    <w:qFormat/>
    <w:rsid w:val="009E5D21"/>
    <w:pPr>
      <w:ind w:left="720"/>
    </w:pPr>
  </w:style>
  <w:style w:type="paragraph" w:customStyle="1" w:styleId="NormalSS">
    <w:name w:val="NormalSS"/>
    <w:basedOn w:val="Normal"/>
    <w:rsid w:val="001E4138"/>
    <w:pPr>
      <w:tabs>
        <w:tab w:val="left" w:pos="432"/>
      </w:tabs>
      <w:spacing w:after="240"/>
      <w:ind w:firstLine="432"/>
    </w:pPr>
    <w:rPr>
      <w:szCs w:val="20"/>
    </w:rPr>
  </w:style>
  <w:style w:type="paragraph" w:styleId="Revision">
    <w:name w:val="Revision"/>
    <w:hidden/>
    <w:uiPriority w:val="99"/>
    <w:semiHidden/>
    <w:rsid w:val="00FE5C39"/>
    <w:rPr>
      <w:sz w:val="24"/>
      <w:szCs w:val="24"/>
    </w:rPr>
  </w:style>
  <w:style w:type="character" w:customStyle="1" w:styleId="CommentTextChar">
    <w:name w:val="Comment Text Char"/>
    <w:basedOn w:val="DefaultParagraphFont"/>
    <w:link w:val="CommentText"/>
    <w:uiPriority w:val="99"/>
    <w:semiHidden/>
    <w:rsid w:val="00AA6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7D"/>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29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8067D"/>
    <w:pPr>
      <w:autoSpaceDE w:val="0"/>
      <w:autoSpaceDN w:val="0"/>
      <w:ind w:left="720" w:hanging="720"/>
    </w:pPr>
  </w:style>
  <w:style w:type="character" w:customStyle="1" w:styleId="question">
    <w:name w:val="question"/>
    <w:rsid w:val="00E8067D"/>
    <w:rPr>
      <w:b/>
      <w:bCs/>
    </w:rPr>
  </w:style>
  <w:style w:type="character" w:customStyle="1" w:styleId="tabletophe">
    <w:name w:val="tabletophe"/>
    <w:rsid w:val="00E8067D"/>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link w:val="FooterChar"/>
    <w:rsid w:val="00C75B3B"/>
    <w:pPr>
      <w:tabs>
        <w:tab w:val="center" w:pos="4320"/>
        <w:tab w:val="right" w:pos="8640"/>
      </w:tabs>
    </w:pPr>
  </w:style>
  <w:style w:type="character" w:styleId="PageNumber">
    <w:name w:val="page number"/>
    <w:basedOn w:val="DefaultParagraphFont"/>
    <w:rsid w:val="00C75B3B"/>
  </w:style>
  <w:style w:type="paragraph" w:styleId="NormalIndent">
    <w:name w:val="Normal Indent"/>
    <w:basedOn w:val="Normal"/>
    <w:rsid w:val="003D0628"/>
    <w:pPr>
      <w:spacing w:after="240"/>
      <w:ind w:left="720"/>
    </w:pPr>
    <w:rPr>
      <w:rFonts w:cs="Courier New"/>
      <w:szCs w:val="20"/>
    </w:rPr>
  </w:style>
  <w:style w:type="paragraph" w:customStyle="1" w:styleId="NormalText">
    <w:name w:val="Normal Text"/>
    <w:basedOn w:val="Normal"/>
    <w:link w:val="NormalTextChar"/>
    <w:autoRedefine/>
    <w:rsid w:val="003D0628"/>
    <w:pPr>
      <w:spacing w:after="240"/>
    </w:pPr>
    <w:rPr>
      <w:szCs w:val="20"/>
    </w:rPr>
  </w:style>
  <w:style w:type="paragraph" w:customStyle="1" w:styleId="Numbered">
    <w:name w:val="Numbered"/>
    <w:basedOn w:val="Normal"/>
    <w:rsid w:val="003D0628"/>
    <w:pPr>
      <w:numPr>
        <w:numId w:val="6"/>
      </w:numPr>
      <w:spacing w:after="240"/>
    </w:pPr>
    <w:rPr>
      <w:szCs w:val="20"/>
    </w:rPr>
  </w:style>
  <w:style w:type="paragraph" w:customStyle="1" w:styleId="Bulleted">
    <w:name w:val="Bulleted"/>
    <w:basedOn w:val="NormalText"/>
    <w:autoRedefine/>
    <w:rsid w:val="003D0628"/>
    <w:pPr>
      <w:numPr>
        <w:ilvl w:val="1"/>
        <w:numId w:val="5"/>
      </w:numPr>
      <w:tabs>
        <w:tab w:val="clear" w:pos="1080"/>
        <w:tab w:val="num" w:pos="720"/>
      </w:tabs>
      <w:spacing w:after="0"/>
      <w:ind w:left="720"/>
    </w:pPr>
  </w:style>
  <w:style w:type="paragraph" w:customStyle="1" w:styleId="BulletLast">
    <w:name w:val="Bullet Last"/>
    <w:basedOn w:val="Bulleted"/>
    <w:autoRedefine/>
    <w:rsid w:val="003D0628"/>
    <w:pPr>
      <w:numPr>
        <w:ilvl w:val="0"/>
        <w:numId w:val="0"/>
      </w:numPr>
      <w:spacing w:after="240"/>
    </w:pPr>
  </w:style>
  <w:style w:type="character" w:customStyle="1" w:styleId="NormalTextChar">
    <w:name w:val="Normal Text Char"/>
    <w:link w:val="NormalText"/>
    <w:rsid w:val="003D0628"/>
    <w:rPr>
      <w:sz w:val="24"/>
      <w:lang w:val="en-US" w:eastAsia="en-US" w:bidi="ar-SA"/>
    </w:rPr>
  </w:style>
  <w:style w:type="character" w:styleId="CommentReference">
    <w:name w:val="annotation reference"/>
    <w:semiHidden/>
    <w:rsid w:val="00304CF6"/>
    <w:rPr>
      <w:sz w:val="16"/>
      <w:szCs w:val="16"/>
    </w:rPr>
  </w:style>
  <w:style w:type="paragraph" w:styleId="CommentText">
    <w:name w:val="annotation text"/>
    <w:basedOn w:val="Normal"/>
    <w:link w:val="CommentTextChar"/>
    <w:uiPriority w:val="99"/>
    <w:semiHidden/>
    <w:rsid w:val="00304CF6"/>
    <w:rPr>
      <w:sz w:val="20"/>
      <w:szCs w:val="20"/>
    </w:rPr>
  </w:style>
  <w:style w:type="paragraph" w:styleId="CommentSubject">
    <w:name w:val="annotation subject"/>
    <w:basedOn w:val="CommentText"/>
    <w:next w:val="CommentText"/>
    <w:semiHidden/>
    <w:rsid w:val="00304CF6"/>
    <w:rPr>
      <w:b/>
      <w:bCs/>
    </w:rPr>
  </w:style>
  <w:style w:type="paragraph" w:styleId="BalloonText">
    <w:name w:val="Balloon Text"/>
    <w:basedOn w:val="Normal"/>
    <w:semiHidden/>
    <w:rsid w:val="00304CF6"/>
    <w:rPr>
      <w:rFonts w:ascii="Tahoma" w:hAnsi="Tahoma" w:cs="Tahoma"/>
      <w:sz w:val="16"/>
      <w:szCs w:val="16"/>
    </w:rPr>
  </w:style>
  <w:style w:type="paragraph" w:customStyle="1" w:styleId="Style1">
    <w:name w:val="Style1"/>
    <w:basedOn w:val="Heading1"/>
    <w:rsid w:val="008A29C7"/>
    <w:pPr>
      <w:numPr>
        <w:numId w:val="7"/>
      </w:numPr>
      <w:autoSpaceDE w:val="0"/>
      <w:autoSpaceDN w:val="0"/>
      <w:adjustRightInd w:val="0"/>
    </w:pPr>
    <w:rPr>
      <w:rFonts w:ascii="Times New Roman" w:hAnsi="Times New Roman"/>
      <w:b w:val="0"/>
      <w:bCs w:val="0"/>
      <w:sz w:val="28"/>
      <w:szCs w:val="28"/>
    </w:rPr>
  </w:style>
  <w:style w:type="paragraph" w:customStyle="1" w:styleId="Style2">
    <w:name w:val="Style2"/>
    <w:basedOn w:val="Heading2"/>
    <w:rsid w:val="008A29C7"/>
    <w:pPr>
      <w:numPr>
        <w:ilvl w:val="1"/>
        <w:numId w:val="7"/>
      </w:numPr>
      <w:autoSpaceDE w:val="0"/>
      <w:autoSpaceDN w:val="0"/>
      <w:adjustRightInd w:val="0"/>
    </w:pPr>
    <w:rPr>
      <w:rFonts w:ascii="Times New Roman" w:hAnsi="Times New Roman"/>
      <w:bCs w:val="0"/>
      <w:i w:val="0"/>
      <w:sz w:val="24"/>
    </w:rPr>
  </w:style>
  <w:style w:type="paragraph" w:customStyle="1" w:styleId="Style3">
    <w:name w:val="Style3"/>
    <w:basedOn w:val="Heading3"/>
    <w:rsid w:val="008A29C7"/>
    <w:pPr>
      <w:numPr>
        <w:ilvl w:val="2"/>
        <w:numId w:val="7"/>
      </w:numPr>
      <w:autoSpaceDE w:val="0"/>
      <w:autoSpaceDN w:val="0"/>
      <w:adjustRightInd w:val="0"/>
    </w:pPr>
    <w:rPr>
      <w:rFonts w:ascii="Times New Roman" w:hAnsi="Times New Roman"/>
      <w:bCs w:val="0"/>
      <w:sz w:val="24"/>
    </w:rPr>
  </w:style>
  <w:style w:type="character" w:styleId="Hyperlink">
    <w:name w:val="Hyperlink"/>
    <w:rsid w:val="003A30F4"/>
    <w:rPr>
      <w:color w:val="0000FF"/>
      <w:u w:val="single"/>
    </w:rPr>
  </w:style>
  <w:style w:type="paragraph" w:styleId="BodyTextIndent2">
    <w:name w:val="Body Text Indent 2"/>
    <w:basedOn w:val="Normal"/>
    <w:rsid w:val="003A30F4"/>
    <w:pPr>
      <w:spacing w:after="120" w:line="480" w:lineRule="auto"/>
      <w:ind w:left="360"/>
    </w:pPr>
  </w:style>
  <w:style w:type="paragraph" w:styleId="Header">
    <w:name w:val="header"/>
    <w:basedOn w:val="Normal"/>
    <w:link w:val="HeaderChar"/>
    <w:rsid w:val="00804BE5"/>
    <w:pPr>
      <w:tabs>
        <w:tab w:val="center" w:pos="4320"/>
        <w:tab w:val="right" w:pos="8640"/>
      </w:tabs>
    </w:pPr>
    <w:rPr>
      <w:sz w:val="20"/>
      <w:szCs w:val="20"/>
    </w:rPr>
  </w:style>
  <w:style w:type="character" w:customStyle="1" w:styleId="FooterChar">
    <w:name w:val="Footer Char"/>
    <w:link w:val="Footer"/>
    <w:rsid w:val="00804BE5"/>
    <w:rPr>
      <w:sz w:val="24"/>
      <w:szCs w:val="24"/>
      <w:lang w:val="en-US" w:eastAsia="en-US" w:bidi="ar-SA"/>
    </w:rPr>
  </w:style>
  <w:style w:type="character" w:customStyle="1" w:styleId="HeaderChar">
    <w:name w:val="Header Char"/>
    <w:link w:val="Header"/>
    <w:rsid w:val="00804BE5"/>
    <w:rPr>
      <w:lang w:val="en-US" w:eastAsia="en-US" w:bidi="ar-SA"/>
    </w:rPr>
  </w:style>
  <w:style w:type="paragraph" w:styleId="FootnoteText">
    <w:name w:val="footnote text"/>
    <w:basedOn w:val="Normal"/>
    <w:link w:val="FootnoteTextChar"/>
    <w:semiHidden/>
    <w:rsid w:val="00A81220"/>
    <w:rPr>
      <w:sz w:val="20"/>
      <w:szCs w:val="20"/>
    </w:rPr>
  </w:style>
  <w:style w:type="character" w:styleId="FootnoteReference">
    <w:name w:val="footnote reference"/>
    <w:semiHidden/>
    <w:rsid w:val="00A81220"/>
    <w:rPr>
      <w:vertAlign w:val="superscript"/>
    </w:rPr>
  </w:style>
  <w:style w:type="character" w:customStyle="1" w:styleId="FootnoteTextChar">
    <w:name w:val="Footnote Text Char"/>
    <w:link w:val="FootnoteText"/>
    <w:rsid w:val="00A81220"/>
    <w:rPr>
      <w:lang w:val="en-US" w:eastAsia="en-US" w:bidi="ar-SA"/>
    </w:rPr>
  </w:style>
  <w:style w:type="character" w:styleId="HTMLCite">
    <w:name w:val="HTML Cite"/>
    <w:rsid w:val="00FE0DC6"/>
    <w:rPr>
      <w:i/>
      <w:iCs/>
    </w:rPr>
  </w:style>
  <w:style w:type="paragraph" w:customStyle="1" w:styleId="Reference">
    <w:name w:val="Reference"/>
    <w:rsid w:val="00FE0DC6"/>
    <w:pPr>
      <w:ind w:left="360" w:hanging="360"/>
      <w:jc w:val="both"/>
    </w:pPr>
    <w:rPr>
      <w:rFonts w:ascii="Garamond" w:hAnsi="Garamond"/>
      <w:sz w:val="22"/>
      <w:szCs w:val="24"/>
    </w:rPr>
  </w:style>
  <w:style w:type="character" w:styleId="Strong">
    <w:name w:val="Strong"/>
    <w:uiPriority w:val="22"/>
    <w:qFormat/>
    <w:rsid w:val="006C3DDE"/>
    <w:rPr>
      <w:b/>
      <w:bCs/>
    </w:rPr>
  </w:style>
  <w:style w:type="paragraph" w:styleId="ListParagraph">
    <w:name w:val="List Paragraph"/>
    <w:basedOn w:val="Normal"/>
    <w:uiPriority w:val="34"/>
    <w:qFormat/>
    <w:rsid w:val="009E5D21"/>
    <w:pPr>
      <w:ind w:left="720"/>
    </w:pPr>
  </w:style>
  <w:style w:type="paragraph" w:customStyle="1" w:styleId="NormalSS">
    <w:name w:val="NormalSS"/>
    <w:basedOn w:val="Normal"/>
    <w:rsid w:val="001E4138"/>
    <w:pPr>
      <w:tabs>
        <w:tab w:val="left" w:pos="432"/>
      </w:tabs>
      <w:spacing w:after="240"/>
      <w:ind w:firstLine="432"/>
    </w:pPr>
    <w:rPr>
      <w:szCs w:val="20"/>
    </w:rPr>
  </w:style>
  <w:style w:type="paragraph" w:styleId="Revision">
    <w:name w:val="Revision"/>
    <w:hidden/>
    <w:uiPriority w:val="99"/>
    <w:semiHidden/>
    <w:rsid w:val="00FE5C39"/>
    <w:rPr>
      <w:sz w:val="24"/>
      <w:szCs w:val="24"/>
    </w:rPr>
  </w:style>
  <w:style w:type="character" w:customStyle="1" w:styleId="CommentTextChar">
    <w:name w:val="Comment Text Char"/>
    <w:basedOn w:val="DefaultParagraphFont"/>
    <w:link w:val="CommentText"/>
    <w:uiPriority w:val="99"/>
    <w:semiHidden/>
    <w:rsid w:val="00AA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5872">
      <w:bodyDiv w:val="1"/>
      <w:marLeft w:val="0"/>
      <w:marRight w:val="0"/>
      <w:marTop w:val="0"/>
      <w:marBottom w:val="0"/>
      <w:divBdr>
        <w:top w:val="none" w:sz="0" w:space="0" w:color="auto"/>
        <w:left w:val="none" w:sz="0" w:space="0" w:color="auto"/>
        <w:bottom w:val="none" w:sz="0" w:space="0" w:color="auto"/>
        <w:right w:val="none" w:sz="0" w:space="0" w:color="auto"/>
      </w:divBdr>
    </w:div>
    <w:div w:id="410782200">
      <w:bodyDiv w:val="1"/>
      <w:marLeft w:val="0"/>
      <w:marRight w:val="0"/>
      <w:marTop w:val="0"/>
      <w:marBottom w:val="0"/>
      <w:divBdr>
        <w:top w:val="none" w:sz="0" w:space="0" w:color="auto"/>
        <w:left w:val="none" w:sz="0" w:space="0" w:color="auto"/>
        <w:bottom w:val="none" w:sz="0" w:space="0" w:color="auto"/>
        <w:right w:val="none" w:sz="0" w:space="0" w:color="auto"/>
      </w:divBdr>
    </w:div>
    <w:div w:id="429619692">
      <w:bodyDiv w:val="1"/>
      <w:marLeft w:val="0"/>
      <w:marRight w:val="0"/>
      <w:marTop w:val="0"/>
      <w:marBottom w:val="0"/>
      <w:divBdr>
        <w:top w:val="none" w:sz="0" w:space="0" w:color="auto"/>
        <w:left w:val="none" w:sz="0" w:space="0" w:color="auto"/>
        <w:bottom w:val="none" w:sz="0" w:space="0" w:color="auto"/>
        <w:right w:val="none" w:sz="0" w:space="0" w:color="auto"/>
      </w:divBdr>
    </w:div>
    <w:div w:id="533419697">
      <w:bodyDiv w:val="1"/>
      <w:marLeft w:val="0"/>
      <w:marRight w:val="0"/>
      <w:marTop w:val="0"/>
      <w:marBottom w:val="0"/>
      <w:divBdr>
        <w:top w:val="none" w:sz="0" w:space="0" w:color="auto"/>
        <w:left w:val="none" w:sz="0" w:space="0" w:color="auto"/>
        <w:bottom w:val="none" w:sz="0" w:space="0" w:color="auto"/>
        <w:right w:val="none" w:sz="0" w:space="0" w:color="auto"/>
      </w:divBdr>
    </w:div>
    <w:div w:id="895774120">
      <w:bodyDiv w:val="1"/>
      <w:marLeft w:val="0"/>
      <w:marRight w:val="0"/>
      <w:marTop w:val="0"/>
      <w:marBottom w:val="0"/>
      <w:divBdr>
        <w:top w:val="none" w:sz="0" w:space="0" w:color="auto"/>
        <w:left w:val="none" w:sz="0" w:space="0" w:color="auto"/>
        <w:bottom w:val="none" w:sz="0" w:space="0" w:color="auto"/>
        <w:right w:val="none" w:sz="0" w:space="0" w:color="auto"/>
      </w:divBdr>
    </w:div>
    <w:div w:id="923030292">
      <w:bodyDiv w:val="1"/>
      <w:marLeft w:val="0"/>
      <w:marRight w:val="0"/>
      <w:marTop w:val="0"/>
      <w:marBottom w:val="0"/>
      <w:divBdr>
        <w:top w:val="none" w:sz="0" w:space="0" w:color="auto"/>
        <w:left w:val="none" w:sz="0" w:space="0" w:color="auto"/>
        <w:bottom w:val="none" w:sz="0" w:space="0" w:color="auto"/>
        <w:right w:val="none" w:sz="0" w:space="0" w:color="auto"/>
      </w:divBdr>
    </w:div>
    <w:div w:id="988830211">
      <w:bodyDiv w:val="1"/>
      <w:marLeft w:val="0"/>
      <w:marRight w:val="0"/>
      <w:marTop w:val="0"/>
      <w:marBottom w:val="0"/>
      <w:divBdr>
        <w:top w:val="none" w:sz="0" w:space="0" w:color="auto"/>
        <w:left w:val="none" w:sz="0" w:space="0" w:color="auto"/>
        <w:bottom w:val="none" w:sz="0" w:space="0" w:color="auto"/>
        <w:right w:val="none" w:sz="0" w:space="0" w:color="auto"/>
      </w:divBdr>
    </w:div>
    <w:div w:id="1002972579">
      <w:bodyDiv w:val="1"/>
      <w:marLeft w:val="0"/>
      <w:marRight w:val="0"/>
      <w:marTop w:val="0"/>
      <w:marBottom w:val="0"/>
      <w:divBdr>
        <w:top w:val="none" w:sz="0" w:space="0" w:color="auto"/>
        <w:left w:val="none" w:sz="0" w:space="0" w:color="auto"/>
        <w:bottom w:val="none" w:sz="0" w:space="0" w:color="auto"/>
        <w:right w:val="none" w:sz="0" w:space="0" w:color="auto"/>
      </w:divBdr>
    </w:div>
    <w:div w:id="1127309956">
      <w:bodyDiv w:val="1"/>
      <w:marLeft w:val="0"/>
      <w:marRight w:val="0"/>
      <w:marTop w:val="0"/>
      <w:marBottom w:val="0"/>
      <w:divBdr>
        <w:top w:val="none" w:sz="0" w:space="0" w:color="auto"/>
        <w:left w:val="none" w:sz="0" w:space="0" w:color="auto"/>
        <w:bottom w:val="none" w:sz="0" w:space="0" w:color="auto"/>
        <w:right w:val="none" w:sz="0" w:space="0" w:color="auto"/>
      </w:divBdr>
    </w:div>
    <w:div w:id="1520436811">
      <w:bodyDiv w:val="1"/>
      <w:marLeft w:val="0"/>
      <w:marRight w:val="0"/>
      <w:marTop w:val="0"/>
      <w:marBottom w:val="0"/>
      <w:divBdr>
        <w:top w:val="none" w:sz="0" w:space="0" w:color="auto"/>
        <w:left w:val="none" w:sz="0" w:space="0" w:color="auto"/>
        <w:bottom w:val="none" w:sz="0" w:space="0" w:color="auto"/>
        <w:right w:val="none" w:sz="0" w:space="0" w:color="auto"/>
      </w:divBdr>
    </w:div>
    <w:div w:id="1560362265">
      <w:bodyDiv w:val="1"/>
      <w:marLeft w:val="0"/>
      <w:marRight w:val="0"/>
      <w:marTop w:val="0"/>
      <w:marBottom w:val="0"/>
      <w:divBdr>
        <w:top w:val="none" w:sz="0" w:space="0" w:color="auto"/>
        <w:left w:val="none" w:sz="0" w:space="0" w:color="auto"/>
        <w:bottom w:val="none" w:sz="0" w:space="0" w:color="auto"/>
        <w:right w:val="none" w:sz="0" w:space="0" w:color="auto"/>
      </w:divBdr>
    </w:div>
    <w:div w:id="1890607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709B-67BE-4696-B372-ADCFD487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4371</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2015-04-03T15:34:00Z</dcterms:created>
  <dcterms:modified xsi:type="dcterms:W3CDTF">2015-04-03T15:34:00Z</dcterms:modified>
</cp:coreProperties>
</file>