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9B1803" w14:textId="77777777" w:rsidR="00A6293C" w:rsidRPr="00A6293C" w:rsidRDefault="00A6293C" w:rsidP="009667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2"/>
          <w:szCs w:val="22"/>
          <w:lang w:val="en-CA"/>
        </w:rPr>
      </w:pPr>
      <w:r w:rsidRPr="00A6293C">
        <w:rPr>
          <w:b/>
          <w:sz w:val="22"/>
          <w:szCs w:val="22"/>
          <w:lang w:val="en-CA"/>
        </w:rPr>
        <w:t>Supporting Statement A for Paperwork Reduction Act Submission</w:t>
      </w:r>
    </w:p>
    <w:p w14:paraId="48F4E6CF" w14:textId="77777777" w:rsidR="00451452" w:rsidRPr="00290769" w:rsidRDefault="00665BDE" w:rsidP="00665BDE">
      <w:pPr>
        <w:jc w:val="center"/>
        <w:rPr>
          <w:b/>
          <w:bCs/>
          <w:sz w:val="22"/>
          <w:szCs w:val="22"/>
        </w:rPr>
      </w:pPr>
      <w:r w:rsidRPr="00290769">
        <w:rPr>
          <w:b/>
          <w:bCs/>
          <w:sz w:val="22"/>
          <w:szCs w:val="22"/>
        </w:rPr>
        <w:t xml:space="preserve">National Cooperative Geologic Mapping Program </w:t>
      </w:r>
    </w:p>
    <w:p w14:paraId="7647641E" w14:textId="77777777" w:rsidR="00665BDE" w:rsidRPr="00290769" w:rsidRDefault="00665BDE" w:rsidP="00451452">
      <w:pPr>
        <w:jc w:val="center"/>
        <w:rPr>
          <w:b/>
          <w:bCs/>
          <w:sz w:val="22"/>
          <w:szCs w:val="22"/>
        </w:rPr>
      </w:pPr>
      <w:r w:rsidRPr="00290769">
        <w:rPr>
          <w:b/>
          <w:bCs/>
          <w:sz w:val="22"/>
          <w:szCs w:val="22"/>
        </w:rPr>
        <w:t>(EDMAP</w:t>
      </w:r>
      <w:r w:rsidR="00162E0E" w:rsidRPr="00290769">
        <w:rPr>
          <w:b/>
          <w:bCs/>
          <w:sz w:val="22"/>
          <w:szCs w:val="22"/>
        </w:rPr>
        <w:t xml:space="preserve"> and STATEMAP</w:t>
      </w:r>
      <w:r w:rsidRPr="00290769">
        <w:rPr>
          <w:b/>
          <w:bCs/>
          <w:sz w:val="22"/>
          <w:szCs w:val="22"/>
        </w:rPr>
        <w:t>)</w:t>
      </w:r>
    </w:p>
    <w:p w14:paraId="2BD8D9B2" w14:textId="77777777" w:rsidR="00665BDE" w:rsidRPr="00290769" w:rsidRDefault="00665BDE" w:rsidP="0096673D">
      <w:pPr>
        <w:jc w:val="center"/>
        <w:rPr>
          <w:b/>
          <w:bCs/>
          <w:sz w:val="22"/>
          <w:szCs w:val="22"/>
        </w:rPr>
      </w:pPr>
    </w:p>
    <w:p w14:paraId="392452D0" w14:textId="77777777" w:rsidR="00B4781E" w:rsidRPr="00290769" w:rsidRDefault="00665BDE" w:rsidP="0096673D">
      <w:pPr>
        <w:jc w:val="center"/>
        <w:rPr>
          <w:b/>
          <w:bCs/>
          <w:sz w:val="22"/>
          <w:szCs w:val="22"/>
        </w:rPr>
      </w:pPr>
      <w:r w:rsidRPr="00290769">
        <w:rPr>
          <w:b/>
          <w:bCs/>
          <w:sz w:val="22"/>
          <w:szCs w:val="22"/>
        </w:rPr>
        <w:t>OMB Control Number 1028-</w:t>
      </w:r>
      <w:r w:rsidR="00A34782">
        <w:rPr>
          <w:b/>
          <w:bCs/>
          <w:sz w:val="22"/>
          <w:szCs w:val="22"/>
        </w:rPr>
        <w:t>0088</w:t>
      </w:r>
    </w:p>
    <w:p w14:paraId="4189C48A" w14:textId="77777777" w:rsidR="0096673D" w:rsidRPr="00290769" w:rsidRDefault="0096673D" w:rsidP="0096673D">
      <w:pPr>
        <w:jc w:val="center"/>
        <w:rPr>
          <w:bCs/>
          <w:sz w:val="22"/>
          <w:szCs w:val="22"/>
        </w:rPr>
      </w:pPr>
    </w:p>
    <w:p w14:paraId="5D45A6D7" w14:textId="77777777" w:rsidR="0096673D" w:rsidRPr="00290769" w:rsidRDefault="0096673D" w:rsidP="0096673D">
      <w:pPr>
        <w:rPr>
          <w:bCs/>
          <w:sz w:val="22"/>
          <w:szCs w:val="22"/>
        </w:rPr>
      </w:pPr>
    </w:p>
    <w:p w14:paraId="541E7599" w14:textId="77777777" w:rsidR="0096673D" w:rsidRPr="00290769" w:rsidRDefault="00665BDE" w:rsidP="0096673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90769">
        <w:rPr>
          <w:b/>
          <w:bCs/>
          <w:sz w:val="22"/>
          <w:szCs w:val="22"/>
        </w:rPr>
        <w:t>Terms of Clearance: None</w:t>
      </w:r>
    </w:p>
    <w:p w14:paraId="2F925336" w14:textId="77777777" w:rsidR="0096673D" w:rsidRPr="00290769" w:rsidRDefault="0096673D" w:rsidP="0096673D">
      <w:pPr>
        <w:rPr>
          <w:b/>
          <w:bCs/>
          <w:sz w:val="22"/>
          <w:szCs w:val="22"/>
        </w:rPr>
      </w:pPr>
    </w:p>
    <w:p w14:paraId="1B8F1649" w14:textId="77777777" w:rsidR="00665BDE" w:rsidRPr="00290769" w:rsidRDefault="00665BDE" w:rsidP="00665BDE">
      <w:pPr>
        <w:numPr>
          <w:ilvl w:val="0"/>
          <w:numId w:val="6"/>
        </w:numPr>
        <w:rPr>
          <w:b/>
          <w:bCs/>
          <w:sz w:val="22"/>
          <w:szCs w:val="22"/>
        </w:rPr>
      </w:pPr>
      <w:r w:rsidRPr="00290769">
        <w:rPr>
          <w:b/>
          <w:bCs/>
          <w:sz w:val="22"/>
          <w:szCs w:val="22"/>
        </w:rPr>
        <w:t>Justification</w:t>
      </w:r>
    </w:p>
    <w:p w14:paraId="5B56B5ED" w14:textId="77777777" w:rsidR="00665BDE" w:rsidRPr="00290769" w:rsidRDefault="00665BDE" w:rsidP="00665BDE">
      <w:pPr>
        <w:ind w:left="360"/>
        <w:rPr>
          <w:b/>
          <w:bCs/>
          <w:sz w:val="22"/>
          <w:szCs w:val="22"/>
        </w:rPr>
      </w:pPr>
    </w:p>
    <w:p w14:paraId="288E22E9" w14:textId="77777777" w:rsidR="00D954F6" w:rsidRPr="00290769" w:rsidRDefault="00D954F6" w:rsidP="00ED0B08">
      <w:pPr>
        <w:numPr>
          <w:ilvl w:val="0"/>
          <w:numId w:val="1"/>
        </w:numPr>
        <w:tabs>
          <w:tab w:val="clear" w:pos="720"/>
          <w:tab w:val="num" w:pos="480"/>
        </w:tabs>
        <w:ind w:left="480" w:hanging="480"/>
        <w:rPr>
          <w:b/>
          <w:sz w:val="22"/>
          <w:szCs w:val="22"/>
        </w:rPr>
      </w:pPr>
      <w:r w:rsidRPr="00290769">
        <w:rPr>
          <w:b/>
          <w:bCs/>
          <w:sz w:val="22"/>
          <w:szCs w:val="22"/>
        </w:rPr>
        <w:t xml:space="preserve">Explain the circumstances that make the collection of information necessary.  </w:t>
      </w:r>
      <w:r w:rsidRPr="00290769">
        <w:rPr>
          <w:b/>
          <w:sz w:val="22"/>
          <w:szCs w:val="22"/>
        </w:rPr>
        <w:t>Identify any legal or administrative requirements that necessitate the collection.  Attach a copy of the appropriate section of each statute and regulation mandating or authorizing the collection of information.</w:t>
      </w:r>
    </w:p>
    <w:p w14:paraId="6FDE0801" w14:textId="77777777" w:rsidR="00665BDE" w:rsidRPr="00290769" w:rsidRDefault="00086778" w:rsidP="00665BDE">
      <w:pPr>
        <w:pStyle w:val="Heading2"/>
        <w:ind w:left="0"/>
        <w:rPr>
          <w:rFonts w:cs="Times New Roman"/>
          <w:sz w:val="22"/>
          <w:szCs w:val="22"/>
        </w:rPr>
      </w:pPr>
      <w:r w:rsidRPr="00290769">
        <w:rPr>
          <w:sz w:val="22"/>
          <w:szCs w:val="22"/>
        </w:rPr>
        <w:t>The 102</w:t>
      </w:r>
      <w:r w:rsidRPr="00290769">
        <w:rPr>
          <w:sz w:val="22"/>
          <w:szCs w:val="22"/>
          <w:vertAlign w:val="superscript"/>
        </w:rPr>
        <w:t>nd</w:t>
      </w:r>
      <w:r w:rsidRPr="00290769">
        <w:rPr>
          <w:sz w:val="22"/>
          <w:szCs w:val="22"/>
        </w:rPr>
        <w:t xml:space="preserve"> Congress recognized that the </w:t>
      </w:r>
      <w:r w:rsidR="0099038B">
        <w:rPr>
          <w:sz w:val="22"/>
          <w:szCs w:val="22"/>
        </w:rPr>
        <w:t>U.S. Geological Survey (</w:t>
      </w:r>
      <w:r w:rsidRPr="00290769">
        <w:rPr>
          <w:sz w:val="22"/>
          <w:szCs w:val="22"/>
        </w:rPr>
        <w:t>USGS</w:t>
      </w:r>
      <w:r w:rsidR="0099038B">
        <w:rPr>
          <w:sz w:val="22"/>
          <w:szCs w:val="22"/>
        </w:rPr>
        <w:t>)</w:t>
      </w:r>
      <w:r w:rsidRPr="00290769">
        <w:rPr>
          <w:sz w:val="22"/>
          <w:szCs w:val="22"/>
        </w:rPr>
        <w:t xml:space="preserve"> and the State Geological Surveys needed a coordinated program to prioritize the geologic mapping requirements of the Nation, and to increase production of these geologic maps.  The National Geologic Mapping Act (Public Law 102-285) was signed into law in 1992 and created the National Cooperative Geologic Mappin</w:t>
      </w:r>
      <w:r w:rsidR="0099038B">
        <w:rPr>
          <w:sz w:val="22"/>
          <w:szCs w:val="22"/>
        </w:rPr>
        <w:t>g Program</w:t>
      </w:r>
      <w:r w:rsidR="00D7400C">
        <w:rPr>
          <w:sz w:val="22"/>
          <w:szCs w:val="22"/>
        </w:rPr>
        <w:t xml:space="preserve"> (NCGMP)</w:t>
      </w:r>
      <w:r w:rsidR="0099038B">
        <w:rPr>
          <w:sz w:val="22"/>
          <w:szCs w:val="22"/>
        </w:rPr>
        <w:t>.  The Act has been re</w:t>
      </w:r>
      <w:r w:rsidRPr="00290769">
        <w:rPr>
          <w:sz w:val="22"/>
          <w:szCs w:val="22"/>
        </w:rPr>
        <w:t>authorized twice since then, most recently by the 106</w:t>
      </w:r>
      <w:r w:rsidRPr="00290769">
        <w:rPr>
          <w:sz w:val="22"/>
          <w:szCs w:val="22"/>
          <w:vertAlign w:val="superscript"/>
        </w:rPr>
        <w:t>th</w:t>
      </w:r>
      <w:r w:rsidRPr="00290769">
        <w:rPr>
          <w:sz w:val="22"/>
          <w:szCs w:val="22"/>
        </w:rPr>
        <w:t xml:space="preserve"> Congress in 1999 (Public Law 106-148).  The Act recognizes that geologic maps are the primary database for virtually all applied and basic earth-science investigations. </w:t>
      </w:r>
    </w:p>
    <w:p w14:paraId="33E5F384" w14:textId="77777777" w:rsidR="00086778" w:rsidRPr="00290769" w:rsidRDefault="00086778" w:rsidP="00665BDE">
      <w:pPr>
        <w:rPr>
          <w:sz w:val="22"/>
          <w:szCs w:val="22"/>
        </w:rPr>
      </w:pPr>
    </w:p>
    <w:p w14:paraId="17BBF130" w14:textId="57B48751" w:rsidR="00665BDE" w:rsidRPr="00290769" w:rsidRDefault="00665BDE" w:rsidP="00665BDE">
      <w:pPr>
        <w:rPr>
          <w:sz w:val="22"/>
          <w:szCs w:val="22"/>
        </w:rPr>
      </w:pPr>
      <w:r w:rsidRPr="00290769">
        <w:rPr>
          <w:sz w:val="22"/>
          <w:szCs w:val="22"/>
        </w:rPr>
        <w:t>The o</w:t>
      </w:r>
      <w:r w:rsidR="00451452" w:rsidRPr="00290769">
        <w:rPr>
          <w:sz w:val="22"/>
          <w:szCs w:val="22"/>
        </w:rPr>
        <w:t xml:space="preserve">bjectives of the </w:t>
      </w:r>
      <w:r w:rsidR="001B38F2" w:rsidRPr="001B38F2">
        <w:rPr>
          <w:sz w:val="22"/>
          <w:szCs w:val="22"/>
        </w:rPr>
        <w:t xml:space="preserve">National Cooperative Geologic Mapping Program </w:t>
      </w:r>
      <w:r w:rsidR="001B38F2">
        <w:rPr>
          <w:sz w:val="22"/>
          <w:szCs w:val="22"/>
        </w:rPr>
        <w:t>(</w:t>
      </w:r>
      <w:r w:rsidR="00451452" w:rsidRPr="00290769">
        <w:rPr>
          <w:sz w:val="22"/>
          <w:szCs w:val="22"/>
        </w:rPr>
        <w:t>NCGMP</w:t>
      </w:r>
      <w:r w:rsidR="001B38F2">
        <w:rPr>
          <w:sz w:val="22"/>
          <w:szCs w:val="22"/>
        </w:rPr>
        <w:t>)</w:t>
      </w:r>
      <w:r w:rsidR="00451452" w:rsidRPr="00290769">
        <w:rPr>
          <w:sz w:val="22"/>
          <w:szCs w:val="22"/>
        </w:rPr>
        <w:t xml:space="preserve"> are to:</w:t>
      </w:r>
      <w:r w:rsidRPr="00290769">
        <w:rPr>
          <w:sz w:val="22"/>
          <w:szCs w:val="22"/>
        </w:rPr>
        <w:t xml:space="preserve"> </w:t>
      </w:r>
    </w:p>
    <w:p w14:paraId="202076F0" w14:textId="77777777" w:rsidR="00665BDE" w:rsidRPr="00290769" w:rsidRDefault="00665BDE" w:rsidP="00665BDE">
      <w:pPr>
        <w:ind w:left="1440"/>
        <w:rPr>
          <w:sz w:val="22"/>
          <w:szCs w:val="22"/>
        </w:rPr>
      </w:pPr>
    </w:p>
    <w:p w14:paraId="187F8704" w14:textId="77777777" w:rsidR="00665BDE" w:rsidRPr="00290769" w:rsidRDefault="00665BDE" w:rsidP="00665BDE">
      <w:pPr>
        <w:ind w:left="720"/>
        <w:rPr>
          <w:sz w:val="22"/>
          <w:szCs w:val="22"/>
        </w:rPr>
      </w:pPr>
      <w:r w:rsidRPr="00290769">
        <w:rPr>
          <w:sz w:val="22"/>
          <w:szCs w:val="22"/>
        </w:rPr>
        <w:t>1.  Determine the Nation’s geologic framework through the systematic development of geologic maps, such maps to be contributed to the National Geologic Map Database.</w:t>
      </w:r>
    </w:p>
    <w:p w14:paraId="6F6B7646" w14:textId="77777777" w:rsidR="00665BDE" w:rsidRPr="00290769" w:rsidRDefault="00665BDE" w:rsidP="00665BDE">
      <w:pPr>
        <w:ind w:left="1440"/>
        <w:rPr>
          <w:sz w:val="22"/>
          <w:szCs w:val="22"/>
        </w:rPr>
      </w:pPr>
    </w:p>
    <w:p w14:paraId="08A542C2" w14:textId="2CD523EE" w:rsidR="00665BDE" w:rsidRPr="00290769" w:rsidRDefault="00665BDE" w:rsidP="00665BDE">
      <w:pPr>
        <w:ind w:left="720"/>
        <w:rPr>
          <w:sz w:val="22"/>
          <w:szCs w:val="22"/>
        </w:rPr>
      </w:pPr>
      <w:r w:rsidRPr="00290769">
        <w:rPr>
          <w:sz w:val="22"/>
          <w:szCs w:val="22"/>
        </w:rPr>
        <w:t>2.  Develop complementary national databases (e.g., geophysical and paleontologic</w:t>
      </w:r>
      <w:r w:rsidR="00514E75">
        <w:rPr>
          <w:sz w:val="22"/>
          <w:szCs w:val="22"/>
        </w:rPr>
        <w:t>al</w:t>
      </w:r>
      <w:r w:rsidRPr="00290769">
        <w:rPr>
          <w:sz w:val="22"/>
          <w:szCs w:val="22"/>
        </w:rPr>
        <w:t xml:space="preserve"> databases) that provide value-added information to the National Geologic Map Database.</w:t>
      </w:r>
    </w:p>
    <w:p w14:paraId="46FED289" w14:textId="77777777" w:rsidR="00665BDE" w:rsidRPr="00290769" w:rsidRDefault="00665BDE" w:rsidP="00665BDE">
      <w:pPr>
        <w:ind w:left="1440"/>
        <w:rPr>
          <w:sz w:val="22"/>
          <w:szCs w:val="22"/>
        </w:rPr>
      </w:pPr>
    </w:p>
    <w:p w14:paraId="38DFA53E" w14:textId="77777777" w:rsidR="00665BDE" w:rsidRPr="00290769" w:rsidRDefault="00665BDE" w:rsidP="00665BDE">
      <w:pPr>
        <w:ind w:left="720"/>
        <w:rPr>
          <w:sz w:val="22"/>
          <w:szCs w:val="22"/>
        </w:rPr>
      </w:pPr>
      <w:r w:rsidRPr="00290769">
        <w:rPr>
          <w:sz w:val="22"/>
          <w:szCs w:val="22"/>
        </w:rPr>
        <w:t>3.  Apply cost-effective mapping techniques that assemble and disseminate geologic-map information, and that render such information of greater application and benefit to the public.</w:t>
      </w:r>
    </w:p>
    <w:p w14:paraId="76D2FC55" w14:textId="77777777" w:rsidR="00665BDE" w:rsidRPr="00290769" w:rsidRDefault="00665BDE" w:rsidP="00665BDE">
      <w:pPr>
        <w:ind w:left="1440"/>
        <w:rPr>
          <w:sz w:val="22"/>
          <w:szCs w:val="22"/>
        </w:rPr>
      </w:pPr>
    </w:p>
    <w:p w14:paraId="17274DA8" w14:textId="77777777" w:rsidR="00665BDE" w:rsidRPr="00290769" w:rsidRDefault="00665BDE" w:rsidP="00665BDE">
      <w:pPr>
        <w:ind w:left="720"/>
        <w:rPr>
          <w:sz w:val="22"/>
          <w:szCs w:val="22"/>
        </w:rPr>
      </w:pPr>
      <w:r w:rsidRPr="00290769">
        <w:rPr>
          <w:sz w:val="22"/>
          <w:szCs w:val="22"/>
        </w:rPr>
        <w:t>4.  Develop public awareness of the role and application of geologic-map information to the resolution of national issues of land use management.</w:t>
      </w:r>
    </w:p>
    <w:p w14:paraId="59DAD469" w14:textId="77777777" w:rsidR="00665BDE" w:rsidRPr="00290769" w:rsidRDefault="00665BDE" w:rsidP="00760364">
      <w:pPr>
        <w:rPr>
          <w:sz w:val="22"/>
          <w:szCs w:val="22"/>
        </w:rPr>
      </w:pPr>
    </w:p>
    <w:p w14:paraId="3B13AAB1" w14:textId="77777777" w:rsidR="00235664" w:rsidRDefault="00235664" w:rsidP="00086778">
      <w:pPr>
        <w:widowControl/>
        <w:shd w:val="clear" w:color="auto" w:fill="FFFFFF"/>
        <w:autoSpaceDE/>
        <w:autoSpaceDN/>
        <w:adjustRightInd/>
        <w:spacing w:before="120" w:after="240"/>
        <w:rPr>
          <w:sz w:val="22"/>
          <w:szCs w:val="22"/>
        </w:rPr>
      </w:pPr>
      <w:r w:rsidRPr="00290769">
        <w:rPr>
          <w:sz w:val="22"/>
          <w:szCs w:val="22"/>
        </w:rPr>
        <w:t xml:space="preserve">The primary objective of the EDMAP component of the NCGMP is to train the next generation of geologic mappers.  To do this we provide funds for graduate and undergraduate students in academic research projects that involve geologic mapping as a </w:t>
      </w:r>
      <w:r w:rsidRPr="00290769">
        <w:rPr>
          <w:bCs/>
          <w:sz w:val="22"/>
          <w:szCs w:val="22"/>
        </w:rPr>
        <w:t>major</w:t>
      </w:r>
      <w:r w:rsidRPr="00290769">
        <w:rPr>
          <w:sz w:val="22"/>
          <w:szCs w:val="22"/>
        </w:rPr>
        <w:t xml:space="preserve"> component.  Through cooperative agreements, we hope to expand the research and educational capacity of academic programs that teach earth science students the techniques of geologic mapping and field data analysis.  Another important goal is to increase the level of communication between the Nation’s geologic surveys (both State Geological Surveys and the USGS) and geologic mappers in the academic community.  We hope that this improved communication will have two results: 1) that the academic mapping community will learn more about the societal needs that drive geologic mapping projects at the USGS and State Geologic Surveys, and 2) more geologic maps produced in academia will eventually be made available to the public.</w:t>
      </w:r>
    </w:p>
    <w:p w14:paraId="7C882D60" w14:textId="77777777" w:rsidR="00086778" w:rsidRPr="00290769" w:rsidRDefault="00086778" w:rsidP="00086778">
      <w:pPr>
        <w:widowControl/>
        <w:shd w:val="clear" w:color="auto" w:fill="FFFFFF"/>
        <w:autoSpaceDE/>
        <w:autoSpaceDN/>
        <w:adjustRightInd/>
        <w:spacing w:before="120" w:after="240"/>
        <w:rPr>
          <w:sz w:val="22"/>
          <w:szCs w:val="22"/>
        </w:rPr>
      </w:pPr>
      <w:r w:rsidRPr="00290769">
        <w:rPr>
          <w:sz w:val="22"/>
          <w:szCs w:val="22"/>
        </w:rPr>
        <w:lastRenderedPageBreak/>
        <w:t>Since 1996, more than $</w:t>
      </w:r>
      <w:r w:rsidR="00D1406F">
        <w:rPr>
          <w:sz w:val="22"/>
          <w:szCs w:val="22"/>
        </w:rPr>
        <w:t>5</w:t>
      </w:r>
      <w:r w:rsidRPr="00290769">
        <w:rPr>
          <w:sz w:val="22"/>
          <w:szCs w:val="22"/>
        </w:rPr>
        <w:t xml:space="preserve"> million from the NCGMP have supported geologi</w:t>
      </w:r>
      <w:r w:rsidR="00D1406F">
        <w:rPr>
          <w:sz w:val="22"/>
          <w:szCs w:val="22"/>
        </w:rPr>
        <w:t>c mapping efforts of more than 1,0</w:t>
      </w:r>
      <w:r w:rsidRPr="00290769">
        <w:rPr>
          <w:sz w:val="22"/>
          <w:szCs w:val="22"/>
        </w:rPr>
        <w:t xml:space="preserve">00 students working with more than </w:t>
      </w:r>
      <w:r w:rsidR="00D1406F">
        <w:rPr>
          <w:sz w:val="22"/>
          <w:szCs w:val="22"/>
        </w:rPr>
        <w:t>244</w:t>
      </w:r>
      <w:r w:rsidRPr="00290769">
        <w:rPr>
          <w:sz w:val="22"/>
          <w:szCs w:val="22"/>
        </w:rPr>
        <w:t xml:space="preserve"> professors at </w:t>
      </w:r>
      <w:r w:rsidR="00D1406F">
        <w:rPr>
          <w:sz w:val="22"/>
          <w:szCs w:val="22"/>
        </w:rPr>
        <w:t>148</w:t>
      </w:r>
      <w:r w:rsidRPr="00290769">
        <w:rPr>
          <w:sz w:val="22"/>
          <w:szCs w:val="22"/>
        </w:rPr>
        <w:t xml:space="preserve"> universities in 44 states, the District of Columbia, and Puerto Rico. Funds for grad</w:t>
      </w:r>
      <w:r w:rsidR="00D1406F">
        <w:rPr>
          <w:sz w:val="22"/>
          <w:szCs w:val="22"/>
        </w:rPr>
        <w:t>uate projects are limited to $17</w:t>
      </w:r>
      <w:r w:rsidRPr="00290769">
        <w:rPr>
          <w:sz w:val="22"/>
          <w:szCs w:val="22"/>
        </w:rPr>
        <w:t>,</w:t>
      </w:r>
      <w:r w:rsidR="00D1406F">
        <w:rPr>
          <w:sz w:val="22"/>
          <w:szCs w:val="22"/>
        </w:rPr>
        <w:t>5</w:t>
      </w:r>
      <w:r w:rsidRPr="00290769">
        <w:rPr>
          <w:sz w:val="22"/>
          <w:szCs w:val="22"/>
        </w:rPr>
        <w:t>00 with undergraduate project funds limited to $</w:t>
      </w:r>
      <w:r w:rsidR="00D1406F">
        <w:rPr>
          <w:sz w:val="22"/>
          <w:szCs w:val="22"/>
        </w:rPr>
        <w:t>10,0</w:t>
      </w:r>
      <w:r w:rsidRPr="00290769">
        <w:rPr>
          <w:sz w:val="22"/>
          <w:szCs w:val="22"/>
        </w:rPr>
        <w:t xml:space="preserve">00. These funds are used to cover field expenses and map production, but not faculty salaries. The college or university matches the EDMAP funding. The actual amount of Federal funds that are available each year to the EDMAP component is based on a formula determined by the </w:t>
      </w:r>
      <w:r w:rsidRPr="0076705C">
        <w:rPr>
          <w:sz w:val="22"/>
          <w:szCs w:val="22"/>
        </w:rPr>
        <w:t>National Geologic Mapping Act</w:t>
      </w:r>
      <w:r w:rsidRPr="00290769">
        <w:rPr>
          <w:sz w:val="22"/>
          <w:szCs w:val="22"/>
        </w:rPr>
        <w:t xml:space="preserve"> and its latest reauthorization.</w:t>
      </w:r>
    </w:p>
    <w:p w14:paraId="0F41BD5B" w14:textId="77777777" w:rsidR="00760364" w:rsidRPr="00290769" w:rsidRDefault="00760364" w:rsidP="00760364">
      <w:pPr>
        <w:rPr>
          <w:sz w:val="22"/>
          <w:szCs w:val="22"/>
        </w:rPr>
      </w:pPr>
      <w:r w:rsidRPr="00290769">
        <w:rPr>
          <w:sz w:val="22"/>
          <w:szCs w:val="22"/>
        </w:rPr>
        <w:t xml:space="preserve">  </w:t>
      </w:r>
    </w:p>
    <w:p w14:paraId="6809FABD" w14:textId="77777777" w:rsidR="00760364" w:rsidRPr="00290769" w:rsidRDefault="00760364" w:rsidP="00760364">
      <w:pPr>
        <w:rPr>
          <w:sz w:val="22"/>
          <w:szCs w:val="22"/>
        </w:rPr>
      </w:pPr>
    </w:p>
    <w:p w14:paraId="61E504B7" w14:textId="77777777" w:rsidR="00162E0E" w:rsidRPr="00290769" w:rsidRDefault="00965CBB" w:rsidP="00086778">
      <w:pPr>
        <w:widowControl/>
        <w:autoSpaceDE/>
        <w:autoSpaceDN/>
        <w:adjustRightInd/>
        <w:spacing w:before="120" w:after="240"/>
        <w:rPr>
          <w:sz w:val="22"/>
          <w:szCs w:val="22"/>
        </w:rPr>
      </w:pPr>
      <w:r>
        <w:rPr>
          <w:sz w:val="22"/>
          <w:szCs w:val="22"/>
        </w:rPr>
        <w:t xml:space="preserve">State Geological Survey’s apply for </w:t>
      </w:r>
      <w:r w:rsidR="00086778" w:rsidRPr="00290769">
        <w:rPr>
          <w:sz w:val="22"/>
          <w:szCs w:val="22"/>
        </w:rPr>
        <w:t xml:space="preserve">STATEMAP funds through an annual competitive grant process. Every Federal dollar awarded to a State Geological Survey is matched by a State dollar. The primary objective of the STATEMAP component of the </w:t>
      </w:r>
      <w:r w:rsidR="00086778" w:rsidRPr="00290769">
        <w:rPr>
          <w:rStyle w:val="HTMLAcronym"/>
          <w:sz w:val="22"/>
          <w:szCs w:val="22"/>
        </w:rPr>
        <w:t>NCGMP</w:t>
      </w:r>
      <w:r w:rsidR="00086778" w:rsidRPr="00290769">
        <w:rPr>
          <w:sz w:val="22"/>
          <w:szCs w:val="22"/>
        </w:rPr>
        <w:t xml:space="preserve"> is to establish the geologic framework of areas that are vital to the welfare of individual States. Each State Geologist determines the State's mapping priorities in consultation with a State Mapping Advisory Committee. These priorities are based on State requirements for geologic map information in areas of multiple-issue need or compelling single-issue need and in areas where mapping is required to solve critical Earth science problems. Each STATEMAP project focuses on a specific area or issue. Although the individual projects last for only one year, they frequently build upon the results of previous years' mapping activities. Employees of the State Geological Surveys conduct the geologic mapping and frequently work closely with EDMAP students and their professors, as well as with </w:t>
      </w:r>
      <w:r>
        <w:rPr>
          <w:sz w:val="22"/>
          <w:szCs w:val="22"/>
        </w:rPr>
        <w:t xml:space="preserve">USGS </w:t>
      </w:r>
      <w:r w:rsidR="00086778" w:rsidRPr="00290769">
        <w:rPr>
          <w:sz w:val="22"/>
          <w:szCs w:val="22"/>
        </w:rPr>
        <w:t xml:space="preserve">FEDMAP geologists who may be mapping within the State. </w:t>
      </w:r>
      <w:r w:rsidR="00162E0E" w:rsidRPr="00290769">
        <w:rPr>
          <w:sz w:val="22"/>
          <w:szCs w:val="22"/>
        </w:rPr>
        <w:t>Priorities are not</w:t>
      </w:r>
      <w:r w:rsidR="00162E0E" w:rsidRPr="00290769">
        <w:rPr>
          <w:b/>
          <w:sz w:val="22"/>
          <w:szCs w:val="22"/>
        </w:rPr>
        <w:t xml:space="preserve"> </w:t>
      </w:r>
      <w:r w:rsidR="00162E0E" w:rsidRPr="00290769">
        <w:rPr>
          <w:sz w:val="22"/>
          <w:szCs w:val="22"/>
        </w:rPr>
        <w:t>dependent on past agreements with the USGS.</w:t>
      </w:r>
    </w:p>
    <w:p w14:paraId="29F2DB71" w14:textId="77777777" w:rsidR="00162E0E" w:rsidRPr="00290769" w:rsidRDefault="00162E0E" w:rsidP="00147266">
      <w:pPr>
        <w:rPr>
          <w:sz w:val="22"/>
          <w:szCs w:val="22"/>
        </w:rPr>
      </w:pPr>
    </w:p>
    <w:p w14:paraId="64D9344C" w14:textId="77777777" w:rsidR="00086778" w:rsidRPr="00290769" w:rsidRDefault="00ED0B08" w:rsidP="000867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290769">
        <w:rPr>
          <w:b/>
          <w:bCs/>
          <w:sz w:val="22"/>
          <w:szCs w:val="22"/>
        </w:rPr>
        <w:t>2.</w:t>
      </w:r>
      <w:r w:rsidRPr="00290769">
        <w:rPr>
          <w:b/>
          <w:bCs/>
          <w:sz w:val="22"/>
          <w:szCs w:val="22"/>
        </w:rPr>
        <w:tab/>
      </w:r>
      <w:r w:rsidRPr="00290769">
        <w:rPr>
          <w:b/>
          <w:sz w:val="22"/>
          <w:szCs w:val="22"/>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7BB834ED" w14:textId="77777777" w:rsidR="00B175CD" w:rsidRPr="00290769" w:rsidRDefault="00B175CD" w:rsidP="000867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64D368D3" w14:textId="584D9907" w:rsidR="00B175CD" w:rsidRPr="00290769" w:rsidRDefault="00B175CD" w:rsidP="00B175CD">
      <w:pPr>
        <w:rPr>
          <w:sz w:val="22"/>
          <w:szCs w:val="22"/>
        </w:rPr>
      </w:pPr>
      <w:r w:rsidRPr="00290769">
        <w:rPr>
          <w:sz w:val="22"/>
          <w:szCs w:val="22"/>
        </w:rPr>
        <w:t xml:space="preserve">The EDMAP </w:t>
      </w:r>
      <w:r w:rsidR="00162E0E" w:rsidRPr="00290769">
        <w:rPr>
          <w:sz w:val="22"/>
          <w:szCs w:val="22"/>
        </w:rPr>
        <w:t xml:space="preserve">and STATEMAP </w:t>
      </w:r>
      <w:r w:rsidRPr="00290769">
        <w:rPr>
          <w:sz w:val="22"/>
          <w:szCs w:val="22"/>
        </w:rPr>
        <w:t>component</w:t>
      </w:r>
      <w:r w:rsidR="00162E0E" w:rsidRPr="00290769">
        <w:rPr>
          <w:sz w:val="22"/>
          <w:szCs w:val="22"/>
        </w:rPr>
        <w:t>s</w:t>
      </w:r>
      <w:r w:rsidRPr="00290769">
        <w:rPr>
          <w:sz w:val="22"/>
          <w:szCs w:val="22"/>
        </w:rPr>
        <w:t xml:space="preserve"> of the NCGMP</w:t>
      </w:r>
      <w:r w:rsidRPr="00290769">
        <w:rPr>
          <w:b/>
          <w:sz w:val="22"/>
          <w:szCs w:val="22"/>
        </w:rPr>
        <w:t xml:space="preserve"> </w:t>
      </w:r>
      <w:r w:rsidR="0084313E" w:rsidRPr="00290769">
        <w:rPr>
          <w:sz w:val="22"/>
          <w:szCs w:val="22"/>
        </w:rPr>
        <w:t>use Standard Forms:</w:t>
      </w:r>
      <w:r w:rsidRPr="00290769">
        <w:rPr>
          <w:sz w:val="22"/>
          <w:szCs w:val="22"/>
        </w:rPr>
        <w:t xml:space="preserve"> 424 </w:t>
      </w:r>
      <w:r w:rsidR="0084313E" w:rsidRPr="00290769">
        <w:rPr>
          <w:sz w:val="22"/>
          <w:szCs w:val="22"/>
        </w:rPr>
        <w:t>(</w:t>
      </w:r>
      <w:r w:rsidRPr="00290769">
        <w:rPr>
          <w:sz w:val="22"/>
          <w:szCs w:val="22"/>
        </w:rPr>
        <w:t>Application for Federal Assistance</w:t>
      </w:r>
      <w:r w:rsidR="00A61016">
        <w:rPr>
          <w:sz w:val="22"/>
          <w:szCs w:val="22"/>
        </w:rPr>
        <w:t>, OMB Number 4040-0004; expires 8/31/2016</w:t>
      </w:r>
      <w:r w:rsidR="0084313E" w:rsidRPr="00290769">
        <w:rPr>
          <w:sz w:val="22"/>
          <w:szCs w:val="22"/>
        </w:rPr>
        <w:t>)</w:t>
      </w:r>
      <w:r w:rsidRPr="00290769">
        <w:rPr>
          <w:sz w:val="22"/>
          <w:szCs w:val="22"/>
        </w:rPr>
        <w:t xml:space="preserve">; 424A </w:t>
      </w:r>
      <w:r w:rsidR="0084313E" w:rsidRPr="00290769">
        <w:rPr>
          <w:sz w:val="22"/>
          <w:szCs w:val="22"/>
        </w:rPr>
        <w:t>(</w:t>
      </w:r>
      <w:r w:rsidRPr="00290769">
        <w:rPr>
          <w:sz w:val="22"/>
          <w:szCs w:val="22"/>
        </w:rPr>
        <w:t>Budget Information Non-Construction Programs</w:t>
      </w:r>
      <w:r w:rsidR="0084313E" w:rsidRPr="00290769">
        <w:rPr>
          <w:sz w:val="22"/>
          <w:szCs w:val="22"/>
        </w:rPr>
        <w:t>)</w:t>
      </w:r>
      <w:r w:rsidRPr="00290769">
        <w:rPr>
          <w:sz w:val="22"/>
          <w:szCs w:val="22"/>
        </w:rPr>
        <w:t xml:space="preserve">; and 424B </w:t>
      </w:r>
      <w:r w:rsidR="0084313E" w:rsidRPr="00290769">
        <w:rPr>
          <w:sz w:val="22"/>
          <w:szCs w:val="22"/>
        </w:rPr>
        <w:t>(</w:t>
      </w:r>
      <w:r w:rsidRPr="00290769">
        <w:rPr>
          <w:sz w:val="22"/>
          <w:szCs w:val="22"/>
        </w:rPr>
        <w:t>Assurances Non-Construction Programs</w:t>
      </w:r>
      <w:r w:rsidR="0084313E" w:rsidRPr="00290769">
        <w:rPr>
          <w:sz w:val="22"/>
          <w:szCs w:val="22"/>
        </w:rPr>
        <w:t>)</w:t>
      </w:r>
      <w:r w:rsidRPr="00290769">
        <w:rPr>
          <w:sz w:val="22"/>
          <w:szCs w:val="22"/>
        </w:rPr>
        <w:t xml:space="preserve">. Applicants submit proposals for funding in response to Notices of Funding Availability (NOFA) that </w:t>
      </w:r>
      <w:r w:rsidR="00965CBB">
        <w:rPr>
          <w:sz w:val="22"/>
          <w:szCs w:val="22"/>
        </w:rPr>
        <w:t>the USGS</w:t>
      </w:r>
      <w:r w:rsidR="00965CBB" w:rsidRPr="00290769">
        <w:rPr>
          <w:sz w:val="22"/>
          <w:szCs w:val="22"/>
        </w:rPr>
        <w:t xml:space="preserve"> </w:t>
      </w:r>
      <w:r w:rsidRPr="00290769">
        <w:rPr>
          <w:sz w:val="22"/>
          <w:szCs w:val="22"/>
        </w:rPr>
        <w:t>publish</w:t>
      </w:r>
      <w:r w:rsidR="00965CBB">
        <w:rPr>
          <w:sz w:val="22"/>
          <w:szCs w:val="22"/>
        </w:rPr>
        <w:t>es</w:t>
      </w:r>
      <w:r w:rsidRPr="00290769">
        <w:rPr>
          <w:sz w:val="22"/>
          <w:szCs w:val="22"/>
        </w:rPr>
        <w:t xml:space="preserve"> on Grants.gov.  Applicants submit a proposal through Grants.gov.  We collect the following information </w:t>
      </w:r>
      <w:r w:rsidR="0084313E" w:rsidRPr="00290769">
        <w:rPr>
          <w:sz w:val="22"/>
          <w:szCs w:val="22"/>
        </w:rPr>
        <w:t>for each component</w:t>
      </w:r>
      <w:r w:rsidRPr="00290769">
        <w:rPr>
          <w:sz w:val="22"/>
          <w:szCs w:val="22"/>
        </w:rPr>
        <w:t xml:space="preserve">:   </w:t>
      </w:r>
    </w:p>
    <w:p w14:paraId="1D6942E4" w14:textId="77777777" w:rsidR="00B175CD" w:rsidRPr="00290769" w:rsidRDefault="00B175CD" w:rsidP="00B175CD">
      <w:pPr>
        <w:pStyle w:val="GPONormal"/>
        <w:rPr>
          <w:sz w:val="22"/>
          <w:szCs w:val="22"/>
        </w:rPr>
      </w:pPr>
    </w:p>
    <w:p w14:paraId="6A37EF4E" w14:textId="77777777" w:rsidR="00B175CD" w:rsidRPr="00290769" w:rsidRDefault="00B175CD" w:rsidP="00B175CD">
      <w:pPr>
        <w:pStyle w:val="GPONormal"/>
        <w:ind w:left="720"/>
        <w:rPr>
          <w:sz w:val="22"/>
          <w:szCs w:val="22"/>
          <w:u w:val="single"/>
        </w:rPr>
      </w:pPr>
      <w:r w:rsidRPr="00290769">
        <w:rPr>
          <w:bCs/>
          <w:sz w:val="22"/>
          <w:szCs w:val="22"/>
          <w:u w:val="single"/>
        </w:rPr>
        <w:t>(</w:t>
      </w:r>
      <w:r w:rsidRPr="00290769">
        <w:rPr>
          <w:bCs/>
          <w:sz w:val="22"/>
          <w:szCs w:val="22"/>
        </w:rPr>
        <w:t xml:space="preserve">1) The project narrative including the </w:t>
      </w:r>
      <w:r w:rsidR="00965CBB" w:rsidRPr="00290769">
        <w:rPr>
          <w:sz w:val="22"/>
          <w:szCs w:val="22"/>
        </w:rPr>
        <w:t>p</w:t>
      </w:r>
      <w:r w:rsidR="00965CBB">
        <w:rPr>
          <w:sz w:val="22"/>
          <w:szCs w:val="22"/>
        </w:rPr>
        <w:t>rincipal</w:t>
      </w:r>
      <w:r w:rsidR="00965CBB" w:rsidRPr="00290769">
        <w:rPr>
          <w:sz w:val="22"/>
          <w:szCs w:val="22"/>
        </w:rPr>
        <w:t xml:space="preserve"> </w:t>
      </w:r>
      <w:r w:rsidRPr="00290769">
        <w:rPr>
          <w:sz w:val="22"/>
          <w:szCs w:val="22"/>
        </w:rPr>
        <w:t>investigator’s contact information, applicant organization, collaborating organizations, a short description of the project, the project scope, the technical approach, the skills and capabilities of the applicant, the commitment to the effort, and the organizational and managerial capacity.</w:t>
      </w:r>
    </w:p>
    <w:p w14:paraId="7EE4724D" w14:textId="77777777" w:rsidR="00B175CD" w:rsidRPr="00290769" w:rsidRDefault="00B175CD" w:rsidP="00B175CD">
      <w:pPr>
        <w:pStyle w:val="GPONormal"/>
        <w:ind w:left="720"/>
        <w:rPr>
          <w:bCs/>
          <w:sz w:val="22"/>
          <w:szCs w:val="22"/>
          <w:u w:val="single"/>
        </w:rPr>
      </w:pPr>
    </w:p>
    <w:p w14:paraId="1D01F48D" w14:textId="77777777" w:rsidR="00B175CD" w:rsidRPr="00290769" w:rsidRDefault="00B175CD" w:rsidP="00B175CD">
      <w:pPr>
        <w:pStyle w:val="GPONormal"/>
        <w:ind w:left="720"/>
        <w:rPr>
          <w:sz w:val="22"/>
          <w:szCs w:val="22"/>
        </w:rPr>
      </w:pPr>
      <w:r w:rsidRPr="00290769">
        <w:rPr>
          <w:sz w:val="22"/>
          <w:szCs w:val="22"/>
        </w:rPr>
        <w:t>(2) Proposed budget breakdown that provides detailed information about how the funds will be utilized.</w:t>
      </w:r>
    </w:p>
    <w:p w14:paraId="6F0F935F" w14:textId="77777777" w:rsidR="00B175CD" w:rsidRPr="00290769" w:rsidRDefault="00B175CD" w:rsidP="00B175CD">
      <w:pPr>
        <w:pStyle w:val="GPONormal"/>
        <w:ind w:firstLine="720"/>
        <w:rPr>
          <w:sz w:val="22"/>
          <w:szCs w:val="22"/>
        </w:rPr>
      </w:pPr>
    </w:p>
    <w:p w14:paraId="43958EA9" w14:textId="77777777" w:rsidR="00B175CD" w:rsidRPr="00290769" w:rsidRDefault="00B175CD" w:rsidP="00B175CD">
      <w:pPr>
        <w:pStyle w:val="GPONormal"/>
        <w:ind w:left="720"/>
        <w:rPr>
          <w:sz w:val="22"/>
          <w:szCs w:val="22"/>
        </w:rPr>
      </w:pPr>
      <w:r w:rsidRPr="00290769">
        <w:rPr>
          <w:sz w:val="22"/>
          <w:szCs w:val="22"/>
        </w:rPr>
        <w:t>(3) Letters of support and/or commitment that are used to demonstrate the project’s viability.</w:t>
      </w:r>
      <w:r w:rsidRPr="00290769">
        <w:rPr>
          <w:sz w:val="22"/>
          <w:szCs w:val="22"/>
          <w:u w:val="single"/>
        </w:rPr>
        <w:t xml:space="preserve"> </w:t>
      </w:r>
    </w:p>
    <w:p w14:paraId="5B8EB9A4" w14:textId="77777777" w:rsidR="00B175CD" w:rsidRPr="00290769" w:rsidRDefault="00B175CD" w:rsidP="00B175CD">
      <w:pPr>
        <w:pStyle w:val="GPONormal"/>
        <w:ind w:firstLine="720"/>
        <w:rPr>
          <w:sz w:val="22"/>
          <w:szCs w:val="22"/>
        </w:rPr>
      </w:pPr>
    </w:p>
    <w:p w14:paraId="0D74B707" w14:textId="77777777" w:rsidR="00B175CD" w:rsidRPr="00290769" w:rsidRDefault="00B175CD" w:rsidP="00B175CD">
      <w:pPr>
        <w:rPr>
          <w:sz w:val="22"/>
          <w:szCs w:val="22"/>
        </w:rPr>
      </w:pPr>
      <w:r w:rsidRPr="00290769">
        <w:rPr>
          <w:sz w:val="22"/>
          <w:szCs w:val="22"/>
        </w:rPr>
        <w:t xml:space="preserve">The information above will be collected from the </w:t>
      </w:r>
      <w:r w:rsidR="007B009D" w:rsidRPr="00290769">
        <w:rPr>
          <w:sz w:val="22"/>
          <w:szCs w:val="22"/>
        </w:rPr>
        <w:t>p</w:t>
      </w:r>
      <w:r w:rsidR="007B009D">
        <w:rPr>
          <w:sz w:val="22"/>
          <w:szCs w:val="22"/>
        </w:rPr>
        <w:t>rincipal</w:t>
      </w:r>
      <w:r w:rsidR="007B009D" w:rsidRPr="00290769">
        <w:rPr>
          <w:sz w:val="22"/>
          <w:szCs w:val="22"/>
        </w:rPr>
        <w:t xml:space="preserve"> </w:t>
      </w:r>
      <w:r w:rsidRPr="00290769">
        <w:rPr>
          <w:sz w:val="22"/>
          <w:szCs w:val="22"/>
        </w:rPr>
        <w:t>investigator and applicant for the grant. This segment of the collection ensures that sufficient and relevant information is available to evaluate and s</w:t>
      </w:r>
      <w:r w:rsidR="00162E0E" w:rsidRPr="00290769">
        <w:rPr>
          <w:sz w:val="22"/>
          <w:szCs w:val="22"/>
        </w:rPr>
        <w:t xml:space="preserve">elect proposals for funding.  </w:t>
      </w:r>
      <w:r w:rsidRPr="00290769">
        <w:rPr>
          <w:sz w:val="22"/>
          <w:szCs w:val="22"/>
        </w:rPr>
        <w:t xml:space="preserve">A panel of technical experts will review each proposal to assess how well the proposed project addresses the requirements and priorities identified in the program’s authorizing </w:t>
      </w:r>
      <w:r w:rsidRPr="00290769">
        <w:rPr>
          <w:sz w:val="22"/>
          <w:szCs w:val="22"/>
        </w:rPr>
        <w:lastRenderedPageBreak/>
        <w:t xml:space="preserve">legislation.  The information about the institution and the </w:t>
      </w:r>
      <w:r w:rsidR="007B009D" w:rsidRPr="00290769">
        <w:rPr>
          <w:sz w:val="22"/>
          <w:szCs w:val="22"/>
        </w:rPr>
        <w:t>p</w:t>
      </w:r>
      <w:r w:rsidR="007B009D">
        <w:rPr>
          <w:sz w:val="22"/>
          <w:szCs w:val="22"/>
        </w:rPr>
        <w:t>rincipal</w:t>
      </w:r>
      <w:r w:rsidR="007B009D" w:rsidRPr="00290769">
        <w:rPr>
          <w:sz w:val="22"/>
          <w:szCs w:val="22"/>
        </w:rPr>
        <w:t xml:space="preserve"> </w:t>
      </w:r>
      <w:r w:rsidRPr="00290769">
        <w:rPr>
          <w:sz w:val="22"/>
          <w:szCs w:val="22"/>
        </w:rPr>
        <w:t xml:space="preserve">investigator will be used to contact the recipients and non-recipients of funds; and the USGS Office of Acquisitions and Grants will use the information to assist </w:t>
      </w:r>
      <w:r w:rsidR="007B009D">
        <w:rPr>
          <w:sz w:val="22"/>
          <w:szCs w:val="22"/>
        </w:rPr>
        <w:t xml:space="preserve">in the preparation of the </w:t>
      </w:r>
      <w:r w:rsidRPr="00290769">
        <w:rPr>
          <w:sz w:val="22"/>
          <w:szCs w:val="22"/>
        </w:rPr>
        <w:t>award paperwork.</w:t>
      </w:r>
    </w:p>
    <w:p w14:paraId="519E30FA" w14:textId="77777777" w:rsidR="00086778" w:rsidRPr="00290769" w:rsidRDefault="00086778" w:rsidP="00B175CD">
      <w:pPr>
        <w:rPr>
          <w:sz w:val="22"/>
          <w:szCs w:val="22"/>
        </w:rPr>
      </w:pPr>
    </w:p>
    <w:p w14:paraId="03EA35CF" w14:textId="77777777" w:rsidR="009E6442" w:rsidRDefault="009E6442" w:rsidP="00086778">
      <w:pPr>
        <w:ind w:left="360" w:hanging="360"/>
        <w:rPr>
          <w:sz w:val="22"/>
          <w:szCs w:val="22"/>
        </w:rPr>
      </w:pPr>
    </w:p>
    <w:p w14:paraId="3CC9D1D2" w14:textId="77777777" w:rsidR="00086778" w:rsidRPr="00290769" w:rsidRDefault="00086778" w:rsidP="00086778">
      <w:pPr>
        <w:ind w:left="360" w:hanging="360"/>
        <w:rPr>
          <w:sz w:val="22"/>
          <w:szCs w:val="22"/>
        </w:rPr>
      </w:pPr>
      <w:r w:rsidRPr="00290769">
        <w:rPr>
          <w:sz w:val="22"/>
          <w:szCs w:val="22"/>
        </w:rPr>
        <w:t>EDMAP Applicants:</w:t>
      </w:r>
    </w:p>
    <w:p w14:paraId="25832774" w14:textId="77777777" w:rsidR="00086778" w:rsidRPr="00290769" w:rsidRDefault="00086778" w:rsidP="00086778">
      <w:pPr>
        <w:ind w:left="360"/>
        <w:rPr>
          <w:sz w:val="22"/>
          <w:szCs w:val="22"/>
        </w:rPr>
      </w:pPr>
      <w:r w:rsidRPr="00290769">
        <w:rPr>
          <w:sz w:val="22"/>
          <w:szCs w:val="22"/>
        </w:rPr>
        <w:t xml:space="preserve">U.S. accredited university Geoscience or related Departments are eligible for EDMAP funds.  University professors must write and submit the proposals.  EDMAP cooperative grants are intended to fund students doing geologic mapping in the field.  While it is proper for the professors/advisors to ask for some logistical support so that they may be with their student(s) in the field for a credible amount of time, the bulk of the award is intended to support the student’s mapping efforts.  </w:t>
      </w:r>
      <w:r w:rsidRPr="00290769">
        <w:rPr>
          <w:bCs/>
          <w:sz w:val="22"/>
          <w:szCs w:val="22"/>
        </w:rPr>
        <w:t xml:space="preserve">EDMAP cooperative grants </w:t>
      </w:r>
      <w:r w:rsidRPr="00290769">
        <w:rPr>
          <w:bCs/>
          <w:iCs/>
          <w:sz w:val="22"/>
          <w:szCs w:val="22"/>
        </w:rPr>
        <w:t>do not</w:t>
      </w:r>
      <w:r w:rsidRPr="00290769">
        <w:rPr>
          <w:bCs/>
          <w:sz w:val="22"/>
          <w:szCs w:val="22"/>
        </w:rPr>
        <w:t xml:space="preserve"> support </w:t>
      </w:r>
      <w:r w:rsidR="007B009D">
        <w:rPr>
          <w:bCs/>
          <w:sz w:val="22"/>
          <w:szCs w:val="22"/>
        </w:rPr>
        <w:t xml:space="preserve">student tuition or </w:t>
      </w:r>
      <w:r w:rsidRPr="00290769">
        <w:rPr>
          <w:bCs/>
          <w:sz w:val="22"/>
          <w:szCs w:val="22"/>
        </w:rPr>
        <w:t>faculty salaries.</w:t>
      </w:r>
      <w:r w:rsidRPr="00290769">
        <w:rPr>
          <w:sz w:val="22"/>
          <w:szCs w:val="22"/>
        </w:rPr>
        <w:t xml:space="preserve">  </w:t>
      </w:r>
      <w:r w:rsidR="007B009D">
        <w:rPr>
          <w:sz w:val="22"/>
          <w:szCs w:val="22"/>
        </w:rPr>
        <w:t xml:space="preserve">Qualified </w:t>
      </w:r>
      <w:r w:rsidR="00E84FA0">
        <w:rPr>
          <w:sz w:val="22"/>
          <w:szCs w:val="22"/>
        </w:rPr>
        <w:t xml:space="preserve">Junior and Senior </w:t>
      </w:r>
      <w:r w:rsidR="007B009D">
        <w:rPr>
          <w:sz w:val="22"/>
          <w:szCs w:val="22"/>
        </w:rPr>
        <w:t>undergraduate and graduate</w:t>
      </w:r>
      <w:r w:rsidRPr="00290769">
        <w:rPr>
          <w:sz w:val="22"/>
          <w:szCs w:val="22"/>
        </w:rPr>
        <w:t xml:space="preserve"> students are eligible applicants to the EDMAP Program.  </w:t>
      </w:r>
      <w:r w:rsidR="00E84FA0">
        <w:rPr>
          <w:sz w:val="22"/>
          <w:szCs w:val="22"/>
        </w:rPr>
        <w:t>U</w:t>
      </w:r>
      <w:r w:rsidRPr="00290769">
        <w:rPr>
          <w:sz w:val="22"/>
          <w:szCs w:val="22"/>
        </w:rPr>
        <w:t xml:space="preserve">ndergraduates should have received basic mineralogy, petrology and structural geology training prior to the time they will </w:t>
      </w:r>
      <w:r w:rsidR="00E84FA0">
        <w:rPr>
          <w:sz w:val="22"/>
          <w:szCs w:val="22"/>
        </w:rPr>
        <w:t>conduct fieldwork described in the proposal.</w:t>
      </w:r>
      <w:r w:rsidRPr="00290769">
        <w:rPr>
          <w:sz w:val="22"/>
          <w:szCs w:val="22"/>
        </w:rPr>
        <w:t xml:space="preserve"> Only one proposal will be accepted from an individual principal investigator (Professor or faculty advisor), although more than one proposal </w:t>
      </w:r>
      <w:r w:rsidRPr="00BB2DEA">
        <w:rPr>
          <w:sz w:val="22"/>
          <w:szCs w:val="22"/>
        </w:rPr>
        <w:t>will</w:t>
      </w:r>
      <w:r w:rsidRPr="00E84FA0">
        <w:rPr>
          <w:sz w:val="22"/>
          <w:szCs w:val="22"/>
        </w:rPr>
        <w:t xml:space="preserve"> </w:t>
      </w:r>
      <w:r w:rsidRPr="00290769">
        <w:rPr>
          <w:sz w:val="22"/>
          <w:szCs w:val="22"/>
        </w:rPr>
        <w:t xml:space="preserve">be accepted from a single university if authored by different principal investigators.  </w:t>
      </w:r>
    </w:p>
    <w:p w14:paraId="338D4F87" w14:textId="77777777" w:rsidR="00086778" w:rsidRPr="00290769" w:rsidRDefault="00086778" w:rsidP="00B175CD">
      <w:pPr>
        <w:rPr>
          <w:sz w:val="24"/>
        </w:rPr>
      </w:pPr>
    </w:p>
    <w:p w14:paraId="4F30C555" w14:textId="77777777" w:rsidR="00086778" w:rsidRPr="00290769" w:rsidRDefault="00086778" w:rsidP="00B175CD">
      <w:pPr>
        <w:rPr>
          <w:sz w:val="22"/>
          <w:szCs w:val="22"/>
        </w:rPr>
      </w:pPr>
      <w:r w:rsidRPr="00290769">
        <w:rPr>
          <w:sz w:val="22"/>
          <w:szCs w:val="22"/>
        </w:rPr>
        <w:t xml:space="preserve">STATEMAP Applicants: </w:t>
      </w:r>
    </w:p>
    <w:p w14:paraId="1D0F3F2C" w14:textId="77777777" w:rsidR="00086778" w:rsidRPr="00290769" w:rsidRDefault="00086778" w:rsidP="00086778">
      <w:pPr>
        <w:ind w:left="360"/>
        <w:rPr>
          <w:sz w:val="22"/>
          <w:szCs w:val="22"/>
        </w:rPr>
      </w:pPr>
      <w:r w:rsidRPr="00290769">
        <w:rPr>
          <w:sz w:val="22"/>
          <w:szCs w:val="22"/>
        </w:rPr>
        <w:t xml:space="preserve">Only State Geological Surveys are eligible to apply to the STATEMAP component of the National Cooperative Geologic Mapping Program pursuant to the National Geologic Mapping Act (Public Law 106-148). Since many State Geological Surveys are organized under a State university system, such universities may submit a proposal on behalf of the State Geological Survey.  State Geological Surveys must have a State Mapping Advisory Committee (or equivalent) </w:t>
      </w:r>
      <w:r w:rsidR="00E84FA0">
        <w:rPr>
          <w:sz w:val="22"/>
          <w:szCs w:val="22"/>
        </w:rPr>
        <w:t xml:space="preserve">that </w:t>
      </w:r>
      <w:r w:rsidRPr="00290769">
        <w:rPr>
          <w:sz w:val="22"/>
          <w:szCs w:val="22"/>
        </w:rPr>
        <w:t>meet</w:t>
      </w:r>
      <w:r w:rsidR="00E84FA0">
        <w:rPr>
          <w:sz w:val="22"/>
          <w:szCs w:val="22"/>
        </w:rPr>
        <w:t>s</w:t>
      </w:r>
      <w:r w:rsidRPr="00290769">
        <w:rPr>
          <w:sz w:val="22"/>
          <w:szCs w:val="22"/>
        </w:rPr>
        <w:t xml:space="preserve"> annually to qualify for funding.  </w:t>
      </w:r>
    </w:p>
    <w:p w14:paraId="6CF74709" w14:textId="77777777" w:rsidR="00B175CD" w:rsidRPr="00290769" w:rsidRDefault="00B175CD" w:rsidP="00086778">
      <w:pPr>
        <w:pStyle w:val="GPONormal"/>
        <w:ind w:left="360"/>
        <w:rPr>
          <w:sz w:val="22"/>
          <w:szCs w:val="22"/>
        </w:rPr>
      </w:pPr>
    </w:p>
    <w:p w14:paraId="656D0C1E"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b/>
          <w:bCs/>
          <w:sz w:val="22"/>
          <w:szCs w:val="22"/>
        </w:rPr>
        <w:t>3.</w:t>
      </w:r>
      <w:r w:rsidRPr="00290769">
        <w:rPr>
          <w:b/>
          <w:bCs/>
          <w:sz w:val="22"/>
          <w:szCs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p>
    <w:p w14:paraId="2376D1D0" w14:textId="77777777" w:rsidR="001325E9" w:rsidRPr="00290769" w:rsidRDefault="001325E9" w:rsidP="001325E9">
      <w:pPr>
        <w:rPr>
          <w:sz w:val="22"/>
          <w:szCs w:val="22"/>
        </w:rPr>
      </w:pPr>
    </w:p>
    <w:p w14:paraId="205BD628" w14:textId="77777777" w:rsidR="00B175CD" w:rsidRPr="00290769" w:rsidRDefault="00B175CD" w:rsidP="00B175CD">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90769">
        <w:rPr>
          <w:sz w:val="22"/>
          <w:szCs w:val="22"/>
        </w:rPr>
        <w:t xml:space="preserve">All application instructions and forms are available on the Internet for completion and printing of forms by the public.  Applicants </w:t>
      </w:r>
      <w:r w:rsidR="00086778" w:rsidRPr="00290769">
        <w:rPr>
          <w:sz w:val="22"/>
          <w:szCs w:val="22"/>
        </w:rPr>
        <w:t xml:space="preserve">must </w:t>
      </w:r>
      <w:r w:rsidRPr="00290769">
        <w:rPr>
          <w:sz w:val="22"/>
          <w:szCs w:val="22"/>
        </w:rPr>
        <w:t>submit proposals electronically through Grants.gov.</w:t>
      </w:r>
    </w:p>
    <w:p w14:paraId="7E337BD8" w14:textId="77777777" w:rsidR="00B175CD" w:rsidRPr="00290769" w:rsidRDefault="00B175CD"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1822F9F8"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b/>
          <w:bCs/>
          <w:sz w:val="22"/>
          <w:szCs w:val="22"/>
        </w:rPr>
        <w:t>4.</w:t>
      </w:r>
      <w:r w:rsidRPr="00290769">
        <w:rPr>
          <w:b/>
          <w:bCs/>
          <w:sz w:val="22"/>
          <w:szCs w:val="22"/>
        </w:rPr>
        <w:tab/>
      </w:r>
      <w:r w:rsidRPr="00290769">
        <w:rPr>
          <w:b/>
          <w:sz w:val="22"/>
          <w:szCs w:val="22"/>
        </w:rPr>
        <w:t>Describe efforts to identify duplication.  Show specifically why any similar information already available cannot be used or modified for use for the purposes described in Item 2 above.</w:t>
      </w:r>
    </w:p>
    <w:p w14:paraId="10DC532C"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6F6F7BAC" w14:textId="77777777" w:rsidR="00B175CD" w:rsidRPr="00290769" w:rsidRDefault="00B175CD" w:rsidP="00B175CD">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90769">
        <w:rPr>
          <w:sz w:val="22"/>
          <w:szCs w:val="22"/>
        </w:rPr>
        <w:t>Due to the unique nature of this program and authorizing legislation</w:t>
      </w:r>
      <w:r w:rsidR="00086778" w:rsidRPr="00290769">
        <w:rPr>
          <w:sz w:val="22"/>
          <w:szCs w:val="22"/>
        </w:rPr>
        <w:t>,</w:t>
      </w:r>
      <w:r w:rsidRPr="00290769">
        <w:rPr>
          <w:sz w:val="22"/>
          <w:szCs w:val="22"/>
        </w:rPr>
        <w:t xml:space="preserve"> no other Federal agency collects this information. No duplication will occur.</w:t>
      </w:r>
    </w:p>
    <w:p w14:paraId="22E87AA2"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4BB56A26"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b/>
          <w:bCs/>
          <w:sz w:val="22"/>
          <w:szCs w:val="22"/>
        </w:rPr>
        <w:t>5.</w:t>
      </w:r>
      <w:r w:rsidRPr="00290769">
        <w:rPr>
          <w:b/>
          <w:bCs/>
          <w:sz w:val="22"/>
          <w:szCs w:val="22"/>
        </w:rPr>
        <w:tab/>
        <w:t xml:space="preserve">If the collection of information impacts small businesses or other small entities, describe the methods used to minimize burden. </w:t>
      </w:r>
    </w:p>
    <w:p w14:paraId="09B610B8"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28AC1F50" w14:textId="77777777" w:rsidR="001325E9" w:rsidRPr="00290769" w:rsidRDefault="00B175CD" w:rsidP="00B175CD">
      <w:pPr>
        <w:rPr>
          <w:sz w:val="22"/>
          <w:szCs w:val="22"/>
        </w:rPr>
      </w:pPr>
      <w:r w:rsidRPr="00290769">
        <w:rPr>
          <w:sz w:val="22"/>
          <w:szCs w:val="22"/>
        </w:rPr>
        <w:t>We have made efforts to keep the amount of information requested to a minimum for all applicants.  The information has to be sufficient to fulfill the requirements of the authorizing statutes, as well as sufficient to make a competitive funding decision.  We do not believe the amount of information requested will have a significant impact on small entities, as they will provid</w:t>
      </w:r>
      <w:r w:rsidR="00086778" w:rsidRPr="00290769">
        <w:rPr>
          <w:sz w:val="22"/>
          <w:szCs w:val="22"/>
        </w:rPr>
        <w:t>e</w:t>
      </w:r>
      <w:r w:rsidRPr="00290769">
        <w:rPr>
          <w:sz w:val="22"/>
          <w:szCs w:val="22"/>
        </w:rPr>
        <w:t xml:space="preserve"> the minimum amount of information needed to compete for financial assistance under these programs. </w:t>
      </w:r>
    </w:p>
    <w:p w14:paraId="6E3A09F0"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39C4023"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290769">
        <w:rPr>
          <w:b/>
          <w:bCs/>
          <w:sz w:val="22"/>
          <w:szCs w:val="22"/>
        </w:rPr>
        <w:t>6.</w:t>
      </w:r>
      <w:r w:rsidRPr="00290769">
        <w:rPr>
          <w:b/>
          <w:bCs/>
          <w:sz w:val="22"/>
          <w:szCs w:val="22"/>
        </w:rPr>
        <w:tab/>
        <w:t>Describe the consequence to Federal program or policy activities if the collection is not conducted o</w:t>
      </w:r>
      <w:r w:rsidR="00B175CD" w:rsidRPr="00290769">
        <w:rPr>
          <w:b/>
          <w:bCs/>
          <w:sz w:val="22"/>
          <w:szCs w:val="22"/>
        </w:rPr>
        <w:t xml:space="preserve">r is conducted less frequently </w:t>
      </w:r>
      <w:r w:rsidRPr="00290769">
        <w:rPr>
          <w:b/>
          <w:bCs/>
          <w:sz w:val="22"/>
          <w:szCs w:val="22"/>
        </w:rPr>
        <w:t>as well as any technical or legal obstacles to reducing burden.</w:t>
      </w:r>
    </w:p>
    <w:p w14:paraId="5C55539B"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507559CB" w14:textId="77777777" w:rsidR="001325E9" w:rsidRPr="00290769" w:rsidRDefault="00162E0E" w:rsidP="001325E9">
      <w:pPr>
        <w:rPr>
          <w:sz w:val="22"/>
          <w:szCs w:val="22"/>
        </w:rPr>
      </w:pPr>
      <w:r w:rsidRPr="00290769">
        <w:rPr>
          <w:sz w:val="22"/>
          <w:szCs w:val="22"/>
        </w:rPr>
        <w:t xml:space="preserve">The </w:t>
      </w:r>
      <w:r w:rsidR="001325E9" w:rsidRPr="00290769">
        <w:rPr>
          <w:sz w:val="22"/>
          <w:szCs w:val="22"/>
        </w:rPr>
        <w:t xml:space="preserve">National Geologic Mapping </w:t>
      </w:r>
      <w:r w:rsidR="00086778" w:rsidRPr="00290769">
        <w:rPr>
          <w:sz w:val="22"/>
          <w:szCs w:val="22"/>
        </w:rPr>
        <w:t xml:space="preserve">Reauthorization </w:t>
      </w:r>
      <w:r w:rsidR="001325E9" w:rsidRPr="00290769">
        <w:rPr>
          <w:sz w:val="22"/>
          <w:szCs w:val="22"/>
        </w:rPr>
        <w:t xml:space="preserve">Act of 1999 </w:t>
      </w:r>
      <w:r w:rsidR="005A0A2E" w:rsidRPr="00290769">
        <w:rPr>
          <w:sz w:val="22"/>
          <w:szCs w:val="22"/>
        </w:rPr>
        <w:t xml:space="preserve">requires </w:t>
      </w:r>
      <w:r w:rsidR="00086778" w:rsidRPr="00290769">
        <w:rPr>
          <w:sz w:val="22"/>
          <w:szCs w:val="22"/>
        </w:rPr>
        <w:t xml:space="preserve">that </w:t>
      </w:r>
      <w:r w:rsidR="005A0A2E" w:rsidRPr="00290769">
        <w:rPr>
          <w:sz w:val="22"/>
          <w:szCs w:val="22"/>
        </w:rPr>
        <w:t>p</w:t>
      </w:r>
      <w:r w:rsidR="001325E9" w:rsidRPr="00290769">
        <w:rPr>
          <w:sz w:val="22"/>
          <w:szCs w:val="22"/>
        </w:rPr>
        <w:t>roposals be collected each year</w:t>
      </w:r>
      <w:r w:rsidR="00B175CD" w:rsidRPr="00290769">
        <w:rPr>
          <w:sz w:val="22"/>
          <w:szCs w:val="22"/>
        </w:rPr>
        <w:t xml:space="preserve">. Failure to collect this information would cause </w:t>
      </w:r>
      <w:r w:rsidR="0031787D">
        <w:rPr>
          <w:sz w:val="22"/>
          <w:szCs w:val="22"/>
        </w:rPr>
        <w:t>the USGS</w:t>
      </w:r>
      <w:r w:rsidR="0031787D" w:rsidRPr="00290769">
        <w:rPr>
          <w:sz w:val="22"/>
          <w:szCs w:val="22"/>
        </w:rPr>
        <w:t xml:space="preserve"> </w:t>
      </w:r>
      <w:r w:rsidR="00B175CD" w:rsidRPr="00290769">
        <w:rPr>
          <w:sz w:val="22"/>
          <w:szCs w:val="22"/>
        </w:rPr>
        <w:t>to be in violation of the Act.</w:t>
      </w:r>
    </w:p>
    <w:p w14:paraId="41029D95" w14:textId="77777777" w:rsidR="001325E9" w:rsidRDefault="001325E9" w:rsidP="001325E9">
      <w:pPr>
        <w:rPr>
          <w:sz w:val="22"/>
          <w:szCs w:val="22"/>
        </w:rPr>
      </w:pPr>
    </w:p>
    <w:p w14:paraId="1C6438FE" w14:textId="77777777" w:rsidR="005F681F" w:rsidRPr="00290769" w:rsidRDefault="005F681F" w:rsidP="001325E9">
      <w:pPr>
        <w:rPr>
          <w:sz w:val="22"/>
          <w:szCs w:val="22"/>
        </w:rPr>
      </w:pPr>
    </w:p>
    <w:p w14:paraId="4BEB3646" w14:textId="77777777" w:rsidR="001325E9" w:rsidRPr="00290769" w:rsidRDefault="001325E9" w:rsidP="000867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290769">
        <w:rPr>
          <w:b/>
          <w:bCs/>
          <w:sz w:val="22"/>
          <w:szCs w:val="22"/>
        </w:rPr>
        <w:t>7.</w:t>
      </w:r>
      <w:r w:rsidRPr="00290769">
        <w:rPr>
          <w:b/>
          <w:bCs/>
          <w:sz w:val="22"/>
          <w:szCs w:val="22"/>
        </w:rPr>
        <w:tab/>
      </w:r>
      <w:r w:rsidR="00086778" w:rsidRPr="00290769">
        <w:rPr>
          <w:b/>
          <w:sz w:val="22"/>
          <w:szCs w:val="22"/>
        </w:rPr>
        <w:t>Explain any special circumstances that would cause an information collection to be conducted in a manner: (i) requiring respondents to report more often than quarterly, (ii) requiring respondents prepare written responses in fewer than 30 days after receipt, (iii) requiring respondents to submit more than an original and two copies of any document, (iv) retain records for more than 3 years; (v) in connection with a statistical survey, that is not designed to produce valid and reliable results that can be generalized to the universe of study; (vi) the use of a statistical data classification that has not been reviewed and approved by OMB; (vii) that includes a pledge of confidentiality not supported by authority established in statute or regulation; requiring respondents to submit proprietary trade secrets or other confidential information.</w:t>
      </w:r>
    </w:p>
    <w:p w14:paraId="198DF8A5" w14:textId="77777777" w:rsidR="00086778" w:rsidRPr="00290769" w:rsidRDefault="00086778" w:rsidP="000867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768883EA" w14:textId="77777777" w:rsidR="001325E9" w:rsidRPr="00290769" w:rsidRDefault="001325E9" w:rsidP="001325E9">
      <w:pPr>
        <w:rPr>
          <w:sz w:val="22"/>
          <w:szCs w:val="22"/>
        </w:rPr>
      </w:pPr>
      <w:r w:rsidRPr="00290769">
        <w:rPr>
          <w:sz w:val="22"/>
          <w:szCs w:val="22"/>
        </w:rPr>
        <w:t>There are no circumstances that require the information be collected in a manner inconsistent with OMB</w:t>
      </w:r>
      <w:r w:rsidR="00086778" w:rsidRPr="00290769">
        <w:rPr>
          <w:sz w:val="22"/>
          <w:szCs w:val="22"/>
        </w:rPr>
        <w:t xml:space="preserve"> guidelines</w:t>
      </w:r>
      <w:r w:rsidRPr="00290769">
        <w:rPr>
          <w:sz w:val="22"/>
          <w:szCs w:val="22"/>
        </w:rPr>
        <w:t>.</w:t>
      </w:r>
    </w:p>
    <w:p w14:paraId="6E39AE21"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14:paraId="35DA0739" w14:textId="77777777" w:rsidR="001325E9" w:rsidRPr="001715B2" w:rsidRDefault="001325E9" w:rsidP="00BB2D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290769">
        <w:rPr>
          <w:b/>
          <w:bCs/>
          <w:sz w:val="22"/>
          <w:szCs w:val="22"/>
        </w:rPr>
        <w:t>8.</w:t>
      </w:r>
      <w:r w:rsidRPr="00290769">
        <w:rPr>
          <w:b/>
          <w:bCs/>
          <w:sz w:val="22"/>
          <w:szCs w:val="22"/>
        </w:rPr>
        <w:tab/>
      </w:r>
      <w:r w:rsidRPr="004A0F54">
        <w:rPr>
          <w:b/>
          <w:bCs/>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w:t>
      </w:r>
      <w:r w:rsidRPr="001715B2">
        <w:rPr>
          <w:b/>
          <w:bCs/>
          <w:sz w:val="22"/>
          <w:szCs w:val="22"/>
        </w:rPr>
        <w:t xml:space="preserve"> notice [and in response to the PRA statement associated with the collection over the past three years] and describe actions taken by the agency in response to these comments.  Specifically address comments received on cost and hour burden.</w:t>
      </w:r>
    </w:p>
    <w:p w14:paraId="0853EA74" w14:textId="77777777" w:rsidR="001325E9" w:rsidRPr="00BB2DEA" w:rsidRDefault="001325E9" w:rsidP="00BB2D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16562854" w14:textId="77777777" w:rsidR="001325E9" w:rsidRPr="001715B2" w:rsidRDefault="004A0F54" w:rsidP="00BB2D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Pr>
          <w:b/>
          <w:bCs/>
          <w:sz w:val="22"/>
          <w:szCs w:val="22"/>
        </w:rPr>
        <w:tab/>
      </w:r>
      <w:r w:rsidR="001325E9" w:rsidRPr="004A0F54">
        <w:rPr>
          <w:b/>
          <w:bCs/>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w:t>
      </w:r>
      <w:r w:rsidR="001325E9" w:rsidRPr="001715B2">
        <w:rPr>
          <w:b/>
          <w:bCs/>
          <w:sz w:val="22"/>
          <w:szCs w:val="22"/>
        </w:rPr>
        <w:t>losed, or reported.  [Please list the names, titles, addresses, and phone numbers of persons contacted.]</w:t>
      </w:r>
    </w:p>
    <w:p w14:paraId="0255DD3C" w14:textId="77777777" w:rsidR="001325E9" w:rsidRPr="000D2353" w:rsidRDefault="001325E9" w:rsidP="00BB2D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3314FB8C" w14:textId="77777777" w:rsidR="001325E9" w:rsidRPr="001715B2" w:rsidRDefault="004A0F54" w:rsidP="00BB2D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Pr>
          <w:b/>
          <w:bCs/>
          <w:sz w:val="22"/>
          <w:szCs w:val="22"/>
        </w:rPr>
        <w:tab/>
      </w:r>
      <w:r w:rsidR="001325E9" w:rsidRPr="004A0F54">
        <w:rPr>
          <w:b/>
          <w:bCs/>
          <w:sz w:val="22"/>
          <w:szCs w:val="22"/>
        </w:rPr>
        <w:t xml:space="preserve">Consultation with representatives of those from whom information is to be obtained or those who must compile records should occur at least once every </w:t>
      </w:r>
      <w:r w:rsidR="001325E9" w:rsidRPr="001715B2">
        <w:rPr>
          <w:b/>
          <w:bCs/>
          <w:sz w:val="22"/>
          <w:szCs w:val="22"/>
        </w:rPr>
        <w:t xml:space="preserve">3 years — even if the collection of information activity is the same as in prior periods.  There may be circumstances that may preclude consultation in a specific situation.  These circumstances should be explained. </w:t>
      </w:r>
    </w:p>
    <w:p w14:paraId="4702FEE8"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58F9DAFA" w14:textId="77777777" w:rsidR="005B5DFA" w:rsidRPr="0005151F" w:rsidRDefault="005B5DFA" w:rsidP="005B5DFA">
      <w:pPr>
        <w:tabs>
          <w:tab w:val="left" w:pos="-1080"/>
          <w:tab w:val="left" w:pos="-720"/>
          <w:tab w:val="left" w:pos="-1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05151F">
        <w:rPr>
          <w:sz w:val="22"/>
          <w:szCs w:val="22"/>
        </w:rPr>
        <w:t xml:space="preserve">On </w:t>
      </w:r>
      <w:r w:rsidR="003F7859">
        <w:rPr>
          <w:sz w:val="22"/>
          <w:szCs w:val="22"/>
        </w:rPr>
        <w:t>March 25</w:t>
      </w:r>
      <w:r w:rsidR="003F7859" w:rsidRPr="003F7859">
        <w:rPr>
          <w:sz w:val="22"/>
          <w:szCs w:val="22"/>
          <w:vertAlign w:val="superscript"/>
        </w:rPr>
        <w:t>th</w:t>
      </w:r>
      <w:r w:rsidR="003F7859">
        <w:rPr>
          <w:sz w:val="22"/>
          <w:szCs w:val="22"/>
        </w:rPr>
        <w:t>, 2015</w:t>
      </w:r>
      <w:r w:rsidRPr="0005151F">
        <w:rPr>
          <w:sz w:val="22"/>
          <w:szCs w:val="22"/>
        </w:rPr>
        <w:t xml:space="preserve">, </w:t>
      </w:r>
      <w:r w:rsidR="004A0F54">
        <w:rPr>
          <w:sz w:val="22"/>
          <w:szCs w:val="22"/>
        </w:rPr>
        <w:t>the USGS</w:t>
      </w:r>
      <w:r w:rsidR="004A0F54" w:rsidRPr="0005151F">
        <w:rPr>
          <w:sz w:val="22"/>
          <w:szCs w:val="22"/>
        </w:rPr>
        <w:t xml:space="preserve"> </w:t>
      </w:r>
      <w:r w:rsidRPr="0005151F">
        <w:rPr>
          <w:sz w:val="22"/>
          <w:szCs w:val="22"/>
        </w:rPr>
        <w:t xml:space="preserve">published a notice in the </w:t>
      </w:r>
      <w:r w:rsidRPr="0005151F">
        <w:rPr>
          <w:i/>
          <w:sz w:val="22"/>
          <w:szCs w:val="22"/>
        </w:rPr>
        <w:t xml:space="preserve">Federal Register </w:t>
      </w:r>
      <w:r w:rsidRPr="0005151F">
        <w:rPr>
          <w:sz w:val="22"/>
          <w:szCs w:val="22"/>
        </w:rPr>
        <w:t>(</w:t>
      </w:r>
      <w:r w:rsidR="001258D8">
        <w:rPr>
          <w:sz w:val="22"/>
          <w:szCs w:val="22"/>
        </w:rPr>
        <w:t>80</w:t>
      </w:r>
      <w:r w:rsidRPr="0005151F">
        <w:rPr>
          <w:sz w:val="22"/>
          <w:szCs w:val="22"/>
        </w:rPr>
        <w:t xml:space="preserve"> FR </w:t>
      </w:r>
      <w:r w:rsidR="001258D8">
        <w:rPr>
          <w:sz w:val="22"/>
          <w:szCs w:val="22"/>
        </w:rPr>
        <w:t>15808</w:t>
      </w:r>
      <w:r w:rsidRPr="0005151F">
        <w:rPr>
          <w:sz w:val="22"/>
          <w:szCs w:val="22"/>
        </w:rPr>
        <w:t xml:space="preserve">) soliciting comments on the STATEMAP and EDMAP components. The comment period closed on </w:t>
      </w:r>
      <w:r w:rsidR="003F7859">
        <w:rPr>
          <w:sz w:val="22"/>
          <w:szCs w:val="22"/>
        </w:rPr>
        <w:t>May 26</w:t>
      </w:r>
      <w:r w:rsidRPr="0005151F">
        <w:rPr>
          <w:sz w:val="22"/>
          <w:szCs w:val="22"/>
        </w:rPr>
        <w:t>, 201</w:t>
      </w:r>
      <w:r w:rsidR="003F7859">
        <w:rPr>
          <w:sz w:val="22"/>
          <w:szCs w:val="22"/>
        </w:rPr>
        <w:t>5</w:t>
      </w:r>
      <w:r w:rsidRPr="0005151F">
        <w:rPr>
          <w:sz w:val="22"/>
          <w:szCs w:val="22"/>
        </w:rPr>
        <w:t xml:space="preserve">. </w:t>
      </w:r>
      <w:r w:rsidR="0005151F" w:rsidRPr="0005151F">
        <w:rPr>
          <w:color w:val="000000"/>
          <w:sz w:val="22"/>
          <w:szCs w:val="22"/>
        </w:rPr>
        <w:t xml:space="preserve">The USGS </w:t>
      </w:r>
      <w:r w:rsidR="00AF28C4">
        <w:rPr>
          <w:color w:val="000000"/>
          <w:sz w:val="22"/>
          <w:szCs w:val="22"/>
        </w:rPr>
        <w:t xml:space="preserve">did not </w:t>
      </w:r>
      <w:r w:rsidR="0005151F" w:rsidRPr="0005151F">
        <w:rPr>
          <w:color w:val="000000"/>
          <w:sz w:val="22"/>
          <w:szCs w:val="22"/>
        </w:rPr>
        <w:t>receiv</w:t>
      </w:r>
      <w:r w:rsidR="00AF28C4">
        <w:rPr>
          <w:color w:val="000000"/>
          <w:sz w:val="22"/>
          <w:szCs w:val="22"/>
        </w:rPr>
        <w:t>e</w:t>
      </w:r>
      <w:r w:rsidR="0005151F" w:rsidRPr="0005151F">
        <w:rPr>
          <w:color w:val="000000"/>
          <w:sz w:val="22"/>
          <w:szCs w:val="22"/>
        </w:rPr>
        <w:t xml:space="preserve"> </w:t>
      </w:r>
      <w:r w:rsidR="00AF28C4">
        <w:rPr>
          <w:color w:val="000000"/>
          <w:sz w:val="22"/>
          <w:szCs w:val="22"/>
        </w:rPr>
        <w:t>any</w:t>
      </w:r>
      <w:r w:rsidR="0005151F" w:rsidRPr="0005151F">
        <w:rPr>
          <w:color w:val="000000"/>
          <w:sz w:val="22"/>
          <w:szCs w:val="22"/>
        </w:rPr>
        <w:t xml:space="preserve"> comment</w:t>
      </w:r>
      <w:r w:rsidR="00AF28C4">
        <w:rPr>
          <w:color w:val="000000"/>
          <w:sz w:val="22"/>
          <w:szCs w:val="22"/>
        </w:rPr>
        <w:t>s</w:t>
      </w:r>
      <w:r w:rsidR="0005151F" w:rsidRPr="0005151F">
        <w:rPr>
          <w:color w:val="000000"/>
          <w:sz w:val="22"/>
          <w:szCs w:val="22"/>
        </w:rPr>
        <w:t>.  Therefore, we have not changed the colle</w:t>
      </w:r>
      <w:r w:rsidR="00AF28C4">
        <w:rPr>
          <w:color w:val="000000"/>
          <w:sz w:val="22"/>
          <w:szCs w:val="22"/>
        </w:rPr>
        <w:t>ction in any way</w:t>
      </w:r>
      <w:r w:rsidR="0005151F" w:rsidRPr="0005151F">
        <w:rPr>
          <w:color w:val="000000"/>
          <w:sz w:val="22"/>
          <w:szCs w:val="22"/>
        </w:rPr>
        <w:t>.</w:t>
      </w:r>
      <w:r w:rsidRPr="0005151F">
        <w:rPr>
          <w:sz w:val="22"/>
          <w:szCs w:val="22"/>
        </w:rPr>
        <w:t xml:space="preserve"> </w:t>
      </w:r>
    </w:p>
    <w:p w14:paraId="04529AB7" w14:textId="77777777" w:rsidR="005B5DFA" w:rsidRDefault="005B5DFA" w:rsidP="00086778">
      <w:pPr>
        <w:tabs>
          <w:tab w:val="left" w:pos="-1080"/>
          <w:tab w:val="left" w:pos="-720"/>
          <w:tab w:val="left" w:pos="-1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7006158D" w14:textId="143A91B0" w:rsidR="00086778" w:rsidRPr="004D4454" w:rsidRDefault="00A949F1" w:rsidP="00086778">
      <w:pPr>
        <w:rPr>
          <w:strike/>
          <w:color w:val="FF0000"/>
          <w:sz w:val="22"/>
          <w:szCs w:val="22"/>
        </w:rPr>
      </w:pPr>
      <w:r w:rsidRPr="000F0C11">
        <w:rPr>
          <w:sz w:val="22"/>
          <w:szCs w:val="22"/>
        </w:rPr>
        <w:t xml:space="preserve">In addition to our Federal Register </w:t>
      </w:r>
      <w:r w:rsidR="00086778" w:rsidRPr="000F0C11">
        <w:rPr>
          <w:sz w:val="22"/>
          <w:szCs w:val="22"/>
        </w:rPr>
        <w:t>n</w:t>
      </w:r>
      <w:r w:rsidRPr="000F0C11">
        <w:rPr>
          <w:sz w:val="22"/>
          <w:szCs w:val="22"/>
        </w:rPr>
        <w:t xml:space="preserve">otice, we </w:t>
      </w:r>
      <w:r w:rsidR="002C1ABA" w:rsidRPr="000F0C11">
        <w:rPr>
          <w:sz w:val="22"/>
          <w:szCs w:val="22"/>
        </w:rPr>
        <w:t>solicited comments from three reviewers to obtain their views on the</w:t>
      </w:r>
      <w:r w:rsidRPr="000F0C11">
        <w:rPr>
          <w:sz w:val="22"/>
          <w:szCs w:val="22"/>
        </w:rPr>
        <w:t xml:space="preserve"> clarity of </w:t>
      </w:r>
      <w:r w:rsidR="002C1ABA" w:rsidRPr="000F0C11">
        <w:rPr>
          <w:sz w:val="22"/>
          <w:szCs w:val="22"/>
        </w:rPr>
        <w:t>announcement</w:t>
      </w:r>
      <w:r w:rsidR="00086778" w:rsidRPr="000F0C11">
        <w:rPr>
          <w:sz w:val="22"/>
          <w:szCs w:val="22"/>
        </w:rPr>
        <w:t>,</w:t>
      </w:r>
      <w:r w:rsidRPr="000F0C11">
        <w:rPr>
          <w:sz w:val="22"/>
          <w:szCs w:val="22"/>
        </w:rPr>
        <w:t xml:space="preserve"> the annual hour burden for the application materials</w:t>
      </w:r>
      <w:r w:rsidR="00086778" w:rsidRPr="000F0C11">
        <w:rPr>
          <w:sz w:val="22"/>
          <w:szCs w:val="22"/>
        </w:rPr>
        <w:t>.</w:t>
      </w:r>
      <w:r w:rsidR="002C1ABA" w:rsidRPr="000F0C11">
        <w:rPr>
          <w:sz w:val="22"/>
          <w:szCs w:val="22"/>
        </w:rPr>
        <w:t xml:space="preserve"> The responses revealed that b</w:t>
      </w:r>
      <w:r w:rsidR="0065336C" w:rsidRPr="000F0C11">
        <w:rPr>
          <w:sz w:val="22"/>
          <w:szCs w:val="22"/>
        </w:rPr>
        <w:t>oth program announcements contain the appropriate statutory authority for the program.  The program priorities, objectives, recipient matching requirements, terms and conditions, and O</w:t>
      </w:r>
      <w:r w:rsidR="00086778" w:rsidRPr="000F0C11">
        <w:rPr>
          <w:sz w:val="22"/>
          <w:szCs w:val="22"/>
        </w:rPr>
        <w:t>MB</w:t>
      </w:r>
      <w:r w:rsidR="0065336C" w:rsidRPr="000F0C11">
        <w:rPr>
          <w:sz w:val="22"/>
          <w:szCs w:val="22"/>
        </w:rPr>
        <w:t xml:space="preserve"> provisions are clearly defined in the announcements</w:t>
      </w:r>
      <w:r w:rsidR="002C1ABA" w:rsidRPr="000F0C11">
        <w:rPr>
          <w:sz w:val="22"/>
          <w:szCs w:val="22"/>
        </w:rPr>
        <w:t>. The individuals contacted are listed in Table 1 below</w:t>
      </w:r>
      <w:r w:rsidR="00086778" w:rsidRPr="000F0C11">
        <w:rPr>
          <w:sz w:val="22"/>
          <w:szCs w:val="22"/>
        </w:rPr>
        <w:t xml:space="preserve">. We incorporated their suggestions, edits, and comments in the final announcement. The </w:t>
      </w:r>
      <w:r w:rsidR="00086778" w:rsidRPr="000F0C11">
        <w:rPr>
          <w:sz w:val="22"/>
          <w:szCs w:val="22"/>
        </w:rPr>
        <w:lastRenderedPageBreak/>
        <w:t xml:space="preserve">respondents also agreed with our estimated burden time for the application of </w:t>
      </w:r>
      <w:r w:rsidR="00A71033" w:rsidRPr="000F0C11">
        <w:rPr>
          <w:sz w:val="22"/>
          <w:szCs w:val="22"/>
        </w:rPr>
        <w:t>36</w:t>
      </w:r>
      <w:r w:rsidR="00086778" w:rsidRPr="000F0C11">
        <w:rPr>
          <w:sz w:val="22"/>
          <w:szCs w:val="22"/>
        </w:rPr>
        <w:t xml:space="preserve"> hours (for both components). </w:t>
      </w:r>
      <w:r w:rsidR="00C65D9D" w:rsidRPr="000F0C11">
        <w:rPr>
          <w:sz w:val="22"/>
          <w:szCs w:val="22"/>
        </w:rPr>
        <w:t>This</w:t>
      </w:r>
      <w:r w:rsidR="00086778" w:rsidRPr="000F0C11">
        <w:rPr>
          <w:sz w:val="22"/>
          <w:szCs w:val="22"/>
        </w:rPr>
        <w:t xml:space="preserve"> estimate reflects the time it takes each applicant to prepare the narrative and provide the additional information needed to complete the application.</w:t>
      </w:r>
      <w:r w:rsidR="004A0F54" w:rsidRPr="000F0C11">
        <w:rPr>
          <w:sz w:val="22"/>
          <w:szCs w:val="22"/>
        </w:rPr>
        <w:t xml:space="preserve">  </w:t>
      </w:r>
      <w:r w:rsidR="003950DF">
        <w:rPr>
          <w:sz w:val="22"/>
          <w:szCs w:val="22"/>
        </w:rPr>
        <w:t>An additional 20 hours is required for each cooperative agreement recipient to complete and submit a final technical report due upon completion of the project.</w:t>
      </w:r>
    </w:p>
    <w:p w14:paraId="3475AF78" w14:textId="77777777" w:rsidR="0065336C" w:rsidRPr="00023BF2" w:rsidRDefault="0065336C" w:rsidP="0065336C">
      <w:pPr>
        <w:widowControl/>
        <w:rPr>
          <w:sz w:val="22"/>
          <w:szCs w:val="22"/>
        </w:rPr>
      </w:pPr>
    </w:p>
    <w:p w14:paraId="453733A0" w14:textId="77777777" w:rsidR="00086778" w:rsidRPr="00023BF2" w:rsidRDefault="00086778" w:rsidP="00A949F1">
      <w:pPr>
        <w:rPr>
          <w:b/>
          <w:sz w:val="22"/>
          <w:szCs w:val="22"/>
        </w:rPr>
      </w:pPr>
    </w:p>
    <w:p w14:paraId="71C45E1C" w14:textId="77777777" w:rsidR="00A949F1" w:rsidRPr="00023BF2" w:rsidRDefault="00A949F1" w:rsidP="00A949F1">
      <w:pPr>
        <w:rPr>
          <w:b/>
          <w:sz w:val="22"/>
          <w:szCs w:val="22"/>
        </w:rPr>
      </w:pPr>
      <w:r w:rsidRPr="00023BF2">
        <w:rPr>
          <w:b/>
          <w:sz w:val="22"/>
          <w:szCs w:val="22"/>
        </w:rPr>
        <w:t xml:space="preserve">Table 1. Individuals Contacted </w:t>
      </w:r>
    </w:p>
    <w:p w14:paraId="155B41F9" w14:textId="77777777" w:rsidR="00086778" w:rsidRPr="00023BF2" w:rsidRDefault="00086778" w:rsidP="00A949F1">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8"/>
        <w:gridCol w:w="3116"/>
      </w:tblGrid>
      <w:tr w:rsidR="00086778" w:rsidRPr="00023BF2" w14:paraId="499FD4BA" w14:textId="77777777" w:rsidTr="00086778">
        <w:tc>
          <w:tcPr>
            <w:tcW w:w="3192" w:type="dxa"/>
          </w:tcPr>
          <w:p w14:paraId="68FEB337" w14:textId="77777777" w:rsidR="00086778" w:rsidRPr="00622A29" w:rsidRDefault="00086778" w:rsidP="00086778">
            <w:pPr>
              <w:widowControl/>
              <w:rPr>
                <w:b/>
                <w:iCs/>
              </w:rPr>
            </w:pPr>
            <w:r w:rsidRPr="00622A29">
              <w:rPr>
                <w:b/>
                <w:iCs/>
              </w:rPr>
              <w:t>Contact #1</w:t>
            </w:r>
          </w:p>
          <w:p w14:paraId="0E2E22F2" w14:textId="77777777" w:rsidR="003E4A34" w:rsidRPr="00622A29" w:rsidRDefault="003E4A34" w:rsidP="00086778">
            <w:pPr>
              <w:widowControl/>
              <w:rPr>
                <w:iCs/>
              </w:rPr>
            </w:pPr>
            <w:r w:rsidRPr="00622A29">
              <w:rPr>
                <w:iCs/>
              </w:rPr>
              <w:t>Harvey Thorlie</w:t>
            </w:r>
            <w:r w:rsidR="00925F5D">
              <w:rPr>
                <w:iCs/>
              </w:rPr>
              <w:t>f</w:t>
            </w:r>
            <w:r w:rsidRPr="00622A29">
              <w:rPr>
                <w:iCs/>
              </w:rPr>
              <w:t>son</w:t>
            </w:r>
            <w:r w:rsidR="00086778" w:rsidRPr="00622A29">
              <w:rPr>
                <w:iCs/>
              </w:rPr>
              <w:t xml:space="preserve">, </w:t>
            </w:r>
          </w:p>
          <w:p w14:paraId="1AFF48DA" w14:textId="77777777" w:rsidR="003E4A34" w:rsidRPr="00622A29" w:rsidRDefault="003E4A34" w:rsidP="00086778">
            <w:pPr>
              <w:widowControl/>
              <w:rPr>
                <w:iCs/>
              </w:rPr>
            </w:pPr>
            <w:r w:rsidRPr="00622A29">
              <w:rPr>
                <w:iCs/>
              </w:rPr>
              <w:t xml:space="preserve">State </w:t>
            </w:r>
            <w:r w:rsidR="00925F5D" w:rsidRPr="00622A29">
              <w:rPr>
                <w:iCs/>
              </w:rPr>
              <w:t>Geologist</w:t>
            </w:r>
          </w:p>
          <w:p w14:paraId="4E9A89BE" w14:textId="77777777" w:rsidR="00086778" w:rsidRPr="00622A29" w:rsidRDefault="003E4A34" w:rsidP="00086778">
            <w:pPr>
              <w:widowControl/>
              <w:rPr>
                <w:iCs/>
              </w:rPr>
            </w:pPr>
            <w:r w:rsidRPr="00622A29">
              <w:rPr>
                <w:iCs/>
              </w:rPr>
              <w:t>Minnesota Geological Survey</w:t>
            </w:r>
          </w:p>
          <w:p w14:paraId="19A320DB" w14:textId="77777777" w:rsidR="00086778" w:rsidRPr="00622A29" w:rsidRDefault="003E4A34" w:rsidP="00086778">
            <w:pPr>
              <w:widowControl/>
              <w:rPr>
                <w:iCs/>
              </w:rPr>
            </w:pPr>
            <w:r w:rsidRPr="00622A29">
              <w:rPr>
                <w:iCs/>
              </w:rPr>
              <w:t>2642 University Avenue West</w:t>
            </w:r>
          </w:p>
          <w:p w14:paraId="22303B71" w14:textId="77777777" w:rsidR="003E4A34" w:rsidRPr="00622A29" w:rsidRDefault="003E4A34" w:rsidP="00086778">
            <w:pPr>
              <w:widowControl/>
              <w:rPr>
                <w:iCs/>
              </w:rPr>
            </w:pPr>
            <w:r w:rsidRPr="00622A29">
              <w:rPr>
                <w:iCs/>
              </w:rPr>
              <w:t>St Paul Minnesota</w:t>
            </w:r>
          </w:p>
          <w:p w14:paraId="2F651546" w14:textId="77777777" w:rsidR="00086778" w:rsidRPr="00622A29" w:rsidRDefault="003E4A34" w:rsidP="00086778">
            <w:pPr>
              <w:widowControl/>
              <w:rPr>
                <w:iCs/>
              </w:rPr>
            </w:pPr>
            <w:r w:rsidRPr="00622A29">
              <w:rPr>
                <w:iCs/>
              </w:rPr>
              <w:t>(612) 627-4780</w:t>
            </w:r>
          </w:p>
          <w:p w14:paraId="53EDF33F" w14:textId="77777777" w:rsidR="00086778" w:rsidRPr="00622A29" w:rsidRDefault="00086778" w:rsidP="00086778">
            <w:pPr>
              <w:tabs>
                <w:tab w:val="left" w:pos="1190"/>
              </w:tabs>
              <w:rPr>
                <w:b/>
              </w:rPr>
            </w:pPr>
          </w:p>
        </w:tc>
        <w:tc>
          <w:tcPr>
            <w:tcW w:w="3192" w:type="dxa"/>
          </w:tcPr>
          <w:p w14:paraId="6A99A967" w14:textId="77777777" w:rsidR="00086778" w:rsidRPr="00622A29" w:rsidRDefault="00086778" w:rsidP="00086778">
            <w:pPr>
              <w:widowControl/>
              <w:rPr>
                <w:b/>
              </w:rPr>
            </w:pPr>
            <w:r w:rsidRPr="00622A29">
              <w:rPr>
                <w:b/>
              </w:rPr>
              <w:t>Contact #2</w:t>
            </w:r>
          </w:p>
          <w:p w14:paraId="2404B561" w14:textId="77777777" w:rsidR="002F648F" w:rsidRPr="00622A29" w:rsidRDefault="002F648F" w:rsidP="002F648F">
            <w:pPr>
              <w:widowControl/>
              <w:autoSpaceDE/>
              <w:autoSpaceDN/>
              <w:adjustRightInd/>
            </w:pPr>
            <w:r w:rsidRPr="00622A29">
              <w:t>John Holbrook, Professor</w:t>
            </w:r>
          </w:p>
          <w:p w14:paraId="63AEFF5C" w14:textId="77777777" w:rsidR="00BB2DEA" w:rsidRPr="00622A29" w:rsidRDefault="00BB2DEA" w:rsidP="002F648F">
            <w:pPr>
              <w:widowControl/>
              <w:autoSpaceDE/>
              <w:autoSpaceDN/>
              <w:adjustRightInd/>
            </w:pPr>
            <w:r w:rsidRPr="00622A29">
              <w:t>School of Geology</w:t>
            </w:r>
            <w:r w:rsidR="00925F5D">
              <w:t>,</w:t>
            </w:r>
          </w:p>
          <w:p w14:paraId="4B87644F" w14:textId="77777777" w:rsidR="00BB2DEA" w:rsidRPr="00622A29" w:rsidRDefault="00BB2DEA" w:rsidP="002F648F">
            <w:pPr>
              <w:widowControl/>
              <w:autoSpaceDE/>
              <w:autoSpaceDN/>
              <w:adjustRightInd/>
            </w:pPr>
            <w:r w:rsidRPr="00622A29">
              <w:t>Energy</w:t>
            </w:r>
            <w:r w:rsidR="00925F5D">
              <w:t>,</w:t>
            </w:r>
            <w:r w:rsidRPr="00622A29">
              <w:t xml:space="preserve"> and </w:t>
            </w:r>
            <w:r w:rsidR="00925F5D">
              <w:t xml:space="preserve">the </w:t>
            </w:r>
            <w:r w:rsidRPr="00622A29">
              <w:t>Enviro</w:t>
            </w:r>
            <w:r w:rsidR="00F80523" w:rsidRPr="00622A29">
              <w:t>nment</w:t>
            </w:r>
          </w:p>
          <w:p w14:paraId="241FF627" w14:textId="77777777" w:rsidR="00BB2DEA" w:rsidRPr="00622A29" w:rsidRDefault="00BB2DEA" w:rsidP="002F648F">
            <w:pPr>
              <w:widowControl/>
              <w:autoSpaceDE/>
              <w:autoSpaceDN/>
              <w:adjustRightInd/>
            </w:pPr>
            <w:r w:rsidRPr="00622A29">
              <w:t>Texas Christian University</w:t>
            </w:r>
          </w:p>
          <w:p w14:paraId="79330CA2" w14:textId="77777777" w:rsidR="00BB2DEA" w:rsidRPr="00622A29" w:rsidRDefault="00BB2DEA" w:rsidP="002F648F">
            <w:pPr>
              <w:widowControl/>
              <w:autoSpaceDE/>
              <w:autoSpaceDN/>
              <w:adjustRightInd/>
            </w:pPr>
            <w:r w:rsidRPr="00622A29">
              <w:t>Box 29830</w:t>
            </w:r>
          </w:p>
          <w:p w14:paraId="36789438" w14:textId="77777777" w:rsidR="00BB2DEA" w:rsidRPr="00622A29" w:rsidRDefault="00BB2DEA" w:rsidP="002F648F">
            <w:pPr>
              <w:widowControl/>
              <w:autoSpaceDE/>
              <w:autoSpaceDN/>
              <w:adjustRightInd/>
            </w:pPr>
            <w:r w:rsidRPr="00622A29">
              <w:t>Fort Worth, Texas  76129</w:t>
            </w:r>
          </w:p>
          <w:p w14:paraId="4ADAFB70" w14:textId="77777777" w:rsidR="00BB2DEA" w:rsidRPr="00622A29" w:rsidRDefault="00BB2DEA" w:rsidP="002F648F">
            <w:pPr>
              <w:widowControl/>
              <w:autoSpaceDE/>
              <w:autoSpaceDN/>
              <w:adjustRightInd/>
            </w:pPr>
            <w:r w:rsidRPr="00622A29">
              <w:t>(817)</w:t>
            </w:r>
            <w:r w:rsidR="00925F5D">
              <w:t xml:space="preserve"> </w:t>
            </w:r>
            <w:r w:rsidRPr="00622A29">
              <w:t>257-6275</w:t>
            </w:r>
          </w:p>
          <w:p w14:paraId="4DECE263" w14:textId="77777777" w:rsidR="00086778" w:rsidRPr="00622A29" w:rsidRDefault="00086778" w:rsidP="003E4A34"/>
        </w:tc>
        <w:tc>
          <w:tcPr>
            <w:tcW w:w="3192" w:type="dxa"/>
          </w:tcPr>
          <w:p w14:paraId="13B5BC9F" w14:textId="77777777" w:rsidR="00086778" w:rsidRPr="00622A29" w:rsidRDefault="00086778" w:rsidP="00086778">
            <w:pPr>
              <w:widowControl/>
              <w:rPr>
                <w:b/>
              </w:rPr>
            </w:pPr>
            <w:r w:rsidRPr="00622A29">
              <w:rPr>
                <w:b/>
              </w:rPr>
              <w:t>Contact #3</w:t>
            </w:r>
          </w:p>
          <w:p w14:paraId="3E11CC45" w14:textId="77777777" w:rsidR="003E4A34" w:rsidRPr="00622A29" w:rsidRDefault="003E4A34" w:rsidP="003E4A34">
            <w:r w:rsidRPr="00622A29">
              <w:t xml:space="preserve">Margaret J. Guccione </w:t>
            </w:r>
          </w:p>
          <w:p w14:paraId="4BD648DC" w14:textId="77777777" w:rsidR="003E4A34" w:rsidRPr="00622A29" w:rsidRDefault="003E4A34" w:rsidP="003E4A34">
            <w:r w:rsidRPr="00622A29">
              <w:t>Department of Geosciences</w:t>
            </w:r>
          </w:p>
          <w:p w14:paraId="76B5F8EF" w14:textId="77777777" w:rsidR="003E4A34" w:rsidRPr="00622A29" w:rsidRDefault="003E4A34" w:rsidP="003E4A34">
            <w:r w:rsidRPr="00622A29">
              <w:t>OZAR-113</w:t>
            </w:r>
          </w:p>
          <w:p w14:paraId="3E1BE0EF" w14:textId="77777777" w:rsidR="003E4A34" w:rsidRPr="00622A29" w:rsidRDefault="003E4A34" w:rsidP="003E4A34">
            <w:r w:rsidRPr="00622A29">
              <w:t>University of Arkansas</w:t>
            </w:r>
          </w:p>
          <w:p w14:paraId="4E911142" w14:textId="77777777" w:rsidR="003E4A34" w:rsidRPr="00622A29" w:rsidRDefault="003E4A34" w:rsidP="003E4A34">
            <w:r w:rsidRPr="00622A29">
              <w:t>Fayetteville, AR  72701</w:t>
            </w:r>
          </w:p>
          <w:p w14:paraId="2E4FE20D" w14:textId="77777777" w:rsidR="00086778" w:rsidRPr="00622A29" w:rsidRDefault="00925F5D" w:rsidP="003E4A34">
            <w:pPr>
              <w:widowControl/>
              <w:rPr>
                <w:b/>
              </w:rPr>
            </w:pPr>
            <w:r>
              <w:t>(</w:t>
            </w:r>
            <w:r w:rsidR="003E4A34" w:rsidRPr="00622A29">
              <w:t>479</w:t>
            </w:r>
            <w:r>
              <w:t xml:space="preserve">) </w:t>
            </w:r>
            <w:r w:rsidR="003E4A34" w:rsidRPr="00622A29">
              <w:t>575-3354</w:t>
            </w:r>
          </w:p>
        </w:tc>
      </w:tr>
    </w:tbl>
    <w:p w14:paraId="13B0D2C4" w14:textId="77777777" w:rsidR="00086778" w:rsidRPr="00290769" w:rsidRDefault="00086778" w:rsidP="00A949F1">
      <w:pPr>
        <w:rPr>
          <w:b/>
          <w:sz w:val="22"/>
          <w:szCs w:val="22"/>
        </w:rPr>
      </w:pPr>
    </w:p>
    <w:p w14:paraId="019271F6"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290769">
        <w:rPr>
          <w:b/>
          <w:bCs/>
          <w:sz w:val="22"/>
          <w:szCs w:val="22"/>
        </w:rPr>
        <w:t>9.</w:t>
      </w:r>
      <w:r w:rsidRPr="00290769">
        <w:rPr>
          <w:b/>
          <w:bCs/>
          <w:sz w:val="22"/>
          <w:szCs w:val="22"/>
        </w:rPr>
        <w:tab/>
        <w:t xml:space="preserve">Explain any decision to provide any payment or gift to respondents, other than remuneration of contractors or grantees. </w:t>
      </w:r>
    </w:p>
    <w:p w14:paraId="6A2AAC27" w14:textId="77777777" w:rsidR="00086778" w:rsidRPr="00290769" w:rsidRDefault="00086778"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021B4072" w14:textId="77777777" w:rsidR="001325E9" w:rsidRPr="00290769" w:rsidRDefault="00A949F1" w:rsidP="001325E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90769">
        <w:rPr>
          <w:sz w:val="22"/>
          <w:szCs w:val="22"/>
        </w:rPr>
        <w:t>We do not provide any payments or gifts other than the remuneration of grantees</w:t>
      </w:r>
      <w:r w:rsidR="001325E9" w:rsidRPr="00290769">
        <w:rPr>
          <w:sz w:val="22"/>
          <w:szCs w:val="22"/>
        </w:rPr>
        <w:t>.</w:t>
      </w:r>
    </w:p>
    <w:p w14:paraId="6A84000C"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502B3C3" w14:textId="77777777" w:rsidR="009C4E70" w:rsidRPr="00290769" w:rsidRDefault="009C4E70"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290769">
        <w:rPr>
          <w:b/>
          <w:sz w:val="22"/>
          <w:szCs w:val="22"/>
        </w:rPr>
        <w:t>10.  Describe any assurance of confidentiality provided to respondents and the basis for</w:t>
      </w:r>
      <w:r w:rsidR="002C1ABA" w:rsidRPr="00290769">
        <w:rPr>
          <w:b/>
          <w:sz w:val="22"/>
          <w:szCs w:val="22"/>
        </w:rPr>
        <w:t xml:space="preserve"> </w:t>
      </w:r>
      <w:r w:rsidRPr="00290769">
        <w:rPr>
          <w:b/>
          <w:sz w:val="22"/>
          <w:szCs w:val="22"/>
        </w:rPr>
        <w:t>th</w:t>
      </w:r>
      <w:r w:rsidR="00470924" w:rsidRPr="00290769">
        <w:rPr>
          <w:b/>
          <w:sz w:val="22"/>
          <w:szCs w:val="22"/>
        </w:rPr>
        <w:t>e</w:t>
      </w:r>
      <w:r w:rsidRPr="00290769">
        <w:rPr>
          <w:b/>
          <w:sz w:val="22"/>
          <w:szCs w:val="22"/>
        </w:rPr>
        <w:t xml:space="preserve"> as</w:t>
      </w:r>
      <w:r w:rsidR="00470924" w:rsidRPr="00290769">
        <w:rPr>
          <w:b/>
          <w:sz w:val="22"/>
          <w:szCs w:val="22"/>
        </w:rPr>
        <w:t xml:space="preserve">surance in statute, regulation, </w:t>
      </w:r>
      <w:r w:rsidRPr="00290769">
        <w:rPr>
          <w:b/>
          <w:sz w:val="22"/>
          <w:szCs w:val="22"/>
        </w:rPr>
        <w:t>or agency poli</w:t>
      </w:r>
      <w:r w:rsidR="00470924" w:rsidRPr="00290769">
        <w:rPr>
          <w:b/>
          <w:sz w:val="22"/>
          <w:szCs w:val="22"/>
        </w:rPr>
        <w:t>c</w:t>
      </w:r>
      <w:r w:rsidRPr="00290769">
        <w:rPr>
          <w:b/>
          <w:sz w:val="22"/>
          <w:szCs w:val="22"/>
        </w:rPr>
        <w:t>y.</w:t>
      </w:r>
    </w:p>
    <w:p w14:paraId="33B723CC" w14:textId="77777777" w:rsidR="00A949F1" w:rsidRPr="00290769" w:rsidRDefault="00A949F1" w:rsidP="00A949F1">
      <w:pPr>
        <w:widowControl/>
        <w:tabs>
          <w:tab w:val="left" w:pos="-1080"/>
          <w:tab w:val="left" w:pos="-720"/>
          <w:tab w:val="left" w:pos="360"/>
          <w:tab w:val="left" w:pos="810"/>
        </w:tabs>
        <w:rPr>
          <w:sz w:val="22"/>
          <w:szCs w:val="22"/>
        </w:rPr>
      </w:pPr>
    </w:p>
    <w:p w14:paraId="13E5086D" w14:textId="77777777" w:rsidR="00A949F1" w:rsidRPr="00290769" w:rsidRDefault="00A949F1" w:rsidP="00A949F1">
      <w:pPr>
        <w:widowControl/>
        <w:tabs>
          <w:tab w:val="left" w:pos="-1080"/>
          <w:tab w:val="left" w:pos="-720"/>
          <w:tab w:val="left" w:pos="360"/>
          <w:tab w:val="left" w:pos="810"/>
        </w:tabs>
        <w:rPr>
          <w:sz w:val="22"/>
          <w:szCs w:val="22"/>
        </w:rPr>
      </w:pPr>
      <w:r w:rsidRPr="00290769">
        <w:rPr>
          <w:sz w:val="22"/>
          <w:szCs w:val="22"/>
        </w:rPr>
        <w:t>No assurance of confidentiality is given to respondents.</w:t>
      </w:r>
    </w:p>
    <w:p w14:paraId="548103BB"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7478F75F"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b/>
          <w:bCs/>
          <w:sz w:val="22"/>
          <w:szCs w:val="22"/>
        </w:rPr>
        <w:t>11.</w:t>
      </w:r>
      <w:r w:rsidRPr="00290769">
        <w:rPr>
          <w:b/>
          <w:bCs/>
          <w:sz w:val="22"/>
          <w:szCs w:val="22"/>
        </w:rPr>
        <w:tab/>
      </w:r>
      <w:r w:rsidRPr="00290769">
        <w:rPr>
          <w:b/>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FB6DA91" w14:textId="77777777" w:rsidR="00086778" w:rsidRPr="00290769" w:rsidRDefault="00086778" w:rsidP="001325E9">
      <w:pPr>
        <w:rPr>
          <w:bCs/>
          <w:sz w:val="22"/>
          <w:szCs w:val="22"/>
        </w:rPr>
      </w:pPr>
    </w:p>
    <w:p w14:paraId="04EBCB9D" w14:textId="77777777" w:rsidR="001325E9" w:rsidRPr="00290769" w:rsidRDefault="00086778" w:rsidP="001325E9">
      <w:pPr>
        <w:rPr>
          <w:sz w:val="22"/>
          <w:szCs w:val="22"/>
        </w:rPr>
      </w:pPr>
      <w:r w:rsidRPr="00290769">
        <w:rPr>
          <w:bCs/>
          <w:sz w:val="22"/>
          <w:szCs w:val="22"/>
        </w:rPr>
        <w:t xml:space="preserve">We </w:t>
      </w:r>
      <w:r w:rsidR="001325E9" w:rsidRPr="00290769">
        <w:rPr>
          <w:sz w:val="22"/>
          <w:szCs w:val="22"/>
        </w:rPr>
        <w:t>do not require information of a sensitive nature.</w:t>
      </w:r>
    </w:p>
    <w:p w14:paraId="64EEFED4"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FB2FF14"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290769">
        <w:rPr>
          <w:b/>
          <w:bCs/>
          <w:sz w:val="22"/>
          <w:szCs w:val="22"/>
        </w:rPr>
        <w:t>12.</w:t>
      </w:r>
      <w:r w:rsidRPr="00290769">
        <w:rPr>
          <w:b/>
          <w:bCs/>
          <w:sz w:val="22"/>
          <w:szCs w:val="22"/>
        </w:rPr>
        <w:tab/>
      </w:r>
      <w:r w:rsidRPr="00290769">
        <w:rPr>
          <w:b/>
          <w:sz w:val="22"/>
          <w:szCs w:val="22"/>
        </w:rPr>
        <w:t xml:space="preserve">Provide estimates of the hour burden of </w:t>
      </w:r>
      <w:r w:rsidR="00EB07F0">
        <w:rPr>
          <w:b/>
          <w:sz w:val="22"/>
          <w:szCs w:val="22"/>
        </w:rPr>
        <w:t xml:space="preserve">the collection of information. </w:t>
      </w:r>
    </w:p>
    <w:p w14:paraId="50F089F7"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36E9B18E" w14:textId="67738642" w:rsidR="00D6174E" w:rsidRPr="0014012A" w:rsidRDefault="00086778" w:rsidP="00A949F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4012A">
        <w:rPr>
          <w:sz w:val="22"/>
          <w:szCs w:val="22"/>
        </w:rPr>
        <w:t>O</w:t>
      </w:r>
      <w:r w:rsidR="00A949F1" w:rsidRPr="0014012A">
        <w:rPr>
          <w:sz w:val="22"/>
          <w:szCs w:val="22"/>
        </w:rPr>
        <w:t xml:space="preserve">ur estimates are based on our own knowledge plus the outreach described in item 8. </w:t>
      </w:r>
      <w:r w:rsidR="00D6174E" w:rsidRPr="0014012A">
        <w:rPr>
          <w:sz w:val="22"/>
          <w:szCs w:val="22"/>
        </w:rPr>
        <w:t>For the EDMAP</w:t>
      </w:r>
      <w:r w:rsidRPr="0014012A">
        <w:rPr>
          <w:sz w:val="22"/>
          <w:szCs w:val="22"/>
        </w:rPr>
        <w:t xml:space="preserve"> component</w:t>
      </w:r>
      <w:r w:rsidR="00D6174E" w:rsidRPr="0014012A">
        <w:rPr>
          <w:b/>
          <w:sz w:val="22"/>
          <w:szCs w:val="22"/>
        </w:rPr>
        <w:t>,</w:t>
      </w:r>
      <w:r w:rsidR="00D6174E" w:rsidRPr="0014012A">
        <w:rPr>
          <w:sz w:val="22"/>
          <w:szCs w:val="22"/>
        </w:rPr>
        <w:t xml:space="preserve"> w</w:t>
      </w:r>
      <w:r w:rsidR="00A949F1" w:rsidRPr="0014012A">
        <w:rPr>
          <w:sz w:val="22"/>
          <w:szCs w:val="22"/>
        </w:rPr>
        <w:t>e expect to receive 5</w:t>
      </w:r>
      <w:r w:rsidR="00D96F45" w:rsidRPr="0014012A">
        <w:rPr>
          <w:sz w:val="22"/>
          <w:szCs w:val="22"/>
        </w:rPr>
        <w:t>0</w:t>
      </w:r>
      <w:r w:rsidR="00A949F1" w:rsidRPr="0014012A">
        <w:rPr>
          <w:sz w:val="22"/>
          <w:szCs w:val="22"/>
        </w:rPr>
        <w:t xml:space="preserve"> applications, </w:t>
      </w:r>
      <w:r w:rsidRPr="0014012A">
        <w:rPr>
          <w:sz w:val="22"/>
          <w:szCs w:val="22"/>
        </w:rPr>
        <w:t xml:space="preserve">each </w:t>
      </w:r>
      <w:r w:rsidR="00A949F1" w:rsidRPr="0014012A">
        <w:rPr>
          <w:sz w:val="22"/>
          <w:szCs w:val="22"/>
        </w:rPr>
        <w:t>taking app</w:t>
      </w:r>
      <w:r w:rsidRPr="0014012A">
        <w:rPr>
          <w:sz w:val="22"/>
          <w:szCs w:val="22"/>
        </w:rPr>
        <w:t xml:space="preserve">roximately </w:t>
      </w:r>
      <w:r w:rsidR="0014322F">
        <w:rPr>
          <w:sz w:val="22"/>
          <w:szCs w:val="22"/>
        </w:rPr>
        <w:t>36</w:t>
      </w:r>
      <w:r w:rsidR="0014322F" w:rsidRPr="0014012A">
        <w:rPr>
          <w:sz w:val="22"/>
          <w:szCs w:val="22"/>
        </w:rPr>
        <w:t xml:space="preserve"> </w:t>
      </w:r>
      <w:r w:rsidRPr="0014012A">
        <w:rPr>
          <w:sz w:val="22"/>
          <w:szCs w:val="22"/>
        </w:rPr>
        <w:t>hours to complete</w:t>
      </w:r>
      <w:r w:rsidR="00A949F1" w:rsidRPr="0014012A">
        <w:rPr>
          <w:sz w:val="22"/>
          <w:szCs w:val="22"/>
        </w:rPr>
        <w:t xml:space="preserve"> </w:t>
      </w:r>
      <w:r w:rsidRPr="0014012A">
        <w:rPr>
          <w:sz w:val="22"/>
          <w:szCs w:val="22"/>
        </w:rPr>
        <w:t>(</w:t>
      </w:r>
      <w:r w:rsidR="00A949F1" w:rsidRPr="0014012A">
        <w:rPr>
          <w:sz w:val="22"/>
          <w:szCs w:val="22"/>
        </w:rPr>
        <w:t xml:space="preserve">totaling </w:t>
      </w:r>
      <w:r w:rsidR="00D96F45" w:rsidRPr="0014012A">
        <w:rPr>
          <w:sz w:val="22"/>
          <w:szCs w:val="22"/>
        </w:rPr>
        <w:t>1,</w:t>
      </w:r>
      <w:r w:rsidR="00E2707A">
        <w:rPr>
          <w:sz w:val="22"/>
          <w:szCs w:val="22"/>
        </w:rPr>
        <w:t>8</w:t>
      </w:r>
      <w:r w:rsidR="00D96F45" w:rsidRPr="0014012A">
        <w:rPr>
          <w:sz w:val="22"/>
          <w:szCs w:val="22"/>
        </w:rPr>
        <w:t>00</w:t>
      </w:r>
      <w:r w:rsidR="00A949F1" w:rsidRPr="0014012A">
        <w:rPr>
          <w:sz w:val="22"/>
          <w:szCs w:val="22"/>
        </w:rPr>
        <w:t xml:space="preserve"> burden hours</w:t>
      </w:r>
      <w:r w:rsidRPr="0014012A">
        <w:rPr>
          <w:sz w:val="22"/>
          <w:szCs w:val="22"/>
        </w:rPr>
        <w:t>)</w:t>
      </w:r>
      <w:r w:rsidR="00A949F1" w:rsidRPr="0014012A">
        <w:rPr>
          <w:sz w:val="22"/>
          <w:szCs w:val="22"/>
        </w:rPr>
        <w:t>. We anticipate awarding an average of 4</w:t>
      </w:r>
      <w:r w:rsidR="00D96F45" w:rsidRPr="0014012A">
        <w:rPr>
          <w:sz w:val="22"/>
          <w:szCs w:val="22"/>
        </w:rPr>
        <w:t>5</w:t>
      </w:r>
      <w:r w:rsidR="00A949F1" w:rsidRPr="0014012A">
        <w:rPr>
          <w:sz w:val="22"/>
          <w:szCs w:val="22"/>
        </w:rPr>
        <w:t xml:space="preserve"> grants per year. The </w:t>
      </w:r>
      <w:r w:rsidR="00D96F45" w:rsidRPr="0014012A">
        <w:rPr>
          <w:sz w:val="22"/>
          <w:szCs w:val="22"/>
        </w:rPr>
        <w:t>45</w:t>
      </w:r>
      <w:r w:rsidR="00A949F1" w:rsidRPr="0014012A">
        <w:rPr>
          <w:sz w:val="22"/>
          <w:szCs w:val="22"/>
        </w:rPr>
        <w:t xml:space="preserve"> award recipients are required</w:t>
      </w:r>
      <w:r w:rsidR="002C1ABA" w:rsidRPr="0014012A">
        <w:rPr>
          <w:sz w:val="22"/>
          <w:szCs w:val="22"/>
        </w:rPr>
        <w:t xml:space="preserve"> to submit</w:t>
      </w:r>
      <w:r w:rsidR="00E83344" w:rsidRPr="0014012A">
        <w:rPr>
          <w:sz w:val="22"/>
          <w:szCs w:val="22"/>
        </w:rPr>
        <w:t xml:space="preserve"> a final technical</w:t>
      </w:r>
      <w:r w:rsidR="00A949F1" w:rsidRPr="0014012A">
        <w:rPr>
          <w:sz w:val="22"/>
          <w:szCs w:val="22"/>
        </w:rPr>
        <w:t xml:space="preserve"> report</w:t>
      </w:r>
      <w:r w:rsidR="00E83344" w:rsidRPr="0014012A">
        <w:rPr>
          <w:sz w:val="22"/>
          <w:szCs w:val="22"/>
        </w:rPr>
        <w:t xml:space="preserve"> and </w:t>
      </w:r>
      <w:r w:rsidR="0069035E" w:rsidRPr="0014012A">
        <w:rPr>
          <w:sz w:val="22"/>
          <w:szCs w:val="22"/>
        </w:rPr>
        <w:t>a</w:t>
      </w:r>
      <w:r w:rsidR="00E83344" w:rsidRPr="0014012A">
        <w:rPr>
          <w:sz w:val="22"/>
          <w:szCs w:val="22"/>
        </w:rPr>
        <w:t xml:space="preserve"> geologic map</w:t>
      </w:r>
      <w:r w:rsidR="00A949F1" w:rsidRPr="0014012A">
        <w:rPr>
          <w:sz w:val="22"/>
          <w:szCs w:val="22"/>
        </w:rPr>
        <w:t>.</w:t>
      </w:r>
      <w:r w:rsidR="00847EEB">
        <w:rPr>
          <w:sz w:val="22"/>
          <w:szCs w:val="22"/>
        </w:rPr>
        <w:t xml:space="preserve">  An additional 20 hours is estimated for each cooperative agreement recipient to complete and submit a final technical report due upon completion of the project.</w:t>
      </w:r>
      <w:r w:rsidR="0060728E">
        <w:rPr>
          <w:sz w:val="22"/>
          <w:szCs w:val="22"/>
        </w:rPr>
        <w:t xml:space="preserve"> </w:t>
      </w:r>
      <w:r w:rsidR="00847EEB">
        <w:rPr>
          <w:sz w:val="22"/>
          <w:szCs w:val="22"/>
        </w:rPr>
        <w:t xml:space="preserve"> </w:t>
      </w:r>
      <w:r w:rsidR="0069035E" w:rsidRPr="0014012A">
        <w:rPr>
          <w:sz w:val="22"/>
          <w:szCs w:val="22"/>
        </w:rPr>
        <w:t xml:space="preserve">The total number of hours for collection of each grant recipient is </w:t>
      </w:r>
      <w:r w:rsidR="00E2707A">
        <w:rPr>
          <w:sz w:val="22"/>
          <w:szCs w:val="22"/>
        </w:rPr>
        <w:t>56</w:t>
      </w:r>
      <w:r w:rsidR="002C0B28">
        <w:rPr>
          <w:sz w:val="22"/>
          <w:szCs w:val="22"/>
        </w:rPr>
        <w:t xml:space="preserve"> </w:t>
      </w:r>
      <w:r w:rsidR="0069035E" w:rsidRPr="0014012A">
        <w:rPr>
          <w:sz w:val="22"/>
          <w:szCs w:val="22"/>
        </w:rPr>
        <w:t xml:space="preserve">hours.  We estimate that the total burden for this collection will be </w:t>
      </w:r>
      <w:r w:rsidR="002C0B28">
        <w:rPr>
          <w:sz w:val="22"/>
          <w:szCs w:val="22"/>
        </w:rPr>
        <w:t>2,700</w:t>
      </w:r>
      <w:r w:rsidR="0069035E" w:rsidRPr="0014012A">
        <w:rPr>
          <w:sz w:val="22"/>
          <w:szCs w:val="22"/>
        </w:rPr>
        <w:t xml:space="preserve"> hours.</w:t>
      </w:r>
    </w:p>
    <w:p w14:paraId="3E4D72D9" w14:textId="77777777" w:rsidR="00D6174E" w:rsidRPr="0014012A" w:rsidRDefault="00D6174E" w:rsidP="00A949F1">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C3BB5A4" w14:textId="77777777" w:rsidR="00EF7830" w:rsidRPr="0014012A" w:rsidRDefault="00D6174E" w:rsidP="00EF783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14012A">
        <w:rPr>
          <w:sz w:val="22"/>
          <w:szCs w:val="22"/>
        </w:rPr>
        <w:t>For the STATEMAP</w:t>
      </w:r>
      <w:r w:rsidR="00A949F1" w:rsidRPr="0014012A">
        <w:rPr>
          <w:sz w:val="22"/>
          <w:szCs w:val="22"/>
        </w:rPr>
        <w:t xml:space="preserve"> </w:t>
      </w:r>
      <w:r w:rsidR="00086778" w:rsidRPr="0014012A">
        <w:rPr>
          <w:sz w:val="22"/>
          <w:szCs w:val="22"/>
        </w:rPr>
        <w:t xml:space="preserve">component, </w:t>
      </w:r>
      <w:r w:rsidR="00EF7830" w:rsidRPr="0014012A">
        <w:rPr>
          <w:sz w:val="22"/>
          <w:szCs w:val="22"/>
        </w:rPr>
        <w:t xml:space="preserve">we expect to receive </w:t>
      </w:r>
      <w:r w:rsidR="00B94AE8" w:rsidRPr="0014012A">
        <w:rPr>
          <w:sz w:val="22"/>
          <w:szCs w:val="22"/>
        </w:rPr>
        <w:t>4</w:t>
      </w:r>
      <w:r w:rsidR="00D96F45" w:rsidRPr="0014012A">
        <w:rPr>
          <w:sz w:val="22"/>
          <w:szCs w:val="22"/>
        </w:rPr>
        <w:t>5</w:t>
      </w:r>
      <w:r w:rsidR="00EF7830" w:rsidRPr="0014012A">
        <w:rPr>
          <w:sz w:val="22"/>
          <w:szCs w:val="22"/>
        </w:rPr>
        <w:t xml:space="preserve"> applications, </w:t>
      </w:r>
      <w:r w:rsidR="00086778" w:rsidRPr="0014012A">
        <w:rPr>
          <w:sz w:val="22"/>
          <w:szCs w:val="22"/>
        </w:rPr>
        <w:t xml:space="preserve">each </w:t>
      </w:r>
      <w:r w:rsidR="00EF7830" w:rsidRPr="0014012A">
        <w:rPr>
          <w:sz w:val="22"/>
          <w:szCs w:val="22"/>
        </w:rPr>
        <w:t>taking appr</w:t>
      </w:r>
      <w:r w:rsidR="00086778" w:rsidRPr="0014012A">
        <w:rPr>
          <w:sz w:val="22"/>
          <w:szCs w:val="22"/>
        </w:rPr>
        <w:t xml:space="preserve">oximately </w:t>
      </w:r>
      <w:r w:rsidR="002C0B28">
        <w:rPr>
          <w:sz w:val="22"/>
          <w:szCs w:val="22"/>
        </w:rPr>
        <w:t>36</w:t>
      </w:r>
      <w:r w:rsidR="002C0B28" w:rsidRPr="0014012A">
        <w:rPr>
          <w:sz w:val="22"/>
          <w:szCs w:val="22"/>
        </w:rPr>
        <w:t xml:space="preserve"> </w:t>
      </w:r>
      <w:r w:rsidR="00086778" w:rsidRPr="0014012A">
        <w:rPr>
          <w:sz w:val="22"/>
          <w:szCs w:val="22"/>
        </w:rPr>
        <w:t>hours to complete (</w:t>
      </w:r>
      <w:r w:rsidR="00EF7830" w:rsidRPr="0014012A">
        <w:rPr>
          <w:sz w:val="22"/>
          <w:szCs w:val="22"/>
        </w:rPr>
        <w:t xml:space="preserve">totaling </w:t>
      </w:r>
      <w:r w:rsidR="002C0B28">
        <w:rPr>
          <w:sz w:val="22"/>
          <w:szCs w:val="22"/>
        </w:rPr>
        <w:t>1620</w:t>
      </w:r>
      <w:r w:rsidR="002C0B28" w:rsidRPr="0014012A">
        <w:rPr>
          <w:sz w:val="22"/>
          <w:szCs w:val="22"/>
        </w:rPr>
        <w:t xml:space="preserve"> </w:t>
      </w:r>
      <w:r w:rsidR="00EF7830" w:rsidRPr="0014012A">
        <w:rPr>
          <w:sz w:val="22"/>
          <w:szCs w:val="22"/>
        </w:rPr>
        <w:t>burden hours</w:t>
      </w:r>
      <w:r w:rsidR="00086778" w:rsidRPr="0014012A">
        <w:rPr>
          <w:sz w:val="22"/>
          <w:szCs w:val="22"/>
        </w:rPr>
        <w:t>)</w:t>
      </w:r>
      <w:r w:rsidR="00EF7830" w:rsidRPr="0014012A">
        <w:rPr>
          <w:sz w:val="22"/>
          <w:szCs w:val="22"/>
        </w:rPr>
        <w:t>. We ant</w:t>
      </w:r>
      <w:r w:rsidR="00086778" w:rsidRPr="0014012A">
        <w:rPr>
          <w:sz w:val="22"/>
          <w:szCs w:val="22"/>
        </w:rPr>
        <w:t xml:space="preserve">icipate awarding an average of </w:t>
      </w:r>
      <w:r w:rsidR="002C2633" w:rsidRPr="0014012A">
        <w:rPr>
          <w:sz w:val="22"/>
          <w:szCs w:val="22"/>
        </w:rPr>
        <w:t>4</w:t>
      </w:r>
      <w:r w:rsidR="00D96F45" w:rsidRPr="0014012A">
        <w:rPr>
          <w:sz w:val="22"/>
          <w:szCs w:val="22"/>
        </w:rPr>
        <w:t>5</w:t>
      </w:r>
      <w:r w:rsidR="002C2633" w:rsidRPr="0014012A">
        <w:rPr>
          <w:sz w:val="22"/>
          <w:szCs w:val="22"/>
        </w:rPr>
        <w:t xml:space="preserve"> </w:t>
      </w:r>
      <w:r w:rsidR="00EF7830" w:rsidRPr="0014012A">
        <w:rPr>
          <w:sz w:val="22"/>
          <w:szCs w:val="22"/>
        </w:rPr>
        <w:t xml:space="preserve">grants per year. </w:t>
      </w:r>
      <w:r w:rsidR="002C2633" w:rsidRPr="0014012A">
        <w:rPr>
          <w:sz w:val="22"/>
          <w:szCs w:val="22"/>
        </w:rPr>
        <w:t>Although every applicant receives funding (</w:t>
      </w:r>
      <w:r w:rsidR="003E4A34" w:rsidRPr="0014012A">
        <w:rPr>
          <w:sz w:val="22"/>
          <w:szCs w:val="22"/>
        </w:rPr>
        <w:t>provided they are not delinquent on past awards), the amount funded is based on competitive scoring by a panel of experts</w:t>
      </w:r>
      <w:r w:rsidR="002C2633" w:rsidRPr="0014012A">
        <w:rPr>
          <w:sz w:val="22"/>
          <w:szCs w:val="22"/>
        </w:rPr>
        <w:t xml:space="preserve">.  </w:t>
      </w:r>
      <w:r w:rsidR="00EF7830" w:rsidRPr="0014012A">
        <w:rPr>
          <w:sz w:val="22"/>
          <w:szCs w:val="22"/>
        </w:rPr>
        <w:t xml:space="preserve">The award recipients are required </w:t>
      </w:r>
      <w:r w:rsidR="00B94AE8" w:rsidRPr="0014012A">
        <w:rPr>
          <w:sz w:val="22"/>
          <w:szCs w:val="22"/>
        </w:rPr>
        <w:t xml:space="preserve">to submit </w:t>
      </w:r>
      <w:r w:rsidR="0069035E" w:rsidRPr="0014012A">
        <w:rPr>
          <w:sz w:val="22"/>
          <w:szCs w:val="22"/>
        </w:rPr>
        <w:lastRenderedPageBreak/>
        <w:t>a final technical</w:t>
      </w:r>
      <w:r w:rsidR="00EF7830" w:rsidRPr="0014012A">
        <w:rPr>
          <w:sz w:val="22"/>
          <w:szCs w:val="22"/>
        </w:rPr>
        <w:t xml:space="preserve"> report</w:t>
      </w:r>
      <w:r w:rsidR="0069035E" w:rsidRPr="0014012A">
        <w:rPr>
          <w:sz w:val="22"/>
          <w:szCs w:val="22"/>
        </w:rPr>
        <w:t xml:space="preserve"> and geologic map deliverables</w:t>
      </w:r>
      <w:r w:rsidR="00EF7830" w:rsidRPr="0014012A">
        <w:rPr>
          <w:sz w:val="22"/>
          <w:szCs w:val="22"/>
        </w:rPr>
        <w:t>.</w:t>
      </w:r>
      <w:r w:rsidR="002C1ABA" w:rsidRPr="0014012A">
        <w:rPr>
          <w:sz w:val="22"/>
          <w:szCs w:val="22"/>
        </w:rPr>
        <w:t xml:space="preserve"> </w:t>
      </w:r>
      <w:r w:rsidR="0069035E" w:rsidRPr="0014012A">
        <w:rPr>
          <w:sz w:val="22"/>
          <w:szCs w:val="22"/>
        </w:rPr>
        <w:t xml:space="preserve">An additional </w:t>
      </w:r>
      <w:r w:rsidR="002C0B28">
        <w:rPr>
          <w:sz w:val="22"/>
          <w:szCs w:val="22"/>
        </w:rPr>
        <w:t>20</w:t>
      </w:r>
      <w:r w:rsidR="00511486">
        <w:rPr>
          <w:sz w:val="22"/>
          <w:szCs w:val="22"/>
        </w:rPr>
        <w:t xml:space="preserve"> </w:t>
      </w:r>
      <w:r w:rsidR="0069035E" w:rsidRPr="0014012A">
        <w:rPr>
          <w:sz w:val="22"/>
          <w:szCs w:val="22"/>
        </w:rPr>
        <w:t xml:space="preserve">hours is estimated for each cooperative agreement recipient to complete and submit a final technical report due upon completion of the project.  </w:t>
      </w:r>
      <w:r w:rsidR="00182CB0" w:rsidRPr="0014012A">
        <w:rPr>
          <w:sz w:val="22"/>
          <w:szCs w:val="22"/>
        </w:rPr>
        <w:t xml:space="preserve">The total number of hours for collection of each grant recipient is </w:t>
      </w:r>
      <w:r w:rsidR="002C0B28">
        <w:rPr>
          <w:sz w:val="22"/>
          <w:szCs w:val="22"/>
        </w:rPr>
        <w:t>56</w:t>
      </w:r>
      <w:r w:rsidR="002C0B28" w:rsidRPr="0014012A">
        <w:rPr>
          <w:sz w:val="22"/>
          <w:szCs w:val="22"/>
        </w:rPr>
        <w:t xml:space="preserve"> </w:t>
      </w:r>
      <w:r w:rsidR="00182CB0" w:rsidRPr="0014012A">
        <w:rPr>
          <w:sz w:val="22"/>
          <w:szCs w:val="22"/>
        </w:rPr>
        <w:t xml:space="preserve">hours.  </w:t>
      </w:r>
      <w:r w:rsidR="002C1ABA" w:rsidRPr="0014012A">
        <w:rPr>
          <w:sz w:val="22"/>
          <w:szCs w:val="22"/>
        </w:rPr>
        <w:t xml:space="preserve">We estimate that the total burden for this collection will be </w:t>
      </w:r>
      <w:r w:rsidR="00925F5D">
        <w:rPr>
          <w:sz w:val="22"/>
          <w:szCs w:val="22"/>
        </w:rPr>
        <w:t>2520</w:t>
      </w:r>
      <w:r w:rsidR="00182CB0" w:rsidRPr="0014012A">
        <w:rPr>
          <w:sz w:val="22"/>
          <w:szCs w:val="22"/>
        </w:rPr>
        <w:t xml:space="preserve"> </w:t>
      </w:r>
      <w:r w:rsidR="002C1ABA" w:rsidRPr="0014012A">
        <w:rPr>
          <w:sz w:val="22"/>
          <w:szCs w:val="22"/>
        </w:rPr>
        <w:t>hours.</w:t>
      </w:r>
    </w:p>
    <w:p w14:paraId="59B42101" w14:textId="77777777" w:rsidR="00182CB0" w:rsidRDefault="00182CB0" w:rsidP="00EF783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E6307B1" w14:textId="77777777" w:rsidR="0014012A" w:rsidRDefault="0014012A" w:rsidP="00EF783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682AF374" w14:textId="77777777" w:rsidR="00182CB0" w:rsidRPr="00290769" w:rsidRDefault="00182CB0" w:rsidP="00EF7830">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The total estimated hour burden of the collection of information for EDMAP and </w:t>
      </w:r>
      <w:r w:rsidR="00925F5D">
        <w:rPr>
          <w:sz w:val="22"/>
          <w:szCs w:val="22"/>
        </w:rPr>
        <w:t>STATEMAP cooperative</w:t>
      </w:r>
      <w:r>
        <w:rPr>
          <w:sz w:val="22"/>
          <w:szCs w:val="22"/>
        </w:rPr>
        <w:t xml:space="preserve"> agreement recipients is </w:t>
      </w:r>
      <w:r w:rsidR="00925F5D">
        <w:rPr>
          <w:sz w:val="22"/>
          <w:szCs w:val="22"/>
        </w:rPr>
        <w:t xml:space="preserve">5220 </w:t>
      </w:r>
      <w:r>
        <w:rPr>
          <w:sz w:val="22"/>
          <w:szCs w:val="22"/>
        </w:rPr>
        <w:t>hours.</w:t>
      </w:r>
    </w:p>
    <w:p w14:paraId="52CAA78B" w14:textId="77777777" w:rsidR="00A949F1" w:rsidRPr="00290769" w:rsidRDefault="00A949F1" w:rsidP="001325E9">
      <w:pPr>
        <w:rPr>
          <w:sz w:val="22"/>
          <w:szCs w:val="22"/>
        </w:rPr>
      </w:pPr>
    </w:p>
    <w:p w14:paraId="438A69BF" w14:textId="77777777" w:rsidR="001325E9" w:rsidRPr="00290769" w:rsidRDefault="00A949F1" w:rsidP="001325E9">
      <w:pPr>
        <w:rPr>
          <w:b/>
          <w:sz w:val="22"/>
          <w:szCs w:val="22"/>
        </w:rPr>
      </w:pPr>
      <w:r w:rsidRPr="00290769">
        <w:rPr>
          <w:b/>
          <w:sz w:val="22"/>
          <w:szCs w:val="22"/>
        </w:rPr>
        <w:t>Table 2. Estimated annual hour b</w:t>
      </w:r>
      <w:r w:rsidR="001325E9" w:rsidRPr="00290769">
        <w:rPr>
          <w:b/>
          <w:sz w:val="22"/>
          <w:szCs w:val="22"/>
        </w:rPr>
        <w:t xml:space="preserve">urden </w:t>
      </w:r>
      <w:r w:rsidRPr="00290769">
        <w:rPr>
          <w:b/>
          <w:sz w:val="22"/>
          <w:szCs w:val="22"/>
        </w:rPr>
        <w:t>of the collection of information</w:t>
      </w:r>
    </w:p>
    <w:p w14:paraId="30078D98" w14:textId="77777777" w:rsidR="001325E9" w:rsidRPr="00290769" w:rsidRDefault="001325E9" w:rsidP="001325E9">
      <w:pPr>
        <w:rPr>
          <w:sz w:val="22"/>
          <w:szCs w:val="22"/>
        </w:rPr>
      </w:pPr>
    </w:p>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2070"/>
        <w:gridCol w:w="1980"/>
        <w:gridCol w:w="2100"/>
      </w:tblGrid>
      <w:tr w:rsidR="00D6174E" w:rsidRPr="00290769" w14:paraId="695A038B" w14:textId="77777777" w:rsidTr="00861C57">
        <w:trPr>
          <w:trHeight w:val="926"/>
        </w:trPr>
        <w:tc>
          <w:tcPr>
            <w:tcW w:w="2970" w:type="dxa"/>
            <w:shd w:val="clear" w:color="auto" w:fill="F3F3F3"/>
            <w:vAlign w:val="center"/>
          </w:tcPr>
          <w:p w14:paraId="2CCFC574" w14:textId="77777777" w:rsidR="00D6174E" w:rsidRPr="00290769" w:rsidRDefault="00D6174E" w:rsidP="00451452">
            <w:pPr>
              <w:ind w:left="732" w:right="-5962"/>
              <w:rPr>
                <w:b/>
                <w:bCs/>
              </w:rPr>
            </w:pPr>
            <w:r w:rsidRPr="00290769">
              <w:rPr>
                <w:b/>
                <w:bCs/>
              </w:rPr>
              <w:t>Activity</w:t>
            </w:r>
          </w:p>
        </w:tc>
        <w:tc>
          <w:tcPr>
            <w:tcW w:w="2070" w:type="dxa"/>
            <w:shd w:val="clear" w:color="auto" w:fill="F3F3F3"/>
            <w:vAlign w:val="center"/>
          </w:tcPr>
          <w:p w14:paraId="39D6C6B0" w14:textId="254B8B3B" w:rsidR="00D6174E" w:rsidRPr="00290769" w:rsidRDefault="00434EEC" w:rsidP="00434EEC">
            <w:pPr>
              <w:jc w:val="center"/>
              <w:rPr>
                <w:b/>
                <w:bCs/>
              </w:rPr>
            </w:pPr>
            <w:r>
              <w:rPr>
                <w:b/>
                <w:bCs/>
              </w:rPr>
              <w:t>Number of Annual Participant</w:t>
            </w:r>
            <w:r w:rsidR="00D6174E" w:rsidRPr="00290769">
              <w:rPr>
                <w:b/>
                <w:bCs/>
              </w:rPr>
              <w:t>s</w:t>
            </w:r>
          </w:p>
        </w:tc>
        <w:tc>
          <w:tcPr>
            <w:tcW w:w="1980" w:type="dxa"/>
            <w:shd w:val="clear" w:color="auto" w:fill="F3F3F3"/>
            <w:vAlign w:val="center"/>
          </w:tcPr>
          <w:p w14:paraId="7F9115B7" w14:textId="1AB95F8F" w:rsidR="00D6174E" w:rsidRPr="00290769" w:rsidRDefault="00D6174E" w:rsidP="00434EEC">
            <w:pPr>
              <w:jc w:val="center"/>
              <w:rPr>
                <w:b/>
                <w:bCs/>
              </w:rPr>
            </w:pPr>
            <w:r w:rsidRPr="00290769">
              <w:rPr>
                <w:b/>
                <w:bCs/>
                <w:lang w:val="en-CA"/>
              </w:rPr>
              <w:t xml:space="preserve">Estimated Completion Time per </w:t>
            </w:r>
            <w:r w:rsidR="00434EEC">
              <w:rPr>
                <w:b/>
                <w:bCs/>
                <w:lang w:val="en-CA"/>
              </w:rPr>
              <w:t>Participan</w:t>
            </w:r>
            <w:r w:rsidRPr="00290769">
              <w:rPr>
                <w:b/>
                <w:bCs/>
                <w:lang w:val="en-CA"/>
              </w:rPr>
              <w:t>t</w:t>
            </w:r>
          </w:p>
        </w:tc>
        <w:tc>
          <w:tcPr>
            <w:tcW w:w="2100" w:type="dxa"/>
            <w:shd w:val="clear" w:color="auto" w:fill="F3F3F3"/>
            <w:vAlign w:val="center"/>
          </w:tcPr>
          <w:p w14:paraId="7BFB0E21" w14:textId="77777777" w:rsidR="00D6174E" w:rsidRPr="00290769" w:rsidRDefault="00D6174E" w:rsidP="00451452">
            <w:pPr>
              <w:jc w:val="center"/>
              <w:rPr>
                <w:b/>
                <w:bCs/>
              </w:rPr>
            </w:pPr>
            <w:r w:rsidRPr="00290769">
              <w:rPr>
                <w:b/>
                <w:bCs/>
              </w:rPr>
              <w:t>Total Annual Burden Hours</w:t>
            </w:r>
          </w:p>
        </w:tc>
      </w:tr>
      <w:tr w:rsidR="00D6174E" w:rsidRPr="00290769" w14:paraId="03E4298B" w14:textId="77777777" w:rsidTr="00861C57">
        <w:tc>
          <w:tcPr>
            <w:tcW w:w="2970" w:type="dxa"/>
          </w:tcPr>
          <w:p w14:paraId="3D46D991" w14:textId="77777777" w:rsidR="00D6174E" w:rsidRPr="00290769" w:rsidRDefault="00D6174E" w:rsidP="00861C57">
            <w:r w:rsidRPr="00290769">
              <w:t>EDMAP</w:t>
            </w:r>
            <w:r w:rsidR="00086778" w:rsidRPr="00290769">
              <w:t xml:space="preserve"> Application</w:t>
            </w:r>
          </w:p>
        </w:tc>
        <w:tc>
          <w:tcPr>
            <w:tcW w:w="2070" w:type="dxa"/>
            <w:vAlign w:val="center"/>
          </w:tcPr>
          <w:p w14:paraId="621562FF" w14:textId="77777777" w:rsidR="00D6174E" w:rsidRPr="0014012A" w:rsidRDefault="00DD5272" w:rsidP="00451452">
            <w:pPr>
              <w:jc w:val="center"/>
            </w:pPr>
            <w:r w:rsidRPr="0014012A">
              <w:t>50</w:t>
            </w:r>
          </w:p>
        </w:tc>
        <w:tc>
          <w:tcPr>
            <w:tcW w:w="1980" w:type="dxa"/>
            <w:vAlign w:val="center"/>
          </w:tcPr>
          <w:p w14:paraId="6983A9E0" w14:textId="77777777" w:rsidR="00D6174E" w:rsidRPr="0014012A" w:rsidRDefault="00861C57" w:rsidP="00451452">
            <w:pPr>
              <w:jc w:val="center"/>
            </w:pPr>
            <w:r w:rsidRPr="00861C57">
              <w:t>36</w:t>
            </w:r>
            <w:r w:rsidR="0046323A" w:rsidRPr="00861C57">
              <w:t xml:space="preserve"> </w:t>
            </w:r>
            <w:r w:rsidR="00A651DC" w:rsidRPr="00861C57">
              <w:t>h</w:t>
            </w:r>
            <w:r w:rsidR="00A651DC" w:rsidRPr="0014012A">
              <w:t>ours</w:t>
            </w:r>
          </w:p>
        </w:tc>
        <w:tc>
          <w:tcPr>
            <w:tcW w:w="2100" w:type="dxa"/>
            <w:vAlign w:val="center"/>
          </w:tcPr>
          <w:p w14:paraId="7B18DD06" w14:textId="77777777" w:rsidR="00D6174E" w:rsidRPr="00861C57" w:rsidRDefault="00861C57" w:rsidP="0046323A">
            <w:pPr>
              <w:ind w:left="492" w:right="852"/>
              <w:jc w:val="right"/>
            </w:pPr>
            <w:r w:rsidRPr="00861C57">
              <w:t>1800</w:t>
            </w:r>
          </w:p>
        </w:tc>
      </w:tr>
      <w:tr w:rsidR="0046323A" w:rsidRPr="00290769" w14:paraId="187C3F67" w14:textId="77777777" w:rsidTr="00861C57">
        <w:tc>
          <w:tcPr>
            <w:tcW w:w="2970" w:type="dxa"/>
          </w:tcPr>
          <w:p w14:paraId="631A5E6F" w14:textId="77777777" w:rsidR="0046323A" w:rsidRPr="00290769" w:rsidRDefault="0046323A" w:rsidP="00766B29">
            <w:r>
              <w:t>EDMAP Technical Report</w:t>
            </w:r>
          </w:p>
        </w:tc>
        <w:tc>
          <w:tcPr>
            <w:tcW w:w="2070" w:type="dxa"/>
            <w:vAlign w:val="center"/>
          </w:tcPr>
          <w:p w14:paraId="05A5B739" w14:textId="77777777" w:rsidR="0046323A" w:rsidRPr="0014012A" w:rsidRDefault="00C65D9D" w:rsidP="00C65D9D">
            <w:pPr>
              <w:jc w:val="center"/>
            </w:pPr>
            <w:r>
              <w:t>45</w:t>
            </w:r>
          </w:p>
        </w:tc>
        <w:tc>
          <w:tcPr>
            <w:tcW w:w="1980" w:type="dxa"/>
            <w:vAlign w:val="center"/>
          </w:tcPr>
          <w:p w14:paraId="4172B297" w14:textId="77777777" w:rsidR="0046323A" w:rsidRPr="0014012A" w:rsidRDefault="00861C57" w:rsidP="0046323A">
            <w:pPr>
              <w:jc w:val="center"/>
            </w:pPr>
            <w:r>
              <w:t xml:space="preserve">20 </w:t>
            </w:r>
            <w:r w:rsidR="0046323A">
              <w:t>hours</w:t>
            </w:r>
          </w:p>
        </w:tc>
        <w:tc>
          <w:tcPr>
            <w:tcW w:w="2100" w:type="dxa"/>
            <w:vAlign w:val="center"/>
          </w:tcPr>
          <w:p w14:paraId="683A1D20" w14:textId="77777777" w:rsidR="0046323A" w:rsidRPr="004C4426" w:rsidRDefault="00C65D9D" w:rsidP="00451452">
            <w:pPr>
              <w:ind w:left="492" w:right="852"/>
              <w:jc w:val="right"/>
            </w:pPr>
            <w:r>
              <w:t>9</w:t>
            </w:r>
            <w:r w:rsidRPr="004C4426">
              <w:t>00</w:t>
            </w:r>
          </w:p>
        </w:tc>
      </w:tr>
      <w:tr w:rsidR="0046323A" w:rsidRPr="00290769" w14:paraId="5EE1D7EB" w14:textId="77777777" w:rsidTr="00861C57">
        <w:tc>
          <w:tcPr>
            <w:tcW w:w="2970" w:type="dxa"/>
          </w:tcPr>
          <w:p w14:paraId="7198FFAC" w14:textId="77777777" w:rsidR="0046323A" w:rsidRPr="00290769" w:rsidRDefault="0046323A" w:rsidP="00766B29">
            <w:r w:rsidRPr="00290769">
              <w:t>STATEMAP Application</w:t>
            </w:r>
          </w:p>
        </w:tc>
        <w:tc>
          <w:tcPr>
            <w:tcW w:w="2070" w:type="dxa"/>
            <w:vAlign w:val="center"/>
          </w:tcPr>
          <w:p w14:paraId="15955E9A" w14:textId="77777777" w:rsidR="0046323A" w:rsidRPr="0014012A" w:rsidRDefault="0046323A" w:rsidP="00451452">
            <w:pPr>
              <w:jc w:val="center"/>
            </w:pPr>
            <w:r w:rsidRPr="0014012A">
              <w:t>45</w:t>
            </w:r>
          </w:p>
        </w:tc>
        <w:tc>
          <w:tcPr>
            <w:tcW w:w="1980" w:type="dxa"/>
            <w:vAlign w:val="center"/>
          </w:tcPr>
          <w:p w14:paraId="1E5AE9D4" w14:textId="77777777" w:rsidR="0046323A" w:rsidRPr="0014012A" w:rsidRDefault="00861C57" w:rsidP="00451452">
            <w:pPr>
              <w:jc w:val="center"/>
            </w:pPr>
            <w:r>
              <w:t>36</w:t>
            </w:r>
            <w:r w:rsidRPr="0014012A">
              <w:t xml:space="preserve"> </w:t>
            </w:r>
            <w:r w:rsidR="0046323A" w:rsidRPr="0014012A">
              <w:t>hours</w:t>
            </w:r>
          </w:p>
        </w:tc>
        <w:tc>
          <w:tcPr>
            <w:tcW w:w="2100" w:type="dxa"/>
            <w:vAlign w:val="center"/>
          </w:tcPr>
          <w:p w14:paraId="20C9201E" w14:textId="77777777" w:rsidR="0046323A" w:rsidRPr="0014012A" w:rsidRDefault="00861C57" w:rsidP="00451452">
            <w:pPr>
              <w:ind w:left="492" w:right="852"/>
              <w:jc w:val="right"/>
            </w:pPr>
            <w:r>
              <w:t>1620</w:t>
            </w:r>
          </w:p>
        </w:tc>
      </w:tr>
      <w:tr w:rsidR="00D6174E" w:rsidRPr="00290769" w14:paraId="55B98F08" w14:textId="77777777" w:rsidTr="00861C57">
        <w:tc>
          <w:tcPr>
            <w:tcW w:w="2970" w:type="dxa"/>
          </w:tcPr>
          <w:p w14:paraId="192534FB" w14:textId="77777777" w:rsidR="00D6174E" w:rsidRPr="00290769" w:rsidRDefault="0046323A" w:rsidP="00861C57">
            <w:r>
              <w:t>STATEMAP Technical Report</w:t>
            </w:r>
          </w:p>
        </w:tc>
        <w:tc>
          <w:tcPr>
            <w:tcW w:w="2070" w:type="dxa"/>
            <w:vAlign w:val="center"/>
          </w:tcPr>
          <w:p w14:paraId="436E3628" w14:textId="77777777" w:rsidR="00D6174E" w:rsidRPr="0014012A" w:rsidRDefault="0046323A" w:rsidP="00451452">
            <w:pPr>
              <w:jc w:val="center"/>
            </w:pPr>
            <w:r>
              <w:t>45</w:t>
            </w:r>
          </w:p>
        </w:tc>
        <w:tc>
          <w:tcPr>
            <w:tcW w:w="1980" w:type="dxa"/>
            <w:vAlign w:val="center"/>
          </w:tcPr>
          <w:p w14:paraId="7620867A" w14:textId="77777777" w:rsidR="00D6174E" w:rsidRPr="0014012A" w:rsidRDefault="00861C57" w:rsidP="00451452">
            <w:pPr>
              <w:jc w:val="center"/>
            </w:pPr>
            <w:r>
              <w:t>20</w:t>
            </w:r>
            <w:r w:rsidR="0046323A">
              <w:t xml:space="preserve"> Hours</w:t>
            </w:r>
          </w:p>
        </w:tc>
        <w:tc>
          <w:tcPr>
            <w:tcW w:w="2100" w:type="dxa"/>
            <w:vAlign w:val="center"/>
          </w:tcPr>
          <w:p w14:paraId="58D3F061" w14:textId="77777777" w:rsidR="00D6174E" w:rsidRPr="0014012A" w:rsidRDefault="00861C57" w:rsidP="00451452">
            <w:pPr>
              <w:ind w:left="492" w:right="852"/>
              <w:jc w:val="right"/>
            </w:pPr>
            <w:r>
              <w:t>900</w:t>
            </w:r>
          </w:p>
        </w:tc>
      </w:tr>
      <w:tr w:rsidR="00A651DC" w:rsidRPr="00290769" w14:paraId="4831C893" w14:textId="77777777" w:rsidTr="00861C57">
        <w:tc>
          <w:tcPr>
            <w:tcW w:w="2970" w:type="dxa"/>
          </w:tcPr>
          <w:p w14:paraId="4AB0FEEC" w14:textId="77777777" w:rsidR="00A651DC" w:rsidRPr="00290769" w:rsidRDefault="00A651DC" w:rsidP="00766B29">
            <w:pPr>
              <w:rPr>
                <w:b/>
              </w:rPr>
            </w:pPr>
            <w:r w:rsidRPr="00290769">
              <w:rPr>
                <w:b/>
              </w:rPr>
              <w:t>TOTAL</w:t>
            </w:r>
          </w:p>
        </w:tc>
        <w:tc>
          <w:tcPr>
            <w:tcW w:w="2070" w:type="dxa"/>
            <w:vAlign w:val="center"/>
          </w:tcPr>
          <w:p w14:paraId="0330757C" w14:textId="77777777" w:rsidR="00A651DC" w:rsidRPr="0014012A" w:rsidRDefault="004D6C2F" w:rsidP="0070251B">
            <w:pPr>
              <w:jc w:val="center"/>
            </w:pPr>
            <w:r>
              <w:t>95</w:t>
            </w:r>
          </w:p>
        </w:tc>
        <w:tc>
          <w:tcPr>
            <w:tcW w:w="1980" w:type="dxa"/>
            <w:vAlign w:val="center"/>
          </w:tcPr>
          <w:p w14:paraId="7517D00A" w14:textId="77777777" w:rsidR="00A651DC" w:rsidRPr="0014012A" w:rsidRDefault="00A651DC" w:rsidP="00451452">
            <w:pPr>
              <w:jc w:val="center"/>
            </w:pPr>
          </w:p>
        </w:tc>
        <w:tc>
          <w:tcPr>
            <w:tcW w:w="2100" w:type="dxa"/>
            <w:vAlign w:val="center"/>
          </w:tcPr>
          <w:p w14:paraId="2D95001B" w14:textId="77777777" w:rsidR="00A651DC" w:rsidRPr="0014012A" w:rsidRDefault="00861C57" w:rsidP="00A71033">
            <w:pPr>
              <w:ind w:left="492" w:right="852"/>
              <w:jc w:val="right"/>
            </w:pPr>
            <w:r>
              <w:t>5220</w:t>
            </w:r>
          </w:p>
        </w:tc>
      </w:tr>
    </w:tbl>
    <w:p w14:paraId="38E89528"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14:paraId="4DAEECA2" w14:textId="77777777" w:rsidR="00290769" w:rsidRDefault="00290769" w:rsidP="0014097C">
      <w:pPr>
        <w:rPr>
          <w:sz w:val="22"/>
          <w:szCs w:val="22"/>
        </w:rPr>
      </w:pPr>
    </w:p>
    <w:p w14:paraId="4F141987" w14:textId="66BB5268" w:rsidR="00E35FF6" w:rsidRPr="006E3CF4" w:rsidRDefault="0014097C" w:rsidP="006E3CF4">
      <w:pPr>
        <w:numPr>
          <w:ilvl w:val="0"/>
          <w:numId w:val="7"/>
        </w:numPr>
        <w:rPr>
          <w:sz w:val="22"/>
          <w:szCs w:val="22"/>
        </w:rPr>
      </w:pPr>
      <w:r w:rsidRPr="00290769">
        <w:rPr>
          <w:sz w:val="22"/>
          <w:szCs w:val="22"/>
        </w:rPr>
        <w:t xml:space="preserve">We estimate the dollar value of the annual burden hours to be </w:t>
      </w:r>
      <w:r w:rsidR="00032617" w:rsidRPr="006F7FB2">
        <w:rPr>
          <w:sz w:val="22"/>
          <w:szCs w:val="22"/>
        </w:rPr>
        <w:t>$</w:t>
      </w:r>
      <w:r w:rsidR="00B01E94" w:rsidRPr="006F7FB2">
        <w:rPr>
          <w:sz w:val="22"/>
          <w:szCs w:val="22"/>
        </w:rPr>
        <w:t>264,497</w:t>
      </w:r>
      <w:r w:rsidR="00BB2DEA" w:rsidRPr="006F7FB2">
        <w:rPr>
          <w:sz w:val="22"/>
          <w:szCs w:val="22"/>
        </w:rPr>
        <w:t xml:space="preserve"> </w:t>
      </w:r>
      <w:r w:rsidRPr="00290769">
        <w:rPr>
          <w:sz w:val="22"/>
          <w:szCs w:val="22"/>
          <w:lang w:val="en-CA"/>
        </w:rPr>
        <w:t>(see Table 3)</w:t>
      </w:r>
      <w:r w:rsidR="00086778" w:rsidRPr="00290769">
        <w:rPr>
          <w:sz w:val="22"/>
          <w:szCs w:val="22"/>
          <w:lang w:val="en-CA"/>
        </w:rPr>
        <w:t xml:space="preserve">. The STATEMAP </w:t>
      </w:r>
      <w:r w:rsidR="00E35FF6">
        <w:rPr>
          <w:sz w:val="22"/>
          <w:szCs w:val="22"/>
          <w:lang w:val="en-CA"/>
        </w:rPr>
        <w:t xml:space="preserve">and EDMAP </w:t>
      </w:r>
      <w:r w:rsidR="00086778" w:rsidRPr="00290769">
        <w:rPr>
          <w:sz w:val="22"/>
          <w:szCs w:val="22"/>
          <w:lang w:val="en-CA"/>
        </w:rPr>
        <w:t>values are</w:t>
      </w:r>
      <w:r w:rsidRPr="00290769">
        <w:rPr>
          <w:sz w:val="22"/>
          <w:szCs w:val="22"/>
          <w:lang w:val="en-CA"/>
        </w:rPr>
        <w:t xml:space="preserve"> based on the National Compensation Survey: Occupational Wages in the </w:t>
      </w:r>
      <w:r w:rsidR="000F377A">
        <w:rPr>
          <w:sz w:val="22"/>
          <w:szCs w:val="22"/>
          <w:lang w:val="en-CA"/>
        </w:rPr>
        <w:t>United States published by the Bureau</w:t>
      </w:r>
      <w:r w:rsidRPr="00290769">
        <w:rPr>
          <w:sz w:val="22"/>
          <w:szCs w:val="22"/>
        </w:rPr>
        <w:t xml:space="preserve"> of Labor Standards Occupation and Wages</w:t>
      </w:r>
      <w:r w:rsidR="00E35FF6">
        <w:rPr>
          <w:sz w:val="22"/>
          <w:szCs w:val="22"/>
        </w:rPr>
        <w:t>, Geoscientists,</w:t>
      </w:r>
      <w:r w:rsidRPr="00290769">
        <w:rPr>
          <w:sz w:val="22"/>
          <w:szCs w:val="22"/>
        </w:rPr>
        <w:t xml:space="preserve"> </w:t>
      </w:r>
      <w:r w:rsidR="00E768A3">
        <w:rPr>
          <w:sz w:val="22"/>
          <w:szCs w:val="22"/>
        </w:rPr>
        <w:t>Ma</w:t>
      </w:r>
      <w:r w:rsidR="00015AF0">
        <w:rPr>
          <w:sz w:val="22"/>
          <w:szCs w:val="22"/>
        </w:rPr>
        <w:t>y</w:t>
      </w:r>
      <w:r w:rsidR="00E768A3">
        <w:rPr>
          <w:sz w:val="22"/>
          <w:szCs w:val="22"/>
        </w:rPr>
        <w:t xml:space="preserve"> 20</w:t>
      </w:r>
      <w:r w:rsidR="00015AF0">
        <w:rPr>
          <w:sz w:val="22"/>
          <w:szCs w:val="22"/>
        </w:rPr>
        <w:t>14</w:t>
      </w:r>
      <w:r w:rsidR="00E768A3">
        <w:rPr>
          <w:sz w:val="22"/>
          <w:szCs w:val="22"/>
        </w:rPr>
        <w:t xml:space="preserve"> </w:t>
      </w:r>
      <w:r w:rsidRPr="00E35FF6">
        <w:rPr>
          <w:sz w:val="22"/>
          <w:szCs w:val="22"/>
          <w:lang w:val="en-CA"/>
        </w:rPr>
        <w:t>(</w:t>
      </w:r>
      <w:r w:rsidR="003618E7" w:rsidRPr="003618E7">
        <w:rPr>
          <w:sz w:val="22"/>
          <w:szCs w:val="22"/>
        </w:rPr>
        <w:t>http://www.bls.gov/oes/current/oes192042.htm</w:t>
      </w:r>
      <w:r w:rsidRPr="00E35FF6">
        <w:rPr>
          <w:sz w:val="22"/>
          <w:szCs w:val="22"/>
        </w:rPr>
        <w:t>)</w:t>
      </w:r>
      <w:r w:rsidR="006E3CF4">
        <w:rPr>
          <w:sz w:val="22"/>
          <w:szCs w:val="22"/>
        </w:rPr>
        <w:t>.</w:t>
      </w:r>
      <w:r w:rsidRPr="00E35FF6">
        <w:rPr>
          <w:sz w:val="22"/>
          <w:szCs w:val="22"/>
        </w:rPr>
        <w:t xml:space="preserve"> </w:t>
      </w:r>
      <w:r w:rsidR="006E3CF4">
        <w:rPr>
          <w:sz w:val="22"/>
          <w:szCs w:val="22"/>
        </w:rPr>
        <w:t xml:space="preserve"> The particular value utilized, for both State Geologists (STATEMAP) and University Professors (EDMAP), was an average hourly wage of $50.67.  This average wage value also includes benefits.</w:t>
      </w:r>
      <w:r w:rsidR="00E35FF6" w:rsidRPr="006E3CF4">
        <w:rPr>
          <w:sz w:val="22"/>
          <w:szCs w:val="22"/>
        </w:rPr>
        <w:t xml:space="preserve"> </w:t>
      </w:r>
    </w:p>
    <w:p w14:paraId="512427DC" w14:textId="77777777" w:rsidR="00086778" w:rsidRPr="00290769" w:rsidRDefault="00086778" w:rsidP="00086778">
      <w:pPr>
        <w:rPr>
          <w:rFonts w:ascii="Helv" w:hAnsi="Helv" w:cs="Helv"/>
        </w:rPr>
      </w:pPr>
    </w:p>
    <w:p w14:paraId="7319F843" w14:textId="77777777" w:rsidR="00086778" w:rsidRPr="00290769" w:rsidRDefault="00086778" w:rsidP="0014097C">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p>
    <w:p w14:paraId="286168CC" w14:textId="77777777" w:rsidR="00FA1BAB" w:rsidRDefault="00FA1BAB">
      <w:pPr>
        <w:widowControl/>
        <w:autoSpaceDE/>
        <w:autoSpaceDN/>
        <w:adjustRightInd/>
        <w:rPr>
          <w:b/>
          <w:sz w:val="22"/>
          <w:szCs w:val="22"/>
        </w:rPr>
      </w:pPr>
      <w:r>
        <w:rPr>
          <w:b/>
          <w:sz w:val="22"/>
          <w:szCs w:val="22"/>
        </w:rPr>
        <w:br w:type="page"/>
      </w:r>
    </w:p>
    <w:p w14:paraId="46561E45" w14:textId="5467ACEA" w:rsidR="0014097C" w:rsidRPr="00290769" w:rsidRDefault="0014097C" w:rsidP="0014097C">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2"/>
          <w:szCs w:val="22"/>
        </w:rPr>
      </w:pPr>
      <w:r w:rsidRPr="00290769">
        <w:rPr>
          <w:b/>
          <w:sz w:val="22"/>
          <w:szCs w:val="22"/>
        </w:rPr>
        <w:lastRenderedPageBreak/>
        <w:t>Table 3. Estimated Dollar Value of Annual Burden Hours</w:t>
      </w:r>
    </w:p>
    <w:p w14:paraId="70D427B0" w14:textId="77777777" w:rsidR="0014097C" w:rsidRPr="00290769" w:rsidRDefault="0014097C" w:rsidP="001409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2"/>
          <w:szCs w:val="22"/>
        </w:rPr>
      </w:pPr>
    </w:p>
    <w:tbl>
      <w:tblPr>
        <w:tblW w:w="927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250"/>
        <w:gridCol w:w="1170"/>
        <w:gridCol w:w="1350"/>
        <w:gridCol w:w="1350"/>
        <w:gridCol w:w="1620"/>
        <w:gridCol w:w="1530"/>
      </w:tblGrid>
      <w:tr w:rsidR="0046323A" w:rsidRPr="00290769" w14:paraId="68EB7B19" w14:textId="77777777" w:rsidTr="00842550">
        <w:trPr>
          <w:trHeight w:val="953"/>
        </w:trPr>
        <w:tc>
          <w:tcPr>
            <w:tcW w:w="2250" w:type="dxa"/>
            <w:tcBorders>
              <w:bottom w:val="single" w:sz="6" w:space="0" w:color="auto"/>
              <w:right w:val="nil"/>
            </w:tcBorders>
            <w:shd w:val="clear" w:color="auto" w:fill="E0E0E0"/>
            <w:vAlign w:val="center"/>
          </w:tcPr>
          <w:p w14:paraId="160376FD" w14:textId="77777777" w:rsidR="0014097C" w:rsidRPr="00290769" w:rsidRDefault="0014097C" w:rsidP="00451452">
            <w:pPr>
              <w:widowControl/>
              <w:jc w:val="center"/>
              <w:rPr>
                <w:b/>
                <w:bCs/>
                <w:lang w:val="en-CA"/>
              </w:rPr>
            </w:pPr>
            <w:r w:rsidRPr="00290769">
              <w:rPr>
                <w:b/>
                <w:bCs/>
                <w:lang w:val="en-CA"/>
              </w:rPr>
              <w:t>Activity</w:t>
            </w:r>
          </w:p>
        </w:tc>
        <w:tc>
          <w:tcPr>
            <w:tcW w:w="1170" w:type="dxa"/>
            <w:tcBorders>
              <w:left w:val="nil"/>
              <w:bottom w:val="single" w:sz="6" w:space="0" w:color="auto"/>
              <w:right w:val="nil"/>
            </w:tcBorders>
            <w:shd w:val="clear" w:color="auto" w:fill="E0E0E0"/>
            <w:vAlign w:val="center"/>
          </w:tcPr>
          <w:p w14:paraId="1DF878B1" w14:textId="77777777" w:rsidR="0014097C" w:rsidRPr="00290769" w:rsidRDefault="0014097C" w:rsidP="00451452">
            <w:pPr>
              <w:widowControl/>
              <w:jc w:val="center"/>
              <w:rPr>
                <w:b/>
                <w:bCs/>
                <w:lang w:val="en-CA"/>
              </w:rPr>
            </w:pPr>
            <w:r w:rsidRPr="00290769">
              <w:rPr>
                <w:b/>
                <w:bCs/>
                <w:lang w:val="en-CA"/>
              </w:rPr>
              <w:t>Annual Number of Applicants</w:t>
            </w:r>
          </w:p>
        </w:tc>
        <w:tc>
          <w:tcPr>
            <w:tcW w:w="1350" w:type="dxa"/>
            <w:tcBorders>
              <w:left w:val="nil"/>
              <w:bottom w:val="single" w:sz="6" w:space="0" w:color="auto"/>
              <w:right w:val="nil"/>
            </w:tcBorders>
            <w:shd w:val="clear" w:color="auto" w:fill="E0E0E0"/>
            <w:vAlign w:val="center"/>
          </w:tcPr>
          <w:p w14:paraId="603ADB4A" w14:textId="77777777" w:rsidR="0014097C" w:rsidRPr="00290769" w:rsidRDefault="0014097C" w:rsidP="00451452">
            <w:pPr>
              <w:widowControl/>
              <w:jc w:val="center"/>
              <w:rPr>
                <w:b/>
                <w:bCs/>
                <w:lang w:val="en-CA"/>
              </w:rPr>
            </w:pPr>
            <w:r w:rsidRPr="00290769">
              <w:rPr>
                <w:b/>
                <w:bCs/>
                <w:lang w:val="en-CA"/>
              </w:rPr>
              <w:t>Estimated Completion Time per Applicant</w:t>
            </w:r>
          </w:p>
        </w:tc>
        <w:tc>
          <w:tcPr>
            <w:tcW w:w="1350" w:type="dxa"/>
            <w:tcBorders>
              <w:left w:val="nil"/>
              <w:bottom w:val="single" w:sz="6" w:space="0" w:color="auto"/>
              <w:right w:val="nil"/>
            </w:tcBorders>
            <w:shd w:val="clear" w:color="auto" w:fill="E0E0E0"/>
            <w:vAlign w:val="center"/>
          </w:tcPr>
          <w:p w14:paraId="4CFBA08A" w14:textId="77777777" w:rsidR="0014097C" w:rsidRPr="00290769" w:rsidRDefault="0014097C" w:rsidP="00451452">
            <w:pPr>
              <w:widowControl/>
              <w:jc w:val="center"/>
              <w:rPr>
                <w:b/>
                <w:bCs/>
                <w:lang w:val="en-CA"/>
              </w:rPr>
            </w:pPr>
            <w:r w:rsidRPr="00290769">
              <w:rPr>
                <w:b/>
                <w:bCs/>
                <w:lang w:val="en-CA"/>
              </w:rPr>
              <w:t>Total Annual Burden Hours</w:t>
            </w:r>
          </w:p>
        </w:tc>
        <w:tc>
          <w:tcPr>
            <w:tcW w:w="1620" w:type="dxa"/>
            <w:tcBorders>
              <w:left w:val="nil"/>
              <w:bottom w:val="single" w:sz="6" w:space="0" w:color="auto"/>
              <w:right w:val="nil"/>
            </w:tcBorders>
            <w:shd w:val="clear" w:color="auto" w:fill="E0E0E0"/>
            <w:vAlign w:val="center"/>
          </w:tcPr>
          <w:p w14:paraId="6C4AB53B" w14:textId="77777777" w:rsidR="0014097C" w:rsidRPr="00290769" w:rsidRDefault="0014097C" w:rsidP="00451452">
            <w:pPr>
              <w:widowControl/>
              <w:jc w:val="center"/>
              <w:rPr>
                <w:b/>
                <w:bCs/>
                <w:lang w:val="en-CA"/>
              </w:rPr>
            </w:pPr>
            <w:r w:rsidRPr="00290769">
              <w:rPr>
                <w:b/>
                <w:bCs/>
                <w:lang w:val="en-CA"/>
              </w:rPr>
              <w:t>Dollar Value of Burden Hour  Including Benefits</w:t>
            </w:r>
          </w:p>
        </w:tc>
        <w:tc>
          <w:tcPr>
            <w:tcW w:w="1530" w:type="dxa"/>
            <w:tcBorders>
              <w:left w:val="nil"/>
              <w:bottom w:val="single" w:sz="6" w:space="0" w:color="auto"/>
            </w:tcBorders>
            <w:shd w:val="clear" w:color="auto" w:fill="E0E0E0"/>
            <w:vAlign w:val="center"/>
          </w:tcPr>
          <w:p w14:paraId="0917963E" w14:textId="77777777" w:rsidR="0014097C" w:rsidRPr="00290769" w:rsidRDefault="0014097C" w:rsidP="00451452">
            <w:pPr>
              <w:widowControl/>
              <w:jc w:val="center"/>
              <w:rPr>
                <w:b/>
                <w:bCs/>
                <w:lang w:val="en-CA"/>
              </w:rPr>
            </w:pPr>
            <w:r w:rsidRPr="00290769">
              <w:rPr>
                <w:b/>
                <w:bCs/>
                <w:lang w:val="en-CA"/>
              </w:rPr>
              <w:t xml:space="preserve">Total Dollar Value of Annual Burden Hours </w:t>
            </w:r>
          </w:p>
        </w:tc>
      </w:tr>
      <w:tr w:rsidR="0014097C" w:rsidRPr="00290769" w14:paraId="1268FADA" w14:textId="77777777" w:rsidTr="00202A7E">
        <w:trPr>
          <w:trHeight w:val="468"/>
        </w:trPr>
        <w:tc>
          <w:tcPr>
            <w:tcW w:w="2250" w:type="dxa"/>
            <w:tcBorders>
              <w:top w:val="nil"/>
              <w:left w:val="single" w:sz="8" w:space="0" w:color="auto"/>
              <w:bottom w:val="nil"/>
              <w:right w:val="nil"/>
            </w:tcBorders>
            <w:shd w:val="clear" w:color="000000" w:fill="auto"/>
            <w:vAlign w:val="center"/>
          </w:tcPr>
          <w:p w14:paraId="2CDE5F3A" w14:textId="77777777" w:rsidR="0014097C" w:rsidRPr="00290769" w:rsidRDefault="005B6A1A" w:rsidP="00451452">
            <w:pPr>
              <w:widowControl/>
              <w:ind w:left="425"/>
              <w:rPr>
                <w:lang w:val="en-CA"/>
              </w:rPr>
            </w:pPr>
            <w:r w:rsidRPr="00290769">
              <w:rPr>
                <w:lang w:val="en-CA"/>
              </w:rPr>
              <w:t>EDMAP</w:t>
            </w:r>
            <w:r w:rsidR="0046323A">
              <w:rPr>
                <w:lang w:val="en-CA"/>
              </w:rPr>
              <w:t xml:space="preserve"> Application</w:t>
            </w:r>
          </w:p>
          <w:p w14:paraId="69F7F22F" w14:textId="77777777" w:rsidR="00086778" w:rsidRPr="00290769" w:rsidRDefault="00086778" w:rsidP="00451452">
            <w:pPr>
              <w:widowControl/>
              <w:ind w:left="425"/>
              <w:rPr>
                <w:lang w:val="en-CA"/>
              </w:rPr>
            </w:pPr>
          </w:p>
        </w:tc>
        <w:tc>
          <w:tcPr>
            <w:tcW w:w="1170" w:type="dxa"/>
            <w:tcBorders>
              <w:top w:val="nil"/>
              <w:left w:val="nil"/>
              <w:bottom w:val="nil"/>
              <w:right w:val="nil"/>
            </w:tcBorders>
            <w:shd w:val="clear" w:color="000000" w:fill="auto"/>
            <w:vAlign w:val="center"/>
          </w:tcPr>
          <w:p w14:paraId="6812E52A" w14:textId="77777777" w:rsidR="0014097C" w:rsidRPr="00290769" w:rsidRDefault="00182CB0" w:rsidP="00451452">
            <w:pPr>
              <w:widowControl/>
              <w:jc w:val="center"/>
              <w:rPr>
                <w:lang w:val="en-CA"/>
              </w:rPr>
            </w:pPr>
            <w:r>
              <w:rPr>
                <w:lang w:val="en-CA"/>
              </w:rPr>
              <w:t>50</w:t>
            </w:r>
          </w:p>
        </w:tc>
        <w:tc>
          <w:tcPr>
            <w:tcW w:w="1350" w:type="dxa"/>
            <w:tcBorders>
              <w:top w:val="nil"/>
              <w:left w:val="nil"/>
              <w:bottom w:val="nil"/>
              <w:right w:val="nil"/>
            </w:tcBorders>
            <w:shd w:val="clear" w:color="000000" w:fill="auto"/>
            <w:vAlign w:val="center"/>
          </w:tcPr>
          <w:p w14:paraId="37EE7245" w14:textId="77777777" w:rsidR="0014097C" w:rsidRPr="00290769" w:rsidRDefault="00202A7E" w:rsidP="00451452">
            <w:pPr>
              <w:widowControl/>
              <w:jc w:val="center"/>
              <w:rPr>
                <w:lang w:val="en-CA"/>
              </w:rPr>
            </w:pPr>
            <w:r>
              <w:rPr>
                <w:lang w:val="en-CA"/>
              </w:rPr>
              <w:t>36</w:t>
            </w:r>
            <w:r w:rsidR="0046323A">
              <w:rPr>
                <w:lang w:val="en-CA"/>
              </w:rPr>
              <w:t xml:space="preserve"> Hours</w:t>
            </w:r>
          </w:p>
        </w:tc>
        <w:tc>
          <w:tcPr>
            <w:tcW w:w="1350" w:type="dxa"/>
            <w:tcBorders>
              <w:top w:val="nil"/>
              <w:left w:val="nil"/>
              <w:bottom w:val="nil"/>
              <w:right w:val="nil"/>
            </w:tcBorders>
            <w:shd w:val="clear" w:color="000000" w:fill="auto"/>
            <w:vAlign w:val="center"/>
          </w:tcPr>
          <w:p w14:paraId="51A29E20" w14:textId="77777777" w:rsidR="0014097C" w:rsidRPr="00290769" w:rsidRDefault="00202A7E" w:rsidP="0046323A">
            <w:pPr>
              <w:widowControl/>
              <w:jc w:val="center"/>
              <w:rPr>
                <w:lang w:val="en-CA"/>
              </w:rPr>
            </w:pPr>
            <w:r>
              <w:rPr>
                <w:lang w:val="en-CA"/>
              </w:rPr>
              <w:t>1800</w:t>
            </w:r>
          </w:p>
        </w:tc>
        <w:tc>
          <w:tcPr>
            <w:tcW w:w="1620" w:type="dxa"/>
            <w:tcBorders>
              <w:top w:val="nil"/>
              <w:left w:val="nil"/>
              <w:bottom w:val="nil"/>
              <w:right w:val="nil"/>
            </w:tcBorders>
            <w:shd w:val="clear" w:color="000000" w:fill="auto"/>
            <w:vAlign w:val="center"/>
          </w:tcPr>
          <w:p w14:paraId="66992264" w14:textId="79484F44" w:rsidR="0014097C" w:rsidRPr="00514E75" w:rsidRDefault="00EF7830" w:rsidP="00D75D27">
            <w:pPr>
              <w:widowControl/>
              <w:jc w:val="center"/>
              <w:rPr>
                <w:lang w:val="en-CA"/>
              </w:rPr>
            </w:pPr>
            <w:r w:rsidRPr="00514E75">
              <w:rPr>
                <w:lang w:val="en-CA"/>
              </w:rPr>
              <w:t>$</w:t>
            </w:r>
            <w:r w:rsidR="00D75D27">
              <w:rPr>
                <w:lang w:val="en-CA"/>
              </w:rPr>
              <w:t>50</w:t>
            </w:r>
            <w:r w:rsidR="00514E75" w:rsidRPr="00514E75">
              <w:rPr>
                <w:lang w:val="en-CA"/>
              </w:rPr>
              <w:t>.</w:t>
            </w:r>
            <w:r w:rsidR="00D75D27">
              <w:rPr>
                <w:lang w:val="en-CA"/>
              </w:rPr>
              <w:t>67</w:t>
            </w:r>
          </w:p>
        </w:tc>
        <w:tc>
          <w:tcPr>
            <w:tcW w:w="1530" w:type="dxa"/>
            <w:tcBorders>
              <w:top w:val="nil"/>
              <w:left w:val="nil"/>
              <w:bottom w:val="nil"/>
              <w:right w:val="single" w:sz="8" w:space="0" w:color="auto"/>
            </w:tcBorders>
            <w:shd w:val="clear" w:color="000000" w:fill="auto"/>
            <w:vAlign w:val="center"/>
          </w:tcPr>
          <w:p w14:paraId="1BC93E55" w14:textId="532BAA65" w:rsidR="0014097C" w:rsidRPr="006F7FB2" w:rsidRDefault="005A17DD" w:rsidP="00B01E94">
            <w:pPr>
              <w:widowControl/>
              <w:jc w:val="center"/>
              <w:rPr>
                <w:lang w:val="en-CA"/>
              </w:rPr>
            </w:pPr>
            <w:r w:rsidRPr="006F7FB2">
              <w:rPr>
                <w:lang w:val="en-CA"/>
              </w:rPr>
              <w:t>$</w:t>
            </w:r>
            <w:r w:rsidR="00B01E94" w:rsidRPr="006F7FB2">
              <w:rPr>
                <w:lang w:val="en-CA"/>
              </w:rPr>
              <w:t>91,206</w:t>
            </w:r>
          </w:p>
        </w:tc>
      </w:tr>
      <w:tr w:rsidR="0046323A" w:rsidRPr="00290769" w14:paraId="18C4BF01" w14:textId="77777777" w:rsidTr="00202A7E">
        <w:trPr>
          <w:trHeight w:val="396"/>
        </w:trPr>
        <w:tc>
          <w:tcPr>
            <w:tcW w:w="2250" w:type="dxa"/>
            <w:tcBorders>
              <w:top w:val="nil"/>
              <w:left w:val="single" w:sz="8" w:space="0" w:color="auto"/>
              <w:bottom w:val="nil"/>
              <w:right w:val="nil"/>
            </w:tcBorders>
            <w:shd w:val="clear" w:color="000000" w:fill="auto"/>
            <w:vAlign w:val="center"/>
          </w:tcPr>
          <w:p w14:paraId="606C4AF8" w14:textId="77777777" w:rsidR="0046323A" w:rsidRPr="00290769" w:rsidRDefault="0046323A" w:rsidP="00451452">
            <w:pPr>
              <w:widowControl/>
              <w:ind w:left="425"/>
              <w:rPr>
                <w:lang w:val="en-CA"/>
              </w:rPr>
            </w:pPr>
            <w:r>
              <w:rPr>
                <w:lang w:val="en-CA"/>
              </w:rPr>
              <w:t>EDMAP Technical Report</w:t>
            </w:r>
          </w:p>
        </w:tc>
        <w:tc>
          <w:tcPr>
            <w:tcW w:w="1170" w:type="dxa"/>
            <w:tcBorders>
              <w:top w:val="nil"/>
              <w:left w:val="nil"/>
              <w:bottom w:val="nil"/>
              <w:right w:val="nil"/>
            </w:tcBorders>
            <w:shd w:val="clear" w:color="000000" w:fill="auto"/>
            <w:vAlign w:val="center"/>
          </w:tcPr>
          <w:p w14:paraId="3584FAC4" w14:textId="77777777" w:rsidR="0046323A" w:rsidRPr="00290769" w:rsidRDefault="00C65D9D" w:rsidP="008621A7">
            <w:pPr>
              <w:widowControl/>
              <w:jc w:val="center"/>
              <w:rPr>
                <w:lang w:val="en-CA"/>
              </w:rPr>
            </w:pPr>
            <w:r>
              <w:rPr>
                <w:lang w:val="en-CA"/>
              </w:rPr>
              <w:t>45</w:t>
            </w:r>
          </w:p>
        </w:tc>
        <w:tc>
          <w:tcPr>
            <w:tcW w:w="1350" w:type="dxa"/>
            <w:tcBorders>
              <w:top w:val="nil"/>
              <w:left w:val="nil"/>
              <w:bottom w:val="nil"/>
              <w:right w:val="nil"/>
            </w:tcBorders>
            <w:shd w:val="clear" w:color="000000" w:fill="auto"/>
            <w:vAlign w:val="center"/>
          </w:tcPr>
          <w:p w14:paraId="4994EF8B" w14:textId="77777777" w:rsidR="0046323A" w:rsidRDefault="00202A7E" w:rsidP="00451452">
            <w:pPr>
              <w:widowControl/>
              <w:ind w:left="5"/>
              <w:jc w:val="center"/>
              <w:rPr>
                <w:lang w:val="en-CA"/>
              </w:rPr>
            </w:pPr>
            <w:r>
              <w:rPr>
                <w:lang w:val="en-CA"/>
              </w:rPr>
              <w:t>20</w:t>
            </w:r>
            <w:r w:rsidR="0046323A">
              <w:rPr>
                <w:lang w:val="en-CA"/>
              </w:rPr>
              <w:t xml:space="preserve"> Hours</w:t>
            </w:r>
          </w:p>
        </w:tc>
        <w:tc>
          <w:tcPr>
            <w:tcW w:w="1350" w:type="dxa"/>
            <w:tcBorders>
              <w:top w:val="nil"/>
              <w:left w:val="nil"/>
              <w:bottom w:val="nil"/>
              <w:right w:val="nil"/>
            </w:tcBorders>
            <w:shd w:val="clear" w:color="000000" w:fill="auto"/>
            <w:vAlign w:val="center"/>
          </w:tcPr>
          <w:p w14:paraId="71B68621" w14:textId="77777777" w:rsidR="0046323A" w:rsidRDefault="00202A7E" w:rsidP="008621A7">
            <w:pPr>
              <w:widowControl/>
              <w:jc w:val="center"/>
              <w:rPr>
                <w:lang w:val="en-CA"/>
              </w:rPr>
            </w:pPr>
            <w:r>
              <w:rPr>
                <w:lang w:val="en-CA"/>
              </w:rPr>
              <w:t>900</w:t>
            </w:r>
          </w:p>
        </w:tc>
        <w:tc>
          <w:tcPr>
            <w:tcW w:w="1620" w:type="dxa"/>
            <w:tcBorders>
              <w:top w:val="nil"/>
              <w:left w:val="nil"/>
              <w:bottom w:val="nil"/>
              <w:right w:val="nil"/>
            </w:tcBorders>
            <w:shd w:val="clear" w:color="000000" w:fill="auto"/>
            <w:vAlign w:val="center"/>
          </w:tcPr>
          <w:p w14:paraId="024489A4" w14:textId="7E163B33" w:rsidR="0046323A" w:rsidRPr="00514E75" w:rsidRDefault="0046323A" w:rsidP="00D75D27">
            <w:pPr>
              <w:widowControl/>
              <w:jc w:val="center"/>
              <w:rPr>
                <w:lang w:val="en-CA"/>
              </w:rPr>
            </w:pPr>
            <w:r w:rsidRPr="00514E75">
              <w:rPr>
                <w:lang w:val="en-CA"/>
              </w:rPr>
              <w:t>$</w:t>
            </w:r>
            <w:r w:rsidR="00D75D27">
              <w:rPr>
                <w:lang w:val="en-CA"/>
              </w:rPr>
              <w:t>50</w:t>
            </w:r>
            <w:r w:rsidR="00514E75" w:rsidRPr="00514E75">
              <w:rPr>
                <w:lang w:val="en-CA"/>
              </w:rPr>
              <w:t>.</w:t>
            </w:r>
            <w:r w:rsidR="00D75D27">
              <w:rPr>
                <w:lang w:val="en-CA"/>
              </w:rPr>
              <w:t>67</w:t>
            </w:r>
          </w:p>
        </w:tc>
        <w:tc>
          <w:tcPr>
            <w:tcW w:w="1530" w:type="dxa"/>
            <w:tcBorders>
              <w:top w:val="nil"/>
              <w:left w:val="nil"/>
              <w:bottom w:val="nil"/>
              <w:right w:val="single" w:sz="8" w:space="0" w:color="auto"/>
            </w:tcBorders>
            <w:shd w:val="clear" w:color="000000" w:fill="auto"/>
            <w:vAlign w:val="center"/>
          </w:tcPr>
          <w:p w14:paraId="1A61108D" w14:textId="7D2F46F2" w:rsidR="0046323A" w:rsidRPr="006F7FB2" w:rsidRDefault="0046323A" w:rsidP="0017442A">
            <w:pPr>
              <w:widowControl/>
              <w:jc w:val="center"/>
              <w:rPr>
                <w:lang w:val="en-CA"/>
              </w:rPr>
            </w:pPr>
            <w:r w:rsidRPr="006F7FB2">
              <w:rPr>
                <w:lang w:val="en-CA"/>
              </w:rPr>
              <w:t>$</w:t>
            </w:r>
            <w:r w:rsidR="00B01E94" w:rsidRPr="006F7FB2">
              <w:rPr>
                <w:lang w:val="en-CA"/>
              </w:rPr>
              <w:t>45,603</w:t>
            </w:r>
          </w:p>
        </w:tc>
      </w:tr>
      <w:tr w:rsidR="0014097C" w:rsidRPr="00290769" w14:paraId="4713D36E" w14:textId="77777777" w:rsidTr="00202A7E">
        <w:trPr>
          <w:trHeight w:val="396"/>
        </w:trPr>
        <w:tc>
          <w:tcPr>
            <w:tcW w:w="2250" w:type="dxa"/>
            <w:tcBorders>
              <w:top w:val="nil"/>
              <w:left w:val="single" w:sz="8" w:space="0" w:color="auto"/>
              <w:bottom w:val="nil"/>
              <w:right w:val="nil"/>
            </w:tcBorders>
            <w:shd w:val="clear" w:color="000000" w:fill="auto"/>
            <w:vAlign w:val="center"/>
          </w:tcPr>
          <w:p w14:paraId="4EE0424F" w14:textId="77777777" w:rsidR="002C0B28" w:rsidRDefault="002C0B28" w:rsidP="00451452">
            <w:pPr>
              <w:widowControl/>
              <w:ind w:left="425"/>
              <w:rPr>
                <w:lang w:val="en-CA"/>
              </w:rPr>
            </w:pPr>
          </w:p>
          <w:p w14:paraId="0C5CAC57" w14:textId="77777777" w:rsidR="0014097C" w:rsidRPr="00290769" w:rsidRDefault="005B6A1A" w:rsidP="00451452">
            <w:pPr>
              <w:widowControl/>
              <w:ind w:left="425"/>
              <w:rPr>
                <w:lang w:val="en-CA"/>
              </w:rPr>
            </w:pPr>
            <w:r w:rsidRPr="00290769">
              <w:rPr>
                <w:lang w:val="en-CA"/>
              </w:rPr>
              <w:t>STATEMAP</w:t>
            </w:r>
            <w:r w:rsidR="0046323A">
              <w:rPr>
                <w:lang w:val="en-CA"/>
              </w:rPr>
              <w:t xml:space="preserve"> Application</w:t>
            </w:r>
          </w:p>
        </w:tc>
        <w:tc>
          <w:tcPr>
            <w:tcW w:w="1170" w:type="dxa"/>
            <w:tcBorders>
              <w:top w:val="nil"/>
              <w:left w:val="nil"/>
              <w:bottom w:val="nil"/>
              <w:right w:val="nil"/>
            </w:tcBorders>
            <w:shd w:val="clear" w:color="000000" w:fill="auto"/>
            <w:vAlign w:val="center"/>
          </w:tcPr>
          <w:p w14:paraId="5A4C3EB3" w14:textId="77777777" w:rsidR="0014097C" w:rsidRPr="00290769" w:rsidRDefault="00EF7830" w:rsidP="008621A7">
            <w:pPr>
              <w:widowControl/>
              <w:jc w:val="center"/>
              <w:rPr>
                <w:lang w:val="en-CA"/>
              </w:rPr>
            </w:pPr>
            <w:r w:rsidRPr="00290769">
              <w:rPr>
                <w:lang w:val="en-CA"/>
              </w:rPr>
              <w:t>4</w:t>
            </w:r>
            <w:r w:rsidR="008621A7">
              <w:rPr>
                <w:lang w:val="en-CA"/>
              </w:rPr>
              <w:t>5</w:t>
            </w:r>
          </w:p>
        </w:tc>
        <w:tc>
          <w:tcPr>
            <w:tcW w:w="1350" w:type="dxa"/>
            <w:tcBorders>
              <w:top w:val="nil"/>
              <w:left w:val="nil"/>
              <w:bottom w:val="nil"/>
              <w:right w:val="nil"/>
            </w:tcBorders>
            <w:shd w:val="clear" w:color="000000" w:fill="auto"/>
            <w:vAlign w:val="center"/>
          </w:tcPr>
          <w:p w14:paraId="3A0E429A" w14:textId="477B0787" w:rsidR="0014097C" w:rsidRPr="00290769" w:rsidRDefault="00202A7E" w:rsidP="00202A7E">
            <w:pPr>
              <w:widowControl/>
              <w:ind w:left="5"/>
              <w:jc w:val="center"/>
              <w:rPr>
                <w:lang w:val="en-CA"/>
              </w:rPr>
            </w:pPr>
            <w:r>
              <w:rPr>
                <w:lang w:val="en-CA"/>
              </w:rPr>
              <w:t>36</w:t>
            </w:r>
            <w:r w:rsidR="0017442A">
              <w:rPr>
                <w:lang w:val="en-CA"/>
              </w:rPr>
              <w:t xml:space="preserve"> </w:t>
            </w:r>
            <w:r w:rsidR="0046323A">
              <w:rPr>
                <w:lang w:val="en-CA"/>
              </w:rPr>
              <w:t>Hours</w:t>
            </w:r>
          </w:p>
        </w:tc>
        <w:tc>
          <w:tcPr>
            <w:tcW w:w="1350" w:type="dxa"/>
            <w:tcBorders>
              <w:top w:val="nil"/>
              <w:left w:val="nil"/>
              <w:bottom w:val="nil"/>
              <w:right w:val="nil"/>
            </w:tcBorders>
            <w:shd w:val="clear" w:color="000000" w:fill="auto"/>
            <w:vAlign w:val="center"/>
          </w:tcPr>
          <w:p w14:paraId="501DE529" w14:textId="77777777" w:rsidR="0014097C" w:rsidRPr="00290769" w:rsidRDefault="00202A7E" w:rsidP="0046323A">
            <w:pPr>
              <w:widowControl/>
              <w:jc w:val="center"/>
              <w:rPr>
                <w:lang w:val="en-CA"/>
              </w:rPr>
            </w:pPr>
            <w:r>
              <w:rPr>
                <w:lang w:val="en-CA"/>
              </w:rPr>
              <w:t>1620</w:t>
            </w:r>
          </w:p>
        </w:tc>
        <w:tc>
          <w:tcPr>
            <w:tcW w:w="1620" w:type="dxa"/>
            <w:tcBorders>
              <w:top w:val="nil"/>
              <w:left w:val="nil"/>
              <w:bottom w:val="nil"/>
              <w:right w:val="nil"/>
            </w:tcBorders>
            <w:shd w:val="clear" w:color="000000" w:fill="auto"/>
            <w:vAlign w:val="center"/>
          </w:tcPr>
          <w:p w14:paraId="25ED4038" w14:textId="54FF014A" w:rsidR="0014097C" w:rsidRPr="00514E75" w:rsidRDefault="00EF7830" w:rsidP="00D75D27">
            <w:pPr>
              <w:widowControl/>
              <w:jc w:val="center"/>
              <w:rPr>
                <w:lang w:val="en-CA"/>
              </w:rPr>
            </w:pPr>
            <w:r w:rsidRPr="00514E75">
              <w:rPr>
                <w:lang w:val="en-CA"/>
              </w:rPr>
              <w:t>$</w:t>
            </w:r>
            <w:r w:rsidR="00D75D27">
              <w:t>50</w:t>
            </w:r>
            <w:r w:rsidR="00514E75" w:rsidRPr="00514E75">
              <w:t>.</w:t>
            </w:r>
            <w:r w:rsidR="00D75D27">
              <w:t>67</w:t>
            </w:r>
          </w:p>
        </w:tc>
        <w:tc>
          <w:tcPr>
            <w:tcW w:w="1530" w:type="dxa"/>
            <w:tcBorders>
              <w:top w:val="nil"/>
              <w:left w:val="nil"/>
              <w:bottom w:val="nil"/>
              <w:right w:val="single" w:sz="8" w:space="0" w:color="auto"/>
            </w:tcBorders>
            <w:shd w:val="clear" w:color="000000" w:fill="auto"/>
            <w:vAlign w:val="center"/>
          </w:tcPr>
          <w:p w14:paraId="19C57485" w14:textId="7AE1F26C" w:rsidR="0014097C" w:rsidRPr="006F7FB2" w:rsidRDefault="005A17DD" w:rsidP="00B01E94">
            <w:pPr>
              <w:widowControl/>
              <w:jc w:val="center"/>
              <w:rPr>
                <w:lang w:val="en-CA"/>
              </w:rPr>
            </w:pPr>
            <w:r w:rsidRPr="006F7FB2">
              <w:rPr>
                <w:lang w:val="en-CA"/>
              </w:rPr>
              <w:t>$</w:t>
            </w:r>
            <w:r w:rsidR="00B01E94" w:rsidRPr="006F7FB2">
              <w:rPr>
                <w:lang w:val="en-CA"/>
              </w:rPr>
              <w:t>82,085</w:t>
            </w:r>
          </w:p>
        </w:tc>
      </w:tr>
      <w:tr w:rsidR="0046323A" w:rsidRPr="00290769" w14:paraId="7AFBD04B" w14:textId="77777777" w:rsidTr="00202A7E">
        <w:trPr>
          <w:trHeight w:val="396"/>
        </w:trPr>
        <w:tc>
          <w:tcPr>
            <w:tcW w:w="2250" w:type="dxa"/>
            <w:tcBorders>
              <w:top w:val="nil"/>
              <w:left w:val="single" w:sz="8" w:space="0" w:color="auto"/>
              <w:bottom w:val="nil"/>
              <w:right w:val="nil"/>
            </w:tcBorders>
            <w:shd w:val="clear" w:color="000000" w:fill="auto"/>
            <w:vAlign w:val="center"/>
          </w:tcPr>
          <w:p w14:paraId="5EA2F6E1" w14:textId="77777777" w:rsidR="002C0B28" w:rsidRDefault="002C0B28" w:rsidP="00451452">
            <w:pPr>
              <w:widowControl/>
              <w:ind w:left="425"/>
              <w:rPr>
                <w:lang w:val="en-CA"/>
              </w:rPr>
            </w:pPr>
          </w:p>
          <w:p w14:paraId="2CE6005D" w14:textId="77777777" w:rsidR="0046323A" w:rsidRPr="00290769" w:rsidRDefault="0046323A" w:rsidP="00451452">
            <w:pPr>
              <w:widowControl/>
              <w:ind w:left="425"/>
              <w:rPr>
                <w:lang w:val="en-CA"/>
              </w:rPr>
            </w:pPr>
            <w:r>
              <w:rPr>
                <w:lang w:val="en-CA"/>
              </w:rPr>
              <w:t>STATEMAP Technical Report</w:t>
            </w:r>
          </w:p>
        </w:tc>
        <w:tc>
          <w:tcPr>
            <w:tcW w:w="1170" w:type="dxa"/>
            <w:tcBorders>
              <w:top w:val="nil"/>
              <w:left w:val="nil"/>
              <w:bottom w:val="nil"/>
              <w:right w:val="nil"/>
            </w:tcBorders>
            <w:shd w:val="clear" w:color="000000" w:fill="auto"/>
            <w:vAlign w:val="center"/>
          </w:tcPr>
          <w:p w14:paraId="0EA8B579" w14:textId="77777777" w:rsidR="0046323A" w:rsidRPr="00290769" w:rsidRDefault="0046323A" w:rsidP="008621A7">
            <w:pPr>
              <w:widowControl/>
              <w:jc w:val="center"/>
              <w:rPr>
                <w:lang w:val="en-CA"/>
              </w:rPr>
            </w:pPr>
            <w:r>
              <w:rPr>
                <w:lang w:val="en-CA"/>
              </w:rPr>
              <w:t>45</w:t>
            </w:r>
          </w:p>
        </w:tc>
        <w:tc>
          <w:tcPr>
            <w:tcW w:w="1350" w:type="dxa"/>
            <w:tcBorders>
              <w:top w:val="nil"/>
              <w:left w:val="nil"/>
              <w:bottom w:val="nil"/>
              <w:right w:val="nil"/>
            </w:tcBorders>
            <w:shd w:val="clear" w:color="000000" w:fill="auto"/>
            <w:vAlign w:val="center"/>
          </w:tcPr>
          <w:p w14:paraId="79469395" w14:textId="55DCA952" w:rsidR="0046323A" w:rsidRDefault="00202A7E" w:rsidP="00451452">
            <w:pPr>
              <w:widowControl/>
              <w:ind w:left="5"/>
              <w:jc w:val="center"/>
              <w:rPr>
                <w:lang w:val="en-CA"/>
              </w:rPr>
            </w:pPr>
            <w:r>
              <w:rPr>
                <w:lang w:val="en-CA"/>
              </w:rPr>
              <w:t>20</w:t>
            </w:r>
            <w:r w:rsidR="0017442A">
              <w:rPr>
                <w:lang w:val="en-CA"/>
              </w:rPr>
              <w:t xml:space="preserve"> </w:t>
            </w:r>
            <w:r w:rsidR="0046323A">
              <w:rPr>
                <w:lang w:val="en-CA"/>
              </w:rPr>
              <w:t>Hours</w:t>
            </w:r>
          </w:p>
        </w:tc>
        <w:tc>
          <w:tcPr>
            <w:tcW w:w="1350" w:type="dxa"/>
            <w:tcBorders>
              <w:top w:val="nil"/>
              <w:left w:val="nil"/>
              <w:bottom w:val="nil"/>
              <w:right w:val="nil"/>
            </w:tcBorders>
            <w:shd w:val="clear" w:color="000000" w:fill="auto"/>
            <w:vAlign w:val="center"/>
          </w:tcPr>
          <w:p w14:paraId="2398B6EA" w14:textId="77777777" w:rsidR="0046323A" w:rsidRDefault="00202A7E" w:rsidP="008621A7">
            <w:pPr>
              <w:widowControl/>
              <w:jc w:val="center"/>
              <w:rPr>
                <w:lang w:val="en-CA"/>
              </w:rPr>
            </w:pPr>
            <w:r>
              <w:rPr>
                <w:lang w:val="en-CA"/>
              </w:rPr>
              <w:t>900</w:t>
            </w:r>
          </w:p>
        </w:tc>
        <w:tc>
          <w:tcPr>
            <w:tcW w:w="1620" w:type="dxa"/>
            <w:tcBorders>
              <w:top w:val="nil"/>
              <w:left w:val="nil"/>
              <w:bottom w:val="nil"/>
              <w:right w:val="nil"/>
            </w:tcBorders>
            <w:shd w:val="clear" w:color="000000" w:fill="auto"/>
            <w:vAlign w:val="center"/>
          </w:tcPr>
          <w:p w14:paraId="34ADE52F" w14:textId="62C487B6" w:rsidR="0046323A" w:rsidRPr="00514E75" w:rsidRDefault="0046323A" w:rsidP="00D75D27">
            <w:pPr>
              <w:widowControl/>
              <w:jc w:val="center"/>
              <w:rPr>
                <w:lang w:val="en-CA"/>
              </w:rPr>
            </w:pPr>
            <w:r w:rsidRPr="00514E75">
              <w:rPr>
                <w:lang w:val="en-CA"/>
              </w:rPr>
              <w:t>$</w:t>
            </w:r>
            <w:r w:rsidR="00D75D27">
              <w:rPr>
                <w:lang w:val="en-CA"/>
              </w:rPr>
              <w:t>50</w:t>
            </w:r>
            <w:r w:rsidRPr="00514E75">
              <w:rPr>
                <w:lang w:val="en-CA"/>
              </w:rPr>
              <w:t>.</w:t>
            </w:r>
            <w:r w:rsidR="00D75D27">
              <w:rPr>
                <w:lang w:val="en-CA"/>
              </w:rPr>
              <w:t>67</w:t>
            </w:r>
          </w:p>
        </w:tc>
        <w:tc>
          <w:tcPr>
            <w:tcW w:w="1530" w:type="dxa"/>
            <w:tcBorders>
              <w:top w:val="nil"/>
              <w:left w:val="nil"/>
              <w:bottom w:val="nil"/>
              <w:right w:val="single" w:sz="8" w:space="0" w:color="auto"/>
            </w:tcBorders>
            <w:shd w:val="clear" w:color="000000" w:fill="auto"/>
            <w:vAlign w:val="center"/>
          </w:tcPr>
          <w:p w14:paraId="0E3DFC11" w14:textId="2B7A49DF" w:rsidR="0046323A" w:rsidRPr="006F7FB2" w:rsidRDefault="0046323A" w:rsidP="00395E30">
            <w:pPr>
              <w:widowControl/>
              <w:jc w:val="center"/>
              <w:rPr>
                <w:lang w:val="en-CA"/>
              </w:rPr>
            </w:pPr>
            <w:r w:rsidRPr="006F7FB2">
              <w:rPr>
                <w:lang w:val="en-CA"/>
              </w:rPr>
              <w:t>$</w:t>
            </w:r>
            <w:r w:rsidR="00B01E94" w:rsidRPr="006F7FB2">
              <w:rPr>
                <w:lang w:val="en-CA"/>
              </w:rPr>
              <w:t>45,603</w:t>
            </w:r>
          </w:p>
        </w:tc>
      </w:tr>
      <w:tr w:rsidR="0014097C" w:rsidRPr="00290769" w14:paraId="5302B63A" w14:textId="77777777" w:rsidTr="00202A7E">
        <w:trPr>
          <w:trHeight w:val="387"/>
        </w:trPr>
        <w:tc>
          <w:tcPr>
            <w:tcW w:w="2250" w:type="dxa"/>
            <w:tcBorders>
              <w:top w:val="nil"/>
              <w:left w:val="single" w:sz="8" w:space="0" w:color="auto"/>
              <w:bottom w:val="single" w:sz="4" w:space="0" w:color="auto"/>
              <w:right w:val="nil"/>
            </w:tcBorders>
            <w:shd w:val="clear" w:color="000000" w:fill="auto"/>
            <w:vAlign w:val="center"/>
          </w:tcPr>
          <w:p w14:paraId="2972CF53" w14:textId="77777777" w:rsidR="0014097C" w:rsidRPr="00290769" w:rsidRDefault="0014097C" w:rsidP="00451452">
            <w:pPr>
              <w:widowControl/>
              <w:rPr>
                <w:lang w:val="en-CA"/>
              </w:rPr>
            </w:pPr>
            <w:r w:rsidRPr="00290769">
              <w:rPr>
                <w:b/>
                <w:lang w:val="en-CA"/>
              </w:rPr>
              <w:t>TOTAL</w:t>
            </w:r>
          </w:p>
        </w:tc>
        <w:tc>
          <w:tcPr>
            <w:tcW w:w="1170" w:type="dxa"/>
            <w:tcBorders>
              <w:top w:val="nil"/>
              <w:left w:val="nil"/>
              <w:bottom w:val="single" w:sz="4" w:space="0" w:color="auto"/>
              <w:right w:val="nil"/>
            </w:tcBorders>
            <w:shd w:val="clear" w:color="000000" w:fill="auto"/>
            <w:vAlign w:val="center"/>
          </w:tcPr>
          <w:p w14:paraId="34886338" w14:textId="77777777" w:rsidR="0014097C" w:rsidRPr="00290769" w:rsidRDefault="004D6C2F" w:rsidP="0070251B">
            <w:pPr>
              <w:widowControl/>
              <w:jc w:val="center"/>
              <w:rPr>
                <w:b/>
                <w:lang w:val="en-CA"/>
              </w:rPr>
            </w:pPr>
            <w:r>
              <w:rPr>
                <w:b/>
                <w:lang w:val="en-CA"/>
              </w:rPr>
              <w:t>95</w:t>
            </w:r>
          </w:p>
        </w:tc>
        <w:tc>
          <w:tcPr>
            <w:tcW w:w="1350" w:type="dxa"/>
            <w:tcBorders>
              <w:top w:val="nil"/>
              <w:left w:val="nil"/>
              <w:bottom w:val="single" w:sz="4" w:space="0" w:color="auto"/>
              <w:right w:val="nil"/>
            </w:tcBorders>
            <w:shd w:val="clear" w:color="000000" w:fill="auto"/>
            <w:vAlign w:val="center"/>
          </w:tcPr>
          <w:p w14:paraId="6F531A6E" w14:textId="77777777" w:rsidR="0014097C" w:rsidRPr="00290769" w:rsidRDefault="0014097C" w:rsidP="00451452">
            <w:pPr>
              <w:widowControl/>
              <w:rPr>
                <w:lang w:val="en-CA"/>
              </w:rPr>
            </w:pPr>
          </w:p>
        </w:tc>
        <w:tc>
          <w:tcPr>
            <w:tcW w:w="1350" w:type="dxa"/>
            <w:tcBorders>
              <w:top w:val="nil"/>
              <w:left w:val="nil"/>
              <w:bottom w:val="single" w:sz="4" w:space="0" w:color="auto"/>
              <w:right w:val="nil"/>
            </w:tcBorders>
            <w:shd w:val="clear" w:color="000000" w:fill="auto"/>
            <w:vAlign w:val="center"/>
          </w:tcPr>
          <w:p w14:paraId="6229EBEA" w14:textId="77777777" w:rsidR="0014097C" w:rsidRPr="00290769" w:rsidRDefault="00842550" w:rsidP="0046323A">
            <w:pPr>
              <w:widowControl/>
              <w:jc w:val="center"/>
              <w:rPr>
                <w:b/>
                <w:lang w:val="en-CA"/>
              </w:rPr>
            </w:pPr>
            <w:r>
              <w:rPr>
                <w:b/>
                <w:lang w:val="en-CA"/>
              </w:rPr>
              <w:t>5220</w:t>
            </w:r>
          </w:p>
        </w:tc>
        <w:tc>
          <w:tcPr>
            <w:tcW w:w="1620" w:type="dxa"/>
            <w:tcBorders>
              <w:top w:val="nil"/>
              <w:left w:val="nil"/>
              <w:bottom w:val="single" w:sz="4" w:space="0" w:color="auto"/>
              <w:right w:val="nil"/>
            </w:tcBorders>
            <w:shd w:val="clear" w:color="000000" w:fill="auto"/>
            <w:vAlign w:val="center"/>
          </w:tcPr>
          <w:p w14:paraId="7D4C56E2" w14:textId="77777777" w:rsidR="0014097C" w:rsidRPr="00FB4A7A" w:rsidRDefault="0014097C" w:rsidP="00451452">
            <w:pPr>
              <w:widowControl/>
              <w:jc w:val="right"/>
              <w:rPr>
                <w:b/>
                <w:strike/>
                <w:color w:val="FF0000"/>
                <w:lang w:val="en-CA"/>
              </w:rPr>
            </w:pPr>
          </w:p>
        </w:tc>
        <w:tc>
          <w:tcPr>
            <w:tcW w:w="1530" w:type="dxa"/>
            <w:tcBorders>
              <w:top w:val="nil"/>
              <w:left w:val="nil"/>
              <w:bottom w:val="single" w:sz="4" w:space="0" w:color="auto"/>
              <w:right w:val="single" w:sz="8" w:space="0" w:color="auto"/>
            </w:tcBorders>
            <w:shd w:val="clear" w:color="000000" w:fill="auto"/>
            <w:vAlign w:val="center"/>
          </w:tcPr>
          <w:p w14:paraId="74AE0500" w14:textId="1B51969E" w:rsidR="0014097C" w:rsidRPr="006F7FB2" w:rsidRDefault="00E320F9" w:rsidP="00395E30">
            <w:pPr>
              <w:widowControl/>
              <w:jc w:val="center"/>
              <w:rPr>
                <w:b/>
                <w:lang w:val="en-CA"/>
              </w:rPr>
            </w:pPr>
            <w:r w:rsidRPr="006F7FB2">
              <w:rPr>
                <w:b/>
                <w:lang w:val="en-CA"/>
              </w:rPr>
              <w:t>$</w:t>
            </w:r>
            <w:r w:rsidR="00B01E94" w:rsidRPr="006F7FB2">
              <w:rPr>
                <w:b/>
                <w:lang w:val="en-CA"/>
              </w:rPr>
              <w:t>264,497</w:t>
            </w:r>
          </w:p>
        </w:tc>
      </w:tr>
    </w:tbl>
    <w:p w14:paraId="2A15B832" w14:textId="77777777" w:rsidR="0014097C" w:rsidRPr="00290769" w:rsidRDefault="0014097C"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p>
    <w:p w14:paraId="1E4829F0"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2"/>
          <w:szCs w:val="22"/>
        </w:rPr>
      </w:pPr>
      <w:r w:rsidRPr="00290769">
        <w:rPr>
          <w:b/>
          <w:bCs/>
          <w:sz w:val="22"/>
          <w:szCs w:val="22"/>
        </w:rPr>
        <w:t>13.</w:t>
      </w:r>
      <w:r w:rsidRPr="00290769">
        <w:rPr>
          <w:b/>
          <w:bCs/>
          <w:sz w:val="22"/>
          <w:szCs w:val="22"/>
        </w:rPr>
        <w:tab/>
      </w:r>
      <w:r w:rsidRPr="00290769">
        <w:rPr>
          <w:b/>
          <w:sz w:val="22"/>
          <w:szCs w:val="22"/>
        </w:rPr>
        <w:t>Provide an estimate of the total annual [non-hour] cost burden to respondents or record</w:t>
      </w:r>
      <w:r w:rsidR="00B306B3" w:rsidRPr="00290769">
        <w:rPr>
          <w:b/>
          <w:sz w:val="22"/>
          <w:szCs w:val="22"/>
        </w:rPr>
        <w:t xml:space="preserve"> </w:t>
      </w:r>
      <w:r w:rsidRPr="00290769">
        <w:rPr>
          <w:b/>
          <w:sz w:val="22"/>
          <w:szCs w:val="22"/>
        </w:rPr>
        <w:t>keepers resulting from the collection of information.  (Do not include the cost of any hour burden shown in Items 12 and 14).</w:t>
      </w:r>
    </w:p>
    <w:p w14:paraId="517D9283"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596A7984" w14:textId="77777777" w:rsidR="000A5B20" w:rsidRPr="00290769" w:rsidRDefault="000A5B20" w:rsidP="000A5B2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90769">
        <w:rPr>
          <w:sz w:val="22"/>
          <w:szCs w:val="22"/>
        </w:rPr>
        <w:t>There is no non-hour cost burden to applicants under this collection.  There is no fee for application, nor any fees associated with application requirements.</w:t>
      </w:r>
    </w:p>
    <w:p w14:paraId="64C49332" w14:textId="77777777" w:rsidR="000A5B20" w:rsidRDefault="000A5B20"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644FC1A0" w14:textId="77777777" w:rsidR="005F681F" w:rsidRPr="00290769" w:rsidRDefault="005F681F"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62C3F682"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b/>
          <w:bCs/>
          <w:sz w:val="22"/>
          <w:szCs w:val="22"/>
        </w:rPr>
        <w:t>14.</w:t>
      </w:r>
      <w:r w:rsidRPr="00290769">
        <w:rPr>
          <w:b/>
          <w:bCs/>
          <w:sz w:val="22"/>
          <w:szCs w:val="22"/>
        </w:rPr>
        <w:tab/>
      </w:r>
      <w:r w:rsidRPr="00290769">
        <w:rPr>
          <w:b/>
          <w:sz w:val="22"/>
          <w:szCs w:val="22"/>
        </w:rPr>
        <w:t>Provide estimates of annualized cost to the Federal government.</w:t>
      </w:r>
    </w:p>
    <w:p w14:paraId="12D4BBD6" w14:textId="77777777" w:rsidR="000A5B20" w:rsidRPr="00290769" w:rsidRDefault="000A5B20" w:rsidP="000A5B20">
      <w:pPr>
        <w:rPr>
          <w:sz w:val="22"/>
          <w:szCs w:val="22"/>
        </w:rPr>
      </w:pPr>
    </w:p>
    <w:p w14:paraId="0636B5B8" w14:textId="3355612E" w:rsidR="000F5183" w:rsidRPr="0014012A" w:rsidRDefault="000A5B20" w:rsidP="000F5183">
      <w:pPr>
        <w:rPr>
          <w:sz w:val="22"/>
          <w:szCs w:val="22"/>
        </w:rPr>
      </w:pPr>
      <w:r w:rsidRPr="00290769">
        <w:rPr>
          <w:sz w:val="22"/>
          <w:szCs w:val="22"/>
        </w:rPr>
        <w:t>The total estimated cost to the Federal Government for processing and reviewing</w:t>
      </w:r>
      <w:r w:rsidR="00086778" w:rsidRPr="00290769">
        <w:rPr>
          <w:sz w:val="22"/>
          <w:szCs w:val="22"/>
        </w:rPr>
        <w:t xml:space="preserve"> proposals</w:t>
      </w:r>
      <w:r w:rsidRPr="00290769">
        <w:rPr>
          <w:sz w:val="22"/>
          <w:szCs w:val="22"/>
        </w:rPr>
        <w:t xml:space="preserve"> as a result of this collection of information is </w:t>
      </w:r>
      <w:r w:rsidR="00324B78" w:rsidRPr="001F67DE">
        <w:rPr>
          <w:sz w:val="22"/>
          <w:szCs w:val="22"/>
        </w:rPr>
        <w:t>$</w:t>
      </w:r>
      <w:r w:rsidR="00A74613" w:rsidRPr="001F67DE">
        <w:rPr>
          <w:sz w:val="22"/>
          <w:szCs w:val="22"/>
        </w:rPr>
        <w:t>255</w:t>
      </w:r>
      <w:r w:rsidR="0070251B" w:rsidRPr="00BC2252">
        <w:rPr>
          <w:sz w:val="22"/>
          <w:szCs w:val="22"/>
        </w:rPr>
        <w:t>,</w:t>
      </w:r>
      <w:r w:rsidR="00A74613" w:rsidRPr="00BC2252">
        <w:rPr>
          <w:sz w:val="22"/>
          <w:szCs w:val="22"/>
        </w:rPr>
        <w:t>251</w:t>
      </w:r>
      <w:r w:rsidR="004D6C2F">
        <w:rPr>
          <w:sz w:val="22"/>
          <w:szCs w:val="22"/>
        </w:rPr>
        <w:t>.</w:t>
      </w:r>
      <w:r w:rsidRPr="00290769">
        <w:rPr>
          <w:sz w:val="22"/>
          <w:szCs w:val="22"/>
        </w:rPr>
        <w:t xml:space="preserve"> This includes hourly wages and benefits.  Table 4 below shows </w:t>
      </w:r>
      <w:r w:rsidR="00086778" w:rsidRPr="00290769">
        <w:rPr>
          <w:sz w:val="22"/>
          <w:szCs w:val="22"/>
        </w:rPr>
        <w:t>F</w:t>
      </w:r>
      <w:r w:rsidRPr="00290769">
        <w:rPr>
          <w:sz w:val="22"/>
          <w:szCs w:val="22"/>
        </w:rPr>
        <w:t>ederal staff and grade levels performing various tasks associated with this information collection. We used the Office of Personnel Management Salary Table 20</w:t>
      </w:r>
      <w:r w:rsidR="006A27F7">
        <w:rPr>
          <w:sz w:val="22"/>
          <w:szCs w:val="22"/>
        </w:rPr>
        <w:t>1</w:t>
      </w:r>
      <w:r w:rsidR="00C34035">
        <w:rPr>
          <w:sz w:val="22"/>
          <w:szCs w:val="22"/>
        </w:rPr>
        <w:t>5</w:t>
      </w:r>
      <w:r w:rsidRPr="00290769">
        <w:rPr>
          <w:sz w:val="22"/>
          <w:szCs w:val="22"/>
        </w:rPr>
        <w:t>-</w:t>
      </w:r>
      <w:r w:rsidR="00C34035">
        <w:rPr>
          <w:sz w:val="22"/>
          <w:szCs w:val="22"/>
        </w:rPr>
        <w:t xml:space="preserve">GS </w:t>
      </w:r>
      <w:r w:rsidRPr="00290769">
        <w:rPr>
          <w:sz w:val="22"/>
          <w:szCs w:val="22"/>
        </w:rPr>
        <w:t>(</w:t>
      </w:r>
      <w:r w:rsidR="00C34035" w:rsidRPr="00C34035">
        <w:rPr>
          <w:sz w:val="22"/>
          <w:szCs w:val="22"/>
        </w:rPr>
        <w:t>http://www.opm.gov/policy-data-oversight/pay-leave/salaries-wages/salary-tables/pdf/2015/GS</w:t>
      </w:r>
      <w:r w:rsidR="0073756F">
        <w:rPr>
          <w:sz w:val="22"/>
          <w:szCs w:val="22"/>
        </w:rPr>
        <w:t>_h</w:t>
      </w:r>
      <w:r w:rsidR="00C34035" w:rsidRPr="00C34035">
        <w:rPr>
          <w:sz w:val="22"/>
          <w:szCs w:val="22"/>
        </w:rPr>
        <w:t>.pdf</w:t>
      </w:r>
      <w:r w:rsidRPr="00290769">
        <w:rPr>
          <w:sz w:val="22"/>
          <w:szCs w:val="22"/>
        </w:rPr>
        <w:t>) to determine the hourly wages. We multiplied the hourly wage by 1.5 to account for benefits</w:t>
      </w:r>
      <w:r w:rsidR="0070251B">
        <w:rPr>
          <w:sz w:val="22"/>
          <w:szCs w:val="22"/>
        </w:rPr>
        <w:t>.</w:t>
      </w:r>
    </w:p>
    <w:p w14:paraId="7BE6176D" w14:textId="77777777" w:rsidR="000A5B20" w:rsidRPr="00290769" w:rsidRDefault="000A5B20" w:rsidP="000A5B20">
      <w:pPr>
        <w:rPr>
          <w:sz w:val="22"/>
          <w:szCs w:val="22"/>
        </w:rPr>
      </w:pPr>
    </w:p>
    <w:p w14:paraId="451DAAA8" w14:textId="77777777" w:rsidR="002C1ABA" w:rsidRDefault="001E33B1" w:rsidP="000A5B20">
      <w:pPr>
        <w:rPr>
          <w:sz w:val="22"/>
          <w:szCs w:val="22"/>
        </w:rPr>
      </w:pPr>
      <w:r w:rsidRPr="00290769">
        <w:rPr>
          <w:sz w:val="22"/>
          <w:szCs w:val="22"/>
        </w:rPr>
        <w:t xml:space="preserve">EDMAP </w:t>
      </w:r>
      <w:r w:rsidR="00E26AC0">
        <w:rPr>
          <w:sz w:val="22"/>
          <w:szCs w:val="22"/>
        </w:rPr>
        <w:t xml:space="preserve">proposals will be reviewed by a 9-member panel </w:t>
      </w:r>
      <w:r w:rsidRPr="00290769">
        <w:rPr>
          <w:sz w:val="22"/>
          <w:szCs w:val="22"/>
        </w:rPr>
        <w:t xml:space="preserve">and </w:t>
      </w:r>
      <w:r w:rsidR="00632C16" w:rsidRPr="00290769">
        <w:rPr>
          <w:sz w:val="22"/>
          <w:szCs w:val="22"/>
        </w:rPr>
        <w:t xml:space="preserve">STATEMAP </w:t>
      </w:r>
      <w:r w:rsidRPr="00290769">
        <w:rPr>
          <w:sz w:val="22"/>
          <w:szCs w:val="22"/>
        </w:rPr>
        <w:t>proposals will be reviewed by a</w:t>
      </w:r>
      <w:r w:rsidR="001715B2">
        <w:rPr>
          <w:sz w:val="22"/>
          <w:szCs w:val="22"/>
        </w:rPr>
        <w:t>n</w:t>
      </w:r>
      <w:r w:rsidRPr="00290769">
        <w:rPr>
          <w:sz w:val="22"/>
          <w:szCs w:val="22"/>
        </w:rPr>
        <w:t xml:space="preserve"> </w:t>
      </w:r>
      <w:r w:rsidR="00E26AC0">
        <w:rPr>
          <w:sz w:val="22"/>
          <w:szCs w:val="22"/>
        </w:rPr>
        <w:t>8</w:t>
      </w:r>
      <w:r w:rsidRPr="00290769">
        <w:rPr>
          <w:sz w:val="22"/>
          <w:szCs w:val="22"/>
        </w:rPr>
        <w:t xml:space="preserve">-member panel.  </w:t>
      </w:r>
      <w:r w:rsidR="00E26AC0">
        <w:rPr>
          <w:sz w:val="22"/>
          <w:szCs w:val="22"/>
        </w:rPr>
        <w:t>The EDMAP panel consists of 4</w:t>
      </w:r>
      <w:r w:rsidR="000F5183" w:rsidRPr="00290769">
        <w:rPr>
          <w:sz w:val="22"/>
          <w:szCs w:val="22"/>
        </w:rPr>
        <w:t xml:space="preserve"> university professors</w:t>
      </w:r>
      <w:r w:rsidR="00E26AC0">
        <w:rPr>
          <w:sz w:val="22"/>
          <w:szCs w:val="22"/>
        </w:rPr>
        <w:t>,</w:t>
      </w:r>
      <w:r w:rsidR="000F5183" w:rsidRPr="00290769">
        <w:rPr>
          <w:sz w:val="22"/>
          <w:szCs w:val="22"/>
        </w:rPr>
        <w:t xml:space="preserve"> </w:t>
      </w:r>
      <w:r w:rsidRPr="00290769">
        <w:rPr>
          <w:sz w:val="22"/>
          <w:szCs w:val="22"/>
        </w:rPr>
        <w:t xml:space="preserve">2 State </w:t>
      </w:r>
      <w:r w:rsidR="001715B2">
        <w:rPr>
          <w:sz w:val="22"/>
          <w:szCs w:val="22"/>
        </w:rPr>
        <w:t>g</w:t>
      </w:r>
      <w:r w:rsidRPr="00290769">
        <w:rPr>
          <w:sz w:val="22"/>
          <w:szCs w:val="22"/>
        </w:rPr>
        <w:t>eologists chosen by the Association of American State Geologists</w:t>
      </w:r>
      <w:r w:rsidR="00E26AC0">
        <w:rPr>
          <w:sz w:val="22"/>
          <w:szCs w:val="22"/>
        </w:rPr>
        <w:t xml:space="preserve"> and</w:t>
      </w:r>
      <w:r w:rsidR="001715B2">
        <w:rPr>
          <w:sz w:val="22"/>
          <w:szCs w:val="22"/>
        </w:rPr>
        <w:t xml:space="preserve"> 3 USGS geologists.  The STATEMAP panel consists of 5 State geologists and 3 USGS geologists</w:t>
      </w:r>
      <w:r w:rsidRPr="00290769">
        <w:rPr>
          <w:sz w:val="22"/>
          <w:szCs w:val="22"/>
        </w:rPr>
        <w:t>.</w:t>
      </w:r>
      <w:r w:rsidR="001715B2">
        <w:rPr>
          <w:sz w:val="22"/>
          <w:szCs w:val="22"/>
        </w:rPr>
        <w:t xml:space="preserve">  The USGS EDMAP and STATEMAP Associate Program Coordinator serves as the chair of both panels.</w:t>
      </w:r>
    </w:p>
    <w:p w14:paraId="1E28C4D4" w14:textId="77777777" w:rsidR="0014012A" w:rsidRPr="00290769" w:rsidRDefault="0014012A" w:rsidP="000A5B20">
      <w:pPr>
        <w:rPr>
          <w:sz w:val="22"/>
          <w:szCs w:val="22"/>
        </w:rPr>
      </w:pPr>
    </w:p>
    <w:p w14:paraId="0B99E568" w14:textId="77777777" w:rsidR="001F67DE" w:rsidRDefault="001F67DE">
      <w:pPr>
        <w:widowControl/>
        <w:autoSpaceDE/>
        <w:autoSpaceDN/>
        <w:adjustRightInd/>
        <w:rPr>
          <w:b/>
          <w:sz w:val="22"/>
          <w:szCs w:val="22"/>
        </w:rPr>
      </w:pPr>
      <w:r>
        <w:rPr>
          <w:b/>
          <w:sz w:val="22"/>
          <w:szCs w:val="22"/>
        </w:rPr>
        <w:br w:type="page"/>
      </w:r>
    </w:p>
    <w:p w14:paraId="1D13ABAB" w14:textId="7ED34F66" w:rsidR="000A5B20" w:rsidRPr="00290769" w:rsidRDefault="000A5B20" w:rsidP="000A5B20">
      <w:pPr>
        <w:rPr>
          <w:sz w:val="22"/>
          <w:szCs w:val="22"/>
        </w:rPr>
      </w:pPr>
      <w:r w:rsidRPr="00290769">
        <w:rPr>
          <w:b/>
          <w:sz w:val="22"/>
          <w:szCs w:val="22"/>
        </w:rPr>
        <w:lastRenderedPageBreak/>
        <w:t>Table 4. Annual Cost to the Federal Government</w:t>
      </w:r>
    </w:p>
    <w:tbl>
      <w:tblPr>
        <w:tblpPr w:leftFromText="180" w:rightFromText="180" w:vertAnchor="text" w:horzAnchor="margin" w:tblpXSpec="center" w:tblpY="85"/>
        <w:tblW w:w="8427" w:type="dxa"/>
        <w:tblBorders>
          <w:top w:val="single" w:sz="12" w:space="0" w:color="000000"/>
          <w:bottom w:val="single" w:sz="12" w:space="0" w:color="000000"/>
          <w:insideH w:val="single" w:sz="6" w:space="0" w:color="000000"/>
        </w:tblBorders>
        <w:tblLayout w:type="fixed"/>
        <w:tblLook w:val="0000" w:firstRow="0" w:lastRow="0" w:firstColumn="0" w:lastColumn="0" w:noHBand="0" w:noVBand="0"/>
      </w:tblPr>
      <w:tblGrid>
        <w:gridCol w:w="1908"/>
        <w:gridCol w:w="990"/>
        <w:gridCol w:w="1260"/>
        <w:gridCol w:w="1440"/>
        <w:gridCol w:w="1440"/>
        <w:gridCol w:w="1389"/>
      </w:tblGrid>
      <w:tr w:rsidR="00086778" w:rsidRPr="00290769" w14:paraId="440BE874" w14:textId="77777777" w:rsidTr="00086778">
        <w:trPr>
          <w:trHeight w:val="1229"/>
        </w:trPr>
        <w:tc>
          <w:tcPr>
            <w:tcW w:w="1908" w:type="dxa"/>
            <w:shd w:val="clear" w:color="auto" w:fill="F2F2F2"/>
            <w:vAlign w:val="center"/>
          </w:tcPr>
          <w:p w14:paraId="16AD90DF" w14:textId="77777777" w:rsidR="006003A1" w:rsidRPr="00290769" w:rsidRDefault="006003A1" w:rsidP="00086778">
            <w:pPr>
              <w:widowControl/>
              <w:autoSpaceDE/>
              <w:autoSpaceDN/>
              <w:adjustRightInd/>
              <w:jc w:val="center"/>
              <w:rPr>
                <w:b/>
                <w:bCs/>
              </w:rPr>
            </w:pPr>
            <w:r w:rsidRPr="00290769">
              <w:rPr>
                <w:b/>
                <w:bCs/>
              </w:rPr>
              <w:t>Position</w:t>
            </w:r>
          </w:p>
        </w:tc>
        <w:tc>
          <w:tcPr>
            <w:tcW w:w="990" w:type="dxa"/>
            <w:shd w:val="clear" w:color="auto" w:fill="F2F2F2"/>
            <w:vAlign w:val="center"/>
          </w:tcPr>
          <w:p w14:paraId="1B9B7502" w14:textId="77777777" w:rsidR="006003A1" w:rsidRPr="00290769" w:rsidRDefault="006003A1" w:rsidP="00086778">
            <w:pPr>
              <w:widowControl/>
              <w:autoSpaceDE/>
              <w:autoSpaceDN/>
              <w:adjustRightInd/>
              <w:jc w:val="center"/>
              <w:rPr>
                <w:b/>
                <w:bCs/>
              </w:rPr>
            </w:pPr>
            <w:r w:rsidRPr="00290769">
              <w:rPr>
                <w:b/>
                <w:bCs/>
              </w:rPr>
              <w:t>Grade/</w:t>
            </w:r>
          </w:p>
          <w:p w14:paraId="35E497D5" w14:textId="77777777" w:rsidR="006003A1" w:rsidRPr="00290769" w:rsidRDefault="006003A1" w:rsidP="00086778">
            <w:pPr>
              <w:widowControl/>
              <w:autoSpaceDE/>
              <w:autoSpaceDN/>
              <w:adjustRightInd/>
              <w:jc w:val="center"/>
              <w:rPr>
                <w:b/>
                <w:bCs/>
              </w:rPr>
            </w:pPr>
            <w:r w:rsidRPr="00290769">
              <w:rPr>
                <w:b/>
                <w:bCs/>
              </w:rPr>
              <w:t>Step</w:t>
            </w:r>
          </w:p>
        </w:tc>
        <w:tc>
          <w:tcPr>
            <w:tcW w:w="1260" w:type="dxa"/>
            <w:shd w:val="clear" w:color="auto" w:fill="F2F2F2"/>
            <w:vAlign w:val="center"/>
          </w:tcPr>
          <w:p w14:paraId="1DA19282" w14:textId="77777777" w:rsidR="006003A1" w:rsidRPr="00290769" w:rsidRDefault="006003A1" w:rsidP="00086778">
            <w:pPr>
              <w:widowControl/>
              <w:autoSpaceDE/>
              <w:autoSpaceDN/>
              <w:adjustRightInd/>
              <w:jc w:val="center"/>
              <w:rPr>
                <w:b/>
                <w:bCs/>
              </w:rPr>
            </w:pPr>
            <w:r w:rsidRPr="00290769">
              <w:rPr>
                <w:b/>
                <w:bCs/>
              </w:rPr>
              <w:t>Hourly Rate</w:t>
            </w:r>
          </w:p>
        </w:tc>
        <w:tc>
          <w:tcPr>
            <w:tcW w:w="1440" w:type="dxa"/>
            <w:shd w:val="clear" w:color="auto" w:fill="F2F2F2"/>
            <w:vAlign w:val="center"/>
          </w:tcPr>
          <w:p w14:paraId="5A7E4DAE" w14:textId="77777777" w:rsidR="006003A1" w:rsidRPr="00290769" w:rsidRDefault="006003A1" w:rsidP="00086778">
            <w:pPr>
              <w:widowControl/>
              <w:autoSpaceDE/>
              <w:autoSpaceDN/>
              <w:adjustRightInd/>
              <w:jc w:val="center"/>
              <w:rPr>
                <w:b/>
                <w:bCs/>
              </w:rPr>
            </w:pPr>
            <w:r w:rsidRPr="00290769">
              <w:rPr>
                <w:b/>
                <w:bCs/>
              </w:rPr>
              <w:t>Hourly Rate incl. benefits</w:t>
            </w:r>
          </w:p>
          <w:p w14:paraId="3A76FEDA" w14:textId="77777777" w:rsidR="006003A1" w:rsidRPr="00290769" w:rsidRDefault="006003A1" w:rsidP="00086778">
            <w:pPr>
              <w:widowControl/>
              <w:autoSpaceDE/>
              <w:autoSpaceDN/>
              <w:adjustRightInd/>
              <w:jc w:val="center"/>
              <w:rPr>
                <w:b/>
                <w:bCs/>
              </w:rPr>
            </w:pPr>
            <w:r w:rsidRPr="00290769">
              <w:rPr>
                <w:b/>
                <w:bCs/>
              </w:rPr>
              <w:t>(1.5 x hourly pay rate)</w:t>
            </w:r>
          </w:p>
        </w:tc>
        <w:tc>
          <w:tcPr>
            <w:tcW w:w="1440" w:type="dxa"/>
            <w:shd w:val="clear" w:color="auto" w:fill="F2F2F2"/>
            <w:vAlign w:val="center"/>
          </w:tcPr>
          <w:p w14:paraId="021BC797" w14:textId="77777777" w:rsidR="006003A1" w:rsidRPr="00290769" w:rsidRDefault="006003A1" w:rsidP="00086778">
            <w:pPr>
              <w:widowControl/>
              <w:autoSpaceDE/>
              <w:autoSpaceDN/>
              <w:adjustRightInd/>
              <w:jc w:val="center"/>
              <w:rPr>
                <w:b/>
                <w:bCs/>
              </w:rPr>
            </w:pPr>
            <w:r w:rsidRPr="00290769">
              <w:rPr>
                <w:b/>
                <w:bCs/>
              </w:rPr>
              <w:t>Estima</w:t>
            </w:r>
            <w:r w:rsidR="00086778" w:rsidRPr="00290769">
              <w:rPr>
                <w:b/>
                <w:bCs/>
              </w:rPr>
              <w:t>ted Time spent by F</w:t>
            </w:r>
            <w:r w:rsidRPr="00290769">
              <w:rPr>
                <w:b/>
                <w:bCs/>
              </w:rPr>
              <w:t>ederal employees</w:t>
            </w:r>
          </w:p>
          <w:p w14:paraId="7EC4AFE3" w14:textId="77777777" w:rsidR="006003A1" w:rsidRPr="00290769" w:rsidRDefault="006003A1" w:rsidP="00086778">
            <w:pPr>
              <w:widowControl/>
              <w:autoSpaceDE/>
              <w:autoSpaceDN/>
              <w:adjustRightInd/>
              <w:jc w:val="center"/>
              <w:rPr>
                <w:b/>
                <w:bCs/>
              </w:rPr>
            </w:pPr>
            <w:r w:rsidRPr="00290769">
              <w:rPr>
                <w:b/>
                <w:bCs/>
              </w:rPr>
              <w:t>(hours)</w:t>
            </w:r>
          </w:p>
        </w:tc>
        <w:tc>
          <w:tcPr>
            <w:tcW w:w="1389" w:type="dxa"/>
            <w:shd w:val="clear" w:color="auto" w:fill="F2F2F2"/>
            <w:vAlign w:val="center"/>
          </w:tcPr>
          <w:p w14:paraId="5A9C94F9" w14:textId="77777777" w:rsidR="006003A1" w:rsidRPr="00290769" w:rsidRDefault="006003A1" w:rsidP="00086778">
            <w:pPr>
              <w:widowControl/>
              <w:autoSpaceDE/>
              <w:autoSpaceDN/>
              <w:adjustRightInd/>
              <w:jc w:val="center"/>
              <w:rPr>
                <w:b/>
                <w:bCs/>
              </w:rPr>
            </w:pPr>
            <w:r w:rsidRPr="00290769">
              <w:rPr>
                <w:b/>
                <w:bCs/>
              </w:rPr>
              <w:t>Annual Cost</w:t>
            </w:r>
          </w:p>
        </w:tc>
      </w:tr>
      <w:tr w:rsidR="006003A1" w:rsidRPr="00290769" w14:paraId="7EF3E786" w14:textId="77777777" w:rsidTr="00086778">
        <w:trPr>
          <w:trHeight w:val="495"/>
        </w:trPr>
        <w:tc>
          <w:tcPr>
            <w:tcW w:w="1908" w:type="dxa"/>
            <w:shd w:val="clear" w:color="auto" w:fill="auto"/>
            <w:vAlign w:val="center"/>
          </w:tcPr>
          <w:p w14:paraId="17E1755F" w14:textId="77777777" w:rsidR="006003A1" w:rsidRPr="00290769" w:rsidRDefault="006003A1" w:rsidP="00086778">
            <w:pPr>
              <w:widowControl/>
              <w:autoSpaceDE/>
              <w:autoSpaceDN/>
              <w:adjustRightInd/>
            </w:pPr>
            <w:r w:rsidRPr="00290769">
              <w:t>Full time Coordinator</w:t>
            </w:r>
          </w:p>
        </w:tc>
        <w:tc>
          <w:tcPr>
            <w:tcW w:w="990" w:type="dxa"/>
            <w:shd w:val="clear" w:color="auto" w:fill="auto"/>
            <w:vAlign w:val="center"/>
          </w:tcPr>
          <w:p w14:paraId="3F607F13" w14:textId="77777777" w:rsidR="006003A1" w:rsidRPr="00290769" w:rsidRDefault="00EF0F03" w:rsidP="00086778">
            <w:pPr>
              <w:widowControl/>
              <w:autoSpaceDE/>
              <w:autoSpaceDN/>
              <w:adjustRightInd/>
              <w:jc w:val="center"/>
            </w:pPr>
            <w:r>
              <w:t>15/7</w:t>
            </w:r>
          </w:p>
        </w:tc>
        <w:tc>
          <w:tcPr>
            <w:tcW w:w="1260" w:type="dxa"/>
            <w:shd w:val="clear" w:color="auto" w:fill="auto"/>
            <w:noWrap/>
            <w:vAlign w:val="center"/>
          </w:tcPr>
          <w:p w14:paraId="73F7D344" w14:textId="6B79496A" w:rsidR="006003A1" w:rsidRPr="00290769" w:rsidRDefault="00085140" w:rsidP="00085140">
            <w:pPr>
              <w:widowControl/>
              <w:autoSpaceDE/>
              <w:autoSpaceDN/>
              <w:adjustRightInd/>
              <w:jc w:val="center"/>
            </w:pPr>
            <w:r>
              <w:t>58</w:t>
            </w:r>
            <w:r w:rsidR="00EF0F03">
              <w:t>.</w:t>
            </w:r>
            <w:r>
              <w:t>44</w:t>
            </w:r>
          </w:p>
        </w:tc>
        <w:tc>
          <w:tcPr>
            <w:tcW w:w="1440" w:type="dxa"/>
            <w:shd w:val="clear" w:color="auto" w:fill="auto"/>
            <w:noWrap/>
            <w:vAlign w:val="center"/>
          </w:tcPr>
          <w:p w14:paraId="0570CFF8" w14:textId="158FADEC" w:rsidR="006003A1" w:rsidRPr="00456A71" w:rsidRDefault="00456A71" w:rsidP="00456A71">
            <w:pPr>
              <w:widowControl/>
              <w:autoSpaceDE/>
              <w:autoSpaceDN/>
              <w:adjustRightInd/>
              <w:jc w:val="center"/>
              <w:rPr>
                <w:color w:val="FF0000"/>
              </w:rPr>
            </w:pPr>
            <w:r w:rsidRPr="00456A71">
              <w:t>87</w:t>
            </w:r>
            <w:r w:rsidR="00EF0F03" w:rsidRPr="00456A71">
              <w:t>.</w:t>
            </w:r>
            <w:r w:rsidRPr="00456A71">
              <w:t>66</w:t>
            </w:r>
          </w:p>
        </w:tc>
        <w:tc>
          <w:tcPr>
            <w:tcW w:w="1440" w:type="dxa"/>
            <w:shd w:val="clear" w:color="auto" w:fill="auto"/>
            <w:vAlign w:val="center"/>
          </w:tcPr>
          <w:p w14:paraId="53E6FEBC" w14:textId="77777777" w:rsidR="006003A1" w:rsidRPr="00456A71" w:rsidRDefault="00F80523" w:rsidP="00086778">
            <w:pPr>
              <w:widowControl/>
              <w:autoSpaceDE/>
              <w:autoSpaceDN/>
              <w:adjustRightInd/>
              <w:jc w:val="center"/>
              <w:rPr>
                <w:color w:val="FF0000"/>
              </w:rPr>
            </w:pPr>
            <w:r w:rsidRPr="00456A71">
              <w:t>1440</w:t>
            </w:r>
          </w:p>
        </w:tc>
        <w:tc>
          <w:tcPr>
            <w:tcW w:w="1389" w:type="dxa"/>
            <w:shd w:val="clear" w:color="auto" w:fill="auto"/>
            <w:vAlign w:val="center"/>
          </w:tcPr>
          <w:p w14:paraId="5FC7617D" w14:textId="695378BA" w:rsidR="006003A1" w:rsidRPr="00456A71" w:rsidRDefault="00635A8B" w:rsidP="00456A71">
            <w:pPr>
              <w:widowControl/>
              <w:autoSpaceDE/>
              <w:autoSpaceDN/>
              <w:adjustRightInd/>
              <w:jc w:val="center"/>
              <w:rPr>
                <w:color w:val="FF0000"/>
              </w:rPr>
            </w:pPr>
            <w:r w:rsidRPr="00456A71">
              <w:t>1</w:t>
            </w:r>
            <w:r w:rsidR="00456A71" w:rsidRPr="00456A71">
              <w:t>26</w:t>
            </w:r>
            <w:r w:rsidR="0070251B" w:rsidRPr="00456A71">
              <w:t>,</w:t>
            </w:r>
            <w:r w:rsidR="00456A71" w:rsidRPr="00456A71">
              <w:t>230</w:t>
            </w:r>
          </w:p>
        </w:tc>
      </w:tr>
      <w:tr w:rsidR="006003A1" w:rsidRPr="00290769" w14:paraId="41F56FF2" w14:textId="77777777" w:rsidTr="00086778">
        <w:trPr>
          <w:trHeight w:val="495"/>
        </w:trPr>
        <w:tc>
          <w:tcPr>
            <w:tcW w:w="1908" w:type="dxa"/>
            <w:shd w:val="clear" w:color="auto" w:fill="auto"/>
            <w:vAlign w:val="center"/>
          </w:tcPr>
          <w:p w14:paraId="6E060E31" w14:textId="77777777" w:rsidR="006003A1" w:rsidRPr="00290769" w:rsidRDefault="006003A1" w:rsidP="00086778">
            <w:pPr>
              <w:widowControl/>
              <w:autoSpaceDE/>
              <w:autoSpaceDN/>
              <w:adjustRightInd/>
            </w:pPr>
            <w:r w:rsidRPr="00290769">
              <w:t>Full time Program Analyst</w:t>
            </w:r>
          </w:p>
        </w:tc>
        <w:tc>
          <w:tcPr>
            <w:tcW w:w="990" w:type="dxa"/>
            <w:shd w:val="clear" w:color="auto" w:fill="auto"/>
            <w:vAlign w:val="center"/>
          </w:tcPr>
          <w:p w14:paraId="795B5A38" w14:textId="77777777" w:rsidR="006003A1" w:rsidRPr="00290769" w:rsidRDefault="00EF0F03" w:rsidP="00086778">
            <w:pPr>
              <w:widowControl/>
              <w:autoSpaceDE/>
              <w:autoSpaceDN/>
              <w:adjustRightInd/>
              <w:jc w:val="center"/>
            </w:pPr>
            <w:r>
              <w:t>12</w:t>
            </w:r>
            <w:r w:rsidR="006003A1" w:rsidRPr="00290769">
              <w:t>/5</w:t>
            </w:r>
          </w:p>
        </w:tc>
        <w:tc>
          <w:tcPr>
            <w:tcW w:w="1260" w:type="dxa"/>
            <w:shd w:val="clear" w:color="auto" w:fill="auto"/>
            <w:vAlign w:val="center"/>
          </w:tcPr>
          <w:p w14:paraId="40A11041" w14:textId="7F0699DA" w:rsidR="006003A1" w:rsidRPr="00952723" w:rsidRDefault="00952723" w:rsidP="00086778">
            <w:pPr>
              <w:widowControl/>
              <w:autoSpaceDE/>
              <w:autoSpaceDN/>
              <w:adjustRightInd/>
              <w:jc w:val="center"/>
            </w:pPr>
            <w:r w:rsidRPr="00952723">
              <w:t>33.39</w:t>
            </w:r>
          </w:p>
        </w:tc>
        <w:tc>
          <w:tcPr>
            <w:tcW w:w="1440" w:type="dxa"/>
            <w:shd w:val="clear" w:color="auto" w:fill="auto"/>
            <w:vAlign w:val="center"/>
          </w:tcPr>
          <w:p w14:paraId="7DF95577" w14:textId="2A70B029" w:rsidR="006003A1" w:rsidRPr="00952723" w:rsidRDefault="00952723" w:rsidP="00086778">
            <w:pPr>
              <w:widowControl/>
              <w:autoSpaceDE/>
              <w:autoSpaceDN/>
              <w:adjustRightInd/>
              <w:jc w:val="center"/>
            </w:pPr>
            <w:r w:rsidRPr="00952723">
              <w:t>50.09</w:t>
            </w:r>
          </w:p>
        </w:tc>
        <w:tc>
          <w:tcPr>
            <w:tcW w:w="1440" w:type="dxa"/>
            <w:shd w:val="clear" w:color="auto" w:fill="auto"/>
            <w:vAlign w:val="center"/>
          </w:tcPr>
          <w:p w14:paraId="6150BDD9" w14:textId="77777777" w:rsidR="006003A1" w:rsidRPr="00952723" w:rsidRDefault="00635A8B" w:rsidP="00E320F9">
            <w:pPr>
              <w:widowControl/>
              <w:autoSpaceDE/>
              <w:autoSpaceDN/>
              <w:adjustRightInd/>
              <w:jc w:val="center"/>
            </w:pPr>
            <w:r w:rsidRPr="00952723">
              <w:t>1140</w:t>
            </w:r>
          </w:p>
        </w:tc>
        <w:tc>
          <w:tcPr>
            <w:tcW w:w="1389" w:type="dxa"/>
            <w:shd w:val="clear" w:color="auto" w:fill="auto"/>
            <w:vAlign w:val="center"/>
          </w:tcPr>
          <w:p w14:paraId="71902557" w14:textId="7338DF72" w:rsidR="006003A1" w:rsidRPr="00456A71" w:rsidRDefault="00952723" w:rsidP="00086778">
            <w:pPr>
              <w:widowControl/>
              <w:autoSpaceDE/>
              <w:autoSpaceDN/>
              <w:adjustRightInd/>
              <w:jc w:val="center"/>
              <w:rPr>
                <w:color w:val="FF0000"/>
              </w:rPr>
            </w:pPr>
            <w:r w:rsidRPr="00952723">
              <w:t>57,103</w:t>
            </w:r>
          </w:p>
        </w:tc>
      </w:tr>
      <w:tr w:rsidR="006003A1" w:rsidRPr="00290769" w14:paraId="12035E96" w14:textId="77777777" w:rsidTr="00086778">
        <w:trPr>
          <w:trHeight w:val="495"/>
        </w:trPr>
        <w:tc>
          <w:tcPr>
            <w:tcW w:w="1908" w:type="dxa"/>
            <w:shd w:val="clear" w:color="auto" w:fill="auto"/>
            <w:vAlign w:val="center"/>
          </w:tcPr>
          <w:p w14:paraId="7FD45BC5" w14:textId="77777777" w:rsidR="006003A1" w:rsidRPr="00290769" w:rsidRDefault="006003A1" w:rsidP="00086778">
            <w:pPr>
              <w:widowControl/>
              <w:autoSpaceDE/>
              <w:autoSpaceDN/>
              <w:adjustRightInd/>
            </w:pPr>
            <w:r w:rsidRPr="00290769">
              <w:t>Reviewer #1 EDMAP</w:t>
            </w:r>
          </w:p>
        </w:tc>
        <w:tc>
          <w:tcPr>
            <w:tcW w:w="990" w:type="dxa"/>
            <w:shd w:val="clear" w:color="auto" w:fill="auto"/>
            <w:vAlign w:val="center"/>
          </w:tcPr>
          <w:p w14:paraId="10D19200" w14:textId="77777777" w:rsidR="006003A1" w:rsidRPr="00290769" w:rsidRDefault="006003A1" w:rsidP="00EF0F03">
            <w:pPr>
              <w:widowControl/>
              <w:autoSpaceDE/>
              <w:autoSpaceDN/>
              <w:adjustRightInd/>
              <w:jc w:val="center"/>
            </w:pPr>
            <w:r w:rsidRPr="00290769">
              <w:t>1</w:t>
            </w:r>
            <w:r w:rsidR="00EF0F03">
              <w:t>3</w:t>
            </w:r>
            <w:r w:rsidRPr="00290769">
              <w:t>/</w:t>
            </w:r>
            <w:r w:rsidR="00EF0F03">
              <w:t>10</w:t>
            </w:r>
          </w:p>
        </w:tc>
        <w:tc>
          <w:tcPr>
            <w:tcW w:w="1260" w:type="dxa"/>
            <w:shd w:val="clear" w:color="auto" w:fill="auto"/>
            <w:vAlign w:val="center"/>
          </w:tcPr>
          <w:p w14:paraId="52DAC02C" w14:textId="6B99077D" w:rsidR="006003A1" w:rsidRPr="000B3C3B" w:rsidRDefault="000B3C3B" w:rsidP="00EF0F03">
            <w:pPr>
              <w:widowControl/>
              <w:autoSpaceDE/>
              <w:autoSpaceDN/>
              <w:adjustRightInd/>
              <w:jc w:val="center"/>
            </w:pPr>
            <w:r w:rsidRPr="000B3C3B">
              <w:t>45.54</w:t>
            </w:r>
          </w:p>
        </w:tc>
        <w:tc>
          <w:tcPr>
            <w:tcW w:w="1440" w:type="dxa"/>
            <w:shd w:val="clear" w:color="auto" w:fill="auto"/>
            <w:vAlign w:val="center"/>
          </w:tcPr>
          <w:p w14:paraId="2D0B3E57" w14:textId="5470B47F" w:rsidR="006003A1" w:rsidRPr="000B3C3B" w:rsidRDefault="000B3C3B" w:rsidP="00086778">
            <w:pPr>
              <w:widowControl/>
              <w:autoSpaceDE/>
              <w:autoSpaceDN/>
              <w:adjustRightInd/>
              <w:jc w:val="center"/>
            </w:pPr>
            <w:r w:rsidRPr="000B3C3B">
              <w:t>68.31</w:t>
            </w:r>
          </w:p>
        </w:tc>
        <w:tc>
          <w:tcPr>
            <w:tcW w:w="1440" w:type="dxa"/>
            <w:shd w:val="clear" w:color="auto" w:fill="auto"/>
            <w:vAlign w:val="center"/>
          </w:tcPr>
          <w:p w14:paraId="236347BB" w14:textId="77777777" w:rsidR="006003A1" w:rsidRPr="000B3C3B" w:rsidRDefault="00635A8B" w:rsidP="00635A8B">
            <w:pPr>
              <w:widowControl/>
              <w:autoSpaceDE/>
              <w:autoSpaceDN/>
              <w:adjustRightInd/>
              <w:jc w:val="center"/>
            </w:pPr>
            <w:r w:rsidRPr="000B3C3B">
              <w:t>125</w:t>
            </w:r>
          </w:p>
        </w:tc>
        <w:tc>
          <w:tcPr>
            <w:tcW w:w="1389" w:type="dxa"/>
            <w:shd w:val="clear" w:color="auto" w:fill="auto"/>
            <w:vAlign w:val="center"/>
          </w:tcPr>
          <w:p w14:paraId="32C38649" w14:textId="044FBEA6" w:rsidR="006003A1" w:rsidRPr="000B3C3B" w:rsidRDefault="000B3C3B" w:rsidP="00086778">
            <w:pPr>
              <w:widowControl/>
              <w:autoSpaceDE/>
              <w:autoSpaceDN/>
              <w:adjustRightInd/>
              <w:jc w:val="center"/>
            </w:pPr>
            <w:r w:rsidRPr="000B3C3B">
              <w:t>8,539</w:t>
            </w:r>
          </w:p>
        </w:tc>
      </w:tr>
      <w:tr w:rsidR="006003A1" w:rsidRPr="00290769" w14:paraId="61937D72" w14:textId="77777777" w:rsidTr="00086778">
        <w:trPr>
          <w:trHeight w:val="495"/>
        </w:trPr>
        <w:tc>
          <w:tcPr>
            <w:tcW w:w="1908" w:type="dxa"/>
            <w:shd w:val="clear" w:color="auto" w:fill="auto"/>
            <w:vAlign w:val="center"/>
          </w:tcPr>
          <w:p w14:paraId="26505F95" w14:textId="77777777" w:rsidR="006003A1" w:rsidRPr="00290769" w:rsidDel="00775AEB" w:rsidRDefault="006003A1" w:rsidP="00086778">
            <w:pPr>
              <w:widowControl/>
              <w:autoSpaceDE/>
              <w:autoSpaceDN/>
              <w:adjustRightInd/>
            </w:pPr>
            <w:r w:rsidRPr="00290769">
              <w:t>Reviewer #2 EDMAP</w:t>
            </w:r>
          </w:p>
        </w:tc>
        <w:tc>
          <w:tcPr>
            <w:tcW w:w="990" w:type="dxa"/>
            <w:shd w:val="clear" w:color="auto" w:fill="auto"/>
            <w:vAlign w:val="center"/>
          </w:tcPr>
          <w:p w14:paraId="746FAEB8" w14:textId="77777777" w:rsidR="006003A1" w:rsidRPr="00290769" w:rsidRDefault="006003A1" w:rsidP="00EF0F03">
            <w:pPr>
              <w:widowControl/>
              <w:autoSpaceDE/>
              <w:autoSpaceDN/>
              <w:adjustRightInd/>
              <w:jc w:val="center"/>
            </w:pPr>
            <w:r w:rsidRPr="00290769">
              <w:t>1</w:t>
            </w:r>
            <w:r w:rsidR="00EF0F03">
              <w:t>2</w:t>
            </w:r>
            <w:r w:rsidRPr="00290769">
              <w:t>/</w:t>
            </w:r>
            <w:r w:rsidR="00EF0F03">
              <w:t>4</w:t>
            </w:r>
          </w:p>
        </w:tc>
        <w:tc>
          <w:tcPr>
            <w:tcW w:w="1260" w:type="dxa"/>
            <w:shd w:val="clear" w:color="auto" w:fill="auto"/>
            <w:vAlign w:val="center"/>
          </w:tcPr>
          <w:p w14:paraId="7B8EAFA4" w14:textId="5EC5FF40" w:rsidR="006003A1" w:rsidRPr="00AE5115" w:rsidRDefault="006003A1" w:rsidP="00AE5115">
            <w:pPr>
              <w:widowControl/>
              <w:autoSpaceDE/>
              <w:autoSpaceDN/>
              <w:adjustRightInd/>
              <w:jc w:val="center"/>
            </w:pPr>
            <w:r w:rsidRPr="00AE5115">
              <w:t>3</w:t>
            </w:r>
            <w:r w:rsidR="00AE5115" w:rsidRPr="00AE5115">
              <w:t>2</w:t>
            </w:r>
            <w:r w:rsidRPr="00AE5115">
              <w:t>.4</w:t>
            </w:r>
            <w:r w:rsidR="00AE5115" w:rsidRPr="00AE5115">
              <w:t>1</w:t>
            </w:r>
          </w:p>
        </w:tc>
        <w:tc>
          <w:tcPr>
            <w:tcW w:w="1440" w:type="dxa"/>
            <w:shd w:val="clear" w:color="auto" w:fill="auto"/>
            <w:vAlign w:val="center"/>
          </w:tcPr>
          <w:p w14:paraId="2BF52EE0" w14:textId="269E8328" w:rsidR="006003A1" w:rsidRPr="00AE5115" w:rsidRDefault="00AE5115" w:rsidP="00AE5115">
            <w:pPr>
              <w:widowControl/>
              <w:autoSpaceDE/>
              <w:autoSpaceDN/>
              <w:adjustRightInd/>
              <w:jc w:val="center"/>
            </w:pPr>
            <w:r w:rsidRPr="00AE5115">
              <w:t>48</w:t>
            </w:r>
            <w:r w:rsidR="00EF0F03" w:rsidRPr="00AE5115">
              <w:t>.</w:t>
            </w:r>
            <w:r w:rsidRPr="00AE5115">
              <w:t>62</w:t>
            </w:r>
          </w:p>
        </w:tc>
        <w:tc>
          <w:tcPr>
            <w:tcW w:w="1440" w:type="dxa"/>
            <w:shd w:val="clear" w:color="auto" w:fill="auto"/>
            <w:vAlign w:val="center"/>
          </w:tcPr>
          <w:p w14:paraId="78140A6F" w14:textId="77777777" w:rsidR="006003A1" w:rsidRPr="00AE5115" w:rsidRDefault="00635A8B" w:rsidP="00635A8B">
            <w:pPr>
              <w:widowControl/>
              <w:autoSpaceDE/>
              <w:autoSpaceDN/>
              <w:adjustRightInd/>
              <w:jc w:val="center"/>
            </w:pPr>
            <w:r w:rsidRPr="00AE5115">
              <w:t>125</w:t>
            </w:r>
          </w:p>
        </w:tc>
        <w:tc>
          <w:tcPr>
            <w:tcW w:w="1389" w:type="dxa"/>
            <w:shd w:val="clear" w:color="auto" w:fill="auto"/>
            <w:vAlign w:val="center"/>
          </w:tcPr>
          <w:p w14:paraId="33E133F8" w14:textId="7DA442BF" w:rsidR="006003A1" w:rsidRPr="00AE5115" w:rsidRDefault="00AE5115" w:rsidP="00086778">
            <w:pPr>
              <w:widowControl/>
              <w:autoSpaceDE/>
              <w:autoSpaceDN/>
              <w:adjustRightInd/>
              <w:jc w:val="center"/>
            </w:pPr>
            <w:r w:rsidRPr="00AE5115">
              <w:t>6</w:t>
            </w:r>
            <w:r w:rsidR="00A71033" w:rsidRPr="00AE5115">
              <w:t>,</w:t>
            </w:r>
            <w:r w:rsidRPr="00AE5115">
              <w:t>078</w:t>
            </w:r>
          </w:p>
        </w:tc>
      </w:tr>
      <w:tr w:rsidR="006003A1" w:rsidRPr="00290769" w14:paraId="61059538" w14:textId="77777777" w:rsidTr="00086778">
        <w:trPr>
          <w:trHeight w:val="495"/>
        </w:trPr>
        <w:tc>
          <w:tcPr>
            <w:tcW w:w="1908" w:type="dxa"/>
            <w:shd w:val="clear" w:color="auto" w:fill="auto"/>
            <w:vAlign w:val="center"/>
          </w:tcPr>
          <w:p w14:paraId="72405BC6" w14:textId="77777777" w:rsidR="006003A1" w:rsidRPr="00290769" w:rsidRDefault="006003A1" w:rsidP="00086778">
            <w:pPr>
              <w:widowControl/>
              <w:autoSpaceDE/>
              <w:autoSpaceDN/>
              <w:adjustRightInd/>
            </w:pPr>
            <w:r w:rsidRPr="00290769">
              <w:t>Reviewer #1 STATEMAP</w:t>
            </w:r>
          </w:p>
        </w:tc>
        <w:tc>
          <w:tcPr>
            <w:tcW w:w="990" w:type="dxa"/>
            <w:shd w:val="clear" w:color="auto" w:fill="auto"/>
            <w:vAlign w:val="center"/>
          </w:tcPr>
          <w:p w14:paraId="2A0DA135" w14:textId="77777777" w:rsidR="006003A1" w:rsidRPr="008F2A0D" w:rsidRDefault="006003A1" w:rsidP="00EF0F03">
            <w:pPr>
              <w:widowControl/>
              <w:autoSpaceDE/>
              <w:autoSpaceDN/>
              <w:adjustRightInd/>
              <w:jc w:val="center"/>
            </w:pPr>
            <w:r w:rsidRPr="008F2A0D">
              <w:t>1</w:t>
            </w:r>
            <w:r w:rsidR="00EF0F03" w:rsidRPr="008F2A0D">
              <w:t>4</w:t>
            </w:r>
            <w:r w:rsidRPr="008F2A0D">
              <w:t>/</w:t>
            </w:r>
            <w:r w:rsidR="00EF0F03" w:rsidRPr="008F2A0D">
              <w:t>10</w:t>
            </w:r>
          </w:p>
        </w:tc>
        <w:tc>
          <w:tcPr>
            <w:tcW w:w="1260" w:type="dxa"/>
            <w:shd w:val="clear" w:color="auto" w:fill="auto"/>
            <w:vAlign w:val="center"/>
          </w:tcPr>
          <w:p w14:paraId="67EE45D8" w14:textId="3522014D" w:rsidR="006003A1" w:rsidRPr="008F2A0D" w:rsidRDefault="008F2A0D" w:rsidP="008F2A0D">
            <w:pPr>
              <w:widowControl/>
              <w:autoSpaceDE/>
              <w:autoSpaceDN/>
              <w:adjustRightInd/>
              <w:jc w:val="center"/>
            </w:pPr>
            <w:r w:rsidRPr="008F2A0D">
              <w:t>53</w:t>
            </w:r>
            <w:r w:rsidR="006003A1" w:rsidRPr="008F2A0D">
              <w:t>.</w:t>
            </w:r>
            <w:r w:rsidRPr="008F2A0D">
              <w:t>82</w:t>
            </w:r>
          </w:p>
        </w:tc>
        <w:tc>
          <w:tcPr>
            <w:tcW w:w="1440" w:type="dxa"/>
            <w:shd w:val="clear" w:color="auto" w:fill="auto"/>
            <w:vAlign w:val="center"/>
          </w:tcPr>
          <w:p w14:paraId="3AFA5645" w14:textId="20B1BD5C" w:rsidR="006003A1" w:rsidRPr="008F2A0D" w:rsidRDefault="008F2A0D" w:rsidP="008F2A0D">
            <w:pPr>
              <w:widowControl/>
              <w:autoSpaceDE/>
              <w:autoSpaceDN/>
              <w:adjustRightInd/>
              <w:jc w:val="center"/>
            </w:pPr>
            <w:r w:rsidRPr="008F2A0D">
              <w:t>80</w:t>
            </w:r>
            <w:r w:rsidR="00EF0F03" w:rsidRPr="008F2A0D">
              <w:t>.</w:t>
            </w:r>
            <w:r w:rsidRPr="008F2A0D">
              <w:t>73</w:t>
            </w:r>
          </w:p>
        </w:tc>
        <w:tc>
          <w:tcPr>
            <w:tcW w:w="1440" w:type="dxa"/>
            <w:shd w:val="clear" w:color="auto" w:fill="auto"/>
            <w:vAlign w:val="center"/>
          </w:tcPr>
          <w:p w14:paraId="30CC7700" w14:textId="77777777" w:rsidR="006003A1" w:rsidRPr="008F2A0D" w:rsidRDefault="00635A8B" w:rsidP="00086778">
            <w:pPr>
              <w:widowControl/>
              <w:autoSpaceDE/>
              <w:autoSpaceDN/>
              <w:adjustRightInd/>
              <w:jc w:val="center"/>
            </w:pPr>
            <w:r w:rsidRPr="008F2A0D">
              <w:t>112</w:t>
            </w:r>
          </w:p>
        </w:tc>
        <w:tc>
          <w:tcPr>
            <w:tcW w:w="1389" w:type="dxa"/>
            <w:shd w:val="clear" w:color="auto" w:fill="auto"/>
            <w:vAlign w:val="center"/>
          </w:tcPr>
          <w:p w14:paraId="2EFDFDFD" w14:textId="309F062C" w:rsidR="006003A1" w:rsidRPr="008F2A0D" w:rsidRDefault="008F2A0D" w:rsidP="008F2A0D">
            <w:pPr>
              <w:widowControl/>
              <w:autoSpaceDE/>
              <w:autoSpaceDN/>
              <w:adjustRightInd/>
              <w:jc w:val="center"/>
            </w:pPr>
            <w:r w:rsidRPr="008F2A0D">
              <w:t>9</w:t>
            </w:r>
            <w:r w:rsidR="00A71033" w:rsidRPr="008F2A0D">
              <w:t>,</w:t>
            </w:r>
            <w:r w:rsidR="00635A8B" w:rsidRPr="008F2A0D">
              <w:t>0</w:t>
            </w:r>
            <w:r w:rsidRPr="008F2A0D">
              <w:t>42</w:t>
            </w:r>
          </w:p>
        </w:tc>
      </w:tr>
      <w:tr w:rsidR="006003A1" w:rsidRPr="00290769" w14:paraId="7F883FD1" w14:textId="77777777" w:rsidTr="00086778">
        <w:trPr>
          <w:trHeight w:val="495"/>
        </w:trPr>
        <w:tc>
          <w:tcPr>
            <w:tcW w:w="1908" w:type="dxa"/>
            <w:shd w:val="clear" w:color="auto" w:fill="auto"/>
            <w:vAlign w:val="center"/>
          </w:tcPr>
          <w:p w14:paraId="2E3A7C08" w14:textId="77777777" w:rsidR="006003A1" w:rsidRPr="00290769" w:rsidRDefault="006003A1" w:rsidP="00086778">
            <w:pPr>
              <w:widowControl/>
              <w:autoSpaceDE/>
              <w:autoSpaceDN/>
              <w:adjustRightInd/>
            </w:pPr>
            <w:r w:rsidRPr="00290769">
              <w:t>Reviewer #2 STATEMAP</w:t>
            </w:r>
          </w:p>
        </w:tc>
        <w:tc>
          <w:tcPr>
            <w:tcW w:w="990" w:type="dxa"/>
            <w:shd w:val="clear" w:color="auto" w:fill="auto"/>
            <w:vAlign w:val="center"/>
          </w:tcPr>
          <w:p w14:paraId="14B50DF5" w14:textId="77777777" w:rsidR="006003A1" w:rsidRPr="008F2A0D" w:rsidRDefault="00EF0F03" w:rsidP="00086778">
            <w:pPr>
              <w:widowControl/>
              <w:autoSpaceDE/>
              <w:autoSpaceDN/>
              <w:adjustRightInd/>
              <w:jc w:val="center"/>
            </w:pPr>
            <w:r w:rsidRPr="008F2A0D">
              <w:t>12/1</w:t>
            </w:r>
          </w:p>
        </w:tc>
        <w:tc>
          <w:tcPr>
            <w:tcW w:w="1260" w:type="dxa"/>
            <w:shd w:val="clear" w:color="auto" w:fill="auto"/>
            <w:vAlign w:val="center"/>
          </w:tcPr>
          <w:p w14:paraId="00E53BB0" w14:textId="63963F6E" w:rsidR="006003A1" w:rsidRPr="008F2A0D" w:rsidRDefault="008F2A0D" w:rsidP="008F2A0D">
            <w:pPr>
              <w:widowControl/>
              <w:autoSpaceDE/>
              <w:autoSpaceDN/>
              <w:adjustRightInd/>
              <w:jc w:val="center"/>
            </w:pPr>
            <w:r w:rsidRPr="008F2A0D">
              <w:t>29</w:t>
            </w:r>
            <w:r w:rsidR="00EF0F03" w:rsidRPr="008F2A0D">
              <w:t>.</w:t>
            </w:r>
            <w:r w:rsidRPr="008F2A0D">
              <w:t>46</w:t>
            </w:r>
          </w:p>
        </w:tc>
        <w:tc>
          <w:tcPr>
            <w:tcW w:w="1440" w:type="dxa"/>
            <w:shd w:val="clear" w:color="auto" w:fill="auto"/>
            <w:vAlign w:val="center"/>
          </w:tcPr>
          <w:p w14:paraId="752F6D95" w14:textId="7C70572C" w:rsidR="006003A1" w:rsidRPr="008F2A0D" w:rsidRDefault="008F2A0D" w:rsidP="008F2A0D">
            <w:pPr>
              <w:widowControl/>
              <w:autoSpaceDE/>
              <w:autoSpaceDN/>
              <w:adjustRightInd/>
              <w:jc w:val="center"/>
            </w:pPr>
            <w:r w:rsidRPr="008F2A0D">
              <w:t>44</w:t>
            </w:r>
            <w:r w:rsidR="00EF0F03" w:rsidRPr="008F2A0D">
              <w:t>.</w:t>
            </w:r>
            <w:r w:rsidRPr="008F2A0D">
              <w:t>19</w:t>
            </w:r>
          </w:p>
        </w:tc>
        <w:tc>
          <w:tcPr>
            <w:tcW w:w="1440" w:type="dxa"/>
            <w:shd w:val="clear" w:color="auto" w:fill="auto"/>
            <w:vAlign w:val="center"/>
          </w:tcPr>
          <w:p w14:paraId="378BD222" w14:textId="77777777" w:rsidR="006003A1" w:rsidRPr="008F2A0D" w:rsidRDefault="00635A8B" w:rsidP="00086778">
            <w:pPr>
              <w:widowControl/>
              <w:autoSpaceDE/>
              <w:autoSpaceDN/>
              <w:adjustRightInd/>
              <w:jc w:val="center"/>
            </w:pPr>
            <w:r w:rsidRPr="008F2A0D">
              <w:t>112</w:t>
            </w:r>
          </w:p>
        </w:tc>
        <w:tc>
          <w:tcPr>
            <w:tcW w:w="1389" w:type="dxa"/>
            <w:shd w:val="clear" w:color="auto" w:fill="auto"/>
            <w:vAlign w:val="center"/>
          </w:tcPr>
          <w:p w14:paraId="0A09420A" w14:textId="3ED26A03" w:rsidR="006003A1" w:rsidRPr="008F2A0D" w:rsidRDefault="008F2A0D" w:rsidP="00EE00DD">
            <w:pPr>
              <w:widowControl/>
              <w:autoSpaceDE/>
              <w:autoSpaceDN/>
              <w:adjustRightInd/>
              <w:jc w:val="center"/>
            </w:pPr>
            <w:r w:rsidRPr="008F2A0D">
              <w:t>4</w:t>
            </w:r>
            <w:r w:rsidR="00A71033" w:rsidRPr="008F2A0D">
              <w:t>,</w:t>
            </w:r>
            <w:r w:rsidRPr="008F2A0D">
              <w:t>949</w:t>
            </w:r>
          </w:p>
          <w:p w14:paraId="20372B63" w14:textId="77777777" w:rsidR="002C0B28" w:rsidRPr="008F2A0D" w:rsidRDefault="002C0B28" w:rsidP="0070251B">
            <w:pPr>
              <w:widowControl/>
              <w:autoSpaceDE/>
              <w:autoSpaceDN/>
              <w:adjustRightInd/>
            </w:pPr>
          </w:p>
        </w:tc>
      </w:tr>
      <w:tr w:rsidR="002C0B28" w:rsidRPr="00290769" w14:paraId="6A761CB8" w14:textId="77777777" w:rsidTr="00086778">
        <w:trPr>
          <w:trHeight w:val="495"/>
        </w:trPr>
        <w:tc>
          <w:tcPr>
            <w:tcW w:w="1908" w:type="dxa"/>
            <w:shd w:val="clear" w:color="auto" w:fill="auto"/>
            <w:vAlign w:val="center"/>
          </w:tcPr>
          <w:p w14:paraId="29052060" w14:textId="77777777" w:rsidR="002C0B28" w:rsidRDefault="002C0B28" w:rsidP="00086778">
            <w:pPr>
              <w:widowControl/>
              <w:autoSpaceDE/>
              <w:autoSpaceDN/>
              <w:adjustRightInd/>
            </w:pPr>
          </w:p>
          <w:p w14:paraId="44B7C8A2" w14:textId="77777777" w:rsidR="002C0B28" w:rsidRPr="004D6C2F" w:rsidRDefault="002C0B28" w:rsidP="00086778">
            <w:pPr>
              <w:widowControl/>
              <w:autoSpaceDE/>
              <w:autoSpaceDN/>
              <w:adjustRightInd/>
            </w:pPr>
            <w:r w:rsidRPr="00810822">
              <w:rPr>
                <w:color w:val="000000"/>
              </w:rPr>
              <w:t>Grant Specialist</w:t>
            </w:r>
          </w:p>
        </w:tc>
        <w:tc>
          <w:tcPr>
            <w:tcW w:w="990" w:type="dxa"/>
            <w:shd w:val="clear" w:color="auto" w:fill="auto"/>
            <w:vAlign w:val="center"/>
          </w:tcPr>
          <w:p w14:paraId="5998CCCF" w14:textId="77777777" w:rsidR="002C0B28" w:rsidRDefault="00A71033" w:rsidP="00086778">
            <w:pPr>
              <w:widowControl/>
              <w:autoSpaceDE/>
              <w:autoSpaceDN/>
              <w:adjustRightInd/>
              <w:jc w:val="center"/>
            </w:pPr>
            <w:r>
              <w:t>12/6</w:t>
            </w:r>
          </w:p>
        </w:tc>
        <w:tc>
          <w:tcPr>
            <w:tcW w:w="1260" w:type="dxa"/>
            <w:shd w:val="clear" w:color="auto" w:fill="auto"/>
            <w:vAlign w:val="center"/>
          </w:tcPr>
          <w:p w14:paraId="55F618DC" w14:textId="4317350B" w:rsidR="002C0B28" w:rsidRPr="00BA5102" w:rsidRDefault="00BA5102" w:rsidP="00086778">
            <w:pPr>
              <w:widowControl/>
              <w:autoSpaceDE/>
              <w:autoSpaceDN/>
              <w:adjustRightInd/>
              <w:jc w:val="center"/>
            </w:pPr>
            <w:r w:rsidRPr="00BA5102">
              <w:t>34.37</w:t>
            </w:r>
          </w:p>
        </w:tc>
        <w:tc>
          <w:tcPr>
            <w:tcW w:w="1440" w:type="dxa"/>
            <w:shd w:val="clear" w:color="auto" w:fill="auto"/>
            <w:vAlign w:val="center"/>
          </w:tcPr>
          <w:p w14:paraId="5D248CD5" w14:textId="1B0A4F6E" w:rsidR="002C0B28" w:rsidRPr="00BA5102" w:rsidRDefault="00BA5102" w:rsidP="00BA5102">
            <w:pPr>
              <w:widowControl/>
              <w:autoSpaceDE/>
              <w:autoSpaceDN/>
              <w:adjustRightInd/>
              <w:jc w:val="center"/>
            </w:pPr>
            <w:r w:rsidRPr="00BA5102">
              <w:t>51</w:t>
            </w:r>
            <w:r w:rsidR="00A71033" w:rsidRPr="00BA5102">
              <w:t>.</w:t>
            </w:r>
            <w:r w:rsidRPr="00BA5102">
              <w:t>56</w:t>
            </w:r>
          </w:p>
        </w:tc>
        <w:tc>
          <w:tcPr>
            <w:tcW w:w="1440" w:type="dxa"/>
            <w:shd w:val="clear" w:color="auto" w:fill="auto"/>
            <w:vAlign w:val="center"/>
          </w:tcPr>
          <w:p w14:paraId="5E3BAA35" w14:textId="77777777" w:rsidR="002C0B28" w:rsidRPr="00BA5102" w:rsidRDefault="00A71033" w:rsidP="00086778">
            <w:pPr>
              <w:widowControl/>
              <w:autoSpaceDE/>
              <w:autoSpaceDN/>
              <w:adjustRightInd/>
              <w:jc w:val="center"/>
            </w:pPr>
            <w:r w:rsidRPr="00BA5102">
              <w:t>840</w:t>
            </w:r>
          </w:p>
        </w:tc>
        <w:tc>
          <w:tcPr>
            <w:tcW w:w="1389" w:type="dxa"/>
            <w:shd w:val="clear" w:color="auto" w:fill="auto"/>
            <w:vAlign w:val="center"/>
          </w:tcPr>
          <w:p w14:paraId="31FDA37F" w14:textId="233142D7" w:rsidR="002C0B28" w:rsidRPr="00BA5102" w:rsidRDefault="00BA5102" w:rsidP="00BA5102">
            <w:pPr>
              <w:widowControl/>
              <w:autoSpaceDE/>
              <w:autoSpaceDN/>
              <w:adjustRightInd/>
              <w:jc w:val="center"/>
            </w:pPr>
            <w:r w:rsidRPr="00BA5102">
              <w:t>43</w:t>
            </w:r>
            <w:r w:rsidR="00A71033" w:rsidRPr="00BA5102">
              <w:t>,</w:t>
            </w:r>
            <w:r w:rsidRPr="00BA5102">
              <w:t>310</w:t>
            </w:r>
          </w:p>
        </w:tc>
      </w:tr>
      <w:tr w:rsidR="000F5183" w:rsidRPr="00290769" w14:paraId="6675593F" w14:textId="77777777" w:rsidTr="00086778">
        <w:trPr>
          <w:trHeight w:val="344"/>
        </w:trPr>
        <w:tc>
          <w:tcPr>
            <w:tcW w:w="5598" w:type="dxa"/>
            <w:gridSpan w:val="4"/>
            <w:shd w:val="clear" w:color="auto" w:fill="auto"/>
            <w:vAlign w:val="center"/>
          </w:tcPr>
          <w:p w14:paraId="5038BA06" w14:textId="77777777" w:rsidR="000F5183" w:rsidRPr="00290769" w:rsidDel="00207DE6" w:rsidRDefault="000F5183" w:rsidP="00086778">
            <w:pPr>
              <w:widowControl/>
              <w:autoSpaceDE/>
              <w:autoSpaceDN/>
              <w:adjustRightInd/>
              <w:jc w:val="center"/>
            </w:pPr>
          </w:p>
        </w:tc>
        <w:tc>
          <w:tcPr>
            <w:tcW w:w="1440" w:type="dxa"/>
            <w:shd w:val="clear" w:color="auto" w:fill="auto"/>
            <w:vAlign w:val="center"/>
          </w:tcPr>
          <w:p w14:paraId="2B4569B3" w14:textId="77777777" w:rsidR="000F5183" w:rsidRPr="00290769" w:rsidRDefault="000F5183" w:rsidP="00086778">
            <w:pPr>
              <w:widowControl/>
              <w:autoSpaceDE/>
              <w:autoSpaceDN/>
              <w:adjustRightInd/>
              <w:jc w:val="center"/>
              <w:rPr>
                <w:b/>
              </w:rPr>
            </w:pPr>
            <w:r w:rsidRPr="00290769">
              <w:rPr>
                <w:b/>
              </w:rPr>
              <w:t>TOTAL</w:t>
            </w:r>
          </w:p>
        </w:tc>
        <w:tc>
          <w:tcPr>
            <w:tcW w:w="1389" w:type="dxa"/>
            <w:shd w:val="clear" w:color="auto" w:fill="auto"/>
            <w:vAlign w:val="center"/>
          </w:tcPr>
          <w:p w14:paraId="20F4B2A0" w14:textId="68B02A88" w:rsidR="000F5183" w:rsidRPr="00BA5102" w:rsidRDefault="00BA5102" w:rsidP="0014012A">
            <w:pPr>
              <w:widowControl/>
              <w:autoSpaceDE/>
              <w:autoSpaceDN/>
              <w:adjustRightInd/>
              <w:jc w:val="center"/>
              <w:rPr>
                <w:b/>
              </w:rPr>
            </w:pPr>
            <w:r w:rsidRPr="00BA5102">
              <w:rPr>
                <w:b/>
              </w:rPr>
              <w:t>255,251</w:t>
            </w:r>
            <w:bookmarkStart w:id="0" w:name="_GoBack"/>
            <w:bookmarkEnd w:id="0"/>
          </w:p>
        </w:tc>
      </w:tr>
    </w:tbl>
    <w:p w14:paraId="3EEDBDC6" w14:textId="77777777" w:rsidR="000A5B20" w:rsidRPr="00290769" w:rsidRDefault="000A5B20" w:rsidP="001325E9">
      <w:pPr>
        <w:rPr>
          <w:sz w:val="22"/>
          <w:szCs w:val="22"/>
        </w:rPr>
      </w:pPr>
    </w:p>
    <w:p w14:paraId="41962062" w14:textId="77777777" w:rsidR="001325E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0E0262A4" w14:textId="77777777" w:rsidR="00A45246" w:rsidRPr="00290769" w:rsidRDefault="00A45246"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0C8EF5D0"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b/>
          <w:bCs/>
          <w:sz w:val="22"/>
          <w:szCs w:val="22"/>
        </w:rPr>
        <w:t>15.</w:t>
      </w:r>
      <w:r w:rsidRPr="00290769">
        <w:rPr>
          <w:b/>
          <w:bCs/>
          <w:sz w:val="22"/>
          <w:szCs w:val="22"/>
        </w:rPr>
        <w:tab/>
        <w:t xml:space="preserve">Explain the reasons for any program changes or adjustments. </w:t>
      </w:r>
    </w:p>
    <w:p w14:paraId="6378E3EF"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024FB658" w14:textId="250DEFAE" w:rsidR="001325E9" w:rsidRDefault="00E821E1"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 xml:space="preserve">There are no changes to this collection. </w:t>
      </w:r>
    </w:p>
    <w:p w14:paraId="0753631C" w14:textId="77777777" w:rsidR="00E821E1" w:rsidRPr="00290769" w:rsidRDefault="00E821E1"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712FC0D"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b/>
          <w:bCs/>
          <w:sz w:val="22"/>
          <w:szCs w:val="22"/>
        </w:rPr>
        <w:t>16.</w:t>
      </w:r>
      <w:r w:rsidRPr="00290769">
        <w:rPr>
          <w:b/>
          <w:bCs/>
          <w:sz w:val="22"/>
          <w:szCs w:val="22"/>
        </w:rPr>
        <w:tab/>
      </w:r>
      <w:r w:rsidRPr="00290769">
        <w:rPr>
          <w:b/>
          <w:sz w:val="22"/>
          <w:szCs w:val="22"/>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E5C4D66"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76122841" w14:textId="77777777" w:rsidR="001325E9" w:rsidRPr="00290769" w:rsidRDefault="002628DC"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T</w:t>
      </w:r>
      <w:r w:rsidR="001325E9" w:rsidRPr="00290769">
        <w:rPr>
          <w:sz w:val="22"/>
          <w:szCs w:val="22"/>
        </w:rPr>
        <w:t xml:space="preserve">he </w:t>
      </w:r>
      <w:r w:rsidR="00086778" w:rsidRPr="00290769">
        <w:rPr>
          <w:sz w:val="22"/>
          <w:szCs w:val="22"/>
        </w:rPr>
        <w:t xml:space="preserve">USGS </w:t>
      </w:r>
      <w:r w:rsidR="009042A8" w:rsidRPr="00290769">
        <w:rPr>
          <w:sz w:val="22"/>
          <w:szCs w:val="22"/>
        </w:rPr>
        <w:t>will not publish</w:t>
      </w:r>
      <w:r>
        <w:rPr>
          <w:sz w:val="22"/>
          <w:szCs w:val="22"/>
        </w:rPr>
        <w:t xml:space="preserve"> these</w:t>
      </w:r>
      <w:r w:rsidR="009042A8" w:rsidRPr="00290769">
        <w:rPr>
          <w:sz w:val="22"/>
          <w:szCs w:val="22"/>
        </w:rPr>
        <w:t xml:space="preserve"> information collections.</w:t>
      </w:r>
    </w:p>
    <w:p w14:paraId="319F3C87"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44E1C4B5"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290769">
        <w:rPr>
          <w:b/>
          <w:bCs/>
          <w:sz w:val="22"/>
          <w:szCs w:val="22"/>
        </w:rPr>
        <w:t>17.</w:t>
      </w:r>
      <w:r w:rsidRPr="00290769">
        <w:rPr>
          <w:b/>
          <w:bCs/>
          <w:sz w:val="22"/>
          <w:szCs w:val="22"/>
        </w:rPr>
        <w:tab/>
        <w:t>If seeking approval to not display the expiration date for OMB approval of the information collection explain the reasons that display would be inappropriate.</w:t>
      </w:r>
    </w:p>
    <w:p w14:paraId="24444067"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p>
    <w:p w14:paraId="6967716D"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90769">
        <w:rPr>
          <w:sz w:val="22"/>
          <w:szCs w:val="22"/>
        </w:rPr>
        <w:t>We will display the OMB control number and expiration date.</w:t>
      </w:r>
    </w:p>
    <w:p w14:paraId="407763C6" w14:textId="77777777" w:rsidR="001325E9" w:rsidRPr="00290769" w:rsidRDefault="001325E9" w:rsidP="001325E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14:paraId="3F3B8277" w14:textId="77777777" w:rsidR="00A65771" w:rsidRPr="00290769" w:rsidRDefault="00A65771" w:rsidP="00A657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2"/>
          <w:szCs w:val="22"/>
        </w:rPr>
      </w:pPr>
      <w:r w:rsidRPr="00290769">
        <w:rPr>
          <w:b/>
          <w:bCs/>
          <w:sz w:val="22"/>
          <w:szCs w:val="22"/>
        </w:rPr>
        <w:t>18.</w:t>
      </w:r>
      <w:r w:rsidRPr="00290769">
        <w:rPr>
          <w:b/>
          <w:bCs/>
          <w:sz w:val="22"/>
          <w:szCs w:val="22"/>
        </w:rPr>
        <w:tab/>
        <w:t xml:space="preserve"> Explain each exception to the certification statement "Certification for Paperwork Reduction Act Submissions".</w:t>
      </w:r>
    </w:p>
    <w:p w14:paraId="6908D968" w14:textId="77777777" w:rsidR="00A65771" w:rsidRPr="00290769" w:rsidRDefault="00A65771" w:rsidP="00A657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p>
    <w:p w14:paraId="1389643E" w14:textId="77777777" w:rsidR="00A65771" w:rsidRPr="00290769" w:rsidRDefault="00A65771" w:rsidP="00A6577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2"/>
          <w:szCs w:val="22"/>
        </w:rPr>
      </w:pPr>
      <w:r w:rsidRPr="00290769">
        <w:rPr>
          <w:sz w:val="22"/>
          <w:szCs w:val="22"/>
        </w:rPr>
        <w:t>There are no exceptions to the certification statement.</w:t>
      </w:r>
    </w:p>
    <w:sectPr w:rsidR="00A65771" w:rsidRPr="00290769" w:rsidSect="0096673D">
      <w:footerReference w:type="default" r:id="rId8"/>
      <w:pgSz w:w="12240" w:h="15840" w:code="1"/>
      <w:pgMar w:top="1296"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D857FE" w14:textId="77777777" w:rsidR="008A72D5" w:rsidRDefault="008A72D5" w:rsidP="00451452">
      <w:r>
        <w:separator/>
      </w:r>
    </w:p>
  </w:endnote>
  <w:endnote w:type="continuationSeparator" w:id="0">
    <w:p w14:paraId="5C8B6260" w14:textId="77777777" w:rsidR="008A72D5" w:rsidRDefault="008A72D5" w:rsidP="004514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Ind w:w="108" w:type="dxa"/>
      <w:tblBorders>
        <w:left w:val="none" w:sz="0" w:space="0" w:color="auto"/>
        <w:bottom w:val="none" w:sz="0" w:space="0" w:color="auto"/>
        <w:right w:val="none" w:sz="0" w:space="0" w:color="auto"/>
      </w:tblBorders>
      <w:tblLook w:val="04A0" w:firstRow="1" w:lastRow="0" w:firstColumn="1" w:lastColumn="0" w:noHBand="0" w:noVBand="1"/>
    </w:tblPr>
    <w:tblGrid>
      <w:gridCol w:w="6678"/>
      <w:gridCol w:w="2574"/>
    </w:tblGrid>
    <w:tr w:rsidR="007C565B" w:rsidRPr="004513E4" w14:paraId="535ACCF3" w14:textId="77777777" w:rsidTr="004513E4">
      <w:tc>
        <w:tcPr>
          <w:tcW w:w="6750" w:type="dxa"/>
        </w:tcPr>
        <w:p w14:paraId="6FD02FDB" w14:textId="77777777" w:rsidR="007C565B" w:rsidRPr="004513E4" w:rsidRDefault="008A72D5" w:rsidP="004513E4">
          <w:pPr>
            <w:pStyle w:val="Footer"/>
          </w:pPr>
          <w:r>
            <w:fldChar w:fldCharType="begin"/>
          </w:r>
          <w:r>
            <w:instrText xml:space="preserve"> FILENAME   \* MERGEFORMAT </w:instrText>
          </w:r>
          <w:r>
            <w:fldChar w:fldCharType="separate"/>
          </w:r>
          <w:r w:rsidR="00434EEC">
            <w:rPr>
              <w:noProof/>
            </w:rPr>
            <w:t>1028-0088 SSA EDMAP STATEMAP 2015-07-10.docx</w:t>
          </w:r>
          <w:r>
            <w:rPr>
              <w:noProof/>
            </w:rPr>
            <w:fldChar w:fldCharType="end"/>
          </w:r>
        </w:p>
      </w:tc>
      <w:tc>
        <w:tcPr>
          <w:tcW w:w="2600" w:type="dxa"/>
        </w:tcPr>
        <w:p w14:paraId="20C8D331" w14:textId="77777777" w:rsidR="007C565B" w:rsidRPr="004513E4" w:rsidRDefault="007C565B" w:rsidP="004513E4">
          <w:pPr>
            <w:pStyle w:val="Footer"/>
            <w:jc w:val="right"/>
            <w:rPr>
              <w:rFonts w:cs="Arial"/>
            </w:rPr>
          </w:pPr>
          <w:r w:rsidRPr="004513E4">
            <w:rPr>
              <w:rFonts w:cs="Arial"/>
            </w:rPr>
            <w:t xml:space="preserve">Page </w:t>
          </w:r>
          <w:r w:rsidRPr="004513E4">
            <w:rPr>
              <w:rFonts w:cs="Arial"/>
            </w:rPr>
            <w:fldChar w:fldCharType="begin"/>
          </w:r>
          <w:r w:rsidRPr="004513E4">
            <w:rPr>
              <w:rFonts w:cs="Arial"/>
            </w:rPr>
            <w:instrText xml:space="preserve"> PAGE  \* Arabic  \* MERGEFORMAT </w:instrText>
          </w:r>
          <w:r w:rsidRPr="004513E4">
            <w:rPr>
              <w:rFonts w:cs="Arial"/>
            </w:rPr>
            <w:fldChar w:fldCharType="separate"/>
          </w:r>
          <w:r w:rsidR="00E821E1">
            <w:rPr>
              <w:rFonts w:cs="Arial"/>
              <w:noProof/>
            </w:rPr>
            <w:t>7</w:t>
          </w:r>
          <w:r w:rsidRPr="004513E4">
            <w:rPr>
              <w:rFonts w:cs="Arial"/>
            </w:rPr>
            <w:fldChar w:fldCharType="end"/>
          </w:r>
        </w:p>
      </w:tc>
    </w:tr>
  </w:tbl>
  <w:p w14:paraId="5D75716C" w14:textId="77777777" w:rsidR="007C565B" w:rsidRPr="004513E4" w:rsidRDefault="007C565B">
    <w:pPr>
      <w:pStyle w:val="Footer"/>
    </w:pPr>
  </w:p>
  <w:p w14:paraId="60B0D97D" w14:textId="5FDDEB57" w:rsidR="004D6C2F" w:rsidRDefault="004D6C2F" w:rsidP="007C565B">
    <w:pPr>
      <w:pStyle w:val="Footer"/>
    </w:pPr>
  </w:p>
  <w:p w14:paraId="7B948D89" w14:textId="77777777" w:rsidR="004D6C2F" w:rsidRDefault="004D6C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673A4" w14:textId="77777777" w:rsidR="008A72D5" w:rsidRDefault="008A72D5" w:rsidP="00451452">
      <w:r>
        <w:separator/>
      </w:r>
    </w:p>
  </w:footnote>
  <w:footnote w:type="continuationSeparator" w:id="0">
    <w:p w14:paraId="1A076872" w14:textId="77777777" w:rsidR="008A72D5" w:rsidRDefault="008A72D5" w:rsidP="004514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E224A8"/>
    <w:multiLevelType w:val="hybridMultilevel"/>
    <w:tmpl w:val="B2EA515C"/>
    <w:lvl w:ilvl="0" w:tplc="48DEF990">
      <w:start w:val="1"/>
      <w:numFmt w:val="upperLetter"/>
      <w:lvlText w:val="%1&gt;"/>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6817B6"/>
    <w:multiLevelType w:val="hybridMultilevel"/>
    <w:tmpl w:val="CCF6726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301D79FB"/>
    <w:multiLevelType w:val="hybridMultilevel"/>
    <w:tmpl w:val="B8841BF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4E97B3F"/>
    <w:multiLevelType w:val="hybridMultilevel"/>
    <w:tmpl w:val="E53CB2D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41C31D9A"/>
    <w:multiLevelType w:val="hybridMultilevel"/>
    <w:tmpl w:val="C94C0F70"/>
    <w:lvl w:ilvl="0" w:tplc="FE383E26">
      <w:start w:val="1"/>
      <w:numFmt w:val="decimal"/>
      <w:lvlText w:val="%1."/>
      <w:lvlJc w:val="left"/>
      <w:pPr>
        <w:tabs>
          <w:tab w:val="num" w:pos="720"/>
        </w:tabs>
        <w:ind w:left="720" w:hanging="360"/>
      </w:pPr>
      <w:rPr>
        <w:rFonts w:ascii="Arial" w:hAnsi="Arial" w:cs="Arial"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7D80056"/>
    <w:multiLevelType w:val="hybridMultilevel"/>
    <w:tmpl w:val="15442978"/>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2110C87"/>
    <w:multiLevelType w:val="hybridMultilevel"/>
    <w:tmpl w:val="92BA860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74142C5"/>
    <w:multiLevelType w:val="hybridMultilevel"/>
    <w:tmpl w:val="AAAC2B1C"/>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rPr>
        <w:rFonts w:hint="default"/>
      </w:rPr>
    </w:lvl>
    <w:lvl w:ilvl="2" w:tplc="FFFFFFFF">
      <w:start w:val="1"/>
      <w:numFmt w:val="decimal"/>
      <w:lvlText w:val="%3."/>
      <w:lvlJc w:val="left"/>
      <w:pPr>
        <w:tabs>
          <w:tab w:val="num" w:pos="3420"/>
        </w:tabs>
        <w:ind w:left="3420" w:hanging="360"/>
      </w:pPr>
      <w:rPr>
        <w:rFonts w:hint="default"/>
      </w:rPr>
    </w:lvl>
    <w:lvl w:ilvl="3" w:tplc="FFFFFFFF">
      <w:start w:val="4"/>
      <w:numFmt w:val="upperLetter"/>
      <w:lvlText w:val="%4."/>
      <w:lvlJc w:val="left"/>
      <w:pPr>
        <w:tabs>
          <w:tab w:val="num" w:pos="3960"/>
        </w:tabs>
        <w:ind w:left="3960" w:hanging="360"/>
      </w:pPr>
      <w:rPr>
        <w:rFonts w:hint="default"/>
      </w:r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num w:numId="1">
    <w:abstractNumId w:val="4"/>
  </w:num>
  <w:num w:numId="2">
    <w:abstractNumId w:val="3"/>
  </w:num>
  <w:num w:numId="3">
    <w:abstractNumId w:val="1"/>
  </w:num>
  <w:num w:numId="4">
    <w:abstractNumId w:val="2"/>
  </w:num>
  <w:num w:numId="5">
    <w:abstractNumId w:val="0"/>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E1F"/>
    <w:rsid w:val="00001957"/>
    <w:rsid w:val="00002BE2"/>
    <w:rsid w:val="000035DF"/>
    <w:rsid w:val="000047B6"/>
    <w:rsid w:val="00005CF7"/>
    <w:rsid w:val="00015AF0"/>
    <w:rsid w:val="0002184E"/>
    <w:rsid w:val="00023412"/>
    <w:rsid w:val="00023BF2"/>
    <w:rsid w:val="00032617"/>
    <w:rsid w:val="00043AA3"/>
    <w:rsid w:val="00044872"/>
    <w:rsid w:val="00045F99"/>
    <w:rsid w:val="00047277"/>
    <w:rsid w:val="0005151F"/>
    <w:rsid w:val="00067709"/>
    <w:rsid w:val="000712F6"/>
    <w:rsid w:val="000738DF"/>
    <w:rsid w:val="00080A55"/>
    <w:rsid w:val="00085140"/>
    <w:rsid w:val="00086778"/>
    <w:rsid w:val="0009472E"/>
    <w:rsid w:val="000952B0"/>
    <w:rsid w:val="00096D70"/>
    <w:rsid w:val="000A14F8"/>
    <w:rsid w:val="000A5B20"/>
    <w:rsid w:val="000B2780"/>
    <w:rsid w:val="000B3C3B"/>
    <w:rsid w:val="000B3CB0"/>
    <w:rsid w:val="000C7A46"/>
    <w:rsid w:val="000D2353"/>
    <w:rsid w:val="000D2E0A"/>
    <w:rsid w:val="000E1595"/>
    <w:rsid w:val="000E4A63"/>
    <w:rsid w:val="000F0C11"/>
    <w:rsid w:val="000F311C"/>
    <w:rsid w:val="000F377A"/>
    <w:rsid w:val="000F5183"/>
    <w:rsid w:val="00103BD9"/>
    <w:rsid w:val="00105411"/>
    <w:rsid w:val="001258D8"/>
    <w:rsid w:val="001325E9"/>
    <w:rsid w:val="00136972"/>
    <w:rsid w:val="0014012A"/>
    <w:rsid w:val="0014097C"/>
    <w:rsid w:val="0014322F"/>
    <w:rsid w:val="00147266"/>
    <w:rsid w:val="00151821"/>
    <w:rsid w:val="00162E0E"/>
    <w:rsid w:val="001715B2"/>
    <w:rsid w:val="0017442A"/>
    <w:rsid w:val="00174830"/>
    <w:rsid w:val="00182CB0"/>
    <w:rsid w:val="00182E3B"/>
    <w:rsid w:val="00191651"/>
    <w:rsid w:val="0019609C"/>
    <w:rsid w:val="001A128D"/>
    <w:rsid w:val="001A18F4"/>
    <w:rsid w:val="001A245D"/>
    <w:rsid w:val="001B38F2"/>
    <w:rsid w:val="001C4A2F"/>
    <w:rsid w:val="001D3F6B"/>
    <w:rsid w:val="001D560E"/>
    <w:rsid w:val="001E3396"/>
    <w:rsid w:val="001E33B1"/>
    <w:rsid w:val="001F67DE"/>
    <w:rsid w:val="002008A1"/>
    <w:rsid w:val="00202A7E"/>
    <w:rsid w:val="002034DE"/>
    <w:rsid w:val="002068C9"/>
    <w:rsid w:val="00207D76"/>
    <w:rsid w:val="002106ED"/>
    <w:rsid w:val="00224780"/>
    <w:rsid w:val="00235664"/>
    <w:rsid w:val="00236E8E"/>
    <w:rsid w:val="00237CEA"/>
    <w:rsid w:val="0024691B"/>
    <w:rsid w:val="00253791"/>
    <w:rsid w:val="00256F9D"/>
    <w:rsid w:val="002575CB"/>
    <w:rsid w:val="002628DC"/>
    <w:rsid w:val="002638FC"/>
    <w:rsid w:val="00264206"/>
    <w:rsid w:val="002766E9"/>
    <w:rsid w:val="00283783"/>
    <w:rsid w:val="00290769"/>
    <w:rsid w:val="00290E60"/>
    <w:rsid w:val="002B4BA2"/>
    <w:rsid w:val="002C0B28"/>
    <w:rsid w:val="002C1ABA"/>
    <w:rsid w:val="002C2633"/>
    <w:rsid w:val="002C6A47"/>
    <w:rsid w:val="002D1D47"/>
    <w:rsid w:val="002D5A1B"/>
    <w:rsid w:val="002E4E46"/>
    <w:rsid w:val="002F648F"/>
    <w:rsid w:val="002F7607"/>
    <w:rsid w:val="00312C90"/>
    <w:rsid w:val="0031787D"/>
    <w:rsid w:val="00324B78"/>
    <w:rsid w:val="0034072F"/>
    <w:rsid w:val="00343776"/>
    <w:rsid w:val="003541EF"/>
    <w:rsid w:val="003618E7"/>
    <w:rsid w:val="00364AF1"/>
    <w:rsid w:val="0037049E"/>
    <w:rsid w:val="003725C4"/>
    <w:rsid w:val="003820B7"/>
    <w:rsid w:val="003853D1"/>
    <w:rsid w:val="003950DF"/>
    <w:rsid w:val="00395E30"/>
    <w:rsid w:val="003C054B"/>
    <w:rsid w:val="003E4A34"/>
    <w:rsid w:val="003F03FC"/>
    <w:rsid w:val="003F7223"/>
    <w:rsid w:val="003F7859"/>
    <w:rsid w:val="004036D2"/>
    <w:rsid w:val="00403B2D"/>
    <w:rsid w:val="00404BD4"/>
    <w:rsid w:val="00410CAB"/>
    <w:rsid w:val="00434EEC"/>
    <w:rsid w:val="00436CE7"/>
    <w:rsid w:val="004511B6"/>
    <w:rsid w:val="00451452"/>
    <w:rsid w:val="00456A71"/>
    <w:rsid w:val="0046323A"/>
    <w:rsid w:val="00463849"/>
    <w:rsid w:val="00470924"/>
    <w:rsid w:val="00472DF3"/>
    <w:rsid w:val="00487EDF"/>
    <w:rsid w:val="004936BF"/>
    <w:rsid w:val="004A0F54"/>
    <w:rsid w:val="004A48BB"/>
    <w:rsid w:val="004A5BA1"/>
    <w:rsid w:val="004C4426"/>
    <w:rsid w:val="004D4454"/>
    <w:rsid w:val="004D6C2F"/>
    <w:rsid w:val="004E200F"/>
    <w:rsid w:val="004E39FF"/>
    <w:rsid w:val="004E543E"/>
    <w:rsid w:val="004E5D92"/>
    <w:rsid w:val="0050361B"/>
    <w:rsid w:val="00511486"/>
    <w:rsid w:val="00514E75"/>
    <w:rsid w:val="005314BB"/>
    <w:rsid w:val="0055251A"/>
    <w:rsid w:val="00560603"/>
    <w:rsid w:val="0056671F"/>
    <w:rsid w:val="00570DD2"/>
    <w:rsid w:val="0057489A"/>
    <w:rsid w:val="00584891"/>
    <w:rsid w:val="005A0A2E"/>
    <w:rsid w:val="005A17DD"/>
    <w:rsid w:val="005A2018"/>
    <w:rsid w:val="005B5DFA"/>
    <w:rsid w:val="005B6A1A"/>
    <w:rsid w:val="005B7163"/>
    <w:rsid w:val="005C11CF"/>
    <w:rsid w:val="005C2826"/>
    <w:rsid w:val="005D396A"/>
    <w:rsid w:val="005D5B3F"/>
    <w:rsid w:val="005E20C8"/>
    <w:rsid w:val="005E4802"/>
    <w:rsid w:val="005E6F79"/>
    <w:rsid w:val="005F5003"/>
    <w:rsid w:val="005F681F"/>
    <w:rsid w:val="006003A1"/>
    <w:rsid w:val="00600FA1"/>
    <w:rsid w:val="0060728E"/>
    <w:rsid w:val="006113B3"/>
    <w:rsid w:val="0061581F"/>
    <w:rsid w:val="00622A29"/>
    <w:rsid w:val="0063205F"/>
    <w:rsid w:val="00632C16"/>
    <w:rsid w:val="006334F8"/>
    <w:rsid w:val="00635A8B"/>
    <w:rsid w:val="0065336C"/>
    <w:rsid w:val="00654910"/>
    <w:rsid w:val="00654E51"/>
    <w:rsid w:val="00655500"/>
    <w:rsid w:val="00665BDE"/>
    <w:rsid w:val="006829BC"/>
    <w:rsid w:val="0069035E"/>
    <w:rsid w:val="006956D5"/>
    <w:rsid w:val="006A0008"/>
    <w:rsid w:val="006A27F7"/>
    <w:rsid w:val="006A37A3"/>
    <w:rsid w:val="006B06F8"/>
    <w:rsid w:val="006B0BA5"/>
    <w:rsid w:val="006B21ED"/>
    <w:rsid w:val="006B5958"/>
    <w:rsid w:val="006B6A5E"/>
    <w:rsid w:val="006E0B65"/>
    <w:rsid w:val="006E3CF4"/>
    <w:rsid w:val="006F3389"/>
    <w:rsid w:val="006F7FB2"/>
    <w:rsid w:val="0070251B"/>
    <w:rsid w:val="00714777"/>
    <w:rsid w:val="00717E16"/>
    <w:rsid w:val="00726AE8"/>
    <w:rsid w:val="0073756F"/>
    <w:rsid w:val="00740A36"/>
    <w:rsid w:val="00743A9D"/>
    <w:rsid w:val="0074777E"/>
    <w:rsid w:val="00755E48"/>
    <w:rsid w:val="00755FB7"/>
    <w:rsid w:val="00760364"/>
    <w:rsid w:val="007623EB"/>
    <w:rsid w:val="00766B29"/>
    <w:rsid w:val="0076705C"/>
    <w:rsid w:val="00773A2E"/>
    <w:rsid w:val="00775A38"/>
    <w:rsid w:val="00792173"/>
    <w:rsid w:val="007B009D"/>
    <w:rsid w:val="007B2609"/>
    <w:rsid w:val="007C565B"/>
    <w:rsid w:val="007E0E51"/>
    <w:rsid w:val="007E551D"/>
    <w:rsid w:val="007F5D40"/>
    <w:rsid w:val="008034AA"/>
    <w:rsid w:val="00810822"/>
    <w:rsid w:val="00831761"/>
    <w:rsid w:val="00832F87"/>
    <w:rsid w:val="00833E09"/>
    <w:rsid w:val="008358CD"/>
    <w:rsid w:val="00842550"/>
    <w:rsid w:val="0084313E"/>
    <w:rsid w:val="00847EEB"/>
    <w:rsid w:val="00860781"/>
    <w:rsid w:val="00861C57"/>
    <w:rsid w:val="008621A7"/>
    <w:rsid w:val="008642ED"/>
    <w:rsid w:val="00881826"/>
    <w:rsid w:val="008915EC"/>
    <w:rsid w:val="00892B9D"/>
    <w:rsid w:val="00896FF0"/>
    <w:rsid w:val="008A14B5"/>
    <w:rsid w:val="008A72D5"/>
    <w:rsid w:val="008D6332"/>
    <w:rsid w:val="008E4B92"/>
    <w:rsid w:val="008F2A0D"/>
    <w:rsid w:val="009042A8"/>
    <w:rsid w:val="00904829"/>
    <w:rsid w:val="00910855"/>
    <w:rsid w:val="0091514B"/>
    <w:rsid w:val="00921B04"/>
    <w:rsid w:val="00925F5D"/>
    <w:rsid w:val="009358BC"/>
    <w:rsid w:val="00952723"/>
    <w:rsid w:val="00963F89"/>
    <w:rsid w:val="00965CBB"/>
    <w:rsid w:val="0096673D"/>
    <w:rsid w:val="0099038B"/>
    <w:rsid w:val="00992E49"/>
    <w:rsid w:val="00997E45"/>
    <w:rsid w:val="009C1678"/>
    <w:rsid w:val="009C4E70"/>
    <w:rsid w:val="009C7D4E"/>
    <w:rsid w:val="009D234A"/>
    <w:rsid w:val="009D7ED5"/>
    <w:rsid w:val="009E6442"/>
    <w:rsid w:val="009F6CEF"/>
    <w:rsid w:val="00A023D7"/>
    <w:rsid w:val="00A032D1"/>
    <w:rsid w:val="00A13240"/>
    <w:rsid w:val="00A1355B"/>
    <w:rsid w:val="00A237E3"/>
    <w:rsid w:val="00A34782"/>
    <w:rsid w:val="00A45246"/>
    <w:rsid w:val="00A45C0B"/>
    <w:rsid w:val="00A4755F"/>
    <w:rsid w:val="00A55067"/>
    <w:rsid w:val="00A61016"/>
    <w:rsid w:val="00A6293C"/>
    <w:rsid w:val="00A63C0C"/>
    <w:rsid w:val="00A651DC"/>
    <w:rsid w:val="00A65448"/>
    <w:rsid w:val="00A65771"/>
    <w:rsid w:val="00A71033"/>
    <w:rsid w:val="00A718A4"/>
    <w:rsid w:val="00A74613"/>
    <w:rsid w:val="00A80243"/>
    <w:rsid w:val="00A80AF7"/>
    <w:rsid w:val="00A87B1A"/>
    <w:rsid w:val="00A90F91"/>
    <w:rsid w:val="00A93D4F"/>
    <w:rsid w:val="00A949F1"/>
    <w:rsid w:val="00AA0500"/>
    <w:rsid w:val="00AA6AA3"/>
    <w:rsid w:val="00AD4848"/>
    <w:rsid w:val="00AD6C95"/>
    <w:rsid w:val="00AE5115"/>
    <w:rsid w:val="00AF28C4"/>
    <w:rsid w:val="00AF2BA6"/>
    <w:rsid w:val="00AF5125"/>
    <w:rsid w:val="00AF6A44"/>
    <w:rsid w:val="00B017ED"/>
    <w:rsid w:val="00B01E94"/>
    <w:rsid w:val="00B175CD"/>
    <w:rsid w:val="00B306B3"/>
    <w:rsid w:val="00B371F2"/>
    <w:rsid w:val="00B43568"/>
    <w:rsid w:val="00B438B9"/>
    <w:rsid w:val="00B4781E"/>
    <w:rsid w:val="00B63411"/>
    <w:rsid w:val="00B64A63"/>
    <w:rsid w:val="00B8471D"/>
    <w:rsid w:val="00B94AE8"/>
    <w:rsid w:val="00B94FF6"/>
    <w:rsid w:val="00BA07DB"/>
    <w:rsid w:val="00BA09B0"/>
    <w:rsid w:val="00BA5102"/>
    <w:rsid w:val="00BB2DEA"/>
    <w:rsid w:val="00BB7376"/>
    <w:rsid w:val="00BC2252"/>
    <w:rsid w:val="00BE39A8"/>
    <w:rsid w:val="00C05F99"/>
    <w:rsid w:val="00C10BC3"/>
    <w:rsid w:val="00C14638"/>
    <w:rsid w:val="00C169D5"/>
    <w:rsid w:val="00C17812"/>
    <w:rsid w:val="00C34035"/>
    <w:rsid w:val="00C416C0"/>
    <w:rsid w:val="00C4181C"/>
    <w:rsid w:val="00C560FB"/>
    <w:rsid w:val="00C6117A"/>
    <w:rsid w:val="00C613E8"/>
    <w:rsid w:val="00C63CBC"/>
    <w:rsid w:val="00C65D9D"/>
    <w:rsid w:val="00C65E13"/>
    <w:rsid w:val="00C86705"/>
    <w:rsid w:val="00C921CE"/>
    <w:rsid w:val="00C96583"/>
    <w:rsid w:val="00CA31B2"/>
    <w:rsid w:val="00CB6510"/>
    <w:rsid w:val="00CE2334"/>
    <w:rsid w:val="00CE5943"/>
    <w:rsid w:val="00CF0B9E"/>
    <w:rsid w:val="00CF2B36"/>
    <w:rsid w:val="00CF3EFF"/>
    <w:rsid w:val="00D1406F"/>
    <w:rsid w:val="00D164E4"/>
    <w:rsid w:val="00D277BD"/>
    <w:rsid w:val="00D376F2"/>
    <w:rsid w:val="00D448A6"/>
    <w:rsid w:val="00D55E1F"/>
    <w:rsid w:val="00D6174E"/>
    <w:rsid w:val="00D6198C"/>
    <w:rsid w:val="00D64655"/>
    <w:rsid w:val="00D7400C"/>
    <w:rsid w:val="00D75D27"/>
    <w:rsid w:val="00D86BBC"/>
    <w:rsid w:val="00D90F77"/>
    <w:rsid w:val="00D954F6"/>
    <w:rsid w:val="00D958C9"/>
    <w:rsid w:val="00D96F45"/>
    <w:rsid w:val="00DA037D"/>
    <w:rsid w:val="00DA6EC7"/>
    <w:rsid w:val="00DB2218"/>
    <w:rsid w:val="00DB2967"/>
    <w:rsid w:val="00DD5272"/>
    <w:rsid w:val="00DE07C5"/>
    <w:rsid w:val="00DE56E4"/>
    <w:rsid w:val="00DF337B"/>
    <w:rsid w:val="00DF7169"/>
    <w:rsid w:val="00E1066C"/>
    <w:rsid w:val="00E11612"/>
    <w:rsid w:val="00E16031"/>
    <w:rsid w:val="00E22065"/>
    <w:rsid w:val="00E26AC0"/>
    <w:rsid w:val="00E2707A"/>
    <w:rsid w:val="00E320F9"/>
    <w:rsid w:val="00E35FF6"/>
    <w:rsid w:val="00E45527"/>
    <w:rsid w:val="00E54B8F"/>
    <w:rsid w:val="00E759A8"/>
    <w:rsid w:val="00E768A3"/>
    <w:rsid w:val="00E77571"/>
    <w:rsid w:val="00E821E1"/>
    <w:rsid w:val="00E824C1"/>
    <w:rsid w:val="00E83344"/>
    <w:rsid w:val="00E84FA0"/>
    <w:rsid w:val="00E864FD"/>
    <w:rsid w:val="00EA5ADD"/>
    <w:rsid w:val="00EA708E"/>
    <w:rsid w:val="00EB07F0"/>
    <w:rsid w:val="00EB5BEE"/>
    <w:rsid w:val="00EB6062"/>
    <w:rsid w:val="00EC4AF6"/>
    <w:rsid w:val="00EC6946"/>
    <w:rsid w:val="00ED0B08"/>
    <w:rsid w:val="00ED636B"/>
    <w:rsid w:val="00EE00DD"/>
    <w:rsid w:val="00EF0F03"/>
    <w:rsid w:val="00EF7830"/>
    <w:rsid w:val="00F021DD"/>
    <w:rsid w:val="00F22C62"/>
    <w:rsid w:val="00F279B2"/>
    <w:rsid w:val="00F3479C"/>
    <w:rsid w:val="00F60FBC"/>
    <w:rsid w:val="00F6362E"/>
    <w:rsid w:val="00F64174"/>
    <w:rsid w:val="00F72B6D"/>
    <w:rsid w:val="00F77885"/>
    <w:rsid w:val="00F80523"/>
    <w:rsid w:val="00F848F8"/>
    <w:rsid w:val="00F8756A"/>
    <w:rsid w:val="00FA1BAB"/>
    <w:rsid w:val="00FA38E8"/>
    <w:rsid w:val="00FB3FEE"/>
    <w:rsid w:val="00FB4A7A"/>
    <w:rsid w:val="00FC4FFB"/>
    <w:rsid w:val="00FC5343"/>
    <w:rsid w:val="00FD5125"/>
    <w:rsid w:val="00FF1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38D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73D"/>
    <w:pPr>
      <w:widowControl w:val="0"/>
      <w:autoSpaceDE w:val="0"/>
      <w:autoSpaceDN w:val="0"/>
      <w:adjustRightInd w:val="0"/>
    </w:pPr>
  </w:style>
  <w:style w:type="paragraph" w:styleId="Heading1">
    <w:name w:val="heading 1"/>
    <w:basedOn w:val="Normal"/>
    <w:next w:val="Normal"/>
    <w:qFormat/>
    <w:rsid w:val="00147266"/>
    <w:pPr>
      <w:keepNext/>
      <w:widowControl/>
      <w:autoSpaceDE/>
      <w:autoSpaceDN/>
      <w:adjustRightInd/>
      <w:spacing w:before="240" w:after="60"/>
      <w:outlineLvl w:val="0"/>
    </w:pPr>
    <w:rPr>
      <w:rFonts w:cs="Arial"/>
      <w:bCs/>
      <w:kern w:val="32"/>
      <w:sz w:val="24"/>
      <w:szCs w:val="32"/>
    </w:rPr>
  </w:style>
  <w:style w:type="paragraph" w:styleId="Heading2">
    <w:name w:val="heading 2"/>
    <w:basedOn w:val="Normal"/>
    <w:next w:val="Normal"/>
    <w:qFormat/>
    <w:rsid w:val="00147266"/>
    <w:pPr>
      <w:keepNext/>
      <w:widowControl/>
      <w:autoSpaceDE/>
      <w:autoSpaceDN/>
      <w:adjustRightInd/>
      <w:spacing w:before="240" w:after="60"/>
      <w:ind w:left="720"/>
      <w:outlineLvl w:val="1"/>
    </w:pPr>
    <w:rPr>
      <w:rFonts w:cs="Arial"/>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47266"/>
    <w:rPr>
      <w:color w:val="0000FF"/>
      <w:u w:val="single"/>
    </w:rPr>
  </w:style>
  <w:style w:type="character" w:styleId="FollowedHyperlink">
    <w:name w:val="FollowedHyperlink"/>
    <w:rsid w:val="001325E9"/>
    <w:rPr>
      <w:color w:val="800080"/>
      <w:u w:val="single"/>
    </w:rPr>
  </w:style>
  <w:style w:type="paragraph" w:styleId="NormalWeb">
    <w:name w:val="Normal (Web)"/>
    <w:basedOn w:val="Normal"/>
    <w:uiPriority w:val="99"/>
    <w:rsid w:val="001325E9"/>
    <w:pPr>
      <w:widowControl/>
      <w:autoSpaceDE/>
      <w:autoSpaceDN/>
      <w:adjustRightInd/>
      <w:spacing w:before="100" w:beforeAutospacing="1" w:after="100" w:afterAutospacing="1"/>
    </w:pPr>
    <w:rPr>
      <w:sz w:val="24"/>
      <w:szCs w:val="24"/>
    </w:rPr>
  </w:style>
  <w:style w:type="table" w:styleId="TableGrid">
    <w:name w:val="Table Grid"/>
    <w:basedOn w:val="TableNormal"/>
    <w:uiPriority w:val="39"/>
    <w:rsid w:val="001325E9"/>
    <w:pPr>
      <w:widowControl w:val="0"/>
      <w:autoSpaceDE w:val="0"/>
      <w:autoSpaceDN w:val="0"/>
      <w:adjustRightInd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1325E9"/>
    <w:pPr>
      <w:spacing w:after="120"/>
      <w:ind w:left="360"/>
    </w:pPr>
  </w:style>
  <w:style w:type="paragraph" w:styleId="BalloonText">
    <w:name w:val="Balloon Text"/>
    <w:basedOn w:val="Normal"/>
    <w:semiHidden/>
    <w:rsid w:val="003725C4"/>
    <w:rPr>
      <w:rFonts w:ascii="Tahoma" w:hAnsi="Tahoma" w:cs="Tahoma"/>
      <w:sz w:val="16"/>
      <w:szCs w:val="16"/>
    </w:rPr>
  </w:style>
  <w:style w:type="paragraph" w:styleId="DocumentMap">
    <w:name w:val="Document Map"/>
    <w:basedOn w:val="Normal"/>
    <w:semiHidden/>
    <w:rsid w:val="005E4802"/>
    <w:pPr>
      <w:shd w:val="clear" w:color="auto" w:fill="000080"/>
    </w:pPr>
    <w:rPr>
      <w:rFonts w:ascii="Tahoma" w:hAnsi="Tahoma" w:cs="Tahoma"/>
    </w:rPr>
  </w:style>
  <w:style w:type="paragraph" w:customStyle="1" w:styleId="GPONormal">
    <w:name w:val="GPO Normal"/>
    <w:basedOn w:val="Normal"/>
    <w:rsid w:val="00B175CD"/>
    <w:pPr>
      <w:widowControl/>
      <w:autoSpaceDE/>
      <w:autoSpaceDN/>
      <w:adjustRightInd/>
    </w:pPr>
    <w:rPr>
      <w:sz w:val="24"/>
      <w:szCs w:val="24"/>
    </w:rPr>
  </w:style>
  <w:style w:type="character" w:styleId="CommentReference">
    <w:name w:val="annotation reference"/>
    <w:semiHidden/>
    <w:rsid w:val="00EF7830"/>
    <w:rPr>
      <w:sz w:val="16"/>
      <w:szCs w:val="16"/>
    </w:rPr>
  </w:style>
  <w:style w:type="paragraph" w:styleId="CommentText">
    <w:name w:val="annotation text"/>
    <w:basedOn w:val="Normal"/>
    <w:semiHidden/>
    <w:rsid w:val="00EF7830"/>
  </w:style>
  <w:style w:type="paragraph" w:styleId="CommentSubject">
    <w:name w:val="annotation subject"/>
    <w:basedOn w:val="CommentText"/>
    <w:next w:val="CommentText"/>
    <w:semiHidden/>
    <w:rsid w:val="00EF7830"/>
    <w:rPr>
      <w:b/>
      <w:bCs/>
    </w:rPr>
  </w:style>
  <w:style w:type="paragraph" w:styleId="Header">
    <w:name w:val="header"/>
    <w:basedOn w:val="Normal"/>
    <w:link w:val="HeaderChar"/>
    <w:rsid w:val="00451452"/>
    <w:pPr>
      <w:tabs>
        <w:tab w:val="center" w:pos="4680"/>
        <w:tab w:val="right" w:pos="9360"/>
      </w:tabs>
    </w:pPr>
  </w:style>
  <w:style w:type="character" w:customStyle="1" w:styleId="HeaderChar">
    <w:name w:val="Header Char"/>
    <w:basedOn w:val="DefaultParagraphFont"/>
    <w:link w:val="Header"/>
    <w:rsid w:val="00451452"/>
  </w:style>
  <w:style w:type="paragraph" w:styleId="Footer">
    <w:name w:val="footer"/>
    <w:basedOn w:val="Normal"/>
    <w:link w:val="FooterChar"/>
    <w:uiPriority w:val="99"/>
    <w:rsid w:val="00451452"/>
    <w:pPr>
      <w:tabs>
        <w:tab w:val="center" w:pos="4680"/>
        <w:tab w:val="right" w:pos="9360"/>
      </w:tabs>
    </w:pPr>
  </w:style>
  <w:style w:type="character" w:customStyle="1" w:styleId="FooterChar">
    <w:name w:val="Footer Char"/>
    <w:basedOn w:val="DefaultParagraphFont"/>
    <w:link w:val="Footer"/>
    <w:uiPriority w:val="99"/>
    <w:rsid w:val="00451452"/>
  </w:style>
  <w:style w:type="character" w:styleId="HTMLAcronym">
    <w:name w:val="HTML Acronym"/>
    <w:basedOn w:val="DefaultParagraphFont"/>
    <w:uiPriority w:val="99"/>
    <w:unhideWhenUsed/>
    <w:rsid w:val="00086778"/>
  </w:style>
  <w:style w:type="table" w:styleId="TableColumns5">
    <w:name w:val="Table Columns 5"/>
    <w:basedOn w:val="TableNormal"/>
    <w:rsid w:val="00086778"/>
    <w:pPr>
      <w:widowControl w:val="0"/>
      <w:autoSpaceDE w:val="0"/>
      <w:autoSpaceDN w:val="0"/>
      <w:adjustRightIn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86778"/>
    <w:pPr>
      <w:widowControl w:val="0"/>
      <w:autoSpaceDE w:val="0"/>
      <w:autoSpaceDN w:val="0"/>
      <w:adjustRightIn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7">
    <w:name w:val="Table Grid 7"/>
    <w:basedOn w:val="TableNormal"/>
    <w:rsid w:val="00086778"/>
    <w:pPr>
      <w:widowControl w:val="0"/>
      <w:autoSpaceDE w:val="0"/>
      <w:autoSpaceDN w:val="0"/>
      <w:adjustRightIn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List3">
    <w:name w:val="Table List 3"/>
    <w:basedOn w:val="TableNormal"/>
    <w:rsid w:val="00086778"/>
    <w:pPr>
      <w:widowControl w:val="0"/>
      <w:autoSpaceDE w:val="0"/>
      <w:autoSpaceDN w:val="0"/>
      <w:adjustRightIn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354067">
      <w:bodyDiv w:val="1"/>
      <w:marLeft w:val="0"/>
      <w:marRight w:val="0"/>
      <w:marTop w:val="0"/>
      <w:marBottom w:val="0"/>
      <w:divBdr>
        <w:top w:val="none" w:sz="0" w:space="0" w:color="auto"/>
        <w:left w:val="none" w:sz="0" w:space="0" w:color="auto"/>
        <w:bottom w:val="none" w:sz="0" w:space="0" w:color="auto"/>
        <w:right w:val="none" w:sz="0" w:space="0" w:color="auto"/>
      </w:divBdr>
    </w:div>
    <w:div w:id="863253300">
      <w:bodyDiv w:val="1"/>
      <w:marLeft w:val="0"/>
      <w:marRight w:val="0"/>
      <w:marTop w:val="0"/>
      <w:marBottom w:val="0"/>
      <w:divBdr>
        <w:top w:val="none" w:sz="0" w:space="0" w:color="auto"/>
        <w:left w:val="none" w:sz="0" w:space="0" w:color="auto"/>
        <w:bottom w:val="none" w:sz="0" w:space="0" w:color="auto"/>
        <w:right w:val="none" w:sz="0" w:space="0" w:color="auto"/>
      </w:divBdr>
      <w:divsChild>
        <w:div w:id="83887596">
          <w:marLeft w:val="0"/>
          <w:marRight w:val="0"/>
          <w:marTop w:val="0"/>
          <w:marBottom w:val="0"/>
          <w:divBdr>
            <w:top w:val="none" w:sz="0" w:space="0" w:color="auto"/>
            <w:left w:val="none" w:sz="0" w:space="0" w:color="auto"/>
            <w:bottom w:val="none" w:sz="0" w:space="0" w:color="auto"/>
            <w:right w:val="none" w:sz="0" w:space="0" w:color="auto"/>
          </w:divBdr>
          <w:divsChild>
            <w:div w:id="2015256569">
              <w:marLeft w:val="0"/>
              <w:marRight w:val="0"/>
              <w:marTop w:val="0"/>
              <w:marBottom w:val="480"/>
              <w:divBdr>
                <w:top w:val="none" w:sz="0" w:space="0" w:color="auto"/>
                <w:left w:val="none" w:sz="0" w:space="0" w:color="auto"/>
                <w:bottom w:val="none" w:sz="0" w:space="0" w:color="auto"/>
                <w:right w:val="none" w:sz="0" w:space="0" w:color="auto"/>
              </w:divBdr>
              <w:divsChild>
                <w:div w:id="1101149097">
                  <w:marLeft w:val="0"/>
                  <w:marRight w:val="0"/>
                  <w:marTop w:val="0"/>
                  <w:marBottom w:val="0"/>
                  <w:divBdr>
                    <w:top w:val="none" w:sz="0" w:space="0" w:color="auto"/>
                    <w:left w:val="none" w:sz="0" w:space="0" w:color="auto"/>
                    <w:bottom w:val="none" w:sz="0" w:space="0" w:color="auto"/>
                    <w:right w:val="none" w:sz="0" w:space="0" w:color="auto"/>
                  </w:divBdr>
                  <w:divsChild>
                    <w:div w:id="5207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384394">
      <w:bodyDiv w:val="1"/>
      <w:marLeft w:val="0"/>
      <w:marRight w:val="0"/>
      <w:marTop w:val="0"/>
      <w:marBottom w:val="0"/>
      <w:divBdr>
        <w:top w:val="none" w:sz="0" w:space="0" w:color="auto"/>
        <w:left w:val="none" w:sz="0" w:space="0" w:color="auto"/>
        <w:bottom w:val="none" w:sz="0" w:space="0" w:color="auto"/>
        <w:right w:val="none" w:sz="0" w:space="0" w:color="auto"/>
      </w:divBdr>
      <w:divsChild>
        <w:div w:id="147327512">
          <w:marLeft w:val="0"/>
          <w:marRight w:val="0"/>
          <w:marTop w:val="0"/>
          <w:marBottom w:val="0"/>
          <w:divBdr>
            <w:top w:val="none" w:sz="0" w:space="0" w:color="auto"/>
            <w:left w:val="none" w:sz="0" w:space="0" w:color="auto"/>
            <w:bottom w:val="none" w:sz="0" w:space="0" w:color="auto"/>
            <w:right w:val="none" w:sz="0" w:space="0" w:color="auto"/>
          </w:divBdr>
          <w:divsChild>
            <w:div w:id="668824834">
              <w:marLeft w:val="0"/>
              <w:marRight w:val="0"/>
              <w:marTop w:val="0"/>
              <w:marBottom w:val="480"/>
              <w:divBdr>
                <w:top w:val="none" w:sz="0" w:space="0" w:color="auto"/>
                <w:left w:val="none" w:sz="0" w:space="0" w:color="auto"/>
                <w:bottom w:val="none" w:sz="0" w:space="0" w:color="auto"/>
                <w:right w:val="none" w:sz="0" w:space="0" w:color="auto"/>
              </w:divBdr>
              <w:divsChild>
                <w:div w:id="340788669">
                  <w:marLeft w:val="0"/>
                  <w:marRight w:val="0"/>
                  <w:marTop w:val="0"/>
                  <w:marBottom w:val="0"/>
                  <w:divBdr>
                    <w:top w:val="none" w:sz="0" w:space="0" w:color="auto"/>
                    <w:left w:val="none" w:sz="0" w:space="0" w:color="auto"/>
                    <w:bottom w:val="none" w:sz="0" w:space="0" w:color="auto"/>
                    <w:right w:val="none" w:sz="0" w:space="0" w:color="auto"/>
                  </w:divBdr>
                  <w:divsChild>
                    <w:div w:id="74291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462244">
      <w:bodyDiv w:val="1"/>
      <w:marLeft w:val="0"/>
      <w:marRight w:val="0"/>
      <w:marTop w:val="0"/>
      <w:marBottom w:val="0"/>
      <w:divBdr>
        <w:top w:val="none" w:sz="0" w:space="0" w:color="auto"/>
        <w:left w:val="none" w:sz="0" w:space="0" w:color="auto"/>
        <w:bottom w:val="none" w:sz="0" w:space="0" w:color="auto"/>
        <w:right w:val="none" w:sz="0" w:space="0" w:color="auto"/>
      </w:divBdr>
    </w:div>
    <w:div w:id="1601915438">
      <w:bodyDiv w:val="1"/>
      <w:marLeft w:val="0"/>
      <w:marRight w:val="0"/>
      <w:marTop w:val="0"/>
      <w:marBottom w:val="0"/>
      <w:divBdr>
        <w:top w:val="none" w:sz="0" w:space="0" w:color="auto"/>
        <w:left w:val="none" w:sz="0" w:space="0" w:color="auto"/>
        <w:bottom w:val="none" w:sz="0" w:space="0" w:color="auto"/>
        <w:right w:val="none" w:sz="0" w:space="0" w:color="auto"/>
      </w:divBdr>
    </w:div>
    <w:div w:id="167222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4315E-D6B9-45CF-9145-3100ACF01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3195</Words>
  <Characters>18216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21369</CharactersWithSpaces>
  <SharedDoc>false</SharedDoc>
  <HLinks>
    <vt:vector size="6" baseType="variant">
      <vt:variant>
        <vt:i4>6815846</vt:i4>
      </vt:variant>
      <vt:variant>
        <vt:i4>0</vt:i4>
      </vt:variant>
      <vt:variant>
        <vt:i4>0</vt:i4>
      </vt:variant>
      <vt:variant>
        <vt:i4>5</vt:i4>
      </vt:variant>
      <vt:variant>
        <vt:lpwstr>http://ncgmp.usgs.gov/ncgmpabout/edmap/ncgmp/ncgmpabout/ngmact/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2015-07-13T19:59:00Z</dcterms:created>
  <dcterms:modified xsi:type="dcterms:W3CDTF">2015-07-31T16:58:00Z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-1720586721</vt:i4>
  </property>
</Properties>
</file>