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A7" w:rsidRPr="008C7AA9" w:rsidRDefault="009D0BA7" w:rsidP="009D0BA7">
      <w:pPr>
        <w:pStyle w:val="Heading1"/>
        <w:numPr>
          <w:ilvl w:val="0"/>
          <w:numId w:val="0"/>
        </w:numPr>
      </w:pPr>
      <w:bookmarkStart w:id="0" w:name="_Toc410220129"/>
      <w:bookmarkStart w:id="1" w:name="_GoBack"/>
      <w:bookmarkEnd w:id="1"/>
      <w:r>
        <w:t xml:space="preserve">B. </w:t>
      </w:r>
      <w:r w:rsidRPr="008C7AA9">
        <w:t>Collection of Information Employing Statistical Methods</w:t>
      </w:r>
      <w:bookmarkEnd w:id="0"/>
      <w:r w:rsidRPr="008C7AA9">
        <w:t xml:space="preserve"> </w:t>
      </w:r>
    </w:p>
    <w:p w:rsidR="009D0BA7" w:rsidRPr="008C7AA9" w:rsidRDefault="009D0BA7" w:rsidP="009D0BA7">
      <w:pPr>
        <w:rPr>
          <w:rFonts w:ascii="Garamond" w:hAnsi="Garamond"/>
          <w:sz w:val="24"/>
        </w:rPr>
      </w:pPr>
      <w:r w:rsidRPr="008C7AA9">
        <w:rPr>
          <w:rFonts w:ascii="Garamond" w:hAnsi="Garamond"/>
          <w:sz w:val="24"/>
        </w:rPr>
        <w:t>Surveys are being administered to collect information about h</w:t>
      </w:r>
      <w:r>
        <w:rPr>
          <w:rFonts w:ascii="Garamond" w:hAnsi="Garamond"/>
          <w:sz w:val="24"/>
        </w:rPr>
        <w:t xml:space="preserve">ow seven groups of target users use and perceive </w:t>
      </w:r>
      <w:r w:rsidRPr="005C0829">
        <w:rPr>
          <w:rFonts w:ascii="Garamond" w:hAnsi="Garamond"/>
          <w:i/>
          <w:sz w:val="24"/>
        </w:rPr>
        <w:t>HP2020</w:t>
      </w:r>
      <w:r>
        <w:rPr>
          <w:rFonts w:ascii="Garamond" w:hAnsi="Garamond"/>
          <w:sz w:val="24"/>
        </w:rPr>
        <w:t xml:space="preserve">. These groups include </w:t>
      </w:r>
      <w:r>
        <w:rPr>
          <w:rFonts w:ascii="Garamond" w:hAnsi="Garamond"/>
          <w:i/>
          <w:sz w:val="24"/>
        </w:rPr>
        <w:t xml:space="preserve">Healthy People </w:t>
      </w:r>
      <w:r>
        <w:rPr>
          <w:rFonts w:ascii="Garamond" w:hAnsi="Garamond"/>
          <w:sz w:val="24"/>
        </w:rPr>
        <w:t xml:space="preserve">State Coordinators, State Deputy Directors, </w:t>
      </w:r>
      <w:r w:rsidRPr="008C7AA9">
        <w:rPr>
          <w:rFonts w:ascii="Garamond" w:hAnsi="Garamond"/>
          <w:sz w:val="24"/>
        </w:rPr>
        <w:t>local</w:t>
      </w:r>
      <w:r>
        <w:rPr>
          <w:rFonts w:ascii="Garamond" w:hAnsi="Garamond"/>
          <w:sz w:val="24"/>
        </w:rPr>
        <w:t xml:space="preserve"> health organizations, tribal health organizations, tribal Area Health Boards, </w:t>
      </w:r>
      <w:r>
        <w:rPr>
          <w:rFonts w:ascii="Garamond" w:hAnsi="Garamond"/>
          <w:i/>
          <w:sz w:val="24"/>
        </w:rPr>
        <w:t xml:space="preserve">Healthy People </w:t>
      </w:r>
      <w:r w:rsidRPr="008C7AA9">
        <w:rPr>
          <w:rFonts w:ascii="Garamond" w:hAnsi="Garamond"/>
          <w:sz w:val="24"/>
        </w:rPr>
        <w:t xml:space="preserve">webinar </w:t>
      </w:r>
      <w:r>
        <w:rPr>
          <w:rFonts w:ascii="Garamond" w:hAnsi="Garamond"/>
          <w:sz w:val="24"/>
        </w:rPr>
        <w:t>attendees</w:t>
      </w:r>
      <w:r w:rsidRPr="008C7AA9">
        <w:rPr>
          <w:rFonts w:ascii="Garamond" w:hAnsi="Garamond"/>
          <w:sz w:val="24"/>
        </w:rPr>
        <w:t xml:space="preserve">, and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members</w:t>
      </w:r>
      <w:r>
        <w:rPr>
          <w:rFonts w:ascii="Garamond" w:hAnsi="Garamond"/>
          <w:sz w:val="24"/>
        </w:rPr>
        <w:t>.</w:t>
      </w:r>
      <w:r w:rsidRPr="008C7AA9">
        <w:rPr>
          <w:rFonts w:ascii="Garamond" w:hAnsi="Garamond"/>
          <w:sz w:val="24"/>
        </w:rPr>
        <w:t xml:space="preserve"> The surveys will also collect information from non-users</w:t>
      </w:r>
      <w:r>
        <w:rPr>
          <w:rFonts w:ascii="Garamond" w:hAnsi="Garamond"/>
          <w:sz w:val="24"/>
        </w:rPr>
        <w:t xml:space="preserve"> of </w:t>
      </w:r>
      <w:r w:rsidRPr="005C0829">
        <w:rPr>
          <w:rFonts w:ascii="Garamond" w:hAnsi="Garamond"/>
          <w:i/>
          <w:sz w:val="24"/>
        </w:rPr>
        <w:t>HP2020</w:t>
      </w:r>
      <w:r w:rsidRPr="008C7AA9">
        <w:rPr>
          <w:rFonts w:ascii="Garamond" w:hAnsi="Garamond"/>
          <w:sz w:val="24"/>
        </w:rPr>
        <w:t xml:space="preserve"> to determine the factors that prevent target groups from using the initiative in their organizations.</w:t>
      </w:r>
      <w:r>
        <w:rPr>
          <w:rFonts w:ascii="Garamond" w:hAnsi="Garamond"/>
          <w:sz w:val="24"/>
        </w:rPr>
        <w:t xml:space="preserve"> </w:t>
      </w:r>
    </w:p>
    <w:p w:rsidR="009D0BA7" w:rsidRPr="008C7AA9" w:rsidRDefault="009D0BA7" w:rsidP="009D0BA7">
      <w:pPr>
        <w:rPr>
          <w:rFonts w:ascii="Garamond" w:hAnsi="Garamond"/>
          <w:sz w:val="24"/>
        </w:rPr>
      </w:pPr>
      <w:r w:rsidRPr="008C7AA9">
        <w:rPr>
          <w:rFonts w:ascii="Garamond" w:hAnsi="Garamond"/>
          <w:sz w:val="24"/>
        </w:rPr>
        <w:t>The results will be generalizable to the respondent universe, which consists of government entities that interact with HHS and their constituents to improve the health of the populations they serve.</w:t>
      </w:r>
      <w:r>
        <w:rPr>
          <w:rFonts w:ascii="Garamond" w:hAnsi="Garamond"/>
          <w:sz w:val="24"/>
        </w:rPr>
        <w:t xml:space="preserve"> </w:t>
      </w:r>
    </w:p>
    <w:p w:rsidR="009D0BA7" w:rsidRPr="008C7AA9" w:rsidRDefault="009D0BA7" w:rsidP="009D0BA7">
      <w:pPr>
        <w:pStyle w:val="Heading2"/>
        <w:numPr>
          <w:ilvl w:val="0"/>
          <w:numId w:val="3"/>
        </w:numPr>
      </w:pPr>
      <w:bookmarkStart w:id="2" w:name="_Toc410220130"/>
      <w:r w:rsidRPr="008C7AA9">
        <w:t>Respondent Universe and Sampling Methods</w:t>
      </w:r>
      <w:bookmarkEnd w:id="2"/>
      <w:r w:rsidRPr="008C7AA9">
        <w:t xml:space="preserve"> </w:t>
      </w:r>
    </w:p>
    <w:p w:rsidR="009D0BA7" w:rsidRPr="008C7AA9" w:rsidRDefault="009D0BA7" w:rsidP="009D0BA7">
      <w:pPr>
        <w:rPr>
          <w:rFonts w:ascii="Garamond" w:hAnsi="Garamond"/>
          <w:b/>
          <w:sz w:val="24"/>
        </w:rPr>
      </w:pPr>
      <w:r w:rsidRPr="008C7AA9">
        <w:rPr>
          <w:rFonts w:ascii="Garamond" w:hAnsi="Garamond"/>
          <w:sz w:val="24"/>
        </w:rPr>
        <w:t>The sample will include 1,10</w:t>
      </w:r>
      <w:r>
        <w:rPr>
          <w:rFonts w:ascii="Garamond" w:hAnsi="Garamond"/>
          <w:sz w:val="24"/>
        </w:rPr>
        <w:t>2</w:t>
      </w:r>
      <w:r w:rsidRPr="008C7AA9">
        <w:rPr>
          <w:rFonts w:ascii="Garamond" w:hAnsi="Garamond"/>
          <w:sz w:val="24"/>
        </w:rPr>
        <w:t xml:space="preserve"> organizations from the 50 states, the District of Columbia,</w:t>
      </w:r>
      <w:r>
        <w:rPr>
          <w:rFonts w:ascii="Garamond" w:hAnsi="Garamond"/>
          <w:sz w:val="24"/>
        </w:rPr>
        <w:t xml:space="preserve"> U.S. territories,</w:t>
      </w:r>
      <w:r w:rsidRPr="008C7AA9">
        <w:rPr>
          <w:rFonts w:ascii="Garamond" w:hAnsi="Garamond"/>
          <w:sz w:val="24"/>
        </w:rPr>
        <w:t xml:space="preserve"> and Native American </w:t>
      </w:r>
      <w:r>
        <w:rPr>
          <w:rFonts w:ascii="Garamond" w:hAnsi="Garamond"/>
          <w:sz w:val="24"/>
        </w:rPr>
        <w:t>t</w:t>
      </w:r>
      <w:r w:rsidRPr="008C7AA9">
        <w:rPr>
          <w:rFonts w:ascii="Garamond" w:hAnsi="Garamond"/>
          <w:sz w:val="24"/>
        </w:rPr>
        <w:t xml:space="preserve">ribes. The unit of analysis for the sample will be the organization, meaning that no more than one survey will be sent to each organization, although this sample treats </w:t>
      </w:r>
      <w:r w:rsidRPr="00BC5F51">
        <w:rPr>
          <w:rFonts w:ascii="Garamond" w:hAnsi="Garamond"/>
          <w:i/>
          <w:sz w:val="24"/>
        </w:rPr>
        <w:t>Healthy People</w:t>
      </w:r>
      <w:r w:rsidRPr="008C7AA9">
        <w:rPr>
          <w:rFonts w:ascii="Garamond" w:hAnsi="Garamond"/>
          <w:sz w:val="24"/>
        </w:rPr>
        <w:t xml:space="preserve"> State Coordinators as separate organizations from state Senior Deputy Directors and the tribal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 xml:space="preserve">oards as separate organizations from the individual tribal health </w:t>
      </w:r>
      <w:r>
        <w:rPr>
          <w:rFonts w:ascii="Garamond" w:hAnsi="Garamond"/>
          <w:sz w:val="24"/>
        </w:rPr>
        <w:t>organizations</w:t>
      </w:r>
      <w:r w:rsidRPr="008C7AA9">
        <w:rPr>
          <w:rFonts w:ascii="Garamond" w:hAnsi="Garamond"/>
          <w:sz w:val="24"/>
        </w:rPr>
        <w:t>. The project will census state health departments (</w:t>
      </w:r>
      <w:r w:rsidRPr="00BC5F51">
        <w:rPr>
          <w:rFonts w:ascii="Garamond" w:hAnsi="Garamond"/>
          <w:i/>
          <w:sz w:val="24"/>
        </w:rPr>
        <w:t>Healthy People</w:t>
      </w:r>
      <w:r w:rsidRPr="008C7AA9">
        <w:rPr>
          <w:rFonts w:ascii="Garamond" w:hAnsi="Garamond"/>
          <w:sz w:val="24"/>
        </w:rPr>
        <w:t xml:space="preserve"> State Coordinators and Senior Deputy Directors separately) and the tribal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 xml:space="preserve">oards, and sample local and tribal health organizations. Separate samples of organizations from the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as well as </w:t>
      </w:r>
      <w:r w:rsidRPr="00BC5F51">
        <w:rPr>
          <w:rFonts w:ascii="Garamond" w:hAnsi="Garamond"/>
          <w:i/>
          <w:sz w:val="24"/>
        </w:rPr>
        <w:t>Healthy People</w:t>
      </w:r>
      <w:r w:rsidRPr="008C7AA9">
        <w:rPr>
          <w:rFonts w:ascii="Garamond" w:hAnsi="Garamond"/>
          <w:sz w:val="24"/>
        </w:rPr>
        <w:t xml:space="preserve"> webinar attendees will also be carried out. These samples of public health officials will be able to provide the type of data necessary to evaluate </w:t>
      </w:r>
      <w:r w:rsidRPr="00D370DF">
        <w:rPr>
          <w:rFonts w:ascii="Garamond" w:hAnsi="Garamond"/>
          <w:i/>
          <w:sz w:val="24"/>
        </w:rPr>
        <w:t>HP2020</w:t>
      </w:r>
      <w:r w:rsidRPr="008C7AA9">
        <w:rPr>
          <w:rFonts w:ascii="Garamond" w:hAnsi="Garamond"/>
          <w:sz w:val="24"/>
        </w:rPr>
        <w:t>.</w:t>
      </w:r>
      <w:r>
        <w:rPr>
          <w:rFonts w:ascii="Garamond" w:hAnsi="Garamond"/>
          <w:sz w:val="24"/>
        </w:rPr>
        <w:t xml:space="preserve"> </w:t>
      </w:r>
    </w:p>
    <w:p w:rsidR="009D0BA7" w:rsidRDefault="009D0BA7" w:rsidP="009D0BA7">
      <w:pPr>
        <w:autoSpaceDE w:val="0"/>
        <w:autoSpaceDN w:val="0"/>
        <w:spacing w:after="0" w:line="276" w:lineRule="auto"/>
        <w:rPr>
          <w:rFonts w:ascii="Garamond" w:hAnsi="Garamond"/>
          <w:sz w:val="24"/>
        </w:rPr>
      </w:pPr>
      <w:r w:rsidRPr="008C7AA9">
        <w:rPr>
          <w:rFonts w:ascii="Garamond" w:hAnsi="Garamond"/>
          <w:sz w:val="24"/>
        </w:rPr>
        <w:t>The sample frames will be constructed from multiple sources and will re</w:t>
      </w:r>
      <w:r>
        <w:rPr>
          <w:rFonts w:ascii="Garamond" w:hAnsi="Garamond"/>
          <w:sz w:val="24"/>
        </w:rPr>
        <w:t>sult in seven separate lists</w:t>
      </w:r>
      <w:r w:rsidRPr="008C7AA9">
        <w:rPr>
          <w:rFonts w:ascii="Garamond" w:hAnsi="Garamond"/>
          <w:sz w:val="24"/>
        </w:rPr>
        <w:t xml:space="preserve">: </w:t>
      </w:r>
      <w:r>
        <w:rPr>
          <w:rFonts w:ascii="Garamond" w:hAnsi="Garamond"/>
          <w:i/>
          <w:sz w:val="24"/>
        </w:rPr>
        <w:t xml:space="preserve">Healthy People </w:t>
      </w:r>
      <w:r>
        <w:rPr>
          <w:rFonts w:ascii="Garamond" w:hAnsi="Garamond"/>
          <w:sz w:val="24"/>
        </w:rPr>
        <w:t xml:space="preserve">State Coordinators, State Deputy Directors, </w:t>
      </w:r>
      <w:r w:rsidRPr="008C7AA9">
        <w:rPr>
          <w:rFonts w:ascii="Garamond" w:hAnsi="Garamond"/>
          <w:sz w:val="24"/>
        </w:rPr>
        <w:t>local</w:t>
      </w:r>
      <w:r>
        <w:rPr>
          <w:rFonts w:ascii="Garamond" w:hAnsi="Garamond"/>
          <w:sz w:val="24"/>
        </w:rPr>
        <w:t xml:space="preserve"> health organizations, tribal health organizations, tribal Area Health Boards, </w:t>
      </w:r>
      <w:r>
        <w:rPr>
          <w:rFonts w:ascii="Garamond" w:hAnsi="Garamond"/>
          <w:i/>
          <w:sz w:val="24"/>
        </w:rPr>
        <w:t xml:space="preserve">Healthy People </w:t>
      </w:r>
      <w:r w:rsidRPr="008C7AA9">
        <w:rPr>
          <w:rFonts w:ascii="Garamond" w:hAnsi="Garamond"/>
          <w:sz w:val="24"/>
        </w:rPr>
        <w:t xml:space="preserve">webinar </w:t>
      </w:r>
      <w:r>
        <w:rPr>
          <w:rFonts w:ascii="Garamond" w:hAnsi="Garamond"/>
          <w:sz w:val="24"/>
        </w:rPr>
        <w:t>attendees</w:t>
      </w:r>
      <w:r w:rsidRPr="008C7AA9">
        <w:rPr>
          <w:rFonts w:ascii="Garamond" w:hAnsi="Garamond"/>
          <w:sz w:val="24"/>
        </w:rPr>
        <w:t xml:space="preserve">, and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members</w:t>
      </w:r>
      <w:r>
        <w:rPr>
          <w:rFonts w:ascii="Garamond" w:hAnsi="Garamond"/>
          <w:sz w:val="24"/>
        </w:rPr>
        <w:t xml:space="preserve">. </w:t>
      </w:r>
      <w:r w:rsidRPr="008C7AA9">
        <w:rPr>
          <w:rFonts w:ascii="Garamond" w:hAnsi="Garamond"/>
          <w:sz w:val="24"/>
        </w:rPr>
        <w:t xml:space="preserve">A list of the 59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 xml:space="preserve">State </w:t>
      </w:r>
      <w:r w:rsidRPr="008C7AA9">
        <w:rPr>
          <w:rFonts w:ascii="Garamond" w:hAnsi="Garamond"/>
          <w:sz w:val="24"/>
        </w:rPr>
        <w:t>Coordinators will serve as the primary contacts for the states (sample frame A).</w:t>
      </w:r>
      <w:r>
        <w:rPr>
          <w:rFonts w:ascii="Garamond" w:hAnsi="Garamond"/>
          <w:sz w:val="24"/>
        </w:rPr>
        <w:t xml:space="preserve"> </w:t>
      </w:r>
      <w:r w:rsidRPr="008C7AA9">
        <w:rPr>
          <w:rFonts w:ascii="Garamond" w:hAnsi="Garamond"/>
          <w:sz w:val="24"/>
        </w:rPr>
        <w:t>The list of state Senior Deputy Directors will serve as the second set of state-level contacts (sample frame A*). The list of approximately 3,000 members of the National Association of County and City Health Officials (NACCHO) will serve as the sample frame for the local officials (sample frame B)</w:t>
      </w:r>
      <w:r>
        <w:rPr>
          <w:rFonts w:ascii="Garamond" w:hAnsi="Garamond"/>
          <w:sz w:val="24"/>
        </w:rPr>
        <w:t>. T</w:t>
      </w:r>
      <w:r w:rsidRPr="008C7AA9">
        <w:rPr>
          <w:rFonts w:ascii="Garamond" w:hAnsi="Garamond"/>
          <w:sz w:val="24"/>
        </w:rPr>
        <w:t xml:space="preserve">he </w:t>
      </w:r>
      <w:r>
        <w:rPr>
          <w:rFonts w:ascii="Garamond" w:hAnsi="Garamond"/>
          <w:sz w:val="24"/>
        </w:rPr>
        <w:t xml:space="preserve">list of 566 federally recognized Tribes will serve as the sample list for tribal health organizations </w:t>
      </w:r>
      <w:r w:rsidRPr="008C7AA9">
        <w:rPr>
          <w:rFonts w:ascii="Garamond" w:hAnsi="Garamond"/>
          <w:sz w:val="24"/>
        </w:rPr>
        <w:t xml:space="preserve">(sample frame C). The list of </w:t>
      </w:r>
      <w:r>
        <w:rPr>
          <w:rFonts w:ascii="Garamond" w:hAnsi="Garamond"/>
          <w:sz w:val="24"/>
        </w:rPr>
        <w:t xml:space="preserve">11 </w:t>
      </w:r>
      <w:r w:rsidRPr="008C7AA9">
        <w:rPr>
          <w:rFonts w:ascii="Garamond" w:hAnsi="Garamond"/>
          <w:sz w:val="24"/>
        </w:rPr>
        <w:t xml:space="preserve">tribal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oards will serve as the second set of tribal contacts (sample frame D).</w:t>
      </w:r>
      <w:r>
        <w:rPr>
          <w:rFonts w:ascii="Garamond" w:hAnsi="Garamond"/>
          <w:sz w:val="24"/>
        </w:rPr>
        <w:t xml:space="preserve"> </w:t>
      </w:r>
      <w:r w:rsidRPr="00674531">
        <w:rPr>
          <w:rFonts w:ascii="Garamond" w:hAnsi="Garamond"/>
          <w:sz w:val="24"/>
        </w:rPr>
        <w:t>The Area Health Boards</w:t>
      </w:r>
      <w:r>
        <w:rPr>
          <w:rFonts w:ascii="Garamond" w:hAnsi="Garamond"/>
          <w:sz w:val="24"/>
        </w:rPr>
        <w:t xml:space="preserve"> align with the 12 physical areas of the United States designated by the Indian Health Service (IHS).</w:t>
      </w:r>
      <w:r>
        <w:rPr>
          <w:rStyle w:val="FootnoteReference"/>
          <w:rFonts w:ascii="Garamond" w:hAnsi="Garamond"/>
          <w:sz w:val="24"/>
        </w:rPr>
        <w:footnoteReference w:id="1"/>
      </w:r>
      <w:r>
        <w:rPr>
          <w:rFonts w:ascii="Garamond" w:hAnsi="Garamond"/>
          <w:sz w:val="24"/>
        </w:rPr>
        <w:t xml:space="preserve"> One IHS physical area does not have an Area Health Board contact listed. </w:t>
      </w:r>
      <w:r w:rsidRPr="008C7AA9">
        <w:rPr>
          <w:rFonts w:ascii="Garamond" w:hAnsi="Garamond"/>
          <w:sz w:val="24"/>
        </w:rPr>
        <w:t xml:space="preserve">The complete list of 2,400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members will serve as the set of </w:t>
      </w:r>
      <w:r>
        <w:rPr>
          <w:rFonts w:ascii="Garamond" w:hAnsi="Garamond"/>
          <w:sz w:val="24"/>
        </w:rPr>
        <w:t>Consortium</w:t>
      </w:r>
      <w:r w:rsidRPr="008C7AA9">
        <w:rPr>
          <w:rFonts w:ascii="Garamond" w:hAnsi="Garamond"/>
          <w:sz w:val="24"/>
        </w:rPr>
        <w:t xml:space="preserve"> organization contacts (sample frame E). Webinar attendees from all 2014 </w:t>
      </w:r>
      <w:r w:rsidRPr="00BC5F51">
        <w:rPr>
          <w:rFonts w:ascii="Garamond" w:hAnsi="Garamond"/>
          <w:i/>
          <w:sz w:val="24"/>
        </w:rPr>
        <w:t>Healthy People</w:t>
      </w:r>
      <w:r w:rsidRPr="008C7AA9">
        <w:rPr>
          <w:rFonts w:ascii="Garamond" w:hAnsi="Garamond"/>
          <w:sz w:val="24"/>
        </w:rPr>
        <w:t xml:space="preserve"> webinars, including Leading Health Indicator, Spotlight on Health, and Progress Review webinars, will be included in the sample list for webinar </w:t>
      </w:r>
      <w:r>
        <w:rPr>
          <w:rFonts w:ascii="Garamond" w:hAnsi="Garamond"/>
          <w:sz w:val="24"/>
        </w:rPr>
        <w:t>attendees</w:t>
      </w:r>
      <w:r w:rsidRPr="008C7AA9">
        <w:rPr>
          <w:rFonts w:ascii="Garamond" w:hAnsi="Garamond"/>
          <w:sz w:val="24"/>
        </w:rPr>
        <w:t xml:space="preserve"> (sample frame F). </w:t>
      </w:r>
    </w:p>
    <w:p w:rsidR="009D0BA7" w:rsidRPr="00261419" w:rsidRDefault="009D0BA7" w:rsidP="009D0BA7">
      <w:pPr>
        <w:autoSpaceDE w:val="0"/>
        <w:autoSpaceDN w:val="0"/>
        <w:spacing w:after="0" w:line="240" w:lineRule="auto"/>
      </w:pPr>
    </w:p>
    <w:p w:rsidR="009D0BA7" w:rsidRPr="008C7AA9" w:rsidRDefault="009D0BA7" w:rsidP="009D0BA7">
      <w:pPr>
        <w:rPr>
          <w:rFonts w:ascii="Garamond" w:hAnsi="Garamond"/>
          <w:sz w:val="24"/>
        </w:rPr>
      </w:pPr>
      <w:r w:rsidRPr="008C7AA9">
        <w:rPr>
          <w:rFonts w:ascii="Garamond" w:hAnsi="Garamond"/>
          <w:sz w:val="24"/>
        </w:rPr>
        <w:lastRenderedPageBreak/>
        <w:t>These frames will be used to draw samples that satisfy the study’s goals.</w:t>
      </w:r>
      <w:r>
        <w:rPr>
          <w:rFonts w:ascii="Garamond" w:hAnsi="Garamond"/>
          <w:sz w:val="24"/>
        </w:rPr>
        <w:t xml:space="preserve"> </w:t>
      </w:r>
      <w:r w:rsidRPr="008C7AA9">
        <w:rPr>
          <w:rFonts w:ascii="Garamond" w:hAnsi="Garamond"/>
          <w:sz w:val="24"/>
        </w:rPr>
        <w:t>The proposed sample design satisfies two key requirements.</w:t>
      </w:r>
      <w:r>
        <w:rPr>
          <w:rFonts w:ascii="Garamond" w:hAnsi="Garamond"/>
          <w:sz w:val="24"/>
        </w:rPr>
        <w:t xml:space="preserve"> </w:t>
      </w:r>
      <w:r w:rsidRPr="008C7AA9">
        <w:rPr>
          <w:rFonts w:ascii="Garamond" w:hAnsi="Garamond"/>
          <w:sz w:val="24"/>
        </w:rPr>
        <w:t>First, all organizations fro</w:t>
      </w:r>
      <w:r>
        <w:rPr>
          <w:rFonts w:ascii="Garamond" w:hAnsi="Garamond"/>
          <w:sz w:val="24"/>
        </w:rPr>
        <w:t xml:space="preserve">m frames </w:t>
      </w:r>
      <w:proofErr w:type="gramStart"/>
      <w:r>
        <w:rPr>
          <w:rFonts w:ascii="Garamond" w:hAnsi="Garamond"/>
          <w:sz w:val="24"/>
        </w:rPr>
        <w:t>A and</w:t>
      </w:r>
      <w:proofErr w:type="gramEnd"/>
      <w:r>
        <w:rPr>
          <w:rFonts w:ascii="Garamond" w:hAnsi="Garamond"/>
          <w:sz w:val="24"/>
        </w:rPr>
        <w:t xml:space="preserve"> A* and all </w:t>
      </w:r>
      <w:r w:rsidRPr="008C7AA9">
        <w:rPr>
          <w:rFonts w:ascii="Garamond" w:hAnsi="Garamond"/>
          <w:sz w:val="24"/>
        </w:rPr>
        <w:t xml:space="preserve">tribal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oards from frame D will be included with certainty.</w:t>
      </w:r>
      <w:r>
        <w:rPr>
          <w:rFonts w:ascii="Garamond" w:hAnsi="Garamond"/>
          <w:sz w:val="24"/>
        </w:rPr>
        <w:t xml:space="preserve"> </w:t>
      </w:r>
      <w:r w:rsidRPr="008C7AA9">
        <w:rPr>
          <w:rFonts w:ascii="Garamond" w:hAnsi="Garamond"/>
          <w:sz w:val="24"/>
        </w:rPr>
        <w:t>Second, the design will draw samples that produce nationally representative estimates for urban and rural organizations in group B, and nationally representative estimates by tribal size and region in group C</w:t>
      </w:r>
      <w:r>
        <w:rPr>
          <w:rFonts w:ascii="Garamond" w:hAnsi="Garamond"/>
          <w:sz w:val="24"/>
        </w:rPr>
        <w:t>, if possible</w:t>
      </w:r>
      <w:r w:rsidRPr="008C7AA9">
        <w:rPr>
          <w:rFonts w:ascii="Garamond" w:hAnsi="Garamond"/>
          <w:sz w:val="24"/>
        </w:rPr>
        <w:t xml:space="preserve">. For the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and webinar attendee samples, we aim to be as representative of these groups as possible.</w:t>
      </w:r>
    </w:p>
    <w:p w:rsidR="009D0BA7" w:rsidRPr="008C7AA9" w:rsidRDefault="009D0BA7" w:rsidP="009D0BA7">
      <w:pPr>
        <w:rPr>
          <w:rFonts w:ascii="Garamond" w:hAnsi="Garamond"/>
          <w:sz w:val="24"/>
        </w:rPr>
      </w:pPr>
      <w:r w:rsidRPr="008C7AA9">
        <w:rPr>
          <w:rFonts w:ascii="Garamond" w:hAnsi="Garamond"/>
          <w:sz w:val="24"/>
        </w:rPr>
        <w:t>Our total sample of 1,10</w:t>
      </w:r>
      <w:r>
        <w:rPr>
          <w:rFonts w:ascii="Garamond" w:hAnsi="Garamond"/>
          <w:sz w:val="24"/>
        </w:rPr>
        <w:t xml:space="preserve">2 </w:t>
      </w:r>
      <w:r w:rsidRPr="008C7AA9">
        <w:rPr>
          <w:rFonts w:ascii="Garamond" w:hAnsi="Garamond"/>
          <w:sz w:val="24"/>
        </w:rPr>
        <w:t>organizations will consist of all 116 organizations from frames A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 xml:space="preserve">State </w:t>
      </w:r>
      <w:r w:rsidRPr="008C7AA9">
        <w:rPr>
          <w:rFonts w:ascii="Garamond" w:hAnsi="Garamond"/>
          <w:sz w:val="24"/>
        </w:rPr>
        <w:t>Coordinators) and A* (State Senior Deputy Directors), all of the 1</w:t>
      </w:r>
      <w:r>
        <w:rPr>
          <w:rFonts w:ascii="Garamond" w:hAnsi="Garamond"/>
          <w:sz w:val="24"/>
        </w:rPr>
        <w:t xml:space="preserve">1 </w:t>
      </w:r>
      <w:r w:rsidRPr="008C7AA9">
        <w:rPr>
          <w:rFonts w:ascii="Garamond" w:hAnsi="Garamond"/>
          <w:sz w:val="24"/>
        </w:rPr>
        <w:t>organizations in frame D (</w:t>
      </w:r>
      <w:r>
        <w:rPr>
          <w:rFonts w:ascii="Garamond" w:hAnsi="Garamond"/>
          <w:sz w:val="24"/>
        </w:rPr>
        <w:t>T</w:t>
      </w:r>
      <w:r w:rsidRPr="008C7AA9">
        <w:rPr>
          <w:rFonts w:ascii="Garamond" w:hAnsi="Garamond"/>
          <w:sz w:val="24"/>
        </w:rPr>
        <w:t xml:space="preserve">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oards) plus 975 more sampled from frames B (Local Health Organizations), C (Tribal Health Organizations), E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 Organizations</w:t>
      </w:r>
      <w:r w:rsidRPr="008C7AA9">
        <w:rPr>
          <w:rFonts w:ascii="Garamond" w:hAnsi="Garamond"/>
          <w:sz w:val="24"/>
        </w:rPr>
        <w:t>), and F (</w:t>
      </w:r>
      <w:r>
        <w:rPr>
          <w:rFonts w:ascii="Garamond" w:hAnsi="Garamond"/>
          <w:i/>
          <w:sz w:val="24"/>
        </w:rPr>
        <w:t xml:space="preserve">Healthy People </w:t>
      </w:r>
      <w:r w:rsidRPr="008C7AA9">
        <w:rPr>
          <w:rFonts w:ascii="Garamond" w:hAnsi="Garamond"/>
          <w:sz w:val="24"/>
        </w:rPr>
        <w:t>Webinar Attendees). We will include in the sample 375 organizations from frame B, 100 organizations from frame C, and 250 org</w:t>
      </w:r>
      <w:r>
        <w:rPr>
          <w:rFonts w:ascii="Garamond" w:hAnsi="Garamond"/>
          <w:sz w:val="24"/>
        </w:rPr>
        <w:t xml:space="preserve">anizations from both frames E and F. If the same organization is selected in both the webinar and Consortium samples, the Consortium sample will take priority. We would reselect a new respondent to replace the organization in the Webinar sample. </w:t>
      </w:r>
    </w:p>
    <w:p w:rsidR="009D0BA7" w:rsidRPr="008C7AA9" w:rsidRDefault="009D0BA7" w:rsidP="009D0BA7">
      <w:pPr>
        <w:rPr>
          <w:rFonts w:ascii="Garamond" w:hAnsi="Garamond"/>
          <w:sz w:val="24"/>
        </w:rPr>
      </w:pPr>
      <w:r w:rsidRPr="008C7AA9">
        <w:rPr>
          <w:rFonts w:ascii="Garamond" w:hAnsi="Garamond"/>
          <w:sz w:val="24"/>
        </w:rPr>
        <w:t>Exhibit 5 shows the sizes of the frames provided, as well as the sample sizes and expected response rates and respondent sizes.</w:t>
      </w:r>
    </w:p>
    <w:p w:rsidR="009D0BA7" w:rsidRPr="008C7AA9" w:rsidRDefault="009D0BA7" w:rsidP="009D0BA7">
      <w:pPr>
        <w:pStyle w:val="ExhibitTitle"/>
        <w:keepNext/>
        <w:rPr>
          <w:rFonts w:ascii="Garamond" w:hAnsi="Garamond"/>
          <w:bCs/>
        </w:rPr>
      </w:pPr>
      <w:r w:rsidRPr="008C7AA9">
        <w:rPr>
          <w:rFonts w:ascii="Garamond" w:hAnsi="Garamond"/>
          <w:bCs/>
        </w:rPr>
        <w:t>Exhibit 5: Sample Statistics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620"/>
        <w:gridCol w:w="1283"/>
        <w:gridCol w:w="1507"/>
        <w:gridCol w:w="1800"/>
      </w:tblGrid>
      <w:tr w:rsidR="009D0BA7" w:rsidRPr="008C7AA9" w:rsidTr="006459D0">
        <w:trPr>
          <w:cantSplit/>
        </w:trPr>
        <w:tc>
          <w:tcPr>
            <w:tcW w:w="3505" w:type="dxa"/>
            <w:shd w:val="pct30" w:color="000000" w:fill="FFFFFF"/>
            <w:vAlign w:val="bottom"/>
          </w:tcPr>
          <w:p w:rsidR="009D0BA7" w:rsidRPr="0080730A" w:rsidRDefault="009D0BA7" w:rsidP="006459D0">
            <w:pPr>
              <w:pStyle w:val="TableTitle"/>
              <w:rPr>
                <w:sz w:val="22"/>
                <w:szCs w:val="22"/>
                <w:lang w:val="en-GB"/>
              </w:rPr>
            </w:pPr>
          </w:p>
        </w:tc>
        <w:tc>
          <w:tcPr>
            <w:tcW w:w="1620" w:type="dxa"/>
            <w:shd w:val="pct30" w:color="000000" w:fill="FFFFFF"/>
            <w:vAlign w:val="bottom"/>
          </w:tcPr>
          <w:p w:rsidR="009D0BA7" w:rsidRPr="0080730A" w:rsidRDefault="009D0BA7" w:rsidP="006459D0">
            <w:pPr>
              <w:pStyle w:val="TableTitle"/>
              <w:rPr>
                <w:sz w:val="22"/>
                <w:szCs w:val="22"/>
                <w:lang w:val="en-GB"/>
              </w:rPr>
            </w:pPr>
            <w:r w:rsidRPr="0080730A">
              <w:rPr>
                <w:sz w:val="22"/>
                <w:szCs w:val="22"/>
                <w:lang w:val="en-GB"/>
              </w:rPr>
              <w:t>Population</w:t>
            </w:r>
          </w:p>
        </w:tc>
        <w:tc>
          <w:tcPr>
            <w:tcW w:w="1283" w:type="dxa"/>
            <w:shd w:val="pct30" w:color="000000" w:fill="FFFFFF"/>
            <w:vAlign w:val="bottom"/>
          </w:tcPr>
          <w:p w:rsidR="009D0BA7" w:rsidRPr="0080730A" w:rsidRDefault="009D0BA7" w:rsidP="006459D0">
            <w:pPr>
              <w:pStyle w:val="TableTitle"/>
              <w:rPr>
                <w:sz w:val="22"/>
                <w:szCs w:val="22"/>
                <w:lang w:val="en-GB"/>
              </w:rPr>
            </w:pPr>
            <w:r w:rsidRPr="0080730A">
              <w:rPr>
                <w:sz w:val="22"/>
                <w:szCs w:val="22"/>
                <w:lang w:val="en-GB"/>
              </w:rPr>
              <w:t>Sample</w:t>
            </w:r>
          </w:p>
        </w:tc>
        <w:tc>
          <w:tcPr>
            <w:tcW w:w="1507" w:type="dxa"/>
            <w:shd w:val="pct30" w:color="000000" w:fill="FFFFFF"/>
            <w:vAlign w:val="bottom"/>
          </w:tcPr>
          <w:p w:rsidR="009D0BA7" w:rsidRPr="0080730A" w:rsidRDefault="009D0BA7" w:rsidP="006459D0">
            <w:pPr>
              <w:pStyle w:val="TableTitle"/>
              <w:rPr>
                <w:sz w:val="22"/>
                <w:szCs w:val="22"/>
                <w:lang w:val="en-GB"/>
              </w:rPr>
            </w:pPr>
            <w:r w:rsidRPr="0080730A">
              <w:rPr>
                <w:sz w:val="22"/>
                <w:szCs w:val="22"/>
                <w:lang w:val="en-GB"/>
              </w:rPr>
              <w:t>Expected Response Rate</w:t>
            </w:r>
          </w:p>
        </w:tc>
        <w:tc>
          <w:tcPr>
            <w:tcW w:w="1800" w:type="dxa"/>
            <w:shd w:val="pct30" w:color="000000" w:fill="FFFFFF"/>
            <w:vAlign w:val="bottom"/>
          </w:tcPr>
          <w:p w:rsidR="009D0BA7" w:rsidRPr="0080730A" w:rsidRDefault="009D0BA7" w:rsidP="006459D0">
            <w:pPr>
              <w:pStyle w:val="TableTitle"/>
              <w:rPr>
                <w:sz w:val="22"/>
                <w:szCs w:val="22"/>
                <w:lang w:val="en-GB"/>
              </w:rPr>
            </w:pPr>
            <w:r w:rsidRPr="0080730A">
              <w:rPr>
                <w:sz w:val="22"/>
                <w:szCs w:val="22"/>
                <w:lang w:val="en-GB"/>
              </w:rPr>
              <w:t>Total Expected Respondent (n)</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sidRPr="00BC5F51">
              <w:rPr>
                <w:b/>
                <w:i/>
                <w:sz w:val="22"/>
                <w:szCs w:val="22"/>
                <w:lang w:val="en-GB"/>
              </w:rPr>
              <w:t>Healthy People</w:t>
            </w:r>
            <w:r w:rsidRPr="0080730A">
              <w:rPr>
                <w:b/>
                <w:sz w:val="22"/>
                <w:szCs w:val="22"/>
                <w:lang w:val="en-GB"/>
              </w:rPr>
              <w:t xml:space="preserve"> </w:t>
            </w:r>
            <w:r>
              <w:rPr>
                <w:b/>
                <w:sz w:val="22"/>
                <w:szCs w:val="22"/>
                <w:lang w:val="en-GB"/>
              </w:rPr>
              <w:t xml:space="preserve">State </w:t>
            </w:r>
            <w:r w:rsidRPr="0080730A">
              <w:rPr>
                <w:b/>
                <w:sz w:val="22"/>
                <w:szCs w:val="22"/>
                <w:lang w:val="en-GB"/>
              </w:rPr>
              <w:t xml:space="preserve">Coordinators </w:t>
            </w:r>
            <w:r w:rsidRPr="0080730A">
              <w:rPr>
                <w:b/>
                <w:sz w:val="22"/>
                <w:szCs w:val="22"/>
                <w:lang w:val="en-GB"/>
              </w:rPr>
              <w:br/>
              <w:t>(Frame A)</w:t>
            </w:r>
          </w:p>
        </w:tc>
        <w:tc>
          <w:tcPr>
            <w:tcW w:w="1620" w:type="dxa"/>
            <w:vAlign w:val="center"/>
          </w:tcPr>
          <w:p w:rsidR="009D0BA7" w:rsidRPr="0080730A" w:rsidRDefault="009D0BA7" w:rsidP="006459D0">
            <w:pPr>
              <w:pStyle w:val="TableTextLeft"/>
              <w:jc w:val="center"/>
              <w:rPr>
                <w:sz w:val="22"/>
                <w:szCs w:val="22"/>
                <w:lang w:val="en-GB"/>
              </w:rPr>
            </w:pPr>
            <w:r w:rsidRPr="0080730A">
              <w:rPr>
                <w:sz w:val="22"/>
                <w:szCs w:val="22"/>
                <w:lang w:val="en-GB"/>
              </w:rPr>
              <w:t>59</w:t>
            </w:r>
          </w:p>
        </w:tc>
        <w:tc>
          <w:tcPr>
            <w:tcW w:w="1283" w:type="dxa"/>
            <w:vAlign w:val="center"/>
          </w:tcPr>
          <w:p w:rsidR="009D0BA7" w:rsidRPr="0080730A" w:rsidRDefault="009D0BA7" w:rsidP="006459D0">
            <w:pPr>
              <w:pStyle w:val="TableTextLeft"/>
              <w:jc w:val="center"/>
              <w:rPr>
                <w:sz w:val="22"/>
                <w:szCs w:val="22"/>
                <w:lang w:val="en-GB"/>
              </w:rPr>
            </w:pPr>
            <w:r w:rsidRPr="0080730A">
              <w:rPr>
                <w:sz w:val="22"/>
                <w:szCs w:val="22"/>
                <w:lang w:val="en-GB"/>
              </w:rPr>
              <w:t>59</w:t>
            </w:r>
          </w:p>
        </w:tc>
        <w:tc>
          <w:tcPr>
            <w:tcW w:w="1507" w:type="dxa"/>
            <w:vAlign w:val="center"/>
          </w:tcPr>
          <w:p w:rsidR="009D0BA7" w:rsidRPr="0080730A" w:rsidRDefault="009D0BA7" w:rsidP="006459D0">
            <w:pPr>
              <w:pStyle w:val="TableTextLeft"/>
              <w:jc w:val="center"/>
              <w:rPr>
                <w:sz w:val="22"/>
                <w:szCs w:val="22"/>
                <w:lang w:val="en-GB"/>
              </w:rPr>
            </w:pPr>
            <w:r w:rsidRPr="0080730A">
              <w:rPr>
                <w:sz w:val="22"/>
                <w:szCs w:val="22"/>
                <w:lang w:val="en-GB"/>
              </w:rPr>
              <w:t>85%</w:t>
            </w:r>
          </w:p>
        </w:tc>
        <w:tc>
          <w:tcPr>
            <w:tcW w:w="1800" w:type="dxa"/>
            <w:vAlign w:val="center"/>
          </w:tcPr>
          <w:p w:rsidR="009D0BA7" w:rsidRPr="0080730A" w:rsidRDefault="009D0BA7" w:rsidP="006459D0">
            <w:pPr>
              <w:pStyle w:val="TableTextLeft"/>
              <w:jc w:val="center"/>
              <w:rPr>
                <w:sz w:val="22"/>
                <w:szCs w:val="22"/>
                <w:lang w:val="en-GB"/>
              </w:rPr>
            </w:pPr>
            <w:r w:rsidRPr="0080730A">
              <w:rPr>
                <w:sz w:val="22"/>
                <w:szCs w:val="22"/>
                <w:lang w:val="en-GB"/>
              </w:rPr>
              <w:t>50</w:t>
            </w:r>
            <w:r>
              <w:rPr>
                <w:sz w:val="22"/>
                <w:szCs w:val="22"/>
                <w:lang w:val="en-GB"/>
              </w:rPr>
              <w:t>^</w:t>
            </w:r>
          </w:p>
        </w:tc>
      </w:tr>
      <w:tr w:rsidR="009D0BA7" w:rsidRPr="008C7AA9" w:rsidTr="006459D0">
        <w:trPr>
          <w:cantSplit/>
          <w:trHeight w:val="620"/>
        </w:trPr>
        <w:tc>
          <w:tcPr>
            <w:tcW w:w="3505" w:type="dxa"/>
            <w:shd w:val="pct12" w:color="000000" w:fill="FFFFFF"/>
          </w:tcPr>
          <w:p w:rsidR="009D0BA7" w:rsidRPr="0080730A" w:rsidRDefault="009D0BA7" w:rsidP="006459D0">
            <w:pPr>
              <w:pStyle w:val="TableTextLeft"/>
              <w:rPr>
                <w:b/>
                <w:sz w:val="22"/>
                <w:szCs w:val="22"/>
                <w:lang w:val="en-GB"/>
              </w:rPr>
            </w:pPr>
            <w:r w:rsidRPr="0080730A">
              <w:rPr>
                <w:b/>
                <w:sz w:val="22"/>
                <w:szCs w:val="22"/>
                <w:lang w:val="en-GB"/>
              </w:rPr>
              <w:t>State Sen</w:t>
            </w:r>
            <w:r>
              <w:rPr>
                <w:b/>
                <w:sz w:val="22"/>
                <w:szCs w:val="22"/>
                <w:lang w:val="en-GB"/>
              </w:rPr>
              <w:t>ior Deputy Directors (Frame A*)</w:t>
            </w:r>
          </w:p>
        </w:tc>
        <w:tc>
          <w:tcPr>
            <w:tcW w:w="1620" w:type="dxa"/>
            <w:vAlign w:val="center"/>
          </w:tcPr>
          <w:p w:rsidR="009D0BA7" w:rsidRPr="0080730A" w:rsidRDefault="009D0BA7" w:rsidP="006459D0">
            <w:pPr>
              <w:pStyle w:val="TableTextLeft"/>
              <w:jc w:val="center"/>
              <w:rPr>
                <w:sz w:val="22"/>
                <w:szCs w:val="22"/>
                <w:lang w:val="en-GB"/>
              </w:rPr>
            </w:pPr>
            <w:r w:rsidRPr="0080730A">
              <w:rPr>
                <w:sz w:val="22"/>
                <w:szCs w:val="22"/>
                <w:lang w:val="en-GB"/>
              </w:rPr>
              <w:t>57</w:t>
            </w:r>
          </w:p>
        </w:tc>
        <w:tc>
          <w:tcPr>
            <w:tcW w:w="1283" w:type="dxa"/>
            <w:vAlign w:val="center"/>
          </w:tcPr>
          <w:p w:rsidR="009D0BA7" w:rsidRPr="0080730A" w:rsidRDefault="009D0BA7" w:rsidP="006459D0">
            <w:pPr>
              <w:pStyle w:val="TableTextLeft"/>
              <w:jc w:val="center"/>
              <w:rPr>
                <w:sz w:val="22"/>
                <w:szCs w:val="22"/>
                <w:lang w:val="en-GB"/>
              </w:rPr>
            </w:pPr>
            <w:r w:rsidRPr="0080730A">
              <w:rPr>
                <w:sz w:val="22"/>
                <w:szCs w:val="22"/>
                <w:lang w:val="en-GB"/>
              </w:rPr>
              <w:t>57</w:t>
            </w:r>
          </w:p>
        </w:tc>
        <w:tc>
          <w:tcPr>
            <w:tcW w:w="1507" w:type="dxa"/>
            <w:vAlign w:val="center"/>
          </w:tcPr>
          <w:p w:rsidR="009D0BA7" w:rsidRPr="0080730A" w:rsidRDefault="009D0BA7" w:rsidP="006459D0">
            <w:pPr>
              <w:pStyle w:val="TableTextLeft"/>
              <w:jc w:val="center"/>
              <w:rPr>
                <w:sz w:val="22"/>
                <w:szCs w:val="22"/>
                <w:lang w:val="en-GB"/>
              </w:rPr>
            </w:pPr>
            <w:r>
              <w:rPr>
                <w:sz w:val="22"/>
                <w:szCs w:val="22"/>
                <w:lang w:val="en-GB"/>
              </w:rPr>
              <w:t>75</w:t>
            </w:r>
            <w:r w:rsidRPr="0080730A">
              <w:rPr>
                <w:sz w:val="22"/>
                <w:szCs w:val="22"/>
                <w:lang w:val="en-GB"/>
              </w:rPr>
              <w:t>%</w:t>
            </w:r>
          </w:p>
        </w:tc>
        <w:tc>
          <w:tcPr>
            <w:tcW w:w="1800" w:type="dxa"/>
            <w:vAlign w:val="center"/>
          </w:tcPr>
          <w:p w:rsidR="009D0BA7" w:rsidRPr="0080730A" w:rsidRDefault="009D0BA7" w:rsidP="006459D0">
            <w:pPr>
              <w:pStyle w:val="TableTextLeft"/>
              <w:jc w:val="center"/>
              <w:rPr>
                <w:sz w:val="22"/>
                <w:szCs w:val="22"/>
                <w:lang w:val="en-GB"/>
              </w:rPr>
            </w:pPr>
            <w:r w:rsidRPr="0080730A">
              <w:rPr>
                <w:sz w:val="22"/>
                <w:szCs w:val="22"/>
                <w:lang w:val="en-GB"/>
              </w:rPr>
              <w:t>43</w:t>
            </w:r>
            <w:r>
              <w:rPr>
                <w:sz w:val="22"/>
                <w:szCs w:val="22"/>
                <w:lang w:val="en-GB"/>
              </w:rPr>
              <w:t>^</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sidRPr="0080730A">
              <w:rPr>
                <w:b/>
                <w:sz w:val="22"/>
                <w:szCs w:val="22"/>
                <w:lang w:val="en-GB"/>
              </w:rPr>
              <w:t>Local Health Organizations</w:t>
            </w:r>
          </w:p>
          <w:p w:rsidR="009D0BA7" w:rsidRPr="0080730A" w:rsidRDefault="009D0BA7" w:rsidP="006459D0">
            <w:pPr>
              <w:pStyle w:val="TableTextLeft"/>
              <w:rPr>
                <w:b/>
                <w:sz w:val="22"/>
                <w:szCs w:val="22"/>
                <w:lang w:val="en-GB"/>
              </w:rPr>
            </w:pPr>
            <w:r w:rsidRPr="0080730A">
              <w:rPr>
                <w:b/>
                <w:sz w:val="22"/>
                <w:szCs w:val="22"/>
                <w:lang w:val="en-GB"/>
              </w:rPr>
              <w:t>(Frame B)</w:t>
            </w:r>
          </w:p>
        </w:tc>
        <w:tc>
          <w:tcPr>
            <w:tcW w:w="1620" w:type="dxa"/>
            <w:vAlign w:val="center"/>
          </w:tcPr>
          <w:p w:rsidR="009D0BA7" w:rsidRPr="0080730A" w:rsidRDefault="009D0BA7" w:rsidP="006459D0">
            <w:pPr>
              <w:pStyle w:val="TableTextLeft"/>
              <w:jc w:val="center"/>
              <w:rPr>
                <w:sz w:val="22"/>
                <w:szCs w:val="22"/>
              </w:rPr>
            </w:pPr>
            <w:r w:rsidRPr="0080730A">
              <w:rPr>
                <w:sz w:val="22"/>
                <w:szCs w:val="22"/>
              </w:rPr>
              <w:t>~3,000</w:t>
            </w:r>
          </w:p>
        </w:tc>
        <w:tc>
          <w:tcPr>
            <w:tcW w:w="1283" w:type="dxa"/>
            <w:vAlign w:val="center"/>
          </w:tcPr>
          <w:p w:rsidR="009D0BA7" w:rsidRPr="0080730A" w:rsidRDefault="009D0BA7" w:rsidP="006459D0">
            <w:pPr>
              <w:pStyle w:val="TableTextLeft"/>
              <w:jc w:val="center"/>
              <w:rPr>
                <w:sz w:val="22"/>
                <w:szCs w:val="22"/>
              </w:rPr>
            </w:pPr>
            <w:r w:rsidRPr="0080730A">
              <w:rPr>
                <w:sz w:val="22"/>
                <w:szCs w:val="22"/>
              </w:rPr>
              <w:t>375</w:t>
            </w:r>
          </w:p>
        </w:tc>
        <w:tc>
          <w:tcPr>
            <w:tcW w:w="1507" w:type="dxa"/>
            <w:vAlign w:val="center"/>
          </w:tcPr>
          <w:p w:rsidR="009D0BA7" w:rsidRPr="0080730A" w:rsidRDefault="009D0BA7" w:rsidP="006459D0">
            <w:pPr>
              <w:pStyle w:val="TableTextLeft"/>
              <w:jc w:val="center"/>
              <w:rPr>
                <w:sz w:val="22"/>
                <w:szCs w:val="22"/>
              </w:rPr>
            </w:pPr>
            <w:r w:rsidRPr="0080730A">
              <w:rPr>
                <w:sz w:val="22"/>
                <w:szCs w:val="22"/>
              </w:rPr>
              <w:t>70%</w:t>
            </w:r>
          </w:p>
        </w:tc>
        <w:tc>
          <w:tcPr>
            <w:tcW w:w="1800" w:type="dxa"/>
            <w:vAlign w:val="center"/>
          </w:tcPr>
          <w:p w:rsidR="009D0BA7" w:rsidRPr="0080730A" w:rsidRDefault="009D0BA7" w:rsidP="006459D0">
            <w:pPr>
              <w:pStyle w:val="TableTextLeft"/>
              <w:jc w:val="center"/>
              <w:rPr>
                <w:sz w:val="22"/>
                <w:szCs w:val="22"/>
              </w:rPr>
            </w:pPr>
            <w:r w:rsidRPr="0080730A">
              <w:rPr>
                <w:sz w:val="22"/>
                <w:szCs w:val="22"/>
              </w:rPr>
              <w:t>262</w:t>
            </w:r>
            <w:r>
              <w:rPr>
                <w:sz w:val="22"/>
                <w:szCs w:val="22"/>
              </w:rPr>
              <w:t>^</w:t>
            </w:r>
          </w:p>
        </w:tc>
      </w:tr>
      <w:tr w:rsidR="009D0BA7" w:rsidRPr="008C7AA9" w:rsidTr="006459D0">
        <w:trPr>
          <w:cantSplit/>
        </w:trPr>
        <w:tc>
          <w:tcPr>
            <w:tcW w:w="3505" w:type="dxa"/>
            <w:shd w:val="pct12" w:color="000000" w:fill="FFFFFF"/>
          </w:tcPr>
          <w:p w:rsidR="009D0BA7" w:rsidRPr="00ED2D60" w:rsidRDefault="009D0BA7" w:rsidP="006459D0">
            <w:pPr>
              <w:pStyle w:val="TableTextLeft"/>
              <w:rPr>
                <w:b/>
                <w:sz w:val="22"/>
                <w:szCs w:val="22"/>
                <w:vertAlign w:val="superscript"/>
                <w:lang w:val="en-GB"/>
              </w:rPr>
            </w:pPr>
            <w:r w:rsidRPr="0080730A">
              <w:rPr>
                <w:b/>
                <w:sz w:val="22"/>
                <w:szCs w:val="22"/>
                <w:lang w:val="en-GB"/>
              </w:rPr>
              <w:t xml:space="preserve">Tribal </w:t>
            </w:r>
            <w:r>
              <w:rPr>
                <w:b/>
                <w:sz w:val="22"/>
                <w:szCs w:val="22"/>
                <w:lang w:val="en-GB"/>
              </w:rPr>
              <w:t>Health Organizations</w:t>
            </w:r>
          </w:p>
          <w:p w:rsidR="009D0BA7" w:rsidRPr="0080730A" w:rsidRDefault="009D0BA7" w:rsidP="006459D0">
            <w:pPr>
              <w:pStyle w:val="TableTextLeft"/>
              <w:rPr>
                <w:b/>
                <w:sz w:val="22"/>
                <w:szCs w:val="22"/>
                <w:lang w:val="en-GB"/>
              </w:rPr>
            </w:pPr>
            <w:r w:rsidRPr="0080730A">
              <w:rPr>
                <w:b/>
                <w:sz w:val="22"/>
                <w:szCs w:val="22"/>
                <w:lang w:val="en-GB"/>
              </w:rPr>
              <w:t>(Frame C)</w:t>
            </w:r>
          </w:p>
        </w:tc>
        <w:tc>
          <w:tcPr>
            <w:tcW w:w="1620" w:type="dxa"/>
            <w:vAlign w:val="center"/>
          </w:tcPr>
          <w:p w:rsidR="009D0BA7" w:rsidRPr="0080730A" w:rsidRDefault="009D0BA7" w:rsidP="006459D0">
            <w:pPr>
              <w:pStyle w:val="TableTextLeft"/>
              <w:jc w:val="center"/>
              <w:rPr>
                <w:sz w:val="22"/>
                <w:szCs w:val="22"/>
              </w:rPr>
            </w:pPr>
            <w:r>
              <w:rPr>
                <w:sz w:val="22"/>
                <w:szCs w:val="22"/>
              </w:rPr>
              <w:t>566</w:t>
            </w:r>
          </w:p>
        </w:tc>
        <w:tc>
          <w:tcPr>
            <w:tcW w:w="1283" w:type="dxa"/>
            <w:vAlign w:val="center"/>
          </w:tcPr>
          <w:p w:rsidR="009D0BA7" w:rsidRPr="0080730A" w:rsidRDefault="009D0BA7" w:rsidP="006459D0">
            <w:pPr>
              <w:pStyle w:val="TableTextLeft"/>
              <w:jc w:val="center"/>
              <w:rPr>
                <w:sz w:val="22"/>
                <w:szCs w:val="22"/>
              </w:rPr>
            </w:pPr>
            <w:r w:rsidRPr="0080730A">
              <w:rPr>
                <w:sz w:val="22"/>
                <w:szCs w:val="22"/>
              </w:rPr>
              <w:t>100</w:t>
            </w:r>
          </w:p>
        </w:tc>
        <w:tc>
          <w:tcPr>
            <w:tcW w:w="1507" w:type="dxa"/>
            <w:vAlign w:val="center"/>
          </w:tcPr>
          <w:p w:rsidR="009D0BA7" w:rsidRPr="0080730A" w:rsidRDefault="009D0BA7" w:rsidP="006459D0">
            <w:pPr>
              <w:pStyle w:val="TableTextLeft"/>
              <w:jc w:val="center"/>
              <w:rPr>
                <w:sz w:val="22"/>
                <w:szCs w:val="22"/>
              </w:rPr>
            </w:pPr>
            <w:r w:rsidRPr="0080730A">
              <w:rPr>
                <w:sz w:val="22"/>
                <w:szCs w:val="22"/>
              </w:rPr>
              <w:t>75%</w:t>
            </w:r>
          </w:p>
        </w:tc>
        <w:tc>
          <w:tcPr>
            <w:tcW w:w="1800" w:type="dxa"/>
            <w:vAlign w:val="center"/>
          </w:tcPr>
          <w:p w:rsidR="009D0BA7" w:rsidRPr="0080730A" w:rsidRDefault="009D0BA7" w:rsidP="006459D0">
            <w:pPr>
              <w:pStyle w:val="TableTextLeft"/>
              <w:jc w:val="center"/>
              <w:rPr>
                <w:sz w:val="22"/>
                <w:szCs w:val="22"/>
              </w:rPr>
            </w:pPr>
            <w:r w:rsidRPr="0080730A">
              <w:rPr>
                <w:sz w:val="22"/>
                <w:szCs w:val="22"/>
              </w:rPr>
              <w:t>75</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Pr>
                <w:b/>
                <w:sz w:val="22"/>
                <w:szCs w:val="22"/>
                <w:lang w:val="en-GB"/>
              </w:rPr>
              <w:t>T</w:t>
            </w:r>
            <w:r w:rsidRPr="0080730A">
              <w:rPr>
                <w:b/>
                <w:sz w:val="22"/>
                <w:szCs w:val="22"/>
                <w:lang w:val="en-GB"/>
              </w:rPr>
              <w:t xml:space="preserve">ribal </w:t>
            </w:r>
            <w:r>
              <w:rPr>
                <w:b/>
                <w:sz w:val="22"/>
                <w:szCs w:val="22"/>
                <w:lang w:val="en-GB"/>
              </w:rPr>
              <w:t>Area H</w:t>
            </w:r>
            <w:r w:rsidRPr="0080730A">
              <w:rPr>
                <w:b/>
                <w:sz w:val="22"/>
                <w:szCs w:val="22"/>
                <w:lang w:val="en-GB"/>
              </w:rPr>
              <w:t xml:space="preserve">ealth </w:t>
            </w:r>
            <w:r>
              <w:rPr>
                <w:b/>
                <w:sz w:val="22"/>
                <w:szCs w:val="22"/>
                <w:lang w:val="en-GB"/>
              </w:rPr>
              <w:t>B</w:t>
            </w:r>
            <w:r w:rsidRPr="0080730A">
              <w:rPr>
                <w:b/>
                <w:sz w:val="22"/>
                <w:szCs w:val="22"/>
                <w:lang w:val="en-GB"/>
              </w:rPr>
              <w:t>oards (Frame D)</w:t>
            </w:r>
          </w:p>
        </w:tc>
        <w:tc>
          <w:tcPr>
            <w:tcW w:w="1620" w:type="dxa"/>
            <w:vAlign w:val="center"/>
          </w:tcPr>
          <w:p w:rsidR="009D0BA7" w:rsidRPr="0080730A" w:rsidRDefault="009D0BA7" w:rsidP="006459D0">
            <w:pPr>
              <w:pStyle w:val="TableTextLeft"/>
              <w:jc w:val="center"/>
              <w:rPr>
                <w:sz w:val="22"/>
                <w:szCs w:val="22"/>
              </w:rPr>
            </w:pPr>
            <w:r>
              <w:rPr>
                <w:sz w:val="22"/>
                <w:szCs w:val="22"/>
              </w:rPr>
              <w:t>11</w:t>
            </w:r>
          </w:p>
        </w:tc>
        <w:tc>
          <w:tcPr>
            <w:tcW w:w="1283" w:type="dxa"/>
            <w:vAlign w:val="center"/>
          </w:tcPr>
          <w:p w:rsidR="009D0BA7" w:rsidRPr="0080730A" w:rsidRDefault="009D0BA7" w:rsidP="006459D0">
            <w:pPr>
              <w:pStyle w:val="TableTextLeft"/>
              <w:jc w:val="center"/>
              <w:rPr>
                <w:sz w:val="22"/>
                <w:szCs w:val="22"/>
              </w:rPr>
            </w:pPr>
            <w:r>
              <w:rPr>
                <w:sz w:val="22"/>
                <w:szCs w:val="22"/>
              </w:rPr>
              <w:t>11</w:t>
            </w:r>
          </w:p>
        </w:tc>
        <w:tc>
          <w:tcPr>
            <w:tcW w:w="1507" w:type="dxa"/>
            <w:vAlign w:val="center"/>
          </w:tcPr>
          <w:p w:rsidR="009D0BA7" w:rsidRPr="0080730A" w:rsidRDefault="009D0BA7" w:rsidP="006459D0">
            <w:pPr>
              <w:pStyle w:val="TableTextLeft"/>
              <w:jc w:val="center"/>
              <w:rPr>
                <w:sz w:val="22"/>
                <w:szCs w:val="22"/>
              </w:rPr>
            </w:pPr>
            <w:r w:rsidRPr="0080730A">
              <w:rPr>
                <w:sz w:val="22"/>
                <w:szCs w:val="22"/>
              </w:rPr>
              <w:t>75%</w:t>
            </w:r>
          </w:p>
        </w:tc>
        <w:tc>
          <w:tcPr>
            <w:tcW w:w="1800" w:type="dxa"/>
            <w:vAlign w:val="center"/>
          </w:tcPr>
          <w:p w:rsidR="009D0BA7" w:rsidRPr="0080730A" w:rsidRDefault="009D0BA7" w:rsidP="006459D0">
            <w:pPr>
              <w:pStyle w:val="TableTextLeft"/>
              <w:jc w:val="center"/>
              <w:rPr>
                <w:sz w:val="22"/>
                <w:szCs w:val="22"/>
              </w:rPr>
            </w:pPr>
            <w:r>
              <w:rPr>
                <w:sz w:val="22"/>
                <w:szCs w:val="22"/>
              </w:rPr>
              <w:t>8^</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sidRPr="00211122">
              <w:rPr>
                <w:b/>
                <w:i/>
                <w:sz w:val="22"/>
                <w:szCs w:val="22"/>
                <w:lang w:val="en-GB"/>
              </w:rPr>
              <w:t>Healthy People</w:t>
            </w:r>
            <w:r w:rsidRPr="0080730A">
              <w:rPr>
                <w:b/>
                <w:sz w:val="22"/>
                <w:szCs w:val="22"/>
                <w:lang w:val="en-GB"/>
              </w:rPr>
              <w:t xml:space="preserve"> </w:t>
            </w:r>
            <w:r>
              <w:rPr>
                <w:b/>
                <w:sz w:val="22"/>
                <w:szCs w:val="22"/>
                <w:lang w:val="en-GB"/>
              </w:rPr>
              <w:t>Consortium</w:t>
            </w:r>
            <w:r w:rsidRPr="0080730A">
              <w:rPr>
                <w:b/>
                <w:sz w:val="22"/>
                <w:szCs w:val="22"/>
                <w:lang w:val="en-GB"/>
              </w:rPr>
              <w:t xml:space="preserve"> </w:t>
            </w:r>
            <w:r>
              <w:rPr>
                <w:b/>
                <w:sz w:val="22"/>
                <w:szCs w:val="22"/>
                <w:lang w:val="en-GB"/>
              </w:rPr>
              <w:t xml:space="preserve">Organizations </w:t>
            </w:r>
            <w:r w:rsidRPr="0080730A">
              <w:rPr>
                <w:b/>
                <w:sz w:val="22"/>
                <w:szCs w:val="22"/>
                <w:lang w:val="en-GB"/>
              </w:rPr>
              <w:t>(Frame E)</w:t>
            </w:r>
          </w:p>
        </w:tc>
        <w:tc>
          <w:tcPr>
            <w:tcW w:w="1620" w:type="dxa"/>
            <w:vAlign w:val="center"/>
          </w:tcPr>
          <w:p w:rsidR="009D0BA7" w:rsidRPr="0080730A" w:rsidRDefault="009D0BA7" w:rsidP="006459D0">
            <w:pPr>
              <w:pStyle w:val="TableTextLeft"/>
              <w:jc w:val="center"/>
              <w:rPr>
                <w:sz w:val="22"/>
                <w:szCs w:val="22"/>
              </w:rPr>
            </w:pPr>
            <w:r w:rsidRPr="0080730A">
              <w:rPr>
                <w:sz w:val="22"/>
                <w:szCs w:val="22"/>
              </w:rPr>
              <w:t>~2,400</w:t>
            </w:r>
          </w:p>
        </w:tc>
        <w:tc>
          <w:tcPr>
            <w:tcW w:w="1283" w:type="dxa"/>
            <w:vAlign w:val="center"/>
          </w:tcPr>
          <w:p w:rsidR="009D0BA7" w:rsidRPr="0080730A" w:rsidRDefault="009D0BA7" w:rsidP="006459D0">
            <w:pPr>
              <w:pStyle w:val="TableTextLeft"/>
              <w:jc w:val="center"/>
              <w:rPr>
                <w:sz w:val="22"/>
                <w:szCs w:val="22"/>
              </w:rPr>
            </w:pPr>
            <w:r w:rsidRPr="0080730A">
              <w:rPr>
                <w:sz w:val="22"/>
                <w:szCs w:val="22"/>
              </w:rPr>
              <w:t>250</w:t>
            </w:r>
          </w:p>
        </w:tc>
        <w:tc>
          <w:tcPr>
            <w:tcW w:w="1507" w:type="dxa"/>
            <w:vAlign w:val="center"/>
          </w:tcPr>
          <w:p w:rsidR="009D0BA7" w:rsidRPr="0080730A" w:rsidRDefault="009D0BA7" w:rsidP="006459D0">
            <w:pPr>
              <w:pStyle w:val="TableTextLeft"/>
              <w:jc w:val="center"/>
              <w:rPr>
                <w:sz w:val="22"/>
                <w:szCs w:val="22"/>
              </w:rPr>
            </w:pPr>
            <w:r w:rsidRPr="0080730A">
              <w:rPr>
                <w:sz w:val="22"/>
                <w:szCs w:val="22"/>
              </w:rPr>
              <w:t>40%</w:t>
            </w:r>
          </w:p>
        </w:tc>
        <w:tc>
          <w:tcPr>
            <w:tcW w:w="1800" w:type="dxa"/>
            <w:vAlign w:val="center"/>
          </w:tcPr>
          <w:p w:rsidR="009D0BA7" w:rsidRPr="0080730A" w:rsidRDefault="009D0BA7" w:rsidP="006459D0">
            <w:pPr>
              <w:pStyle w:val="TableTextLeft"/>
              <w:jc w:val="center"/>
              <w:rPr>
                <w:sz w:val="22"/>
                <w:szCs w:val="22"/>
              </w:rPr>
            </w:pPr>
            <w:r w:rsidRPr="0080730A">
              <w:rPr>
                <w:sz w:val="22"/>
                <w:szCs w:val="22"/>
              </w:rPr>
              <w:t>100</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Pr>
                <w:b/>
                <w:i/>
                <w:sz w:val="22"/>
                <w:szCs w:val="22"/>
                <w:lang w:val="en-GB"/>
              </w:rPr>
              <w:t xml:space="preserve">Healthy People </w:t>
            </w:r>
            <w:r w:rsidRPr="0080730A">
              <w:rPr>
                <w:b/>
                <w:sz w:val="22"/>
                <w:szCs w:val="22"/>
                <w:lang w:val="en-GB"/>
              </w:rPr>
              <w:t>Webinar Attendees (Frame F)</w:t>
            </w:r>
          </w:p>
        </w:tc>
        <w:tc>
          <w:tcPr>
            <w:tcW w:w="1620" w:type="dxa"/>
            <w:vAlign w:val="center"/>
          </w:tcPr>
          <w:p w:rsidR="009D0BA7" w:rsidRPr="001E2851" w:rsidRDefault="009D0BA7" w:rsidP="006459D0">
            <w:pPr>
              <w:pStyle w:val="TableTextLeft"/>
              <w:jc w:val="center"/>
              <w:rPr>
                <w:sz w:val="22"/>
                <w:szCs w:val="22"/>
              </w:rPr>
            </w:pPr>
            <w:r>
              <w:rPr>
                <w:sz w:val="22"/>
                <w:szCs w:val="22"/>
              </w:rPr>
              <w:t>10,103^^</w:t>
            </w:r>
          </w:p>
        </w:tc>
        <w:tc>
          <w:tcPr>
            <w:tcW w:w="1283" w:type="dxa"/>
            <w:vAlign w:val="center"/>
          </w:tcPr>
          <w:p w:rsidR="009D0BA7" w:rsidRPr="0080730A" w:rsidRDefault="009D0BA7" w:rsidP="006459D0">
            <w:pPr>
              <w:pStyle w:val="TableTextLeft"/>
              <w:jc w:val="center"/>
              <w:rPr>
                <w:sz w:val="22"/>
                <w:szCs w:val="22"/>
              </w:rPr>
            </w:pPr>
            <w:r w:rsidRPr="0080730A">
              <w:rPr>
                <w:sz w:val="22"/>
                <w:szCs w:val="22"/>
              </w:rPr>
              <w:t>250</w:t>
            </w:r>
          </w:p>
        </w:tc>
        <w:tc>
          <w:tcPr>
            <w:tcW w:w="1507" w:type="dxa"/>
            <w:vAlign w:val="center"/>
          </w:tcPr>
          <w:p w:rsidR="009D0BA7" w:rsidRPr="0080730A" w:rsidRDefault="009D0BA7" w:rsidP="006459D0">
            <w:pPr>
              <w:pStyle w:val="TableTextLeft"/>
              <w:jc w:val="center"/>
              <w:rPr>
                <w:sz w:val="22"/>
                <w:szCs w:val="22"/>
              </w:rPr>
            </w:pPr>
            <w:r w:rsidRPr="0080730A">
              <w:rPr>
                <w:sz w:val="22"/>
                <w:szCs w:val="22"/>
              </w:rPr>
              <w:t>40%</w:t>
            </w:r>
          </w:p>
        </w:tc>
        <w:tc>
          <w:tcPr>
            <w:tcW w:w="1800" w:type="dxa"/>
            <w:vAlign w:val="center"/>
          </w:tcPr>
          <w:p w:rsidR="009D0BA7" w:rsidRPr="0080730A" w:rsidRDefault="009D0BA7" w:rsidP="006459D0">
            <w:pPr>
              <w:pStyle w:val="TableTextLeft"/>
              <w:jc w:val="center"/>
              <w:rPr>
                <w:sz w:val="22"/>
                <w:szCs w:val="22"/>
              </w:rPr>
            </w:pPr>
            <w:r w:rsidRPr="0080730A">
              <w:rPr>
                <w:sz w:val="22"/>
                <w:szCs w:val="22"/>
              </w:rPr>
              <w:t>100</w:t>
            </w:r>
          </w:p>
        </w:tc>
      </w:tr>
      <w:tr w:rsidR="009D0BA7" w:rsidRPr="008C7AA9" w:rsidTr="006459D0">
        <w:trPr>
          <w:cantSplit/>
        </w:trPr>
        <w:tc>
          <w:tcPr>
            <w:tcW w:w="3505" w:type="dxa"/>
            <w:shd w:val="pct12" w:color="000000" w:fill="FFFFFF"/>
          </w:tcPr>
          <w:p w:rsidR="009D0BA7" w:rsidRPr="0080730A" w:rsidRDefault="009D0BA7" w:rsidP="006459D0">
            <w:pPr>
              <w:pStyle w:val="TableTextLeft"/>
              <w:rPr>
                <w:b/>
                <w:sz w:val="22"/>
                <w:szCs w:val="22"/>
                <w:lang w:val="en-GB"/>
              </w:rPr>
            </w:pPr>
            <w:r w:rsidRPr="0080730A">
              <w:rPr>
                <w:b/>
                <w:sz w:val="22"/>
                <w:szCs w:val="22"/>
                <w:lang w:val="en-GB"/>
              </w:rPr>
              <w:t>TOTAL</w:t>
            </w:r>
          </w:p>
        </w:tc>
        <w:tc>
          <w:tcPr>
            <w:tcW w:w="1620" w:type="dxa"/>
            <w:vAlign w:val="center"/>
          </w:tcPr>
          <w:p w:rsidR="009D0BA7" w:rsidRPr="0080730A" w:rsidRDefault="009D0BA7" w:rsidP="006459D0">
            <w:pPr>
              <w:pStyle w:val="TableTextLeft"/>
              <w:jc w:val="center"/>
              <w:rPr>
                <w:sz w:val="22"/>
                <w:szCs w:val="22"/>
              </w:rPr>
            </w:pPr>
            <w:r>
              <w:rPr>
                <w:sz w:val="22"/>
                <w:szCs w:val="22"/>
              </w:rPr>
              <w:t>~16,196</w:t>
            </w:r>
          </w:p>
        </w:tc>
        <w:tc>
          <w:tcPr>
            <w:tcW w:w="1283" w:type="dxa"/>
            <w:vAlign w:val="center"/>
          </w:tcPr>
          <w:p w:rsidR="009D0BA7" w:rsidRPr="0080730A" w:rsidRDefault="009D0BA7" w:rsidP="006459D0">
            <w:pPr>
              <w:pStyle w:val="TableTextLeft"/>
              <w:jc w:val="center"/>
              <w:rPr>
                <w:sz w:val="22"/>
                <w:szCs w:val="22"/>
              </w:rPr>
            </w:pPr>
            <w:r w:rsidRPr="0080730A">
              <w:rPr>
                <w:sz w:val="22"/>
                <w:szCs w:val="22"/>
              </w:rPr>
              <w:t>1,10</w:t>
            </w:r>
            <w:r>
              <w:rPr>
                <w:sz w:val="22"/>
                <w:szCs w:val="22"/>
              </w:rPr>
              <w:t>2</w:t>
            </w:r>
          </w:p>
        </w:tc>
        <w:tc>
          <w:tcPr>
            <w:tcW w:w="1507" w:type="dxa"/>
            <w:vAlign w:val="center"/>
          </w:tcPr>
          <w:p w:rsidR="009D0BA7" w:rsidRPr="0080730A" w:rsidRDefault="009D0BA7" w:rsidP="006459D0">
            <w:pPr>
              <w:pStyle w:val="TableTextLeft"/>
              <w:jc w:val="center"/>
              <w:rPr>
                <w:sz w:val="22"/>
                <w:szCs w:val="22"/>
              </w:rPr>
            </w:pPr>
            <w:r>
              <w:rPr>
                <w:sz w:val="22"/>
                <w:szCs w:val="22"/>
              </w:rPr>
              <w:t>58.5%</w:t>
            </w:r>
          </w:p>
        </w:tc>
        <w:tc>
          <w:tcPr>
            <w:tcW w:w="1800" w:type="dxa"/>
            <w:vAlign w:val="center"/>
          </w:tcPr>
          <w:p w:rsidR="009D0BA7" w:rsidRPr="0080730A" w:rsidRDefault="009D0BA7" w:rsidP="006459D0">
            <w:pPr>
              <w:pStyle w:val="TableTextLeft"/>
              <w:jc w:val="center"/>
              <w:rPr>
                <w:sz w:val="22"/>
                <w:szCs w:val="22"/>
              </w:rPr>
            </w:pPr>
            <w:r>
              <w:rPr>
                <w:sz w:val="22"/>
                <w:szCs w:val="22"/>
              </w:rPr>
              <w:t>638^</w:t>
            </w:r>
          </w:p>
        </w:tc>
      </w:tr>
    </w:tbl>
    <w:p w:rsidR="009D0BA7" w:rsidRDefault="009D0BA7" w:rsidP="009D0BA7">
      <w:pPr>
        <w:pStyle w:val="ListParagraph"/>
        <w:rPr>
          <w:rFonts w:ascii="Garamond" w:hAnsi="Garamond"/>
          <w:sz w:val="20"/>
          <w:szCs w:val="18"/>
        </w:rPr>
      </w:pPr>
      <w:r>
        <w:rPr>
          <w:rFonts w:ascii="Garamond" w:hAnsi="Garamond"/>
          <w:sz w:val="20"/>
          <w:szCs w:val="18"/>
        </w:rPr>
        <w:t>^</w:t>
      </w:r>
      <w:r w:rsidRPr="008C7AA9">
        <w:rPr>
          <w:rFonts w:ascii="Garamond" w:hAnsi="Garamond"/>
          <w:sz w:val="20"/>
          <w:szCs w:val="18"/>
        </w:rPr>
        <w:t>Numbers have been rounded.</w:t>
      </w:r>
    </w:p>
    <w:p w:rsidR="009D0BA7" w:rsidRDefault="009D0BA7" w:rsidP="009D0BA7">
      <w:pPr>
        <w:pStyle w:val="ListParagraph"/>
        <w:rPr>
          <w:rFonts w:ascii="Garamond" w:hAnsi="Garamond"/>
          <w:sz w:val="20"/>
          <w:szCs w:val="18"/>
        </w:rPr>
      </w:pPr>
      <w:proofErr w:type="gramStart"/>
      <w:r>
        <w:rPr>
          <w:rFonts w:ascii="Garamond" w:hAnsi="Garamond"/>
          <w:sz w:val="20"/>
          <w:szCs w:val="18"/>
        </w:rPr>
        <w:t>^^8261 unique attendees.</w:t>
      </w:r>
      <w:proofErr w:type="gramEnd"/>
    </w:p>
    <w:p w:rsidR="009D0BA7" w:rsidRDefault="009D0BA7" w:rsidP="009D0BA7">
      <w:pPr>
        <w:pStyle w:val="ListParagraph"/>
        <w:rPr>
          <w:rFonts w:ascii="Garamond" w:hAnsi="Garamond"/>
          <w:sz w:val="20"/>
          <w:szCs w:val="18"/>
        </w:rPr>
      </w:pPr>
    </w:p>
    <w:p w:rsidR="009D0BA7" w:rsidRPr="008C7AA9" w:rsidRDefault="009D0BA7" w:rsidP="009D0BA7">
      <w:pPr>
        <w:rPr>
          <w:rFonts w:ascii="Garamond" w:hAnsi="Garamond"/>
          <w:b/>
          <w:bCs/>
          <w:i/>
          <w:iCs/>
          <w:sz w:val="24"/>
        </w:rPr>
      </w:pPr>
      <w:r w:rsidRPr="008C7AA9">
        <w:rPr>
          <w:rFonts w:ascii="Garamond" w:hAnsi="Garamond"/>
          <w:b/>
          <w:bCs/>
          <w:i/>
          <w:iCs/>
          <w:sz w:val="24"/>
        </w:rPr>
        <w:t xml:space="preserve">Selection Methods </w:t>
      </w:r>
    </w:p>
    <w:p w:rsidR="009D0BA7" w:rsidRPr="008C7AA9" w:rsidRDefault="009D0BA7" w:rsidP="009D0BA7">
      <w:pPr>
        <w:rPr>
          <w:rFonts w:ascii="Garamond" w:hAnsi="Garamond"/>
          <w:sz w:val="24"/>
        </w:rPr>
      </w:pPr>
      <w:r w:rsidRPr="008C7AA9">
        <w:rPr>
          <w:rFonts w:ascii="Garamond" w:hAnsi="Garamond"/>
          <w:sz w:val="24"/>
        </w:rPr>
        <w:lastRenderedPageBreak/>
        <w:t>For sample frame B and C we will use systematic samples with equal probability of selection (within frame) and implicit stratification. The only difference is the variables that will be used for implicit stratification. Implicit stratification involves sorting the frame on certain variables so that the sample drawn is representative on that variable. For example, assume that 44</w:t>
      </w:r>
      <w:r>
        <w:rPr>
          <w:rFonts w:ascii="Garamond" w:hAnsi="Garamond"/>
          <w:sz w:val="24"/>
        </w:rPr>
        <w:t xml:space="preserve"> percent</w:t>
      </w:r>
      <w:r w:rsidRPr="008C7AA9">
        <w:rPr>
          <w:rFonts w:ascii="Garamond" w:hAnsi="Garamond"/>
          <w:sz w:val="24"/>
        </w:rPr>
        <w:t xml:space="preserve"> of local health organizations are in a rural setting and 56</w:t>
      </w:r>
      <w:r>
        <w:rPr>
          <w:rFonts w:ascii="Garamond" w:hAnsi="Garamond"/>
          <w:sz w:val="24"/>
        </w:rPr>
        <w:t xml:space="preserve"> percent</w:t>
      </w:r>
      <w:r w:rsidRPr="008C7AA9">
        <w:rPr>
          <w:rFonts w:ascii="Garamond" w:hAnsi="Garamond"/>
          <w:sz w:val="24"/>
        </w:rPr>
        <w:t xml:space="preserve"> are in urban settings. By sorting on urban-rural status and then drawing a systematic sample, the resulting sample will be very close to including 44</w:t>
      </w:r>
      <w:r>
        <w:rPr>
          <w:rFonts w:ascii="Garamond" w:hAnsi="Garamond"/>
          <w:sz w:val="24"/>
        </w:rPr>
        <w:t xml:space="preserve"> percent</w:t>
      </w:r>
      <w:r w:rsidRPr="008C7AA9">
        <w:rPr>
          <w:rFonts w:ascii="Garamond" w:hAnsi="Garamond"/>
          <w:sz w:val="24"/>
        </w:rPr>
        <w:t xml:space="preserve"> of organizations in a rural setting.</w:t>
      </w:r>
      <w:r>
        <w:rPr>
          <w:rFonts w:ascii="Garamond" w:hAnsi="Garamond"/>
          <w:sz w:val="24"/>
        </w:rPr>
        <w:t xml:space="preserve"> </w:t>
      </w:r>
    </w:p>
    <w:p w:rsidR="009D0BA7" w:rsidRPr="008C7AA9" w:rsidRDefault="009D0BA7" w:rsidP="009D0BA7">
      <w:pPr>
        <w:rPr>
          <w:rFonts w:ascii="Garamond" w:hAnsi="Garamond"/>
          <w:sz w:val="24"/>
        </w:rPr>
      </w:pPr>
      <w:r w:rsidRPr="008C7AA9">
        <w:rPr>
          <w:rFonts w:ascii="Garamond" w:hAnsi="Garamond"/>
          <w:sz w:val="24"/>
        </w:rPr>
        <w:t>We will sort on multiple variables so that samples will be representative on more than one dimension. The variability in sample size percentages will increase for variables that appear later in the sorting. Serpentine sorting will be used when sorting on multiple variables to maximize the effect of the stratification. Serpentine sorting involves sorting by an order that is alternately increasing or decreasing. For example, serpentine sorting on urban/rural status and region could result in this sort order:</w:t>
      </w:r>
      <w:r>
        <w:rPr>
          <w:rFonts w:ascii="Garamond" w:hAnsi="Garamond"/>
          <w:sz w:val="24"/>
        </w:rPr>
        <w:t xml:space="preserve"> </w:t>
      </w:r>
      <w:r w:rsidRPr="008C7AA9">
        <w:rPr>
          <w:rFonts w:ascii="Garamond" w:hAnsi="Garamond"/>
          <w:sz w:val="24"/>
        </w:rPr>
        <w:t xml:space="preserve">Rural Northeast, Rural Midwest, Rural South, Rural West, Urban West, Urban South, Urban Midwest, and Urban Northeast. This sort order successfully keeps the two West strata together. </w:t>
      </w:r>
    </w:p>
    <w:p w:rsidR="009D0BA7" w:rsidRPr="008C7AA9" w:rsidRDefault="009D0BA7" w:rsidP="009D0BA7">
      <w:pPr>
        <w:rPr>
          <w:rFonts w:ascii="Garamond" w:hAnsi="Garamond"/>
          <w:sz w:val="24"/>
        </w:rPr>
      </w:pPr>
      <w:r w:rsidRPr="008C7AA9">
        <w:rPr>
          <w:rFonts w:ascii="Garamond" w:hAnsi="Garamond"/>
          <w:sz w:val="24"/>
        </w:rPr>
        <w:t>It should be noted that the level of precision for subgroup estimates may not be sufficient to make meaningful comparisons between frames. To account for this imprecision, we will employ strategic collapsing of strata in estimation to create estimates with a higher level of precision. For example, the urban groups and rural groups may be collapsed to form nationally representative estimates of urban and rural areas.</w:t>
      </w:r>
    </w:p>
    <w:p w:rsidR="009D0BA7" w:rsidRPr="008C7AA9" w:rsidRDefault="009D0BA7" w:rsidP="009D0BA7">
      <w:pPr>
        <w:rPr>
          <w:rFonts w:ascii="Garamond" w:hAnsi="Garamond"/>
          <w:b/>
          <w:sz w:val="24"/>
        </w:rPr>
      </w:pPr>
      <w:r w:rsidRPr="008C7AA9">
        <w:rPr>
          <w:rFonts w:ascii="Garamond" w:hAnsi="Garamond"/>
          <w:b/>
          <w:sz w:val="24"/>
        </w:rPr>
        <w:t>Local Health Organizations</w:t>
      </w:r>
    </w:p>
    <w:p w:rsidR="009D0BA7" w:rsidRPr="008C7AA9" w:rsidRDefault="009D0BA7" w:rsidP="009D0BA7">
      <w:pPr>
        <w:rPr>
          <w:rFonts w:ascii="Garamond" w:hAnsi="Garamond"/>
          <w:sz w:val="24"/>
        </w:rPr>
      </w:pPr>
      <w:r w:rsidRPr="008C7AA9">
        <w:rPr>
          <w:rFonts w:ascii="Garamond" w:hAnsi="Garamond"/>
          <w:sz w:val="24"/>
        </w:rPr>
        <w:t>The NACCHO list frame consists of approximately 3,000 records. However, we will remove any “inappropriate” records (e.g., tribal records) so that our sampling frame contains only local health organizations. Inappropriate records to be deleted include duplicate records, records without title or agency name, as well as other inappropriate records such as public health consultants, foundations, special interest groups (for hand gun violence, for example), students, professors, etc.</w:t>
      </w:r>
    </w:p>
    <w:p w:rsidR="009D0BA7" w:rsidRPr="008C7AA9" w:rsidRDefault="009D0BA7" w:rsidP="009D0BA7">
      <w:pPr>
        <w:rPr>
          <w:rFonts w:ascii="Garamond" w:hAnsi="Garamond"/>
          <w:sz w:val="24"/>
        </w:rPr>
      </w:pPr>
      <w:r w:rsidRPr="008C7AA9">
        <w:rPr>
          <w:rFonts w:ascii="Garamond" w:hAnsi="Garamond"/>
          <w:sz w:val="24"/>
        </w:rPr>
        <w:t>Since it is desired to have a representative sample with respect to urban and rural organizations, we will sort the file first on urban/rural status. Using the zip code from the file, we will map each organization to the state and county in which it resides. We will then determine if this county is inside a Census defined Metropolitan Statistical Area (MSA) or not. The Census Bureau defines MSAs as the counties that involve economic activity related to a central city. If the county is in an MSA, we will count this organization as “urban.”</w:t>
      </w:r>
      <w:r>
        <w:rPr>
          <w:rFonts w:ascii="Garamond" w:hAnsi="Garamond"/>
          <w:sz w:val="24"/>
        </w:rPr>
        <w:t xml:space="preserve"> </w:t>
      </w:r>
      <w:r w:rsidRPr="008C7AA9">
        <w:rPr>
          <w:rFonts w:ascii="Garamond" w:hAnsi="Garamond"/>
          <w:sz w:val="24"/>
        </w:rPr>
        <w:t>Otherwise, we will classify the organization as “rural.” Suburban organizations will be classified as “urban.”</w:t>
      </w:r>
    </w:p>
    <w:p w:rsidR="009D0BA7" w:rsidRPr="008C7AA9" w:rsidRDefault="009D0BA7" w:rsidP="009D0BA7">
      <w:pPr>
        <w:rPr>
          <w:rFonts w:ascii="Garamond" w:hAnsi="Garamond"/>
          <w:b/>
          <w:sz w:val="24"/>
        </w:rPr>
      </w:pPr>
      <w:r w:rsidRPr="008C7AA9">
        <w:rPr>
          <w:rFonts w:ascii="Garamond" w:hAnsi="Garamond"/>
          <w:b/>
          <w:sz w:val="24"/>
        </w:rPr>
        <w:t>Tribal Organizations</w:t>
      </w:r>
    </w:p>
    <w:p w:rsidR="009D0BA7" w:rsidRDefault="009D0BA7" w:rsidP="009D0BA7">
      <w:pPr>
        <w:rPr>
          <w:rFonts w:ascii="Garamond" w:hAnsi="Garamond"/>
          <w:sz w:val="24"/>
        </w:rPr>
      </w:pPr>
      <w:r w:rsidRPr="008C7AA9">
        <w:rPr>
          <w:rFonts w:ascii="Garamond" w:hAnsi="Garamond"/>
          <w:sz w:val="24"/>
        </w:rPr>
        <w:t xml:space="preserve">The target respondent is the lead tribal health representative, meaning the person within the </w:t>
      </w:r>
      <w:r>
        <w:rPr>
          <w:rFonts w:ascii="Garamond" w:hAnsi="Garamond"/>
          <w:sz w:val="24"/>
        </w:rPr>
        <w:t>T</w:t>
      </w:r>
      <w:r w:rsidRPr="008C7AA9">
        <w:rPr>
          <w:rFonts w:ascii="Garamond" w:hAnsi="Garamond"/>
          <w:sz w:val="24"/>
        </w:rPr>
        <w:t>ribe who has the authority and responsibility for disease prevention and health promotion activities.</w:t>
      </w:r>
      <w:r>
        <w:rPr>
          <w:rFonts w:ascii="Garamond" w:hAnsi="Garamond"/>
          <w:sz w:val="24"/>
        </w:rPr>
        <w:t xml:space="preserve"> We will select a sample of 100 tribal entities from the 566 federally recognized Tribes. We will contact the Tribal Leader, asking for contact information for the appropriate respondent who can speak to the health promotion activities of the Tribe. If data related to the approximate size of the Indian population are available, we will divide the tribes </w:t>
      </w:r>
      <w:r w:rsidRPr="008C7AA9">
        <w:rPr>
          <w:rFonts w:ascii="Garamond" w:hAnsi="Garamond"/>
          <w:sz w:val="24"/>
        </w:rPr>
        <w:t xml:space="preserve">into small (&lt; 2,500 Indian population), medium </w:t>
      </w:r>
      <w:r w:rsidRPr="008C7AA9">
        <w:rPr>
          <w:rFonts w:ascii="Garamond" w:hAnsi="Garamond"/>
          <w:sz w:val="24"/>
        </w:rPr>
        <w:lastRenderedPageBreak/>
        <w:t xml:space="preserve">(2,500 – 10,000), and large (&gt; 10,000). The </w:t>
      </w:r>
      <w:r>
        <w:rPr>
          <w:rFonts w:ascii="Garamond" w:hAnsi="Garamond"/>
          <w:sz w:val="24"/>
        </w:rPr>
        <w:t>tribes</w:t>
      </w:r>
      <w:r w:rsidRPr="008C7AA9">
        <w:rPr>
          <w:rFonts w:ascii="Garamond" w:hAnsi="Garamond"/>
          <w:sz w:val="24"/>
        </w:rPr>
        <w:t xml:space="preserve"> with unknown population size will be placed into a fourth category.</w:t>
      </w:r>
      <w:r>
        <w:rPr>
          <w:rFonts w:ascii="Garamond" w:hAnsi="Garamond"/>
          <w:sz w:val="24"/>
        </w:rPr>
        <w:t xml:space="preserve"> </w:t>
      </w:r>
    </w:p>
    <w:p w:rsidR="009D0BA7" w:rsidRDefault="009D0BA7" w:rsidP="009D0BA7">
      <w:pPr>
        <w:rPr>
          <w:rFonts w:ascii="Garamond" w:hAnsi="Garamond"/>
          <w:sz w:val="24"/>
        </w:rPr>
      </w:pPr>
      <w:r w:rsidRPr="008C7AA9">
        <w:rPr>
          <w:rFonts w:ascii="Garamond" w:hAnsi="Garamond"/>
          <w:sz w:val="24"/>
        </w:rPr>
        <w:t xml:space="preserve">To ensure a representative mix of small, medium, and large </w:t>
      </w:r>
      <w:r>
        <w:rPr>
          <w:rFonts w:ascii="Garamond" w:hAnsi="Garamond"/>
          <w:sz w:val="24"/>
        </w:rPr>
        <w:t>t</w:t>
      </w:r>
      <w:r w:rsidRPr="008C7AA9">
        <w:rPr>
          <w:rFonts w:ascii="Garamond" w:hAnsi="Garamond"/>
          <w:sz w:val="24"/>
        </w:rPr>
        <w:t>ribes, we will sort the file on size</w:t>
      </w:r>
      <w:r>
        <w:rPr>
          <w:rFonts w:ascii="Garamond" w:hAnsi="Garamond"/>
          <w:sz w:val="24"/>
        </w:rPr>
        <w:t>, if possible. Additionally, t</w:t>
      </w:r>
      <w:r w:rsidRPr="008C7AA9">
        <w:rPr>
          <w:rFonts w:ascii="Garamond" w:hAnsi="Garamond"/>
          <w:sz w:val="24"/>
        </w:rPr>
        <w:t xml:space="preserve">o the extent that tribal </w:t>
      </w:r>
      <w:r>
        <w:rPr>
          <w:rFonts w:ascii="Garamond" w:hAnsi="Garamond"/>
          <w:sz w:val="24"/>
        </w:rPr>
        <w:t xml:space="preserve">entities </w:t>
      </w:r>
      <w:r w:rsidRPr="008C7AA9">
        <w:rPr>
          <w:rFonts w:ascii="Garamond" w:hAnsi="Garamond"/>
          <w:sz w:val="24"/>
        </w:rPr>
        <w:t xml:space="preserve">are geographically diverse, we will draw the sample to be as representative as possible by sorting on </w:t>
      </w:r>
      <w:r>
        <w:rPr>
          <w:rFonts w:ascii="Garamond" w:hAnsi="Garamond"/>
          <w:sz w:val="24"/>
        </w:rPr>
        <w:t>the Bureau of Indian Affairs regions</w:t>
      </w:r>
      <w:r w:rsidRPr="008C7AA9">
        <w:rPr>
          <w:rFonts w:ascii="Garamond" w:hAnsi="Garamond"/>
          <w:sz w:val="24"/>
        </w:rPr>
        <w:t xml:space="preserve">. </w:t>
      </w:r>
      <w:r>
        <w:rPr>
          <w:rFonts w:ascii="Garamond" w:hAnsi="Garamond"/>
          <w:sz w:val="24"/>
        </w:rPr>
        <w:t xml:space="preserve">If we cannot obtain the tribal size data, we will cross reference the current list with data from the 2008 sample frame to stratify the data as best as possible. </w:t>
      </w:r>
    </w:p>
    <w:p w:rsidR="009D0BA7" w:rsidRPr="008C7AA9" w:rsidRDefault="009D0BA7" w:rsidP="009D0BA7">
      <w:pPr>
        <w:rPr>
          <w:rFonts w:ascii="Garamond" w:hAnsi="Garamond"/>
          <w:b/>
          <w:sz w:val="24"/>
        </w:rPr>
      </w:pPr>
      <w:r w:rsidRPr="00BC5F51">
        <w:rPr>
          <w:rFonts w:ascii="Garamond" w:hAnsi="Garamond"/>
          <w:b/>
          <w:i/>
          <w:sz w:val="24"/>
        </w:rPr>
        <w:t>Healthy People</w:t>
      </w:r>
      <w:r w:rsidRPr="008C7AA9">
        <w:rPr>
          <w:rFonts w:ascii="Garamond" w:hAnsi="Garamond"/>
          <w:b/>
          <w:sz w:val="24"/>
        </w:rPr>
        <w:t xml:space="preserve"> </w:t>
      </w:r>
      <w:r>
        <w:rPr>
          <w:rFonts w:ascii="Garamond" w:hAnsi="Garamond"/>
          <w:b/>
          <w:sz w:val="24"/>
        </w:rPr>
        <w:t>Consortium</w:t>
      </w:r>
    </w:p>
    <w:p w:rsidR="009D0BA7" w:rsidRPr="008C7AA9" w:rsidRDefault="009D0BA7" w:rsidP="009D0BA7">
      <w:pPr>
        <w:pStyle w:val="BodyText"/>
        <w:rPr>
          <w:rFonts w:ascii="Garamond" w:hAnsi="Garamond"/>
          <w:sz w:val="24"/>
        </w:rPr>
      </w:pPr>
      <w:r>
        <w:rPr>
          <w:rFonts w:ascii="Garamond" w:hAnsi="Garamond"/>
          <w:sz w:val="24"/>
        </w:rPr>
        <w:t>NORC</w:t>
      </w:r>
      <w:r w:rsidRPr="008C7AA9">
        <w:rPr>
          <w:rFonts w:ascii="Garamond" w:hAnsi="Garamond"/>
          <w:sz w:val="24"/>
        </w:rPr>
        <w:t xml:space="preserve"> will select a sample of 250 organizations from the 2,400 members of the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Consortium</w:t>
      </w:r>
      <w:r w:rsidRPr="008C7AA9">
        <w:rPr>
          <w:rFonts w:ascii="Garamond" w:hAnsi="Garamond"/>
          <w:sz w:val="24"/>
        </w:rPr>
        <w:t xml:space="preserve"> so that the information collected is sufficient to learn about this sub-population. We will conduct advance locating to identify individuals at </w:t>
      </w:r>
      <w:r>
        <w:rPr>
          <w:rFonts w:ascii="Garamond" w:hAnsi="Garamond"/>
          <w:sz w:val="24"/>
        </w:rPr>
        <w:t>Consortium</w:t>
      </w:r>
      <w:r w:rsidRPr="008C7AA9">
        <w:rPr>
          <w:rFonts w:ascii="Garamond" w:hAnsi="Garamond"/>
          <w:sz w:val="24"/>
        </w:rPr>
        <w:t xml:space="preserve"> organizations that would be most appropriate to complete the survey. If we are unable to determine an appropriate contact person, the organization will not be included in the sample population. </w:t>
      </w:r>
      <w:r>
        <w:rPr>
          <w:rFonts w:ascii="Garamond" w:hAnsi="Garamond"/>
          <w:sz w:val="24"/>
        </w:rPr>
        <w:t>Consortium</w:t>
      </w:r>
      <w:r w:rsidRPr="008C7AA9">
        <w:rPr>
          <w:rFonts w:ascii="Garamond" w:hAnsi="Garamond"/>
          <w:sz w:val="24"/>
        </w:rPr>
        <w:t xml:space="preserve"> organizations will be classified by organization type (i.e. academic institution, businesses, professional association) and sorted by these categories to provide a representative sample of </w:t>
      </w:r>
      <w:r>
        <w:rPr>
          <w:rFonts w:ascii="Garamond" w:hAnsi="Garamond"/>
          <w:sz w:val="24"/>
        </w:rPr>
        <w:t>Consortium</w:t>
      </w:r>
      <w:r w:rsidRPr="008C7AA9">
        <w:rPr>
          <w:rFonts w:ascii="Garamond" w:hAnsi="Garamond"/>
          <w:sz w:val="24"/>
        </w:rPr>
        <w:t xml:space="preserve"> organizations. With an expected 40 percent response rate, we will complete 100 surveys. </w:t>
      </w:r>
    </w:p>
    <w:p w:rsidR="009D0BA7" w:rsidRPr="008C7AA9" w:rsidRDefault="009D0BA7" w:rsidP="009D0BA7">
      <w:pPr>
        <w:rPr>
          <w:rFonts w:ascii="Garamond" w:hAnsi="Garamond"/>
          <w:b/>
          <w:sz w:val="24"/>
        </w:rPr>
      </w:pPr>
      <w:r w:rsidRPr="00BC5F51">
        <w:rPr>
          <w:rFonts w:ascii="Garamond" w:hAnsi="Garamond"/>
          <w:b/>
          <w:i/>
          <w:sz w:val="24"/>
        </w:rPr>
        <w:t>Healthy People</w:t>
      </w:r>
      <w:r w:rsidRPr="008C7AA9">
        <w:rPr>
          <w:rFonts w:ascii="Garamond" w:hAnsi="Garamond"/>
          <w:b/>
          <w:sz w:val="24"/>
        </w:rPr>
        <w:t xml:space="preserve"> Webinar Attendees</w:t>
      </w:r>
    </w:p>
    <w:p w:rsidR="009D0BA7" w:rsidRPr="008C7AA9" w:rsidRDefault="009D0BA7" w:rsidP="009D0BA7">
      <w:pPr>
        <w:pStyle w:val="BodyText"/>
        <w:rPr>
          <w:rFonts w:ascii="Garamond" w:hAnsi="Garamond"/>
          <w:sz w:val="24"/>
        </w:rPr>
      </w:pPr>
      <w:r>
        <w:rPr>
          <w:rFonts w:ascii="Garamond" w:hAnsi="Garamond"/>
          <w:sz w:val="24"/>
        </w:rPr>
        <w:t>NORC</w:t>
      </w:r>
      <w:r w:rsidRPr="008C7AA9">
        <w:rPr>
          <w:rFonts w:ascii="Garamond" w:hAnsi="Garamond"/>
          <w:sz w:val="24"/>
        </w:rPr>
        <w:t xml:space="preserve"> will sample 250 webinar attendees, with an expected 40 percent response rate, resulting in 100 completed surveys. Our sample population will include the universe of webinar attendees from 2014, including Leading Health Indicator webinars, Spotlight on Health webinars, and Progress Review webinars. The number of attendees selected from each webinar will be proportional to the size of the webinar. Participants will have a probability of being selected proportional to the number of webinars they attended. Before sample selection, we will sort the sample list by webinar, organization type, and company to limit the number of individuals selected from the same organization. If two participants are selected from the same organization (or department of a larger organization), then we will replace one of the repeats. Additionally, we will remove any individuals from the sample list who participated on the webinar for less than 20 minutes.</w:t>
      </w:r>
    </w:p>
    <w:p w:rsidR="009D0BA7" w:rsidRPr="008C7AA9" w:rsidRDefault="009D0BA7" w:rsidP="009D0BA7">
      <w:pPr>
        <w:pStyle w:val="Heading2"/>
      </w:pPr>
      <w:bookmarkStart w:id="3" w:name="_Toc410220131"/>
      <w:r w:rsidRPr="008C7AA9">
        <w:t>Procedures for the Collection of Information</w:t>
      </w:r>
      <w:bookmarkEnd w:id="3"/>
      <w:r w:rsidRPr="008C7AA9">
        <w:t xml:space="preserve"> </w:t>
      </w:r>
    </w:p>
    <w:p w:rsidR="009D0BA7" w:rsidRDefault="009D0BA7" w:rsidP="009D0BA7">
      <w:pPr>
        <w:rPr>
          <w:rFonts w:ascii="Garamond" w:hAnsi="Garamond"/>
          <w:sz w:val="24"/>
        </w:rPr>
      </w:pPr>
      <w:r w:rsidRPr="008C7AA9">
        <w:rPr>
          <w:rFonts w:ascii="Garamond" w:hAnsi="Garamond"/>
          <w:sz w:val="24"/>
        </w:rPr>
        <w:t>The sample will include 1,10</w:t>
      </w:r>
      <w:r>
        <w:rPr>
          <w:rFonts w:ascii="Garamond" w:hAnsi="Garamond"/>
          <w:sz w:val="24"/>
        </w:rPr>
        <w:t>2</w:t>
      </w:r>
      <w:r w:rsidRPr="008C7AA9">
        <w:rPr>
          <w:rFonts w:ascii="Garamond" w:hAnsi="Garamond"/>
          <w:sz w:val="24"/>
        </w:rPr>
        <w:t xml:space="preserve"> organizations from state, local, and tribal organizations. The unit of analysis for the survey will be the organization, so that no organization will be asked to complete more than one survey, although this sample treats </w:t>
      </w:r>
      <w:r w:rsidRPr="00BC5F51">
        <w:rPr>
          <w:rFonts w:ascii="Garamond" w:hAnsi="Garamond"/>
          <w:i/>
          <w:sz w:val="24"/>
        </w:rPr>
        <w:t>Healthy People</w:t>
      </w:r>
      <w:r w:rsidRPr="008C7AA9">
        <w:rPr>
          <w:rFonts w:ascii="Garamond" w:hAnsi="Garamond"/>
          <w:sz w:val="24"/>
        </w:rPr>
        <w:t xml:space="preserve"> State Coordinators as separate organizations from state Senior Deputy Directors. Fielding of the survey will entail mailing survey invitation letters to the key staff member at each organization. The letter will contain background information on the survey, the link to the survey URL, and the respondent’s unique Personal Identification Number, or PIN, which is used to access the survey. A postcard mailing will be sent to respondents one week after the initial mailing, and a second invitation letter will be mailed to the non-respondents. Approximately five weeks after the initial web invitation mailing, a phone call will be made to those who have not responded. The phone call will also provide an opportunity for the researchers to provide web access information to the respondent if she/he has lost or misplaced this </w:t>
      </w:r>
      <w:r w:rsidRPr="008C7AA9">
        <w:rPr>
          <w:rFonts w:ascii="Garamond" w:hAnsi="Garamond"/>
          <w:sz w:val="24"/>
        </w:rPr>
        <w:lastRenderedPageBreak/>
        <w:t>information, or to access the respondent’s case online and enter his or her responses over the telephone.</w:t>
      </w:r>
    </w:p>
    <w:p w:rsidR="009D0BA7" w:rsidRPr="006D24BB" w:rsidRDefault="009D0BA7" w:rsidP="009D0BA7">
      <w:pPr>
        <w:rPr>
          <w:rFonts w:ascii="Garamond" w:hAnsi="Garamond"/>
          <w:color w:val="000000" w:themeColor="text1"/>
          <w:sz w:val="24"/>
          <w:szCs w:val="24"/>
        </w:rPr>
      </w:pPr>
      <w:r w:rsidRPr="006D24BB">
        <w:rPr>
          <w:rFonts w:ascii="Garamond" w:hAnsi="Garamond"/>
          <w:color w:val="000000" w:themeColor="text1"/>
          <w:sz w:val="24"/>
          <w:szCs w:val="24"/>
        </w:rPr>
        <w:t>Because the key staff member for th</w:t>
      </w:r>
      <w:r>
        <w:rPr>
          <w:rFonts w:ascii="Garamond" w:hAnsi="Garamond"/>
          <w:color w:val="000000" w:themeColor="text1"/>
          <w:sz w:val="24"/>
          <w:szCs w:val="24"/>
        </w:rPr>
        <w:t xml:space="preserve">e </w:t>
      </w:r>
      <w:r w:rsidRPr="00BC5F51">
        <w:rPr>
          <w:rFonts w:ascii="Garamond" w:hAnsi="Garamond"/>
          <w:i/>
          <w:color w:val="000000" w:themeColor="text1"/>
          <w:sz w:val="24"/>
          <w:szCs w:val="24"/>
        </w:rPr>
        <w:t>Healthy People</w:t>
      </w:r>
      <w:r>
        <w:rPr>
          <w:rFonts w:ascii="Garamond" w:hAnsi="Garamond"/>
          <w:color w:val="000000" w:themeColor="text1"/>
          <w:sz w:val="24"/>
          <w:szCs w:val="24"/>
        </w:rPr>
        <w:t xml:space="preserve"> Consortium or tribal o</w:t>
      </w:r>
      <w:r w:rsidRPr="006D24BB">
        <w:rPr>
          <w:rFonts w:ascii="Garamond" w:hAnsi="Garamond"/>
          <w:color w:val="000000" w:themeColor="text1"/>
          <w:sz w:val="24"/>
          <w:szCs w:val="24"/>
        </w:rPr>
        <w:t>rganization samples may be unknown, NORC will conduct advance locating prior to sending the initial surv</w:t>
      </w:r>
      <w:r>
        <w:rPr>
          <w:rFonts w:ascii="Garamond" w:hAnsi="Garamond"/>
          <w:color w:val="000000" w:themeColor="text1"/>
          <w:sz w:val="24"/>
          <w:szCs w:val="24"/>
        </w:rPr>
        <w:t>ey invitation letters. For the tribal o</w:t>
      </w:r>
      <w:r w:rsidRPr="006D24BB">
        <w:rPr>
          <w:rFonts w:ascii="Garamond" w:hAnsi="Garamond"/>
          <w:color w:val="000000" w:themeColor="text1"/>
          <w:sz w:val="24"/>
          <w:szCs w:val="24"/>
        </w:rPr>
        <w:t xml:space="preserve">rganizations, </w:t>
      </w:r>
      <w:r>
        <w:rPr>
          <w:rFonts w:ascii="Garamond" w:hAnsi="Garamond"/>
          <w:color w:val="000000" w:themeColor="text1"/>
          <w:sz w:val="24"/>
          <w:szCs w:val="24"/>
        </w:rPr>
        <w:t>in addition to a phone call, we will mail an advance letter to T</w:t>
      </w:r>
      <w:r w:rsidRPr="006D24BB">
        <w:rPr>
          <w:rFonts w:ascii="Garamond" w:hAnsi="Garamond"/>
          <w:color w:val="000000" w:themeColor="text1"/>
          <w:sz w:val="24"/>
          <w:szCs w:val="24"/>
        </w:rPr>
        <w:t xml:space="preserve">ribal </w:t>
      </w:r>
      <w:r>
        <w:rPr>
          <w:rFonts w:ascii="Garamond" w:hAnsi="Garamond"/>
          <w:color w:val="000000" w:themeColor="text1"/>
          <w:sz w:val="24"/>
          <w:szCs w:val="24"/>
        </w:rPr>
        <w:t>L</w:t>
      </w:r>
      <w:r w:rsidRPr="006D24BB">
        <w:rPr>
          <w:rFonts w:ascii="Garamond" w:hAnsi="Garamond"/>
          <w:color w:val="000000" w:themeColor="text1"/>
          <w:sz w:val="24"/>
          <w:szCs w:val="24"/>
        </w:rPr>
        <w:t>eaders</w:t>
      </w:r>
      <w:r>
        <w:rPr>
          <w:rFonts w:ascii="Garamond" w:hAnsi="Garamond"/>
          <w:color w:val="000000" w:themeColor="text1"/>
          <w:sz w:val="24"/>
          <w:szCs w:val="24"/>
        </w:rPr>
        <w:t xml:space="preserve"> (Attachment 9)</w:t>
      </w:r>
      <w:r w:rsidRPr="006D24BB">
        <w:rPr>
          <w:rFonts w:ascii="Garamond" w:hAnsi="Garamond"/>
          <w:color w:val="000000" w:themeColor="text1"/>
          <w:sz w:val="24"/>
          <w:szCs w:val="24"/>
        </w:rPr>
        <w:t xml:space="preserve">. This advance letter would introduce the survey, explain its purpose, and request the name of someone who could complete the survey. NORC will employ a similar process for the </w:t>
      </w:r>
      <w:r w:rsidRPr="00BC5F51">
        <w:rPr>
          <w:rFonts w:ascii="Garamond" w:hAnsi="Garamond"/>
          <w:i/>
          <w:color w:val="000000" w:themeColor="text1"/>
          <w:sz w:val="24"/>
          <w:szCs w:val="24"/>
        </w:rPr>
        <w:t>Healthy People</w:t>
      </w:r>
      <w:r w:rsidRPr="006D24BB">
        <w:rPr>
          <w:rFonts w:ascii="Garamond" w:hAnsi="Garamond"/>
          <w:color w:val="000000" w:themeColor="text1"/>
          <w:sz w:val="24"/>
          <w:szCs w:val="24"/>
        </w:rPr>
        <w:t xml:space="preserve"> </w:t>
      </w:r>
      <w:r>
        <w:rPr>
          <w:rFonts w:ascii="Garamond" w:hAnsi="Garamond"/>
          <w:color w:val="000000" w:themeColor="text1"/>
          <w:sz w:val="24"/>
          <w:szCs w:val="24"/>
        </w:rPr>
        <w:t>Consortium</w:t>
      </w:r>
      <w:r w:rsidRPr="006D24BB">
        <w:rPr>
          <w:rFonts w:ascii="Garamond" w:hAnsi="Garamond"/>
          <w:color w:val="000000" w:themeColor="text1"/>
          <w:sz w:val="24"/>
          <w:szCs w:val="24"/>
        </w:rPr>
        <w:t xml:space="preserve"> sample</w:t>
      </w:r>
      <w:r>
        <w:rPr>
          <w:rFonts w:ascii="Garamond" w:hAnsi="Garamond"/>
          <w:color w:val="000000" w:themeColor="text1"/>
          <w:sz w:val="24"/>
          <w:szCs w:val="24"/>
        </w:rPr>
        <w:t>, focusing on advance locating phone calls,</w:t>
      </w:r>
      <w:r w:rsidRPr="006D24BB">
        <w:rPr>
          <w:rFonts w:ascii="Garamond" w:hAnsi="Garamond"/>
          <w:color w:val="000000" w:themeColor="text1"/>
          <w:sz w:val="24"/>
          <w:szCs w:val="24"/>
        </w:rPr>
        <w:t xml:space="preserve"> in order to identify the best point of contact. This process will ensure that any communication related to this survey is addressed to the appropriate person within the organization.</w:t>
      </w:r>
    </w:p>
    <w:p w:rsidR="009D0BA7" w:rsidRPr="008C7AA9" w:rsidRDefault="009D0BA7" w:rsidP="009D0BA7">
      <w:pPr>
        <w:rPr>
          <w:rFonts w:ascii="Garamond" w:hAnsi="Garamond"/>
          <w:sz w:val="24"/>
        </w:rPr>
      </w:pPr>
      <w:r w:rsidRPr="008C7AA9">
        <w:rPr>
          <w:rFonts w:ascii="Garamond" w:hAnsi="Garamond"/>
          <w:sz w:val="24"/>
        </w:rPr>
        <w:t>Project investigators will use an electronic receipt control system using case ID numbers to track the individual mailings and to record address updates. This system can also track those that indicate a refusal to participate via a returned letter.</w:t>
      </w:r>
    </w:p>
    <w:p w:rsidR="009D0BA7" w:rsidRPr="008C7AA9" w:rsidRDefault="009D0BA7" w:rsidP="009D0BA7">
      <w:pPr>
        <w:rPr>
          <w:rFonts w:ascii="Garamond" w:hAnsi="Garamond"/>
          <w:sz w:val="24"/>
        </w:rPr>
      </w:pPr>
      <w:r w:rsidRPr="008C7AA9">
        <w:rPr>
          <w:rFonts w:ascii="Garamond" w:hAnsi="Garamond"/>
          <w:sz w:val="24"/>
        </w:rPr>
        <w:t xml:space="preserve">All data will be collected via a Computer-Assisted Web Interview (CAWI) or Computer-Assisted Telephone Interview (CATI) instrument. Both instruments will be programmed with skip logic and any error checks, as appropriate, to reduce respondent error. The primary emphasis will be on web completion; however, the respondent will have the option to start in one mode and complete in another. </w:t>
      </w:r>
    </w:p>
    <w:p w:rsidR="009D0BA7" w:rsidRPr="008C7AA9" w:rsidRDefault="009D0BA7" w:rsidP="009D0BA7">
      <w:pPr>
        <w:pStyle w:val="Heading2"/>
      </w:pPr>
      <w:bookmarkStart w:id="4" w:name="_Toc410220132"/>
      <w:r w:rsidRPr="008C7AA9">
        <w:t>Methods to Maximize Response Rates and Deal with Nonresponse</w:t>
      </w:r>
      <w:bookmarkEnd w:id="4"/>
      <w:r w:rsidRPr="008C7AA9">
        <w:t xml:space="preserve"> </w:t>
      </w:r>
    </w:p>
    <w:p w:rsidR="009D0BA7" w:rsidRPr="008C7AA9" w:rsidRDefault="009D0BA7" w:rsidP="009D0BA7">
      <w:pPr>
        <w:rPr>
          <w:rFonts w:ascii="Garamond" w:hAnsi="Garamond"/>
          <w:sz w:val="24"/>
        </w:rPr>
      </w:pPr>
      <w:r w:rsidRPr="008C7AA9">
        <w:rPr>
          <w:rFonts w:ascii="Garamond" w:hAnsi="Garamond"/>
          <w:sz w:val="24"/>
        </w:rPr>
        <w:t>The investigators will use a number of proven methods to maximize participation in the study.</w:t>
      </w:r>
      <w:r>
        <w:rPr>
          <w:rFonts w:ascii="Garamond" w:hAnsi="Garamond"/>
          <w:sz w:val="24"/>
        </w:rPr>
        <w:t xml:space="preserve"> </w:t>
      </w:r>
      <w:r w:rsidRPr="008C7AA9">
        <w:rPr>
          <w:rFonts w:ascii="Garamond" w:hAnsi="Garamond"/>
          <w:sz w:val="24"/>
        </w:rPr>
        <w:t xml:space="preserve">First, the instrument itself is designed to maximize response rates. The style of the survey is inviting and user friendly, with a maximum of </w:t>
      </w:r>
      <w:r>
        <w:rPr>
          <w:rFonts w:ascii="Garamond" w:hAnsi="Garamond"/>
          <w:sz w:val="24"/>
        </w:rPr>
        <w:t>25</w:t>
      </w:r>
      <w:r w:rsidRPr="0029197C">
        <w:rPr>
          <w:rFonts w:ascii="Garamond" w:hAnsi="Garamond"/>
          <w:sz w:val="24"/>
        </w:rPr>
        <w:t xml:space="preserve"> questions for the state, local, tribal, and </w:t>
      </w:r>
      <w:r>
        <w:rPr>
          <w:rFonts w:ascii="Garamond" w:hAnsi="Garamond"/>
          <w:sz w:val="24"/>
        </w:rPr>
        <w:t>Consortium</w:t>
      </w:r>
      <w:r w:rsidRPr="0029197C">
        <w:rPr>
          <w:rFonts w:ascii="Garamond" w:hAnsi="Garamond"/>
          <w:sz w:val="24"/>
        </w:rPr>
        <w:t xml:space="preserve"> organizations, and a maximum of </w:t>
      </w:r>
      <w:r>
        <w:rPr>
          <w:rFonts w:ascii="Garamond" w:hAnsi="Garamond"/>
          <w:sz w:val="24"/>
        </w:rPr>
        <w:t>28</w:t>
      </w:r>
      <w:r w:rsidRPr="0029197C">
        <w:rPr>
          <w:rFonts w:ascii="Garamond" w:hAnsi="Garamond"/>
          <w:sz w:val="24"/>
        </w:rPr>
        <w:t xml:space="preserve"> questions</w:t>
      </w:r>
      <w:r>
        <w:rPr>
          <w:rFonts w:ascii="Garamond" w:hAnsi="Garamond"/>
          <w:sz w:val="24"/>
        </w:rPr>
        <w:t xml:space="preserve"> for webinar attendees</w:t>
      </w:r>
      <w:r w:rsidRPr="008C7AA9">
        <w:rPr>
          <w:rFonts w:ascii="Garamond" w:hAnsi="Garamond"/>
          <w:sz w:val="24"/>
        </w:rPr>
        <w:t xml:space="preserve">. The instructions for the survey are straightforward, and </w:t>
      </w:r>
      <w:r>
        <w:rPr>
          <w:rFonts w:ascii="Garamond" w:hAnsi="Garamond"/>
          <w:sz w:val="24"/>
        </w:rPr>
        <w:t xml:space="preserve">the skip patterns will be programmed into the online survey. </w:t>
      </w:r>
      <w:r w:rsidRPr="008C7AA9">
        <w:rPr>
          <w:rFonts w:ascii="Garamond" w:hAnsi="Garamond"/>
          <w:sz w:val="24"/>
        </w:rPr>
        <w:t xml:space="preserve">During the OMB review period, the questionnaire will be pilot tested with </w:t>
      </w:r>
      <w:r>
        <w:rPr>
          <w:rFonts w:ascii="Garamond" w:hAnsi="Garamond"/>
          <w:sz w:val="24"/>
        </w:rPr>
        <w:t>nine</w:t>
      </w:r>
      <w:r w:rsidRPr="008C7AA9">
        <w:rPr>
          <w:rFonts w:ascii="Garamond" w:hAnsi="Garamond"/>
          <w:sz w:val="24"/>
        </w:rPr>
        <w:t xml:space="preserve"> respondents from the sampling frame, and questions will be amended to reflect suggested improvements from these respondents. In addition to the web invitation letter, each respondent will receive a cover letter encouraging participation in the survey. The cover letters (Attachments 3, 4, 5</w:t>
      </w:r>
      <w:r>
        <w:rPr>
          <w:rFonts w:ascii="Garamond" w:hAnsi="Garamond"/>
          <w:sz w:val="24"/>
        </w:rPr>
        <w:t>, 6, 7 and 8</w:t>
      </w:r>
      <w:r w:rsidRPr="008C7AA9">
        <w:rPr>
          <w:rFonts w:ascii="Garamond" w:hAnsi="Garamond"/>
          <w:sz w:val="24"/>
        </w:rPr>
        <w:t xml:space="preserve">) will convey the importance of the survey to the ODPHP and HHS. The cover letters will also indicate that the respondent will not be identified to any government agency. A postcard reminder will be sent to any non-respondents one week after the initial mailing, highlighting the convenience of the online completion option. A second web invitation letter will be sent to remaining non-responders two weeks after the </w:t>
      </w:r>
      <w:r>
        <w:rPr>
          <w:rFonts w:ascii="Garamond" w:hAnsi="Garamond"/>
          <w:sz w:val="24"/>
        </w:rPr>
        <w:t>pre-</w:t>
      </w:r>
      <w:r w:rsidRPr="008C7AA9">
        <w:rPr>
          <w:rFonts w:ascii="Garamond" w:hAnsi="Garamond"/>
          <w:sz w:val="24"/>
        </w:rPr>
        <w:t>mailing. This mailing will again highlight the importance of the study and the convenience of responding online.</w:t>
      </w:r>
      <w:r>
        <w:rPr>
          <w:rFonts w:ascii="Garamond" w:hAnsi="Garamond"/>
          <w:sz w:val="24"/>
        </w:rPr>
        <w:t xml:space="preserve"> </w:t>
      </w:r>
      <w:r w:rsidRPr="008C7AA9">
        <w:rPr>
          <w:rFonts w:ascii="Garamond" w:hAnsi="Garamond"/>
          <w:sz w:val="24"/>
        </w:rPr>
        <w:t>Any outstanding non-respondents at five weeks after the initial mailing will be contacted using computer-assisted telephone interviewing to confirm receipt of the invitation letters, and to inquire whether the respondent would like to complete the survey online or by telephone.</w:t>
      </w:r>
      <w:r>
        <w:rPr>
          <w:rFonts w:ascii="Garamond" w:hAnsi="Garamond"/>
          <w:sz w:val="24"/>
        </w:rPr>
        <w:t xml:space="preserve"> </w:t>
      </w:r>
      <w:r w:rsidRPr="008C7AA9">
        <w:rPr>
          <w:rFonts w:ascii="Garamond" w:hAnsi="Garamond"/>
          <w:sz w:val="24"/>
        </w:rPr>
        <w:t>If the respondent has lost or misplaced the letter or his/her PIN, NORC can provide this information to the respondent over the phone or via an automated email. If the respondent opts to complete the survey by telephone, the interviewer will access the respondent’s case online and enter responses directly into the online survey.</w:t>
      </w:r>
      <w:r>
        <w:rPr>
          <w:rFonts w:ascii="Garamond" w:hAnsi="Garamond"/>
          <w:sz w:val="24"/>
        </w:rPr>
        <w:t xml:space="preserve"> </w:t>
      </w:r>
    </w:p>
    <w:p w:rsidR="009D0BA7" w:rsidRPr="008C7AA9" w:rsidRDefault="009D0BA7" w:rsidP="009D0BA7">
      <w:pPr>
        <w:rPr>
          <w:rFonts w:ascii="Garamond" w:hAnsi="Garamond"/>
          <w:sz w:val="24"/>
        </w:rPr>
      </w:pPr>
      <w:r w:rsidRPr="008C7AA9">
        <w:rPr>
          <w:rFonts w:ascii="Garamond" w:hAnsi="Garamond"/>
          <w:sz w:val="24"/>
        </w:rPr>
        <w:lastRenderedPageBreak/>
        <w:t xml:space="preserve">In the 2008 </w:t>
      </w:r>
      <w:r w:rsidRPr="00BC5F51">
        <w:rPr>
          <w:rFonts w:ascii="Garamond" w:hAnsi="Garamond"/>
          <w:i/>
          <w:sz w:val="24"/>
        </w:rPr>
        <w:t>Healthy People</w:t>
      </w:r>
      <w:r w:rsidRPr="008C7AA9">
        <w:rPr>
          <w:rFonts w:ascii="Garamond" w:hAnsi="Garamond"/>
          <w:sz w:val="24"/>
        </w:rPr>
        <w:t xml:space="preserve"> User Study, similar procedures were used with the same respondent population with good success. The response rate for the </w:t>
      </w:r>
      <w:r w:rsidRPr="00BC5F51">
        <w:rPr>
          <w:rFonts w:ascii="Garamond" w:hAnsi="Garamond"/>
          <w:i/>
          <w:sz w:val="24"/>
        </w:rPr>
        <w:t>Healthy People</w:t>
      </w:r>
      <w:r w:rsidRPr="008C7AA9">
        <w:rPr>
          <w:rFonts w:ascii="Garamond" w:hAnsi="Garamond"/>
          <w:sz w:val="24"/>
        </w:rPr>
        <w:t xml:space="preserve"> </w:t>
      </w:r>
      <w:r>
        <w:rPr>
          <w:rFonts w:ascii="Garamond" w:hAnsi="Garamond"/>
          <w:sz w:val="24"/>
        </w:rPr>
        <w:t xml:space="preserve">State </w:t>
      </w:r>
      <w:r w:rsidRPr="008C7AA9">
        <w:rPr>
          <w:rFonts w:ascii="Garamond" w:hAnsi="Garamond"/>
          <w:sz w:val="24"/>
        </w:rPr>
        <w:t>Coordinators group was 85</w:t>
      </w:r>
      <w:r>
        <w:rPr>
          <w:rFonts w:ascii="Garamond" w:hAnsi="Garamond"/>
          <w:sz w:val="24"/>
        </w:rPr>
        <w:t xml:space="preserve"> percent. T</w:t>
      </w:r>
      <w:r w:rsidRPr="008C7AA9">
        <w:rPr>
          <w:rFonts w:ascii="Garamond" w:hAnsi="Garamond"/>
          <w:sz w:val="24"/>
        </w:rPr>
        <w:t>he local sample ha</w:t>
      </w:r>
      <w:r>
        <w:rPr>
          <w:rFonts w:ascii="Garamond" w:hAnsi="Garamond"/>
          <w:sz w:val="24"/>
        </w:rPr>
        <w:t>d</w:t>
      </w:r>
      <w:r w:rsidRPr="008C7AA9">
        <w:rPr>
          <w:rFonts w:ascii="Garamond" w:hAnsi="Garamond"/>
          <w:sz w:val="24"/>
        </w:rPr>
        <w:t xml:space="preserve"> a response of 71</w:t>
      </w:r>
      <w:r>
        <w:rPr>
          <w:rFonts w:ascii="Garamond" w:hAnsi="Garamond"/>
          <w:sz w:val="24"/>
        </w:rPr>
        <w:t xml:space="preserve"> percent. Th</w:t>
      </w:r>
      <w:r w:rsidRPr="008C7AA9">
        <w:rPr>
          <w:rFonts w:ascii="Garamond" w:hAnsi="Garamond"/>
          <w:sz w:val="24"/>
        </w:rPr>
        <w:t>e tribal sample had a response of 50</w:t>
      </w:r>
      <w:r>
        <w:rPr>
          <w:rFonts w:ascii="Garamond" w:hAnsi="Garamond"/>
          <w:sz w:val="24"/>
        </w:rPr>
        <w:t xml:space="preserve"> percent</w:t>
      </w:r>
      <w:r w:rsidRPr="008C7AA9">
        <w:rPr>
          <w:rFonts w:ascii="Garamond" w:hAnsi="Garamond"/>
          <w:sz w:val="24"/>
        </w:rPr>
        <w:t xml:space="preserve"> for the tribal health organizations, and 75</w:t>
      </w:r>
      <w:r>
        <w:rPr>
          <w:rFonts w:ascii="Garamond" w:hAnsi="Garamond"/>
          <w:sz w:val="24"/>
        </w:rPr>
        <w:t xml:space="preserve"> percent</w:t>
      </w:r>
      <w:r w:rsidRPr="008C7AA9">
        <w:rPr>
          <w:rFonts w:ascii="Garamond" w:hAnsi="Garamond"/>
          <w:sz w:val="24"/>
        </w:rPr>
        <w:t xml:space="preserve"> for </w:t>
      </w:r>
      <w:r>
        <w:rPr>
          <w:rFonts w:ascii="Garamond" w:hAnsi="Garamond"/>
          <w:sz w:val="24"/>
        </w:rPr>
        <w:t xml:space="preserve">the </w:t>
      </w:r>
      <w:r w:rsidRPr="008C7AA9">
        <w:rPr>
          <w:rFonts w:ascii="Garamond" w:hAnsi="Garamond"/>
          <w:sz w:val="24"/>
        </w:rPr>
        <w:t xml:space="preserve">tribal </w:t>
      </w:r>
      <w:r>
        <w:rPr>
          <w:rFonts w:ascii="Garamond" w:hAnsi="Garamond"/>
          <w:sz w:val="24"/>
        </w:rPr>
        <w:t>A</w:t>
      </w:r>
      <w:r w:rsidRPr="008C7AA9">
        <w:rPr>
          <w:rFonts w:ascii="Garamond" w:hAnsi="Garamond"/>
          <w:sz w:val="24"/>
        </w:rPr>
        <w:t xml:space="preserve">rea </w:t>
      </w:r>
      <w:r>
        <w:rPr>
          <w:rFonts w:ascii="Garamond" w:hAnsi="Garamond"/>
          <w:sz w:val="24"/>
        </w:rPr>
        <w:t>H</w:t>
      </w:r>
      <w:r w:rsidRPr="008C7AA9">
        <w:rPr>
          <w:rFonts w:ascii="Garamond" w:hAnsi="Garamond"/>
          <w:sz w:val="24"/>
        </w:rPr>
        <w:t xml:space="preserve">ealth </w:t>
      </w:r>
      <w:r>
        <w:rPr>
          <w:rFonts w:ascii="Garamond" w:hAnsi="Garamond"/>
          <w:sz w:val="24"/>
        </w:rPr>
        <w:t>B</w:t>
      </w:r>
      <w:r w:rsidRPr="008C7AA9">
        <w:rPr>
          <w:rFonts w:ascii="Garamond" w:hAnsi="Garamond"/>
          <w:sz w:val="24"/>
        </w:rPr>
        <w:t>oards.</w:t>
      </w:r>
      <w:r>
        <w:rPr>
          <w:rFonts w:ascii="Garamond" w:hAnsi="Garamond"/>
          <w:sz w:val="24"/>
        </w:rPr>
        <w:t xml:space="preserve"> </w:t>
      </w:r>
      <w:r w:rsidRPr="008C7AA9">
        <w:rPr>
          <w:rFonts w:ascii="Garamond" w:hAnsi="Garamond"/>
          <w:sz w:val="24"/>
        </w:rPr>
        <w:t>Overall</w:t>
      </w:r>
      <w:r>
        <w:rPr>
          <w:rFonts w:ascii="Garamond" w:hAnsi="Garamond"/>
          <w:sz w:val="24"/>
        </w:rPr>
        <w:t>,</w:t>
      </w:r>
      <w:r w:rsidRPr="008C7AA9">
        <w:rPr>
          <w:rFonts w:ascii="Garamond" w:hAnsi="Garamond"/>
          <w:sz w:val="24"/>
        </w:rPr>
        <w:t xml:space="preserve"> the response to the survey was 70</w:t>
      </w:r>
      <w:r>
        <w:rPr>
          <w:rFonts w:ascii="Garamond" w:hAnsi="Garamond"/>
          <w:sz w:val="24"/>
        </w:rPr>
        <w:t xml:space="preserve"> percent</w:t>
      </w:r>
      <w:r w:rsidRPr="008C7AA9">
        <w:rPr>
          <w:rFonts w:ascii="Garamond" w:hAnsi="Garamond"/>
          <w:sz w:val="24"/>
        </w:rPr>
        <w:t>.</w:t>
      </w:r>
      <w:r>
        <w:rPr>
          <w:rFonts w:ascii="Garamond" w:hAnsi="Garamond"/>
          <w:sz w:val="24"/>
        </w:rPr>
        <w:t xml:space="preserve"> </w:t>
      </w:r>
      <w:r w:rsidRPr="008C7AA9">
        <w:rPr>
          <w:rFonts w:ascii="Garamond" w:hAnsi="Garamond"/>
          <w:sz w:val="24"/>
        </w:rPr>
        <w:t>Given a greater familiarity with web-based surveys, we believe high response rates will be achieved.</w:t>
      </w:r>
      <w:r>
        <w:rPr>
          <w:rFonts w:ascii="Garamond" w:hAnsi="Garamond"/>
          <w:sz w:val="24"/>
        </w:rPr>
        <w:t xml:space="preserve"> </w:t>
      </w:r>
    </w:p>
    <w:p w:rsidR="009D0BA7" w:rsidRPr="008C7AA9" w:rsidRDefault="009D0BA7" w:rsidP="009D0BA7">
      <w:pPr>
        <w:pStyle w:val="Heading2"/>
      </w:pPr>
      <w:bookmarkStart w:id="5" w:name="_Toc410220133"/>
      <w:r w:rsidRPr="008C7AA9">
        <w:t xml:space="preserve">Tests of Procedures of Methods to be </w:t>
      </w:r>
      <w:proofErr w:type="gramStart"/>
      <w:r w:rsidRPr="008C7AA9">
        <w:t>Undertaken</w:t>
      </w:r>
      <w:bookmarkEnd w:id="5"/>
      <w:proofErr w:type="gramEnd"/>
      <w:r w:rsidRPr="008C7AA9">
        <w:t xml:space="preserve"> </w:t>
      </w:r>
    </w:p>
    <w:p w:rsidR="009D0BA7" w:rsidRPr="00E55FB6" w:rsidRDefault="009D0BA7" w:rsidP="009D0BA7">
      <w:pPr>
        <w:rPr>
          <w:rFonts w:ascii="Garamond" w:hAnsi="Garamond"/>
          <w:sz w:val="24"/>
        </w:rPr>
      </w:pPr>
      <w:bookmarkStart w:id="6" w:name="_Toc410220134"/>
      <w:r w:rsidRPr="00E55FB6">
        <w:rPr>
          <w:rFonts w:ascii="Garamond" w:hAnsi="Garamond"/>
          <w:sz w:val="24"/>
        </w:rPr>
        <w:t>A pilot test of the survey was conducted during the OMB comment period with consortium and webinar participants.  The following changes were made in response to suggestions from the pilot respondents:</w:t>
      </w:r>
    </w:p>
    <w:p w:rsidR="009D0BA7" w:rsidRPr="00E55FB6" w:rsidRDefault="009D0BA7" w:rsidP="009D0BA7">
      <w:pPr>
        <w:numPr>
          <w:ilvl w:val="0"/>
          <w:numId w:val="4"/>
        </w:numPr>
        <w:spacing w:before="120" w:after="120" w:line="240" w:lineRule="auto"/>
        <w:jc w:val="both"/>
        <w:rPr>
          <w:rFonts w:ascii="Garamond" w:hAnsi="Garamond"/>
          <w:sz w:val="24"/>
        </w:rPr>
      </w:pPr>
      <w:r w:rsidRPr="00E55FB6">
        <w:rPr>
          <w:rFonts w:ascii="Garamond" w:hAnsi="Garamond"/>
          <w:sz w:val="24"/>
        </w:rPr>
        <w:t>For Question 4 (users in main survey); Question 10 (non-users in main survey); Question 5 (organizational users in webinar survey); Question 7 (non-organizational users in webinar survey); Question 12 (non-users in webinar survey)</w:t>
      </w:r>
    </w:p>
    <w:p w:rsidR="009D0BA7" w:rsidRPr="00E55FB6" w:rsidRDefault="009D0BA7" w:rsidP="009D0BA7">
      <w:pPr>
        <w:numPr>
          <w:ilvl w:val="1"/>
          <w:numId w:val="4"/>
        </w:numPr>
        <w:spacing w:before="120" w:after="120" w:line="240" w:lineRule="auto"/>
        <w:jc w:val="both"/>
        <w:rPr>
          <w:rFonts w:ascii="Garamond" w:hAnsi="Garamond"/>
          <w:sz w:val="24"/>
        </w:rPr>
      </w:pPr>
      <w:r w:rsidRPr="00E55FB6">
        <w:rPr>
          <w:rFonts w:ascii="Garamond" w:hAnsi="Garamond"/>
          <w:sz w:val="24"/>
        </w:rPr>
        <w:t xml:space="preserve">Add “Not Applicable” answer choice </w:t>
      </w:r>
    </w:p>
    <w:p w:rsidR="009D0BA7" w:rsidRPr="00E55FB6" w:rsidRDefault="009D0BA7" w:rsidP="009D0BA7">
      <w:pPr>
        <w:numPr>
          <w:ilvl w:val="1"/>
          <w:numId w:val="4"/>
        </w:numPr>
        <w:spacing w:before="120" w:after="120" w:line="240" w:lineRule="auto"/>
        <w:jc w:val="both"/>
        <w:rPr>
          <w:rFonts w:ascii="Garamond" w:hAnsi="Garamond"/>
          <w:sz w:val="24"/>
        </w:rPr>
      </w:pPr>
      <w:r w:rsidRPr="00E55FB6">
        <w:rPr>
          <w:rFonts w:ascii="Garamond" w:hAnsi="Garamond"/>
          <w:sz w:val="24"/>
        </w:rPr>
        <w:t xml:space="preserve">Change “For collaboration/outreach” category to “For collaboration/outreach or education” </w:t>
      </w:r>
    </w:p>
    <w:p w:rsidR="009D0BA7" w:rsidRPr="00E55FB6" w:rsidRDefault="009D0BA7" w:rsidP="009D0BA7">
      <w:pPr>
        <w:numPr>
          <w:ilvl w:val="1"/>
          <w:numId w:val="4"/>
        </w:numPr>
        <w:spacing w:before="120" w:after="120" w:line="240" w:lineRule="auto"/>
        <w:jc w:val="both"/>
        <w:rPr>
          <w:rFonts w:ascii="Garamond" w:hAnsi="Garamond"/>
          <w:sz w:val="24"/>
        </w:rPr>
      </w:pPr>
      <w:r w:rsidRPr="00E55FB6">
        <w:rPr>
          <w:rFonts w:ascii="Garamond" w:hAnsi="Garamond"/>
          <w:sz w:val="24"/>
        </w:rPr>
        <w:t>Move answer choice “To support applications for grants or other funding” from “For setting internal priorities” category to “Other uses”</w:t>
      </w:r>
    </w:p>
    <w:p w:rsidR="009D0BA7" w:rsidRPr="00E55FB6" w:rsidRDefault="009D0BA7" w:rsidP="009D0BA7">
      <w:pPr>
        <w:numPr>
          <w:ilvl w:val="0"/>
          <w:numId w:val="4"/>
        </w:numPr>
        <w:spacing w:before="120" w:after="120" w:line="240" w:lineRule="auto"/>
        <w:jc w:val="both"/>
        <w:rPr>
          <w:rFonts w:ascii="Garamond" w:hAnsi="Garamond"/>
          <w:sz w:val="24"/>
        </w:rPr>
      </w:pPr>
      <w:r w:rsidRPr="00E55FB6">
        <w:rPr>
          <w:rFonts w:ascii="Garamond" w:hAnsi="Garamond"/>
          <w:sz w:val="24"/>
        </w:rPr>
        <w:t>In Question 15 (users in main survey); Question 17 (organizational users in webinar survey); Question 12 (non-organizational users in webinar survey)</w:t>
      </w:r>
    </w:p>
    <w:p w:rsidR="009D0BA7" w:rsidRPr="00E55FB6" w:rsidRDefault="009D0BA7" w:rsidP="009D0BA7">
      <w:pPr>
        <w:numPr>
          <w:ilvl w:val="1"/>
          <w:numId w:val="4"/>
        </w:numPr>
        <w:spacing w:before="120" w:after="120" w:line="240" w:lineRule="auto"/>
        <w:jc w:val="both"/>
        <w:rPr>
          <w:rFonts w:ascii="Garamond" w:hAnsi="Garamond"/>
          <w:sz w:val="24"/>
        </w:rPr>
      </w:pPr>
      <w:r w:rsidRPr="00E55FB6">
        <w:rPr>
          <w:rFonts w:ascii="Garamond" w:hAnsi="Garamond"/>
          <w:sz w:val="24"/>
        </w:rPr>
        <w:t>Add additional clarifying text for “data” answer choice.</w:t>
      </w:r>
    </w:p>
    <w:p w:rsidR="009D0BA7" w:rsidRPr="00E55FB6" w:rsidRDefault="009D0BA7" w:rsidP="009D0BA7">
      <w:pPr>
        <w:numPr>
          <w:ilvl w:val="0"/>
          <w:numId w:val="4"/>
        </w:numPr>
        <w:spacing w:before="120" w:after="120" w:line="240" w:lineRule="auto"/>
        <w:jc w:val="both"/>
        <w:rPr>
          <w:rFonts w:ascii="Garamond" w:hAnsi="Garamond"/>
          <w:sz w:val="24"/>
        </w:rPr>
      </w:pPr>
      <w:r w:rsidRPr="00E55FB6">
        <w:rPr>
          <w:rFonts w:ascii="Garamond" w:hAnsi="Garamond"/>
          <w:sz w:val="24"/>
        </w:rPr>
        <w:t>In Question 16 (users in main survey); Question 18 (organizational users in webinar survey); Question 13 (non-organizational users in webinar survey)</w:t>
      </w:r>
    </w:p>
    <w:p w:rsidR="009D0BA7" w:rsidRPr="00E55FB6" w:rsidRDefault="009D0BA7" w:rsidP="009D0BA7">
      <w:pPr>
        <w:numPr>
          <w:ilvl w:val="1"/>
          <w:numId w:val="4"/>
        </w:numPr>
        <w:spacing w:before="120" w:after="120" w:line="240" w:lineRule="auto"/>
        <w:jc w:val="both"/>
        <w:rPr>
          <w:rFonts w:ascii="Garamond" w:hAnsi="Garamond"/>
          <w:sz w:val="24"/>
        </w:rPr>
      </w:pPr>
      <w:r w:rsidRPr="00E55FB6">
        <w:rPr>
          <w:rFonts w:ascii="Garamond" w:hAnsi="Garamond"/>
          <w:sz w:val="24"/>
        </w:rPr>
        <w:t>Add “Examples of evaluation instruments or tools/templates from other organizations” as an answer choice</w:t>
      </w:r>
    </w:p>
    <w:p w:rsidR="009D0BA7" w:rsidRPr="008C7AA9" w:rsidRDefault="009D0BA7" w:rsidP="009D0BA7">
      <w:pPr>
        <w:pStyle w:val="Heading2"/>
      </w:pPr>
      <w:r w:rsidRPr="008C7AA9">
        <w:t>Individuals Consulted of Statistical Aspects and Individuals Collecting and/or Analyzing Data</w:t>
      </w:r>
      <w:bookmarkEnd w:id="6"/>
      <w:r w:rsidRPr="008C7AA9">
        <w:t xml:space="preserve"> </w:t>
      </w:r>
    </w:p>
    <w:p w:rsidR="009D0BA7" w:rsidRPr="008C7AA9" w:rsidRDefault="009D0BA7" w:rsidP="009D0BA7">
      <w:pPr>
        <w:rPr>
          <w:rFonts w:ascii="Garamond" w:hAnsi="Garamond"/>
          <w:sz w:val="24"/>
        </w:rPr>
      </w:pPr>
      <w:r w:rsidRPr="008C7AA9">
        <w:rPr>
          <w:rFonts w:ascii="Garamond" w:hAnsi="Garamond"/>
          <w:sz w:val="24"/>
        </w:rPr>
        <w:t>The following individuals contributed to the questionnaire and study design and will be involved in the interpretation and analysis of findings:</w:t>
      </w:r>
    </w:p>
    <w:p w:rsidR="009D0BA7" w:rsidRPr="008C7AA9" w:rsidRDefault="009D0BA7" w:rsidP="009D0BA7">
      <w:pPr>
        <w:spacing w:after="0"/>
        <w:rPr>
          <w:rFonts w:ascii="Garamond" w:hAnsi="Garamond"/>
          <w:sz w:val="24"/>
        </w:rPr>
      </w:pPr>
      <w:r w:rsidRPr="008C7AA9">
        <w:rPr>
          <w:rFonts w:ascii="Garamond" w:hAnsi="Garamond"/>
          <w:sz w:val="24"/>
        </w:rPr>
        <w:t>Caitlin Oppenheimer, MPH</w:t>
      </w:r>
    </w:p>
    <w:p w:rsidR="009D0BA7" w:rsidRPr="008C7AA9" w:rsidRDefault="009D0BA7" w:rsidP="009D0BA7">
      <w:pPr>
        <w:spacing w:after="0"/>
        <w:rPr>
          <w:rFonts w:ascii="Garamond" w:hAnsi="Garamond"/>
          <w:sz w:val="24"/>
        </w:rPr>
      </w:pPr>
      <w:r w:rsidRPr="008C7AA9">
        <w:rPr>
          <w:rFonts w:ascii="Garamond" w:hAnsi="Garamond"/>
          <w:sz w:val="24"/>
        </w:rPr>
        <w:t xml:space="preserve">Vice President, Public Health Department </w:t>
      </w:r>
    </w:p>
    <w:p w:rsidR="009D0BA7" w:rsidRPr="008C7AA9" w:rsidRDefault="009D0BA7" w:rsidP="009D0BA7">
      <w:pPr>
        <w:spacing w:after="0"/>
        <w:rPr>
          <w:rFonts w:ascii="Garamond" w:hAnsi="Garamond"/>
          <w:sz w:val="24"/>
        </w:rPr>
      </w:pPr>
      <w:r w:rsidRPr="008C7AA9">
        <w:rPr>
          <w:rFonts w:ascii="Garamond" w:hAnsi="Garamond"/>
          <w:sz w:val="24"/>
        </w:rPr>
        <w:t>NORC at the University of Chicago</w:t>
      </w:r>
    </w:p>
    <w:p w:rsidR="009D0BA7" w:rsidRPr="008C7AA9" w:rsidRDefault="009D0BA7" w:rsidP="009D0BA7">
      <w:pPr>
        <w:spacing w:after="0"/>
        <w:rPr>
          <w:rFonts w:ascii="Garamond" w:hAnsi="Garamond"/>
          <w:sz w:val="24"/>
        </w:rPr>
      </w:pPr>
      <w:r w:rsidRPr="008C7AA9">
        <w:rPr>
          <w:rFonts w:ascii="Garamond" w:hAnsi="Garamond"/>
          <w:sz w:val="24"/>
        </w:rPr>
        <w:t xml:space="preserve">4350 East-West Highway, Suite 800 </w:t>
      </w:r>
    </w:p>
    <w:p w:rsidR="009D0BA7" w:rsidRPr="008C7AA9" w:rsidRDefault="009D0BA7" w:rsidP="009D0BA7">
      <w:pPr>
        <w:spacing w:after="0"/>
        <w:rPr>
          <w:rFonts w:ascii="Garamond" w:hAnsi="Garamond"/>
          <w:sz w:val="24"/>
        </w:rPr>
      </w:pPr>
      <w:r w:rsidRPr="008C7AA9">
        <w:rPr>
          <w:rFonts w:ascii="Garamond" w:hAnsi="Garamond"/>
          <w:sz w:val="24"/>
        </w:rPr>
        <w:t>Bethesda, MD 20814</w:t>
      </w:r>
    </w:p>
    <w:p w:rsidR="009D0BA7" w:rsidRPr="008C7AA9" w:rsidRDefault="009D0BA7" w:rsidP="009D0BA7">
      <w:pPr>
        <w:spacing w:after="0"/>
        <w:rPr>
          <w:rFonts w:ascii="Garamond" w:hAnsi="Garamond"/>
          <w:sz w:val="24"/>
        </w:rPr>
      </w:pPr>
      <w:r w:rsidRPr="008C7AA9">
        <w:rPr>
          <w:rFonts w:ascii="Garamond" w:hAnsi="Garamond"/>
          <w:sz w:val="24"/>
        </w:rPr>
        <w:t>301-634-9322</w:t>
      </w:r>
    </w:p>
    <w:p w:rsidR="009D0BA7" w:rsidRPr="008C7AA9" w:rsidRDefault="009D0BA7" w:rsidP="009D0BA7">
      <w:pPr>
        <w:spacing w:after="0"/>
        <w:rPr>
          <w:rFonts w:ascii="Garamond" w:hAnsi="Garamond"/>
          <w:sz w:val="24"/>
        </w:rPr>
      </w:pPr>
    </w:p>
    <w:p w:rsidR="009D0BA7" w:rsidRPr="008C7AA9" w:rsidRDefault="009D0BA7" w:rsidP="009D0BA7">
      <w:pPr>
        <w:keepNext/>
        <w:spacing w:after="0"/>
        <w:rPr>
          <w:rFonts w:ascii="Garamond" w:hAnsi="Garamond"/>
          <w:color w:val="000000"/>
          <w:sz w:val="24"/>
        </w:rPr>
      </w:pPr>
      <w:r w:rsidRPr="008C7AA9">
        <w:rPr>
          <w:rFonts w:ascii="Garamond" w:hAnsi="Garamond"/>
          <w:color w:val="000000"/>
          <w:sz w:val="24"/>
        </w:rPr>
        <w:t xml:space="preserve">Steven </w:t>
      </w:r>
      <w:proofErr w:type="spellStart"/>
      <w:r w:rsidRPr="008C7AA9">
        <w:rPr>
          <w:rFonts w:ascii="Garamond" w:hAnsi="Garamond"/>
          <w:color w:val="000000"/>
          <w:sz w:val="24"/>
        </w:rPr>
        <w:t>Pedlow</w:t>
      </w:r>
      <w:proofErr w:type="spellEnd"/>
      <w:r w:rsidRPr="008C7AA9">
        <w:rPr>
          <w:rFonts w:ascii="Garamond" w:hAnsi="Garamond"/>
          <w:color w:val="000000"/>
          <w:sz w:val="24"/>
        </w:rPr>
        <w:t>, MS</w:t>
      </w:r>
    </w:p>
    <w:p w:rsidR="009D0BA7" w:rsidRPr="008C7AA9" w:rsidRDefault="009D0BA7" w:rsidP="009D0BA7">
      <w:pPr>
        <w:keepNext/>
        <w:spacing w:after="0"/>
        <w:rPr>
          <w:rFonts w:ascii="Garamond" w:hAnsi="Garamond"/>
          <w:sz w:val="24"/>
        </w:rPr>
      </w:pPr>
      <w:r w:rsidRPr="008C7AA9">
        <w:rPr>
          <w:rFonts w:ascii="Garamond" w:hAnsi="Garamond"/>
          <w:sz w:val="24"/>
        </w:rPr>
        <w:t>Senior Statistician II, Statistics and Methodology Department</w:t>
      </w:r>
    </w:p>
    <w:p w:rsidR="009D0BA7" w:rsidRPr="008C7AA9" w:rsidRDefault="009D0BA7" w:rsidP="009D0BA7">
      <w:pPr>
        <w:spacing w:after="0"/>
        <w:rPr>
          <w:rFonts w:ascii="Garamond" w:hAnsi="Garamond"/>
          <w:sz w:val="24"/>
        </w:rPr>
      </w:pPr>
      <w:r w:rsidRPr="008C7AA9">
        <w:rPr>
          <w:rFonts w:ascii="Garamond" w:hAnsi="Garamond"/>
          <w:sz w:val="24"/>
        </w:rPr>
        <w:t>NORC at the University of Chicago</w:t>
      </w:r>
    </w:p>
    <w:p w:rsidR="009D0BA7" w:rsidRPr="008C7AA9" w:rsidRDefault="009D0BA7" w:rsidP="009D0BA7">
      <w:pPr>
        <w:spacing w:after="0"/>
        <w:rPr>
          <w:rFonts w:ascii="Garamond" w:hAnsi="Garamond"/>
          <w:color w:val="000000"/>
          <w:sz w:val="24"/>
        </w:rPr>
      </w:pPr>
      <w:r w:rsidRPr="008C7AA9">
        <w:rPr>
          <w:rFonts w:ascii="Garamond" w:hAnsi="Garamond"/>
          <w:color w:val="000000"/>
          <w:sz w:val="24"/>
        </w:rPr>
        <w:lastRenderedPageBreak/>
        <w:t>55 East Monroe Street</w:t>
      </w:r>
      <w:r w:rsidRPr="008C7AA9">
        <w:rPr>
          <w:rFonts w:ascii="Garamond" w:hAnsi="Garamond"/>
          <w:color w:val="000000"/>
          <w:sz w:val="24"/>
        </w:rPr>
        <w:br/>
        <w:t>Chicago, IL 60603</w:t>
      </w:r>
    </w:p>
    <w:p w:rsidR="009D0BA7" w:rsidRPr="008C7AA9" w:rsidRDefault="009D0BA7" w:rsidP="009D0BA7">
      <w:pPr>
        <w:spacing w:after="0"/>
        <w:rPr>
          <w:rFonts w:ascii="Garamond" w:hAnsi="Garamond"/>
          <w:color w:val="000000"/>
          <w:sz w:val="24"/>
        </w:rPr>
      </w:pPr>
      <w:r w:rsidRPr="008C7AA9">
        <w:rPr>
          <w:rFonts w:ascii="Garamond" w:hAnsi="Garamond"/>
          <w:color w:val="000000"/>
          <w:sz w:val="24"/>
        </w:rPr>
        <w:t>312-759-4084</w:t>
      </w:r>
    </w:p>
    <w:p w:rsidR="009D0BA7" w:rsidRPr="008C7AA9" w:rsidRDefault="009D0BA7" w:rsidP="009D0BA7">
      <w:pPr>
        <w:spacing w:after="0"/>
        <w:rPr>
          <w:rFonts w:ascii="Garamond" w:hAnsi="Garamond"/>
          <w:color w:val="000000"/>
          <w:sz w:val="24"/>
        </w:rPr>
      </w:pPr>
    </w:p>
    <w:p w:rsidR="009D0BA7" w:rsidRPr="008C7AA9" w:rsidRDefault="009D0BA7" w:rsidP="009D0BA7">
      <w:pPr>
        <w:keepNext/>
        <w:spacing w:after="0"/>
        <w:rPr>
          <w:rFonts w:ascii="Garamond" w:hAnsi="Garamond"/>
          <w:color w:val="000000"/>
          <w:sz w:val="24"/>
        </w:rPr>
      </w:pPr>
      <w:r w:rsidRPr="008C7AA9">
        <w:rPr>
          <w:rFonts w:ascii="Garamond" w:hAnsi="Garamond"/>
          <w:color w:val="000000"/>
          <w:sz w:val="24"/>
        </w:rPr>
        <w:t>Stephanie Poland, MA</w:t>
      </w:r>
    </w:p>
    <w:p w:rsidR="009D0BA7" w:rsidRPr="008C7AA9" w:rsidRDefault="009D0BA7" w:rsidP="009D0BA7">
      <w:pPr>
        <w:keepNext/>
        <w:spacing w:after="0"/>
        <w:rPr>
          <w:rFonts w:ascii="Garamond" w:hAnsi="Garamond"/>
          <w:color w:val="000000"/>
          <w:sz w:val="24"/>
        </w:rPr>
      </w:pPr>
      <w:r w:rsidRPr="008C7AA9">
        <w:rPr>
          <w:rFonts w:ascii="Garamond" w:hAnsi="Garamond"/>
          <w:color w:val="000000"/>
          <w:sz w:val="24"/>
        </w:rPr>
        <w:t>Survey Director, Public Health Department</w:t>
      </w:r>
    </w:p>
    <w:p w:rsidR="009D0BA7" w:rsidRPr="008C7AA9" w:rsidRDefault="009D0BA7" w:rsidP="009D0BA7">
      <w:pPr>
        <w:spacing w:after="0"/>
        <w:rPr>
          <w:rFonts w:ascii="Garamond" w:hAnsi="Garamond"/>
          <w:sz w:val="24"/>
        </w:rPr>
      </w:pPr>
      <w:r w:rsidRPr="008C7AA9">
        <w:rPr>
          <w:rFonts w:ascii="Garamond" w:hAnsi="Garamond"/>
          <w:sz w:val="24"/>
        </w:rPr>
        <w:t>NORC at the University of Chicago</w:t>
      </w:r>
    </w:p>
    <w:p w:rsidR="009D0BA7" w:rsidRPr="008C7AA9" w:rsidRDefault="009D0BA7" w:rsidP="009D0BA7">
      <w:pPr>
        <w:spacing w:after="0"/>
        <w:rPr>
          <w:rFonts w:ascii="Garamond" w:hAnsi="Garamond"/>
          <w:color w:val="000000"/>
          <w:sz w:val="24"/>
        </w:rPr>
      </w:pPr>
      <w:r w:rsidRPr="008C7AA9">
        <w:rPr>
          <w:rFonts w:ascii="Garamond" w:hAnsi="Garamond"/>
          <w:color w:val="000000"/>
          <w:sz w:val="24"/>
        </w:rPr>
        <w:t>55 East Monroe Street</w:t>
      </w:r>
      <w:r w:rsidRPr="008C7AA9">
        <w:rPr>
          <w:rFonts w:ascii="Garamond" w:hAnsi="Garamond"/>
          <w:color w:val="000000"/>
          <w:sz w:val="24"/>
        </w:rPr>
        <w:br/>
        <w:t>Chicago, IL 60603</w:t>
      </w:r>
    </w:p>
    <w:p w:rsidR="009D0BA7" w:rsidRPr="008C7AA9" w:rsidRDefault="009D0BA7" w:rsidP="009D0BA7">
      <w:pPr>
        <w:spacing w:after="0"/>
        <w:rPr>
          <w:rFonts w:ascii="Garamond" w:hAnsi="Garamond"/>
          <w:color w:val="000000"/>
          <w:sz w:val="24"/>
        </w:rPr>
      </w:pPr>
      <w:r w:rsidRPr="008C7AA9">
        <w:rPr>
          <w:rFonts w:ascii="Garamond" w:hAnsi="Garamond"/>
          <w:color w:val="000000"/>
          <w:sz w:val="24"/>
        </w:rPr>
        <w:t>312-759-4261</w:t>
      </w:r>
    </w:p>
    <w:p w:rsidR="009D0BA7" w:rsidRPr="008C7AA9" w:rsidRDefault="009D0BA7" w:rsidP="009D0BA7">
      <w:pPr>
        <w:spacing w:after="0"/>
        <w:rPr>
          <w:rFonts w:ascii="Garamond" w:hAnsi="Garamond"/>
          <w:color w:val="000000"/>
          <w:sz w:val="24"/>
        </w:rPr>
      </w:pPr>
    </w:p>
    <w:p w:rsidR="009D0BA7" w:rsidRPr="008C7AA9" w:rsidRDefault="009D0BA7" w:rsidP="009D0BA7">
      <w:pPr>
        <w:spacing w:after="0"/>
        <w:rPr>
          <w:rFonts w:ascii="Garamond" w:hAnsi="Garamond"/>
          <w:sz w:val="24"/>
        </w:rPr>
      </w:pPr>
      <w:r w:rsidRPr="008C7AA9">
        <w:rPr>
          <w:rFonts w:ascii="Garamond" w:hAnsi="Garamond"/>
          <w:sz w:val="24"/>
        </w:rPr>
        <w:t xml:space="preserve">Catharine </w:t>
      </w:r>
      <w:proofErr w:type="spellStart"/>
      <w:r w:rsidRPr="008C7AA9">
        <w:rPr>
          <w:rFonts w:ascii="Garamond" w:hAnsi="Garamond"/>
          <w:sz w:val="24"/>
        </w:rPr>
        <w:t>Fromknecht</w:t>
      </w:r>
      <w:proofErr w:type="spellEnd"/>
      <w:r w:rsidRPr="008C7AA9">
        <w:rPr>
          <w:rFonts w:ascii="Garamond" w:hAnsi="Garamond"/>
          <w:sz w:val="24"/>
        </w:rPr>
        <w:t xml:space="preserve"> </w:t>
      </w:r>
    </w:p>
    <w:p w:rsidR="009D0BA7" w:rsidRPr="008C7AA9" w:rsidRDefault="009D0BA7" w:rsidP="009D0BA7">
      <w:pPr>
        <w:spacing w:after="0"/>
        <w:rPr>
          <w:rFonts w:ascii="Garamond" w:hAnsi="Garamond"/>
          <w:sz w:val="24"/>
        </w:rPr>
      </w:pPr>
      <w:r w:rsidRPr="008C7AA9">
        <w:rPr>
          <w:rFonts w:ascii="Garamond" w:hAnsi="Garamond"/>
          <w:sz w:val="24"/>
        </w:rPr>
        <w:t xml:space="preserve">Senior Research Analyst, Public Health Department </w:t>
      </w:r>
    </w:p>
    <w:p w:rsidR="009D0BA7" w:rsidRPr="008C7AA9" w:rsidRDefault="009D0BA7" w:rsidP="009D0BA7">
      <w:pPr>
        <w:spacing w:after="0"/>
        <w:rPr>
          <w:rFonts w:ascii="Garamond" w:hAnsi="Garamond"/>
          <w:sz w:val="24"/>
        </w:rPr>
      </w:pPr>
      <w:r w:rsidRPr="008C7AA9">
        <w:rPr>
          <w:rFonts w:ascii="Garamond" w:hAnsi="Garamond"/>
          <w:sz w:val="24"/>
        </w:rPr>
        <w:t>NORC at the University of Chicago</w:t>
      </w:r>
    </w:p>
    <w:p w:rsidR="009D0BA7" w:rsidRPr="008C7AA9" w:rsidRDefault="009D0BA7" w:rsidP="009D0BA7">
      <w:pPr>
        <w:spacing w:after="0"/>
        <w:rPr>
          <w:rFonts w:ascii="Garamond" w:hAnsi="Garamond"/>
          <w:sz w:val="24"/>
        </w:rPr>
      </w:pPr>
      <w:r w:rsidRPr="008C7AA9">
        <w:rPr>
          <w:rFonts w:ascii="Garamond" w:hAnsi="Garamond"/>
          <w:sz w:val="24"/>
        </w:rPr>
        <w:t xml:space="preserve">4350 East-West Highway, Suite 800 </w:t>
      </w:r>
    </w:p>
    <w:p w:rsidR="009D0BA7" w:rsidRPr="008C7AA9" w:rsidRDefault="009D0BA7" w:rsidP="009D0BA7">
      <w:pPr>
        <w:spacing w:after="0"/>
        <w:rPr>
          <w:rFonts w:ascii="Garamond" w:hAnsi="Garamond"/>
          <w:sz w:val="24"/>
        </w:rPr>
      </w:pPr>
      <w:r w:rsidRPr="008C7AA9">
        <w:rPr>
          <w:rFonts w:ascii="Garamond" w:hAnsi="Garamond"/>
          <w:sz w:val="24"/>
        </w:rPr>
        <w:t>Bethesda, MD 20814</w:t>
      </w:r>
    </w:p>
    <w:p w:rsidR="009D0BA7" w:rsidRPr="008C7AA9" w:rsidRDefault="009D0BA7" w:rsidP="009D0BA7">
      <w:pPr>
        <w:spacing w:after="0"/>
        <w:rPr>
          <w:rFonts w:ascii="Garamond" w:hAnsi="Garamond"/>
          <w:sz w:val="24"/>
        </w:rPr>
      </w:pPr>
      <w:r w:rsidRPr="008C7AA9">
        <w:rPr>
          <w:rFonts w:ascii="Garamond" w:hAnsi="Garamond"/>
          <w:sz w:val="24"/>
        </w:rPr>
        <w:t>301-634-9384</w:t>
      </w:r>
    </w:p>
    <w:p w:rsidR="009D0BA7" w:rsidRPr="008C7AA9" w:rsidRDefault="009D0BA7" w:rsidP="009D0BA7">
      <w:pPr>
        <w:spacing w:after="0"/>
        <w:rPr>
          <w:rFonts w:ascii="Garamond" w:hAnsi="Garamond"/>
          <w:sz w:val="24"/>
        </w:rPr>
      </w:pPr>
    </w:p>
    <w:p w:rsidR="009D0BA7" w:rsidRPr="008C7AA9" w:rsidRDefault="009D0BA7" w:rsidP="009D0BA7">
      <w:pPr>
        <w:spacing w:after="0"/>
        <w:rPr>
          <w:rFonts w:ascii="Garamond" w:hAnsi="Garamond"/>
          <w:sz w:val="24"/>
        </w:rPr>
      </w:pPr>
      <w:r w:rsidRPr="008C7AA9">
        <w:rPr>
          <w:rFonts w:ascii="Garamond" w:hAnsi="Garamond"/>
          <w:sz w:val="24"/>
        </w:rPr>
        <w:t>Megan Heffernan, MPH</w:t>
      </w:r>
    </w:p>
    <w:p w:rsidR="009D0BA7" w:rsidRPr="008C7AA9" w:rsidRDefault="009D0BA7" w:rsidP="009D0BA7">
      <w:pPr>
        <w:spacing w:after="0"/>
        <w:rPr>
          <w:rFonts w:ascii="Garamond" w:hAnsi="Garamond"/>
          <w:sz w:val="24"/>
        </w:rPr>
      </w:pPr>
      <w:r w:rsidRPr="008C7AA9">
        <w:rPr>
          <w:rFonts w:ascii="Garamond" w:hAnsi="Garamond"/>
          <w:sz w:val="24"/>
        </w:rPr>
        <w:t xml:space="preserve">Research Analyst, Public Health Department </w:t>
      </w:r>
    </w:p>
    <w:p w:rsidR="009D0BA7" w:rsidRPr="008C7AA9" w:rsidRDefault="009D0BA7" w:rsidP="009D0BA7">
      <w:pPr>
        <w:spacing w:after="0"/>
        <w:rPr>
          <w:rFonts w:ascii="Garamond" w:hAnsi="Garamond"/>
          <w:sz w:val="24"/>
        </w:rPr>
      </w:pPr>
      <w:r w:rsidRPr="008C7AA9">
        <w:rPr>
          <w:rFonts w:ascii="Garamond" w:hAnsi="Garamond"/>
          <w:sz w:val="24"/>
        </w:rPr>
        <w:t>NORC at the University of Chicago</w:t>
      </w:r>
    </w:p>
    <w:p w:rsidR="009D0BA7" w:rsidRPr="008C7AA9" w:rsidRDefault="009D0BA7" w:rsidP="009D0BA7">
      <w:pPr>
        <w:spacing w:after="0"/>
        <w:rPr>
          <w:rFonts w:ascii="Garamond" w:hAnsi="Garamond"/>
          <w:sz w:val="24"/>
        </w:rPr>
      </w:pPr>
      <w:r w:rsidRPr="008C7AA9">
        <w:rPr>
          <w:rFonts w:ascii="Garamond" w:hAnsi="Garamond"/>
          <w:sz w:val="24"/>
        </w:rPr>
        <w:t xml:space="preserve">4350 East-West Highway, Suite 800 </w:t>
      </w:r>
    </w:p>
    <w:p w:rsidR="009D0BA7" w:rsidRPr="008C7AA9" w:rsidRDefault="009D0BA7" w:rsidP="009D0BA7">
      <w:pPr>
        <w:spacing w:after="0"/>
        <w:rPr>
          <w:rFonts w:ascii="Garamond" w:hAnsi="Garamond"/>
          <w:sz w:val="24"/>
        </w:rPr>
      </w:pPr>
      <w:r w:rsidRPr="008C7AA9">
        <w:rPr>
          <w:rFonts w:ascii="Garamond" w:hAnsi="Garamond"/>
          <w:sz w:val="24"/>
        </w:rPr>
        <w:t>Bethesda, MD 20814</w:t>
      </w:r>
    </w:p>
    <w:p w:rsidR="009D0BA7" w:rsidRPr="008C7AA9" w:rsidRDefault="009D0BA7" w:rsidP="009D0BA7">
      <w:pPr>
        <w:spacing w:after="0"/>
        <w:rPr>
          <w:rFonts w:ascii="Garamond" w:hAnsi="Garamond"/>
          <w:sz w:val="24"/>
        </w:rPr>
      </w:pPr>
      <w:r w:rsidRPr="008C7AA9">
        <w:rPr>
          <w:rFonts w:ascii="Garamond" w:hAnsi="Garamond"/>
          <w:sz w:val="24"/>
        </w:rPr>
        <w:t>301-634-9412</w:t>
      </w:r>
    </w:p>
    <w:p w:rsidR="009D0BA7" w:rsidRPr="008C7AA9" w:rsidRDefault="009D0BA7" w:rsidP="009D0BA7">
      <w:pPr>
        <w:spacing w:after="0"/>
        <w:rPr>
          <w:rFonts w:ascii="Garamond" w:hAnsi="Garamond"/>
          <w:sz w:val="24"/>
        </w:rPr>
      </w:pPr>
    </w:p>
    <w:p w:rsidR="009D0BA7" w:rsidRPr="008C7AA9" w:rsidRDefault="009D0BA7" w:rsidP="009D0BA7">
      <w:pPr>
        <w:rPr>
          <w:sz w:val="24"/>
        </w:rPr>
      </w:pPr>
      <w:r w:rsidRPr="008C7AA9">
        <w:rPr>
          <w:rFonts w:ascii="Garamond" w:hAnsi="Garamond"/>
          <w:sz w:val="24"/>
        </w:rPr>
        <w:t>The government project officer for this study is:</w:t>
      </w:r>
    </w:p>
    <w:p w:rsidR="009D0BA7" w:rsidRPr="008C7AA9" w:rsidRDefault="009D0BA7" w:rsidP="009D0BA7">
      <w:pPr>
        <w:keepNext/>
        <w:spacing w:after="0"/>
        <w:rPr>
          <w:rFonts w:ascii="Garamond" w:hAnsi="Garamond"/>
          <w:sz w:val="24"/>
        </w:rPr>
      </w:pPr>
      <w:r w:rsidRPr="008C7AA9">
        <w:rPr>
          <w:rFonts w:ascii="Garamond" w:hAnsi="Garamond"/>
          <w:sz w:val="24"/>
        </w:rPr>
        <w:t>Allison Roper, LICSW</w:t>
      </w:r>
    </w:p>
    <w:p w:rsidR="009D0BA7" w:rsidRPr="008C7AA9" w:rsidRDefault="009D0BA7" w:rsidP="009D0BA7">
      <w:pPr>
        <w:keepNext/>
        <w:spacing w:after="0"/>
        <w:rPr>
          <w:rFonts w:ascii="Garamond" w:hAnsi="Garamond"/>
          <w:sz w:val="24"/>
        </w:rPr>
      </w:pPr>
      <w:r w:rsidRPr="008C7AA9">
        <w:rPr>
          <w:rFonts w:ascii="Garamond" w:hAnsi="Garamond"/>
          <w:sz w:val="24"/>
        </w:rPr>
        <w:t>Public Health Advisor</w:t>
      </w:r>
    </w:p>
    <w:p w:rsidR="009D0BA7" w:rsidRPr="008C7AA9" w:rsidRDefault="009D0BA7" w:rsidP="009D0BA7">
      <w:pPr>
        <w:keepNext/>
        <w:spacing w:after="0"/>
        <w:rPr>
          <w:rFonts w:ascii="Garamond" w:hAnsi="Garamond" w:cs="Times New Roman"/>
          <w:sz w:val="24"/>
        </w:rPr>
      </w:pPr>
      <w:r w:rsidRPr="008C7AA9">
        <w:rPr>
          <w:rFonts w:ascii="Garamond" w:hAnsi="Garamond" w:cs="Times New Roman"/>
          <w:sz w:val="24"/>
        </w:rPr>
        <w:t>Office of Disease Prevention and Health Promotion</w:t>
      </w:r>
    </w:p>
    <w:p w:rsidR="009D0BA7" w:rsidRPr="008C7AA9" w:rsidRDefault="009D0BA7" w:rsidP="009D0BA7">
      <w:pPr>
        <w:keepNext/>
        <w:spacing w:after="0"/>
        <w:rPr>
          <w:rFonts w:ascii="Garamond" w:hAnsi="Garamond" w:cs="Times New Roman"/>
          <w:sz w:val="24"/>
        </w:rPr>
      </w:pPr>
      <w:r w:rsidRPr="008C7AA9">
        <w:rPr>
          <w:rFonts w:ascii="Garamond" w:hAnsi="Garamond" w:cs="Times New Roman"/>
          <w:sz w:val="24"/>
        </w:rPr>
        <w:t>Office of the Secretary, U.S. Department of Health and Human Services</w:t>
      </w:r>
      <w:r w:rsidRPr="008C7AA9">
        <w:rPr>
          <w:rFonts w:ascii="Garamond" w:hAnsi="Garamond" w:cs="Times New Roman"/>
          <w:sz w:val="24"/>
        </w:rPr>
        <w:br/>
        <w:t xml:space="preserve">1101 </w:t>
      </w:r>
      <w:proofErr w:type="spellStart"/>
      <w:r w:rsidRPr="008C7AA9">
        <w:rPr>
          <w:rFonts w:ascii="Garamond" w:hAnsi="Garamond" w:cs="Times New Roman"/>
          <w:sz w:val="24"/>
        </w:rPr>
        <w:t>Wootton</w:t>
      </w:r>
      <w:proofErr w:type="spellEnd"/>
      <w:r w:rsidRPr="008C7AA9">
        <w:rPr>
          <w:rFonts w:ascii="Garamond" w:hAnsi="Garamond" w:cs="Times New Roman"/>
          <w:sz w:val="24"/>
        </w:rPr>
        <w:t xml:space="preserve"> Parkway, Suite LL-100</w:t>
      </w:r>
      <w:r w:rsidRPr="008C7AA9">
        <w:rPr>
          <w:rFonts w:ascii="Garamond" w:hAnsi="Garamond" w:cs="Times New Roman"/>
          <w:sz w:val="24"/>
        </w:rPr>
        <w:br/>
        <w:t>Rockville, MD 20852</w:t>
      </w:r>
    </w:p>
    <w:p w:rsidR="009D0BA7" w:rsidRDefault="009D0BA7" w:rsidP="009D0BA7">
      <w:pPr>
        <w:spacing w:line="240" w:lineRule="auto"/>
        <w:rPr>
          <w:rFonts w:ascii="Garamond" w:hAnsi="Garamond" w:cs="Times New Roman"/>
          <w:sz w:val="24"/>
        </w:rPr>
      </w:pPr>
      <w:r w:rsidRPr="008C7AA9">
        <w:rPr>
          <w:rFonts w:ascii="Garamond" w:hAnsi="Garamond" w:cs="Times New Roman"/>
          <w:sz w:val="24"/>
        </w:rPr>
        <w:t>(240) 453-8263</w:t>
      </w:r>
    </w:p>
    <w:p w:rsidR="009D0BA7" w:rsidRDefault="009D0BA7" w:rsidP="009D0BA7">
      <w:pPr>
        <w:rPr>
          <w:rFonts w:ascii="Garamond" w:hAnsi="Garamond" w:cs="Times New Roman"/>
          <w:sz w:val="24"/>
        </w:rPr>
      </w:pPr>
      <w:r>
        <w:rPr>
          <w:rFonts w:ascii="Garamond" w:hAnsi="Garamond" w:cs="Times New Roman"/>
          <w:sz w:val="24"/>
        </w:rPr>
        <w:br w:type="page"/>
      </w:r>
    </w:p>
    <w:p w:rsidR="009D0BA7" w:rsidRPr="002A6A56" w:rsidRDefault="009D0BA7" w:rsidP="009D0BA7">
      <w:pPr>
        <w:spacing w:after="240" w:line="240" w:lineRule="auto"/>
        <w:rPr>
          <w:rFonts w:ascii="Garamond" w:eastAsia="Times New Roman" w:hAnsi="Garamond" w:cs="Times New Roman"/>
          <w:smallCaps/>
        </w:rPr>
      </w:pPr>
    </w:p>
    <w:p w:rsidR="009D0BA7" w:rsidRPr="002A6A56" w:rsidRDefault="009D0BA7" w:rsidP="009D0BA7">
      <w:pPr>
        <w:spacing w:after="240" w:line="240" w:lineRule="auto"/>
        <w:jc w:val="center"/>
        <w:rPr>
          <w:rFonts w:ascii="Garamond" w:eastAsia="Times New Roman" w:hAnsi="Garamond" w:cs="Times New Roman"/>
          <w:smallCaps/>
        </w:rPr>
      </w:pPr>
      <w:r w:rsidRPr="002A6A56">
        <w:rPr>
          <w:rFonts w:ascii="Garamond" w:eastAsia="Times New Roman" w:hAnsi="Garamond" w:cs="Times New Roman"/>
          <w:smallCaps/>
        </w:rPr>
        <w:t>Appendix 1</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TITLE III—GENERAL POWERS AND DUTIES OF PUBLIC</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HEALTH SERVICE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15"/>
          <w:szCs w:val="15"/>
        </w:rPr>
      </w:pPr>
      <w:r w:rsidRPr="002A6A56">
        <w:rPr>
          <w:rFonts w:ascii="NewCenturySchlbk-Roman" w:eastAsia="Times New Roman" w:hAnsi="NewCenturySchlbk-Roman" w:cs="NewCenturySchlbk-Roman"/>
          <w:sz w:val="20"/>
          <w:szCs w:val="20"/>
        </w:rPr>
        <w:t>P</w:t>
      </w:r>
      <w:r w:rsidRPr="002A6A56">
        <w:rPr>
          <w:rFonts w:ascii="NewCenturySchlbk-Roman" w:eastAsia="Times New Roman" w:hAnsi="NewCenturySchlbk-Roman" w:cs="NewCenturySchlbk-Roman"/>
          <w:sz w:val="15"/>
          <w:szCs w:val="15"/>
        </w:rPr>
        <w:t xml:space="preserve">ART </w:t>
      </w:r>
      <w:r w:rsidRPr="002A6A56">
        <w:rPr>
          <w:rFonts w:ascii="NewCenturySchlbk-Roman" w:eastAsia="Times New Roman" w:hAnsi="NewCenturySchlbk-Roman" w:cs="NewCenturySchlbk-Roman"/>
          <w:sz w:val="20"/>
          <w:szCs w:val="20"/>
        </w:rPr>
        <w:t>A—R</w:t>
      </w:r>
      <w:r w:rsidRPr="002A6A56">
        <w:rPr>
          <w:rFonts w:ascii="NewCenturySchlbk-Roman" w:eastAsia="Times New Roman" w:hAnsi="NewCenturySchlbk-Roman" w:cs="NewCenturySchlbk-Roman"/>
          <w:sz w:val="15"/>
          <w:szCs w:val="15"/>
        </w:rPr>
        <w:t xml:space="preserve">ESEARCH AND </w:t>
      </w:r>
      <w:r w:rsidRPr="002A6A56">
        <w:rPr>
          <w:rFonts w:ascii="NewCenturySchlbk-Roman" w:eastAsia="Times New Roman" w:hAnsi="NewCenturySchlbk-Roman" w:cs="NewCenturySchlbk-Roman"/>
          <w:sz w:val="20"/>
          <w:szCs w:val="20"/>
        </w:rPr>
        <w:t>I</w:t>
      </w:r>
      <w:r w:rsidRPr="002A6A56">
        <w:rPr>
          <w:rFonts w:ascii="NewCenturySchlbk-Roman" w:eastAsia="Times New Roman" w:hAnsi="NewCenturySchlbk-Roman" w:cs="NewCenturySchlbk-Roman"/>
          <w:sz w:val="15"/>
          <w:szCs w:val="15"/>
        </w:rPr>
        <w:t>NVESTIGATION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15"/>
          <w:szCs w:val="15"/>
        </w:rPr>
      </w:pPr>
      <w:r w:rsidRPr="002A6A56">
        <w:rPr>
          <w:rFonts w:ascii="NewCenturySchlbk-Roman" w:eastAsia="Times New Roman" w:hAnsi="NewCenturySchlbk-Roman" w:cs="NewCenturySchlbk-Roman"/>
          <w:sz w:val="15"/>
          <w:szCs w:val="15"/>
        </w:rPr>
        <w:t>IN GENERAL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w:t>
      </w:r>
      <w:r w:rsidRPr="002A6A56">
        <w:rPr>
          <w:rFonts w:ascii="NewCenturySchlbk-Roman" w:eastAsia="Times New Roman" w:hAnsi="NewCenturySchlbk-Roman" w:cs="NewCenturySchlbk-Roman"/>
          <w:sz w:val="15"/>
          <w:szCs w:val="15"/>
        </w:rPr>
        <w:t>EC</w:t>
      </w:r>
      <w:r w:rsidRPr="002A6A56">
        <w:rPr>
          <w:rFonts w:ascii="NewCenturySchlbk-Roman" w:eastAsia="Times New Roman" w:hAnsi="NewCenturySchlbk-Roman" w:cs="NewCenturySchlbk-Roman"/>
          <w:sz w:val="20"/>
          <w:szCs w:val="20"/>
        </w:rPr>
        <w:t>. 301.</w:t>
      </w:r>
      <w:proofErr w:type="gramEnd"/>
      <w:r w:rsidRPr="002A6A56">
        <w:rPr>
          <w:rFonts w:ascii="NewCenturySchlbk-Roman" w:eastAsia="Times New Roman" w:hAnsi="NewCenturySchlbk-Roman" w:cs="NewCenturySchlbk-Roman"/>
          <w:sz w:val="20"/>
          <w:szCs w:val="20"/>
        </w:rPr>
        <w:t xml:space="preserve"> </w:t>
      </w:r>
      <w:r w:rsidRPr="002A6A56">
        <w:rPr>
          <w:rFonts w:ascii="BGsddV01" w:eastAsia="Times New Roman" w:hAnsi="BGsddV01" w:cs="BGsddV01"/>
          <w:sz w:val="20"/>
          <w:szCs w:val="20"/>
        </w:rPr>
        <w:t>ø</w:t>
      </w:r>
      <w:r w:rsidRPr="002A6A56">
        <w:rPr>
          <w:rFonts w:ascii="NewCenturySchlbk-Roman" w:eastAsia="Times New Roman" w:hAnsi="NewCenturySchlbk-Roman" w:cs="NewCenturySchlbk-Roman"/>
          <w:sz w:val="20"/>
          <w:szCs w:val="20"/>
        </w:rPr>
        <w:t>241</w:t>
      </w:r>
      <w:r w:rsidRPr="002A6A56">
        <w:rPr>
          <w:rFonts w:ascii="BGsddV01" w:eastAsia="Times New Roman" w:hAnsi="BGsddV01" w:cs="BGsddV01"/>
          <w:sz w:val="20"/>
          <w:szCs w:val="20"/>
        </w:rPr>
        <w:t xml:space="preserve">¿ </w:t>
      </w:r>
      <w:r w:rsidRPr="002A6A56">
        <w:rPr>
          <w:rFonts w:ascii="NewCenturySchlbk-Roman" w:eastAsia="Times New Roman" w:hAnsi="NewCenturySchlbk-Roman" w:cs="NewCenturySchlbk-Roman"/>
          <w:sz w:val="20"/>
          <w:szCs w:val="20"/>
        </w:rPr>
        <w:t>(a) The Secretary shall conduct in the Service,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encourage, cooperate with, and render assistance to other appropriate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public</w:t>
      </w:r>
      <w:proofErr w:type="gramEnd"/>
      <w:r w:rsidRPr="002A6A56">
        <w:rPr>
          <w:rFonts w:ascii="NewCenturySchlbk-Roman" w:eastAsia="Times New Roman" w:hAnsi="NewCenturySchlbk-Roman" w:cs="NewCenturySchlbk-Roman"/>
          <w:sz w:val="20"/>
          <w:szCs w:val="20"/>
        </w:rPr>
        <w:t xml:space="preserve"> authorities, scientific institutions, and scientists in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conduct of, and promote the coordination of, research, investigations,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experiments</w:t>
      </w:r>
      <w:proofErr w:type="gramEnd"/>
      <w:r w:rsidRPr="002A6A56">
        <w:rPr>
          <w:rFonts w:ascii="NewCenturySchlbk-Roman" w:eastAsia="Times New Roman" w:hAnsi="NewCenturySchlbk-Roman" w:cs="NewCenturySchlbk-Roman"/>
          <w:sz w:val="20"/>
          <w:szCs w:val="20"/>
        </w:rPr>
        <w:t>, demonstrations, and studies relating to the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causes</w:t>
      </w:r>
      <w:proofErr w:type="gramEnd"/>
      <w:r w:rsidRPr="002A6A56">
        <w:rPr>
          <w:rFonts w:ascii="NewCenturySchlbk-Roman" w:eastAsia="Times New Roman" w:hAnsi="NewCenturySchlbk-Roman" w:cs="NewCenturySchlbk-Roman"/>
          <w:sz w:val="20"/>
          <w:szCs w:val="20"/>
        </w:rPr>
        <w:t>, diagnosis, treatment, control, and prevention of physical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mental diseases and impairments of man, including water purification,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sewage</w:t>
      </w:r>
      <w:proofErr w:type="gramEnd"/>
      <w:r w:rsidRPr="002A6A56">
        <w:rPr>
          <w:rFonts w:ascii="NewCenturySchlbk-Roman" w:eastAsia="Times New Roman" w:hAnsi="NewCenturySchlbk-Roman" w:cs="NewCenturySchlbk-Roman"/>
          <w:sz w:val="20"/>
          <w:szCs w:val="20"/>
        </w:rPr>
        <w:t xml:space="preserve"> treatment, and pollution of lakes and streams. In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carrying</w:t>
      </w:r>
      <w:proofErr w:type="gramEnd"/>
      <w:r w:rsidRPr="002A6A56">
        <w:rPr>
          <w:rFonts w:ascii="NewCenturySchlbk-Roman" w:eastAsia="Times New Roman" w:hAnsi="NewCenturySchlbk-Roman" w:cs="NewCenturySchlbk-Roman"/>
          <w:sz w:val="20"/>
          <w:szCs w:val="20"/>
        </w:rPr>
        <w:t xml:space="preserve"> out the foregoing the Secretary is authorized to—</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(1) </w:t>
      </w:r>
      <w:proofErr w:type="gramStart"/>
      <w:r w:rsidRPr="002A6A56">
        <w:rPr>
          <w:rFonts w:ascii="NewCenturySchlbk-Roman" w:eastAsia="Times New Roman" w:hAnsi="NewCenturySchlbk-Roman" w:cs="NewCenturySchlbk-Roman"/>
          <w:sz w:val="20"/>
          <w:szCs w:val="20"/>
        </w:rPr>
        <w:t>collect</w:t>
      </w:r>
      <w:proofErr w:type="gramEnd"/>
      <w:r w:rsidRPr="002A6A56">
        <w:rPr>
          <w:rFonts w:ascii="NewCenturySchlbk-Roman" w:eastAsia="Times New Roman" w:hAnsi="NewCenturySchlbk-Roman" w:cs="NewCenturySchlbk-Roman"/>
          <w:sz w:val="20"/>
          <w:szCs w:val="20"/>
        </w:rPr>
        <w:t xml:space="preserve"> and make available through publications and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appropriate means, information as to, and the practical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application</w:t>
      </w:r>
      <w:proofErr w:type="gramEnd"/>
      <w:r w:rsidRPr="002A6A56">
        <w:rPr>
          <w:rFonts w:ascii="NewCenturySchlbk-Roman" w:eastAsia="Times New Roman" w:hAnsi="NewCenturySchlbk-Roman" w:cs="NewCenturySchlbk-Roman"/>
          <w:sz w:val="20"/>
          <w:szCs w:val="20"/>
        </w:rPr>
        <w:t xml:space="preserve"> of, such research and other activities;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(2) </w:t>
      </w:r>
      <w:proofErr w:type="gramStart"/>
      <w:r w:rsidRPr="002A6A56">
        <w:rPr>
          <w:rFonts w:ascii="NewCenturySchlbk-Roman" w:eastAsia="Times New Roman" w:hAnsi="NewCenturySchlbk-Roman" w:cs="NewCenturySchlbk-Roman"/>
          <w:sz w:val="20"/>
          <w:szCs w:val="20"/>
        </w:rPr>
        <w:t>make</w:t>
      </w:r>
      <w:proofErr w:type="gramEnd"/>
      <w:r w:rsidRPr="002A6A56">
        <w:rPr>
          <w:rFonts w:ascii="NewCenturySchlbk-Roman" w:eastAsia="Times New Roman" w:hAnsi="NewCenturySchlbk-Roman" w:cs="NewCenturySchlbk-Roman"/>
          <w:sz w:val="20"/>
          <w:szCs w:val="20"/>
        </w:rPr>
        <w:t xml:space="preserve"> available research facilities of the Service to appropriate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public</w:t>
      </w:r>
      <w:proofErr w:type="gramEnd"/>
      <w:r w:rsidRPr="002A6A56">
        <w:rPr>
          <w:rFonts w:ascii="NewCenturySchlbk-Roman" w:eastAsia="Times New Roman" w:hAnsi="NewCenturySchlbk-Roman" w:cs="NewCenturySchlbk-Roman"/>
          <w:sz w:val="20"/>
          <w:szCs w:val="20"/>
        </w:rPr>
        <w:t xml:space="preserve"> authorities, and to health officials and scientists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engaged</w:t>
      </w:r>
      <w:proofErr w:type="gramEnd"/>
      <w:r w:rsidRPr="002A6A56">
        <w:rPr>
          <w:rFonts w:ascii="NewCenturySchlbk-Roman" w:eastAsia="Times New Roman" w:hAnsi="NewCenturySchlbk-Roman" w:cs="NewCenturySchlbk-Roman"/>
          <w:sz w:val="20"/>
          <w:szCs w:val="20"/>
        </w:rPr>
        <w:t xml:space="preserve"> in special study;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(3) make grants-in-aid to universities, hospitals, laboratories,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other public or private institutions, and to individuals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research projects as are recommended by the advisory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council</w:t>
      </w:r>
      <w:proofErr w:type="gramEnd"/>
      <w:r w:rsidRPr="002A6A56">
        <w:rPr>
          <w:rFonts w:ascii="NewCenturySchlbk-Roman" w:eastAsia="Times New Roman" w:hAnsi="NewCenturySchlbk-Roman" w:cs="NewCenturySchlbk-Roman"/>
          <w:sz w:val="20"/>
          <w:szCs w:val="20"/>
        </w:rPr>
        <w:t xml:space="preserve"> to the entity of the Department supporting such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projects</w:t>
      </w:r>
      <w:proofErr w:type="gramEnd"/>
      <w:r w:rsidRPr="002A6A56">
        <w:rPr>
          <w:rFonts w:ascii="NewCenturySchlbk-Roman" w:eastAsia="Times New Roman" w:hAnsi="NewCenturySchlbk-Roman" w:cs="NewCenturySchlbk-Roman"/>
          <w:sz w:val="20"/>
          <w:szCs w:val="20"/>
        </w:rPr>
        <w:t xml:space="preserve"> and make, upon recommendation of the advisory council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the appropriate entity of the Department, grants-in-aid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public or nonprofit universities, hospitals, laboratories, and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institutions for the general support of their research;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(4) </w:t>
      </w:r>
      <w:proofErr w:type="gramStart"/>
      <w:r w:rsidRPr="002A6A56">
        <w:rPr>
          <w:rFonts w:ascii="NewCenturySchlbk-Roman" w:eastAsia="Times New Roman" w:hAnsi="NewCenturySchlbk-Roman" w:cs="NewCenturySchlbk-Roman"/>
          <w:sz w:val="20"/>
          <w:szCs w:val="20"/>
        </w:rPr>
        <w:t>secure</w:t>
      </w:r>
      <w:proofErr w:type="gramEnd"/>
      <w:r w:rsidRPr="002A6A56">
        <w:rPr>
          <w:rFonts w:ascii="NewCenturySchlbk-Roman" w:eastAsia="Times New Roman" w:hAnsi="NewCenturySchlbk-Roman" w:cs="NewCenturySchlbk-Roman"/>
          <w:sz w:val="20"/>
          <w:szCs w:val="20"/>
        </w:rPr>
        <w:t xml:space="preserve"> from time to time and for such periods as he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deems</w:t>
      </w:r>
      <w:proofErr w:type="gramEnd"/>
      <w:r w:rsidRPr="002A6A56">
        <w:rPr>
          <w:rFonts w:ascii="NewCenturySchlbk-Roman" w:eastAsia="Times New Roman" w:hAnsi="NewCenturySchlbk-Roman" w:cs="NewCenturySchlbk-Roman"/>
          <w:sz w:val="20"/>
          <w:szCs w:val="20"/>
        </w:rPr>
        <w:t xml:space="preserve"> advisable, the assistance and advice of experts, scholars,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consultants from the United States or abroad;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(5) </w:t>
      </w: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purposes of study, admit and treat at institutions,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hospitals</w:t>
      </w:r>
      <w:proofErr w:type="gramEnd"/>
      <w:r w:rsidRPr="002A6A56">
        <w:rPr>
          <w:rFonts w:ascii="NewCenturySchlbk-Roman" w:eastAsia="Times New Roman" w:hAnsi="NewCenturySchlbk-Roman" w:cs="NewCenturySchlbk-Roman"/>
          <w:sz w:val="20"/>
          <w:szCs w:val="20"/>
        </w:rPr>
        <w:t>, and stations of the Service, persons not otherwise eligible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treatment;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(6) make available, to health officials, scientists, and appropriate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lastRenderedPageBreak/>
        <w:t>public</w:t>
      </w:r>
      <w:proofErr w:type="gramEnd"/>
      <w:r w:rsidRPr="002A6A56">
        <w:rPr>
          <w:rFonts w:ascii="NewCenturySchlbk-Roman" w:eastAsia="Times New Roman" w:hAnsi="NewCenturySchlbk-Roman" w:cs="NewCenturySchlbk-Roman"/>
          <w:sz w:val="20"/>
          <w:szCs w:val="20"/>
        </w:rPr>
        <w:t xml:space="preserve"> and other nonprofit institutions and organizations,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technical</w:t>
      </w:r>
      <w:proofErr w:type="gramEnd"/>
      <w:r w:rsidRPr="002A6A56">
        <w:rPr>
          <w:rFonts w:ascii="NewCenturySchlbk-Roman" w:eastAsia="Times New Roman" w:hAnsi="NewCenturySchlbk-Roman" w:cs="NewCenturySchlbk-Roman"/>
          <w:sz w:val="20"/>
          <w:szCs w:val="20"/>
        </w:rPr>
        <w:t xml:space="preserve"> advice and assistance on the application of statistical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methods</w:t>
      </w:r>
      <w:proofErr w:type="gramEnd"/>
      <w:r w:rsidRPr="002A6A56">
        <w:rPr>
          <w:rFonts w:ascii="NewCenturySchlbk-Roman" w:eastAsia="Times New Roman" w:hAnsi="NewCenturySchlbk-Roman" w:cs="NewCenturySchlbk-Roman"/>
          <w:sz w:val="20"/>
          <w:szCs w:val="20"/>
        </w:rPr>
        <w:t xml:space="preserve"> to experiments, studies, and surveys in health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medical fields;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(7) </w:t>
      </w:r>
      <w:proofErr w:type="gramStart"/>
      <w:r w:rsidRPr="002A6A56">
        <w:rPr>
          <w:rFonts w:ascii="NewCenturySchlbk-Roman" w:eastAsia="Times New Roman" w:hAnsi="NewCenturySchlbk-Roman" w:cs="NewCenturySchlbk-Roman"/>
          <w:sz w:val="20"/>
          <w:szCs w:val="20"/>
        </w:rPr>
        <w:t>enter</w:t>
      </w:r>
      <w:proofErr w:type="gramEnd"/>
      <w:r w:rsidRPr="002A6A56">
        <w:rPr>
          <w:rFonts w:ascii="NewCenturySchlbk-Roman" w:eastAsia="Times New Roman" w:hAnsi="NewCenturySchlbk-Roman" w:cs="NewCenturySchlbk-Roman"/>
          <w:sz w:val="20"/>
          <w:szCs w:val="20"/>
        </w:rPr>
        <w:t xml:space="preserve"> into contracts, including contracts for research in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accordance</w:t>
      </w:r>
      <w:proofErr w:type="gramEnd"/>
      <w:r w:rsidRPr="002A6A56">
        <w:rPr>
          <w:rFonts w:ascii="NewCenturySchlbk-Roman" w:eastAsia="Times New Roman" w:hAnsi="NewCenturySchlbk-Roman" w:cs="NewCenturySchlbk-Roman"/>
          <w:sz w:val="20"/>
          <w:szCs w:val="20"/>
        </w:rPr>
        <w:t xml:space="preserve"> with and subject to the provisions of law applicable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contracts entered into by the military departments under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title</w:t>
      </w:r>
      <w:proofErr w:type="gramEnd"/>
      <w:r w:rsidRPr="002A6A56">
        <w:rPr>
          <w:rFonts w:ascii="NewCenturySchlbk-Roman" w:eastAsia="Times New Roman" w:hAnsi="NewCenturySchlbk-Roman" w:cs="NewCenturySchlbk-Roman"/>
          <w:sz w:val="20"/>
          <w:szCs w:val="20"/>
        </w:rPr>
        <w:t xml:space="preserve"> 10, United States Code, sections 2353 and 2354, except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that</w:t>
      </w:r>
      <w:proofErr w:type="gramEnd"/>
      <w:r w:rsidRPr="002A6A56">
        <w:rPr>
          <w:rFonts w:ascii="NewCenturySchlbk-Roman" w:eastAsia="Times New Roman" w:hAnsi="NewCenturySchlbk-Roman" w:cs="NewCenturySchlbk-Roman"/>
          <w:sz w:val="20"/>
          <w:szCs w:val="20"/>
        </w:rPr>
        <w:t xml:space="preserve"> determination, approval, and certification required thereby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shall</w:t>
      </w:r>
      <w:proofErr w:type="gramEnd"/>
      <w:r w:rsidRPr="002A6A56">
        <w:rPr>
          <w:rFonts w:ascii="NewCenturySchlbk-Roman" w:eastAsia="Times New Roman" w:hAnsi="NewCenturySchlbk-Roman" w:cs="NewCenturySchlbk-Roman"/>
          <w:sz w:val="20"/>
          <w:szCs w:val="20"/>
        </w:rPr>
        <w:t xml:space="preserve"> be by the Secretary of Health, Education, and Welfare;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p>
    <w:p w:rsidR="009D0BA7" w:rsidRPr="002A6A56" w:rsidRDefault="009D0BA7" w:rsidP="009D0BA7">
      <w:pPr>
        <w:autoSpaceDE w:val="0"/>
        <w:autoSpaceDN w:val="0"/>
        <w:adjustRightInd w:val="0"/>
        <w:spacing w:before="120" w:after="0" w:line="240" w:lineRule="auto"/>
        <w:jc w:val="both"/>
        <w:rPr>
          <w:rFonts w:ascii="TradeGothic-BoldCondTwenty" w:eastAsia="Times New Roman" w:hAnsi="TradeGothic-BoldCondTwenty" w:cs="TradeGothic-BoldCondTwenty"/>
          <w:b/>
          <w:bCs/>
          <w:sz w:val="20"/>
          <w:szCs w:val="20"/>
        </w:rPr>
      </w:pPr>
      <w:r w:rsidRPr="002A6A56">
        <w:rPr>
          <w:rFonts w:ascii="TradeGothic-BoldCondTwenty" w:eastAsia="Times New Roman" w:hAnsi="TradeGothic-BoldCondTwenty" w:cs="TradeGothic-BoldCondTwenty"/>
          <w:b/>
          <w:bCs/>
          <w:sz w:val="20"/>
          <w:szCs w:val="20"/>
        </w:rPr>
        <w:t>Sec. 301 PUBLIC HEALTH SERVICE ACT 68</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(8) </w:t>
      </w:r>
      <w:proofErr w:type="gramStart"/>
      <w:r w:rsidRPr="002A6A56">
        <w:rPr>
          <w:rFonts w:ascii="NewCenturySchlbk-Roman" w:eastAsia="Times New Roman" w:hAnsi="NewCenturySchlbk-Roman" w:cs="NewCenturySchlbk-Roman"/>
          <w:sz w:val="20"/>
          <w:szCs w:val="20"/>
        </w:rPr>
        <w:t>adopt</w:t>
      </w:r>
      <w:proofErr w:type="gramEnd"/>
      <w:r w:rsidRPr="002A6A56">
        <w:rPr>
          <w:rFonts w:ascii="NewCenturySchlbk-Roman" w:eastAsia="Times New Roman" w:hAnsi="NewCenturySchlbk-Roman" w:cs="NewCenturySchlbk-Roman"/>
          <w:sz w:val="20"/>
          <w:szCs w:val="20"/>
        </w:rPr>
        <w:t>, upon recommendations of the advisory councils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the appropriate entities of the Department or, with respect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mental health, the National Advisory Mental Health Council,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such</w:t>
      </w:r>
      <w:proofErr w:type="gramEnd"/>
      <w:r w:rsidRPr="002A6A56">
        <w:rPr>
          <w:rFonts w:ascii="NewCenturySchlbk-Roman" w:eastAsia="Times New Roman" w:hAnsi="NewCenturySchlbk-Roman" w:cs="NewCenturySchlbk-Roman"/>
          <w:sz w:val="20"/>
          <w:szCs w:val="20"/>
        </w:rPr>
        <w:t xml:space="preserve"> additional means as the Secretary considers necessary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appropriate to carry out the purposes of this section.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The Secretary may make available to individuals and entities, for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biomedical</w:t>
      </w:r>
      <w:proofErr w:type="gramEnd"/>
      <w:r w:rsidRPr="002A6A56">
        <w:rPr>
          <w:rFonts w:ascii="NewCenturySchlbk-Roman" w:eastAsia="Times New Roman" w:hAnsi="NewCenturySchlbk-Roman" w:cs="NewCenturySchlbk-Roman"/>
          <w:sz w:val="20"/>
          <w:szCs w:val="20"/>
        </w:rPr>
        <w:t xml:space="preserve"> and behavioral research, substances and living organisms.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Such substances and organisms shall be made available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under</w:t>
      </w:r>
      <w:proofErr w:type="gramEnd"/>
      <w:r w:rsidRPr="002A6A56">
        <w:rPr>
          <w:rFonts w:ascii="NewCenturySchlbk-Roman" w:eastAsia="Times New Roman" w:hAnsi="NewCenturySchlbk-Roman" w:cs="NewCenturySchlbk-Roman"/>
          <w:sz w:val="20"/>
          <w:szCs w:val="20"/>
        </w:rPr>
        <w:t xml:space="preserve"> such terms and conditions (including payment for them) as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Secretary determines appropriate.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(b)(1) The Secretary shall conduct and may support through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grants</w:t>
      </w:r>
      <w:proofErr w:type="gramEnd"/>
      <w:r w:rsidRPr="002A6A56">
        <w:rPr>
          <w:rFonts w:ascii="NewCenturySchlbk-Roman" w:eastAsia="Times New Roman" w:hAnsi="NewCenturySchlbk-Roman" w:cs="NewCenturySchlbk-Roman"/>
          <w:sz w:val="20"/>
          <w:szCs w:val="20"/>
        </w:rPr>
        <w:t xml:space="preserve"> and contracts studies and testing of substances for carcinogenicity,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teratogenicity</w:t>
      </w:r>
      <w:proofErr w:type="gramEnd"/>
      <w:r w:rsidRPr="002A6A56">
        <w:rPr>
          <w:rFonts w:ascii="NewCenturySchlbk-Roman" w:eastAsia="Times New Roman" w:hAnsi="NewCenturySchlbk-Roman" w:cs="NewCenturySchlbk-Roman"/>
          <w:sz w:val="20"/>
          <w:szCs w:val="20"/>
        </w:rPr>
        <w:t>, mutagenicity, and other harmful biological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effects</w:t>
      </w:r>
      <w:proofErr w:type="gramEnd"/>
      <w:r w:rsidRPr="002A6A56">
        <w:rPr>
          <w:rFonts w:ascii="NewCenturySchlbk-Roman" w:eastAsia="Times New Roman" w:hAnsi="NewCenturySchlbk-Roman" w:cs="NewCenturySchlbk-Roman"/>
          <w:sz w:val="20"/>
          <w:szCs w:val="20"/>
        </w:rPr>
        <w:t>. In carrying out this paragraph, the Secretary shall consult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with</w:t>
      </w:r>
      <w:proofErr w:type="gramEnd"/>
      <w:r w:rsidRPr="002A6A56">
        <w:rPr>
          <w:rFonts w:ascii="NewCenturySchlbk-Roman" w:eastAsia="Times New Roman" w:hAnsi="NewCenturySchlbk-Roman" w:cs="NewCenturySchlbk-Roman"/>
          <w:sz w:val="20"/>
          <w:szCs w:val="20"/>
        </w:rPr>
        <w:t xml:space="preserve"> entities of the Federal Government, outside of the Department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Health, Education, and Welfare, engaged in comparable activities.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The Secretary, upon request of such an entity and under appropriate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arrangements</w:t>
      </w:r>
      <w:proofErr w:type="gramEnd"/>
      <w:r w:rsidRPr="002A6A56">
        <w:rPr>
          <w:rFonts w:ascii="NewCenturySchlbk-Roman" w:eastAsia="Times New Roman" w:hAnsi="NewCenturySchlbk-Roman" w:cs="NewCenturySchlbk-Roman"/>
          <w:sz w:val="20"/>
          <w:szCs w:val="20"/>
        </w:rPr>
        <w:t xml:space="preserve"> for the payment of expenses, may conduct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entity studies and testing of substances for carcinogenicity,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teratogenicity</w:t>
      </w:r>
      <w:proofErr w:type="gramEnd"/>
      <w:r w:rsidRPr="002A6A56">
        <w:rPr>
          <w:rFonts w:ascii="NewCenturySchlbk-Roman" w:eastAsia="Times New Roman" w:hAnsi="NewCenturySchlbk-Roman" w:cs="NewCenturySchlbk-Roman"/>
          <w:sz w:val="20"/>
          <w:szCs w:val="20"/>
        </w:rPr>
        <w:t>, mutagenicity, and other harmful biological effects.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(2)(A) The Secretary shall establish a comprehensive program</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research into the biological effects of low-level ionizing radiation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under</w:t>
      </w:r>
      <w:proofErr w:type="gramEnd"/>
      <w:r w:rsidRPr="002A6A56">
        <w:rPr>
          <w:rFonts w:ascii="NewCenturySchlbk-Roman" w:eastAsia="Times New Roman" w:hAnsi="NewCenturySchlbk-Roman" w:cs="NewCenturySchlbk-Roman"/>
          <w:sz w:val="20"/>
          <w:szCs w:val="20"/>
        </w:rPr>
        <w:t xml:space="preserve"> which program the Secretary shall conduct such research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may support such research by others through grants and contracts.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(B) The Secretary shall conduct a comprehensive review of</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lastRenderedPageBreak/>
        <w:t>Federal programs of research on the biological effects of ionizing</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radiation</w:t>
      </w:r>
      <w:proofErr w:type="gramEnd"/>
      <w:r w:rsidRPr="002A6A56">
        <w:rPr>
          <w:rFonts w:ascii="NewCenturySchlbk-Roman" w:eastAsia="Times New Roman" w:hAnsi="NewCenturySchlbk-Roman" w:cs="NewCenturySchlbk-Roman"/>
          <w:sz w:val="20"/>
          <w:szCs w:val="20"/>
        </w:rPr>
        <w: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(3) The Secretary shall conduct and may support through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grants</w:t>
      </w:r>
      <w:proofErr w:type="gramEnd"/>
      <w:r w:rsidRPr="002A6A56">
        <w:rPr>
          <w:rFonts w:ascii="NewCenturySchlbk-Roman" w:eastAsia="Times New Roman" w:hAnsi="NewCenturySchlbk-Roman" w:cs="NewCenturySchlbk-Roman"/>
          <w:sz w:val="20"/>
          <w:szCs w:val="20"/>
        </w:rPr>
        <w:t xml:space="preserve"> and contracts research and studies on human nutrition,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with</w:t>
      </w:r>
      <w:proofErr w:type="gramEnd"/>
      <w:r w:rsidRPr="002A6A56">
        <w:rPr>
          <w:rFonts w:ascii="NewCenturySchlbk-Roman" w:eastAsia="Times New Roman" w:hAnsi="NewCenturySchlbk-Roman" w:cs="NewCenturySchlbk-Roman"/>
          <w:sz w:val="20"/>
          <w:szCs w:val="20"/>
        </w:rPr>
        <w:t xml:space="preserve"> particular emphasis on the role of nutrition in the prevention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treatment of disease and on the maintenance and promotion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health, and programs for the dissemination of information respecting</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human</w:t>
      </w:r>
      <w:proofErr w:type="gramEnd"/>
      <w:r w:rsidRPr="002A6A56">
        <w:rPr>
          <w:rFonts w:ascii="NewCenturySchlbk-Roman" w:eastAsia="Times New Roman" w:hAnsi="NewCenturySchlbk-Roman" w:cs="NewCenturySchlbk-Roman"/>
          <w:sz w:val="20"/>
          <w:szCs w:val="20"/>
        </w:rPr>
        <w:t xml:space="preserve"> nutrition to health professionals and the public. In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carrying</w:t>
      </w:r>
      <w:proofErr w:type="gramEnd"/>
      <w:r w:rsidRPr="002A6A56">
        <w:rPr>
          <w:rFonts w:ascii="NewCenturySchlbk-Roman" w:eastAsia="Times New Roman" w:hAnsi="NewCenturySchlbk-Roman" w:cs="NewCenturySchlbk-Roman"/>
          <w:sz w:val="20"/>
          <w:szCs w:val="20"/>
        </w:rPr>
        <w:t xml:space="preserve"> out activities under this paragraph, the Secretary shall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provide</w:t>
      </w:r>
      <w:proofErr w:type="gramEnd"/>
      <w:r w:rsidRPr="002A6A56">
        <w:rPr>
          <w:rFonts w:ascii="NewCenturySchlbk-Roman" w:eastAsia="Times New Roman" w:hAnsi="NewCenturySchlbk-Roman" w:cs="NewCenturySchlbk-Roman"/>
          <w:sz w:val="20"/>
          <w:szCs w:val="20"/>
        </w:rPr>
        <w:t xml:space="preserve"> for the coordination of such of these activities as are performed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by</w:t>
      </w:r>
      <w:proofErr w:type="gramEnd"/>
      <w:r w:rsidRPr="002A6A56">
        <w:rPr>
          <w:rFonts w:ascii="NewCenturySchlbk-Roman" w:eastAsia="Times New Roman" w:hAnsi="NewCenturySchlbk-Roman" w:cs="NewCenturySchlbk-Roman"/>
          <w:sz w:val="20"/>
          <w:szCs w:val="20"/>
        </w:rPr>
        <w:t xml:space="preserve"> the different divisions within the Department of Health,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Education, and Welfare and shall consult with entities of the Federal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Government, outside of the Department of Health, Education,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Welfare, engaged in comparable activities. The Secretary, upon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request</w:t>
      </w:r>
      <w:proofErr w:type="gramEnd"/>
      <w:r w:rsidRPr="002A6A56">
        <w:rPr>
          <w:rFonts w:ascii="NewCenturySchlbk-Roman" w:eastAsia="Times New Roman" w:hAnsi="NewCenturySchlbk-Roman" w:cs="NewCenturySchlbk-Roman"/>
          <w:sz w:val="20"/>
          <w:szCs w:val="20"/>
        </w:rPr>
        <w:t xml:space="preserve"> of such an entity and under appropriate arrangements for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payment of expenses, may conduct and support such activities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entity.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(4) The Secretary shall publish a biennial report which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contains</w:t>
      </w:r>
      <w:proofErr w:type="gramEnd"/>
      <w:r w:rsidRPr="002A6A56">
        <w:rPr>
          <w:rFonts w:ascii="NewCenturySchlbk-Roman" w:eastAsia="Times New Roman" w:hAnsi="NewCenturySchlbk-Roman" w:cs="NewCenturySchlbk-Roman"/>
          <w:sz w:val="20"/>
          <w:szCs w:val="20"/>
        </w:rPr>
        <w: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(A)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list of all substances (i) which either are known to</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be</w:t>
      </w:r>
      <w:proofErr w:type="gramEnd"/>
      <w:r w:rsidRPr="002A6A56">
        <w:rPr>
          <w:rFonts w:ascii="NewCenturySchlbk-Roman" w:eastAsia="Times New Roman" w:hAnsi="NewCenturySchlbk-Roman" w:cs="NewCenturySchlbk-Roman"/>
          <w:sz w:val="20"/>
          <w:szCs w:val="20"/>
        </w:rPr>
        <w:t xml:space="preserve"> carcinogens or may reasonably be anticipated to be carcinogens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(ii) to which a significant number of persons residing</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the United States are exposed;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(B) </w:t>
      </w:r>
      <w:proofErr w:type="gramStart"/>
      <w:r w:rsidRPr="002A6A56">
        <w:rPr>
          <w:rFonts w:ascii="NewCenturySchlbk-Roman" w:eastAsia="Times New Roman" w:hAnsi="NewCenturySchlbk-Roman" w:cs="NewCenturySchlbk-Roman"/>
          <w:sz w:val="20"/>
          <w:szCs w:val="20"/>
        </w:rPr>
        <w:t>information</w:t>
      </w:r>
      <w:proofErr w:type="gramEnd"/>
      <w:r w:rsidRPr="002A6A56">
        <w:rPr>
          <w:rFonts w:ascii="NewCenturySchlbk-Roman" w:eastAsia="Times New Roman" w:hAnsi="NewCenturySchlbk-Roman" w:cs="NewCenturySchlbk-Roman"/>
          <w:sz w:val="20"/>
          <w:szCs w:val="20"/>
        </w:rPr>
        <w:t xml:space="preserve"> concerning the nature of such exposure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the estimated number of persons exposed to such substances;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(C)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statement identifying (i) each substance contained in</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list under subparagraph (A) for which no effluent, ambient,</w:t>
      </w:r>
    </w:p>
    <w:p w:rsidR="009D0BA7" w:rsidRPr="002A6A56" w:rsidRDefault="009D0BA7" w:rsidP="009D0BA7">
      <w:pPr>
        <w:autoSpaceDE w:val="0"/>
        <w:autoSpaceDN w:val="0"/>
        <w:adjustRightInd w:val="0"/>
        <w:spacing w:before="120" w:after="0" w:line="240" w:lineRule="auto"/>
        <w:jc w:val="both"/>
        <w:rPr>
          <w:rFonts w:ascii="TradeGothic-BoldCondTwenty" w:eastAsia="Times New Roman" w:hAnsi="TradeGothic-BoldCondTwenty" w:cs="TradeGothic-BoldCondTwenty"/>
          <w:b/>
          <w:bCs/>
          <w:sz w:val="20"/>
          <w:szCs w:val="20"/>
        </w:rPr>
      </w:pPr>
      <w:r w:rsidRPr="002A6A56">
        <w:rPr>
          <w:rFonts w:ascii="TradeGothic-BoldCondTwenty" w:eastAsia="Times New Roman" w:hAnsi="TradeGothic-BoldCondTwenty" w:cs="TradeGothic-BoldCondTwenty"/>
          <w:b/>
          <w:bCs/>
          <w:sz w:val="20"/>
          <w:szCs w:val="20"/>
        </w:rPr>
        <w:t>69 PUBLIC HEALTH SERVICE ACT Sec. 302</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exposure standard has been established by a Federal agency,</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(ii) for each effluent, ambient, or exposure standard established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by</w:t>
      </w:r>
      <w:proofErr w:type="gramEnd"/>
      <w:r w:rsidRPr="002A6A56">
        <w:rPr>
          <w:rFonts w:ascii="NewCenturySchlbk-Roman" w:eastAsia="Times New Roman" w:hAnsi="NewCenturySchlbk-Roman" w:cs="NewCenturySchlbk-Roman"/>
          <w:sz w:val="20"/>
          <w:szCs w:val="20"/>
        </w:rPr>
        <w:t xml:space="preserve"> a Federal agency with respect to a substance contained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the list under subparagraph (A), the extent to which,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on</w:t>
      </w:r>
      <w:proofErr w:type="gramEnd"/>
      <w:r w:rsidRPr="002A6A56">
        <w:rPr>
          <w:rFonts w:ascii="NewCenturySchlbk-Roman" w:eastAsia="Times New Roman" w:hAnsi="NewCenturySchlbk-Roman" w:cs="NewCenturySchlbk-Roman"/>
          <w:sz w:val="20"/>
          <w:szCs w:val="20"/>
        </w:rPr>
        <w:t xml:space="preserve"> the basis of available medical, scientific, or other data, such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standard</w:t>
      </w:r>
      <w:proofErr w:type="gramEnd"/>
      <w:r w:rsidRPr="002A6A56">
        <w:rPr>
          <w:rFonts w:ascii="NewCenturySchlbk-Roman" w:eastAsia="Times New Roman" w:hAnsi="NewCenturySchlbk-Roman" w:cs="NewCenturySchlbk-Roman"/>
          <w:sz w:val="20"/>
          <w:szCs w:val="20"/>
        </w:rPr>
        <w:t>, and the implementation of such standard by the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agency</w:t>
      </w:r>
      <w:proofErr w:type="gramEnd"/>
      <w:r w:rsidRPr="002A6A56">
        <w:rPr>
          <w:rFonts w:ascii="NewCenturySchlbk-Roman" w:eastAsia="Times New Roman" w:hAnsi="NewCenturySchlbk-Roman" w:cs="NewCenturySchlbk-Roman"/>
          <w:sz w:val="20"/>
          <w:szCs w:val="20"/>
        </w:rPr>
        <w:t>, decreases the risk to public health from exposure to</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substance; and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(D)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description of (i) each request received during the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lastRenderedPageBreak/>
        <w:t>year</w:t>
      </w:r>
      <w:proofErr w:type="gramEnd"/>
      <w:r w:rsidRPr="002A6A56">
        <w:rPr>
          <w:rFonts w:ascii="NewCenturySchlbk-Roman" w:eastAsia="Times New Roman" w:hAnsi="NewCenturySchlbk-Roman" w:cs="NewCenturySchlbk-Roman"/>
          <w:sz w:val="20"/>
          <w:szCs w:val="20"/>
        </w:rPr>
        <w:t xml:space="preserve"> involved—</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(I) from a Federal agency outside the Department of</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Health, Education, and Welfare for the Secretary, 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(II) </w:t>
      </w:r>
      <w:proofErr w:type="gramStart"/>
      <w:r w:rsidRPr="002A6A56">
        <w:rPr>
          <w:rFonts w:ascii="NewCenturySchlbk-Roman" w:eastAsia="Times New Roman" w:hAnsi="NewCenturySchlbk-Roman" w:cs="NewCenturySchlbk-Roman"/>
          <w:sz w:val="20"/>
          <w:szCs w:val="20"/>
        </w:rPr>
        <w:t>from</w:t>
      </w:r>
      <w:proofErr w:type="gramEnd"/>
      <w:r w:rsidRPr="002A6A56">
        <w:rPr>
          <w:rFonts w:ascii="NewCenturySchlbk-Roman" w:eastAsia="Times New Roman" w:hAnsi="NewCenturySchlbk-Roman" w:cs="NewCenturySchlbk-Roman"/>
          <w:sz w:val="20"/>
          <w:szCs w:val="20"/>
        </w:rPr>
        <w:t xml:space="preserve"> an entity within the Department of Health,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Education, and Welfare to any other entity within the Department,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conduct research into, or testing for, the carcinogenicity of</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substances</w:t>
      </w:r>
      <w:proofErr w:type="gramEnd"/>
      <w:r w:rsidRPr="002A6A56">
        <w:rPr>
          <w:rFonts w:ascii="NewCenturySchlbk-Roman" w:eastAsia="Times New Roman" w:hAnsi="NewCenturySchlbk-Roman" w:cs="NewCenturySchlbk-Roman"/>
          <w:sz w:val="20"/>
          <w:szCs w:val="20"/>
        </w:rPr>
        <w:t xml:space="preserve"> or to provide information described in clause (ii) of</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subparagraph</w:t>
      </w:r>
      <w:proofErr w:type="gramEnd"/>
      <w:r w:rsidRPr="002A6A56">
        <w:rPr>
          <w:rFonts w:ascii="NewCenturySchlbk-Roman" w:eastAsia="Times New Roman" w:hAnsi="NewCenturySchlbk-Roman" w:cs="NewCenturySchlbk-Roman"/>
          <w:sz w:val="20"/>
          <w:szCs w:val="20"/>
        </w:rPr>
        <w:t xml:space="preserve"> (C), and (ii) how the Secretary and each such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entity, respectively, have responded to each such request.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(5) The authority of the Secretary to enter into any contract for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conduct of any study, testing, program, research, or review, 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assessment</w:t>
      </w:r>
      <w:proofErr w:type="gramEnd"/>
      <w:r w:rsidRPr="002A6A56">
        <w:rPr>
          <w:rFonts w:ascii="NewCenturySchlbk-Roman" w:eastAsia="Times New Roman" w:hAnsi="NewCenturySchlbk-Roman" w:cs="NewCenturySchlbk-Roman"/>
          <w:sz w:val="20"/>
          <w:szCs w:val="20"/>
        </w:rPr>
        <w:t xml:space="preserve"> under this subsection shall be effective for any fiscal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year</w:t>
      </w:r>
      <w:proofErr w:type="gramEnd"/>
      <w:r w:rsidRPr="002A6A56">
        <w:rPr>
          <w:rFonts w:ascii="NewCenturySchlbk-Roman" w:eastAsia="Times New Roman" w:hAnsi="NewCenturySchlbk-Roman" w:cs="NewCenturySchlbk-Roman"/>
          <w:sz w:val="20"/>
          <w:szCs w:val="20"/>
        </w:rPr>
        <w:t xml:space="preserve"> only to such extent or in such amounts as are provided in advance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Appropriation Acts.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(c) The Secretary may conduct biomedical research, directly or</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through</w:t>
      </w:r>
      <w:proofErr w:type="gramEnd"/>
      <w:r w:rsidRPr="002A6A56">
        <w:rPr>
          <w:rFonts w:ascii="NewCenturySchlbk-Roman" w:eastAsia="Times New Roman" w:hAnsi="NewCenturySchlbk-Roman" w:cs="NewCenturySchlbk-Roman"/>
          <w:sz w:val="20"/>
          <w:szCs w:val="20"/>
        </w:rPr>
        <w:t xml:space="preserve"> grants or contracts, for the identification, control, treatment,</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prevention of diseases (including tropical diseases)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which</w:t>
      </w:r>
      <w:proofErr w:type="gramEnd"/>
      <w:r w:rsidRPr="002A6A56">
        <w:rPr>
          <w:rFonts w:ascii="NewCenturySchlbk-Roman" w:eastAsia="Times New Roman" w:hAnsi="NewCenturySchlbk-Roman" w:cs="NewCenturySchlbk-Roman"/>
          <w:sz w:val="20"/>
          <w:szCs w:val="20"/>
        </w:rPr>
        <w:t xml:space="preserve"> do not occur to a significant extent in the United States.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(d) The Secretary may authorize persons engaged in biomedical,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behavioral</w:t>
      </w:r>
      <w:proofErr w:type="gramEnd"/>
      <w:r w:rsidRPr="002A6A56">
        <w:rPr>
          <w:rFonts w:ascii="NewCenturySchlbk-Roman" w:eastAsia="Times New Roman" w:hAnsi="NewCenturySchlbk-Roman" w:cs="NewCenturySchlbk-Roman"/>
          <w:sz w:val="20"/>
          <w:szCs w:val="20"/>
        </w:rPr>
        <w:t>, clinical, or other research (including research</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on</w:t>
      </w:r>
      <w:proofErr w:type="gramEnd"/>
      <w:r w:rsidRPr="002A6A56">
        <w:rPr>
          <w:rFonts w:ascii="NewCenturySchlbk-Roman" w:eastAsia="Times New Roman" w:hAnsi="NewCenturySchlbk-Roman" w:cs="NewCenturySchlbk-Roman"/>
          <w:sz w:val="20"/>
          <w:szCs w:val="20"/>
        </w:rPr>
        <w:t xml:space="preserve"> mental health, including research on the use and effect of alcohol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other psychoactive drugs) to protect the privacy of individuals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who</w:t>
      </w:r>
      <w:proofErr w:type="gramEnd"/>
      <w:r w:rsidRPr="002A6A56">
        <w:rPr>
          <w:rFonts w:ascii="NewCenturySchlbk-Roman" w:eastAsia="Times New Roman" w:hAnsi="NewCenturySchlbk-Roman" w:cs="NewCenturySchlbk-Roman"/>
          <w:sz w:val="20"/>
          <w:szCs w:val="20"/>
        </w:rPr>
        <w:t xml:space="preserve"> are the subject of such research by withholding from all</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persons</w:t>
      </w:r>
      <w:proofErr w:type="gramEnd"/>
      <w:r w:rsidRPr="002A6A56">
        <w:rPr>
          <w:rFonts w:ascii="NewCenturySchlbk-Roman" w:eastAsia="Times New Roman" w:hAnsi="NewCenturySchlbk-Roman" w:cs="NewCenturySchlbk-Roman"/>
          <w:sz w:val="20"/>
          <w:szCs w:val="20"/>
        </w:rPr>
        <w:t xml:space="preserve"> not connected with the conduct of such research the names</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other identifying characteristics of such individuals. Persons so</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authorized</w:t>
      </w:r>
      <w:proofErr w:type="gramEnd"/>
      <w:r w:rsidRPr="002A6A56">
        <w:rPr>
          <w:rFonts w:ascii="NewCenturySchlbk-Roman" w:eastAsia="Times New Roman" w:hAnsi="NewCenturySchlbk-Roman" w:cs="NewCenturySchlbk-Roman"/>
          <w:sz w:val="20"/>
          <w:szCs w:val="20"/>
        </w:rPr>
        <w:t xml:space="preserve"> to protect the privacy of such individuals may not be</w:t>
      </w:r>
    </w:p>
    <w:p w:rsidR="009D0BA7" w:rsidRPr="002A6A56" w:rsidRDefault="009D0BA7" w:rsidP="009D0BA7">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compelled</w:t>
      </w:r>
      <w:proofErr w:type="gramEnd"/>
      <w:r w:rsidRPr="002A6A56">
        <w:rPr>
          <w:rFonts w:ascii="NewCenturySchlbk-Roman" w:eastAsia="Times New Roman" w:hAnsi="NewCenturySchlbk-Roman" w:cs="NewCenturySchlbk-Roman"/>
          <w:sz w:val="20"/>
          <w:szCs w:val="20"/>
        </w:rPr>
        <w:t xml:space="preserve"> in any Federal, State, or local civil, criminal, administrative,</w:t>
      </w:r>
    </w:p>
    <w:p w:rsidR="009D0BA7" w:rsidRPr="002A6A56" w:rsidRDefault="009D0BA7" w:rsidP="009D0BA7">
      <w:pPr>
        <w:spacing w:before="120" w:after="120" w:line="240" w:lineRule="auto"/>
        <w:jc w:val="both"/>
        <w:rPr>
          <w:rFonts w:ascii="Times New Roman" w:eastAsia="Times New Roman" w:hAnsi="Times New Roman" w:cs="Times New Roman"/>
          <w:sz w:val="24"/>
          <w:szCs w:val="20"/>
        </w:rPr>
      </w:pPr>
      <w:proofErr w:type="gramStart"/>
      <w:r w:rsidRPr="002A6A56">
        <w:rPr>
          <w:rFonts w:ascii="NewCenturySchlbk-Roman" w:eastAsia="Times New Roman" w:hAnsi="NewCenturySchlbk-Roman" w:cs="NewCenturySchlbk-Roman"/>
          <w:sz w:val="20"/>
          <w:szCs w:val="20"/>
        </w:rPr>
        <w:t>legislative</w:t>
      </w:r>
      <w:proofErr w:type="gramEnd"/>
      <w:r w:rsidRPr="002A6A56">
        <w:rPr>
          <w:rFonts w:ascii="NewCenturySchlbk-Roman" w:eastAsia="Times New Roman" w:hAnsi="NewCenturySchlbk-Roman" w:cs="NewCenturySchlbk-Roman"/>
          <w:sz w:val="20"/>
          <w:szCs w:val="20"/>
        </w:rPr>
        <w:t>, or other proceedings to identify such individuals.</w:t>
      </w:r>
    </w:p>
    <w:p w:rsidR="009D0BA7" w:rsidRPr="002A6A56" w:rsidRDefault="009D0BA7" w:rsidP="009D0BA7">
      <w:pPr>
        <w:spacing w:before="120" w:after="120" w:line="240" w:lineRule="auto"/>
        <w:jc w:val="both"/>
        <w:rPr>
          <w:rFonts w:ascii="Times New Roman" w:eastAsia="Times New Roman" w:hAnsi="Times New Roman" w:cs="Times New Roman"/>
          <w:sz w:val="24"/>
          <w:szCs w:val="20"/>
        </w:rPr>
      </w:pPr>
    </w:p>
    <w:p w:rsidR="004B021F" w:rsidRDefault="004B021F"/>
    <w:sectPr w:rsidR="004B02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A7" w:rsidRDefault="009D0BA7" w:rsidP="009D0BA7">
      <w:pPr>
        <w:spacing w:after="0" w:line="240" w:lineRule="auto"/>
      </w:pPr>
      <w:r>
        <w:separator/>
      </w:r>
    </w:p>
  </w:endnote>
  <w:endnote w:type="continuationSeparator" w:id="0">
    <w:p w:rsidR="009D0BA7" w:rsidRDefault="009D0BA7" w:rsidP="009D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BGsddV01">
    <w:panose1 w:val="00000000000000000000"/>
    <w:charset w:val="00"/>
    <w:family w:val="auto"/>
    <w:notTrueType/>
    <w:pitch w:val="default"/>
    <w:sig w:usb0="00000003" w:usb1="00000000" w:usb2="00000000" w:usb3="00000000" w:csb0="00000001" w:csb1="00000000"/>
  </w:font>
  <w:font w:name="TradeGothic-BoldCondTwent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A7" w:rsidRDefault="009D0BA7" w:rsidP="009D0BA7">
      <w:pPr>
        <w:spacing w:after="0" w:line="240" w:lineRule="auto"/>
      </w:pPr>
      <w:r>
        <w:separator/>
      </w:r>
    </w:p>
  </w:footnote>
  <w:footnote w:type="continuationSeparator" w:id="0">
    <w:p w:rsidR="009D0BA7" w:rsidRDefault="009D0BA7" w:rsidP="009D0BA7">
      <w:pPr>
        <w:spacing w:after="0" w:line="240" w:lineRule="auto"/>
      </w:pPr>
      <w:r>
        <w:continuationSeparator/>
      </w:r>
    </w:p>
  </w:footnote>
  <w:footnote w:id="1">
    <w:p w:rsidR="009D0BA7" w:rsidRDefault="009D0BA7" w:rsidP="009D0BA7">
      <w:pPr>
        <w:pStyle w:val="FootnoteText"/>
      </w:pPr>
      <w:r>
        <w:rPr>
          <w:rStyle w:val="FootnoteReference"/>
        </w:rPr>
        <w:footnoteRef/>
      </w:r>
      <w:r>
        <w:t xml:space="preserve"> </w:t>
      </w:r>
      <w:proofErr w:type="gramStart"/>
      <w:r w:rsidRPr="005A069C">
        <w:rPr>
          <w:sz w:val="20"/>
        </w:rPr>
        <w:t>Indian Health Service.</w:t>
      </w:r>
      <w:proofErr w:type="gramEnd"/>
      <w:r w:rsidRPr="005A069C">
        <w:rPr>
          <w:sz w:val="20"/>
        </w:rPr>
        <w:t xml:space="preserve"> </w:t>
      </w:r>
      <w:proofErr w:type="gramStart"/>
      <w:r w:rsidRPr="005A069C">
        <w:rPr>
          <w:sz w:val="20"/>
        </w:rPr>
        <w:t>Locations.</w:t>
      </w:r>
      <w:proofErr w:type="gramEnd"/>
      <w:r w:rsidRPr="005A069C">
        <w:rPr>
          <w:sz w:val="20"/>
        </w:rPr>
        <w:t xml:space="preserve"> Available at: http://www.ihs.gov/locations/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D3348"/>
    <w:multiLevelType w:val="hybridMultilevel"/>
    <w:tmpl w:val="6D40C524"/>
    <w:lvl w:ilvl="0" w:tplc="9EB28E9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254A6"/>
    <w:multiLevelType w:val="hybridMultilevel"/>
    <w:tmpl w:val="568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6375A"/>
    <w:multiLevelType w:val="hybridMultilevel"/>
    <w:tmpl w:val="9C6A3078"/>
    <w:lvl w:ilvl="0" w:tplc="DA044E9E">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A7"/>
    <w:rsid w:val="004B021F"/>
    <w:rsid w:val="009D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A7"/>
    <w:pPr>
      <w:spacing w:after="160" w:line="259" w:lineRule="auto"/>
    </w:pPr>
  </w:style>
  <w:style w:type="paragraph" w:styleId="Heading1">
    <w:name w:val="heading 1"/>
    <w:basedOn w:val="ListParagraph"/>
    <w:next w:val="Normal"/>
    <w:link w:val="Heading1Char"/>
    <w:uiPriority w:val="9"/>
    <w:qFormat/>
    <w:rsid w:val="009D0BA7"/>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9D0BA7"/>
    <w:pPr>
      <w:numPr>
        <w:numId w:val="2"/>
      </w:numPr>
      <w:outlineLvl w:val="1"/>
    </w:pPr>
    <w:rPr>
      <w:rFonts w:ascii="Garamond" w:hAnsi="Garamond"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7"/>
    <w:rPr>
      <w:rFonts w:ascii="Garamond" w:hAnsi="Garamond" w:cs="Times New Roman"/>
      <w:b/>
      <w:smallCaps/>
      <w:sz w:val="26"/>
      <w:szCs w:val="24"/>
    </w:rPr>
  </w:style>
  <w:style w:type="character" w:customStyle="1" w:styleId="Heading2Char">
    <w:name w:val="Heading 2 Char"/>
    <w:basedOn w:val="DefaultParagraphFont"/>
    <w:link w:val="Heading2"/>
    <w:uiPriority w:val="9"/>
    <w:rsid w:val="009D0BA7"/>
    <w:rPr>
      <w:rFonts w:ascii="Garamond" w:hAnsi="Garamond" w:cs="Times New Roman"/>
      <w:b/>
      <w:i/>
      <w:sz w:val="24"/>
    </w:rPr>
  </w:style>
  <w:style w:type="paragraph" w:styleId="ListParagraph">
    <w:name w:val="List Paragraph"/>
    <w:basedOn w:val="Normal"/>
    <w:uiPriority w:val="34"/>
    <w:qFormat/>
    <w:rsid w:val="009D0BA7"/>
    <w:pPr>
      <w:ind w:left="720"/>
      <w:contextualSpacing/>
    </w:pPr>
  </w:style>
  <w:style w:type="paragraph" w:customStyle="1" w:styleId="ExhibitTitle">
    <w:name w:val="Exhibit Title"/>
    <w:basedOn w:val="Normal"/>
    <w:rsid w:val="009D0BA7"/>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TableTextLeft">
    <w:name w:val="Table Text Left"/>
    <w:basedOn w:val="Normal"/>
    <w:rsid w:val="009D0BA7"/>
    <w:pPr>
      <w:spacing w:before="40" w:after="40" w:line="240" w:lineRule="auto"/>
    </w:pPr>
    <w:rPr>
      <w:rFonts w:ascii="Garamond" w:eastAsia="Times New Roman" w:hAnsi="Garamond" w:cs="Times New Roman"/>
      <w:sz w:val="24"/>
      <w:szCs w:val="24"/>
    </w:rPr>
  </w:style>
  <w:style w:type="paragraph" w:styleId="FootnoteText">
    <w:name w:val="footnote text"/>
    <w:basedOn w:val="Normal"/>
    <w:link w:val="FootnoteTextChar"/>
    <w:semiHidden/>
    <w:rsid w:val="009D0BA7"/>
    <w:pPr>
      <w:tabs>
        <w:tab w:val="left" w:pos="288"/>
      </w:tabs>
      <w:spacing w:after="60" w:line="240" w:lineRule="auto"/>
      <w:ind w:left="288" w:hanging="288"/>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9D0BA7"/>
    <w:rPr>
      <w:rFonts w:ascii="Times New Roman" w:eastAsia="Times New Roman" w:hAnsi="Times New Roman" w:cs="Times New Roman"/>
      <w:szCs w:val="20"/>
    </w:rPr>
  </w:style>
  <w:style w:type="character" w:styleId="FootnoteReference">
    <w:name w:val="footnote reference"/>
    <w:basedOn w:val="DefaultParagraphFont"/>
    <w:semiHidden/>
    <w:rsid w:val="009D0BA7"/>
    <w:rPr>
      <w:rFonts w:cs="Times New Roman"/>
      <w:vertAlign w:val="superscript"/>
    </w:rPr>
  </w:style>
  <w:style w:type="paragraph" w:customStyle="1" w:styleId="TableTitle">
    <w:name w:val="Table Title"/>
    <w:basedOn w:val="BodyTextIndent"/>
    <w:rsid w:val="009D0BA7"/>
    <w:pPr>
      <w:spacing w:before="60" w:after="60" w:line="240" w:lineRule="auto"/>
      <w:ind w:left="0"/>
      <w:jc w:val="center"/>
    </w:pPr>
    <w:rPr>
      <w:rFonts w:ascii="Garamond" w:eastAsia="Times New Roman" w:hAnsi="Garamond" w:cs="Times New Roman"/>
      <w:sz w:val="23"/>
      <w:szCs w:val="20"/>
    </w:rPr>
  </w:style>
  <w:style w:type="paragraph" w:styleId="BodyText">
    <w:name w:val="Body Text"/>
    <w:basedOn w:val="Normal"/>
    <w:link w:val="BodyTextChar"/>
    <w:uiPriority w:val="99"/>
    <w:unhideWhenUsed/>
    <w:rsid w:val="009D0BA7"/>
    <w:pPr>
      <w:spacing w:after="120"/>
    </w:pPr>
  </w:style>
  <w:style w:type="character" w:customStyle="1" w:styleId="BodyTextChar">
    <w:name w:val="Body Text Char"/>
    <w:basedOn w:val="DefaultParagraphFont"/>
    <w:link w:val="BodyText"/>
    <w:uiPriority w:val="99"/>
    <w:rsid w:val="009D0BA7"/>
  </w:style>
  <w:style w:type="paragraph" w:styleId="BodyTextIndent">
    <w:name w:val="Body Text Indent"/>
    <w:basedOn w:val="Normal"/>
    <w:link w:val="BodyTextIndentChar"/>
    <w:uiPriority w:val="99"/>
    <w:semiHidden/>
    <w:unhideWhenUsed/>
    <w:rsid w:val="009D0BA7"/>
    <w:pPr>
      <w:spacing w:after="120"/>
      <w:ind w:left="360"/>
    </w:pPr>
  </w:style>
  <w:style w:type="character" w:customStyle="1" w:styleId="BodyTextIndentChar">
    <w:name w:val="Body Text Indent Char"/>
    <w:basedOn w:val="DefaultParagraphFont"/>
    <w:link w:val="BodyTextIndent"/>
    <w:uiPriority w:val="99"/>
    <w:semiHidden/>
    <w:rsid w:val="009D0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A7"/>
    <w:pPr>
      <w:spacing w:after="160" w:line="259" w:lineRule="auto"/>
    </w:pPr>
  </w:style>
  <w:style w:type="paragraph" w:styleId="Heading1">
    <w:name w:val="heading 1"/>
    <w:basedOn w:val="ListParagraph"/>
    <w:next w:val="Normal"/>
    <w:link w:val="Heading1Char"/>
    <w:uiPriority w:val="9"/>
    <w:qFormat/>
    <w:rsid w:val="009D0BA7"/>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9D0BA7"/>
    <w:pPr>
      <w:numPr>
        <w:numId w:val="2"/>
      </w:numPr>
      <w:outlineLvl w:val="1"/>
    </w:pPr>
    <w:rPr>
      <w:rFonts w:ascii="Garamond" w:hAnsi="Garamond"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7"/>
    <w:rPr>
      <w:rFonts w:ascii="Garamond" w:hAnsi="Garamond" w:cs="Times New Roman"/>
      <w:b/>
      <w:smallCaps/>
      <w:sz w:val="26"/>
      <w:szCs w:val="24"/>
    </w:rPr>
  </w:style>
  <w:style w:type="character" w:customStyle="1" w:styleId="Heading2Char">
    <w:name w:val="Heading 2 Char"/>
    <w:basedOn w:val="DefaultParagraphFont"/>
    <w:link w:val="Heading2"/>
    <w:uiPriority w:val="9"/>
    <w:rsid w:val="009D0BA7"/>
    <w:rPr>
      <w:rFonts w:ascii="Garamond" w:hAnsi="Garamond" w:cs="Times New Roman"/>
      <w:b/>
      <w:i/>
      <w:sz w:val="24"/>
    </w:rPr>
  </w:style>
  <w:style w:type="paragraph" w:styleId="ListParagraph">
    <w:name w:val="List Paragraph"/>
    <w:basedOn w:val="Normal"/>
    <w:uiPriority w:val="34"/>
    <w:qFormat/>
    <w:rsid w:val="009D0BA7"/>
    <w:pPr>
      <w:ind w:left="720"/>
      <w:contextualSpacing/>
    </w:pPr>
  </w:style>
  <w:style w:type="paragraph" w:customStyle="1" w:styleId="ExhibitTitle">
    <w:name w:val="Exhibit Title"/>
    <w:basedOn w:val="Normal"/>
    <w:rsid w:val="009D0BA7"/>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TableTextLeft">
    <w:name w:val="Table Text Left"/>
    <w:basedOn w:val="Normal"/>
    <w:rsid w:val="009D0BA7"/>
    <w:pPr>
      <w:spacing w:before="40" w:after="40" w:line="240" w:lineRule="auto"/>
    </w:pPr>
    <w:rPr>
      <w:rFonts w:ascii="Garamond" w:eastAsia="Times New Roman" w:hAnsi="Garamond" w:cs="Times New Roman"/>
      <w:sz w:val="24"/>
      <w:szCs w:val="24"/>
    </w:rPr>
  </w:style>
  <w:style w:type="paragraph" w:styleId="FootnoteText">
    <w:name w:val="footnote text"/>
    <w:basedOn w:val="Normal"/>
    <w:link w:val="FootnoteTextChar"/>
    <w:semiHidden/>
    <w:rsid w:val="009D0BA7"/>
    <w:pPr>
      <w:tabs>
        <w:tab w:val="left" w:pos="288"/>
      </w:tabs>
      <w:spacing w:after="60" w:line="240" w:lineRule="auto"/>
      <w:ind w:left="288" w:hanging="288"/>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9D0BA7"/>
    <w:rPr>
      <w:rFonts w:ascii="Times New Roman" w:eastAsia="Times New Roman" w:hAnsi="Times New Roman" w:cs="Times New Roman"/>
      <w:szCs w:val="20"/>
    </w:rPr>
  </w:style>
  <w:style w:type="character" w:styleId="FootnoteReference">
    <w:name w:val="footnote reference"/>
    <w:basedOn w:val="DefaultParagraphFont"/>
    <w:semiHidden/>
    <w:rsid w:val="009D0BA7"/>
    <w:rPr>
      <w:rFonts w:cs="Times New Roman"/>
      <w:vertAlign w:val="superscript"/>
    </w:rPr>
  </w:style>
  <w:style w:type="paragraph" w:customStyle="1" w:styleId="TableTitle">
    <w:name w:val="Table Title"/>
    <w:basedOn w:val="BodyTextIndent"/>
    <w:rsid w:val="009D0BA7"/>
    <w:pPr>
      <w:spacing w:before="60" w:after="60" w:line="240" w:lineRule="auto"/>
      <w:ind w:left="0"/>
      <w:jc w:val="center"/>
    </w:pPr>
    <w:rPr>
      <w:rFonts w:ascii="Garamond" w:eastAsia="Times New Roman" w:hAnsi="Garamond" w:cs="Times New Roman"/>
      <w:sz w:val="23"/>
      <w:szCs w:val="20"/>
    </w:rPr>
  </w:style>
  <w:style w:type="paragraph" w:styleId="BodyText">
    <w:name w:val="Body Text"/>
    <w:basedOn w:val="Normal"/>
    <w:link w:val="BodyTextChar"/>
    <w:uiPriority w:val="99"/>
    <w:unhideWhenUsed/>
    <w:rsid w:val="009D0BA7"/>
    <w:pPr>
      <w:spacing w:after="120"/>
    </w:pPr>
  </w:style>
  <w:style w:type="character" w:customStyle="1" w:styleId="BodyTextChar">
    <w:name w:val="Body Text Char"/>
    <w:basedOn w:val="DefaultParagraphFont"/>
    <w:link w:val="BodyText"/>
    <w:uiPriority w:val="99"/>
    <w:rsid w:val="009D0BA7"/>
  </w:style>
  <w:style w:type="paragraph" w:styleId="BodyTextIndent">
    <w:name w:val="Body Text Indent"/>
    <w:basedOn w:val="Normal"/>
    <w:link w:val="BodyTextIndentChar"/>
    <w:uiPriority w:val="99"/>
    <w:semiHidden/>
    <w:unhideWhenUsed/>
    <w:rsid w:val="009D0BA7"/>
    <w:pPr>
      <w:spacing w:after="120"/>
      <w:ind w:left="360"/>
    </w:pPr>
  </w:style>
  <w:style w:type="character" w:customStyle="1" w:styleId="BodyTextIndentChar">
    <w:name w:val="Body Text Indent Char"/>
    <w:basedOn w:val="DefaultParagraphFont"/>
    <w:link w:val="BodyTextIndent"/>
    <w:uiPriority w:val="99"/>
    <w:semiHidden/>
    <w:rsid w:val="009D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2015-06-12T15:39:00Z</dcterms:created>
  <dcterms:modified xsi:type="dcterms:W3CDTF">2015-06-12T15:41:00Z</dcterms:modified>
</cp:coreProperties>
</file>