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C1" w:rsidRPr="008A0316" w:rsidRDefault="00944543" w:rsidP="008A0316">
      <w:pPr>
        <w:jc w:val="center"/>
        <w:rPr>
          <w:b/>
          <w:szCs w:val="24"/>
        </w:rPr>
      </w:pPr>
      <w:r>
        <w:rPr>
          <w:b/>
          <w:szCs w:val="24"/>
        </w:rPr>
        <w:t>S</w:t>
      </w:r>
      <w:r w:rsidR="00F80CB5" w:rsidRPr="008A0316">
        <w:rPr>
          <w:b/>
          <w:szCs w:val="24"/>
        </w:rPr>
        <w:t>upporting Statement for</w:t>
      </w:r>
    </w:p>
    <w:p w:rsidR="00CB6D56" w:rsidRPr="008A0316" w:rsidRDefault="00CB6D56" w:rsidP="00CB6D56">
      <w:pPr>
        <w:jc w:val="center"/>
        <w:rPr>
          <w:b/>
          <w:szCs w:val="24"/>
        </w:rPr>
      </w:pPr>
      <w:r w:rsidRPr="008A0316">
        <w:rPr>
          <w:b/>
          <w:szCs w:val="24"/>
        </w:rPr>
        <w:t xml:space="preserve">Representative Payment </w:t>
      </w:r>
      <w:r w:rsidR="00A3782D">
        <w:rPr>
          <w:b/>
          <w:szCs w:val="24"/>
        </w:rPr>
        <w:t xml:space="preserve">Policies </w:t>
      </w:r>
      <w:r w:rsidRPr="008A0316">
        <w:rPr>
          <w:b/>
          <w:szCs w:val="24"/>
        </w:rPr>
        <w:t>Regulation</w:t>
      </w:r>
    </w:p>
    <w:p w:rsidR="0010327F" w:rsidRPr="0010327F" w:rsidRDefault="00047590" w:rsidP="001D611C">
      <w:pPr>
        <w:jc w:val="center"/>
        <w:rPr>
          <w:b/>
          <w:bCs/>
        </w:rPr>
      </w:pPr>
      <w:proofErr w:type="gramStart"/>
      <w:r>
        <w:rPr>
          <w:b/>
          <w:bCs/>
        </w:rPr>
        <w:t>20</w:t>
      </w:r>
      <w:proofErr w:type="gramEnd"/>
      <w:r>
        <w:rPr>
          <w:b/>
          <w:bCs/>
        </w:rPr>
        <w:t xml:space="preserve"> CFR 404.2011, </w:t>
      </w:r>
      <w:r w:rsidR="0010327F" w:rsidRPr="0010327F">
        <w:rPr>
          <w:b/>
          <w:bCs/>
        </w:rPr>
        <w:t>404.2025</w:t>
      </w:r>
      <w:r>
        <w:rPr>
          <w:b/>
          <w:bCs/>
        </w:rPr>
        <w:t>, 416.611 &amp; 416.625</w:t>
      </w:r>
    </w:p>
    <w:p w:rsidR="00CB6D56" w:rsidRPr="008A0316" w:rsidRDefault="00CB6D56" w:rsidP="001D611C">
      <w:pPr>
        <w:jc w:val="center"/>
        <w:rPr>
          <w:b/>
          <w:szCs w:val="24"/>
        </w:rPr>
      </w:pPr>
      <w:r w:rsidRPr="008A0316">
        <w:rPr>
          <w:b/>
          <w:szCs w:val="24"/>
        </w:rPr>
        <w:t>OMB No. 0960-</w:t>
      </w:r>
      <w:r w:rsidR="008A0316">
        <w:rPr>
          <w:b/>
          <w:szCs w:val="24"/>
        </w:rPr>
        <w:t>0679</w:t>
      </w:r>
    </w:p>
    <w:p w:rsidR="00F80CB5" w:rsidRPr="008A0316" w:rsidRDefault="00F80CB5">
      <w:pPr>
        <w:rPr>
          <w:b/>
          <w:szCs w:val="24"/>
        </w:rPr>
      </w:pPr>
    </w:p>
    <w:p w:rsidR="00F80CB5" w:rsidRPr="008A0316" w:rsidRDefault="00F80CB5" w:rsidP="00666CA6">
      <w:pPr>
        <w:numPr>
          <w:ilvl w:val="0"/>
          <w:numId w:val="1"/>
        </w:numPr>
        <w:tabs>
          <w:tab w:val="clear" w:pos="360"/>
          <w:tab w:val="num" w:pos="720"/>
        </w:tabs>
        <w:rPr>
          <w:b/>
          <w:szCs w:val="24"/>
          <w:u w:val="single"/>
        </w:rPr>
      </w:pPr>
      <w:r w:rsidRPr="008A0316">
        <w:rPr>
          <w:b/>
          <w:szCs w:val="24"/>
          <w:u w:val="single"/>
        </w:rPr>
        <w:t>Justification</w:t>
      </w:r>
    </w:p>
    <w:p w:rsidR="00F80CB5" w:rsidRDefault="00F80CB5">
      <w:pPr>
        <w:rPr>
          <w:b/>
          <w:u w:val="single"/>
        </w:rPr>
      </w:pPr>
    </w:p>
    <w:p w:rsidR="00144F3B" w:rsidRDefault="00954BB7" w:rsidP="00144F3B">
      <w:pPr>
        <w:widowControl w:val="0"/>
        <w:numPr>
          <w:ilvl w:val="0"/>
          <w:numId w:val="2"/>
        </w:numPr>
        <w:tabs>
          <w:tab w:val="left" w:pos="1440"/>
        </w:tabs>
        <w:ind w:hanging="1170"/>
        <w:rPr>
          <w:b/>
        </w:rPr>
      </w:pPr>
      <w:r>
        <w:rPr>
          <w:b/>
        </w:rPr>
        <w:t>Introduction/</w:t>
      </w:r>
      <w:r w:rsidRPr="00BC7F42">
        <w:rPr>
          <w:b/>
        </w:rPr>
        <w:t>Authoring Laws and Regulations</w:t>
      </w:r>
    </w:p>
    <w:p w:rsidR="00144F3B" w:rsidRPr="00144F3B" w:rsidRDefault="00144F3B" w:rsidP="00144F3B">
      <w:pPr>
        <w:widowControl w:val="0"/>
        <w:tabs>
          <w:tab w:val="left" w:pos="1440"/>
        </w:tabs>
        <w:ind w:left="720"/>
        <w:rPr>
          <w:b/>
        </w:rPr>
      </w:pPr>
      <w:proofErr w:type="gramStart"/>
      <w:r w:rsidRPr="0051502F">
        <w:t xml:space="preserve">Sections </w:t>
      </w:r>
      <w:r w:rsidRPr="00144F3B">
        <w:rPr>
          <w:i/>
        </w:rPr>
        <w:t xml:space="preserve">205(j)(1)(D) </w:t>
      </w:r>
      <w:r w:rsidRPr="009A0696">
        <w:t>and</w:t>
      </w:r>
      <w:r w:rsidRPr="00144F3B">
        <w:rPr>
          <w:i/>
        </w:rPr>
        <w:t xml:space="preserve"> (3)(A)</w:t>
      </w:r>
      <w:r w:rsidR="00307D17">
        <w:rPr>
          <w:i/>
        </w:rPr>
        <w:t>;</w:t>
      </w:r>
      <w:r w:rsidRPr="00144F3B">
        <w:rPr>
          <w:i/>
        </w:rPr>
        <w:t xml:space="preserve"> 702(a)(5)</w:t>
      </w:r>
      <w:r w:rsidR="00307D17">
        <w:rPr>
          <w:i/>
        </w:rPr>
        <w:t>;</w:t>
      </w:r>
      <w:r w:rsidRPr="00144F3B">
        <w:rPr>
          <w:i/>
        </w:rPr>
        <w:t xml:space="preserve">1631(a)(2)(B)(viii) </w:t>
      </w:r>
      <w:r>
        <w:t>a</w:t>
      </w:r>
      <w:r w:rsidRPr="00E87965">
        <w:t xml:space="preserve">nd </w:t>
      </w:r>
      <w:r w:rsidRPr="00144F3B">
        <w:rPr>
          <w:i/>
        </w:rPr>
        <w:t>(C)(1)</w:t>
      </w:r>
      <w:r w:rsidR="00307D17">
        <w:rPr>
          <w:i/>
        </w:rPr>
        <w:t>;</w:t>
      </w:r>
      <w:r w:rsidRPr="00144F3B">
        <w:rPr>
          <w:i/>
        </w:rPr>
        <w:t xml:space="preserve"> </w:t>
      </w:r>
      <w:r w:rsidRPr="008A0316">
        <w:t>and</w:t>
      </w:r>
      <w:r w:rsidRPr="00144F3B">
        <w:rPr>
          <w:i/>
        </w:rPr>
        <w:t xml:space="preserve"> 807 </w:t>
      </w:r>
      <w:r w:rsidRPr="008A0316">
        <w:t>of the</w:t>
      </w:r>
      <w:r w:rsidRPr="00144F3B">
        <w:rPr>
          <w:i/>
        </w:rPr>
        <w:t xml:space="preserve"> Social Security Act</w:t>
      </w:r>
      <w:r w:rsidR="00307D17">
        <w:rPr>
          <w:iCs/>
        </w:rPr>
        <w:t>,</w:t>
      </w:r>
      <w:r w:rsidRPr="00144F3B">
        <w:rPr>
          <w:iCs/>
        </w:rPr>
        <w:t xml:space="preserve"> </w:t>
      </w:r>
      <w:r w:rsidRPr="008A0316">
        <w:t xml:space="preserve">and </w:t>
      </w:r>
      <w:r w:rsidRPr="00307D17">
        <w:t>Section</w:t>
      </w:r>
      <w:r w:rsidRPr="00144F3B">
        <w:rPr>
          <w:i/>
        </w:rPr>
        <w:t xml:space="preserve"> 251(a), </w:t>
      </w:r>
      <w:r w:rsidRPr="00307D17">
        <w:t>Subsection</w:t>
      </w:r>
      <w:r w:rsidRPr="00144F3B">
        <w:rPr>
          <w:i/>
        </w:rPr>
        <w:t xml:space="preserve"> 807 </w:t>
      </w:r>
      <w:r w:rsidRPr="008A0316">
        <w:t xml:space="preserve">of </w:t>
      </w:r>
      <w:r w:rsidRPr="00144F3B">
        <w:rPr>
          <w:i/>
        </w:rPr>
        <w:t>Public Law 106-169</w:t>
      </w:r>
      <w:r>
        <w:t>,</w:t>
      </w:r>
      <w:r w:rsidRPr="00144F3B">
        <w:rPr>
          <w:i/>
        </w:rPr>
        <w:t xml:space="preserve"> </w:t>
      </w:r>
      <w:r>
        <w:t>provide that the Socia</w:t>
      </w:r>
      <w:r w:rsidR="00307D17">
        <w:t>l Security Administration (SSA)</w:t>
      </w:r>
      <w:r>
        <w:t xml:space="preserve"> issue </w:t>
      </w:r>
      <w:r w:rsidR="00307D17">
        <w:t xml:space="preserve">Title II </w:t>
      </w:r>
      <w:r>
        <w:t>benefits</w:t>
      </w:r>
      <w:r w:rsidR="00307D17">
        <w:t>, or Title XVI payments,</w:t>
      </w:r>
      <w:r>
        <w:t xml:space="preserve"> directly to a representative payee (</w:t>
      </w:r>
      <w:r w:rsidR="00307D17">
        <w:t xml:space="preserve">i.e., </w:t>
      </w:r>
      <w:r>
        <w:t>a relative, another person</w:t>
      </w:r>
      <w:r w:rsidR="00307D17">
        <w:t>,</w:t>
      </w:r>
      <w:r>
        <w:t xml:space="preserve"> or an organization interested in or concerned about the welfare of the </w:t>
      </w:r>
      <w:r w:rsidR="00307D17">
        <w:t>recipient</w:t>
      </w:r>
      <w:r>
        <w:t xml:space="preserve">) when we </w:t>
      </w:r>
      <w:r w:rsidR="00307D17">
        <w:t>determine</w:t>
      </w:r>
      <w:r>
        <w:t xml:space="preserve"> it is not in a </w:t>
      </w:r>
      <w:r w:rsidR="00307D17">
        <w:t>recipient</w:t>
      </w:r>
      <w:r>
        <w:t>'s best interest to receive benefits</w:t>
      </w:r>
      <w:r w:rsidR="00307D17">
        <w:t xml:space="preserve"> or payments</w:t>
      </w:r>
      <w:r>
        <w:t xml:space="preserve"> directly.</w:t>
      </w:r>
      <w:proofErr w:type="gramEnd"/>
      <w:r>
        <w:t xml:space="preserve">  </w:t>
      </w:r>
      <w:r w:rsidR="00307D17">
        <w:t xml:space="preserve">Sections </w:t>
      </w:r>
      <w:r w:rsidRPr="00144F3B">
        <w:rPr>
          <w:i/>
          <w:iCs/>
        </w:rPr>
        <w:t>20</w:t>
      </w:r>
      <w:r w:rsidRPr="00144F3B">
        <w:rPr>
          <w:iCs/>
        </w:rPr>
        <w:t xml:space="preserve"> </w:t>
      </w:r>
      <w:r w:rsidRPr="00E50C32">
        <w:rPr>
          <w:i/>
          <w:iCs/>
        </w:rPr>
        <w:t>CFR</w:t>
      </w:r>
      <w:r w:rsidRPr="00144F3B">
        <w:rPr>
          <w:i/>
          <w:iCs/>
        </w:rPr>
        <w:t xml:space="preserve"> 404.2011 </w:t>
      </w:r>
      <w:r w:rsidRPr="00144F3B">
        <w:rPr>
          <w:iCs/>
        </w:rPr>
        <w:t xml:space="preserve">and 20 </w:t>
      </w:r>
      <w:r w:rsidRPr="00E50C32">
        <w:rPr>
          <w:i/>
          <w:iCs/>
        </w:rPr>
        <w:t>CFR</w:t>
      </w:r>
      <w:r w:rsidRPr="00144F3B">
        <w:rPr>
          <w:i/>
          <w:iCs/>
        </w:rPr>
        <w:t xml:space="preserve"> 416.611</w:t>
      </w:r>
      <w:r w:rsidRPr="00144F3B">
        <w:rPr>
          <w:iCs/>
        </w:rPr>
        <w:t xml:space="preserve"> of the </w:t>
      </w:r>
      <w:r w:rsidRPr="00144F3B">
        <w:rPr>
          <w:i/>
          <w:iCs/>
        </w:rPr>
        <w:t>Code of Federal</w:t>
      </w:r>
      <w:r w:rsidRPr="00144F3B">
        <w:rPr>
          <w:b/>
        </w:rPr>
        <w:t xml:space="preserve"> </w:t>
      </w:r>
      <w:r w:rsidRPr="00144F3B">
        <w:rPr>
          <w:i/>
          <w:iCs/>
        </w:rPr>
        <w:t>Regulations</w:t>
      </w:r>
      <w:r w:rsidRPr="00144F3B">
        <w:rPr>
          <w:iCs/>
        </w:rPr>
        <w:t xml:space="preserve"> allow </w:t>
      </w:r>
      <w:r w:rsidR="00307D17">
        <w:rPr>
          <w:iCs/>
        </w:rPr>
        <w:t>recipients</w:t>
      </w:r>
      <w:r w:rsidRPr="00144F3B">
        <w:rPr>
          <w:iCs/>
        </w:rPr>
        <w:t xml:space="preserve"> to dispute SSA’s finding of substantial harm.  </w:t>
      </w:r>
      <w:r w:rsidR="00307D17">
        <w:rPr>
          <w:iCs/>
        </w:rPr>
        <w:t xml:space="preserve">Sections </w:t>
      </w:r>
      <w:r w:rsidRPr="00144F3B">
        <w:rPr>
          <w:i/>
          <w:iCs/>
        </w:rPr>
        <w:t xml:space="preserve">20 </w:t>
      </w:r>
      <w:r w:rsidRPr="00E50C32">
        <w:rPr>
          <w:i/>
          <w:iCs/>
        </w:rPr>
        <w:t>CFR</w:t>
      </w:r>
      <w:r w:rsidRPr="00144F3B">
        <w:rPr>
          <w:iCs/>
        </w:rPr>
        <w:t xml:space="preserve"> </w:t>
      </w:r>
      <w:r w:rsidRPr="00144F3B">
        <w:rPr>
          <w:i/>
          <w:iCs/>
        </w:rPr>
        <w:t xml:space="preserve">404.2025 </w:t>
      </w:r>
      <w:r w:rsidRPr="00144F3B">
        <w:rPr>
          <w:iCs/>
        </w:rPr>
        <w:t xml:space="preserve">and 20 </w:t>
      </w:r>
      <w:r w:rsidRPr="00E50C32">
        <w:rPr>
          <w:i/>
          <w:iCs/>
        </w:rPr>
        <w:t xml:space="preserve">CFR </w:t>
      </w:r>
      <w:r w:rsidRPr="00144F3B">
        <w:rPr>
          <w:i/>
          <w:iCs/>
        </w:rPr>
        <w:t xml:space="preserve">416.625 </w:t>
      </w:r>
      <w:r w:rsidRPr="00144F3B">
        <w:rPr>
          <w:iCs/>
        </w:rPr>
        <w:t xml:space="preserve">of the </w:t>
      </w:r>
      <w:r w:rsidRPr="00144F3B">
        <w:rPr>
          <w:i/>
          <w:iCs/>
        </w:rPr>
        <w:t xml:space="preserve">Code of Federal Regulations </w:t>
      </w:r>
      <w:proofErr w:type="gramStart"/>
      <w:r w:rsidRPr="00144F3B">
        <w:rPr>
          <w:iCs/>
        </w:rPr>
        <w:t>provide</w:t>
      </w:r>
      <w:proofErr w:type="gramEnd"/>
      <w:r w:rsidRPr="00144F3B">
        <w:rPr>
          <w:iCs/>
        </w:rPr>
        <w:t xml:space="preserve"> a process to follow up with the representative payee to verify payee performance.</w:t>
      </w:r>
      <w:r w:rsidR="00307D17">
        <w:rPr>
          <w:iCs/>
        </w:rPr>
        <w:t xml:space="preserve">  </w:t>
      </w:r>
      <w:r w:rsidR="00307D17">
        <w:t xml:space="preserve">This Information Collection Request is for the </w:t>
      </w:r>
      <w:r w:rsidR="00E50C32" w:rsidRPr="00144F3B">
        <w:rPr>
          <w:i/>
          <w:iCs/>
        </w:rPr>
        <w:t>Code of Federal Regulations</w:t>
      </w:r>
      <w:r w:rsidR="00E50C32">
        <w:t xml:space="preserve"> citations mandating</w:t>
      </w:r>
      <w:r w:rsidR="00307D17">
        <w:t xml:space="preserve"> these provisions</w:t>
      </w:r>
      <w:r w:rsidR="00E50C32">
        <w:t>.</w:t>
      </w:r>
    </w:p>
    <w:p w:rsidR="00144F3B" w:rsidRDefault="00144F3B" w:rsidP="00144F3B">
      <w:pPr>
        <w:widowControl w:val="0"/>
        <w:tabs>
          <w:tab w:val="left" w:pos="1170"/>
        </w:tabs>
        <w:ind w:left="720"/>
        <w:rPr>
          <w:b/>
        </w:rPr>
      </w:pPr>
    </w:p>
    <w:p w:rsidR="00144F3B" w:rsidRDefault="00144F3B" w:rsidP="00144F3B">
      <w:pPr>
        <w:widowControl w:val="0"/>
        <w:numPr>
          <w:ilvl w:val="0"/>
          <w:numId w:val="2"/>
        </w:numPr>
        <w:tabs>
          <w:tab w:val="left" w:pos="1440"/>
        </w:tabs>
        <w:ind w:hanging="1170"/>
        <w:rPr>
          <w:b/>
        </w:rPr>
      </w:pPr>
      <w:r>
        <w:rPr>
          <w:b/>
        </w:rPr>
        <w:t>Description of Collection</w:t>
      </w:r>
    </w:p>
    <w:p w:rsidR="00144F3B" w:rsidRDefault="000452A0" w:rsidP="00144F3B">
      <w:pPr>
        <w:widowControl w:val="0"/>
        <w:tabs>
          <w:tab w:val="left" w:pos="1260"/>
        </w:tabs>
        <w:ind w:left="720"/>
      </w:pPr>
      <w:r>
        <w:t xml:space="preserve">Per </w:t>
      </w:r>
      <w:r w:rsidRPr="000452A0">
        <w:rPr>
          <w:i/>
          <w:iCs/>
        </w:rPr>
        <w:t>20 CFR 404.2011</w:t>
      </w:r>
      <w:r w:rsidRPr="005F70DD">
        <w:rPr>
          <w:i/>
          <w:iCs/>
        </w:rPr>
        <w:t xml:space="preserve"> </w:t>
      </w:r>
      <w:r w:rsidRPr="005F70DD">
        <w:rPr>
          <w:iCs/>
        </w:rPr>
        <w:t>and</w:t>
      </w:r>
      <w:r w:rsidRPr="005F70DD">
        <w:rPr>
          <w:i/>
          <w:iCs/>
        </w:rPr>
        <w:t xml:space="preserve"> </w:t>
      </w:r>
      <w:r w:rsidRPr="000452A0">
        <w:rPr>
          <w:i/>
          <w:iCs/>
        </w:rPr>
        <w:t>20 CFR 416.611</w:t>
      </w:r>
      <w:r w:rsidRPr="005F70DD">
        <w:rPr>
          <w:i/>
          <w:iCs/>
        </w:rPr>
        <w:t xml:space="preserve"> </w:t>
      </w:r>
      <w:r w:rsidRPr="005F70DD">
        <w:rPr>
          <w:iCs/>
        </w:rPr>
        <w:t>of the</w:t>
      </w:r>
      <w:r w:rsidRPr="005F70DD">
        <w:rPr>
          <w:i/>
          <w:iCs/>
        </w:rPr>
        <w:t xml:space="preserve"> </w:t>
      </w:r>
      <w:r w:rsidRPr="009A7235">
        <w:rPr>
          <w:i/>
          <w:iCs/>
        </w:rPr>
        <w:t>Code of Federal Regulations</w:t>
      </w:r>
      <w:r w:rsidRPr="005F70DD">
        <w:rPr>
          <w:i/>
          <w:iCs/>
        </w:rPr>
        <w:t xml:space="preserve">, </w:t>
      </w:r>
      <w:r w:rsidRPr="005F70DD">
        <w:rPr>
          <w:iCs/>
        </w:rPr>
        <w:t>if</w:t>
      </w:r>
      <w:r w:rsidRPr="00FA6A8C">
        <w:t xml:space="preserve"> </w:t>
      </w:r>
      <w:r>
        <w:t xml:space="preserve">SSA determines it may cause substantial harm for Title II or Title XVI recipients to receive their payments directly, recipients may dispute that decision.  To do so, recipients provide SSA with information the agency uses to re-evaluate its determination.  In addition, our regulations state that after SSA selects a representative payee to receive benefits on a recipient’s behalf, the payees provide SSA with information on their continuing relationship and responsibility for the recipients, and explain how they use the recipients’ payments.  Sections </w:t>
      </w:r>
      <w:r w:rsidRPr="000452A0">
        <w:rPr>
          <w:i/>
          <w:iCs/>
        </w:rPr>
        <w:t>20 CFR 404.2025</w:t>
      </w:r>
      <w:r w:rsidRPr="005F70DD">
        <w:rPr>
          <w:i/>
          <w:iCs/>
        </w:rPr>
        <w:t xml:space="preserve"> </w:t>
      </w:r>
      <w:r w:rsidRPr="005F70DD">
        <w:rPr>
          <w:iCs/>
        </w:rPr>
        <w:t xml:space="preserve">and </w:t>
      </w:r>
      <w:r w:rsidRPr="000452A0">
        <w:rPr>
          <w:i/>
          <w:iCs/>
        </w:rPr>
        <w:t>20 CFR 416.625</w:t>
      </w:r>
      <w:r w:rsidRPr="005F70DD">
        <w:rPr>
          <w:i/>
          <w:iCs/>
        </w:rPr>
        <w:t xml:space="preserve"> </w:t>
      </w:r>
      <w:r w:rsidRPr="005F70DD">
        <w:rPr>
          <w:iCs/>
        </w:rPr>
        <w:t xml:space="preserve">of the </w:t>
      </w:r>
      <w:r w:rsidRPr="007835B5">
        <w:rPr>
          <w:iCs/>
        </w:rPr>
        <w:t>Code of Federal Regulations</w:t>
      </w:r>
      <w:r w:rsidRPr="005F70DD">
        <w:rPr>
          <w:i/>
          <w:iCs/>
        </w:rPr>
        <w:t xml:space="preserve"> </w:t>
      </w:r>
      <w:proofErr w:type="gramStart"/>
      <w:r w:rsidRPr="005F70DD">
        <w:rPr>
          <w:iCs/>
        </w:rPr>
        <w:t>provide</w:t>
      </w:r>
      <w:proofErr w:type="gramEnd"/>
      <w:r w:rsidRPr="005F70DD">
        <w:rPr>
          <w:iCs/>
        </w:rPr>
        <w:t xml:space="preserve"> a process to follow up with the representative payee to verify payee performance.  </w:t>
      </w:r>
      <w:r>
        <w:t>The respondents are Title II and Title XVI recipients, and their representative payees.</w:t>
      </w:r>
    </w:p>
    <w:p w:rsidR="00144F3B" w:rsidRDefault="00144F3B" w:rsidP="00144F3B">
      <w:pPr>
        <w:widowControl w:val="0"/>
        <w:tabs>
          <w:tab w:val="left" w:pos="1260"/>
        </w:tabs>
        <w:ind w:left="720"/>
        <w:rPr>
          <w:b/>
        </w:rPr>
      </w:pPr>
    </w:p>
    <w:p w:rsidR="00144F3B" w:rsidRDefault="00144F3B" w:rsidP="00144F3B">
      <w:pPr>
        <w:widowControl w:val="0"/>
        <w:numPr>
          <w:ilvl w:val="0"/>
          <w:numId w:val="2"/>
        </w:numPr>
        <w:tabs>
          <w:tab w:val="left" w:pos="1440"/>
        </w:tabs>
        <w:ind w:hanging="1170"/>
        <w:rPr>
          <w:b/>
        </w:rPr>
      </w:pPr>
      <w:r w:rsidRPr="00BC7F42">
        <w:rPr>
          <w:b/>
        </w:rPr>
        <w:t>Use of Information Technology to Collect the Information</w:t>
      </w:r>
    </w:p>
    <w:p w:rsidR="00144F3B" w:rsidRDefault="00144F3B" w:rsidP="00144F3B">
      <w:pPr>
        <w:widowControl w:val="0"/>
        <w:tabs>
          <w:tab w:val="left" w:pos="1260"/>
        </w:tabs>
        <w:ind w:left="720"/>
      </w:pPr>
      <w:r>
        <w:t>SSA does not colle</w:t>
      </w:r>
      <w:r w:rsidR="00E50C32">
        <w:t>ct the information through forms or any other standardized information collection; therefore, we cannot create any electronic version for these regulatory requirements under the Government Paperwork Elimination Act</w:t>
      </w:r>
      <w:r>
        <w:t xml:space="preserve">.  </w:t>
      </w:r>
      <w:r w:rsidR="00E50C32">
        <w:t>SSA</w:t>
      </w:r>
      <w:r>
        <w:t xml:space="preserve"> obtain</w:t>
      </w:r>
      <w:r w:rsidR="00E50C32">
        <w:t>s</w:t>
      </w:r>
      <w:r>
        <w:t xml:space="preserve"> the information during </w:t>
      </w:r>
      <w:r w:rsidR="00E50C32">
        <w:t>face-to-face interviews; tele</w:t>
      </w:r>
      <w:r>
        <w:t>phone conversation</w:t>
      </w:r>
      <w:r w:rsidR="00E50C32">
        <w:t>s</w:t>
      </w:r>
      <w:r>
        <w:t xml:space="preserve"> </w:t>
      </w:r>
      <w:r w:rsidR="00E50C32">
        <w:t>with the recipient</w:t>
      </w:r>
      <w:r>
        <w:t xml:space="preserve"> when we re-</w:t>
      </w:r>
      <w:r w:rsidR="00E50C32">
        <w:t>contact the</w:t>
      </w:r>
      <w:r>
        <w:t xml:space="preserve"> representative </w:t>
      </w:r>
      <w:r w:rsidR="00E50C32">
        <w:t>payee for allegations of misuse;</w:t>
      </w:r>
      <w:r>
        <w:t xml:space="preserve"> or during an expanded monitoring program site visit.</w:t>
      </w:r>
    </w:p>
    <w:p w:rsidR="00144F3B" w:rsidRDefault="00144F3B" w:rsidP="00144F3B">
      <w:pPr>
        <w:widowControl w:val="0"/>
        <w:tabs>
          <w:tab w:val="left" w:pos="1260"/>
        </w:tabs>
        <w:ind w:left="720"/>
        <w:rPr>
          <w:b/>
        </w:rPr>
      </w:pPr>
    </w:p>
    <w:p w:rsidR="00144F3B" w:rsidRDefault="00144F3B" w:rsidP="00144F3B">
      <w:pPr>
        <w:widowControl w:val="0"/>
        <w:numPr>
          <w:ilvl w:val="0"/>
          <w:numId w:val="2"/>
        </w:numPr>
        <w:tabs>
          <w:tab w:val="left" w:pos="1440"/>
        </w:tabs>
        <w:ind w:hanging="1170"/>
        <w:rPr>
          <w:b/>
        </w:rPr>
      </w:pPr>
      <w:r w:rsidRPr="00BC7F42">
        <w:rPr>
          <w:b/>
        </w:rPr>
        <w:t xml:space="preserve">Why </w:t>
      </w:r>
      <w:r>
        <w:rPr>
          <w:b/>
        </w:rPr>
        <w:t>We Cannot Use Duplicate Information</w:t>
      </w:r>
    </w:p>
    <w:p w:rsidR="00D61CAD" w:rsidRPr="00D61CAD" w:rsidRDefault="00D61CAD" w:rsidP="00D61CAD">
      <w:pPr>
        <w:widowControl w:val="0"/>
        <w:tabs>
          <w:tab w:val="left" w:pos="1440"/>
        </w:tabs>
        <w:ind w:left="720"/>
      </w:pPr>
      <w:r w:rsidRPr="00D61CAD">
        <w:t>The nature of the information we collect and the manner in which we collect it precludes duplication.  SSA does not use another collection instrument to obtain similar data.</w:t>
      </w:r>
    </w:p>
    <w:p w:rsidR="009A7235" w:rsidRDefault="009A7235" w:rsidP="00D61CAD">
      <w:pPr>
        <w:widowControl w:val="0"/>
        <w:tabs>
          <w:tab w:val="left" w:pos="1440"/>
        </w:tabs>
        <w:ind w:left="720"/>
        <w:rPr>
          <w:b/>
        </w:rPr>
      </w:pPr>
    </w:p>
    <w:p w:rsidR="009A7235" w:rsidRPr="00D61CAD" w:rsidRDefault="009A7235" w:rsidP="00D61CAD">
      <w:pPr>
        <w:widowControl w:val="0"/>
        <w:tabs>
          <w:tab w:val="left" w:pos="1440"/>
        </w:tabs>
        <w:ind w:left="720"/>
        <w:rPr>
          <w:b/>
        </w:rPr>
      </w:pPr>
    </w:p>
    <w:p w:rsidR="00144F3B" w:rsidRDefault="00144F3B" w:rsidP="00144F3B">
      <w:pPr>
        <w:widowControl w:val="0"/>
        <w:numPr>
          <w:ilvl w:val="0"/>
          <w:numId w:val="2"/>
        </w:numPr>
        <w:tabs>
          <w:tab w:val="left" w:pos="1440"/>
        </w:tabs>
        <w:ind w:hanging="1170"/>
        <w:rPr>
          <w:b/>
        </w:rPr>
      </w:pPr>
      <w:r>
        <w:rPr>
          <w:b/>
        </w:rPr>
        <w:lastRenderedPageBreak/>
        <w:t>Minimizing Burden on Small Respondents</w:t>
      </w:r>
    </w:p>
    <w:p w:rsidR="00D61CAD" w:rsidRPr="00D61CAD" w:rsidRDefault="00D61CAD" w:rsidP="00D61CAD">
      <w:pPr>
        <w:widowControl w:val="0"/>
        <w:tabs>
          <w:tab w:val="left" w:pos="1260"/>
        </w:tabs>
        <w:ind w:left="720"/>
        <w:rPr>
          <w:b/>
        </w:rPr>
      </w:pPr>
      <w:r w:rsidRPr="00D61CAD">
        <w:t>This collection does not significantly affect small businesses or other small entities.</w:t>
      </w:r>
    </w:p>
    <w:p w:rsidR="009A7235" w:rsidRDefault="009A7235" w:rsidP="009A7235">
      <w:pPr>
        <w:widowControl w:val="0"/>
        <w:tabs>
          <w:tab w:val="left" w:pos="1440"/>
        </w:tabs>
        <w:ind w:left="1440"/>
        <w:rPr>
          <w:b/>
        </w:rPr>
      </w:pPr>
    </w:p>
    <w:p w:rsidR="00144F3B" w:rsidRDefault="00144F3B" w:rsidP="00144F3B">
      <w:pPr>
        <w:widowControl w:val="0"/>
        <w:numPr>
          <w:ilvl w:val="0"/>
          <w:numId w:val="2"/>
        </w:numPr>
        <w:tabs>
          <w:tab w:val="left" w:pos="1440"/>
        </w:tabs>
        <w:ind w:hanging="1170"/>
        <w:rPr>
          <w:b/>
        </w:rPr>
      </w:pPr>
      <w:r w:rsidRPr="00BC7F42">
        <w:rPr>
          <w:b/>
        </w:rPr>
        <w:t>Consequence of Not Collecting Information or Collecting it Less Frequently</w:t>
      </w:r>
    </w:p>
    <w:p w:rsidR="00D61CAD" w:rsidRDefault="002A3284" w:rsidP="00D61CAD">
      <w:pPr>
        <w:widowControl w:val="0"/>
        <w:tabs>
          <w:tab w:val="left" w:pos="1350"/>
        </w:tabs>
        <w:ind w:left="720"/>
      </w:pPr>
      <w:r>
        <w:t xml:space="preserve">There are very few instances where a Title II or Title XVI recipient disputes our finding of substantial harm.  However, if we did not collect this information, we would be unable to afford the recipient their right to dispute our finding.  Further, on occasion, we may need to re-contact a representative payee after selection to ensure the recipient is not at risk.  Because we collect the information on an as needed basis, we cannot collect it less frequently.  </w:t>
      </w:r>
      <w:r w:rsidRPr="00783C1C">
        <w:t>There are no technical or legal obstacles to burden reduction</w:t>
      </w:r>
      <w:r w:rsidR="00D61CAD">
        <w:t>.</w:t>
      </w:r>
    </w:p>
    <w:p w:rsidR="00D61CAD" w:rsidRDefault="00D61CAD" w:rsidP="00D61CAD">
      <w:pPr>
        <w:widowControl w:val="0"/>
        <w:tabs>
          <w:tab w:val="left" w:pos="1350"/>
        </w:tabs>
        <w:ind w:left="720"/>
        <w:rPr>
          <w:b/>
        </w:rPr>
      </w:pPr>
    </w:p>
    <w:p w:rsidR="00144F3B" w:rsidRDefault="00D61CAD" w:rsidP="00144F3B">
      <w:pPr>
        <w:widowControl w:val="0"/>
        <w:numPr>
          <w:ilvl w:val="0"/>
          <w:numId w:val="2"/>
        </w:numPr>
        <w:tabs>
          <w:tab w:val="left" w:pos="1440"/>
        </w:tabs>
        <w:ind w:hanging="1170"/>
        <w:rPr>
          <w:b/>
        </w:rPr>
      </w:pPr>
      <w:r w:rsidRPr="00BC7F42">
        <w:rPr>
          <w:b/>
        </w:rPr>
        <w:t>Special Circumstances</w:t>
      </w:r>
    </w:p>
    <w:p w:rsidR="00D61CAD" w:rsidRDefault="00D61CAD" w:rsidP="00D61CAD">
      <w:pPr>
        <w:widowControl w:val="0"/>
        <w:tabs>
          <w:tab w:val="left" w:pos="990"/>
        </w:tabs>
        <w:ind w:left="720"/>
      </w:pPr>
      <w:r w:rsidRPr="00D61CAD">
        <w:t xml:space="preserve">There are no special circumstances that would cause SSA to conduct this information collection in a manner inconsistent with </w:t>
      </w:r>
      <w:proofErr w:type="gramStart"/>
      <w:r w:rsidRPr="00D61CAD">
        <w:rPr>
          <w:i/>
        </w:rPr>
        <w:t>5</w:t>
      </w:r>
      <w:proofErr w:type="gramEnd"/>
      <w:r w:rsidRPr="00D61CAD">
        <w:rPr>
          <w:i/>
        </w:rPr>
        <w:t xml:space="preserve"> CFR 1320.5</w:t>
      </w:r>
      <w:r w:rsidRPr="00D61CAD">
        <w:t>.</w:t>
      </w:r>
    </w:p>
    <w:p w:rsidR="00D61CAD" w:rsidRPr="00D61CAD" w:rsidRDefault="00D61CAD" w:rsidP="00D61CAD">
      <w:pPr>
        <w:widowControl w:val="0"/>
        <w:tabs>
          <w:tab w:val="left" w:pos="990"/>
        </w:tabs>
        <w:ind w:left="720"/>
      </w:pPr>
    </w:p>
    <w:p w:rsidR="00144F3B" w:rsidRDefault="00D61CAD" w:rsidP="00144F3B">
      <w:pPr>
        <w:widowControl w:val="0"/>
        <w:numPr>
          <w:ilvl w:val="0"/>
          <w:numId w:val="2"/>
        </w:numPr>
        <w:tabs>
          <w:tab w:val="left" w:pos="1440"/>
        </w:tabs>
        <w:ind w:hanging="1170"/>
        <w:rPr>
          <w:b/>
        </w:rPr>
      </w:pPr>
      <w:r w:rsidRPr="00BC7F42">
        <w:rPr>
          <w:b/>
        </w:rPr>
        <w:t>Solicitation of Public Comment and Other Consultations with the Public</w:t>
      </w:r>
    </w:p>
    <w:p w:rsidR="00A64FDE" w:rsidRDefault="00A64FDE" w:rsidP="00A64FDE">
      <w:pPr>
        <w:widowControl w:val="0"/>
        <w:tabs>
          <w:tab w:val="left" w:pos="1260"/>
        </w:tabs>
        <w:ind w:left="720"/>
        <w:rPr>
          <w:szCs w:val="24"/>
        </w:rPr>
      </w:pPr>
      <w:r w:rsidRPr="00C25942">
        <w:rPr>
          <w:szCs w:val="24"/>
        </w:rPr>
        <w:t xml:space="preserve">The 60-day advance Federal Register Notice published on </w:t>
      </w:r>
      <w:r w:rsidR="00FA6AFC">
        <w:rPr>
          <w:szCs w:val="24"/>
        </w:rPr>
        <w:t>April 9, 2015</w:t>
      </w:r>
      <w:r>
        <w:rPr>
          <w:szCs w:val="24"/>
        </w:rPr>
        <w:t>, at 80</w:t>
      </w:r>
      <w:r w:rsidRPr="00C25942">
        <w:rPr>
          <w:szCs w:val="24"/>
        </w:rPr>
        <w:t xml:space="preserve"> FR </w:t>
      </w:r>
      <w:r w:rsidR="00FA6AFC">
        <w:rPr>
          <w:szCs w:val="24"/>
        </w:rPr>
        <w:t>19102</w:t>
      </w:r>
      <w:r w:rsidRPr="00C25942">
        <w:rPr>
          <w:szCs w:val="24"/>
        </w:rPr>
        <w:t xml:space="preserve">, and we received no public comments.  SSA published the second Notice on </w:t>
      </w:r>
      <w:r w:rsidR="0057329E">
        <w:rPr>
          <w:szCs w:val="24"/>
        </w:rPr>
        <w:t>June 23, 2015</w:t>
      </w:r>
      <w:r>
        <w:rPr>
          <w:szCs w:val="24"/>
        </w:rPr>
        <w:t xml:space="preserve">, at 80 FR </w:t>
      </w:r>
      <w:r w:rsidR="0057329E">
        <w:rPr>
          <w:szCs w:val="24"/>
        </w:rPr>
        <w:t>36031</w:t>
      </w:r>
      <w:bookmarkStart w:id="0" w:name="_GoBack"/>
      <w:bookmarkEnd w:id="0"/>
      <w:r w:rsidRPr="00C25942">
        <w:rPr>
          <w:szCs w:val="24"/>
        </w:rPr>
        <w:t>.  If we receive comments in response to the 30</w:t>
      </w:r>
      <w:r w:rsidRPr="00C25942">
        <w:rPr>
          <w:szCs w:val="24"/>
        </w:rPr>
        <w:noBreakHyphen/>
        <w:t>day Notice, we will forward them to OMB.  We did not consult with the public in the revision of this form</w:t>
      </w:r>
      <w:r>
        <w:rPr>
          <w:szCs w:val="24"/>
        </w:rPr>
        <w:t>.</w:t>
      </w:r>
    </w:p>
    <w:p w:rsidR="00A64FDE" w:rsidRDefault="00A64FDE" w:rsidP="00A64FDE">
      <w:pPr>
        <w:widowControl w:val="0"/>
        <w:tabs>
          <w:tab w:val="left" w:pos="1260"/>
        </w:tabs>
        <w:ind w:left="720"/>
        <w:rPr>
          <w:b/>
        </w:rPr>
      </w:pPr>
    </w:p>
    <w:p w:rsidR="00144F3B" w:rsidRDefault="00A64FDE" w:rsidP="00144F3B">
      <w:pPr>
        <w:widowControl w:val="0"/>
        <w:numPr>
          <w:ilvl w:val="0"/>
          <w:numId w:val="2"/>
        </w:numPr>
        <w:tabs>
          <w:tab w:val="left" w:pos="1440"/>
        </w:tabs>
        <w:ind w:hanging="1170"/>
        <w:rPr>
          <w:b/>
        </w:rPr>
      </w:pPr>
      <w:r w:rsidRPr="00BC7F42">
        <w:rPr>
          <w:b/>
        </w:rPr>
        <w:t>Payment or Gifts to Respondents</w:t>
      </w:r>
    </w:p>
    <w:p w:rsidR="00A64FDE" w:rsidRDefault="00A64FDE" w:rsidP="00A64FDE">
      <w:pPr>
        <w:widowControl w:val="0"/>
        <w:tabs>
          <w:tab w:val="left" w:pos="1350"/>
        </w:tabs>
        <w:ind w:left="720"/>
      </w:pPr>
      <w:r w:rsidRPr="00A64FDE">
        <w:t>SSA does not provide payments or gifts to the respondents</w:t>
      </w:r>
      <w:r>
        <w:t>.</w:t>
      </w:r>
    </w:p>
    <w:p w:rsidR="00A64FDE" w:rsidRPr="00A64FDE" w:rsidRDefault="00A64FDE" w:rsidP="00A64FDE">
      <w:pPr>
        <w:widowControl w:val="0"/>
        <w:tabs>
          <w:tab w:val="left" w:pos="1350"/>
        </w:tabs>
        <w:ind w:left="720"/>
        <w:rPr>
          <w:b/>
        </w:rPr>
      </w:pPr>
    </w:p>
    <w:p w:rsidR="00144F3B" w:rsidRDefault="00A64FDE" w:rsidP="00144F3B">
      <w:pPr>
        <w:widowControl w:val="0"/>
        <w:numPr>
          <w:ilvl w:val="0"/>
          <w:numId w:val="2"/>
        </w:numPr>
        <w:tabs>
          <w:tab w:val="left" w:pos="1440"/>
        </w:tabs>
        <w:ind w:hanging="1170"/>
        <w:rPr>
          <w:b/>
        </w:rPr>
      </w:pPr>
      <w:r w:rsidRPr="00BC7F42">
        <w:rPr>
          <w:b/>
        </w:rPr>
        <w:t>Assurances of Confidentiality</w:t>
      </w:r>
    </w:p>
    <w:p w:rsidR="00A64FDE" w:rsidRDefault="00A64FDE" w:rsidP="00A64FDE">
      <w:pPr>
        <w:widowControl w:val="0"/>
        <w:tabs>
          <w:tab w:val="left" w:pos="1260"/>
        </w:tabs>
        <w:ind w:left="720"/>
      </w:pPr>
      <w:r w:rsidRPr="00A64FDE">
        <w:t>SSA protects and holds confidential the information it collects in accordance with</w:t>
      </w:r>
      <w:r w:rsidRPr="00BC7F42">
        <w:rPr>
          <w:i/>
        </w:rPr>
        <w:t xml:space="preserve"> 42 U.S.C. 1306, 20 CFR 401 </w:t>
      </w:r>
      <w:r w:rsidRPr="00A64FDE">
        <w:t>and</w:t>
      </w:r>
      <w:r w:rsidRPr="00BC7F42">
        <w:rPr>
          <w:i/>
        </w:rPr>
        <w:t xml:space="preserve"> 402, 5 U.S.C. 552 </w:t>
      </w:r>
      <w:r w:rsidRPr="00A64FDE">
        <w:t xml:space="preserve">(Freedom of Information Act), </w:t>
      </w:r>
      <w:r w:rsidRPr="00BC7F42">
        <w:rPr>
          <w:i/>
        </w:rPr>
        <w:t xml:space="preserve">5 U.S.C. 552a </w:t>
      </w:r>
      <w:r w:rsidRPr="00A64FDE">
        <w:t>(Privacy Act of 1974), and OMB Circular No</w:t>
      </w:r>
      <w:proofErr w:type="gramStart"/>
      <w:r w:rsidRPr="00A64FDE">
        <w:t>. A-130.</w:t>
      </w:r>
      <w:proofErr w:type="gramEnd"/>
    </w:p>
    <w:p w:rsidR="00A64FDE" w:rsidRDefault="00A64FDE" w:rsidP="00A64FDE">
      <w:pPr>
        <w:widowControl w:val="0"/>
        <w:tabs>
          <w:tab w:val="left" w:pos="1260"/>
        </w:tabs>
        <w:ind w:left="720"/>
        <w:rPr>
          <w:b/>
        </w:rPr>
      </w:pPr>
    </w:p>
    <w:p w:rsidR="00144F3B" w:rsidRDefault="00A64FDE" w:rsidP="00144F3B">
      <w:pPr>
        <w:widowControl w:val="0"/>
        <w:numPr>
          <w:ilvl w:val="0"/>
          <w:numId w:val="2"/>
        </w:numPr>
        <w:tabs>
          <w:tab w:val="left" w:pos="1440"/>
        </w:tabs>
        <w:ind w:hanging="1170"/>
        <w:rPr>
          <w:b/>
        </w:rPr>
      </w:pPr>
      <w:r w:rsidRPr="00BC7F42">
        <w:rPr>
          <w:b/>
        </w:rPr>
        <w:t>Justification for Sensitive Questions</w:t>
      </w:r>
    </w:p>
    <w:p w:rsidR="00A64FDE" w:rsidRPr="00BE7752" w:rsidRDefault="00A64FDE" w:rsidP="00A64FDE">
      <w:pPr>
        <w:widowControl w:val="0"/>
        <w:tabs>
          <w:tab w:val="left" w:pos="1080"/>
          <w:tab w:val="left" w:pos="1170"/>
        </w:tabs>
        <w:ind w:left="720"/>
      </w:pPr>
      <w:r w:rsidRPr="00BE7752">
        <w:t>The information collection does not contain any questions of a sensitive nature</w:t>
      </w:r>
      <w:r w:rsidR="00BE7752" w:rsidRPr="00BE7752">
        <w:t>.</w:t>
      </w:r>
    </w:p>
    <w:p w:rsidR="00A64FDE" w:rsidRDefault="00A64FDE" w:rsidP="00A64FDE">
      <w:pPr>
        <w:widowControl w:val="0"/>
        <w:tabs>
          <w:tab w:val="left" w:pos="1080"/>
          <w:tab w:val="left" w:pos="1170"/>
        </w:tabs>
        <w:ind w:left="720"/>
        <w:rPr>
          <w:b/>
        </w:rPr>
      </w:pPr>
    </w:p>
    <w:p w:rsidR="00144F3B" w:rsidRDefault="00BE7752" w:rsidP="00144F3B">
      <w:pPr>
        <w:widowControl w:val="0"/>
        <w:numPr>
          <w:ilvl w:val="0"/>
          <w:numId w:val="2"/>
        </w:numPr>
        <w:tabs>
          <w:tab w:val="left" w:pos="1440"/>
        </w:tabs>
        <w:ind w:hanging="1170"/>
        <w:rPr>
          <w:b/>
        </w:rPr>
      </w:pPr>
      <w:r w:rsidRPr="00BC7F42">
        <w:rPr>
          <w:b/>
        </w:rPr>
        <w:t>Estimates of Public Reporting Burden</w:t>
      </w:r>
    </w:p>
    <w:p w:rsidR="00BE7752" w:rsidRDefault="00BE7752" w:rsidP="00BE7752">
      <w:pPr>
        <w:widowControl w:val="0"/>
        <w:tabs>
          <w:tab w:val="left" w:pos="1170"/>
        </w:tabs>
        <w:ind w:left="720"/>
      </w:pPr>
      <w:r>
        <w:t>The following chart shows the estimates for each set of regulations (each set contains one citation from our Title II and one from our Title XVI regulations):</w:t>
      </w:r>
    </w:p>
    <w:p w:rsidR="00BE7752" w:rsidRDefault="00BE7752" w:rsidP="00BE7752">
      <w:pPr>
        <w:widowControl w:val="0"/>
        <w:tabs>
          <w:tab w:val="left" w:pos="1170"/>
        </w:tab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28"/>
        <w:gridCol w:w="1781"/>
        <w:gridCol w:w="1754"/>
        <w:gridCol w:w="1769"/>
      </w:tblGrid>
      <w:tr w:rsidR="00BE7752" w:rsidTr="00E110B3">
        <w:tc>
          <w:tcPr>
            <w:tcW w:w="1616" w:type="dxa"/>
            <w:shd w:val="clear" w:color="auto" w:fill="auto"/>
          </w:tcPr>
          <w:p w:rsidR="00BE7752" w:rsidRPr="00E110B3" w:rsidRDefault="00BE7752" w:rsidP="00E110B3">
            <w:pPr>
              <w:widowControl w:val="0"/>
              <w:tabs>
                <w:tab w:val="left" w:pos="1170"/>
              </w:tabs>
              <w:rPr>
                <w:b/>
              </w:rPr>
            </w:pPr>
            <w:r w:rsidRPr="00E110B3">
              <w:rPr>
                <w:b/>
              </w:rPr>
              <w:t>CFR Citation</w:t>
            </w:r>
          </w:p>
        </w:tc>
        <w:tc>
          <w:tcPr>
            <w:tcW w:w="1828" w:type="dxa"/>
            <w:shd w:val="clear" w:color="auto" w:fill="auto"/>
          </w:tcPr>
          <w:p w:rsidR="00BE7752" w:rsidRPr="00E110B3" w:rsidRDefault="00BE7752" w:rsidP="00E110B3">
            <w:pPr>
              <w:widowControl w:val="0"/>
              <w:tabs>
                <w:tab w:val="left" w:pos="1170"/>
              </w:tabs>
              <w:rPr>
                <w:b/>
              </w:rPr>
            </w:pPr>
            <w:r w:rsidRPr="00E110B3">
              <w:rPr>
                <w:b/>
              </w:rPr>
              <w:t>Number of Respondents</w:t>
            </w:r>
          </w:p>
        </w:tc>
        <w:tc>
          <w:tcPr>
            <w:tcW w:w="1781" w:type="dxa"/>
            <w:shd w:val="clear" w:color="auto" w:fill="auto"/>
          </w:tcPr>
          <w:p w:rsidR="00BE7752" w:rsidRPr="00E110B3" w:rsidRDefault="00BE7752" w:rsidP="00E110B3">
            <w:pPr>
              <w:widowControl w:val="0"/>
              <w:tabs>
                <w:tab w:val="left" w:pos="1170"/>
              </w:tabs>
              <w:rPr>
                <w:b/>
              </w:rPr>
            </w:pPr>
            <w:r w:rsidRPr="00E110B3">
              <w:rPr>
                <w:b/>
              </w:rPr>
              <w:t>Frequency of Response</w:t>
            </w:r>
          </w:p>
        </w:tc>
        <w:tc>
          <w:tcPr>
            <w:tcW w:w="1754" w:type="dxa"/>
            <w:shd w:val="clear" w:color="auto" w:fill="auto"/>
          </w:tcPr>
          <w:p w:rsidR="00BE7752" w:rsidRPr="00E110B3" w:rsidRDefault="00BE7752" w:rsidP="00E110B3">
            <w:pPr>
              <w:widowControl w:val="0"/>
              <w:tabs>
                <w:tab w:val="left" w:pos="1170"/>
              </w:tabs>
              <w:rPr>
                <w:b/>
              </w:rPr>
            </w:pPr>
            <w:r w:rsidRPr="00E110B3">
              <w:rPr>
                <w:b/>
              </w:rPr>
              <w:t>Average Burden Per Response (minutes)</w:t>
            </w:r>
          </w:p>
        </w:tc>
        <w:tc>
          <w:tcPr>
            <w:tcW w:w="1769" w:type="dxa"/>
            <w:shd w:val="clear" w:color="auto" w:fill="auto"/>
          </w:tcPr>
          <w:p w:rsidR="00BE7752" w:rsidRPr="00E110B3" w:rsidRDefault="00BE7752" w:rsidP="00E110B3">
            <w:pPr>
              <w:widowControl w:val="0"/>
              <w:tabs>
                <w:tab w:val="left" w:pos="1170"/>
              </w:tabs>
              <w:rPr>
                <w:b/>
              </w:rPr>
            </w:pPr>
            <w:r w:rsidRPr="00E110B3">
              <w:rPr>
                <w:b/>
              </w:rPr>
              <w:t>Estimated Total Annual Burden (hours)</w:t>
            </w:r>
          </w:p>
        </w:tc>
      </w:tr>
      <w:tr w:rsidR="00BE7752" w:rsidTr="00E110B3">
        <w:tc>
          <w:tcPr>
            <w:tcW w:w="1616" w:type="dxa"/>
            <w:shd w:val="clear" w:color="auto" w:fill="auto"/>
          </w:tcPr>
          <w:p w:rsidR="00BE7752" w:rsidRPr="00E110B3" w:rsidRDefault="00BE7752" w:rsidP="00E110B3">
            <w:pPr>
              <w:rPr>
                <w:noProof/>
                <w:sz w:val="22"/>
                <w:szCs w:val="22"/>
              </w:rPr>
            </w:pPr>
            <w:r w:rsidRPr="00E110B3">
              <w:rPr>
                <w:noProof/>
                <w:sz w:val="22"/>
                <w:szCs w:val="22"/>
              </w:rPr>
              <w:t>404.2011(a)(1);</w:t>
            </w:r>
          </w:p>
          <w:p w:rsidR="00BE7752" w:rsidRPr="00E110B3" w:rsidRDefault="00BE7752" w:rsidP="00E110B3">
            <w:pPr>
              <w:rPr>
                <w:noProof/>
                <w:sz w:val="22"/>
                <w:szCs w:val="22"/>
              </w:rPr>
            </w:pPr>
            <w:r w:rsidRPr="00E110B3">
              <w:rPr>
                <w:noProof/>
                <w:sz w:val="22"/>
                <w:szCs w:val="22"/>
              </w:rPr>
              <w:t>416.611(a)(1)</w:t>
            </w:r>
          </w:p>
        </w:tc>
        <w:tc>
          <w:tcPr>
            <w:tcW w:w="1828" w:type="dxa"/>
            <w:shd w:val="clear" w:color="auto" w:fill="auto"/>
          </w:tcPr>
          <w:p w:rsidR="00BE7752" w:rsidRPr="00982295" w:rsidRDefault="00BE7752" w:rsidP="00E110B3">
            <w:pPr>
              <w:jc w:val="right"/>
            </w:pPr>
            <w:r w:rsidRPr="00982295">
              <w:t>250</w:t>
            </w:r>
          </w:p>
        </w:tc>
        <w:tc>
          <w:tcPr>
            <w:tcW w:w="1781" w:type="dxa"/>
            <w:shd w:val="clear" w:color="auto" w:fill="auto"/>
          </w:tcPr>
          <w:p w:rsidR="00BE7752" w:rsidRPr="00982295" w:rsidRDefault="00BE7752" w:rsidP="00E110B3">
            <w:pPr>
              <w:jc w:val="right"/>
            </w:pPr>
            <w:r w:rsidRPr="00982295">
              <w:t>1</w:t>
            </w:r>
          </w:p>
        </w:tc>
        <w:tc>
          <w:tcPr>
            <w:tcW w:w="1754" w:type="dxa"/>
            <w:shd w:val="clear" w:color="auto" w:fill="auto"/>
          </w:tcPr>
          <w:p w:rsidR="00BE7752" w:rsidRPr="00982295" w:rsidRDefault="00BE7752" w:rsidP="00E110B3">
            <w:pPr>
              <w:jc w:val="right"/>
            </w:pPr>
            <w:r w:rsidRPr="00982295">
              <w:t>15</w:t>
            </w:r>
            <w:r>
              <w:t xml:space="preserve"> </w:t>
            </w:r>
          </w:p>
        </w:tc>
        <w:tc>
          <w:tcPr>
            <w:tcW w:w="1769" w:type="dxa"/>
            <w:shd w:val="clear" w:color="auto" w:fill="auto"/>
          </w:tcPr>
          <w:p w:rsidR="00BE7752" w:rsidRPr="00982295" w:rsidRDefault="00BE7752" w:rsidP="00E110B3">
            <w:pPr>
              <w:jc w:val="right"/>
            </w:pPr>
            <w:r w:rsidRPr="00982295">
              <w:t>6</w:t>
            </w:r>
            <w:r>
              <w:t>3</w:t>
            </w:r>
          </w:p>
        </w:tc>
      </w:tr>
      <w:tr w:rsidR="00BE7752" w:rsidTr="00E110B3">
        <w:tc>
          <w:tcPr>
            <w:tcW w:w="1616" w:type="dxa"/>
            <w:shd w:val="clear" w:color="auto" w:fill="auto"/>
          </w:tcPr>
          <w:p w:rsidR="00BE7752" w:rsidRPr="00E110B3" w:rsidRDefault="00BE7752" w:rsidP="00E110B3">
            <w:pPr>
              <w:rPr>
                <w:sz w:val="22"/>
                <w:szCs w:val="22"/>
              </w:rPr>
            </w:pPr>
            <w:r w:rsidRPr="00E110B3">
              <w:rPr>
                <w:sz w:val="22"/>
                <w:szCs w:val="22"/>
              </w:rPr>
              <w:t>404.2025;</w:t>
            </w:r>
          </w:p>
          <w:p w:rsidR="00BE7752" w:rsidRPr="00E110B3" w:rsidRDefault="00BE7752" w:rsidP="00E110B3">
            <w:pPr>
              <w:rPr>
                <w:sz w:val="22"/>
                <w:szCs w:val="22"/>
              </w:rPr>
            </w:pPr>
            <w:r w:rsidRPr="00E110B3">
              <w:rPr>
                <w:sz w:val="22"/>
                <w:szCs w:val="22"/>
              </w:rPr>
              <w:t>416.625</w:t>
            </w:r>
          </w:p>
        </w:tc>
        <w:tc>
          <w:tcPr>
            <w:tcW w:w="1828" w:type="dxa"/>
            <w:shd w:val="clear" w:color="auto" w:fill="auto"/>
          </w:tcPr>
          <w:p w:rsidR="00BE7752" w:rsidRPr="00982295" w:rsidRDefault="00BE7752" w:rsidP="00E110B3">
            <w:pPr>
              <w:jc w:val="right"/>
            </w:pPr>
            <w:r>
              <w:t>3,000</w:t>
            </w:r>
          </w:p>
        </w:tc>
        <w:tc>
          <w:tcPr>
            <w:tcW w:w="1781" w:type="dxa"/>
            <w:shd w:val="clear" w:color="auto" w:fill="auto"/>
          </w:tcPr>
          <w:p w:rsidR="00BE7752" w:rsidRPr="00982295" w:rsidRDefault="00BE7752" w:rsidP="00E110B3">
            <w:pPr>
              <w:jc w:val="right"/>
            </w:pPr>
            <w:r>
              <w:t>1</w:t>
            </w:r>
          </w:p>
        </w:tc>
        <w:tc>
          <w:tcPr>
            <w:tcW w:w="1754" w:type="dxa"/>
            <w:shd w:val="clear" w:color="auto" w:fill="auto"/>
          </w:tcPr>
          <w:p w:rsidR="00BE7752" w:rsidRPr="00982295" w:rsidRDefault="00BE7752" w:rsidP="00E110B3">
            <w:pPr>
              <w:jc w:val="right"/>
            </w:pPr>
            <w:r>
              <w:t>6</w:t>
            </w:r>
          </w:p>
        </w:tc>
        <w:tc>
          <w:tcPr>
            <w:tcW w:w="1769" w:type="dxa"/>
            <w:shd w:val="clear" w:color="auto" w:fill="auto"/>
          </w:tcPr>
          <w:p w:rsidR="00BE7752" w:rsidRPr="00982295" w:rsidRDefault="00BE7752" w:rsidP="00E110B3">
            <w:pPr>
              <w:jc w:val="right"/>
            </w:pPr>
            <w:r w:rsidRPr="00982295">
              <w:t>300</w:t>
            </w:r>
          </w:p>
        </w:tc>
      </w:tr>
      <w:tr w:rsidR="00BE7752" w:rsidTr="00E110B3">
        <w:tc>
          <w:tcPr>
            <w:tcW w:w="1616" w:type="dxa"/>
            <w:shd w:val="clear" w:color="auto" w:fill="auto"/>
          </w:tcPr>
          <w:p w:rsidR="00BE7752" w:rsidRPr="00E110B3" w:rsidRDefault="00BE7752" w:rsidP="00E110B3">
            <w:pPr>
              <w:rPr>
                <w:b/>
                <w:sz w:val="22"/>
                <w:szCs w:val="22"/>
              </w:rPr>
            </w:pPr>
            <w:r w:rsidRPr="00E110B3">
              <w:rPr>
                <w:b/>
                <w:sz w:val="22"/>
                <w:szCs w:val="22"/>
              </w:rPr>
              <w:t>Totals</w:t>
            </w:r>
          </w:p>
        </w:tc>
        <w:tc>
          <w:tcPr>
            <w:tcW w:w="1828" w:type="dxa"/>
            <w:shd w:val="clear" w:color="auto" w:fill="auto"/>
          </w:tcPr>
          <w:p w:rsidR="00BE7752" w:rsidRPr="00E110B3" w:rsidRDefault="00BE7752" w:rsidP="00E110B3">
            <w:pPr>
              <w:jc w:val="right"/>
              <w:rPr>
                <w:b/>
              </w:rPr>
            </w:pPr>
            <w:r w:rsidRPr="00E110B3">
              <w:rPr>
                <w:b/>
              </w:rPr>
              <w:t>3,250</w:t>
            </w:r>
          </w:p>
        </w:tc>
        <w:tc>
          <w:tcPr>
            <w:tcW w:w="1781" w:type="dxa"/>
            <w:shd w:val="clear" w:color="auto" w:fill="auto"/>
          </w:tcPr>
          <w:p w:rsidR="00BE7752" w:rsidRPr="00E110B3" w:rsidRDefault="00BE7752" w:rsidP="00E110B3">
            <w:pPr>
              <w:jc w:val="right"/>
              <w:rPr>
                <w:b/>
              </w:rPr>
            </w:pPr>
          </w:p>
        </w:tc>
        <w:tc>
          <w:tcPr>
            <w:tcW w:w="1754" w:type="dxa"/>
            <w:shd w:val="clear" w:color="auto" w:fill="auto"/>
          </w:tcPr>
          <w:p w:rsidR="00BE7752" w:rsidRPr="00E110B3" w:rsidRDefault="00BE7752" w:rsidP="00E110B3">
            <w:pPr>
              <w:jc w:val="right"/>
              <w:rPr>
                <w:b/>
              </w:rPr>
            </w:pPr>
          </w:p>
        </w:tc>
        <w:tc>
          <w:tcPr>
            <w:tcW w:w="1769" w:type="dxa"/>
            <w:shd w:val="clear" w:color="auto" w:fill="auto"/>
          </w:tcPr>
          <w:p w:rsidR="00BE7752" w:rsidRPr="00E110B3" w:rsidRDefault="00BE7752" w:rsidP="00E110B3">
            <w:pPr>
              <w:jc w:val="right"/>
              <w:rPr>
                <w:b/>
              </w:rPr>
            </w:pPr>
            <w:r w:rsidRPr="00E110B3">
              <w:rPr>
                <w:b/>
              </w:rPr>
              <w:t>363</w:t>
            </w:r>
          </w:p>
        </w:tc>
      </w:tr>
    </w:tbl>
    <w:p w:rsidR="00BE7752" w:rsidRDefault="00BE7752" w:rsidP="00BE7752">
      <w:pPr>
        <w:widowControl w:val="0"/>
        <w:tabs>
          <w:tab w:val="left" w:pos="1170"/>
        </w:tabs>
        <w:ind w:left="720"/>
      </w:pPr>
      <w:r w:rsidRPr="0090172C">
        <w:t xml:space="preserve">The total burden for this ICR is </w:t>
      </w:r>
      <w:r w:rsidRPr="00BE7752">
        <w:rPr>
          <w:b/>
        </w:rPr>
        <w:t>363 hours</w:t>
      </w:r>
      <w:r>
        <w:t xml:space="preserve">.  </w:t>
      </w:r>
      <w:r w:rsidRPr="0090172C">
        <w:t xml:space="preserve">This figure represents burden hours, </w:t>
      </w:r>
      <w:r w:rsidRPr="0090172C">
        <w:tab/>
        <w:t>and</w:t>
      </w:r>
      <w:r w:rsidRPr="0090172C">
        <w:rPr>
          <w:b/>
        </w:rPr>
        <w:t xml:space="preserve"> </w:t>
      </w:r>
      <w:r w:rsidRPr="0090172C">
        <w:t>we</w:t>
      </w:r>
      <w:r>
        <w:t xml:space="preserve"> </w:t>
      </w:r>
      <w:r w:rsidRPr="0090172C">
        <w:t>did not calculate a separate cost burden</w:t>
      </w:r>
      <w:r>
        <w:t>.</w:t>
      </w:r>
    </w:p>
    <w:p w:rsidR="00BE7752" w:rsidRDefault="00BE7752" w:rsidP="009A7235">
      <w:pPr>
        <w:widowControl w:val="0"/>
        <w:tabs>
          <w:tab w:val="left" w:pos="1170"/>
        </w:tabs>
        <w:rPr>
          <w:b/>
        </w:rPr>
      </w:pPr>
    </w:p>
    <w:p w:rsidR="00144F3B" w:rsidRDefault="00BE7752" w:rsidP="00144F3B">
      <w:pPr>
        <w:widowControl w:val="0"/>
        <w:numPr>
          <w:ilvl w:val="0"/>
          <w:numId w:val="2"/>
        </w:numPr>
        <w:tabs>
          <w:tab w:val="left" w:pos="1440"/>
        </w:tabs>
        <w:ind w:hanging="1170"/>
        <w:rPr>
          <w:b/>
        </w:rPr>
      </w:pPr>
      <w:r w:rsidRPr="00BC7F42">
        <w:rPr>
          <w:b/>
        </w:rPr>
        <w:t>Annual</w:t>
      </w:r>
      <w:r w:rsidRPr="00BC7F42">
        <w:t xml:space="preserve"> </w:t>
      </w:r>
      <w:r w:rsidRPr="00BC7F42">
        <w:rPr>
          <w:b/>
        </w:rPr>
        <w:t>Cost to the Respondents (Other)</w:t>
      </w:r>
    </w:p>
    <w:p w:rsidR="00BE7752" w:rsidRDefault="00BE7752" w:rsidP="00BE7752">
      <w:pPr>
        <w:widowControl w:val="0"/>
        <w:tabs>
          <w:tab w:val="left" w:pos="1170"/>
        </w:tabs>
        <w:ind w:left="720"/>
      </w:pPr>
      <w:r>
        <w:t>There is no known cost burden to respondents.</w:t>
      </w:r>
    </w:p>
    <w:p w:rsidR="00BE7752" w:rsidRDefault="00BE7752" w:rsidP="00BE7752">
      <w:pPr>
        <w:widowControl w:val="0"/>
        <w:tabs>
          <w:tab w:val="left" w:pos="1170"/>
        </w:tabs>
        <w:ind w:left="720"/>
        <w:rPr>
          <w:b/>
        </w:rPr>
      </w:pPr>
    </w:p>
    <w:p w:rsidR="00144F3B" w:rsidRDefault="00BE7752" w:rsidP="00144F3B">
      <w:pPr>
        <w:widowControl w:val="0"/>
        <w:numPr>
          <w:ilvl w:val="0"/>
          <w:numId w:val="2"/>
        </w:numPr>
        <w:tabs>
          <w:tab w:val="left" w:pos="1440"/>
        </w:tabs>
        <w:ind w:hanging="1170"/>
        <w:rPr>
          <w:b/>
        </w:rPr>
      </w:pPr>
      <w:r w:rsidRPr="00BC7F42">
        <w:rPr>
          <w:b/>
        </w:rPr>
        <w:t>Annual Cost To Federal Government</w:t>
      </w:r>
    </w:p>
    <w:p w:rsidR="00BE7752" w:rsidRDefault="00BE7752" w:rsidP="00BE7752">
      <w:pPr>
        <w:widowControl w:val="0"/>
        <w:tabs>
          <w:tab w:val="left" w:pos="1260"/>
        </w:tabs>
        <w:ind w:left="720"/>
      </w:pPr>
      <w:r>
        <w:rPr>
          <w:bCs/>
        </w:rPr>
        <w:t>T</w:t>
      </w:r>
      <w:r w:rsidRPr="00795AAF">
        <w:t>he annual cost to the Federal Go</w:t>
      </w:r>
      <w:r>
        <w:t>vernment is approximately $50,733</w:t>
      </w:r>
      <w:r w:rsidRPr="00795AAF">
        <w:t xml:space="preserve">.  This estimate is a projection of the costs for </w:t>
      </w:r>
      <w:r>
        <w:t>collecting and processing</w:t>
      </w:r>
      <w:r w:rsidRPr="00795AAF">
        <w:t xml:space="preserve"> the information</w:t>
      </w:r>
      <w:r>
        <w:t>.</w:t>
      </w:r>
    </w:p>
    <w:p w:rsidR="00BE7752" w:rsidRPr="00BE7752" w:rsidRDefault="00BE7752" w:rsidP="00BE7752">
      <w:pPr>
        <w:widowControl w:val="0"/>
        <w:tabs>
          <w:tab w:val="left" w:pos="1260"/>
        </w:tabs>
        <w:ind w:left="720"/>
      </w:pPr>
    </w:p>
    <w:p w:rsidR="00144F3B" w:rsidRDefault="00BE7752" w:rsidP="00144F3B">
      <w:pPr>
        <w:widowControl w:val="0"/>
        <w:numPr>
          <w:ilvl w:val="0"/>
          <w:numId w:val="2"/>
        </w:numPr>
        <w:tabs>
          <w:tab w:val="left" w:pos="1440"/>
        </w:tabs>
        <w:ind w:hanging="1170"/>
        <w:rPr>
          <w:b/>
        </w:rPr>
      </w:pPr>
      <w:r w:rsidRPr="00BC7F42">
        <w:rPr>
          <w:b/>
        </w:rPr>
        <w:t xml:space="preserve">Program Changes or Adjustments to the Information Collection </w:t>
      </w:r>
      <w:r>
        <w:rPr>
          <w:b/>
        </w:rPr>
        <w:t>Request</w:t>
      </w:r>
    </w:p>
    <w:p w:rsidR="00BE7752" w:rsidRDefault="00BE7752" w:rsidP="00BE7752">
      <w:pPr>
        <w:widowControl w:val="0"/>
        <w:tabs>
          <w:tab w:val="left" w:pos="1260"/>
        </w:tabs>
        <w:ind w:left="720"/>
      </w:pPr>
      <w:r>
        <w:t>There are no changes in the public reporting burden.</w:t>
      </w:r>
    </w:p>
    <w:p w:rsidR="00BE7752" w:rsidRPr="00BE7752" w:rsidRDefault="00BE7752" w:rsidP="00BE7752">
      <w:pPr>
        <w:widowControl w:val="0"/>
        <w:tabs>
          <w:tab w:val="left" w:pos="1260"/>
        </w:tabs>
        <w:ind w:left="720"/>
      </w:pPr>
    </w:p>
    <w:p w:rsidR="00144F3B" w:rsidRDefault="00BE7752" w:rsidP="00144F3B">
      <w:pPr>
        <w:widowControl w:val="0"/>
        <w:numPr>
          <w:ilvl w:val="0"/>
          <w:numId w:val="2"/>
        </w:numPr>
        <w:tabs>
          <w:tab w:val="left" w:pos="1440"/>
        </w:tabs>
        <w:ind w:hanging="1170"/>
        <w:rPr>
          <w:b/>
        </w:rPr>
      </w:pPr>
      <w:r w:rsidRPr="00BC7F42">
        <w:rPr>
          <w:b/>
        </w:rPr>
        <w:t>Plans for Publication Information Collection</w:t>
      </w:r>
      <w:r>
        <w:rPr>
          <w:b/>
        </w:rPr>
        <w:t xml:space="preserve"> Results</w:t>
      </w:r>
    </w:p>
    <w:p w:rsidR="00BE7752" w:rsidRDefault="00BE7752" w:rsidP="00BE7752">
      <w:pPr>
        <w:widowControl w:val="0"/>
        <w:ind w:left="720"/>
      </w:pPr>
      <w:r>
        <w:t xml:space="preserve">SSA will not publish the </w:t>
      </w:r>
      <w:r w:rsidRPr="00795AAF">
        <w:t>results of the information collection</w:t>
      </w:r>
      <w:r>
        <w:t>.</w:t>
      </w:r>
    </w:p>
    <w:p w:rsidR="00BE7752" w:rsidRDefault="00BE7752" w:rsidP="00BE7752">
      <w:pPr>
        <w:widowControl w:val="0"/>
        <w:ind w:left="720"/>
        <w:rPr>
          <w:b/>
        </w:rPr>
      </w:pPr>
    </w:p>
    <w:p w:rsidR="00144F3B" w:rsidRDefault="00BE7752" w:rsidP="00144F3B">
      <w:pPr>
        <w:widowControl w:val="0"/>
        <w:numPr>
          <w:ilvl w:val="0"/>
          <w:numId w:val="2"/>
        </w:numPr>
        <w:tabs>
          <w:tab w:val="left" w:pos="1440"/>
        </w:tabs>
        <w:ind w:hanging="1170"/>
        <w:rPr>
          <w:b/>
        </w:rPr>
      </w:pPr>
      <w:r>
        <w:rPr>
          <w:b/>
        </w:rPr>
        <w:t>Displaying the OMB Approval Expiration Date</w:t>
      </w:r>
    </w:p>
    <w:p w:rsidR="00BE7752" w:rsidRPr="00BE7752" w:rsidRDefault="00BE7752" w:rsidP="00BE7752">
      <w:pPr>
        <w:widowControl w:val="0"/>
        <w:ind w:left="720"/>
      </w:pPr>
      <w:r w:rsidRPr="00BE7752">
        <w:rPr>
          <w:bCs/>
          <w:iCs/>
        </w:rPr>
        <w:t>SSA is not requesting an exception to the requirement to display the OMB approval expiration date.</w:t>
      </w:r>
    </w:p>
    <w:p w:rsidR="00BE7752" w:rsidRPr="00BE7752" w:rsidRDefault="00BE7752" w:rsidP="00BE7752">
      <w:pPr>
        <w:widowControl w:val="0"/>
        <w:ind w:left="720"/>
      </w:pPr>
    </w:p>
    <w:p w:rsidR="00144F3B" w:rsidRDefault="00BE7752" w:rsidP="00144F3B">
      <w:pPr>
        <w:widowControl w:val="0"/>
        <w:numPr>
          <w:ilvl w:val="0"/>
          <w:numId w:val="2"/>
        </w:numPr>
        <w:tabs>
          <w:tab w:val="left" w:pos="1440"/>
        </w:tabs>
        <w:ind w:hanging="1170"/>
        <w:rPr>
          <w:b/>
        </w:rPr>
      </w:pPr>
      <w:r w:rsidRPr="00BC7F42">
        <w:rPr>
          <w:b/>
        </w:rPr>
        <w:t>Exceptions to Certification Statement</w:t>
      </w:r>
    </w:p>
    <w:p w:rsidR="00144F3B" w:rsidRPr="00AF2276" w:rsidRDefault="00BE7752" w:rsidP="00AF2276">
      <w:pPr>
        <w:widowControl w:val="0"/>
        <w:ind w:left="720"/>
      </w:pPr>
      <w:r w:rsidRPr="00AF2276">
        <w:t xml:space="preserve">SSA is not requesting an exception to the certification requirements at </w:t>
      </w:r>
      <w:r w:rsidRPr="00AF2276">
        <w:rPr>
          <w:i/>
        </w:rPr>
        <w:t>5 CFR 1320.9</w:t>
      </w:r>
      <w:r w:rsidRPr="00AF2276">
        <w:t xml:space="preserve"> and related provisions at </w:t>
      </w:r>
      <w:r w:rsidRPr="00AF2276">
        <w:rPr>
          <w:i/>
        </w:rPr>
        <w:t>5 CFR 1320.8(b</w:t>
      </w:r>
      <w:proofErr w:type="gramStart"/>
      <w:r w:rsidRPr="00AF2276">
        <w:rPr>
          <w:i/>
        </w:rPr>
        <w:t>)(</w:t>
      </w:r>
      <w:proofErr w:type="gramEnd"/>
      <w:r w:rsidRPr="00AF2276">
        <w:rPr>
          <w:i/>
        </w:rPr>
        <w:t>3)</w:t>
      </w:r>
      <w:r w:rsidRPr="00AF2276">
        <w:t>.</w:t>
      </w:r>
    </w:p>
    <w:p w:rsidR="00AD6526" w:rsidRDefault="00AD6526"/>
    <w:p w:rsidR="00F80CB5" w:rsidRPr="00795AAF" w:rsidRDefault="00F80CB5" w:rsidP="00666CA6">
      <w:pPr>
        <w:numPr>
          <w:ilvl w:val="0"/>
          <w:numId w:val="1"/>
        </w:numPr>
        <w:tabs>
          <w:tab w:val="clear" w:pos="360"/>
          <w:tab w:val="num" w:pos="720"/>
        </w:tabs>
        <w:rPr>
          <w:b/>
          <w:szCs w:val="24"/>
          <w:u w:val="single"/>
        </w:rPr>
      </w:pPr>
      <w:r w:rsidRPr="00795AAF">
        <w:rPr>
          <w:b/>
          <w:szCs w:val="24"/>
          <w:u w:val="single"/>
        </w:rPr>
        <w:t>Collections of Information Employing Statistical Methods</w:t>
      </w:r>
    </w:p>
    <w:p w:rsidR="00F80CB5" w:rsidRDefault="00F80CB5">
      <w:pPr>
        <w:rPr>
          <w:b/>
          <w:u w:val="single"/>
        </w:rPr>
      </w:pPr>
    </w:p>
    <w:p w:rsidR="00F80CB5" w:rsidRDefault="00847D03" w:rsidP="00666CA6">
      <w:pPr>
        <w:ind w:left="720"/>
      </w:pPr>
      <w:r>
        <w:t>SSA does not use statistical</w:t>
      </w:r>
      <w:r w:rsidR="00F80CB5">
        <w:t xml:space="preserve"> methods for this information collection.</w:t>
      </w:r>
    </w:p>
    <w:sectPr w:rsidR="00F80CB5" w:rsidSect="00954BB7">
      <w:footerReference w:type="default" r:id="rId8"/>
      <w:pgSz w:w="12240" w:h="15840"/>
      <w:pgMar w:top="1440" w:right="180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45" w:rsidRDefault="00EF6345">
      <w:r>
        <w:separator/>
      </w:r>
    </w:p>
  </w:endnote>
  <w:endnote w:type="continuationSeparator" w:id="0">
    <w:p w:rsidR="00EF6345" w:rsidRDefault="00EF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45" w:rsidRDefault="00EF6345">
      <w:r>
        <w:separator/>
      </w:r>
    </w:p>
  </w:footnote>
  <w:footnote w:type="continuationSeparator" w:id="0">
    <w:p w:rsidR="00EF6345" w:rsidRDefault="00EF6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2">
    <w:nsid w:val="183C6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0A5276"/>
    <w:multiLevelType w:val="hybridMultilevel"/>
    <w:tmpl w:val="017A13E6"/>
    <w:lvl w:ilvl="0" w:tplc="96A0FD12">
      <w:start w:val="1"/>
      <w:numFmt w:val="bullet"/>
      <w:lvlText w:val=""/>
      <w:lvlJc w:val="left"/>
      <w:pPr>
        <w:tabs>
          <w:tab w:val="num" w:pos="-1224"/>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751AFD"/>
    <w:multiLevelType w:val="singleLevel"/>
    <w:tmpl w:val="0306800E"/>
    <w:lvl w:ilvl="0">
      <w:start w:val="1"/>
      <w:numFmt w:val="upperLetter"/>
      <w:lvlText w:val="%1."/>
      <w:lvlJc w:val="left"/>
      <w:pPr>
        <w:tabs>
          <w:tab w:val="num" w:pos="360"/>
        </w:tabs>
        <w:ind w:left="720" w:hanging="720"/>
      </w:pPr>
      <w:rPr>
        <w:rFonts w:hint="default"/>
        <w:u w:val="none"/>
      </w:rPr>
    </w:lvl>
  </w:abstractNum>
  <w:abstractNum w:abstractNumId="5">
    <w:nsid w:val="42155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7A1BD8"/>
    <w:multiLevelType w:val="singleLevel"/>
    <w:tmpl w:val="D5162CFE"/>
    <w:lvl w:ilvl="0">
      <w:start w:val="1"/>
      <w:numFmt w:val="decimal"/>
      <w:lvlText w:val="%1."/>
      <w:lvlJc w:val="left"/>
      <w:pPr>
        <w:tabs>
          <w:tab w:val="num" w:pos="720"/>
        </w:tabs>
        <w:ind w:left="1440" w:hanging="720"/>
      </w:pPr>
      <w:rPr>
        <w:rFonts w:hint="default"/>
        <w:b/>
      </w:r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2">
    <w:nsid w:val="7AA143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ABD709B"/>
    <w:multiLevelType w:val="hybridMultilevel"/>
    <w:tmpl w:val="97120A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4"/>
  </w:num>
  <w:num w:numId="2">
    <w:abstractNumId w:val="6"/>
  </w:num>
  <w:num w:numId="3">
    <w:abstractNumId w:val="12"/>
  </w:num>
  <w:num w:numId="4">
    <w:abstractNumId w:val="2"/>
  </w:num>
  <w:num w:numId="5">
    <w:abstractNumId w:val="5"/>
  </w:num>
  <w:num w:numId="6">
    <w:abstractNumId w:val="3"/>
  </w:num>
  <w:num w:numId="7">
    <w:abstractNumId w:val="1"/>
  </w:num>
  <w:num w:numId="8">
    <w:abstractNumId w:val="8"/>
  </w:num>
  <w:num w:numId="9">
    <w:abstractNumId w:val="10"/>
  </w:num>
  <w:num w:numId="10">
    <w:abstractNumId w:val="7"/>
  </w:num>
  <w:num w:numId="11">
    <w:abstractNumId w:val="11"/>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A6"/>
    <w:rsid w:val="00033CA1"/>
    <w:rsid w:val="00037633"/>
    <w:rsid w:val="000452A0"/>
    <w:rsid w:val="00047590"/>
    <w:rsid w:val="000556CE"/>
    <w:rsid w:val="00065343"/>
    <w:rsid w:val="00074D79"/>
    <w:rsid w:val="000811BE"/>
    <w:rsid w:val="000B3722"/>
    <w:rsid w:val="000B41F7"/>
    <w:rsid w:val="000B4613"/>
    <w:rsid w:val="000C118E"/>
    <w:rsid w:val="000C50AA"/>
    <w:rsid w:val="000E1823"/>
    <w:rsid w:val="0010327F"/>
    <w:rsid w:val="001049A2"/>
    <w:rsid w:val="00114874"/>
    <w:rsid w:val="00115572"/>
    <w:rsid w:val="00120A50"/>
    <w:rsid w:val="00127677"/>
    <w:rsid w:val="001335EE"/>
    <w:rsid w:val="00144F3B"/>
    <w:rsid w:val="00156489"/>
    <w:rsid w:val="0017224A"/>
    <w:rsid w:val="00175728"/>
    <w:rsid w:val="001761B7"/>
    <w:rsid w:val="00193BE6"/>
    <w:rsid w:val="001A122B"/>
    <w:rsid w:val="001A300C"/>
    <w:rsid w:val="001A6A2E"/>
    <w:rsid w:val="001A7297"/>
    <w:rsid w:val="001B644B"/>
    <w:rsid w:val="001B68F8"/>
    <w:rsid w:val="001C6340"/>
    <w:rsid w:val="001D611C"/>
    <w:rsid w:val="001D6221"/>
    <w:rsid w:val="00215EA2"/>
    <w:rsid w:val="00235185"/>
    <w:rsid w:val="002435C9"/>
    <w:rsid w:val="00251CA4"/>
    <w:rsid w:val="00291EBB"/>
    <w:rsid w:val="00294DED"/>
    <w:rsid w:val="002A007E"/>
    <w:rsid w:val="002A3284"/>
    <w:rsid w:val="002B7460"/>
    <w:rsid w:val="002C26E4"/>
    <w:rsid w:val="00307D17"/>
    <w:rsid w:val="00320861"/>
    <w:rsid w:val="003226DA"/>
    <w:rsid w:val="00337404"/>
    <w:rsid w:val="003803E9"/>
    <w:rsid w:val="00384574"/>
    <w:rsid w:val="003967A4"/>
    <w:rsid w:val="003A433B"/>
    <w:rsid w:val="003B08F2"/>
    <w:rsid w:val="003B5B1A"/>
    <w:rsid w:val="003E3BC2"/>
    <w:rsid w:val="003F0396"/>
    <w:rsid w:val="003F5A40"/>
    <w:rsid w:val="00407AAE"/>
    <w:rsid w:val="004109CD"/>
    <w:rsid w:val="00411DC4"/>
    <w:rsid w:val="00416305"/>
    <w:rsid w:val="004336EE"/>
    <w:rsid w:val="0043647E"/>
    <w:rsid w:val="0044131A"/>
    <w:rsid w:val="004568ED"/>
    <w:rsid w:val="004605CB"/>
    <w:rsid w:val="00471591"/>
    <w:rsid w:val="004851E7"/>
    <w:rsid w:val="004977F5"/>
    <w:rsid w:val="004A4653"/>
    <w:rsid w:val="004A4B6C"/>
    <w:rsid w:val="004B594C"/>
    <w:rsid w:val="004B5B7C"/>
    <w:rsid w:val="004D3BC5"/>
    <w:rsid w:val="004E1DD8"/>
    <w:rsid w:val="004F2A64"/>
    <w:rsid w:val="0051224F"/>
    <w:rsid w:val="0051502F"/>
    <w:rsid w:val="00521408"/>
    <w:rsid w:val="0053083E"/>
    <w:rsid w:val="00542901"/>
    <w:rsid w:val="005447AD"/>
    <w:rsid w:val="00563D99"/>
    <w:rsid w:val="0057329E"/>
    <w:rsid w:val="00593FCA"/>
    <w:rsid w:val="005C0094"/>
    <w:rsid w:val="005C2DD4"/>
    <w:rsid w:val="005C7F89"/>
    <w:rsid w:val="005D76F9"/>
    <w:rsid w:val="005E1435"/>
    <w:rsid w:val="005E5BFB"/>
    <w:rsid w:val="005F23B4"/>
    <w:rsid w:val="005F66E4"/>
    <w:rsid w:val="00610A3E"/>
    <w:rsid w:val="00612D5B"/>
    <w:rsid w:val="00617434"/>
    <w:rsid w:val="00645EBD"/>
    <w:rsid w:val="00664C1A"/>
    <w:rsid w:val="00666CA6"/>
    <w:rsid w:val="006808CF"/>
    <w:rsid w:val="0068470B"/>
    <w:rsid w:val="006A2FAA"/>
    <w:rsid w:val="006C14B6"/>
    <w:rsid w:val="006C72A7"/>
    <w:rsid w:val="006D05AE"/>
    <w:rsid w:val="006D7F8B"/>
    <w:rsid w:val="007026F3"/>
    <w:rsid w:val="00750865"/>
    <w:rsid w:val="00754B79"/>
    <w:rsid w:val="0076393F"/>
    <w:rsid w:val="00763B7A"/>
    <w:rsid w:val="0077033A"/>
    <w:rsid w:val="007708FB"/>
    <w:rsid w:val="00775933"/>
    <w:rsid w:val="00783C1C"/>
    <w:rsid w:val="007858B5"/>
    <w:rsid w:val="00795AAF"/>
    <w:rsid w:val="00797EBD"/>
    <w:rsid w:val="007B22E6"/>
    <w:rsid w:val="007B5489"/>
    <w:rsid w:val="007D3B44"/>
    <w:rsid w:val="007D4398"/>
    <w:rsid w:val="007E6133"/>
    <w:rsid w:val="007F3F5A"/>
    <w:rsid w:val="00805AD6"/>
    <w:rsid w:val="00806D5B"/>
    <w:rsid w:val="008179B7"/>
    <w:rsid w:val="00822A91"/>
    <w:rsid w:val="00847D03"/>
    <w:rsid w:val="00860649"/>
    <w:rsid w:val="00885065"/>
    <w:rsid w:val="008949DA"/>
    <w:rsid w:val="0089759A"/>
    <w:rsid w:val="008A0316"/>
    <w:rsid w:val="008A585C"/>
    <w:rsid w:val="008B5C5B"/>
    <w:rsid w:val="008C7B0C"/>
    <w:rsid w:val="008D459D"/>
    <w:rsid w:val="008D55CF"/>
    <w:rsid w:val="008F4847"/>
    <w:rsid w:val="0090169E"/>
    <w:rsid w:val="0090172C"/>
    <w:rsid w:val="009319B1"/>
    <w:rsid w:val="00941390"/>
    <w:rsid w:val="00944543"/>
    <w:rsid w:val="00945C08"/>
    <w:rsid w:val="0095471D"/>
    <w:rsid w:val="00954BB7"/>
    <w:rsid w:val="009730C7"/>
    <w:rsid w:val="00982295"/>
    <w:rsid w:val="00983B1F"/>
    <w:rsid w:val="009A0696"/>
    <w:rsid w:val="009A1202"/>
    <w:rsid w:val="009A7235"/>
    <w:rsid w:val="009C7A44"/>
    <w:rsid w:val="009D7013"/>
    <w:rsid w:val="00A22FD6"/>
    <w:rsid w:val="00A330EC"/>
    <w:rsid w:val="00A3687C"/>
    <w:rsid w:val="00A3782D"/>
    <w:rsid w:val="00A43263"/>
    <w:rsid w:val="00A44D56"/>
    <w:rsid w:val="00A52E49"/>
    <w:rsid w:val="00A64FDE"/>
    <w:rsid w:val="00A87CC3"/>
    <w:rsid w:val="00AA3904"/>
    <w:rsid w:val="00AA4F97"/>
    <w:rsid w:val="00AC4D80"/>
    <w:rsid w:val="00AD6526"/>
    <w:rsid w:val="00AF2276"/>
    <w:rsid w:val="00B14F16"/>
    <w:rsid w:val="00B222BA"/>
    <w:rsid w:val="00B22DF7"/>
    <w:rsid w:val="00B551E5"/>
    <w:rsid w:val="00B82ADD"/>
    <w:rsid w:val="00B91289"/>
    <w:rsid w:val="00BE7752"/>
    <w:rsid w:val="00BE7D43"/>
    <w:rsid w:val="00BF0D26"/>
    <w:rsid w:val="00C208AC"/>
    <w:rsid w:val="00C34F53"/>
    <w:rsid w:val="00C37E53"/>
    <w:rsid w:val="00C40CDA"/>
    <w:rsid w:val="00C41A1A"/>
    <w:rsid w:val="00C533BD"/>
    <w:rsid w:val="00C56960"/>
    <w:rsid w:val="00C5748A"/>
    <w:rsid w:val="00C626A3"/>
    <w:rsid w:val="00C8024B"/>
    <w:rsid w:val="00C80D2E"/>
    <w:rsid w:val="00C968C1"/>
    <w:rsid w:val="00CB6201"/>
    <w:rsid w:val="00CB6D56"/>
    <w:rsid w:val="00CD48FB"/>
    <w:rsid w:val="00D04F8D"/>
    <w:rsid w:val="00D20CD6"/>
    <w:rsid w:val="00D405E9"/>
    <w:rsid w:val="00D43B8D"/>
    <w:rsid w:val="00D61CAD"/>
    <w:rsid w:val="00D87E2F"/>
    <w:rsid w:val="00DE1A09"/>
    <w:rsid w:val="00DE7F40"/>
    <w:rsid w:val="00E0262F"/>
    <w:rsid w:val="00E110B3"/>
    <w:rsid w:val="00E11FEE"/>
    <w:rsid w:val="00E16F16"/>
    <w:rsid w:val="00E32448"/>
    <w:rsid w:val="00E50C32"/>
    <w:rsid w:val="00E60461"/>
    <w:rsid w:val="00E87965"/>
    <w:rsid w:val="00EA73EF"/>
    <w:rsid w:val="00EC0797"/>
    <w:rsid w:val="00EC4908"/>
    <w:rsid w:val="00ED36BE"/>
    <w:rsid w:val="00EE6018"/>
    <w:rsid w:val="00EF6345"/>
    <w:rsid w:val="00F04F80"/>
    <w:rsid w:val="00F06FED"/>
    <w:rsid w:val="00F514BE"/>
    <w:rsid w:val="00F52CF1"/>
    <w:rsid w:val="00F80CB5"/>
    <w:rsid w:val="00FA3122"/>
    <w:rsid w:val="00FA6A8C"/>
    <w:rsid w:val="00FA6AFC"/>
    <w:rsid w:val="00FB7447"/>
    <w:rsid w:val="00FC4BD8"/>
    <w:rsid w:val="00FE4C8A"/>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0A3E"/>
    <w:pPr>
      <w:tabs>
        <w:tab w:val="center" w:pos="4320"/>
        <w:tab w:val="right" w:pos="8640"/>
      </w:tabs>
    </w:pPr>
  </w:style>
  <w:style w:type="paragraph" w:styleId="Footer">
    <w:name w:val="footer"/>
    <w:basedOn w:val="Normal"/>
    <w:rsid w:val="00610A3E"/>
    <w:pPr>
      <w:tabs>
        <w:tab w:val="center" w:pos="4320"/>
        <w:tab w:val="right" w:pos="8640"/>
      </w:tabs>
    </w:pPr>
  </w:style>
  <w:style w:type="character" w:styleId="PageNumber">
    <w:name w:val="page number"/>
    <w:basedOn w:val="DefaultParagraphFont"/>
    <w:rsid w:val="00610A3E"/>
  </w:style>
  <w:style w:type="paragraph" w:styleId="BalloonText">
    <w:name w:val="Balloon Text"/>
    <w:basedOn w:val="Normal"/>
    <w:semiHidden/>
    <w:rsid w:val="00384574"/>
    <w:rPr>
      <w:rFonts w:ascii="Tahoma" w:hAnsi="Tahoma" w:cs="Tahoma"/>
      <w:sz w:val="16"/>
      <w:szCs w:val="16"/>
    </w:rPr>
  </w:style>
  <w:style w:type="paragraph" w:styleId="HTMLPreformatted">
    <w:name w:val="HTML Preformatted"/>
    <w:basedOn w:val="Normal"/>
    <w:rsid w:val="002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styleId="CommentReference">
    <w:name w:val="annotation reference"/>
    <w:semiHidden/>
    <w:rsid w:val="007D4398"/>
    <w:rPr>
      <w:sz w:val="16"/>
      <w:szCs w:val="16"/>
    </w:rPr>
  </w:style>
  <w:style w:type="paragraph" w:styleId="CommentText">
    <w:name w:val="annotation text"/>
    <w:basedOn w:val="Normal"/>
    <w:semiHidden/>
    <w:rsid w:val="007D4398"/>
    <w:rPr>
      <w:sz w:val="20"/>
    </w:rPr>
  </w:style>
  <w:style w:type="paragraph" w:styleId="CommentSubject">
    <w:name w:val="annotation subject"/>
    <w:basedOn w:val="CommentText"/>
    <w:next w:val="CommentText"/>
    <w:semiHidden/>
    <w:rsid w:val="007D4398"/>
    <w:rPr>
      <w:b/>
      <w:bCs/>
    </w:rPr>
  </w:style>
  <w:style w:type="paragraph" w:styleId="BodyText2">
    <w:name w:val="Body Text 2"/>
    <w:basedOn w:val="Normal"/>
    <w:link w:val="BodyText2Char"/>
    <w:rsid w:val="00783C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Cs w:val="24"/>
    </w:rPr>
  </w:style>
  <w:style w:type="character" w:customStyle="1" w:styleId="BodyText2Char">
    <w:name w:val="Body Text 2 Char"/>
    <w:link w:val="BodyText2"/>
    <w:rsid w:val="00783C1C"/>
    <w:rPr>
      <w:rFonts w:ascii="Courier" w:hAnsi="Courier"/>
      <w:b/>
      <w:bCs/>
      <w:i/>
      <w:iCs/>
      <w:snapToGrid w:val="0"/>
      <w:sz w:val="24"/>
      <w:szCs w:val="24"/>
    </w:rPr>
  </w:style>
  <w:style w:type="paragraph" w:styleId="ListParagraph">
    <w:name w:val="List Paragraph"/>
    <w:basedOn w:val="Normal"/>
    <w:qFormat/>
    <w:rsid w:val="0090172C"/>
    <w:pPr>
      <w:widowControl w:val="0"/>
      <w:ind w:left="720"/>
      <w:contextualSpacing/>
    </w:pPr>
    <w:rPr>
      <w:rFonts w:ascii="Courier" w:hAnsi="Courier"/>
      <w:snapToGrid w:val="0"/>
      <w:szCs w:val="24"/>
    </w:rPr>
  </w:style>
  <w:style w:type="table" w:styleId="TableGrid">
    <w:name w:val="Table Grid"/>
    <w:basedOn w:val="TableNormal"/>
    <w:rsid w:val="00B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0A3E"/>
    <w:pPr>
      <w:tabs>
        <w:tab w:val="center" w:pos="4320"/>
        <w:tab w:val="right" w:pos="8640"/>
      </w:tabs>
    </w:pPr>
  </w:style>
  <w:style w:type="paragraph" w:styleId="Footer">
    <w:name w:val="footer"/>
    <w:basedOn w:val="Normal"/>
    <w:rsid w:val="00610A3E"/>
    <w:pPr>
      <w:tabs>
        <w:tab w:val="center" w:pos="4320"/>
        <w:tab w:val="right" w:pos="8640"/>
      </w:tabs>
    </w:pPr>
  </w:style>
  <w:style w:type="character" w:styleId="PageNumber">
    <w:name w:val="page number"/>
    <w:basedOn w:val="DefaultParagraphFont"/>
    <w:rsid w:val="00610A3E"/>
  </w:style>
  <w:style w:type="paragraph" w:styleId="BalloonText">
    <w:name w:val="Balloon Text"/>
    <w:basedOn w:val="Normal"/>
    <w:semiHidden/>
    <w:rsid w:val="00384574"/>
    <w:rPr>
      <w:rFonts w:ascii="Tahoma" w:hAnsi="Tahoma" w:cs="Tahoma"/>
      <w:sz w:val="16"/>
      <w:szCs w:val="16"/>
    </w:rPr>
  </w:style>
  <w:style w:type="paragraph" w:styleId="HTMLPreformatted">
    <w:name w:val="HTML Preformatted"/>
    <w:basedOn w:val="Normal"/>
    <w:rsid w:val="002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styleId="CommentReference">
    <w:name w:val="annotation reference"/>
    <w:semiHidden/>
    <w:rsid w:val="007D4398"/>
    <w:rPr>
      <w:sz w:val="16"/>
      <w:szCs w:val="16"/>
    </w:rPr>
  </w:style>
  <w:style w:type="paragraph" w:styleId="CommentText">
    <w:name w:val="annotation text"/>
    <w:basedOn w:val="Normal"/>
    <w:semiHidden/>
    <w:rsid w:val="007D4398"/>
    <w:rPr>
      <w:sz w:val="20"/>
    </w:rPr>
  </w:style>
  <w:style w:type="paragraph" w:styleId="CommentSubject">
    <w:name w:val="annotation subject"/>
    <w:basedOn w:val="CommentText"/>
    <w:next w:val="CommentText"/>
    <w:semiHidden/>
    <w:rsid w:val="007D4398"/>
    <w:rPr>
      <w:b/>
      <w:bCs/>
    </w:rPr>
  </w:style>
  <w:style w:type="paragraph" w:styleId="BodyText2">
    <w:name w:val="Body Text 2"/>
    <w:basedOn w:val="Normal"/>
    <w:link w:val="BodyText2Char"/>
    <w:rsid w:val="00783C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Cs w:val="24"/>
    </w:rPr>
  </w:style>
  <w:style w:type="character" w:customStyle="1" w:styleId="BodyText2Char">
    <w:name w:val="Body Text 2 Char"/>
    <w:link w:val="BodyText2"/>
    <w:rsid w:val="00783C1C"/>
    <w:rPr>
      <w:rFonts w:ascii="Courier" w:hAnsi="Courier"/>
      <w:b/>
      <w:bCs/>
      <w:i/>
      <w:iCs/>
      <w:snapToGrid w:val="0"/>
      <w:sz w:val="24"/>
      <w:szCs w:val="24"/>
    </w:rPr>
  </w:style>
  <w:style w:type="paragraph" w:styleId="ListParagraph">
    <w:name w:val="List Paragraph"/>
    <w:basedOn w:val="Normal"/>
    <w:qFormat/>
    <w:rsid w:val="0090172C"/>
    <w:pPr>
      <w:widowControl w:val="0"/>
      <w:ind w:left="720"/>
      <w:contextualSpacing/>
    </w:pPr>
    <w:rPr>
      <w:rFonts w:ascii="Courier" w:hAnsi="Courier"/>
      <w:snapToGrid w:val="0"/>
      <w:szCs w:val="24"/>
    </w:rPr>
  </w:style>
  <w:style w:type="table" w:styleId="TableGrid">
    <w:name w:val="Table Grid"/>
    <w:basedOn w:val="TableNormal"/>
    <w:rsid w:val="00BE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58838">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OPB</dc:creator>
  <cp:lastModifiedBy>889123</cp:lastModifiedBy>
  <cp:revision>2</cp:revision>
  <cp:lastPrinted>2012-03-26T11:19:00Z</cp:lastPrinted>
  <dcterms:created xsi:type="dcterms:W3CDTF">2015-06-23T15:30:00Z</dcterms:created>
  <dcterms:modified xsi:type="dcterms:W3CDTF">2015-06-23T15:30:00Z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1499941712</vt:i4>
  </property>
  <property fmtid="{D5CDD505-2E9C-101B-9397-08002B2CF9AE}" pid="4" name="_EmailSubject">
    <vt:lpwstr>OMB Expiration Notice: 0960-0679 Representative Payment Policies Regulation</vt:lpwstr>
  </property>
  <property fmtid="{D5CDD505-2E9C-101B-9397-08002B2CF9AE}" pid="5" name="_AuthorEmail">
    <vt:lpwstr>Angela.Hood@ssa.gov</vt:lpwstr>
  </property>
  <property fmtid="{D5CDD505-2E9C-101B-9397-08002B2CF9AE}" pid="6" name="_AuthorEmailDisplayName">
    <vt:lpwstr>Hood, Angela</vt:lpwstr>
  </property>
  <property fmtid="{D5CDD505-2E9C-101B-9397-08002B2CF9AE}" pid="7" name="_ReviewingToolsShownOnce">
    <vt:lpwstr/>
  </property>
</Properties>
</file>