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017D58">
        <w:rPr>
          <w:sz w:val="28"/>
        </w:rPr>
        <w:t>1071</w:t>
      </w:r>
      <w:r>
        <w:rPr>
          <w:sz w:val="28"/>
        </w:rPr>
        <w:t>)</w:t>
      </w:r>
    </w:p>
    <w:p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122C2572" wp14:editId="42A54F0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51FB0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E4174A">
        <w:t>LLS Class of 2016 Laboratory Quality Survey</w:t>
      </w:r>
    </w:p>
    <w:p w:rsidR="00B46F2C" w:rsidRDefault="00B46F2C"/>
    <w:p w:rsidR="00B46F2C" w:rsidRDefault="00B46F2C">
      <w:r>
        <w:rPr>
          <w:b/>
        </w:rPr>
        <w:t>PURPOSE</w:t>
      </w:r>
      <w:r w:rsidRPr="009239AA">
        <w:rPr>
          <w:b/>
        </w:rPr>
        <w:t xml:space="preserve">:  </w:t>
      </w:r>
      <w:r w:rsidR="00E4174A">
        <w:t>To solicit feedback from the CDC laboratory community on their knowledge and perception of Laboratory Quality Management Systems (LQMS), capabilities and barriers to LQMS implementation, and preferred training delivery methods to help inform the development of a LQMS training curriculum.</w:t>
      </w:r>
    </w:p>
    <w:p w:rsidR="00A17011" w:rsidRDefault="00A17011"/>
    <w:p w:rsidR="00A17011" w:rsidRPr="00E4174A" w:rsidRDefault="00A17011">
      <w:r>
        <w:t>LQMS</w:t>
      </w:r>
      <w:r w:rsidRPr="00A17011">
        <w:t xml:space="preserve"> is a formalized and documented system of processes, procedures, resources, and qualified technical personnel that consistently, efficiently, and effectively generates accurate, precise, and reproducible laboratory data.  The LQMS defines laboratory management responsibilities at all levels of the agency for achieving agency quality objectives, maintaining compliance with regulatory requirements, meeting applicable quality standards, and promoting continual quality improvement.  </w:t>
      </w:r>
    </w:p>
    <w:p w:rsidR="00B46F2C" w:rsidRDefault="00B46F2C"/>
    <w:p w:rsidR="00B46F2C" w:rsidRDefault="00B46F2C" w:rsidP="00434E33">
      <w:pPr>
        <w:pStyle w:val="Header"/>
        <w:tabs>
          <w:tab w:val="clear" w:pos="4320"/>
          <w:tab w:val="clear" w:pos="8640"/>
        </w:tabs>
      </w:pPr>
      <w:r w:rsidRPr="00434E33">
        <w:rPr>
          <w:b/>
        </w:rPr>
        <w:t>DESCRIPTION OF RESPONDENTS</w:t>
      </w:r>
      <w:r>
        <w:t xml:space="preserve">: </w:t>
      </w:r>
      <w:r w:rsidR="00E4174A">
        <w:t>Anyone who is directly involved in research activities, as well as, those who work to support research operations at CDC.  This includes FTEs and non-FTEs.</w:t>
      </w:r>
    </w:p>
    <w:p w:rsidR="00503AE5" w:rsidRDefault="00503AE5" w:rsidP="00434E33">
      <w:pPr>
        <w:pStyle w:val="Header"/>
        <w:tabs>
          <w:tab w:val="clear" w:pos="4320"/>
          <w:tab w:val="clear" w:pos="8640"/>
        </w:tabs>
        <w:rPr>
          <w:i/>
        </w:rPr>
      </w:pPr>
    </w:p>
    <w:p w:rsidR="00503AE5" w:rsidRDefault="00503AE5" w:rsidP="00503AE5">
      <w:r>
        <w:t>We estimate the maximum number of survey participants to be 1,000.  Of those 1,000, we estimate 60% (600) of the respondents will be non-FTEs.</w:t>
      </w:r>
    </w:p>
    <w:p w:rsidR="00503AE5" w:rsidRPr="00434E33" w:rsidRDefault="00503AE5" w:rsidP="00434E33">
      <w:pPr>
        <w:pStyle w:val="Header"/>
        <w:tabs>
          <w:tab w:val="clear" w:pos="4320"/>
          <w:tab w:val="clear" w:pos="8640"/>
        </w:tabs>
        <w:rPr>
          <w:i/>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 Customer</w:t>
      </w:r>
      <w:r w:rsidR="00E4174A">
        <w:rPr>
          <w:bCs/>
          <w:sz w:val="24"/>
        </w:rPr>
        <w:t xml:space="preserve"> Comment Card/Complaint Form </w:t>
      </w:r>
      <w:r w:rsidR="00E4174A">
        <w:rPr>
          <w:bCs/>
          <w:sz w:val="24"/>
        </w:rPr>
        <w:tab/>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sidR="00E4174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E4174A">
        <w:t>Justine M. Pompey</w:t>
      </w:r>
      <w:r>
        <w:t>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w:t>
      </w:r>
      <w:r w:rsidR="006C5915">
        <w:t xml:space="preserve">information (PII) collected?  [ </w:t>
      </w:r>
      <w:r>
        <w:t xml:space="preserve"> ] Yes  [</w:t>
      </w:r>
      <w:r w:rsidR="00E4174A">
        <w:t>x</w:t>
      </w:r>
      <w:r>
        <w:t xml:space="preserve">]  No </w:t>
      </w:r>
    </w:p>
    <w:p w:rsidR="00B46F2C" w:rsidRDefault="00B46F2C" w:rsidP="00C86E91">
      <w:pPr>
        <w:pStyle w:val="ListParagraph"/>
        <w:numPr>
          <w:ilvl w:val="0"/>
          <w:numId w:val="18"/>
        </w:numPr>
      </w:pPr>
      <w:r>
        <w:lastRenderedPageBreak/>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DC4B29"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w:t>
      </w:r>
      <w:r w:rsidR="00E4174A">
        <w:t>d to participants?  [  ] Yes [x</w:t>
      </w:r>
      <w:r>
        <w:t xml:space="preserve">] No  </w:t>
      </w: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E4174A" w:rsidP="00843796">
            <w:r>
              <w:t>Individuals</w:t>
            </w:r>
          </w:p>
        </w:tc>
        <w:tc>
          <w:tcPr>
            <w:tcW w:w="1530" w:type="dxa"/>
          </w:tcPr>
          <w:p w:rsidR="00B46F2C" w:rsidRDefault="00A17011" w:rsidP="00843796">
            <w:r>
              <w:t>6</w:t>
            </w:r>
            <w:r w:rsidR="00A65C24">
              <w:t>00</w:t>
            </w:r>
          </w:p>
        </w:tc>
        <w:tc>
          <w:tcPr>
            <w:tcW w:w="1710" w:type="dxa"/>
          </w:tcPr>
          <w:p w:rsidR="00B46F2C" w:rsidRDefault="003A70FC" w:rsidP="00843796">
            <w:r>
              <w:t>10 min</w:t>
            </w:r>
          </w:p>
        </w:tc>
        <w:tc>
          <w:tcPr>
            <w:tcW w:w="1003" w:type="dxa"/>
          </w:tcPr>
          <w:p w:rsidR="00B46F2C" w:rsidRDefault="00A65C24" w:rsidP="00A17011">
            <w:r>
              <w:t>1</w:t>
            </w:r>
            <w:r w:rsidR="00A17011">
              <w:t>00</w:t>
            </w:r>
            <w:r w:rsidR="009C192A">
              <w:t xml:space="preserve"> hrs</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901D6D" w:rsidP="00843796">
            <w:pPr>
              <w:rPr>
                <w:b/>
              </w:rPr>
            </w:pPr>
            <w:r>
              <w:rPr>
                <w:b/>
              </w:rPr>
              <w:t>100</w:t>
            </w:r>
            <w:r w:rsidR="00017D58">
              <w:rPr>
                <w:b/>
              </w:rPr>
              <w:t xml:space="preserve"> hrs</w:t>
            </w:r>
          </w:p>
        </w:tc>
      </w:tr>
    </w:tbl>
    <w:p w:rsidR="00B46F2C" w:rsidRDefault="00B46F2C" w:rsidP="00F3170F"/>
    <w:p w:rsidR="00B46F2C" w:rsidRDefault="00B46F2C" w:rsidP="00F3170F"/>
    <w:p w:rsidR="00B46F2C" w:rsidRDefault="00B46F2C">
      <w:pPr>
        <w:rPr>
          <w:b/>
        </w:rPr>
      </w:pPr>
      <w:r w:rsidRPr="00091746">
        <w:rPr>
          <w:b/>
        </w:rPr>
        <w:t>FEDERAL COST:</w:t>
      </w:r>
      <w:r>
        <w:rPr>
          <w:b/>
        </w:rPr>
        <w:t xml:space="preserve">  </w:t>
      </w:r>
      <w:r>
        <w:t>The estimated annual cost to the Federal government is</w:t>
      </w:r>
      <w:r w:rsidR="00A17011">
        <w:t xml:space="preserve"> $4,800.  This represents the wages of eight LLS fellows (20 hours each; $30/hour)</w:t>
      </w:r>
      <w:r w:rsidR="00962FCF">
        <w:t xml:space="preserve"> </w:t>
      </w:r>
      <w:r w:rsidR="00A17011">
        <w:t>to design, administer, and analyze results of the survey.</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A70FC">
        <w:t>x</w:t>
      </w:r>
      <w:r>
        <w:t>] Yes</w:t>
      </w:r>
      <w:r>
        <w:tab/>
        <w:t>[ ] No</w:t>
      </w:r>
    </w:p>
    <w:p w:rsidR="00017D58" w:rsidRDefault="00017D58" w:rsidP="00017D58">
      <w:pPr>
        <w:pStyle w:val="ListParagraph"/>
        <w:ind w:left="360"/>
      </w:pPr>
    </w:p>
    <w:p w:rsidR="00017D58" w:rsidRDefault="004C2982" w:rsidP="00017D58">
      <w:pPr>
        <w:pStyle w:val="ListParagraph"/>
        <w:ind w:left="360"/>
      </w:pPr>
      <w:r>
        <w:t xml:space="preserve">The LLS Class of 2016 reached out to the </w:t>
      </w:r>
      <w:r w:rsidR="00017D58" w:rsidRPr="00017D58">
        <w:t xml:space="preserve">Office of the Associate Director for Laboratory Science and Safety </w:t>
      </w:r>
      <w:r w:rsidR="00017D58">
        <w:t>(</w:t>
      </w:r>
      <w:r>
        <w:t>OADLSS</w:t>
      </w:r>
      <w:r w:rsidR="00017D58">
        <w:t>)</w:t>
      </w:r>
      <w:r>
        <w:t xml:space="preserve">, Office of Laboratory Science (OLSci) to request assistance in identifying Quality Managers and/or quality point of contacts (POCs) located across the agency. OLSci provided the contact information for 37 individuals leading </w:t>
      </w:r>
      <w:r w:rsidR="003C779A">
        <w:t xml:space="preserve">laboratory </w:t>
      </w:r>
      <w:r>
        <w:t xml:space="preserve">Quality Management efforts within their respective CIOs. </w:t>
      </w:r>
    </w:p>
    <w:p w:rsidR="00017D58" w:rsidRDefault="00017D58" w:rsidP="00017D58">
      <w:pPr>
        <w:pStyle w:val="ListParagraph"/>
        <w:ind w:left="360"/>
      </w:pPr>
    </w:p>
    <w:p w:rsidR="00017D58" w:rsidRDefault="004C2982" w:rsidP="00017D58">
      <w:pPr>
        <w:pStyle w:val="ListParagraph"/>
        <w:ind w:left="360"/>
      </w:pPr>
      <w:r>
        <w:t>The LLS Class of 2016 scheduled individual meetings/calls with the quality POCs to solicit assistance in identifying research scientist and research support personnel</w:t>
      </w:r>
      <w:r w:rsidR="0061205B">
        <w:t xml:space="preserve"> in their CIOs. Out of the 37 quality POCs, 30 agreed in participating in the project. The 30 quality POCs represent </w:t>
      </w:r>
      <w:r w:rsidR="0061205B" w:rsidRPr="0061205B">
        <w:t>NIOSH, NCHHSTP, NCZEID, NCIRD, NCBDDD, CSELS, and CGH</w:t>
      </w:r>
      <w:r w:rsidR="0061205B">
        <w:t xml:space="preserve"> and eight CDC campuses across the U.S. The quality POCs provided either a list or a total number of research scientist and research support staff as potential survey participants. </w:t>
      </w:r>
      <w:r w:rsidR="003C779A">
        <w:t>This information was use</w:t>
      </w:r>
      <w:r w:rsidR="0009408C">
        <w:t>d</w:t>
      </w:r>
      <w:r w:rsidR="003C779A">
        <w:t xml:space="preserve"> to estimate the potential number of respondents.</w:t>
      </w:r>
    </w:p>
    <w:p w:rsidR="00017D58" w:rsidRDefault="00017D58" w:rsidP="00017D58">
      <w:pPr>
        <w:pStyle w:val="ListParagraph"/>
        <w:ind w:left="360"/>
      </w:pPr>
    </w:p>
    <w:p w:rsidR="00A17011" w:rsidRDefault="0061205B" w:rsidP="00017D58">
      <w:pPr>
        <w:pStyle w:val="ListParagraph"/>
        <w:ind w:left="360"/>
      </w:pPr>
      <w:r>
        <w:t xml:space="preserve">We estimate the maximum number of survey participants </w:t>
      </w:r>
      <w:r w:rsidR="003C779A">
        <w:t>to be 1</w:t>
      </w:r>
      <w:r w:rsidR="00A17011">
        <w:t>,</w:t>
      </w:r>
      <w:r w:rsidR="003C779A">
        <w:t xml:space="preserve">000. </w:t>
      </w:r>
      <w:r w:rsidR="00A17011">
        <w:t xml:space="preserve">  Of those 1,000, we estimate 60% (600) of the respondents </w:t>
      </w:r>
      <w:r w:rsidR="00846374">
        <w:t>will</w:t>
      </w:r>
      <w:r w:rsidR="00A17011">
        <w:t xml:space="preserve"> be non-FTEs.</w:t>
      </w:r>
    </w:p>
    <w:p w:rsidR="00A17011" w:rsidRDefault="00A17011" w:rsidP="00017D58">
      <w:pPr>
        <w:pStyle w:val="ListParagraph"/>
        <w:ind w:left="360"/>
      </w:pPr>
    </w:p>
    <w:p w:rsidR="004C2982" w:rsidRDefault="003C779A" w:rsidP="00017D58">
      <w:pPr>
        <w:pStyle w:val="ListParagraph"/>
        <w:ind w:left="360"/>
      </w:pPr>
      <w:r>
        <w:lastRenderedPageBreak/>
        <w:t xml:space="preserve">Survey Monkey was the survey tool selected for data collection. A link to the survey will be forwarded to the quality POCs via e-mail for survey deployment and distribution. </w:t>
      </w:r>
      <w:r w:rsidR="00745A86">
        <w:t xml:space="preserve">In addition, we will target respondents through the CDC Today Announcement and the Lab Links newsletter. </w:t>
      </w:r>
      <w:r>
        <w:t xml:space="preserve">We hope to achieve </w:t>
      </w:r>
      <w:r w:rsidR="00AF0490">
        <w:t xml:space="preserve">a </w:t>
      </w:r>
      <w:r>
        <w:t xml:space="preserve">high survey response rates by having the quality POCs distribute the survey directly to their own colleagues. </w:t>
      </w:r>
      <w:r w:rsidR="00AF0490">
        <w:t>The data collected will be quantified and analyzed used SAS.</w:t>
      </w:r>
      <w:r w:rsidR="00677850">
        <w:t xml:space="preserve">  </w:t>
      </w:r>
      <w:r w:rsidR="00AF0490">
        <w:t xml:space="preserve">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017D58" w:rsidP="001B0AAA">
      <w:pPr>
        <w:ind w:left="720"/>
      </w:pPr>
      <w:r>
        <w:t>[</w:t>
      </w:r>
      <w:r w:rsidR="00E4174A">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w:t>
      </w:r>
      <w:r w:rsidR="00017D58">
        <w:t>cilitators be used?  [  ] Yes [</w:t>
      </w:r>
      <w:r w:rsidR="00E4174A">
        <w:t>x</w:t>
      </w:r>
      <w:r>
        <w:t>] No</w:t>
      </w:r>
    </w:p>
    <w:p w:rsidR="00B46F2C" w:rsidRDefault="00B46F2C" w:rsidP="00F24CFC">
      <w:pPr>
        <w:pStyle w:val="ListParagraph"/>
        <w:ind w:left="360"/>
      </w:pPr>
      <w:r>
        <w:t xml:space="preserve"> </w:t>
      </w:r>
    </w:p>
    <w:p w:rsidR="00641520" w:rsidRDefault="00B46F2C" w:rsidP="00017D58">
      <w:pPr>
        <w:rPr>
          <w:b/>
          <w:bCs/>
          <w:sz w:val="28"/>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5B" w:rsidRDefault="004B005B">
      <w:r>
        <w:separator/>
      </w:r>
    </w:p>
  </w:endnote>
  <w:endnote w:type="continuationSeparator" w:id="0">
    <w:p w:rsidR="004B005B" w:rsidRDefault="004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077CD0">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9335F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5B" w:rsidRDefault="004B005B">
      <w:r>
        <w:separator/>
      </w:r>
    </w:p>
  </w:footnote>
  <w:footnote w:type="continuationSeparator" w:id="0">
    <w:p w:rsidR="004B005B" w:rsidRDefault="004B0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D58"/>
    <w:rsid w:val="00023A57"/>
    <w:rsid w:val="00047A64"/>
    <w:rsid w:val="00067329"/>
    <w:rsid w:val="00077CD0"/>
    <w:rsid w:val="00091746"/>
    <w:rsid w:val="0009408C"/>
    <w:rsid w:val="000B2838"/>
    <w:rsid w:val="000D44CA"/>
    <w:rsid w:val="000E200B"/>
    <w:rsid w:val="000F68BE"/>
    <w:rsid w:val="001927A4"/>
    <w:rsid w:val="00194AC6"/>
    <w:rsid w:val="001A23B0"/>
    <w:rsid w:val="001A25CC"/>
    <w:rsid w:val="001B0AAA"/>
    <w:rsid w:val="001C39F7"/>
    <w:rsid w:val="00210596"/>
    <w:rsid w:val="00237B48"/>
    <w:rsid w:val="0024521E"/>
    <w:rsid w:val="00263C3D"/>
    <w:rsid w:val="00274D0B"/>
    <w:rsid w:val="002821FF"/>
    <w:rsid w:val="002B3C95"/>
    <w:rsid w:val="002D0B92"/>
    <w:rsid w:val="003675DB"/>
    <w:rsid w:val="003A649E"/>
    <w:rsid w:val="003A70FC"/>
    <w:rsid w:val="003C779A"/>
    <w:rsid w:val="003D5BBE"/>
    <w:rsid w:val="003E0F23"/>
    <w:rsid w:val="003E3C61"/>
    <w:rsid w:val="003F1C5B"/>
    <w:rsid w:val="0041337D"/>
    <w:rsid w:val="00434E33"/>
    <w:rsid w:val="00441434"/>
    <w:rsid w:val="0045264C"/>
    <w:rsid w:val="00472225"/>
    <w:rsid w:val="004876EC"/>
    <w:rsid w:val="004B005B"/>
    <w:rsid w:val="004C2982"/>
    <w:rsid w:val="004D6E14"/>
    <w:rsid w:val="005009B0"/>
    <w:rsid w:val="00503AE5"/>
    <w:rsid w:val="00512CA7"/>
    <w:rsid w:val="005A1006"/>
    <w:rsid w:val="005E714A"/>
    <w:rsid w:val="0061205B"/>
    <w:rsid w:val="006140A0"/>
    <w:rsid w:val="00636621"/>
    <w:rsid w:val="00636D3E"/>
    <w:rsid w:val="00641520"/>
    <w:rsid w:val="00642B49"/>
    <w:rsid w:val="00652A93"/>
    <w:rsid w:val="00677850"/>
    <w:rsid w:val="006832D9"/>
    <w:rsid w:val="00685039"/>
    <w:rsid w:val="0069403B"/>
    <w:rsid w:val="006C5915"/>
    <w:rsid w:val="006F3DDE"/>
    <w:rsid w:val="00704678"/>
    <w:rsid w:val="00721AC1"/>
    <w:rsid w:val="007425E7"/>
    <w:rsid w:val="00743D6B"/>
    <w:rsid w:val="00745A86"/>
    <w:rsid w:val="00802607"/>
    <w:rsid w:val="008101A5"/>
    <w:rsid w:val="00822664"/>
    <w:rsid w:val="00843796"/>
    <w:rsid w:val="00846374"/>
    <w:rsid w:val="0086560E"/>
    <w:rsid w:val="00895229"/>
    <w:rsid w:val="008E0722"/>
    <w:rsid w:val="008F0203"/>
    <w:rsid w:val="008F50D4"/>
    <w:rsid w:val="00901D6D"/>
    <w:rsid w:val="009239AA"/>
    <w:rsid w:val="009335F5"/>
    <w:rsid w:val="00935ADA"/>
    <w:rsid w:val="00946B6C"/>
    <w:rsid w:val="00955A71"/>
    <w:rsid w:val="0096108F"/>
    <w:rsid w:val="00962FCF"/>
    <w:rsid w:val="009A0BC3"/>
    <w:rsid w:val="009C13B9"/>
    <w:rsid w:val="009C192A"/>
    <w:rsid w:val="009D01A2"/>
    <w:rsid w:val="009F5923"/>
    <w:rsid w:val="00A17011"/>
    <w:rsid w:val="00A21227"/>
    <w:rsid w:val="00A403BB"/>
    <w:rsid w:val="00A65C24"/>
    <w:rsid w:val="00A674DF"/>
    <w:rsid w:val="00A83AA6"/>
    <w:rsid w:val="00AE1809"/>
    <w:rsid w:val="00AF0490"/>
    <w:rsid w:val="00B46F2C"/>
    <w:rsid w:val="00B67C4F"/>
    <w:rsid w:val="00B80D76"/>
    <w:rsid w:val="00BA2105"/>
    <w:rsid w:val="00BA7E06"/>
    <w:rsid w:val="00BB43B5"/>
    <w:rsid w:val="00BB6219"/>
    <w:rsid w:val="00BD290F"/>
    <w:rsid w:val="00C14CC4"/>
    <w:rsid w:val="00C33C52"/>
    <w:rsid w:val="00C36E4B"/>
    <w:rsid w:val="00C40D8B"/>
    <w:rsid w:val="00C8407A"/>
    <w:rsid w:val="00C8488C"/>
    <w:rsid w:val="00C86E91"/>
    <w:rsid w:val="00CA2650"/>
    <w:rsid w:val="00CB1078"/>
    <w:rsid w:val="00CC6FAF"/>
    <w:rsid w:val="00D24698"/>
    <w:rsid w:val="00D440C7"/>
    <w:rsid w:val="00D54891"/>
    <w:rsid w:val="00D6383F"/>
    <w:rsid w:val="00D71221"/>
    <w:rsid w:val="00D72A71"/>
    <w:rsid w:val="00D82DD8"/>
    <w:rsid w:val="00DB59D0"/>
    <w:rsid w:val="00DC33D3"/>
    <w:rsid w:val="00DC4B29"/>
    <w:rsid w:val="00DD58F4"/>
    <w:rsid w:val="00E26329"/>
    <w:rsid w:val="00E40B50"/>
    <w:rsid w:val="00E4174A"/>
    <w:rsid w:val="00E50293"/>
    <w:rsid w:val="00E65FFC"/>
    <w:rsid w:val="00E80951"/>
    <w:rsid w:val="00E854FE"/>
    <w:rsid w:val="00E86CC6"/>
    <w:rsid w:val="00EB56B3"/>
    <w:rsid w:val="00ED2014"/>
    <w:rsid w:val="00ED6492"/>
    <w:rsid w:val="00EF2095"/>
    <w:rsid w:val="00F06866"/>
    <w:rsid w:val="00F15956"/>
    <w:rsid w:val="00F24CFC"/>
    <w:rsid w:val="00F3170F"/>
    <w:rsid w:val="00F4017B"/>
    <w:rsid w:val="00F5288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D82DD8"/>
    <w:pPr>
      <w:widowControl w:val="0"/>
    </w:pPr>
    <w:rPr>
      <w:snapToGrid w:val="0"/>
      <w:sz w:val="24"/>
      <w:szCs w:val="20"/>
    </w:rPr>
  </w:style>
  <w:style w:type="character" w:styleId="Hyperlink">
    <w:name w:val="Hyperlink"/>
    <w:basedOn w:val="DefaultParagraphFont"/>
    <w:uiPriority w:val="99"/>
    <w:unhideWhenUsed/>
    <w:rsid w:val="00D82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D82DD8"/>
    <w:pPr>
      <w:widowControl w:val="0"/>
    </w:pPr>
    <w:rPr>
      <w:snapToGrid w:val="0"/>
      <w:sz w:val="24"/>
      <w:szCs w:val="20"/>
    </w:rPr>
  </w:style>
  <w:style w:type="character" w:styleId="Hyperlink">
    <w:name w:val="Hyperlink"/>
    <w:basedOn w:val="DefaultParagraphFont"/>
    <w:uiPriority w:val="99"/>
    <w:unhideWhenUsed/>
    <w:rsid w:val="00D82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PFY6PPX2AYTS-2589-2463</_dlc_DocId>
    <_dlc_DocIdUrl xmlns="81daf041-c113-401c-bf82-107f5d396711">
      <Url>https://esp.cdc.gov/sites/ncezid/OD/policy/PRA/_layouts/15/DocIdRedir.aspx?ID=PFY6PPX2AYTS-2589-2463</Url>
      <Description>PFY6PPX2AYTS-2589-2463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3B5721-670C-4DEA-BEF3-BBA4591A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49FB3-08B6-4F17-A69F-63B89669D23B}">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335559b-c20a-4874-978e-77d2be77e01f"/>
    <ds:schemaRef ds:uri="http://www.w3.org/XML/1998/namespace"/>
  </ds:schemaRefs>
</ds:datastoreItem>
</file>

<file path=customXml/itemProps3.xml><?xml version="1.0" encoding="utf-8"?>
<ds:datastoreItem xmlns:ds="http://schemas.openxmlformats.org/officeDocument/2006/customXml" ds:itemID="{15D6A08C-862C-42A1-824B-BF6EB5FD9AED}">
  <ds:schemaRefs>
    <ds:schemaRef ds:uri="http://schemas.microsoft.com/sharepoint/v3/contenttype/forms"/>
  </ds:schemaRefs>
</ds:datastoreItem>
</file>

<file path=customXml/itemProps4.xml><?xml version="1.0" encoding="utf-8"?>
<ds:datastoreItem xmlns:ds="http://schemas.openxmlformats.org/officeDocument/2006/customXml" ds:itemID="{A6F783AA-40C6-4CEC-8648-7A5504A6E5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2017-12-04T19:14:00Z</dcterms:created>
  <dcterms:modified xsi:type="dcterms:W3CDTF">2017-12-04T19:14:00Z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01fdee27-4f7e-49a1-9c72-da0352daa7fb</vt:lpwstr>
  </property>
</Properties>
</file>