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EAA23"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14:paraId="3711CB1F" w14:textId="77777777" w:rsidR="00B46F2C" w:rsidRPr="000D01F3" w:rsidRDefault="00E2594A" w:rsidP="00362DDE">
      <w:pPr>
        <w:pStyle w:val="NoSpacing"/>
        <w:rPr>
          <w:rFonts w:ascii="Arial" w:hAnsi="Arial" w:cs="Arial"/>
          <w:sz w:val="20"/>
        </w:rPr>
      </w:pPr>
      <w:r>
        <w:rPr>
          <w:noProof/>
        </w:rPr>
        <mc:AlternateContent>
          <mc:Choice Requires="wps">
            <w:drawing>
              <wp:anchor distT="0" distB="0" distL="114300" distR="114300" simplePos="0" relativeHeight="251658240" behindDoc="0" locked="0" layoutInCell="0" allowOverlap="1" wp14:anchorId="62853A79" wp14:editId="2C2112E5">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CD1E3"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C20478" w:rsidRPr="000D01F3">
        <w:rPr>
          <w:sz w:val="22"/>
          <w:szCs w:val="22"/>
        </w:rPr>
        <w:t>Assessment</w:t>
      </w:r>
      <w:r w:rsidR="00362DDE">
        <w:rPr>
          <w:sz w:val="22"/>
          <w:szCs w:val="22"/>
        </w:rPr>
        <w:t xml:space="preserve"> of </w:t>
      </w:r>
      <w:r w:rsidR="00275A12">
        <w:rPr>
          <w:sz w:val="22"/>
          <w:szCs w:val="22"/>
        </w:rPr>
        <w:t>“The Refugee Journey t</w:t>
      </w:r>
      <w:r w:rsidR="00362DDE" w:rsidRPr="00362DDE">
        <w:rPr>
          <w:sz w:val="22"/>
          <w:szCs w:val="22"/>
        </w:rPr>
        <w:t>o Wellbeing”</w:t>
      </w:r>
      <w:r w:rsidR="00362DDE">
        <w:rPr>
          <w:sz w:val="22"/>
          <w:szCs w:val="22"/>
        </w:rPr>
        <w:t xml:space="preserve"> Exhibit at the </w:t>
      </w:r>
      <w:r w:rsidR="00362DDE" w:rsidRPr="00362DDE">
        <w:rPr>
          <w:sz w:val="22"/>
          <w:szCs w:val="22"/>
        </w:rPr>
        <w:t xml:space="preserve">2016 American Society of Tropical Medicine and Hygiene </w:t>
      </w:r>
      <w:r w:rsidR="00850153">
        <w:rPr>
          <w:sz w:val="22"/>
          <w:szCs w:val="22"/>
        </w:rPr>
        <w:t xml:space="preserve">(ASTMH) </w:t>
      </w:r>
      <w:r w:rsidR="00362DDE">
        <w:rPr>
          <w:sz w:val="22"/>
          <w:szCs w:val="22"/>
        </w:rPr>
        <w:t>C</w:t>
      </w:r>
      <w:r w:rsidR="00362DDE" w:rsidRPr="00362DDE">
        <w:rPr>
          <w:sz w:val="22"/>
          <w:szCs w:val="22"/>
        </w:rPr>
        <w:t>onference</w:t>
      </w:r>
      <w:r w:rsidR="00362DDE">
        <w:rPr>
          <w:sz w:val="22"/>
          <w:szCs w:val="22"/>
        </w:rPr>
        <w:t>, Atlanta, GA</w:t>
      </w:r>
      <w:r w:rsidR="000D01F3" w:rsidRPr="000D01F3">
        <w:rPr>
          <w:sz w:val="22"/>
          <w:szCs w:val="22"/>
        </w:rPr>
        <w:t xml:space="preserve">  </w:t>
      </w:r>
    </w:p>
    <w:p w14:paraId="40AA25E6" w14:textId="77777777" w:rsidR="00B46F2C" w:rsidRDefault="00B46F2C"/>
    <w:p w14:paraId="5A7CC6E3" w14:textId="6279A440" w:rsidR="00B46F2C" w:rsidRDefault="00B46F2C" w:rsidP="00362DDE">
      <w:r>
        <w:rPr>
          <w:b/>
        </w:rPr>
        <w:t>PURPOSE</w:t>
      </w:r>
      <w:r w:rsidRPr="009239AA">
        <w:rPr>
          <w:b/>
        </w:rPr>
        <w:t>:</w:t>
      </w:r>
      <w:r w:rsidR="00C20478">
        <w:rPr>
          <w:b/>
        </w:rPr>
        <w:t xml:space="preserve"> </w:t>
      </w:r>
      <w:r w:rsidR="00362DDE">
        <w:t xml:space="preserve">The purpose of the assessment is to describe implementation, reach, and the degree to which </w:t>
      </w:r>
      <w:proofErr w:type="spellStart"/>
      <w:r w:rsidR="00362DDE">
        <w:t>the</w:t>
      </w:r>
      <w:r w:rsidR="006220AF">
        <w:t>”Refugee</w:t>
      </w:r>
      <w:proofErr w:type="spellEnd"/>
      <w:r w:rsidR="006220AF">
        <w:t xml:space="preserve"> Journey to Wellbeing” Exhibit</w:t>
      </w:r>
      <w:r w:rsidR="00362DDE">
        <w:t xml:space="preserve"> </w:t>
      </w:r>
      <w:r w:rsidR="006220AF">
        <w:t>(from this point forward referred to as the “E</w:t>
      </w:r>
      <w:r w:rsidR="00362DDE">
        <w:t>xhibit</w:t>
      </w:r>
      <w:r w:rsidR="006220AF">
        <w:t>”</w:t>
      </w:r>
      <w:r w:rsidR="00362DDE">
        <w:t xml:space="preserve"> was able to achieve its stated objectives. </w:t>
      </w:r>
      <w:r w:rsidR="00A22370">
        <w:t xml:space="preserve">This </w:t>
      </w:r>
      <w:r w:rsidR="00A22370" w:rsidRPr="00AE5170">
        <w:t xml:space="preserve">novel interactive </w:t>
      </w:r>
      <w:r w:rsidR="00A22370">
        <w:t>exhibit, will</w:t>
      </w:r>
      <w:r w:rsidR="00A22370" w:rsidRPr="00AE5170">
        <w:t xml:space="preserve"> be debuted at the 2016 American Society of Tropical Medicine and Hygiene </w:t>
      </w:r>
      <w:r w:rsidR="00A22370">
        <w:t>annual meeting</w:t>
      </w:r>
      <w:r w:rsidR="00A22370" w:rsidRPr="00AE5170">
        <w:t xml:space="preserve"> in Atlanta, GA (November 13-17, 2016). </w:t>
      </w:r>
      <w:r w:rsidR="00A22370">
        <w:t>The exhibit is comprised of 4 scenes:</w:t>
      </w:r>
      <w:r w:rsidR="00B36B59">
        <w:t xml:space="preserve"> Seeking Safety, Life as a Refugee, Preparing for Resettlement, and New Beginnings.</w:t>
      </w:r>
      <w:r w:rsidR="00CA5F95">
        <w:t xml:space="preserve"> The </w:t>
      </w:r>
      <w:r w:rsidR="00E048BD">
        <w:t>Exhibits’</w:t>
      </w:r>
      <w:r w:rsidR="00CA5F95">
        <w:t xml:space="preserve"> intended near-term</w:t>
      </w:r>
      <w:r w:rsidR="00CA5F95" w:rsidRPr="00AE5170">
        <w:t xml:space="preserve"> outcomes include increasing 1) awareness about the science of refugee health, 2) knowledge about refugee health issues, 3) supportive attitudes towards refugees, such as empathy and perceived importance, and 4) awareness </w:t>
      </w:r>
      <w:r w:rsidR="00CA5F95">
        <w:t>of</w:t>
      </w:r>
      <w:r w:rsidR="00CA5F95" w:rsidRPr="00AE5170">
        <w:t xml:space="preserve"> relevant clinical and public health resources among </w:t>
      </w:r>
      <w:r w:rsidR="00CA5F95">
        <w:t>Exhibit</w:t>
      </w:r>
      <w:r w:rsidR="00CA5F95" w:rsidRPr="00AE5170">
        <w:t xml:space="preserve"> attendees.  </w:t>
      </w:r>
      <w:r w:rsidR="00362DDE">
        <w:t xml:space="preserve">The findings will be used to support replication of the </w:t>
      </w:r>
      <w:r w:rsidR="00F559A4">
        <w:t>E</w:t>
      </w:r>
      <w:r w:rsidR="00362DDE">
        <w:t xml:space="preserve">xhibit for upcoming meetings and other venues or to adapt the Exhibit for other types of settings (e.g., a mobile exhibit). The </w:t>
      </w:r>
      <w:r w:rsidR="00400C8E">
        <w:t>assessment</w:t>
      </w:r>
      <w:r w:rsidR="00362DDE">
        <w:t xml:space="preserve"> will also be used to make changes and improvements to the exhibit during implementation.</w:t>
      </w:r>
    </w:p>
    <w:p w14:paraId="7FE6E69A" w14:textId="77777777" w:rsidR="00362DDE" w:rsidRDefault="00362DDE" w:rsidP="00362DDE">
      <w:pPr>
        <w:rPr>
          <w:b/>
        </w:rPr>
      </w:pPr>
    </w:p>
    <w:p w14:paraId="5829909D" w14:textId="77777777" w:rsidR="00840FCA" w:rsidRDefault="00B46F2C" w:rsidP="00840FCA">
      <w:pPr>
        <w:pStyle w:val="Header"/>
        <w:tabs>
          <w:tab w:val="clear" w:pos="4320"/>
          <w:tab w:val="clear" w:pos="8640"/>
        </w:tabs>
      </w:pPr>
      <w:r w:rsidRPr="00434E33">
        <w:rPr>
          <w:b/>
        </w:rPr>
        <w:t>DESCRIPTION OF RESPONDENTS</w:t>
      </w:r>
      <w:r>
        <w:t>:</w:t>
      </w:r>
      <w:r w:rsidR="00EE26E7">
        <w:t xml:space="preserve"> Attendees of the </w:t>
      </w:r>
      <w:r w:rsidR="00EE26E7" w:rsidRPr="00EE26E7">
        <w:t>2016 American Society of Tropical Medicine and Hygiene Conference, Atlanta, GA</w:t>
      </w:r>
      <w:r w:rsidR="00EE26E7">
        <w:t>.</w:t>
      </w:r>
      <w:r w:rsidR="00EE26E7" w:rsidRPr="00EE26E7">
        <w:t xml:space="preserve"> </w:t>
      </w:r>
    </w:p>
    <w:p w14:paraId="4D9DBBD0" w14:textId="77777777" w:rsidR="00B46F2C" w:rsidRDefault="00B46F2C">
      <w:pPr>
        <w:rPr>
          <w:b/>
        </w:rPr>
      </w:pPr>
    </w:p>
    <w:p w14:paraId="373B002B" w14:textId="77777777" w:rsidR="00B46F2C" w:rsidRPr="00F06866" w:rsidRDefault="00B46F2C">
      <w:pPr>
        <w:rPr>
          <w:b/>
        </w:rPr>
      </w:pPr>
      <w:r>
        <w:rPr>
          <w:b/>
        </w:rPr>
        <w:t>TYPE OF COLLECTION:</w:t>
      </w:r>
      <w:r w:rsidRPr="00F06866">
        <w:t xml:space="preserve"> (Check one)</w:t>
      </w:r>
    </w:p>
    <w:p w14:paraId="6D8230C8" w14:textId="77777777" w:rsidR="00B46F2C" w:rsidRPr="00434E33" w:rsidRDefault="00B46F2C" w:rsidP="0096108F">
      <w:pPr>
        <w:pStyle w:val="BodyTextIndent"/>
        <w:tabs>
          <w:tab w:val="left" w:pos="360"/>
        </w:tabs>
        <w:ind w:left="0"/>
        <w:rPr>
          <w:bCs/>
          <w:sz w:val="16"/>
          <w:szCs w:val="16"/>
        </w:rPr>
      </w:pPr>
    </w:p>
    <w:p w14:paraId="36966D94"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E5C4D">
        <w:rPr>
          <w:bCs/>
          <w:sz w:val="24"/>
        </w:rPr>
        <w:t>X</w:t>
      </w:r>
      <w:r w:rsidRPr="00F06866">
        <w:rPr>
          <w:bCs/>
          <w:sz w:val="24"/>
        </w:rPr>
        <w:t xml:space="preserve">] Customer Satisfaction Survey  </w:t>
      </w:r>
    </w:p>
    <w:p w14:paraId="43F6A999" w14:textId="77777777" w:rsidR="00B46F2C" w:rsidRDefault="009E5C4D" w:rsidP="001D0776">
      <w:pPr>
        <w:pStyle w:val="BodyTextIndent"/>
        <w:tabs>
          <w:tab w:val="left" w:pos="360"/>
        </w:tabs>
        <w:ind w:left="0"/>
        <w:rPr>
          <w:bCs/>
          <w:sz w:val="24"/>
        </w:rPr>
      </w:pPr>
      <w:r w:rsidRPr="00F06866">
        <w:rPr>
          <w:bCs/>
          <w:sz w:val="24"/>
        </w:rPr>
        <w:t xml:space="preserve">[ ] </w:t>
      </w:r>
      <w:r w:rsidR="00B46F2C" w:rsidRPr="00F06866">
        <w:rPr>
          <w:bCs/>
          <w:sz w:val="24"/>
        </w:rPr>
        <w:t>Usability</w:t>
      </w:r>
      <w:r w:rsidR="00B46F2C">
        <w:rPr>
          <w:bCs/>
          <w:sz w:val="24"/>
        </w:rPr>
        <w:t xml:space="preserve"> Testing (e.g., Website or Software</w:t>
      </w:r>
      <w:r w:rsidR="00B46F2C">
        <w:rPr>
          <w:bCs/>
          <w:sz w:val="24"/>
        </w:rPr>
        <w:tab/>
        <w:t>[ ] Small Discussion Group</w:t>
      </w:r>
    </w:p>
    <w:p w14:paraId="68D51C76"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52B1B874" w14:textId="77777777" w:rsidR="001D0776" w:rsidRDefault="001D0776">
      <w:pPr>
        <w:rPr>
          <w:b/>
        </w:rPr>
      </w:pPr>
    </w:p>
    <w:p w14:paraId="06FE0EF7" w14:textId="77777777" w:rsidR="00B46F2C" w:rsidRDefault="00B46F2C">
      <w:pPr>
        <w:rPr>
          <w:b/>
        </w:rPr>
      </w:pPr>
      <w:r>
        <w:rPr>
          <w:b/>
        </w:rPr>
        <w:t>CERTIFICATION:</w:t>
      </w:r>
    </w:p>
    <w:p w14:paraId="5B90BE85" w14:textId="77777777" w:rsidR="00B46F2C" w:rsidRDefault="00B46F2C">
      <w:pPr>
        <w:rPr>
          <w:sz w:val="16"/>
          <w:szCs w:val="16"/>
        </w:rPr>
      </w:pPr>
    </w:p>
    <w:p w14:paraId="5AE9D546" w14:textId="77777777" w:rsidR="00B46F2C" w:rsidRPr="009C13B9" w:rsidRDefault="00B46F2C" w:rsidP="008101A5">
      <w:r>
        <w:t xml:space="preserve">I certify the following to be true: </w:t>
      </w:r>
    </w:p>
    <w:p w14:paraId="57A7B9EA" w14:textId="77777777" w:rsidR="00B46F2C" w:rsidRDefault="00B46F2C" w:rsidP="008101A5">
      <w:pPr>
        <w:pStyle w:val="ListParagraph"/>
        <w:numPr>
          <w:ilvl w:val="0"/>
          <w:numId w:val="14"/>
        </w:numPr>
      </w:pPr>
      <w:r>
        <w:t>The collection is voluntary.</w:t>
      </w:r>
      <w:r w:rsidRPr="00C14CC4">
        <w:t xml:space="preserve"> </w:t>
      </w:r>
    </w:p>
    <w:p w14:paraId="58943DE4"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A1745A5"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79D7A168"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0580425"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BA3F8E7"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C907A41" w14:textId="77777777" w:rsidR="00B46F2C" w:rsidRDefault="00B46F2C" w:rsidP="009C13B9"/>
    <w:p w14:paraId="5DAEDC43" w14:textId="77777777" w:rsidR="00B46F2C" w:rsidRDefault="00B46F2C" w:rsidP="00DB4F8A">
      <w:r>
        <w:t>Name:</w:t>
      </w:r>
      <w:r w:rsidR="00C20478">
        <w:t xml:space="preserve"> </w:t>
      </w:r>
      <w:r w:rsidR="003C4E53">
        <w:t xml:space="preserve">Heather Joseph </w:t>
      </w:r>
    </w:p>
    <w:p w14:paraId="1844EF94" w14:textId="77777777" w:rsidR="003C4E53" w:rsidRDefault="003C4E53" w:rsidP="00DB4F8A"/>
    <w:p w14:paraId="27A7B032" w14:textId="77777777" w:rsidR="00B46F2C" w:rsidRDefault="00B46F2C" w:rsidP="009C13B9">
      <w:r>
        <w:t>To assist review, please provide answers to the following question:</w:t>
      </w:r>
    </w:p>
    <w:p w14:paraId="671F472D" w14:textId="77777777" w:rsidR="00B46F2C" w:rsidRDefault="00B46F2C" w:rsidP="009C13B9">
      <w:pPr>
        <w:pStyle w:val="ListParagraph"/>
        <w:ind w:left="360"/>
      </w:pPr>
    </w:p>
    <w:p w14:paraId="35FA8175" w14:textId="77777777" w:rsidR="00B46F2C" w:rsidRPr="00C86E91" w:rsidRDefault="00B46F2C" w:rsidP="00C86E91">
      <w:pPr>
        <w:rPr>
          <w:b/>
        </w:rPr>
      </w:pPr>
      <w:r w:rsidRPr="00C86E91">
        <w:rPr>
          <w:b/>
        </w:rPr>
        <w:t>Personally Identifiable Information:</w:t>
      </w:r>
    </w:p>
    <w:p w14:paraId="664545DC" w14:textId="77777777" w:rsidR="00B46F2C" w:rsidRDefault="00B46F2C" w:rsidP="00C86E91">
      <w:pPr>
        <w:pStyle w:val="ListParagraph"/>
        <w:numPr>
          <w:ilvl w:val="0"/>
          <w:numId w:val="18"/>
        </w:numPr>
      </w:pPr>
      <w:r>
        <w:t>Is personally identifiable informatio</w:t>
      </w:r>
      <w:r w:rsidR="00C20478">
        <w:t>n (PII) collected?  [ ] Yes  [X</w:t>
      </w:r>
      <w:r>
        <w:t xml:space="preserve">]  No </w:t>
      </w:r>
    </w:p>
    <w:p w14:paraId="0A95F965" w14:textId="77777777" w:rsidR="00B46F2C" w:rsidRDefault="00B46F2C" w:rsidP="00C86E91">
      <w:pPr>
        <w:pStyle w:val="ListParagraph"/>
        <w:numPr>
          <w:ilvl w:val="0"/>
          <w:numId w:val="18"/>
        </w:numPr>
      </w:pPr>
      <w:r>
        <w:lastRenderedPageBreak/>
        <w:t xml:space="preserve">If </w:t>
      </w:r>
      <w:r w:rsidR="003E5D2B">
        <w:t>y</w:t>
      </w:r>
      <w:r>
        <w:t xml:space="preserve">es, is the information that will be collected included in records that are subject to the Privacy Act of 1974?   [  ] Yes [  ] No  </w:t>
      </w:r>
    </w:p>
    <w:p w14:paraId="368D3D75" w14:textId="77777777" w:rsidR="00B46F2C" w:rsidRDefault="00B46F2C" w:rsidP="00C86E91">
      <w:pPr>
        <w:pStyle w:val="ListParagraph"/>
        <w:numPr>
          <w:ilvl w:val="0"/>
          <w:numId w:val="18"/>
        </w:numPr>
      </w:pPr>
      <w:r>
        <w:t>If Applicable, has a System or Records Noti</w:t>
      </w:r>
      <w:r w:rsidR="00C20478">
        <w:t>ce been published?  [  ] Yes  [X</w:t>
      </w:r>
      <w:r>
        <w:t>] No</w:t>
      </w:r>
    </w:p>
    <w:p w14:paraId="637B79F5" w14:textId="77777777" w:rsidR="009E5C4D" w:rsidRDefault="009E5C4D" w:rsidP="00C86E91">
      <w:pPr>
        <w:pStyle w:val="ListParagraph"/>
        <w:ind w:left="0"/>
        <w:rPr>
          <w:b/>
        </w:rPr>
      </w:pPr>
    </w:p>
    <w:p w14:paraId="13029EA6" w14:textId="77777777" w:rsidR="00B46F2C" w:rsidRPr="00C86E91" w:rsidRDefault="00B46F2C" w:rsidP="00C86E91">
      <w:pPr>
        <w:pStyle w:val="ListParagraph"/>
        <w:ind w:left="0"/>
        <w:rPr>
          <w:b/>
        </w:rPr>
      </w:pPr>
      <w:r>
        <w:rPr>
          <w:b/>
        </w:rPr>
        <w:t>Gifts or Payments:</w:t>
      </w:r>
    </w:p>
    <w:p w14:paraId="49D825FB" w14:textId="77777777" w:rsidR="00475C23" w:rsidRDefault="00B46F2C" w:rsidP="00C86E91">
      <w:r>
        <w:t>Is an incentive (e.g., money or reimbursement of expenses, token of appreciation) provide</w:t>
      </w:r>
      <w:r w:rsidR="00C20478">
        <w:t>d to participants?  [  ] Yes [X</w:t>
      </w:r>
      <w:r>
        <w:t>] No</w:t>
      </w:r>
    </w:p>
    <w:p w14:paraId="211BF67C" w14:textId="77777777" w:rsidR="00475C23" w:rsidRDefault="00475C23" w:rsidP="00C86E91"/>
    <w:p w14:paraId="48D30547" w14:textId="0435DAEA" w:rsidR="00B46F2C" w:rsidRDefault="00B46F2C" w:rsidP="00C86E91">
      <w:pPr>
        <w:rPr>
          <w:i/>
        </w:rPr>
      </w:pPr>
      <w:r>
        <w:rPr>
          <w:b/>
        </w:rPr>
        <w:t>BURDEN HOURS</w:t>
      </w:r>
      <w:r>
        <w:t xml:space="preserve"> </w:t>
      </w:r>
    </w:p>
    <w:p w14:paraId="627E4BEF"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87"/>
        <w:gridCol w:w="1026"/>
      </w:tblGrid>
      <w:tr w:rsidR="00B46F2C" w14:paraId="33C4505A" w14:textId="77777777" w:rsidTr="00EE26E7">
        <w:trPr>
          <w:trHeight w:val="274"/>
        </w:trPr>
        <w:tc>
          <w:tcPr>
            <w:tcW w:w="5418" w:type="dxa"/>
          </w:tcPr>
          <w:p w14:paraId="2233F32E" w14:textId="77777777" w:rsidR="00B46F2C" w:rsidRPr="00512CA7" w:rsidRDefault="00B46F2C" w:rsidP="00C8488C">
            <w:pPr>
              <w:rPr>
                <w:b/>
              </w:rPr>
            </w:pPr>
            <w:r w:rsidRPr="00512CA7">
              <w:rPr>
                <w:b/>
              </w:rPr>
              <w:t xml:space="preserve">Category of Respondent </w:t>
            </w:r>
          </w:p>
        </w:tc>
        <w:tc>
          <w:tcPr>
            <w:tcW w:w="1530" w:type="dxa"/>
          </w:tcPr>
          <w:p w14:paraId="3E050001" w14:textId="77777777" w:rsidR="00B46F2C" w:rsidRPr="00512CA7" w:rsidRDefault="00B46F2C" w:rsidP="00843796">
            <w:pPr>
              <w:rPr>
                <w:b/>
              </w:rPr>
            </w:pPr>
            <w:r w:rsidRPr="00512CA7">
              <w:rPr>
                <w:b/>
              </w:rPr>
              <w:t>No. of Respondents</w:t>
            </w:r>
          </w:p>
        </w:tc>
        <w:tc>
          <w:tcPr>
            <w:tcW w:w="1687" w:type="dxa"/>
          </w:tcPr>
          <w:p w14:paraId="60DE0D77" w14:textId="77777777" w:rsidR="00B46F2C" w:rsidRPr="00512CA7" w:rsidRDefault="00B46F2C" w:rsidP="00843796">
            <w:pPr>
              <w:rPr>
                <w:b/>
              </w:rPr>
            </w:pPr>
            <w:r w:rsidRPr="00512CA7">
              <w:rPr>
                <w:b/>
              </w:rPr>
              <w:t>Participation Time</w:t>
            </w:r>
          </w:p>
        </w:tc>
        <w:tc>
          <w:tcPr>
            <w:tcW w:w="1026" w:type="dxa"/>
          </w:tcPr>
          <w:p w14:paraId="41B765AC" w14:textId="77777777" w:rsidR="00B46F2C" w:rsidRPr="00512CA7" w:rsidRDefault="00B46F2C" w:rsidP="00843796">
            <w:pPr>
              <w:rPr>
                <w:b/>
              </w:rPr>
            </w:pPr>
            <w:r w:rsidRPr="00512CA7">
              <w:rPr>
                <w:b/>
              </w:rPr>
              <w:t>Burden</w:t>
            </w:r>
          </w:p>
        </w:tc>
      </w:tr>
      <w:tr w:rsidR="00B46F2C" w14:paraId="220CCD36" w14:textId="77777777" w:rsidTr="00EE26E7">
        <w:trPr>
          <w:trHeight w:val="274"/>
        </w:trPr>
        <w:tc>
          <w:tcPr>
            <w:tcW w:w="5418" w:type="dxa"/>
          </w:tcPr>
          <w:p w14:paraId="0D4B5082" w14:textId="77777777" w:rsidR="00B46F2C" w:rsidRDefault="00EE26E7" w:rsidP="00843796">
            <w:r>
              <w:t>Conference attendees who have not yet visited the Exhibit</w:t>
            </w:r>
          </w:p>
        </w:tc>
        <w:tc>
          <w:tcPr>
            <w:tcW w:w="1530" w:type="dxa"/>
          </w:tcPr>
          <w:p w14:paraId="1D5C4D77" w14:textId="77777777" w:rsidR="00B46F2C" w:rsidRDefault="008957AC" w:rsidP="00EE26E7">
            <w:r>
              <w:t>1</w:t>
            </w:r>
            <w:r w:rsidR="00EE26E7">
              <w:t>00</w:t>
            </w:r>
          </w:p>
        </w:tc>
        <w:tc>
          <w:tcPr>
            <w:tcW w:w="1687" w:type="dxa"/>
          </w:tcPr>
          <w:p w14:paraId="79149795" w14:textId="7D91CA59" w:rsidR="00B46F2C" w:rsidRDefault="005E1AE0" w:rsidP="00525F2B">
            <w:r>
              <w:t>7</w:t>
            </w:r>
            <w:r w:rsidR="00850153">
              <w:t>/60</w:t>
            </w:r>
            <w:r w:rsidR="002C7DEA">
              <w:t xml:space="preserve"> </w:t>
            </w:r>
          </w:p>
        </w:tc>
        <w:tc>
          <w:tcPr>
            <w:tcW w:w="1026" w:type="dxa"/>
          </w:tcPr>
          <w:p w14:paraId="260828AA" w14:textId="49CE6B96" w:rsidR="00B46F2C" w:rsidRDefault="005E1AE0" w:rsidP="00525F2B">
            <w:r>
              <w:t>12</w:t>
            </w:r>
            <w:r w:rsidR="00EE26E7">
              <w:t xml:space="preserve"> </w:t>
            </w:r>
          </w:p>
        </w:tc>
      </w:tr>
      <w:tr w:rsidR="009E318E" w14:paraId="423B3F64" w14:textId="77777777" w:rsidTr="00EE26E7">
        <w:trPr>
          <w:trHeight w:val="274"/>
        </w:trPr>
        <w:tc>
          <w:tcPr>
            <w:tcW w:w="5418" w:type="dxa"/>
          </w:tcPr>
          <w:p w14:paraId="0C79340E" w14:textId="75FBACCD" w:rsidR="009E318E" w:rsidRDefault="009E318E" w:rsidP="00843796">
            <w:r>
              <w:t>Conference attendees who may or may not have visited the Exhibit</w:t>
            </w:r>
          </w:p>
        </w:tc>
        <w:tc>
          <w:tcPr>
            <w:tcW w:w="1530" w:type="dxa"/>
          </w:tcPr>
          <w:p w14:paraId="20CEA51A" w14:textId="53212DA2" w:rsidR="009E318E" w:rsidRDefault="009E318E" w:rsidP="00EE26E7">
            <w:r>
              <w:t>150</w:t>
            </w:r>
          </w:p>
        </w:tc>
        <w:tc>
          <w:tcPr>
            <w:tcW w:w="1687" w:type="dxa"/>
          </w:tcPr>
          <w:p w14:paraId="32A089C6" w14:textId="3AE06EC0" w:rsidR="009E318E" w:rsidRDefault="009E318E" w:rsidP="00525F2B">
            <w:r>
              <w:t>1/60</w:t>
            </w:r>
          </w:p>
        </w:tc>
        <w:tc>
          <w:tcPr>
            <w:tcW w:w="1026" w:type="dxa"/>
          </w:tcPr>
          <w:p w14:paraId="53D234AA" w14:textId="4F059FDB" w:rsidR="009E318E" w:rsidRDefault="009E318E" w:rsidP="00525F2B">
            <w:r>
              <w:t>2.5</w:t>
            </w:r>
          </w:p>
        </w:tc>
      </w:tr>
      <w:tr w:rsidR="00B46F2C" w14:paraId="22D36F9D" w14:textId="77777777" w:rsidTr="00EE26E7">
        <w:trPr>
          <w:trHeight w:val="274"/>
        </w:trPr>
        <w:tc>
          <w:tcPr>
            <w:tcW w:w="5418" w:type="dxa"/>
          </w:tcPr>
          <w:p w14:paraId="60296715" w14:textId="77777777" w:rsidR="00B46F2C" w:rsidRDefault="00EE26E7" w:rsidP="00850153">
            <w:r>
              <w:t>Conference attendees who have visited the Exhibit</w:t>
            </w:r>
          </w:p>
        </w:tc>
        <w:tc>
          <w:tcPr>
            <w:tcW w:w="1530" w:type="dxa"/>
          </w:tcPr>
          <w:p w14:paraId="2F6481FF" w14:textId="77777777" w:rsidR="00B46F2C" w:rsidRDefault="00EE26E7" w:rsidP="00843796">
            <w:r>
              <w:t>100</w:t>
            </w:r>
          </w:p>
        </w:tc>
        <w:tc>
          <w:tcPr>
            <w:tcW w:w="1687" w:type="dxa"/>
          </w:tcPr>
          <w:p w14:paraId="3DDBE6A8" w14:textId="6224B94D" w:rsidR="00B46F2C" w:rsidRDefault="005E1AE0" w:rsidP="00525F2B">
            <w:r>
              <w:t>7</w:t>
            </w:r>
            <w:r w:rsidR="00850153">
              <w:t>/60</w:t>
            </w:r>
            <w:r w:rsidR="002C7DEA">
              <w:t xml:space="preserve"> </w:t>
            </w:r>
          </w:p>
        </w:tc>
        <w:tc>
          <w:tcPr>
            <w:tcW w:w="1026" w:type="dxa"/>
          </w:tcPr>
          <w:p w14:paraId="382C9EC3" w14:textId="44BC8E61" w:rsidR="00B46F2C" w:rsidRDefault="005E1AE0" w:rsidP="00525F2B">
            <w:r>
              <w:t>12</w:t>
            </w:r>
            <w:r w:rsidR="00EE26E7" w:rsidRPr="00EE26E7">
              <w:t xml:space="preserve"> </w:t>
            </w:r>
          </w:p>
        </w:tc>
      </w:tr>
      <w:tr w:rsidR="00B46F2C" w14:paraId="63B0D669" w14:textId="77777777" w:rsidTr="00EE26E7">
        <w:trPr>
          <w:trHeight w:val="289"/>
        </w:trPr>
        <w:tc>
          <w:tcPr>
            <w:tcW w:w="5418" w:type="dxa"/>
          </w:tcPr>
          <w:p w14:paraId="246DAC89" w14:textId="77777777" w:rsidR="00B46F2C" w:rsidRPr="00512CA7" w:rsidRDefault="00B46F2C" w:rsidP="00843796">
            <w:pPr>
              <w:rPr>
                <w:b/>
              </w:rPr>
            </w:pPr>
            <w:r w:rsidRPr="00512CA7">
              <w:rPr>
                <w:b/>
              </w:rPr>
              <w:t>Totals</w:t>
            </w:r>
          </w:p>
        </w:tc>
        <w:tc>
          <w:tcPr>
            <w:tcW w:w="1530" w:type="dxa"/>
          </w:tcPr>
          <w:p w14:paraId="1E80B6B9" w14:textId="6FC538D3" w:rsidR="00B46F2C" w:rsidRPr="00512CA7" w:rsidRDefault="00161573" w:rsidP="00843796">
            <w:pPr>
              <w:rPr>
                <w:b/>
              </w:rPr>
            </w:pPr>
            <w:r>
              <w:rPr>
                <w:b/>
              </w:rPr>
              <w:t>350</w:t>
            </w:r>
          </w:p>
        </w:tc>
        <w:tc>
          <w:tcPr>
            <w:tcW w:w="1687" w:type="dxa"/>
          </w:tcPr>
          <w:p w14:paraId="4AEE9E77" w14:textId="77777777" w:rsidR="00B46F2C" w:rsidRDefault="00B46F2C" w:rsidP="00843796"/>
        </w:tc>
        <w:tc>
          <w:tcPr>
            <w:tcW w:w="1026" w:type="dxa"/>
          </w:tcPr>
          <w:p w14:paraId="3F420B1B" w14:textId="3DB1C530" w:rsidR="00B46F2C" w:rsidRPr="00512CA7" w:rsidRDefault="00161573" w:rsidP="00525F2B">
            <w:pPr>
              <w:rPr>
                <w:b/>
              </w:rPr>
            </w:pPr>
            <w:r>
              <w:rPr>
                <w:b/>
              </w:rPr>
              <w:t>26.5</w:t>
            </w:r>
          </w:p>
        </w:tc>
      </w:tr>
    </w:tbl>
    <w:p w14:paraId="121E5E8D" w14:textId="77777777" w:rsidR="00B46F2C" w:rsidRDefault="00B46F2C" w:rsidP="00F3170F"/>
    <w:p w14:paraId="321E09FC" w14:textId="77777777" w:rsidR="00B46F2C" w:rsidRDefault="00B46F2C" w:rsidP="00F3170F"/>
    <w:p w14:paraId="4571DC51" w14:textId="1AC3BCBF" w:rsidR="00B46F2C" w:rsidRDefault="00B46F2C">
      <w:pPr>
        <w:rPr>
          <w:b/>
        </w:rPr>
      </w:pPr>
      <w:r>
        <w:rPr>
          <w:b/>
        </w:rPr>
        <w:t xml:space="preserve">FEDERAL COST:  </w:t>
      </w:r>
      <w:r>
        <w:t>The estimated annual cost to the Federal government is</w:t>
      </w:r>
      <w:r w:rsidR="00956593">
        <w:t xml:space="preserve"> 8</w:t>
      </w:r>
      <w:r w:rsidR="005E1AE0">
        <w:t>1</w:t>
      </w:r>
      <w:r w:rsidR="00956593">
        <w:t xml:space="preserve"> hours of employee time or $</w:t>
      </w:r>
      <w:r w:rsidR="009E318E">
        <w:t>4,029</w:t>
      </w:r>
      <w:r w:rsidR="00956593">
        <w:t>.00.</w:t>
      </w:r>
    </w:p>
    <w:p w14:paraId="3C1DEC1D" w14:textId="77777777" w:rsidR="00B46F2C" w:rsidRDefault="00B46F2C">
      <w:pPr>
        <w:rPr>
          <w:b/>
          <w:bCs/>
          <w:u w:val="single"/>
        </w:rPr>
      </w:pPr>
    </w:p>
    <w:p w14:paraId="62F7E275" w14:textId="77777777" w:rsidR="00B46F2C" w:rsidRDefault="00B46F2C" w:rsidP="00F06866">
      <w:pPr>
        <w:rPr>
          <w:b/>
        </w:rPr>
      </w:pPr>
      <w:r>
        <w:rPr>
          <w:b/>
          <w:bCs/>
          <w:u w:val="single"/>
        </w:rPr>
        <w:t>If you are conducting a focus group, survey, or plan to empl</w:t>
      </w:r>
      <w:r w:rsidR="00DB4F8A">
        <w:rPr>
          <w:b/>
          <w:bCs/>
          <w:u w:val="single"/>
        </w:rPr>
        <w:t xml:space="preserve">oy statistical methods, please </w:t>
      </w:r>
      <w:r>
        <w:rPr>
          <w:b/>
          <w:bCs/>
          <w:u w:val="single"/>
        </w:rPr>
        <w:t>provide answers to the following questions:</w:t>
      </w:r>
    </w:p>
    <w:p w14:paraId="5AB79F1C" w14:textId="77777777" w:rsidR="00B46F2C" w:rsidRDefault="00B46F2C" w:rsidP="00F06866">
      <w:pPr>
        <w:rPr>
          <w:b/>
        </w:rPr>
      </w:pPr>
    </w:p>
    <w:p w14:paraId="515FD1A2" w14:textId="77777777" w:rsidR="00B46F2C" w:rsidRDefault="00B46F2C" w:rsidP="00F06866">
      <w:pPr>
        <w:rPr>
          <w:b/>
        </w:rPr>
      </w:pPr>
      <w:r>
        <w:rPr>
          <w:b/>
        </w:rPr>
        <w:t>The selection of your targeted respondents</w:t>
      </w:r>
    </w:p>
    <w:p w14:paraId="63FA133C" w14:textId="77777777" w:rsidR="00933AD4"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p>
    <w:p w14:paraId="0BC0C768" w14:textId="77777777" w:rsidR="00B46F2C" w:rsidRDefault="00B46F2C" w:rsidP="00933AD4">
      <w:pPr>
        <w:pStyle w:val="ListParagraph"/>
        <w:ind w:left="360"/>
      </w:pPr>
      <w:r>
        <w:t>[ ] Yes</w:t>
      </w:r>
      <w:r>
        <w:tab/>
      </w:r>
      <w:proofErr w:type="gramStart"/>
      <w:r>
        <w:t xml:space="preserve">[ </w:t>
      </w:r>
      <w:r w:rsidR="00933AD4">
        <w:t>X</w:t>
      </w:r>
      <w:proofErr w:type="gramEnd"/>
      <w:r>
        <w:t>] No</w:t>
      </w:r>
    </w:p>
    <w:p w14:paraId="7DAE95C1" w14:textId="77777777" w:rsidR="00B46F2C" w:rsidRPr="003C4E53" w:rsidRDefault="00B46F2C" w:rsidP="00636621">
      <w:pPr>
        <w:pStyle w:val="ListParagraph"/>
      </w:pPr>
    </w:p>
    <w:p w14:paraId="2DB3F710" w14:textId="77777777" w:rsidR="00B46F2C" w:rsidRPr="003C4E53" w:rsidRDefault="00B46F2C" w:rsidP="00A403BB">
      <w:r w:rsidRPr="003C4E53">
        <w:t xml:space="preserve">If the answer is yes, </w:t>
      </w:r>
      <w:r w:rsidRPr="00CE3BBB">
        <w:t xml:space="preserve">please provide a description of both below (or attach the sampling plan)?  </w:t>
      </w:r>
      <w:r w:rsidRPr="003C4E53">
        <w:t xml:space="preserve"> If the answer is no, please provide a description of how you plan to identify your potential group of respondents and how you will select them?</w:t>
      </w:r>
    </w:p>
    <w:p w14:paraId="6C19F4A8" w14:textId="77777777" w:rsidR="00B46F2C" w:rsidRDefault="00B46F2C" w:rsidP="00A403BB"/>
    <w:p w14:paraId="3ACBB4B0" w14:textId="19FEF00B" w:rsidR="00D65F5C" w:rsidRDefault="00933AD4" w:rsidP="00F559A4">
      <w:r w:rsidRPr="00933AD4">
        <w:t xml:space="preserve">The CDC evaluation team will conduct approximately 200 brief </w:t>
      </w:r>
      <w:r w:rsidR="009E318E" w:rsidRPr="00161573">
        <w:t>(≤</w:t>
      </w:r>
      <w:r w:rsidR="00C433B9" w:rsidRPr="00161573">
        <w:t xml:space="preserve">7 </w:t>
      </w:r>
      <w:r w:rsidRPr="00161573">
        <w:t>min)</w:t>
      </w:r>
      <w:r w:rsidR="00714BF8">
        <w:t xml:space="preserve"> face to face</w:t>
      </w:r>
      <w:r w:rsidRPr="00933AD4">
        <w:t xml:space="preserve"> interviews with </w:t>
      </w:r>
      <w:r w:rsidR="00935215">
        <w:t xml:space="preserve">ASTMH conference </w:t>
      </w:r>
      <w:r w:rsidRPr="00933AD4">
        <w:t xml:space="preserve">attendees. </w:t>
      </w:r>
      <w:r>
        <w:t xml:space="preserve"> </w:t>
      </w:r>
      <w:r w:rsidR="00D65F5C">
        <w:t xml:space="preserve">The same set of </w:t>
      </w:r>
      <w:r w:rsidR="00D65F5C" w:rsidRPr="00933AD4">
        <w:t xml:space="preserve">knowledge, attitudes, and awareness questions </w:t>
      </w:r>
      <w:r w:rsidR="00D65F5C">
        <w:t xml:space="preserve">will be asked of individuals who have not attended the exhibit (pre) and individuals who have attended the Exhibit (post) </w:t>
      </w:r>
      <w:r w:rsidR="00E048BD">
        <w:t>(</w:t>
      </w:r>
      <w:r w:rsidR="00E048BD">
        <w:rPr>
          <w:b/>
        </w:rPr>
        <w:t>Data Collection I</w:t>
      </w:r>
      <w:r w:rsidR="00E048BD" w:rsidRPr="00935215">
        <w:rPr>
          <w:b/>
        </w:rPr>
        <w:t xml:space="preserve">nstruments 1 and </w:t>
      </w:r>
      <w:r w:rsidR="009E318E">
        <w:rPr>
          <w:b/>
        </w:rPr>
        <w:t>3</w:t>
      </w:r>
      <w:r w:rsidR="00E048BD">
        <w:t>).</w:t>
      </w:r>
      <w:r w:rsidR="00E048BD" w:rsidRPr="00933AD4">
        <w:t xml:space="preserve">  </w:t>
      </w:r>
      <w:r w:rsidR="00D65F5C" w:rsidRPr="00D65F5C">
        <w:t>The post-survey will also contain closed and open-ended questions about the perceived quality of the Exhibit experience, suggestions for improvement, and overall satisfaction. (</w:t>
      </w:r>
      <w:r w:rsidR="00D65F5C" w:rsidRPr="00E407E3">
        <w:rPr>
          <w:b/>
        </w:rPr>
        <w:t>Data Collection Instrument</w:t>
      </w:r>
      <w:r w:rsidR="006E372B" w:rsidRPr="00E407E3">
        <w:rPr>
          <w:b/>
        </w:rPr>
        <w:t xml:space="preserve"> </w:t>
      </w:r>
      <w:r w:rsidR="009E318E">
        <w:rPr>
          <w:b/>
        </w:rPr>
        <w:t>3</w:t>
      </w:r>
      <w:r w:rsidR="00D65F5C" w:rsidRPr="00D65F5C">
        <w:t xml:space="preserve">).  </w:t>
      </w:r>
    </w:p>
    <w:p w14:paraId="33DF8DE5" w14:textId="77777777" w:rsidR="00D65F5C" w:rsidRDefault="00D65F5C" w:rsidP="00F559A4"/>
    <w:p w14:paraId="22534862" w14:textId="77777777" w:rsidR="00E048BD" w:rsidRDefault="00933AD4" w:rsidP="00F559A4">
      <w:r w:rsidRPr="00933AD4">
        <w:t xml:space="preserve">The baseline (pre-exposure) sample (n=100) will be collected at the Plenary/Opening Reception on Sunday, November 13. </w:t>
      </w:r>
      <w:r>
        <w:t>We will assume that all prospective respondents will not have attended the Exhibit, since it will not be operational that day. The</w:t>
      </w:r>
      <w:bookmarkStart w:id="0" w:name="_GoBack"/>
      <w:bookmarkEnd w:id="0"/>
      <w:r>
        <w:t xml:space="preserve"> sample will be selected based on convenience, however, we will use time-space sampling strategies to reduce selection bias.  </w:t>
      </w:r>
    </w:p>
    <w:p w14:paraId="700CA84C" w14:textId="77777777" w:rsidR="00E048BD" w:rsidRDefault="00E048BD" w:rsidP="00F559A4"/>
    <w:p w14:paraId="30A15D80" w14:textId="66B5C404" w:rsidR="00F559A4" w:rsidRPr="0084703C" w:rsidRDefault="00933AD4" w:rsidP="00F559A4">
      <w:r w:rsidRPr="00933AD4">
        <w:lastRenderedPageBreak/>
        <w:t>The post-exposure sample (n=100) will be collected starting Monday afternoon</w:t>
      </w:r>
      <w:r w:rsidR="00935215">
        <w:t xml:space="preserve">, November </w:t>
      </w:r>
      <w:r w:rsidR="002C3C57">
        <w:t>14</w:t>
      </w:r>
      <w:r w:rsidR="002C3C57" w:rsidRPr="00933AD4">
        <w:t xml:space="preserve"> </w:t>
      </w:r>
      <w:r w:rsidRPr="00933AD4">
        <w:t>to Thursday morning</w:t>
      </w:r>
      <w:r w:rsidR="00935215">
        <w:t>, November 16</w:t>
      </w:r>
      <w:r w:rsidRPr="00933AD4">
        <w:t>.</w:t>
      </w:r>
      <w:r>
        <w:t xml:space="preserve"> The same sampling strategies will be employed. </w:t>
      </w:r>
      <w:r w:rsidRPr="00933AD4">
        <w:t xml:space="preserve"> </w:t>
      </w:r>
      <w:r w:rsidR="00B7731D">
        <w:t>Before administering the post-survey, t</w:t>
      </w:r>
      <w:r w:rsidR="00F559A4">
        <w:t>wo screening questions</w:t>
      </w:r>
      <w:r w:rsidR="00B7731D">
        <w:t xml:space="preserve"> will be asked: </w:t>
      </w:r>
      <w:r w:rsidR="00F559A4">
        <w:t>(1)</w:t>
      </w:r>
      <w:r w:rsidR="00F559A4" w:rsidRPr="00F559A4">
        <w:t xml:space="preserve"> </w:t>
      </w:r>
      <w:r w:rsidR="00F559A4" w:rsidRPr="0084703C">
        <w:t>Have you viewed the CDC Exhibit “The Refugee Journey to Wellbeing?”</w:t>
      </w:r>
      <w:r w:rsidR="00F559A4">
        <w:t xml:space="preserve"> (Must have spent at least 5 minutes at exhibit to qualify.</w:t>
      </w:r>
      <w:r w:rsidR="00F559A4" w:rsidRPr="00227B37">
        <w:t xml:space="preserve"> </w:t>
      </w:r>
      <w:r w:rsidR="009E318E">
        <w:t xml:space="preserve">If no, end survey.) </w:t>
      </w:r>
      <w:proofErr w:type="gramStart"/>
      <w:r w:rsidR="009E318E">
        <w:t>and</w:t>
      </w:r>
      <w:proofErr w:type="gramEnd"/>
      <w:r w:rsidR="009E318E">
        <w:t xml:space="preserve"> </w:t>
      </w:r>
      <w:r w:rsidR="00F559A4">
        <w:t>(2) Did you answer another survey about the exhibit on Sunday evening? (If yes, end survey.)</w:t>
      </w:r>
      <w:r w:rsidR="00B7731D">
        <w:t xml:space="preserve"> </w:t>
      </w:r>
      <w:r w:rsidR="009E318E">
        <w:t>(</w:t>
      </w:r>
      <w:r w:rsidR="009E318E" w:rsidRPr="00E407E3">
        <w:rPr>
          <w:b/>
        </w:rPr>
        <w:t>Data Collection Instrument 2</w:t>
      </w:r>
      <w:r w:rsidR="009E318E">
        <w:t>) We anticipate needing to administer the screening tool to no more than approximately 150 attendees to reach the desired 100 eligible respondents. These</w:t>
      </w:r>
      <w:r w:rsidR="00B7731D">
        <w:t xml:space="preserve"> have </w:t>
      </w:r>
      <w:r w:rsidR="00D65F5C">
        <w:t xml:space="preserve">been factored into the burden assessment. </w:t>
      </w:r>
      <w:r w:rsidR="009E318E">
        <w:t>Because the CDC will have observers within the Exhibit itself, CDC will be able to target the eligible participants and should not need more than estimated burden in the table above.</w:t>
      </w:r>
    </w:p>
    <w:p w14:paraId="398CD4F0" w14:textId="77777777" w:rsidR="00933AD4" w:rsidRDefault="00933AD4" w:rsidP="00A403BB"/>
    <w:p w14:paraId="700A9BF2" w14:textId="4D6973F9" w:rsidR="00933AD4" w:rsidRDefault="00E048BD" w:rsidP="00A403BB">
      <w:r>
        <w:t>The CDC-approved</w:t>
      </w:r>
      <w:r w:rsidR="00CA616E">
        <w:t xml:space="preserve"> Research and Electronic Data Capture</w:t>
      </w:r>
      <w:r>
        <w:t xml:space="preserve"> </w:t>
      </w:r>
      <w:r w:rsidR="00CA616E">
        <w:t>(</w:t>
      </w:r>
      <w:proofErr w:type="spellStart"/>
      <w:r>
        <w:t>REDCap</w:t>
      </w:r>
      <w:proofErr w:type="spellEnd"/>
      <w:r w:rsidR="00CA616E">
        <w:t>)</w:t>
      </w:r>
      <w:r>
        <w:t xml:space="preserve"> application will be </w:t>
      </w:r>
      <w:r w:rsidR="00935215" w:rsidRPr="00933AD4">
        <w:t>used to collect data</w:t>
      </w:r>
      <w:r>
        <w:t xml:space="preserve"> on CDC-owned tablets</w:t>
      </w:r>
      <w:r w:rsidR="00935215">
        <w:t xml:space="preserve">.  All prospective respondents will be verbally consented after a brief introduction to the survey. </w:t>
      </w:r>
      <w:r w:rsidR="00193565">
        <w:t>(Data Collection Instruments 1 and 2)</w:t>
      </w:r>
      <w:r w:rsidR="00CA616E">
        <w:t xml:space="preserve"> Interviewers will complete the survey for the respondents; the respondent will not directly interface with the tablet. The interviewer will read the script and questions to the respondents and then type the respondents answer into the tablet.</w:t>
      </w:r>
      <w:r w:rsidR="00935215">
        <w:t xml:space="preserve"> Once the interview is submitted, it will be wirelessly transmitted to </w:t>
      </w:r>
      <w:r>
        <w:t>CDC servers</w:t>
      </w:r>
      <w:r w:rsidR="00935215">
        <w:t xml:space="preserve">.  </w:t>
      </w:r>
    </w:p>
    <w:p w14:paraId="620D815C" w14:textId="77777777" w:rsidR="00275A12" w:rsidRDefault="00275A12" w:rsidP="00A403BB"/>
    <w:p w14:paraId="1C06D96D" w14:textId="77777777" w:rsidR="00B46F2C" w:rsidRDefault="00B46F2C" w:rsidP="00A403BB">
      <w:pPr>
        <w:rPr>
          <w:b/>
        </w:rPr>
      </w:pPr>
      <w:r>
        <w:rPr>
          <w:b/>
        </w:rPr>
        <w:t>Administration of the Instrument</w:t>
      </w:r>
    </w:p>
    <w:p w14:paraId="4DCFFE4B" w14:textId="77777777" w:rsidR="00B46F2C" w:rsidRDefault="00B46F2C" w:rsidP="00A403BB">
      <w:pPr>
        <w:pStyle w:val="ListParagraph"/>
        <w:numPr>
          <w:ilvl w:val="0"/>
          <w:numId w:val="17"/>
        </w:numPr>
      </w:pPr>
      <w:r>
        <w:t>How will you collect the information? (Check all that apply)</w:t>
      </w:r>
    </w:p>
    <w:p w14:paraId="3F5B58F7" w14:textId="77777777" w:rsidR="00B46F2C" w:rsidRDefault="00B46F2C" w:rsidP="001B0AAA">
      <w:pPr>
        <w:ind w:left="720"/>
      </w:pPr>
      <w:r>
        <w:t xml:space="preserve">[] Web-based or other forms of Social Media </w:t>
      </w:r>
    </w:p>
    <w:p w14:paraId="2E70CDC7" w14:textId="77777777" w:rsidR="00B46F2C" w:rsidRDefault="000D01F3" w:rsidP="001B0AAA">
      <w:pPr>
        <w:ind w:left="720"/>
      </w:pPr>
      <w:r>
        <w:t>[</w:t>
      </w:r>
      <w:r w:rsidR="005F6AEC">
        <w:t xml:space="preserve">  </w:t>
      </w:r>
      <w:r w:rsidR="00B46F2C">
        <w:t>] Telephone</w:t>
      </w:r>
      <w:r w:rsidR="00B46F2C">
        <w:tab/>
      </w:r>
      <w:r>
        <w:t>(text)</w:t>
      </w:r>
    </w:p>
    <w:p w14:paraId="38932129" w14:textId="77777777" w:rsidR="00B46F2C" w:rsidRDefault="00B46F2C" w:rsidP="001B0AAA">
      <w:pPr>
        <w:ind w:left="720"/>
      </w:pPr>
      <w:proofErr w:type="gramStart"/>
      <w:r>
        <w:t xml:space="preserve">[ </w:t>
      </w:r>
      <w:r w:rsidR="007E5746">
        <w:t>X</w:t>
      </w:r>
      <w:proofErr w:type="gramEnd"/>
      <w:r>
        <w:t xml:space="preserve"> ] In-person</w:t>
      </w:r>
      <w:r>
        <w:tab/>
      </w:r>
    </w:p>
    <w:p w14:paraId="7F6C01E0" w14:textId="77777777" w:rsidR="00B46F2C" w:rsidRDefault="00B46F2C" w:rsidP="001B0AAA">
      <w:pPr>
        <w:ind w:left="720"/>
      </w:pPr>
      <w:r>
        <w:t xml:space="preserve">[] Mail </w:t>
      </w:r>
    </w:p>
    <w:p w14:paraId="6D90E25D" w14:textId="77777777" w:rsidR="00B46F2C" w:rsidRDefault="00B46F2C" w:rsidP="001B0AAA">
      <w:pPr>
        <w:ind w:left="720"/>
      </w:pPr>
      <w:proofErr w:type="gramStart"/>
      <w:r>
        <w:t xml:space="preserve">[ </w:t>
      </w:r>
      <w:r w:rsidR="00714BF8">
        <w:t>X</w:t>
      </w:r>
      <w:proofErr w:type="gramEnd"/>
      <w:r>
        <w:t xml:space="preserve"> ] Other, Explain</w:t>
      </w:r>
      <w:r w:rsidR="00714BF8">
        <w:t>: Data will be collected on tablets</w:t>
      </w:r>
    </w:p>
    <w:p w14:paraId="6A48EA84" w14:textId="77777777" w:rsidR="00B46F2C" w:rsidRDefault="00B46F2C" w:rsidP="00F24CFC">
      <w:pPr>
        <w:pStyle w:val="ListParagraph"/>
        <w:numPr>
          <w:ilvl w:val="0"/>
          <w:numId w:val="17"/>
        </w:numPr>
      </w:pPr>
      <w:r>
        <w:t>Will interviewers or facilitators</w:t>
      </w:r>
      <w:r w:rsidR="000D01F3">
        <w:t xml:space="preserve"> be used?  [</w:t>
      </w:r>
      <w:r w:rsidR="00933AD4">
        <w:t>X</w:t>
      </w:r>
      <w:r w:rsidR="000D01F3">
        <w:t>] Yes [</w:t>
      </w:r>
      <w:r>
        <w:t>] No</w:t>
      </w:r>
    </w:p>
    <w:p w14:paraId="0A59B6FA" w14:textId="77777777" w:rsidR="00B46F2C" w:rsidRDefault="00B46F2C" w:rsidP="00F24CFC">
      <w:pPr>
        <w:pStyle w:val="ListParagraph"/>
        <w:ind w:left="360"/>
      </w:pPr>
      <w:r>
        <w:t xml:space="preserve"> </w:t>
      </w:r>
    </w:p>
    <w:p w14:paraId="2ECD5350" w14:textId="77777777" w:rsidR="00B46F2C" w:rsidRDefault="00B46F2C" w:rsidP="0024521E">
      <w:pPr>
        <w:rPr>
          <w:b/>
        </w:rPr>
      </w:pPr>
      <w:r w:rsidRPr="00F24CFC">
        <w:rPr>
          <w:b/>
        </w:rPr>
        <w:t>Please make sure that all instruments, instructions, and scripts are submitted with the request.</w:t>
      </w:r>
    </w:p>
    <w:p w14:paraId="1601EA46" w14:textId="77777777" w:rsidR="000A7EF4" w:rsidRPr="00F24CFC" w:rsidRDefault="000A7EF4" w:rsidP="0024521E">
      <w:pPr>
        <w:rPr>
          <w:b/>
        </w:rPr>
      </w:pPr>
    </w:p>
    <w:sectPr w:rsidR="000A7EF4" w:rsidRPr="00F24CFC"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0E745" w14:textId="77777777" w:rsidR="008A7E3D" w:rsidRDefault="008A7E3D">
      <w:r>
        <w:separator/>
      </w:r>
    </w:p>
  </w:endnote>
  <w:endnote w:type="continuationSeparator" w:id="0">
    <w:p w14:paraId="200EB1BE" w14:textId="77777777" w:rsidR="008A7E3D" w:rsidRDefault="008A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84144" w14:textId="77777777" w:rsidR="006F7F79" w:rsidRDefault="006F7F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6157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BA994" w14:textId="77777777" w:rsidR="008A7E3D" w:rsidRDefault="008A7E3D">
      <w:r>
        <w:separator/>
      </w:r>
    </w:p>
  </w:footnote>
  <w:footnote w:type="continuationSeparator" w:id="0">
    <w:p w14:paraId="03734F3A" w14:textId="77777777" w:rsidR="008A7E3D" w:rsidRDefault="008A7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DDE92" w14:textId="77777777" w:rsidR="006F7F79" w:rsidRDefault="006F7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16B7"/>
    <w:rsid w:val="00023A57"/>
    <w:rsid w:val="00047A64"/>
    <w:rsid w:val="00067329"/>
    <w:rsid w:val="00093C30"/>
    <w:rsid w:val="000A7EF4"/>
    <w:rsid w:val="000B2838"/>
    <w:rsid w:val="000D01F3"/>
    <w:rsid w:val="000D44CA"/>
    <w:rsid w:val="000E200B"/>
    <w:rsid w:val="000F68BE"/>
    <w:rsid w:val="001016B3"/>
    <w:rsid w:val="00131049"/>
    <w:rsid w:val="00146DD4"/>
    <w:rsid w:val="00161573"/>
    <w:rsid w:val="001927A4"/>
    <w:rsid w:val="00193565"/>
    <w:rsid w:val="00194AC6"/>
    <w:rsid w:val="001A23B0"/>
    <w:rsid w:val="001A25CC"/>
    <w:rsid w:val="001B0AAA"/>
    <w:rsid w:val="001C39F7"/>
    <w:rsid w:val="001D0776"/>
    <w:rsid w:val="00223835"/>
    <w:rsid w:val="0023655D"/>
    <w:rsid w:val="00237B48"/>
    <w:rsid w:val="0024521E"/>
    <w:rsid w:val="00245EE3"/>
    <w:rsid w:val="00263C3D"/>
    <w:rsid w:val="00263F98"/>
    <w:rsid w:val="00274D0B"/>
    <w:rsid w:val="00275A12"/>
    <w:rsid w:val="002821FF"/>
    <w:rsid w:val="0028785D"/>
    <w:rsid w:val="002B3C95"/>
    <w:rsid w:val="002C3C57"/>
    <w:rsid w:val="002C7DEA"/>
    <w:rsid w:val="002D0B92"/>
    <w:rsid w:val="00362DDE"/>
    <w:rsid w:val="003675DB"/>
    <w:rsid w:val="00386D60"/>
    <w:rsid w:val="003C4E53"/>
    <w:rsid w:val="003D5BBE"/>
    <w:rsid w:val="003E3C61"/>
    <w:rsid w:val="003E5D2B"/>
    <w:rsid w:val="003F1C5B"/>
    <w:rsid w:val="00400C8E"/>
    <w:rsid w:val="0041337D"/>
    <w:rsid w:val="00434E33"/>
    <w:rsid w:val="00441434"/>
    <w:rsid w:val="0045264C"/>
    <w:rsid w:val="004529CC"/>
    <w:rsid w:val="0047302A"/>
    <w:rsid w:val="00475C23"/>
    <w:rsid w:val="00477EF2"/>
    <w:rsid w:val="004876EC"/>
    <w:rsid w:val="004D6E14"/>
    <w:rsid w:val="004D75B4"/>
    <w:rsid w:val="004F6A3D"/>
    <w:rsid w:val="005009B0"/>
    <w:rsid w:val="00512CA7"/>
    <w:rsid w:val="00525F2B"/>
    <w:rsid w:val="005324BB"/>
    <w:rsid w:val="00595305"/>
    <w:rsid w:val="005A1006"/>
    <w:rsid w:val="005C2290"/>
    <w:rsid w:val="005E1AE0"/>
    <w:rsid w:val="005E2F9B"/>
    <w:rsid w:val="005E714A"/>
    <w:rsid w:val="005F6AEC"/>
    <w:rsid w:val="006140A0"/>
    <w:rsid w:val="006220AF"/>
    <w:rsid w:val="006331D9"/>
    <w:rsid w:val="00636621"/>
    <w:rsid w:val="00642B49"/>
    <w:rsid w:val="0064641E"/>
    <w:rsid w:val="00646914"/>
    <w:rsid w:val="006710D8"/>
    <w:rsid w:val="0067300B"/>
    <w:rsid w:val="006832D9"/>
    <w:rsid w:val="0069403B"/>
    <w:rsid w:val="006D418D"/>
    <w:rsid w:val="006E12B5"/>
    <w:rsid w:val="006E372B"/>
    <w:rsid w:val="006E40AA"/>
    <w:rsid w:val="006F3DDE"/>
    <w:rsid w:val="006F7F79"/>
    <w:rsid w:val="00704678"/>
    <w:rsid w:val="00714BF8"/>
    <w:rsid w:val="007425E7"/>
    <w:rsid w:val="00746D89"/>
    <w:rsid w:val="007A0B55"/>
    <w:rsid w:val="007E5746"/>
    <w:rsid w:val="00802607"/>
    <w:rsid w:val="00803F66"/>
    <w:rsid w:val="008101A5"/>
    <w:rsid w:val="00822664"/>
    <w:rsid w:val="00840FCA"/>
    <w:rsid w:val="00843796"/>
    <w:rsid w:val="0084490C"/>
    <w:rsid w:val="00850153"/>
    <w:rsid w:val="00873956"/>
    <w:rsid w:val="00895229"/>
    <w:rsid w:val="008957AC"/>
    <w:rsid w:val="008A7E3D"/>
    <w:rsid w:val="008D2453"/>
    <w:rsid w:val="008F0203"/>
    <w:rsid w:val="008F50D4"/>
    <w:rsid w:val="00910A14"/>
    <w:rsid w:val="009239AA"/>
    <w:rsid w:val="00933AD4"/>
    <w:rsid w:val="00935215"/>
    <w:rsid w:val="00935ADA"/>
    <w:rsid w:val="00946B6C"/>
    <w:rsid w:val="00955A71"/>
    <w:rsid w:val="00955E07"/>
    <w:rsid w:val="00956593"/>
    <w:rsid w:val="0096108F"/>
    <w:rsid w:val="00964DB0"/>
    <w:rsid w:val="0099768A"/>
    <w:rsid w:val="009A31FB"/>
    <w:rsid w:val="009C0313"/>
    <w:rsid w:val="009C13B9"/>
    <w:rsid w:val="009D01A2"/>
    <w:rsid w:val="009D51C8"/>
    <w:rsid w:val="009E318E"/>
    <w:rsid w:val="009E48B2"/>
    <w:rsid w:val="009E5C4D"/>
    <w:rsid w:val="009F08CA"/>
    <w:rsid w:val="009F5923"/>
    <w:rsid w:val="00A22370"/>
    <w:rsid w:val="00A3398F"/>
    <w:rsid w:val="00A403BB"/>
    <w:rsid w:val="00A674DF"/>
    <w:rsid w:val="00A70F88"/>
    <w:rsid w:val="00A81840"/>
    <w:rsid w:val="00A83AA6"/>
    <w:rsid w:val="00AE1809"/>
    <w:rsid w:val="00B063B2"/>
    <w:rsid w:val="00B125C0"/>
    <w:rsid w:val="00B27575"/>
    <w:rsid w:val="00B36B59"/>
    <w:rsid w:val="00B46F2C"/>
    <w:rsid w:val="00B71A15"/>
    <w:rsid w:val="00B73E3F"/>
    <w:rsid w:val="00B7731D"/>
    <w:rsid w:val="00B80D76"/>
    <w:rsid w:val="00BA2105"/>
    <w:rsid w:val="00BA7E06"/>
    <w:rsid w:val="00BB43B5"/>
    <w:rsid w:val="00BB6219"/>
    <w:rsid w:val="00BD290F"/>
    <w:rsid w:val="00BE5294"/>
    <w:rsid w:val="00BF51EE"/>
    <w:rsid w:val="00C14CC4"/>
    <w:rsid w:val="00C20478"/>
    <w:rsid w:val="00C305EF"/>
    <w:rsid w:val="00C33C52"/>
    <w:rsid w:val="00C40D8B"/>
    <w:rsid w:val="00C433B9"/>
    <w:rsid w:val="00C82FBD"/>
    <w:rsid w:val="00C8407A"/>
    <w:rsid w:val="00C8488C"/>
    <w:rsid w:val="00C84D6F"/>
    <w:rsid w:val="00C86E91"/>
    <w:rsid w:val="00CA2650"/>
    <w:rsid w:val="00CA5F95"/>
    <w:rsid w:val="00CA616E"/>
    <w:rsid w:val="00CB1078"/>
    <w:rsid w:val="00CC6FAF"/>
    <w:rsid w:val="00CE3BBB"/>
    <w:rsid w:val="00D24698"/>
    <w:rsid w:val="00D3558D"/>
    <w:rsid w:val="00D43419"/>
    <w:rsid w:val="00D6383F"/>
    <w:rsid w:val="00D65F5C"/>
    <w:rsid w:val="00D71221"/>
    <w:rsid w:val="00D73EC7"/>
    <w:rsid w:val="00D74E93"/>
    <w:rsid w:val="00DB4F8A"/>
    <w:rsid w:val="00DB59D0"/>
    <w:rsid w:val="00DC33D3"/>
    <w:rsid w:val="00DF170C"/>
    <w:rsid w:val="00E048BD"/>
    <w:rsid w:val="00E2594A"/>
    <w:rsid w:val="00E26329"/>
    <w:rsid w:val="00E27464"/>
    <w:rsid w:val="00E407E3"/>
    <w:rsid w:val="00E40B50"/>
    <w:rsid w:val="00E43548"/>
    <w:rsid w:val="00E50293"/>
    <w:rsid w:val="00E65FFC"/>
    <w:rsid w:val="00E80951"/>
    <w:rsid w:val="00E81F3C"/>
    <w:rsid w:val="00E84002"/>
    <w:rsid w:val="00E854FE"/>
    <w:rsid w:val="00E86CC6"/>
    <w:rsid w:val="00EB56B3"/>
    <w:rsid w:val="00ED01BE"/>
    <w:rsid w:val="00ED6492"/>
    <w:rsid w:val="00EE26E7"/>
    <w:rsid w:val="00EE3003"/>
    <w:rsid w:val="00EF2095"/>
    <w:rsid w:val="00F06866"/>
    <w:rsid w:val="00F1501D"/>
    <w:rsid w:val="00F15956"/>
    <w:rsid w:val="00F24CFC"/>
    <w:rsid w:val="00F3170F"/>
    <w:rsid w:val="00F4017B"/>
    <w:rsid w:val="00F559A4"/>
    <w:rsid w:val="00F73EC1"/>
    <w:rsid w:val="00F976B0"/>
    <w:rsid w:val="00FA33F6"/>
    <w:rsid w:val="00FA6DE7"/>
    <w:rsid w:val="00FC0A8E"/>
    <w:rsid w:val="00FE2FA6"/>
    <w:rsid w:val="00FE3DF2"/>
    <w:rsid w:val="45619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3D355ED"/>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uiPriority w:val="1"/>
    <w:qFormat/>
    <w:rsid w:val="000D01F3"/>
    <w:pPr>
      <w:widowControl w:val="0"/>
    </w:pPr>
    <w:rPr>
      <w:snapToGrid w:val="0"/>
      <w:sz w:val="24"/>
      <w:szCs w:val="20"/>
    </w:rPr>
  </w:style>
  <w:style w:type="paragraph" w:styleId="FootnoteText">
    <w:name w:val="footnote text"/>
    <w:basedOn w:val="Normal"/>
    <w:link w:val="FootnoteTextChar"/>
    <w:uiPriority w:val="99"/>
    <w:semiHidden/>
    <w:unhideWhenUsed/>
    <w:rsid w:val="00223835"/>
    <w:rPr>
      <w:sz w:val="20"/>
      <w:szCs w:val="20"/>
    </w:rPr>
  </w:style>
  <w:style w:type="character" w:customStyle="1" w:styleId="FootnoteTextChar">
    <w:name w:val="Footnote Text Char"/>
    <w:basedOn w:val="DefaultParagraphFont"/>
    <w:link w:val="FootnoteText"/>
    <w:uiPriority w:val="99"/>
    <w:semiHidden/>
    <w:rsid w:val="00223835"/>
    <w:rPr>
      <w:sz w:val="20"/>
      <w:szCs w:val="20"/>
    </w:rPr>
  </w:style>
  <w:style w:type="character" w:styleId="FootnoteReference">
    <w:name w:val="footnote reference"/>
    <w:basedOn w:val="DefaultParagraphFont"/>
    <w:uiPriority w:val="99"/>
    <w:semiHidden/>
    <w:unhideWhenUsed/>
    <w:rsid w:val="00223835"/>
    <w:rPr>
      <w:vertAlign w:val="superscript"/>
    </w:rPr>
  </w:style>
  <w:style w:type="paragraph" w:styleId="EndnoteText">
    <w:name w:val="endnote text"/>
    <w:basedOn w:val="Normal"/>
    <w:link w:val="EndnoteTextChar"/>
    <w:uiPriority w:val="99"/>
    <w:semiHidden/>
    <w:unhideWhenUsed/>
    <w:rsid w:val="009E48B2"/>
    <w:rPr>
      <w:sz w:val="20"/>
      <w:szCs w:val="20"/>
    </w:rPr>
  </w:style>
  <w:style w:type="character" w:customStyle="1" w:styleId="EndnoteTextChar">
    <w:name w:val="Endnote Text Char"/>
    <w:basedOn w:val="DefaultParagraphFont"/>
    <w:link w:val="EndnoteText"/>
    <w:uiPriority w:val="99"/>
    <w:semiHidden/>
    <w:rsid w:val="009E48B2"/>
    <w:rPr>
      <w:sz w:val="20"/>
      <w:szCs w:val="20"/>
    </w:rPr>
  </w:style>
  <w:style w:type="character" w:styleId="EndnoteReference">
    <w:name w:val="endnote reference"/>
    <w:basedOn w:val="DefaultParagraphFont"/>
    <w:uiPriority w:val="99"/>
    <w:semiHidden/>
    <w:unhideWhenUsed/>
    <w:rsid w:val="009E48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805666CF14D464FAFA3C7B11A01CC41" ma:contentTypeVersion="2" ma:contentTypeDescription="Create a new document." ma:contentTypeScope="" ma:versionID="d1894b13089cde4ae8b57a2561eabc28">
  <xsd:schema xmlns:xsd="http://www.w3.org/2001/XMLSchema" xmlns:xs="http://www.w3.org/2001/XMLSchema" xmlns:p="http://schemas.microsoft.com/office/2006/metadata/properties" xmlns:ns2="81daf041-c113-401c-bf82-107f5d396711" targetNamespace="http://schemas.microsoft.com/office/2006/metadata/properties" ma:root="true" ma:fieldsID="94f89d0c02bd7bf044e053de265fdd2c"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PFY6PPX2AYTS-2129970967-2340</_dlc_DocId>
    <_dlc_DocIdUrl xmlns="81daf041-c113-401c-bf82-107f5d396711">
      <Url>https://esp.cdc.gov/sites/ncezid/DGMQ/QBHS/cop/zika/_layouts/15/DocIdRedir.aspx?ID=PFY6PPX2AYTS-2129970967-2340</Url>
      <Description>PFY6PPX2AYTS-2129970967-2340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2.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3.xml><?xml version="1.0" encoding="utf-8"?>
<ds:datastoreItem xmlns:ds="http://schemas.openxmlformats.org/officeDocument/2006/customXml" ds:itemID="{D0FCE816-73EC-496E-970B-69C3FCB50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9F923-9C69-4609-BDC3-0A9A2002BEEE}">
  <ds:schemaRefs>
    <ds:schemaRef ds:uri="http://purl.org/dc/dcmitype/"/>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81daf041-c113-401c-bf82-107f5d396711"/>
  </ds:schemaRefs>
</ds:datastoreItem>
</file>

<file path=customXml/itemProps5.xml><?xml version="1.0" encoding="utf-8"?>
<ds:datastoreItem xmlns:ds="http://schemas.openxmlformats.org/officeDocument/2006/customXml" ds:itemID="{0015E094-16C1-4FBB-BFDB-D307EE63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1073</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Conner, Catina (CDC/OD/OADS)</cp:lastModifiedBy>
  <cp:revision>3</cp:revision>
  <cp:lastPrinted>2016-11-03T17:41:00Z</cp:lastPrinted>
  <dcterms:created xsi:type="dcterms:W3CDTF">2016-11-03T17:42:00Z</dcterms:created>
  <dcterms:modified xsi:type="dcterms:W3CDTF">2016-11-03T18:10:00Z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0x010100D805666CF14D464FAFA3C7B11A01CC41</vt:lpwstr>
  </property>
  <property fmtid="{D5CDD505-2E9C-101B-9397-08002B2CF9AE}" pid="4" name="_dlc_DocIdItemGuid">
    <vt:lpwstr>6f81744b-ed32-46eb-b951-d032ece2b627</vt:lpwstr>
  </property>
</Properties>
</file>