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62CFC" w14:textId="77777777" w:rsidR="00D81540" w:rsidRPr="00A17BF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32"/>
          <w:szCs w:val="32"/>
        </w:rPr>
      </w:pPr>
      <w:r w:rsidRPr="00A17BF0">
        <w:rPr>
          <w:rFonts w:ascii="Times New Roman" w:hAnsi="Times New Roman"/>
          <w:color w:val="000000"/>
          <w:sz w:val="32"/>
          <w:szCs w:val="32"/>
        </w:rPr>
        <w:t>Supporting Statement</w:t>
      </w:r>
      <w:r w:rsidR="00A17BF0" w:rsidRPr="00A17BF0">
        <w:rPr>
          <w:rFonts w:ascii="Times New Roman" w:hAnsi="Times New Roman"/>
          <w:color w:val="000000"/>
          <w:sz w:val="32"/>
          <w:szCs w:val="32"/>
        </w:rPr>
        <w:t>: Part A</w:t>
      </w:r>
    </w:p>
    <w:p w14:paraId="5858A333" w14:textId="77777777" w:rsidR="00D81540" w:rsidRPr="00A17BF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32"/>
          <w:szCs w:val="32"/>
        </w:rPr>
      </w:pPr>
    </w:p>
    <w:p w14:paraId="5B79CBB2" w14:textId="77777777" w:rsidR="00D81540" w:rsidRPr="00A17BF0" w:rsidRDefault="006161F8"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32"/>
          <w:szCs w:val="32"/>
        </w:rPr>
      </w:pPr>
      <w:r w:rsidRPr="00A17BF0">
        <w:rPr>
          <w:rFonts w:ascii="Times New Roman" w:eastAsiaTheme="minorHAnsi" w:hAnsi="Times New Roman"/>
          <w:b/>
          <w:bCs/>
          <w:sz w:val="32"/>
          <w:szCs w:val="32"/>
        </w:rPr>
        <w:t>National Ambulatory Medical Care Survey (NAMCS) Supplement of Primary Care Policies</w:t>
      </w:r>
      <w:r w:rsidR="00AA50DB" w:rsidRPr="00A17BF0">
        <w:rPr>
          <w:rFonts w:ascii="Times New Roman" w:eastAsiaTheme="minorHAnsi" w:hAnsi="Times New Roman"/>
          <w:b/>
          <w:bCs/>
          <w:sz w:val="32"/>
          <w:szCs w:val="32"/>
        </w:rPr>
        <w:t xml:space="preserve"> (NSPCP) </w:t>
      </w:r>
      <w:r w:rsidRPr="00A17BF0">
        <w:rPr>
          <w:rFonts w:ascii="Times New Roman" w:eastAsiaTheme="minorHAnsi" w:hAnsi="Times New Roman"/>
          <w:b/>
          <w:bCs/>
          <w:sz w:val="32"/>
          <w:szCs w:val="32"/>
        </w:rPr>
        <w:t xml:space="preserve">for Managing Patients with High Blood Pressure, High Cholesterol, or Diabetes </w:t>
      </w:r>
    </w:p>
    <w:p w14:paraId="6A884247"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08639D1A" w14:textId="77777777" w:rsidR="00A17BF0" w:rsidRDefault="00A17BF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708E92DC"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OMB No. 0920-NEW</w:t>
      </w:r>
    </w:p>
    <w:p w14:paraId="28A4E667"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927C739"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612AC52"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569C517"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Contact Information:</w:t>
      </w:r>
    </w:p>
    <w:p w14:paraId="75BAF47F"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04290C5" w14:textId="77777777" w:rsidR="00D81540" w:rsidRPr="00D81540" w:rsidRDefault="003C3E87"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Christine A. Lucas, MPH, MSW</w:t>
      </w:r>
    </w:p>
    <w:p w14:paraId="34B886F2"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Ambulatory and Hospital Care Statistics Branch</w:t>
      </w:r>
    </w:p>
    <w:p w14:paraId="261DC04A"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National Center for Health Statistics</w:t>
      </w:r>
    </w:p>
    <w:p w14:paraId="5E66B092"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Centers for Disease Control and Prevention</w:t>
      </w:r>
    </w:p>
    <w:p w14:paraId="2490BB24"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3311 Toledo Road, Room 3317</w:t>
      </w:r>
    </w:p>
    <w:p w14:paraId="5F680F58"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Hyattsville, MD  20782</w:t>
      </w:r>
    </w:p>
    <w:p w14:paraId="362196CF"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D81540">
        <w:rPr>
          <w:rFonts w:ascii="Times New Roman" w:hAnsi="Times New Roman"/>
          <w:color w:val="000000"/>
          <w:sz w:val="28"/>
          <w:szCs w:val="28"/>
        </w:rPr>
        <w:t>Voice: 301-458-</w:t>
      </w:r>
      <w:r w:rsidR="003C3E87">
        <w:rPr>
          <w:rFonts w:ascii="Times New Roman" w:hAnsi="Times New Roman"/>
          <w:color w:val="000000"/>
          <w:sz w:val="28"/>
          <w:szCs w:val="28"/>
        </w:rPr>
        <w:t>4071</w:t>
      </w:r>
    </w:p>
    <w:p w14:paraId="41A355FF" w14:textId="77777777" w:rsidR="00D81540" w:rsidRPr="00D81540" w:rsidRDefault="0031004E"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hyperlink r:id="rId8" w:history="1">
        <w:r w:rsidR="003C3E87" w:rsidRPr="00626E19">
          <w:rPr>
            <w:rStyle w:val="Hyperlink"/>
            <w:rFonts w:ascii="Times New Roman" w:hAnsi="Times New Roman"/>
            <w:sz w:val="28"/>
            <w:szCs w:val="28"/>
          </w:rPr>
          <w:t>clucas3@cdc.gov</w:t>
        </w:r>
      </w:hyperlink>
    </w:p>
    <w:p w14:paraId="3226E676" w14:textId="77777777" w:rsidR="00D81540" w:rsidRP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19641A01"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304669BD"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853352E" w14:textId="77777777" w:rsidR="00D81540" w:rsidRDefault="00D81540"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B2BDE0F" w14:textId="7AC1D665" w:rsidR="00D81540" w:rsidRPr="002B781A" w:rsidRDefault="00276396" w:rsidP="00D815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rPr>
        <w:t>May 1, 2015</w:t>
      </w:r>
    </w:p>
    <w:p w14:paraId="6CF2AFB3" w14:textId="77777777" w:rsidR="00905B52" w:rsidRDefault="00905B52" w:rsidP="00905B52">
      <w:pPr>
        <w:jc w:val="center"/>
        <w:rPr>
          <w:b/>
          <w:bCs/>
        </w:rPr>
      </w:pPr>
    </w:p>
    <w:p w14:paraId="354B6675" w14:textId="77777777" w:rsidR="00905B52" w:rsidRDefault="00905B52" w:rsidP="00905B52">
      <w:pPr>
        <w:jc w:val="center"/>
        <w:rPr>
          <w:b/>
          <w:bCs/>
        </w:rPr>
      </w:pPr>
    </w:p>
    <w:p w14:paraId="28A656DE" w14:textId="77777777" w:rsidR="007025C8" w:rsidRPr="0035600A" w:rsidRDefault="00905B52" w:rsidP="00BC4512">
      <w:pPr>
        <w:rPr>
          <w:b/>
          <w:bCs/>
        </w:rPr>
      </w:pPr>
      <w:r>
        <w:rPr>
          <w:b/>
          <w:bCs/>
        </w:rPr>
        <w:br w:type="page"/>
      </w:r>
      <w:r w:rsidRPr="0035600A">
        <w:rPr>
          <w:b/>
          <w:bCs/>
        </w:rPr>
        <w:lastRenderedPageBreak/>
        <w:t>Table of Contents</w:t>
      </w:r>
    </w:p>
    <w:p w14:paraId="105F5D9D" w14:textId="77777777" w:rsidR="00905B52" w:rsidRDefault="00F50380" w:rsidP="00905B52">
      <w:pPr>
        <w:pStyle w:val="TOC1"/>
        <w:rPr>
          <w:sz w:val="24"/>
          <w:szCs w:val="24"/>
        </w:rPr>
      </w:pPr>
      <w:r w:rsidRPr="0035600A">
        <w:rPr>
          <w:sz w:val="24"/>
          <w:szCs w:val="24"/>
        </w:rPr>
        <w:fldChar w:fldCharType="begin"/>
      </w:r>
      <w:r w:rsidR="00905B52" w:rsidRPr="0035600A">
        <w:rPr>
          <w:sz w:val="24"/>
          <w:szCs w:val="24"/>
        </w:rPr>
        <w:instrText xml:space="preserve"> TOC \o "1-2" \u </w:instrText>
      </w:r>
      <w:r w:rsidRPr="0035600A">
        <w:rPr>
          <w:sz w:val="24"/>
          <w:szCs w:val="24"/>
        </w:rPr>
        <w:fldChar w:fldCharType="separate"/>
      </w:r>
      <w:r w:rsidR="00905B52" w:rsidRPr="0035600A">
        <w:rPr>
          <w:sz w:val="24"/>
          <w:szCs w:val="24"/>
        </w:rPr>
        <w:t>A. JUSTIFICATION</w:t>
      </w:r>
    </w:p>
    <w:p w14:paraId="35971725" w14:textId="77777777" w:rsidR="00DA2559" w:rsidRPr="00DA2559" w:rsidRDefault="00DA2559" w:rsidP="00DA2559"/>
    <w:p w14:paraId="005FA862" w14:textId="63EFBE9A" w:rsidR="00905B52" w:rsidRPr="0035600A" w:rsidRDefault="00905B52" w:rsidP="00DA2559">
      <w:pPr>
        <w:pStyle w:val="TOC2"/>
        <w:ind w:left="0" w:firstLine="0"/>
        <w:rPr>
          <w:sz w:val="24"/>
          <w:szCs w:val="24"/>
        </w:rPr>
      </w:pPr>
      <w:r w:rsidRPr="0035600A">
        <w:rPr>
          <w:sz w:val="24"/>
          <w:szCs w:val="24"/>
        </w:rPr>
        <w:t>1. Circumstances Making the Collection of Information Necessary</w:t>
      </w:r>
      <w:r w:rsidR="00DA2559">
        <w:rPr>
          <w:sz w:val="24"/>
          <w:szCs w:val="24"/>
        </w:rPr>
        <w:tab/>
      </w:r>
      <w:r w:rsidR="00234C81">
        <w:rPr>
          <w:sz w:val="24"/>
          <w:szCs w:val="24"/>
        </w:rPr>
        <w:t>6</w:t>
      </w:r>
    </w:p>
    <w:p w14:paraId="70CB6515" w14:textId="51E993B7" w:rsidR="00905B52" w:rsidRPr="0035600A" w:rsidRDefault="00905B52" w:rsidP="00DA2559">
      <w:pPr>
        <w:pStyle w:val="TOC2"/>
        <w:ind w:left="0" w:firstLine="0"/>
        <w:rPr>
          <w:sz w:val="24"/>
          <w:szCs w:val="24"/>
        </w:rPr>
      </w:pPr>
      <w:r w:rsidRPr="0035600A">
        <w:rPr>
          <w:sz w:val="24"/>
          <w:szCs w:val="24"/>
        </w:rPr>
        <w:t>2. Purpose and Use of the Information Collection</w:t>
      </w:r>
      <w:r w:rsidR="00DA2559">
        <w:rPr>
          <w:sz w:val="24"/>
          <w:szCs w:val="24"/>
        </w:rPr>
        <w:tab/>
      </w:r>
      <w:r w:rsidR="00234C81">
        <w:rPr>
          <w:sz w:val="24"/>
          <w:szCs w:val="24"/>
        </w:rPr>
        <w:t>7</w:t>
      </w:r>
    </w:p>
    <w:p w14:paraId="45F1BA49" w14:textId="39137944" w:rsidR="00905B52" w:rsidRPr="0035600A" w:rsidRDefault="00905B52" w:rsidP="00DA2559">
      <w:pPr>
        <w:pStyle w:val="TOC2"/>
        <w:ind w:left="0" w:firstLine="0"/>
        <w:rPr>
          <w:sz w:val="24"/>
          <w:szCs w:val="24"/>
        </w:rPr>
      </w:pPr>
      <w:r w:rsidRPr="0035600A">
        <w:rPr>
          <w:sz w:val="24"/>
          <w:szCs w:val="24"/>
        </w:rPr>
        <w:t>3. Use of Improved Information Technology and Burden Reduction</w:t>
      </w:r>
      <w:r w:rsidR="00DA2559">
        <w:rPr>
          <w:sz w:val="24"/>
          <w:szCs w:val="24"/>
        </w:rPr>
        <w:tab/>
      </w:r>
      <w:r w:rsidR="00234C81">
        <w:rPr>
          <w:sz w:val="24"/>
          <w:szCs w:val="24"/>
        </w:rPr>
        <w:t>10</w:t>
      </w:r>
    </w:p>
    <w:p w14:paraId="65845AB5" w14:textId="1527C4E7" w:rsidR="00905B52" w:rsidRPr="0035600A" w:rsidRDefault="00905B52" w:rsidP="00DA2559">
      <w:pPr>
        <w:pStyle w:val="TOC2"/>
        <w:ind w:left="0" w:firstLine="0"/>
        <w:rPr>
          <w:sz w:val="24"/>
          <w:szCs w:val="24"/>
        </w:rPr>
      </w:pPr>
      <w:r w:rsidRPr="0035600A">
        <w:rPr>
          <w:sz w:val="24"/>
          <w:szCs w:val="24"/>
        </w:rPr>
        <w:t>4. Efforts to Identify Duplication and Use of Similar Information</w:t>
      </w:r>
      <w:r w:rsidR="00DA2559">
        <w:rPr>
          <w:sz w:val="24"/>
          <w:szCs w:val="24"/>
        </w:rPr>
        <w:tab/>
      </w:r>
      <w:r w:rsidR="00234C81">
        <w:rPr>
          <w:sz w:val="24"/>
          <w:szCs w:val="24"/>
        </w:rPr>
        <w:t>10</w:t>
      </w:r>
    </w:p>
    <w:p w14:paraId="2198C9F1" w14:textId="02167322" w:rsidR="00905B52" w:rsidRPr="0035600A" w:rsidRDefault="00905B52" w:rsidP="00DA2559">
      <w:pPr>
        <w:pStyle w:val="TOC2"/>
        <w:ind w:left="0" w:firstLine="0"/>
        <w:rPr>
          <w:sz w:val="24"/>
          <w:szCs w:val="24"/>
        </w:rPr>
      </w:pPr>
      <w:r w:rsidRPr="0035600A">
        <w:rPr>
          <w:sz w:val="24"/>
          <w:szCs w:val="24"/>
        </w:rPr>
        <w:t>5. Impact on Small Businesses or Other Small Entities</w:t>
      </w:r>
      <w:r w:rsidR="00DA2559">
        <w:rPr>
          <w:sz w:val="24"/>
          <w:szCs w:val="24"/>
        </w:rPr>
        <w:tab/>
      </w:r>
      <w:r w:rsidR="00234C81">
        <w:rPr>
          <w:sz w:val="24"/>
          <w:szCs w:val="24"/>
        </w:rPr>
        <w:t>10</w:t>
      </w:r>
    </w:p>
    <w:p w14:paraId="7D87E383" w14:textId="2C67ADFE" w:rsidR="00905B52" w:rsidRPr="0035600A" w:rsidRDefault="00905B52" w:rsidP="00DA2559">
      <w:pPr>
        <w:pStyle w:val="TOC2"/>
        <w:ind w:left="0" w:firstLine="0"/>
        <w:rPr>
          <w:sz w:val="24"/>
          <w:szCs w:val="24"/>
        </w:rPr>
      </w:pPr>
      <w:r w:rsidRPr="0035600A">
        <w:rPr>
          <w:sz w:val="24"/>
          <w:szCs w:val="24"/>
        </w:rPr>
        <w:t>6. Consequences of Collecting the Information Less Frequently</w:t>
      </w:r>
      <w:r w:rsidR="00DA2559">
        <w:rPr>
          <w:sz w:val="24"/>
          <w:szCs w:val="24"/>
        </w:rPr>
        <w:tab/>
      </w:r>
      <w:r w:rsidR="00234C81">
        <w:rPr>
          <w:sz w:val="24"/>
          <w:szCs w:val="24"/>
        </w:rPr>
        <w:t>10</w:t>
      </w:r>
    </w:p>
    <w:p w14:paraId="613004EF" w14:textId="22E61C07" w:rsidR="00905B52" w:rsidRPr="0035600A" w:rsidRDefault="00905B52" w:rsidP="00DA2559">
      <w:pPr>
        <w:pStyle w:val="TOC2"/>
        <w:ind w:left="0" w:firstLine="0"/>
        <w:rPr>
          <w:sz w:val="24"/>
          <w:szCs w:val="24"/>
        </w:rPr>
      </w:pPr>
      <w:r w:rsidRPr="0035600A">
        <w:rPr>
          <w:sz w:val="24"/>
          <w:szCs w:val="24"/>
        </w:rPr>
        <w:t>7. Special Circumstances Relating to the Guidelines of 5 CFR 1320.5</w:t>
      </w:r>
      <w:r w:rsidR="00DA2559">
        <w:rPr>
          <w:sz w:val="24"/>
          <w:szCs w:val="24"/>
        </w:rPr>
        <w:tab/>
      </w:r>
      <w:r w:rsidR="00234C81">
        <w:rPr>
          <w:sz w:val="24"/>
          <w:szCs w:val="24"/>
        </w:rPr>
        <w:t>10</w:t>
      </w:r>
    </w:p>
    <w:p w14:paraId="0A3A37D8" w14:textId="7602C774" w:rsidR="00905B52" w:rsidRPr="0035600A" w:rsidRDefault="00905B52" w:rsidP="00DA2559">
      <w:pPr>
        <w:pStyle w:val="TOC2"/>
        <w:ind w:left="0" w:firstLine="0"/>
        <w:rPr>
          <w:sz w:val="24"/>
          <w:szCs w:val="24"/>
        </w:rPr>
      </w:pPr>
      <w:r w:rsidRPr="0035600A">
        <w:rPr>
          <w:sz w:val="24"/>
          <w:szCs w:val="24"/>
        </w:rPr>
        <w:t>8. Comments in Response to the Federal Register Notice and Efforts to Consult Outside</w:t>
      </w:r>
      <w:r w:rsidR="007F39EF" w:rsidRPr="0035600A">
        <w:rPr>
          <w:sz w:val="24"/>
          <w:szCs w:val="24"/>
        </w:rPr>
        <w:t xml:space="preserve"> the</w:t>
      </w:r>
      <w:r w:rsidRPr="0035600A">
        <w:rPr>
          <w:sz w:val="24"/>
          <w:szCs w:val="24"/>
        </w:rPr>
        <w:t xml:space="preserve"> Agency</w:t>
      </w:r>
      <w:r w:rsidR="00DA2559">
        <w:rPr>
          <w:sz w:val="24"/>
          <w:szCs w:val="24"/>
        </w:rPr>
        <w:tab/>
      </w:r>
      <w:r w:rsidR="00234C81">
        <w:rPr>
          <w:sz w:val="24"/>
          <w:szCs w:val="24"/>
        </w:rPr>
        <w:t>11</w:t>
      </w:r>
    </w:p>
    <w:p w14:paraId="767D05F9" w14:textId="3706C0BB" w:rsidR="00905B52" w:rsidRPr="0035600A" w:rsidRDefault="00905B52" w:rsidP="00DA2559">
      <w:pPr>
        <w:pStyle w:val="TOC2"/>
        <w:ind w:left="0" w:firstLine="0"/>
        <w:rPr>
          <w:sz w:val="24"/>
          <w:szCs w:val="24"/>
        </w:rPr>
      </w:pPr>
      <w:r w:rsidRPr="0035600A">
        <w:rPr>
          <w:sz w:val="24"/>
          <w:szCs w:val="24"/>
        </w:rPr>
        <w:t>9. Explanation of Any Payment or Gift to Respondents</w:t>
      </w:r>
      <w:r w:rsidR="00DA2559">
        <w:rPr>
          <w:sz w:val="24"/>
          <w:szCs w:val="24"/>
        </w:rPr>
        <w:tab/>
      </w:r>
      <w:r w:rsidR="00234C81">
        <w:rPr>
          <w:sz w:val="24"/>
          <w:szCs w:val="24"/>
        </w:rPr>
        <w:t>11</w:t>
      </w:r>
    </w:p>
    <w:p w14:paraId="355B1D9D" w14:textId="3E2A9836" w:rsidR="00905B52" w:rsidRPr="0035600A" w:rsidRDefault="00905B52" w:rsidP="00DA2559">
      <w:pPr>
        <w:pStyle w:val="TOC2"/>
        <w:ind w:left="0" w:firstLine="0"/>
        <w:rPr>
          <w:sz w:val="24"/>
          <w:szCs w:val="24"/>
        </w:rPr>
      </w:pPr>
      <w:r w:rsidRPr="0035600A">
        <w:rPr>
          <w:sz w:val="24"/>
          <w:szCs w:val="24"/>
        </w:rPr>
        <w:t>10. Assurance of Confidentiality Provided to Respondents</w:t>
      </w:r>
      <w:r w:rsidR="00DA2559">
        <w:rPr>
          <w:sz w:val="24"/>
          <w:szCs w:val="24"/>
        </w:rPr>
        <w:tab/>
      </w:r>
      <w:r w:rsidR="00234C81">
        <w:rPr>
          <w:sz w:val="24"/>
          <w:szCs w:val="24"/>
        </w:rPr>
        <w:t>11</w:t>
      </w:r>
    </w:p>
    <w:p w14:paraId="038BE921" w14:textId="4376A8B2" w:rsidR="00905B52" w:rsidRPr="0035600A" w:rsidRDefault="00905B52" w:rsidP="00DA2559">
      <w:pPr>
        <w:pStyle w:val="TOC2"/>
        <w:ind w:left="0" w:firstLine="0"/>
        <w:rPr>
          <w:sz w:val="24"/>
          <w:szCs w:val="24"/>
        </w:rPr>
      </w:pPr>
      <w:r w:rsidRPr="0035600A">
        <w:rPr>
          <w:sz w:val="24"/>
          <w:szCs w:val="24"/>
        </w:rPr>
        <w:t>11. Justification for Sensitive Questions</w:t>
      </w:r>
      <w:r w:rsidR="00DA2559">
        <w:rPr>
          <w:sz w:val="24"/>
          <w:szCs w:val="24"/>
        </w:rPr>
        <w:tab/>
      </w:r>
      <w:r w:rsidR="00234C81">
        <w:rPr>
          <w:sz w:val="24"/>
          <w:szCs w:val="24"/>
        </w:rPr>
        <w:t>15</w:t>
      </w:r>
    </w:p>
    <w:p w14:paraId="297B4958" w14:textId="35A72402" w:rsidR="00905B52" w:rsidRPr="0035600A" w:rsidRDefault="00905B52" w:rsidP="00DA2559">
      <w:pPr>
        <w:pStyle w:val="TOC2"/>
        <w:ind w:left="0" w:firstLine="0"/>
        <w:rPr>
          <w:sz w:val="24"/>
          <w:szCs w:val="24"/>
        </w:rPr>
      </w:pPr>
      <w:r w:rsidRPr="0035600A">
        <w:rPr>
          <w:sz w:val="24"/>
          <w:szCs w:val="24"/>
        </w:rPr>
        <w:t>12. Estimates of Annualized Burden Hours and Costs</w:t>
      </w:r>
      <w:r w:rsidR="00DA2559">
        <w:rPr>
          <w:sz w:val="24"/>
          <w:szCs w:val="24"/>
        </w:rPr>
        <w:tab/>
      </w:r>
      <w:r w:rsidR="00234C81">
        <w:rPr>
          <w:sz w:val="24"/>
          <w:szCs w:val="24"/>
        </w:rPr>
        <w:t>16</w:t>
      </w:r>
    </w:p>
    <w:p w14:paraId="79B96AD7" w14:textId="02B50676" w:rsidR="00905B52" w:rsidRPr="0035600A" w:rsidRDefault="00905B52" w:rsidP="00DA2559">
      <w:pPr>
        <w:pStyle w:val="TOC2"/>
        <w:ind w:left="0" w:firstLine="0"/>
        <w:rPr>
          <w:sz w:val="24"/>
          <w:szCs w:val="24"/>
        </w:rPr>
      </w:pPr>
      <w:r w:rsidRPr="0035600A">
        <w:rPr>
          <w:sz w:val="24"/>
          <w:szCs w:val="24"/>
        </w:rPr>
        <w:t>13. Estimates of Other Total Annual Cost Burden to Respondents and Record Keepers</w:t>
      </w:r>
      <w:r w:rsidR="00DA2559">
        <w:rPr>
          <w:sz w:val="24"/>
          <w:szCs w:val="24"/>
        </w:rPr>
        <w:tab/>
      </w:r>
      <w:r w:rsidR="00234C81">
        <w:rPr>
          <w:sz w:val="24"/>
          <w:szCs w:val="24"/>
        </w:rPr>
        <w:t>17</w:t>
      </w:r>
    </w:p>
    <w:p w14:paraId="5944AAF2" w14:textId="0F5F026F" w:rsidR="00905B52" w:rsidRPr="0035600A" w:rsidRDefault="00905B52" w:rsidP="00DA2559">
      <w:pPr>
        <w:pStyle w:val="TOC2"/>
        <w:ind w:left="0" w:firstLine="0"/>
        <w:rPr>
          <w:sz w:val="24"/>
          <w:szCs w:val="24"/>
        </w:rPr>
      </w:pPr>
      <w:r w:rsidRPr="0035600A">
        <w:rPr>
          <w:sz w:val="24"/>
          <w:szCs w:val="24"/>
        </w:rPr>
        <w:t>14. Annualized Cost to the Federal Government</w:t>
      </w:r>
      <w:r w:rsidR="00DA2559">
        <w:rPr>
          <w:sz w:val="24"/>
          <w:szCs w:val="24"/>
        </w:rPr>
        <w:tab/>
      </w:r>
      <w:r w:rsidR="00234C81">
        <w:rPr>
          <w:sz w:val="24"/>
          <w:szCs w:val="24"/>
        </w:rPr>
        <w:t>18</w:t>
      </w:r>
    </w:p>
    <w:p w14:paraId="3A5EF509" w14:textId="11835574" w:rsidR="00905B52" w:rsidRPr="0035600A" w:rsidRDefault="00905B52" w:rsidP="00DA2559">
      <w:pPr>
        <w:pStyle w:val="TOC2"/>
        <w:ind w:left="0" w:firstLine="0"/>
        <w:rPr>
          <w:sz w:val="24"/>
          <w:szCs w:val="24"/>
        </w:rPr>
      </w:pPr>
      <w:r w:rsidRPr="0035600A">
        <w:rPr>
          <w:sz w:val="24"/>
          <w:szCs w:val="24"/>
        </w:rPr>
        <w:t>15. Explanation for Program Changes or Adjustments</w:t>
      </w:r>
      <w:r w:rsidR="00DA2559">
        <w:rPr>
          <w:sz w:val="24"/>
          <w:szCs w:val="24"/>
        </w:rPr>
        <w:tab/>
      </w:r>
      <w:r w:rsidR="00234C81">
        <w:rPr>
          <w:sz w:val="24"/>
          <w:szCs w:val="24"/>
        </w:rPr>
        <w:t>18</w:t>
      </w:r>
    </w:p>
    <w:p w14:paraId="67EB1C0E" w14:textId="5ED4CD36" w:rsidR="00905B52" w:rsidRPr="0035600A" w:rsidRDefault="00905B52" w:rsidP="00DA2559">
      <w:pPr>
        <w:pStyle w:val="TOC2"/>
        <w:ind w:left="0" w:firstLine="0"/>
        <w:rPr>
          <w:sz w:val="24"/>
          <w:szCs w:val="24"/>
        </w:rPr>
      </w:pPr>
      <w:r w:rsidRPr="0035600A">
        <w:rPr>
          <w:sz w:val="24"/>
          <w:szCs w:val="24"/>
        </w:rPr>
        <w:t>16. Plans for Tabulation and Publication and Project Time Schedule</w:t>
      </w:r>
      <w:r w:rsidR="00DA2559">
        <w:rPr>
          <w:sz w:val="24"/>
          <w:szCs w:val="24"/>
        </w:rPr>
        <w:tab/>
      </w:r>
      <w:r w:rsidR="00234C81">
        <w:rPr>
          <w:sz w:val="24"/>
          <w:szCs w:val="24"/>
        </w:rPr>
        <w:t>18</w:t>
      </w:r>
    </w:p>
    <w:p w14:paraId="41A0315C" w14:textId="17A91341" w:rsidR="00905B52" w:rsidRPr="0035600A" w:rsidRDefault="00905B52" w:rsidP="00DA2559">
      <w:pPr>
        <w:pStyle w:val="TOC2"/>
        <w:ind w:left="0" w:firstLine="0"/>
        <w:rPr>
          <w:sz w:val="24"/>
          <w:szCs w:val="24"/>
        </w:rPr>
      </w:pPr>
      <w:r w:rsidRPr="0035600A">
        <w:rPr>
          <w:sz w:val="24"/>
          <w:szCs w:val="24"/>
        </w:rPr>
        <w:t>17. Reason(s) Display of OMB Expiration Date is Inappropriate</w:t>
      </w:r>
      <w:r w:rsidR="00DA2559">
        <w:rPr>
          <w:sz w:val="24"/>
          <w:szCs w:val="24"/>
        </w:rPr>
        <w:tab/>
      </w:r>
      <w:r w:rsidR="00234C81">
        <w:rPr>
          <w:sz w:val="24"/>
          <w:szCs w:val="24"/>
        </w:rPr>
        <w:t>20</w:t>
      </w:r>
    </w:p>
    <w:p w14:paraId="39925BF5" w14:textId="1020B329" w:rsidR="00905B52" w:rsidRPr="0035600A" w:rsidRDefault="00905B52" w:rsidP="00DA2559">
      <w:pPr>
        <w:pStyle w:val="TOC2"/>
        <w:ind w:left="0" w:firstLine="0"/>
        <w:rPr>
          <w:sz w:val="24"/>
          <w:szCs w:val="24"/>
        </w:rPr>
      </w:pPr>
      <w:r w:rsidRPr="0035600A">
        <w:rPr>
          <w:sz w:val="24"/>
          <w:szCs w:val="24"/>
        </w:rPr>
        <w:t>18. Exceptions to Certification for Paperwork Reduction Act Submissions</w:t>
      </w:r>
      <w:r w:rsidR="00DA2559">
        <w:rPr>
          <w:sz w:val="24"/>
          <w:szCs w:val="24"/>
        </w:rPr>
        <w:tab/>
      </w:r>
      <w:r w:rsidR="00234C81">
        <w:rPr>
          <w:sz w:val="24"/>
          <w:szCs w:val="24"/>
        </w:rPr>
        <w:t>20</w:t>
      </w:r>
    </w:p>
    <w:p w14:paraId="3EDE8F0F" w14:textId="77777777" w:rsidR="00905B52" w:rsidRDefault="004163E7" w:rsidP="00511808">
      <w:pPr>
        <w:spacing w:after="0" w:line="240" w:lineRule="auto"/>
      </w:pPr>
      <w:r w:rsidRPr="0035600A">
        <w:tab/>
      </w:r>
      <w:r w:rsidR="00F50380" w:rsidRPr="0035600A">
        <w:fldChar w:fldCharType="end"/>
      </w:r>
    </w:p>
    <w:p w14:paraId="7B23101B" w14:textId="77777777" w:rsidR="00DA2559" w:rsidRDefault="00DA2559" w:rsidP="00511808">
      <w:pPr>
        <w:spacing w:after="0" w:line="240" w:lineRule="auto"/>
        <w:rPr>
          <w:rFonts w:ascii="Times New Roman Bold" w:hAnsi="Times New Roman Bold"/>
          <w:b/>
          <w:caps/>
        </w:rPr>
      </w:pPr>
    </w:p>
    <w:p w14:paraId="0B2DDDF6" w14:textId="77777777" w:rsidR="00DD7BED" w:rsidRDefault="00DD7BED">
      <w:pPr>
        <w:rPr>
          <w:rFonts w:eastAsia="Calibri"/>
        </w:rPr>
      </w:pPr>
      <w:r>
        <w:rPr>
          <w:rFonts w:eastAsia="Calibri"/>
        </w:rPr>
        <w:br w:type="page"/>
      </w:r>
    </w:p>
    <w:p w14:paraId="79A8ED79" w14:textId="77777777" w:rsidR="00511808" w:rsidRDefault="00DD7BED" w:rsidP="00C030B5">
      <w:pPr>
        <w:spacing w:after="0" w:line="240" w:lineRule="auto"/>
        <w:rPr>
          <w:rFonts w:eastAsia="Calibri"/>
        </w:rPr>
      </w:pPr>
      <w:r w:rsidRPr="00DD7BED">
        <w:rPr>
          <w:rFonts w:ascii="Calibri" w:eastAsia="Times New Roman" w:hAnsi="Calibri" w:cs="Calibri"/>
          <w:b/>
          <w:bCs/>
          <w:noProof/>
          <w:color w:val="000000"/>
          <w:u w:val="single"/>
        </w:rPr>
        <w:lastRenderedPageBreak/>
        <mc:AlternateContent>
          <mc:Choice Requires="wps">
            <w:drawing>
              <wp:anchor distT="0" distB="0" distL="114300" distR="114300" simplePos="0" relativeHeight="251659264" behindDoc="0" locked="0" layoutInCell="1" allowOverlap="1" wp14:anchorId="2346372C" wp14:editId="57BF604F">
                <wp:simplePos x="0" y="0"/>
                <wp:positionH relativeFrom="column">
                  <wp:posOffset>50062</wp:posOffset>
                </wp:positionH>
                <wp:positionV relativeFrom="paragraph">
                  <wp:posOffset>338455</wp:posOffset>
                </wp:positionV>
                <wp:extent cx="5810250" cy="4514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14850"/>
                        </a:xfrm>
                        <a:prstGeom prst="rect">
                          <a:avLst/>
                        </a:prstGeom>
                        <a:solidFill>
                          <a:srgbClr val="FFFFFF"/>
                        </a:solidFill>
                        <a:ln w="9525">
                          <a:solidFill>
                            <a:srgbClr val="000000"/>
                          </a:solidFill>
                          <a:miter lim="800000"/>
                          <a:headEnd/>
                          <a:tailEnd/>
                        </a:ln>
                      </wps:spPr>
                      <wps:txbx>
                        <w:txbxContent>
                          <w:p w14:paraId="281BFD32" w14:textId="77777777" w:rsidR="00EB7EA0" w:rsidRDefault="00EB7EA0" w:rsidP="00DD7BED">
                            <w:pPr>
                              <w:contextualSpacing/>
                              <w:rPr>
                                <w:rFonts w:asciiTheme="minorHAnsi" w:hAnsiTheme="minorHAnsi" w:cstheme="minorBidi"/>
                                <w:b/>
                                <w:sz w:val="22"/>
                                <w:szCs w:val="22"/>
                              </w:rPr>
                            </w:pPr>
                          </w:p>
                          <w:p w14:paraId="54CD3AB5" w14:textId="77777777" w:rsidR="00EB7EA0" w:rsidRPr="002B781A" w:rsidRDefault="00EB7EA0" w:rsidP="00DD7BED">
                            <w:pPr>
                              <w:numPr>
                                <w:ilvl w:val="0"/>
                                <w:numId w:val="40"/>
                              </w:numPr>
                              <w:contextualSpacing/>
                            </w:pPr>
                            <w:r w:rsidRPr="002B781A">
                              <w:t>Goal of the study: To help CDC learn about the current state of primary care management policies in physician practices in the United States.  Policies of interest are those aimed at management of adult patients with high blood pressure, high cholesterol, or diabetes. CDC and its partners want to better support primary care physicians and their medical practices in reducing mortality and morbidity due to these chronic conditions.</w:t>
                            </w:r>
                          </w:p>
                          <w:p w14:paraId="60521FE6" w14:textId="0C58ABC9" w:rsidR="00EB7EA0" w:rsidRPr="002B781A" w:rsidRDefault="00EB7EA0" w:rsidP="00DD7BED">
                            <w:pPr>
                              <w:numPr>
                                <w:ilvl w:val="0"/>
                                <w:numId w:val="40"/>
                              </w:numPr>
                              <w:contextualSpacing/>
                            </w:pPr>
                            <w:r w:rsidRPr="002B781A">
                              <w:t>Intended use of the resulting data:</w:t>
                            </w:r>
                            <w:r w:rsidRPr="00DD7BED">
                              <w:t xml:space="preserve"> T</w:t>
                            </w:r>
                            <w:r w:rsidRPr="002B781A">
                              <w:t xml:space="preserve">o assess (1) the extent to which primary care physicians deliver care in ways that have been shown to improve health outcomes and (2) the extent to which the ways they deliver care are established policies in their practices. CDC and its partners will then develop materials in support of such delivery methods.  The survey will yield both national and regional estimates, providing practices with information to compare with their own management </w:t>
                            </w:r>
                            <w:r w:rsidR="00D45F03" w:rsidRPr="002B781A">
                              <w:t>policies.</w:t>
                            </w:r>
                            <w:r w:rsidRPr="002B781A">
                              <w:t xml:space="preserve">   </w:t>
                            </w:r>
                          </w:p>
                          <w:p w14:paraId="499E94D8" w14:textId="40C30294" w:rsidR="00EB7EA0" w:rsidRPr="002B781A" w:rsidRDefault="00EB7EA0" w:rsidP="00DD7BED">
                            <w:pPr>
                              <w:numPr>
                                <w:ilvl w:val="0"/>
                                <w:numId w:val="40"/>
                              </w:numPr>
                              <w:contextualSpacing/>
                            </w:pPr>
                            <w:r w:rsidRPr="002B781A">
                              <w:t>Methods to be used to collect</w:t>
                            </w:r>
                            <w:r w:rsidR="004B1884">
                              <w:t xml:space="preserve"> data</w:t>
                            </w:r>
                            <w:r w:rsidR="00D45F03" w:rsidRPr="002B781A">
                              <w:t>:</w:t>
                            </w:r>
                            <w:r w:rsidRPr="00DD7BED">
                              <w:t xml:space="preserve"> </w:t>
                            </w:r>
                            <w:r>
                              <w:t>D</w:t>
                            </w:r>
                            <w:r w:rsidRPr="00DD7BED">
                              <w:t>ata collection will consist of a one-time mail survey of a national representative sample of primary care physicians whose specialties are Internal Medicine (IM) and Family Practice (FP).  Methods include a telephone screening and telephone follow-up of non-respondents</w:t>
                            </w:r>
                            <w:r w:rsidR="004B1884">
                              <w:t>.</w:t>
                            </w:r>
                          </w:p>
                          <w:p w14:paraId="63C0F796" w14:textId="7AA63BA8" w:rsidR="00EB7EA0" w:rsidRPr="002B781A" w:rsidRDefault="00EB7EA0" w:rsidP="00DD7BED">
                            <w:pPr>
                              <w:numPr>
                                <w:ilvl w:val="0"/>
                                <w:numId w:val="40"/>
                              </w:numPr>
                              <w:contextualSpacing/>
                            </w:pPr>
                            <w:r w:rsidRPr="002B781A">
                              <w:t>Subpopulation to be studied:</w:t>
                            </w:r>
                            <w:r w:rsidRPr="00DD7BED">
                              <w:t xml:space="preserve"> </w:t>
                            </w:r>
                            <w:r>
                              <w:t>P</w:t>
                            </w:r>
                            <w:r w:rsidRPr="00DD7BED">
                              <w:t>rimary care physicians whose specialties are Internal Medicine (IM) and Family Practice (FP</w:t>
                            </w:r>
                            <w:r w:rsidR="00D45F03" w:rsidRPr="00DD7BED">
                              <w:t>)</w:t>
                            </w:r>
                            <w:r w:rsidR="00D45F03" w:rsidRPr="002B781A">
                              <w:t>.</w:t>
                            </w:r>
                          </w:p>
                          <w:p w14:paraId="7CE71C84" w14:textId="77777777" w:rsidR="00EB7EA0" w:rsidRPr="00DD7BED" w:rsidRDefault="00EB7EA0" w:rsidP="00DD7BED">
                            <w:pPr>
                              <w:numPr>
                                <w:ilvl w:val="0"/>
                                <w:numId w:val="40"/>
                              </w:numPr>
                              <w:contextualSpacing/>
                              <w:rPr>
                                <w:rFonts w:asciiTheme="minorHAnsi" w:hAnsiTheme="minorHAnsi" w:cstheme="minorBidi"/>
                                <w:sz w:val="22"/>
                                <w:szCs w:val="22"/>
                              </w:rPr>
                            </w:pPr>
                            <w:r w:rsidRPr="002B781A">
                              <w:t>How data will be analyzed:</w:t>
                            </w:r>
                            <w:r w:rsidRPr="00832626">
                              <w:t xml:space="preserve"> </w:t>
                            </w:r>
                            <w:r>
                              <w:t>D</w:t>
                            </w:r>
                            <w:r w:rsidRPr="00832626">
                              <w:t>ata will be obtained to permit both physician level and practice level estimation</w:t>
                            </w:r>
                            <w:r w:rsidRPr="002B781A">
                              <w:rPr>
                                <w:rFonts w:asciiTheme="minorHAnsi" w:hAnsiTheme="minorHAnsi" w:cstheme="minorBidi"/>
                              </w:rPr>
                              <w:t>.</w:t>
                            </w:r>
                          </w:p>
                          <w:p w14:paraId="493DEACA" w14:textId="77777777" w:rsidR="00EB7EA0" w:rsidRDefault="00EB7EA0" w:rsidP="00DD7B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6372C" id="_x0000_t202" coordsize="21600,21600" o:spt="202" path="m,l,21600r21600,l21600,xe">
                <v:stroke joinstyle="miter"/>
                <v:path gradientshapeok="t" o:connecttype="rect"/>
              </v:shapetype>
              <v:shape id="Text Box 2" o:spid="_x0000_s1026" type="#_x0000_t202" style="position:absolute;margin-left:3.95pt;margin-top:26.65pt;width:45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">
                <v:textbox>
                  <w:txbxContent>
                    <w:p w14:paraId="281BFD32" w14:textId="77777777" w:rsidR="00EB7EA0" w:rsidRDefault="00EB7EA0" w:rsidP="00DD7BED">
                      <w:pPr>
                        <w:contextualSpacing/>
                        <w:rPr>
                          <w:rFonts w:asciiTheme="minorHAnsi" w:hAnsiTheme="minorHAnsi" w:cstheme="minorBidi"/>
                          <w:b/>
                          <w:sz w:val="22"/>
                          <w:szCs w:val="22"/>
                        </w:rPr>
                      </w:pPr>
                    </w:p>
                    <w:p w14:paraId="54CD3AB5" w14:textId="77777777" w:rsidR="00EB7EA0" w:rsidRPr="002B781A" w:rsidRDefault="00EB7EA0" w:rsidP="00DD7BED">
                      <w:pPr>
                        <w:numPr>
                          <w:ilvl w:val="0"/>
                          <w:numId w:val="40"/>
                        </w:numPr>
                        <w:contextualSpacing/>
                      </w:pPr>
                      <w:r w:rsidRPr="002B781A">
                        <w:t>Goal of the study: To help CDC learn about the current state of primary care management policies in physician practices in the United States.  Policies of interest are those aimed at management of adult patients with high blood pressure, high cholesterol, or diabetes. CDC and its partners want to better support primary care physicians and their medical practices in reducing mortality and morbidity due to these chronic conditions.</w:t>
                      </w:r>
                    </w:p>
                    <w:p w14:paraId="60521FE6" w14:textId="0C58ABC9" w:rsidR="00EB7EA0" w:rsidRPr="002B781A" w:rsidRDefault="00EB7EA0" w:rsidP="00DD7BED">
                      <w:pPr>
                        <w:numPr>
                          <w:ilvl w:val="0"/>
                          <w:numId w:val="40"/>
                        </w:numPr>
                        <w:contextualSpacing/>
                      </w:pPr>
                      <w:r w:rsidRPr="002B781A">
                        <w:t>Intended use of the resulting data:</w:t>
                      </w:r>
                      <w:r w:rsidRPr="00DD7BED">
                        <w:t xml:space="preserve"> T</w:t>
                      </w:r>
                      <w:r w:rsidRPr="002B781A">
                        <w:t xml:space="preserve">o assess (1) the extent to which primary care physicians deliver care in ways that have been shown to improve health outcomes and (2) the extent to which the ways they deliver care are established policies in their practices. CDC and its partners will then develop materials in support of such delivery methods.  The survey will yield both national and regional estimates, providing practices with information to compare with their own management </w:t>
                      </w:r>
                      <w:r w:rsidR="00D45F03" w:rsidRPr="002B781A">
                        <w:t>policies.</w:t>
                      </w:r>
                      <w:r w:rsidRPr="002B781A">
                        <w:t xml:space="preserve">   </w:t>
                      </w:r>
                    </w:p>
                    <w:p w14:paraId="499E94D8" w14:textId="40C30294" w:rsidR="00EB7EA0" w:rsidRPr="002B781A" w:rsidRDefault="00EB7EA0" w:rsidP="00DD7BED">
                      <w:pPr>
                        <w:numPr>
                          <w:ilvl w:val="0"/>
                          <w:numId w:val="40"/>
                        </w:numPr>
                        <w:contextualSpacing/>
                      </w:pPr>
                      <w:r w:rsidRPr="002B781A">
                        <w:t>Methods to be used to collect</w:t>
                      </w:r>
                      <w:r w:rsidR="004B1884">
                        <w:t xml:space="preserve"> data</w:t>
                      </w:r>
                      <w:r w:rsidR="00D45F03" w:rsidRPr="002B781A">
                        <w:t>:</w:t>
                      </w:r>
                      <w:r w:rsidRPr="00DD7BED">
                        <w:t xml:space="preserve"> </w:t>
                      </w:r>
                      <w:r>
                        <w:t>D</w:t>
                      </w:r>
                      <w:r w:rsidRPr="00DD7BED">
                        <w:t>ata collection will consist of a one-time mail survey of a national representative sample of primary care physicians whose specialties are Internal Medicine (IM) and Family Practice (FP).  Methods include a telephone screening and telephone follow-up of non-respondents</w:t>
                      </w:r>
                      <w:r w:rsidR="004B1884">
                        <w:t>.</w:t>
                      </w:r>
                    </w:p>
                    <w:p w14:paraId="63C0F796" w14:textId="7AA63BA8" w:rsidR="00EB7EA0" w:rsidRPr="002B781A" w:rsidRDefault="00EB7EA0" w:rsidP="00DD7BED">
                      <w:pPr>
                        <w:numPr>
                          <w:ilvl w:val="0"/>
                          <w:numId w:val="40"/>
                        </w:numPr>
                        <w:contextualSpacing/>
                      </w:pPr>
                      <w:r w:rsidRPr="002B781A">
                        <w:t>Subpopulation to be studied:</w:t>
                      </w:r>
                      <w:r w:rsidRPr="00DD7BED">
                        <w:t xml:space="preserve"> </w:t>
                      </w:r>
                      <w:r>
                        <w:t>P</w:t>
                      </w:r>
                      <w:r w:rsidRPr="00DD7BED">
                        <w:t>rimary care physicians whose specialties are Internal Medicine (IM) and Family Practice (FP</w:t>
                      </w:r>
                      <w:r w:rsidR="00D45F03" w:rsidRPr="00DD7BED">
                        <w:t>)</w:t>
                      </w:r>
                      <w:r w:rsidR="00D45F03" w:rsidRPr="002B781A">
                        <w:t>.</w:t>
                      </w:r>
                    </w:p>
                    <w:p w14:paraId="7CE71C84" w14:textId="77777777" w:rsidR="00EB7EA0" w:rsidRPr="00DD7BED" w:rsidRDefault="00EB7EA0" w:rsidP="00DD7BED">
                      <w:pPr>
                        <w:numPr>
                          <w:ilvl w:val="0"/>
                          <w:numId w:val="40"/>
                        </w:numPr>
                        <w:contextualSpacing/>
                        <w:rPr>
                          <w:rFonts w:asciiTheme="minorHAnsi" w:hAnsiTheme="minorHAnsi" w:cstheme="minorBidi"/>
                          <w:sz w:val="22"/>
                          <w:szCs w:val="22"/>
                        </w:rPr>
                      </w:pPr>
                      <w:r w:rsidRPr="002B781A">
                        <w:t>How data will be analyzed:</w:t>
                      </w:r>
                      <w:r w:rsidRPr="00832626">
                        <w:t xml:space="preserve"> </w:t>
                      </w:r>
                      <w:r>
                        <w:t>D</w:t>
                      </w:r>
                      <w:r w:rsidRPr="00832626">
                        <w:t>ata will be obtained to permit both physician level and practice level estimation</w:t>
                      </w:r>
                      <w:r w:rsidRPr="002B781A">
                        <w:rPr>
                          <w:rFonts w:asciiTheme="minorHAnsi" w:hAnsiTheme="minorHAnsi" w:cstheme="minorBidi"/>
                        </w:rPr>
                        <w:t>.</w:t>
                      </w:r>
                    </w:p>
                    <w:p w14:paraId="493DEACA" w14:textId="77777777" w:rsidR="00EB7EA0" w:rsidRDefault="00EB7EA0" w:rsidP="00DD7BED"/>
                  </w:txbxContent>
                </v:textbox>
              </v:shape>
            </w:pict>
          </mc:Fallback>
        </mc:AlternateContent>
      </w:r>
      <w:r w:rsidR="00511808">
        <w:rPr>
          <w:rFonts w:eastAsia="Calibri"/>
        </w:rPr>
        <w:br w:type="page"/>
      </w:r>
    </w:p>
    <w:p w14:paraId="60AB2341" w14:textId="77777777" w:rsidR="00526F12" w:rsidRDefault="00526F12" w:rsidP="00526F12">
      <w:pPr>
        <w:jc w:val="center"/>
        <w:rPr>
          <w:u w:val="single"/>
        </w:rPr>
      </w:pPr>
      <w:r w:rsidRPr="00526F12">
        <w:rPr>
          <w:u w:val="single"/>
        </w:rPr>
        <w:lastRenderedPageBreak/>
        <w:t>Supporting Statement</w:t>
      </w:r>
    </w:p>
    <w:p w14:paraId="20746ED3" w14:textId="77777777" w:rsidR="00B64078" w:rsidRPr="00526F12" w:rsidRDefault="00B64078" w:rsidP="00526F12">
      <w:pPr>
        <w:jc w:val="center"/>
        <w:rPr>
          <w:u w:val="single"/>
        </w:rPr>
      </w:pPr>
    </w:p>
    <w:p w14:paraId="2DCC51F2" w14:textId="77777777" w:rsidR="00526F12" w:rsidRDefault="00526F12" w:rsidP="00526F12">
      <w:pPr>
        <w:jc w:val="center"/>
      </w:pPr>
      <w:r>
        <w:t xml:space="preserve">The National Ambulatory Medical Care Survey (NAMCS) Supplement of Primary Care Policies </w:t>
      </w:r>
      <w:r w:rsidR="00FF1BC8">
        <w:t xml:space="preserve">(NSPCP) </w:t>
      </w:r>
      <w:r>
        <w:t>for Managing Patients with High Blood Pressure, High Cholesterol, or Diabetes.</w:t>
      </w:r>
    </w:p>
    <w:p w14:paraId="12707AB9" w14:textId="77777777" w:rsidR="00147282" w:rsidRDefault="00BE33D1" w:rsidP="00BE33D1">
      <w:pPr>
        <w:pStyle w:val="ListParagraph"/>
        <w:ind w:left="0"/>
      </w:pPr>
      <w:r>
        <w:t>The Center</w:t>
      </w:r>
      <w:r w:rsidR="00203283">
        <w:t>s</w:t>
      </w:r>
      <w:r>
        <w:t xml:space="preserve"> for Disease Control and Preventions</w:t>
      </w:r>
      <w:r w:rsidR="00203283">
        <w:t>’</w:t>
      </w:r>
      <w:r>
        <w:t xml:space="preserve"> (CDC) National Center for Health Statistics (NCHS) is requesting approval to conduct a new information collection, the NAMCS Supplement</w:t>
      </w:r>
      <w:r w:rsidRPr="00BB2ED7">
        <w:t xml:space="preserve"> of Primary Care Policies</w:t>
      </w:r>
      <w:r>
        <w:t xml:space="preserve"> </w:t>
      </w:r>
      <w:r w:rsidRPr="003B3D8D">
        <w:t>(NSPCP)</w:t>
      </w:r>
      <w:r w:rsidRPr="00BB2ED7">
        <w:t xml:space="preserve"> for Managing Patients with High Blood Pressure, High Cholesterol, or Diabetes</w:t>
      </w:r>
      <w:r>
        <w:t xml:space="preserve">.  Working in partnership with the CDC’s Division for Heart Disease and Stroke Prevention (DHDSP), NCHS’ goal with this survey </w:t>
      </w:r>
      <w:r w:rsidRPr="006509F2">
        <w:t xml:space="preserve">is to help CDC learn about the current state of primary care management policies in physician practices in the United States. </w:t>
      </w:r>
      <w:r w:rsidR="009B1A2B">
        <w:t xml:space="preserve"> </w:t>
      </w:r>
      <w:r w:rsidRPr="006509F2">
        <w:t xml:space="preserve">Policies of interest are those aimed at management of adult patients with high blood pressure, high cholesterol, or diabetes. CDC and its partners want to better support primary care physicians and their medical practices in reducing </w:t>
      </w:r>
      <w:r>
        <w:t xml:space="preserve">mortality and morbidity due to </w:t>
      </w:r>
      <w:r w:rsidRPr="006509F2">
        <w:t xml:space="preserve">these chronic conditions. </w:t>
      </w:r>
      <w:r>
        <w:t xml:space="preserve"> </w:t>
      </w:r>
    </w:p>
    <w:p w14:paraId="0020BB77" w14:textId="77777777" w:rsidR="003D5ED9" w:rsidRDefault="003D5ED9" w:rsidP="00BE33D1">
      <w:pPr>
        <w:pStyle w:val="ListParagraph"/>
        <w:ind w:left="0"/>
      </w:pPr>
    </w:p>
    <w:p w14:paraId="02C476D0" w14:textId="77777777" w:rsidR="00BE7C92" w:rsidRDefault="00C053D8" w:rsidP="00BE33D1">
      <w:pPr>
        <w:pStyle w:val="ListParagraph"/>
        <w:ind w:left="0"/>
      </w:pPr>
      <w:r>
        <w:t>In 2011,</w:t>
      </w:r>
      <w:r w:rsidR="003A2534">
        <w:t xml:space="preserve"> </w:t>
      </w:r>
      <w:r w:rsidR="002B34D0" w:rsidRPr="002B34D0">
        <w:t xml:space="preserve">the </w:t>
      </w:r>
      <w:r w:rsidR="003A2534" w:rsidRPr="003A2534">
        <w:t xml:space="preserve">DHDSP </w:t>
      </w:r>
      <w:r w:rsidR="003A2534">
        <w:t xml:space="preserve">developed what was then referred to as </w:t>
      </w:r>
      <w:r w:rsidR="00BF4C96">
        <w:t xml:space="preserve">“The </w:t>
      </w:r>
      <w:r w:rsidR="00BF4C96" w:rsidRPr="00BF4C96">
        <w:rPr>
          <w:bCs/>
        </w:rPr>
        <w:t>National Survey of Primary Care Policies for Managing Patients with High Blood Pressure, High Cholesterol, or Diabetes</w:t>
      </w:r>
      <w:r w:rsidR="00BF4C96">
        <w:rPr>
          <w:bCs/>
        </w:rPr>
        <w:t xml:space="preserve"> (NSPCP)”</w:t>
      </w:r>
      <w:r w:rsidR="00BF4C96" w:rsidRPr="00BF4C96">
        <w:t xml:space="preserve"> </w:t>
      </w:r>
      <w:r w:rsidR="002B34D0" w:rsidRPr="002B34D0">
        <w:t xml:space="preserve">in collaboration with a number of </w:t>
      </w:r>
      <w:r w:rsidR="004B1884">
        <w:t xml:space="preserve">other </w:t>
      </w:r>
      <w:r w:rsidR="002B34D0" w:rsidRPr="002B34D0">
        <w:t xml:space="preserve">CDC </w:t>
      </w:r>
      <w:r w:rsidR="004B1884">
        <w:t xml:space="preserve">units, including </w:t>
      </w:r>
      <w:r w:rsidR="002B34D0" w:rsidRPr="002B34D0">
        <w:t>the Division of Diabetes Translation, the Office on Smoking and Health, and the Division of Nutrition, Physical Activity, and Obesity.</w:t>
      </w:r>
      <w:r w:rsidR="003B2077">
        <w:t xml:space="preserve"> </w:t>
      </w:r>
      <w:r w:rsidR="00BE7C92">
        <w:t xml:space="preserve"> </w:t>
      </w:r>
      <w:r w:rsidR="003A3404">
        <w:t>Initially, t</w:t>
      </w:r>
      <w:r w:rsidR="00BE7C92" w:rsidRPr="00BE7C92">
        <w:t>h</w:t>
      </w:r>
      <w:r w:rsidR="00BF4C96">
        <w:t>at</w:t>
      </w:r>
      <w:r w:rsidR="00BE7C92" w:rsidRPr="00BE7C92">
        <w:t xml:space="preserve"> </w:t>
      </w:r>
      <w:r w:rsidR="003A3404">
        <w:t xml:space="preserve">survey </w:t>
      </w:r>
      <w:r w:rsidR="00BE7C92" w:rsidRPr="00BE7C92">
        <w:t>was cognitively tested with six primary care physicians</w:t>
      </w:r>
      <w:r w:rsidR="00BE7C92">
        <w:t xml:space="preserve">. </w:t>
      </w:r>
      <w:r w:rsidR="00BE7C92" w:rsidRPr="00BE7C92">
        <w:t xml:space="preserve"> </w:t>
      </w:r>
      <w:r w:rsidR="00BE7C92">
        <w:t>Th</w:t>
      </w:r>
      <w:r w:rsidR="00677520">
        <w:t xml:space="preserve">e </w:t>
      </w:r>
      <w:r w:rsidR="00BE7C92" w:rsidRPr="00BE7C92">
        <w:t>testing was an important step towards revising the survey’s questions in terms of clarity, use of terms and definitions, and response options</w:t>
      </w:r>
      <w:r w:rsidR="00BE7C92">
        <w:t>.  Th</w:t>
      </w:r>
      <w:r w:rsidR="00A652B5">
        <w:t>at version of the</w:t>
      </w:r>
      <w:r w:rsidR="00BE7C92">
        <w:t xml:space="preserve"> NSPCP was submitted to the </w:t>
      </w:r>
      <w:r w:rsidR="00A652B5">
        <w:t>Office of Management and Budget (</w:t>
      </w:r>
      <w:r w:rsidR="00BE7C92">
        <w:t>OMB</w:t>
      </w:r>
      <w:r w:rsidR="00A652B5">
        <w:t>)</w:t>
      </w:r>
      <w:r w:rsidR="00BE7C92">
        <w:t xml:space="preserve"> in 2011.  </w:t>
      </w:r>
    </w:p>
    <w:p w14:paraId="460EADFB" w14:textId="77777777" w:rsidR="00BE7C92" w:rsidRDefault="00BE7C92" w:rsidP="00BE33D1">
      <w:pPr>
        <w:pStyle w:val="ListParagraph"/>
        <w:ind w:left="0"/>
      </w:pPr>
    </w:p>
    <w:p w14:paraId="3C3542AD" w14:textId="77777777" w:rsidR="00A652B5" w:rsidRDefault="00185AD0" w:rsidP="00BE33D1">
      <w:pPr>
        <w:pStyle w:val="ListParagraph"/>
        <w:ind w:left="0"/>
      </w:pPr>
      <w:r>
        <w:t>When</w:t>
      </w:r>
      <w:r w:rsidR="003B2077" w:rsidRPr="003B2077">
        <w:t xml:space="preserve"> OMB reviewed the </w:t>
      </w:r>
      <w:r>
        <w:t xml:space="preserve">NSPCP </w:t>
      </w:r>
      <w:r w:rsidR="003B2077" w:rsidRPr="003B2077">
        <w:t xml:space="preserve">questionnaire </w:t>
      </w:r>
      <w:r w:rsidR="00A652B5">
        <w:t xml:space="preserve">it was determined </w:t>
      </w:r>
      <w:r w:rsidR="003B2077" w:rsidRPr="003B2077">
        <w:t xml:space="preserve">that there were a number of duplicate questions with </w:t>
      </w:r>
      <w:r w:rsidR="00677520">
        <w:t>the National Ambulatory Medical Care Survey (</w:t>
      </w:r>
      <w:r w:rsidR="003B2077" w:rsidRPr="003B2077">
        <w:t>NAMCS</w:t>
      </w:r>
      <w:r w:rsidR="00677520">
        <w:t>),</w:t>
      </w:r>
      <w:r w:rsidR="00677520" w:rsidRPr="00677520">
        <w:t xml:space="preserve"> a national survey of patient visits to office-based physicians conducted by </w:t>
      </w:r>
      <w:r w:rsidR="00E526C3">
        <w:t xml:space="preserve">NCHS </w:t>
      </w:r>
      <w:r w:rsidR="00E526C3" w:rsidRPr="00E526C3">
        <w:t>(OMB No. 0920-0234) (expires 12/31/2017)</w:t>
      </w:r>
      <w:r w:rsidR="00677520">
        <w:t>.</w:t>
      </w:r>
      <w:r w:rsidR="003B2077" w:rsidRPr="003B2077">
        <w:t xml:space="preserve">  Eventually, it was decided that </w:t>
      </w:r>
      <w:r w:rsidR="00BE7C92">
        <w:t>the survey</w:t>
      </w:r>
      <w:r w:rsidR="003B2077" w:rsidRPr="003B2077">
        <w:t xml:space="preserve"> questions should be placed at NCHS as a NAMCS supplement</w:t>
      </w:r>
      <w:r w:rsidR="00E526C3">
        <w:t>.  In turn</w:t>
      </w:r>
      <w:r w:rsidR="003B2077" w:rsidRPr="003B2077">
        <w:t xml:space="preserve">, </w:t>
      </w:r>
      <w:r w:rsidR="00E526C3">
        <w:t>the</w:t>
      </w:r>
      <w:r w:rsidR="003B2077" w:rsidRPr="003B2077">
        <w:t xml:space="preserve"> project was transferred to NCHS</w:t>
      </w:r>
      <w:r w:rsidR="00E526C3">
        <w:t xml:space="preserve"> and t</w:t>
      </w:r>
      <w:r w:rsidR="00A652B5">
        <w:t>he original OMB package was</w:t>
      </w:r>
      <w:r w:rsidR="00E526C3">
        <w:t xml:space="preserve"> </w:t>
      </w:r>
      <w:r w:rsidR="00A652B5">
        <w:t xml:space="preserve">withdrawn.  </w:t>
      </w:r>
    </w:p>
    <w:p w14:paraId="624BABDB" w14:textId="77777777" w:rsidR="00A652B5" w:rsidRDefault="00A652B5" w:rsidP="00BE33D1">
      <w:pPr>
        <w:pStyle w:val="ListParagraph"/>
        <w:ind w:left="0"/>
      </w:pPr>
    </w:p>
    <w:p w14:paraId="0C0CD591" w14:textId="77777777" w:rsidR="00D21C4D" w:rsidRDefault="00677520" w:rsidP="00BE33D1">
      <w:pPr>
        <w:pStyle w:val="ListParagraph"/>
        <w:ind w:left="0"/>
      </w:pPr>
      <w:r>
        <w:t xml:space="preserve">Together, </w:t>
      </w:r>
      <w:r w:rsidR="003B2077">
        <w:t xml:space="preserve">NCHS and DHDSP </w:t>
      </w:r>
      <w:r w:rsidR="00185AD0">
        <w:t>decided that</w:t>
      </w:r>
      <w:r w:rsidR="002B34D0" w:rsidRPr="002B34D0">
        <w:t xml:space="preserve"> the </w:t>
      </w:r>
      <w:r w:rsidR="00A652B5">
        <w:t xml:space="preserve">original </w:t>
      </w:r>
      <w:r w:rsidR="002B34D0" w:rsidRPr="002B34D0">
        <w:t xml:space="preserve">NSPCP questions </w:t>
      </w:r>
      <w:r w:rsidR="00185AD0">
        <w:t xml:space="preserve">would be refined to conform to </w:t>
      </w:r>
      <w:r w:rsidR="00A652B5">
        <w:t xml:space="preserve">the </w:t>
      </w:r>
      <w:r w:rsidR="00185AD0">
        <w:t>NAMCS st</w:t>
      </w:r>
      <w:r w:rsidR="00A652B5">
        <w:t>y</w:t>
      </w:r>
      <w:r w:rsidR="00185AD0">
        <w:t xml:space="preserve">le of questioning and administered as </w:t>
      </w:r>
      <w:r w:rsidR="002B34D0" w:rsidRPr="002B34D0">
        <w:t xml:space="preserve">a separate </w:t>
      </w:r>
      <w:r w:rsidR="00185AD0">
        <w:t xml:space="preserve">physician </w:t>
      </w:r>
      <w:r w:rsidR="002B34D0" w:rsidRPr="002B34D0">
        <w:t xml:space="preserve">mail survey </w:t>
      </w:r>
      <w:r w:rsidR="00185AD0">
        <w:t xml:space="preserve">supplement to NAMCS </w:t>
      </w:r>
      <w:r w:rsidR="002B34D0" w:rsidRPr="002B34D0">
        <w:t>using similar methods already developed by NCHS</w:t>
      </w:r>
      <w:r w:rsidR="00185AD0">
        <w:t xml:space="preserve">. </w:t>
      </w:r>
      <w:r w:rsidR="003D5ED9" w:rsidRPr="003D5ED9">
        <w:t xml:space="preserve">The </w:t>
      </w:r>
      <w:r w:rsidR="00E526C3">
        <w:t xml:space="preserve">new project hereafter referred to as </w:t>
      </w:r>
      <w:r w:rsidR="00E526C3" w:rsidRPr="00E526C3">
        <w:t>The National Ambulat</w:t>
      </w:r>
      <w:r w:rsidR="00E526C3">
        <w:t xml:space="preserve">ory Medical Care Survey </w:t>
      </w:r>
      <w:r w:rsidR="00E526C3" w:rsidRPr="00E526C3">
        <w:t>Supp</w:t>
      </w:r>
      <w:r w:rsidR="00E526C3">
        <w:t xml:space="preserve">lement of Primary Care Policies </w:t>
      </w:r>
      <w:r w:rsidR="00E526C3" w:rsidRPr="00E526C3">
        <w:t xml:space="preserve">for Managing Patients with High Blood Pressure, High Cholesterol, or Diabetes </w:t>
      </w:r>
      <w:r w:rsidR="00E526C3">
        <w:t>(</w:t>
      </w:r>
      <w:r w:rsidR="006506F7">
        <w:t xml:space="preserve">NAMCS </w:t>
      </w:r>
      <w:r w:rsidR="003D5ED9" w:rsidRPr="003D5ED9">
        <w:t>NSPCP</w:t>
      </w:r>
      <w:r w:rsidR="00E526C3">
        <w:t>)</w:t>
      </w:r>
      <w:r w:rsidR="00185AD0">
        <w:t xml:space="preserve"> </w:t>
      </w:r>
      <w:r w:rsidR="003D5ED9" w:rsidRPr="003D5ED9">
        <w:t xml:space="preserve">probes for further data on clinical decision supports and protocols, on the sources of clinical guidelines used by the respondent’s practice, and </w:t>
      </w:r>
      <w:r w:rsidR="00F75137">
        <w:t xml:space="preserve">on </w:t>
      </w:r>
      <w:r w:rsidR="003D5ED9" w:rsidRPr="003D5ED9">
        <w:t xml:space="preserve">the use of multidisciplinary teams in respondents’ offices.  </w:t>
      </w:r>
      <w:r w:rsidR="00F75137">
        <w:t>Data collected from t</w:t>
      </w:r>
      <w:r w:rsidR="003D5ED9" w:rsidRPr="003D5ED9">
        <w:t xml:space="preserve">he </w:t>
      </w:r>
      <w:r w:rsidR="006506F7">
        <w:t xml:space="preserve">NAMCS </w:t>
      </w:r>
      <w:r w:rsidR="003D5ED9" w:rsidRPr="003D5ED9">
        <w:t xml:space="preserve">NSPCP </w:t>
      </w:r>
      <w:r w:rsidR="006506F7">
        <w:t>will</w:t>
      </w:r>
      <w:r w:rsidR="00185AD0">
        <w:t xml:space="preserve"> </w:t>
      </w:r>
      <w:r w:rsidR="00185AD0">
        <w:lastRenderedPageBreak/>
        <w:t>be</w:t>
      </w:r>
      <w:r w:rsidR="003B2077">
        <w:t xml:space="preserve"> consistent with the NAMCS and</w:t>
      </w:r>
      <w:r w:rsidR="00E332A4">
        <w:t>,</w:t>
      </w:r>
      <w:r w:rsidR="003B2077">
        <w:t xml:space="preserve"> </w:t>
      </w:r>
      <w:r w:rsidR="00185AD0">
        <w:t xml:space="preserve">consequently, the questions </w:t>
      </w:r>
      <w:r w:rsidR="003B2077">
        <w:t xml:space="preserve">in the </w:t>
      </w:r>
      <w:r w:rsidR="006506F7">
        <w:t xml:space="preserve">NAMCS </w:t>
      </w:r>
      <w:r w:rsidR="003B2077">
        <w:t xml:space="preserve">NSPCP </w:t>
      </w:r>
      <w:r w:rsidR="00185AD0">
        <w:t>are expected to</w:t>
      </w:r>
      <w:r w:rsidR="003B2077">
        <w:t xml:space="preserve"> inform future </w:t>
      </w:r>
      <w:r w:rsidR="00185AD0">
        <w:t>revisions</w:t>
      </w:r>
      <w:r w:rsidR="003B2077">
        <w:t xml:space="preserve"> of the core NAMCS survey items.</w:t>
      </w:r>
      <w:r w:rsidR="003D5ED9" w:rsidRPr="003D5ED9">
        <w:t xml:space="preserve"> </w:t>
      </w:r>
    </w:p>
    <w:p w14:paraId="6369C975" w14:textId="77777777" w:rsidR="00677520" w:rsidRDefault="00677520" w:rsidP="00BE33D1">
      <w:pPr>
        <w:pStyle w:val="ListParagraph"/>
        <w:ind w:left="0"/>
      </w:pPr>
    </w:p>
    <w:p w14:paraId="6C6266AB" w14:textId="77777777" w:rsidR="00B64078" w:rsidRDefault="00185AD0" w:rsidP="00BE33D1">
      <w:pPr>
        <w:pStyle w:val="ListParagraph"/>
        <w:ind w:left="0"/>
      </w:pPr>
      <w:r>
        <w:t>For this OMB package</w:t>
      </w:r>
      <w:r w:rsidR="00E526C3">
        <w:t>, approval is requested to first cognitively test</w:t>
      </w:r>
      <w:r>
        <w:t xml:space="preserve"> </w:t>
      </w:r>
      <w:r w:rsidR="006506F7">
        <w:t>t</w:t>
      </w:r>
      <w:r w:rsidR="00677520">
        <w:t xml:space="preserve">he </w:t>
      </w:r>
      <w:r w:rsidR="006506F7">
        <w:t xml:space="preserve">NAMCS </w:t>
      </w:r>
      <w:r w:rsidR="00677520">
        <w:t xml:space="preserve">NSPCP with up to thirty physicians. </w:t>
      </w:r>
      <w:r w:rsidR="00557587">
        <w:t xml:space="preserve"> </w:t>
      </w:r>
      <w:r w:rsidR="00677520">
        <w:t xml:space="preserve">The purpose of the testing is to </w:t>
      </w:r>
      <w:r w:rsidR="00677520" w:rsidRPr="00677520">
        <w:t xml:space="preserve">refine the survey instrument </w:t>
      </w:r>
      <w:r w:rsidR="00557587">
        <w:t xml:space="preserve">further </w:t>
      </w:r>
      <w:r w:rsidR="00677520" w:rsidRPr="00677520">
        <w:t xml:space="preserve">to make sure </w:t>
      </w:r>
      <w:r>
        <w:t>that the revised NSPCP, according to the NAMCS style, retains its meaning and comprehension to physicians.</w:t>
      </w:r>
      <w:r w:rsidR="00B64078">
        <w:t xml:space="preserve"> Next, </w:t>
      </w:r>
      <w:r w:rsidR="00B64078" w:rsidRPr="006509F2">
        <w:t>a one-time mail survey of a national representative sample of primary care physicians</w:t>
      </w:r>
      <w:r w:rsidR="00B64078">
        <w:t xml:space="preserve"> whose specialties are Internal Medicine (IM) and Family Practice (FP) will be conducted.</w:t>
      </w:r>
      <w:r w:rsidR="00B64078" w:rsidRPr="006509F2">
        <w:t xml:space="preserve">  Methods include a telephone screening and telephone follow-up of non-respondents.</w:t>
      </w:r>
      <w:r w:rsidR="00B64078">
        <w:t xml:space="preserve">  NAMCS participants will be excluded from participation in the NAMCS NSPCP.</w:t>
      </w:r>
    </w:p>
    <w:p w14:paraId="16098DCF" w14:textId="77777777" w:rsidR="00B64078" w:rsidRDefault="00B64078" w:rsidP="00BE33D1">
      <w:pPr>
        <w:pStyle w:val="ListParagraph"/>
        <w:ind w:left="0"/>
      </w:pPr>
    </w:p>
    <w:p w14:paraId="0791F008" w14:textId="564B994F" w:rsidR="00770C4F" w:rsidRDefault="00A92490" w:rsidP="00BE33D1">
      <w:pPr>
        <w:pStyle w:val="ListParagraph"/>
        <w:ind w:left="0"/>
      </w:pPr>
      <w:r>
        <w:t>CDC</w:t>
      </w:r>
      <w:r w:rsidRPr="006509F2">
        <w:t xml:space="preserve"> </w:t>
      </w:r>
      <w:r w:rsidR="00BE33D1" w:rsidRPr="006509F2">
        <w:t xml:space="preserve">will use the </w:t>
      </w:r>
      <w:r w:rsidR="00B64078">
        <w:t xml:space="preserve">NAMCS MSPCP </w:t>
      </w:r>
      <w:r w:rsidR="00BE33D1" w:rsidRPr="006509F2">
        <w:t xml:space="preserve">survey data to assess (1) the extent to which primary care physicians deliver care in ways that have been shown to improve health outcomes and (2) the extent to which the ways they deliver care are established policies in their practices. CDC and its partners will then develop materials in support of such delivery methods. </w:t>
      </w:r>
      <w:r w:rsidR="00BE33D1">
        <w:t xml:space="preserve"> </w:t>
      </w:r>
      <w:r w:rsidR="00BE33D1" w:rsidRPr="006509F2">
        <w:t xml:space="preserve">The survey will yield both national and regional estimates, providing practices with information to compare with their own management policies. </w:t>
      </w:r>
      <w:r w:rsidR="00BE33D1">
        <w:t xml:space="preserve"> </w:t>
      </w:r>
    </w:p>
    <w:p w14:paraId="04B20E5E" w14:textId="77777777" w:rsidR="00770C4F" w:rsidRDefault="00770C4F" w:rsidP="00BE33D1">
      <w:pPr>
        <w:pStyle w:val="ListParagraph"/>
        <w:ind w:left="0"/>
      </w:pPr>
    </w:p>
    <w:p w14:paraId="3DDDED1D" w14:textId="77777777" w:rsidR="00770C4F" w:rsidRDefault="00770C4F" w:rsidP="00BE33D1">
      <w:pPr>
        <w:pStyle w:val="ListParagraph"/>
        <w:ind w:left="0"/>
      </w:pPr>
      <w:r>
        <w:t>We are requesting approval to:</w:t>
      </w:r>
    </w:p>
    <w:p w14:paraId="05DE3786" w14:textId="77777777" w:rsidR="00C202D6" w:rsidRPr="0054089B" w:rsidRDefault="00C202D6" w:rsidP="00C202D6">
      <w:pPr>
        <w:pStyle w:val="ListParagraph"/>
        <w:numPr>
          <w:ilvl w:val="0"/>
          <w:numId w:val="38"/>
        </w:numPr>
        <w:rPr>
          <w:rFonts w:ascii="Times New Roman Bold" w:hAnsi="Times New Roman Bold"/>
          <w:b/>
          <w:caps/>
        </w:rPr>
      </w:pPr>
      <w:r>
        <w:t xml:space="preserve">Conduct cognitive testing on the NSPCP survey questions </w:t>
      </w:r>
    </w:p>
    <w:p w14:paraId="3904B5D2" w14:textId="77777777" w:rsidR="0054089B" w:rsidRPr="0014311A" w:rsidRDefault="00770C4F" w:rsidP="0054089B">
      <w:pPr>
        <w:pStyle w:val="ListParagraph"/>
        <w:numPr>
          <w:ilvl w:val="0"/>
          <w:numId w:val="38"/>
        </w:numPr>
        <w:rPr>
          <w:rFonts w:ascii="Times New Roman Bold" w:hAnsi="Times New Roman Bold"/>
          <w:b/>
          <w:caps/>
        </w:rPr>
      </w:pPr>
      <w:r>
        <w:t xml:space="preserve">Conduct a one-time, </w:t>
      </w:r>
      <w:r w:rsidRPr="00770C4F">
        <w:t>mail-based survey of a national sample of physicians</w:t>
      </w:r>
      <w:r w:rsidR="00203283">
        <w:t>, including a telephone screening and telephone follow-up of non-respondents</w:t>
      </w:r>
    </w:p>
    <w:p w14:paraId="04BFFE3A" w14:textId="77777777" w:rsidR="00203283" w:rsidRDefault="00203283" w:rsidP="00203283">
      <w:pPr>
        <w:pStyle w:val="ListParagraph"/>
        <w:ind w:left="0"/>
        <w:rPr>
          <w:rFonts w:eastAsia="Times New Roman" w:cstheme="minorBidi"/>
        </w:rPr>
      </w:pPr>
    </w:p>
    <w:p w14:paraId="5488AEBE" w14:textId="77777777" w:rsidR="00203283" w:rsidRDefault="00203283" w:rsidP="00203283">
      <w:pPr>
        <w:pStyle w:val="ListParagraph"/>
        <w:ind w:left="0"/>
        <w:rPr>
          <w:rFonts w:eastAsia="Times New Roman" w:cstheme="minorBidi"/>
        </w:rPr>
      </w:pPr>
      <w:r w:rsidRPr="00BE33D1">
        <w:rPr>
          <w:rFonts w:eastAsia="Times New Roman" w:cstheme="minorBidi"/>
        </w:rPr>
        <w:t>In</w:t>
      </w:r>
      <w:r w:rsidRPr="00BE33D1">
        <w:rPr>
          <w:rFonts w:eastAsia="Times New Roman" w:cstheme="minorBidi"/>
          <w:spacing w:val="5"/>
        </w:rPr>
        <w:t xml:space="preserve"> </w:t>
      </w:r>
      <w:r w:rsidRPr="00BE33D1">
        <w:rPr>
          <w:rFonts w:eastAsia="Times New Roman" w:cstheme="minorBidi"/>
        </w:rPr>
        <w:t>this</w:t>
      </w:r>
      <w:r w:rsidRPr="00BE33D1">
        <w:rPr>
          <w:rFonts w:eastAsia="Times New Roman" w:cstheme="minorBidi"/>
          <w:spacing w:val="17"/>
        </w:rPr>
        <w:t xml:space="preserve"> </w:t>
      </w:r>
      <w:r w:rsidRPr="00BE33D1">
        <w:rPr>
          <w:rFonts w:eastAsia="Times New Roman" w:cstheme="minorBidi"/>
        </w:rPr>
        <w:t>application,</w:t>
      </w:r>
      <w:r w:rsidRPr="00BE33D1">
        <w:rPr>
          <w:rFonts w:eastAsia="Times New Roman" w:cstheme="minorBidi"/>
          <w:spacing w:val="39"/>
        </w:rPr>
        <w:t xml:space="preserve"> </w:t>
      </w:r>
      <w:r w:rsidRPr="00BE33D1">
        <w:rPr>
          <w:rFonts w:eastAsia="Times New Roman" w:cstheme="minorBidi"/>
        </w:rPr>
        <w:t>we</w:t>
      </w:r>
      <w:r w:rsidRPr="00BE33D1">
        <w:rPr>
          <w:rFonts w:eastAsia="Times New Roman" w:cstheme="minorBidi"/>
          <w:spacing w:val="32"/>
        </w:rPr>
        <w:t xml:space="preserve"> </w:t>
      </w:r>
      <w:r w:rsidRPr="00BE33D1">
        <w:rPr>
          <w:rFonts w:eastAsia="Times New Roman" w:cstheme="minorBidi"/>
        </w:rPr>
        <w:t>are</w:t>
      </w:r>
      <w:r w:rsidRPr="00BE33D1">
        <w:rPr>
          <w:rFonts w:eastAsia="Times New Roman" w:cstheme="minorBidi"/>
          <w:spacing w:val="9"/>
        </w:rPr>
        <w:t xml:space="preserve"> </w:t>
      </w:r>
      <w:r w:rsidRPr="00BE33D1">
        <w:rPr>
          <w:rFonts w:eastAsia="Times New Roman" w:cstheme="minorBidi"/>
          <w:spacing w:val="-1"/>
        </w:rPr>
        <w:t>requesting</w:t>
      </w:r>
      <w:r w:rsidRPr="00BE33D1">
        <w:rPr>
          <w:rFonts w:eastAsia="Times New Roman" w:cstheme="minorBidi"/>
          <w:spacing w:val="25"/>
        </w:rPr>
        <w:t xml:space="preserve"> </w:t>
      </w:r>
      <w:r w:rsidR="003861C6" w:rsidRPr="00BE33D1">
        <w:rPr>
          <w:rFonts w:eastAsia="Times New Roman" w:cstheme="minorBidi"/>
        </w:rPr>
        <w:t>t</w:t>
      </w:r>
      <w:r w:rsidR="003861C6">
        <w:rPr>
          <w:rFonts w:eastAsia="Times New Roman" w:cstheme="minorBidi"/>
        </w:rPr>
        <w:t>wo</w:t>
      </w:r>
      <w:r w:rsidR="003861C6" w:rsidRPr="00BE33D1">
        <w:rPr>
          <w:rFonts w:eastAsia="Times New Roman" w:cstheme="minorBidi"/>
          <w:spacing w:val="20"/>
        </w:rPr>
        <w:t xml:space="preserve"> </w:t>
      </w:r>
      <w:r w:rsidRPr="00BE33D1">
        <w:rPr>
          <w:rFonts w:eastAsia="Times New Roman" w:cstheme="minorBidi"/>
        </w:rPr>
        <w:t>years</w:t>
      </w:r>
      <w:r w:rsidRPr="00BE33D1">
        <w:rPr>
          <w:rFonts w:eastAsia="Times New Roman" w:cstheme="minorBidi"/>
          <w:spacing w:val="22"/>
        </w:rPr>
        <w:t xml:space="preserve"> </w:t>
      </w:r>
      <w:r w:rsidRPr="00BE33D1">
        <w:rPr>
          <w:rFonts w:eastAsia="Times New Roman" w:cstheme="minorBidi"/>
        </w:rPr>
        <w:t>of</w:t>
      </w:r>
      <w:r w:rsidRPr="00BE33D1">
        <w:rPr>
          <w:rFonts w:eastAsia="Times New Roman" w:cstheme="minorBidi"/>
          <w:spacing w:val="26"/>
        </w:rPr>
        <w:t xml:space="preserve"> </w:t>
      </w:r>
      <w:r w:rsidRPr="00BE33D1">
        <w:rPr>
          <w:rFonts w:eastAsia="Times New Roman" w:cstheme="minorBidi"/>
        </w:rPr>
        <w:t>OMB</w:t>
      </w:r>
      <w:r w:rsidRPr="00BE33D1">
        <w:rPr>
          <w:rFonts w:eastAsia="Times New Roman" w:cstheme="minorBidi"/>
          <w:spacing w:val="19"/>
        </w:rPr>
        <w:t xml:space="preserve"> </w:t>
      </w:r>
      <w:r w:rsidRPr="00BE33D1">
        <w:rPr>
          <w:rFonts w:eastAsia="Times New Roman" w:cstheme="minorBidi"/>
        </w:rPr>
        <w:t>approval</w:t>
      </w:r>
      <w:r w:rsidRPr="00BE33D1">
        <w:rPr>
          <w:rFonts w:eastAsia="Times New Roman" w:cstheme="minorBidi"/>
          <w:spacing w:val="46"/>
        </w:rPr>
        <w:t xml:space="preserve"> </w:t>
      </w:r>
      <w:r w:rsidRPr="00BE33D1">
        <w:rPr>
          <w:rFonts w:eastAsia="Times New Roman" w:cstheme="minorBidi"/>
        </w:rPr>
        <w:t>to</w:t>
      </w:r>
      <w:r w:rsidRPr="00BE33D1">
        <w:rPr>
          <w:rFonts w:eastAsia="Times New Roman" w:cstheme="minorBidi"/>
          <w:spacing w:val="26"/>
        </w:rPr>
        <w:t xml:space="preserve"> </w:t>
      </w:r>
      <w:r w:rsidRPr="00BE33D1">
        <w:rPr>
          <w:rFonts w:eastAsia="Times New Roman" w:cstheme="minorBidi"/>
        </w:rPr>
        <w:t>cover</w:t>
      </w:r>
      <w:r w:rsidRPr="00BE33D1">
        <w:rPr>
          <w:rFonts w:eastAsia="Times New Roman" w:cstheme="minorBidi"/>
          <w:spacing w:val="21"/>
          <w:w w:val="102"/>
        </w:rPr>
        <w:t xml:space="preserve"> </w:t>
      </w:r>
      <w:r w:rsidRPr="00BE33D1">
        <w:rPr>
          <w:rFonts w:eastAsia="Times New Roman" w:cstheme="minorBidi"/>
        </w:rPr>
        <w:t>both</w:t>
      </w:r>
      <w:r w:rsidRPr="00BE33D1">
        <w:rPr>
          <w:rFonts w:eastAsia="Times New Roman" w:cstheme="minorBidi"/>
          <w:spacing w:val="24"/>
        </w:rPr>
        <w:t xml:space="preserve"> </w:t>
      </w:r>
      <w:r w:rsidRPr="00BE33D1">
        <w:rPr>
          <w:rFonts w:eastAsia="Times New Roman" w:cstheme="minorBidi"/>
          <w:spacing w:val="-1"/>
        </w:rPr>
        <w:t>the</w:t>
      </w:r>
      <w:r w:rsidRPr="00BE33D1">
        <w:rPr>
          <w:rFonts w:eastAsia="Times New Roman" w:cstheme="minorBidi"/>
          <w:spacing w:val="6"/>
        </w:rPr>
        <w:t xml:space="preserve"> </w:t>
      </w:r>
      <w:r w:rsidRPr="00BE33D1">
        <w:rPr>
          <w:rFonts w:eastAsia="Times New Roman" w:cstheme="minorBidi"/>
        </w:rPr>
        <w:t>cognitive</w:t>
      </w:r>
      <w:r w:rsidRPr="00BE33D1">
        <w:rPr>
          <w:rFonts w:eastAsia="Times New Roman" w:cstheme="minorBidi"/>
          <w:spacing w:val="17"/>
        </w:rPr>
        <w:t xml:space="preserve"> </w:t>
      </w:r>
      <w:r w:rsidRPr="00BE33D1">
        <w:rPr>
          <w:rFonts w:eastAsia="Times New Roman" w:cstheme="minorBidi"/>
        </w:rPr>
        <w:t>testing</w:t>
      </w:r>
      <w:r w:rsidRPr="00BE33D1">
        <w:rPr>
          <w:rFonts w:eastAsia="Times New Roman" w:cstheme="minorBidi"/>
          <w:spacing w:val="33"/>
        </w:rPr>
        <w:t xml:space="preserve"> </w:t>
      </w:r>
      <w:r w:rsidRPr="00BE33D1">
        <w:rPr>
          <w:rFonts w:eastAsia="Times New Roman" w:cstheme="minorBidi"/>
        </w:rPr>
        <w:t>of</w:t>
      </w:r>
      <w:r w:rsidRPr="00BE33D1">
        <w:rPr>
          <w:rFonts w:eastAsia="Times New Roman" w:cstheme="minorBidi"/>
          <w:spacing w:val="4"/>
        </w:rPr>
        <w:t xml:space="preserve"> </w:t>
      </w:r>
      <w:r w:rsidRPr="00BE33D1">
        <w:rPr>
          <w:rFonts w:eastAsia="Times New Roman" w:cstheme="minorBidi"/>
        </w:rPr>
        <w:t>the</w:t>
      </w:r>
      <w:r w:rsidRPr="00BE33D1">
        <w:rPr>
          <w:rFonts w:eastAsia="Times New Roman" w:cstheme="minorBidi"/>
          <w:spacing w:val="21"/>
        </w:rPr>
        <w:t xml:space="preserve"> </w:t>
      </w:r>
      <w:r w:rsidRPr="00BE33D1">
        <w:rPr>
          <w:rFonts w:eastAsia="Times New Roman" w:cstheme="minorBidi"/>
        </w:rPr>
        <w:t>instrument</w:t>
      </w:r>
      <w:r w:rsidRPr="00BE33D1">
        <w:rPr>
          <w:rFonts w:eastAsia="Times New Roman" w:cstheme="minorBidi"/>
          <w:spacing w:val="44"/>
        </w:rPr>
        <w:t xml:space="preserve"> </w:t>
      </w:r>
      <w:r w:rsidRPr="00BE33D1">
        <w:rPr>
          <w:rFonts w:eastAsia="Times New Roman" w:cstheme="minorBidi"/>
        </w:rPr>
        <w:t>and</w:t>
      </w:r>
      <w:r w:rsidRPr="00BE33D1">
        <w:rPr>
          <w:rFonts w:eastAsia="Times New Roman" w:cstheme="minorBidi"/>
          <w:spacing w:val="23"/>
        </w:rPr>
        <w:t xml:space="preserve"> </w:t>
      </w:r>
      <w:r w:rsidRPr="00BE33D1">
        <w:rPr>
          <w:rFonts w:eastAsia="Times New Roman" w:cstheme="minorBidi"/>
        </w:rPr>
        <w:t>the</w:t>
      </w:r>
      <w:r w:rsidRPr="00BE33D1">
        <w:rPr>
          <w:rFonts w:eastAsia="Times New Roman" w:cstheme="minorBidi"/>
          <w:spacing w:val="23"/>
        </w:rPr>
        <w:t xml:space="preserve"> </w:t>
      </w:r>
      <w:r w:rsidRPr="00BE33D1">
        <w:rPr>
          <w:rFonts w:eastAsia="Times New Roman" w:cstheme="minorBidi"/>
        </w:rPr>
        <w:t>field</w:t>
      </w:r>
      <w:r w:rsidRPr="00BE33D1">
        <w:rPr>
          <w:rFonts w:eastAsia="Times New Roman" w:cstheme="minorBidi"/>
          <w:spacing w:val="24"/>
        </w:rPr>
        <w:t xml:space="preserve"> </w:t>
      </w:r>
      <w:r w:rsidRPr="00BE33D1">
        <w:rPr>
          <w:rFonts w:eastAsia="Times New Roman" w:cstheme="minorBidi"/>
        </w:rPr>
        <w:t>data</w:t>
      </w:r>
      <w:r w:rsidRPr="00BE33D1">
        <w:rPr>
          <w:rFonts w:eastAsia="Times New Roman" w:cstheme="minorBidi"/>
          <w:spacing w:val="10"/>
        </w:rPr>
        <w:t xml:space="preserve"> </w:t>
      </w:r>
      <w:r w:rsidRPr="00BE33D1">
        <w:rPr>
          <w:rFonts w:eastAsia="Times New Roman" w:cstheme="minorBidi"/>
        </w:rPr>
        <w:t>collection.</w:t>
      </w:r>
    </w:p>
    <w:p w14:paraId="1AA4874B" w14:textId="77777777" w:rsidR="00832626" w:rsidRDefault="00832626">
      <w:pPr>
        <w:rPr>
          <w:rFonts w:ascii="Times New Roman Bold" w:hAnsi="Times New Roman Bold"/>
          <w:b/>
          <w:caps/>
        </w:rPr>
      </w:pPr>
      <w:r>
        <w:rPr>
          <w:rFonts w:ascii="Times New Roman Bold" w:hAnsi="Times New Roman Bold"/>
          <w:b/>
          <w:caps/>
        </w:rPr>
        <w:br w:type="page"/>
      </w:r>
    </w:p>
    <w:p w14:paraId="34E6FAAD" w14:textId="77777777" w:rsidR="0038510E" w:rsidRPr="009D714F" w:rsidRDefault="00160CFE" w:rsidP="00F0775F">
      <w:pPr>
        <w:ind w:left="360"/>
        <w:rPr>
          <w:rFonts w:ascii="Times New Roman Bold" w:hAnsi="Times New Roman Bold"/>
          <w:b/>
          <w:caps/>
          <w:u w:val="single"/>
        </w:rPr>
      </w:pPr>
      <w:r>
        <w:rPr>
          <w:rFonts w:ascii="Times New Roman Bold" w:hAnsi="Times New Roman Bold"/>
          <w:b/>
          <w:caps/>
        </w:rPr>
        <w:lastRenderedPageBreak/>
        <w:t xml:space="preserve">A.  </w:t>
      </w:r>
      <w:r w:rsidR="0038510E" w:rsidRPr="009D714F">
        <w:rPr>
          <w:rFonts w:ascii="Times New Roman Bold" w:hAnsi="Times New Roman Bold"/>
          <w:b/>
          <w:caps/>
        </w:rPr>
        <w:t>Justification</w:t>
      </w:r>
    </w:p>
    <w:p w14:paraId="1C2B7BB1" w14:textId="77777777" w:rsidR="00854F90" w:rsidRPr="00854F90" w:rsidRDefault="00854F90" w:rsidP="004B7346">
      <w:pPr>
        <w:pStyle w:val="ListParagraph"/>
        <w:numPr>
          <w:ilvl w:val="0"/>
          <w:numId w:val="2"/>
        </w:numPr>
        <w:rPr>
          <w:b/>
          <w:u w:val="single"/>
        </w:rPr>
      </w:pPr>
      <w:r>
        <w:rPr>
          <w:b/>
        </w:rPr>
        <w:t>Circumstances Making the Collection of Information Necessary</w:t>
      </w:r>
    </w:p>
    <w:p w14:paraId="4B34FBA8" w14:textId="77777777" w:rsidR="00F0775F" w:rsidRDefault="00F0775F" w:rsidP="00854F90">
      <w:pPr>
        <w:pStyle w:val="ListParagraph"/>
        <w:ind w:left="0" w:right="-720"/>
        <w:rPr>
          <w:u w:val="single"/>
        </w:rPr>
      </w:pPr>
    </w:p>
    <w:p w14:paraId="4AA74B60" w14:textId="77777777" w:rsidR="00854F90" w:rsidRDefault="00854F90" w:rsidP="00854F90">
      <w:pPr>
        <w:pStyle w:val="ListParagraph"/>
        <w:ind w:left="0" w:right="-720"/>
        <w:rPr>
          <w:u w:val="single"/>
        </w:rPr>
      </w:pPr>
      <w:r w:rsidRPr="00854F90">
        <w:rPr>
          <w:u w:val="single"/>
        </w:rPr>
        <w:t xml:space="preserve">Background </w:t>
      </w:r>
    </w:p>
    <w:p w14:paraId="0F037892" w14:textId="77777777" w:rsidR="00854F90" w:rsidRPr="00854F90" w:rsidRDefault="00582583" w:rsidP="00675E1C">
      <w:pPr>
        <w:pStyle w:val="ListParagraph"/>
        <w:ind w:left="0"/>
      </w:pPr>
      <w:r>
        <w:t>One of the strategic priorities of the CDC National Center for Chronic Disease Prevention and Health Promotion is to p</w:t>
      </w:r>
      <w:r w:rsidRPr="00582583">
        <w:t xml:space="preserve">romote social, environmental, policy, and systems approaches that support healthy living for individuals, families, and communities. </w:t>
      </w:r>
      <w:r>
        <w:t xml:space="preserve"> To support this priority, i</w:t>
      </w:r>
      <w:r w:rsidR="00854F90" w:rsidRPr="00854F90">
        <w:t xml:space="preserve">n 2005 the Division for Heart Disease and Stroke Prevention (DHDSP) began developing evaluation indicators that reflect evidence-based outcomes from policy and systems changes for heart disease and stroke prevention.  The ultimate goal of developing these indicators is to provide common measures for the Centers for Disease Control and Prevention (CDC), CDC-funded state Heart Disease and Stroke Prevention programs, and other partners to </w:t>
      </w:r>
      <w:r w:rsidR="00EB7EA0">
        <w:t>monitor</w:t>
      </w:r>
      <w:r w:rsidR="00EB7EA0" w:rsidRPr="00854F90">
        <w:t xml:space="preserve"> </w:t>
      </w:r>
      <w:r w:rsidR="00854F90" w:rsidRPr="00854F90">
        <w:t>outcomes in heart disease and stroke prevention and control efforts.</w:t>
      </w:r>
    </w:p>
    <w:p w14:paraId="13353296" w14:textId="77777777" w:rsidR="00854F90" w:rsidRPr="00854F90" w:rsidRDefault="00854F90" w:rsidP="00675E1C">
      <w:r w:rsidRPr="00854F90">
        <w:t>Many DHDSP indicators that reflect intermediate and long-term behavioral and health outcomes have known data sources that can be used to monitor them at the national and state levels.  However, having an existing data source was not a criterion used to decide whether an indicator would be included in the DHDSP indicators.  As a result, many of the indicators that reflect outcomes of short-term policy and system</w:t>
      </w:r>
      <w:r w:rsidR="008F7BED">
        <w:t>s</w:t>
      </w:r>
      <w:r w:rsidRPr="00854F90">
        <w:t xml:space="preserve"> changes do not have readily available data sources.  This is particularly true for outcomes related to health care systems changes.  </w:t>
      </w:r>
    </w:p>
    <w:p w14:paraId="7AE26B25" w14:textId="77777777" w:rsidR="008F7BED" w:rsidRDefault="00854F90" w:rsidP="00675E1C">
      <w:pPr>
        <w:pStyle w:val="ListParagraph"/>
        <w:ind w:left="0"/>
      </w:pPr>
      <w:r w:rsidRPr="00854F90">
        <w:t xml:space="preserve">The proposed </w:t>
      </w:r>
      <w:r w:rsidR="00887474">
        <w:t xml:space="preserve">NAMCS </w:t>
      </w:r>
      <w:r w:rsidR="00BB2ED7">
        <w:t>NSPCP</w:t>
      </w:r>
      <w:r w:rsidR="00BB2ED7" w:rsidRPr="00854F90">
        <w:t xml:space="preserve"> </w:t>
      </w:r>
      <w:r w:rsidRPr="00854F90">
        <w:t xml:space="preserve">will provide much needed </w:t>
      </w:r>
      <w:r w:rsidR="0085357D" w:rsidRPr="0085357D">
        <w:t xml:space="preserve">data on existing policies and systems in </w:t>
      </w:r>
      <w:r w:rsidR="008F7BED">
        <w:t>primary care</w:t>
      </w:r>
      <w:r w:rsidR="0085357D" w:rsidRPr="0085357D">
        <w:t xml:space="preserve"> physician practices related to chronic disease management </w:t>
      </w:r>
      <w:r w:rsidR="000E02A0">
        <w:t>for</w:t>
      </w:r>
      <w:r w:rsidR="0085357D" w:rsidRPr="0085357D">
        <w:t xml:space="preserve"> high blood pressure, high cholesterol, </w:t>
      </w:r>
      <w:r w:rsidR="00F63F92">
        <w:t xml:space="preserve">and </w:t>
      </w:r>
      <w:r w:rsidR="0085357D" w:rsidRPr="0085357D">
        <w:t>diabetes.</w:t>
      </w:r>
      <w:r w:rsidR="0085357D" w:rsidRPr="0034381C">
        <w:rPr>
          <w:rFonts w:ascii="Arial" w:hAnsi="Arial" w:cs="Arial"/>
        </w:rPr>
        <w:t xml:space="preserve"> </w:t>
      </w:r>
      <w:r w:rsidRPr="00854F90">
        <w:t xml:space="preserve">These data will provide in-depth information on </w:t>
      </w:r>
      <w:r w:rsidR="008F7BED">
        <w:t xml:space="preserve">the existence of </w:t>
      </w:r>
      <w:r w:rsidRPr="00854F90">
        <w:t>evidence-based systems changes</w:t>
      </w:r>
      <w:r w:rsidR="000E02A0">
        <w:t>,</w:t>
      </w:r>
      <w:r w:rsidRPr="00854F90">
        <w:t xml:space="preserve"> including multidisciplinary team approaches for chronic disease treatment, electronic </w:t>
      </w:r>
      <w:r w:rsidR="008F7BED">
        <w:t>health</w:t>
      </w:r>
      <w:r w:rsidRPr="00854F90">
        <w:t xml:space="preserve"> records with features appropriate for treating patients with chronic disease (e.g., clinical decision supports), and patient follow-up mechanisms.  </w:t>
      </w:r>
    </w:p>
    <w:p w14:paraId="5B3575A8" w14:textId="77777777" w:rsidR="008F7BED" w:rsidRDefault="008F7BED" w:rsidP="00675E1C">
      <w:pPr>
        <w:pStyle w:val="ListParagraph"/>
        <w:ind w:left="0"/>
      </w:pPr>
    </w:p>
    <w:p w14:paraId="2CEF9AC1" w14:textId="77777777" w:rsidR="00C04D02" w:rsidRDefault="008F7BED" w:rsidP="00675E1C">
      <w:pPr>
        <w:pStyle w:val="ListParagraph"/>
        <w:ind w:left="0"/>
      </w:pPr>
      <w:r>
        <w:t xml:space="preserve">In addition to providing CDC with crucial information about the prevalence of evidence-based approaches to managing chronic illnesses, the survey will also aid CDC in supporting primary care practices to better serve their patients.  </w:t>
      </w:r>
      <w:r w:rsidR="00C04D02">
        <w:t>CDC can better serve its partners</w:t>
      </w:r>
      <w:r w:rsidR="00C04D02" w:rsidRPr="008F7BED">
        <w:t xml:space="preserve"> </w:t>
      </w:r>
      <w:r w:rsidR="00C04D02">
        <w:t xml:space="preserve">through development of translation pieces or technical assistance aids that address gaps in the </w:t>
      </w:r>
      <w:r>
        <w:t>use of evidence-based interventions</w:t>
      </w:r>
      <w:r w:rsidR="00C04D02">
        <w:t xml:space="preserve"> identified by the </w:t>
      </w:r>
      <w:r w:rsidR="00887474">
        <w:t xml:space="preserve">NAMCS </w:t>
      </w:r>
      <w:r w:rsidR="00C04D02">
        <w:t xml:space="preserve">NSPCP.  </w:t>
      </w:r>
    </w:p>
    <w:p w14:paraId="7F10A717" w14:textId="77777777" w:rsidR="00C04D02" w:rsidRDefault="00C04D02" w:rsidP="00675E1C">
      <w:pPr>
        <w:pStyle w:val="ListParagraph"/>
        <w:ind w:left="0"/>
      </w:pPr>
    </w:p>
    <w:p w14:paraId="3CE71A69" w14:textId="77777777" w:rsidR="00671232" w:rsidRPr="005E2D71" w:rsidRDefault="000E02A0" w:rsidP="00671232">
      <w:pPr>
        <w:pStyle w:val="ListParagraph"/>
        <w:ind w:left="0"/>
      </w:pPr>
      <w:r>
        <w:t>Most important</w:t>
      </w:r>
      <w:r w:rsidR="008C4749">
        <w:t>ly</w:t>
      </w:r>
      <w:r w:rsidR="00671232" w:rsidRPr="00B97678">
        <w:t>, the</w:t>
      </w:r>
      <w:r w:rsidR="005327F8">
        <w:t xml:space="preserve"> </w:t>
      </w:r>
      <w:r w:rsidR="00887474">
        <w:t xml:space="preserve">NAMCS </w:t>
      </w:r>
      <w:r w:rsidR="005327F8">
        <w:t>NSPCP will provide knowledge about</w:t>
      </w:r>
      <w:r w:rsidR="00671232" w:rsidRPr="00B97678">
        <w:t xml:space="preserve"> primary care practices that can inform </w:t>
      </w:r>
      <w:r w:rsidR="003861C6">
        <w:t>guidelines</w:t>
      </w:r>
      <w:r w:rsidR="00D40361">
        <w:t xml:space="preserve"> </w:t>
      </w:r>
      <w:r w:rsidR="00671232" w:rsidRPr="00B97678">
        <w:t xml:space="preserve">for managing patients with chronic conditions and </w:t>
      </w:r>
      <w:r w:rsidR="00133A5A">
        <w:t xml:space="preserve">to </w:t>
      </w:r>
      <w:r w:rsidR="00671232" w:rsidRPr="00B97678">
        <w:t>improve t</w:t>
      </w:r>
      <w:r w:rsidR="005327F8">
        <w:t xml:space="preserve">he quality of care delivered.  </w:t>
      </w:r>
      <w:r w:rsidR="00671232" w:rsidRPr="005E2D71">
        <w:t xml:space="preserve">Published manuscripts will add depth to the peer-reviewed scientific literature with regard </w:t>
      </w:r>
      <w:r w:rsidR="00D40361">
        <w:t>to the extent that evidence-</w:t>
      </w:r>
      <w:r w:rsidR="00671232" w:rsidRPr="005E2D71">
        <w:t>base</w:t>
      </w:r>
      <w:r w:rsidR="00D40361">
        <w:t>d</w:t>
      </w:r>
      <w:r w:rsidR="00671232" w:rsidRPr="005E2D71">
        <w:t xml:space="preserve"> </w:t>
      </w:r>
      <w:r w:rsidR="0054089B">
        <w:t xml:space="preserve">policies </w:t>
      </w:r>
      <w:r w:rsidR="00D40361">
        <w:t>have</w:t>
      </w:r>
      <w:r w:rsidR="00671232" w:rsidRPr="005E2D71">
        <w:t xml:space="preserve"> been adopted into practice.  </w:t>
      </w:r>
    </w:p>
    <w:p w14:paraId="08ED0E22" w14:textId="77777777" w:rsidR="00185C8F" w:rsidRPr="005E2D71" w:rsidRDefault="00185C8F" w:rsidP="00854F90">
      <w:pPr>
        <w:pStyle w:val="ListParagraph"/>
        <w:ind w:left="0" w:right="-720"/>
        <w:rPr>
          <w:u w:val="single"/>
        </w:rPr>
      </w:pPr>
    </w:p>
    <w:p w14:paraId="0943D59E" w14:textId="77777777" w:rsidR="00832626" w:rsidRDefault="00832626" w:rsidP="00854F90">
      <w:pPr>
        <w:pStyle w:val="ListParagraph"/>
        <w:ind w:left="0" w:right="-720"/>
        <w:rPr>
          <w:u w:val="single"/>
        </w:rPr>
      </w:pPr>
    </w:p>
    <w:p w14:paraId="0A66C8C5" w14:textId="77777777" w:rsidR="00832626" w:rsidRDefault="00832626" w:rsidP="00854F90">
      <w:pPr>
        <w:pStyle w:val="ListParagraph"/>
        <w:ind w:left="0" w:right="-720"/>
        <w:rPr>
          <w:u w:val="single"/>
        </w:rPr>
      </w:pPr>
    </w:p>
    <w:p w14:paraId="2430F427" w14:textId="77777777" w:rsidR="00854F90" w:rsidRPr="005E2D71" w:rsidRDefault="00854F90" w:rsidP="00854F90">
      <w:pPr>
        <w:pStyle w:val="ListParagraph"/>
        <w:ind w:left="0" w:right="-720"/>
        <w:rPr>
          <w:u w:val="single"/>
        </w:rPr>
      </w:pPr>
      <w:r w:rsidRPr="005E2D71">
        <w:rPr>
          <w:u w:val="single"/>
        </w:rPr>
        <w:lastRenderedPageBreak/>
        <w:t>Authorization:</w:t>
      </w:r>
    </w:p>
    <w:p w14:paraId="051333B2" w14:textId="77777777" w:rsidR="00854F90" w:rsidRPr="005E2D71" w:rsidRDefault="00854F90" w:rsidP="00675E1C">
      <w:r w:rsidRPr="005E2D71">
        <w:t xml:space="preserve">Section </w:t>
      </w:r>
      <w:r w:rsidR="00B66D89" w:rsidRPr="005E2D71">
        <w:t>30</w:t>
      </w:r>
      <w:r w:rsidR="00B66D89">
        <w:t>6</w:t>
      </w:r>
      <w:r w:rsidR="00B66D89" w:rsidRPr="005E2D71">
        <w:t xml:space="preserve"> </w:t>
      </w:r>
      <w:r w:rsidRPr="005E2D71">
        <w:t>of the Public Health Services Act (4</w:t>
      </w:r>
      <w:r w:rsidR="004D0137">
        <w:t>1</w:t>
      </w:r>
      <w:r w:rsidRPr="005E2D71">
        <w:t xml:space="preserve"> U.S.C. 24</w:t>
      </w:r>
      <w:r w:rsidR="00161D0D">
        <w:t>2</w:t>
      </w:r>
      <w:r w:rsidRPr="005E2D71">
        <w:t>) a</w:t>
      </w:r>
      <w:r w:rsidR="000E02A0">
        <w:t>uthorizes the collection of these</w:t>
      </w:r>
      <w:r w:rsidRPr="005E2D71">
        <w:t xml:space="preserve"> data.  Please see </w:t>
      </w:r>
      <w:r w:rsidR="008C491E" w:rsidRPr="008C491E">
        <w:rPr>
          <w:b/>
        </w:rPr>
        <w:t>Attachment</w:t>
      </w:r>
      <w:r w:rsidR="008C491E" w:rsidRPr="008C491E">
        <w:rPr>
          <w:b/>
          <w:color w:val="0000FF"/>
        </w:rPr>
        <w:t xml:space="preserve"> </w:t>
      </w:r>
      <w:r w:rsidR="004D0137">
        <w:rPr>
          <w:b/>
        </w:rPr>
        <w:t>1</w:t>
      </w:r>
      <w:r w:rsidRPr="005E2D71">
        <w:t xml:space="preserve"> for a copy of this legislation.</w:t>
      </w:r>
    </w:p>
    <w:p w14:paraId="4CB2D7A1" w14:textId="77777777" w:rsidR="002E0001" w:rsidRDefault="002E0001" w:rsidP="002E0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bCs/>
          <w:color w:val="000000"/>
        </w:rPr>
      </w:pPr>
    </w:p>
    <w:p w14:paraId="04071C86" w14:textId="77777777" w:rsidR="007850ED" w:rsidRPr="005E2D71" w:rsidRDefault="007850ED" w:rsidP="004B7346">
      <w:pPr>
        <w:pStyle w:val="ListParagraph"/>
        <w:numPr>
          <w:ilvl w:val="0"/>
          <w:numId w:val="2"/>
        </w:numPr>
        <w:rPr>
          <w:b/>
          <w:u w:val="single"/>
        </w:rPr>
      </w:pPr>
      <w:r w:rsidRPr="005E2D71">
        <w:rPr>
          <w:b/>
        </w:rPr>
        <w:t>Purpose and Use of Information Collection</w:t>
      </w:r>
    </w:p>
    <w:p w14:paraId="1FDDFCC6" w14:textId="77777777" w:rsidR="007C3DEB" w:rsidRDefault="007C3DEB" w:rsidP="007C3DEB">
      <w:pPr>
        <w:ind w:left="90"/>
      </w:pPr>
      <w:r>
        <w:t>With data collected from the NAMCS NSPCP, CDC can better assist primary care practices in managing chronic illnesses and reduce patient morbidity and mortality due to heart disease, stroke, and diabetes.  CDC grantees in state health departments are charged with implementing policy and system changes in the health care arena.  Many of the recommended strategies are being assessed in the NAMCS NSPCP.  Additionally, the Patient Protection and Affordable Care Act (ACA) calls for the creation of “health homes” (ACA §2703).  Many components of the health home, also known as the medical home, are part of the NAMCS NSPCP, such as the use of EHRs, registries, multidisciplinary teams, and clinical decision supports.  The results of this survey are also aligned with several of the goals of the National Strategy to Improve Health Care Quality (ACA §3011) such as monitoring and evaluating clinical preventive services for prevention and treatment of the Nation’s major causes of death and disability: heart disease and stroke.  Although NAMCS asks questions about medical homes, the NAMCS NSPCP will probe for further information about components within physician practices that define them as medical homes.</w:t>
      </w:r>
    </w:p>
    <w:p w14:paraId="22370555" w14:textId="77777777" w:rsidR="007C3DEB" w:rsidRDefault="007C3DEB" w:rsidP="007C3DEB">
      <w:pPr>
        <w:ind w:left="90"/>
      </w:pPr>
      <w:r>
        <w:t>Because of a paucity of existing data sources for monitoring short-term policy and system changes, CDC is unable to effectively gauge how it can best support health care delivery.  This is particularly true for outcomes related to health care systems for managing chronic illnesses.  Without data sources to monitor the use of evidence-based health care delivery systems, CDC cannot provide effective technical assistance for health systems change.  This particularly affects CDC’s ability to support public health initiatives at the state and local levels.  Up-to-date information on physician practices’ use of evidence-based health care delivery systems will allow CDC to guide state and community health care initiatives to improve support for identified gaps.</w:t>
      </w:r>
    </w:p>
    <w:p w14:paraId="33D459B5" w14:textId="77777777" w:rsidR="007C3DEB" w:rsidRDefault="00145534" w:rsidP="007C3DEB">
      <w:pPr>
        <w:ind w:left="90"/>
      </w:pPr>
      <w:r>
        <w:rPr>
          <w:b/>
        </w:rPr>
        <w:t xml:space="preserve">Cognitive Testing:  </w:t>
      </w:r>
      <w:r w:rsidR="007C3DEB">
        <w:t>Prior to fielding the NAMCS NSPCP, survey questions will undergo pretesting with up to 30 respondents (</w:t>
      </w:r>
      <w:r w:rsidR="007C3DEB" w:rsidRPr="008B2D04">
        <w:t>Attachment 4a</w:t>
      </w:r>
      <w:r w:rsidR="007C3DEB">
        <w:t xml:space="preserve">) before the instrument is fielded in its final form with 3,000 physicians. The purpose of the testing is to refine the survey instrument to make sure it asks valid questions and is understandable to physicians.  Pretesting will consist of cognitive testing that will either be in-person or a telephone interview. </w:t>
      </w:r>
      <w:r w:rsidR="007C3DEB" w:rsidRPr="00FE4CF8">
        <w:t xml:space="preserve">To assure recruitment of the desired number and mix of physicians in terms of specialty type and size and type of practice, the maximum number of screenings will be 50. </w:t>
      </w:r>
      <w:r w:rsidR="007C3DEB">
        <w:t xml:space="preserve"> It is anticipated that any resulting changes based on the cognitive testing to the data collection instrument will be minor. </w:t>
      </w:r>
    </w:p>
    <w:p w14:paraId="748247B2" w14:textId="3352B95C" w:rsidR="007C3DEB" w:rsidRPr="007C3DEB" w:rsidRDefault="007C3DEB" w:rsidP="007C3DEB">
      <w:pPr>
        <w:ind w:left="90"/>
        <w:rPr>
          <w:b/>
        </w:rPr>
      </w:pPr>
      <w:r w:rsidRPr="007C3DEB">
        <w:lastRenderedPageBreak/>
        <w:t>The contractor will place an advertisement on LinkedIn to recruit physicians to participate in cognitive testing.  The ad will be targeted to LinkedIn members that list themselves as physicians and that are local to the DC/Rockville area.  Additional recruiting techniques will include requests for assistance from organizations such as the Medical Group Management Association and large health systems, and the distribution of recruiting flyers (</w:t>
      </w:r>
      <w:r w:rsidRPr="008B2D04">
        <w:t>Attachment 4d</w:t>
      </w:r>
      <w:r w:rsidRPr="007C3DEB">
        <w:t xml:space="preserve">).  Respondents are recruited by expressing their personal willingness to participate.  Thus, participation is strictly voluntary and respondents are not chosen randomly. In addition to answering the survey questions, respondents will be asked open-ended probes intended to assess whether they understood the questions as intended and how easily they arrived at their answers. While the cognitive testing results will be used to refine the survey instrument items and procedures, the answers will not be incorporated into the main study. </w:t>
      </w:r>
      <w:r w:rsidR="00496FE5">
        <w:t>(</w:t>
      </w:r>
      <w:r w:rsidR="0031004E">
        <w:t>Please see Statement B, P. 12</w:t>
      </w:r>
      <w:bookmarkStart w:id="0" w:name="_GoBack"/>
      <w:bookmarkEnd w:id="0"/>
      <w:r w:rsidRPr="007C3DEB">
        <w:t xml:space="preserve"> for more information on how results of the cognitive testing will inform the mail-based survey.</w:t>
      </w:r>
      <w:r w:rsidR="00496FE5">
        <w:t>)</w:t>
      </w:r>
    </w:p>
    <w:p w14:paraId="45057ACA" w14:textId="5994623F" w:rsidR="001F30D9" w:rsidRDefault="00496FE5" w:rsidP="00CC7C1E">
      <w:r>
        <w:rPr>
          <w:b/>
        </w:rPr>
        <w:t xml:space="preserve">Mail </w:t>
      </w:r>
      <w:r w:rsidRPr="00496FE5">
        <w:rPr>
          <w:b/>
        </w:rPr>
        <w:t>Survey:</w:t>
      </w:r>
      <w:r>
        <w:rPr>
          <w:b/>
        </w:rPr>
        <w:t xml:space="preserve"> </w:t>
      </w:r>
      <w:r w:rsidR="00E70848">
        <w:t xml:space="preserve">The </w:t>
      </w:r>
      <w:r w:rsidR="00887474">
        <w:t xml:space="preserve">NAMCS </w:t>
      </w:r>
      <w:r w:rsidR="00E70848">
        <w:t>NSPCP</w:t>
      </w:r>
      <w:r w:rsidR="00744F92">
        <w:t xml:space="preserve"> will collect information about</w:t>
      </w:r>
      <w:r w:rsidR="00AE4889" w:rsidRPr="005E2D71">
        <w:t xml:space="preserve"> physician</w:t>
      </w:r>
      <w:r w:rsidR="000E02A0">
        <w:t xml:space="preserve">s and practice </w:t>
      </w:r>
      <w:r w:rsidR="000B16B7">
        <w:t xml:space="preserve">policies </w:t>
      </w:r>
      <w:r w:rsidR="000E02A0">
        <w:t>regarding the</w:t>
      </w:r>
      <w:r w:rsidR="00AE4889" w:rsidRPr="005E2D71">
        <w:t xml:space="preserve"> use of evidence-based systems</w:t>
      </w:r>
      <w:r w:rsidR="00744F92">
        <w:t xml:space="preserve">, </w:t>
      </w:r>
      <w:r w:rsidR="00AE4889" w:rsidRPr="005E2D71">
        <w:t xml:space="preserve">including multidisciplinary team approaches for chronic disease treatment, electronic </w:t>
      </w:r>
      <w:r w:rsidR="004B7346" w:rsidRPr="005E2D71">
        <w:t>health</w:t>
      </w:r>
      <w:r w:rsidR="00AE4889" w:rsidRPr="005E2D71">
        <w:t xml:space="preserve"> records (E</w:t>
      </w:r>
      <w:r w:rsidR="004B7346" w:rsidRPr="005E2D71">
        <w:t>H</w:t>
      </w:r>
      <w:r w:rsidR="00AE4889" w:rsidRPr="005E2D71">
        <w:t>R</w:t>
      </w:r>
      <w:r w:rsidR="00D61C96">
        <w:t>s</w:t>
      </w:r>
      <w:r w:rsidR="00AE4889" w:rsidRPr="005E2D71">
        <w:t>) with features appropriate for treating patients with chronic disease (e.g., clinical decision supports</w:t>
      </w:r>
      <w:r w:rsidR="004B7346" w:rsidRPr="005E2D71">
        <w:t>, patient registries</w:t>
      </w:r>
      <w:r w:rsidR="00AE4889" w:rsidRPr="005E2D71">
        <w:t xml:space="preserve">), and patient follow-up mechanisms.  </w:t>
      </w:r>
      <w:r w:rsidR="00FE4CF8" w:rsidRPr="00FE4CF8">
        <w:t xml:space="preserve">The </w:t>
      </w:r>
      <w:r w:rsidR="007C3DEB">
        <w:t xml:space="preserve">NAMCS </w:t>
      </w:r>
      <w:r w:rsidR="00FE4CF8" w:rsidRPr="00FE4CF8">
        <w:t>NSPCP will be a mail-based survey of a national sample of physicians.  Physicians will be screened by telephone (</w:t>
      </w:r>
      <w:r w:rsidR="00FE4CF8" w:rsidRPr="008B2D04">
        <w:t>Attachment 3a</w:t>
      </w:r>
      <w:r w:rsidR="00FE4CF8" w:rsidRPr="00FE4CF8">
        <w:t xml:space="preserve">) to confirm eligibility and correct contact information.  Each eligible physician will receive a survey instrument by mail </w:t>
      </w:r>
      <w:r w:rsidR="00FE4CF8" w:rsidRPr="00FE4CF8">
        <w:rPr>
          <w:b/>
        </w:rPr>
        <w:t>(</w:t>
      </w:r>
      <w:r w:rsidR="00FE4CF8" w:rsidRPr="008B2D04">
        <w:t>Attachment 3b</w:t>
      </w:r>
      <w:r w:rsidR="00FE4CF8" w:rsidRPr="00FE4CF8">
        <w:t xml:space="preserve">).  </w:t>
      </w:r>
      <w:r w:rsidR="001F30D9" w:rsidRPr="001F30D9">
        <w:t xml:space="preserve">After three mail requests, respondents who have not completed the survey will be called and asked to participate.  </w:t>
      </w:r>
    </w:p>
    <w:p w14:paraId="7E446C6C" w14:textId="77777777" w:rsidR="00FE4CF8" w:rsidRDefault="001F30D9" w:rsidP="00CC7C1E">
      <w:r w:rsidRPr="001F30D9">
        <w:t>Respondent contact and eligibility information and survey completion status will be tracked by a Study Management System developed by the contractor overseeing the data collection effort. They will conduct the majority of tasks associated with this data collection effort, including recruiting participants through the telephone, sending reminder letters to participants, designing, printing and mailing the survey instrument, collecting and safeguarding data, and performing data cleaning and rudimentary analysis.  The contractor’s staff will sign nondisclosure affidavits and will be subject to the terms of the Designated Agent Agreement (DAA) with NCHS. With all of the data collection systems described below, once the data collection is complete for this survey, the contractor will send all survey data to NCHS including audiotapes. All data (including PII) will then be destroyed by the contractor and a certificate of destruction will be provided to NCHS documenting the destruction.  Hard copies of the screening survey forms will be stored in a locked file cabinet at NCHS. If for some reason the original hard copies are to be retained, they will be marked for destruction within 2 years.</w:t>
      </w:r>
    </w:p>
    <w:p w14:paraId="220071A8" w14:textId="77777777" w:rsidR="000678A2" w:rsidRPr="000678A2" w:rsidRDefault="000678A2" w:rsidP="000678A2">
      <w:r w:rsidRPr="00496FE5">
        <w:t>Mail Survey Screening Component:</w:t>
      </w:r>
      <w:r w:rsidRPr="000678A2">
        <w:t xml:space="preserve">  For the telephone screener, up to 4 contact attempts will be made with each the potential respondent.  During the telephone screener, the physician or a representative of their practice will be asked about the following items of information: </w:t>
      </w:r>
    </w:p>
    <w:p w14:paraId="06150EC7" w14:textId="77777777" w:rsidR="000678A2" w:rsidRPr="000678A2" w:rsidRDefault="000678A2" w:rsidP="000678A2">
      <w:pPr>
        <w:numPr>
          <w:ilvl w:val="0"/>
          <w:numId w:val="3"/>
        </w:numPr>
      </w:pPr>
      <w:r w:rsidRPr="000678A2">
        <w:lastRenderedPageBreak/>
        <w:t>Whether the selected physician has a specialty of either Family Medicine or Internal Medicine;</w:t>
      </w:r>
    </w:p>
    <w:p w14:paraId="70E4AC7A" w14:textId="77777777" w:rsidR="000678A2" w:rsidRPr="000678A2" w:rsidRDefault="000678A2" w:rsidP="000678A2">
      <w:pPr>
        <w:numPr>
          <w:ilvl w:val="0"/>
          <w:numId w:val="3"/>
        </w:numPr>
      </w:pPr>
      <w:r w:rsidRPr="000678A2">
        <w:t>Whether the physician sees adult ambulatory patients;</w:t>
      </w:r>
    </w:p>
    <w:p w14:paraId="0FB9A967" w14:textId="77777777" w:rsidR="000678A2" w:rsidRPr="000678A2" w:rsidRDefault="000678A2" w:rsidP="000678A2">
      <w:pPr>
        <w:numPr>
          <w:ilvl w:val="0"/>
          <w:numId w:val="3"/>
        </w:numPr>
      </w:pPr>
      <w:r w:rsidRPr="000678A2">
        <w:t>Whether the physician sees patients only in a hospital emergency or out-patient department, urgent care facility, Federal facility, nursing home, rehabilitation center, or correctional facility.</w:t>
      </w:r>
    </w:p>
    <w:p w14:paraId="60A4893E" w14:textId="77777777" w:rsidR="000678A2" w:rsidRPr="000678A2" w:rsidRDefault="000678A2" w:rsidP="000678A2">
      <w:pPr>
        <w:numPr>
          <w:ilvl w:val="0"/>
          <w:numId w:val="3"/>
        </w:numPr>
      </w:pPr>
      <w:r w:rsidRPr="000678A2">
        <w:t>Whether the name and contact information for the physician is correct.</w:t>
      </w:r>
    </w:p>
    <w:p w14:paraId="2331EB8A" w14:textId="77777777" w:rsidR="000678A2" w:rsidRPr="000678A2" w:rsidRDefault="000678A2" w:rsidP="000678A2">
      <w:r w:rsidRPr="000678A2">
        <w:t xml:space="preserve">If there is no success in contacting the potential respondent, they will be mailed the survey. </w:t>
      </w:r>
      <w:r w:rsidR="00496FE5">
        <w:t>(</w:t>
      </w:r>
      <w:r w:rsidRPr="000678A2">
        <w:t>See Attachment 3a for the screening instrument</w:t>
      </w:r>
      <w:r w:rsidR="00496FE5">
        <w:t>)</w:t>
      </w:r>
      <w:r w:rsidRPr="000678A2">
        <w:t xml:space="preserve">. Information collected during the screener will be stored for 6 months after data collection in the contractor’s Study Management System and then it will be destroyed.  The contractor will send a certificate of destruction to NCHS.  </w:t>
      </w:r>
    </w:p>
    <w:p w14:paraId="4D25C2B5" w14:textId="77777777" w:rsidR="000678A2" w:rsidRPr="000678A2" w:rsidRDefault="00496FE5" w:rsidP="000678A2">
      <w:r>
        <w:t>Full</w:t>
      </w:r>
      <w:r w:rsidRPr="00496FE5">
        <w:t xml:space="preserve"> </w:t>
      </w:r>
      <w:r w:rsidR="000678A2" w:rsidRPr="00496FE5">
        <w:t>Mail Survey</w:t>
      </w:r>
      <w:r>
        <w:t xml:space="preserve"> Component</w:t>
      </w:r>
      <w:r w:rsidR="000678A2" w:rsidRPr="00496FE5">
        <w:t>:</w:t>
      </w:r>
      <w:r w:rsidR="000678A2" w:rsidRPr="000678A2">
        <w:t xml:space="preserve">  The mail-based </w:t>
      </w:r>
      <w:r w:rsidR="00145534">
        <w:t xml:space="preserve">NAMCS </w:t>
      </w:r>
      <w:r w:rsidR="000678A2" w:rsidRPr="000678A2">
        <w:t>NSPCP will be mailed to all those confirmed to be eligible during the telephone screener and to the entire fielded sample for whom screener information was not successfully obtained.  The survey (</w:t>
      </w:r>
      <w:r w:rsidR="000678A2" w:rsidRPr="000678A2">
        <w:rPr>
          <w:b/>
        </w:rPr>
        <w:t>Attachment 3b</w:t>
      </w:r>
      <w:r w:rsidR="000678A2" w:rsidRPr="000678A2">
        <w:t xml:space="preserve">) will collect information about the policies and systems used by eligible physicians.  The respondent’s name and contact information will be maintained separately from survey response data.  </w:t>
      </w:r>
    </w:p>
    <w:p w14:paraId="3CAB6EB9" w14:textId="77777777" w:rsidR="000678A2" w:rsidRPr="000678A2" w:rsidRDefault="000678A2" w:rsidP="000678A2">
      <w:r w:rsidRPr="000678A2">
        <w:t xml:space="preserve">Survey completion will be linked to screener information through the Study Management System in order to facilitate reminder mailings and phone calls.   De-identified survey data and screener data will be linked in the data delivery to NCHS.  </w:t>
      </w:r>
    </w:p>
    <w:p w14:paraId="17C3884D" w14:textId="77777777" w:rsidR="000678A2" w:rsidRPr="000678A2" w:rsidRDefault="000678A2" w:rsidP="000678A2">
      <w:pPr>
        <w:rPr>
          <w:u w:val="single"/>
        </w:rPr>
      </w:pPr>
      <w:r w:rsidRPr="000678A2">
        <w:rPr>
          <w:u w:val="single"/>
        </w:rPr>
        <w:t>Items of Information to be Collected</w:t>
      </w:r>
    </w:p>
    <w:p w14:paraId="4350A453" w14:textId="77777777" w:rsidR="000678A2" w:rsidRPr="000678A2" w:rsidRDefault="000678A2" w:rsidP="000678A2">
      <w:pPr>
        <w:numPr>
          <w:ilvl w:val="0"/>
          <w:numId w:val="37"/>
        </w:numPr>
      </w:pPr>
      <w:r w:rsidRPr="000678A2">
        <w:t>Physician characteristics (e.g., specialty, practice type, patient setting, practice policies)</w:t>
      </w:r>
    </w:p>
    <w:p w14:paraId="07BCE065" w14:textId="77777777" w:rsidR="000678A2" w:rsidRPr="000678A2" w:rsidRDefault="000678A2" w:rsidP="000678A2">
      <w:pPr>
        <w:numPr>
          <w:ilvl w:val="0"/>
          <w:numId w:val="37"/>
        </w:numPr>
        <w:rPr>
          <w:u w:val="single"/>
        </w:rPr>
      </w:pPr>
      <w:r w:rsidRPr="000678A2">
        <w:t>Clinical decision supports and protocols when treating patients for high blood pressure, high cholesterol or diabetes</w:t>
      </w:r>
    </w:p>
    <w:p w14:paraId="73F926CE" w14:textId="77777777" w:rsidR="000678A2" w:rsidRPr="000678A2" w:rsidRDefault="000678A2" w:rsidP="000678A2">
      <w:pPr>
        <w:numPr>
          <w:ilvl w:val="0"/>
          <w:numId w:val="37"/>
        </w:numPr>
        <w:rPr>
          <w:u w:val="single"/>
        </w:rPr>
      </w:pPr>
      <w:r w:rsidRPr="000678A2">
        <w:t>Clinical guidelines used (e.g., NHLBI JNC 7)</w:t>
      </w:r>
    </w:p>
    <w:p w14:paraId="38529BCE" w14:textId="77777777" w:rsidR="000678A2" w:rsidRPr="000678A2" w:rsidRDefault="000678A2" w:rsidP="000678A2">
      <w:pPr>
        <w:numPr>
          <w:ilvl w:val="0"/>
          <w:numId w:val="37"/>
        </w:numPr>
        <w:rPr>
          <w:u w:val="single"/>
        </w:rPr>
      </w:pPr>
      <w:r w:rsidRPr="000678A2">
        <w:t>Use of multidisciplinary teams</w:t>
      </w:r>
    </w:p>
    <w:p w14:paraId="54300820" w14:textId="77777777" w:rsidR="000678A2" w:rsidRPr="000678A2" w:rsidRDefault="000678A2" w:rsidP="000678A2">
      <w:pPr>
        <w:numPr>
          <w:ilvl w:val="0"/>
          <w:numId w:val="37"/>
        </w:numPr>
        <w:rPr>
          <w:u w:val="single"/>
        </w:rPr>
      </w:pPr>
      <w:r w:rsidRPr="000678A2">
        <w:t>Patient registry systems (e.g., registry of patients with high blood pressure)</w:t>
      </w:r>
    </w:p>
    <w:p w14:paraId="51B488BE" w14:textId="77777777" w:rsidR="000678A2" w:rsidRPr="000678A2" w:rsidRDefault="000678A2" w:rsidP="000678A2">
      <w:pPr>
        <w:numPr>
          <w:ilvl w:val="0"/>
          <w:numId w:val="37"/>
        </w:numPr>
        <w:rPr>
          <w:u w:val="single"/>
        </w:rPr>
      </w:pPr>
      <w:r w:rsidRPr="000678A2">
        <w:t>Electronic functions</w:t>
      </w:r>
    </w:p>
    <w:p w14:paraId="15EEC80D" w14:textId="77777777" w:rsidR="000678A2" w:rsidRPr="000678A2" w:rsidRDefault="000678A2" w:rsidP="000678A2">
      <w:pPr>
        <w:numPr>
          <w:ilvl w:val="0"/>
          <w:numId w:val="37"/>
        </w:numPr>
        <w:rPr>
          <w:u w:val="single"/>
        </w:rPr>
      </w:pPr>
      <w:r w:rsidRPr="000678A2">
        <w:t>Methods for patient follow-up</w:t>
      </w:r>
    </w:p>
    <w:p w14:paraId="047D6B33" w14:textId="77777777" w:rsidR="000678A2" w:rsidRPr="00234C81" w:rsidRDefault="000678A2" w:rsidP="000678A2">
      <w:pPr>
        <w:numPr>
          <w:ilvl w:val="0"/>
          <w:numId w:val="37"/>
        </w:numPr>
        <w:rPr>
          <w:u w:val="single"/>
        </w:rPr>
      </w:pPr>
      <w:r w:rsidRPr="000678A2">
        <w:t>Patient education and self-management (how does the provider educate patients)</w:t>
      </w:r>
    </w:p>
    <w:p w14:paraId="1609D0E1" w14:textId="77777777" w:rsidR="00234C81" w:rsidRPr="000678A2" w:rsidRDefault="00234C81" w:rsidP="00234C81">
      <w:pPr>
        <w:ind w:left="720"/>
        <w:rPr>
          <w:u w:val="single"/>
        </w:rPr>
      </w:pPr>
    </w:p>
    <w:p w14:paraId="5A863A26" w14:textId="77777777" w:rsidR="004B20E8" w:rsidRPr="005E2D71" w:rsidRDefault="004B20E8" w:rsidP="009650AD">
      <w:pPr>
        <w:pStyle w:val="ListParagraph"/>
        <w:numPr>
          <w:ilvl w:val="0"/>
          <w:numId w:val="2"/>
        </w:numPr>
        <w:rPr>
          <w:b/>
          <w:u w:val="single"/>
        </w:rPr>
      </w:pPr>
      <w:r w:rsidRPr="005E2D71">
        <w:rPr>
          <w:b/>
        </w:rPr>
        <w:lastRenderedPageBreak/>
        <w:t>Use of Improved Information Technology and Burden Reduction</w:t>
      </w:r>
    </w:p>
    <w:p w14:paraId="6A71AD9A" w14:textId="77777777" w:rsidR="00907659" w:rsidRDefault="00D11A0A" w:rsidP="00675E1C">
      <w:r>
        <w:t xml:space="preserve">Only a sample of </w:t>
      </w:r>
      <w:r w:rsidR="00FE00EA">
        <w:t xml:space="preserve">physicians </w:t>
      </w:r>
      <w:r w:rsidR="00887474">
        <w:t>will be</w:t>
      </w:r>
      <w:r>
        <w:t xml:space="preserve"> included in this </w:t>
      </w:r>
      <w:r w:rsidR="0014311A">
        <w:t>study.</w:t>
      </w:r>
      <w:r>
        <w:t xml:space="preserve">  </w:t>
      </w:r>
      <w:r w:rsidR="006B5139" w:rsidRPr="006B5139">
        <w:t>NAMCS participants will be excluded from participation in the NAMCS NSPCP.</w:t>
      </w:r>
      <w:r w:rsidR="006B5139">
        <w:t xml:space="preserve">  </w:t>
      </w:r>
      <w:r>
        <w:t>Further, r</w:t>
      </w:r>
      <w:r w:rsidR="004A7954">
        <w:t>espondent bu</w:t>
      </w:r>
      <w:r w:rsidR="000E02A0">
        <w:t>rden is reduced through the pre</w:t>
      </w:r>
      <w:r w:rsidR="00482D94">
        <w:t xml:space="preserve">screening process.  </w:t>
      </w:r>
      <w:r w:rsidR="004A7954">
        <w:t>Physicians that can be identified as non-eligible during the screening phone call will not be sent a questionnaire or receive any follow-up phone calls.</w:t>
      </w:r>
      <w:r w:rsidR="009D48C7">
        <w:t xml:space="preserve">  This will ensure that no burden is placed on physicians </w:t>
      </w:r>
      <w:r w:rsidR="00AD2F2D">
        <w:t xml:space="preserve">who </w:t>
      </w:r>
      <w:r w:rsidR="009D48C7">
        <w:t xml:space="preserve">are not the target of this study. </w:t>
      </w:r>
      <w:r w:rsidR="00907659" w:rsidRPr="005E2D71">
        <w:t>This is a one-time data collection, so once a respondent has completed the instrument, he/she will not be contacted again</w:t>
      </w:r>
      <w:r w:rsidR="00284577">
        <w:t xml:space="preserve"> for this survey</w:t>
      </w:r>
      <w:r w:rsidR="00887474">
        <w:t xml:space="preserve"> nor the NAMCS</w:t>
      </w:r>
      <w:r w:rsidR="00907659" w:rsidRPr="005E2D71">
        <w:t xml:space="preserve">.  </w:t>
      </w:r>
    </w:p>
    <w:p w14:paraId="261DD912" w14:textId="77777777" w:rsidR="00E06F08" w:rsidRPr="005E2D71" w:rsidRDefault="00907659" w:rsidP="00675E1C">
      <w:r>
        <w:t>There are no legal obstacles to reducing the burden.</w:t>
      </w:r>
      <w:r w:rsidR="009D48C7">
        <w:t xml:space="preserve"> </w:t>
      </w:r>
    </w:p>
    <w:p w14:paraId="621D3F22" w14:textId="77777777" w:rsidR="000B0B3B" w:rsidRPr="005E2D71" w:rsidRDefault="000B0B3B" w:rsidP="009650AD">
      <w:pPr>
        <w:pStyle w:val="ListParagraph"/>
        <w:numPr>
          <w:ilvl w:val="0"/>
          <w:numId w:val="2"/>
        </w:numPr>
        <w:rPr>
          <w:b/>
          <w:u w:val="single"/>
        </w:rPr>
      </w:pPr>
      <w:r w:rsidRPr="005E2D71">
        <w:rPr>
          <w:b/>
        </w:rPr>
        <w:t>Efforts to Identify Duplication and Use of Similar Information</w:t>
      </w:r>
    </w:p>
    <w:p w14:paraId="170BF304" w14:textId="77777777" w:rsidR="00134E00" w:rsidRDefault="000B0B3B" w:rsidP="003F61E2">
      <w:r w:rsidRPr="005E2D71">
        <w:t xml:space="preserve">Extensive literature and internet searches were conducted by the DHDSP project staff to assess if information regarding prevalence of </w:t>
      </w:r>
      <w:r w:rsidR="00AD5452" w:rsidRPr="005E2D71">
        <w:t xml:space="preserve">the </w:t>
      </w:r>
      <w:r w:rsidRPr="005E2D71">
        <w:t xml:space="preserve">uptake of evidence-based health care systems had been previously collected.  Additionally, DHDSP project staff conferred with </w:t>
      </w:r>
      <w:r w:rsidR="009D7B5E">
        <w:t>CDC</w:t>
      </w:r>
      <w:r w:rsidRPr="005E2D71">
        <w:t xml:space="preserve"> colleagues from the Division of Diabetes Translation</w:t>
      </w:r>
      <w:r w:rsidR="0046310B" w:rsidRPr="005E2D71">
        <w:t>,</w:t>
      </w:r>
      <w:r w:rsidR="009D7B5E">
        <w:t xml:space="preserve"> </w:t>
      </w:r>
      <w:r w:rsidRPr="005E2D71">
        <w:t>as well as</w:t>
      </w:r>
      <w:r w:rsidR="009D7B5E">
        <w:t xml:space="preserve"> colleagues from</w:t>
      </w:r>
      <w:r w:rsidRPr="005E2D71">
        <w:t xml:space="preserve"> the Bureau of Primary Care at the Health Resources and Services Administration</w:t>
      </w:r>
      <w:r w:rsidR="00CD7836" w:rsidRPr="005E2D71">
        <w:t xml:space="preserve">.  There are currently no </w:t>
      </w:r>
      <w:r w:rsidR="00AD5452" w:rsidRPr="005E2D71">
        <w:t xml:space="preserve">known </w:t>
      </w:r>
      <w:r w:rsidR="00CD7836" w:rsidRPr="005E2D71">
        <w:t>efforts to collect chronic disease-specific information in the health care systems arena</w:t>
      </w:r>
      <w:r w:rsidR="00817F67">
        <w:t xml:space="preserve"> that is nationally representative</w:t>
      </w:r>
      <w:r w:rsidRPr="005E2D71">
        <w:t xml:space="preserve">.  </w:t>
      </w:r>
      <w:r w:rsidR="0087575E" w:rsidRPr="0087575E">
        <w:t xml:space="preserve">DHDSP is developing a simple checklist that can be used by individual physicians to assess whether they are using evidence-based practices. This </w:t>
      </w:r>
      <w:r w:rsidR="00AD2F2D">
        <w:t xml:space="preserve">checklist </w:t>
      </w:r>
      <w:r w:rsidR="0087575E" w:rsidRPr="0087575E">
        <w:t xml:space="preserve">is not a survey and does not involve CDC’s collection of data.  It is a template that can be used by States for physician practices that are interested in conducting a self-assessment of their use of evidence-based practices. </w:t>
      </w:r>
      <w:r w:rsidR="000E02A0">
        <w:t>Although</w:t>
      </w:r>
      <w:r w:rsidRPr="005E2D71">
        <w:t xml:space="preserve"> </w:t>
      </w:r>
      <w:r w:rsidR="00CD7836" w:rsidRPr="005E2D71">
        <w:t xml:space="preserve">surveys assessing the use of Electronic </w:t>
      </w:r>
      <w:r w:rsidR="009650AD" w:rsidRPr="005E2D71">
        <w:t>Health</w:t>
      </w:r>
      <w:r w:rsidR="00CD7836" w:rsidRPr="005E2D71">
        <w:t xml:space="preserve"> R</w:t>
      </w:r>
      <w:r w:rsidRPr="005E2D71">
        <w:t>ecords have been conducted</w:t>
      </w:r>
      <w:r w:rsidR="00E137DE">
        <w:t xml:space="preserve"> such as the National Electronic Health Records Survey</w:t>
      </w:r>
      <w:r w:rsidRPr="005E2D71">
        <w:t xml:space="preserve">, none </w:t>
      </w:r>
      <w:r w:rsidR="00CD7836" w:rsidRPr="005E2D71">
        <w:t>of these studies were detailed or precise enough</w:t>
      </w:r>
      <w:r w:rsidRPr="005E2D71">
        <w:t xml:space="preserve"> to provide information related to treatment of specific chronic diseases.</w:t>
      </w:r>
      <w:r w:rsidR="00E137DE">
        <w:t xml:space="preserve"> </w:t>
      </w:r>
    </w:p>
    <w:p w14:paraId="40769700" w14:textId="77777777" w:rsidR="00815B3F" w:rsidRPr="005E2D71" w:rsidRDefault="00815B3F" w:rsidP="001C2A38">
      <w:pPr>
        <w:pStyle w:val="ListParagraph"/>
        <w:numPr>
          <w:ilvl w:val="0"/>
          <w:numId w:val="2"/>
        </w:numPr>
        <w:rPr>
          <w:b/>
          <w:u w:val="single"/>
        </w:rPr>
      </w:pPr>
      <w:r w:rsidRPr="005E2D71">
        <w:rPr>
          <w:b/>
        </w:rPr>
        <w:t>Impact on Small Businesses or Other Small Entities</w:t>
      </w:r>
    </w:p>
    <w:p w14:paraId="208BBDD5" w14:textId="77777777" w:rsidR="00815B3F" w:rsidRPr="005E2D71" w:rsidRDefault="000E02A0" w:rsidP="000B0B3B">
      <w:r>
        <w:t>Although</w:t>
      </w:r>
      <w:r w:rsidR="008C791F" w:rsidRPr="005E2D71">
        <w:t xml:space="preserve"> some physician practices are large and have multi</w:t>
      </w:r>
      <w:r>
        <w:t>ple sites, some practices may</w:t>
      </w:r>
      <w:r w:rsidR="008C791F" w:rsidRPr="005E2D71">
        <w:t xml:space="preserve"> </w:t>
      </w:r>
      <w:r>
        <w:t>comprise</w:t>
      </w:r>
      <w:r w:rsidR="008C791F" w:rsidRPr="005E2D71">
        <w:t xml:space="preserve"> just a few physicians and thus may be co</w:t>
      </w:r>
      <w:r w:rsidR="00BD2D24">
        <w:t>nsidered small entities. The mail</w:t>
      </w:r>
      <w:r w:rsidR="008C791F" w:rsidRPr="005E2D71">
        <w:t xml:space="preserve"> instrument </w:t>
      </w:r>
      <w:r w:rsidR="00BD2D24">
        <w:t>will be</w:t>
      </w:r>
      <w:r w:rsidR="008C791F" w:rsidRPr="005E2D71">
        <w:t xml:space="preserve"> designed to minimize respondent burden, i</w:t>
      </w:r>
      <w:r w:rsidR="00BD2D24">
        <w:t xml:space="preserve">ncluding an easy-to-read format.  </w:t>
      </w:r>
      <w:r w:rsidR="008C791F" w:rsidRPr="005E2D71">
        <w:t xml:space="preserve">Time-to-complete </w:t>
      </w:r>
      <w:r w:rsidR="009A1136">
        <w:t xml:space="preserve">the mailed instrument </w:t>
      </w:r>
      <w:r w:rsidR="008C791F" w:rsidRPr="005E2D71">
        <w:t xml:space="preserve">is estimated at </w:t>
      </w:r>
      <w:r w:rsidR="00AF471D" w:rsidRPr="005E2D71">
        <w:t xml:space="preserve">20 </w:t>
      </w:r>
      <w:r w:rsidR="008C791F" w:rsidRPr="005E2D71">
        <w:t xml:space="preserve">minutes or less. </w:t>
      </w:r>
    </w:p>
    <w:p w14:paraId="2BFE5E42" w14:textId="77777777" w:rsidR="00A25E8F" w:rsidRPr="005E2D71" w:rsidRDefault="00A25E8F" w:rsidP="001C2A38">
      <w:pPr>
        <w:pStyle w:val="ListParagraph"/>
        <w:numPr>
          <w:ilvl w:val="0"/>
          <w:numId w:val="2"/>
        </w:numPr>
        <w:rPr>
          <w:b/>
          <w:u w:val="single"/>
        </w:rPr>
      </w:pPr>
      <w:r w:rsidRPr="005E2D71">
        <w:rPr>
          <w:b/>
        </w:rPr>
        <w:t>Consequences of Collecting the Information Less Frequently</w:t>
      </w:r>
    </w:p>
    <w:p w14:paraId="5872E790" w14:textId="77777777" w:rsidR="00BD2D24" w:rsidRDefault="00EA39B8" w:rsidP="00EA39B8">
      <w:r w:rsidRPr="005E2D71">
        <w:t xml:space="preserve">Respondents will only be asked to participate </w:t>
      </w:r>
      <w:r w:rsidR="00E4636B">
        <w:t xml:space="preserve">once </w:t>
      </w:r>
      <w:r w:rsidRPr="005E2D71">
        <w:t xml:space="preserve">in the </w:t>
      </w:r>
      <w:r w:rsidR="001C2A38" w:rsidRPr="005E2D71">
        <w:t>survey</w:t>
      </w:r>
      <w:r w:rsidR="00BD2D24">
        <w:t>.</w:t>
      </w:r>
    </w:p>
    <w:p w14:paraId="4B2A5422" w14:textId="77777777" w:rsidR="003D2DDF" w:rsidRDefault="003D2DDF" w:rsidP="00EA39B8">
      <w:r w:rsidRPr="005E2D71">
        <w:t>There are no legal obstacles to reduce the burden.</w:t>
      </w:r>
    </w:p>
    <w:p w14:paraId="31EA6781" w14:textId="77777777" w:rsidR="001406D7" w:rsidRPr="005E2D71" w:rsidRDefault="001406D7" w:rsidP="001C2A38">
      <w:pPr>
        <w:pStyle w:val="ListParagraph"/>
        <w:numPr>
          <w:ilvl w:val="0"/>
          <w:numId w:val="2"/>
        </w:numPr>
        <w:rPr>
          <w:b/>
          <w:u w:val="single"/>
        </w:rPr>
      </w:pPr>
      <w:r w:rsidRPr="005E2D71">
        <w:rPr>
          <w:b/>
        </w:rPr>
        <w:t>Special Circumstances Relating to the Guidelines of 5 CFR 1320.5</w:t>
      </w:r>
    </w:p>
    <w:p w14:paraId="0891A0D3" w14:textId="77777777" w:rsidR="001406D7" w:rsidRDefault="001406D7" w:rsidP="001406D7">
      <w:pPr>
        <w:ind w:right="-720"/>
      </w:pPr>
      <w:r w:rsidRPr="005E2D71">
        <w:t>This request fully complies with the regulations 5 CFR 1320.5.</w:t>
      </w:r>
    </w:p>
    <w:p w14:paraId="55D373C7" w14:textId="77777777" w:rsidR="001406D7" w:rsidRPr="005E2D71" w:rsidRDefault="001406D7" w:rsidP="001C2A38">
      <w:pPr>
        <w:pStyle w:val="ListParagraph"/>
        <w:numPr>
          <w:ilvl w:val="0"/>
          <w:numId w:val="2"/>
        </w:numPr>
        <w:rPr>
          <w:b/>
          <w:u w:val="single"/>
        </w:rPr>
      </w:pPr>
      <w:r w:rsidRPr="005E2D71">
        <w:rPr>
          <w:b/>
        </w:rPr>
        <w:lastRenderedPageBreak/>
        <w:t>Comments in Response to the Federal Register Notice and Efforts to Consult Outside the Agency</w:t>
      </w:r>
    </w:p>
    <w:p w14:paraId="2C0D6AD1" w14:textId="77777777" w:rsidR="0080002D" w:rsidRPr="00305893" w:rsidRDefault="0080002D" w:rsidP="0080002D">
      <w:pPr>
        <w:pStyle w:val="ListParagraph"/>
        <w:spacing w:after="120"/>
        <w:ind w:left="1080"/>
        <w:rPr>
          <w:b/>
        </w:rPr>
      </w:pPr>
    </w:p>
    <w:p w14:paraId="19C79F62" w14:textId="77777777" w:rsidR="00C952FC" w:rsidRDefault="0080002D" w:rsidP="00610035">
      <w:pPr>
        <w:pStyle w:val="ListParagraph"/>
        <w:numPr>
          <w:ilvl w:val="0"/>
          <w:numId w:val="31"/>
        </w:numPr>
        <w:spacing w:after="0"/>
        <w:ind w:left="360"/>
      </w:pPr>
      <w:r w:rsidRPr="00305893">
        <w:t xml:space="preserve"> </w:t>
      </w:r>
      <w:r w:rsidRPr="00C952FC">
        <w:t>Federal Register Notice</w:t>
      </w:r>
    </w:p>
    <w:p w14:paraId="1A3A22B5" w14:textId="77777777" w:rsidR="00417001" w:rsidRDefault="00AD2F2D" w:rsidP="00610035">
      <w:pPr>
        <w:spacing w:after="0"/>
      </w:pPr>
      <w:r>
        <w:t xml:space="preserve">A 60-day </w:t>
      </w:r>
      <w:r w:rsidR="007E114D">
        <w:t xml:space="preserve">Federal Register </w:t>
      </w:r>
      <w:r>
        <w:t xml:space="preserve">Notice was published on </w:t>
      </w:r>
      <w:r w:rsidR="007E114D">
        <w:t xml:space="preserve">June 19, 2014, Vol. 79, No. 118, pages 35164 35165.  </w:t>
      </w:r>
      <w:r w:rsidR="005C019F">
        <w:t xml:space="preserve">See </w:t>
      </w:r>
      <w:r w:rsidR="00A113D9" w:rsidRPr="00496FE5">
        <w:t xml:space="preserve">Attachment </w:t>
      </w:r>
      <w:r w:rsidR="00320913" w:rsidRPr="00496FE5">
        <w:t>2</w:t>
      </w:r>
      <w:r w:rsidR="00A113D9" w:rsidRPr="00496FE5">
        <w:t>b</w:t>
      </w:r>
      <w:r w:rsidR="005C019F">
        <w:t xml:space="preserve"> for a copy of the 60-day FRN</w:t>
      </w:r>
      <w:r w:rsidR="00A8307F">
        <w:t>.</w:t>
      </w:r>
    </w:p>
    <w:p w14:paraId="435244C2" w14:textId="77777777" w:rsidR="007E114D" w:rsidRDefault="007E114D" w:rsidP="00417001">
      <w:pPr>
        <w:spacing w:after="0" w:line="240" w:lineRule="auto"/>
      </w:pPr>
    </w:p>
    <w:p w14:paraId="4624997F" w14:textId="77777777" w:rsidR="005C019F" w:rsidRDefault="007E114D" w:rsidP="00417001">
      <w:pPr>
        <w:spacing w:after="0" w:line="240" w:lineRule="auto"/>
      </w:pPr>
      <w:r>
        <w:t>One public comment</w:t>
      </w:r>
      <w:r w:rsidR="002955DE">
        <w:t xml:space="preserve"> </w:t>
      </w:r>
      <w:r w:rsidR="005D52BE">
        <w:t>(see attachment 2c)</w:t>
      </w:r>
      <w:r w:rsidR="00B55443">
        <w:t xml:space="preserve"> </w:t>
      </w:r>
      <w:r w:rsidR="00AD2F2D">
        <w:t>was received and the standard</w:t>
      </w:r>
      <w:r w:rsidR="005C019F">
        <w:t xml:space="preserve"> </w:t>
      </w:r>
      <w:r>
        <w:t xml:space="preserve">CDC response was </w:t>
      </w:r>
      <w:r w:rsidR="005D52BE">
        <w:t>sent</w:t>
      </w:r>
      <w:r>
        <w:t>:</w:t>
      </w:r>
    </w:p>
    <w:p w14:paraId="052180DF" w14:textId="77777777" w:rsidR="00A8307F" w:rsidRDefault="00A8307F" w:rsidP="00417001">
      <w:pPr>
        <w:spacing w:after="0" w:line="240" w:lineRule="auto"/>
      </w:pPr>
    </w:p>
    <w:p w14:paraId="7159956B" w14:textId="77777777" w:rsidR="00C952FC" w:rsidRDefault="0080002D" w:rsidP="00417001">
      <w:pPr>
        <w:pStyle w:val="ListParagraph"/>
        <w:numPr>
          <w:ilvl w:val="0"/>
          <w:numId w:val="31"/>
        </w:numPr>
        <w:spacing w:after="0" w:line="240" w:lineRule="auto"/>
        <w:ind w:left="360"/>
      </w:pPr>
      <w:r w:rsidRPr="00C952FC">
        <w:t>Consultations Outside the Agency</w:t>
      </w:r>
    </w:p>
    <w:p w14:paraId="14C622BC" w14:textId="77777777" w:rsidR="00417001" w:rsidRDefault="00417001" w:rsidP="00417001">
      <w:pPr>
        <w:pStyle w:val="ListParagraph"/>
        <w:spacing w:after="0" w:line="240" w:lineRule="auto"/>
        <w:ind w:left="360"/>
      </w:pPr>
    </w:p>
    <w:p w14:paraId="102F3954" w14:textId="77777777" w:rsidR="001406D7" w:rsidRDefault="009A2687" w:rsidP="00C952FC">
      <w:pPr>
        <w:spacing w:after="120"/>
      </w:pPr>
      <w:r>
        <w:t>DHDSP project staff consult</w:t>
      </w:r>
      <w:r w:rsidRPr="005E2D71">
        <w:t xml:space="preserve">ed with </w:t>
      </w:r>
      <w:r>
        <w:t>CDC</w:t>
      </w:r>
      <w:r w:rsidRPr="005E2D71">
        <w:t xml:space="preserve"> colleagues from the Division of Diabetes Translation, and the Division for</w:t>
      </w:r>
      <w:r>
        <w:t xml:space="preserve"> Cancer Prevention and Control, </w:t>
      </w:r>
      <w:r w:rsidRPr="005E2D71">
        <w:t>as well as</w:t>
      </w:r>
      <w:r>
        <w:t xml:space="preserve"> colleagues from</w:t>
      </w:r>
      <w:r w:rsidRPr="005E2D71">
        <w:t xml:space="preserve"> </w:t>
      </w:r>
      <w:r w:rsidR="00EB7EA0" w:rsidRPr="005E2D71">
        <w:t>the</w:t>
      </w:r>
      <w:r w:rsidRPr="005E2D71">
        <w:t xml:space="preserve"> Bureau of Primary Care at the Health Resources and Services Administration</w:t>
      </w:r>
      <w:r w:rsidR="00C16DB2">
        <w:t xml:space="preserve"> (Attachment </w:t>
      </w:r>
      <w:r w:rsidR="00EB7EA0">
        <w:t>7</w:t>
      </w:r>
      <w:r w:rsidR="00C16DB2">
        <w:t>)</w:t>
      </w:r>
      <w:r w:rsidR="003B6D0E">
        <w:t>.</w:t>
      </w:r>
      <w:r w:rsidRPr="005E2D71">
        <w:t xml:space="preserve"> </w:t>
      </w:r>
    </w:p>
    <w:p w14:paraId="7EB6F360" w14:textId="77777777" w:rsidR="009A2687" w:rsidRPr="005E2D71" w:rsidRDefault="009A2687" w:rsidP="009A2687">
      <w:pPr>
        <w:pStyle w:val="ListParagraph"/>
        <w:spacing w:after="120"/>
        <w:ind w:left="1080"/>
      </w:pPr>
    </w:p>
    <w:p w14:paraId="4BA39BFE" w14:textId="77777777" w:rsidR="001406D7" w:rsidRPr="005E2D71" w:rsidRDefault="001406D7" w:rsidP="008A047C">
      <w:pPr>
        <w:pStyle w:val="ListParagraph"/>
        <w:numPr>
          <w:ilvl w:val="0"/>
          <w:numId w:val="2"/>
        </w:numPr>
        <w:rPr>
          <w:b/>
          <w:u w:val="single"/>
        </w:rPr>
      </w:pPr>
      <w:r w:rsidRPr="005E2D71">
        <w:rPr>
          <w:b/>
        </w:rPr>
        <w:t>Explanation of Any Payment or Gift to Respondents</w:t>
      </w:r>
    </w:p>
    <w:p w14:paraId="5EA42B53" w14:textId="77777777" w:rsidR="00884AB0" w:rsidRPr="008A047C" w:rsidRDefault="00884AB0" w:rsidP="008A047C">
      <w:pPr>
        <w:pStyle w:val="BodyText"/>
        <w:spacing w:line="276" w:lineRule="auto"/>
        <w:ind w:left="0" w:right="257"/>
        <w:rPr>
          <w:rFonts w:cs="Times New Roman"/>
          <w:sz w:val="24"/>
          <w:szCs w:val="24"/>
        </w:rPr>
      </w:pPr>
      <w:r w:rsidRPr="008A047C">
        <w:rPr>
          <w:rFonts w:cs="Times New Roman"/>
          <w:sz w:val="24"/>
          <w:szCs w:val="24"/>
        </w:rPr>
        <w:t>Payment</w:t>
      </w:r>
      <w:r w:rsidRPr="008A047C">
        <w:rPr>
          <w:rFonts w:cs="Times New Roman"/>
          <w:spacing w:val="34"/>
          <w:sz w:val="24"/>
          <w:szCs w:val="24"/>
        </w:rPr>
        <w:t xml:space="preserve"> </w:t>
      </w:r>
      <w:r w:rsidRPr="008A047C">
        <w:rPr>
          <w:rFonts w:cs="Times New Roman"/>
          <w:sz w:val="24"/>
          <w:szCs w:val="24"/>
        </w:rPr>
        <w:t>for</w:t>
      </w:r>
      <w:r w:rsidRPr="008A047C">
        <w:rPr>
          <w:rFonts w:cs="Times New Roman"/>
          <w:spacing w:val="-4"/>
          <w:sz w:val="24"/>
          <w:szCs w:val="24"/>
        </w:rPr>
        <w:t xml:space="preserve"> </w:t>
      </w:r>
      <w:r w:rsidRPr="008A047C">
        <w:rPr>
          <w:rFonts w:cs="Times New Roman"/>
          <w:sz w:val="24"/>
          <w:szCs w:val="24"/>
        </w:rPr>
        <w:t>participating</w:t>
      </w:r>
      <w:r w:rsidRPr="008A047C">
        <w:rPr>
          <w:rFonts w:cs="Times New Roman"/>
          <w:spacing w:val="42"/>
          <w:sz w:val="24"/>
          <w:szCs w:val="24"/>
        </w:rPr>
        <w:t xml:space="preserve"> </w:t>
      </w:r>
      <w:r w:rsidRPr="008A047C">
        <w:rPr>
          <w:rFonts w:cs="Times New Roman"/>
          <w:sz w:val="24"/>
          <w:szCs w:val="24"/>
        </w:rPr>
        <w:t>in</w:t>
      </w:r>
      <w:r w:rsidRPr="008A047C">
        <w:rPr>
          <w:rFonts w:cs="Times New Roman"/>
          <w:spacing w:val="4"/>
          <w:sz w:val="24"/>
          <w:szCs w:val="24"/>
        </w:rPr>
        <w:t xml:space="preserve"> </w:t>
      </w:r>
      <w:r w:rsidRPr="008A047C">
        <w:rPr>
          <w:rFonts w:cs="Times New Roman"/>
          <w:sz w:val="24"/>
          <w:szCs w:val="24"/>
        </w:rPr>
        <w:t>an</w:t>
      </w:r>
      <w:r w:rsidRPr="008A047C">
        <w:rPr>
          <w:rFonts w:cs="Times New Roman"/>
          <w:spacing w:val="14"/>
          <w:sz w:val="24"/>
          <w:szCs w:val="24"/>
        </w:rPr>
        <w:t xml:space="preserve"> </w:t>
      </w:r>
      <w:r w:rsidRPr="008A047C">
        <w:rPr>
          <w:rFonts w:cs="Times New Roman"/>
          <w:sz w:val="24"/>
          <w:szCs w:val="24"/>
        </w:rPr>
        <w:t>interview</w:t>
      </w:r>
      <w:r w:rsidRPr="008A047C">
        <w:rPr>
          <w:rFonts w:cs="Times New Roman"/>
          <w:spacing w:val="25"/>
          <w:sz w:val="24"/>
          <w:szCs w:val="24"/>
        </w:rPr>
        <w:t xml:space="preserve"> </w:t>
      </w:r>
      <w:r w:rsidRPr="008A047C">
        <w:rPr>
          <w:rFonts w:cs="Times New Roman"/>
          <w:sz w:val="24"/>
          <w:szCs w:val="24"/>
        </w:rPr>
        <w:t>or</w:t>
      </w:r>
      <w:r w:rsidRPr="008A047C">
        <w:rPr>
          <w:rFonts w:cs="Times New Roman"/>
          <w:spacing w:val="20"/>
          <w:sz w:val="24"/>
          <w:szCs w:val="24"/>
        </w:rPr>
        <w:t xml:space="preserve"> </w:t>
      </w:r>
      <w:r w:rsidRPr="008A047C">
        <w:rPr>
          <w:rFonts w:cs="Times New Roman"/>
          <w:sz w:val="24"/>
          <w:szCs w:val="24"/>
        </w:rPr>
        <w:t>survey</w:t>
      </w:r>
      <w:r w:rsidRPr="008A047C">
        <w:rPr>
          <w:rFonts w:cs="Times New Roman"/>
          <w:spacing w:val="24"/>
          <w:sz w:val="24"/>
          <w:szCs w:val="24"/>
        </w:rPr>
        <w:t xml:space="preserve"> </w:t>
      </w:r>
      <w:r w:rsidRPr="008A047C">
        <w:rPr>
          <w:rFonts w:cs="Times New Roman"/>
          <w:sz w:val="24"/>
          <w:szCs w:val="24"/>
        </w:rPr>
        <w:t>is</w:t>
      </w:r>
      <w:r w:rsidRPr="008A047C">
        <w:rPr>
          <w:rFonts w:cs="Times New Roman"/>
          <w:spacing w:val="7"/>
          <w:sz w:val="24"/>
          <w:szCs w:val="24"/>
        </w:rPr>
        <w:t xml:space="preserve"> </w:t>
      </w:r>
      <w:r w:rsidRPr="008A047C">
        <w:rPr>
          <w:rFonts w:cs="Times New Roman"/>
          <w:sz w:val="24"/>
          <w:szCs w:val="24"/>
        </w:rPr>
        <w:t>standard</w:t>
      </w:r>
      <w:r w:rsidRPr="008A047C">
        <w:rPr>
          <w:rFonts w:cs="Times New Roman"/>
          <w:spacing w:val="20"/>
          <w:sz w:val="24"/>
          <w:szCs w:val="24"/>
        </w:rPr>
        <w:t xml:space="preserve"> </w:t>
      </w:r>
      <w:r w:rsidRPr="008A047C">
        <w:rPr>
          <w:rFonts w:cs="Times New Roman"/>
          <w:sz w:val="24"/>
          <w:szCs w:val="24"/>
        </w:rPr>
        <w:t>practice</w:t>
      </w:r>
      <w:r w:rsidRPr="008A047C">
        <w:rPr>
          <w:rFonts w:cs="Times New Roman"/>
          <w:spacing w:val="38"/>
          <w:sz w:val="24"/>
          <w:szCs w:val="24"/>
        </w:rPr>
        <w:t xml:space="preserve"> </w:t>
      </w:r>
      <w:r w:rsidRPr="008A047C">
        <w:rPr>
          <w:rFonts w:cs="Times New Roman"/>
          <w:sz w:val="24"/>
          <w:szCs w:val="24"/>
        </w:rPr>
        <w:t>when</w:t>
      </w:r>
      <w:r w:rsidRPr="008A047C">
        <w:rPr>
          <w:rFonts w:cs="Times New Roman"/>
          <w:spacing w:val="20"/>
          <w:sz w:val="24"/>
          <w:szCs w:val="24"/>
        </w:rPr>
        <w:t xml:space="preserve"> </w:t>
      </w:r>
      <w:r w:rsidRPr="008A047C">
        <w:rPr>
          <w:rFonts w:cs="Times New Roman"/>
          <w:sz w:val="24"/>
          <w:szCs w:val="24"/>
        </w:rPr>
        <w:t>seeking</w:t>
      </w:r>
      <w:r w:rsidRPr="008A047C">
        <w:rPr>
          <w:rFonts w:cs="Times New Roman"/>
          <w:w w:val="103"/>
          <w:sz w:val="24"/>
          <w:szCs w:val="24"/>
        </w:rPr>
        <w:t xml:space="preserve"> </w:t>
      </w:r>
      <w:r w:rsidRPr="008A047C">
        <w:rPr>
          <w:rFonts w:cs="Times New Roman"/>
          <w:sz w:val="24"/>
          <w:szCs w:val="24"/>
        </w:rPr>
        <w:t>participation</w:t>
      </w:r>
      <w:r w:rsidRPr="008A047C">
        <w:rPr>
          <w:rFonts w:cs="Times New Roman"/>
          <w:spacing w:val="48"/>
          <w:sz w:val="24"/>
          <w:szCs w:val="24"/>
        </w:rPr>
        <w:t xml:space="preserve"> </w:t>
      </w:r>
      <w:r w:rsidRPr="008A047C">
        <w:rPr>
          <w:rFonts w:cs="Times New Roman"/>
          <w:sz w:val="24"/>
          <w:szCs w:val="24"/>
        </w:rPr>
        <w:t>of</w:t>
      </w:r>
      <w:r w:rsidRPr="008A047C">
        <w:rPr>
          <w:rFonts w:cs="Times New Roman"/>
          <w:spacing w:val="3"/>
          <w:sz w:val="24"/>
          <w:szCs w:val="24"/>
        </w:rPr>
        <w:t xml:space="preserve"> </w:t>
      </w:r>
      <w:r w:rsidRPr="008A047C">
        <w:rPr>
          <w:rFonts w:cs="Times New Roman"/>
          <w:sz w:val="24"/>
          <w:szCs w:val="24"/>
        </w:rPr>
        <w:t>professionals</w:t>
      </w:r>
      <w:r w:rsidRPr="008A047C">
        <w:rPr>
          <w:rFonts w:cs="Times New Roman"/>
          <w:spacing w:val="52"/>
          <w:sz w:val="24"/>
          <w:szCs w:val="24"/>
        </w:rPr>
        <w:t xml:space="preserve"> </w:t>
      </w:r>
      <w:r w:rsidRPr="008A047C">
        <w:rPr>
          <w:rFonts w:cs="Times New Roman"/>
          <w:sz w:val="24"/>
          <w:szCs w:val="24"/>
        </w:rPr>
        <w:t>such</w:t>
      </w:r>
      <w:r w:rsidRPr="008A047C">
        <w:rPr>
          <w:rFonts w:cs="Times New Roman"/>
          <w:spacing w:val="8"/>
          <w:sz w:val="24"/>
          <w:szCs w:val="24"/>
        </w:rPr>
        <w:t xml:space="preserve"> </w:t>
      </w:r>
      <w:r w:rsidRPr="008A047C">
        <w:rPr>
          <w:rFonts w:cs="Times New Roman"/>
          <w:sz w:val="24"/>
          <w:szCs w:val="24"/>
        </w:rPr>
        <w:t>as</w:t>
      </w:r>
      <w:r w:rsidRPr="008A047C">
        <w:rPr>
          <w:rFonts w:cs="Times New Roman"/>
          <w:spacing w:val="-4"/>
          <w:sz w:val="24"/>
          <w:szCs w:val="24"/>
        </w:rPr>
        <w:t xml:space="preserve"> </w:t>
      </w:r>
      <w:r w:rsidR="008A047C" w:rsidRPr="008A047C">
        <w:rPr>
          <w:rFonts w:cs="Times New Roman"/>
          <w:sz w:val="24"/>
          <w:szCs w:val="24"/>
        </w:rPr>
        <w:t>physicians</w:t>
      </w:r>
      <w:r w:rsidR="008A047C" w:rsidRPr="008A047C">
        <w:rPr>
          <w:rFonts w:cs="Times New Roman"/>
          <w:spacing w:val="-21"/>
          <w:sz w:val="24"/>
          <w:szCs w:val="24"/>
        </w:rPr>
        <w:t xml:space="preserve">. </w:t>
      </w:r>
      <w:r w:rsidRPr="008A047C">
        <w:rPr>
          <w:rFonts w:cs="Times New Roman"/>
          <w:sz w:val="24"/>
          <w:szCs w:val="24"/>
        </w:rPr>
        <w:t>The</w:t>
      </w:r>
      <w:r w:rsidRPr="008A047C">
        <w:rPr>
          <w:rFonts w:cs="Times New Roman"/>
          <w:spacing w:val="27"/>
          <w:sz w:val="24"/>
          <w:szCs w:val="24"/>
        </w:rPr>
        <w:t xml:space="preserve"> </w:t>
      </w:r>
      <w:r w:rsidRPr="008A047C">
        <w:rPr>
          <w:rFonts w:cs="Times New Roman"/>
          <w:sz w:val="24"/>
          <w:szCs w:val="24"/>
        </w:rPr>
        <w:t>incentive</w:t>
      </w:r>
      <w:r w:rsidRPr="008A047C">
        <w:rPr>
          <w:rFonts w:cs="Times New Roman"/>
          <w:spacing w:val="13"/>
          <w:sz w:val="24"/>
          <w:szCs w:val="24"/>
        </w:rPr>
        <w:t xml:space="preserve"> </w:t>
      </w:r>
      <w:r w:rsidRPr="008A047C">
        <w:rPr>
          <w:rFonts w:cs="Times New Roman"/>
          <w:sz w:val="24"/>
          <w:szCs w:val="24"/>
        </w:rPr>
        <w:t>payment</w:t>
      </w:r>
      <w:r w:rsidRPr="008A047C">
        <w:rPr>
          <w:rFonts w:cs="Times New Roman"/>
          <w:spacing w:val="32"/>
          <w:sz w:val="24"/>
          <w:szCs w:val="24"/>
        </w:rPr>
        <w:t xml:space="preserve"> </w:t>
      </w:r>
      <w:r w:rsidRPr="008A047C">
        <w:rPr>
          <w:rFonts w:cs="Times New Roman"/>
          <w:sz w:val="24"/>
          <w:szCs w:val="24"/>
        </w:rPr>
        <w:t>is</w:t>
      </w:r>
      <w:r w:rsidRPr="008A047C">
        <w:rPr>
          <w:rFonts w:cs="Times New Roman"/>
          <w:spacing w:val="9"/>
          <w:sz w:val="24"/>
          <w:szCs w:val="24"/>
        </w:rPr>
        <w:t xml:space="preserve"> </w:t>
      </w:r>
      <w:r w:rsidRPr="008A047C">
        <w:rPr>
          <w:rFonts w:cs="Times New Roman"/>
          <w:sz w:val="24"/>
          <w:szCs w:val="24"/>
        </w:rPr>
        <w:t>an</w:t>
      </w:r>
      <w:r w:rsidRPr="008A047C">
        <w:rPr>
          <w:rFonts w:cs="Times New Roman"/>
          <w:spacing w:val="7"/>
          <w:sz w:val="24"/>
          <w:szCs w:val="24"/>
        </w:rPr>
        <w:t xml:space="preserve"> </w:t>
      </w:r>
      <w:r w:rsidRPr="008A047C">
        <w:rPr>
          <w:rFonts w:cs="Times New Roman"/>
          <w:sz w:val="24"/>
          <w:szCs w:val="24"/>
        </w:rPr>
        <w:t>effective</w:t>
      </w:r>
      <w:r w:rsidRPr="008A047C">
        <w:rPr>
          <w:rFonts w:cs="Times New Roman"/>
          <w:spacing w:val="27"/>
          <w:sz w:val="24"/>
          <w:szCs w:val="24"/>
        </w:rPr>
        <w:t xml:space="preserve"> </w:t>
      </w:r>
      <w:r w:rsidRPr="008A047C">
        <w:rPr>
          <w:rFonts w:cs="Times New Roman"/>
          <w:sz w:val="24"/>
          <w:szCs w:val="24"/>
        </w:rPr>
        <w:t>method</w:t>
      </w:r>
      <w:r w:rsidRPr="008A047C">
        <w:rPr>
          <w:rFonts w:cs="Times New Roman"/>
          <w:w w:val="101"/>
          <w:sz w:val="24"/>
          <w:szCs w:val="24"/>
        </w:rPr>
        <w:t xml:space="preserve"> </w:t>
      </w:r>
      <w:r w:rsidRPr="008A047C">
        <w:rPr>
          <w:rFonts w:cs="Times New Roman"/>
          <w:sz w:val="24"/>
          <w:szCs w:val="24"/>
        </w:rPr>
        <w:t>of</w:t>
      </w:r>
      <w:r w:rsidRPr="008A047C">
        <w:rPr>
          <w:rFonts w:cs="Times New Roman"/>
          <w:spacing w:val="13"/>
          <w:sz w:val="24"/>
          <w:szCs w:val="24"/>
        </w:rPr>
        <w:t xml:space="preserve"> </w:t>
      </w:r>
      <w:r w:rsidRPr="008A047C">
        <w:rPr>
          <w:rFonts w:cs="Times New Roman"/>
          <w:sz w:val="24"/>
          <w:szCs w:val="24"/>
        </w:rPr>
        <w:t>drawing</w:t>
      </w:r>
      <w:r w:rsidRPr="008A047C">
        <w:rPr>
          <w:rFonts w:cs="Times New Roman"/>
          <w:spacing w:val="30"/>
          <w:sz w:val="24"/>
          <w:szCs w:val="24"/>
        </w:rPr>
        <w:t xml:space="preserve"> </w:t>
      </w:r>
      <w:r w:rsidRPr="008A047C">
        <w:rPr>
          <w:rFonts w:cs="Times New Roman"/>
          <w:spacing w:val="1"/>
          <w:sz w:val="24"/>
          <w:szCs w:val="24"/>
        </w:rPr>
        <w:t>physici</w:t>
      </w:r>
      <w:r w:rsidRPr="008A047C">
        <w:rPr>
          <w:rFonts w:cs="Times New Roman"/>
          <w:sz w:val="24"/>
          <w:szCs w:val="24"/>
        </w:rPr>
        <w:t>ans'</w:t>
      </w:r>
      <w:r w:rsidRPr="008A047C">
        <w:rPr>
          <w:rFonts w:cs="Times New Roman"/>
          <w:spacing w:val="33"/>
          <w:sz w:val="24"/>
          <w:szCs w:val="24"/>
        </w:rPr>
        <w:t xml:space="preserve"> </w:t>
      </w:r>
      <w:r w:rsidRPr="008A047C">
        <w:rPr>
          <w:rFonts w:cs="Times New Roman"/>
          <w:sz w:val="24"/>
          <w:szCs w:val="24"/>
        </w:rPr>
        <w:t>attention</w:t>
      </w:r>
      <w:r w:rsidRPr="008A047C">
        <w:rPr>
          <w:rFonts w:cs="Times New Roman"/>
          <w:spacing w:val="24"/>
          <w:sz w:val="24"/>
          <w:szCs w:val="24"/>
        </w:rPr>
        <w:t xml:space="preserve"> </w:t>
      </w:r>
      <w:r w:rsidRPr="008A047C">
        <w:rPr>
          <w:rFonts w:cs="Times New Roman"/>
          <w:sz w:val="24"/>
          <w:szCs w:val="24"/>
        </w:rPr>
        <w:t>to</w:t>
      </w:r>
      <w:r w:rsidRPr="008A047C">
        <w:rPr>
          <w:rFonts w:cs="Times New Roman"/>
          <w:spacing w:val="16"/>
          <w:sz w:val="24"/>
          <w:szCs w:val="24"/>
        </w:rPr>
        <w:t xml:space="preserve"> </w:t>
      </w:r>
      <w:r w:rsidRPr="008A047C">
        <w:rPr>
          <w:rFonts w:cs="Times New Roman"/>
          <w:sz w:val="24"/>
          <w:szCs w:val="24"/>
        </w:rPr>
        <w:t>the</w:t>
      </w:r>
      <w:r w:rsidRPr="008A047C">
        <w:rPr>
          <w:rFonts w:cs="Times New Roman"/>
          <w:spacing w:val="21"/>
          <w:sz w:val="24"/>
          <w:szCs w:val="24"/>
        </w:rPr>
        <w:t xml:space="preserve"> </w:t>
      </w:r>
      <w:r w:rsidRPr="008A047C">
        <w:rPr>
          <w:rFonts w:cs="Times New Roman"/>
          <w:sz w:val="24"/>
          <w:szCs w:val="24"/>
        </w:rPr>
        <w:t>study</w:t>
      </w:r>
      <w:r w:rsidRPr="008A047C">
        <w:rPr>
          <w:rFonts w:cs="Times New Roman"/>
          <w:spacing w:val="20"/>
          <w:sz w:val="24"/>
          <w:szCs w:val="24"/>
        </w:rPr>
        <w:t xml:space="preserve"> </w:t>
      </w:r>
      <w:r w:rsidRPr="008A047C">
        <w:rPr>
          <w:rFonts w:cs="Times New Roman"/>
          <w:sz w:val="24"/>
          <w:szCs w:val="24"/>
        </w:rPr>
        <w:t>and</w:t>
      </w:r>
      <w:r w:rsidRPr="008A047C">
        <w:rPr>
          <w:rFonts w:cs="Times New Roman"/>
          <w:spacing w:val="22"/>
          <w:sz w:val="24"/>
          <w:szCs w:val="24"/>
        </w:rPr>
        <w:t xml:space="preserve"> </w:t>
      </w:r>
      <w:r w:rsidRPr="008A047C">
        <w:rPr>
          <w:rFonts w:cs="Times New Roman"/>
          <w:sz w:val="24"/>
          <w:szCs w:val="24"/>
        </w:rPr>
        <w:t>gaining</w:t>
      </w:r>
      <w:r w:rsidRPr="008A047C">
        <w:rPr>
          <w:rFonts w:cs="Times New Roman"/>
          <w:spacing w:val="8"/>
          <w:sz w:val="24"/>
          <w:szCs w:val="24"/>
        </w:rPr>
        <w:t xml:space="preserve"> </w:t>
      </w:r>
      <w:r w:rsidRPr="008A047C">
        <w:rPr>
          <w:rFonts w:cs="Times New Roman"/>
          <w:sz w:val="24"/>
          <w:szCs w:val="24"/>
        </w:rPr>
        <w:t>their</w:t>
      </w:r>
      <w:r w:rsidRPr="008A047C">
        <w:rPr>
          <w:rFonts w:cs="Times New Roman"/>
          <w:spacing w:val="32"/>
          <w:sz w:val="24"/>
          <w:szCs w:val="24"/>
        </w:rPr>
        <w:t xml:space="preserve"> </w:t>
      </w:r>
      <w:r w:rsidRPr="008A047C">
        <w:rPr>
          <w:rFonts w:cs="Times New Roman"/>
          <w:sz w:val="24"/>
          <w:szCs w:val="24"/>
        </w:rPr>
        <w:t>cooperation</w:t>
      </w:r>
      <w:r w:rsidRPr="008A047C">
        <w:rPr>
          <w:rFonts w:cs="Times New Roman"/>
          <w:spacing w:val="33"/>
          <w:sz w:val="24"/>
          <w:szCs w:val="24"/>
        </w:rPr>
        <w:t xml:space="preserve"> </w:t>
      </w:r>
      <w:r w:rsidRPr="008A047C">
        <w:rPr>
          <w:rFonts w:cs="Times New Roman"/>
          <w:sz w:val="24"/>
          <w:szCs w:val="24"/>
        </w:rPr>
        <w:t>in</w:t>
      </w:r>
      <w:r w:rsidRPr="008A047C">
        <w:rPr>
          <w:rFonts w:cs="Times New Roman"/>
          <w:spacing w:val="7"/>
          <w:sz w:val="24"/>
          <w:szCs w:val="24"/>
        </w:rPr>
        <w:t xml:space="preserve"> </w:t>
      </w:r>
      <w:r w:rsidRPr="008A047C">
        <w:rPr>
          <w:rFonts w:cs="Times New Roman"/>
          <w:sz w:val="24"/>
          <w:szCs w:val="24"/>
        </w:rPr>
        <w:t>completing</w:t>
      </w:r>
      <w:r w:rsidRPr="008A047C">
        <w:rPr>
          <w:rFonts w:cs="Times New Roman"/>
          <w:spacing w:val="16"/>
          <w:sz w:val="24"/>
          <w:szCs w:val="24"/>
        </w:rPr>
        <w:t xml:space="preserve"> </w:t>
      </w:r>
      <w:r w:rsidRPr="008A047C">
        <w:rPr>
          <w:rFonts w:cs="Times New Roman"/>
          <w:sz w:val="24"/>
          <w:szCs w:val="24"/>
        </w:rPr>
        <w:t>the</w:t>
      </w:r>
      <w:r w:rsidRPr="008A047C">
        <w:rPr>
          <w:rFonts w:cs="Times New Roman"/>
          <w:spacing w:val="24"/>
          <w:w w:val="106"/>
          <w:sz w:val="24"/>
          <w:szCs w:val="24"/>
        </w:rPr>
        <w:t xml:space="preserve"> </w:t>
      </w:r>
      <w:r w:rsidRPr="008A047C">
        <w:rPr>
          <w:rFonts w:cs="Times New Roman"/>
          <w:sz w:val="24"/>
          <w:szCs w:val="24"/>
        </w:rPr>
        <w:t>questionnaire.</w:t>
      </w:r>
      <w:r w:rsidRPr="008A047C">
        <w:rPr>
          <w:rFonts w:cs="Times New Roman"/>
          <w:spacing w:val="34"/>
          <w:sz w:val="24"/>
          <w:szCs w:val="24"/>
        </w:rPr>
        <w:t xml:space="preserve"> </w:t>
      </w:r>
      <w:r w:rsidRPr="008A047C">
        <w:rPr>
          <w:rFonts w:cs="Times New Roman"/>
          <w:w w:val="110"/>
          <w:sz w:val="24"/>
          <w:szCs w:val="24"/>
        </w:rPr>
        <w:t>It</w:t>
      </w:r>
      <w:r w:rsidRPr="008A047C">
        <w:rPr>
          <w:rFonts w:cs="Times New Roman"/>
          <w:spacing w:val="-32"/>
          <w:w w:val="110"/>
          <w:sz w:val="24"/>
          <w:szCs w:val="24"/>
        </w:rPr>
        <w:t xml:space="preserve"> </w:t>
      </w:r>
      <w:r w:rsidRPr="008A047C">
        <w:rPr>
          <w:rFonts w:cs="Times New Roman"/>
          <w:sz w:val="24"/>
          <w:szCs w:val="24"/>
        </w:rPr>
        <w:t>is</w:t>
      </w:r>
      <w:r w:rsidRPr="008A047C">
        <w:rPr>
          <w:rFonts w:cs="Times New Roman"/>
          <w:spacing w:val="5"/>
          <w:sz w:val="24"/>
          <w:szCs w:val="24"/>
        </w:rPr>
        <w:t xml:space="preserve"> </w:t>
      </w:r>
      <w:r w:rsidRPr="008A047C">
        <w:rPr>
          <w:rFonts w:cs="Times New Roman"/>
          <w:sz w:val="24"/>
          <w:szCs w:val="24"/>
        </w:rPr>
        <w:t>not</w:t>
      </w:r>
      <w:r w:rsidRPr="008A047C">
        <w:rPr>
          <w:rFonts w:cs="Times New Roman"/>
          <w:spacing w:val="23"/>
          <w:sz w:val="24"/>
          <w:szCs w:val="24"/>
        </w:rPr>
        <w:t xml:space="preserve"> </w:t>
      </w:r>
      <w:r w:rsidRPr="008A047C">
        <w:rPr>
          <w:rFonts w:cs="Times New Roman"/>
          <w:sz w:val="24"/>
          <w:szCs w:val="24"/>
        </w:rPr>
        <w:t>intended</w:t>
      </w:r>
      <w:r w:rsidRPr="008A047C">
        <w:rPr>
          <w:rFonts w:cs="Times New Roman"/>
          <w:spacing w:val="32"/>
          <w:sz w:val="24"/>
          <w:szCs w:val="24"/>
        </w:rPr>
        <w:t xml:space="preserve"> </w:t>
      </w:r>
      <w:r w:rsidRPr="008A047C">
        <w:rPr>
          <w:rFonts w:cs="Times New Roman"/>
          <w:sz w:val="24"/>
          <w:szCs w:val="24"/>
        </w:rPr>
        <w:t>to</w:t>
      </w:r>
      <w:r w:rsidRPr="008A047C">
        <w:rPr>
          <w:rFonts w:cs="Times New Roman"/>
          <w:spacing w:val="11"/>
          <w:sz w:val="24"/>
          <w:szCs w:val="24"/>
        </w:rPr>
        <w:t xml:space="preserve"> </w:t>
      </w:r>
      <w:r w:rsidRPr="008A047C">
        <w:rPr>
          <w:rFonts w:cs="Times New Roman"/>
          <w:sz w:val="24"/>
          <w:szCs w:val="24"/>
        </w:rPr>
        <w:t>be</w:t>
      </w:r>
      <w:r w:rsidRPr="008A047C">
        <w:rPr>
          <w:rFonts w:cs="Times New Roman"/>
          <w:spacing w:val="17"/>
          <w:sz w:val="24"/>
          <w:szCs w:val="24"/>
        </w:rPr>
        <w:t xml:space="preserve"> </w:t>
      </w:r>
      <w:r w:rsidRPr="008A047C">
        <w:rPr>
          <w:rFonts w:cs="Times New Roman"/>
          <w:sz w:val="24"/>
          <w:szCs w:val="24"/>
        </w:rPr>
        <w:t>a</w:t>
      </w:r>
      <w:r w:rsidRPr="008A047C">
        <w:rPr>
          <w:rFonts w:cs="Times New Roman"/>
          <w:spacing w:val="-1"/>
          <w:sz w:val="24"/>
          <w:szCs w:val="24"/>
        </w:rPr>
        <w:t xml:space="preserve"> </w:t>
      </w:r>
      <w:r w:rsidRPr="008A047C">
        <w:rPr>
          <w:rFonts w:cs="Times New Roman"/>
          <w:sz w:val="24"/>
          <w:szCs w:val="24"/>
        </w:rPr>
        <w:t>payment</w:t>
      </w:r>
      <w:r w:rsidRPr="008A047C">
        <w:rPr>
          <w:rFonts w:cs="Times New Roman"/>
          <w:spacing w:val="36"/>
          <w:sz w:val="24"/>
          <w:szCs w:val="24"/>
        </w:rPr>
        <w:t xml:space="preserve"> </w:t>
      </w:r>
      <w:r w:rsidRPr="008A047C">
        <w:rPr>
          <w:rFonts w:cs="Times New Roman"/>
          <w:sz w:val="24"/>
          <w:szCs w:val="24"/>
        </w:rPr>
        <w:t>for</w:t>
      </w:r>
      <w:r w:rsidRPr="008A047C">
        <w:rPr>
          <w:rFonts w:cs="Times New Roman"/>
          <w:spacing w:val="5"/>
          <w:sz w:val="24"/>
          <w:szCs w:val="24"/>
        </w:rPr>
        <w:t xml:space="preserve"> </w:t>
      </w:r>
      <w:r w:rsidRPr="008A047C">
        <w:rPr>
          <w:rFonts w:cs="Times New Roman"/>
          <w:sz w:val="24"/>
          <w:szCs w:val="24"/>
        </w:rPr>
        <w:t>their</w:t>
      </w:r>
      <w:r w:rsidRPr="008A047C">
        <w:rPr>
          <w:rFonts w:cs="Times New Roman"/>
          <w:spacing w:val="18"/>
          <w:sz w:val="24"/>
          <w:szCs w:val="24"/>
        </w:rPr>
        <w:t xml:space="preserve"> </w:t>
      </w:r>
      <w:r w:rsidRPr="008A047C">
        <w:rPr>
          <w:rFonts w:cs="Times New Roman"/>
          <w:spacing w:val="2"/>
          <w:sz w:val="24"/>
          <w:szCs w:val="24"/>
        </w:rPr>
        <w:t>time,</w:t>
      </w:r>
      <w:r w:rsidRPr="008A047C">
        <w:rPr>
          <w:rFonts w:cs="Times New Roman"/>
          <w:spacing w:val="-1"/>
          <w:sz w:val="24"/>
          <w:szCs w:val="24"/>
        </w:rPr>
        <w:t xml:space="preserve"> </w:t>
      </w:r>
      <w:r w:rsidRPr="008A047C">
        <w:rPr>
          <w:rFonts w:cs="Times New Roman"/>
          <w:sz w:val="24"/>
          <w:szCs w:val="24"/>
        </w:rPr>
        <w:t>but</w:t>
      </w:r>
      <w:r w:rsidRPr="008A047C">
        <w:rPr>
          <w:rFonts w:cs="Times New Roman"/>
          <w:spacing w:val="18"/>
          <w:sz w:val="24"/>
          <w:szCs w:val="24"/>
        </w:rPr>
        <w:t xml:space="preserve"> </w:t>
      </w:r>
      <w:r w:rsidRPr="008A047C">
        <w:rPr>
          <w:rFonts w:cs="Times New Roman"/>
          <w:sz w:val="24"/>
          <w:szCs w:val="24"/>
        </w:rPr>
        <w:t>an</w:t>
      </w:r>
      <w:r w:rsidRPr="008A047C">
        <w:rPr>
          <w:rFonts w:cs="Times New Roman"/>
          <w:spacing w:val="11"/>
          <w:sz w:val="24"/>
          <w:szCs w:val="24"/>
        </w:rPr>
        <w:t xml:space="preserve"> </w:t>
      </w:r>
      <w:r w:rsidRPr="008A047C">
        <w:rPr>
          <w:rFonts w:cs="Times New Roman"/>
          <w:sz w:val="24"/>
          <w:szCs w:val="24"/>
        </w:rPr>
        <w:t>incentive</w:t>
      </w:r>
      <w:r w:rsidRPr="008A047C">
        <w:rPr>
          <w:rFonts w:cs="Times New Roman"/>
          <w:spacing w:val="9"/>
          <w:sz w:val="24"/>
          <w:szCs w:val="24"/>
        </w:rPr>
        <w:t xml:space="preserve"> </w:t>
      </w:r>
      <w:r w:rsidRPr="008A047C">
        <w:rPr>
          <w:rFonts w:cs="Times New Roman"/>
          <w:sz w:val="24"/>
          <w:szCs w:val="24"/>
        </w:rPr>
        <w:t>to</w:t>
      </w:r>
      <w:r w:rsidRPr="008A047C">
        <w:rPr>
          <w:rFonts w:cs="Times New Roman"/>
          <w:spacing w:val="22"/>
          <w:sz w:val="24"/>
          <w:szCs w:val="24"/>
        </w:rPr>
        <w:t xml:space="preserve"> </w:t>
      </w:r>
      <w:r w:rsidRPr="008A047C">
        <w:rPr>
          <w:rFonts w:cs="Times New Roman"/>
          <w:sz w:val="24"/>
          <w:szCs w:val="24"/>
        </w:rPr>
        <w:t>increase</w:t>
      </w:r>
      <w:r w:rsidRPr="008A047C">
        <w:rPr>
          <w:rFonts w:cs="Times New Roman"/>
          <w:spacing w:val="23"/>
          <w:w w:val="101"/>
          <w:sz w:val="24"/>
          <w:szCs w:val="24"/>
        </w:rPr>
        <w:t xml:space="preserve"> </w:t>
      </w:r>
      <w:r w:rsidRPr="008A047C">
        <w:rPr>
          <w:rFonts w:cs="Times New Roman"/>
          <w:sz w:val="24"/>
          <w:szCs w:val="24"/>
        </w:rPr>
        <w:t>response</w:t>
      </w:r>
      <w:r w:rsidRPr="008A047C">
        <w:rPr>
          <w:rFonts w:cs="Times New Roman"/>
          <w:spacing w:val="28"/>
          <w:sz w:val="24"/>
          <w:szCs w:val="24"/>
        </w:rPr>
        <w:t xml:space="preserve"> </w:t>
      </w:r>
      <w:r w:rsidRPr="008A047C">
        <w:rPr>
          <w:rFonts w:cs="Times New Roman"/>
          <w:sz w:val="24"/>
          <w:szCs w:val="24"/>
        </w:rPr>
        <w:t xml:space="preserve">rate. </w:t>
      </w:r>
      <w:r w:rsidRPr="008A047C">
        <w:rPr>
          <w:rFonts w:cs="Times New Roman"/>
          <w:spacing w:val="43"/>
          <w:sz w:val="24"/>
          <w:szCs w:val="24"/>
        </w:rPr>
        <w:t xml:space="preserve"> </w:t>
      </w:r>
      <w:r w:rsidR="008A047C" w:rsidRPr="008A047C">
        <w:rPr>
          <w:rFonts w:cs="Times New Roman"/>
          <w:sz w:val="24"/>
          <w:szCs w:val="24"/>
        </w:rPr>
        <w:t>Historically</w:t>
      </w:r>
      <w:r w:rsidR="008A047C" w:rsidRPr="008A047C">
        <w:rPr>
          <w:rFonts w:cs="Times New Roman"/>
          <w:spacing w:val="-19"/>
          <w:sz w:val="24"/>
          <w:szCs w:val="24"/>
        </w:rPr>
        <w:t>,</w:t>
      </w:r>
      <w:r w:rsidRPr="008A047C">
        <w:rPr>
          <w:rFonts w:cs="Times New Roman"/>
          <w:spacing w:val="-20"/>
          <w:w w:val="110"/>
          <w:sz w:val="24"/>
          <w:szCs w:val="24"/>
        </w:rPr>
        <w:t xml:space="preserve"> </w:t>
      </w:r>
      <w:r w:rsidRPr="008A047C">
        <w:rPr>
          <w:rFonts w:cs="Times New Roman"/>
          <w:sz w:val="24"/>
          <w:szCs w:val="24"/>
        </w:rPr>
        <w:t>physicians</w:t>
      </w:r>
      <w:r w:rsidRPr="008A047C">
        <w:rPr>
          <w:rFonts w:cs="Times New Roman"/>
          <w:spacing w:val="44"/>
          <w:sz w:val="24"/>
          <w:szCs w:val="24"/>
        </w:rPr>
        <w:t xml:space="preserve"> </w:t>
      </w:r>
      <w:r w:rsidRPr="008A047C">
        <w:rPr>
          <w:rFonts w:cs="Times New Roman"/>
          <w:sz w:val="24"/>
          <w:szCs w:val="24"/>
        </w:rPr>
        <w:t>are</w:t>
      </w:r>
      <w:r w:rsidRPr="008A047C">
        <w:rPr>
          <w:rFonts w:cs="Times New Roman"/>
          <w:spacing w:val="2"/>
          <w:sz w:val="24"/>
          <w:szCs w:val="24"/>
        </w:rPr>
        <w:t xml:space="preserve"> </w:t>
      </w:r>
      <w:r w:rsidRPr="008A047C">
        <w:rPr>
          <w:rFonts w:cs="Times New Roman"/>
          <w:sz w:val="24"/>
          <w:szCs w:val="24"/>
        </w:rPr>
        <w:t>one</w:t>
      </w:r>
      <w:r w:rsidRPr="008A047C">
        <w:rPr>
          <w:rFonts w:cs="Times New Roman"/>
          <w:spacing w:val="18"/>
          <w:sz w:val="24"/>
          <w:szCs w:val="24"/>
        </w:rPr>
        <w:t xml:space="preserve"> </w:t>
      </w:r>
      <w:r w:rsidRPr="008A047C">
        <w:rPr>
          <w:rFonts w:cs="Times New Roman"/>
          <w:sz w:val="24"/>
          <w:szCs w:val="24"/>
        </w:rPr>
        <w:t>of</w:t>
      </w:r>
      <w:r w:rsidRPr="008A047C">
        <w:rPr>
          <w:rFonts w:cs="Times New Roman"/>
          <w:spacing w:val="6"/>
          <w:sz w:val="24"/>
          <w:szCs w:val="24"/>
        </w:rPr>
        <w:t xml:space="preserve"> </w:t>
      </w:r>
      <w:r w:rsidRPr="008A047C">
        <w:rPr>
          <w:rFonts w:cs="Times New Roman"/>
          <w:sz w:val="24"/>
          <w:szCs w:val="24"/>
        </w:rPr>
        <w:t>the</w:t>
      </w:r>
      <w:r w:rsidRPr="008A047C">
        <w:rPr>
          <w:rFonts w:cs="Times New Roman"/>
          <w:spacing w:val="12"/>
          <w:sz w:val="24"/>
          <w:szCs w:val="24"/>
        </w:rPr>
        <w:t xml:space="preserve"> </w:t>
      </w:r>
      <w:r w:rsidRPr="008A047C">
        <w:rPr>
          <w:rFonts w:cs="Times New Roman"/>
          <w:sz w:val="24"/>
          <w:szCs w:val="24"/>
        </w:rPr>
        <w:t>most</w:t>
      </w:r>
      <w:r w:rsidRPr="008A047C">
        <w:rPr>
          <w:rFonts w:cs="Times New Roman"/>
          <w:spacing w:val="26"/>
          <w:sz w:val="24"/>
          <w:szCs w:val="24"/>
        </w:rPr>
        <w:t xml:space="preserve"> </w:t>
      </w:r>
      <w:r w:rsidRPr="008A047C">
        <w:rPr>
          <w:rFonts w:cs="Times New Roman"/>
          <w:sz w:val="24"/>
          <w:szCs w:val="24"/>
        </w:rPr>
        <w:t>difficult</w:t>
      </w:r>
      <w:r w:rsidRPr="008A047C">
        <w:rPr>
          <w:rFonts w:cs="Times New Roman"/>
          <w:spacing w:val="29"/>
          <w:sz w:val="24"/>
          <w:szCs w:val="24"/>
        </w:rPr>
        <w:t xml:space="preserve"> </w:t>
      </w:r>
      <w:r w:rsidRPr="008A047C">
        <w:rPr>
          <w:rFonts w:cs="Times New Roman"/>
          <w:sz w:val="24"/>
          <w:szCs w:val="24"/>
        </w:rPr>
        <w:t>populations</w:t>
      </w:r>
      <w:r w:rsidRPr="008A047C">
        <w:rPr>
          <w:rFonts w:cs="Times New Roman"/>
          <w:spacing w:val="-15"/>
          <w:sz w:val="24"/>
          <w:szCs w:val="24"/>
        </w:rPr>
        <w:t xml:space="preserve"> </w:t>
      </w:r>
      <w:r w:rsidRPr="008A047C">
        <w:rPr>
          <w:rFonts w:cs="Times New Roman"/>
          <w:sz w:val="24"/>
          <w:szCs w:val="24"/>
        </w:rPr>
        <w:t>to</w:t>
      </w:r>
      <w:r w:rsidRPr="008A047C">
        <w:rPr>
          <w:rFonts w:cs="Times New Roman"/>
          <w:spacing w:val="21"/>
          <w:sz w:val="24"/>
          <w:szCs w:val="24"/>
        </w:rPr>
        <w:t xml:space="preserve"> </w:t>
      </w:r>
      <w:r w:rsidRPr="008A047C">
        <w:rPr>
          <w:rFonts w:cs="Times New Roman"/>
          <w:sz w:val="24"/>
          <w:szCs w:val="24"/>
        </w:rPr>
        <w:t>survey,</w:t>
      </w:r>
      <w:r w:rsidRPr="008A047C">
        <w:rPr>
          <w:rFonts w:cs="Times New Roman"/>
          <w:spacing w:val="2"/>
          <w:sz w:val="24"/>
          <w:szCs w:val="24"/>
        </w:rPr>
        <w:t xml:space="preserve"> </w:t>
      </w:r>
      <w:r w:rsidRPr="008A047C">
        <w:rPr>
          <w:rFonts w:cs="Times New Roman"/>
          <w:sz w:val="24"/>
          <w:szCs w:val="24"/>
        </w:rPr>
        <w:t>partly</w:t>
      </w:r>
      <w:r w:rsidR="008A047C">
        <w:rPr>
          <w:rFonts w:cs="Times New Roman"/>
          <w:sz w:val="24"/>
          <w:szCs w:val="24"/>
        </w:rPr>
        <w:t xml:space="preserve"> </w:t>
      </w:r>
      <w:r w:rsidRPr="008A047C">
        <w:rPr>
          <w:rFonts w:cs="Times New Roman"/>
          <w:sz w:val="24"/>
          <w:szCs w:val="24"/>
        </w:rPr>
        <w:t>because</w:t>
      </w:r>
      <w:r w:rsidRPr="008A047C">
        <w:rPr>
          <w:rFonts w:cs="Times New Roman"/>
          <w:spacing w:val="37"/>
          <w:sz w:val="24"/>
          <w:szCs w:val="24"/>
        </w:rPr>
        <w:t xml:space="preserve"> </w:t>
      </w:r>
      <w:r w:rsidRPr="008A047C">
        <w:rPr>
          <w:rFonts w:cs="Times New Roman"/>
          <w:sz w:val="24"/>
          <w:szCs w:val="24"/>
        </w:rPr>
        <w:t>of</w:t>
      </w:r>
      <w:r w:rsidRPr="008A047C">
        <w:rPr>
          <w:rFonts w:cs="Times New Roman"/>
          <w:spacing w:val="3"/>
          <w:sz w:val="24"/>
          <w:szCs w:val="24"/>
        </w:rPr>
        <w:t xml:space="preserve"> </w:t>
      </w:r>
      <w:r w:rsidRPr="008A047C">
        <w:rPr>
          <w:rFonts w:cs="Times New Roman"/>
          <w:sz w:val="24"/>
          <w:szCs w:val="24"/>
        </w:rPr>
        <w:t>the</w:t>
      </w:r>
      <w:r w:rsidRPr="008A047C">
        <w:rPr>
          <w:rFonts w:cs="Times New Roman"/>
          <w:spacing w:val="22"/>
          <w:sz w:val="24"/>
          <w:szCs w:val="24"/>
        </w:rPr>
        <w:t xml:space="preserve"> </w:t>
      </w:r>
      <w:r w:rsidRPr="008A047C">
        <w:rPr>
          <w:rFonts w:cs="Times New Roman"/>
          <w:sz w:val="24"/>
          <w:szCs w:val="24"/>
        </w:rPr>
        <w:t>number</w:t>
      </w:r>
      <w:r w:rsidRPr="008A047C">
        <w:rPr>
          <w:rFonts w:cs="Times New Roman"/>
          <w:spacing w:val="28"/>
          <w:sz w:val="24"/>
          <w:szCs w:val="24"/>
        </w:rPr>
        <w:t xml:space="preserve"> </w:t>
      </w:r>
      <w:r w:rsidRPr="008A047C">
        <w:rPr>
          <w:rFonts w:cs="Times New Roman"/>
          <w:sz w:val="24"/>
          <w:szCs w:val="24"/>
        </w:rPr>
        <w:t>of</w:t>
      </w:r>
      <w:r w:rsidRPr="008A047C">
        <w:rPr>
          <w:rFonts w:cs="Times New Roman"/>
          <w:spacing w:val="27"/>
          <w:sz w:val="24"/>
          <w:szCs w:val="24"/>
        </w:rPr>
        <w:t xml:space="preserve"> </w:t>
      </w:r>
      <w:r w:rsidRPr="008A047C">
        <w:rPr>
          <w:rFonts w:cs="Times New Roman"/>
          <w:sz w:val="24"/>
          <w:szCs w:val="24"/>
        </w:rPr>
        <w:t>surveys</w:t>
      </w:r>
      <w:r w:rsidRPr="008A047C">
        <w:rPr>
          <w:rFonts w:cs="Times New Roman"/>
          <w:spacing w:val="3"/>
          <w:sz w:val="24"/>
          <w:szCs w:val="24"/>
        </w:rPr>
        <w:t xml:space="preserve"> </w:t>
      </w:r>
      <w:r w:rsidRPr="008A047C">
        <w:rPr>
          <w:rFonts w:cs="Times New Roman"/>
          <w:sz w:val="24"/>
          <w:szCs w:val="24"/>
        </w:rPr>
        <w:t>they</w:t>
      </w:r>
      <w:r w:rsidRPr="008A047C">
        <w:rPr>
          <w:rFonts w:cs="Times New Roman"/>
          <w:spacing w:val="19"/>
          <w:sz w:val="24"/>
          <w:szCs w:val="24"/>
        </w:rPr>
        <w:t xml:space="preserve"> </w:t>
      </w:r>
      <w:r w:rsidRPr="008A047C">
        <w:rPr>
          <w:rFonts w:cs="Times New Roman"/>
          <w:sz w:val="24"/>
          <w:szCs w:val="24"/>
        </w:rPr>
        <w:t>receive,</w:t>
      </w:r>
      <w:r w:rsidRPr="008A047C">
        <w:rPr>
          <w:rFonts w:cs="Times New Roman"/>
          <w:spacing w:val="-5"/>
          <w:sz w:val="24"/>
          <w:szCs w:val="24"/>
        </w:rPr>
        <w:t xml:space="preserve"> </w:t>
      </w:r>
      <w:r w:rsidRPr="008A047C">
        <w:rPr>
          <w:rFonts w:cs="Times New Roman"/>
          <w:sz w:val="24"/>
          <w:szCs w:val="24"/>
        </w:rPr>
        <w:t>as</w:t>
      </w:r>
      <w:r w:rsidRPr="008A047C">
        <w:rPr>
          <w:rFonts w:cs="Times New Roman"/>
          <w:spacing w:val="9"/>
          <w:sz w:val="24"/>
          <w:szCs w:val="24"/>
        </w:rPr>
        <w:t xml:space="preserve"> </w:t>
      </w:r>
      <w:r w:rsidRPr="008A047C">
        <w:rPr>
          <w:rFonts w:cs="Times New Roman"/>
          <w:sz w:val="24"/>
          <w:szCs w:val="24"/>
        </w:rPr>
        <w:t>well</w:t>
      </w:r>
      <w:r w:rsidRPr="008A047C">
        <w:rPr>
          <w:rFonts w:cs="Times New Roman"/>
          <w:spacing w:val="28"/>
          <w:sz w:val="24"/>
          <w:szCs w:val="24"/>
        </w:rPr>
        <w:t xml:space="preserve"> </w:t>
      </w:r>
      <w:r w:rsidRPr="008A047C">
        <w:rPr>
          <w:rFonts w:cs="Times New Roman"/>
          <w:sz w:val="24"/>
          <w:szCs w:val="24"/>
        </w:rPr>
        <w:t>as</w:t>
      </w:r>
      <w:r w:rsidRPr="008A047C">
        <w:rPr>
          <w:rFonts w:cs="Times New Roman"/>
          <w:spacing w:val="-4"/>
          <w:sz w:val="24"/>
          <w:szCs w:val="24"/>
        </w:rPr>
        <w:t xml:space="preserve"> </w:t>
      </w:r>
      <w:r w:rsidRPr="008A047C">
        <w:rPr>
          <w:rFonts w:cs="Times New Roman"/>
          <w:sz w:val="24"/>
          <w:szCs w:val="24"/>
        </w:rPr>
        <w:t>the</w:t>
      </w:r>
      <w:r w:rsidRPr="008A047C">
        <w:rPr>
          <w:rFonts w:cs="Times New Roman"/>
          <w:spacing w:val="7"/>
          <w:sz w:val="24"/>
          <w:szCs w:val="24"/>
        </w:rPr>
        <w:t xml:space="preserve"> </w:t>
      </w:r>
      <w:r w:rsidRPr="008A047C">
        <w:rPr>
          <w:rFonts w:cs="Times New Roman"/>
          <w:sz w:val="24"/>
          <w:szCs w:val="24"/>
        </w:rPr>
        <w:t>demands</w:t>
      </w:r>
      <w:r w:rsidRPr="008A047C">
        <w:rPr>
          <w:rFonts w:cs="Times New Roman"/>
          <w:spacing w:val="25"/>
          <w:sz w:val="24"/>
          <w:szCs w:val="24"/>
        </w:rPr>
        <w:t xml:space="preserve"> </w:t>
      </w:r>
      <w:r w:rsidRPr="008A047C">
        <w:rPr>
          <w:rFonts w:cs="Times New Roman"/>
          <w:sz w:val="24"/>
          <w:szCs w:val="24"/>
        </w:rPr>
        <w:t>on</w:t>
      </w:r>
      <w:r w:rsidRPr="008A047C">
        <w:rPr>
          <w:rFonts w:cs="Times New Roman"/>
          <w:spacing w:val="7"/>
          <w:sz w:val="24"/>
          <w:szCs w:val="24"/>
        </w:rPr>
        <w:t xml:space="preserve"> </w:t>
      </w:r>
      <w:r w:rsidRPr="008A047C">
        <w:rPr>
          <w:rFonts w:cs="Times New Roman"/>
          <w:sz w:val="24"/>
          <w:szCs w:val="24"/>
        </w:rPr>
        <w:t>their</w:t>
      </w:r>
      <w:r w:rsidRPr="008A047C">
        <w:rPr>
          <w:rFonts w:cs="Times New Roman"/>
          <w:spacing w:val="25"/>
          <w:sz w:val="24"/>
          <w:szCs w:val="24"/>
        </w:rPr>
        <w:t xml:space="preserve"> </w:t>
      </w:r>
      <w:r w:rsidRPr="008A047C">
        <w:rPr>
          <w:rFonts w:cs="Times New Roman"/>
          <w:sz w:val="24"/>
          <w:szCs w:val="24"/>
        </w:rPr>
        <w:t>professional</w:t>
      </w:r>
      <w:r w:rsidRPr="008A047C">
        <w:rPr>
          <w:rFonts w:cs="Times New Roman"/>
          <w:spacing w:val="33"/>
          <w:sz w:val="24"/>
          <w:szCs w:val="24"/>
        </w:rPr>
        <w:t xml:space="preserve"> </w:t>
      </w:r>
      <w:r w:rsidRPr="008A047C">
        <w:rPr>
          <w:rFonts w:cs="Times New Roman"/>
          <w:sz w:val="24"/>
          <w:szCs w:val="24"/>
        </w:rPr>
        <w:t>time.</w:t>
      </w:r>
      <w:r w:rsidRPr="008A047C">
        <w:rPr>
          <w:rFonts w:cs="Times New Roman"/>
          <w:spacing w:val="25"/>
          <w:w w:val="102"/>
          <w:sz w:val="24"/>
          <w:szCs w:val="24"/>
        </w:rPr>
        <w:t xml:space="preserve"> </w:t>
      </w:r>
      <w:r w:rsidRPr="008A047C">
        <w:rPr>
          <w:rFonts w:cs="Times New Roman"/>
          <w:sz w:val="24"/>
          <w:szCs w:val="24"/>
        </w:rPr>
        <w:t>Consequently,</w:t>
      </w:r>
      <w:r w:rsidRPr="008A047C">
        <w:rPr>
          <w:rFonts w:cs="Times New Roman"/>
          <w:spacing w:val="52"/>
          <w:sz w:val="24"/>
          <w:szCs w:val="24"/>
        </w:rPr>
        <w:t xml:space="preserve"> </w:t>
      </w:r>
      <w:r w:rsidRPr="008A047C">
        <w:rPr>
          <w:rFonts w:cs="Times New Roman"/>
          <w:sz w:val="24"/>
          <w:szCs w:val="24"/>
        </w:rPr>
        <w:t>incentives</w:t>
      </w:r>
      <w:r w:rsidRPr="008A047C">
        <w:rPr>
          <w:rFonts w:cs="Times New Roman"/>
          <w:spacing w:val="26"/>
          <w:sz w:val="24"/>
          <w:szCs w:val="24"/>
        </w:rPr>
        <w:t xml:space="preserve"> </w:t>
      </w:r>
      <w:r w:rsidRPr="008A047C">
        <w:rPr>
          <w:rFonts w:cs="Times New Roman"/>
          <w:sz w:val="24"/>
          <w:szCs w:val="24"/>
        </w:rPr>
        <w:t>assume</w:t>
      </w:r>
      <w:r w:rsidRPr="008A047C">
        <w:rPr>
          <w:rFonts w:cs="Times New Roman"/>
          <w:spacing w:val="22"/>
          <w:sz w:val="24"/>
          <w:szCs w:val="24"/>
        </w:rPr>
        <w:t xml:space="preserve"> </w:t>
      </w:r>
      <w:r w:rsidRPr="008A047C">
        <w:rPr>
          <w:rFonts w:cs="Times New Roman"/>
          <w:sz w:val="24"/>
          <w:szCs w:val="24"/>
        </w:rPr>
        <w:t>an</w:t>
      </w:r>
      <w:r w:rsidRPr="008A047C">
        <w:rPr>
          <w:rFonts w:cs="Times New Roman"/>
          <w:spacing w:val="3"/>
          <w:sz w:val="24"/>
          <w:szCs w:val="24"/>
        </w:rPr>
        <w:t xml:space="preserve"> </w:t>
      </w:r>
      <w:r w:rsidRPr="008A047C">
        <w:rPr>
          <w:rFonts w:cs="Times New Roman"/>
          <w:sz w:val="24"/>
          <w:szCs w:val="24"/>
        </w:rPr>
        <w:t>even</w:t>
      </w:r>
      <w:r w:rsidRPr="008A047C">
        <w:rPr>
          <w:rFonts w:cs="Times New Roman"/>
          <w:spacing w:val="8"/>
          <w:sz w:val="24"/>
          <w:szCs w:val="24"/>
        </w:rPr>
        <w:t xml:space="preserve"> </w:t>
      </w:r>
      <w:r w:rsidRPr="008A047C">
        <w:rPr>
          <w:rFonts w:cs="Times New Roman"/>
          <w:sz w:val="24"/>
          <w:szCs w:val="24"/>
        </w:rPr>
        <w:t>greater</w:t>
      </w:r>
      <w:r w:rsidRPr="008A047C">
        <w:rPr>
          <w:rFonts w:cs="Times New Roman"/>
          <w:spacing w:val="40"/>
          <w:sz w:val="24"/>
          <w:szCs w:val="24"/>
        </w:rPr>
        <w:t xml:space="preserve"> </w:t>
      </w:r>
      <w:r w:rsidRPr="008A047C">
        <w:rPr>
          <w:rFonts w:cs="Times New Roman"/>
          <w:sz w:val="24"/>
          <w:szCs w:val="24"/>
        </w:rPr>
        <w:t>importance</w:t>
      </w:r>
      <w:r w:rsidRPr="008A047C">
        <w:rPr>
          <w:rFonts w:cs="Times New Roman"/>
          <w:spacing w:val="15"/>
          <w:sz w:val="24"/>
          <w:szCs w:val="24"/>
        </w:rPr>
        <w:t xml:space="preserve"> </w:t>
      </w:r>
      <w:r w:rsidRPr="008A047C">
        <w:rPr>
          <w:rFonts w:cs="Times New Roman"/>
          <w:sz w:val="24"/>
          <w:szCs w:val="24"/>
        </w:rPr>
        <w:t>with</w:t>
      </w:r>
      <w:r w:rsidRPr="008A047C">
        <w:rPr>
          <w:rFonts w:cs="Times New Roman"/>
          <w:spacing w:val="31"/>
          <w:sz w:val="24"/>
          <w:szCs w:val="24"/>
        </w:rPr>
        <w:t xml:space="preserve"> </w:t>
      </w:r>
      <w:r w:rsidRPr="008A047C">
        <w:rPr>
          <w:rFonts w:cs="Times New Roman"/>
          <w:sz w:val="24"/>
          <w:szCs w:val="24"/>
        </w:rPr>
        <w:t>this</w:t>
      </w:r>
      <w:r w:rsidRPr="008A047C">
        <w:rPr>
          <w:rFonts w:cs="Times New Roman"/>
          <w:spacing w:val="16"/>
          <w:sz w:val="24"/>
          <w:szCs w:val="24"/>
        </w:rPr>
        <w:t xml:space="preserve"> </w:t>
      </w:r>
      <w:r w:rsidRPr="008A047C">
        <w:rPr>
          <w:rFonts w:cs="Times New Roman"/>
          <w:sz w:val="24"/>
          <w:szCs w:val="24"/>
        </w:rPr>
        <w:t>group.</w:t>
      </w:r>
    </w:p>
    <w:p w14:paraId="5B1EF700" w14:textId="77777777" w:rsidR="007C7392" w:rsidRDefault="00884AB0" w:rsidP="00FC35A6">
      <w:pPr>
        <w:rPr>
          <w:b/>
          <w:w w:val="105"/>
        </w:rPr>
      </w:pPr>
      <w:r w:rsidRPr="008A047C">
        <w:rPr>
          <w:b/>
        </w:rPr>
        <w:t>Cognitive</w:t>
      </w:r>
      <w:r w:rsidRPr="008A047C">
        <w:rPr>
          <w:b/>
          <w:spacing w:val="29"/>
        </w:rPr>
        <w:t xml:space="preserve"> </w:t>
      </w:r>
      <w:r w:rsidRPr="008A047C">
        <w:rPr>
          <w:b/>
        </w:rPr>
        <w:t xml:space="preserve">testing: </w:t>
      </w:r>
      <w:r w:rsidRPr="008A047C">
        <w:rPr>
          <w:b/>
          <w:spacing w:val="31"/>
        </w:rPr>
        <w:t xml:space="preserve"> </w:t>
      </w:r>
      <w:r w:rsidRPr="008A047C">
        <w:t>Participants</w:t>
      </w:r>
      <w:r w:rsidRPr="008A047C">
        <w:rPr>
          <w:spacing w:val="30"/>
        </w:rPr>
        <w:t xml:space="preserve"> </w:t>
      </w:r>
      <w:r w:rsidRPr="008A047C">
        <w:t>for</w:t>
      </w:r>
      <w:r w:rsidRPr="008A047C">
        <w:rPr>
          <w:spacing w:val="6"/>
        </w:rPr>
        <w:t xml:space="preserve"> </w:t>
      </w:r>
      <w:r w:rsidRPr="008A047C">
        <w:t>the</w:t>
      </w:r>
      <w:r w:rsidRPr="008A047C">
        <w:rPr>
          <w:spacing w:val="27"/>
        </w:rPr>
        <w:t xml:space="preserve"> </w:t>
      </w:r>
      <w:r w:rsidRPr="008A047C">
        <w:t>survey</w:t>
      </w:r>
      <w:r w:rsidRPr="008A047C">
        <w:rPr>
          <w:spacing w:val="7"/>
        </w:rPr>
        <w:t xml:space="preserve"> </w:t>
      </w:r>
      <w:r w:rsidRPr="008A047C">
        <w:t>pretesting</w:t>
      </w:r>
      <w:r w:rsidRPr="008A047C">
        <w:rPr>
          <w:spacing w:val="21"/>
        </w:rPr>
        <w:t xml:space="preserve"> </w:t>
      </w:r>
      <w:r w:rsidRPr="008A047C">
        <w:t>information</w:t>
      </w:r>
      <w:r w:rsidRPr="008A047C">
        <w:rPr>
          <w:spacing w:val="28"/>
        </w:rPr>
        <w:t xml:space="preserve"> </w:t>
      </w:r>
      <w:r w:rsidRPr="008A047C">
        <w:t>collection</w:t>
      </w:r>
      <w:r w:rsidRPr="008A047C">
        <w:rPr>
          <w:spacing w:val="22"/>
        </w:rPr>
        <w:t xml:space="preserve"> </w:t>
      </w:r>
      <w:r w:rsidRPr="008A047C">
        <w:t>will</w:t>
      </w:r>
      <w:r w:rsidRPr="008A047C">
        <w:rPr>
          <w:spacing w:val="33"/>
        </w:rPr>
        <w:t xml:space="preserve"> </w:t>
      </w:r>
      <w:r w:rsidRPr="008A047C">
        <w:t>be</w:t>
      </w:r>
      <w:r w:rsidRPr="008A047C">
        <w:rPr>
          <w:w w:val="96"/>
        </w:rPr>
        <w:t xml:space="preserve"> </w:t>
      </w:r>
      <w:r w:rsidRPr="008A047C">
        <w:t>physicians</w:t>
      </w:r>
      <w:r w:rsidRPr="008A047C">
        <w:rPr>
          <w:spacing w:val="38"/>
        </w:rPr>
        <w:t xml:space="preserve"> </w:t>
      </w:r>
      <w:r w:rsidRPr="008A047C">
        <w:t>who</w:t>
      </w:r>
      <w:r w:rsidRPr="008A047C">
        <w:rPr>
          <w:spacing w:val="25"/>
        </w:rPr>
        <w:t xml:space="preserve"> </w:t>
      </w:r>
      <w:r w:rsidRPr="008A047C">
        <w:t>will</w:t>
      </w:r>
      <w:r w:rsidRPr="008A047C">
        <w:rPr>
          <w:spacing w:val="39"/>
        </w:rPr>
        <w:t xml:space="preserve"> </w:t>
      </w:r>
      <w:r w:rsidRPr="008A047C">
        <w:t>likely</w:t>
      </w:r>
      <w:r w:rsidRPr="008A047C">
        <w:rPr>
          <w:spacing w:val="27"/>
        </w:rPr>
        <w:t xml:space="preserve"> </w:t>
      </w:r>
      <w:r w:rsidRPr="008A047C">
        <w:t>have</w:t>
      </w:r>
      <w:r w:rsidRPr="008A047C">
        <w:rPr>
          <w:spacing w:val="15"/>
        </w:rPr>
        <w:t xml:space="preserve"> </w:t>
      </w:r>
      <w:r w:rsidRPr="008A047C">
        <w:t>demanding</w:t>
      </w:r>
      <w:r w:rsidRPr="008A047C">
        <w:rPr>
          <w:spacing w:val="32"/>
        </w:rPr>
        <w:t xml:space="preserve"> </w:t>
      </w:r>
      <w:r w:rsidRPr="008A047C">
        <w:t>schedules</w:t>
      </w:r>
      <w:r w:rsidRPr="008A047C">
        <w:rPr>
          <w:spacing w:val="19"/>
        </w:rPr>
        <w:t xml:space="preserve"> </w:t>
      </w:r>
      <w:r w:rsidRPr="008A047C">
        <w:t>with</w:t>
      </w:r>
      <w:r w:rsidRPr="008A047C">
        <w:rPr>
          <w:spacing w:val="18"/>
        </w:rPr>
        <w:t xml:space="preserve"> </w:t>
      </w:r>
      <w:r w:rsidRPr="008A047C">
        <w:t>limited</w:t>
      </w:r>
      <w:r w:rsidRPr="008A047C">
        <w:rPr>
          <w:spacing w:val="21"/>
        </w:rPr>
        <w:t xml:space="preserve"> </w:t>
      </w:r>
      <w:r w:rsidRPr="008A047C">
        <w:t>time</w:t>
      </w:r>
      <w:r w:rsidRPr="008A047C">
        <w:rPr>
          <w:spacing w:val="26"/>
        </w:rPr>
        <w:t xml:space="preserve"> </w:t>
      </w:r>
      <w:r w:rsidRPr="008A047C">
        <w:t>for</w:t>
      </w:r>
      <w:r w:rsidRPr="008A047C">
        <w:rPr>
          <w:spacing w:val="-3"/>
        </w:rPr>
        <w:t xml:space="preserve"> </w:t>
      </w:r>
      <w:r w:rsidRPr="008A047C">
        <w:t>pretes</w:t>
      </w:r>
      <w:r w:rsidRPr="008A047C">
        <w:rPr>
          <w:spacing w:val="8"/>
        </w:rPr>
        <w:t>t</w:t>
      </w:r>
      <w:r w:rsidRPr="008A047C">
        <w:t>ing</w:t>
      </w:r>
      <w:r w:rsidRPr="008A047C">
        <w:rPr>
          <w:spacing w:val="17"/>
        </w:rPr>
        <w:t xml:space="preserve"> </w:t>
      </w:r>
      <w:r w:rsidRPr="008A047C">
        <w:t>a</w:t>
      </w:r>
      <w:r w:rsidRPr="008A047C">
        <w:rPr>
          <w:spacing w:val="-21"/>
        </w:rPr>
        <w:t>c</w:t>
      </w:r>
      <w:r w:rsidRPr="008A047C">
        <w:t>tivities</w:t>
      </w:r>
      <w:r w:rsidR="002955DE">
        <w:t>.</w:t>
      </w:r>
      <w:r w:rsidR="002955DE" w:rsidRPr="008A047C">
        <w:rPr>
          <w:spacing w:val="-15"/>
        </w:rPr>
        <w:t xml:space="preserve"> </w:t>
      </w:r>
      <w:r w:rsidR="00C73101">
        <w:t>All the participants in the 1.25 hour interview will be given an incentive of $150.00.</w:t>
      </w:r>
      <w:r w:rsidRPr="008A047C">
        <w:rPr>
          <w:spacing w:val="32"/>
        </w:rPr>
        <w:t xml:space="preserve"> </w:t>
      </w:r>
      <w:r w:rsidRPr="008A047C">
        <w:t>This</w:t>
      </w:r>
      <w:r w:rsidRPr="008A047C">
        <w:rPr>
          <w:spacing w:val="9"/>
        </w:rPr>
        <w:t xml:space="preserve"> </w:t>
      </w:r>
      <w:r w:rsidRPr="008A047C">
        <w:t>amount</w:t>
      </w:r>
      <w:r w:rsidRPr="008A047C">
        <w:rPr>
          <w:spacing w:val="27"/>
        </w:rPr>
        <w:t xml:space="preserve"> </w:t>
      </w:r>
      <w:r w:rsidRPr="008A047C">
        <w:t>is</w:t>
      </w:r>
      <w:r w:rsidRPr="008A047C">
        <w:rPr>
          <w:spacing w:val="7"/>
        </w:rPr>
        <w:t xml:space="preserve"> </w:t>
      </w:r>
      <w:r w:rsidRPr="008A047C">
        <w:t>consistent</w:t>
      </w:r>
      <w:r w:rsidRPr="008A047C">
        <w:rPr>
          <w:spacing w:val="17"/>
        </w:rPr>
        <w:t xml:space="preserve"> </w:t>
      </w:r>
      <w:r w:rsidRPr="008A047C">
        <w:t>with</w:t>
      </w:r>
      <w:r w:rsidRPr="008A047C">
        <w:rPr>
          <w:spacing w:val="14"/>
        </w:rPr>
        <w:t xml:space="preserve"> </w:t>
      </w:r>
      <w:r w:rsidRPr="008A047C">
        <w:t>current</w:t>
      </w:r>
      <w:r w:rsidRPr="008A047C">
        <w:rPr>
          <w:w w:val="101"/>
        </w:rPr>
        <w:t xml:space="preserve"> </w:t>
      </w:r>
      <w:r w:rsidRPr="008A047C">
        <w:t>pretesting</w:t>
      </w:r>
      <w:r w:rsidRPr="008A047C">
        <w:rPr>
          <w:spacing w:val="36"/>
        </w:rPr>
        <w:t xml:space="preserve"> </w:t>
      </w:r>
      <w:r w:rsidRPr="008A047C">
        <w:t>incentives</w:t>
      </w:r>
      <w:r w:rsidRPr="008A047C">
        <w:rPr>
          <w:spacing w:val="17"/>
        </w:rPr>
        <w:t xml:space="preserve"> </w:t>
      </w:r>
      <w:r w:rsidRPr="008A047C">
        <w:t>offered</w:t>
      </w:r>
      <w:r w:rsidRPr="008A047C">
        <w:rPr>
          <w:spacing w:val="40"/>
        </w:rPr>
        <w:t xml:space="preserve"> </w:t>
      </w:r>
      <w:r w:rsidRPr="008A047C">
        <w:t>by</w:t>
      </w:r>
      <w:r w:rsidRPr="008A047C">
        <w:rPr>
          <w:spacing w:val="17"/>
        </w:rPr>
        <w:t xml:space="preserve"> </w:t>
      </w:r>
      <w:r w:rsidRPr="008A047C">
        <w:t>the</w:t>
      </w:r>
      <w:r w:rsidRPr="008A047C">
        <w:rPr>
          <w:spacing w:val="5"/>
        </w:rPr>
        <w:t xml:space="preserve"> </w:t>
      </w:r>
      <w:r w:rsidRPr="008A047C">
        <w:t>data</w:t>
      </w:r>
      <w:r w:rsidRPr="008A047C">
        <w:rPr>
          <w:spacing w:val="11"/>
        </w:rPr>
        <w:t xml:space="preserve"> </w:t>
      </w:r>
      <w:r w:rsidRPr="008A047C">
        <w:t>collection</w:t>
      </w:r>
      <w:r w:rsidRPr="008A047C">
        <w:rPr>
          <w:spacing w:val="27"/>
        </w:rPr>
        <w:t xml:space="preserve"> </w:t>
      </w:r>
      <w:r w:rsidRPr="008A047C">
        <w:t>contractor</w:t>
      </w:r>
      <w:r w:rsidRPr="008A047C">
        <w:rPr>
          <w:spacing w:val="28"/>
        </w:rPr>
        <w:t xml:space="preserve"> </w:t>
      </w:r>
      <w:r w:rsidRPr="008A047C">
        <w:t>to</w:t>
      </w:r>
      <w:r w:rsidRPr="008A047C">
        <w:rPr>
          <w:spacing w:val="16"/>
        </w:rPr>
        <w:t xml:space="preserve"> </w:t>
      </w:r>
      <w:r w:rsidRPr="008A047C">
        <w:t>senior</w:t>
      </w:r>
      <w:r w:rsidRPr="008A047C">
        <w:rPr>
          <w:spacing w:val="16"/>
        </w:rPr>
        <w:t xml:space="preserve"> </w:t>
      </w:r>
      <w:r w:rsidRPr="008A047C">
        <w:t>healthcare</w:t>
      </w:r>
      <w:r w:rsidRPr="008A047C">
        <w:rPr>
          <w:spacing w:val="24"/>
        </w:rPr>
        <w:t xml:space="preserve"> </w:t>
      </w:r>
      <w:r w:rsidRPr="008A047C">
        <w:t>professionals</w:t>
      </w:r>
      <w:r w:rsidRPr="008A047C">
        <w:rPr>
          <w:w w:val="101"/>
        </w:rPr>
        <w:t xml:space="preserve"> </w:t>
      </w:r>
      <w:r w:rsidRPr="008A047C">
        <w:t>(in</w:t>
      </w:r>
      <w:r w:rsidRPr="008A047C">
        <w:rPr>
          <w:spacing w:val="1"/>
        </w:rPr>
        <w:t xml:space="preserve"> </w:t>
      </w:r>
      <w:r w:rsidRPr="008A047C">
        <w:t>the</w:t>
      </w:r>
      <w:r w:rsidRPr="008A047C">
        <w:rPr>
          <w:spacing w:val="4"/>
        </w:rPr>
        <w:t xml:space="preserve"> </w:t>
      </w:r>
      <w:r w:rsidRPr="008A047C">
        <w:t>past</w:t>
      </w:r>
      <w:r w:rsidRPr="008A047C">
        <w:rPr>
          <w:spacing w:val="29"/>
        </w:rPr>
        <w:t xml:space="preserve"> </w:t>
      </w:r>
      <w:r w:rsidRPr="008A047C">
        <w:t>two</w:t>
      </w:r>
      <w:r w:rsidRPr="008A047C">
        <w:rPr>
          <w:spacing w:val="16"/>
        </w:rPr>
        <w:t xml:space="preserve"> </w:t>
      </w:r>
      <w:r w:rsidRPr="008A047C">
        <w:t>years,</w:t>
      </w:r>
      <w:r w:rsidRPr="008A047C">
        <w:rPr>
          <w:spacing w:val="18"/>
        </w:rPr>
        <w:t xml:space="preserve"> </w:t>
      </w:r>
      <w:r w:rsidRPr="008A047C">
        <w:t>incentives</w:t>
      </w:r>
      <w:r w:rsidRPr="008A047C">
        <w:rPr>
          <w:spacing w:val="22"/>
        </w:rPr>
        <w:t xml:space="preserve"> </w:t>
      </w:r>
      <w:r w:rsidRPr="008A047C">
        <w:t>for</w:t>
      </w:r>
      <w:r w:rsidRPr="008A047C">
        <w:rPr>
          <w:spacing w:val="5"/>
        </w:rPr>
        <w:t xml:space="preserve"> </w:t>
      </w:r>
      <w:r w:rsidRPr="008A047C">
        <w:t>this</w:t>
      </w:r>
      <w:r w:rsidRPr="008A047C">
        <w:rPr>
          <w:spacing w:val="11"/>
        </w:rPr>
        <w:t xml:space="preserve"> </w:t>
      </w:r>
      <w:r w:rsidRPr="008A047C">
        <w:t>population</w:t>
      </w:r>
      <w:r w:rsidRPr="008A047C">
        <w:rPr>
          <w:spacing w:val="38"/>
        </w:rPr>
        <w:t xml:space="preserve"> </w:t>
      </w:r>
      <w:r w:rsidRPr="008A047C">
        <w:t>have</w:t>
      </w:r>
      <w:r w:rsidRPr="008A047C">
        <w:rPr>
          <w:spacing w:val="19"/>
        </w:rPr>
        <w:t xml:space="preserve"> </w:t>
      </w:r>
      <w:r w:rsidRPr="008A047C">
        <w:t>usually</w:t>
      </w:r>
      <w:r w:rsidRPr="008A047C">
        <w:rPr>
          <w:spacing w:val="29"/>
        </w:rPr>
        <w:t xml:space="preserve"> </w:t>
      </w:r>
      <w:r w:rsidRPr="008A047C">
        <w:t>ranged</w:t>
      </w:r>
      <w:r w:rsidRPr="008A047C">
        <w:rPr>
          <w:spacing w:val="20"/>
        </w:rPr>
        <w:t xml:space="preserve"> </w:t>
      </w:r>
      <w:r w:rsidRPr="008A047C">
        <w:t>from</w:t>
      </w:r>
      <w:r w:rsidRPr="008A047C">
        <w:rPr>
          <w:spacing w:val="16"/>
        </w:rPr>
        <w:t xml:space="preserve"> </w:t>
      </w:r>
      <w:r w:rsidRPr="008A047C">
        <w:t>$100</w:t>
      </w:r>
      <w:r w:rsidRPr="008A047C">
        <w:rPr>
          <w:spacing w:val="16"/>
        </w:rPr>
        <w:t xml:space="preserve"> </w:t>
      </w:r>
      <w:r w:rsidRPr="008A047C">
        <w:t>to</w:t>
      </w:r>
      <w:r w:rsidRPr="008A047C">
        <w:rPr>
          <w:spacing w:val="21"/>
        </w:rPr>
        <w:t xml:space="preserve"> </w:t>
      </w:r>
      <w:r w:rsidRPr="008A047C">
        <w:t>$200</w:t>
      </w:r>
      <w:r w:rsidRPr="008A047C">
        <w:rPr>
          <w:spacing w:val="28"/>
        </w:rPr>
        <w:t xml:space="preserve"> </w:t>
      </w:r>
      <w:r w:rsidRPr="008A047C">
        <w:t>(see</w:t>
      </w:r>
      <w:r w:rsidRPr="008A047C">
        <w:rPr>
          <w:spacing w:val="-1"/>
        </w:rPr>
        <w:t xml:space="preserve"> </w:t>
      </w:r>
      <w:r w:rsidRPr="008A047C">
        <w:t>Table</w:t>
      </w:r>
      <w:r w:rsidRPr="008A047C">
        <w:rPr>
          <w:spacing w:val="15"/>
        </w:rPr>
        <w:t xml:space="preserve"> </w:t>
      </w:r>
      <w:r w:rsidRPr="008A047C">
        <w:t>A12-2).</w:t>
      </w:r>
      <w:r w:rsidR="00CC7C1E" w:rsidDel="00CC7C1E">
        <w:t xml:space="preserve"> </w:t>
      </w:r>
    </w:p>
    <w:p w14:paraId="4DF6B1C3" w14:textId="77777777" w:rsidR="00884AB0" w:rsidRDefault="00A8307F" w:rsidP="00CC7C1E">
      <w:pPr>
        <w:pStyle w:val="BodyText"/>
        <w:spacing w:before="193" w:line="276" w:lineRule="auto"/>
        <w:ind w:left="0" w:right="257"/>
        <w:rPr>
          <w:w w:val="105"/>
        </w:rPr>
      </w:pPr>
      <w:r>
        <w:rPr>
          <w:b/>
          <w:w w:val="105"/>
        </w:rPr>
        <w:t xml:space="preserve">Full </w:t>
      </w:r>
      <w:r w:rsidR="00884AB0" w:rsidRPr="008A047C">
        <w:rPr>
          <w:b/>
          <w:w w:val="105"/>
        </w:rPr>
        <w:t>Mail</w:t>
      </w:r>
      <w:r w:rsidR="00884AB0" w:rsidRPr="008A047C">
        <w:rPr>
          <w:b/>
          <w:spacing w:val="-4"/>
          <w:w w:val="105"/>
        </w:rPr>
        <w:t xml:space="preserve"> </w:t>
      </w:r>
      <w:r>
        <w:rPr>
          <w:b/>
          <w:w w:val="105"/>
        </w:rPr>
        <w:t>S</w:t>
      </w:r>
      <w:r w:rsidR="00884AB0" w:rsidRPr="008A047C">
        <w:rPr>
          <w:b/>
          <w:w w:val="105"/>
        </w:rPr>
        <w:t>urvey:</w:t>
      </w:r>
      <w:r w:rsidR="00884AB0" w:rsidRPr="008A047C">
        <w:rPr>
          <w:b/>
          <w:spacing w:val="35"/>
          <w:w w:val="105"/>
        </w:rPr>
        <w:t xml:space="preserve"> </w:t>
      </w:r>
      <w:r w:rsidR="00884AB0" w:rsidRPr="008A047C">
        <w:rPr>
          <w:w w:val="105"/>
        </w:rPr>
        <w:t>There</w:t>
      </w:r>
      <w:r w:rsidR="00884AB0" w:rsidRPr="008A047C">
        <w:rPr>
          <w:spacing w:val="-9"/>
          <w:w w:val="105"/>
        </w:rPr>
        <w:t xml:space="preserve"> </w:t>
      </w:r>
      <w:r w:rsidR="00884AB0" w:rsidRPr="008A047C">
        <w:rPr>
          <w:w w:val="105"/>
        </w:rPr>
        <w:t>is</w:t>
      </w:r>
      <w:r w:rsidR="00884AB0" w:rsidRPr="008A047C">
        <w:rPr>
          <w:spacing w:val="-17"/>
          <w:w w:val="105"/>
        </w:rPr>
        <w:t xml:space="preserve"> </w:t>
      </w:r>
      <w:r w:rsidR="00884AB0" w:rsidRPr="008A047C">
        <w:rPr>
          <w:w w:val="105"/>
        </w:rPr>
        <w:t>no</w:t>
      </w:r>
      <w:r w:rsidR="00884AB0" w:rsidRPr="008A047C">
        <w:rPr>
          <w:spacing w:val="-11"/>
          <w:w w:val="105"/>
        </w:rPr>
        <w:t xml:space="preserve"> </w:t>
      </w:r>
      <w:r w:rsidR="00884AB0" w:rsidRPr="008A047C">
        <w:rPr>
          <w:spacing w:val="-27"/>
          <w:w w:val="105"/>
        </w:rPr>
        <w:t>i</w:t>
      </w:r>
      <w:r w:rsidR="00884AB0" w:rsidRPr="008A047C">
        <w:rPr>
          <w:w w:val="105"/>
        </w:rPr>
        <w:t>ncentive</w:t>
      </w:r>
      <w:r w:rsidR="00884AB0" w:rsidRPr="008A047C">
        <w:rPr>
          <w:spacing w:val="1"/>
          <w:w w:val="105"/>
        </w:rPr>
        <w:t xml:space="preserve"> </w:t>
      </w:r>
      <w:r w:rsidR="00884AB0" w:rsidRPr="008A047C">
        <w:rPr>
          <w:w w:val="105"/>
        </w:rPr>
        <w:t>planned</w:t>
      </w:r>
      <w:r w:rsidR="00884AB0" w:rsidRPr="008A047C">
        <w:rPr>
          <w:spacing w:val="1"/>
          <w:w w:val="105"/>
        </w:rPr>
        <w:t xml:space="preserve"> </w:t>
      </w:r>
      <w:r w:rsidR="00884AB0" w:rsidRPr="008A047C">
        <w:rPr>
          <w:w w:val="105"/>
        </w:rPr>
        <w:t>for</w:t>
      </w:r>
      <w:r w:rsidR="00884AB0" w:rsidRPr="008A047C">
        <w:rPr>
          <w:spacing w:val="-15"/>
          <w:w w:val="105"/>
        </w:rPr>
        <w:t xml:space="preserve"> </w:t>
      </w:r>
      <w:r w:rsidR="00884AB0" w:rsidRPr="008A047C">
        <w:rPr>
          <w:w w:val="105"/>
        </w:rPr>
        <w:t>the</w:t>
      </w:r>
      <w:r w:rsidR="00884AB0" w:rsidRPr="008A047C">
        <w:rPr>
          <w:spacing w:val="-9"/>
          <w:w w:val="105"/>
        </w:rPr>
        <w:t xml:space="preserve"> </w:t>
      </w:r>
      <w:r w:rsidR="00884AB0" w:rsidRPr="008A047C">
        <w:rPr>
          <w:w w:val="105"/>
        </w:rPr>
        <w:t>mail</w:t>
      </w:r>
      <w:r w:rsidR="00884AB0" w:rsidRPr="008A047C">
        <w:rPr>
          <w:spacing w:val="3"/>
          <w:w w:val="105"/>
        </w:rPr>
        <w:t xml:space="preserve"> </w:t>
      </w:r>
      <w:r w:rsidR="00884AB0" w:rsidRPr="008A047C">
        <w:rPr>
          <w:w w:val="105"/>
        </w:rPr>
        <w:t>survey.</w:t>
      </w:r>
    </w:p>
    <w:p w14:paraId="0C0E5BDC" w14:textId="77777777" w:rsidR="00E21EF1" w:rsidRPr="008A047C" w:rsidRDefault="00E21EF1" w:rsidP="00CC7C1E">
      <w:pPr>
        <w:pStyle w:val="BodyText"/>
        <w:spacing w:before="193" w:line="276" w:lineRule="auto"/>
        <w:ind w:left="0" w:right="257"/>
      </w:pPr>
    </w:p>
    <w:p w14:paraId="1DE6CE7B" w14:textId="77777777" w:rsidR="007A288E" w:rsidRPr="005E2D71" w:rsidRDefault="007A288E" w:rsidP="001C2A38">
      <w:pPr>
        <w:pStyle w:val="ListParagraph"/>
        <w:numPr>
          <w:ilvl w:val="0"/>
          <w:numId w:val="2"/>
        </w:numPr>
        <w:rPr>
          <w:b/>
          <w:u w:val="single"/>
        </w:rPr>
      </w:pPr>
      <w:r w:rsidRPr="005E2D71">
        <w:rPr>
          <w:b/>
        </w:rPr>
        <w:t>Assurance of Confidentiality Provided to Respondents</w:t>
      </w:r>
    </w:p>
    <w:p w14:paraId="3A8C0A11" w14:textId="77777777" w:rsidR="009F6965" w:rsidRDefault="009F6965" w:rsidP="009F6965">
      <w:r>
        <w:t>The confidentiality of participant information is protected by section 308(d) of the Public Health Service Act (42 USC 242m), which states:</w:t>
      </w:r>
    </w:p>
    <w:p w14:paraId="296B0FA9" w14:textId="77777777" w:rsidR="009F6965" w:rsidRDefault="009F6965" w:rsidP="009F6965">
      <w: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w:t>
      </w:r>
      <w:r>
        <w:lastRenderedPageBreak/>
        <w:t>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0B4485F0" w14:textId="77777777" w:rsidR="004E068C" w:rsidRPr="004E068C" w:rsidRDefault="004E068C" w:rsidP="004E068C">
      <w:r w:rsidRPr="004E068C">
        <w:t xml:space="preserve">In addition, legislation covering confidentiality is provided according to section 513 of the Confidential Information Protection and Statistical Efficiency Act (PL 107-347) which states: </w:t>
      </w:r>
    </w:p>
    <w:p w14:paraId="5ED2FCDC" w14:textId="77777777" w:rsidR="004E068C" w:rsidRPr="004E068C" w:rsidRDefault="004E068C" w:rsidP="004E068C">
      <w:r w:rsidRPr="004E068C">
        <w:tab/>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4E068C">
        <w:rPr>
          <w:bCs/>
        </w:rPr>
        <w:t>class E felony</w:t>
      </w:r>
      <w:r w:rsidRPr="004E068C">
        <w:t xml:space="preserve"> and </w:t>
      </w:r>
      <w:r w:rsidRPr="004E068C">
        <w:rPr>
          <w:bCs/>
        </w:rPr>
        <w:t>imprisoned for not more than 5 years</w:t>
      </w:r>
      <w:r w:rsidRPr="004E068C">
        <w:t xml:space="preserve">, or fined not more than </w:t>
      </w:r>
      <w:r w:rsidRPr="004E068C">
        <w:rPr>
          <w:bCs/>
        </w:rPr>
        <w:t>$250,000</w:t>
      </w:r>
      <w:r w:rsidRPr="004E068C">
        <w:t>, or both.”</w:t>
      </w:r>
    </w:p>
    <w:p w14:paraId="5F3B785C" w14:textId="77777777" w:rsidR="004E068C" w:rsidRDefault="004E068C" w:rsidP="004E068C">
      <w:r>
        <w:t xml:space="preserve">The following assurance of confidentiality will be on any new paper or electronic forms: </w:t>
      </w:r>
    </w:p>
    <w:p w14:paraId="0785459B" w14:textId="77777777" w:rsidR="004E068C" w:rsidRDefault="004E068C" w:rsidP="004E068C">
      <w:r>
        <w:t>“All information which would permit identification of an individual, a practice, or an establishment will be held confidential, will be used only for statistical purposes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8A254E">
        <w:t>”</w:t>
      </w:r>
    </w:p>
    <w:p w14:paraId="1ECBF92B" w14:textId="77777777" w:rsidR="00233C35" w:rsidRDefault="00233C35" w:rsidP="009F6965">
      <w:r w:rsidRPr="00233C35">
        <w:t>Data will be treated in a confidential manner.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w:t>
      </w:r>
      <w:r w:rsidR="001933CA">
        <w:t>ure of the study, audio</w:t>
      </w:r>
      <w:r w:rsidR="00EA6BFE">
        <w:t xml:space="preserve"> recording</w:t>
      </w:r>
      <w:r w:rsidRPr="00233C35">
        <w:t xml:space="preserve"> of the interview, and the effect upon the respondent for terminating the interview at any time</w:t>
      </w:r>
      <w:r>
        <w:t>.</w:t>
      </w:r>
    </w:p>
    <w:p w14:paraId="1222A065" w14:textId="77777777" w:rsidR="007A288E" w:rsidRDefault="002E09D6" w:rsidP="009F6965">
      <w:r>
        <w:t xml:space="preserve">A number of procedures will be implemented to safeguard </w:t>
      </w:r>
      <w:r w:rsidR="000E02A0">
        <w:t>respondent identity</w:t>
      </w:r>
      <w:r>
        <w:t xml:space="preserve"> and </w:t>
      </w:r>
      <w:r w:rsidR="000E02A0">
        <w:t xml:space="preserve">they </w:t>
      </w:r>
      <w:r>
        <w:t xml:space="preserve">will be explained to respondents.  </w:t>
      </w:r>
      <w:r w:rsidR="00BB2A65" w:rsidRPr="005E2D71">
        <w:t xml:space="preserve">Participants in the </w:t>
      </w:r>
      <w:r>
        <w:t xml:space="preserve">cognitive </w:t>
      </w:r>
      <w:r w:rsidR="00BB2A65" w:rsidRPr="005E2D71">
        <w:t>testing</w:t>
      </w:r>
      <w:r>
        <w:t xml:space="preserve"> information collection</w:t>
      </w:r>
      <w:r w:rsidR="00BB2A65" w:rsidRPr="005E2D71">
        <w:t xml:space="preserve"> will be </w:t>
      </w:r>
      <w:r>
        <w:t>advised of safeguards</w:t>
      </w:r>
      <w:r w:rsidR="00BB2A65" w:rsidRPr="005E2D71">
        <w:t xml:space="preserve"> in writing through the consent form (</w:t>
      </w:r>
      <w:r w:rsidR="00BC4512" w:rsidRPr="00066692">
        <w:rPr>
          <w:b/>
        </w:rPr>
        <w:t>A</w:t>
      </w:r>
      <w:r w:rsidR="007025C8" w:rsidRPr="00066692">
        <w:rPr>
          <w:b/>
        </w:rPr>
        <w:t xml:space="preserve">ttachment </w:t>
      </w:r>
      <w:r w:rsidR="00D43AC2">
        <w:rPr>
          <w:b/>
        </w:rPr>
        <w:t>4</w:t>
      </w:r>
      <w:r w:rsidR="005C019F">
        <w:rPr>
          <w:b/>
        </w:rPr>
        <w:t>c</w:t>
      </w:r>
      <w:r w:rsidR="007025C8" w:rsidRPr="005E2D71">
        <w:t>)</w:t>
      </w:r>
      <w:r w:rsidR="00EE638F" w:rsidRPr="005E2D71">
        <w:t xml:space="preserve"> </w:t>
      </w:r>
      <w:r w:rsidR="007025C8" w:rsidRPr="005E2D71">
        <w:t xml:space="preserve">if the interview is to be conducted in-person.  If the interview is to take place over the phone, </w:t>
      </w:r>
      <w:r>
        <w:t>information about safeguards</w:t>
      </w:r>
      <w:r w:rsidR="007025C8" w:rsidRPr="005E2D71">
        <w:t xml:space="preserve"> will be confirmed </w:t>
      </w:r>
      <w:r w:rsidR="000E02A0">
        <w:t>orally</w:t>
      </w:r>
      <w:r w:rsidR="007025C8" w:rsidRPr="005E2D71">
        <w:t xml:space="preserve"> prior to the start of the interview</w:t>
      </w:r>
      <w:r w:rsidR="00C04D02" w:rsidRPr="005E2D71">
        <w:t xml:space="preserve">.  </w:t>
      </w:r>
      <w:r w:rsidR="00BD2D24">
        <w:t>Mail</w:t>
      </w:r>
      <w:r w:rsidR="00E675EA" w:rsidRPr="005E2D71">
        <w:t xml:space="preserve"> </w:t>
      </w:r>
      <w:r w:rsidR="00AB67E7" w:rsidRPr="005E2D71">
        <w:t>survey participants</w:t>
      </w:r>
      <w:r w:rsidR="007A288E" w:rsidRPr="005E2D71">
        <w:t xml:space="preserve"> </w:t>
      </w:r>
      <w:r>
        <w:t xml:space="preserve">will be advised of safeguards </w:t>
      </w:r>
      <w:r w:rsidR="007A288E" w:rsidRPr="005E2D71">
        <w:t xml:space="preserve">in writing through the invitation letters/emails </w:t>
      </w:r>
      <w:r>
        <w:t>(</w:t>
      </w:r>
      <w:r w:rsidR="00BC4512" w:rsidRPr="00066692">
        <w:rPr>
          <w:b/>
        </w:rPr>
        <w:t>A</w:t>
      </w:r>
      <w:r w:rsidR="007A288E" w:rsidRPr="00066692">
        <w:rPr>
          <w:b/>
        </w:rPr>
        <w:t>ttachment</w:t>
      </w:r>
      <w:r w:rsidRPr="00066692">
        <w:rPr>
          <w:b/>
        </w:rPr>
        <w:t>s</w:t>
      </w:r>
      <w:r w:rsidR="005C019F">
        <w:rPr>
          <w:b/>
        </w:rPr>
        <w:t xml:space="preserve"> 5a and 5b</w:t>
      </w:r>
      <w:r w:rsidRPr="00066692">
        <w:t>)</w:t>
      </w:r>
      <w:r w:rsidR="007A288E" w:rsidRPr="00066692">
        <w:t>.</w:t>
      </w:r>
      <w:r w:rsidR="007A288E" w:rsidRPr="005E2D71">
        <w:t xml:space="preserve">   </w:t>
      </w:r>
    </w:p>
    <w:p w14:paraId="556FF7E4" w14:textId="77777777" w:rsidR="007A288E" w:rsidRPr="009E2D70" w:rsidRDefault="009E2D70" w:rsidP="009E2D70">
      <w:pPr>
        <w:spacing w:after="0"/>
      </w:pPr>
      <w:r w:rsidRPr="00D04B69">
        <w:lastRenderedPageBreak/>
        <w:t>The contractor</w:t>
      </w:r>
      <w:r>
        <w:t xml:space="preserve">’s staff </w:t>
      </w:r>
      <w:r w:rsidRPr="00D04B69">
        <w:t>will sign nondisclosure affidavits and will be subject to the terms of the Designated A</w:t>
      </w:r>
      <w:r>
        <w:t>gent Agreement (DAA) with NCHS</w:t>
      </w:r>
      <w:r w:rsidR="00D65BBE" w:rsidRPr="005E2D71">
        <w:t xml:space="preserve">.  </w:t>
      </w:r>
      <w:r w:rsidR="009B1A2B">
        <w:t>The contractor</w:t>
      </w:r>
      <w:r w:rsidR="00D65BBE" w:rsidRPr="005E2D71">
        <w:t xml:space="preserve"> provides all safeguards mandated by</w:t>
      </w:r>
      <w:r w:rsidR="00B46C29">
        <w:t xml:space="preserve"> the</w:t>
      </w:r>
      <w:r w:rsidR="00D65BBE" w:rsidRPr="005E2D71">
        <w:t xml:space="preserve"> Privacy Act to protect </w:t>
      </w:r>
      <w:r w:rsidR="00D65BBE">
        <w:t>privacy</w:t>
      </w:r>
      <w:r w:rsidR="00D65BBE" w:rsidRPr="005E2D71">
        <w:t xml:space="preserve"> of data gathered for this study.  </w:t>
      </w:r>
      <w:r w:rsidR="00B46C29">
        <w:t>The data collection contractor’s</w:t>
      </w:r>
      <w:r w:rsidR="00B46C29" w:rsidRPr="005E2D71">
        <w:t xml:space="preserve"> </w:t>
      </w:r>
      <w:r w:rsidR="00D65BBE" w:rsidRPr="005E2D71">
        <w:t xml:space="preserve">data security procedures comply fully with procedural safeguards for computerized records as outlined in the U.S. Department of Health and Human Service’s </w:t>
      </w:r>
      <w:r w:rsidR="00D65BBE" w:rsidRPr="005E2D71">
        <w:rPr>
          <w:i/>
        </w:rPr>
        <w:t>General Administrative Manual</w:t>
      </w:r>
      <w:r w:rsidR="00D65BBE" w:rsidRPr="005E2D71">
        <w:t xml:space="preserve"> under “Safeguarding Records Contained in Systems of Record” and specified by the National Institute of Standards and Technology Federal Information Processing Standards.  </w:t>
      </w:r>
    </w:p>
    <w:p w14:paraId="4385BE52" w14:textId="77777777" w:rsidR="00FB7492" w:rsidRDefault="00FB7492" w:rsidP="001406D7">
      <w:pPr>
        <w:rPr>
          <w:u w:val="single"/>
        </w:rPr>
      </w:pPr>
    </w:p>
    <w:p w14:paraId="7CE3171E" w14:textId="77777777" w:rsidR="001406D7" w:rsidRPr="005E2D71" w:rsidRDefault="007A288E" w:rsidP="001406D7">
      <w:r w:rsidRPr="005E2D71">
        <w:rPr>
          <w:u w:val="single"/>
        </w:rPr>
        <w:t>IRB Approval</w:t>
      </w:r>
      <w:r w:rsidR="00166BC5" w:rsidRPr="005E2D71">
        <w:rPr>
          <w:u w:val="single"/>
        </w:rPr>
        <w:t xml:space="preserve"> </w:t>
      </w:r>
    </w:p>
    <w:p w14:paraId="2EFAD71B" w14:textId="77777777" w:rsidR="00D04B69" w:rsidRPr="008A254E" w:rsidRDefault="00F121B3" w:rsidP="00D04B69">
      <w:r w:rsidRPr="00F121B3">
        <w:t>The NCHS Ethics Review Board has granted approval</w:t>
      </w:r>
      <w:r>
        <w:t xml:space="preserve"> for Protocol #2015-03 through 10/23/16</w:t>
      </w:r>
      <w:r w:rsidR="00A62716">
        <w:t xml:space="preserve"> (</w:t>
      </w:r>
      <w:r w:rsidR="008A047C" w:rsidRPr="008A047C">
        <w:rPr>
          <w:b/>
        </w:rPr>
        <w:t>A</w:t>
      </w:r>
      <w:r w:rsidR="00DA2559" w:rsidRPr="008A047C">
        <w:rPr>
          <w:b/>
        </w:rPr>
        <w:t xml:space="preserve">ttachment </w:t>
      </w:r>
      <w:r w:rsidR="00EB7EA0">
        <w:rPr>
          <w:b/>
        </w:rPr>
        <w:t>6</w:t>
      </w:r>
      <w:r w:rsidR="00DA2559" w:rsidRPr="008A047C">
        <w:rPr>
          <w:b/>
        </w:rPr>
        <w:t>a</w:t>
      </w:r>
      <w:r w:rsidR="00DA2559">
        <w:t>)</w:t>
      </w:r>
      <w:r w:rsidR="00A62716">
        <w:t>.</w:t>
      </w:r>
      <w:r w:rsidR="00D04B69">
        <w:t xml:space="preserve"> </w:t>
      </w:r>
      <w:r w:rsidR="00D04B69" w:rsidRPr="00D04B69">
        <w:t xml:space="preserve">Information will be provided on a voluntary basis only.  There are no adverse effects if the respondent chooses not to participate.  Respondents will be informed of the voluntary nature of their responses in all cover letters and in the consent form prior to pretesting. </w:t>
      </w:r>
    </w:p>
    <w:p w14:paraId="681AEE5D" w14:textId="77777777" w:rsidR="00A62716" w:rsidRDefault="00D04B69" w:rsidP="00A62716">
      <w:r w:rsidRPr="00D04B69">
        <w:rPr>
          <w:b/>
        </w:rPr>
        <w:t>Cognitive testing</w:t>
      </w:r>
      <w:r w:rsidRPr="00D04B69">
        <w:t>: At the beginning of each in-person interview, respondents will review and sign a consent form (</w:t>
      </w:r>
      <w:r w:rsidRPr="00D04B69">
        <w:rPr>
          <w:b/>
        </w:rPr>
        <w:t>Attachment 4c</w:t>
      </w:r>
      <w:r w:rsidRPr="00D04B69">
        <w:t xml:space="preserve">) if the interview is in person. The form will also ask for permission to audio record the interview.  If any telephone interviews are conducted as part of the pretesting, the interviewer will convey the information in the consent form over the telephone and ask for consent to participate in the interview and to have it audio recorded.  If the respondent consents to the audio recording the interviewer will ask for consent again after turning on the recorder (see the introductions for both the in-person and telephone interviews in </w:t>
      </w:r>
      <w:r w:rsidRPr="00D04B69">
        <w:rPr>
          <w:b/>
        </w:rPr>
        <w:t>Attachment 4a</w:t>
      </w:r>
      <w:r w:rsidRPr="00D04B69">
        <w:t>).</w:t>
      </w:r>
      <w:r w:rsidR="002955DE" w:rsidRPr="002955DE">
        <w:t xml:space="preserve"> </w:t>
      </w:r>
      <w:r w:rsidR="00707C14">
        <w:t xml:space="preserve"> The respondent</w:t>
      </w:r>
      <w:r w:rsidR="002955DE">
        <w:t xml:space="preserve"> may </w:t>
      </w:r>
      <w:r w:rsidR="00707C14">
        <w:t>refuse recording or may</w:t>
      </w:r>
      <w:r w:rsidR="002955DE">
        <w:t xml:space="preserve"> stop the recording at any time, and the interviewer will turn off the machine.  </w:t>
      </w:r>
      <w:r w:rsidR="00707C14">
        <w:t>If the respondent</w:t>
      </w:r>
      <w:r w:rsidR="002955DE">
        <w:t xml:space="preserve"> decide</w:t>
      </w:r>
      <w:r w:rsidR="00707C14">
        <w:t>s</w:t>
      </w:r>
      <w:r w:rsidR="002955DE">
        <w:t xml:space="preserve"> to stop recording, the interviewer will ask </w:t>
      </w:r>
      <w:r w:rsidR="00707C14">
        <w:t>for</w:t>
      </w:r>
      <w:r w:rsidR="002955DE">
        <w:t xml:space="preserve"> consent to retain the portion already recorded</w:t>
      </w:r>
      <w:r w:rsidR="001933CA">
        <w:t>.</w:t>
      </w:r>
      <w:r w:rsidR="00A62716" w:rsidRPr="00A62716">
        <w:t xml:space="preserve"> </w:t>
      </w:r>
      <w:r w:rsidR="00FB7492">
        <w:rPr>
          <w:sz w:val="23"/>
          <w:szCs w:val="23"/>
        </w:rPr>
        <w:t>O</w:t>
      </w:r>
      <w:r w:rsidR="00FB7492" w:rsidRPr="00FB7492">
        <w:rPr>
          <w:sz w:val="23"/>
          <w:szCs w:val="23"/>
        </w:rPr>
        <w:t>nce the data collection is complete for this survey, the contractor will send all survey data to NCHS including audiotapes. All data (including PII) will then be destroyed by the contractor and a certificate of destruction will be provided to NCHS documenting the destruction.  Hard copies of the screening survey forms will be stored in a locked file cabinet at NCHS. If for some reason the original hard copies are to be retained, they will be marked for destruction within 2 years</w:t>
      </w:r>
      <w:r w:rsidR="00A62716">
        <w:t>.</w:t>
      </w:r>
    </w:p>
    <w:p w14:paraId="6C375188" w14:textId="77777777" w:rsidR="002955DE" w:rsidRDefault="00A62716" w:rsidP="00A62716">
      <w:r>
        <w:t>These data may be used internally to further analyze the data for publication.  At no time are the physicians contacted to obtain further information.</w:t>
      </w:r>
    </w:p>
    <w:p w14:paraId="213FAFE4" w14:textId="77777777" w:rsidR="002955DE" w:rsidRDefault="002955DE" w:rsidP="002955DE">
      <w:r>
        <w:t>Privacy</w:t>
      </w:r>
    </w:p>
    <w:p w14:paraId="234B7D72" w14:textId="77777777" w:rsidR="002955DE" w:rsidRDefault="002955DE" w:rsidP="002955DE">
      <w:r>
        <w:t xml:space="preserve">The interview will be conducted in a closed office. NCHS is required by law to tell </w:t>
      </w:r>
      <w:r w:rsidR="00D27388">
        <w:t xml:space="preserve">the respondent </w:t>
      </w:r>
      <w:r>
        <w:t xml:space="preserve">how the recorded interview will be used and how </w:t>
      </w:r>
      <w:r w:rsidR="00D27388">
        <w:t xml:space="preserve">their </w:t>
      </w:r>
      <w:r>
        <w:t xml:space="preserve">privacy will be protected.  </w:t>
      </w:r>
    </w:p>
    <w:p w14:paraId="22183A0F" w14:textId="77777777" w:rsidR="00D04B69" w:rsidRPr="00D04B69" w:rsidRDefault="002955DE" w:rsidP="002955DE">
      <w:r>
        <w:lastRenderedPageBreak/>
        <w:t xml:space="preserve">Audio recordings are stored in a locked room or secured by a password.  All recordings are labeled by a code number, date, time, and project title.  The recording is never labeled with </w:t>
      </w:r>
      <w:r w:rsidR="00D27388">
        <w:t xml:space="preserve">the respondent’s </w:t>
      </w:r>
      <w:r>
        <w:t>name or other personal facts.</w:t>
      </w:r>
    </w:p>
    <w:p w14:paraId="16781B68" w14:textId="77777777" w:rsidR="00D04B69" w:rsidRPr="00D04B69" w:rsidRDefault="00D04B69" w:rsidP="00D04B69">
      <w:r w:rsidRPr="00D04B69">
        <w:rPr>
          <w:b/>
        </w:rPr>
        <w:t>Full Mail survey</w:t>
      </w:r>
      <w:r w:rsidRPr="00D04B69">
        <w:t>:  Information about the study and use of the information will be included in mailed cover letters accompanying the survey (</w:t>
      </w:r>
      <w:r w:rsidRPr="00D04B69">
        <w:rPr>
          <w:b/>
        </w:rPr>
        <w:t>Attachment 5a</w:t>
      </w:r>
      <w:r w:rsidRPr="00D04B69">
        <w:t>).  Completion of the survey is considered to be consent to participate.  No changes in disclosure or data use will be permitted without explicit consent from each survey respondent.</w:t>
      </w:r>
    </w:p>
    <w:p w14:paraId="18C022F9" w14:textId="77777777" w:rsidR="00D04B69" w:rsidRPr="00D04B69" w:rsidRDefault="00D04B69" w:rsidP="00D04B69">
      <w:r w:rsidRPr="00D04B69">
        <w:t xml:space="preserve">Furthermore, employees from the data collection contractor will be required to sign a Designated Agent Agreement with NCHS, which include affidavits of non-disclosure. It states that the signer will not disclose confidential information, either while an agent or after, contained in data files, lists, or reports created using NCHS data, as specified under Section 308(d) of the Public Health Service Act and under penalties set for in 513 of the Confidential Information and Protection and Statistical Efficiency Act of 2003 (PL 107-347, title V). </w:t>
      </w:r>
    </w:p>
    <w:p w14:paraId="1E0A7B28" w14:textId="77777777" w:rsidR="008A047C" w:rsidRPr="007B250F" w:rsidRDefault="008A047C" w:rsidP="007A288E">
      <w:r>
        <w:t xml:space="preserve">This study has </w:t>
      </w:r>
      <w:r w:rsidR="00E1310C">
        <w:t xml:space="preserve">also </w:t>
      </w:r>
      <w:r>
        <w:t xml:space="preserve">been reviewed and approved by the contractor’s IRB.  See </w:t>
      </w:r>
      <w:r w:rsidRPr="008A047C">
        <w:rPr>
          <w:b/>
        </w:rPr>
        <w:t xml:space="preserve">Attachment </w:t>
      </w:r>
      <w:r w:rsidR="00EB7EA0">
        <w:rPr>
          <w:b/>
        </w:rPr>
        <w:t>6</w:t>
      </w:r>
      <w:r w:rsidRPr="008A047C">
        <w:rPr>
          <w:b/>
        </w:rPr>
        <w:t>b</w:t>
      </w:r>
      <w:r>
        <w:t xml:space="preserve"> for their approval letter.</w:t>
      </w:r>
    </w:p>
    <w:p w14:paraId="13237910" w14:textId="77777777" w:rsidR="007A288E" w:rsidRDefault="00D04B69" w:rsidP="001406D7">
      <w:pPr>
        <w:rPr>
          <w:b/>
        </w:rPr>
      </w:pPr>
      <w:r>
        <w:rPr>
          <w:u w:val="single"/>
        </w:rPr>
        <w:t>10</w:t>
      </w:r>
      <w:r w:rsidR="007C7392">
        <w:rPr>
          <w:u w:val="single"/>
        </w:rPr>
        <w:t>.1</w:t>
      </w:r>
      <w:r>
        <w:rPr>
          <w:u w:val="single"/>
        </w:rPr>
        <w:t xml:space="preserve"> </w:t>
      </w:r>
      <w:r w:rsidR="00B64E16">
        <w:rPr>
          <w:u w:val="single"/>
        </w:rPr>
        <w:t>Privacy Impact Assessment Information</w:t>
      </w:r>
    </w:p>
    <w:p w14:paraId="52E811E2" w14:textId="77777777" w:rsidR="00431E50" w:rsidRDefault="004E068C" w:rsidP="00D04B69">
      <w:pPr>
        <w:spacing w:after="0"/>
      </w:pPr>
      <w:r w:rsidRPr="004E068C">
        <w:t>This submission has been reviewed by CDC’s Information Collection Office (ICRO), which has determined that the Privacy Act does apply. The applicable System of Records Notice is 09-20-0167, Health Care Statistics.  The NCHS Privacy Act Coordinator and the NCHS Confidentiality Officer have also reviewed this package and have determined that the Privacy Act is applicable.</w:t>
      </w:r>
    </w:p>
    <w:p w14:paraId="2C02F859" w14:textId="77777777" w:rsidR="00431E50" w:rsidRDefault="00431E50" w:rsidP="00D04B69">
      <w:pPr>
        <w:spacing w:after="0"/>
      </w:pPr>
    </w:p>
    <w:p w14:paraId="08FE41BB" w14:textId="77777777" w:rsidR="001F30D9" w:rsidRPr="001F30D9" w:rsidRDefault="00431E50" w:rsidP="001F30D9">
      <w:pPr>
        <w:spacing w:after="0"/>
      </w:pPr>
      <w:r w:rsidRPr="00431E50">
        <w:t xml:space="preserve">The survey collects personal identifiable information for analysis purposes.  Hard copies of the survey forms will be stored in a locked file cabinet at NCHS. </w:t>
      </w:r>
      <w:r w:rsidR="001F30D9" w:rsidRPr="001F30D9">
        <w:rPr>
          <w:bCs/>
          <w:iCs/>
        </w:rPr>
        <w:t>Personally Identifiable Information (PII)</w:t>
      </w:r>
      <w:r w:rsidR="001F30D9" w:rsidRPr="001F30D9">
        <w:t xml:space="preserve"> will be secured using password-protected networks, system firewalls, and key cards/identification badges for all physical locations.  Data are maintained in a secure database, and information will be secured using all applicable National Institute of Standards and Technology security controls.   Information will be secured on the system through access controls; personnel security awareness and training; regular auditing of information and information management processes; careful monitoring of the information system; control of changes to the system; appropriate handling and testing of contingencies and contingency planning; proper identification and access authorization for all users;  properly maintaining the system and regulating the environment the system operates in; controlling media; evaluating risks and planning for information management and information system operations. These steps ensure that the system and any exchange of information are protected, and that the integrity of the system and the information stored in it are maintained.</w:t>
      </w:r>
    </w:p>
    <w:p w14:paraId="1D2C5CC8" w14:textId="77777777" w:rsidR="00231871" w:rsidRDefault="00231871" w:rsidP="00D04B69">
      <w:pPr>
        <w:spacing w:after="0"/>
      </w:pPr>
    </w:p>
    <w:p w14:paraId="49F020D3" w14:textId="77777777" w:rsidR="001F30D9" w:rsidRDefault="001F30D9" w:rsidP="00D04B69">
      <w:pPr>
        <w:spacing w:after="0"/>
      </w:pPr>
    </w:p>
    <w:p w14:paraId="1C281306" w14:textId="77777777" w:rsidR="00D04B69" w:rsidRDefault="00D04B69" w:rsidP="00D04B69">
      <w:pPr>
        <w:spacing w:after="0"/>
        <w:rPr>
          <w:u w:val="single"/>
        </w:rPr>
      </w:pPr>
      <w:r w:rsidRPr="00D04B69">
        <w:rPr>
          <w:u w:val="single"/>
        </w:rPr>
        <w:lastRenderedPageBreak/>
        <w:t xml:space="preserve">Overview of the Data Collection </w:t>
      </w:r>
      <w:r w:rsidR="001F30D9">
        <w:rPr>
          <w:u w:val="single"/>
        </w:rPr>
        <w:t xml:space="preserve">Security </w:t>
      </w:r>
      <w:r w:rsidRPr="00D04B69">
        <w:rPr>
          <w:u w:val="single"/>
        </w:rPr>
        <w:t>System</w:t>
      </w:r>
    </w:p>
    <w:p w14:paraId="486E94E3" w14:textId="77777777" w:rsidR="00D04B69" w:rsidRPr="00D04B69" w:rsidRDefault="00D04B69" w:rsidP="00D04B69">
      <w:pPr>
        <w:spacing w:after="0"/>
        <w:rPr>
          <w:u w:val="single"/>
        </w:rPr>
      </w:pPr>
    </w:p>
    <w:p w14:paraId="55529BC9" w14:textId="77777777" w:rsidR="00D04B69" w:rsidRPr="00D04B69" w:rsidRDefault="00D04B69" w:rsidP="00D04B69">
      <w:r w:rsidRPr="00D04B69">
        <w:rPr>
          <w:b/>
        </w:rPr>
        <w:t xml:space="preserve">Cognitive testing:  </w:t>
      </w:r>
      <w:r w:rsidRPr="00D04B69">
        <w:t xml:space="preserve">Respondent contact information (including name, telephone number, medical practice name and address) will be collected as part of the recruitment process for the cognitive testing </w:t>
      </w:r>
      <w:r w:rsidRPr="00D04B69">
        <w:rPr>
          <w:b/>
        </w:rPr>
        <w:t>(Attachment 4b</w:t>
      </w:r>
      <w:r w:rsidRPr="00D04B69">
        <w:t>).  This information will be maintained in an electronic file on a secure project directory at the contractor</w:t>
      </w:r>
      <w:r w:rsidR="000B16B7">
        <w:t xml:space="preserve">’s </w:t>
      </w:r>
      <w:r w:rsidR="00D27388">
        <w:t>site</w:t>
      </w:r>
      <w:r w:rsidR="007C7392">
        <w:t xml:space="preserve"> until the data collection effort has been completed</w:t>
      </w:r>
      <w:r w:rsidRPr="00D04B69">
        <w:t xml:space="preserve">. </w:t>
      </w:r>
      <w:r w:rsidR="007C7392">
        <w:t xml:space="preserve">Thereafter the information will be transferred to NCHS.  </w:t>
      </w:r>
      <w:r w:rsidRPr="00D04B69">
        <w:t>As stated previously in this document, the contractor</w:t>
      </w:r>
      <w:r w:rsidR="000B16B7">
        <w:t>’s staff</w:t>
      </w:r>
      <w:r w:rsidRPr="00D04B69">
        <w:t xml:space="preserve"> will sign nondisclosure affidavits and will be subject to the terms of the NCHS Designated Agent Agreement.  The interviews will be audio recorded with the recordings maintained in either a locked file cabinet (if cassette) or within the data collection contractor's secure firewall (if digital)</w:t>
      </w:r>
      <w:r w:rsidR="007C7392">
        <w:t xml:space="preserve"> until the data collection has been completed.  Thereafter the information will be transferred to NCHS</w:t>
      </w:r>
      <w:r w:rsidR="00F121B3">
        <w:t>.</w:t>
      </w:r>
    </w:p>
    <w:p w14:paraId="5D2F4742" w14:textId="77777777" w:rsidR="00D04B69" w:rsidRPr="00D04B69" w:rsidRDefault="00D04B69" w:rsidP="00D04B69">
      <w:r w:rsidRPr="00D04B69">
        <w:rPr>
          <w:b/>
        </w:rPr>
        <w:t>Mail Survey Screening</w:t>
      </w:r>
      <w:r w:rsidRPr="00D04B69">
        <w:t xml:space="preserve">:  Information collected during the screening telephone call is intended to: 1) confirm contact information; 2) determine the eligibility of the physician; and 3) assess nonresponse bias. Personnel working on the survey will be granted rights to the information in the system by the project director, who will determine need to know based on the activity the person is doing and the particular requirements of the tasks assigned to that person.  Specified contractor staff will need to have access to this information in order to mail reminder letters and conduct follow-up phone calls.  The PII collected will be restricted to the respondent's contact information at the participating practice.  </w:t>
      </w:r>
    </w:p>
    <w:p w14:paraId="79CD95A0" w14:textId="77777777" w:rsidR="00D04B69" w:rsidRPr="00D04B69" w:rsidRDefault="00D04B69" w:rsidP="00D04B69">
      <w:r w:rsidRPr="00D04B69">
        <w:rPr>
          <w:b/>
        </w:rPr>
        <w:t>Full Mail Survey</w:t>
      </w:r>
      <w:r w:rsidRPr="00D04B69">
        <w:t xml:space="preserve">: No additional PII will be collected by the survey. Surveys will be tracked using a Respondent ID number and will not include any names, addresses or telephone numbers. </w:t>
      </w:r>
    </w:p>
    <w:p w14:paraId="5EF2157B" w14:textId="77777777" w:rsidR="002B781A" w:rsidRDefault="008077D6" w:rsidP="00281079">
      <w:r>
        <w:t xml:space="preserve">As stated previously, </w:t>
      </w:r>
      <w:r w:rsidR="002B781A" w:rsidRPr="002B781A">
        <w:t xml:space="preserve">once the data collection is complete for this survey, the contractor will send all survey data to NCHS including audiotapes. All data (including PII) will then be destroyed by the contractor and a certificate of destruction will be provided to NCHS documenting the </w:t>
      </w:r>
      <w:r w:rsidR="003D5ED9" w:rsidRPr="002B781A">
        <w:t>destruction.</w:t>
      </w:r>
      <w:r w:rsidR="002B781A" w:rsidRPr="002B781A">
        <w:t>  Hard copies of the screening survey forms will be stored in a locked file cabinet at NCHS. If for some reason the original hard copies are to be retained, they will be marked for destruction within 2 years</w:t>
      </w:r>
      <w:r w:rsidR="00281079" w:rsidRPr="00281079">
        <w:t>.</w:t>
      </w:r>
      <w:r w:rsidR="00D04B69" w:rsidRPr="00D04B69">
        <w:t xml:space="preserve"> </w:t>
      </w:r>
      <w:r w:rsidR="00D748C8">
        <w:t xml:space="preserve">These data may be used internally to further analyze the data for publication.  At no time are the </w:t>
      </w:r>
      <w:r w:rsidR="005C5D13">
        <w:t>physicians</w:t>
      </w:r>
      <w:r w:rsidR="00D748C8">
        <w:t xml:space="preserve"> contacted to obtain </w:t>
      </w:r>
      <w:r w:rsidR="005C5D13">
        <w:t xml:space="preserve">further </w:t>
      </w:r>
      <w:r w:rsidR="00D748C8">
        <w:t xml:space="preserve">information. </w:t>
      </w:r>
    </w:p>
    <w:p w14:paraId="082F015B" w14:textId="77777777" w:rsidR="00804FD3" w:rsidRPr="004E461C" w:rsidRDefault="008B72E6" w:rsidP="008B2D04">
      <w:pPr>
        <w:spacing w:after="0"/>
        <w:rPr>
          <w:b/>
          <w:u w:val="single"/>
        </w:rPr>
      </w:pPr>
      <w:r>
        <w:rPr>
          <w:b/>
        </w:rPr>
        <w:t xml:space="preserve">11. </w:t>
      </w:r>
      <w:r w:rsidR="00804FD3" w:rsidRPr="005E2D71">
        <w:rPr>
          <w:b/>
        </w:rPr>
        <w:t>Justification for Sensitive Questions</w:t>
      </w:r>
    </w:p>
    <w:p w14:paraId="0E53A23B" w14:textId="77777777" w:rsidR="008C491E" w:rsidRDefault="008C491E" w:rsidP="008B2D04">
      <w:pPr>
        <w:pStyle w:val="ListParagraph"/>
        <w:spacing w:after="0"/>
        <w:ind w:left="360"/>
        <w:rPr>
          <w:b/>
          <w:u w:val="single"/>
        </w:rPr>
      </w:pPr>
    </w:p>
    <w:p w14:paraId="39835E51" w14:textId="77777777" w:rsidR="00804FD3" w:rsidRDefault="00804FD3" w:rsidP="00804FD3">
      <w:pPr>
        <w:spacing w:after="0"/>
      </w:pPr>
      <w:r w:rsidRPr="005E2D71">
        <w:t xml:space="preserve">This survey will </w:t>
      </w:r>
      <w:r w:rsidR="00417001">
        <w:t>no</w:t>
      </w:r>
      <w:r w:rsidR="00FA0702">
        <w:t>t include</w:t>
      </w:r>
      <w:r w:rsidR="00417001">
        <w:t xml:space="preserve"> </w:t>
      </w:r>
      <w:r w:rsidRPr="005E2D71">
        <w:t xml:space="preserve">questions of a </w:t>
      </w:r>
      <w:r w:rsidR="004E461C">
        <w:t xml:space="preserve">personally </w:t>
      </w:r>
      <w:r w:rsidRPr="005E2D71">
        <w:t>sensitive nature</w:t>
      </w:r>
      <w:r w:rsidR="000E02A0">
        <w:t>.  H</w:t>
      </w:r>
      <w:r w:rsidR="00417001">
        <w:t xml:space="preserve">owever, </w:t>
      </w:r>
      <w:r w:rsidR="00800C21">
        <w:t>respondents will be asked to share information about the policies and systems in place</w:t>
      </w:r>
      <w:r w:rsidR="00FA0702">
        <w:t xml:space="preserve"> at their practices for</w:t>
      </w:r>
      <w:r w:rsidR="00800C21">
        <w:t xml:space="preserve"> treat</w:t>
      </w:r>
      <w:r w:rsidR="00FA0702">
        <w:t>ing</w:t>
      </w:r>
      <w:r w:rsidR="00800C21">
        <w:t xml:space="preserve"> patients with high blood pressure, high cholesterol, and diabetes.  Respondents may assume that their answers reflect the quality of care provided by their practice.  Therefore, the survey questions may be perceived as organizationally sensitive.  </w:t>
      </w:r>
      <w:r w:rsidR="00822AEF">
        <w:t xml:space="preserve">Respondents will be informed of </w:t>
      </w:r>
      <w:r w:rsidR="00417001">
        <w:t>safeguards</w:t>
      </w:r>
      <w:r w:rsidR="00822AEF">
        <w:t xml:space="preserve"> that insure their </w:t>
      </w:r>
      <w:r w:rsidR="003E355E">
        <w:t>data are not identifiable by NCHS</w:t>
      </w:r>
      <w:r w:rsidR="00822AEF">
        <w:t xml:space="preserve"> and informati</w:t>
      </w:r>
      <w:r w:rsidR="00417001">
        <w:t>on will be maintained in a secure manner</w:t>
      </w:r>
      <w:r w:rsidR="00822AEF">
        <w:t xml:space="preserve">.  </w:t>
      </w:r>
    </w:p>
    <w:p w14:paraId="7FC61BB2" w14:textId="77777777" w:rsidR="002E4462" w:rsidRPr="002B781A" w:rsidRDefault="008B72E6" w:rsidP="008B2D04">
      <w:pPr>
        <w:spacing w:after="0"/>
        <w:ind w:left="86"/>
        <w:contextualSpacing/>
        <w:rPr>
          <w:b/>
          <w:u w:val="single"/>
        </w:rPr>
      </w:pPr>
      <w:r>
        <w:rPr>
          <w:b/>
        </w:rPr>
        <w:lastRenderedPageBreak/>
        <w:t>12.</w:t>
      </w:r>
      <w:r w:rsidR="002B781A">
        <w:rPr>
          <w:b/>
        </w:rPr>
        <w:t xml:space="preserve">  </w:t>
      </w:r>
      <w:r w:rsidR="002E4462" w:rsidRPr="002B781A">
        <w:rPr>
          <w:b/>
        </w:rPr>
        <w:t>Estimates of Annualized Burden Hours and Costs</w:t>
      </w:r>
    </w:p>
    <w:p w14:paraId="6E21666F" w14:textId="77777777" w:rsidR="00A8307F" w:rsidRPr="00A8307F" w:rsidRDefault="00A8307F" w:rsidP="008B2D04">
      <w:pPr>
        <w:spacing w:after="0"/>
        <w:ind w:left="86"/>
        <w:contextualSpacing/>
        <w:rPr>
          <w:b/>
          <w:u w:val="single"/>
        </w:rPr>
      </w:pPr>
    </w:p>
    <w:p w14:paraId="1263AA63" w14:textId="77777777" w:rsidR="00B2018A" w:rsidRDefault="008C491E" w:rsidP="00B2018A">
      <w:r w:rsidRPr="001A295C">
        <w:rPr>
          <w:b/>
        </w:rPr>
        <w:t>Cognitive</w:t>
      </w:r>
      <w:r w:rsidRPr="00A8307F">
        <w:rPr>
          <w:b/>
        </w:rPr>
        <w:t xml:space="preserve"> testing</w:t>
      </w:r>
      <w:r w:rsidR="00F102F3" w:rsidRPr="00B179AB">
        <w:t>.</w:t>
      </w:r>
      <w:r w:rsidR="00F102F3" w:rsidRPr="005E2D71">
        <w:t xml:space="preserve"> </w:t>
      </w:r>
      <w:r w:rsidR="00065C1A">
        <w:t xml:space="preserve"> P</w:t>
      </w:r>
      <w:r w:rsidR="00065C1A" w:rsidRPr="005E2D71">
        <w:t xml:space="preserve">rior to </w:t>
      </w:r>
      <w:r w:rsidR="00065C1A">
        <w:t>administration of the baseline survey, c</w:t>
      </w:r>
      <w:r w:rsidR="00F102F3" w:rsidRPr="005E2D71">
        <w:t>ognitive testing</w:t>
      </w:r>
      <w:r w:rsidR="007D0432">
        <w:t xml:space="preserve"> (Attachments 4a-c)</w:t>
      </w:r>
      <w:r w:rsidR="003E355E">
        <w:t xml:space="preserve"> will be conducted with up to </w:t>
      </w:r>
      <w:r w:rsidR="00635BA3">
        <w:t xml:space="preserve">30 </w:t>
      </w:r>
      <w:r w:rsidR="003E355E">
        <w:t xml:space="preserve">physicians </w:t>
      </w:r>
      <w:r w:rsidR="000E02A0">
        <w:t>providing prima</w:t>
      </w:r>
      <w:r w:rsidR="007D0432">
        <w:t xml:space="preserve">ry care and with a specialty of </w:t>
      </w:r>
      <w:r w:rsidR="003E355E">
        <w:t>either</w:t>
      </w:r>
      <w:r w:rsidR="000E02A0">
        <w:t xml:space="preserve"> family practice</w:t>
      </w:r>
      <w:r w:rsidR="00F102F3" w:rsidRPr="005E2D71">
        <w:t xml:space="preserve"> (FP) or internal medicine (IM). </w:t>
      </w:r>
      <w:r w:rsidR="008B72E6" w:rsidRPr="008B72E6">
        <w:t xml:space="preserve">To assure recruitment of the desired number and mix of physicians in terms of specialty type and size and type of practice, the maximum number of </w:t>
      </w:r>
      <w:r w:rsidR="008462F2">
        <w:t xml:space="preserve">5-minute </w:t>
      </w:r>
      <w:r w:rsidR="008B72E6" w:rsidRPr="008B72E6">
        <w:t xml:space="preserve">screenings will be 50. </w:t>
      </w:r>
      <w:r w:rsidR="00B2018A">
        <w:t xml:space="preserve">The contractor will place an advertisement on LinkedIn to recruit physicians to participate in cognitive testing.  The ad will be targeted to LinkedIn members that list themselves as physicians and that are local to the </w:t>
      </w:r>
      <w:r w:rsidR="00DE4ABB">
        <w:t xml:space="preserve">Washington, </w:t>
      </w:r>
      <w:r w:rsidR="00B2018A">
        <w:t>D</w:t>
      </w:r>
      <w:r w:rsidR="00DE4ABB">
        <w:t>.</w:t>
      </w:r>
      <w:r w:rsidR="00B2018A">
        <w:t>C</w:t>
      </w:r>
      <w:r w:rsidR="00DE4ABB">
        <w:t>.</w:t>
      </w:r>
      <w:r w:rsidR="00B2018A">
        <w:t>/Rockville</w:t>
      </w:r>
      <w:r w:rsidR="00DE4ABB">
        <w:t>, MD</w:t>
      </w:r>
      <w:r w:rsidR="00B2018A">
        <w:t xml:space="preserve"> area. </w:t>
      </w:r>
    </w:p>
    <w:p w14:paraId="148C4766" w14:textId="77777777" w:rsidR="00B2018A" w:rsidRDefault="00B2018A" w:rsidP="00B2018A">
      <w:r>
        <w:t xml:space="preserve">Additional recruiting techniques will include requests for assistance from organizations such as the Medical Group Management Association and large health systems, </w:t>
      </w:r>
      <w:r w:rsidR="00D71ABF">
        <w:t xml:space="preserve">and </w:t>
      </w:r>
      <w:r>
        <w:t xml:space="preserve">the distribution of recruiting flyers. </w:t>
      </w:r>
    </w:p>
    <w:p w14:paraId="649BC6B4" w14:textId="77777777" w:rsidR="00BB2ED7" w:rsidRPr="00A8307F" w:rsidRDefault="00F102F3" w:rsidP="00B2018A">
      <w:pPr>
        <w:rPr>
          <w:b/>
          <w:i/>
        </w:rPr>
      </w:pPr>
      <w:r w:rsidRPr="005E2D71">
        <w:t xml:space="preserve">The purpose of the testing will be to further refine the survey instruments.  </w:t>
      </w:r>
      <w:r w:rsidR="00B2018A" w:rsidRPr="00B2018A">
        <w:t>Any resulting changes to the data collection instrument are anticipated to be either cuts or minor wording changes.</w:t>
      </w:r>
      <w:r w:rsidR="00B2018A">
        <w:t xml:space="preserve"> </w:t>
      </w:r>
      <w:r w:rsidRPr="005E2D71">
        <w:t>We anticipate each cognitive interview to take 1.25 hours.</w:t>
      </w:r>
      <w:r w:rsidR="00065C1A">
        <w:t xml:space="preserve">  </w:t>
      </w:r>
      <w:r w:rsidR="00F41BA8">
        <w:t xml:space="preserve">With this </w:t>
      </w:r>
      <w:r w:rsidR="00D71ABF">
        <w:t>two</w:t>
      </w:r>
      <w:r w:rsidR="003E355E">
        <w:t xml:space="preserve">-year </w:t>
      </w:r>
      <w:r w:rsidR="00065C1A">
        <w:t>period</w:t>
      </w:r>
      <w:r w:rsidR="003E355E">
        <w:t xml:space="preserve">, </w:t>
      </w:r>
      <w:r w:rsidR="00065C1A">
        <w:t xml:space="preserve">the </w:t>
      </w:r>
      <w:r w:rsidR="003E355E">
        <w:t>a</w:t>
      </w:r>
      <w:r w:rsidR="00065C1A">
        <w:t>nnualized number of respondents for the cognitive testing in</w:t>
      </w:r>
      <w:r w:rsidR="003E355E">
        <w:t>formatio</w:t>
      </w:r>
      <w:r w:rsidR="00F41BA8">
        <w:t xml:space="preserve">n collection is </w:t>
      </w:r>
      <w:r w:rsidR="00635BA3">
        <w:t xml:space="preserve">15 </w:t>
      </w:r>
      <w:r w:rsidR="00065C1A">
        <w:t>respondents</w:t>
      </w:r>
      <w:r w:rsidR="003E355E">
        <w:t xml:space="preserve"> </w:t>
      </w:r>
      <w:r w:rsidR="00065C1A">
        <w:t xml:space="preserve">and the </w:t>
      </w:r>
      <w:r w:rsidR="00F41BA8">
        <w:t xml:space="preserve">annualized burden is </w:t>
      </w:r>
      <w:r w:rsidR="007C7392">
        <w:t>19</w:t>
      </w:r>
      <w:r w:rsidR="003E355E">
        <w:t xml:space="preserve"> hours</w:t>
      </w:r>
      <w:r w:rsidR="00065C1A">
        <w:t>.</w:t>
      </w:r>
    </w:p>
    <w:p w14:paraId="4722DF80" w14:textId="77777777" w:rsidR="00BB2ED7" w:rsidRPr="005E2D71" w:rsidRDefault="007D0432">
      <w:pPr>
        <w:rPr>
          <w:b/>
          <w:i/>
        </w:rPr>
      </w:pPr>
      <w:r>
        <w:rPr>
          <w:b/>
        </w:rPr>
        <w:t xml:space="preserve">Mail Survey </w:t>
      </w:r>
      <w:r w:rsidR="008C491E" w:rsidRPr="00B179AB">
        <w:rPr>
          <w:b/>
        </w:rPr>
        <w:t>Screening</w:t>
      </w:r>
      <w:r w:rsidR="00F102F3" w:rsidRPr="00911EF4">
        <w:rPr>
          <w:i/>
        </w:rPr>
        <w:t>.</w:t>
      </w:r>
      <w:r w:rsidR="00F102F3" w:rsidRPr="005E2D71">
        <w:t xml:space="preserve">  The telephone screener will be </w:t>
      </w:r>
      <w:r w:rsidR="00065C1A">
        <w:t>administered to the individual who</w:t>
      </w:r>
      <w:r w:rsidR="00F102F3" w:rsidRPr="005E2D71">
        <w:t xml:space="preserve"> answers the phone at the selected practice</w:t>
      </w:r>
      <w:r w:rsidR="00065C1A">
        <w:t xml:space="preserve"> (</w:t>
      </w:r>
      <w:r w:rsidR="005C019F">
        <w:rPr>
          <w:b/>
        </w:rPr>
        <w:t xml:space="preserve">Attachment </w:t>
      </w:r>
      <w:r w:rsidR="00D43AC2">
        <w:rPr>
          <w:b/>
        </w:rPr>
        <w:t>3</w:t>
      </w:r>
      <w:r w:rsidR="005C019F">
        <w:rPr>
          <w:b/>
        </w:rPr>
        <w:t>a</w:t>
      </w:r>
      <w:r w:rsidR="00065C1A">
        <w:t>)</w:t>
      </w:r>
      <w:r w:rsidR="00F102F3" w:rsidRPr="005E2D71">
        <w:t>.  We anticipate that this will likely be an office assistant or medical secretary.  The primary purpose of the screener is to</w:t>
      </w:r>
      <w:r w:rsidR="003E355E">
        <w:t xml:space="preserve"> ensure correct contact information for the physician, so </w:t>
      </w:r>
      <w:r w:rsidR="00F102F3" w:rsidRPr="005E2D71">
        <w:t>we anticipate that an office assistant or medical secretary will be able to answer the screener questions in a short amou</w:t>
      </w:r>
      <w:r w:rsidR="00F41BA8">
        <w:t>nt of time.  We have estimated 10</w:t>
      </w:r>
      <w:r w:rsidR="00F102F3" w:rsidRPr="005E2D71">
        <w:t xml:space="preserve"> minutes</w:t>
      </w:r>
      <w:r w:rsidR="00065C1A">
        <w:t xml:space="preserve"> per response</w:t>
      </w:r>
      <w:r w:rsidR="00F102F3" w:rsidRPr="005E2D71">
        <w:t>.</w:t>
      </w:r>
      <w:r w:rsidR="00ED362A">
        <w:t xml:space="preserve">  Screening will involve approximately </w:t>
      </w:r>
      <w:r w:rsidR="003E355E">
        <w:t>3,000</w:t>
      </w:r>
      <w:r w:rsidR="00ED362A">
        <w:t xml:space="preserve"> respondents, </w:t>
      </w:r>
      <w:r w:rsidR="00065C1A">
        <w:t xml:space="preserve">Over the </w:t>
      </w:r>
      <w:r w:rsidR="009414D7">
        <w:t>two</w:t>
      </w:r>
      <w:r w:rsidR="00065C1A">
        <w:t>-year period of this information collection request, the annualized number of respondents for the screening</w:t>
      </w:r>
      <w:r w:rsidR="003E355E">
        <w:t xml:space="preserve"> information col</w:t>
      </w:r>
      <w:r w:rsidR="00F41BA8">
        <w:t>lection is 1,</w:t>
      </w:r>
      <w:r w:rsidR="009414D7">
        <w:t xml:space="preserve">500 </w:t>
      </w:r>
      <w:r w:rsidR="00065C1A">
        <w:t xml:space="preserve">respondents, and the </w:t>
      </w:r>
      <w:r w:rsidR="00F41BA8">
        <w:t xml:space="preserve">annualized burden is </w:t>
      </w:r>
      <w:r w:rsidR="009414D7">
        <w:t>25</w:t>
      </w:r>
      <w:r w:rsidR="0052075A">
        <w:t>0</w:t>
      </w:r>
      <w:r w:rsidR="009414D7">
        <w:t xml:space="preserve"> </w:t>
      </w:r>
      <w:r w:rsidR="00065C1A">
        <w:t>hours.</w:t>
      </w:r>
    </w:p>
    <w:p w14:paraId="1FE511DC" w14:textId="77777777" w:rsidR="00065C1A" w:rsidRPr="005E2D71" w:rsidRDefault="00482D94" w:rsidP="00065C1A">
      <w:pPr>
        <w:spacing w:after="0"/>
        <w:rPr>
          <w:b/>
          <w:i/>
        </w:rPr>
      </w:pPr>
      <w:r>
        <w:rPr>
          <w:b/>
        </w:rPr>
        <w:t xml:space="preserve">Full </w:t>
      </w:r>
      <w:r w:rsidR="003E355E" w:rsidRPr="00B179AB">
        <w:rPr>
          <w:b/>
        </w:rPr>
        <w:t>Mail</w:t>
      </w:r>
      <w:r w:rsidR="00610035">
        <w:rPr>
          <w:b/>
        </w:rPr>
        <w:t xml:space="preserve"> S</w:t>
      </w:r>
      <w:r w:rsidR="008C491E" w:rsidRPr="00B179AB">
        <w:rPr>
          <w:b/>
        </w:rPr>
        <w:t>urvey</w:t>
      </w:r>
      <w:r w:rsidR="00F102F3" w:rsidRPr="00B179AB">
        <w:t>.</w:t>
      </w:r>
      <w:r w:rsidR="00F102F3" w:rsidRPr="005E2D71">
        <w:t xml:space="preserve">  The target for the </w:t>
      </w:r>
      <w:r w:rsidR="003E355E">
        <w:t xml:space="preserve">mail </w:t>
      </w:r>
      <w:r w:rsidR="00D96DD4">
        <w:t xml:space="preserve">survey is </w:t>
      </w:r>
      <w:r w:rsidR="003E355E">
        <w:t>the selected physician.</w:t>
      </w:r>
      <w:r w:rsidR="00F102F3" w:rsidRPr="005E2D71">
        <w:t xml:space="preserve"> </w:t>
      </w:r>
      <w:r w:rsidR="00FC0422">
        <w:t>The estimated</w:t>
      </w:r>
      <w:r w:rsidR="00F102F3" w:rsidRPr="005E2D71">
        <w:t xml:space="preserve"> </w:t>
      </w:r>
      <w:r w:rsidR="00FC0422">
        <w:t xml:space="preserve">burden per response is </w:t>
      </w:r>
      <w:r w:rsidR="00F102F3" w:rsidRPr="005E2D71">
        <w:t>20 minutes.</w:t>
      </w:r>
      <w:r w:rsidR="007E0CF4">
        <w:t xml:space="preserve">  </w:t>
      </w:r>
      <w:r w:rsidR="004A1AC8">
        <w:t>A</w:t>
      </w:r>
      <w:r w:rsidR="003E355E">
        <w:t xml:space="preserve">pproximately </w:t>
      </w:r>
      <w:r w:rsidR="004764EB">
        <w:t>945</w:t>
      </w:r>
      <w:r w:rsidR="00F41BA8">
        <w:t xml:space="preserve"> </w:t>
      </w:r>
      <w:r w:rsidR="003E355E">
        <w:t>respondents</w:t>
      </w:r>
      <w:r w:rsidR="00F41BA8">
        <w:t xml:space="preserve"> </w:t>
      </w:r>
      <w:r w:rsidR="004A1AC8">
        <w:t xml:space="preserve">are expected to </w:t>
      </w:r>
      <w:r w:rsidR="00F41BA8">
        <w:t>complet</w:t>
      </w:r>
      <w:r w:rsidR="004A1AC8">
        <w:t xml:space="preserve">e the </w:t>
      </w:r>
      <w:r w:rsidR="007D2C25">
        <w:t xml:space="preserve">NAMCS </w:t>
      </w:r>
      <w:r w:rsidR="004A1AC8">
        <w:t>NSPCP</w:t>
      </w:r>
      <w:r w:rsidR="00F41BA8">
        <w:t xml:space="preserve"> questionnaires</w:t>
      </w:r>
      <w:r w:rsidR="003E355E">
        <w:t xml:space="preserve">.  </w:t>
      </w:r>
      <w:r w:rsidR="00065C1A">
        <w:t xml:space="preserve">Over the </w:t>
      </w:r>
      <w:r w:rsidR="009414D7">
        <w:t>two</w:t>
      </w:r>
      <w:r w:rsidR="00065C1A">
        <w:t xml:space="preserve">-year period of this information collection request, the annualized number of respondents for the </w:t>
      </w:r>
      <w:r w:rsidR="003E355E">
        <w:t>mail</w:t>
      </w:r>
      <w:r w:rsidR="00065C1A">
        <w:t xml:space="preserve">-based </w:t>
      </w:r>
      <w:r w:rsidR="007D2C25">
        <w:t xml:space="preserve">NAMCS </w:t>
      </w:r>
      <w:r w:rsidR="00065C1A">
        <w:t>NSPCP information c</w:t>
      </w:r>
      <w:r w:rsidR="003E355E">
        <w:t xml:space="preserve">ollection is </w:t>
      </w:r>
      <w:r w:rsidR="009414D7">
        <w:t xml:space="preserve">473 </w:t>
      </w:r>
      <w:r w:rsidR="00065C1A">
        <w:t xml:space="preserve">respondents, and the </w:t>
      </w:r>
      <w:r w:rsidR="003E355E">
        <w:t xml:space="preserve">average annualized burden is </w:t>
      </w:r>
      <w:r w:rsidR="009414D7">
        <w:t>15</w:t>
      </w:r>
      <w:r w:rsidR="0052075A">
        <w:t>8</w:t>
      </w:r>
      <w:r w:rsidR="009414D7">
        <w:t xml:space="preserve"> </w:t>
      </w:r>
      <w:r w:rsidR="00065C1A">
        <w:t>hours.</w:t>
      </w:r>
    </w:p>
    <w:p w14:paraId="31EAEF07" w14:textId="77777777" w:rsidR="00BB2ED7" w:rsidRPr="005E2D71" w:rsidRDefault="00F102F3">
      <w:pPr>
        <w:spacing w:after="0"/>
      </w:pPr>
      <w:r w:rsidRPr="005E2D71">
        <w:t xml:space="preserve">This is a one-time data collection, so once a respondent has completed the instrument, he/she will not be contacted again.  Table </w:t>
      </w:r>
      <w:r w:rsidR="00271036" w:rsidRPr="005E2D71">
        <w:t xml:space="preserve">A12-1 </w:t>
      </w:r>
      <w:r w:rsidR="00065C1A">
        <w:t>below summarize</w:t>
      </w:r>
      <w:r w:rsidRPr="005E2D71">
        <w:t xml:space="preserve">s the </w:t>
      </w:r>
      <w:r w:rsidR="004A1AC8">
        <w:t>expected</w:t>
      </w:r>
      <w:r w:rsidRPr="005E2D71">
        <w:t xml:space="preserve"> </w:t>
      </w:r>
      <w:r w:rsidR="00065C1A">
        <w:t xml:space="preserve">number of respondents and the estimated </w:t>
      </w:r>
      <w:r w:rsidRPr="005E2D71">
        <w:t xml:space="preserve">burden </w:t>
      </w:r>
      <w:r w:rsidR="00065C1A">
        <w:t>hours</w:t>
      </w:r>
      <w:r w:rsidRPr="005E2D71">
        <w:t xml:space="preserve">. </w:t>
      </w:r>
      <w:r w:rsidR="00065C1A">
        <w:t xml:space="preserve"> The total estimated</w:t>
      </w:r>
      <w:r w:rsidR="003E355E">
        <w:t xml:space="preserve"> annualized burden </w:t>
      </w:r>
      <w:r w:rsidR="00FD6BB4">
        <w:t xml:space="preserve">hours over the </w:t>
      </w:r>
      <w:r w:rsidR="009414D7">
        <w:t>2</w:t>
      </w:r>
      <w:r w:rsidR="00FD6BB4">
        <w:t>-year period are</w:t>
      </w:r>
      <w:r w:rsidR="004764EB">
        <w:t xml:space="preserve"> </w:t>
      </w:r>
      <w:r w:rsidR="007C7392">
        <w:t>429.</w:t>
      </w:r>
    </w:p>
    <w:p w14:paraId="1CE0ABAC" w14:textId="77777777" w:rsidR="00F102F3" w:rsidRPr="005E2D71" w:rsidRDefault="00F102F3" w:rsidP="00804FD3">
      <w:pPr>
        <w:spacing w:after="0"/>
      </w:pPr>
    </w:p>
    <w:p w14:paraId="7226ADF0" w14:textId="77777777" w:rsidR="00FE363E" w:rsidRPr="005E2D71" w:rsidRDefault="00F102F3" w:rsidP="009414D7">
      <w:pPr>
        <w:keepNext/>
        <w:keepLines/>
        <w:spacing w:after="0"/>
      </w:pPr>
      <w:r w:rsidRPr="005E2D71">
        <w:lastRenderedPageBreak/>
        <w:t xml:space="preserve">Table </w:t>
      </w:r>
      <w:r w:rsidR="00172C00" w:rsidRPr="005E2D71">
        <w:t>A</w:t>
      </w:r>
      <w:r w:rsidR="002A4ADD" w:rsidRPr="005E2D71">
        <w:t>12</w:t>
      </w:r>
      <w:r w:rsidR="00172C00" w:rsidRPr="005E2D71">
        <w:t>-1</w:t>
      </w:r>
      <w:r w:rsidR="00090306" w:rsidRPr="005E2D71">
        <w:t>:</w:t>
      </w:r>
      <w:r w:rsidRPr="005E2D71">
        <w:t xml:space="preserve">  Estimated Annualized Burden Hours</w:t>
      </w:r>
    </w:p>
    <w:tbl>
      <w:tblPr>
        <w:tblStyle w:val="TableGrid"/>
        <w:tblW w:w="9648" w:type="dxa"/>
        <w:tblLook w:val="04A0" w:firstRow="1" w:lastRow="0" w:firstColumn="1" w:lastColumn="0" w:noHBand="0" w:noVBand="1"/>
      </w:tblPr>
      <w:tblGrid>
        <w:gridCol w:w="1430"/>
        <w:gridCol w:w="1756"/>
        <w:gridCol w:w="1523"/>
        <w:gridCol w:w="1826"/>
        <w:gridCol w:w="1788"/>
        <w:gridCol w:w="1325"/>
      </w:tblGrid>
      <w:tr w:rsidR="00134E00" w:rsidRPr="005E2D71" w14:paraId="201F562A" w14:textId="77777777" w:rsidTr="00134E00">
        <w:tc>
          <w:tcPr>
            <w:tcW w:w="1368" w:type="dxa"/>
            <w:shd w:val="clear" w:color="auto" w:fill="D9D9D9" w:themeFill="background1" w:themeFillShade="D9"/>
            <w:vAlign w:val="center"/>
          </w:tcPr>
          <w:p w14:paraId="50EBC2D4" w14:textId="77777777" w:rsidR="00F102F3" w:rsidRPr="005E2D71" w:rsidRDefault="00F102F3" w:rsidP="009414D7">
            <w:pPr>
              <w:keepNext/>
              <w:keepLines/>
              <w:jc w:val="center"/>
              <w:rPr>
                <w:b/>
              </w:rPr>
            </w:pPr>
            <w:r w:rsidRPr="005E2D71">
              <w:rPr>
                <w:b/>
              </w:rPr>
              <w:t>Type of Respondent</w:t>
            </w:r>
          </w:p>
        </w:tc>
        <w:tc>
          <w:tcPr>
            <w:tcW w:w="1800" w:type="dxa"/>
            <w:shd w:val="clear" w:color="auto" w:fill="D9D9D9" w:themeFill="background1" w:themeFillShade="D9"/>
            <w:vAlign w:val="center"/>
          </w:tcPr>
          <w:p w14:paraId="7F9E158E" w14:textId="77777777" w:rsidR="00F102F3" w:rsidRPr="005E2D71" w:rsidRDefault="00F102F3" w:rsidP="009414D7">
            <w:pPr>
              <w:keepNext/>
              <w:keepLines/>
              <w:jc w:val="center"/>
              <w:rPr>
                <w:b/>
              </w:rPr>
            </w:pPr>
            <w:r w:rsidRPr="005E2D71">
              <w:rPr>
                <w:b/>
              </w:rPr>
              <w:t>Form Name</w:t>
            </w:r>
          </w:p>
        </w:tc>
        <w:tc>
          <w:tcPr>
            <w:tcW w:w="1440" w:type="dxa"/>
            <w:shd w:val="clear" w:color="auto" w:fill="D9D9D9" w:themeFill="background1" w:themeFillShade="D9"/>
            <w:vAlign w:val="center"/>
          </w:tcPr>
          <w:p w14:paraId="6EADE0EB" w14:textId="77777777" w:rsidR="00F102F3" w:rsidRPr="005E2D71" w:rsidRDefault="00F102F3" w:rsidP="009414D7">
            <w:pPr>
              <w:keepNext/>
              <w:keepLines/>
              <w:jc w:val="center"/>
              <w:rPr>
                <w:b/>
              </w:rPr>
            </w:pPr>
            <w:r w:rsidRPr="005E2D71">
              <w:rPr>
                <w:b/>
              </w:rPr>
              <w:t>No. of Respondents</w:t>
            </w:r>
          </w:p>
        </w:tc>
        <w:tc>
          <w:tcPr>
            <w:tcW w:w="1856" w:type="dxa"/>
            <w:shd w:val="clear" w:color="auto" w:fill="D9D9D9" w:themeFill="background1" w:themeFillShade="D9"/>
            <w:vAlign w:val="center"/>
          </w:tcPr>
          <w:p w14:paraId="1F9A8CC9" w14:textId="77777777" w:rsidR="00F102F3" w:rsidRPr="005E2D71" w:rsidRDefault="00F102F3" w:rsidP="009414D7">
            <w:pPr>
              <w:keepNext/>
              <w:keepLines/>
              <w:jc w:val="center"/>
              <w:rPr>
                <w:b/>
              </w:rPr>
            </w:pPr>
            <w:r w:rsidRPr="005E2D71">
              <w:rPr>
                <w:b/>
              </w:rPr>
              <w:t>No. Responses per Respondent</w:t>
            </w:r>
          </w:p>
        </w:tc>
        <w:tc>
          <w:tcPr>
            <w:tcW w:w="1834" w:type="dxa"/>
            <w:shd w:val="clear" w:color="auto" w:fill="D9D9D9" w:themeFill="background1" w:themeFillShade="D9"/>
            <w:vAlign w:val="center"/>
          </w:tcPr>
          <w:p w14:paraId="0717C6C7" w14:textId="77777777" w:rsidR="00F102F3" w:rsidRPr="005E2D71" w:rsidRDefault="00F102F3" w:rsidP="009414D7">
            <w:pPr>
              <w:keepNext/>
              <w:keepLines/>
              <w:jc w:val="center"/>
              <w:rPr>
                <w:b/>
              </w:rPr>
            </w:pPr>
            <w:r w:rsidRPr="005E2D71">
              <w:rPr>
                <w:b/>
              </w:rPr>
              <w:t>Average Burden per Response</w:t>
            </w:r>
            <w:r w:rsidR="008D5948">
              <w:rPr>
                <w:b/>
              </w:rPr>
              <w:t xml:space="preserve"> (in Hours</w:t>
            </w:r>
            <w:r w:rsidR="00ED362A">
              <w:rPr>
                <w:b/>
              </w:rPr>
              <w:t>)</w:t>
            </w:r>
          </w:p>
        </w:tc>
        <w:tc>
          <w:tcPr>
            <w:tcW w:w="1350" w:type="dxa"/>
            <w:shd w:val="clear" w:color="auto" w:fill="D9D9D9" w:themeFill="background1" w:themeFillShade="D9"/>
            <w:vAlign w:val="center"/>
          </w:tcPr>
          <w:p w14:paraId="363165E8" w14:textId="77777777" w:rsidR="00F102F3" w:rsidRPr="005E2D71" w:rsidRDefault="00F102F3" w:rsidP="009414D7">
            <w:pPr>
              <w:keepNext/>
              <w:keepLines/>
              <w:jc w:val="center"/>
              <w:rPr>
                <w:b/>
              </w:rPr>
            </w:pPr>
            <w:r w:rsidRPr="005E2D71">
              <w:rPr>
                <w:b/>
              </w:rPr>
              <w:t xml:space="preserve">Total Burden </w:t>
            </w:r>
            <w:r w:rsidR="008D5948">
              <w:rPr>
                <w:b/>
              </w:rPr>
              <w:t xml:space="preserve">(in </w:t>
            </w:r>
            <w:r w:rsidRPr="005E2D71">
              <w:rPr>
                <w:b/>
              </w:rPr>
              <w:t>Hours</w:t>
            </w:r>
            <w:r w:rsidR="008D5948">
              <w:rPr>
                <w:b/>
              </w:rPr>
              <w:t>)</w:t>
            </w:r>
          </w:p>
        </w:tc>
      </w:tr>
      <w:tr w:rsidR="000D0822" w:rsidRPr="005E2D71" w14:paraId="42CE9217" w14:textId="77777777" w:rsidTr="00134E00">
        <w:tc>
          <w:tcPr>
            <w:tcW w:w="1368" w:type="dxa"/>
            <w:vAlign w:val="center"/>
          </w:tcPr>
          <w:p w14:paraId="6D395DC6" w14:textId="77777777" w:rsidR="000D0822" w:rsidRPr="005E2D71" w:rsidRDefault="000D0822" w:rsidP="009414D7">
            <w:pPr>
              <w:keepNext/>
              <w:keepLines/>
            </w:pPr>
            <w:r>
              <w:t>Physician</w:t>
            </w:r>
          </w:p>
        </w:tc>
        <w:tc>
          <w:tcPr>
            <w:tcW w:w="1800" w:type="dxa"/>
            <w:vAlign w:val="center"/>
          </w:tcPr>
          <w:p w14:paraId="4CCF70F0" w14:textId="77777777" w:rsidR="000D0822" w:rsidRPr="005E2D71" w:rsidRDefault="000D0822" w:rsidP="009414D7">
            <w:pPr>
              <w:keepNext/>
              <w:keepLines/>
              <w:jc w:val="center"/>
            </w:pPr>
            <w:r>
              <w:t>Cognitive Testing Screener</w:t>
            </w:r>
          </w:p>
        </w:tc>
        <w:tc>
          <w:tcPr>
            <w:tcW w:w="1440" w:type="dxa"/>
            <w:vAlign w:val="center"/>
          </w:tcPr>
          <w:p w14:paraId="4D2C7257" w14:textId="77777777" w:rsidR="000D0822" w:rsidRDefault="00D941B3" w:rsidP="009414D7">
            <w:pPr>
              <w:keepNext/>
              <w:keepLines/>
              <w:jc w:val="center"/>
            </w:pPr>
            <w:r>
              <w:t>25</w:t>
            </w:r>
          </w:p>
        </w:tc>
        <w:tc>
          <w:tcPr>
            <w:tcW w:w="1856" w:type="dxa"/>
            <w:vAlign w:val="center"/>
          </w:tcPr>
          <w:p w14:paraId="3D2B5490" w14:textId="77777777" w:rsidR="000D0822" w:rsidRPr="005E2D71" w:rsidRDefault="000D0822" w:rsidP="009414D7">
            <w:pPr>
              <w:keepNext/>
              <w:keepLines/>
              <w:jc w:val="center"/>
            </w:pPr>
            <w:r>
              <w:t>1</w:t>
            </w:r>
          </w:p>
        </w:tc>
        <w:tc>
          <w:tcPr>
            <w:tcW w:w="1834" w:type="dxa"/>
            <w:vAlign w:val="center"/>
          </w:tcPr>
          <w:p w14:paraId="4257F3CD" w14:textId="77777777" w:rsidR="000D0822" w:rsidRPr="005E2D71" w:rsidRDefault="00D941B3" w:rsidP="009414D7">
            <w:pPr>
              <w:keepNext/>
              <w:keepLines/>
              <w:jc w:val="center"/>
            </w:pPr>
            <w:r>
              <w:t>5</w:t>
            </w:r>
            <w:r w:rsidR="000D0822">
              <w:t>/60</w:t>
            </w:r>
          </w:p>
        </w:tc>
        <w:tc>
          <w:tcPr>
            <w:tcW w:w="1350" w:type="dxa"/>
            <w:vAlign w:val="center"/>
          </w:tcPr>
          <w:p w14:paraId="4330D0FF" w14:textId="77777777" w:rsidR="000D0822" w:rsidRDefault="007C7392" w:rsidP="009414D7">
            <w:pPr>
              <w:keepNext/>
              <w:keepLines/>
              <w:jc w:val="center"/>
            </w:pPr>
            <w:r>
              <w:t>2</w:t>
            </w:r>
          </w:p>
        </w:tc>
      </w:tr>
      <w:tr w:rsidR="00134E00" w:rsidRPr="005E2D71" w14:paraId="13A74C2E" w14:textId="77777777" w:rsidTr="00134E00">
        <w:tc>
          <w:tcPr>
            <w:tcW w:w="1368" w:type="dxa"/>
            <w:vAlign w:val="center"/>
          </w:tcPr>
          <w:p w14:paraId="09C752D4" w14:textId="77777777" w:rsidR="00134E00" w:rsidRPr="005E2D71" w:rsidRDefault="00134E00" w:rsidP="009414D7">
            <w:pPr>
              <w:keepNext/>
              <w:keepLines/>
            </w:pPr>
            <w:r w:rsidRPr="005E2D71">
              <w:t>Physician</w:t>
            </w:r>
          </w:p>
        </w:tc>
        <w:tc>
          <w:tcPr>
            <w:tcW w:w="1800" w:type="dxa"/>
            <w:vAlign w:val="center"/>
          </w:tcPr>
          <w:p w14:paraId="3EC133A8" w14:textId="77777777" w:rsidR="00134E00" w:rsidRPr="005E2D71" w:rsidRDefault="00134E00" w:rsidP="009414D7">
            <w:pPr>
              <w:keepNext/>
              <w:keepLines/>
              <w:jc w:val="center"/>
            </w:pPr>
            <w:r w:rsidRPr="005E2D71">
              <w:t>Cognitive Testing Protocol</w:t>
            </w:r>
          </w:p>
        </w:tc>
        <w:tc>
          <w:tcPr>
            <w:tcW w:w="1440" w:type="dxa"/>
            <w:vAlign w:val="center"/>
          </w:tcPr>
          <w:p w14:paraId="14E7870E" w14:textId="77777777" w:rsidR="00134E00" w:rsidRPr="005E2D71" w:rsidRDefault="009414D7" w:rsidP="009414D7">
            <w:pPr>
              <w:keepNext/>
              <w:keepLines/>
              <w:jc w:val="center"/>
            </w:pPr>
            <w:r>
              <w:t>15</w:t>
            </w:r>
          </w:p>
        </w:tc>
        <w:tc>
          <w:tcPr>
            <w:tcW w:w="1856" w:type="dxa"/>
            <w:vAlign w:val="center"/>
          </w:tcPr>
          <w:p w14:paraId="1134E175" w14:textId="77777777" w:rsidR="00134E00" w:rsidRPr="005E2D71" w:rsidRDefault="00134E00" w:rsidP="009414D7">
            <w:pPr>
              <w:keepNext/>
              <w:keepLines/>
              <w:jc w:val="center"/>
            </w:pPr>
            <w:r w:rsidRPr="005E2D71">
              <w:t>1</w:t>
            </w:r>
          </w:p>
        </w:tc>
        <w:tc>
          <w:tcPr>
            <w:tcW w:w="1834" w:type="dxa"/>
            <w:vAlign w:val="center"/>
          </w:tcPr>
          <w:p w14:paraId="34B9EFEA" w14:textId="77777777" w:rsidR="00134E00" w:rsidRPr="005E2D71" w:rsidRDefault="00B00CA7" w:rsidP="009414D7">
            <w:pPr>
              <w:keepNext/>
              <w:keepLines/>
              <w:jc w:val="center"/>
            </w:pPr>
            <w:r>
              <w:t>1.25</w:t>
            </w:r>
          </w:p>
        </w:tc>
        <w:tc>
          <w:tcPr>
            <w:tcW w:w="1350" w:type="dxa"/>
            <w:vAlign w:val="center"/>
          </w:tcPr>
          <w:p w14:paraId="5C35B681" w14:textId="77777777" w:rsidR="00134E00" w:rsidRPr="00790252" w:rsidRDefault="007C7392" w:rsidP="009414D7">
            <w:pPr>
              <w:keepNext/>
              <w:keepLines/>
              <w:jc w:val="center"/>
            </w:pPr>
            <w:r>
              <w:t>19</w:t>
            </w:r>
          </w:p>
        </w:tc>
      </w:tr>
      <w:tr w:rsidR="00134E00" w:rsidRPr="005E2D71" w14:paraId="649EB008" w14:textId="77777777" w:rsidTr="00134E00">
        <w:tc>
          <w:tcPr>
            <w:tcW w:w="1368" w:type="dxa"/>
            <w:vAlign w:val="center"/>
          </w:tcPr>
          <w:p w14:paraId="142247F9" w14:textId="77777777" w:rsidR="00134E00" w:rsidRPr="005E2D71" w:rsidRDefault="00134E00" w:rsidP="009414D7">
            <w:pPr>
              <w:keepNext/>
              <w:keepLines/>
            </w:pPr>
            <w:r w:rsidRPr="005E2D71">
              <w:t>Medical Secretary</w:t>
            </w:r>
          </w:p>
        </w:tc>
        <w:tc>
          <w:tcPr>
            <w:tcW w:w="1800" w:type="dxa"/>
            <w:vAlign w:val="center"/>
          </w:tcPr>
          <w:p w14:paraId="022FC4F9" w14:textId="77777777" w:rsidR="00134E00" w:rsidRPr="005E2D71" w:rsidRDefault="00145534" w:rsidP="009414D7">
            <w:pPr>
              <w:keepNext/>
              <w:keepLines/>
              <w:jc w:val="center"/>
            </w:pPr>
            <w:r>
              <w:t xml:space="preserve">NAMCS </w:t>
            </w:r>
            <w:r w:rsidR="00134E00">
              <w:t xml:space="preserve">NSPCP </w:t>
            </w:r>
            <w:r w:rsidR="00134E00" w:rsidRPr="005E2D71">
              <w:t>Screener</w:t>
            </w:r>
          </w:p>
        </w:tc>
        <w:tc>
          <w:tcPr>
            <w:tcW w:w="1440" w:type="dxa"/>
            <w:vAlign w:val="center"/>
          </w:tcPr>
          <w:p w14:paraId="7DA429B1" w14:textId="77777777" w:rsidR="00134E00" w:rsidRPr="005E2D71" w:rsidRDefault="00F41BA8" w:rsidP="009414D7">
            <w:pPr>
              <w:keepNext/>
              <w:keepLines/>
              <w:jc w:val="center"/>
            </w:pPr>
            <w:r>
              <w:t>1,</w:t>
            </w:r>
            <w:r w:rsidR="009414D7">
              <w:t>500</w:t>
            </w:r>
          </w:p>
        </w:tc>
        <w:tc>
          <w:tcPr>
            <w:tcW w:w="1856" w:type="dxa"/>
            <w:vAlign w:val="center"/>
          </w:tcPr>
          <w:p w14:paraId="1DE07613" w14:textId="77777777" w:rsidR="00134E00" w:rsidRPr="005E2D71" w:rsidRDefault="00134E00" w:rsidP="009414D7">
            <w:pPr>
              <w:keepNext/>
              <w:keepLines/>
              <w:jc w:val="center"/>
            </w:pPr>
            <w:r w:rsidRPr="005E2D71">
              <w:t>1</w:t>
            </w:r>
          </w:p>
        </w:tc>
        <w:tc>
          <w:tcPr>
            <w:tcW w:w="1834" w:type="dxa"/>
            <w:vAlign w:val="center"/>
          </w:tcPr>
          <w:p w14:paraId="471E6A61" w14:textId="77777777" w:rsidR="00134E00" w:rsidRPr="005E2D71" w:rsidRDefault="00F41BA8" w:rsidP="009414D7">
            <w:pPr>
              <w:keepNext/>
              <w:keepLines/>
              <w:jc w:val="center"/>
            </w:pPr>
            <w:r>
              <w:t>10</w:t>
            </w:r>
            <w:r w:rsidR="00134E00">
              <w:t>/60</w:t>
            </w:r>
          </w:p>
        </w:tc>
        <w:tc>
          <w:tcPr>
            <w:tcW w:w="1350" w:type="dxa"/>
            <w:vAlign w:val="center"/>
          </w:tcPr>
          <w:p w14:paraId="74E3DCE8" w14:textId="77777777" w:rsidR="00134E00" w:rsidRPr="00790252" w:rsidRDefault="009414D7" w:rsidP="0052075A">
            <w:pPr>
              <w:keepNext/>
              <w:keepLines/>
              <w:jc w:val="center"/>
            </w:pPr>
            <w:r>
              <w:t>25</w:t>
            </w:r>
            <w:r w:rsidR="0052075A">
              <w:t>0</w:t>
            </w:r>
          </w:p>
        </w:tc>
      </w:tr>
      <w:tr w:rsidR="00134E00" w:rsidRPr="00F41BA8" w14:paraId="4E36E777" w14:textId="77777777" w:rsidTr="00134E00">
        <w:tc>
          <w:tcPr>
            <w:tcW w:w="1368" w:type="dxa"/>
            <w:vAlign w:val="center"/>
          </w:tcPr>
          <w:p w14:paraId="36D41792" w14:textId="77777777" w:rsidR="00134E00" w:rsidRPr="00F41BA8" w:rsidRDefault="00134E00" w:rsidP="009414D7">
            <w:pPr>
              <w:keepNext/>
              <w:keepLines/>
            </w:pPr>
            <w:r w:rsidRPr="00F41BA8">
              <w:t>Physician</w:t>
            </w:r>
          </w:p>
        </w:tc>
        <w:tc>
          <w:tcPr>
            <w:tcW w:w="1800" w:type="dxa"/>
            <w:vAlign w:val="center"/>
          </w:tcPr>
          <w:p w14:paraId="01990EC4" w14:textId="77777777" w:rsidR="00134E00" w:rsidRPr="00F41BA8" w:rsidRDefault="00145534" w:rsidP="009414D7">
            <w:pPr>
              <w:keepNext/>
              <w:keepLines/>
              <w:jc w:val="center"/>
            </w:pPr>
            <w:r>
              <w:t xml:space="preserve">NAMCS </w:t>
            </w:r>
            <w:r w:rsidR="00134E00" w:rsidRPr="00F41BA8">
              <w:t>NSPCP</w:t>
            </w:r>
          </w:p>
        </w:tc>
        <w:tc>
          <w:tcPr>
            <w:tcW w:w="1440" w:type="dxa"/>
            <w:vAlign w:val="center"/>
          </w:tcPr>
          <w:p w14:paraId="67D816B2" w14:textId="77777777" w:rsidR="00134E00" w:rsidRPr="00F41BA8" w:rsidRDefault="009414D7" w:rsidP="009414D7">
            <w:pPr>
              <w:keepNext/>
              <w:keepLines/>
              <w:jc w:val="center"/>
            </w:pPr>
            <w:r>
              <w:t>473</w:t>
            </w:r>
          </w:p>
        </w:tc>
        <w:tc>
          <w:tcPr>
            <w:tcW w:w="1856" w:type="dxa"/>
            <w:vAlign w:val="center"/>
          </w:tcPr>
          <w:p w14:paraId="67EB8BEC" w14:textId="77777777" w:rsidR="00134E00" w:rsidRPr="00F41BA8" w:rsidRDefault="00134E00" w:rsidP="009414D7">
            <w:pPr>
              <w:keepNext/>
              <w:keepLines/>
              <w:jc w:val="center"/>
            </w:pPr>
            <w:r w:rsidRPr="00F41BA8">
              <w:t>1</w:t>
            </w:r>
          </w:p>
        </w:tc>
        <w:tc>
          <w:tcPr>
            <w:tcW w:w="1834" w:type="dxa"/>
            <w:vAlign w:val="center"/>
          </w:tcPr>
          <w:p w14:paraId="5263B932" w14:textId="77777777" w:rsidR="00134E00" w:rsidRPr="00F41BA8" w:rsidRDefault="00134E00" w:rsidP="009414D7">
            <w:pPr>
              <w:keepNext/>
              <w:keepLines/>
              <w:jc w:val="center"/>
            </w:pPr>
            <w:r w:rsidRPr="00F41BA8">
              <w:t>20/60</w:t>
            </w:r>
          </w:p>
        </w:tc>
        <w:tc>
          <w:tcPr>
            <w:tcW w:w="1350" w:type="dxa"/>
            <w:vAlign w:val="center"/>
          </w:tcPr>
          <w:p w14:paraId="56C4928C" w14:textId="77777777" w:rsidR="00134E00" w:rsidRPr="00F41BA8" w:rsidRDefault="007C7392" w:rsidP="009414D7">
            <w:pPr>
              <w:keepNext/>
              <w:keepLines/>
              <w:jc w:val="center"/>
            </w:pPr>
            <w:r>
              <w:t>158</w:t>
            </w:r>
          </w:p>
        </w:tc>
      </w:tr>
      <w:tr w:rsidR="00134E00" w:rsidRPr="005E2D71" w14:paraId="0E1C9203" w14:textId="77777777" w:rsidTr="00134E00">
        <w:tc>
          <w:tcPr>
            <w:tcW w:w="1368" w:type="dxa"/>
            <w:vAlign w:val="center"/>
          </w:tcPr>
          <w:p w14:paraId="2B5A9B92" w14:textId="77777777" w:rsidR="00134E00" w:rsidRPr="00F41BA8" w:rsidRDefault="00134E00" w:rsidP="009414D7">
            <w:pPr>
              <w:keepNext/>
              <w:keepLines/>
            </w:pPr>
            <w:r w:rsidRPr="00F41BA8">
              <w:t>Total</w:t>
            </w:r>
          </w:p>
        </w:tc>
        <w:tc>
          <w:tcPr>
            <w:tcW w:w="6930" w:type="dxa"/>
            <w:gridSpan w:val="4"/>
            <w:vAlign w:val="center"/>
          </w:tcPr>
          <w:p w14:paraId="4E0EF3A0" w14:textId="77777777" w:rsidR="00134E00" w:rsidRPr="00F41BA8" w:rsidRDefault="00134E00" w:rsidP="009414D7">
            <w:pPr>
              <w:keepNext/>
              <w:keepLines/>
              <w:jc w:val="center"/>
            </w:pPr>
          </w:p>
        </w:tc>
        <w:tc>
          <w:tcPr>
            <w:tcW w:w="1350" w:type="dxa"/>
            <w:vAlign w:val="center"/>
          </w:tcPr>
          <w:p w14:paraId="2EA514D2" w14:textId="77777777" w:rsidR="00134E00" w:rsidRPr="00F41BA8" w:rsidRDefault="007C7392" w:rsidP="0052075A">
            <w:pPr>
              <w:keepNext/>
              <w:keepLines/>
              <w:jc w:val="center"/>
            </w:pPr>
            <w:r>
              <w:t>429</w:t>
            </w:r>
          </w:p>
        </w:tc>
      </w:tr>
    </w:tbl>
    <w:p w14:paraId="791A28C5" w14:textId="77777777" w:rsidR="000D0822" w:rsidRDefault="000D0822" w:rsidP="002A4ADD">
      <w:pPr>
        <w:spacing w:after="0"/>
      </w:pPr>
    </w:p>
    <w:p w14:paraId="7B9B09CB" w14:textId="77777777" w:rsidR="00BB2ED7" w:rsidRPr="009D48C7" w:rsidRDefault="007025C8" w:rsidP="002A4ADD">
      <w:pPr>
        <w:spacing w:after="0"/>
      </w:pPr>
      <w:r w:rsidRPr="00911EF4">
        <w:t>B</w:t>
      </w:r>
      <w:r w:rsidR="000673A6" w:rsidRPr="00911EF4">
        <w:t>.</w:t>
      </w:r>
      <w:r w:rsidR="000673A6" w:rsidRPr="005E2D71">
        <w:t xml:space="preserve"> </w:t>
      </w:r>
      <w:r w:rsidR="00F102F3" w:rsidRPr="005E2D71">
        <w:t xml:space="preserve">Table </w:t>
      </w:r>
      <w:r w:rsidR="00172C00" w:rsidRPr="005E2D71">
        <w:t>A</w:t>
      </w:r>
      <w:r w:rsidR="000673A6" w:rsidRPr="005E2D71">
        <w:t>12</w:t>
      </w:r>
      <w:r w:rsidR="00172C00" w:rsidRPr="005E2D71">
        <w:t>-2</w:t>
      </w:r>
      <w:r w:rsidR="000673A6" w:rsidRPr="005E2D71">
        <w:t xml:space="preserve"> </w:t>
      </w:r>
      <w:r w:rsidR="00B40CC0">
        <w:t>summariz</w:t>
      </w:r>
      <w:r w:rsidR="00F102F3" w:rsidRPr="005E2D71">
        <w:t>es the estimated cost to respondents.  The hourly wages reflect the mean hourly earnings reported by the National Compensation Survey</w:t>
      </w:r>
      <w:r w:rsidR="00F102F3" w:rsidRPr="005E2D71">
        <w:rPr>
          <w:rStyle w:val="FootnoteReference"/>
        </w:rPr>
        <w:footnoteReference w:id="1"/>
      </w:r>
      <w:r w:rsidR="00197E53">
        <w:t xml:space="preserve">.  </w:t>
      </w:r>
      <w:r w:rsidR="00F102F3" w:rsidRPr="005E2D71">
        <w:t xml:space="preserve">The hourly wages for the </w:t>
      </w:r>
      <w:r w:rsidR="00F102F3" w:rsidRPr="009D48C7">
        <w:t>physician are those of family and general practitioners.</w:t>
      </w:r>
      <w:r w:rsidR="00B40CC0" w:rsidRPr="009D48C7">
        <w:t xml:space="preserve">  The total estimated annualized cost to respondents is </w:t>
      </w:r>
      <w:r w:rsidR="004764EB">
        <w:t>$</w:t>
      </w:r>
      <w:r w:rsidR="007C7392">
        <w:t>20,092.50</w:t>
      </w:r>
      <w:r w:rsidR="004764EB">
        <w:t>.</w:t>
      </w:r>
    </w:p>
    <w:p w14:paraId="05D3B73F" w14:textId="77777777" w:rsidR="00F102F3" w:rsidRPr="009D48C7" w:rsidRDefault="00F102F3" w:rsidP="00804FD3">
      <w:pPr>
        <w:spacing w:after="0"/>
      </w:pPr>
    </w:p>
    <w:p w14:paraId="2629A12A" w14:textId="77777777" w:rsidR="00FE363E" w:rsidRPr="009D48C7" w:rsidRDefault="00F102F3">
      <w:pPr>
        <w:spacing w:after="0"/>
      </w:pPr>
      <w:r w:rsidRPr="009D48C7">
        <w:t xml:space="preserve">Table </w:t>
      </w:r>
      <w:r w:rsidR="00090306" w:rsidRPr="009D48C7">
        <w:t>A</w:t>
      </w:r>
      <w:r w:rsidR="000673A6" w:rsidRPr="009D48C7">
        <w:t>12</w:t>
      </w:r>
      <w:r w:rsidR="00172C00" w:rsidRPr="009D48C7">
        <w:t>-2</w:t>
      </w:r>
      <w:r w:rsidR="002A4ADD" w:rsidRPr="009D48C7">
        <w:t xml:space="preserve">: </w:t>
      </w:r>
      <w:r w:rsidRPr="009D48C7">
        <w:t>Estimated Annualized Cost to Respondents</w:t>
      </w:r>
    </w:p>
    <w:tbl>
      <w:tblPr>
        <w:tblStyle w:val="TableGrid"/>
        <w:tblW w:w="9812" w:type="dxa"/>
        <w:tblLook w:val="04A0" w:firstRow="1" w:lastRow="0" w:firstColumn="1" w:lastColumn="0" w:noHBand="0" w:noVBand="1"/>
      </w:tblPr>
      <w:tblGrid>
        <w:gridCol w:w="2128"/>
        <w:gridCol w:w="1999"/>
        <w:gridCol w:w="1588"/>
        <w:gridCol w:w="1605"/>
        <w:gridCol w:w="2492"/>
      </w:tblGrid>
      <w:tr w:rsidR="009414D7" w:rsidRPr="009D48C7" w14:paraId="28A22C30" w14:textId="77777777" w:rsidTr="00F121B3">
        <w:tc>
          <w:tcPr>
            <w:tcW w:w="2128" w:type="dxa"/>
            <w:shd w:val="clear" w:color="auto" w:fill="D9D9D9" w:themeFill="background1" w:themeFillShade="D9"/>
          </w:tcPr>
          <w:p w14:paraId="2618815B" w14:textId="77777777" w:rsidR="009414D7" w:rsidRPr="009D48C7" w:rsidRDefault="009414D7" w:rsidP="003B6D0E">
            <w:pPr>
              <w:jc w:val="center"/>
              <w:rPr>
                <w:b/>
              </w:rPr>
            </w:pPr>
            <w:r w:rsidRPr="009D48C7">
              <w:rPr>
                <w:b/>
              </w:rPr>
              <w:t>Type of Respondent</w:t>
            </w:r>
          </w:p>
        </w:tc>
        <w:tc>
          <w:tcPr>
            <w:tcW w:w="1999" w:type="dxa"/>
            <w:shd w:val="clear" w:color="auto" w:fill="D9D9D9" w:themeFill="background1" w:themeFillShade="D9"/>
            <w:vAlign w:val="center"/>
          </w:tcPr>
          <w:p w14:paraId="15274346" w14:textId="77777777" w:rsidR="009414D7" w:rsidRPr="009D48C7" w:rsidRDefault="009414D7" w:rsidP="003B6D0E">
            <w:pPr>
              <w:jc w:val="center"/>
              <w:rPr>
                <w:b/>
              </w:rPr>
            </w:pPr>
            <w:r w:rsidRPr="009D48C7">
              <w:rPr>
                <w:b/>
              </w:rPr>
              <w:t>Form Name</w:t>
            </w:r>
          </w:p>
        </w:tc>
        <w:tc>
          <w:tcPr>
            <w:tcW w:w="1588" w:type="dxa"/>
            <w:shd w:val="clear" w:color="auto" w:fill="D9D9D9" w:themeFill="background1" w:themeFillShade="D9"/>
          </w:tcPr>
          <w:p w14:paraId="1E4C8549" w14:textId="77777777" w:rsidR="009414D7" w:rsidRPr="009D48C7" w:rsidRDefault="009414D7" w:rsidP="003B6D0E">
            <w:pPr>
              <w:jc w:val="center"/>
              <w:rPr>
                <w:b/>
              </w:rPr>
            </w:pPr>
            <w:r w:rsidRPr="009D48C7">
              <w:rPr>
                <w:b/>
              </w:rPr>
              <w:t>Total Burden Hours</w:t>
            </w:r>
          </w:p>
        </w:tc>
        <w:tc>
          <w:tcPr>
            <w:tcW w:w="1605" w:type="dxa"/>
            <w:shd w:val="clear" w:color="auto" w:fill="D9D9D9" w:themeFill="background1" w:themeFillShade="D9"/>
          </w:tcPr>
          <w:p w14:paraId="78A2057A" w14:textId="77777777" w:rsidR="009414D7" w:rsidRPr="009D48C7" w:rsidRDefault="009414D7" w:rsidP="003B6D0E">
            <w:pPr>
              <w:jc w:val="center"/>
              <w:rPr>
                <w:b/>
              </w:rPr>
            </w:pPr>
            <w:r w:rsidRPr="009D48C7">
              <w:rPr>
                <w:b/>
              </w:rPr>
              <w:t>Hourly Wage Rate</w:t>
            </w:r>
          </w:p>
        </w:tc>
        <w:tc>
          <w:tcPr>
            <w:tcW w:w="2492" w:type="dxa"/>
            <w:shd w:val="clear" w:color="auto" w:fill="D9D9D9" w:themeFill="background1" w:themeFillShade="D9"/>
          </w:tcPr>
          <w:p w14:paraId="7AB90FDB" w14:textId="77777777" w:rsidR="009414D7" w:rsidRPr="009D48C7" w:rsidRDefault="009414D7" w:rsidP="003B6D0E">
            <w:pPr>
              <w:jc w:val="center"/>
              <w:rPr>
                <w:b/>
              </w:rPr>
            </w:pPr>
            <w:r w:rsidRPr="009D48C7">
              <w:rPr>
                <w:b/>
              </w:rPr>
              <w:t>Total Respondent Costs</w:t>
            </w:r>
          </w:p>
        </w:tc>
      </w:tr>
      <w:tr w:rsidR="009414D7" w:rsidRPr="009D48C7" w14:paraId="35479FAE" w14:textId="77777777" w:rsidTr="00F121B3">
        <w:tc>
          <w:tcPr>
            <w:tcW w:w="2128" w:type="dxa"/>
            <w:vAlign w:val="center"/>
          </w:tcPr>
          <w:p w14:paraId="7085E901" w14:textId="77777777" w:rsidR="009414D7" w:rsidRPr="009D48C7" w:rsidRDefault="009414D7" w:rsidP="003B6D0E">
            <w:r>
              <w:t>Physician</w:t>
            </w:r>
          </w:p>
        </w:tc>
        <w:tc>
          <w:tcPr>
            <w:tcW w:w="1999" w:type="dxa"/>
            <w:vAlign w:val="center"/>
          </w:tcPr>
          <w:p w14:paraId="5C48B4B6" w14:textId="77777777" w:rsidR="009414D7" w:rsidRPr="009D48C7" w:rsidRDefault="009414D7" w:rsidP="003B6D0E">
            <w:pPr>
              <w:jc w:val="center"/>
            </w:pPr>
            <w:r>
              <w:t>Cognitive Testing Screener</w:t>
            </w:r>
          </w:p>
        </w:tc>
        <w:tc>
          <w:tcPr>
            <w:tcW w:w="1588" w:type="dxa"/>
            <w:vAlign w:val="center"/>
          </w:tcPr>
          <w:p w14:paraId="6C4992F1" w14:textId="77777777" w:rsidR="009414D7" w:rsidRPr="009D48C7" w:rsidRDefault="007C7392" w:rsidP="00F27A8E">
            <w:pPr>
              <w:jc w:val="center"/>
            </w:pPr>
            <w:r>
              <w:t>2</w:t>
            </w:r>
          </w:p>
        </w:tc>
        <w:tc>
          <w:tcPr>
            <w:tcW w:w="1605" w:type="dxa"/>
            <w:vAlign w:val="center"/>
          </w:tcPr>
          <w:p w14:paraId="5D9705CF" w14:textId="77777777" w:rsidR="009414D7" w:rsidRPr="009D48C7" w:rsidRDefault="009414D7" w:rsidP="003B6D0E">
            <w:pPr>
              <w:jc w:val="center"/>
            </w:pPr>
            <w:r>
              <w:t>$90.00</w:t>
            </w:r>
          </w:p>
        </w:tc>
        <w:tc>
          <w:tcPr>
            <w:tcW w:w="2492" w:type="dxa"/>
            <w:vAlign w:val="center"/>
          </w:tcPr>
          <w:p w14:paraId="05C6C386" w14:textId="77777777" w:rsidR="009414D7" w:rsidRPr="009D48C7" w:rsidRDefault="009414D7" w:rsidP="00A43298">
            <w:pPr>
              <w:jc w:val="center"/>
            </w:pPr>
            <w:r>
              <w:t>$</w:t>
            </w:r>
            <w:r w:rsidR="00A43298">
              <w:t>180</w:t>
            </w:r>
            <w:r w:rsidR="00F121B3">
              <w:t>.00</w:t>
            </w:r>
          </w:p>
        </w:tc>
      </w:tr>
      <w:tr w:rsidR="009414D7" w:rsidRPr="009D48C7" w14:paraId="7E8113F9" w14:textId="77777777" w:rsidTr="00F121B3">
        <w:tc>
          <w:tcPr>
            <w:tcW w:w="2128" w:type="dxa"/>
            <w:vAlign w:val="center"/>
          </w:tcPr>
          <w:p w14:paraId="17C5B24D" w14:textId="77777777" w:rsidR="009414D7" w:rsidRPr="009D48C7" w:rsidRDefault="009414D7" w:rsidP="003B6D0E">
            <w:r w:rsidRPr="009D48C7">
              <w:t>Physician</w:t>
            </w:r>
          </w:p>
        </w:tc>
        <w:tc>
          <w:tcPr>
            <w:tcW w:w="1999" w:type="dxa"/>
            <w:vAlign w:val="center"/>
          </w:tcPr>
          <w:p w14:paraId="1655F085" w14:textId="77777777" w:rsidR="009414D7" w:rsidRPr="009D48C7" w:rsidRDefault="009414D7" w:rsidP="003B6D0E">
            <w:pPr>
              <w:jc w:val="center"/>
            </w:pPr>
            <w:r w:rsidRPr="009D48C7">
              <w:t>Cognitive Testing Protocol</w:t>
            </w:r>
          </w:p>
        </w:tc>
        <w:tc>
          <w:tcPr>
            <w:tcW w:w="1588" w:type="dxa"/>
            <w:vAlign w:val="center"/>
          </w:tcPr>
          <w:p w14:paraId="79F8C8CC" w14:textId="77777777" w:rsidR="009414D7" w:rsidRPr="009D48C7" w:rsidRDefault="00A43298" w:rsidP="003B6D0E">
            <w:pPr>
              <w:jc w:val="center"/>
            </w:pPr>
            <w:r>
              <w:t>19</w:t>
            </w:r>
          </w:p>
        </w:tc>
        <w:tc>
          <w:tcPr>
            <w:tcW w:w="1605" w:type="dxa"/>
            <w:vAlign w:val="center"/>
          </w:tcPr>
          <w:p w14:paraId="583C39F0" w14:textId="77777777" w:rsidR="009414D7" w:rsidRPr="009D48C7" w:rsidRDefault="009414D7" w:rsidP="003B6D0E">
            <w:pPr>
              <w:jc w:val="center"/>
            </w:pPr>
            <w:r w:rsidRPr="009D48C7">
              <w:t>$</w:t>
            </w:r>
            <w:r>
              <w:t>90.00</w:t>
            </w:r>
          </w:p>
        </w:tc>
        <w:tc>
          <w:tcPr>
            <w:tcW w:w="2492" w:type="dxa"/>
            <w:vAlign w:val="center"/>
          </w:tcPr>
          <w:p w14:paraId="19878189" w14:textId="77777777" w:rsidR="009414D7" w:rsidRPr="009D48C7" w:rsidRDefault="009414D7" w:rsidP="007C7392">
            <w:pPr>
              <w:jc w:val="center"/>
            </w:pPr>
            <w:r w:rsidRPr="009D48C7">
              <w:t>$</w:t>
            </w:r>
            <w:r w:rsidR="007C7392">
              <w:t>1710.00</w:t>
            </w:r>
          </w:p>
        </w:tc>
      </w:tr>
      <w:tr w:rsidR="009414D7" w:rsidRPr="009D48C7" w14:paraId="55DEA4F6" w14:textId="77777777" w:rsidTr="00F121B3">
        <w:tc>
          <w:tcPr>
            <w:tcW w:w="2128" w:type="dxa"/>
            <w:vAlign w:val="center"/>
          </w:tcPr>
          <w:p w14:paraId="38E821EE" w14:textId="77777777" w:rsidR="009414D7" w:rsidRPr="009D48C7" w:rsidRDefault="009414D7" w:rsidP="003B6D0E">
            <w:r w:rsidRPr="009D48C7">
              <w:t>Medical Secretary</w:t>
            </w:r>
          </w:p>
        </w:tc>
        <w:tc>
          <w:tcPr>
            <w:tcW w:w="1999" w:type="dxa"/>
            <w:vAlign w:val="center"/>
          </w:tcPr>
          <w:p w14:paraId="3C6A85A5" w14:textId="77777777" w:rsidR="009414D7" w:rsidRPr="009D48C7" w:rsidRDefault="007D2C25" w:rsidP="003B6D0E">
            <w:pPr>
              <w:jc w:val="center"/>
            </w:pPr>
            <w:r>
              <w:t xml:space="preserve">NAMCS </w:t>
            </w:r>
            <w:r w:rsidR="009414D7" w:rsidRPr="009D48C7">
              <w:t>NSPCP Screener</w:t>
            </w:r>
          </w:p>
        </w:tc>
        <w:tc>
          <w:tcPr>
            <w:tcW w:w="1588" w:type="dxa"/>
            <w:vAlign w:val="center"/>
          </w:tcPr>
          <w:p w14:paraId="5D95F124" w14:textId="77777777" w:rsidR="009414D7" w:rsidRPr="009D48C7" w:rsidRDefault="009414D7" w:rsidP="00F1765B">
            <w:pPr>
              <w:jc w:val="center"/>
            </w:pPr>
            <w:r>
              <w:t>25</w:t>
            </w:r>
            <w:r w:rsidR="00F1765B">
              <w:t>0</w:t>
            </w:r>
          </w:p>
        </w:tc>
        <w:tc>
          <w:tcPr>
            <w:tcW w:w="1605" w:type="dxa"/>
            <w:vAlign w:val="center"/>
          </w:tcPr>
          <w:p w14:paraId="5C50E8FD" w14:textId="77777777" w:rsidR="009414D7" w:rsidRPr="009D48C7" w:rsidRDefault="009414D7" w:rsidP="003B6D0E">
            <w:pPr>
              <w:jc w:val="center"/>
            </w:pPr>
            <w:r w:rsidRPr="009D48C7">
              <w:t>$</w:t>
            </w:r>
            <w:r>
              <w:t>15.93</w:t>
            </w:r>
          </w:p>
        </w:tc>
        <w:tc>
          <w:tcPr>
            <w:tcW w:w="2492" w:type="dxa"/>
            <w:vAlign w:val="center"/>
          </w:tcPr>
          <w:p w14:paraId="270715DE" w14:textId="77777777" w:rsidR="009414D7" w:rsidRPr="009D48C7" w:rsidRDefault="009414D7" w:rsidP="00F1765B">
            <w:pPr>
              <w:jc w:val="center"/>
            </w:pPr>
            <w:r w:rsidRPr="009D48C7">
              <w:t>$</w:t>
            </w:r>
            <w:r w:rsidR="00F1765B">
              <w:t>3,982.50</w:t>
            </w:r>
          </w:p>
        </w:tc>
      </w:tr>
      <w:tr w:rsidR="009414D7" w:rsidRPr="009D48C7" w14:paraId="6F6894C6" w14:textId="77777777" w:rsidTr="00F121B3">
        <w:tc>
          <w:tcPr>
            <w:tcW w:w="2128" w:type="dxa"/>
            <w:vAlign w:val="center"/>
          </w:tcPr>
          <w:p w14:paraId="596B5DDD" w14:textId="77777777" w:rsidR="009414D7" w:rsidRPr="009D48C7" w:rsidRDefault="009414D7" w:rsidP="003B6D0E">
            <w:r w:rsidRPr="009D48C7">
              <w:t>Physician</w:t>
            </w:r>
          </w:p>
        </w:tc>
        <w:tc>
          <w:tcPr>
            <w:tcW w:w="1999" w:type="dxa"/>
            <w:vAlign w:val="center"/>
          </w:tcPr>
          <w:p w14:paraId="06FCC1BA" w14:textId="77777777" w:rsidR="009414D7" w:rsidRPr="009D48C7" w:rsidRDefault="007D2C25" w:rsidP="003B6D0E">
            <w:pPr>
              <w:jc w:val="center"/>
            </w:pPr>
            <w:r>
              <w:t xml:space="preserve">NAMCS </w:t>
            </w:r>
            <w:r w:rsidR="009414D7" w:rsidRPr="009D48C7">
              <w:t>NSPCP</w:t>
            </w:r>
          </w:p>
        </w:tc>
        <w:tc>
          <w:tcPr>
            <w:tcW w:w="1588" w:type="dxa"/>
            <w:vAlign w:val="center"/>
          </w:tcPr>
          <w:p w14:paraId="29A0B944" w14:textId="77777777" w:rsidR="009414D7" w:rsidRPr="009D48C7" w:rsidRDefault="00A43298" w:rsidP="003B6D0E">
            <w:pPr>
              <w:jc w:val="center"/>
            </w:pPr>
            <w:r>
              <w:t>158</w:t>
            </w:r>
          </w:p>
        </w:tc>
        <w:tc>
          <w:tcPr>
            <w:tcW w:w="1605" w:type="dxa"/>
            <w:vAlign w:val="center"/>
          </w:tcPr>
          <w:p w14:paraId="15F01E21" w14:textId="77777777" w:rsidR="009414D7" w:rsidRPr="009D48C7" w:rsidRDefault="009414D7" w:rsidP="003B6D0E">
            <w:pPr>
              <w:jc w:val="center"/>
            </w:pPr>
            <w:r w:rsidRPr="009D48C7">
              <w:t>$</w:t>
            </w:r>
            <w:r>
              <w:t>90.00</w:t>
            </w:r>
          </w:p>
        </w:tc>
        <w:tc>
          <w:tcPr>
            <w:tcW w:w="2492" w:type="dxa"/>
            <w:vAlign w:val="center"/>
          </w:tcPr>
          <w:p w14:paraId="37C082D9" w14:textId="77777777" w:rsidR="009414D7" w:rsidRPr="009D48C7" w:rsidRDefault="009414D7" w:rsidP="00F1765B">
            <w:pPr>
              <w:jc w:val="center"/>
            </w:pPr>
            <w:r>
              <w:t>$14,</w:t>
            </w:r>
            <w:r w:rsidR="00A83BE3">
              <w:t>220</w:t>
            </w:r>
            <w:r w:rsidR="00F1765B">
              <w:t>.</w:t>
            </w:r>
            <w:r w:rsidR="00A83BE3">
              <w:t>0</w:t>
            </w:r>
            <w:r w:rsidR="00F1765B">
              <w:t>0</w:t>
            </w:r>
          </w:p>
        </w:tc>
      </w:tr>
      <w:tr w:rsidR="009414D7" w:rsidRPr="005E2D71" w14:paraId="39873BB7" w14:textId="77777777" w:rsidTr="00F121B3">
        <w:tc>
          <w:tcPr>
            <w:tcW w:w="2128" w:type="dxa"/>
            <w:vAlign w:val="center"/>
          </w:tcPr>
          <w:p w14:paraId="1A2056E2" w14:textId="77777777" w:rsidR="009414D7" w:rsidRPr="009D48C7" w:rsidRDefault="009414D7" w:rsidP="003B6D0E">
            <w:r w:rsidRPr="009D48C7">
              <w:t>Total</w:t>
            </w:r>
          </w:p>
        </w:tc>
        <w:tc>
          <w:tcPr>
            <w:tcW w:w="5192" w:type="dxa"/>
            <w:gridSpan w:val="3"/>
            <w:vAlign w:val="center"/>
          </w:tcPr>
          <w:p w14:paraId="65B1E5C1" w14:textId="77777777" w:rsidR="009414D7" w:rsidRPr="009D48C7" w:rsidRDefault="009414D7" w:rsidP="003B6D0E">
            <w:pPr>
              <w:jc w:val="center"/>
            </w:pPr>
          </w:p>
        </w:tc>
        <w:tc>
          <w:tcPr>
            <w:tcW w:w="2492" w:type="dxa"/>
            <w:vAlign w:val="center"/>
          </w:tcPr>
          <w:p w14:paraId="74C80C27" w14:textId="77777777" w:rsidR="009414D7" w:rsidRPr="009D48C7" w:rsidRDefault="009414D7" w:rsidP="00A43298">
            <w:pPr>
              <w:jc w:val="center"/>
            </w:pPr>
            <w:r w:rsidRPr="009D48C7">
              <w:t>$</w:t>
            </w:r>
            <w:r w:rsidR="00A43298">
              <w:t>20,092.50</w:t>
            </w:r>
          </w:p>
        </w:tc>
      </w:tr>
    </w:tbl>
    <w:p w14:paraId="140AA596" w14:textId="77777777" w:rsidR="008B2D04" w:rsidRDefault="008B2D04" w:rsidP="002B781A">
      <w:pPr>
        <w:spacing w:after="0"/>
        <w:ind w:left="360"/>
        <w:rPr>
          <w:b/>
        </w:rPr>
      </w:pPr>
    </w:p>
    <w:p w14:paraId="777F379E" w14:textId="77777777" w:rsidR="00FE363E" w:rsidRDefault="00FE363E" w:rsidP="002B781A">
      <w:pPr>
        <w:spacing w:after="0"/>
        <w:ind w:left="360"/>
        <w:rPr>
          <w:b/>
        </w:rPr>
      </w:pPr>
    </w:p>
    <w:p w14:paraId="66859737" w14:textId="77777777" w:rsidR="00BA5349" w:rsidRPr="002B781A" w:rsidRDefault="00832626" w:rsidP="002B781A">
      <w:pPr>
        <w:spacing w:after="0"/>
        <w:ind w:left="360"/>
        <w:rPr>
          <w:b/>
          <w:u w:val="single"/>
        </w:rPr>
      </w:pPr>
      <w:r>
        <w:rPr>
          <w:b/>
        </w:rPr>
        <w:t xml:space="preserve">13. </w:t>
      </w:r>
      <w:r w:rsidR="00BA5349" w:rsidRPr="002B781A">
        <w:rPr>
          <w:b/>
        </w:rPr>
        <w:t>Estimates of Other Total Annual Cost Burden to Respondents or Record Keepers</w:t>
      </w:r>
    </w:p>
    <w:p w14:paraId="2E070BB2" w14:textId="77777777" w:rsidR="002B781A" w:rsidRDefault="00CE5295" w:rsidP="007D2C25">
      <w:pPr>
        <w:spacing w:after="0"/>
      </w:pPr>
      <w:r w:rsidRPr="005E2D71">
        <w:t>There are no capital or start-up costs, and there are no costs to the respondents or record keepers for operation and maintenance of services.</w:t>
      </w:r>
    </w:p>
    <w:p w14:paraId="5F588906" w14:textId="77777777" w:rsidR="00CE5295" w:rsidRPr="002B781A" w:rsidRDefault="00832626" w:rsidP="002B781A">
      <w:pPr>
        <w:spacing w:after="0"/>
        <w:ind w:left="360"/>
        <w:rPr>
          <w:b/>
          <w:u w:val="single"/>
        </w:rPr>
      </w:pPr>
      <w:r>
        <w:rPr>
          <w:b/>
        </w:rPr>
        <w:lastRenderedPageBreak/>
        <w:t xml:space="preserve">14. </w:t>
      </w:r>
      <w:r w:rsidR="00CE5295" w:rsidRPr="002B781A">
        <w:rPr>
          <w:b/>
        </w:rPr>
        <w:t>Annualized Cost to the Government</w:t>
      </w:r>
    </w:p>
    <w:p w14:paraId="628D9174" w14:textId="77777777" w:rsidR="009B773C" w:rsidRDefault="009B773C" w:rsidP="00804FD3">
      <w:pPr>
        <w:spacing w:after="0"/>
      </w:pPr>
    </w:p>
    <w:p w14:paraId="6C120D05" w14:textId="77777777" w:rsidR="00CE5295" w:rsidRPr="00DA2559" w:rsidRDefault="009B773C" w:rsidP="00804FD3">
      <w:pPr>
        <w:spacing w:after="0"/>
      </w:pPr>
      <w:r>
        <w:t>The data collection c</w:t>
      </w:r>
      <w:r w:rsidR="00CE5295" w:rsidRPr="005E2D71">
        <w:t>ontractor will conduct t</w:t>
      </w:r>
      <w:r w:rsidR="008D4B08">
        <w:t>he majority of tasks</w:t>
      </w:r>
      <w:r w:rsidR="00CE5295" w:rsidRPr="005E2D71">
        <w:t xml:space="preserve"> associated with this data collection effort</w:t>
      </w:r>
      <w:r>
        <w:t xml:space="preserve">, including </w:t>
      </w:r>
      <w:r w:rsidR="003C1549">
        <w:t xml:space="preserve">recruiting participants through telephone, sending reminder letters to participants, </w:t>
      </w:r>
      <w:r w:rsidR="001E6C15">
        <w:t xml:space="preserve">designing, printing and mailing </w:t>
      </w:r>
      <w:r w:rsidR="003C1549">
        <w:t xml:space="preserve">the survey instrument, </w:t>
      </w:r>
      <w:r w:rsidR="008D4B08">
        <w:t xml:space="preserve">collecting and </w:t>
      </w:r>
      <w:r w:rsidR="003C1549">
        <w:t>safeguarding data, and performing data cl</w:t>
      </w:r>
      <w:r w:rsidR="00066692">
        <w:t>eaning and rudimentary analysis</w:t>
      </w:r>
      <w:r w:rsidR="00CE5295" w:rsidRPr="005E2D71">
        <w:t xml:space="preserve">.  </w:t>
      </w:r>
      <w:r>
        <w:t xml:space="preserve">Costs to the government also include </w:t>
      </w:r>
      <w:r w:rsidR="001E6C15">
        <w:t xml:space="preserve">NCHS and </w:t>
      </w:r>
      <w:r w:rsidR="00CE5295" w:rsidRPr="005E2D71">
        <w:t xml:space="preserve">CDC time and effort for </w:t>
      </w:r>
      <w:r w:rsidR="004A1AC8">
        <w:t xml:space="preserve">selecting the physician sample, </w:t>
      </w:r>
      <w:r w:rsidR="00CE5295" w:rsidRPr="005E2D71">
        <w:t xml:space="preserve">overseeing </w:t>
      </w:r>
      <w:r w:rsidR="00CE5295" w:rsidRPr="00DA2559">
        <w:t>the contract, providing technical expertise, and answering questions posed by the contractor</w:t>
      </w:r>
      <w:r w:rsidRPr="00DA2559">
        <w:t xml:space="preserve">.  CDC estimates personnel time as </w:t>
      </w:r>
      <w:r w:rsidR="00CE5295" w:rsidRPr="00DA2559">
        <w:t>15% FTE (5% time for three individuals</w:t>
      </w:r>
      <w:r w:rsidRPr="00DA2559">
        <w:t xml:space="preserve"> @ GS-</w:t>
      </w:r>
      <w:r w:rsidR="00612278" w:rsidRPr="00DA2559">
        <w:t>13</w:t>
      </w:r>
      <w:r w:rsidR="00CE5295" w:rsidRPr="00DA2559">
        <w:t xml:space="preserve"> with $</w:t>
      </w:r>
      <w:r w:rsidR="0097116A" w:rsidRPr="00DA2559">
        <w:t>101, 914</w:t>
      </w:r>
      <w:r w:rsidR="00CE5295" w:rsidRPr="00DA2559">
        <w:t xml:space="preserve"> used as the estimated average per annum rate</w:t>
      </w:r>
      <w:r w:rsidR="00172C00" w:rsidRPr="00DA2559">
        <w:t xml:space="preserve"> (Table A14-1)</w:t>
      </w:r>
      <w:r w:rsidR="00CE5295" w:rsidRPr="00DA2559">
        <w:t>.</w:t>
      </w:r>
      <w:r w:rsidRPr="00DA2559">
        <w:t xml:space="preserve">  The total estimated annual cost to the government is $</w:t>
      </w:r>
      <w:r w:rsidR="005E6028">
        <w:t>197,595</w:t>
      </w:r>
      <w:r w:rsidRPr="00DA2559">
        <w:t>.</w:t>
      </w:r>
    </w:p>
    <w:p w14:paraId="0B8A58A7" w14:textId="77777777" w:rsidR="00B179AB" w:rsidRPr="00DA2559" w:rsidRDefault="00B179AB" w:rsidP="00804FD3">
      <w:pPr>
        <w:spacing w:after="0"/>
      </w:pPr>
    </w:p>
    <w:p w14:paraId="5577BE6E" w14:textId="77777777" w:rsidR="00090306" w:rsidRPr="00DA2559" w:rsidRDefault="00090306" w:rsidP="00804FD3">
      <w:pPr>
        <w:spacing w:after="0"/>
      </w:pPr>
      <w:r w:rsidRPr="00DA2559">
        <w:t>Table A14-1: Annualized Cost to Government</w:t>
      </w:r>
    </w:p>
    <w:tbl>
      <w:tblPr>
        <w:tblStyle w:val="TableGrid"/>
        <w:tblW w:w="0" w:type="auto"/>
        <w:jc w:val="center"/>
        <w:tblLook w:val="04A0" w:firstRow="1" w:lastRow="0" w:firstColumn="1" w:lastColumn="0" w:noHBand="0" w:noVBand="1"/>
      </w:tblPr>
      <w:tblGrid>
        <w:gridCol w:w="1998"/>
        <w:gridCol w:w="1980"/>
      </w:tblGrid>
      <w:tr w:rsidR="00CE5295" w:rsidRPr="00DA2559" w14:paraId="3212FFA7" w14:textId="77777777" w:rsidTr="00FA372B">
        <w:trPr>
          <w:jc w:val="center"/>
        </w:trPr>
        <w:tc>
          <w:tcPr>
            <w:tcW w:w="1998" w:type="dxa"/>
            <w:tcBorders>
              <w:top w:val="nil"/>
              <w:left w:val="nil"/>
            </w:tcBorders>
          </w:tcPr>
          <w:p w14:paraId="6DD171E7" w14:textId="77777777" w:rsidR="00CE5295" w:rsidRPr="00DA2559" w:rsidRDefault="00CE5295" w:rsidP="00CE5295"/>
        </w:tc>
        <w:tc>
          <w:tcPr>
            <w:tcW w:w="1980" w:type="dxa"/>
            <w:shd w:val="clear" w:color="auto" w:fill="BFBFBF" w:themeFill="background1" w:themeFillShade="BF"/>
            <w:vAlign w:val="center"/>
          </w:tcPr>
          <w:p w14:paraId="170B92FF" w14:textId="77777777" w:rsidR="00CE5295" w:rsidRPr="00DA2559" w:rsidRDefault="00CE5295" w:rsidP="00CE5295">
            <w:pPr>
              <w:rPr>
                <w:b/>
              </w:rPr>
            </w:pPr>
            <w:r w:rsidRPr="00DA2559">
              <w:rPr>
                <w:b/>
              </w:rPr>
              <w:t>Annualized Cost</w:t>
            </w:r>
          </w:p>
        </w:tc>
      </w:tr>
      <w:tr w:rsidR="00CE5295" w:rsidRPr="00DA2559" w14:paraId="2B11E765" w14:textId="77777777" w:rsidTr="00FA372B">
        <w:trPr>
          <w:jc w:val="center"/>
        </w:trPr>
        <w:tc>
          <w:tcPr>
            <w:tcW w:w="1998" w:type="dxa"/>
          </w:tcPr>
          <w:p w14:paraId="1DE67A4B" w14:textId="77777777" w:rsidR="00CE5295" w:rsidRPr="00DA2559" w:rsidRDefault="00CE5295" w:rsidP="00CE5295">
            <w:r w:rsidRPr="00DA2559">
              <w:t>CDC total</w:t>
            </w:r>
          </w:p>
        </w:tc>
        <w:tc>
          <w:tcPr>
            <w:tcW w:w="1980" w:type="dxa"/>
          </w:tcPr>
          <w:p w14:paraId="2DEE53CF" w14:textId="77777777" w:rsidR="00CE5295" w:rsidRPr="00DA2559" w:rsidRDefault="00CE5295" w:rsidP="001A4939">
            <w:pPr>
              <w:jc w:val="right"/>
            </w:pPr>
            <w:r w:rsidRPr="00DA2559">
              <w:t>$</w:t>
            </w:r>
            <w:r w:rsidR="008D4B08" w:rsidRPr="00DA2559">
              <w:t>1</w:t>
            </w:r>
            <w:r w:rsidR="0097116A" w:rsidRPr="00DA2559">
              <w:t>5</w:t>
            </w:r>
            <w:r w:rsidR="008D4B08" w:rsidRPr="00DA2559">
              <w:t>,</w:t>
            </w:r>
            <w:r w:rsidR="0097116A" w:rsidRPr="00DA2559">
              <w:t>28</w:t>
            </w:r>
            <w:r w:rsidR="008D4B08" w:rsidRPr="00DA2559">
              <w:t>7</w:t>
            </w:r>
          </w:p>
        </w:tc>
      </w:tr>
      <w:tr w:rsidR="00CE5295" w:rsidRPr="00DA2559" w14:paraId="6F9106DD" w14:textId="77777777" w:rsidTr="00FA372B">
        <w:trPr>
          <w:jc w:val="center"/>
        </w:trPr>
        <w:tc>
          <w:tcPr>
            <w:tcW w:w="1998" w:type="dxa"/>
          </w:tcPr>
          <w:p w14:paraId="68E6D432" w14:textId="77777777" w:rsidR="00CE5295" w:rsidRPr="00DA2559" w:rsidRDefault="00CE5295" w:rsidP="00CE5295">
            <w:r w:rsidRPr="00DA2559">
              <w:t>Contractor total</w:t>
            </w:r>
          </w:p>
        </w:tc>
        <w:tc>
          <w:tcPr>
            <w:tcW w:w="1980" w:type="dxa"/>
          </w:tcPr>
          <w:p w14:paraId="7A677F71" w14:textId="77777777" w:rsidR="00CE5295" w:rsidRPr="00DA2559" w:rsidRDefault="009D48C7" w:rsidP="00D96DD4">
            <w:pPr>
              <w:jc w:val="right"/>
            </w:pPr>
            <w:r w:rsidRPr="00DA2559">
              <w:t>$182,308</w:t>
            </w:r>
          </w:p>
        </w:tc>
      </w:tr>
      <w:tr w:rsidR="009B773C" w:rsidRPr="005E2D71" w14:paraId="6AD209CF" w14:textId="77777777" w:rsidTr="00FA372B">
        <w:trPr>
          <w:jc w:val="center"/>
        </w:trPr>
        <w:tc>
          <w:tcPr>
            <w:tcW w:w="1998" w:type="dxa"/>
          </w:tcPr>
          <w:p w14:paraId="29C12D05" w14:textId="77777777" w:rsidR="009B773C" w:rsidRPr="00DA2559" w:rsidRDefault="009B773C" w:rsidP="00CE5295">
            <w:r w:rsidRPr="00DA2559">
              <w:t>Total</w:t>
            </w:r>
          </w:p>
        </w:tc>
        <w:tc>
          <w:tcPr>
            <w:tcW w:w="1980" w:type="dxa"/>
          </w:tcPr>
          <w:p w14:paraId="72E8DF79" w14:textId="77777777" w:rsidR="009B773C" w:rsidRPr="005E2D71" w:rsidRDefault="009B773C" w:rsidP="005E6028">
            <w:pPr>
              <w:jc w:val="right"/>
            </w:pPr>
            <w:r w:rsidRPr="00DA2559">
              <w:t>$</w:t>
            </w:r>
            <w:r w:rsidR="005E6028">
              <w:t>197,595</w:t>
            </w:r>
          </w:p>
        </w:tc>
      </w:tr>
    </w:tbl>
    <w:p w14:paraId="16CF36EC" w14:textId="77777777" w:rsidR="002B781A" w:rsidRDefault="002B781A" w:rsidP="002B781A">
      <w:pPr>
        <w:spacing w:after="0"/>
        <w:ind w:left="360"/>
        <w:rPr>
          <w:b/>
        </w:rPr>
      </w:pPr>
    </w:p>
    <w:p w14:paraId="267AC4CB" w14:textId="77777777" w:rsidR="00FE363E" w:rsidRDefault="00FE363E" w:rsidP="002B781A">
      <w:pPr>
        <w:spacing w:after="0"/>
        <w:ind w:left="360"/>
        <w:rPr>
          <w:b/>
        </w:rPr>
      </w:pPr>
    </w:p>
    <w:p w14:paraId="4EDC570B" w14:textId="77777777" w:rsidR="009F174B" w:rsidRPr="002B781A" w:rsidRDefault="00832626" w:rsidP="002B781A">
      <w:pPr>
        <w:spacing w:after="0"/>
        <w:ind w:left="360"/>
        <w:rPr>
          <w:b/>
          <w:u w:val="single"/>
        </w:rPr>
      </w:pPr>
      <w:r>
        <w:rPr>
          <w:b/>
        </w:rPr>
        <w:t xml:space="preserve">15. </w:t>
      </w:r>
      <w:r w:rsidR="009F174B" w:rsidRPr="002B781A">
        <w:rPr>
          <w:b/>
        </w:rPr>
        <w:t>Explanation for Program Changes or Adjustments</w:t>
      </w:r>
    </w:p>
    <w:p w14:paraId="76041CC8" w14:textId="77777777" w:rsidR="009B773C" w:rsidRDefault="009B773C" w:rsidP="00804FD3">
      <w:pPr>
        <w:spacing w:after="0"/>
      </w:pPr>
    </w:p>
    <w:p w14:paraId="16D1120E" w14:textId="77777777" w:rsidR="000D2873" w:rsidRDefault="00FA372B" w:rsidP="000D2873">
      <w:r w:rsidRPr="005E2D71">
        <w:t>This is a new data collection.</w:t>
      </w:r>
      <w:r w:rsidR="009A4AB1" w:rsidRPr="005E2D71" w:rsidDel="009A4AB1">
        <w:t xml:space="preserve"> </w:t>
      </w:r>
    </w:p>
    <w:p w14:paraId="6DAE5E0D" w14:textId="77777777" w:rsidR="009A58A4" w:rsidRPr="002B781A" w:rsidRDefault="00832626" w:rsidP="002B781A">
      <w:pPr>
        <w:ind w:left="360"/>
        <w:rPr>
          <w:b/>
          <w:u w:val="single"/>
        </w:rPr>
      </w:pPr>
      <w:r>
        <w:rPr>
          <w:b/>
        </w:rPr>
        <w:t xml:space="preserve">16. </w:t>
      </w:r>
      <w:r w:rsidR="007C1612" w:rsidRPr="002B781A">
        <w:rPr>
          <w:b/>
        </w:rPr>
        <w:t>Plans for Tabulation and Publication and Project Time Schedule</w:t>
      </w:r>
      <w:r w:rsidR="00675E1C" w:rsidRPr="002B781A">
        <w:rPr>
          <w:b/>
        </w:rPr>
        <w:t xml:space="preserve"> </w:t>
      </w:r>
    </w:p>
    <w:p w14:paraId="555B170D" w14:textId="77777777" w:rsidR="005E2D71" w:rsidRPr="005E2D71" w:rsidRDefault="001E6C15" w:rsidP="000D2873">
      <w:pPr>
        <w:spacing w:after="0"/>
      </w:pPr>
      <w:r>
        <w:t>Testing of t</w:t>
      </w:r>
      <w:r w:rsidR="005E2D71" w:rsidRPr="005E2D71">
        <w:t xml:space="preserve">he </w:t>
      </w:r>
      <w:r w:rsidR="007D2C25">
        <w:t xml:space="preserve">NAMCS </w:t>
      </w:r>
      <w:r w:rsidR="005E2D71" w:rsidRPr="005E2D71">
        <w:t xml:space="preserve">NSPCP </w:t>
      </w:r>
      <w:r w:rsidR="004A1AC8">
        <w:t xml:space="preserve">questionnaire </w:t>
      </w:r>
      <w:r w:rsidR="005E2D71" w:rsidRPr="005E2D71">
        <w:t xml:space="preserve">will </w:t>
      </w:r>
      <w:r w:rsidR="00D92BC8">
        <w:t>start</w:t>
      </w:r>
      <w:r w:rsidR="005E2D71" w:rsidRPr="005E2D71">
        <w:t xml:space="preserve"> </w:t>
      </w:r>
      <w:r>
        <w:t xml:space="preserve">1 </w:t>
      </w:r>
      <w:r w:rsidR="00D92BC8">
        <w:t>month</w:t>
      </w:r>
      <w:r w:rsidR="005E2D71" w:rsidRPr="005E2D71">
        <w:t xml:space="preserve"> after OM</w:t>
      </w:r>
      <w:r w:rsidR="00911EF4">
        <w:t xml:space="preserve">B approval is obtained </w:t>
      </w:r>
      <w:r>
        <w:t xml:space="preserve">and data collection will start 3 months after approval </w:t>
      </w:r>
      <w:r w:rsidR="00911EF4">
        <w:t>(Table A</w:t>
      </w:r>
      <w:r w:rsidR="00D92BC8">
        <w:t>16-1) and full data collection will start 6 months after OMB approval.</w:t>
      </w:r>
      <w:r w:rsidR="005E2D71" w:rsidRPr="005E2D71">
        <w:t xml:space="preserve">  </w:t>
      </w:r>
    </w:p>
    <w:p w14:paraId="22903128" w14:textId="77777777" w:rsidR="005E2D71" w:rsidRPr="005E2D71" w:rsidRDefault="005E2D71" w:rsidP="000D2873">
      <w:pPr>
        <w:spacing w:after="0"/>
      </w:pPr>
    </w:p>
    <w:p w14:paraId="10BA806F" w14:textId="77777777" w:rsidR="009A58A4" w:rsidRPr="005E2D71" w:rsidRDefault="007025C8" w:rsidP="000D2873">
      <w:pPr>
        <w:spacing w:after="0"/>
      </w:pPr>
      <w:r w:rsidRPr="005E2D71">
        <w:t>Table A16-1: Project Time Schedule</w:t>
      </w:r>
    </w:p>
    <w:tbl>
      <w:tblPr>
        <w:tblStyle w:val="TableGrid"/>
        <w:tblW w:w="0" w:type="auto"/>
        <w:tblLook w:val="04A0" w:firstRow="1" w:lastRow="0" w:firstColumn="1" w:lastColumn="0" w:noHBand="0" w:noVBand="1"/>
      </w:tblPr>
      <w:tblGrid>
        <w:gridCol w:w="4425"/>
        <w:gridCol w:w="4925"/>
      </w:tblGrid>
      <w:tr w:rsidR="009A58A4" w:rsidRPr="005E2D71" w14:paraId="625B3A7D" w14:textId="77777777" w:rsidTr="00FD6BB4">
        <w:tc>
          <w:tcPr>
            <w:tcW w:w="4518" w:type="dxa"/>
            <w:shd w:val="clear" w:color="auto" w:fill="D9D9D9" w:themeFill="background1" w:themeFillShade="D9"/>
          </w:tcPr>
          <w:p w14:paraId="5DDDDEF1" w14:textId="77777777" w:rsidR="009A58A4" w:rsidRPr="005E2D71" w:rsidRDefault="009A58A4" w:rsidP="00D84684">
            <w:pPr>
              <w:jc w:val="center"/>
              <w:rPr>
                <w:b/>
              </w:rPr>
            </w:pPr>
            <w:r w:rsidRPr="005E2D71">
              <w:rPr>
                <w:b/>
              </w:rPr>
              <w:t>Study Activity</w:t>
            </w:r>
          </w:p>
        </w:tc>
        <w:tc>
          <w:tcPr>
            <w:tcW w:w="5040" w:type="dxa"/>
            <w:shd w:val="clear" w:color="auto" w:fill="D9D9D9" w:themeFill="background1" w:themeFillShade="D9"/>
          </w:tcPr>
          <w:p w14:paraId="23BE9B5E" w14:textId="77777777" w:rsidR="009A58A4" w:rsidRPr="005E2D71" w:rsidRDefault="009A58A4" w:rsidP="00D84684">
            <w:pPr>
              <w:jc w:val="center"/>
              <w:rPr>
                <w:b/>
              </w:rPr>
            </w:pPr>
            <w:r w:rsidRPr="005E2D71">
              <w:rPr>
                <w:b/>
              </w:rPr>
              <w:t>Time Schedule</w:t>
            </w:r>
          </w:p>
        </w:tc>
      </w:tr>
      <w:tr w:rsidR="00BB2A65" w:rsidRPr="005E2D71" w14:paraId="0BCF5261" w14:textId="77777777" w:rsidTr="00FD6BB4">
        <w:tc>
          <w:tcPr>
            <w:tcW w:w="4518" w:type="dxa"/>
          </w:tcPr>
          <w:p w14:paraId="60DFC957" w14:textId="77777777" w:rsidR="00BB2A65" w:rsidRPr="005E2D71" w:rsidRDefault="00BB2A65" w:rsidP="009F645A">
            <w:pPr>
              <w:ind w:right="-720"/>
            </w:pPr>
            <w:r w:rsidRPr="005E2D71">
              <w:t>Conduct cognitive testing</w:t>
            </w:r>
          </w:p>
        </w:tc>
        <w:tc>
          <w:tcPr>
            <w:tcW w:w="5040" w:type="dxa"/>
          </w:tcPr>
          <w:p w14:paraId="043BF915" w14:textId="77777777" w:rsidR="00BB2A65" w:rsidRPr="005E2D71" w:rsidRDefault="00BB2A65" w:rsidP="009414D7">
            <w:pPr>
              <w:ind w:right="-720"/>
            </w:pPr>
            <w:r w:rsidRPr="005E2D71">
              <w:t>1</w:t>
            </w:r>
            <w:r w:rsidR="00D92BC8">
              <w:t>-3</w:t>
            </w:r>
            <w:r w:rsidRPr="005E2D71">
              <w:t xml:space="preserve"> month</w:t>
            </w:r>
            <w:r w:rsidR="00B171F2">
              <w:t>s</w:t>
            </w:r>
            <w:r w:rsidRPr="005E2D71">
              <w:t xml:space="preserve"> after OMB approval</w:t>
            </w:r>
            <w:r w:rsidR="00B67220">
              <w:t xml:space="preserve"> </w:t>
            </w:r>
          </w:p>
        </w:tc>
      </w:tr>
      <w:tr w:rsidR="009A58A4" w:rsidRPr="005E2D71" w14:paraId="667DB5AF" w14:textId="77777777" w:rsidTr="00FD6BB4">
        <w:tc>
          <w:tcPr>
            <w:tcW w:w="4518" w:type="dxa"/>
          </w:tcPr>
          <w:p w14:paraId="2B980C1C" w14:textId="77777777" w:rsidR="009A58A4" w:rsidRPr="005E2D71" w:rsidRDefault="009A58A4" w:rsidP="009F645A">
            <w:pPr>
              <w:ind w:right="-720"/>
            </w:pPr>
            <w:r w:rsidRPr="005E2D71">
              <w:t>Screening telephone calls</w:t>
            </w:r>
          </w:p>
        </w:tc>
        <w:tc>
          <w:tcPr>
            <w:tcW w:w="5040" w:type="dxa"/>
          </w:tcPr>
          <w:p w14:paraId="031562D8" w14:textId="77777777" w:rsidR="009A58A4" w:rsidRPr="005E2D71" w:rsidRDefault="00126A98" w:rsidP="009414D7">
            <w:pPr>
              <w:ind w:right="-720"/>
            </w:pPr>
            <w:r>
              <w:t>4-</w:t>
            </w:r>
            <w:r w:rsidR="00D92BC8">
              <w:t>6</w:t>
            </w:r>
            <w:r w:rsidR="009A58A4" w:rsidRPr="005E2D71">
              <w:t xml:space="preserve"> month</w:t>
            </w:r>
            <w:r w:rsidR="00BB2A65" w:rsidRPr="005E2D71">
              <w:t>s</w:t>
            </w:r>
            <w:r w:rsidR="009A58A4" w:rsidRPr="005E2D71">
              <w:t xml:space="preserve"> after OMB approval</w:t>
            </w:r>
            <w:r w:rsidR="00B67220">
              <w:t xml:space="preserve"> </w:t>
            </w:r>
          </w:p>
        </w:tc>
      </w:tr>
      <w:tr w:rsidR="009A58A4" w:rsidRPr="005E2D71" w14:paraId="459FDA22" w14:textId="77777777" w:rsidTr="00FD6BB4">
        <w:tc>
          <w:tcPr>
            <w:tcW w:w="4518" w:type="dxa"/>
          </w:tcPr>
          <w:p w14:paraId="7FAFE3C6" w14:textId="77777777" w:rsidR="009A58A4" w:rsidRPr="005E2D71" w:rsidRDefault="009A58A4" w:rsidP="009F645A">
            <w:pPr>
              <w:ind w:right="-720"/>
            </w:pPr>
            <w:r w:rsidRPr="005E2D71">
              <w:t>Invitation letter sent to respondents</w:t>
            </w:r>
          </w:p>
        </w:tc>
        <w:tc>
          <w:tcPr>
            <w:tcW w:w="5040" w:type="dxa"/>
          </w:tcPr>
          <w:p w14:paraId="19C214AC" w14:textId="77777777" w:rsidR="009A58A4" w:rsidRPr="005E2D71" w:rsidRDefault="00D92BC8" w:rsidP="009414D7">
            <w:pPr>
              <w:ind w:right="-720"/>
            </w:pPr>
            <w:r>
              <w:t>7</w:t>
            </w:r>
            <w:r w:rsidR="009A58A4" w:rsidRPr="005E2D71">
              <w:t xml:space="preserve"> months after OMB approval</w:t>
            </w:r>
            <w:r w:rsidR="00B67220">
              <w:t xml:space="preserve"> </w:t>
            </w:r>
          </w:p>
        </w:tc>
      </w:tr>
      <w:tr w:rsidR="009A58A4" w:rsidRPr="005E2D71" w14:paraId="708BEDA4" w14:textId="77777777" w:rsidTr="00FD6BB4">
        <w:tc>
          <w:tcPr>
            <w:tcW w:w="4518" w:type="dxa"/>
          </w:tcPr>
          <w:p w14:paraId="2080276A" w14:textId="77777777" w:rsidR="009A58A4" w:rsidRPr="005E2D71" w:rsidRDefault="00D92BC8" w:rsidP="009F645A">
            <w:pPr>
              <w:ind w:right="-720"/>
            </w:pPr>
            <w:r>
              <w:t>Surveys sent via mail to physicians</w:t>
            </w:r>
          </w:p>
        </w:tc>
        <w:tc>
          <w:tcPr>
            <w:tcW w:w="5040" w:type="dxa"/>
          </w:tcPr>
          <w:p w14:paraId="6F74D7E9" w14:textId="77777777" w:rsidR="009A58A4" w:rsidRPr="005E2D71" w:rsidRDefault="00D92BC8" w:rsidP="009414D7">
            <w:pPr>
              <w:ind w:right="-720"/>
            </w:pPr>
            <w:r>
              <w:t>8-9</w:t>
            </w:r>
            <w:r w:rsidR="009A58A4" w:rsidRPr="005E2D71">
              <w:t xml:space="preserve"> months after OMB</w:t>
            </w:r>
            <w:r w:rsidR="00B67220">
              <w:t xml:space="preserve"> approval </w:t>
            </w:r>
          </w:p>
        </w:tc>
      </w:tr>
      <w:tr w:rsidR="009A58A4" w:rsidRPr="005E2D71" w14:paraId="420F8F37" w14:textId="77777777" w:rsidTr="00FD6BB4">
        <w:tc>
          <w:tcPr>
            <w:tcW w:w="4518" w:type="dxa"/>
          </w:tcPr>
          <w:p w14:paraId="4328B147" w14:textId="77777777" w:rsidR="009A58A4" w:rsidRPr="005E2D71" w:rsidRDefault="009A58A4" w:rsidP="009F645A">
            <w:pPr>
              <w:ind w:right="-720"/>
            </w:pPr>
            <w:r w:rsidRPr="005E2D71">
              <w:t>Reminder phone calls</w:t>
            </w:r>
          </w:p>
        </w:tc>
        <w:tc>
          <w:tcPr>
            <w:tcW w:w="5040" w:type="dxa"/>
          </w:tcPr>
          <w:p w14:paraId="0B25BEA6" w14:textId="77777777" w:rsidR="009A58A4" w:rsidRPr="005E2D71" w:rsidRDefault="00D92BC8" w:rsidP="009414D7">
            <w:pPr>
              <w:ind w:right="-720"/>
            </w:pPr>
            <w:r>
              <w:t>10</w:t>
            </w:r>
            <w:r w:rsidR="009A58A4" w:rsidRPr="005E2D71">
              <w:t xml:space="preserve"> months after OMB</w:t>
            </w:r>
            <w:r w:rsidR="00300908">
              <w:t xml:space="preserve"> approval</w:t>
            </w:r>
            <w:r w:rsidR="00B67220">
              <w:t xml:space="preserve"> </w:t>
            </w:r>
          </w:p>
        </w:tc>
      </w:tr>
      <w:tr w:rsidR="009A58A4" w:rsidRPr="005E2D71" w14:paraId="1F6F4FEB" w14:textId="77777777" w:rsidTr="00FD6BB4">
        <w:tc>
          <w:tcPr>
            <w:tcW w:w="4518" w:type="dxa"/>
          </w:tcPr>
          <w:p w14:paraId="69F61190" w14:textId="77777777" w:rsidR="009A58A4" w:rsidRPr="005E2D71" w:rsidRDefault="00D92BC8" w:rsidP="009F645A">
            <w:pPr>
              <w:ind w:right="-720"/>
            </w:pPr>
            <w:r>
              <w:t>D</w:t>
            </w:r>
            <w:r w:rsidR="009A58A4" w:rsidRPr="005E2D71">
              <w:t>ata collection complete</w:t>
            </w:r>
          </w:p>
        </w:tc>
        <w:tc>
          <w:tcPr>
            <w:tcW w:w="5040" w:type="dxa"/>
          </w:tcPr>
          <w:p w14:paraId="200CA053" w14:textId="77777777" w:rsidR="009A58A4" w:rsidRPr="005E2D71" w:rsidRDefault="00D92BC8" w:rsidP="009414D7">
            <w:pPr>
              <w:ind w:right="-720"/>
            </w:pPr>
            <w:r>
              <w:t>11</w:t>
            </w:r>
            <w:r w:rsidR="009A58A4" w:rsidRPr="005E2D71">
              <w:t xml:space="preserve"> months after OMB</w:t>
            </w:r>
            <w:r w:rsidR="00300908">
              <w:t xml:space="preserve"> approval</w:t>
            </w:r>
            <w:r w:rsidR="00B67220">
              <w:t xml:space="preserve"> </w:t>
            </w:r>
          </w:p>
        </w:tc>
      </w:tr>
      <w:tr w:rsidR="009A58A4" w:rsidRPr="005E2D71" w14:paraId="46C5B700" w14:textId="77777777" w:rsidTr="00FD6BB4">
        <w:tc>
          <w:tcPr>
            <w:tcW w:w="4518" w:type="dxa"/>
          </w:tcPr>
          <w:p w14:paraId="0C59B3F4" w14:textId="77777777" w:rsidR="009A58A4" w:rsidRPr="005E2D71" w:rsidRDefault="009A58A4" w:rsidP="009F645A">
            <w:pPr>
              <w:ind w:right="-720"/>
            </w:pPr>
            <w:r w:rsidRPr="005E2D71">
              <w:t>Data cleaning and weighting</w:t>
            </w:r>
          </w:p>
        </w:tc>
        <w:tc>
          <w:tcPr>
            <w:tcW w:w="5040" w:type="dxa"/>
          </w:tcPr>
          <w:p w14:paraId="6859595A" w14:textId="77777777" w:rsidR="009A58A4" w:rsidRPr="005E2D71" w:rsidRDefault="00D92BC8" w:rsidP="009414D7">
            <w:pPr>
              <w:ind w:right="-720"/>
            </w:pPr>
            <w:r>
              <w:t>11</w:t>
            </w:r>
            <w:r w:rsidR="009414D7">
              <w:t xml:space="preserve"> 12 </w:t>
            </w:r>
            <w:r w:rsidR="009A58A4" w:rsidRPr="005E2D71">
              <w:t>months after OMB</w:t>
            </w:r>
            <w:r w:rsidR="00300908">
              <w:t xml:space="preserve"> approval</w:t>
            </w:r>
            <w:r w:rsidR="00B67220">
              <w:t xml:space="preserve"> </w:t>
            </w:r>
          </w:p>
        </w:tc>
      </w:tr>
      <w:tr w:rsidR="009A58A4" w:rsidRPr="005E2D71" w14:paraId="6C938C4C" w14:textId="77777777" w:rsidTr="00FD6BB4">
        <w:tc>
          <w:tcPr>
            <w:tcW w:w="4518" w:type="dxa"/>
            <w:shd w:val="clear" w:color="auto" w:fill="auto"/>
          </w:tcPr>
          <w:p w14:paraId="2A0A44A8" w14:textId="77777777" w:rsidR="009A58A4" w:rsidRPr="005E2D71" w:rsidRDefault="009A58A4" w:rsidP="009F645A">
            <w:pPr>
              <w:ind w:right="-720"/>
            </w:pPr>
            <w:r w:rsidRPr="005E2D71">
              <w:t>Analyses</w:t>
            </w:r>
            <w:r w:rsidR="00300908">
              <w:t xml:space="preserve"> (baseline data collection)</w:t>
            </w:r>
          </w:p>
        </w:tc>
        <w:tc>
          <w:tcPr>
            <w:tcW w:w="5040" w:type="dxa"/>
            <w:shd w:val="clear" w:color="auto" w:fill="auto"/>
          </w:tcPr>
          <w:p w14:paraId="66F8A9B6" w14:textId="77777777" w:rsidR="009A58A4" w:rsidRPr="005E2D71" w:rsidRDefault="00D92BC8" w:rsidP="009414D7">
            <w:pPr>
              <w:ind w:right="-720"/>
            </w:pPr>
            <w:r>
              <w:t>12-</w:t>
            </w:r>
            <w:r w:rsidR="00B67220">
              <w:t xml:space="preserve">18 </w:t>
            </w:r>
            <w:r w:rsidR="00675E1C" w:rsidRPr="005E2D71">
              <w:t>months after OMB</w:t>
            </w:r>
            <w:r w:rsidR="00300908">
              <w:t xml:space="preserve"> approval</w:t>
            </w:r>
            <w:r w:rsidR="00B67220">
              <w:t xml:space="preserve"> </w:t>
            </w:r>
          </w:p>
        </w:tc>
      </w:tr>
      <w:tr w:rsidR="00300908" w:rsidRPr="005E2D71" w14:paraId="0A13F056" w14:textId="77777777" w:rsidTr="00FD6BB4">
        <w:tc>
          <w:tcPr>
            <w:tcW w:w="4518" w:type="dxa"/>
            <w:shd w:val="clear" w:color="auto" w:fill="auto"/>
          </w:tcPr>
          <w:p w14:paraId="737A3000" w14:textId="77777777" w:rsidR="00300908" w:rsidRPr="005E2D71" w:rsidRDefault="00300908" w:rsidP="00B92AC5">
            <w:pPr>
              <w:ind w:right="-720"/>
            </w:pPr>
            <w:r w:rsidRPr="005E2D71">
              <w:t>Publication</w:t>
            </w:r>
          </w:p>
        </w:tc>
        <w:tc>
          <w:tcPr>
            <w:tcW w:w="5040" w:type="dxa"/>
            <w:shd w:val="clear" w:color="auto" w:fill="auto"/>
          </w:tcPr>
          <w:p w14:paraId="31905B86" w14:textId="77777777" w:rsidR="00300908" w:rsidRPr="005E2D71" w:rsidRDefault="00B67220" w:rsidP="009414D7">
            <w:pPr>
              <w:ind w:right="-720"/>
            </w:pPr>
            <w:r>
              <w:t>18-20 months after OM</w:t>
            </w:r>
            <w:r w:rsidR="00300908" w:rsidRPr="005E2D71">
              <w:t>B</w:t>
            </w:r>
            <w:r w:rsidR="00300908">
              <w:t xml:space="preserve"> approval</w:t>
            </w:r>
            <w:r>
              <w:t xml:space="preserve"> </w:t>
            </w:r>
          </w:p>
        </w:tc>
      </w:tr>
    </w:tbl>
    <w:p w14:paraId="39F7BFC0" w14:textId="77777777" w:rsidR="009F174B" w:rsidRPr="005E2D71" w:rsidRDefault="009F174B" w:rsidP="009A58A4"/>
    <w:p w14:paraId="7083FE8A" w14:textId="77777777" w:rsidR="005E2D71" w:rsidRPr="005E2D71" w:rsidRDefault="005E2D71" w:rsidP="005E2D71">
      <w:pPr>
        <w:spacing w:after="0"/>
      </w:pPr>
      <w:r w:rsidRPr="005E2D71">
        <w:lastRenderedPageBreak/>
        <w:t xml:space="preserve">Once data </w:t>
      </w:r>
      <w:r w:rsidR="000B0750">
        <w:t xml:space="preserve">cleaning and weighting </w:t>
      </w:r>
      <w:r w:rsidRPr="005E2D71">
        <w:t xml:space="preserve">is complete, analysis will begin.  Basic univariate and bivariate frequencies will be analyzed and displayed as percents with 95% confidence intervals (Table </w:t>
      </w:r>
      <w:r w:rsidR="00066692">
        <w:t>A16-2</w:t>
      </w:r>
      <w:r w:rsidRPr="005E2D71">
        <w:t xml:space="preserve">).  Data for each domain will be </w:t>
      </w:r>
      <w:r w:rsidR="004A1AC8">
        <w:t>analyzed</w:t>
      </w:r>
      <w:r w:rsidRPr="005E2D71">
        <w:t xml:space="preserve"> by specialty type (Family Practitioners, Internal Medicine), US census region (northeast, midwest, south, west), and practice size as appropriate.  </w:t>
      </w:r>
    </w:p>
    <w:p w14:paraId="12C8F384" w14:textId="77777777" w:rsidR="005E2D71" w:rsidRPr="005E2D71" w:rsidRDefault="005E2D71" w:rsidP="005E2D71">
      <w:pPr>
        <w:spacing w:after="0"/>
      </w:pPr>
    </w:p>
    <w:p w14:paraId="4232BA56" w14:textId="77777777" w:rsidR="00804FD3" w:rsidRDefault="00D84684" w:rsidP="000E02A0">
      <w:pPr>
        <w:rPr>
          <w:u w:val="single"/>
        </w:rPr>
      </w:pPr>
      <w:r w:rsidRPr="005E2D71">
        <w:rPr>
          <w:u w:val="single"/>
        </w:rPr>
        <w:t>Sample</w:t>
      </w:r>
      <w:r w:rsidR="00804FD3" w:rsidRPr="005E2D71">
        <w:rPr>
          <w:u w:val="single"/>
        </w:rPr>
        <w:t xml:space="preserve"> Table Shells for Publication</w:t>
      </w:r>
    </w:p>
    <w:p w14:paraId="2F23559A" w14:textId="77777777" w:rsidR="00300908" w:rsidRPr="005E2D71" w:rsidRDefault="00300908" w:rsidP="00E778CA">
      <w:pPr>
        <w:spacing w:after="0"/>
        <w:rPr>
          <w:u w:val="single"/>
        </w:rPr>
      </w:pPr>
    </w:p>
    <w:p w14:paraId="7997BF0C" w14:textId="77777777" w:rsidR="00E778CA" w:rsidRPr="005E2D71" w:rsidRDefault="00E778CA" w:rsidP="00E778CA">
      <w:pPr>
        <w:spacing w:after="0"/>
      </w:pPr>
      <w:r w:rsidRPr="005E2D71">
        <w:t xml:space="preserve">Table </w:t>
      </w:r>
      <w:r w:rsidR="00271036" w:rsidRPr="005E2D71">
        <w:t>A16-2:</w:t>
      </w:r>
      <w:r w:rsidRPr="005E2D71">
        <w:t xml:space="preserve">  Percent of Private Physician </w:t>
      </w:r>
      <w:r w:rsidR="004A1AC8">
        <w:t>Practices with Family Practitioners and/or Internal Medicine Specialists</w:t>
      </w:r>
      <w:r w:rsidRPr="005E2D71">
        <w:t xml:space="preserve"> with Evidence-based Systems for Managing Patients with High Blood Pressure, High Cholesterol, and Diabetes</w:t>
      </w:r>
    </w:p>
    <w:tbl>
      <w:tblPr>
        <w:tblStyle w:val="TableGrid"/>
        <w:tblW w:w="9648" w:type="dxa"/>
        <w:tblLook w:val="04A0" w:firstRow="1" w:lastRow="0" w:firstColumn="1" w:lastColumn="0" w:noHBand="0" w:noVBand="1"/>
      </w:tblPr>
      <w:tblGrid>
        <w:gridCol w:w="2178"/>
        <w:gridCol w:w="2171"/>
        <w:gridCol w:w="1699"/>
        <w:gridCol w:w="2070"/>
        <w:gridCol w:w="1530"/>
      </w:tblGrid>
      <w:tr w:rsidR="00E778CA" w:rsidRPr="005E2D71" w14:paraId="6BCF25E4" w14:textId="77777777" w:rsidTr="002B5086">
        <w:tc>
          <w:tcPr>
            <w:tcW w:w="2178" w:type="dxa"/>
            <w:shd w:val="clear" w:color="auto" w:fill="D9D9D9" w:themeFill="background1" w:themeFillShade="D9"/>
            <w:vAlign w:val="center"/>
          </w:tcPr>
          <w:p w14:paraId="4D8921D9" w14:textId="77777777" w:rsidR="00E778CA" w:rsidRPr="005E2D71" w:rsidRDefault="00D84684" w:rsidP="00D84684">
            <w:pPr>
              <w:jc w:val="center"/>
              <w:rPr>
                <w:b/>
              </w:rPr>
            </w:pPr>
            <w:r w:rsidRPr="005E2D71">
              <w:rPr>
                <w:b/>
              </w:rPr>
              <w:t>Characteristics</w:t>
            </w:r>
          </w:p>
        </w:tc>
        <w:tc>
          <w:tcPr>
            <w:tcW w:w="2171" w:type="dxa"/>
            <w:shd w:val="clear" w:color="auto" w:fill="D9D9D9" w:themeFill="background1" w:themeFillShade="D9"/>
            <w:vAlign w:val="center"/>
          </w:tcPr>
          <w:p w14:paraId="20E470A7" w14:textId="77777777" w:rsidR="009970ED" w:rsidRDefault="009970ED" w:rsidP="00D84684">
            <w:pPr>
              <w:jc w:val="center"/>
              <w:rPr>
                <w:b/>
              </w:rPr>
            </w:pPr>
            <w:r>
              <w:rPr>
                <w:b/>
              </w:rPr>
              <w:t xml:space="preserve">Electronic Health Records </w:t>
            </w:r>
          </w:p>
          <w:p w14:paraId="76C282F1" w14:textId="77777777" w:rsidR="00E778CA" w:rsidRPr="005E2D71" w:rsidRDefault="00E778CA" w:rsidP="00D84684">
            <w:pPr>
              <w:jc w:val="center"/>
              <w:rPr>
                <w:b/>
              </w:rPr>
            </w:pPr>
            <w:r w:rsidRPr="005E2D71">
              <w:rPr>
                <w:b/>
              </w:rPr>
              <w:t>%</w:t>
            </w:r>
            <w:r w:rsidR="009970ED">
              <w:rPr>
                <w:b/>
              </w:rPr>
              <w:t xml:space="preserve"> (CI)</w:t>
            </w:r>
          </w:p>
        </w:tc>
        <w:tc>
          <w:tcPr>
            <w:tcW w:w="1699" w:type="dxa"/>
            <w:shd w:val="clear" w:color="auto" w:fill="D9D9D9" w:themeFill="background1" w:themeFillShade="D9"/>
            <w:vAlign w:val="center"/>
          </w:tcPr>
          <w:p w14:paraId="1F26544F" w14:textId="77777777" w:rsidR="009970ED" w:rsidRDefault="00E778CA" w:rsidP="00D84684">
            <w:pPr>
              <w:jc w:val="center"/>
              <w:rPr>
                <w:b/>
              </w:rPr>
            </w:pPr>
            <w:r w:rsidRPr="005E2D71">
              <w:rPr>
                <w:b/>
              </w:rPr>
              <w:t>Clinical Decision Supports</w:t>
            </w:r>
            <w:r w:rsidR="009970ED">
              <w:rPr>
                <w:b/>
              </w:rPr>
              <w:t xml:space="preserve"> </w:t>
            </w:r>
          </w:p>
          <w:p w14:paraId="1C7D1ED0" w14:textId="77777777" w:rsidR="00E778CA" w:rsidRPr="005E2D71" w:rsidRDefault="009970ED" w:rsidP="00D84684">
            <w:pPr>
              <w:jc w:val="center"/>
              <w:rPr>
                <w:b/>
              </w:rPr>
            </w:pPr>
            <w:r w:rsidRPr="005E2D71">
              <w:rPr>
                <w:b/>
              </w:rPr>
              <w:t>%</w:t>
            </w:r>
            <w:r>
              <w:rPr>
                <w:b/>
              </w:rPr>
              <w:t xml:space="preserve"> (CI)</w:t>
            </w:r>
          </w:p>
        </w:tc>
        <w:tc>
          <w:tcPr>
            <w:tcW w:w="2070" w:type="dxa"/>
            <w:shd w:val="clear" w:color="auto" w:fill="D9D9D9" w:themeFill="background1" w:themeFillShade="D9"/>
            <w:vAlign w:val="center"/>
          </w:tcPr>
          <w:p w14:paraId="0713C950" w14:textId="77777777" w:rsidR="009970ED" w:rsidRDefault="00E778CA" w:rsidP="00D84684">
            <w:pPr>
              <w:jc w:val="center"/>
              <w:rPr>
                <w:b/>
              </w:rPr>
            </w:pPr>
            <w:r w:rsidRPr="005E2D71">
              <w:rPr>
                <w:b/>
              </w:rPr>
              <w:t xml:space="preserve">Multidisciplinary Teams </w:t>
            </w:r>
          </w:p>
          <w:p w14:paraId="1D1EBAEF" w14:textId="77777777" w:rsidR="00E778CA" w:rsidRPr="005E2D71" w:rsidRDefault="009970ED" w:rsidP="00D84684">
            <w:pPr>
              <w:jc w:val="center"/>
              <w:rPr>
                <w:b/>
              </w:rPr>
            </w:pPr>
            <w:r w:rsidRPr="005E2D71">
              <w:rPr>
                <w:b/>
              </w:rPr>
              <w:t>%</w:t>
            </w:r>
            <w:r>
              <w:rPr>
                <w:b/>
              </w:rPr>
              <w:t xml:space="preserve"> (CI)</w:t>
            </w:r>
          </w:p>
        </w:tc>
        <w:tc>
          <w:tcPr>
            <w:tcW w:w="1530" w:type="dxa"/>
            <w:shd w:val="clear" w:color="auto" w:fill="D9D9D9" w:themeFill="background1" w:themeFillShade="D9"/>
            <w:vAlign w:val="center"/>
          </w:tcPr>
          <w:p w14:paraId="3EF6377E" w14:textId="77777777" w:rsidR="009970ED" w:rsidRDefault="00E778CA" w:rsidP="00D84684">
            <w:pPr>
              <w:jc w:val="center"/>
              <w:rPr>
                <w:b/>
              </w:rPr>
            </w:pPr>
            <w:r w:rsidRPr="005E2D71">
              <w:rPr>
                <w:b/>
              </w:rPr>
              <w:t>Specialized Chronic Care Clinics</w:t>
            </w:r>
            <w:r w:rsidR="009970ED">
              <w:rPr>
                <w:b/>
              </w:rPr>
              <w:t xml:space="preserve"> </w:t>
            </w:r>
          </w:p>
          <w:p w14:paraId="06BBC05B" w14:textId="77777777" w:rsidR="00E778CA" w:rsidRPr="005E2D71" w:rsidRDefault="009970ED" w:rsidP="00D84684">
            <w:pPr>
              <w:jc w:val="center"/>
              <w:rPr>
                <w:b/>
              </w:rPr>
            </w:pPr>
            <w:r w:rsidRPr="005E2D71">
              <w:rPr>
                <w:b/>
              </w:rPr>
              <w:t>%</w:t>
            </w:r>
            <w:r>
              <w:rPr>
                <w:b/>
              </w:rPr>
              <w:t xml:space="preserve"> (CI)</w:t>
            </w:r>
          </w:p>
        </w:tc>
      </w:tr>
      <w:tr w:rsidR="00E778CA" w:rsidRPr="005E2D71" w14:paraId="6CC742A8" w14:textId="77777777" w:rsidTr="002B5086">
        <w:tc>
          <w:tcPr>
            <w:tcW w:w="2178" w:type="dxa"/>
          </w:tcPr>
          <w:p w14:paraId="04ED9CEF" w14:textId="77777777" w:rsidR="00E778CA" w:rsidRPr="005E2D71" w:rsidRDefault="00E778CA" w:rsidP="009A58A4">
            <w:r w:rsidRPr="005E2D71">
              <w:t>Total</w:t>
            </w:r>
          </w:p>
        </w:tc>
        <w:tc>
          <w:tcPr>
            <w:tcW w:w="2171" w:type="dxa"/>
          </w:tcPr>
          <w:p w14:paraId="2AAA2F1A" w14:textId="77777777" w:rsidR="00E778CA" w:rsidRPr="005E2D71" w:rsidRDefault="00E778CA" w:rsidP="009A58A4"/>
        </w:tc>
        <w:tc>
          <w:tcPr>
            <w:tcW w:w="1699" w:type="dxa"/>
          </w:tcPr>
          <w:p w14:paraId="5DDDCDB6" w14:textId="77777777" w:rsidR="00E778CA" w:rsidRPr="005E2D71" w:rsidRDefault="00E778CA" w:rsidP="009A58A4"/>
        </w:tc>
        <w:tc>
          <w:tcPr>
            <w:tcW w:w="2070" w:type="dxa"/>
          </w:tcPr>
          <w:p w14:paraId="2129B415" w14:textId="77777777" w:rsidR="00E778CA" w:rsidRPr="005E2D71" w:rsidRDefault="00E778CA" w:rsidP="009A58A4"/>
        </w:tc>
        <w:tc>
          <w:tcPr>
            <w:tcW w:w="1530" w:type="dxa"/>
          </w:tcPr>
          <w:p w14:paraId="57EE51DC" w14:textId="77777777" w:rsidR="00E778CA" w:rsidRPr="005E2D71" w:rsidRDefault="00E778CA" w:rsidP="009A58A4"/>
        </w:tc>
      </w:tr>
      <w:tr w:rsidR="00E778CA" w:rsidRPr="005E2D71" w14:paraId="4C20F2DB" w14:textId="77777777" w:rsidTr="002B5086">
        <w:tc>
          <w:tcPr>
            <w:tcW w:w="2178" w:type="dxa"/>
          </w:tcPr>
          <w:p w14:paraId="335509CA" w14:textId="77777777" w:rsidR="00E778CA" w:rsidRPr="005E2D71" w:rsidRDefault="00E778CA" w:rsidP="009A58A4">
            <w:r w:rsidRPr="005E2D71">
              <w:t>Specialty</w:t>
            </w:r>
          </w:p>
          <w:p w14:paraId="60654D71" w14:textId="77777777" w:rsidR="00E778CA" w:rsidRPr="005E2D71" w:rsidRDefault="00E778CA" w:rsidP="009A58A4">
            <w:r w:rsidRPr="005E2D71">
              <w:t xml:space="preserve">     Family Practitioners</w:t>
            </w:r>
          </w:p>
          <w:p w14:paraId="2958D7B2" w14:textId="77777777" w:rsidR="00E778CA" w:rsidRPr="005E2D71" w:rsidRDefault="00E778CA" w:rsidP="009A58A4">
            <w:r w:rsidRPr="005E2D71">
              <w:t xml:space="preserve">     Internal Medicine</w:t>
            </w:r>
          </w:p>
        </w:tc>
        <w:tc>
          <w:tcPr>
            <w:tcW w:w="2171" w:type="dxa"/>
          </w:tcPr>
          <w:p w14:paraId="505793DE" w14:textId="77777777" w:rsidR="00E778CA" w:rsidRPr="005E2D71" w:rsidRDefault="00E778CA" w:rsidP="009A58A4"/>
        </w:tc>
        <w:tc>
          <w:tcPr>
            <w:tcW w:w="1699" w:type="dxa"/>
          </w:tcPr>
          <w:p w14:paraId="4AD07B12" w14:textId="77777777" w:rsidR="00E778CA" w:rsidRPr="005E2D71" w:rsidRDefault="00E778CA" w:rsidP="009A58A4"/>
        </w:tc>
        <w:tc>
          <w:tcPr>
            <w:tcW w:w="2070" w:type="dxa"/>
          </w:tcPr>
          <w:p w14:paraId="3B0E500F" w14:textId="77777777" w:rsidR="00E778CA" w:rsidRPr="005E2D71" w:rsidRDefault="00E778CA" w:rsidP="009A58A4"/>
        </w:tc>
        <w:tc>
          <w:tcPr>
            <w:tcW w:w="1530" w:type="dxa"/>
          </w:tcPr>
          <w:p w14:paraId="2F222638" w14:textId="77777777" w:rsidR="00E778CA" w:rsidRPr="005E2D71" w:rsidRDefault="00E778CA" w:rsidP="009A58A4"/>
        </w:tc>
      </w:tr>
      <w:tr w:rsidR="00E778CA" w:rsidRPr="005E2D71" w14:paraId="7E07E358" w14:textId="77777777" w:rsidTr="002B5086">
        <w:tc>
          <w:tcPr>
            <w:tcW w:w="2178" w:type="dxa"/>
          </w:tcPr>
          <w:p w14:paraId="2711A476" w14:textId="77777777" w:rsidR="00E778CA" w:rsidRPr="005E2D71" w:rsidRDefault="00E778CA" w:rsidP="009A58A4">
            <w:r w:rsidRPr="005E2D71">
              <w:t>Region</w:t>
            </w:r>
          </w:p>
          <w:p w14:paraId="6ADF01BB" w14:textId="77777777" w:rsidR="00E778CA" w:rsidRPr="005E2D71" w:rsidRDefault="00E778CA" w:rsidP="009A58A4">
            <w:r w:rsidRPr="005E2D71">
              <w:t xml:space="preserve">     Northeast </w:t>
            </w:r>
          </w:p>
          <w:p w14:paraId="08524BFD" w14:textId="77777777" w:rsidR="00E778CA" w:rsidRPr="005E2D71" w:rsidRDefault="00E778CA" w:rsidP="009A58A4">
            <w:r w:rsidRPr="005E2D71">
              <w:t xml:space="preserve">     Midwest</w:t>
            </w:r>
          </w:p>
          <w:p w14:paraId="5839CF7F" w14:textId="77777777" w:rsidR="00E778CA" w:rsidRPr="005E2D71" w:rsidRDefault="00E778CA" w:rsidP="009A58A4">
            <w:r w:rsidRPr="005E2D71">
              <w:t xml:space="preserve">     South</w:t>
            </w:r>
          </w:p>
          <w:p w14:paraId="3CDA29E2" w14:textId="77777777" w:rsidR="00E778CA" w:rsidRPr="005E2D71" w:rsidRDefault="00E778CA" w:rsidP="009A58A4">
            <w:r w:rsidRPr="005E2D71">
              <w:t xml:space="preserve">     West</w:t>
            </w:r>
          </w:p>
        </w:tc>
        <w:tc>
          <w:tcPr>
            <w:tcW w:w="2171" w:type="dxa"/>
          </w:tcPr>
          <w:p w14:paraId="1885886A" w14:textId="77777777" w:rsidR="00E778CA" w:rsidRPr="005E2D71" w:rsidRDefault="00E778CA" w:rsidP="009A58A4"/>
        </w:tc>
        <w:tc>
          <w:tcPr>
            <w:tcW w:w="1699" w:type="dxa"/>
          </w:tcPr>
          <w:p w14:paraId="55CEFEA8" w14:textId="77777777" w:rsidR="00E778CA" w:rsidRPr="005E2D71" w:rsidRDefault="00E778CA" w:rsidP="009A58A4"/>
        </w:tc>
        <w:tc>
          <w:tcPr>
            <w:tcW w:w="2070" w:type="dxa"/>
          </w:tcPr>
          <w:p w14:paraId="010C5D0F" w14:textId="77777777" w:rsidR="00E778CA" w:rsidRPr="005E2D71" w:rsidRDefault="00E778CA" w:rsidP="009A58A4"/>
        </w:tc>
        <w:tc>
          <w:tcPr>
            <w:tcW w:w="1530" w:type="dxa"/>
          </w:tcPr>
          <w:p w14:paraId="525ABCC0" w14:textId="77777777" w:rsidR="00E778CA" w:rsidRPr="005E2D71" w:rsidRDefault="00E778CA" w:rsidP="009A58A4"/>
        </w:tc>
      </w:tr>
      <w:tr w:rsidR="00E778CA" w:rsidRPr="005E2D71" w14:paraId="4DBE2D1A" w14:textId="77777777" w:rsidTr="002B5086">
        <w:tc>
          <w:tcPr>
            <w:tcW w:w="2178" w:type="dxa"/>
          </w:tcPr>
          <w:p w14:paraId="0FA9AB38" w14:textId="77777777" w:rsidR="00E778CA" w:rsidRPr="005E2D71" w:rsidRDefault="00E778CA" w:rsidP="009A58A4">
            <w:r w:rsidRPr="005E2D71">
              <w:t>Practice Size</w:t>
            </w:r>
          </w:p>
          <w:p w14:paraId="7B1A4DBF" w14:textId="77777777" w:rsidR="00E778CA" w:rsidRPr="005E2D71" w:rsidRDefault="00E778CA" w:rsidP="009A58A4">
            <w:r w:rsidRPr="005E2D71">
              <w:t xml:space="preserve">     1 physician</w:t>
            </w:r>
          </w:p>
          <w:p w14:paraId="3B258063" w14:textId="77777777" w:rsidR="00E778CA" w:rsidRPr="005E2D71" w:rsidRDefault="00E778CA" w:rsidP="009A58A4">
            <w:r w:rsidRPr="005E2D71">
              <w:t xml:space="preserve">     2-5 physicians</w:t>
            </w:r>
          </w:p>
          <w:p w14:paraId="28BB344D" w14:textId="77777777" w:rsidR="00E778CA" w:rsidRPr="005E2D71" w:rsidRDefault="00E778CA" w:rsidP="009A58A4">
            <w:r w:rsidRPr="005E2D71">
              <w:t xml:space="preserve">     5 or more physicians</w:t>
            </w:r>
          </w:p>
        </w:tc>
        <w:tc>
          <w:tcPr>
            <w:tcW w:w="2171" w:type="dxa"/>
          </w:tcPr>
          <w:p w14:paraId="30D23BC0" w14:textId="77777777" w:rsidR="00E778CA" w:rsidRPr="005E2D71" w:rsidRDefault="00E778CA" w:rsidP="009A58A4"/>
        </w:tc>
        <w:tc>
          <w:tcPr>
            <w:tcW w:w="1699" w:type="dxa"/>
          </w:tcPr>
          <w:p w14:paraId="0C4AFD0F" w14:textId="77777777" w:rsidR="00E778CA" w:rsidRPr="005E2D71" w:rsidRDefault="00E778CA" w:rsidP="009A58A4"/>
        </w:tc>
        <w:tc>
          <w:tcPr>
            <w:tcW w:w="2070" w:type="dxa"/>
          </w:tcPr>
          <w:p w14:paraId="33DAE6CA" w14:textId="77777777" w:rsidR="00E778CA" w:rsidRPr="005E2D71" w:rsidRDefault="00E778CA" w:rsidP="009A58A4"/>
        </w:tc>
        <w:tc>
          <w:tcPr>
            <w:tcW w:w="1530" w:type="dxa"/>
          </w:tcPr>
          <w:p w14:paraId="6FD4B204" w14:textId="77777777" w:rsidR="00E778CA" w:rsidRPr="005E2D71" w:rsidRDefault="00E778CA" w:rsidP="009A58A4"/>
        </w:tc>
      </w:tr>
    </w:tbl>
    <w:p w14:paraId="13D51CC8" w14:textId="77777777" w:rsidR="00804FD3" w:rsidRPr="005E2D71" w:rsidRDefault="00804FD3" w:rsidP="009A58A4"/>
    <w:p w14:paraId="71BDF26E" w14:textId="77777777" w:rsidR="00FE363E" w:rsidRDefault="00FE363E">
      <w:r>
        <w:br w:type="page"/>
      </w:r>
    </w:p>
    <w:p w14:paraId="1F0A54A2" w14:textId="77777777" w:rsidR="00D84684" w:rsidRPr="005E2D71" w:rsidRDefault="00E778CA" w:rsidP="007D2C25">
      <w:r w:rsidRPr="005E2D71">
        <w:lastRenderedPageBreak/>
        <w:t xml:space="preserve">Table </w:t>
      </w:r>
      <w:r w:rsidR="00271036" w:rsidRPr="005E2D71">
        <w:t>A16-3:</w:t>
      </w:r>
      <w:r w:rsidRPr="005E2D71">
        <w:t xml:space="preserve"> </w:t>
      </w:r>
      <w:r w:rsidR="00D84684" w:rsidRPr="005E2D71">
        <w:t xml:space="preserve"> </w:t>
      </w:r>
      <w:r w:rsidR="00A152AB">
        <w:t xml:space="preserve">Estimated Percent Distributions of Targeted Physicians using </w:t>
      </w:r>
      <w:r w:rsidR="00D84684" w:rsidRPr="005E2D71">
        <w:t>Source</w:t>
      </w:r>
      <w:r w:rsidR="00A152AB">
        <w:t>s</w:t>
      </w:r>
      <w:r w:rsidR="00D84684" w:rsidRPr="005E2D71">
        <w:t xml:space="preserve"> of Clinical Guidelines for Managing Patients with High Blood Pressure, High Cholesterol, and Diabetes</w:t>
      </w:r>
    </w:p>
    <w:tbl>
      <w:tblPr>
        <w:tblStyle w:val="TableGrid"/>
        <w:tblW w:w="9648" w:type="dxa"/>
        <w:tblLayout w:type="fixed"/>
        <w:tblLook w:val="04A0" w:firstRow="1" w:lastRow="0" w:firstColumn="1" w:lastColumn="0" w:noHBand="0" w:noVBand="1"/>
      </w:tblPr>
      <w:tblGrid>
        <w:gridCol w:w="3348"/>
        <w:gridCol w:w="1710"/>
        <w:gridCol w:w="1496"/>
        <w:gridCol w:w="1744"/>
        <w:gridCol w:w="1350"/>
      </w:tblGrid>
      <w:tr w:rsidR="00D84684" w:rsidRPr="009970ED" w14:paraId="6303EAFD" w14:textId="77777777" w:rsidTr="009A4AB1">
        <w:tc>
          <w:tcPr>
            <w:tcW w:w="3348" w:type="dxa"/>
            <w:shd w:val="clear" w:color="auto" w:fill="D9D9D9" w:themeFill="background1" w:themeFillShade="D9"/>
            <w:vAlign w:val="center"/>
          </w:tcPr>
          <w:p w14:paraId="6A5D8944" w14:textId="77777777" w:rsidR="00D84684" w:rsidRPr="009970ED" w:rsidRDefault="00D84684" w:rsidP="00EB5795">
            <w:pPr>
              <w:jc w:val="center"/>
              <w:rPr>
                <w:b/>
              </w:rPr>
            </w:pPr>
            <w:r w:rsidRPr="009970ED">
              <w:rPr>
                <w:b/>
              </w:rPr>
              <w:t>Characteristics</w:t>
            </w:r>
          </w:p>
        </w:tc>
        <w:tc>
          <w:tcPr>
            <w:tcW w:w="1710" w:type="dxa"/>
            <w:shd w:val="clear" w:color="auto" w:fill="D9D9D9" w:themeFill="background1" w:themeFillShade="D9"/>
            <w:vAlign w:val="center"/>
          </w:tcPr>
          <w:p w14:paraId="2167DB4F" w14:textId="77777777" w:rsidR="00D84684" w:rsidRPr="009970ED" w:rsidRDefault="00D84684" w:rsidP="00EB5795">
            <w:pPr>
              <w:jc w:val="center"/>
              <w:rPr>
                <w:b/>
              </w:rPr>
            </w:pPr>
            <w:r w:rsidRPr="009970ED">
              <w:rPr>
                <w:b/>
              </w:rPr>
              <w:t>National Organization</w:t>
            </w:r>
          </w:p>
          <w:p w14:paraId="285524DE" w14:textId="77777777" w:rsidR="009970ED" w:rsidRPr="009970ED" w:rsidRDefault="009970ED" w:rsidP="00EB5795">
            <w:pPr>
              <w:jc w:val="center"/>
              <w:rPr>
                <w:b/>
              </w:rPr>
            </w:pPr>
            <w:r w:rsidRPr="009970ED">
              <w:rPr>
                <w:b/>
              </w:rPr>
              <w:t>% (CI)</w:t>
            </w:r>
          </w:p>
        </w:tc>
        <w:tc>
          <w:tcPr>
            <w:tcW w:w="1496" w:type="dxa"/>
            <w:shd w:val="clear" w:color="auto" w:fill="D9D9D9" w:themeFill="background1" w:themeFillShade="D9"/>
            <w:vAlign w:val="center"/>
          </w:tcPr>
          <w:p w14:paraId="657410D8" w14:textId="77777777" w:rsidR="00D84684" w:rsidRPr="009970ED" w:rsidRDefault="00D84684" w:rsidP="00EB5795">
            <w:pPr>
              <w:jc w:val="center"/>
              <w:rPr>
                <w:b/>
              </w:rPr>
            </w:pPr>
            <w:r w:rsidRPr="009970ED">
              <w:rPr>
                <w:b/>
              </w:rPr>
              <w:t>State-specific Guidelines</w:t>
            </w:r>
          </w:p>
          <w:p w14:paraId="30B71127" w14:textId="77777777" w:rsidR="009970ED" w:rsidRPr="009970ED" w:rsidRDefault="009970ED" w:rsidP="00EB5795">
            <w:pPr>
              <w:jc w:val="center"/>
              <w:rPr>
                <w:b/>
              </w:rPr>
            </w:pPr>
            <w:r w:rsidRPr="009970ED">
              <w:rPr>
                <w:b/>
              </w:rPr>
              <w:t>% (CI)</w:t>
            </w:r>
          </w:p>
        </w:tc>
        <w:tc>
          <w:tcPr>
            <w:tcW w:w="1744" w:type="dxa"/>
            <w:shd w:val="clear" w:color="auto" w:fill="D9D9D9" w:themeFill="background1" w:themeFillShade="D9"/>
            <w:vAlign w:val="center"/>
          </w:tcPr>
          <w:p w14:paraId="7A19C11B" w14:textId="77777777" w:rsidR="00D84684" w:rsidRPr="009970ED" w:rsidRDefault="00D84684" w:rsidP="00EB5795">
            <w:pPr>
              <w:jc w:val="center"/>
              <w:rPr>
                <w:b/>
              </w:rPr>
            </w:pPr>
            <w:r w:rsidRPr="009970ED">
              <w:rPr>
                <w:b/>
              </w:rPr>
              <w:t>Affiliated Health System</w:t>
            </w:r>
          </w:p>
          <w:p w14:paraId="49123500" w14:textId="77777777" w:rsidR="009970ED" w:rsidRPr="009970ED" w:rsidRDefault="009970ED" w:rsidP="00EB5795">
            <w:pPr>
              <w:jc w:val="center"/>
              <w:rPr>
                <w:b/>
              </w:rPr>
            </w:pPr>
            <w:r w:rsidRPr="009970ED">
              <w:rPr>
                <w:b/>
              </w:rPr>
              <w:t>% (CI)</w:t>
            </w:r>
          </w:p>
        </w:tc>
        <w:tc>
          <w:tcPr>
            <w:tcW w:w="1350" w:type="dxa"/>
            <w:shd w:val="clear" w:color="auto" w:fill="D9D9D9" w:themeFill="background1" w:themeFillShade="D9"/>
            <w:vAlign w:val="center"/>
          </w:tcPr>
          <w:p w14:paraId="5A881525" w14:textId="77777777" w:rsidR="00D84684" w:rsidRPr="009970ED" w:rsidRDefault="00D84684" w:rsidP="00EB5795">
            <w:pPr>
              <w:jc w:val="center"/>
              <w:rPr>
                <w:b/>
              </w:rPr>
            </w:pPr>
            <w:r w:rsidRPr="009970ED">
              <w:rPr>
                <w:b/>
              </w:rPr>
              <w:t>Practice-specific Guidelines</w:t>
            </w:r>
          </w:p>
          <w:p w14:paraId="31A0059B" w14:textId="77777777" w:rsidR="009970ED" w:rsidRPr="009970ED" w:rsidRDefault="009970ED" w:rsidP="00EB5795">
            <w:pPr>
              <w:jc w:val="center"/>
              <w:rPr>
                <w:b/>
              </w:rPr>
            </w:pPr>
            <w:r w:rsidRPr="009970ED">
              <w:rPr>
                <w:b/>
              </w:rPr>
              <w:t>% (CI)</w:t>
            </w:r>
          </w:p>
        </w:tc>
      </w:tr>
      <w:tr w:rsidR="00D84684" w:rsidRPr="005E2D71" w14:paraId="5676B4E0" w14:textId="77777777" w:rsidTr="009A4AB1">
        <w:tc>
          <w:tcPr>
            <w:tcW w:w="3348" w:type="dxa"/>
          </w:tcPr>
          <w:p w14:paraId="285AEA64" w14:textId="77777777" w:rsidR="00D84684" w:rsidRPr="005E2D71" w:rsidRDefault="00D84684" w:rsidP="00EB5795">
            <w:r w:rsidRPr="005E2D71">
              <w:t>Total</w:t>
            </w:r>
          </w:p>
        </w:tc>
        <w:tc>
          <w:tcPr>
            <w:tcW w:w="1710" w:type="dxa"/>
          </w:tcPr>
          <w:p w14:paraId="42DEC92F" w14:textId="77777777" w:rsidR="00D84684" w:rsidRPr="005E2D71" w:rsidRDefault="00D84684" w:rsidP="00EB5795"/>
        </w:tc>
        <w:tc>
          <w:tcPr>
            <w:tcW w:w="1496" w:type="dxa"/>
          </w:tcPr>
          <w:p w14:paraId="77D8D528" w14:textId="77777777" w:rsidR="00D84684" w:rsidRPr="005E2D71" w:rsidRDefault="00D84684" w:rsidP="00EB5795"/>
        </w:tc>
        <w:tc>
          <w:tcPr>
            <w:tcW w:w="1744" w:type="dxa"/>
          </w:tcPr>
          <w:p w14:paraId="54764B81" w14:textId="77777777" w:rsidR="00D84684" w:rsidRPr="005E2D71" w:rsidRDefault="00D84684" w:rsidP="00EB5795"/>
        </w:tc>
        <w:tc>
          <w:tcPr>
            <w:tcW w:w="1350" w:type="dxa"/>
          </w:tcPr>
          <w:p w14:paraId="593B63F6" w14:textId="77777777" w:rsidR="00D84684" w:rsidRPr="005E2D71" w:rsidRDefault="00D84684" w:rsidP="00EB5795"/>
        </w:tc>
      </w:tr>
      <w:tr w:rsidR="00D84684" w:rsidRPr="005E2D71" w14:paraId="6563EFC3" w14:textId="77777777" w:rsidTr="009A4AB1">
        <w:tc>
          <w:tcPr>
            <w:tcW w:w="3348" w:type="dxa"/>
          </w:tcPr>
          <w:p w14:paraId="2305CD6B" w14:textId="77777777" w:rsidR="00D84684" w:rsidRPr="005E2D71" w:rsidRDefault="00D84684" w:rsidP="00EB5795">
            <w:r w:rsidRPr="005E2D71">
              <w:t>Specialty</w:t>
            </w:r>
          </w:p>
          <w:p w14:paraId="30A645C2" w14:textId="77777777" w:rsidR="00D84684" w:rsidRPr="005E2D71" w:rsidRDefault="00D84684" w:rsidP="00EB5795">
            <w:r w:rsidRPr="005E2D71">
              <w:t xml:space="preserve">     Family Practitioners</w:t>
            </w:r>
          </w:p>
          <w:p w14:paraId="75CEECAE" w14:textId="77777777" w:rsidR="00D84684" w:rsidRPr="005E2D71" w:rsidRDefault="00D84684" w:rsidP="00EB5795">
            <w:r w:rsidRPr="005E2D71">
              <w:t xml:space="preserve">     Internal Medicine</w:t>
            </w:r>
          </w:p>
        </w:tc>
        <w:tc>
          <w:tcPr>
            <w:tcW w:w="1710" w:type="dxa"/>
          </w:tcPr>
          <w:p w14:paraId="1E5ABACF" w14:textId="77777777" w:rsidR="00D84684" w:rsidRPr="005E2D71" w:rsidRDefault="00D84684" w:rsidP="00EB5795"/>
        </w:tc>
        <w:tc>
          <w:tcPr>
            <w:tcW w:w="1496" w:type="dxa"/>
          </w:tcPr>
          <w:p w14:paraId="19BD6ABF" w14:textId="77777777" w:rsidR="00D84684" w:rsidRPr="005E2D71" w:rsidRDefault="00D84684" w:rsidP="00EB5795"/>
        </w:tc>
        <w:tc>
          <w:tcPr>
            <w:tcW w:w="1744" w:type="dxa"/>
          </w:tcPr>
          <w:p w14:paraId="12B4E92C" w14:textId="77777777" w:rsidR="00D84684" w:rsidRPr="005E2D71" w:rsidRDefault="00D84684" w:rsidP="00EB5795"/>
        </w:tc>
        <w:tc>
          <w:tcPr>
            <w:tcW w:w="1350" w:type="dxa"/>
          </w:tcPr>
          <w:p w14:paraId="4161F0E9" w14:textId="77777777" w:rsidR="00D84684" w:rsidRPr="005E2D71" w:rsidRDefault="00D84684" w:rsidP="00EB5795"/>
        </w:tc>
      </w:tr>
      <w:tr w:rsidR="00D84684" w:rsidRPr="005E2D71" w14:paraId="7A126EAA" w14:textId="77777777" w:rsidTr="009A4AB1">
        <w:tc>
          <w:tcPr>
            <w:tcW w:w="3348" w:type="dxa"/>
          </w:tcPr>
          <w:p w14:paraId="45F1F2DE" w14:textId="77777777" w:rsidR="00D84684" w:rsidRPr="005E2D71" w:rsidRDefault="00D84684" w:rsidP="00EB5795">
            <w:r w:rsidRPr="005E2D71">
              <w:t>Region</w:t>
            </w:r>
          </w:p>
          <w:p w14:paraId="6DFEFF1E" w14:textId="77777777" w:rsidR="00D84684" w:rsidRPr="005E2D71" w:rsidRDefault="00D84684" w:rsidP="00EB5795">
            <w:r w:rsidRPr="005E2D71">
              <w:t xml:space="preserve">     Northeast </w:t>
            </w:r>
          </w:p>
          <w:p w14:paraId="6A8E253F" w14:textId="77777777" w:rsidR="00D84684" w:rsidRPr="005E2D71" w:rsidRDefault="00D84684" w:rsidP="00EB5795">
            <w:r w:rsidRPr="005E2D71">
              <w:t xml:space="preserve">     Midwest</w:t>
            </w:r>
          </w:p>
          <w:p w14:paraId="6A37CBC2" w14:textId="77777777" w:rsidR="00D84684" w:rsidRPr="005E2D71" w:rsidRDefault="00D84684" w:rsidP="00EB5795">
            <w:r w:rsidRPr="005E2D71">
              <w:t xml:space="preserve">     South</w:t>
            </w:r>
          </w:p>
          <w:p w14:paraId="7990C490" w14:textId="77777777" w:rsidR="00D84684" w:rsidRPr="005E2D71" w:rsidRDefault="00D84684" w:rsidP="00EB5795">
            <w:r w:rsidRPr="005E2D71">
              <w:t xml:space="preserve">     West</w:t>
            </w:r>
          </w:p>
        </w:tc>
        <w:tc>
          <w:tcPr>
            <w:tcW w:w="1710" w:type="dxa"/>
          </w:tcPr>
          <w:p w14:paraId="41D1C884" w14:textId="77777777" w:rsidR="00D84684" w:rsidRPr="005E2D71" w:rsidRDefault="00D84684" w:rsidP="00EB5795"/>
        </w:tc>
        <w:tc>
          <w:tcPr>
            <w:tcW w:w="1496" w:type="dxa"/>
          </w:tcPr>
          <w:p w14:paraId="280641B4" w14:textId="77777777" w:rsidR="00D84684" w:rsidRPr="005E2D71" w:rsidRDefault="00D84684" w:rsidP="00EB5795"/>
        </w:tc>
        <w:tc>
          <w:tcPr>
            <w:tcW w:w="1744" w:type="dxa"/>
          </w:tcPr>
          <w:p w14:paraId="13135063" w14:textId="77777777" w:rsidR="00D84684" w:rsidRPr="005E2D71" w:rsidRDefault="00D84684" w:rsidP="00EB5795"/>
        </w:tc>
        <w:tc>
          <w:tcPr>
            <w:tcW w:w="1350" w:type="dxa"/>
          </w:tcPr>
          <w:p w14:paraId="66FFB011" w14:textId="77777777" w:rsidR="00D84684" w:rsidRPr="005E2D71" w:rsidRDefault="00D84684" w:rsidP="00EB5795"/>
        </w:tc>
      </w:tr>
      <w:tr w:rsidR="00D84684" w:rsidRPr="005E2D71" w14:paraId="25DA2A0A" w14:textId="77777777" w:rsidTr="009A4AB1">
        <w:tc>
          <w:tcPr>
            <w:tcW w:w="3348" w:type="dxa"/>
          </w:tcPr>
          <w:p w14:paraId="302C5E94" w14:textId="77777777" w:rsidR="00D84684" w:rsidRPr="005E2D71" w:rsidRDefault="00D84684" w:rsidP="00EB5795">
            <w:r w:rsidRPr="005E2D71">
              <w:t>Practice Size</w:t>
            </w:r>
          </w:p>
          <w:p w14:paraId="3135201E" w14:textId="77777777" w:rsidR="00D84684" w:rsidRPr="005E2D71" w:rsidRDefault="00D84684" w:rsidP="00EB5795">
            <w:r w:rsidRPr="005E2D71">
              <w:t xml:space="preserve">     1 physician</w:t>
            </w:r>
          </w:p>
          <w:p w14:paraId="5E1DFC42" w14:textId="77777777" w:rsidR="00D84684" w:rsidRPr="005E2D71" w:rsidRDefault="00D84684" w:rsidP="00EB5795">
            <w:r w:rsidRPr="005E2D71">
              <w:t xml:space="preserve">     2-5 physicians</w:t>
            </w:r>
          </w:p>
          <w:p w14:paraId="3F635641" w14:textId="77777777" w:rsidR="00D84684" w:rsidRPr="005E2D71" w:rsidRDefault="00D84684" w:rsidP="00EB5795">
            <w:r w:rsidRPr="005E2D71">
              <w:t xml:space="preserve">     5 or more physicians</w:t>
            </w:r>
          </w:p>
        </w:tc>
        <w:tc>
          <w:tcPr>
            <w:tcW w:w="1710" w:type="dxa"/>
          </w:tcPr>
          <w:p w14:paraId="60F0D321" w14:textId="77777777" w:rsidR="00D84684" w:rsidRPr="005E2D71" w:rsidRDefault="00D84684" w:rsidP="00EB5795"/>
        </w:tc>
        <w:tc>
          <w:tcPr>
            <w:tcW w:w="1496" w:type="dxa"/>
          </w:tcPr>
          <w:p w14:paraId="11E078D3" w14:textId="77777777" w:rsidR="00D84684" w:rsidRPr="005E2D71" w:rsidRDefault="00D84684" w:rsidP="00EB5795"/>
        </w:tc>
        <w:tc>
          <w:tcPr>
            <w:tcW w:w="1744" w:type="dxa"/>
          </w:tcPr>
          <w:p w14:paraId="6B87F657" w14:textId="77777777" w:rsidR="00D84684" w:rsidRPr="005E2D71" w:rsidRDefault="00D84684" w:rsidP="00EB5795"/>
        </w:tc>
        <w:tc>
          <w:tcPr>
            <w:tcW w:w="1350" w:type="dxa"/>
          </w:tcPr>
          <w:p w14:paraId="5A025094" w14:textId="77777777" w:rsidR="00D84684" w:rsidRPr="005E2D71" w:rsidRDefault="00D84684" w:rsidP="00EB5795"/>
        </w:tc>
      </w:tr>
    </w:tbl>
    <w:p w14:paraId="3D8B872B" w14:textId="77777777" w:rsidR="00806D6B" w:rsidRPr="005E2D71" w:rsidRDefault="00806D6B" w:rsidP="009A58A4"/>
    <w:p w14:paraId="2CCD45AD" w14:textId="77777777" w:rsidR="00190364" w:rsidRPr="003E3D86" w:rsidRDefault="00C030B5" w:rsidP="00D92BC8">
      <w:pPr>
        <w:rPr>
          <w:b/>
          <w:u w:val="single"/>
        </w:rPr>
      </w:pPr>
      <w:r>
        <w:rPr>
          <w:b/>
        </w:rPr>
        <w:t xml:space="preserve">17.  </w:t>
      </w:r>
      <w:r w:rsidR="009A58A4" w:rsidRPr="005E2D71">
        <w:rPr>
          <w:b/>
        </w:rPr>
        <w:t xml:space="preserve">Reason(s) Display of </w:t>
      </w:r>
      <w:r w:rsidR="00620A7B" w:rsidRPr="005E2D71">
        <w:rPr>
          <w:b/>
        </w:rPr>
        <w:t xml:space="preserve">OMB </w:t>
      </w:r>
      <w:r w:rsidR="009A58A4" w:rsidRPr="005E2D71">
        <w:rPr>
          <w:b/>
        </w:rPr>
        <w:t>Expiration Date is Inappropriate</w:t>
      </w:r>
    </w:p>
    <w:p w14:paraId="59F6DB82" w14:textId="77777777" w:rsidR="00620A7B" w:rsidRPr="005E2D71" w:rsidRDefault="00620A7B" w:rsidP="00620A7B">
      <w:pPr>
        <w:pStyle w:val="BodyText1"/>
        <w:spacing w:after="200"/>
      </w:pPr>
      <w:r w:rsidRPr="005E2D71">
        <w:t>The expiration date for OMB approval of data collection will be displayed as required.</w:t>
      </w:r>
    </w:p>
    <w:p w14:paraId="6E4FE603" w14:textId="77777777" w:rsidR="00804FD3" w:rsidRPr="005E2D71" w:rsidRDefault="00804FD3" w:rsidP="00804FD3">
      <w:pPr>
        <w:spacing w:after="0"/>
      </w:pPr>
    </w:p>
    <w:p w14:paraId="0A37EE7D" w14:textId="77777777" w:rsidR="009A58A4" w:rsidRPr="00C030B5" w:rsidRDefault="00C030B5" w:rsidP="00C030B5">
      <w:pPr>
        <w:spacing w:after="0"/>
        <w:ind w:left="90"/>
        <w:rPr>
          <w:b/>
          <w:u w:val="single"/>
        </w:rPr>
      </w:pPr>
      <w:r>
        <w:rPr>
          <w:b/>
        </w:rPr>
        <w:t xml:space="preserve">18.  </w:t>
      </w:r>
      <w:r w:rsidR="009A58A4" w:rsidRPr="00C030B5">
        <w:rPr>
          <w:b/>
        </w:rPr>
        <w:t>Exceptions to Certification for Paperwork Reduction Act Submissions</w:t>
      </w:r>
    </w:p>
    <w:p w14:paraId="1EC4EC62" w14:textId="77777777" w:rsidR="00190364" w:rsidRDefault="00190364" w:rsidP="00804FD3">
      <w:pPr>
        <w:spacing w:after="0"/>
      </w:pPr>
    </w:p>
    <w:p w14:paraId="03AD1D35" w14:textId="77777777" w:rsidR="002E3A8E" w:rsidRPr="005E2D71" w:rsidRDefault="009A58A4" w:rsidP="00804FD3">
      <w:pPr>
        <w:spacing w:after="0"/>
      </w:pPr>
      <w:r w:rsidRPr="005E2D71">
        <w:t>There are no exceptions to the certification</w:t>
      </w:r>
      <w:r w:rsidR="00620A7B" w:rsidRPr="005E2D71">
        <w:t xml:space="preserve"> statement</w:t>
      </w:r>
      <w:r w:rsidRPr="005E2D71">
        <w:t>.</w:t>
      </w:r>
    </w:p>
    <w:sectPr w:rsidR="002E3A8E" w:rsidRPr="005E2D71" w:rsidSect="0009030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50C21" w14:textId="77777777" w:rsidR="008E05B4" w:rsidRDefault="008E05B4" w:rsidP="00A77A83">
      <w:pPr>
        <w:spacing w:after="0" w:line="240" w:lineRule="auto"/>
      </w:pPr>
      <w:r>
        <w:separator/>
      </w:r>
    </w:p>
  </w:endnote>
  <w:endnote w:type="continuationSeparator" w:id="0">
    <w:p w14:paraId="6C9D36B5" w14:textId="77777777" w:rsidR="008E05B4" w:rsidRDefault="008E05B4" w:rsidP="00A7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CE9B" w14:textId="77777777" w:rsidR="00A24511" w:rsidRDefault="00A24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50360"/>
      <w:docPartObj>
        <w:docPartGallery w:val="Page Numbers (Bottom of Page)"/>
        <w:docPartUnique/>
      </w:docPartObj>
    </w:sdtPr>
    <w:sdtEndPr/>
    <w:sdtContent>
      <w:p w14:paraId="0FDA2FAF" w14:textId="77777777" w:rsidR="00EB7EA0" w:rsidRDefault="00EB7EA0">
        <w:pPr>
          <w:pStyle w:val="Footer"/>
          <w:jc w:val="right"/>
        </w:pPr>
        <w:r>
          <w:fldChar w:fldCharType="begin"/>
        </w:r>
        <w:r>
          <w:instrText xml:space="preserve"> PAGE   \* MERGEFORMAT </w:instrText>
        </w:r>
        <w:r>
          <w:fldChar w:fldCharType="separate"/>
        </w:r>
        <w:r w:rsidR="0031004E">
          <w:rPr>
            <w:noProof/>
          </w:rPr>
          <w:t>8</w:t>
        </w:r>
        <w:r>
          <w:rPr>
            <w:noProof/>
          </w:rPr>
          <w:fldChar w:fldCharType="end"/>
        </w:r>
      </w:p>
    </w:sdtContent>
  </w:sdt>
  <w:p w14:paraId="4064115C" w14:textId="77777777" w:rsidR="00EB7EA0" w:rsidRDefault="00EB7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B839" w14:textId="77777777" w:rsidR="00A24511" w:rsidRDefault="00A24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88D6A" w14:textId="77777777" w:rsidR="008E05B4" w:rsidRDefault="008E05B4" w:rsidP="00A77A83">
      <w:pPr>
        <w:spacing w:after="0" w:line="240" w:lineRule="auto"/>
      </w:pPr>
      <w:r>
        <w:separator/>
      </w:r>
    </w:p>
  </w:footnote>
  <w:footnote w:type="continuationSeparator" w:id="0">
    <w:p w14:paraId="174C28F3" w14:textId="77777777" w:rsidR="008E05B4" w:rsidRDefault="008E05B4" w:rsidP="00A77A83">
      <w:pPr>
        <w:spacing w:after="0" w:line="240" w:lineRule="auto"/>
      </w:pPr>
      <w:r>
        <w:continuationSeparator/>
      </w:r>
    </w:p>
  </w:footnote>
  <w:footnote w:id="1">
    <w:p w14:paraId="58BEC2B1" w14:textId="77777777" w:rsidR="00EB7EA0" w:rsidRPr="000673A6" w:rsidRDefault="00EB7EA0" w:rsidP="00F102F3">
      <w:pPr>
        <w:pStyle w:val="FootnoteText"/>
        <w:rPr>
          <w:rFonts w:ascii="Times New Roman" w:hAnsi="Times New Roman"/>
        </w:rPr>
      </w:pPr>
      <w:r w:rsidRPr="007025C8">
        <w:rPr>
          <w:rStyle w:val="FootnoteReference"/>
          <w:rFonts w:ascii="Times New Roman" w:hAnsi="Times New Roman"/>
        </w:rPr>
        <w:footnoteRef/>
      </w:r>
      <w:r w:rsidRPr="007025C8">
        <w:rPr>
          <w:rFonts w:ascii="Times New Roman" w:hAnsi="Times New Roman"/>
        </w:rPr>
        <w:t xml:space="preserve"> National Compensation Survey, All United States, </w:t>
      </w:r>
      <w:r>
        <w:rPr>
          <w:rFonts w:ascii="Times New Roman" w:hAnsi="Times New Roman"/>
        </w:rPr>
        <w:t>May 2013</w:t>
      </w:r>
      <w:r w:rsidRPr="007025C8">
        <w:rPr>
          <w:rFonts w:ascii="Times New Roman" w:hAnsi="Times New Roman"/>
        </w:rPr>
        <w:t xml:space="preserve">.  </w:t>
      </w:r>
      <w:r w:rsidRPr="007025C8">
        <w:rPr>
          <w:rFonts w:ascii="Times New Roman" w:hAnsi="Times New Roman"/>
          <w:i/>
        </w:rPr>
        <w:t>Table 4: Full-time private industry workers: Mean and median hourly, weekly and annual earnings and mean weekly and annual hours.</w:t>
      </w:r>
      <w:r w:rsidRPr="007025C8">
        <w:rPr>
          <w:rFonts w:ascii="Times New Roman" w:hAnsi="Times New Roman"/>
        </w:rPr>
        <w:t xml:space="preserve">  Bureau of Labor Statistics, US Department of Labor.</w:t>
      </w:r>
    </w:p>
    <w:p w14:paraId="293FEA8D" w14:textId="77777777" w:rsidR="00EB7EA0" w:rsidRPr="00314072" w:rsidRDefault="00EB7EA0" w:rsidP="00F102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282B0" w14:textId="77777777" w:rsidR="00A24511" w:rsidRDefault="00A245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1CD8D" w14:textId="77777777" w:rsidR="00A24511" w:rsidRDefault="00A245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B646" w14:textId="77777777" w:rsidR="00A24511" w:rsidRDefault="00A24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15AA"/>
    <w:multiLevelType w:val="hybridMultilevel"/>
    <w:tmpl w:val="3EE2C3E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30585"/>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C625E"/>
    <w:multiLevelType w:val="hybridMultilevel"/>
    <w:tmpl w:val="CB88B09A"/>
    <w:lvl w:ilvl="0" w:tplc="B9F817A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200680"/>
    <w:multiLevelType w:val="hybridMultilevel"/>
    <w:tmpl w:val="7A14C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5154D"/>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C70817"/>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711D4"/>
    <w:multiLevelType w:val="hybridMultilevel"/>
    <w:tmpl w:val="39281438"/>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20D9F"/>
    <w:multiLevelType w:val="hybridMultilevel"/>
    <w:tmpl w:val="745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C76E4"/>
    <w:multiLevelType w:val="hybridMultilevel"/>
    <w:tmpl w:val="21D44E9A"/>
    <w:lvl w:ilvl="0" w:tplc="CFDE1E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0790BD6"/>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4E"/>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B5038"/>
    <w:multiLevelType w:val="hybridMultilevel"/>
    <w:tmpl w:val="515CA0B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D5A8E"/>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36A9A"/>
    <w:multiLevelType w:val="hybridMultilevel"/>
    <w:tmpl w:val="788C333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600D0"/>
    <w:multiLevelType w:val="multilevel"/>
    <w:tmpl w:val="715C3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4F1F69"/>
    <w:multiLevelType w:val="hybridMultilevel"/>
    <w:tmpl w:val="A92A3B9E"/>
    <w:lvl w:ilvl="0" w:tplc="7F2C5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9D2ED3"/>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E6F71"/>
    <w:multiLevelType w:val="hybridMultilevel"/>
    <w:tmpl w:val="FC725AA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554DE"/>
    <w:multiLevelType w:val="hybridMultilevel"/>
    <w:tmpl w:val="0F407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F7E60"/>
    <w:multiLevelType w:val="hybridMultilevel"/>
    <w:tmpl w:val="B632357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122CA8"/>
    <w:multiLevelType w:val="hybridMultilevel"/>
    <w:tmpl w:val="34EEE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35C0"/>
    <w:multiLevelType w:val="hybridMultilevel"/>
    <w:tmpl w:val="874ABC4A"/>
    <w:lvl w:ilvl="0" w:tplc="1F7AEA2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BB20D9"/>
    <w:multiLevelType w:val="hybridMultilevel"/>
    <w:tmpl w:val="DFE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B52906"/>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ED28AB"/>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3E5134"/>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31016"/>
    <w:multiLevelType w:val="hybridMultilevel"/>
    <w:tmpl w:val="BFE8B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560100"/>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B37AB"/>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E47DC"/>
    <w:multiLevelType w:val="hybridMultilevel"/>
    <w:tmpl w:val="0534069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F7143D"/>
    <w:multiLevelType w:val="hybridMultilevel"/>
    <w:tmpl w:val="486CA820"/>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5A52A2"/>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AC20ED"/>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E3564A"/>
    <w:multiLevelType w:val="hybridMultilevel"/>
    <w:tmpl w:val="B99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A5D7D"/>
    <w:multiLevelType w:val="hybridMultilevel"/>
    <w:tmpl w:val="5FA26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1E26FB"/>
    <w:multiLevelType w:val="hybridMultilevel"/>
    <w:tmpl w:val="DF22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73241"/>
    <w:multiLevelType w:val="hybridMultilevel"/>
    <w:tmpl w:val="DE8A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9773E6"/>
    <w:multiLevelType w:val="hybridMultilevel"/>
    <w:tmpl w:val="A86A62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F1A50AC"/>
    <w:multiLevelType w:val="hybridMultilevel"/>
    <w:tmpl w:val="7A5E0CA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39"/>
  </w:num>
  <w:num w:numId="3">
    <w:abstractNumId w:val="23"/>
  </w:num>
  <w:num w:numId="4">
    <w:abstractNumId w:val="28"/>
  </w:num>
  <w:num w:numId="5">
    <w:abstractNumId w:val="4"/>
  </w:num>
  <w:num w:numId="6">
    <w:abstractNumId w:val="1"/>
  </w:num>
  <w:num w:numId="7">
    <w:abstractNumId w:val="26"/>
  </w:num>
  <w:num w:numId="8">
    <w:abstractNumId w:val="34"/>
  </w:num>
  <w:num w:numId="9">
    <w:abstractNumId w:val="13"/>
  </w:num>
  <w:num w:numId="10">
    <w:abstractNumId w:val="6"/>
  </w:num>
  <w:num w:numId="11">
    <w:abstractNumId w:val="29"/>
  </w:num>
  <w:num w:numId="12">
    <w:abstractNumId w:val="37"/>
  </w:num>
  <w:num w:numId="13">
    <w:abstractNumId w:val="35"/>
  </w:num>
  <w:num w:numId="14">
    <w:abstractNumId w:val="17"/>
  </w:num>
  <w:num w:numId="15">
    <w:abstractNumId w:val="10"/>
  </w:num>
  <w:num w:numId="16">
    <w:abstractNumId w:val="25"/>
  </w:num>
  <w:num w:numId="17">
    <w:abstractNumId w:val="11"/>
  </w:num>
  <w:num w:numId="18">
    <w:abstractNumId w:val="24"/>
  </w:num>
  <w:num w:numId="19">
    <w:abstractNumId w:val="32"/>
  </w:num>
  <w:num w:numId="20">
    <w:abstractNumId w:val="36"/>
  </w:num>
  <w:num w:numId="21">
    <w:abstractNumId w:val="33"/>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1"/>
  </w:num>
  <w:num w:numId="29">
    <w:abstractNumId w:val="7"/>
  </w:num>
  <w:num w:numId="30">
    <w:abstractNumId w:val="19"/>
  </w:num>
  <w:num w:numId="31">
    <w:abstractNumId w:val="21"/>
  </w:num>
  <w:num w:numId="32">
    <w:abstractNumId w:val="30"/>
  </w:num>
  <w:num w:numId="33">
    <w:abstractNumId w:val="12"/>
  </w:num>
  <w:num w:numId="34">
    <w:abstractNumId w:val="18"/>
  </w:num>
  <w:num w:numId="35">
    <w:abstractNumId w:val="14"/>
  </w:num>
  <w:num w:numId="36">
    <w:abstractNumId w:val="20"/>
  </w:num>
  <w:num w:numId="37">
    <w:abstractNumId w:val="8"/>
  </w:num>
  <w:num w:numId="38">
    <w:abstractNumId w:val="27"/>
  </w:num>
  <w:num w:numId="39">
    <w:abstractNumId w:val="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90"/>
    <w:rsid w:val="00004FEB"/>
    <w:rsid w:val="000141C6"/>
    <w:rsid w:val="0002613F"/>
    <w:rsid w:val="0002705D"/>
    <w:rsid w:val="00027B8A"/>
    <w:rsid w:val="00035562"/>
    <w:rsid w:val="00043386"/>
    <w:rsid w:val="00051337"/>
    <w:rsid w:val="00052D2C"/>
    <w:rsid w:val="00055396"/>
    <w:rsid w:val="00060198"/>
    <w:rsid w:val="0006068E"/>
    <w:rsid w:val="00065C1A"/>
    <w:rsid w:val="00066692"/>
    <w:rsid w:val="000673A6"/>
    <w:rsid w:val="000678A2"/>
    <w:rsid w:val="00072D3B"/>
    <w:rsid w:val="000770C0"/>
    <w:rsid w:val="00077E0F"/>
    <w:rsid w:val="00087B5C"/>
    <w:rsid w:val="00090306"/>
    <w:rsid w:val="000A3C47"/>
    <w:rsid w:val="000A4C34"/>
    <w:rsid w:val="000B0164"/>
    <w:rsid w:val="000B0750"/>
    <w:rsid w:val="000B0B3B"/>
    <w:rsid w:val="000B16B7"/>
    <w:rsid w:val="000B6AB9"/>
    <w:rsid w:val="000C321C"/>
    <w:rsid w:val="000C3DFA"/>
    <w:rsid w:val="000C6BF6"/>
    <w:rsid w:val="000D0822"/>
    <w:rsid w:val="000D1F78"/>
    <w:rsid w:val="000D2873"/>
    <w:rsid w:val="000D3813"/>
    <w:rsid w:val="000E02A0"/>
    <w:rsid w:val="000E28AC"/>
    <w:rsid w:val="000E5F7C"/>
    <w:rsid w:val="000E65A1"/>
    <w:rsid w:val="000E6E67"/>
    <w:rsid w:val="000E7E1F"/>
    <w:rsid w:val="000F08A5"/>
    <w:rsid w:val="000F4BF5"/>
    <w:rsid w:val="001021BD"/>
    <w:rsid w:val="00104E37"/>
    <w:rsid w:val="00110E40"/>
    <w:rsid w:val="00113FE1"/>
    <w:rsid w:val="00114F78"/>
    <w:rsid w:val="00117F79"/>
    <w:rsid w:val="00120E44"/>
    <w:rsid w:val="0012210A"/>
    <w:rsid w:val="00126A98"/>
    <w:rsid w:val="001322C5"/>
    <w:rsid w:val="00133A5A"/>
    <w:rsid w:val="00134E00"/>
    <w:rsid w:val="001406D7"/>
    <w:rsid w:val="0014311A"/>
    <w:rsid w:val="00145419"/>
    <w:rsid w:val="00145534"/>
    <w:rsid w:val="00147282"/>
    <w:rsid w:val="001476E2"/>
    <w:rsid w:val="00150B17"/>
    <w:rsid w:val="00160CFE"/>
    <w:rsid w:val="00161D0D"/>
    <w:rsid w:val="00162325"/>
    <w:rsid w:val="00162E5E"/>
    <w:rsid w:val="00163329"/>
    <w:rsid w:val="00166BC5"/>
    <w:rsid w:val="001675B5"/>
    <w:rsid w:val="001704D5"/>
    <w:rsid w:val="00172627"/>
    <w:rsid w:val="00172C00"/>
    <w:rsid w:val="001768E0"/>
    <w:rsid w:val="001813E8"/>
    <w:rsid w:val="00185AD0"/>
    <w:rsid w:val="00185C8F"/>
    <w:rsid w:val="00190364"/>
    <w:rsid w:val="00190EF2"/>
    <w:rsid w:val="001933CA"/>
    <w:rsid w:val="00194296"/>
    <w:rsid w:val="00197C3F"/>
    <w:rsid w:val="00197E53"/>
    <w:rsid w:val="001A295C"/>
    <w:rsid w:val="001A2DF9"/>
    <w:rsid w:val="001A4728"/>
    <w:rsid w:val="001A4939"/>
    <w:rsid w:val="001A71FA"/>
    <w:rsid w:val="001C2A38"/>
    <w:rsid w:val="001C6FD8"/>
    <w:rsid w:val="001D1BB8"/>
    <w:rsid w:val="001D4AD6"/>
    <w:rsid w:val="001E6C15"/>
    <w:rsid w:val="001F30D9"/>
    <w:rsid w:val="001F5407"/>
    <w:rsid w:val="001F5779"/>
    <w:rsid w:val="001F5CFF"/>
    <w:rsid w:val="00203283"/>
    <w:rsid w:val="00205DBF"/>
    <w:rsid w:val="00206AC7"/>
    <w:rsid w:val="00207385"/>
    <w:rsid w:val="00213227"/>
    <w:rsid w:val="002277BB"/>
    <w:rsid w:val="0023102B"/>
    <w:rsid w:val="002317FF"/>
    <w:rsid w:val="00231871"/>
    <w:rsid w:val="00231EE9"/>
    <w:rsid w:val="00232C28"/>
    <w:rsid w:val="00233C35"/>
    <w:rsid w:val="002343CB"/>
    <w:rsid w:val="00234C81"/>
    <w:rsid w:val="00242D77"/>
    <w:rsid w:val="002604D2"/>
    <w:rsid w:val="00264698"/>
    <w:rsid w:val="00270714"/>
    <w:rsid w:val="00271036"/>
    <w:rsid w:val="00276396"/>
    <w:rsid w:val="0027640D"/>
    <w:rsid w:val="002769EC"/>
    <w:rsid w:val="00280C2F"/>
    <w:rsid w:val="00281079"/>
    <w:rsid w:val="002836C8"/>
    <w:rsid w:val="00284577"/>
    <w:rsid w:val="00290AC3"/>
    <w:rsid w:val="002942E8"/>
    <w:rsid w:val="002955DE"/>
    <w:rsid w:val="002A012D"/>
    <w:rsid w:val="002A06E2"/>
    <w:rsid w:val="002A0D78"/>
    <w:rsid w:val="002A1B43"/>
    <w:rsid w:val="002A4ADD"/>
    <w:rsid w:val="002A6982"/>
    <w:rsid w:val="002B07C3"/>
    <w:rsid w:val="002B3113"/>
    <w:rsid w:val="002B34D0"/>
    <w:rsid w:val="002B5086"/>
    <w:rsid w:val="002B7612"/>
    <w:rsid w:val="002B781A"/>
    <w:rsid w:val="002C7E6D"/>
    <w:rsid w:val="002D17B7"/>
    <w:rsid w:val="002E0001"/>
    <w:rsid w:val="002E09D6"/>
    <w:rsid w:val="002E3A8E"/>
    <w:rsid w:val="002E4462"/>
    <w:rsid w:val="00300908"/>
    <w:rsid w:val="003012DF"/>
    <w:rsid w:val="00304A02"/>
    <w:rsid w:val="0031004E"/>
    <w:rsid w:val="00310B8B"/>
    <w:rsid w:val="00312043"/>
    <w:rsid w:val="00320913"/>
    <w:rsid w:val="0032403D"/>
    <w:rsid w:val="00326691"/>
    <w:rsid w:val="003266FB"/>
    <w:rsid w:val="0032707A"/>
    <w:rsid w:val="00327AAA"/>
    <w:rsid w:val="00327F37"/>
    <w:rsid w:val="00332538"/>
    <w:rsid w:val="00332F10"/>
    <w:rsid w:val="00332FC1"/>
    <w:rsid w:val="003414E5"/>
    <w:rsid w:val="00342724"/>
    <w:rsid w:val="00343B86"/>
    <w:rsid w:val="00347BB5"/>
    <w:rsid w:val="00351021"/>
    <w:rsid w:val="0035600A"/>
    <w:rsid w:val="003560E2"/>
    <w:rsid w:val="00360195"/>
    <w:rsid w:val="00366299"/>
    <w:rsid w:val="00377871"/>
    <w:rsid w:val="00383CFC"/>
    <w:rsid w:val="0038510E"/>
    <w:rsid w:val="003861C6"/>
    <w:rsid w:val="00387123"/>
    <w:rsid w:val="003920C4"/>
    <w:rsid w:val="003924E6"/>
    <w:rsid w:val="003938E6"/>
    <w:rsid w:val="00395F3F"/>
    <w:rsid w:val="00396121"/>
    <w:rsid w:val="003A2534"/>
    <w:rsid w:val="003A2D43"/>
    <w:rsid w:val="003A3404"/>
    <w:rsid w:val="003B188F"/>
    <w:rsid w:val="003B2077"/>
    <w:rsid w:val="003B6D0E"/>
    <w:rsid w:val="003B7352"/>
    <w:rsid w:val="003C1549"/>
    <w:rsid w:val="003C3831"/>
    <w:rsid w:val="003C3E87"/>
    <w:rsid w:val="003D2DDF"/>
    <w:rsid w:val="003D53DF"/>
    <w:rsid w:val="003D55FD"/>
    <w:rsid w:val="003D5ED9"/>
    <w:rsid w:val="003E355E"/>
    <w:rsid w:val="003E3D86"/>
    <w:rsid w:val="003E5056"/>
    <w:rsid w:val="003F0E73"/>
    <w:rsid w:val="003F61E2"/>
    <w:rsid w:val="0040160E"/>
    <w:rsid w:val="004052E5"/>
    <w:rsid w:val="00405BFB"/>
    <w:rsid w:val="0040622E"/>
    <w:rsid w:val="004132DB"/>
    <w:rsid w:val="004163E7"/>
    <w:rsid w:val="004166EB"/>
    <w:rsid w:val="00417001"/>
    <w:rsid w:val="00422B66"/>
    <w:rsid w:val="00431E50"/>
    <w:rsid w:val="00435C44"/>
    <w:rsid w:val="00443F26"/>
    <w:rsid w:val="004445F0"/>
    <w:rsid w:val="00447660"/>
    <w:rsid w:val="00453969"/>
    <w:rsid w:val="00454EB7"/>
    <w:rsid w:val="00456C34"/>
    <w:rsid w:val="004626FB"/>
    <w:rsid w:val="0046310B"/>
    <w:rsid w:val="004757CD"/>
    <w:rsid w:val="004764EB"/>
    <w:rsid w:val="00477727"/>
    <w:rsid w:val="00480307"/>
    <w:rsid w:val="0048080F"/>
    <w:rsid w:val="00482D94"/>
    <w:rsid w:val="00484520"/>
    <w:rsid w:val="00496FE5"/>
    <w:rsid w:val="004A1AC8"/>
    <w:rsid w:val="004A25E0"/>
    <w:rsid w:val="004A4D77"/>
    <w:rsid w:val="004A7954"/>
    <w:rsid w:val="004A7C51"/>
    <w:rsid w:val="004A7D83"/>
    <w:rsid w:val="004B1884"/>
    <w:rsid w:val="004B20E8"/>
    <w:rsid w:val="004B457A"/>
    <w:rsid w:val="004B7346"/>
    <w:rsid w:val="004D0137"/>
    <w:rsid w:val="004D0F8D"/>
    <w:rsid w:val="004E068C"/>
    <w:rsid w:val="004E0C03"/>
    <w:rsid w:val="004E461C"/>
    <w:rsid w:val="004E6D88"/>
    <w:rsid w:val="00506C99"/>
    <w:rsid w:val="00510AAB"/>
    <w:rsid w:val="00511808"/>
    <w:rsid w:val="0051193B"/>
    <w:rsid w:val="00512850"/>
    <w:rsid w:val="00513F40"/>
    <w:rsid w:val="0052075A"/>
    <w:rsid w:val="00521770"/>
    <w:rsid w:val="00526F12"/>
    <w:rsid w:val="005327F8"/>
    <w:rsid w:val="00537BAD"/>
    <w:rsid w:val="0054089B"/>
    <w:rsid w:val="00550D66"/>
    <w:rsid w:val="00550F1D"/>
    <w:rsid w:val="005541DF"/>
    <w:rsid w:val="00557587"/>
    <w:rsid w:val="00560359"/>
    <w:rsid w:val="00564F64"/>
    <w:rsid w:val="00575869"/>
    <w:rsid w:val="00575D2C"/>
    <w:rsid w:val="00580F57"/>
    <w:rsid w:val="00582583"/>
    <w:rsid w:val="005827A5"/>
    <w:rsid w:val="00587472"/>
    <w:rsid w:val="00597CD2"/>
    <w:rsid w:val="005B0617"/>
    <w:rsid w:val="005B7DA2"/>
    <w:rsid w:val="005C019F"/>
    <w:rsid w:val="005C1736"/>
    <w:rsid w:val="005C2472"/>
    <w:rsid w:val="005C5D13"/>
    <w:rsid w:val="005C66E9"/>
    <w:rsid w:val="005D167D"/>
    <w:rsid w:val="005D2DD5"/>
    <w:rsid w:val="005D52BE"/>
    <w:rsid w:val="005E2D71"/>
    <w:rsid w:val="005E6028"/>
    <w:rsid w:val="005F7A6E"/>
    <w:rsid w:val="00603D35"/>
    <w:rsid w:val="00610035"/>
    <w:rsid w:val="006105CC"/>
    <w:rsid w:val="00610F98"/>
    <w:rsid w:val="00612278"/>
    <w:rsid w:val="0061319A"/>
    <w:rsid w:val="006161F8"/>
    <w:rsid w:val="00620A7B"/>
    <w:rsid w:val="006254D4"/>
    <w:rsid w:val="006305BA"/>
    <w:rsid w:val="0063261B"/>
    <w:rsid w:val="00635BA3"/>
    <w:rsid w:val="006377F6"/>
    <w:rsid w:val="006402FB"/>
    <w:rsid w:val="00644DD2"/>
    <w:rsid w:val="0064712F"/>
    <w:rsid w:val="006506F7"/>
    <w:rsid w:val="00653241"/>
    <w:rsid w:val="00655B29"/>
    <w:rsid w:val="0066599C"/>
    <w:rsid w:val="00667FF9"/>
    <w:rsid w:val="00671232"/>
    <w:rsid w:val="00671FE4"/>
    <w:rsid w:val="00675E1C"/>
    <w:rsid w:val="00677520"/>
    <w:rsid w:val="006827E6"/>
    <w:rsid w:val="00682A7D"/>
    <w:rsid w:val="006837C6"/>
    <w:rsid w:val="006A153F"/>
    <w:rsid w:val="006A35DE"/>
    <w:rsid w:val="006A3676"/>
    <w:rsid w:val="006A3BF1"/>
    <w:rsid w:val="006A4903"/>
    <w:rsid w:val="006B5139"/>
    <w:rsid w:val="006D1484"/>
    <w:rsid w:val="006D3886"/>
    <w:rsid w:val="006D414D"/>
    <w:rsid w:val="006D59E3"/>
    <w:rsid w:val="006D7471"/>
    <w:rsid w:val="006D7F96"/>
    <w:rsid w:val="006E0025"/>
    <w:rsid w:val="006E35FE"/>
    <w:rsid w:val="006E6B50"/>
    <w:rsid w:val="00700820"/>
    <w:rsid w:val="007025C8"/>
    <w:rsid w:val="00707C14"/>
    <w:rsid w:val="00714C24"/>
    <w:rsid w:val="00716005"/>
    <w:rsid w:val="00722C5B"/>
    <w:rsid w:val="00725B6A"/>
    <w:rsid w:val="00734CD1"/>
    <w:rsid w:val="00734EBF"/>
    <w:rsid w:val="007426D5"/>
    <w:rsid w:val="00743CAD"/>
    <w:rsid w:val="00744F92"/>
    <w:rsid w:val="00746A1F"/>
    <w:rsid w:val="00746C2C"/>
    <w:rsid w:val="00751003"/>
    <w:rsid w:val="007558EA"/>
    <w:rsid w:val="00762640"/>
    <w:rsid w:val="00765257"/>
    <w:rsid w:val="00770C4F"/>
    <w:rsid w:val="00771993"/>
    <w:rsid w:val="0077206A"/>
    <w:rsid w:val="00772D29"/>
    <w:rsid w:val="00777FA8"/>
    <w:rsid w:val="0078003F"/>
    <w:rsid w:val="007848A0"/>
    <w:rsid w:val="00784C6C"/>
    <w:rsid w:val="007850ED"/>
    <w:rsid w:val="007854ED"/>
    <w:rsid w:val="00795EA7"/>
    <w:rsid w:val="007979DA"/>
    <w:rsid w:val="007A288E"/>
    <w:rsid w:val="007B3AAF"/>
    <w:rsid w:val="007B5743"/>
    <w:rsid w:val="007C1612"/>
    <w:rsid w:val="007C31E9"/>
    <w:rsid w:val="007C3DEB"/>
    <w:rsid w:val="007C4C3F"/>
    <w:rsid w:val="007C4EF7"/>
    <w:rsid w:val="007C7392"/>
    <w:rsid w:val="007D0432"/>
    <w:rsid w:val="007D0D62"/>
    <w:rsid w:val="007D12B7"/>
    <w:rsid w:val="007D2C25"/>
    <w:rsid w:val="007D2D4E"/>
    <w:rsid w:val="007D3D6C"/>
    <w:rsid w:val="007D46BD"/>
    <w:rsid w:val="007D5B56"/>
    <w:rsid w:val="007E01A6"/>
    <w:rsid w:val="007E0AA6"/>
    <w:rsid w:val="007E0CF4"/>
    <w:rsid w:val="007E114D"/>
    <w:rsid w:val="007E3E03"/>
    <w:rsid w:val="007E5A4D"/>
    <w:rsid w:val="007F1885"/>
    <w:rsid w:val="007F39EF"/>
    <w:rsid w:val="007F76A1"/>
    <w:rsid w:val="0080002D"/>
    <w:rsid w:val="00800669"/>
    <w:rsid w:val="00800C21"/>
    <w:rsid w:val="0080222F"/>
    <w:rsid w:val="00803870"/>
    <w:rsid w:val="00804857"/>
    <w:rsid w:val="00804FD3"/>
    <w:rsid w:val="00806ADD"/>
    <w:rsid w:val="00806D6B"/>
    <w:rsid w:val="008077D6"/>
    <w:rsid w:val="00810B13"/>
    <w:rsid w:val="00815B3F"/>
    <w:rsid w:val="00816EB9"/>
    <w:rsid w:val="00817F67"/>
    <w:rsid w:val="00822AEF"/>
    <w:rsid w:val="00830640"/>
    <w:rsid w:val="00832626"/>
    <w:rsid w:val="0083455A"/>
    <w:rsid w:val="0083469A"/>
    <w:rsid w:val="00840C04"/>
    <w:rsid w:val="00843D94"/>
    <w:rsid w:val="00845B10"/>
    <w:rsid w:val="00845E77"/>
    <w:rsid w:val="008462F2"/>
    <w:rsid w:val="00851F01"/>
    <w:rsid w:val="0085357D"/>
    <w:rsid w:val="00854F90"/>
    <w:rsid w:val="00864AFF"/>
    <w:rsid w:val="00867AE4"/>
    <w:rsid w:val="0087575E"/>
    <w:rsid w:val="00881528"/>
    <w:rsid w:val="008830CE"/>
    <w:rsid w:val="00884AB0"/>
    <w:rsid w:val="00885194"/>
    <w:rsid w:val="00887474"/>
    <w:rsid w:val="00890880"/>
    <w:rsid w:val="008920E0"/>
    <w:rsid w:val="008927EE"/>
    <w:rsid w:val="00895348"/>
    <w:rsid w:val="008A047C"/>
    <w:rsid w:val="008A170E"/>
    <w:rsid w:val="008A254E"/>
    <w:rsid w:val="008B2D04"/>
    <w:rsid w:val="008B72E6"/>
    <w:rsid w:val="008C4749"/>
    <w:rsid w:val="008C491E"/>
    <w:rsid w:val="008C791F"/>
    <w:rsid w:val="008C7946"/>
    <w:rsid w:val="008D1F7D"/>
    <w:rsid w:val="008D4B08"/>
    <w:rsid w:val="008D5948"/>
    <w:rsid w:val="008E05B4"/>
    <w:rsid w:val="008F71A2"/>
    <w:rsid w:val="008F7BED"/>
    <w:rsid w:val="00905B52"/>
    <w:rsid w:val="00907659"/>
    <w:rsid w:val="00911EF4"/>
    <w:rsid w:val="0092034F"/>
    <w:rsid w:val="00934DEE"/>
    <w:rsid w:val="00936D28"/>
    <w:rsid w:val="009414D7"/>
    <w:rsid w:val="0094463D"/>
    <w:rsid w:val="00963256"/>
    <w:rsid w:val="009650AD"/>
    <w:rsid w:val="0097116A"/>
    <w:rsid w:val="009718DE"/>
    <w:rsid w:val="00972705"/>
    <w:rsid w:val="00980853"/>
    <w:rsid w:val="00981D4E"/>
    <w:rsid w:val="00981E28"/>
    <w:rsid w:val="009830B0"/>
    <w:rsid w:val="00987FBE"/>
    <w:rsid w:val="0099467E"/>
    <w:rsid w:val="009970ED"/>
    <w:rsid w:val="009A1136"/>
    <w:rsid w:val="009A2687"/>
    <w:rsid w:val="009A4AB1"/>
    <w:rsid w:val="009A58A4"/>
    <w:rsid w:val="009A60A7"/>
    <w:rsid w:val="009B1A2B"/>
    <w:rsid w:val="009B32D7"/>
    <w:rsid w:val="009B773C"/>
    <w:rsid w:val="009C4FB3"/>
    <w:rsid w:val="009C56B0"/>
    <w:rsid w:val="009C577D"/>
    <w:rsid w:val="009C635B"/>
    <w:rsid w:val="009C6DB5"/>
    <w:rsid w:val="009D1AAB"/>
    <w:rsid w:val="009D48C7"/>
    <w:rsid w:val="009D60B7"/>
    <w:rsid w:val="009D714F"/>
    <w:rsid w:val="009D75BD"/>
    <w:rsid w:val="009D7847"/>
    <w:rsid w:val="009D7B5E"/>
    <w:rsid w:val="009E2D70"/>
    <w:rsid w:val="009E56AC"/>
    <w:rsid w:val="009F023E"/>
    <w:rsid w:val="009F0528"/>
    <w:rsid w:val="009F174B"/>
    <w:rsid w:val="009F6374"/>
    <w:rsid w:val="009F645A"/>
    <w:rsid w:val="009F6965"/>
    <w:rsid w:val="00A07DE9"/>
    <w:rsid w:val="00A07E4F"/>
    <w:rsid w:val="00A113D9"/>
    <w:rsid w:val="00A14A7C"/>
    <w:rsid w:val="00A152AB"/>
    <w:rsid w:val="00A1617E"/>
    <w:rsid w:val="00A17BF0"/>
    <w:rsid w:val="00A24511"/>
    <w:rsid w:val="00A25E8F"/>
    <w:rsid w:val="00A37E8E"/>
    <w:rsid w:val="00A41E09"/>
    <w:rsid w:val="00A43298"/>
    <w:rsid w:val="00A44582"/>
    <w:rsid w:val="00A45435"/>
    <w:rsid w:val="00A533F1"/>
    <w:rsid w:val="00A57243"/>
    <w:rsid w:val="00A577DD"/>
    <w:rsid w:val="00A577E0"/>
    <w:rsid w:val="00A62716"/>
    <w:rsid w:val="00A652B5"/>
    <w:rsid w:val="00A66F93"/>
    <w:rsid w:val="00A75953"/>
    <w:rsid w:val="00A77A83"/>
    <w:rsid w:val="00A808FA"/>
    <w:rsid w:val="00A8307F"/>
    <w:rsid w:val="00A83BE3"/>
    <w:rsid w:val="00A92490"/>
    <w:rsid w:val="00A95FCB"/>
    <w:rsid w:val="00AA0A65"/>
    <w:rsid w:val="00AA4C61"/>
    <w:rsid w:val="00AA50DB"/>
    <w:rsid w:val="00AA68AB"/>
    <w:rsid w:val="00AA7EE7"/>
    <w:rsid w:val="00AB35BE"/>
    <w:rsid w:val="00AB3650"/>
    <w:rsid w:val="00AB4B07"/>
    <w:rsid w:val="00AB5414"/>
    <w:rsid w:val="00AB6278"/>
    <w:rsid w:val="00AB67E7"/>
    <w:rsid w:val="00AC3828"/>
    <w:rsid w:val="00AD0217"/>
    <w:rsid w:val="00AD0688"/>
    <w:rsid w:val="00AD2F2D"/>
    <w:rsid w:val="00AD3C3C"/>
    <w:rsid w:val="00AD5452"/>
    <w:rsid w:val="00AE4557"/>
    <w:rsid w:val="00AE4889"/>
    <w:rsid w:val="00AF052A"/>
    <w:rsid w:val="00AF1FB0"/>
    <w:rsid w:val="00AF471D"/>
    <w:rsid w:val="00AF4BDE"/>
    <w:rsid w:val="00B00CA7"/>
    <w:rsid w:val="00B02A35"/>
    <w:rsid w:val="00B1222D"/>
    <w:rsid w:val="00B171F2"/>
    <w:rsid w:val="00B179AB"/>
    <w:rsid w:val="00B2018A"/>
    <w:rsid w:val="00B24A6C"/>
    <w:rsid w:val="00B279CB"/>
    <w:rsid w:val="00B40CC0"/>
    <w:rsid w:val="00B43241"/>
    <w:rsid w:val="00B44622"/>
    <w:rsid w:val="00B447C1"/>
    <w:rsid w:val="00B46C29"/>
    <w:rsid w:val="00B47B53"/>
    <w:rsid w:val="00B524C2"/>
    <w:rsid w:val="00B527CE"/>
    <w:rsid w:val="00B54208"/>
    <w:rsid w:val="00B550D8"/>
    <w:rsid w:val="00B55443"/>
    <w:rsid w:val="00B64078"/>
    <w:rsid w:val="00B6492A"/>
    <w:rsid w:val="00B64E16"/>
    <w:rsid w:val="00B66D89"/>
    <w:rsid w:val="00B67220"/>
    <w:rsid w:val="00B75722"/>
    <w:rsid w:val="00B76AA2"/>
    <w:rsid w:val="00B82C9D"/>
    <w:rsid w:val="00B867D5"/>
    <w:rsid w:val="00B92AC5"/>
    <w:rsid w:val="00B96ADC"/>
    <w:rsid w:val="00BA5349"/>
    <w:rsid w:val="00BB16A2"/>
    <w:rsid w:val="00BB1C19"/>
    <w:rsid w:val="00BB23EF"/>
    <w:rsid w:val="00BB2A65"/>
    <w:rsid w:val="00BB2ED7"/>
    <w:rsid w:val="00BC4512"/>
    <w:rsid w:val="00BC5B1E"/>
    <w:rsid w:val="00BD2D24"/>
    <w:rsid w:val="00BD2D3B"/>
    <w:rsid w:val="00BD5E23"/>
    <w:rsid w:val="00BD65FF"/>
    <w:rsid w:val="00BE17AF"/>
    <w:rsid w:val="00BE33D1"/>
    <w:rsid w:val="00BE42F8"/>
    <w:rsid w:val="00BE4FB5"/>
    <w:rsid w:val="00BE707A"/>
    <w:rsid w:val="00BE7403"/>
    <w:rsid w:val="00BE7A64"/>
    <w:rsid w:val="00BE7C92"/>
    <w:rsid w:val="00BE7FEC"/>
    <w:rsid w:val="00BF08E5"/>
    <w:rsid w:val="00BF3D7C"/>
    <w:rsid w:val="00BF4C20"/>
    <w:rsid w:val="00BF4C96"/>
    <w:rsid w:val="00BF7A4D"/>
    <w:rsid w:val="00C030B5"/>
    <w:rsid w:val="00C04D02"/>
    <w:rsid w:val="00C053D8"/>
    <w:rsid w:val="00C06354"/>
    <w:rsid w:val="00C064F2"/>
    <w:rsid w:val="00C11933"/>
    <w:rsid w:val="00C12574"/>
    <w:rsid w:val="00C16DB2"/>
    <w:rsid w:val="00C202D6"/>
    <w:rsid w:val="00C34718"/>
    <w:rsid w:val="00C36B4F"/>
    <w:rsid w:val="00C36F96"/>
    <w:rsid w:val="00C37A76"/>
    <w:rsid w:val="00C468A5"/>
    <w:rsid w:val="00C47126"/>
    <w:rsid w:val="00C54454"/>
    <w:rsid w:val="00C548BD"/>
    <w:rsid w:val="00C648A7"/>
    <w:rsid w:val="00C6544A"/>
    <w:rsid w:val="00C71DDE"/>
    <w:rsid w:val="00C73101"/>
    <w:rsid w:val="00C7612C"/>
    <w:rsid w:val="00C82970"/>
    <w:rsid w:val="00C91388"/>
    <w:rsid w:val="00C952FC"/>
    <w:rsid w:val="00C95697"/>
    <w:rsid w:val="00C95A7D"/>
    <w:rsid w:val="00CA0784"/>
    <w:rsid w:val="00CA13CB"/>
    <w:rsid w:val="00CA5216"/>
    <w:rsid w:val="00CB73EF"/>
    <w:rsid w:val="00CB795C"/>
    <w:rsid w:val="00CC1733"/>
    <w:rsid w:val="00CC7014"/>
    <w:rsid w:val="00CC745D"/>
    <w:rsid w:val="00CC7C1E"/>
    <w:rsid w:val="00CD7836"/>
    <w:rsid w:val="00CE4609"/>
    <w:rsid w:val="00CE5295"/>
    <w:rsid w:val="00CF3815"/>
    <w:rsid w:val="00D02C08"/>
    <w:rsid w:val="00D04B69"/>
    <w:rsid w:val="00D11749"/>
    <w:rsid w:val="00D11A0A"/>
    <w:rsid w:val="00D13258"/>
    <w:rsid w:val="00D142E2"/>
    <w:rsid w:val="00D21C4D"/>
    <w:rsid w:val="00D27388"/>
    <w:rsid w:val="00D32481"/>
    <w:rsid w:val="00D343E3"/>
    <w:rsid w:val="00D35939"/>
    <w:rsid w:val="00D35FA8"/>
    <w:rsid w:val="00D40361"/>
    <w:rsid w:val="00D41DDB"/>
    <w:rsid w:val="00D43AC2"/>
    <w:rsid w:val="00D444FE"/>
    <w:rsid w:val="00D45F03"/>
    <w:rsid w:val="00D51D17"/>
    <w:rsid w:val="00D51F47"/>
    <w:rsid w:val="00D5259E"/>
    <w:rsid w:val="00D52C0C"/>
    <w:rsid w:val="00D607E4"/>
    <w:rsid w:val="00D61C96"/>
    <w:rsid w:val="00D62697"/>
    <w:rsid w:val="00D65BBE"/>
    <w:rsid w:val="00D71ABF"/>
    <w:rsid w:val="00D7252F"/>
    <w:rsid w:val="00D7267A"/>
    <w:rsid w:val="00D748C8"/>
    <w:rsid w:val="00D74F47"/>
    <w:rsid w:val="00D81540"/>
    <w:rsid w:val="00D81C60"/>
    <w:rsid w:val="00D81D77"/>
    <w:rsid w:val="00D83CEB"/>
    <w:rsid w:val="00D84684"/>
    <w:rsid w:val="00D84EF4"/>
    <w:rsid w:val="00D908D3"/>
    <w:rsid w:val="00D92BC8"/>
    <w:rsid w:val="00D92C84"/>
    <w:rsid w:val="00D93D58"/>
    <w:rsid w:val="00D941B3"/>
    <w:rsid w:val="00D947E5"/>
    <w:rsid w:val="00D96DD4"/>
    <w:rsid w:val="00DA2559"/>
    <w:rsid w:val="00DA298A"/>
    <w:rsid w:val="00DA3B50"/>
    <w:rsid w:val="00DB1970"/>
    <w:rsid w:val="00DB1E2D"/>
    <w:rsid w:val="00DB2313"/>
    <w:rsid w:val="00DB4533"/>
    <w:rsid w:val="00DB5A86"/>
    <w:rsid w:val="00DB6BE8"/>
    <w:rsid w:val="00DC0F67"/>
    <w:rsid w:val="00DD1301"/>
    <w:rsid w:val="00DD296F"/>
    <w:rsid w:val="00DD7BED"/>
    <w:rsid w:val="00DE3A34"/>
    <w:rsid w:val="00DE408A"/>
    <w:rsid w:val="00DE4ABB"/>
    <w:rsid w:val="00DE78B2"/>
    <w:rsid w:val="00DF1F14"/>
    <w:rsid w:val="00E0075F"/>
    <w:rsid w:val="00E01137"/>
    <w:rsid w:val="00E051DD"/>
    <w:rsid w:val="00E06F08"/>
    <w:rsid w:val="00E075A8"/>
    <w:rsid w:val="00E1310C"/>
    <w:rsid w:val="00E137DE"/>
    <w:rsid w:val="00E16E64"/>
    <w:rsid w:val="00E17CE8"/>
    <w:rsid w:val="00E20D25"/>
    <w:rsid w:val="00E21EF1"/>
    <w:rsid w:val="00E24B66"/>
    <w:rsid w:val="00E27D5E"/>
    <w:rsid w:val="00E30094"/>
    <w:rsid w:val="00E30252"/>
    <w:rsid w:val="00E332A4"/>
    <w:rsid w:val="00E3410A"/>
    <w:rsid w:val="00E40453"/>
    <w:rsid w:val="00E429BA"/>
    <w:rsid w:val="00E4636B"/>
    <w:rsid w:val="00E51941"/>
    <w:rsid w:val="00E525FE"/>
    <w:rsid w:val="00E526C3"/>
    <w:rsid w:val="00E53226"/>
    <w:rsid w:val="00E575D3"/>
    <w:rsid w:val="00E619FB"/>
    <w:rsid w:val="00E6309D"/>
    <w:rsid w:val="00E65E30"/>
    <w:rsid w:val="00E675EA"/>
    <w:rsid w:val="00E70848"/>
    <w:rsid w:val="00E744ED"/>
    <w:rsid w:val="00E7483F"/>
    <w:rsid w:val="00E74BE2"/>
    <w:rsid w:val="00E778CA"/>
    <w:rsid w:val="00E836E4"/>
    <w:rsid w:val="00E91BA4"/>
    <w:rsid w:val="00E92E8B"/>
    <w:rsid w:val="00E93CB9"/>
    <w:rsid w:val="00E94457"/>
    <w:rsid w:val="00EA232B"/>
    <w:rsid w:val="00EA39B8"/>
    <w:rsid w:val="00EA6BFE"/>
    <w:rsid w:val="00EB5795"/>
    <w:rsid w:val="00EB6603"/>
    <w:rsid w:val="00EB7EA0"/>
    <w:rsid w:val="00EC7B5B"/>
    <w:rsid w:val="00ED1470"/>
    <w:rsid w:val="00ED1EFA"/>
    <w:rsid w:val="00ED294F"/>
    <w:rsid w:val="00ED3592"/>
    <w:rsid w:val="00ED362A"/>
    <w:rsid w:val="00ED7CF0"/>
    <w:rsid w:val="00EE2967"/>
    <w:rsid w:val="00EE2BCC"/>
    <w:rsid w:val="00EE31F1"/>
    <w:rsid w:val="00EE638F"/>
    <w:rsid w:val="00EF6C95"/>
    <w:rsid w:val="00F011DC"/>
    <w:rsid w:val="00F075AC"/>
    <w:rsid w:val="00F0775F"/>
    <w:rsid w:val="00F077F8"/>
    <w:rsid w:val="00F102F3"/>
    <w:rsid w:val="00F121B3"/>
    <w:rsid w:val="00F1323A"/>
    <w:rsid w:val="00F158AC"/>
    <w:rsid w:val="00F16E4E"/>
    <w:rsid w:val="00F1765B"/>
    <w:rsid w:val="00F17F0D"/>
    <w:rsid w:val="00F2460C"/>
    <w:rsid w:val="00F25F99"/>
    <w:rsid w:val="00F27A8E"/>
    <w:rsid w:val="00F41BA8"/>
    <w:rsid w:val="00F422B1"/>
    <w:rsid w:val="00F50380"/>
    <w:rsid w:val="00F61A1F"/>
    <w:rsid w:val="00F63F92"/>
    <w:rsid w:val="00F64FBF"/>
    <w:rsid w:val="00F748D5"/>
    <w:rsid w:val="00F75137"/>
    <w:rsid w:val="00F8307C"/>
    <w:rsid w:val="00F90E6A"/>
    <w:rsid w:val="00FA0702"/>
    <w:rsid w:val="00FA19B7"/>
    <w:rsid w:val="00FA1B30"/>
    <w:rsid w:val="00FA1B57"/>
    <w:rsid w:val="00FA372B"/>
    <w:rsid w:val="00FB7492"/>
    <w:rsid w:val="00FC0422"/>
    <w:rsid w:val="00FC35A6"/>
    <w:rsid w:val="00FC533B"/>
    <w:rsid w:val="00FD1E2C"/>
    <w:rsid w:val="00FD1F86"/>
    <w:rsid w:val="00FD4696"/>
    <w:rsid w:val="00FD5DEC"/>
    <w:rsid w:val="00FD6699"/>
    <w:rsid w:val="00FD6BB4"/>
    <w:rsid w:val="00FD6D67"/>
    <w:rsid w:val="00FE00EA"/>
    <w:rsid w:val="00FE1008"/>
    <w:rsid w:val="00FE363E"/>
    <w:rsid w:val="00FE4CF8"/>
    <w:rsid w:val="00FE5465"/>
    <w:rsid w:val="00FE5CBD"/>
    <w:rsid w:val="00FF1BC8"/>
    <w:rsid w:val="00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34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0C0"/>
    <w:rPr>
      <w:rFonts w:ascii="Times New Roman" w:hAnsi="Times New Roman" w:cs="Times New Roman"/>
      <w:sz w:val="24"/>
      <w:szCs w:val="24"/>
    </w:rPr>
  </w:style>
  <w:style w:type="paragraph" w:styleId="Heading1">
    <w:name w:val="heading 1"/>
    <w:basedOn w:val="Normal"/>
    <w:next w:val="Normal"/>
    <w:link w:val="Heading1Char"/>
    <w:uiPriority w:val="99"/>
    <w:qFormat/>
    <w:rsid w:val="008920E0"/>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90"/>
    <w:pPr>
      <w:ind w:left="720"/>
      <w:contextualSpacing/>
    </w:pPr>
  </w:style>
  <w:style w:type="paragraph" w:customStyle="1" w:styleId="a">
    <w:name w:val="آ"/>
    <w:basedOn w:val="Normal"/>
    <w:rsid w:val="00AE4889"/>
    <w:pPr>
      <w:widowControl w:val="0"/>
      <w:spacing w:after="0" w:line="240" w:lineRule="auto"/>
    </w:pPr>
    <w:rPr>
      <w:rFonts w:eastAsia="Times New Roman"/>
      <w:szCs w:val="20"/>
    </w:rPr>
  </w:style>
  <w:style w:type="character" w:styleId="CommentReference">
    <w:name w:val="annotation reference"/>
    <w:basedOn w:val="DefaultParagraphFont"/>
    <w:uiPriority w:val="99"/>
    <w:semiHidden/>
    <w:unhideWhenUsed/>
    <w:rsid w:val="007A288E"/>
    <w:rPr>
      <w:sz w:val="16"/>
      <w:szCs w:val="16"/>
    </w:rPr>
  </w:style>
  <w:style w:type="paragraph" w:styleId="CommentText">
    <w:name w:val="annotation text"/>
    <w:basedOn w:val="Normal"/>
    <w:link w:val="CommentTextChar"/>
    <w:uiPriority w:val="99"/>
    <w:semiHidden/>
    <w:unhideWhenUsed/>
    <w:rsid w:val="007A288E"/>
    <w:pPr>
      <w:spacing w:line="240" w:lineRule="auto"/>
    </w:pPr>
    <w:rPr>
      <w:sz w:val="20"/>
      <w:szCs w:val="20"/>
    </w:rPr>
  </w:style>
  <w:style w:type="character" w:customStyle="1" w:styleId="CommentTextChar">
    <w:name w:val="Comment Text Char"/>
    <w:basedOn w:val="DefaultParagraphFont"/>
    <w:link w:val="CommentText"/>
    <w:uiPriority w:val="99"/>
    <w:semiHidden/>
    <w:rsid w:val="007A28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8E"/>
    <w:rPr>
      <w:b/>
      <w:bCs/>
    </w:rPr>
  </w:style>
  <w:style w:type="character" w:customStyle="1" w:styleId="CommentSubjectChar">
    <w:name w:val="Comment Subject Char"/>
    <w:basedOn w:val="CommentTextChar"/>
    <w:link w:val="CommentSubject"/>
    <w:uiPriority w:val="99"/>
    <w:semiHidden/>
    <w:rsid w:val="007A288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A2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8E"/>
    <w:rPr>
      <w:rFonts w:ascii="Tahoma" w:hAnsi="Tahoma" w:cs="Tahoma"/>
      <w:sz w:val="16"/>
      <w:szCs w:val="16"/>
    </w:rPr>
  </w:style>
  <w:style w:type="table" w:styleId="TableGrid">
    <w:name w:val="Table Grid"/>
    <w:basedOn w:val="TableNormal"/>
    <w:uiPriority w:val="59"/>
    <w:rsid w:val="00CE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83"/>
    <w:rPr>
      <w:rFonts w:ascii="Times New Roman" w:hAnsi="Times New Roman" w:cs="Times New Roman"/>
      <w:sz w:val="24"/>
      <w:szCs w:val="24"/>
    </w:rPr>
  </w:style>
  <w:style w:type="paragraph" w:styleId="Footer">
    <w:name w:val="footer"/>
    <w:basedOn w:val="Normal"/>
    <w:link w:val="FooterChar"/>
    <w:uiPriority w:val="99"/>
    <w:unhideWhenUsed/>
    <w:rsid w:val="00A7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83"/>
    <w:rPr>
      <w:rFonts w:ascii="Times New Roman" w:hAnsi="Times New Roman" w:cs="Times New Roman"/>
      <w:sz w:val="24"/>
      <w:szCs w:val="24"/>
    </w:rPr>
  </w:style>
  <w:style w:type="character" w:customStyle="1" w:styleId="Heading1Char">
    <w:name w:val="Heading 1 Char"/>
    <w:basedOn w:val="DefaultParagraphFont"/>
    <w:link w:val="Heading1"/>
    <w:uiPriority w:val="99"/>
    <w:rsid w:val="008920E0"/>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8920E0"/>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8920E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920E0"/>
    <w:rPr>
      <w:vertAlign w:val="superscript"/>
    </w:rPr>
  </w:style>
  <w:style w:type="character" w:styleId="Hyperlink">
    <w:name w:val="Hyperlink"/>
    <w:basedOn w:val="DefaultParagraphFont"/>
    <w:uiPriority w:val="99"/>
    <w:unhideWhenUsed/>
    <w:rsid w:val="008920E0"/>
    <w:rPr>
      <w:color w:val="0000FF"/>
      <w:u w:val="single"/>
    </w:rPr>
  </w:style>
  <w:style w:type="character" w:styleId="HTMLCite">
    <w:name w:val="HTML Cite"/>
    <w:basedOn w:val="DefaultParagraphFont"/>
    <w:uiPriority w:val="99"/>
    <w:semiHidden/>
    <w:unhideWhenUsed/>
    <w:rsid w:val="008920E0"/>
    <w:rPr>
      <w:rFonts w:ascii="Times New Roman" w:hAnsi="Times New Roman" w:cs="Times New Roman" w:hint="default"/>
      <w:i/>
      <w:iCs/>
    </w:rPr>
  </w:style>
  <w:style w:type="paragraph" w:customStyle="1" w:styleId="P1-StandPara">
    <w:name w:val="P1-Stand Para"/>
    <w:rsid w:val="008920E0"/>
    <w:pPr>
      <w:spacing w:after="0" w:line="360" w:lineRule="atLeast"/>
      <w:ind w:firstLine="1152"/>
      <w:jc w:val="both"/>
    </w:pPr>
    <w:rPr>
      <w:rFonts w:ascii="Times New Roman" w:eastAsia="Times New Roman" w:hAnsi="Times New Roman" w:cs="Times New Roman"/>
      <w:szCs w:val="20"/>
    </w:rPr>
  </w:style>
  <w:style w:type="paragraph" w:customStyle="1" w:styleId="BodyText1">
    <w:name w:val="Body Text1"/>
    <w:aliases w:val="bt,body tx,indent,flush,memo body text,flush Char Char,body 4h,bt Char Char"/>
    <w:basedOn w:val="Normal"/>
    <w:link w:val="body4hChar"/>
    <w:rsid w:val="00620A7B"/>
    <w:pPr>
      <w:spacing w:after="240" w:line="240" w:lineRule="auto"/>
    </w:pPr>
    <w:rPr>
      <w:rFonts w:eastAsia="Times New Roman"/>
      <w:szCs w:val="20"/>
    </w:rPr>
  </w:style>
  <w:style w:type="character" w:customStyle="1" w:styleId="body4hChar">
    <w:name w:val="body 4h Char"/>
    <w:basedOn w:val="DefaultParagraphFont"/>
    <w:link w:val="BodyText1"/>
    <w:rsid w:val="00620A7B"/>
    <w:rPr>
      <w:rFonts w:ascii="Times New Roman" w:eastAsia="Times New Roman" w:hAnsi="Times New Roman" w:cs="Times New Roman"/>
      <w:sz w:val="24"/>
      <w:szCs w:val="20"/>
    </w:rPr>
  </w:style>
  <w:style w:type="paragraph" w:styleId="Revision">
    <w:name w:val="Revision"/>
    <w:hidden/>
    <w:uiPriority w:val="99"/>
    <w:semiHidden/>
    <w:rsid w:val="00E429BA"/>
    <w:pPr>
      <w:spacing w:after="0" w:line="240" w:lineRule="auto"/>
    </w:pPr>
    <w:rPr>
      <w:rFonts w:ascii="Times New Roman" w:hAnsi="Times New Roman" w:cs="Times New Roman"/>
      <w:sz w:val="24"/>
      <w:szCs w:val="24"/>
    </w:rPr>
  </w:style>
  <w:style w:type="paragraph" w:styleId="TOC1">
    <w:name w:val="toc 1"/>
    <w:basedOn w:val="Normal"/>
    <w:next w:val="Normal"/>
    <w:uiPriority w:val="39"/>
    <w:rsid w:val="00905B52"/>
    <w:pPr>
      <w:tabs>
        <w:tab w:val="right" w:leader="dot" w:pos="9360"/>
      </w:tabs>
      <w:spacing w:before="240" w:after="0" w:line="240" w:lineRule="auto"/>
      <w:ind w:left="720" w:right="720" w:hanging="450"/>
    </w:pPr>
    <w:rPr>
      <w:rFonts w:eastAsia="Times New Roman"/>
      <w:noProof/>
      <w:sz w:val="22"/>
      <w:szCs w:val="20"/>
    </w:rPr>
  </w:style>
  <w:style w:type="paragraph" w:styleId="TOC2">
    <w:name w:val="toc 2"/>
    <w:basedOn w:val="Normal"/>
    <w:next w:val="Normal"/>
    <w:rsid w:val="00905B52"/>
    <w:pPr>
      <w:tabs>
        <w:tab w:val="right" w:leader="dot" w:pos="9360"/>
      </w:tabs>
      <w:spacing w:after="0" w:line="240" w:lineRule="auto"/>
      <w:ind w:left="1260" w:right="720" w:hanging="540"/>
    </w:pPr>
    <w:rPr>
      <w:rFonts w:eastAsia="Times New Roman"/>
      <w:noProof/>
      <w:sz w:val="22"/>
      <w:szCs w:val="20"/>
    </w:rPr>
  </w:style>
  <w:style w:type="paragraph" w:styleId="EndnoteText">
    <w:name w:val="endnote text"/>
    <w:basedOn w:val="Normal"/>
    <w:link w:val="EndnoteTextChar"/>
    <w:uiPriority w:val="99"/>
    <w:semiHidden/>
    <w:unhideWhenUsed/>
    <w:rsid w:val="00E051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51D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E051DD"/>
    <w:rPr>
      <w:vertAlign w:val="superscript"/>
    </w:rPr>
  </w:style>
  <w:style w:type="paragraph" w:customStyle="1" w:styleId="Style0">
    <w:name w:val="Style0"/>
    <w:rsid w:val="00D81540"/>
    <w:pPr>
      <w:autoSpaceDE w:val="0"/>
      <w:autoSpaceDN w:val="0"/>
      <w:adjustRightInd w:val="0"/>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1"/>
    <w:qFormat/>
    <w:rsid w:val="000E6E67"/>
    <w:pPr>
      <w:widowControl w:val="0"/>
      <w:spacing w:after="0" w:line="240" w:lineRule="auto"/>
      <w:ind w:left="118"/>
    </w:pPr>
    <w:rPr>
      <w:rFonts w:eastAsia="Times New Roman" w:cstheme="minorBidi"/>
      <w:sz w:val="23"/>
      <w:szCs w:val="23"/>
    </w:rPr>
  </w:style>
  <w:style w:type="character" w:customStyle="1" w:styleId="BodyTextChar">
    <w:name w:val="Body Text Char"/>
    <w:basedOn w:val="DefaultParagraphFont"/>
    <w:link w:val="BodyText"/>
    <w:uiPriority w:val="1"/>
    <w:rsid w:val="000E6E67"/>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906">
      <w:bodyDiv w:val="1"/>
      <w:marLeft w:val="0"/>
      <w:marRight w:val="0"/>
      <w:marTop w:val="0"/>
      <w:marBottom w:val="0"/>
      <w:divBdr>
        <w:top w:val="none" w:sz="0" w:space="0" w:color="auto"/>
        <w:left w:val="none" w:sz="0" w:space="0" w:color="auto"/>
        <w:bottom w:val="none" w:sz="0" w:space="0" w:color="auto"/>
        <w:right w:val="none" w:sz="0" w:space="0" w:color="auto"/>
      </w:divBdr>
    </w:div>
    <w:div w:id="585723095">
      <w:bodyDiv w:val="1"/>
      <w:marLeft w:val="0"/>
      <w:marRight w:val="0"/>
      <w:marTop w:val="0"/>
      <w:marBottom w:val="0"/>
      <w:divBdr>
        <w:top w:val="none" w:sz="0" w:space="0" w:color="auto"/>
        <w:left w:val="none" w:sz="0" w:space="0" w:color="auto"/>
        <w:bottom w:val="none" w:sz="0" w:space="0" w:color="auto"/>
        <w:right w:val="none" w:sz="0" w:space="0" w:color="auto"/>
      </w:divBdr>
    </w:div>
    <w:div w:id="716854924">
      <w:bodyDiv w:val="1"/>
      <w:marLeft w:val="0"/>
      <w:marRight w:val="0"/>
      <w:marTop w:val="0"/>
      <w:marBottom w:val="0"/>
      <w:divBdr>
        <w:top w:val="none" w:sz="0" w:space="0" w:color="auto"/>
        <w:left w:val="none" w:sz="0" w:space="0" w:color="auto"/>
        <w:bottom w:val="none" w:sz="0" w:space="0" w:color="auto"/>
        <w:right w:val="none" w:sz="0" w:space="0" w:color="auto"/>
      </w:divBdr>
    </w:div>
    <w:div w:id="777062265">
      <w:bodyDiv w:val="1"/>
      <w:marLeft w:val="0"/>
      <w:marRight w:val="0"/>
      <w:marTop w:val="0"/>
      <w:marBottom w:val="0"/>
      <w:divBdr>
        <w:top w:val="none" w:sz="0" w:space="0" w:color="auto"/>
        <w:left w:val="none" w:sz="0" w:space="0" w:color="auto"/>
        <w:bottom w:val="none" w:sz="0" w:space="0" w:color="auto"/>
        <w:right w:val="none" w:sz="0" w:space="0" w:color="auto"/>
      </w:divBdr>
    </w:div>
    <w:div w:id="829061445">
      <w:bodyDiv w:val="1"/>
      <w:marLeft w:val="0"/>
      <w:marRight w:val="0"/>
      <w:marTop w:val="0"/>
      <w:marBottom w:val="0"/>
      <w:divBdr>
        <w:top w:val="none" w:sz="0" w:space="0" w:color="auto"/>
        <w:left w:val="none" w:sz="0" w:space="0" w:color="auto"/>
        <w:bottom w:val="none" w:sz="0" w:space="0" w:color="auto"/>
        <w:right w:val="none" w:sz="0" w:space="0" w:color="auto"/>
      </w:divBdr>
    </w:div>
    <w:div w:id="11313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ucas3@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3134-F7C7-4DA6-853C-CDFD49D6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6384</Words>
  <Characters>36391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2015-05-01T18:40:00Z</dcterms:created>
  <dcterms:modified xsi:type="dcterms:W3CDTF">2015-05-01T19:28:00Z</dcterms:modified>
</cp:coreProperties>
</file>