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37A" w:rsidRDefault="0081537A" w:rsidP="00CA3F50">
      <w:pPr>
        <w:pStyle w:val="BodyTextIndent"/>
      </w:pPr>
    </w:p>
    <w:p w:rsidR="00C97C77" w:rsidRPr="00044843" w:rsidRDefault="00C97C77" w:rsidP="00CA3F50">
      <w:pPr>
        <w:pStyle w:val="BodyTextIndent"/>
        <w:rPr>
          <w:b w:val="0"/>
        </w:rPr>
      </w:pPr>
      <w:r w:rsidRPr="00044843">
        <w:rPr>
          <w:b w:val="0"/>
        </w:rPr>
        <w:t>Current Good Manufacturing Practices and Related Regulations for Blood and Blood Components; and Requirements for Donor Testing, Donor Notification, and “Lookback”</w:t>
      </w:r>
    </w:p>
    <w:p w:rsidR="000442E1" w:rsidRPr="00044843" w:rsidRDefault="000442E1" w:rsidP="00CA3F50">
      <w:pPr>
        <w:pStyle w:val="BodyTextIndent"/>
        <w:rPr>
          <w:b w:val="0"/>
        </w:rPr>
      </w:pPr>
    </w:p>
    <w:p w:rsidR="00C97C77" w:rsidRPr="00044843" w:rsidRDefault="0081537A" w:rsidP="00CA3F50">
      <w:pPr>
        <w:pStyle w:val="BodyTextIndent"/>
        <w:rPr>
          <w:b w:val="0"/>
        </w:rPr>
      </w:pPr>
      <w:r w:rsidRPr="00044843">
        <w:rPr>
          <w:b w:val="0"/>
        </w:rPr>
        <w:t>0910-0116</w:t>
      </w:r>
    </w:p>
    <w:p w:rsidR="0081537A" w:rsidRPr="00044843" w:rsidRDefault="0081537A" w:rsidP="00CA3F50">
      <w:pPr>
        <w:pStyle w:val="BodyTextIndent"/>
        <w:rPr>
          <w:b w:val="0"/>
        </w:rPr>
      </w:pPr>
    </w:p>
    <w:p w:rsidR="0081537A" w:rsidRDefault="0081537A" w:rsidP="00CA3F50">
      <w:pPr>
        <w:pStyle w:val="BodyTextIndent"/>
        <w:rPr>
          <w:b w:val="0"/>
        </w:rPr>
      </w:pPr>
      <w:r w:rsidRPr="00044843">
        <w:rPr>
          <w:b w:val="0"/>
        </w:rPr>
        <w:t>SUPPORTING STATEMENT</w:t>
      </w:r>
    </w:p>
    <w:p w:rsidR="005C3666" w:rsidRPr="00044843" w:rsidRDefault="005C3666" w:rsidP="00CA3F50">
      <w:pPr>
        <w:pStyle w:val="BodyTextIndent"/>
        <w:rPr>
          <w:b w:val="0"/>
        </w:rPr>
      </w:pPr>
    </w:p>
    <w:p w:rsidR="00C97C77" w:rsidRDefault="00C97C77" w:rsidP="00CA3F50">
      <w:pPr>
        <w:pStyle w:val="BodyTextIndent"/>
      </w:pPr>
    </w:p>
    <w:p w:rsidR="005C3666" w:rsidRDefault="005C3666" w:rsidP="00CA3F50">
      <w:pPr>
        <w:pStyle w:val="Heading1"/>
      </w:pPr>
      <w:r>
        <w:t xml:space="preserve">Terms of Clearance:  None. </w:t>
      </w:r>
    </w:p>
    <w:p w:rsidR="005C3666" w:rsidRDefault="005C3666" w:rsidP="00CA3F50">
      <w:pPr>
        <w:pStyle w:val="Heading1"/>
      </w:pPr>
    </w:p>
    <w:p w:rsidR="00C97C77" w:rsidRPr="007B2104" w:rsidRDefault="0081537A" w:rsidP="00CA3F50">
      <w:pPr>
        <w:pStyle w:val="Heading1"/>
        <w:rPr>
          <w:u w:val="none"/>
        </w:rPr>
      </w:pPr>
      <w:r w:rsidRPr="007B2104">
        <w:rPr>
          <w:u w:val="none"/>
        </w:rPr>
        <w:t>Justification</w:t>
      </w:r>
    </w:p>
    <w:p w:rsidR="00C97C77" w:rsidRDefault="00C97C77" w:rsidP="00CA3F50"/>
    <w:p w:rsidR="00C97C77" w:rsidRPr="0081537A" w:rsidRDefault="000D6ED0" w:rsidP="00CA3F50">
      <w:pPr>
        <w:pStyle w:val="Heading2"/>
      </w:pPr>
      <w:r w:rsidRPr="0081537A">
        <w:t>Circumstances Making the Collection of Information Necessary</w:t>
      </w:r>
    </w:p>
    <w:p w:rsidR="00C97C77" w:rsidRDefault="00C97C77" w:rsidP="009B2C58">
      <w:pPr>
        <w:pStyle w:val="BodyText"/>
      </w:pPr>
    </w:p>
    <w:p w:rsidR="001B1059" w:rsidRDefault="00C97C77" w:rsidP="009B2C58">
      <w:pPr>
        <w:pStyle w:val="BodyText"/>
      </w:pPr>
      <w:r>
        <w:t>The Food and Drug Administration (FDA) is requesting an extension of Office of Management and Budget (OMB) Control No. 0910-0116 and OMB approval of the information collectio</w:t>
      </w:r>
      <w:r w:rsidR="000F3697">
        <w:t>n requirements as summarized</w:t>
      </w:r>
      <w:r w:rsidR="00B07A1D">
        <w:t xml:space="preserve"> below:</w:t>
      </w:r>
      <w:r w:rsidR="001B1059">
        <w:t xml:space="preserve">  </w:t>
      </w:r>
    </w:p>
    <w:p w:rsidR="00C97C77" w:rsidRDefault="00C97C77" w:rsidP="009B2C58">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800"/>
        <w:gridCol w:w="5508"/>
      </w:tblGrid>
      <w:tr w:rsidR="00C97C77" w:rsidTr="000370BE">
        <w:tc>
          <w:tcPr>
            <w:tcW w:w="2268" w:type="dxa"/>
          </w:tcPr>
          <w:p w:rsidR="00C97C77" w:rsidRDefault="00C97C77" w:rsidP="00CA3F50">
            <w:r>
              <w:t>21 CFR 606.100(b)</w:t>
            </w:r>
          </w:p>
          <w:p w:rsidR="00326C94" w:rsidRDefault="00326C94" w:rsidP="00CA3F50">
            <w:r>
              <w:t>SOPs</w:t>
            </w:r>
            <w:r w:rsidR="00751898">
              <w:t xml:space="preserve"> </w:t>
            </w:r>
          </w:p>
        </w:tc>
        <w:tc>
          <w:tcPr>
            <w:tcW w:w="1800" w:type="dxa"/>
          </w:tcPr>
          <w:p w:rsidR="00C97C77" w:rsidRDefault="00C97C77" w:rsidP="00CA3F50">
            <w:r>
              <w:t>Recordkeeping</w:t>
            </w:r>
          </w:p>
        </w:tc>
        <w:tc>
          <w:tcPr>
            <w:tcW w:w="5508" w:type="dxa"/>
          </w:tcPr>
          <w:p w:rsidR="00C97C77" w:rsidRDefault="00C97C77" w:rsidP="00CA3F50">
            <w:r>
              <w:t xml:space="preserve">Requires that written standard operating procedures (SOPs) be maintained for </w:t>
            </w:r>
            <w:r w:rsidR="009C0A6C">
              <w:t xml:space="preserve">all steps to be followed in </w:t>
            </w:r>
            <w:r>
              <w:t xml:space="preserve">the collection, processing, compatibility testing, storage and distribution of blood and blood components used for transfusion and </w:t>
            </w:r>
            <w:r w:rsidR="009C0A6C">
              <w:t xml:space="preserve">further </w:t>
            </w:r>
            <w:r>
              <w:t>manufacturing purposes.</w:t>
            </w:r>
          </w:p>
        </w:tc>
      </w:tr>
      <w:tr w:rsidR="00C97C77" w:rsidTr="000370BE">
        <w:tc>
          <w:tcPr>
            <w:tcW w:w="2268" w:type="dxa"/>
          </w:tcPr>
          <w:p w:rsidR="00C97C77" w:rsidRDefault="00C97C77" w:rsidP="00CA3F50">
            <w:r>
              <w:t>21 CFR 606.100(c)</w:t>
            </w:r>
          </w:p>
          <w:p w:rsidR="00326C94" w:rsidRDefault="00326C94" w:rsidP="00CA3F50">
            <w:r>
              <w:t>SOPs</w:t>
            </w:r>
            <w:r w:rsidR="00751898">
              <w:t xml:space="preserve"> </w:t>
            </w:r>
          </w:p>
        </w:tc>
        <w:tc>
          <w:tcPr>
            <w:tcW w:w="1800" w:type="dxa"/>
          </w:tcPr>
          <w:p w:rsidR="00C97C77" w:rsidRDefault="00C97C77" w:rsidP="00CA3F50">
            <w:r>
              <w:t>Recordkeeping</w:t>
            </w:r>
          </w:p>
        </w:tc>
        <w:tc>
          <w:tcPr>
            <w:tcW w:w="5508" w:type="dxa"/>
          </w:tcPr>
          <w:p w:rsidR="00C97C77" w:rsidRDefault="00C97C77" w:rsidP="00CA3F50">
            <w:r>
              <w:t xml:space="preserve">Requires the review of all records </w:t>
            </w:r>
            <w:r w:rsidR="009C0A6C">
              <w:t xml:space="preserve">pertinent </w:t>
            </w:r>
            <w:r>
              <w:t xml:space="preserve">to </w:t>
            </w:r>
            <w:r w:rsidR="009C0A6C">
              <w:t>the</w:t>
            </w:r>
            <w:r>
              <w:t xml:space="preserve"> lot or unit of blood prior to release</w:t>
            </w:r>
            <w:r w:rsidR="009C0A6C">
              <w:t xml:space="preserve"> or distribution</w:t>
            </w:r>
            <w:r>
              <w:t>.</w:t>
            </w:r>
            <w:r w:rsidR="009C0A6C">
              <w:t xml:space="preserve"> </w:t>
            </w:r>
            <w:r>
              <w:t xml:space="preserve"> Any unexplained discrepancy or </w:t>
            </w:r>
            <w:r w:rsidR="005E625B">
              <w:t xml:space="preserve">the </w:t>
            </w:r>
            <w:r>
              <w:t xml:space="preserve">failure of a lot or unit of final product to meet any of its specifications must be thoroughly investigated, and the investigation, including conclusions and </w:t>
            </w:r>
            <w:r w:rsidR="006E4012">
              <w:t>follow-up</w:t>
            </w:r>
            <w:r>
              <w:t>, must be recorded.</w:t>
            </w:r>
          </w:p>
        </w:tc>
      </w:tr>
      <w:tr w:rsidR="00C97C77" w:rsidTr="000370BE">
        <w:tc>
          <w:tcPr>
            <w:tcW w:w="2268" w:type="dxa"/>
          </w:tcPr>
          <w:p w:rsidR="00C97C77" w:rsidRDefault="00C97C77" w:rsidP="00CA3F50">
            <w:r>
              <w:t>21 CFR 606.110(a)</w:t>
            </w:r>
          </w:p>
          <w:p w:rsidR="003443D0" w:rsidRDefault="00126F7E" w:rsidP="00CA3F50">
            <w:r>
              <w:t>Records (Donor)</w:t>
            </w:r>
          </w:p>
        </w:tc>
        <w:tc>
          <w:tcPr>
            <w:tcW w:w="1800" w:type="dxa"/>
          </w:tcPr>
          <w:p w:rsidR="00C97C77" w:rsidRDefault="00C97C77" w:rsidP="00CA3F50">
            <w:r>
              <w:t>Recordkeeping</w:t>
            </w:r>
          </w:p>
        </w:tc>
        <w:tc>
          <w:tcPr>
            <w:tcW w:w="5508" w:type="dxa"/>
          </w:tcPr>
          <w:p w:rsidR="00C97C77" w:rsidRDefault="00C139A7" w:rsidP="00CA3F50">
            <w:r>
              <w:t xml:space="preserve">Provides that the use of </w:t>
            </w:r>
            <w:r w:rsidR="00302662">
              <w:t>plateletpheresis and</w:t>
            </w:r>
            <w:r w:rsidR="00C97C77">
              <w:t xml:space="preserve"> leukapheresis </w:t>
            </w:r>
            <w:r>
              <w:t>procedures to obtain a product for a specific recipient may be at variance with the additional standards for that specific product, if among other things, the physician certifies in writing that the donor’s health permits plat</w:t>
            </w:r>
            <w:r w:rsidR="00EE7DB5">
              <w:t>eletpheresis or leukapheresis.</w:t>
            </w:r>
          </w:p>
        </w:tc>
      </w:tr>
      <w:tr w:rsidR="00C97C77" w:rsidTr="000370BE">
        <w:tc>
          <w:tcPr>
            <w:tcW w:w="2268" w:type="dxa"/>
          </w:tcPr>
          <w:p w:rsidR="00C97C77" w:rsidRDefault="00C97C77" w:rsidP="00CA3F50">
            <w:r>
              <w:t>21 CFR 606.121</w:t>
            </w:r>
          </w:p>
          <w:p w:rsidR="00326C94" w:rsidRDefault="00326C94" w:rsidP="00CA3F50">
            <w:r>
              <w:t>Labeling</w:t>
            </w:r>
            <w:r w:rsidR="00751898">
              <w:t xml:space="preserve"> </w:t>
            </w:r>
          </w:p>
        </w:tc>
        <w:tc>
          <w:tcPr>
            <w:tcW w:w="1800" w:type="dxa"/>
          </w:tcPr>
          <w:p w:rsidR="00C97C77" w:rsidRDefault="00C97C77" w:rsidP="00CA3F50">
            <w:r>
              <w:t>Disclosure</w:t>
            </w:r>
          </w:p>
        </w:tc>
        <w:tc>
          <w:tcPr>
            <w:tcW w:w="5508" w:type="dxa"/>
          </w:tcPr>
          <w:p w:rsidR="00C97C77" w:rsidRDefault="00C97C77" w:rsidP="00CA3F50">
            <w:r>
              <w:t xml:space="preserve">Requires container label for blood and blood components </w:t>
            </w:r>
            <w:r w:rsidR="004039E7">
              <w:t xml:space="preserve">(except Source Plasma) </w:t>
            </w:r>
            <w:r>
              <w:t>by all blood establishments.</w:t>
            </w:r>
          </w:p>
        </w:tc>
      </w:tr>
      <w:tr w:rsidR="00C97C77" w:rsidTr="000370BE">
        <w:tc>
          <w:tcPr>
            <w:tcW w:w="2268" w:type="dxa"/>
          </w:tcPr>
          <w:p w:rsidR="00C97C77" w:rsidRDefault="00C97C77" w:rsidP="00CA3F50">
            <w:r>
              <w:t>21 CFR 606.122</w:t>
            </w:r>
          </w:p>
          <w:p w:rsidR="00326C94" w:rsidRDefault="00326C94" w:rsidP="00CA3F50">
            <w:r>
              <w:t>Labeling</w:t>
            </w:r>
            <w:r w:rsidR="00751898">
              <w:t xml:space="preserve"> </w:t>
            </w:r>
          </w:p>
        </w:tc>
        <w:tc>
          <w:tcPr>
            <w:tcW w:w="1800" w:type="dxa"/>
          </w:tcPr>
          <w:p w:rsidR="00C97C77" w:rsidRDefault="00C97C77" w:rsidP="00CA3F50">
            <w:r>
              <w:t>Disclosure</w:t>
            </w:r>
          </w:p>
        </w:tc>
        <w:tc>
          <w:tcPr>
            <w:tcW w:w="5508" w:type="dxa"/>
          </w:tcPr>
          <w:p w:rsidR="00C97C77" w:rsidRDefault="00C97C77" w:rsidP="00CA3F50">
            <w:r>
              <w:t>Requires an instruction circular</w:t>
            </w:r>
            <w:r w:rsidR="003105D3">
              <w:t xml:space="preserve"> to provide </w:t>
            </w:r>
            <w:r>
              <w:t xml:space="preserve">adequate directions for use, </w:t>
            </w:r>
            <w:r w:rsidR="004039E7">
              <w:t xml:space="preserve">to </w:t>
            </w:r>
            <w:r>
              <w:t>be available for distribution if the product is intended for transfusion.</w:t>
            </w:r>
          </w:p>
        </w:tc>
      </w:tr>
      <w:tr w:rsidR="00C97C77" w:rsidTr="000370BE">
        <w:tc>
          <w:tcPr>
            <w:tcW w:w="2268" w:type="dxa"/>
          </w:tcPr>
          <w:p w:rsidR="00C97C77" w:rsidRDefault="00C97C77" w:rsidP="00CA3F50">
            <w:r>
              <w:t>21 CFR 606.151(e)</w:t>
            </w:r>
          </w:p>
          <w:p w:rsidR="00326C94" w:rsidRDefault="00326C94" w:rsidP="00CA3F50">
            <w:r>
              <w:lastRenderedPageBreak/>
              <w:t>SOPs</w:t>
            </w:r>
            <w:r w:rsidR="00751898">
              <w:t xml:space="preserve"> </w:t>
            </w:r>
          </w:p>
        </w:tc>
        <w:tc>
          <w:tcPr>
            <w:tcW w:w="1800" w:type="dxa"/>
          </w:tcPr>
          <w:p w:rsidR="00C97C77" w:rsidRDefault="00C97C77" w:rsidP="00CA3F50">
            <w:r>
              <w:lastRenderedPageBreak/>
              <w:t>Recordkeeping</w:t>
            </w:r>
          </w:p>
        </w:tc>
        <w:tc>
          <w:tcPr>
            <w:tcW w:w="5508" w:type="dxa"/>
          </w:tcPr>
          <w:p w:rsidR="00C97C77" w:rsidRDefault="00C97C77" w:rsidP="00CA3F50">
            <w:r>
              <w:t xml:space="preserve">Requires that </w:t>
            </w:r>
            <w:r w:rsidR="004039E7">
              <w:t>SOPs f</w:t>
            </w:r>
            <w:r w:rsidR="008A4581">
              <w:t>o</w:t>
            </w:r>
            <w:r w:rsidR="004039E7">
              <w:t xml:space="preserve">r </w:t>
            </w:r>
            <w:r w:rsidR="008A4581">
              <w:t xml:space="preserve">compatibility testing include </w:t>
            </w:r>
            <w:r w:rsidR="008A4581">
              <w:lastRenderedPageBreak/>
              <w:t>procedures to expedite transfusion in life-threatening emergencies; records of all such incidents must be maintained, including complete documentation justifying the emergency action</w:t>
            </w:r>
            <w:r w:rsidR="000F3697">
              <w:t>, which must be signed by a physician.</w:t>
            </w:r>
            <w:r w:rsidR="008A4581">
              <w:t xml:space="preserve"> </w:t>
            </w:r>
          </w:p>
        </w:tc>
      </w:tr>
      <w:tr w:rsidR="00C97C77" w:rsidTr="000370BE">
        <w:tc>
          <w:tcPr>
            <w:tcW w:w="2268" w:type="dxa"/>
          </w:tcPr>
          <w:p w:rsidR="00C97C77" w:rsidRDefault="00C97C77" w:rsidP="00CA3F50">
            <w:r>
              <w:lastRenderedPageBreak/>
              <w:t>21 CFR 606.160</w:t>
            </w:r>
          </w:p>
          <w:p w:rsidR="00326C94" w:rsidRDefault="00326C94" w:rsidP="00CA3F50">
            <w:r>
              <w:t>Records</w:t>
            </w:r>
            <w:r w:rsidR="003443D0">
              <w:t xml:space="preserve"> (General)</w:t>
            </w:r>
            <w:r w:rsidR="00751898">
              <w:t xml:space="preserve"> </w:t>
            </w:r>
          </w:p>
        </w:tc>
        <w:tc>
          <w:tcPr>
            <w:tcW w:w="1800" w:type="dxa"/>
          </w:tcPr>
          <w:p w:rsidR="00C97C77" w:rsidRDefault="00C97C77" w:rsidP="00CA3F50">
            <w:r>
              <w:t>Recordkeeping</w:t>
            </w:r>
          </w:p>
        </w:tc>
        <w:tc>
          <w:tcPr>
            <w:tcW w:w="5508" w:type="dxa"/>
          </w:tcPr>
          <w:p w:rsidR="00C97C77" w:rsidRDefault="00C97C77" w:rsidP="00CA3F50">
            <w:r>
              <w:t xml:space="preserve">Requires that legible and indelible contemporaneous records of each significant step </w:t>
            </w:r>
            <w:r w:rsidR="00CC31C3">
              <w:t xml:space="preserve">in the collection, processing, compatibility testing, storage, and distribution of each unit of blood and blood components </w:t>
            </w:r>
            <w:r>
              <w:t>be made</w:t>
            </w:r>
            <w:r w:rsidR="008B4C4D">
              <w:t xml:space="preserve"> so that each unit can be clearly traced and records be</w:t>
            </w:r>
            <w:r>
              <w:t xml:space="preserve"> maintained for no less than </w:t>
            </w:r>
            <w:r w:rsidR="00CC31C3">
              <w:t>10</w:t>
            </w:r>
            <w:r>
              <w:t xml:space="preserve"> years.</w:t>
            </w:r>
          </w:p>
        </w:tc>
      </w:tr>
      <w:tr w:rsidR="00603B74" w:rsidTr="000370BE">
        <w:tc>
          <w:tcPr>
            <w:tcW w:w="2268" w:type="dxa"/>
          </w:tcPr>
          <w:p w:rsidR="00603B74" w:rsidRDefault="00603B74" w:rsidP="00CA3F50">
            <w:r>
              <w:t>21 CFR 606.160(b)(1)(viii)</w:t>
            </w:r>
          </w:p>
          <w:p w:rsidR="00326C94" w:rsidRDefault="00326C94" w:rsidP="00CA3F50">
            <w:r>
              <w:t>Records</w:t>
            </w:r>
            <w:r w:rsidR="00751898">
              <w:t xml:space="preserve"> </w:t>
            </w:r>
            <w:r w:rsidR="005F6F23">
              <w:t>(General)</w:t>
            </w:r>
          </w:p>
        </w:tc>
        <w:tc>
          <w:tcPr>
            <w:tcW w:w="1800" w:type="dxa"/>
          </w:tcPr>
          <w:p w:rsidR="00603B74" w:rsidRDefault="003B7C3D" w:rsidP="00CA3F50">
            <w:r>
              <w:t>Recordkeeping</w:t>
            </w:r>
            <w:r w:rsidR="00F813BE">
              <w:t xml:space="preserve"> </w:t>
            </w:r>
          </w:p>
        </w:tc>
        <w:tc>
          <w:tcPr>
            <w:tcW w:w="5508" w:type="dxa"/>
          </w:tcPr>
          <w:p w:rsidR="00603B74" w:rsidRDefault="00053294" w:rsidP="00CA3F50">
            <w:r>
              <w:t>R</w:t>
            </w:r>
            <w:r w:rsidR="003B7C3D">
              <w:t xml:space="preserve">equires </w:t>
            </w:r>
            <w:r w:rsidR="00916032">
              <w:t xml:space="preserve">maintenance of </w:t>
            </w:r>
            <w:r w:rsidR="003B7C3D">
              <w:t xml:space="preserve">records </w:t>
            </w:r>
            <w:r w:rsidR="00AB58E9">
              <w:t xml:space="preserve">concerning </w:t>
            </w:r>
            <w:r w:rsidR="003B7C3D">
              <w:t xml:space="preserve">quarantine, notification, testing and disposition performed under the </w:t>
            </w:r>
            <w:r w:rsidR="00B951DB">
              <w:t>human immunodeficiency virus (HIV) a</w:t>
            </w:r>
            <w:r w:rsidR="003B7C3D">
              <w:t xml:space="preserve">nd </w:t>
            </w:r>
            <w:r w:rsidR="00B951DB">
              <w:t xml:space="preserve">hepatitis C virus (HCV) </w:t>
            </w:r>
            <w:r w:rsidR="003B7C3D">
              <w:t>‘‘lookback’’ provisions</w:t>
            </w:r>
            <w:r w:rsidR="00902DD0">
              <w:t>.</w:t>
            </w:r>
          </w:p>
        </w:tc>
      </w:tr>
      <w:tr w:rsidR="00C97C77" w:rsidTr="000370BE">
        <w:tc>
          <w:tcPr>
            <w:tcW w:w="2268" w:type="dxa"/>
          </w:tcPr>
          <w:p w:rsidR="00C97C77" w:rsidRDefault="00C97C77" w:rsidP="00CA3F50">
            <w:r>
              <w:t>21 CFR 606.160(b)(1)(ix)</w:t>
            </w:r>
          </w:p>
          <w:p w:rsidR="00326C94" w:rsidRDefault="00326C94" w:rsidP="00CA3F50">
            <w:r>
              <w:t>Records</w:t>
            </w:r>
            <w:r w:rsidR="00751898">
              <w:t xml:space="preserve"> </w:t>
            </w:r>
            <w:r w:rsidR="005F6F23">
              <w:t>(Notification)</w:t>
            </w:r>
          </w:p>
        </w:tc>
        <w:tc>
          <w:tcPr>
            <w:tcW w:w="1800" w:type="dxa"/>
          </w:tcPr>
          <w:p w:rsidR="00C97C77" w:rsidRDefault="00C97C77" w:rsidP="00CA3F50">
            <w:r>
              <w:t>Recordkeeping</w:t>
            </w:r>
          </w:p>
        </w:tc>
        <w:tc>
          <w:tcPr>
            <w:tcW w:w="5508" w:type="dxa"/>
          </w:tcPr>
          <w:p w:rsidR="00C97C77" w:rsidRDefault="00C97C77" w:rsidP="00CA3F50">
            <w:r>
              <w:t xml:space="preserve">Requires a </w:t>
            </w:r>
            <w:r w:rsidR="00CC31C3">
              <w:t>blood collection establishment</w:t>
            </w:r>
            <w:r>
              <w:t xml:space="preserve"> to maintain records of notification of donors deferred or determined not to be eligible for donation, including appropriate </w:t>
            </w:r>
            <w:r w:rsidR="006E4012">
              <w:t>follow-up</w:t>
            </w:r>
            <w:r>
              <w:t>.</w:t>
            </w:r>
          </w:p>
        </w:tc>
      </w:tr>
      <w:tr w:rsidR="00C97C77" w:rsidTr="000370BE">
        <w:tc>
          <w:tcPr>
            <w:tcW w:w="2268" w:type="dxa"/>
          </w:tcPr>
          <w:p w:rsidR="00C97C77" w:rsidRDefault="00C97C77" w:rsidP="00CA3F50">
            <w:r>
              <w:t>21 CFR 606.160(b)(1)(xi)</w:t>
            </w:r>
          </w:p>
          <w:p w:rsidR="00326C94" w:rsidRDefault="00326C94" w:rsidP="00CA3F50">
            <w:r>
              <w:t>Records</w:t>
            </w:r>
            <w:r w:rsidR="00751898">
              <w:t xml:space="preserve"> </w:t>
            </w:r>
            <w:r w:rsidR="005F6F23">
              <w:t>(Notification)</w:t>
            </w:r>
          </w:p>
        </w:tc>
        <w:tc>
          <w:tcPr>
            <w:tcW w:w="1800" w:type="dxa"/>
          </w:tcPr>
          <w:p w:rsidR="00C97C77" w:rsidRDefault="00C97C77" w:rsidP="00CA3F50">
            <w:r>
              <w:t>Recordkeeping</w:t>
            </w:r>
          </w:p>
        </w:tc>
        <w:tc>
          <w:tcPr>
            <w:tcW w:w="5508" w:type="dxa"/>
          </w:tcPr>
          <w:p w:rsidR="00C97C77" w:rsidRDefault="00C97C77" w:rsidP="00CA3F50">
            <w:r>
              <w:t xml:space="preserve">Requires an establishment to maintain records of notification of the referring physician of a deferred autologous donor, including appropriate </w:t>
            </w:r>
            <w:r w:rsidR="006E4012">
              <w:t>follow-up</w:t>
            </w:r>
            <w:r>
              <w:t>.</w:t>
            </w:r>
          </w:p>
        </w:tc>
      </w:tr>
      <w:tr w:rsidR="00C97C77" w:rsidTr="000370BE">
        <w:tc>
          <w:tcPr>
            <w:tcW w:w="2268" w:type="dxa"/>
          </w:tcPr>
          <w:p w:rsidR="00C97C77" w:rsidRDefault="00C97C77" w:rsidP="00CA3F50">
            <w:r>
              <w:t>21 CFR 606.165</w:t>
            </w:r>
          </w:p>
          <w:p w:rsidR="00751898" w:rsidRDefault="00751898" w:rsidP="00CA3F50">
            <w:r>
              <w:t xml:space="preserve">Records </w:t>
            </w:r>
          </w:p>
        </w:tc>
        <w:tc>
          <w:tcPr>
            <w:tcW w:w="1800" w:type="dxa"/>
          </w:tcPr>
          <w:p w:rsidR="00C97C77" w:rsidRDefault="00C97C77" w:rsidP="00CA3F50">
            <w:r>
              <w:t>Recordkeeping</w:t>
            </w:r>
          </w:p>
        </w:tc>
        <w:tc>
          <w:tcPr>
            <w:tcW w:w="5508" w:type="dxa"/>
          </w:tcPr>
          <w:p w:rsidR="00C97C77" w:rsidRDefault="00C97C77" w:rsidP="00CA3F50">
            <w:r>
              <w:t>Requires that distribution and receipt records be maintained to facilitate recalls, if necessary.</w:t>
            </w:r>
          </w:p>
        </w:tc>
      </w:tr>
      <w:tr w:rsidR="00C97C77" w:rsidTr="000370BE">
        <w:tc>
          <w:tcPr>
            <w:tcW w:w="2268" w:type="dxa"/>
          </w:tcPr>
          <w:p w:rsidR="00C97C77" w:rsidRDefault="00C97C77" w:rsidP="00CA3F50">
            <w:r>
              <w:t>21 CFR 606.170(a)</w:t>
            </w:r>
          </w:p>
          <w:p w:rsidR="00751898" w:rsidRDefault="003443D0" w:rsidP="003443D0">
            <w:r>
              <w:t xml:space="preserve">Adverse Reaction </w:t>
            </w:r>
            <w:r w:rsidR="00751898">
              <w:t xml:space="preserve">Records </w:t>
            </w:r>
            <w:r w:rsidR="00A91F35">
              <w:t>and Report</w:t>
            </w:r>
          </w:p>
        </w:tc>
        <w:tc>
          <w:tcPr>
            <w:tcW w:w="1800" w:type="dxa"/>
          </w:tcPr>
          <w:p w:rsidR="00C97C77" w:rsidRDefault="00C97C77" w:rsidP="00CA3F50">
            <w:r>
              <w:t>Recordkeeping</w:t>
            </w:r>
            <w:r w:rsidR="00BF26DC">
              <w:t xml:space="preserve"> and Disclosure</w:t>
            </w:r>
          </w:p>
        </w:tc>
        <w:tc>
          <w:tcPr>
            <w:tcW w:w="5508" w:type="dxa"/>
          </w:tcPr>
          <w:p w:rsidR="00C97C77" w:rsidRDefault="00C97C77" w:rsidP="00CA3F50">
            <w:r>
              <w:t xml:space="preserve">Requires records to be maintained of any reports of complaints of adverse reactions </w:t>
            </w:r>
            <w:r w:rsidR="00CC31C3">
              <w:t xml:space="preserve">arising </w:t>
            </w:r>
            <w:r>
              <w:t xml:space="preserve">as a result of blood collection or transfusion.  Each such report must be thoroughly investigated, and a written report, including conclusions and </w:t>
            </w:r>
            <w:r w:rsidR="00065010">
              <w:t>follow-up</w:t>
            </w:r>
            <w:r>
              <w:t>, must be prepared and maintained.</w:t>
            </w:r>
            <w:r w:rsidR="00330C0B">
              <w:t xml:space="preserve">  When an investigation concludes that the product caused the transfusion reaction, copies of all such written r</w:t>
            </w:r>
            <w:r w:rsidR="00D06B00">
              <w:t>eports must be forwarded to</w:t>
            </w:r>
            <w:r w:rsidR="00330C0B">
              <w:t xml:space="preserve"> and maintained by the manufa</w:t>
            </w:r>
            <w:r w:rsidR="00B07A1D">
              <w:t>cturer or collecting facility.</w:t>
            </w:r>
          </w:p>
        </w:tc>
      </w:tr>
      <w:tr w:rsidR="00C97C77" w:rsidTr="000370BE">
        <w:tc>
          <w:tcPr>
            <w:tcW w:w="2268" w:type="dxa"/>
          </w:tcPr>
          <w:p w:rsidR="00C97C77" w:rsidRDefault="00C97C77" w:rsidP="00CA3F50">
            <w:r>
              <w:t>21 CFR 606.170(b)</w:t>
            </w:r>
          </w:p>
          <w:p w:rsidR="00A91F35" w:rsidRDefault="00A91F35" w:rsidP="00A91F35">
            <w:r>
              <w:t>Fatality Report</w:t>
            </w:r>
          </w:p>
        </w:tc>
        <w:tc>
          <w:tcPr>
            <w:tcW w:w="1800" w:type="dxa"/>
          </w:tcPr>
          <w:p w:rsidR="00C97C77" w:rsidRDefault="00C97C77" w:rsidP="00CA3F50">
            <w:r>
              <w:t>Reporting</w:t>
            </w:r>
          </w:p>
        </w:tc>
        <w:tc>
          <w:tcPr>
            <w:tcW w:w="5508" w:type="dxa"/>
          </w:tcPr>
          <w:p w:rsidR="00C97C77" w:rsidRDefault="00C97C77" w:rsidP="00CA3F50">
            <w:r>
              <w:t>Requi</w:t>
            </w:r>
            <w:r w:rsidR="00302662">
              <w:t>res that facilities notify</w:t>
            </w:r>
            <w:r>
              <w:t xml:space="preserve"> FDA</w:t>
            </w:r>
            <w:r w:rsidR="00673687">
              <w:t>’s Center for Biologics Evaluation and Research</w:t>
            </w:r>
            <w:r>
              <w:t xml:space="preserve"> </w:t>
            </w:r>
            <w:r w:rsidR="00E475D1">
              <w:t xml:space="preserve">(CBER) </w:t>
            </w:r>
            <w:r>
              <w:t xml:space="preserve">as soon as possible </w:t>
            </w:r>
            <w:r w:rsidR="00065010">
              <w:t>after</w:t>
            </w:r>
            <w:r w:rsidR="00673687">
              <w:t xml:space="preserve"> confirming a complication of blood collection or transfusion</w:t>
            </w:r>
            <w:r w:rsidR="00302662">
              <w:t xml:space="preserve"> to be fatal</w:t>
            </w:r>
            <w:r w:rsidR="00673687">
              <w:t xml:space="preserve">.  </w:t>
            </w:r>
            <w:r w:rsidR="00330C0B">
              <w:t>The collecting facility is to report donor fatalities, and the compatibility testing facility is to report recipient fatalities.  The reporting facility also must submit a written report of the investigation wit</w:t>
            </w:r>
            <w:r w:rsidR="00B07A1D">
              <w:t xml:space="preserve">hin 7 days after </w:t>
            </w:r>
            <w:r w:rsidR="00B07A1D">
              <w:lastRenderedPageBreak/>
              <w:t>the fatality.</w:t>
            </w:r>
          </w:p>
        </w:tc>
      </w:tr>
      <w:tr w:rsidR="00C97C77" w:rsidTr="000370BE">
        <w:tc>
          <w:tcPr>
            <w:tcW w:w="2268" w:type="dxa"/>
          </w:tcPr>
          <w:p w:rsidR="00C97C77" w:rsidRDefault="00C97C77" w:rsidP="00CA3F50">
            <w:r>
              <w:lastRenderedPageBreak/>
              <w:t>21 CFR 610.40(c)(1)(ii)</w:t>
            </w:r>
          </w:p>
          <w:p w:rsidR="00A91F35" w:rsidRDefault="00A91F35" w:rsidP="00CA3F50">
            <w:r>
              <w:t>Labeling</w:t>
            </w:r>
          </w:p>
        </w:tc>
        <w:tc>
          <w:tcPr>
            <w:tcW w:w="1800" w:type="dxa"/>
          </w:tcPr>
          <w:p w:rsidR="00C97C77" w:rsidRDefault="00F813BE" w:rsidP="00CA3F50">
            <w:r>
              <w:t>Disclosure</w:t>
            </w:r>
          </w:p>
        </w:tc>
        <w:tc>
          <w:tcPr>
            <w:tcW w:w="5508" w:type="dxa"/>
          </w:tcPr>
          <w:p w:rsidR="00C97C77" w:rsidRDefault="00C97C77" w:rsidP="00CA3F50">
            <w:r>
              <w:t xml:space="preserve">Requires </w:t>
            </w:r>
            <w:r w:rsidR="000A0900">
              <w:t xml:space="preserve">that </w:t>
            </w:r>
            <w:r>
              <w:t xml:space="preserve">each donation </w:t>
            </w:r>
            <w:r w:rsidR="00AE19D0">
              <w:t xml:space="preserve">dedicated to a single identified recipient </w:t>
            </w:r>
            <w:r>
              <w:t>be labeled as required under § 606.12</w:t>
            </w:r>
            <w:r w:rsidR="000F3697">
              <w:t>1, and with a label</w:t>
            </w:r>
            <w:r>
              <w:t xml:space="preserve"> containing the name and identifying information of the recipient.</w:t>
            </w:r>
          </w:p>
        </w:tc>
      </w:tr>
      <w:tr w:rsidR="00C97C77" w:rsidTr="000370BE">
        <w:tc>
          <w:tcPr>
            <w:tcW w:w="2268" w:type="dxa"/>
          </w:tcPr>
          <w:p w:rsidR="00C97C77" w:rsidRDefault="00C97C77" w:rsidP="00CA3F50">
            <w:r>
              <w:t>21 CFR 610.40(g)(1)</w:t>
            </w:r>
          </w:p>
          <w:p w:rsidR="00A91F35" w:rsidRDefault="00A91F35" w:rsidP="00CA3F50">
            <w:r>
              <w:t>Records</w:t>
            </w:r>
            <w:r w:rsidR="003443D0">
              <w:t xml:space="preserve"> (Medical Emergency)</w:t>
            </w:r>
          </w:p>
        </w:tc>
        <w:tc>
          <w:tcPr>
            <w:tcW w:w="1800" w:type="dxa"/>
          </w:tcPr>
          <w:p w:rsidR="00C97C77" w:rsidRDefault="00C97C77" w:rsidP="00CA3F50">
            <w:r>
              <w:t>Recordkeeping</w:t>
            </w:r>
          </w:p>
        </w:tc>
        <w:tc>
          <w:tcPr>
            <w:tcW w:w="5508" w:type="dxa"/>
          </w:tcPr>
          <w:p w:rsidR="00C97C77" w:rsidRDefault="00C97C77" w:rsidP="00CA3F50">
            <w:r>
              <w:t>Requires an establishment to appropriately document a medical emergency for the release of human blood or blood components prior to completion of required testing.</w:t>
            </w:r>
          </w:p>
        </w:tc>
      </w:tr>
      <w:tr w:rsidR="00C97C77" w:rsidTr="000370BE">
        <w:tc>
          <w:tcPr>
            <w:tcW w:w="2268" w:type="dxa"/>
          </w:tcPr>
          <w:p w:rsidR="00C97C77" w:rsidRDefault="00C97C77" w:rsidP="00CA3F50">
            <w:r>
              <w:t>21 CFR 610.40(g)(2)</w:t>
            </w:r>
          </w:p>
          <w:p w:rsidR="005F6F23" w:rsidRDefault="005F6F23" w:rsidP="00CA3F50">
            <w:r>
              <w:t>Approval Request</w:t>
            </w:r>
          </w:p>
        </w:tc>
        <w:tc>
          <w:tcPr>
            <w:tcW w:w="1800" w:type="dxa"/>
          </w:tcPr>
          <w:p w:rsidR="00C97C77" w:rsidRDefault="00C97C77" w:rsidP="00CA3F50">
            <w:r>
              <w:t>Reporting</w:t>
            </w:r>
          </w:p>
        </w:tc>
        <w:tc>
          <w:tcPr>
            <w:tcW w:w="5508" w:type="dxa"/>
          </w:tcPr>
          <w:p w:rsidR="00C97C77" w:rsidRDefault="00C97C77" w:rsidP="00CA3F50">
            <w:r>
              <w:t>Requires an establishment to obtain written approval from FDA to ship human blood or blood components for further manufacturing use prior to completion of testing</w:t>
            </w:r>
            <w:r w:rsidR="000A0900">
              <w:t xml:space="preserve"> for evidence of infection due to certain communicable disease agents</w:t>
            </w:r>
            <w:r w:rsidR="00B07A1D">
              <w:t>.</w:t>
            </w:r>
          </w:p>
        </w:tc>
      </w:tr>
      <w:tr w:rsidR="00C97C77" w:rsidTr="000370BE">
        <w:tc>
          <w:tcPr>
            <w:tcW w:w="2268" w:type="dxa"/>
          </w:tcPr>
          <w:p w:rsidR="00C97C77" w:rsidRDefault="00C97C77" w:rsidP="00CA3F50">
            <w:r>
              <w:t>21 CFR 610.40(h)(2)(ii)(A)</w:t>
            </w:r>
          </w:p>
          <w:p w:rsidR="005F6F23" w:rsidRDefault="005F6F23" w:rsidP="00CA3F50">
            <w:r>
              <w:t>Approval Request</w:t>
            </w:r>
          </w:p>
        </w:tc>
        <w:tc>
          <w:tcPr>
            <w:tcW w:w="1800" w:type="dxa"/>
          </w:tcPr>
          <w:p w:rsidR="00C97C77" w:rsidRDefault="00C97C77" w:rsidP="00CA3F50">
            <w:r>
              <w:t>Reporting</w:t>
            </w:r>
          </w:p>
        </w:tc>
        <w:tc>
          <w:tcPr>
            <w:tcW w:w="5508" w:type="dxa"/>
          </w:tcPr>
          <w:p w:rsidR="00C97C77" w:rsidRDefault="00C97C77" w:rsidP="00CA3F50">
            <w:r>
              <w:t>Requires</w:t>
            </w:r>
            <w:r w:rsidR="00673687">
              <w:t xml:space="preserve"> </w:t>
            </w:r>
            <w:r>
              <w:t>an establishment to obtain written approval from FDA to use or ship</w:t>
            </w:r>
            <w:r w:rsidR="00AA50B1">
              <w:t xml:space="preserve"> certain</w:t>
            </w:r>
            <w:r>
              <w:t xml:space="preserve"> human blood or blood components found to be reactive by a screening test for evidence of </w:t>
            </w:r>
            <w:r w:rsidR="00503381">
              <w:t xml:space="preserve">certain </w:t>
            </w:r>
            <w:r>
              <w:t>communicable disease agent(s) or collect</w:t>
            </w:r>
            <w:r w:rsidR="00503381">
              <w:t>ed</w:t>
            </w:r>
            <w:r>
              <w:t xml:space="preserve"> from a donor with a record of a reactive screening test.</w:t>
            </w:r>
          </w:p>
        </w:tc>
      </w:tr>
      <w:tr w:rsidR="00C97C77" w:rsidTr="000370BE">
        <w:tc>
          <w:tcPr>
            <w:tcW w:w="2268" w:type="dxa"/>
          </w:tcPr>
          <w:p w:rsidR="00C97C77" w:rsidRDefault="00C97C77" w:rsidP="00CA3F50">
            <w:r>
              <w:t>21 CFR 610.40(h)(2)(ii)(C) and (h)(2)(ii)(D)</w:t>
            </w:r>
          </w:p>
          <w:p w:rsidR="005F6F23" w:rsidRDefault="005F6F23" w:rsidP="00CA3F50">
            <w:r>
              <w:t>Labeling</w:t>
            </w:r>
          </w:p>
        </w:tc>
        <w:tc>
          <w:tcPr>
            <w:tcW w:w="1800" w:type="dxa"/>
          </w:tcPr>
          <w:p w:rsidR="00C97C77" w:rsidRDefault="00F813BE" w:rsidP="00CA3F50">
            <w:r>
              <w:t>Disclosure</w:t>
            </w:r>
          </w:p>
        </w:tc>
        <w:tc>
          <w:tcPr>
            <w:tcW w:w="5508" w:type="dxa"/>
          </w:tcPr>
          <w:p w:rsidR="00C97C77" w:rsidRDefault="00C97C77" w:rsidP="00CA3F50">
            <w:r>
              <w:t xml:space="preserve">Require an establishment to label </w:t>
            </w:r>
            <w:r w:rsidR="00503381">
              <w:t xml:space="preserve">certain </w:t>
            </w:r>
            <w:r>
              <w:t xml:space="preserve">reactive human blood and blood components with the appropriate screening test results, and, if they are intended for further manufacturing use into injectable products, </w:t>
            </w:r>
            <w:r w:rsidR="00503381">
              <w:t xml:space="preserve">include </w:t>
            </w:r>
            <w:r>
              <w:t xml:space="preserve">a statement </w:t>
            </w:r>
            <w:r w:rsidR="00503381">
              <w:t xml:space="preserve">on the label </w:t>
            </w:r>
            <w:r>
              <w:t>indicating the exempted use specifically approved by FDA.</w:t>
            </w:r>
          </w:p>
        </w:tc>
      </w:tr>
      <w:tr w:rsidR="00C97C77" w:rsidTr="000370BE">
        <w:tc>
          <w:tcPr>
            <w:tcW w:w="2268" w:type="dxa"/>
          </w:tcPr>
          <w:p w:rsidR="00C97C77" w:rsidRDefault="00C97C77" w:rsidP="00CA3F50">
            <w:r>
              <w:t>21 CFR 610.40(h)(2)(vi)</w:t>
            </w:r>
          </w:p>
          <w:p w:rsidR="00A91F35" w:rsidRDefault="00A91F35" w:rsidP="00CA3F50">
            <w:r>
              <w:t>Labeling</w:t>
            </w:r>
          </w:p>
        </w:tc>
        <w:tc>
          <w:tcPr>
            <w:tcW w:w="1800" w:type="dxa"/>
          </w:tcPr>
          <w:p w:rsidR="00C97C77" w:rsidRDefault="00F813BE" w:rsidP="00CA3F50">
            <w:r>
              <w:t>Disclosure</w:t>
            </w:r>
          </w:p>
        </w:tc>
        <w:tc>
          <w:tcPr>
            <w:tcW w:w="5508" w:type="dxa"/>
          </w:tcPr>
          <w:p w:rsidR="00C97C77" w:rsidRDefault="00C97C77" w:rsidP="00CA3F50">
            <w:r>
              <w:t>Requires each donation of human blood or blood component</w:t>
            </w:r>
            <w:r w:rsidR="00503381">
              <w:t>s, excluding Source Plasma</w:t>
            </w:r>
            <w:r w:rsidR="00065010">
              <w:t>,</w:t>
            </w:r>
            <w:r w:rsidR="00503381">
              <w:t xml:space="preserve"> </w:t>
            </w:r>
            <w:r>
              <w:t xml:space="preserve">that tests reactive by a screening test for syphilis and is determined to be a biological false positive </w:t>
            </w:r>
            <w:r w:rsidR="00503381">
              <w:t xml:space="preserve">to </w:t>
            </w:r>
            <w:r>
              <w:t>be labeled with both test results.</w:t>
            </w:r>
          </w:p>
        </w:tc>
      </w:tr>
      <w:tr w:rsidR="00C97C77" w:rsidTr="000370BE">
        <w:tc>
          <w:tcPr>
            <w:tcW w:w="2268" w:type="dxa"/>
          </w:tcPr>
          <w:p w:rsidR="00C97C77" w:rsidRDefault="00C97C77" w:rsidP="00CA3F50">
            <w:r>
              <w:t>21 CFR 610.42(a)</w:t>
            </w:r>
          </w:p>
          <w:p w:rsidR="00A91F35" w:rsidRDefault="00A91F35" w:rsidP="00CA3F50">
            <w:r>
              <w:t>Labeling</w:t>
            </w:r>
          </w:p>
        </w:tc>
        <w:tc>
          <w:tcPr>
            <w:tcW w:w="1800" w:type="dxa"/>
          </w:tcPr>
          <w:p w:rsidR="00C97C77" w:rsidRDefault="00F813BE" w:rsidP="00CA3F50">
            <w:r>
              <w:t>Disclosure</w:t>
            </w:r>
          </w:p>
        </w:tc>
        <w:tc>
          <w:tcPr>
            <w:tcW w:w="5508" w:type="dxa"/>
          </w:tcPr>
          <w:p w:rsidR="00C97C77" w:rsidRDefault="00C97C77" w:rsidP="00CA3F50">
            <w:r>
              <w:t xml:space="preserve">Requires a warning statement, </w:t>
            </w:r>
            <w:r w:rsidR="00503381">
              <w:t xml:space="preserve">“indicating that the product was manufactured from a donation found to be reactive by a screening test for evidence of infection due to the identified communicable agent(s)” in the labeling for medical </w:t>
            </w:r>
            <w:r>
              <w:t xml:space="preserve">devices containing human blood or </w:t>
            </w:r>
            <w:r w:rsidR="0031191D">
              <w:t xml:space="preserve">a </w:t>
            </w:r>
            <w:r>
              <w:t xml:space="preserve">blood component found to be reactive by a screening test for evidence of infection due to </w:t>
            </w:r>
            <w:r w:rsidR="0031191D">
              <w:t>a</w:t>
            </w:r>
            <w:r w:rsidR="00BA3BF9">
              <w:t xml:space="preserve"> c</w:t>
            </w:r>
            <w:r>
              <w:t>ommunicable disease agent(s) or syphilis.</w:t>
            </w:r>
          </w:p>
        </w:tc>
      </w:tr>
      <w:tr w:rsidR="00C97C77" w:rsidTr="000370BE">
        <w:tc>
          <w:tcPr>
            <w:tcW w:w="2268" w:type="dxa"/>
          </w:tcPr>
          <w:p w:rsidR="005F6F23" w:rsidRDefault="00C97C77" w:rsidP="00CA3F50">
            <w:r>
              <w:t>21 CFR 610.46(a)</w:t>
            </w:r>
            <w:r w:rsidR="00E46F28">
              <w:t xml:space="preserve">(1)(ii)(B) </w:t>
            </w:r>
            <w:r w:rsidR="00327BC8">
              <w:t xml:space="preserve">and </w:t>
            </w:r>
            <w:r w:rsidR="00E46F28">
              <w:t>6</w:t>
            </w:r>
            <w:r w:rsidR="00327BC8">
              <w:t>10.47</w:t>
            </w:r>
            <w:r w:rsidR="00E46F28">
              <w:t xml:space="preserve">(a)(1)(ii)(B) </w:t>
            </w:r>
          </w:p>
          <w:p w:rsidR="00C97C77" w:rsidRDefault="005F6F23" w:rsidP="00CA3F50">
            <w:r>
              <w:t xml:space="preserve">Consignee </w:t>
            </w:r>
            <w:r>
              <w:lastRenderedPageBreak/>
              <w:t>Notification</w:t>
            </w:r>
            <w:r w:rsidR="00327BC8">
              <w:t xml:space="preserve">  </w:t>
            </w:r>
          </w:p>
        </w:tc>
        <w:tc>
          <w:tcPr>
            <w:tcW w:w="1800" w:type="dxa"/>
          </w:tcPr>
          <w:p w:rsidR="00C97C77" w:rsidRDefault="00C97C77" w:rsidP="00CA3F50">
            <w:r>
              <w:lastRenderedPageBreak/>
              <w:t>Disclosure</w:t>
            </w:r>
          </w:p>
        </w:tc>
        <w:tc>
          <w:tcPr>
            <w:tcW w:w="5508" w:type="dxa"/>
          </w:tcPr>
          <w:p w:rsidR="00C97C77" w:rsidRPr="00A57E44" w:rsidRDefault="000F3697" w:rsidP="00CA3F50">
            <w:r>
              <w:t>Require</w:t>
            </w:r>
            <w:r w:rsidR="00020367">
              <w:t xml:space="preserve"> a collecting establishment, w</w:t>
            </w:r>
            <w:r w:rsidR="0073159B" w:rsidRPr="00A57E44">
              <w:t>ithin 3 calendar days of the donor testing reactive by an HIV or HCV screening test or the collecting establishment becoming aware of other reliable test results or information, t</w:t>
            </w:r>
            <w:r w:rsidR="00020367">
              <w:t>o</w:t>
            </w:r>
            <w:r w:rsidR="0073159B" w:rsidRPr="00A57E44">
              <w:t>, among other things, notify</w:t>
            </w:r>
            <w:r w:rsidR="00BA3BF9" w:rsidRPr="00A57E44">
              <w:t xml:space="preserve"> </w:t>
            </w:r>
            <w:r w:rsidR="0073159B" w:rsidRPr="00A57E44">
              <w:t xml:space="preserve">consignees </w:t>
            </w:r>
            <w:r w:rsidR="0073159B" w:rsidRPr="00A57E44">
              <w:lastRenderedPageBreak/>
              <w:t>to quarantine all identified previously collected in-date blood and</w:t>
            </w:r>
            <w:r w:rsidR="007C3904">
              <w:t xml:space="preserve"> </w:t>
            </w:r>
            <w:r w:rsidR="0073159B" w:rsidRPr="00A57E44">
              <w:t>blood components</w:t>
            </w:r>
            <w:r w:rsidR="009B48B7" w:rsidRPr="00A57E44">
              <w:t>.</w:t>
            </w:r>
          </w:p>
        </w:tc>
      </w:tr>
      <w:tr w:rsidR="00E03424" w:rsidTr="000370BE">
        <w:tc>
          <w:tcPr>
            <w:tcW w:w="2268" w:type="dxa"/>
          </w:tcPr>
          <w:p w:rsidR="005F6F23" w:rsidRDefault="00E03424" w:rsidP="00CA3F50">
            <w:r>
              <w:lastRenderedPageBreak/>
              <w:t>21 CFR 610.46(a)(3) and 610.47(</w:t>
            </w:r>
            <w:r w:rsidR="0073159B">
              <w:t>a</w:t>
            </w:r>
            <w:r>
              <w:t>)(3)</w:t>
            </w:r>
          </w:p>
          <w:p w:rsidR="00E03424" w:rsidRDefault="005F6F23" w:rsidP="00CA3F50">
            <w:r>
              <w:t xml:space="preserve">Consignee Notification  </w:t>
            </w:r>
            <w:r w:rsidR="00E03424">
              <w:t xml:space="preserve">   </w:t>
            </w:r>
          </w:p>
        </w:tc>
        <w:tc>
          <w:tcPr>
            <w:tcW w:w="1800" w:type="dxa"/>
          </w:tcPr>
          <w:p w:rsidR="00E03424" w:rsidRDefault="009977BC" w:rsidP="00CA3F50">
            <w:r>
              <w:t>Disclosure</w:t>
            </w:r>
          </w:p>
        </w:tc>
        <w:tc>
          <w:tcPr>
            <w:tcW w:w="5508" w:type="dxa"/>
          </w:tcPr>
          <w:p w:rsidR="00E03424" w:rsidRDefault="000F3697" w:rsidP="00CA3F50">
            <w:r>
              <w:t>Require</w:t>
            </w:r>
            <w:r w:rsidR="00020367">
              <w:t xml:space="preserve"> a collecting establishment, w</w:t>
            </w:r>
            <w:r w:rsidR="0073159B">
              <w:t xml:space="preserve">ithin 45 </w:t>
            </w:r>
            <w:r w:rsidR="009857BA" w:rsidRPr="00A57E44">
              <w:t xml:space="preserve">calendar </w:t>
            </w:r>
            <w:r w:rsidR="0073159B">
              <w:t>days of the donor testing reactive by an HIV or HCV screening test</w:t>
            </w:r>
            <w:r w:rsidR="009857BA">
              <w:t>, to, among other things,</w:t>
            </w:r>
            <w:r w:rsidR="0073159B">
              <w:t xml:space="preserve"> notify consignees of supplemental test results, or the results of a reactive screening test if there is no available supplemental test that is approved for such use by FDA.</w:t>
            </w:r>
          </w:p>
        </w:tc>
      </w:tr>
      <w:tr w:rsidR="00F813BE" w:rsidTr="003774B5">
        <w:trPr>
          <w:trHeight w:val="7720"/>
        </w:trPr>
        <w:tc>
          <w:tcPr>
            <w:tcW w:w="2268" w:type="dxa"/>
          </w:tcPr>
          <w:p w:rsidR="00F813BE" w:rsidRDefault="00F813BE" w:rsidP="00CA3F50">
            <w:r>
              <w:t>21 CFR 610.46(b)(3) and 610.47(b)(3)</w:t>
            </w:r>
          </w:p>
          <w:p w:rsidR="00F813BE" w:rsidRDefault="004149F8" w:rsidP="00CA3F50">
            <w:r>
              <w:t>Recipient or Physician Notification</w:t>
            </w:r>
          </w:p>
        </w:tc>
        <w:tc>
          <w:tcPr>
            <w:tcW w:w="1800" w:type="dxa"/>
          </w:tcPr>
          <w:p w:rsidR="00F813BE" w:rsidRDefault="00F813BE" w:rsidP="00CA3F50">
            <w:r>
              <w:t>Disclosure</w:t>
            </w:r>
          </w:p>
          <w:p w:rsidR="00F813BE" w:rsidRDefault="00F813BE" w:rsidP="00CA3F50"/>
        </w:tc>
        <w:tc>
          <w:tcPr>
            <w:tcW w:w="5508" w:type="dxa"/>
          </w:tcPr>
          <w:p w:rsidR="00F813BE" w:rsidRDefault="00F813BE" w:rsidP="00CA3F50">
            <w:r>
              <w:t>Require</w:t>
            </w:r>
            <w:r w:rsidRPr="00A57E44">
              <w:t xml:space="preserve"> consignees to establish, maintain, and follow an appropriate system for performing HIV and HCV ‘‘lookback’’ when notified by the collecting establishment that they have received blood and blood components previously collected from donors who later tested reactive for evidence of HIV</w:t>
            </w:r>
            <w:r>
              <w:t xml:space="preserve"> </w:t>
            </w:r>
            <w:r w:rsidRPr="00A57E44">
              <w:t>or HCV infection, or when the collecting establishment is made aware of other reliable test results or information indicating evidence of HIV or HCV infection in a donor</w:t>
            </w:r>
            <w:r>
              <w:t xml:space="preserve">.  </w:t>
            </w:r>
            <w:r w:rsidRPr="00A72968">
              <w:t xml:space="preserve">This provision for a system requires the consignee to </w:t>
            </w:r>
            <w:r w:rsidR="004B25F6">
              <w:t>follow</w:t>
            </w:r>
            <w:r w:rsidR="004B25F6" w:rsidRPr="00A72968">
              <w:t xml:space="preserve"> </w:t>
            </w:r>
            <w:r w:rsidRPr="00A72968">
              <w:t xml:space="preserve">SOPs for, among other things, notifying transfusion recipients of blood and blood components, or the recipient's physician of record or legal representative, when such action is indicated by the results of the supplemental (additional, more specific) tests or a reactive screening test if there is no available supplemental test that is approved for such use by FDA, or if under an investigational new drug application (IND) or an investigational device exemption (IDE), is exempted for such use by </w:t>
            </w:r>
            <w:r w:rsidRPr="00A72968">
              <w:rPr>
                <w:szCs w:val="24"/>
              </w:rPr>
              <w:t>FDA.</w:t>
            </w:r>
          </w:p>
          <w:p w:rsidR="00F813BE" w:rsidRDefault="00F813BE" w:rsidP="00CA3F50">
            <w:r>
              <w:t>Also, require</w:t>
            </w:r>
            <w:r w:rsidRPr="002F63A9">
              <w:t xml:space="preserve"> the consignee to make reasonable attempts to perform the notification within 12 weeks of receipt of the supplemental test result or receipt of a reactive screening test result when there is no available supplemental test that is approved for such use by FDA, or if </w:t>
            </w:r>
            <w:r w:rsidRPr="002F63A9">
              <w:rPr>
                <w:szCs w:val="24"/>
              </w:rPr>
              <w:t xml:space="preserve">under an </w:t>
            </w:r>
            <w:smartTag w:uri="urn:schemas-microsoft-com:office:smarttags" w:element="place">
              <w:smartTag w:uri="urn:schemas-microsoft-com:office:smarttags" w:element="State">
                <w:r>
                  <w:rPr>
                    <w:szCs w:val="24"/>
                  </w:rPr>
                  <w:t>IND</w:t>
                </w:r>
              </w:smartTag>
            </w:smartTag>
            <w:r>
              <w:rPr>
                <w:szCs w:val="24"/>
              </w:rPr>
              <w:t xml:space="preserve"> or IDE, is exempted for </w:t>
            </w:r>
            <w:r w:rsidRPr="002F63A9">
              <w:rPr>
                <w:szCs w:val="24"/>
              </w:rPr>
              <w:t>such use by FDA</w:t>
            </w:r>
            <w:r>
              <w:rPr>
                <w:szCs w:val="24"/>
              </w:rPr>
              <w:t>.</w:t>
            </w:r>
          </w:p>
        </w:tc>
      </w:tr>
      <w:tr w:rsidR="00C97C77" w:rsidTr="000370BE">
        <w:tc>
          <w:tcPr>
            <w:tcW w:w="2268" w:type="dxa"/>
          </w:tcPr>
          <w:p w:rsidR="00C97C77" w:rsidRDefault="00C97C77" w:rsidP="00CA3F50">
            <w:r>
              <w:t>21 CFR 630.6(a)</w:t>
            </w:r>
          </w:p>
          <w:p w:rsidR="004149F8" w:rsidRDefault="004149F8" w:rsidP="00CA3F50">
            <w:r>
              <w:t>Donor Notification</w:t>
            </w:r>
          </w:p>
        </w:tc>
        <w:tc>
          <w:tcPr>
            <w:tcW w:w="1800" w:type="dxa"/>
          </w:tcPr>
          <w:p w:rsidR="00C97C77" w:rsidRDefault="00F813BE" w:rsidP="00CA3F50">
            <w:r>
              <w:t>Disclosure</w:t>
            </w:r>
          </w:p>
        </w:tc>
        <w:tc>
          <w:tcPr>
            <w:tcW w:w="5508" w:type="dxa"/>
          </w:tcPr>
          <w:p w:rsidR="00C97C77" w:rsidRDefault="00C97C77" w:rsidP="00CA3F50">
            <w:r>
              <w:t xml:space="preserve">Requires an establishment to make reasonable attempts to notify any donor who has been deferred as required by § 610.41, or who has been determined </w:t>
            </w:r>
            <w:r w:rsidR="00B07A1D">
              <w:t>not to be eligible as a donor.</w:t>
            </w:r>
          </w:p>
        </w:tc>
      </w:tr>
      <w:tr w:rsidR="00C97C77" w:rsidTr="000370BE">
        <w:tc>
          <w:tcPr>
            <w:tcW w:w="2268" w:type="dxa"/>
          </w:tcPr>
          <w:p w:rsidR="00C97C77" w:rsidRDefault="00C97C77" w:rsidP="00CA3F50">
            <w:r>
              <w:t>21 CFR 630.6(d)(1)</w:t>
            </w:r>
          </w:p>
          <w:p w:rsidR="004149F8" w:rsidRDefault="004149F8" w:rsidP="00CA3F50">
            <w:r>
              <w:t>Physician Notification</w:t>
            </w:r>
          </w:p>
        </w:tc>
        <w:tc>
          <w:tcPr>
            <w:tcW w:w="1800" w:type="dxa"/>
          </w:tcPr>
          <w:p w:rsidR="00C97C77" w:rsidRDefault="00F813BE" w:rsidP="00CA3F50">
            <w:r>
              <w:t>Disclosure</w:t>
            </w:r>
          </w:p>
        </w:tc>
        <w:tc>
          <w:tcPr>
            <w:tcW w:w="5508" w:type="dxa"/>
          </w:tcPr>
          <w:p w:rsidR="00C97C77" w:rsidRDefault="00C97C77" w:rsidP="00CA3F50">
            <w:r>
              <w:t xml:space="preserve">Requires </w:t>
            </w:r>
            <w:r w:rsidR="009C23CD">
              <w:t xml:space="preserve">an </w:t>
            </w:r>
            <w:r>
              <w:t>establishment to provide certain information to the referring physician of an autologous donor who is deferred based on the results of tests as described in § 610.41.</w:t>
            </w:r>
          </w:p>
        </w:tc>
      </w:tr>
    </w:tbl>
    <w:p w:rsidR="00C97C77" w:rsidRDefault="00C97C77" w:rsidP="009B2C58">
      <w:pPr>
        <w:pStyle w:val="BodyText"/>
      </w:pPr>
    </w:p>
    <w:p w:rsidR="00C97C77" w:rsidRPr="006B0BE7" w:rsidRDefault="00C97C77" w:rsidP="009B2C58">
      <w:pPr>
        <w:pStyle w:val="BodyText"/>
      </w:pPr>
      <w:r w:rsidRPr="006B0BE7">
        <w:t xml:space="preserve">In addition to the </w:t>
      </w:r>
      <w:r w:rsidR="002C34FE" w:rsidRPr="006B0BE7">
        <w:t>c</w:t>
      </w:r>
      <w:r w:rsidRPr="006B0BE7">
        <w:rPr>
          <w:bCs/>
        </w:rPr>
        <w:t xml:space="preserve">urrent </w:t>
      </w:r>
      <w:r w:rsidR="002C34FE" w:rsidRPr="006B0BE7">
        <w:rPr>
          <w:bCs/>
        </w:rPr>
        <w:t>g</w:t>
      </w:r>
      <w:r w:rsidRPr="006B0BE7">
        <w:rPr>
          <w:bCs/>
        </w:rPr>
        <w:t xml:space="preserve">ood </w:t>
      </w:r>
      <w:r w:rsidR="002C34FE" w:rsidRPr="006B0BE7">
        <w:rPr>
          <w:bCs/>
        </w:rPr>
        <w:t>m</w:t>
      </w:r>
      <w:r w:rsidRPr="006B0BE7">
        <w:rPr>
          <w:bCs/>
        </w:rPr>
        <w:t xml:space="preserve">anufacturing </w:t>
      </w:r>
      <w:r w:rsidR="002C34FE" w:rsidRPr="006B0BE7">
        <w:rPr>
          <w:bCs/>
        </w:rPr>
        <w:t>p</w:t>
      </w:r>
      <w:r w:rsidRPr="006B0BE7">
        <w:rPr>
          <w:bCs/>
        </w:rPr>
        <w:t>ractice</w:t>
      </w:r>
      <w:r w:rsidRPr="006B0BE7">
        <w:t xml:space="preserve"> (CGMP) </w:t>
      </w:r>
      <w:r w:rsidR="002C34FE" w:rsidRPr="006B0BE7">
        <w:t xml:space="preserve">regulations </w:t>
      </w:r>
      <w:r w:rsidRPr="006B0BE7">
        <w:t xml:space="preserve">in part 606 (21 CFR part 606), there are </w:t>
      </w:r>
      <w:r w:rsidR="000F3697">
        <w:t>regulations</w:t>
      </w:r>
      <w:r w:rsidRPr="006B0BE7">
        <w:t xml:space="preserve"> in part 640 (21 CFR part 640)</w:t>
      </w:r>
      <w:r w:rsidR="000F3697">
        <w:t xml:space="preserve"> that require additional standards for certain blood and blood components</w:t>
      </w:r>
      <w:r w:rsidRPr="006B0BE7">
        <w:t xml:space="preserve"> as follows:  §§</w:t>
      </w:r>
      <w:r w:rsidR="0039490B" w:rsidRPr="006B0BE7">
        <w:t xml:space="preserve"> </w:t>
      </w:r>
      <w:r w:rsidRPr="006B0BE7">
        <w:t>640.3(a)(1), (a)(2), and (f); 640.4(a)(1) and (a)(2); 640.25(b)(4) and (c)(1); 640.27(b), 640.31(b), 640.33(b), 640.51(b), 640.53(b) and (c); 640.56(b) and (d); 640.61; 640.63(b)(3), (e)(1), and (e)(3); 640.65(b)(2); 640.66; 640.71(b)(1), 640.72; 640.73; and 640.76(a) and (b).  The information collection requirements and estimated burdens for these regulations are included in the part 606 burden estimates, as described in section 12, below.</w:t>
      </w:r>
    </w:p>
    <w:p w:rsidR="00C97C77" w:rsidRDefault="00C97C77" w:rsidP="00CA3F50">
      <w:pPr>
        <w:pStyle w:val="Footer"/>
      </w:pPr>
    </w:p>
    <w:p w:rsidR="002C34FE" w:rsidRPr="006B0BE7" w:rsidRDefault="006930D6" w:rsidP="009B2C58">
      <w:pPr>
        <w:pStyle w:val="BodyText"/>
      </w:pPr>
      <w:r w:rsidRPr="006B0BE7">
        <w:t>All blood and blood components introduced or delivered for introduction</w:t>
      </w:r>
      <w:r w:rsidR="007C3904" w:rsidRPr="006B0BE7">
        <w:t xml:space="preserve"> </w:t>
      </w:r>
      <w:r w:rsidRPr="006B0BE7">
        <w:t>into interstate commerce are subject to section 351(a) of the Public Health Service Act (PHS Act) (42 U.S.C. 262).  Section 351(a)</w:t>
      </w:r>
      <w:r w:rsidR="000F3697">
        <w:t xml:space="preserve"> of the PHS Act</w:t>
      </w:r>
      <w:r w:rsidRPr="006B0BE7">
        <w:t xml:space="preserve"> requires that manufacturers of biological products, which include blood and blood components intended for further manufacture into injectable products, have a license, issued upon a demonstration that the product is safe, pure</w:t>
      </w:r>
      <w:r w:rsidR="000F3697">
        <w:t>,</w:t>
      </w:r>
      <w:r w:rsidRPr="006B0BE7">
        <w:t xml:space="preserve"> and potent and that the manufacturing establishment meets all applicable </w:t>
      </w:r>
      <w:r w:rsidR="00065010" w:rsidRPr="006B0BE7">
        <w:t>standards, including</w:t>
      </w:r>
      <w:r w:rsidRPr="006B0BE7">
        <w:t xml:space="preserve"> those prescribed in the FDA regulations designed to ensure the continued safety, purity, and potency of the product. In addition, under section 361 of the PHS Act (42 U.S.C. 264), by delegation from the Secretary of Health and Human Services, FDA may make and enforce regulations necessary to prevent the introduction, transmission, or spread of communicable diseases from foreign countries into the States or possessions, or from one State or possession into </w:t>
      </w:r>
      <w:r w:rsidR="00B07A1D">
        <w:t>any other State or possession.</w:t>
      </w:r>
    </w:p>
    <w:p w:rsidR="002C34FE" w:rsidRPr="006B0BE7" w:rsidRDefault="002C34FE" w:rsidP="009B2C58">
      <w:pPr>
        <w:pStyle w:val="BodyText"/>
      </w:pPr>
    </w:p>
    <w:p w:rsidR="002C34FE" w:rsidRPr="006B0BE7" w:rsidRDefault="006930D6" w:rsidP="009B2C58">
      <w:pPr>
        <w:pStyle w:val="BodyText"/>
      </w:pPr>
      <w:r w:rsidRPr="006B0BE7">
        <w:t>Section 351(j) of the PHS Act states that the Federal Food, Drug, and</w:t>
      </w:r>
      <w:r w:rsidR="002C34FE" w:rsidRPr="006B0BE7">
        <w:t xml:space="preserve"> </w:t>
      </w:r>
      <w:r w:rsidR="008B4C4D">
        <w:t>Cosmetic (FD&amp;C</w:t>
      </w:r>
      <w:r w:rsidRPr="006B0BE7">
        <w:t xml:space="preserve"> Act</w:t>
      </w:r>
      <w:r w:rsidR="008B4C4D">
        <w:t>)</w:t>
      </w:r>
      <w:r w:rsidRPr="006B0BE7">
        <w:t xml:space="preserve"> also applies to biological products. </w:t>
      </w:r>
      <w:r w:rsidR="008B4C4D">
        <w:t xml:space="preserve"> </w:t>
      </w:r>
      <w:r w:rsidRPr="006B0BE7">
        <w:t>Blood and blood</w:t>
      </w:r>
      <w:r w:rsidR="002C34FE" w:rsidRPr="006B0BE7">
        <w:t xml:space="preserve"> </w:t>
      </w:r>
      <w:r w:rsidRPr="006B0BE7">
        <w:t>components for transfusion or for further manufacture into injectable products</w:t>
      </w:r>
      <w:r w:rsidR="002C34FE" w:rsidRPr="006B0BE7">
        <w:t xml:space="preserve"> </w:t>
      </w:r>
      <w:r w:rsidRPr="006B0BE7">
        <w:t>are drugs, as that term is defined in section 201(g)(1) of the FD&amp;C Act (21</w:t>
      </w:r>
      <w:r w:rsidR="002C34FE" w:rsidRPr="006B0BE7">
        <w:t xml:space="preserve"> </w:t>
      </w:r>
      <w:r w:rsidRPr="006B0BE7">
        <w:t xml:space="preserve">U.S.C. 321(g)(1)). </w:t>
      </w:r>
      <w:r w:rsidR="005A1EC3" w:rsidRPr="006B0BE7">
        <w:t xml:space="preserve"> </w:t>
      </w:r>
      <w:r w:rsidRPr="006B0BE7">
        <w:t>Because blood and blood components are drugs under the</w:t>
      </w:r>
      <w:r w:rsidR="002C34FE" w:rsidRPr="006B0BE7">
        <w:t xml:space="preserve"> </w:t>
      </w:r>
      <w:r w:rsidRPr="006B0BE7">
        <w:t>act, blood and plasma establishments must comply with the substantive</w:t>
      </w:r>
      <w:r w:rsidR="002C34FE" w:rsidRPr="006B0BE7">
        <w:t xml:space="preserve"> </w:t>
      </w:r>
      <w:r w:rsidRPr="006B0BE7">
        <w:t>provisions and related regulatory scheme of the FD&amp;C Ac</w:t>
      </w:r>
      <w:r w:rsidR="002C34FE" w:rsidRPr="006B0BE7">
        <w:t xml:space="preserve">t.  </w:t>
      </w:r>
      <w:r w:rsidR="00D9018B" w:rsidRPr="006B0BE7">
        <w:t>For example, under section 501 of the FD&amp;C Act (21 U.S.C. 351(a)), drugs are deemed “adulterated” if the methods used in their manufacturing, processing, packing, or holding do not conform to</w:t>
      </w:r>
      <w:r w:rsidR="00B07A1D">
        <w:t xml:space="preserve"> CGMP and related regulations.</w:t>
      </w:r>
    </w:p>
    <w:p w:rsidR="002C34FE" w:rsidRPr="006B0BE7" w:rsidRDefault="002C34FE" w:rsidP="009B2C58">
      <w:pPr>
        <w:pStyle w:val="BodyText"/>
      </w:pPr>
    </w:p>
    <w:p w:rsidR="00B1344A" w:rsidRDefault="00C97C77" w:rsidP="009B2C58">
      <w:pPr>
        <w:pStyle w:val="BodyText"/>
      </w:pPr>
      <w:r w:rsidRPr="006B0BE7">
        <w:t>The CGMP</w:t>
      </w:r>
      <w:r w:rsidR="008B4C4D">
        <w:t xml:space="preserve"> regulations</w:t>
      </w:r>
      <w:r w:rsidR="00AA50B1">
        <w:t xml:space="preserve"> for human blood and blood components</w:t>
      </w:r>
      <w:r w:rsidR="008B4C4D">
        <w:t xml:space="preserve"> (part 606</w:t>
      </w:r>
      <w:r w:rsidR="00751898">
        <w:t>)</w:t>
      </w:r>
      <w:r w:rsidR="008B4C4D">
        <w:t xml:space="preserve"> </w:t>
      </w:r>
      <w:r w:rsidRPr="006B0BE7">
        <w:t xml:space="preserve"> and related regulations implement FDA’s statutory authority to ensure the safety, purity, and potency of blood and blood components.  </w:t>
      </w:r>
      <w:r w:rsidR="002C34FE" w:rsidRPr="006B0BE7">
        <w:rPr>
          <w:color w:val="auto"/>
        </w:rPr>
        <w:t xml:space="preserve">The public health objective in testing human blood donors for evidence of infection due to communicable disease agents and in notifying donors is to prevent the transmission of communicable disease. </w:t>
      </w:r>
      <w:r w:rsidR="005A1EC3" w:rsidRPr="006B0BE7">
        <w:rPr>
          <w:color w:val="auto"/>
        </w:rPr>
        <w:t xml:space="preserve"> </w:t>
      </w:r>
      <w:r w:rsidR="002C34FE" w:rsidRPr="006B0BE7">
        <w:rPr>
          <w:color w:val="auto"/>
        </w:rPr>
        <w:t>For example, t</w:t>
      </w:r>
      <w:r w:rsidRPr="006B0BE7">
        <w:t xml:space="preserve">he “lookback” requirements are intended to help ensure the continued safety of the blood supply by providing necessary information to users of blood and blood components and appropriate notification of recipients of transfusion who are at increased risk for transmitting </w:t>
      </w:r>
      <w:r w:rsidR="00683A32">
        <w:t>human immunodeficiency virus (</w:t>
      </w:r>
      <w:r w:rsidRPr="006B0BE7">
        <w:t>HIV</w:t>
      </w:r>
      <w:r w:rsidR="00683A32">
        <w:t>)</w:t>
      </w:r>
      <w:r w:rsidRPr="006B0BE7">
        <w:t xml:space="preserve"> </w:t>
      </w:r>
      <w:r w:rsidR="005A1EC3" w:rsidRPr="006B0BE7">
        <w:t xml:space="preserve">or </w:t>
      </w:r>
      <w:r w:rsidR="00683A32">
        <w:t>hepatitis C virus (</w:t>
      </w:r>
      <w:r w:rsidR="005A1EC3" w:rsidRPr="006B0BE7">
        <w:t>HCV</w:t>
      </w:r>
      <w:r w:rsidR="00683A32">
        <w:t>)</w:t>
      </w:r>
      <w:r w:rsidR="005A1EC3" w:rsidRPr="006B0BE7">
        <w:t xml:space="preserve"> </w:t>
      </w:r>
      <w:r w:rsidRPr="006B0BE7">
        <w:t>infection.</w:t>
      </w:r>
    </w:p>
    <w:p w:rsidR="001C5167" w:rsidRDefault="001C5167" w:rsidP="009B2C58">
      <w:pPr>
        <w:pStyle w:val="BodyText"/>
      </w:pPr>
    </w:p>
    <w:p w:rsidR="00B1344A" w:rsidRDefault="00B1344A" w:rsidP="009B2C58">
      <w:pPr>
        <w:pStyle w:val="BodyText"/>
        <w:rPr>
          <w:b/>
        </w:rPr>
      </w:pPr>
    </w:p>
    <w:p w:rsidR="00407713" w:rsidRPr="00407713" w:rsidRDefault="00407713" w:rsidP="009B2C58">
      <w:pPr>
        <w:pStyle w:val="BodyText"/>
        <w:rPr>
          <w:b/>
        </w:rPr>
      </w:pPr>
    </w:p>
    <w:p w:rsidR="00C97C77" w:rsidRPr="00407713" w:rsidRDefault="00C97C77" w:rsidP="009B2C58">
      <w:pPr>
        <w:pStyle w:val="BodyText"/>
        <w:rPr>
          <w:b/>
        </w:rPr>
      </w:pPr>
    </w:p>
    <w:p w:rsidR="00C97C77" w:rsidRPr="0081537A" w:rsidRDefault="004E7A71" w:rsidP="00CA3F50">
      <w:pPr>
        <w:pStyle w:val="Heading2"/>
      </w:pPr>
      <w:r w:rsidRPr="0081537A">
        <w:lastRenderedPageBreak/>
        <w:t>Purpose and Use of the Information Collection</w:t>
      </w:r>
    </w:p>
    <w:p w:rsidR="00C97C77" w:rsidRDefault="00C97C77" w:rsidP="009B2C58">
      <w:pPr>
        <w:pStyle w:val="BodyText"/>
      </w:pPr>
    </w:p>
    <w:p w:rsidR="00BB77D3" w:rsidRDefault="00BB77D3" w:rsidP="009B2C58">
      <w:pPr>
        <w:pStyle w:val="BodyText"/>
      </w:pPr>
      <w:r>
        <w:t xml:space="preserve">The CGMP </w:t>
      </w:r>
      <w:r w:rsidR="00D06B00">
        <w:t>regulations</w:t>
      </w:r>
      <w:r w:rsidR="00AA50B1">
        <w:t xml:space="preserve"> for human blood and blood components</w:t>
      </w:r>
      <w:r w:rsidR="00D06B00">
        <w:t xml:space="preserve"> (part 606</w:t>
      </w:r>
      <w:r w:rsidR="00751898">
        <w:t>)</w:t>
      </w:r>
      <w:r>
        <w:t xml:space="preserve"> and related regulations implement FDA's statutory authority to ensure the safety, purity, and potency of blood and blood components. </w:t>
      </w:r>
      <w:r w:rsidR="00D76130">
        <w:t xml:space="preserve"> </w:t>
      </w:r>
      <w:r>
        <w:t xml:space="preserve">The public health objective in testing human blood donors for evidence of infection due to communicable disease agents and in notifying donors is to prevent the transmission of communicable disease. </w:t>
      </w:r>
      <w:r w:rsidR="00D76130">
        <w:t xml:space="preserve"> </w:t>
      </w:r>
      <w:r>
        <w:t xml:space="preserve">For example, the </w:t>
      </w:r>
      <w:r w:rsidR="00D76130">
        <w:t>“</w:t>
      </w:r>
      <w:r>
        <w:t>lookback'' requirements are intended to help ensure the continued safety of the blood supply by providing necessary information to users of blood and blood components and appropriate notification of recipients of transfusion who are at increased risk for transmitting HIV or HCV infection.</w:t>
      </w:r>
    </w:p>
    <w:p w:rsidR="006B0BE7" w:rsidRDefault="006B0BE7" w:rsidP="009B2C58">
      <w:pPr>
        <w:pStyle w:val="BodyText"/>
      </w:pPr>
    </w:p>
    <w:p w:rsidR="00BB77D3" w:rsidRDefault="00BB77D3" w:rsidP="009B2C58">
      <w:pPr>
        <w:pStyle w:val="BodyText"/>
        <w:rPr>
          <w:color w:val="auto"/>
        </w:rPr>
      </w:pPr>
      <w:r>
        <w:t>The information collection requirements in the CGMP, donor testing, donor notificat</w:t>
      </w:r>
      <w:r w:rsidR="000F3697">
        <w:t>ion, and “lookback” regulations</w:t>
      </w:r>
      <w:r>
        <w:t xml:space="preserve"> provide FDA with the necessary information to perform its duty to ensure the safety, purity, and potency of blood and blood components.  These requirements establish accountability and traceability in the processing and handling of blood and blood components and enable FDA to perform meaningful inspections.  The recordkeeping requirements serve preventive and remedial purposes.  The disclosure requirements identify the various blood and blood components and important properties of the product, demonstrate that the CGMP requirements have been met, and facilitate the tracing of a product back to its original source.  The reporting requirements inform </w:t>
      </w:r>
      <w:r w:rsidR="000F3697">
        <w:t>FDA of certain information</w:t>
      </w:r>
      <w:r>
        <w:t xml:space="preserve"> that may require immediate corrective action</w:t>
      </w:r>
      <w:r w:rsidR="00B07A1D">
        <w:rPr>
          <w:color w:val="auto"/>
        </w:rPr>
        <w:t>.</w:t>
      </w:r>
    </w:p>
    <w:p w:rsidR="006B0BE7" w:rsidRDefault="006B0BE7" w:rsidP="009B2C58">
      <w:pPr>
        <w:pStyle w:val="BodyText"/>
      </w:pPr>
    </w:p>
    <w:p w:rsidR="00BB77D3" w:rsidRDefault="00D06B00" w:rsidP="009B2C58">
      <w:pPr>
        <w:pStyle w:val="BodyText"/>
        <w:rPr>
          <w:strike/>
        </w:rPr>
      </w:pPr>
      <w:r>
        <w:t>FDA allows the use or</w:t>
      </w:r>
      <w:r w:rsidR="00BB77D3">
        <w:t xml:space="preserve"> shipment prior to test results of human blood or blood components under two circumstances:  appropriately documented medical emergency situations or </w:t>
      </w:r>
      <w:r w:rsidR="000D1404">
        <w:t>for further manufacturing use as</w:t>
      </w:r>
      <w:r w:rsidR="00BB77D3">
        <w:t xml:space="preserve"> approved in writing by FDA.</w:t>
      </w:r>
      <w:r w:rsidR="000D1404">
        <w:t xml:space="preserve"> </w:t>
      </w:r>
      <w:r w:rsidR="00BB77D3">
        <w:t xml:space="preserve"> Use or shipment prior to test results may occur, provided the consignee is notified that test results are not available, the tests for evidence of infection due to communicable disease agents are performed as soon as possible after release or shipment, and the results are provided promptly to the consignee.  The regulations require </w:t>
      </w:r>
      <w:r w:rsidR="00761638">
        <w:t xml:space="preserve">an </w:t>
      </w:r>
      <w:r w:rsidR="00BB77D3">
        <w:t>establishment to document the emergency release or shipment of blood or blood components prior to completion of testing.  If the establishment ships blood or blood components for further manufacturing use prior to completion of testing, the establishment must obtain prior approval from FDA.  In either instance, the establishment must complete testing as soon as possible thereafter, and must notify the consignee of test results as soon as they are available.  Prior approval is necessary to help ensure that a</w:t>
      </w:r>
      <w:r w:rsidR="00761638">
        <w:t>n</w:t>
      </w:r>
      <w:r w:rsidR="00BB77D3">
        <w:t xml:space="preserve"> establishment is following proper procedures in shipping potentially infectious blood and blood components for further manufacturing use.  Without this information, FDA could not monitor industry procedures and discharge its statutory responsibility for protecting the nation’s health</w:t>
      </w:r>
      <w:r w:rsidR="00065010">
        <w:t>.</w:t>
      </w:r>
    </w:p>
    <w:p w:rsidR="00BB77D3" w:rsidRDefault="00BB77D3" w:rsidP="00CA3F50"/>
    <w:p w:rsidR="00CA3F50" w:rsidRDefault="00BB77D3" w:rsidP="00CA3F50">
      <w:r>
        <w:t>The donor notification process is intended to prevent further donations from donors who have been deferred for positive test results for markers of certain communicable disease agents(s) as prescribed in § 610.41 or for failing to satisfy the donor eligibility criteria under §§ 640.3 or 640.63 prior to collection.  Deferre</w:t>
      </w:r>
      <w:r w:rsidR="00F11CBA">
        <w:t>d donors are informed of:  (1) T</w:t>
      </w:r>
      <w:r>
        <w:t>he reason for the decision</w:t>
      </w:r>
      <w:r>
        <w:rPr>
          <w:rFonts w:ascii="Arial" w:hAnsi="Arial" w:cs="Arial"/>
          <w:color w:val="0000FF"/>
          <w:sz w:val="20"/>
        </w:rPr>
        <w:t>;</w:t>
      </w:r>
      <w:r>
        <w:t xml:space="preserve"> (2) the types of donation that the donor should not donate in the future, if appropriate</w:t>
      </w:r>
      <w:r>
        <w:rPr>
          <w:rFonts w:ascii="Arial" w:hAnsi="Arial" w:cs="Arial"/>
          <w:color w:val="0000FF"/>
          <w:sz w:val="20"/>
        </w:rPr>
        <w:t>;</w:t>
      </w:r>
      <w:r>
        <w:t xml:space="preserve"> (3) the results of the tests for evidence of infection due to communicable disease agents that were the basis for deferral, if applicable</w:t>
      </w:r>
      <w:r>
        <w:rPr>
          <w:rFonts w:ascii="Arial" w:hAnsi="Arial" w:cs="Arial"/>
          <w:color w:val="0000FF"/>
          <w:sz w:val="20"/>
        </w:rPr>
        <w:t>;</w:t>
      </w:r>
      <w:r>
        <w:t xml:space="preserve"> and (4) information concerning medical follow-up and counseling.  By </w:t>
      </w:r>
      <w:r>
        <w:lastRenderedPageBreak/>
        <w:t>having this information, the deferred donor may make informed decisions as</w:t>
      </w:r>
      <w:r w:rsidR="00B07A1D">
        <w:t xml:space="preserve"> to his or her medical welfare.</w:t>
      </w:r>
    </w:p>
    <w:p w:rsidR="00926CF5" w:rsidRDefault="00926CF5" w:rsidP="009B2C58">
      <w:pPr>
        <w:pStyle w:val="BodyText"/>
      </w:pPr>
    </w:p>
    <w:p w:rsidR="00C97C77" w:rsidRDefault="004E7A71" w:rsidP="00CA3F50">
      <w:pPr>
        <w:pStyle w:val="Heading2"/>
      </w:pPr>
      <w:r>
        <w:t xml:space="preserve">Use of </w:t>
      </w:r>
      <w:r w:rsidR="00C97C77">
        <w:t>Improved Information Technology</w:t>
      </w:r>
      <w:r w:rsidR="0098267F">
        <w:t xml:space="preserve"> and Burden Reduction</w:t>
      </w:r>
    </w:p>
    <w:p w:rsidR="00C97C77" w:rsidRDefault="00C97C77" w:rsidP="009B2C58">
      <w:pPr>
        <w:pStyle w:val="BodyText"/>
      </w:pPr>
    </w:p>
    <w:p w:rsidR="00C97C77" w:rsidRDefault="00C97C77" w:rsidP="00CA3F50">
      <w:r>
        <w:t>Establishments may use</w:t>
      </w:r>
      <w:r w:rsidR="003A2617">
        <w:t xml:space="preserve"> computers, computer</w:t>
      </w:r>
      <w:r>
        <w:t xml:space="preserve"> discs,</w:t>
      </w:r>
      <w:r w:rsidR="003A2617">
        <w:t xml:space="preserve"> tapes,</w:t>
      </w:r>
      <w:r>
        <w:t xml:space="preserve"> microfiche</w:t>
      </w:r>
      <w:r w:rsidR="00F11CBA">
        <w:t>,</w:t>
      </w:r>
      <w:r>
        <w:t xml:space="preserve"> or microfilm in lieu of hard copy records for the purpose of maintaining records.  Computers may be used for </w:t>
      </w:r>
      <w:r w:rsidR="000D5B1F">
        <w:t xml:space="preserve">emailing </w:t>
      </w:r>
      <w:r>
        <w:t xml:space="preserve">reports to FDA.  Notification of consignees can be accomplished by </w:t>
      </w:r>
      <w:r w:rsidR="000D5B1F">
        <w:t>e</w:t>
      </w:r>
      <w:r w:rsidR="00F11CBA">
        <w:t>-</w:t>
      </w:r>
      <w:r w:rsidR="000D5B1F">
        <w:t xml:space="preserve">mail, </w:t>
      </w:r>
      <w:r w:rsidR="00B07A1D">
        <w:t>phone, fax, or mail.</w:t>
      </w:r>
      <w:r w:rsidR="00C1574D">
        <w:t xml:space="preserve">  There are no technical obstacles </w:t>
      </w:r>
      <w:r w:rsidR="00F813BE">
        <w:t xml:space="preserve">for electronic </w:t>
      </w:r>
      <w:r w:rsidR="00C1574D">
        <w:t>reporting of the</w:t>
      </w:r>
      <w:r w:rsidR="00F813BE">
        <w:t xml:space="preserve"> applicable</w:t>
      </w:r>
      <w:r w:rsidR="00C1574D">
        <w:t xml:space="preserve"> information to FDA</w:t>
      </w:r>
      <w:r w:rsidR="00F813BE">
        <w:t>.</w:t>
      </w:r>
      <w:r w:rsidR="00C1574D">
        <w:t xml:space="preserve">  </w:t>
      </w:r>
      <w:r w:rsidR="00F813BE">
        <w:t xml:space="preserve">FDA continues to pursue methods of applying </w:t>
      </w:r>
      <w:r w:rsidR="00AA7CBC">
        <w:t xml:space="preserve">technology to reduce burden to the respondents of its information collection.  </w:t>
      </w:r>
    </w:p>
    <w:p w:rsidR="00C97C77" w:rsidRDefault="00C97C77" w:rsidP="009B2C58">
      <w:pPr>
        <w:pStyle w:val="BodyText"/>
      </w:pPr>
    </w:p>
    <w:p w:rsidR="00C97C77" w:rsidRDefault="0098267F" w:rsidP="00CA3F50">
      <w:pPr>
        <w:pStyle w:val="Heading2"/>
      </w:pPr>
      <w:r>
        <w:t>Efforts to Identify Duplication and Use of Similar Information</w:t>
      </w:r>
    </w:p>
    <w:p w:rsidR="00C97C77" w:rsidRDefault="00C97C77" w:rsidP="009B2C58">
      <w:pPr>
        <w:pStyle w:val="BodyText"/>
      </w:pPr>
    </w:p>
    <w:p w:rsidR="00C97C77" w:rsidRDefault="00C97C77" w:rsidP="00CA3F50">
      <w:r>
        <w:t xml:space="preserve">FDA </w:t>
      </w:r>
      <w:r w:rsidR="002F7E9B">
        <w:t>is the only agency that requires</w:t>
      </w:r>
      <w:r>
        <w:t xml:space="preserve"> this informati</w:t>
      </w:r>
      <w:r w:rsidR="002F7E9B">
        <w:t>on.  The</w:t>
      </w:r>
      <w:r w:rsidR="00F11CBA">
        <w:t>re is no similar information</w:t>
      </w:r>
      <w:r w:rsidR="002F7E9B">
        <w:t xml:space="preserve"> </w:t>
      </w:r>
      <w:r>
        <w:t>available from any other source.</w:t>
      </w:r>
    </w:p>
    <w:p w:rsidR="00C97C77" w:rsidRDefault="00C97C77" w:rsidP="009B2C58">
      <w:pPr>
        <w:pStyle w:val="BodyText"/>
      </w:pPr>
    </w:p>
    <w:p w:rsidR="00C97C77" w:rsidRDefault="0098267F" w:rsidP="00CA3F50">
      <w:pPr>
        <w:pStyle w:val="Heading2"/>
      </w:pPr>
      <w:r>
        <w:t xml:space="preserve">Impact on </w:t>
      </w:r>
      <w:r w:rsidR="00C97C77">
        <w:t>Small Businesses</w:t>
      </w:r>
      <w:r w:rsidR="0080005A">
        <w:t xml:space="preserve"> </w:t>
      </w:r>
      <w:r>
        <w:t>or Other Small Entities</w:t>
      </w:r>
    </w:p>
    <w:p w:rsidR="00C97C77" w:rsidRDefault="00C97C77" w:rsidP="009B2C58">
      <w:pPr>
        <w:pStyle w:val="BodyText"/>
      </w:pPr>
    </w:p>
    <w:p w:rsidR="00C97C77" w:rsidRDefault="00505883" w:rsidP="00CA3F50">
      <w:pPr>
        <w:pStyle w:val="Header"/>
      </w:pPr>
      <w:r w:rsidRPr="00F81F7B">
        <w:rPr>
          <w:szCs w:val="24"/>
        </w:rPr>
        <w:t>Th</w:t>
      </w:r>
      <w:r w:rsidR="00E64AE6" w:rsidRPr="00F81F7B">
        <w:rPr>
          <w:szCs w:val="24"/>
        </w:rPr>
        <w:t>is collection of</w:t>
      </w:r>
      <w:r w:rsidRPr="00F81F7B">
        <w:rPr>
          <w:szCs w:val="24"/>
        </w:rPr>
        <w:t xml:space="preserve"> information applies to small as well as large facilities.</w:t>
      </w:r>
      <w:r>
        <w:rPr>
          <w:color w:val="0000FF"/>
          <w:szCs w:val="24"/>
        </w:rPr>
        <w:t xml:space="preserve">  </w:t>
      </w:r>
      <w:r w:rsidR="00DC57ED">
        <w:t xml:space="preserve">Although </w:t>
      </w:r>
      <w:r w:rsidR="00C97C77">
        <w:t>FD</w:t>
      </w:r>
      <w:r w:rsidR="00DC57ED">
        <w:t>A must apply the statutory and regulatory requirements to all enterprises, FDA does provide help to small businesses.  The Center for Biologics Evaluation and Research (</w:t>
      </w:r>
      <w:r w:rsidR="00E475D1">
        <w:t>CBER</w:t>
      </w:r>
      <w:r w:rsidR="00DC57ED">
        <w:t>),</w:t>
      </w:r>
      <w:r w:rsidR="00E475D1">
        <w:t xml:space="preserve"> </w:t>
      </w:r>
      <w:r w:rsidR="00C97C77">
        <w:t>Office of Communication,</w:t>
      </w:r>
      <w:r w:rsidR="00DC57ED">
        <w:t xml:space="preserve"> Outreach, and Development, Division of</w:t>
      </w:r>
      <w:r w:rsidR="00C97C77">
        <w:t xml:space="preserve"> Manufacturer’s Assistance</w:t>
      </w:r>
      <w:r w:rsidR="00DC57ED">
        <w:t xml:space="preserve"> and Training</w:t>
      </w:r>
      <w:r w:rsidR="00C97C77">
        <w:t xml:space="preserve"> provides assist</w:t>
      </w:r>
      <w:r w:rsidR="00DC57ED">
        <w:t>ance to small businesses concerning</w:t>
      </w:r>
      <w:r w:rsidR="00C97C77">
        <w:t xml:space="preserve"> FDA’s regulatory requirements.</w:t>
      </w:r>
    </w:p>
    <w:p w:rsidR="00C97C77" w:rsidRDefault="00C97C77" w:rsidP="009B2C58">
      <w:pPr>
        <w:pStyle w:val="BodyText"/>
      </w:pPr>
    </w:p>
    <w:p w:rsidR="00C97C77" w:rsidRDefault="0098267F" w:rsidP="00CA3F50">
      <w:pPr>
        <w:pStyle w:val="Heading2"/>
      </w:pPr>
      <w:r>
        <w:t xml:space="preserve">Consequences of Collecting the Information </w:t>
      </w:r>
      <w:r w:rsidR="00C97C77">
        <w:t>Less Frequent</w:t>
      </w:r>
      <w:r>
        <w:t>ly</w:t>
      </w:r>
    </w:p>
    <w:p w:rsidR="00C97C77" w:rsidRDefault="00C97C77" w:rsidP="009B2C58">
      <w:pPr>
        <w:pStyle w:val="BodyText"/>
      </w:pPr>
    </w:p>
    <w:p w:rsidR="00C97C77" w:rsidRDefault="00C97C77" w:rsidP="00CA3F50">
      <w:pPr>
        <w:pStyle w:val="Header"/>
      </w:pPr>
      <w:r>
        <w:t xml:space="preserve">Less frequent information collection would not provide the information necessary for blood establishments to perform the “lookback” procedures, and for FDA to monitor the establishment procedures and </w:t>
      </w:r>
      <w:r w:rsidR="0080005A">
        <w:t>ensure the safety of the nation’s blood supply</w:t>
      </w:r>
      <w:r>
        <w:t>.  Records are reviewed at the time of inspection for compliance with FDA regulations and for any appropriate corrective action.  Initial preparation of SOPs is a one-time burden.</w:t>
      </w:r>
    </w:p>
    <w:p w:rsidR="00C97C77" w:rsidRDefault="00C97C77" w:rsidP="00CA3F50">
      <w:pPr>
        <w:pStyle w:val="Header"/>
      </w:pPr>
    </w:p>
    <w:p w:rsidR="00C97C77" w:rsidRDefault="00C97C77" w:rsidP="00CA3F50">
      <w:pPr>
        <w:pStyle w:val="Header"/>
      </w:pPr>
      <w:r>
        <w:t>There are no technical or legal obstacles to reducing the burden.</w:t>
      </w:r>
    </w:p>
    <w:p w:rsidR="00C97C77" w:rsidRDefault="00C97C77" w:rsidP="009B2C58">
      <w:pPr>
        <w:pStyle w:val="BodyText"/>
      </w:pPr>
    </w:p>
    <w:p w:rsidR="00C97C77" w:rsidRDefault="00C97C77" w:rsidP="00CA3F50">
      <w:pPr>
        <w:pStyle w:val="Heading2"/>
      </w:pPr>
      <w:r>
        <w:t>Special Circumstances</w:t>
      </w:r>
      <w:r w:rsidR="0098267F">
        <w:t xml:space="preserve"> Relating to</w:t>
      </w:r>
      <w:r w:rsidR="00EE7DB5">
        <w:t xml:space="preserve"> the Guidelines of 5 CFR 1320.5</w:t>
      </w:r>
    </w:p>
    <w:p w:rsidR="00C97C77" w:rsidRDefault="00C97C77" w:rsidP="009B2C58">
      <w:pPr>
        <w:pStyle w:val="BodyText"/>
      </w:pPr>
    </w:p>
    <w:p w:rsidR="00C97C77" w:rsidRDefault="00C97C77" w:rsidP="00CA3F50">
      <w:pPr>
        <w:pStyle w:val="Header"/>
      </w:pPr>
      <w:r>
        <w:t xml:space="preserve">There are </w:t>
      </w:r>
      <w:r w:rsidR="00A440F4">
        <w:t>no special circumstances for this</w:t>
      </w:r>
      <w:r>
        <w:t xml:space="preserve"> collection</w:t>
      </w:r>
      <w:r w:rsidR="00F11CBA">
        <w:t xml:space="preserve"> of</w:t>
      </w:r>
      <w:r w:rsidR="00A440F4">
        <w:t xml:space="preserve"> information</w:t>
      </w:r>
      <w:r>
        <w:t>.</w:t>
      </w:r>
    </w:p>
    <w:p w:rsidR="00C97C77" w:rsidRDefault="00C97C77" w:rsidP="009B2C58">
      <w:pPr>
        <w:pStyle w:val="BodyText"/>
      </w:pPr>
    </w:p>
    <w:p w:rsidR="00C97C77" w:rsidRDefault="0098267F" w:rsidP="00CA3F50">
      <w:pPr>
        <w:pStyle w:val="Heading2"/>
      </w:pPr>
      <w:r w:rsidRPr="0098267F">
        <w:rPr>
          <w:iCs/>
        </w:rPr>
        <w:t>Comments in Response to the</w:t>
      </w:r>
      <w:r>
        <w:rPr>
          <w:i/>
          <w:iCs/>
        </w:rPr>
        <w:t xml:space="preserve"> </w:t>
      </w:r>
      <w:r w:rsidR="00C97C77" w:rsidRPr="0018755E">
        <w:rPr>
          <w:iCs/>
        </w:rPr>
        <w:t>Federal Register</w:t>
      </w:r>
      <w:r w:rsidR="00C97C77">
        <w:t xml:space="preserve"> Notice</w:t>
      </w:r>
      <w:r>
        <w:t xml:space="preserve"> and Efforts to Consult </w:t>
      </w:r>
      <w:r w:rsidR="00C97C77">
        <w:t>Outside</w:t>
      </w:r>
      <w:r w:rsidR="0039456B">
        <w:t xml:space="preserve"> </w:t>
      </w:r>
      <w:r>
        <w:t>the Agency</w:t>
      </w:r>
    </w:p>
    <w:p w:rsidR="00C97C77" w:rsidRDefault="00C97C77" w:rsidP="009B2C58">
      <w:pPr>
        <w:pStyle w:val="BodyText"/>
      </w:pPr>
    </w:p>
    <w:p w:rsidR="00E218B6" w:rsidRDefault="00E218B6" w:rsidP="00CA3F50">
      <w:r>
        <w:t>In accordance with 5 CFR 1320.8(d),</w:t>
      </w:r>
      <w:r w:rsidR="00A440F4">
        <w:t xml:space="preserve"> FDA published</w:t>
      </w:r>
      <w:r>
        <w:t xml:space="preserve"> a 60-day notice for publi</w:t>
      </w:r>
      <w:r w:rsidR="002F7E9B">
        <w:t>c comment</w:t>
      </w:r>
      <w:r>
        <w:t xml:space="preserve"> in the </w:t>
      </w:r>
      <w:r w:rsidRPr="001E1594">
        <w:rPr>
          <w:bCs/>
        </w:rPr>
        <w:t>Federal Register</w:t>
      </w:r>
      <w:r w:rsidR="00A23F56">
        <w:t xml:space="preserve"> of October</w:t>
      </w:r>
      <w:r w:rsidR="002A48E0">
        <w:t xml:space="preserve"> </w:t>
      </w:r>
      <w:r w:rsidR="00A23F56">
        <w:t>20, 2014 (79 FR 626</w:t>
      </w:r>
      <w:r w:rsidR="00A4425B">
        <w:t>2</w:t>
      </w:r>
      <w:r w:rsidR="00A23F56">
        <w:t>9</w:t>
      </w:r>
      <w:r w:rsidR="00975A6F">
        <w:t xml:space="preserve">).  </w:t>
      </w:r>
      <w:r w:rsidR="009055D3">
        <w:t>FDA received 5 letters of comment</w:t>
      </w:r>
      <w:r w:rsidR="00F11CBA">
        <w:t>.</w:t>
      </w:r>
      <w:r w:rsidR="009055D3">
        <w:t xml:space="preserve">  </w:t>
      </w:r>
      <w:r w:rsidR="002C1A91" w:rsidRPr="005B054D">
        <w:rPr>
          <w:szCs w:val="24"/>
        </w:rPr>
        <w:t>The comment</w:t>
      </w:r>
      <w:r w:rsidR="002C1A91">
        <w:rPr>
          <w:szCs w:val="24"/>
        </w:rPr>
        <w:t>s</w:t>
      </w:r>
      <w:r w:rsidR="002C1A91" w:rsidRPr="005B054D">
        <w:rPr>
          <w:szCs w:val="24"/>
        </w:rPr>
        <w:t xml:space="preserve"> w</w:t>
      </w:r>
      <w:r w:rsidR="002C1A91">
        <w:rPr>
          <w:szCs w:val="24"/>
        </w:rPr>
        <w:t>ere</w:t>
      </w:r>
      <w:r w:rsidR="002C1A91" w:rsidRPr="005B054D">
        <w:rPr>
          <w:szCs w:val="24"/>
        </w:rPr>
        <w:t xml:space="preserve"> not responsive to the comment request on the four specified aspects of the </w:t>
      </w:r>
      <w:r w:rsidR="002C1A91" w:rsidRPr="005B054D">
        <w:rPr>
          <w:szCs w:val="24"/>
        </w:rPr>
        <w:lastRenderedPageBreak/>
        <w:t xml:space="preserve">collection of information and did not provide any data or explanation that would support a change regarding the information collection </w:t>
      </w:r>
      <w:r w:rsidR="004627CB">
        <w:rPr>
          <w:szCs w:val="24"/>
        </w:rPr>
        <w:t>estimates</w:t>
      </w:r>
      <w:r w:rsidR="002C1A91" w:rsidRPr="005B054D">
        <w:rPr>
          <w:szCs w:val="24"/>
        </w:rPr>
        <w:t>.</w:t>
      </w:r>
    </w:p>
    <w:p w:rsidR="00E218B6" w:rsidRDefault="00E218B6" w:rsidP="00CA3F50"/>
    <w:p w:rsidR="00C97C77" w:rsidRDefault="0098267F" w:rsidP="00CA3F50">
      <w:pPr>
        <w:pStyle w:val="Heading2"/>
      </w:pPr>
      <w:r>
        <w:t xml:space="preserve">Explanation of Any </w:t>
      </w:r>
      <w:r w:rsidR="00C97C77">
        <w:t xml:space="preserve">Payment </w:t>
      </w:r>
      <w:r>
        <w:t xml:space="preserve">or Gift </w:t>
      </w:r>
      <w:r w:rsidR="00C97C77">
        <w:t>to Respondent</w:t>
      </w:r>
      <w:r>
        <w:t>s</w:t>
      </w:r>
    </w:p>
    <w:p w:rsidR="00C97C77" w:rsidRDefault="00C97C77" w:rsidP="009B2C58">
      <w:pPr>
        <w:pStyle w:val="BodyText"/>
      </w:pPr>
    </w:p>
    <w:p w:rsidR="00C97C77" w:rsidRDefault="00A440F4" w:rsidP="00CA3F50">
      <w:r>
        <w:t xml:space="preserve"> No</w:t>
      </w:r>
      <w:r w:rsidR="00C97C77">
        <w:t xml:space="preserve"> payment or gift</w:t>
      </w:r>
      <w:r>
        <w:t xml:space="preserve"> was provided</w:t>
      </w:r>
      <w:r w:rsidR="00C97C77">
        <w:t xml:space="preserve"> to respondents.</w:t>
      </w:r>
    </w:p>
    <w:p w:rsidR="00C97C77" w:rsidRDefault="00C97C77" w:rsidP="009B2C58">
      <w:pPr>
        <w:pStyle w:val="BodyText"/>
      </w:pPr>
    </w:p>
    <w:p w:rsidR="00C97C77" w:rsidRDefault="0098267F" w:rsidP="00CA3F50">
      <w:pPr>
        <w:pStyle w:val="Heading2"/>
      </w:pPr>
      <w:r>
        <w:t xml:space="preserve">Assurance of </w:t>
      </w:r>
      <w:r w:rsidR="00C97C77">
        <w:t>Confidentiality</w:t>
      </w:r>
      <w:r>
        <w:t xml:space="preserve"> Provided to Respondents</w:t>
      </w:r>
    </w:p>
    <w:p w:rsidR="00C97C77" w:rsidRDefault="00C97C77" w:rsidP="009B2C58">
      <w:pPr>
        <w:pStyle w:val="BodyText"/>
      </w:pPr>
    </w:p>
    <w:p w:rsidR="00C97C77" w:rsidRDefault="00C97C77" w:rsidP="00CA3F50">
      <w:r>
        <w:t>The confidentiality of information received</w:t>
      </w:r>
      <w:r w:rsidR="00A440F4">
        <w:t xml:space="preserve"> by FDA is</w:t>
      </w:r>
      <w:r>
        <w:t xml:space="preserve"> consistent with the Freedom of Info</w:t>
      </w:r>
      <w:r w:rsidR="00BE7B66">
        <w:t>rmation Act (FOIA)</w:t>
      </w:r>
      <w:r w:rsidR="00A440F4">
        <w:t xml:space="preserve"> and FDA</w:t>
      </w:r>
      <w:r>
        <w:t>’s</w:t>
      </w:r>
      <w:r w:rsidR="00F11CBA">
        <w:t xml:space="preserve"> published</w:t>
      </w:r>
      <w:r>
        <w:t xml:space="preserve"> regulations</w:t>
      </w:r>
      <w:r w:rsidR="00926CF5">
        <w:t xml:space="preserve"> of “Public Information”</w:t>
      </w:r>
      <w:r>
        <w:t xml:space="preserve"> under 21 CFR Part 20.  After an FDA investigator completes a routine inspection of a blood or blood component manufacturing establishment, the completed report with the results of the inspection become public informat</w:t>
      </w:r>
      <w:r w:rsidR="00BE7B66">
        <w:t>ion, available under the FOIA</w:t>
      </w:r>
      <w:r>
        <w:t>.  However, certain information, such as donor and patient names, for example, is deleted from any information released by FDA under the FOIA and FDA regulations.  Manufacturers of human blood and blood components are not required to reveal any proprietary information or trade secrets to achieve compliance with the provisions.</w:t>
      </w:r>
    </w:p>
    <w:p w:rsidR="00C97C77" w:rsidRDefault="00C97C77" w:rsidP="009B2C58">
      <w:pPr>
        <w:pStyle w:val="BodyText"/>
      </w:pPr>
    </w:p>
    <w:p w:rsidR="00C97C77" w:rsidRDefault="0098267F" w:rsidP="00CA3F50">
      <w:pPr>
        <w:pStyle w:val="Heading2"/>
      </w:pPr>
      <w:r>
        <w:t xml:space="preserve">Justification for </w:t>
      </w:r>
      <w:r w:rsidR="00C97C77">
        <w:t>Sensitive Questions</w:t>
      </w:r>
    </w:p>
    <w:p w:rsidR="00C97C77" w:rsidRDefault="00C97C77" w:rsidP="009B2C58">
      <w:pPr>
        <w:pStyle w:val="BodyText"/>
      </w:pPr>
    </w:p>
    <w:p w:rsidR="00C97C77" w:rsidRDefault="00C97C77" w:rsidP="00CA3F50">
      <w:r>
        <w:t>Establishments as part of the donor screening process for blood collection must ask questions of</w:t>
      </w:r>
      <w:r w:rsidR="00714A29">
        <w:t xml:space="preserve"> a</w:t>
      </w:r>
      <w:r>
        <w:t xml:space="preserve"> sensitive nature.  These questions are used to evaluate the suitability of a donor.  Donors not meeting certain criteria are deferred from donating.  This information is necessary to help prevent the transmission of communicable diseases and protect public health.  These records are maintained by the establishment and may be reviewed by FDA during an inspection.</w:t>
      </w:r>
    </w:p>
    <w:p w:rsidR="00C97C77" w:rsidRDefault="00C97C77" w:rsidP="009B2C58">
      <w:pPr>
        <w:pStyle w:val="BodyText"/>
      </w:pPr>
    </w:p>
    <w:p w:rsidR="00C97C77" w:rsidRDefault="0098267F" w:rsidP="00CA3F50">
      <w:pPr>
        <w:pStyle w:val="Heading2"/>
      </w:pPr>
      <w:r>
        <w:t xml:space="preserve">Estimates of Annualized </w:t>
      </w:r>
      <w:r w:rsidR="00C97C77">
        <w:t xml:space="preserve">Burden Hours and </w:t>
      </w:r>
      <w:r>
        <w:t>Costs</w:t>
      </w:r>
    </w:p>
    <w:p w:rsidR="00C97C77" w:rsidRDefault="00C97C77" w:rsidP="009B2C58">
      <w:pPr>
        <w:pStyle w:val="BodyText"/>
      </w:pPr>
    </w:p>
    <w:p w:rsidR="00C97C77" w:rsidRPr="006D3083" w:rsidRDefault="00C97C77" w:rsidP="009B2C58">
      <w:pPr>
        <w:pStyle w:val="BodyText"/>
      </w:pPr>
      <w:r w:rsidRPr="006D3083">
        <w:t>The total annual estimated burden imposed by this collection of information is</w:t>
      </w:r>
      <w:r w:rsidR="001934AC">
        <w:t xml:space="preserve"> 510,219</w:t>
      </w:r>
      <w:r w:rsidR="009C4E58">
        <w:t xml:space="preserve"> </w:t>
      </w:r>
      <w:r w:rsidRPr="006D3083">
        <w:t>hours.</w:t>
      </w:r>
    </w:p>
    <w:p w:rsidR="005D7364" w:rsidRPr="006D3083" w:rsidRDefault="005D7364" w:rsidP="009B2C58">
      <w:pPr>
        <w:pStyle w:val="BodyText"/>
      </w:pPr>
    </w:p>
    <w:p w:rsidR="005D7364" w:rsidRPr="00F16282" w:rsidRDefault="001C5167" w:rsidP="009B2C58">
      <w:pPr>
        <w:pStyle w:val="BodyText"/>
        <w:rPr>
          <w:u w:val="single"/>
        </w:rPr>
      </w:pPr>
      <w:r>
        <w:rPr>
          <w:u w:val="single"/>
        </w:rPr>
        <w:br w:type="page"/>
      </w:r>
      <w:r w:rsidR="005D7364" w:rsidRPr="00F16282">
        <w:rPr>
          <w:u w:val="single"/>
        </w:rPr>
        <w:lastRenderedPageBreak/>
        <w:t>12a. Annualized Hour Burden Estimate</w:t>
      </w:r>
    </w:p>
    <w:p w:rsidR="00C97C77" w:rsidRDefault="00C97C77" w:rsidP="009B2C58">
      <w:pPr>
        <w:pStyle w:val="BodyText"/>
      </w:pPr>
    </w:p>
    <w:p w:rsidR="00C97C77" w:rsidRPr="00E3713E" w:rsidRDefault="00C97C77" w:rsidP="00CA3F50">
      <w:pPr>
        <w:rPr>
          <w:sz w:val="20"/>
          <w:vertAlign w:val="superscript"/>
        </w:rPr>
      </w:pPr>
      <w:r>
        <w:t>Table 1. – Estimated Annual Reporting Burden</w:t>
      </w:r>
    </w:p>
    <w:p w:rsidR="00E3713E" w:rsidRDefault="00E3713E" w:rsidP="00CA3F50">
      <w:pPr>
        <w:rPr>
          <w:vertAlign w:val="superscript"/>
        </w:rPr>
      </w:pPr>
    </w:p>
    <w:tbl>
      <w:tblPr>
        <w:tblW w:w="9300" w:type="dxa"/>
        <w:tblInd w:w="-79" w:type="dxa"/>
        <w:tblLayout w:type="fixed"/>
        <w:tblCellMar>
          <w:left w:w="101" w:type="dxa"/>
          <w:right w:w="101" w:type="dxa"/>
        </w:tblCellMar>
        <w:tblLook w:val="0000" w:firstRow="0" w:lastRow="0" w:firstColumn="0" w:lastColumn="0" w:noHBand="0" w:noVBand="0"/>
      </w:tblPr>
      <w:tblGrid>
        <w:gridCol w:w="2160"/>
        <w:gridCol w:w="1620"/>
        <w:gridCol w:w="1680"/>
        <w:gridCol w:w="1560"/>
        <w:gridCol w:w="1200"/>
        <w:gridCol w:w="1080"/>
      </w:tblGrid>
      <w:tr w:rsidR="00C97C77" w:rsidTr="00976D05">
        <w:tc>
          <w:tcPr>
            <w:tcW w:w="2160" w:type="dxa"/>
            <w:tcBorders>
              <w:top w:val="single" w:sz="6" w:space="0" w:color="auto"/>
              <w:left w:val="single" w:sz="6" w:space="0" w:color="auto"/>
              <w:bottom w:val="single" w:sz="6" w:space="0" w:color="auto"/>
            </w:tcBorders>
          </w:tcPr>
          <w:p w:rsidR="00C97C77" w:rsidRDefault="00C97C77" w:rsidP="00CA3F50">
            <w:r>
              <w:t>21 CFR Section</w:t>
            </w:r>
          </w:p>
        </w:tc>
        <w:tc>
          <w:tcPr>
            <w:tcW w:w="1620" w:type="dxa"/>
            <w:tcBorders>
              <w:top w:val="single" w:sz="6" w:space="0" w:color="auto"/>
              <w:left w:val="single" w:sz="6" w:space="0" w:color="auto"/>
              <w:bottom w:val="single" w:sz="6" w:space="0" w:color="auto"/>
            </w:tcBorders>
          </w:tcPr>
          <w:p w:rsidR="00C97C77" w:rsidRDefault="00366CE7" w:rsidP="00760057">
            <w:r>
              <w:t xml:space="preserve">Number of </w:t>
            </w:r>
            <w:r w:rsidR="00760057">
              <w:t>R</w:t>
            </w:r>
            <w:r w:rsidR="00976D05">
              <w:t>espondent</w:t>
            </w:r>
            <w:r w:rsidR="00C97C77">
              <w:t>s</w:t>
            </w:r>
          </w:p>
        </w:tc>
        <w:tc>
          <w:tcPr>
            <w:tcW w:w="1680" w:type="dxa"/>
            <w:tcBorders>
              <w:top w:val="single" w:sz="6" w:space="0" w:color="auto"/>
              <w:left w:val="single" w:sz="6" w:space="0" w:color="auto"/>
              <w:bottom w:val="single" w:sz="6" w:space="0" w:color="auto"/>
            </w:tcBorders>
          </w:tcPr>
          <w:p w:rsidR="00C97C77" w:rsidRDefault="00366CE7" w:rsidP="00760057">
            <w:r>
              <w:t xml:space="preserve">Number of </w:t>
            </w:r>
            <w:r w:rsidR="00760057">
              <w:t>R</w:t>
            </w:r>
            <w:r w:rsidR="007A43CF">
              <w:t>espon</w:t>
            </w:r>
            <w:r>
              <w:t xml:space="preserve">ses per </w:t>
            </w:r>
            <w:r w:rsidR="00760057">
              <w:t>R</w:t>
            </w:r>
            <w:r w:rsidR="005D7364">
              <w:t>espondent</w:t>
            </w:r>
          </w:p>
        </w:tc>
        <w:tc>
          <w:tcPr>
            <w:tcW w:w="1560" w:type="dxa"/>
            <w:tcBorders>
              <w:top w:val="single" w:sz="6" w:space="0" w:color="auto"/>
              <w:left w:val="single" w:sz="6" w:space="0" w:color="auto"/>
              <w:bottom w:val="single" w:sz="6" w:space="0" w:color="auto"/>
            </w:tcBorders>
          </w:tcPr>
          <w:p w:rsidR="00C97C77" w:rsidRDefault="00366CE7" w:rsidP="00760057">
            <w:r>
              <w:t xml:space="preserve">Total </w:t>
            </w:r>
            <w:r w:rsidR="00760057">
              <w:t>A</w:t>
            </w:r>
            <w:r>
              <w:t xml:space="preserve">nnual </w:t>
            </w:r>
            <w:r w:rsidR="00760057">
              <w:t>R</w:t>
            </w:r>
            <w:r w:rsidR="00C97C77">
              <w:t>esponses</w:t>
            </w:r>
          </w:p>
        </w:tc>
        <w:tc>
          <w:tcPr>
            <w:tcW w:w="1200" w:type="dxa"/>
            <w:tcBorders>
              <w:top w:val="single" w:sz="6" w:space="0" w:color="auto"/>
              <w:left w:val="single" w:sz="6" w:space="0" w:color="auto"/>
              <w:bottom w:val="single" w:sz="6" w:space="0" w:color="auto"/>
            </w:tcBorders>
          </w:tcPr>
          <w:p w:rsidR="00C97C77" w:rsidRDefault="00366CE7" w:rsidP="00760057">
            <w:r>
              <w:t xml:space="preserve">Average </w:t>
            </w:r>
            <w:r w:rsidR="00760057">
              <w:t>B</w:t>
            </w:r>
            <w:r w:rsidR="00E40ADC">
              <w:t>urden</w:t>
            </w:r>
            <w:r>
              <w:t xml:space="preserve"> per                </w:t>
            </w:r>
            <w:r w:rsidR="00760057">
              <w:t>R</w:t>
            </w:r>
            <w:r w:rsidR="00C97C77">
              <w:t>esponse</w:t>
            </w:r>
          </w:p>
        </w:tc>
        <w:tc>
          <w:tcPr>
            <w:tcW w:w="1080" w:type="dxa"/>
            <w:tcBorders>
              <w:top w:val="single" w:sz="6" w:space="0" w:color="auto"/>
              <w:left w:val="single" w:sz="6" w:space="0" w:color="auto"/>
              <w:bottom w:val="single" w:sz="6" w:space="0" w:color="auto"/>
              <w:right w:val="single" w:sz="6" w:space="0" w:color="auto"/>
            </w:tcBorders>
          </w:tcPr>
          <w:p w:rsidR="00C97C77" w:rsidRDefault="00366CE7" w:rsidP="00760057">
            <w:r>
              <w:t xml:space="preserve">Total </w:t>
            </w:r>
            <w:r w:rsidR="00760057">
              <w:t>H</w:t>
            </w:r>
            <w:r w:rsidR="00C97C77">
              <w:t>ours</w:t>
            </w:r>
          </w:p>
        </w:tc>
      </w:tr>
      <w:tr w:rsidR="00C97C77" w:rsidTr="00976D05">
        <w:tc>
          <w:tcPr>
            <w:tcW w:w="2160" w:type="dxa"/>
            <w:tcBorders>
              <w:top w:val="single" w:sz="6" w:space="0" w:color="auto"/>
              <w:left w:val="single" w:sz="6" w:space="0" w:color="auto"/>
              <w:bottom w:val="single" w:sz="4" w:space="0" w:color="auto"/>
            </w:tcBorders>
          </w:tcPr>
          <w:p w:rsidR="00C97C77" w:rsidRDefault="00C97C77" w:rsidP="00CA3F50">
            <w:pPr>
              <w:rPr>
                <w:vertAlign w:val="superscript"/>
              </w:rPr>
            </w:pPr>
            <w:r>
              <w:t>606.170(b)</w:t>
            </w:r>
            <w:r w:rsidR="001265F4">
              <w:rPr>
                <w:vertAlign w:val="superscript"/>
              </w:rPr>
              <w:t>1</w:t>
            </w:r>
          </w:p>
        </w:tc>
        <w:tc>
          <w:tcPr>
            <w:tcW w:w="1620" w:type="dxa"/>
            <w:tcBorders>
              <w:top w:val="single" w:sz="6" w:space="0" w:color="auto"/>
              <w:left w:val="single" w:sz="6" w:space="0" w:color="auto"/>
              <w:bottom w:val="single" w:sz="4" w:space="0" w:color="auto"/>
            </w:tcBorders>
          </w:tcPr>
          <w:p w:rsidR="00C97C77" w:rsidRDefault="00576DA4" w:rsidP="00CA3F50">
            <w:r>
              <w:t>7</w:t>
            </w:r>
            <w:r w:rsidR="00366CE7">
              <w:t>2</w:t>
            </w:r>
          </w:p>
        </w:tc>
        <w:tc>
          <w:tcPr>
            <w:tcW w:w="1680" w:type="dxa"/>
            <w:tcBorders>
              <w:top w:val="single" w:sz="6" w:space="0" w:color="auto"/>
              <w:left w:val="single" w:sz="6" w:space="0" w:color="auto"/>
              <w:bottom w:val="single" w:sz="4" w:space="0" w:color="auto"/>
            </w:tcBorders>
          </w:tcPr>
          <w:p w:rsidR="00C97C77" w:rsidRDefault="00C97C77" w:rsidP="00CA3F50">
            <w:r>
              <w:t>1</w:t>
            </w:r>
          </w:p>
        </w:tc>
        <w:tc>
          <w:tcPr>
            <w:tcW w:w="1560" w:type="dxa"/>
            <w:tcBorders>
              <w:top w:val="single" w:sz="6" w:space="0" w:color="auto"/>
              <w:left w:val="single" w:sz="6" w:space="0" w:color="auto"/>
              <w:bottom w:val="single" w:sz="4" w:space="0" w:color="auto"/>
            </w:tcBorders>
          </w:tcPr>
          <w:p w:rsidR="00C97C77" w:rsidRDefault="00976D05" w:rsidP="00CA3F50">
            <w:r>
              <w:t>7</w:t>
            </w:r>
            <w:r w:rsidR="00366CE7">
              <w:t>2</w:t>
            </w:r>
          </w:p>
        </w:tc>
        <w:tc>
          <w:tcPr>
            <w:tcW w:w="1200" w:type="dxa"/>
            <w:tcBorders>
              <w:top w:val="single" w:sz="6" w:space="0" w:color="auto"/>
              <w:left w:val="single" w:sz="6" w:space="0" w:color="auto"/>
              <w:bottom w:val="single" w:sz="4" w:space="0" w:color="auto"/>
            </w:tcBorders>
          </w:tcPr>
          <w:p w:rsidR="00C97C77" w:rsidRDefault="00C97C77" w:rsidP="00CA3F50">
            <w:r>
              <w:t>20</w:t>
            </w:r>
          </w:p>
        </w:tc>
        <w:tc>
          <w:tcPr>
            <w:tcW w:w="1080" w:type="dxa"/>
            <w:tcBorders>
              <w:top w:val="single" w:sz="6" w:space="0" w:color="auto"/>
              <w:left w:val="single" w:sz="6" w:space="0" w:color="auto"/>
              <w:bottom w:val="single" w:sz="6" w:space="0" w:color="auto"/>
              <w:right w:val="single" w:sz="6" w:space="0" w:color="auto"/>
            </w:tcBorders>
          </w:tcPr>
          <w:p w:rsidR="00C97C77" w:rsidRDefault="00366CE7" w:rsidP="00CA3F50">
            <w:r>
              <w:t>1,44</w:t>
            </w:r>
            <w:r w:rsidR="00E40ADC">
              <w:t>0</w:t>
            </w:r>
          </w:p>
        </w:tc>
      </w:tr>
      <w:tr w:rsidR="00C97C77" w:rsidTr="00976D05">
        <w:tc>
          <w:tcPr>
            <w:tcW w:w="2160" w:type="dxa"/>
            <w:tcBorders>
              <w:top w:val="single" w:sz="6" w:space="0" w:color="auto"/>
              <w:left w:val="single" w:sz="6" w:space="0" w:color="auto"/>
              <w:bottom w:val="single" w:sz="4" w:space="0" w:color="auto"/>
            </w:tcBorders>
          </w:tcPr>
          <w:p w:rsidR="00C97C77" w:rsidRDefault="00C97C77" w:rsidP="00CA3F50">
            <w:r>
              <w:t>610.40(g)(2)</w:t>
            </w:r>
          </w:p>
        </w:tc>
        <w:tc>
          <w:tcPr>
            <w:tcW w:w="1620" w:type="dxa"/>
            <w:tcBorders>
              <w:top w:val="single" w:sz="6" w:space="0" w:color="auto"/>
              <w:left w:val="single" w:sz="6" w:space="0" w:color="auto"/>
              <w:bottom w:val="single" w:sz="4" w:space="0" w:color="auto"/>
            </w:tcBorders>
          </w:tcPr>
          <w:p w:rsidR="00C97C77" w:rsidRDefault="00C97C77" w:rsidP="00CA3F50">
            <w:r>
              <w:t>1</w:t>
            </w:r>
          </w:p>
        </w:tc>
        <w:tc>
          <w:tcPr>
            <w:tcW w:w="1680" w:type="dxa"/>
            <w:tcBorders>
              <w:top w:val="single" w:sz="6" w:space="0" w:color="auto"/>
              <w:left w:val="single" w:sz="6" w:space="0" w:color="auto"/>
              <w:bottom w:val="single" w:sz="4" w:space="0" w:color="auto"/>
            </w:tcBorders>
          </w:tcPr>
          <w:p w:rsidR="00C97C77" w:rsidRDefault="00C97C77" w:rsidP="00CA3F50">
            <w:r>
              <w:t>1</w:t>
            </w:r>
          </w:p>
        </w:tc>
        <w:tc>
          <w:tcPr>
            <w:tcW w:w="1560" w:type="dxa"/>
            <w:tcBorders>
              <w:top w:val="single" w:sz="6" w:space="0" w:color="auto"/>
              <w:left w:val="single" w:sz="6" w:space="0" w:color="auto"/>
              <w:bottom w:val="single" w:sz="4" w:space="0" w:color="auto"/>
            </w:tcBorders>
          </w:tcPr>
          <w:p w:rsidR="00C97C77" w:rsidRDefault="00C97C77" w:rsidP="00CA3F50">
            <w:r>
              <w:t>1</w:t>
            </w:r>
          </w:p>
        </w:tc>
        <w:tc>
          <w:tcPr>
            <w:tcW w:w="1200" w:type="dxa"/>
            <w:tcBorders>
              <w:top w:val="single" w:sz="6" w:space="0" w:color="auto"/>
              <w:left w:val="single" w:sz="6" w:space="0" w:color="auto"/>
              <w:bottom w:val="single" w:sz="4" w:space="0" w:color="auto"/>
            </w:tcBorders>
          </w:tcPr>
          <w:p w:rsidR="00C97C77" w:rsidRDefault="00C97C77" w:rsidP="00CA3F50">
            <w:r>
              <w:t>1</w:t>
            </w:r>
          </w:p>
        </w:tc>
        <w:tc>
          <w:tcPr>
            <w:tcW w:w="1080" w:type="dxa"/>
            <w:tcBorders>
              <w:top w:val="single" w:sz="6" w:space="0" w:color="auto"/>
              <w:left w:val="single" w:sz="6" w:space="0" w:color="auto"/>
              <w:bottom w:val="single" w:sz="6" w:space="0" w:color="auto"/>
              <w:right w:val="single" w:sz="6" w:space="0" w:color="auto"/>
            </w:tcBorders>
          </w:tcPr>
          <w:p w:rsidR="00C97C77" w:rsidRDefault="00C97C77" w:rsidP="00CA3F50">
            <w:r>
              <w:t>1</w:t>
            </w:r>
          </w:p>
        </w:tc>
      </w:tr>
      <w:tr w:rsidR="00C97C77" w:rsidTr="00976D05">
        <w:tc>
          <w:tcPr>
            <w:tcW w:w="2160" w:type="dxa"/>
            <w:tcBorders>
              <w:top w:val="single" w:sz="4" w:space="0" w:color="auto"/>
              <w:left w:val="single" w:sz="6" w:space="0" w:color="auto"/>
              <w:bottom w:val="single" w:sz="4" w:space="0" w:color="auto"/>
            </w:tcBorders>
          </w:tcPr>
          <w:p w:rsidR="00C97C77" w:rsidRDefault="00C97C77" w:rsidP="00CA3F50">
            <w:r>
              <w:t>610.40(h)(2)(ii)(A)</w:t>
            </w:r>
          </w:p>
        </w:tc>
        <w:tc>
          <w:tcPr>
            <w:tcW w:w="1620" w:type="dxa"/>
            <w:tcBorders>
              <w:top w:val="single" w:sz="4" w:space="0" w:color="auto"/>
              <w:left w:val="single" w:sz="6" w:space="0" w:color="auto"/>
              <w:bottom w:val="single" w:sz="4" w:space="0" w:color="auto"/>
            </w:tcBorders>
          </w:tcPr>
          <w:p w:rsidR="00C97C77" w:rsidRDefault="00C97C77" w:rsidP="00CA3F50">
            <w:r>
              <w:t>1</w:t>
            </w:r>
          </w:p>
        </w:tc>
        <w:tc>
          <w:tcPr>
            <w:tcW w:w="1680" w:type="dxa"/>
            <w:tcBorders>
              <w:top w:val="single" w:sz="4" w:space="0" w:color="auto"/>
              <w:left w:val="single" w:sz="6" w:space="0" w:color="auto"/>
              <w:bottom w:val="single" w:sz="4" w:space="0" w:color="auto"/>
            </w:tcBorders>
          </w:tcPr>
          <w:p w:rsidR="00C97C77" w:rsidRDefault="00C97C77" w:rsidP="00CA3F50">
            <w:r>
              <w:t>1</w:t>
            </w:r>
          </w:p>
        </w:tc>
        <w:tc>
          <w:tcPr>
            <w:tcW w:w="1560" w:type="dxa"/>
            <w:tcBorders>
              <w:top w:val="single" w:sz="4" w:space="0" w:color="auto"/>
              <w:left w:val="single" w:sz="6" w:space="0" w:color="auto"/>
              <w:bottom w:val="single" w:sz="4" w:space="0" w:color="auto"/>
            </w:tcBorders>
          </w:tcPr>
          <w:p w:rsidR="00C97C77" w:rsidRDefault="00C97C77" w:rsidP="00CA3F50">
            <w:r>
              <w:t>1</w:t>
            </w:r>
          </w:p>
        </w:tc>
        <w:tc>
          <w:tcPr>
            <w:tcW w:w="1200" w:type="dxa"/>
            <w:tcBorders>
              <w:top w:val="single" w:sz="4" w:space="0" w:color="auto"/>
              <w:left w:val="single" w:sz="6" w:space="0" w:color="auto"/>
              <w:bottom w:val="single" w:sz="4" w:space="0" w:color="auto"/>
            </w:tcBorders>
          </w:tcPr>
          <w:p w:rsidR="00C97C77" w:rsidRDefault="00C97C77" w:rsidP="00CA3F50">
            <w:r>
              <w:t>1</w:t>
            </w:r>
          </w:p>
        </w:tc>
        <w:tc>
          <w:tcPr>
            <w:tcW w:w="1080" w:type="dxa"/>
            <w:tcBorders>
              <w:top w:val="single" w:sz="6" w:space="0" w:color="auto"/>
              <w:left w:val="single" w:sz="6" w:space="0" w:color="auto"/>
              <w:bottom w:val="single" w:sz="6" w:space="0" w:color="auto"/>
              <w:right w:val="single" w:sz="6" w:space="0" w:color="auto"/>
            </w:tcBorders>
          </w:tcPr>
          <w:p w:rsidR="00C97C77" w:rsidRDefault="00C97C77" w:rsidP="00CA3F50">
            <w:r>
              <w:t>1</w:t>
            </w:r>
          </w:p>
        </w:tc>
      </w:tr>
      <w:tr w:rsidR="00C97C77">
        <w:trPr>
          <w:cantSplit/>
        </w:trPr>
        <w:tc>
          <w:tcPr>
            <w:tcW w:w="8220" w:type="dxa"/>
            <w:gridSpan w:val="5"/>
            <w:tcBorders>
              <w:top w:val="single" w:sz="6" w:space="0" w:color="auto"/>
              <w:left w:val="single" w:sz="6" w:space="0" w:color="auto"/>
              <w:bottom w:val="single" w:sz="6" w:space="0" w:color="auto"/>
            </w:tcBorders>
          </w:tcPr>
          <w:p w:rsidR="00C97C77" w:rsidRDefault="00C97C77" w:rsidP="00CA3F50">
            <w:pPr>
              <w:pStyle w:val="Header"/>
            </w:pPr>
            <w:r>
              <w:t>Total</w:t>
            </w:r>
          </w:p>
        </w:tc>
        <w:tc>
          <w:tcPr>
            <w:tcW w:w="1080" w:type="dxa"/>
            <w:tcBorders>
              <w:top w:val="single" w:sz="6" w:space="0" w:color="auto"/>
              <w:left w:val="single" w:sz="6" w:space="0" w:color="auto"/>
              <w:bottom w:val="single" w:sz="6" w:space="0" w:color="auto"/>
              <w:right w:val="single" w:sz="6" w:space="0" w:color="auto"/>
            </w:tcBorders>
          </w:tcPr>
          <w:p w:rsidR="00C97C77" w:rsidRDefault="00794967" w:rsidP="00CA3F50">
            <w:r>
              <w:t>1,</w:t>
            </w:r>
            <w:r w:rsidR="00366CE7">
              <w:t>44</w:t>
            </w:r>
            <w:r w:rsidR="00D979BC">
              <w:t>2</w:t>
            </w:r>
          </w:p>
        </w:tc>
      </w:tr>
    </w:tbl>
    <w:p w:rsidR="00C97C77" w:rsidRDefault="001265F4" w:rsidP="00CA3F50">
      <w:r>
        <w:rPr>
          <w:vertAlign w:val="superscript"/>
        </w:rPr>
        <w:t>1</w:t>
      </w:r>
      <w:r w:rsidR="001F50A5">
        <w:rPr>
          <w:vertAlign w:val="superscript"/>
        </w:rPr>
        <w:t xml:space="preserve"> </w:t>
      </w:r>
      <w:r w:rsidR="00C97C77" w:rsidRPr="001265F4">
        <w:rPr>
          <w:sz w:val="20"/>
        </w:rPr>
        <w:t>The reporting requirement in § 640.73, which addresses the reporting of fatal donor reactions, is included in the estimate for § 606.170(b).</w:t>
      </w:r>
    </w:p>
    <w:p w:rsidR="00366CE7" w:rsidRDefault="00366CE7" w:rsidP="00CA3F50"/>
    <w:p w:rsidR="007D7D09" w:rsidRDefault="007D7D09" w:rsidP="00CA3F50"/>
    <w:p w:rsidR="007D7D09" w:rsidRDefault="007D7D09" w:rsidP="00CA3F50"/>
    <w:p w:rsidR="00C97C77" w:rsidRPr="00E3713E" w:rsidRDefault="00C97C77" w:rsidP="00CA3F50">
      <w:pPr>
        <w:rPr>
          <w:sz w:val="20"/>
          <w:vertAlign w:val="superscript"/>
        </w:rPr>
      </w:pPr>
      <w:r>
        <w:t>TABLE 2. -Estimated Annual Recordkeeping Burden</w:t>
      </w:r>
    </w:p>
    <w:p w:rsidR="00E3713E" w:rsidRDefault="00E3713E" w:rsidP="00CA3F50">
      <w:pPr>
        <w:rPr>
          <w:vertAlign w:val="superscript"/>
        </w:rPr>
      </w:pPr>
    </w:p>
    <w:tbl>
      <w:tblPr>
        <w:tblW w:w="9270" w:type="dxa"/>
        <w:tblInd w:w="-79" w:type="dxa"/>
        <w:tblLayout w:type="fixed"/>
        <w:tblCellMar>
          <w:left w:w="101" w:type="dxa"/>
          <w:right w:w="101" w:type="dxa"/>
        </w:tblCellMar>
        <w:tblLook w:val="0000" w:firstRow="0" w:lastRow="0" w:firstColumn="0" w:lastColumn="0" w:noHBand="0" w:noVBand="0"/>
      </w:tblPr>
      <w:tblGrid>
        <w:gridCol w:w="1620"/>
        <w:gridCol w:w="1710"/>
        <w:gridCol w:w="1620"/>
        <w:gridCol w:w="1350"/>
        <w:gridCol w:w="1890"/>
        <w:gridCol w:w="1080"/>
      </w:tblGrid>
      <w:tr w:rsidR="00C97C77" w:rsidTr="0030563D">
        <w:tc>
          <w:tcPr>
            <w:tcW w:w="1620" w:type="dxa"/>
            <w:tcBorders>
              <w:top w:val="single" w:sz="6" w:space="0" w:color="auto"/>
              <w:left w:val="single" w:sz="6" w:space="0" w:color="auto"/>
            </w:tcBorders>
          </w:tcPr>
          <w:p w:rsidR="00C97C77" w:rsidRDefault="00C97C77" w:rsidP="00CA3F50">
            <w:r>
              <w:t>21 CFR Section</w:t>
            </w:r>
          </w:p>
        </w:tc>
        <w:tc>
          <w:tcPr>
            <w:tcW w:w="1710" w:type="dxa"/>
            <w:tcBorders>
              <w:top w:val="single" w:sz="6" w:space="0" w:color="auto"/>
              <w:left w:val="single" w:sz="6" w:space="0" w:color="auto"/>
            </w:tcBorders>
          </w:tcPr>
          <w:p w:rsidR="00C97C77" w:rsidRDefault="004C4203" w:rsidP="004A56D2">
            <w:r>
              <w:t>Number</w:t>
            </w:r>
            <w:r w:rsidR="00366CE7">
              <w:t xml:space="preserve"> of </w:t>
            </w:r>
            <w:r w:rsidR="004A56D2">
              <w:t>R</w:t>
            </w:r>
            <w:r w:rsidR="00F24C0A">
              <w:t>ecord</w:t>
            </w:r>
            <w:r w:rsidR="00C97C77">
              <w:t>keepers</w:t>
            </w:r>
          </w:p>
        </w:tc>
        <w:tc>
          <w:tcPr>
            <w:tcW w:w="1620" w:type="dxa"/>
            <w:tcBorders>
              <w:top w:val="single" w:sz="6" w:space="0" w:color="auto"/>
              <w:left w:val="single" w:sz="6" w:space="0" w:color="auto"/>
            </w:tcBorders>
          </w:tcPr>
          <w:p w:rsidR="00C97C77" w:rsidRDefault="00366CE7" w:rsidP="004A56D2">
            <w:r>
              <w:t xml:space="preserve">Number of </w:t>
            </w:r>
            <w:r w:rsidR="004A56D2">
              <w:t>R</w:t>
            </w:r>
            <w:r>
              <w:t xml:space="preserve">ecords per </w:t>
            </w:r>
            <w:r w:rsidR="004A56D2">
              <w:t>R</w:t>
            </w:r>
            <w:r w:rsidR="004C4203">
              <w:t>ecordkeeper</w:t>
            </w:r>
          </w:p>
        </w:tc>
        <w:tc>
          <w:tcPr>
            <w:tcW w:w="1350" w:type="dxa"/>
            <w:tcBorders>
              <w:top w:val="single" w:sz="6" w:space="0" w:color="auto"/>
              <w:left w:val="single" w:sz="6" w:space="0" w:color="auto"/>
            </w:tcBorders>
          </w:tcPr>
          <w:p w:rsidR="00C97C77" w:rsidRDefault="00366CE7" w:rsidP="004A56D2">
            <w:r>
              <w:t xml:space="preserve">Total </w:t>
            </w:r>
            <w:r w:rsidR="004A56D2">
              <w:t>A</w:t>
            </w:r>
            <w:r w:rsidR="004D2801">
              <w:t xml:space="preserve">nnual </w:t>
            </w:r>
            <w:r w:rsidR="004A56D2">
              <w:t>R</w:t>
            </w:r>
            <w:r w:rsidR="00C97C77">
              <w:t>ecords</w:t>
            </w:r>
          </w:p>
        </w:tc>
        <w:tc>
          <w:tcPr>
            <w:tcW w:w="1890" w:type="dxa"/>
            <w:tcBorders>
              <w:top w:val="single" w:sz="6" w:space="0" w:color="auto"/>
              <w:left w:val="single" w:sz="6" w:space="0" w:color="auto"/>
            </w:tcBorders>
          </w:tcPr>
          <w:p w:rsidR="00C97C77" w:rsidRDefault="004D2801" w:rsidP="004A56D2">
            <w:r>
              <w:t xml:space="preserve">Average </w:t>
            </w:r>
            <w:r w:rsidR="004A56D2">
              <w:t>B</w:t>
            </w:r>
            <w:r>
              <w:t xml:space="preserve">urden  per </w:t>
            </w:r>
            <w:r w:rsidR="004A56D2">
              <w:t>R</w:t>
            </w:r>
            <w:r w:rsidR="00C97C77">
              <w:t>ecord</w:t>
            </w:r>
            <w:r w:rsidR="005D7364">
              <w:t>keepi</w:t>
            </w:r>
            <w:r w:rsidR="0030563D">
              <w:t>n</w:t>
            </w:r>
            <w:r w:rsidR="005D7364">
              <w:t>g</w:t>
            </w:r>
          </w:p>
        </w:tc>
        <w:tc>
          <w:tcPr>
            <w:tcW w:w="1080" w:type="dxa"/>
            <w:tcBorders>
              <w:top w:val="single" w:sz="6" w:space="0" w:color="auto"/>
              <w:left w:val="single" w:sz="6" w:space="0" w:color="auto"/>
              <w:bottom w:val="single" w:sz="6" w:space="0" w:color="auto"/>
              <w:right w:val="single" w:sz="6" w:space="0" w:color="auto"/>
            </w:tcBorders>
          </w:tcPr>
          <w:p w:rsidR="00C97C77" w:rsidRDefault="004D2801" w:rsidP="004A56D2">
            <w:r>
              <w:t xml:space="preserve">Total </w:t>
            </w:r>
            <w:r w:rsidR="004A56D2">
              <w:t>H</w:t>
            </w:r>
            <w:r w:rsidR="00C97C77">
              <w:t>ours</w:t>
            </w:r>
          </w:p>
        </w:tc>
      </w:tr>
      <w:tr w:rsidR="00C97C77" w:rsidTr="0030563D">
        <w:tc>
          <w:tcPr>
            <w:tcW w:w="1620" w:type="dxa"/>
            <w:tcBorders>
              <w:top w:val="single" w:sz="6" w:space="0" w:color="auto"/>
              <w:left w:val="single" w:sz="6" w:space="0" w:color="auto"/>
            </w:tcBorders>
          </w:tcPr>
          <w:p w:rsidR="00C97C77" w:rsidRDefault="00C97C77" w:rsidP="00CA3F50">
            <w:r>
              <w:t>606.100(b)</w:t>
            </w:r>
            <w:r w:rsidR="00631FCC">
              <w:rPr>
                <w:vertAlign w:val="superscript"/>
              </w:rPr>
              <w:t>1</w:t>
            </w:r>
          </w:p>
        </w:tc>
        <w:tc>
          <w:tcPr>
            <w:tcW w:w="1710" w:type="dxa"/>
            <w:tcBorders>
              <w:top w:val="single" w:sz="6" w:space="0" w:color="auto"/>
              <w:left w:val="single" w:sz="6" w:space="0" w:color="auto"/>
            </w:tcBorders>
          </w:tcPr>
          <w:p w:rsidR="00C97C77" w:rsidRDefault="000D5830" w:rsidP="00CA3F50">
            <w:r>
              <w:t>366</w:t>
            </w:r>
            <w:r w:rsidR="00631FCC">
              <w:rPr>
                <w:vertAlign w:val="superscript"/>
              </w:rPr>
              <w:t>4</w:t>
            </w:r>
          </w:p>
        </w:tc>
        <w:tc>
          <w:tcPr>
            <w:tcW w:w="1620" w:type="dxa"/>
            <w:tcBorders>
              <w:top w:val="single" w:sz="6" w:space="0" w:color="auto"/>
              <w:left w:val="single" w:sz="6" w:space="0" w:color="auto"/>
            </w:tcBorders>
          </w:tcPr>
          <w:p w:rsidR="00C97C77" w:rsidRDefault="00C97C77" w:rsidP="00CA3F50">
            <w:r>
              <w:t>1</w:t>
            </w:r>
          </w:p>
        </w:tc>
        <w:tc>
          <w:tcPr>
            <w:tcW w:w="1350" w:type="dxa"/>
            <w:tcBorders>
              <w:top w:val="single" w:sz="6" w:space="0" w:color="auto"/>
              <w:left w:val="single" w:sz="6" w:space="0" w:color="auto"/>
            </w:tcBorders>
          </w:tcPr>
          <w:p w:rsidR="00C97C77" w:rsidRDefault="00291506" w:rsidP="00CA3F50">
            <w:r>
              <w:t>3</w:t>
            </w:r>
            <w:r w:rsidR="000D5830">
              <w:t>66</w:t>
            </w:r>
          </w:p>
        </w:tc>
        <w:tc>
          <w:tcPr>
            <w:tcW w:w="1890" w:type="dxa"/>
            <w:tcBorders>
              <w:top w:val="single" w:sz="6" w:space="0" w:color="auto"/>
              <w:left w:val="single" w:sz="6" w:space="0" w:color="auto"/>
            </w:tcBorders>
          </w:tcPr>
          <w:p w:rsidR="00C97C77" w:rsidRDefault="00C97C77" w:rsidP="00CA3F50">
            <w:r>
              <w:t>24</w:t>
            </w:r>
          </w:p>
        </w:tc>
        <w:tc>
          <w:tcPr>
            <w:tcW w:w="1080" w:type="dxa"/>
            <w:tcBorders>
              <w:top w:val="single" w:sz="6" w:space="0" w:color="auto"/>
              <w:left w:val="single" w:sz="6" w:space="0" w:color="auto"/>
              <w:bottom w:val="single" w:sz="6" w:space="0" w:color="auto"/>
              <w:right w:val="single" w:sz="6" w:space="0" w:color="auto"/>
            </w:tcBorders>
          </w:tcPr>
          <w:p w:rsidR="00C97C77" w:rsidRDefault="000D5830" w:rsidP="00CA3F50">
            <w:r>
              <w:t>8,784</w:t>
            </w:r>
          </w:p>
        </w:tc>
      </w:tr>
      <w:tr w:rsidR="00C97C77" w:rsidTr="0030563D">
        <w:tc>
          <w:tcPr>
            <w:tcW w:w="1620" w:type="dxa"/>
            <w:tcBorders>
              <w:top w:val="single" w:sz="6" w:space="0" w:color="auto"/>
              <w:left w:val="single" w:sz="6" w:space="0" w:color="auto"/>
            </w:tcBorders>
          </w:tcPr>
          <w:p w:rsidR="00C97C77" w:rsidRDefault="00C97C77" w:rsidP="00CA3F50">
            <w:r>
              <w:t>606.100(c)</w:t>
            </w:r>
          </w:p>
        </w:tc>
        <w:tc>
          <w:tcPr>
            <w:tcW w:w="1710" w:type="dxa"/>
            <w:tcBorders>
              <w:top w:val="single" w:sz="6" w:space="0" w:color="auto"/>
              <w:left w:val="single" w:sz="6" w:space="0" w:color="auto"/>
            </w:tcBorders>
          </w:tcPr>
          <w:p w:rsidR="00C97C77" w:rsidRDefault="000D5830" w:rsidP="00CA3F50">
            <w:r>
              <w:t>366</w:t>
            </w:r>
            <w:r w:rsidR="00631FCC">
              <w:rPr>
                <w:vertAlign w:val="superscript"/>
              </w:rPr>
              <w:t>4</w:t>
            </w:r>
          </w:p>
        </w:tc>
        <w:tc>
          <w:tcPr>
            <w:tcW w:w="1620" w:type="dxa"/>
            <w:tcBorders>
              <w:top w:val="single" w:sz="6" w:space="0" w:color="auto"/>
              <w:left w:val="single" w:sz="6" w:space="0" w:color="auto"/>
            </w:tcBorders>
          </w:tcPr>
          <w:p w:rsidR="00C97C77" w:rsidRDefault="00C97C77" w:rsidP="00CA3F50">
            <w:r>
              <w:t>10</w:t>
            </w:r>
          </w:p>
        </w:tc>
        <w:tc>
          <w:tcPr>
            <w:tcW w:w="1350" w:type="dxa"/>
            <w:tcBorders>
              <w:top w:val="single" w:sz="6" w:space="0" w:color="auto"/>
              <w:left w:val="single" w:sz="6" w:space="0" w:color="auto"/>
            </w:tcBorders>
          </w:tcPr>
          <w:p w:rsidR="00C97C77" w:rsidRDefault="000D5830" w:rsidP="00CA3F50">
            <w:r>
              <w:t>3,660</w:t>
            </w:r>
          </w:p>
        </w:tc>
        <w:tc>
          <w:tcPr>
            <w:tcW w:w="1890" w:type="dxa"/>
            <w:tcBorders>
              <w:top w:val="single" w:sz="6" w:space="0" w:color="auto"/>
              <w:left w:val="single" w:sz="6" w:space="0" w:color="auto"/>
            </w:tcBorders>
          </w:tcPr>
          <w:p w:rsidR="00C97C77" w:rsidRDefault="00C97C77" w:rsidP="00CA3F50">
            <w:r>
              <w:t>1</w:t>
            </w:r>
          </w:p>
        </w:tc>
        <w:tc>
          <w:tcPr>
            <w:tcW w:w="1080" w:type="dxa"/>
            <w:tcBorders>
              <w:top w:val="single" w:sz="6" w:space="0" w:color="auto"/>
              <w:left w:val="single" w:sz="6" w:space="0" w:color="auto"/>
              <w:bottom w:val="single" w:sz="6" w:space="0" w:color="auto"/>
              <w:right w:val="single" w:sz="6" w:space="0" w:color="auto"/>
            </w:tcBorders>
          </w:tcPr>
          <w:p w:rsidR="00C97C77" w:rsidRDefault="000D5830" w:rsidP="00CA3F50">
            <w:r>
              <w:t>3,660</w:t>
            </w:r>
          </w:p>
        </w:tc>
      </w:tr>
      <w:tr w:rsidR="00C97C77" w:rsidTr="0030563D">
        <w:tc>
          <w:tcPr>
            <w:tcW w:w="1620" w:type="dxa"/>
            <w:tcBorders>
              <w:top w:val="single" w:sz="6" w:space="0" w:color="auto"/>
              <w:left w:val="single" w:sz="6" w:space="0" w:color="auto"/>
            </w:tcBorders>
          </w:tcPr>
          <w:p w:rsidR="00C97C77" w:rsidRDefault="00C97C77" w:rsidP="00CA3F50">
            <w:r>
              <w:t>606.110(a)</w:t>
            </w:r>
            <w:r w:rsidR="00631FCC">
              <w:rPr>
                <w:vertAlign w:val="superscript"/>
              </w:rPr>
              <w:t>2</w:t>
            </w:r>
          </w:p>
        </w:tc>
        <w:tc>
          <w:tcPr>
            <w:tcW w:w="1710" w:type="dxa"/>
            <w:tcBorders>
              <w:top w:val="single" w:sz="6" w:space="0" w:color="auto"/>
              <w:left w:val="single" w:sz="6" w:space="0" w:color="auto"/>
            </w:tcBorders>
          </w:tcPr>
          <w:p w:rsidR="00C97C77" w:rsidRDefault="000D5830" w:rsidP="00CA3F50">
            <w:pPr>
              <w:rPr>
                <w:b/>
                <w:bCs/>
              </w:rPr>
            </w:pPr>
            <w:r>
              <w:t>50</w:t>
            </w:r>
            <w:r w:rsidR="00631FCC">
              <w:rPr>
                <w:vertAlign w:val="superscript"/>
              </w:rPr>
              <w:t>5</w:t>
            </w:r>
          </w:p>
        </w:tc>
        <w:tc>
          <w:tcPr>
            <w:tcW w:w="1620" w:type="dxa"/>
            <w:tcBorders>
              <w:top w:val="single" w:sz="6" w:space="0" w:color="auto"/>
              <w:left w:val="single" w:sz="6" w:space="0" w:color="auto"/>
            </w:tcBorders>
          </w:tcPr>
          <w:p w:rsidR="00C97C77" w:rsidRDefault="00C97C77" w:rsidP="00CA3F50">
            <w:r>
              <w:t>1</w:t>
            </w:r>
          </w:p>
        </w:tc>
        <w:tc>
          <w:tcPr>
            <w:tcW w:w="1350" w:type="dxa"/>
            <w:tcBorders>
              <w:top w:val="single" w:sz="6" w:space="0" w:color="auto"/>
              <w:left w:val="single" w:sz="6" w:space="0" w:color="auto"/>
            </w:tcBorders>
          </w:tcPr>
          <w:p w:rsidR="00C97C77" w:rsidRDefault="00EA6561" w:rsidP="00CA3F50">
            <w:r>
              <w:t>5</w:t>
            </w:r>
            <w:r w:rsidR="000D5830">
              <w:t>0</w:t>
            </w:r>
          </w:p>
        </w:tc>
        <w:tc>
          <w:tcPr>
            <w:tcW w:w="1890" w:type="dxa"/>
            <w:tcBorders>
              <w:top w:val="single" w:sz="6" w:space="0" w:color="auto"/>
              <w:left w:val="single" w:sz="6" w:space="0" w:color="auto"/>
            </w:tcBorders>
          </w:tcPr>
          <w:p w:rsidR="00C97C77" w:rsidRDefault="00C97C77" w:rsidP="00CA3F50">
            <w:r>
              <w:t>0.5</w:t>
            </w:r>
            <w:r w:rsidR="000D5830">
              <w:t>0</w:t>
            </w:r>
          </w:p>
          <w:p w:rsidR="000D5830" w:rsidRDefault="00A02097" w:rsidP="000D5830">
            <w:pPr>
              <w:ind w:left="0"/>
            </w:pPr>
            <w:r>
              <w:t xml:space="preserve"> </w:t>
            </w:r>
            <w:r w:rsidR="000D5830">
              <w:t>(30 minutes)</w:t>
            </w:r>
          </w:p>
        </w:tc>
        <w:tc>
          <w:tcPr>
            <w:tcW w:w="1080" w:type="dxa"/>
            <w:tcBorders>
              <w:top w:val="single" w:sz="6" w:space="0" w:color="auto"/>
              <w:left w:val="single" w:sz="6" w:space="0" w:color="auto"/>
              <w:bottom w:val="single" w:sz="6" w:space="0" w:color="auto"/>
              <w:right w:val="single" w:sz="6" w:space="0" w:color="auto"/>
            </w:tcBorders>
          </w:tcPr>
          <w:p w:rsidR="00C97C77" w:rsidRDefault="00EA6561" w:rsidP="00CA3F50">
            <w:r>
              <w:t>2</w:t>
            </w:r>
            <w:r w:rsidR="000D5830">
              <w:t>5</w:t>
            </w:r>
          </w:p>
        </w:tc>
      </w:tr>
      <w:tr w:rsidR="00C97C77" w:rsidTr="0030563D">
        <w:tc>
          <w:tcPr>
            <w:tcW w:w="1620" w:type="dxa"/>
            <w:tcBorders>
              <w:top w:val="single" w:sz="6" w:space="0" w:color="auto"/>
              <w:left w:val="single" w:sz="6" w:space="0" w:color="auto"/>
              <w:bottom w:val="single" w:sz="6" w:space="0" w:color="auto"/>
            </w:tcBorders>
          </w:tcPr>
          <w:p w:rsidR="00C97C77" w:rsidRDefault="00C97C77" w:rsidP="00CA3F50">
            <w:r>
              <w:t>606.151(e)</w:t>
            </w:r>
          </w:p>
        </w:tc>
        <w:tc>
          <w:tcPr>
            <w:tcW w:w="1710" w:type="dxa"/>
            <w:tcBorders>
              <w:top w:val="single" w:sz="6" w:space="0" w:color="auto"/>
              <w:left w:val="single" w:sz="6" w:space="0" w:color="auto"/>
              <w:bottom w:val="single" w:sz="6" w:space="0" w:color="auto"/>
            </w:tcBorders>
          </w:tcPr>
          <w:p w:rsidR="00C97C77" w:rsidRDefault="000D5830" w:rsidP="00CA3F50">
            <w:r>
              <w:t>366</w:t>
            </w:r>
            <w:r w:rsidR="00631FCC">
              <w:rPr>
                <w:vertAlign w:val="superscript"/>
              </w:rPr>
              <w:t>4</w:t>
            </w:r>
          </w:p>
        </w:tc>
        <w:tc>
          <w:tcPr>
            <w:tcW w:w="1620" w:type="dxa"/>
            <w:tcBorders>
              <w:top w:val="single" w:sz="6" w:space="0" w:color="auto"/>
              <w:left w:val="single" w:sz="6" w:space="0" w:color="auto"/>
              <w:bottom w:val="single" w:sz="6" w:space="0" w:color="auto"/>
            </w:tcBorders>
          </w:tcPr>
          <w:p w:rsidR="00C97C77" w:rsidRDefault="00C97C77" w:rsidP="00CA3F50">
            <w:r>
              <w:t xml:space="preserve">12 </w:t>
            </w:r>
          </w:p>
        </w:tc>
        <w:tc>
          <w:tcPr>
            <w:tcW w:w="1350" w:type="dxa"/>
            <w:tcBorders>
              <w:top w:val="single" w:sz="6" w:space="0" w:color="auto"/>
              <w:left w:val="single" w:sz="6" w:space="0" w:color="auto"/>
              <w:bottom w:val="single" w:sz="6" w:space="0" w:color="auto"/>
            </w:tcBorders>
          </w:tcPr>
          <w:p w:rsidR="00C97C77" w:rsidRDefault="000D5830" w:rsidP="00CA3F50">
            <w:r>
              <w:t>4,392</w:t>
            </w:r>
          </w:p>
        </w:tc>
        <w:tc>
          <w:tcPr>
            <w:tcW w:w="1890" w:type="dxa"/>
            <w:tcBorders>
              <w:top w:val="single" w:sz="6" w:space="0" w:color="auto"/>
              <w:left w:val="single" w:sz="6" w:space="0" w:color="auto"/>
              <w:bottom w:val="single" w:sz="6" w:space="0" w:color="auto"/>
            </w:tcBorders>
          </w:tcPr>
          <w:p w:rsidR="00C97C77" w:rsidRDefault="00EA6561" w:rsidP="00CA3F50">
            <w:r>
              <w:t>0.0</w:t>
            </w:r>
            <w:r w:rsidR="000D5830">
              <w:t>8</w:t>
            </w:r>
          </w:p>
          <w:p w:rsidR="000D5830" w:rsidRDefault="00A02097" w:rsidP="000D5830">
            <w:pPr>
              <w:ind w:left="0"/>
            </w:pPr>
            <w:r>
              <w:t xml:space="preserve"> </w:t>
            </w:r>
            <w:r w:rsidR="000D5830">
              <w:t>(5 minutes)</w:t>
            </w:r>
          </w:p>
        </w:tc>
        <w:tc>
          <w:tcPr>
            <w:tcW w:w="1080" w:type="dxa"/>
            <w:tcBorders>
              <w:top w:val="single" w:sz="6" w:space="0" w:color="auto"/>
              <w:left w:val="single" w:sz="6" w:space="0" w:color="auto"/>
              <w:bottom w:val="single" w:sz="6" w:space="0" w:color="auto"/>
              <w:right w:val="single" w:sz="6" w:space="0" w:color="auto"/>
            </w:tcBorders>
          </w:tcPr>
          <w:p w:rsidR="00C97C77" w:rsidRDefault="000D5830" w:rsidP="00CA3F50">
            <w:r>
              <w:t>351</w:t>
            </w:r>
          </w:p>
        </w:tc>
      </w:tr>
      <w:tr w:rsidR="00C97C77" w:rsidTr="0030563D">
        <w:tc>
          <w:tcPr>
            <w:tcW w:w="1620" w:type="dxa"/>
            <w:tcBorders>
              <w:top w:val="single" w:sz="6" w:space="0" w:color="auto"/>
              <w:left w:val="single" w:sz="6" w:space="0" w:color="auto"/>
              <w:bottom w:val="single" w:sz="4" w:space="0" w:color="auto"/>
            </w:tcBorders>
          </w:tcPr>
          <w:p w:rsidR="00C97C77" w:rsidRDefault="00C97C77" w:rsidP="00CA3F50">
            <w:r>
              <w:t>606.160</w:t>
            </w:r>
            <w:r w:rsidR="00631FCC">
              <w:rPr>
                <w:vertAlign w:val="superscript"/>
              </w:rPr>
              <w:t>3</w:t>
            </w:r>
          </w:p>
        </w:tc>
        <w:tc>
          <w:tcPr>
            <w:tcW w:w="1710" w:type="dxa"/>
            <w:tcBorders>
              <w:top w:val="single" w:sz="6" w:space="0" w:color="auto"/>
              <w:left w:val="single" w:sz="6" w:space="0" w:color="auto"/>
              <w:bottom w:val="single" w:sz="4" w:space="0" w:color="auto"/>
            </w:tcBorders>
          </w:tcPr>
          <w:p w:rsidR="00C97C77" w:rsidRDefault="000D5830" w:rsidP="00CA3F50">
            <w:r>
              <w:t>366</w:t>
            </w:r>
            <w:r w:rsidR="00631FCC">
              <w:rPr>
                <w:vertAlign w:val="superscript"/>
              </w:rPr>
              <w:t>4</w:t>
            </w:r>
          </w:p>
        </w:tc>
        <w:tc>
          <w:tcPr>
            <w:tcW w:w="1620" w:type="dxa"/>
            <w:tcBorders>
              <w:top w:val="single" w:sz="6" w:space="0" w:color="auto"/>
              <w:left w:val="single" w:sz="6" w:space="0" w:color="auto"/>
              <w:bottom w:val="single" w:sz="4" w:space="0" w:color="auto"/>
            </w:tcBorders>
          </w:tcPr>
          <w:p w:rsidR="00C97C77" w:rsidRDefault="00F24C0A" w:rsidP="00CA3F50">
            <w:r>
              <w:t>1,</w:t>
            </w:r>
            <w:r w:rsidR="000D5830">
              <w:t>046.45</w:t>
            </w:r>
          </w:p>
        </w:tc>
        <w:tc>
          <w:tcPr>
            <w:tcW w:w="1350" w:type="dxa"/>
            <w:tcBorders>
              <w:top w:val="single" w:sz="6" w:space="0" w:color="auto"/>
              <w:left w:val="single" w:sz="6" w:space="0" w:color="auto"/>
              <w:bottom w:val="single" w:sz="4" w:space="0" w:color="auto"/>
            </w:tcBorders>
          </w:tcPr>
          <w:p w:rsidR="00C97C77" w:rsidRDefault="00EA6561" w:rsidP="00CA3F50">
            <w:r>
              <w:t>383</w:t>
            </w:r>
            <w:r w:rsidR="00C97C77">
              <w:t>,000</w:t>
            </w:r>
          </w:p>
        </w:tc>
        <w:tc>
          <w:tcPr>
            <w:tcW w:w="1890" w:type="dxa"/>
            <w:tcBorders>
              <w:top w:val="single" w:sz="6" w:space="0" w:color="auto"/>
              <w:left w:val="single" w:sz="6" w:space="0" w:color="auto"/>
              <w:bottom w:val="single" w:sz="4" w:space="0" w:color="auto"/>
            </w:tcBorders>
          </w:tcPr>
          <w:p w:rsidR="00C97C77" w:rsidRDefault="00C97C77" w:rsidP="00CA3F50">
            <w:r>
              <w:t>0.75</w:t>
            </w:r>
          </w:p>
          <w:p w:rsidR="000D5830" w:rsidRDefault="00A02097" w:rsidP="000D5830">
            <w:pPr>
              <w:ind w:left="0"/>
            </w:pPr>
            <w:r>
              <w:t xml:space="preserve"> </w:t>
            </w:r>
            <w:r w:rsidR="000D5830">
              <w:t>(45 minutes)</w:t>
            </w:r>
          </w:p>
        </w:tc>
        <w:tc>
          <w:tcPr>
            <w:tcW w:w="1080" w:type="dxa"/>
            <w:tcBorders>
              <w:top w:val="single" w:sz="6" w:space="0" w:color="auto"/>
              <w:left w:val="single" w:sz="6" w:space="0" w:color="auto"/>
              <w:bottom w:val="single" w:sz="6" w:space="0" w:color="auto"/>
              <w:right w:val="single" w:sz="6" w:space="0" w:color="auto"/>
            </w:tcBorders>
          </w:tcPr>
          <w:p w:rsidR="00C97C77" w:rsidRDefault="00C523D9" w:rsidP="00CA3F50">
            <w:r>
              <w:t>2</w:t>
            </w:r>
            <w:r w:rsidR="00EA6561">
              <w:t>87,250</w:t>
            </w:r>
          </w:p>
        </w:tc>
      </w:tr>
      <w:tr w:rsidR="00B80213" w:rsidTr="0030563D">
        <w:trPr>
          <w:trHeight w:val="498"/>
        </w:trPr>
        <w:tc>
          <w:tcPr>
            <w:tcW w:w="1620" w:type="dxa"/>
            <w:tcBorders>
              <w:top w:val="single" w:sz="4" w:space="0" w:color="auto"/>
              <w:left w:val="single" w:sz="6" w:space="0" w:color="auto"/>
              <w:bottom w:val="single" w:sz="6" w:space="0" w:color="auto"/>
            </w:tcBorders>
          </w:tcPr>
          <w:p w:rsidR="00B80213" w:rsidRDefault="00B80213" w:rsidP="00CA3F50">
            <w:r>
              <w:t>606.160(b)(1)(viii)</w:t>
            </w:r>
          </w:p>
        </w:tc>
        <w:tc>
          <w:tcPr>
            <w:tcW w:w="1710" w:type="dxa"/>
            <w:tcBorders>
              <w:top w:val="single" w:sz="4" w:space="0" w:color="auto"/>
              <w:left w:val="single" w:sz="6" w:space="0" w:color="auto"/>
              <w:bottom w:val="single" w:sz="6" w:space="0" w:color="auto"/>
            </w:tcBorders>
          </w:tcPr>
          <w:p w:rsidR="00B80213" w:rsidRDefault="00B80213" w:rsidP="00CA3F50"/>
        </w:tc>
        <w:tc>
          <w:tcPr>
            <w:tcW w:w="1620" w:type="dxa"/>
            <w:tcBorders>
              <w:top w:val="single" w:sz="4" w:space="0" w:color="auto"/>
              <w:left w:val="single" w:sz="6" w:space="0" w:color="auto"/>
              <w:bottom w:val="single" w:sz="6" w:space="0" w:color="auto"/>
            </w:tcBorders>
          </w:tcPr>
          <w:p w:rsidR="00B80213" w:rsidRDefault="00B80213" w:rsidP="00CA3F50"/>
        </w:tc>
        <w:tc>
          <w:tcPr>
            <w:tcW w:w="1350" w:type="dxa"/>
            <w:tcBorders>
              <w:top w:val="single" w:sz="4" w:space="0" w:color="auto"/>
              <w:left w:val="single" w:sz="6" w:space="0" w:color="auto"/>
              <w:bottom w:val="single" w:sz="6" w:space="0" w:color="auto"/>
            </w:tcBorders>
          </w:tcPr>
          <w:p w:rsidR="00B80213" w:rsidRDefault="00B80213" w:rsidP="00CA3F50"/>
        </w:tc>
        <w:tc>
          <w:tcPr>
            <w:tcW w:w="1890" w:type="dxa"/>
            <w:tcBorders>
              <w:top w:val="single" w:sz="4" w:space="0" w:color="auto"/>
              <w:left w:val="single" w:sz="6" w:space="0" w:color="auto"/>
              <w:bottom w:val="single" w:sz="6" w:space="0" w:color="auto"/>
            </w:tcBorders>
          </w:tcPr>
          <w:p w:rsidR="00B80213" w:rsidRDefault="00B80213" w:rsidP="00CA3F50"/>
        </w:tc>
        <w:tc>
          <w:tcPr>
            <w:tcW w:w="1080" w:type="dxa"/>
            <w:tcBorders>
              <w:top w:val="single" w:sz="6" w:space="0" w:color="auto"/>
              <w:left w:val="single" w:sz="6" w:space="0" w:color="auto"/>
              <w:bottom w:val="single" w:sz="6" w:space="0" w:color="auto"/>
              <w:right w:val="single" w:sz="6" w:space="0" w:color="auto"/>
            </w:tcBorders>
          </w:tcPr>
          <w:p w:rsidR="00B80213" w:rsidRDefault="00B80213" w:rsidP="00CA3F50"/>
        </w:tc>
      </w:tr>
      <w:tr w:rsidR="00B80213" w:rsidTr="0030563D">
        <w:tc>
          <w:tcPr>
            <w:tcW w:w="1620" w:type="dxa"/>
            <w:tcBorders>
              <w:top w:val="single" w:sz="4" w:space="0" w:color="auto"/>
              <w:left w:val="single" w:sz="6" w:space="0" w:color="auto"/>
              <w:bottom w:val="single" w:sz="6" w:space="0" w:color="auto"/>
            </w:tcBorders>
          </w:tcPr>
          <w:p w:rsidR="00B80213" w:rsidRDefault="00B80213" w:rsidP="00CA3F50">
            <w:r>
              <w:t>HIV consignee notification</w:t>
            </w:r>
          </w:p>
        </w:tc>
        <w:tc>
          <w:tcPr>
            <w:tcW w:w="1710" w:type="dxa"/>
            <w:tcBorders>
              <w:top w:val="single" w:sz="4" w:space="0" w:color="auto"/>
              <w:left w:val="single" w:sz="6" w:space="0" w:color="auto"/>
              <w:bottom w:val="single" w:sz="6" w:space="0" w:color="auto"/>
            </w:tcBorders>
          </w:tcPr>
          <w:p w:rsidR="00B80213" w:rsidRDefault="0075142B" w:rsidP="00CA3F50">
            <w:r>
              <w:t>1,945</w:t>
            </w:r>
          </w:p>
          <w:p w:rsidR="0075142B" w:rsidRDefault="0075142B" w:rsidP="00CA3F50"/>
          <w:p w:rsidR="00111DC1" w:rsidRDefault="00F24C0A" w:rsidP="00CA3F50">
            <w:r>
              <w:t>4,</w:t>
            </w:r>
            <w:r w:rsidR="0075142B">
              <w:t>961</w:t>
            </w:r>
          </w:p>
        </w:tc>
        <w:tc>
          <w:tcPr>
            <w:tcW w:w="1620" w:type="dxa"/>
            <w:tcBorders>
              <w:top w:val="single" w:sz="4" w:space="0" w:color="auto"/>
              <w:left w:val="single" w:sz="6" w:space="0" w:color="auto"/>
              <w:bottom w:val="single" w:sz="6" w:space="0" w:color="auto"/>
            </w:tcBorders>
          </w:tcPr>
          <w:p w:rsidR="00B80213" w:rsidRDefault="0075142B" w:rsidP="00CA3F50">
            <w:r>
              <w:t>10.80</w:t>
            </w:r>
          </w:p>
          <w:p w:rsidR="0075142B" w:rsidRDefault="0075142B" w:rsidP="00CA3F50"/>
          <w:p w:rsidR="00111DC1" w:rsidRDefault="0075142B" w:rsidP="00CA3F50">
            <w:r>
              <w:t>4.23</w:t>
            </w:r>
          </w:p>
        </w:tc>
        <w:tc>
          <w:tcPr>
            <w:tcW w:w="1350" w:type="dxa"/>
            <w:tcBorders>
              <w:top w:val="single" w:sz="4" w:space="0" w:color="auto"/>
              <w:left w:val="single" w:sz="6" w:space="0" w:color="auto"/>
              <w:bottom w:val="single" w:sz="6" w:space="0" w:color="auto"/>
            </w:tcBorders>
          </w:tcPr>
          <w:p w:rsidR="00B80213" w:rsidRDefault="009F10AD" w:rsidP="00CA3F50">
            <w:r>
              <w:t>21,000</w:t>
            </w:r>
          </w:p>
          <w:p w:rsidR="0075142B" w:rsidRDefault="0075142B" w:rsidP="00CA3F50"/>
          <w:p w:rsidR="00111DC1" w:rsidRDefault="00111DC1" w:rsidP="00CA3F50">
            <w:r>
              <w:t>21,000</w:t>
            </w:r>
          </w:p>
        </w:tc>
        <w:tc>
          <w:tcPr>
            <w:tcW w:w="1890" w:type="dxa"/>
            <w:tcBorders>
              <w:top w:val="single" w:sz="4" w:space="0" w:color="auto"/>
              <w:left w:val="single" w:sz="6" w:space="0" w:color="auto"/>
              <w:bottom w:val="single" w:sz="6" w:space="0" w:color="auto"/>
            </w:tcBorders>
          </w:tcPr>
          <w:p w:rsidR="00B80213" w:rsidRDefault="009F10AD" w:rsidP="00CA3F50">
            <w:r>
              <w:t>.17</w:t>
            </w:r>
          </w:p>
          <w:p w:rsidR="00A02097" w:rsidRDefault="00A02097" w:rsidP="00A02097">
            <w:pPr>
              <w:ind w:left="0"/>
            </w:pPr>
            <w:r>
              <w:t xml:space="preserve"> (10 minutes)</w:t>
            </w:r>
          </w:p>
          <w:p w:rsidR="00111DC1" w:rsidRDefault="00111DC1" w:rsidP="00CA3F50">
            <w:r>
              <w:t>.17</w:t>
            </w:r>
          </w:p>
          <w:p w:rsidR="00A02097" w:rsidRDefault="00EB7710" w:rsidP="00CA3F50">
            <w:r>
              <w:t>(10 minutes)</w:t>
            </w:r>
          </w:p>
        </w:tc>
        <w:tc>
          <w:tcPr>
            <w:tcW w:w="1080" w:type="dxa"/>
            <w:tcBorders>
              <w:top w:val="single" w:sz="6" w:space="0" w:color="auto"/>
              <w:left w:val="single" w:sz="6" w:space="0" w:color="auto"/>
              <w:bottom w:val="single" w:sz="6" w:space="0" w:color="auto"/>
              <w:right w:val="single" w:sz="6" w:space="0" w:color="auto"/>
            </w:tcBorders>
          </w:tcPr>
          <w:p w:rsidR="00B80213" w:rsidRDefault="009F10AD" w:rsidP="00CA3F50">
            <w:r>
              <w:t>3,570</w:t>
            </w:r>
          </w:p>
          <w:p w:rsidR="0075142B" w:rsidRDefault="0075142B" w:rsidP="00CA3F50"/>
          <w:p w:rsidR="00B51FC0" w:rsidRDefault="00B51FC0" w:rsidP="00CA3F50">
            <w:r>
              <w:t>3,570</w:t>
            </w:r>
          </w:p>
        </w:tc>
      </w:tr>
      <w:tr w:rsidR="00B80213" w:rsidTr="0030563D">
        <w:tc>
          <w:tcPr>
            <w:tcW w:w="1620" w:type="dxa"/>
            <w:tcBorders>
              <w:top w:val="single" w:sz="4" w:space="0" w:color="auto"/>
              <w:left w:val="single" w:sz="6" w:space="0" w:color="auto"/>
              <w:bottom w:val="single" w:sz="6" w:space="0" w:color="auto"/>
            </w:tcBorders>
          </w:tcPr>
          <w:p w:rsidR="00B80213" w:rsidRDefault="00111DC1" w:rsidP="00CA3F50">
            <w:r>
              <w:t>HCV consignee notification</w:t>
            </w:r>
          </w:p>
        </w:tc>
        <w:tc>
          <w:tcPr>
            <w:tcW w:w="1710" w:type="dxa"/>
            <w:tcBorders>
              <w:top w:val="single" w:sz="4" w:space="0" w:color="auto"/>
              <w:left w:val="single" w:sz="6" w:space="0" w:color="auto"/>
              <w:bottom w:val="single" w:sz="6" w:space="0" w:color="auto"/>
            </w:tcBorders>
          </w:tcPr>
          <w:p w:rsidR="00111DC1" w:rsidRDefault="0075142B" w:rsidP="00CA3F50">
            <w:r>
              <w:t>1,945</w:t>
            </w:r>
          </w:p>
          <w:p w:rsidR="0075142B" w:rsidRDefault="0075142B" w:rsidP="00CA3F50"/>
          <w:p w:rsidR="00B80213" w:rsidRDefault="00F24C0A" w:rsidP="00CA3F50">
            <w:r>
              <w:t>4,</w:t>
            </w:r>
            <w:r w:rsidR="00EB7710">
              <w:t>961</w:t>
            </w:r>
          </w:p>
        </w:tc>
        <w:tc>
          <w:tcPr>
            <w:tcW w:w="1620" w:type="dxa"/>
            <w:tcBorders>
              <w:top w:val="single" w:sz="4" w:space="0" w:color="auto"/>
              <w:left w:val="single" w:sz="6" w:space="0" w:color="auto"/>
              <w:bottom w:val="single" w:sz="6" w:space="0" w:color="auto"/>
            </w:tcBorders>
          </w:tcPr>
          <w:p w:rsidR="00B80213" w:rsidRDefault="0075142B" w:rsidP="00CA3F50">
            <w:r>
              <w:t>24.06</w:t>
            </w:r>
          </w:p>
          <w:p w:rsidR="0075142B" w:rsidRDefault="0075142B" w:rsidP="00CA3F50"/>
          <w:p w:rsidR="00111DC1" w:rsidRDefault="00EB7710" w:rsidP="00CA3F50">
            <w:r>
              <w:t>9.43</w:t>
            </w:r>
          </w:p>
        </w:tc>
        <w:tc>
          <w:tcPr>
            <w:tcW w:w="1350" w:type="dxa"/>
            <w:tcBorders>
              <w:top w:val="single" w:sz="4" w:space="0" w:color="auto"/>
              <w:left w:val="single" w:sz="6" w:space="0" w:color="auto"/>
              <w:bottom w:val="single" w:sz="6" w:space="0" w:color="auto"/>
            </w:tcBorders>
          </w:tcPr>
          <w:p w:rsidR="00B80213" w:rsidRDefault="00111DC1" w:rsidP="00CA3F50">
            <w:r>
              <w:t>46,800</w:t>
            </w:r>
          </w:p>
          <w:p w:rsidR="0075142B" w:rsidRDefault="0075142B" w:rsidP="00CA3F50"/>
          <w:p w:rsidR="00111DC1" w:rsidRDefault="00111DC1" w:rsidP="00CA3F50">
            <w:r>
              <w:t>46,800</w:t>
            </w:r>
          </w:p>
        </w:tc>
        <w:tc>
          <w:tcPr>
            <w:tcW w:w="1890" w:type="dxa"/>
            <w:tcBorders>
              <w:top w:val="single" w:sz="4" w:space="0" w:color="auto"/>
              <w:left w:val="single" w:sz="6" w:space="0" w:color="auto"/>
              <w:bottom w:val="single" w:sz="6" w:space="0" w:color="auto"/>
            </w:tcBorders>
          </w:tcPr>
          <w:p w:rsidR="00B80213" w:rsidRDefault="009F10AD" w:rsidP="00CA3F50">
            <w:r>
              <w:t>.17</w:t>
            </w:r>
          </w:p>
          <w:p w:rsidR="00EB7710" w:rsidRDefault="00EB7710" w:rsidP="00CA3F50">
            <w:r>
              <w:t>(10 minutes)</w:t>
            </w:r>
          </w:p>
          <w:p w:rsidR="00111DC1" w:rsidRDefault="00111DC1" w:rsidP="00CA3F50">
            <w:r>
              <w:t>.17</w:t>
            </w:r>
          </w:p>
          <w:p w:rsidR="00EB7710" w:rsidRDefault="00EB7710" w:rsidP="00CA3F50">
            <w:r>
              <w:t>(10 minutes)</w:t>
            </w:r>
          </w:p>
        </w:tc>
        <w:tc>
          <w:tcPr>
            <w:tcW w:w="1080" w:type="dxa"/>
            <w:tcBorders>
              <w:top w:val="single" w:sz="6" w:space="0" w:color="auto"/>
              <w:left w:val="single" w:sz="6" w:space="0" w:color="auto"/>
              <w:bottom w:val="single" w:sz="6" w:space="0" w:color="auto"/>
              <w:right w:val="single" w:sz="6" w:space="0" w:color="auto"/>
            </w:tcBorders>
          </w:tcPr>
          <w:p w:rsidR="00B80213" w:rsidRDefault="00B51FC0" w:rsidP="00CA3F50">
            <w:r>
              <w:t>7,956</w:t>
            </w:r>
          </w:p>
          <w:p w:rsidR="0075142B" w:rsidRDefault="0075142B" w:rsidP="00CA3F50"/>
          <w:p w:rsidR="00B51FC0" w:rsidRDefault="00B51FC0" w:rsidP="00CA3F50">
            <w:r>
              <w:t>7,956</w:t>
            </w:r>
          </w:p>
        </w:tc>
      </w:tr>
      <w:tr w:rsidR="005E7FD3" w:rsidTr="0030563D">
        <w:tc>
          <w:tcPr>
            <w:tcW w:w="1620" w:type="dxa"/>
            <w:tcBorders>
              <w:top w:val="single" w:sz="4" w:space="0" w:color="auto"/>
              <w:left w:val="single" w:sz="6" w:space="0" w:color="auto"/>
              <w:bottom w:val="single" w:sz="6" w:space="0" w:color="auto"/>
            </w:tcBorders>
          </w:tcPr>
          <w:p w:rsidR="005E7FD3" w:rsidRDefault="005E7FD3" w:rsidP="00CA3F50">
            <w:r>
              <w:t>HIV recipient notification</w:t>
            </w:r>
          </w:p>
        </w:tc>
        <w:tc>
          <w:tcPr>
            <w:tcW w:w="1710" w:type="dxa"/>
            <w:tcBorders>
              <w:top w:val="single" w:sz="4" w:space="0" w:color="auto"/>
              <w:left w:val="single" w:sz="6" w:space="0" w:color="auto"/>
              <w:bottom w:val="single" w:sz="6" w:space="0" w:color="auto"/>
            </w:tcBorders>
          </w:tcPr>
          <w:p w:rsidR="005E7FD3" w:rsidRDefault="00F24C0A" w:rsidP="00CA3F50">
            <w:r>
              <w:t>4,</w:t>
            </w:r>
            <w:r w:rsidR="00EB7710">
              <w:t>961</w:t>
            </w:r>
          </w:p>
        </w:tc>
        <w:tc>
          <w:tcPr>
            <w:tcW w:w="1620" w:type="dxa"/>
            <w:tcBorders>
              <w:top w:val="single" w:sz="4" w:space="0" w:color="auto"/>
              <w:left w:val="single" w:sz="6" w:space="0" w:color="auto"/>
              <w:bottom w:val="single" w:sz="6" w:space="0" w:color="auto"/>
            </w:tcBorders>
          </w:tcPr>
          <w:p w:rsidR="005E7FD3" w:rsidRDefault="00111DC1" w:rsidP="00CA3F50">
            <w:r>
              <w:t>0.</w:t>
            </w:r>
            <w:r w:rsidR="00EB7710">
              <w:t>35</w:t>
            </w:r>
          </w:p>
        </w:tc>
        <w:tc>
          <w:tcPr>
            <w:tcW w:w="1350" w:type="dxa"/>
            <w:tcBorders>
              <w:top w:val="single" w:sz="4" w:space="0" w:color="auto"/>
              <w:left w:val="single" w:sz="6" w:space="0" w:color="auto"/>
              <w:bottom w:val="single" w:sz="6" w:space="0" w:color="auto"/>
            </w:tcBorders>
          </w:tcPr>
          <w:p w:rsidR="005E7FD3" w:rsidRDefault="00111DC1" w:rsidP="00CA3F50">
            <w:r>
              <w:t>1,755</w:t>
            </w:r>
          </w:p>
        </w:tc>
        <w:tc>
          <w:tcPr>
            <w:tcW w:w="1890" w:type="dxa"/>
            <w:tcBorders>
              <w:top w:val="single" w:sz="4" w:space="0" w:color="auto"/>
              <w:left w:val="single" w:sz="6" w:space="0" w:color="auto"/>
              <w:bottom w:val="single" w:sz="6" w:space="0" w:color="auto"/>
            </w:tcBorders>
          </w:tcPr>
          <w:p w:rsidR="005E7FD3" w:rsidRDefault="00111DC1" w:rsidP="00CA3F50">
            <w:r>
              <w:t>.1</w:t>
            </w:r>
            <w:r w:rsidR="00EB7710">
              <w:t>7</w:t>
            </w:r>
          </w:p>
          <w:p w:rsidR="00EB7710" w:rsidRDefault="00EB7710" w:rsidP="00CA3F50">
            <w:r>
              <w:t>(10 minutes)</w:t>
            </w:r>
          </w:p>
        </w:tc>
        <w:tc>
          <w:tcPr>
            <w:tcW w:w="1080" w:type="dxa"/>
            <w:tcBorders>
              <w:top w:val="single" w:sz="6" w:space="0" w:color="auto"/>
              <w:left w:val="single" w:sz="6" w:space="0" w:color="auto"/>
              <w:bottom w:val="single" w:sz="6" w:space="0" w:color="auto"/>
              <w:right w:val="single" w:sz="6" w:space="0" w:color="auto"/>
            </w:tcBorders>
          </w:tcPr>
          <w:p w:rsidR="005E7FD3" w:rsidRDefault="005E2F65" w:rsidP="00CA3F50">
            <w:r>
              <w:t>298</w:t>
            </w:r>
          </w:p>
        </w:tc>
      </w:tr>
      <w:tr w:rsidR="009F10AD" w:rsidTr="0030563D">
        <w:tc>
          <w:tcPr>
            <w:tcW w:w="1620" w:type="dxa"/>
            <w:tcBorders>
              <w:top w:val="single" w:sz="4" w:space="0" w:color="auto"/>
              <w:left w:val="single" w:sz="6" w:space="0" w:color="auto"/>
              <w:bottom w:val="single" w:sz="6" w:space="0" w:color="auto"/>
            </w:tcBorders>
          </w:tcPr>
          <w:p w:rsidR="009F10AD" w:rsidRDefault="009F10AD" w:rsidP="00CA3F50">
            <w:r>
              <w:t xml:space="preserve">HCV recipient </w:t>
            </w:r>
            <w:r>
              <w:lastRenderedPageBreak/>
              <w:t>notification</w:t>
            </w:r>
          </w:p>
        </w:tc>
        <w:tc>
          <w:tcPr>
            <w:tcW w:w="1710" w:type="dxa"/>
            <w:tcBorders>
              <w:top w:val="single" w:sz="4" w:space="0" w:color="auto"/>
              <w:left w:val="single" w:sz="6" w:space="0" w:color="auto"/>
              <w:bottom w:val="single" w:sz="6" w:space="0" w:color="auto"/>
            </w:tcBorders>
          </w:tcPr>
          <w:p w:rsidR="009F10AD" w:rsidRDefault="00F24C0A" w:rsidP="00CA3F50">
            <w:r>
              <w:lastRenderedPageBreak/>
              <w:t>4,</w:t>
            </w:r>
            <w:r w:rsidR="00EB7710">
              <w:t>961</w:t>
            </w:r>
          </w:p>
        </w:tc>
        <w:tc>
          <w:tcPr>
            <w:tcW w:w="1620" w:type="dxa"/>
            <w:tcBorders>
              <w:top w:val="single" w:sz="4" w:space="0" w:color="auto"/>
              <w:left w:val="single" w:sz="6" w:space="0" w:color="auto"/>
              <w:bottom w:val="single" w:sz="6" w:space="0" w:color="auto"/>
            </w:tcBorders>
          </w:tcPr>
          <w:p w:rsidR="009F10AD" w:rsidRDefault="00F24C0A" w:rsidP="00CA3F50">
            <w:r>
              <w:t>0.</w:t>
            </w:r>
            <w:r w:rsidR="00EB7710">
              <w:t>41</w:t>
            </w:r>
          </w:p>
        </w:tc>
        <w:tc>
          <w:tcPr>
            <w:tcW w:w="1350" w:type="dxa"/>
            <w:tcBorders>
              <w:top w:val="single" w:sz="4" w:space="0" w:color="auto"/>
              <w:left w:val="single" w:sz="6" w:space="0" w:color="auto"/>
              <w:bottom w:val="single" w:sz="6" w:space="0" w:color="auto"/>
            </w:tcBorders>
          </w:tcPr>
          <w:p w:rsidR="009F10AD" w:rsidRDefault="009F10AD" w:rsidP="00CA3F50">
            <w:r>
              <w:t>2,050</w:t>
            </w:r>
          </w:p>
        </w:tc>
        <w:tc>
          <w:tcPr>
            <w:tcW w:w="1890" w:type="dxa"/>
            <w:tcBorders>
              <w:top w:val="single" w:sz="4" w:space="0" w:color="auto"/>
              <w:left w:val="single" w:sz="6" w:space="0" w:color="auto"/>
              <w:bottom w:val="single" w:sz="6" w:space="0" w:color="auto"/>
            </w:tcBorders>
          </w:tcPr>
          <w:p w:rsidR="009F10AD" w:rsidRDefault="009F10AD" w:rsidP="00CA3F50">
            <w:r>
              <w:t>.17</w:t>
            </w:r>
          </w:p>
          <w:p w:rsidR="00EB7710" w:rsidRDefault="00EB7710" w:rsidP="00CA3F50">
            <w:r>
              <w:t>(10 minutes)</w:t>
            </w:r>
          </w:p>
        </w:tc>
        <w:tc>
          <w:tcPr>
            <w:tcW w:w="1080" w:type="dxa"/>
            <w:tcBorders>
              <w:top w:val="single" w:sz="6" w:space="0" w:color="auto"/>
              <w:left w:val="single" w:sz="6" w:space="0" w:color="auto"/>
              <w:bottom w:val="single" w:sz="6" w:space="0" w:color="auto"/>
              <w:right w:val="single" w:sz="6" w:space="0" w:color="auto"/>
            </w:tcBorders>
          </w:tcPr>
          <w:p w:rsidR="009F10AD" w:rsidRDefault="009F10AD" w:rsidP="00CA3F50">
            <w:r>
              <w:t>349</w:t>
            </w:r>
          </w:p>
        </w:tc>
      </w:tr>
      <w:tr w:rsidR="00C97C77" w:rsidTr="0030563D">
        <w:tc>
          <w:tcPr>
            <w:tcW w:w="1620" w:type="dxa"/>
            <w:tcBorders>
              <w:top w:val="single" w:sz="4" w:space="0" w:color="auto"/>
              <w:left w:val="single" w:sz="6" w:space="0" w:color="auto"/>
              <w:bottom w:val="single" w:sz="6" w:space="0" w:color="auto"/>
            </w:tcBorders>
          </w:tcPr>
          <w:p w:rsidR="00C97C77" w:rsidRDefault="00C97C77" w:rsidP="00CA3F50">
            <w:r>
              <w:lastRenderedPageBreak/>
              <w:t>606.160(b)(1)(ix)</w:t>
            </w:r>
          </w:p>
        </w:tc>
        <w:tc>
          <w:tcPr>
            <w:tcW w:w="1710" w:type="dxa"/>
            <w:tcBorders>
              <w:top w:val="single" w:sz="4" w:space="0" w:color="auto"/>
              <w:left w:val="single" w:sz="6" w:space="0" w:color="auto"/>
              <w:bottom w:val="single" w:sz="6" w:space="0" w:color="auto"/>
            </w:tcBorders>
          </w:tcPr>
          <w:p w:rsidR="00C97C77" w:rsidRDefault="00A02097" w:rsidP="00CA3F50">
            <w:r>
              <w:t>2,361</w:t>
            </w:r>
          </w:p>
        </w:tc>
        <w:tc>
          <w:tcPr>
            <w:tcW w:w="1620" w:type="dxa"/>
            <w:tcBorders>
              <w:top w:val="single" w:sz="4" w:space="0" w:color="auto"/>
              <w:left w:val="single" w:sz="6" w:space="0" w:color="auto"/>
              <w:bottom w:val="single" w:sz="6" w:space="0" w:color="auto"/>
            </w:tcBorders>
          </w:tcPr>
          <w:p w:rsidR="00C97C77" w:rsidRDefault="00A02097" w:rsidP="00CA3F50">
            <w:r>
              <w:t>741.21</w:t>
            </w:r>
          </w:p>
        </w:tc>
        <w:tc>
          <w:tcPr>
            <w:tcW w:w="1350" w:type="dxa"/>
            <w:tcBorders>
              <w:top w:val="single" w:sz="4" w:space="0" w:color="auto"/>
              <w:left w:val="single" w:sz="6" w:space="0" w:color="auto"/>
              <w:bottom w:val="single" w:sz="6" w:space="0" w:color="auto"/>
            </w:tcBorders>
          </w:tcPr>
          <w:p w:rsidR="00C97C77" w:rsidRDefault="00C97C77" w:rsidP="00CA3F50">
            <w:r>
              <w:t>1,750,000</w:t>
            </w:r>
          </w:p>
        </w:tc>
        <w:tc>
          <w:tcPr>
            <w:tcW w:w="1890" w:type="dxa"/>
            <w:tcBorders>
              <w:top w:val="single" w:sz="4" w:space="0" w:color="auto"/>
              <w:left w:val="single" w:sz="6" w:space="0" w:color="auto"/>
              <w:bottom w:val="single" w:sz="6" w:space="0" w:color="auto"/>
            </w:tcBorders>
          </w:tcPr>
          <w:p w:rsidR="00C97C77" w:rsidRDefault="00C97C77" w:rsidP="00CA3F50">
            <w:r>
              <w:t>0.05</w:t>
            </w:r>
          </w:p>
          <w:p w:rsidR="00A02097" w:rsidRDefault="00A02097" w:rsidP="00A02097">
            <w:pPr>
              <w:ind w:left="0"/>
            </w:pPr>
            <w:r>
              <w:t xml:space="preserve"> (3 minutes)</w:t>
            </w:r>
          </w:p>
        </w:tc>
        <w:tc>
          <w:tcPr>
            <w:tcW w:w="1080" w:type="dxa"/>
            <w:tcBorders>
              <w:top w:val="single" w:sz="6" w:space="0" w:color="auto"/>
              <w:left w:val="single" w:sz="6" w:space="0" w:color="auto"/>
              <w:bottom w:val="single" w:sz="6" w:space="0" w:color="auto"/>
              <w:right w:val="single" w:sz="6" w:space="0" w:color="auto"/>
            </w:tcBorders>
          </w:tcPr>
          <w:p w:rsidR="00C97C77" w:rsidRDefault="00C97C77" w:rsidP="00CA3F50">
            <w:r>
              <w:t>87,500</w:t>
            </w:r>
          </w:p>
        </w:tc>
      </w:tr>
      <w:tr w:rsidR="00C97C77" w:rsidTr="0030563D">
        <w:tc>
          <w:tcPr>
            <w:tcW w:w="1620" w:type="dxa"/>
            <w:tcBorders>
              <w:top w:val="single" w:sz="6" w:space="0" w:color="auto"/>
              <w:left w:val="single" w:sz="6" w:space="0" w:color="auto"/>
              <w:bottom w:val="single" w:sz="6" w:space="0" w:color="auto"/>
            </w:tcBorders>
          </w:tcPr>
          <w:p w:rsidR="00C97C77" w:rsidRDefault="00C97C77" w:rsidP="00CA3F50">
            <w:r>
              <w:t>606.160(b)(1)(xi)</w:t>
            </w:r>
          </w:p>
        </w:tc>
        <w:tc>
          <w:tcPr>
            <w:tcW w:w="1710" w:type="dxa"/>
            <w:tcBorders>
              <w:top w:val="single" w:sz="6" w:space="0" w:color="auto"/>
              <w:left w:val="single" w:sz="6" w:space="0" w:color="auto"/>
              <w:bottom w:val="single" w:sz="6" w:space="0" w:color="auto"/>
            </w:tcBorders>
          </w:tcPr>
          <w:p w:rsidR="00C97C77" w:rsidRDefault="00F24C0A" w:rsidP="00CA3F50">
            <w:r>
              <w:t>1,</w:t>
            </w:r>
            <w:r w:rsidR="00A02097">
              <w:t>945</w:t>
            </w:r>
          </w:p>
        </w:tc>
        <w:tc>
          <w:tcPr>
            <w:tcW w:w="1620" w:type="dxa"/>
            <w:tcBorders>
              <w:top w:val="single" w:sz="6" w:space="0" w:color="auto"/>
              <w:left w:val="single" w:sz="6" w:space="0" w:color="auto"/>
              <w:bottom w:val="single" w:sz="6" w:space="0" w:color="auto"/>
            </w:tcBorders>
          </w:tcPr>
          <w:p w:rsidR="00C97C77" w:rsidRDefault="00A02097" w:rsidP="00CA3F50">
            <w:r>
              <w:t>2.60</w:t>
            </w:r>
          </w:p>
        </w:tc>
        <w:tc>
          <w:tcPr>
            <w:tcW w:w="1350" w:type="dxa"/>
            <w:tcBorders>
              <w:top w:val="single" w:sz="6" w:space="0" w:color="auto"/>
              <w:left w:val="single" w:sz="6" w:space="0" w:color="auto"/>
              <w:bottom w:val="single" w:sz="6" w:space="0" w:color="auto"/>
            </w:tcBorders>
          </w:tcPr>
          <w:p w:rsidR="00C97C77" w:rsidRDefault="00EA6561" w:rsidP="00CA3F50">
            <w:r>
              <w:t>5,</w:t>
            </w:r>
            <w:r w:rsidR="00A02097">
              <w:t>063</w:t>
            </w:r>
          </w:p>
        </w:tc>
        <w:tc>
          <w:tcPr>
            <w:tcW w:w="1890" w:type="dxa"/>
            <w:tcBorders>
              <w:top w:val="single" w:sz="6" w:space="0" w:color="auto"/>
              <w:left w:val="single" w:sz="6" w:space="0" w:color="auto"/>
              <w:bottom w:val="single" w:sz="6" w:space="0" w:color="auto"/>
            </w:tcBorders>
          </w:tcPr>
          <w:p w:rsidR="00C97C77" w:rsidRDefault="00C97C77" w:rsidP="00CA3F50">
            <w:r>
              <w:t>0.05</w:t>
            </w:r>
          </w:p>
          <w:p w:rsidR="00A02097" w:rsidRDefault="00A02097" w:rsidP="00A02097">
            <w:pPr>
              <w:ind w:left="0"/>
            </w:pPr>
            <w:r>
              <w:t xml:space="preserve"> (3 minutes)</w:t>
            </w:r>
          </w:p>
        </w:tc>
        <w:tc>
          <w:tcPr>
            <w:tcW w:w="1080" w:type="dxa"/>
            <w:tcBorders>
              <w:top w:val="single" w:sz="6" w:space="0" w:color="auto"/>
              <w:left w:val="single" w:sz="6" w:space="0" w:color="auto"/>
              <w:bottom w:val="single" w:sz="6" w:space="0" w:color="auto"/>
              <w:right w:val="single" w:sz="6" w:space="0" w:color="auto"/>
            </w:tcBorders>
          </w:tcPr>
          <w:p w:rsidR="00C97C77" w:rsidRDefault="00A02097" w:rsidP="00CA3F50">
            <w:r>
              <w:t>253</w:t>
            </w:r>
          </w:p>
        </w:tc>
      </w:tr>
      <w:tr w:rsidR="00C97C77" w:rsidTr="0030563D">
        <w:tc>
          <w:tcPr>
            <w:tcW w:w="1620" w:type="dxa"/>
            <w:tcBorders>
              <w:top w:val="single" w:sz="6" w:space="0" w:color="auto"/>
              <w:left w:val="single" w:sz="6" w:space="0" w:color="auto"/>
              <w:bottom w:val="single" w:sz="6" w:space="0" w:color="auto"/>
            </w:tcBorders>
          </w:tcPr>
          <w:p w:rsidR="00C97C77" w:rsidRDefault="00C97C77" w:rsidP="00CA3F50">
            <w:r>
              <w:t>606.165</w:t>
            </w:r>
          </w:p>
        </w:tc>
        <w:tc>
          <w:tcPr>
            <w:tcW w:w="1710" w:type="dxa"/>
            <w:tcBorders>
              <w:top w:val="single" w:sz="6" w:space="0" w:color="auto"/>
              <w:left w:val="single" w:sz="6" w:space="0" w:color="auto"/>
              <w:bottom w:val="single" w:sz="6" w:space="0" w:color="auto"/>
            </w:tcBorders>
          </w:tcPr>
          <w:p w:rsidR="00C97C77" w:rsidRDefault="00A02097" w:rsidP="00CA3F50">
            <w:r>
              <w:t>366</w:t>
            </w:r>
            <w:r w:rsidR="00CD2984">
              <w:rPr>
                <w:vertAlign w:val="superscript"/>
              </w:rPr>
              <w:t>5</w:t>
            </w:r>
          </w:p>
        </w:tc>
        <w:tc>
          <w:tcPr>
            <w:tcW w:w="1620" w:type="dxa"/>
            <w:tcBorders>
              <w:top w:val="single" w:sz="6" w:space="0" w:color="auto"/>
              <w:left w:val="single" w:sz="6" w:space="0" w:color="auto"/>
              <w:bottom w:val="single" w:sz="6" w:space="0" w:color="auto"/>
            </w:tcBorders>
          </w:tcPr>
          <w:p w:rsidR="00C97C77" w:rsidRDefault="00EA6561" w:rsidP="00CA3F50">
            <w:r>
              <w:t>1,</w:t>
            </w:r>
            <w:r w:rsidR="00A02097">
              <w:t>046.45</w:t>
            </w:r>
          </w:p>
        </w:tc>
        <w:tc>
          <w:tcPr>
            <w:tcW w:w="1350" w:type="dxa"/>
            <w:tcBorders>
              <w:top w:val="single" w:sz="6" w:space="0" w:color="auto"/>
              <w:left w:val="single" w:sz="6" w:space="0" w:color="auto"/>
              <w:bottom w:val="single" w:sz="6" w:space="0" w:color="auto"/>
            </w:tcBorders>
          </w:tcPr>
          <w:p w:rsidR="00C97C77" w:rsidRDefault="00EA6561" w:rsidP="00CA3F50">
            <w:r>
              <w:t>383</w:t>
            </w:r>
            <w:r w:rsidR="00C97C77">
              <w:t>,000</w:t>
            </w:r>
          </w:p>
        </w:tc>
        <w:tc>
          <w:tcPr>
            <w:tcW w:w="1890" w:type="dxa"/>
            <w:tcBorders>
              <w:top w:val="single" w:sz="6" w:space="0" w:color="auto"/>
              <w:left w:val="single" w:sz="6" w:space="0" w:color="auto"/>
              <w:bottom w:val="single" w:sz="6" w:space="0" w:color="auto"/>
            </w:tcBorders>
          </w:tcPr>
          <w:p w:rsidR="00C97C77" w:rsidRDefault="00EA6561" w:rsidP="00CA3F50">
            <w:r>
              <w:t>0.08</w:t>
            </w:r>
          </w:p>
          <w:p w:rsidR="00A02097" w:rsidRDefault="00A02097" w:rsidP="00CA3F50">
            <w:r>
              <w:t>(5 minutes)</w:t>
            </w:r>
          </w:p>
        </w:tc>
        <w:tc>
          <w:tcPr>
            <w:tcW w:w="1080" w:type="dxa"/>
            <w:tcBorders>
              <w:top w:val="single" w:sz="6" w:space="0" w:color="auto"/>
              <w:left w:val="single" w:sz="6" w:space="0" w:color="auto"/>
              <w:bottom w:val="single" w:sz="6" w:space="0" w:color="auto"/>
              <w:right w:val="single" w:sz="6" w:space="0" w:color="auto"/>
            </w:tcBorders>
          </w:tcPr>
          <w:p w:rsidR="00C97C77" w:rsidRDefault="00EA6561" w:rsidP="00CA3F50">
            <w:r>
              <w:t>30,640</w:t>
            </w:r>
          </w:p>
        </w:tc>
      </w:tr>
      <w:tr w:rsidR="00C97C77" w:rsidTr="0030563D">
        <w:tc>
          <w:tcPr>
            <w:tcW w:w="1620" w:type="dxa"/>
            <w:tcBorders>
              <w:top w:val="single" w:sz="6" w:space="0" w:color="auto"/>
              <w:left w:val="single" w:sz="6" w:space="0" w:color="auto"/>
              <w:bottom w:val="single" w:sz="6" w:space="0" w:color="auto"/>
            </w:tcBorders>
          </w:tcPr>
          <w:p w:rsidR="00C97C77" w:rsidRDefault="00C97C77" w:rsidP="00CA3F50">
            <w:r>
              <w:t>606.170(a)</w:t>
            </w:r>
          </w:p>
        </w:tc>
        <w:tc>
          <w:tcPr>
            <w:tcW w:w="1710" w:type="dxa"/>
            <w:tcBorders>
              <w:top w:val="single" w:sz="6" w:space="0" w:color="auto"/>
              <w:left w:val="single" w:sz="6" w:space="0" w:color="auto"/>
              <w:bottom w:val="single" w:sz="6" w:space="0" w:color="auto"/>
            </w:tcBorders>
          </w:tcPr>
          <w:p w:rsidR="00C97C77" w:rsidRDefault="00A02097" w:rsidP="00CA3F50">
            <w:r>
              <w:t>366</w:t>
            </w:r>
            <w:r w:rsidR="00CD2984">
              <w:rPr>
                <w:vertAlign w:val="superscript"/>
              </w:rPr>
              <w:t>5</w:t>
            </w:r>
          </w:p>
        </w:tc>
        <w:tc>
          <w:tcPr>
            <w:tcW w:w="1620" w:type="dxa"/>
            <w:tcBorders>
              <w:top w:val="single" w:sz="6" w:space="0" w:color="auto"/>
              <w:left w:val="single" w:sz="6" w:space="0" w:color="auto"/>
              <w:bottom w:val="single" w:sz="6" w:space="0" w:color="auto"/>
            </w:tcBorders>
          </w:tcPr>
          <w:p w:rsidR="00C97C77" w:rsidRDefault="00C97C77" w:rsidP="00CA3F50">
            <w:r>
              <w:t>12</w:t>
            </w:r>
          </w:p>
        </w:tc>
        <w:tc>
          <w:tcPr>
            <w:tcW w:w="1350" w:type="dxa"/>
            <w:tcBorders>
              <w:top w:val="single" w:sz="6" w:space="0" w:color="auto"/>
              <w:left w:val="single" w:sz="6" w:space="0" w:color="auto"/>
              <w:bottom w:val="single" w:sz="6" w:space="0" w:color="auto"/>
            </w:tcBorders>
          </w:tcPr>
          <w:p w:rsidR="00C97C77" w:rsidRDefault="00A02097" w:rsidP="00CA3F50">
            <w:r>
              <w:t>4,392</w:t>
            </w:r>
          </w:p>
        </w:tc>
        <w:tc>
          <w:tcPr>
            <w:tcW w:w="1890" w:type="dxa"/>
            <w:tcBorders>
              <w:top w:val="single" w:sz="6" w:space="0" w:color="auto"/>
              <w:left w:val="single" w:sz="6" w:space="0" w:color="auto"/>
              <w:bottom w:val="single" w:sz="6" w:space="0" w:color="auto"/>
            </w:tcBorders>
          </w:tcPr>
          <w:p w:rsidR="00C97C77" w:rsidRDefault="00C97C77" w:rsidP="00CA3F50">
            <w:r>
              <w:t>1</w:t>
            </w:r>
          </w:p>
        </w:tc>
        <w:tc>
          <w:tcPr>
            <w:tcW w:w="1080" w:type="dxa"/>
            <w:tcBorders>
              <w:top w:val="single" w:sz="6" w:space="0" w:color="auto"/>
              <w:left w:val="single" w:sz="6" w:space="0" w:color="auto"/>
              <w:bottom w:val="single" w:sz="6" w:space="0" w:color="auto"/>
              <w:right w:val="single" w:sz="6" w:space="0" w:color="auto"/>
            </w:tcBorders>
          </w:tcPr>
          <w:p w:rsidR="00C97C77" w:rsidRDefault="00A02097" w:rsidP="00CA3F50">
            <w:r>
              <w:t>4,392</w:t>
            </w:r>
          </w:p>
        </w:tc>
      </w:tr>
      <w:tr w:rsidR="00C97C77" w:rsidTr="0030563D">
        <w:tc>
          <w:tcPr>
            <w:tcW w:w="1620" w:type="dxa"/>
            <w:tcBorders>
              <w:top w:val="single" w:sz="6" w:space="0" w:color="auto"/>
              <w:left w:val="single" w:sz="6" w:space="0" w:color="auto"/>
              <w:bottom w:val="single" w:sz="6" w:space="0" w:color="auto"/>
            </w:tcBorders>
          </w:tcPr>
          <w:p w:rsidR="00C97C77" w:rsidRDefault="00C97C77" w:rsidP="00CA3F50">
            <w:r>
              <w:t>610.40(g)(1)</w:t>
            </w:r>
          </w:p>
        </w:tc>
        <w:tc>
          <w:tcPr>
            <w:tcW w:w="1710" w:type="dxa"/>
            <w:tcBorders>
              <w:top w:val="single" w:sz="6" w:space="0" w:color="auto"/>
              <w:left w:val="single" w:sz="6" w:space="0" w:color="auto"/>
              <w:bottom w:val="single" w:sz="6" w:space="0" w:color="auto"/>
            </w:tcBorders>
          </w:tcPr>
          <w:p w:rsidR="00C97C77" w:rsidRDefault="00A02097" w:rsidP="00CA3F50">
            <w:r>
              <w:t>2,361</w:t>
            </w:r>
          </w:p>
        </w:tc>
        <w:tc>
          <w:tcPr>
            <w:tcW w:w="1620" w:type="dxa"/>
            <w:tcBorders>
              <w:top w:val="single" w:sz="6" w:space="0" w:color="auto"/>
              <w:left w:val="single" w:sz="6" w:space="0" w:color="auto"/>
              <w:bottom w:val="single" w:sz="6" w:space="0" w:color="auto"/>
            </w:tcBorders>
          </w:tcPr>
          <w:p w:rsidR="00C97C77" w:rsidRDefault="00C97C77" w:rsidP="00CA3F50">
            <w:r>
              <w:t>1</w:t>
            </w:r>
          </w:p>
        </w:tc>
        <w:tc>
          <w:tcPr>
            <w:tcW w:w="1350" w:type="dxa"/>
            <w:tcBorders>
              <w:top w:val="single" w:sz="6" w:space="0" w:color="auto"/>
              <w:left w:val="single" w:sz="6" w:space="0" w:color="auto"/>
              <w:bottom w:val="single" w:sz="6" w:space="0" w:color="auto"/>
            </w:tcBorders>
          </w:tcPr>
          <w:p w:rsidR="00C97C77" w:rsidRDefault="00A02097" w:rsidP="00CA3F50">
            <w:r>
              <w:t>2,361</w:t>
            </w:r>
          </w:p>
        </w:tc>
        <w:tc>
          <w:tcPr>
            <w:tcW w:w="1890" w:type="dxa"/>
            <w:tcBorders>
              <w:top w:val="single" w:sz="6" w:space="0" w:color="auto"/>
              <w:left w:val="single" w:sz="6" w:space="0" w:color="auto"/>
              <w:bottom w:val="single" w:sz="6" w:space="0" w:color="auto"/>
            </w:tcBorders>
          </w:tcPr>
          <w:p w:rsidR="00C97C77" w:rsidRDefault="00C97C77" w:rsidP="00CA3F50">
            <w:r>
              <w:t>0.5</w:t>
            </w:r>
          </w:p>
          <w:p w:rsidR="00A02097" w:rsidRDefault="00A02097" w:rsidP="00CA3F50">
            <w:r>
              <w:t>(30 minutes)</w:t>
            </w:r>
          </w:p>
        </w:tc>
        <w:tc>
          <w:tcPr>
            <w:tcW w:w="1080" w:type="dxa"/>
            <w:tcBorders>
              <w:top w:val="single" w:sz="6" w:space="0" w:color="auto"/>
              <w:left w:val="single" w:sz="6" w:space="0" w:color="auto"/>
              <w:bottom w:val="single" w:sz="6" w:space="0" w:color="auto"/>
              <w:right w:val="single" w:sz="6" w:space="0" w:color="auto"/>
            </w:tcBorders>
          </w:tcPr>
          <w:p w:rsidR="00C97C77" w:rsidRDefault="00A02097" w:rsidP="00CA3F50">
            <w:r>
              <w:t>1,180</w:t>
            </w:r>
          </w:p>
        </w:tc>
      </w:tr>
      <w:tr w:rsidR="00C97C77" w:rsidTr="004C4203">
        <w:trPr>
          <w:cantSplit/>
        </w:trPr>
        <w:tc>
          <w:tcPr>
            <w:tcW w:w="8190" w:type="dxa"/>
            <w:gridSpan w:val="5"/>
            <w:tcBorders>
              <w:top w:val="single" w:sz="6" w:space="0" w:color="auto"/>
              <w:left w:val="single" w:sz="6" w:space="0" w:color="auto"/>
              <w:bottom w:val="single" w:sz="6" w:space="0" w:color="auto"/>
            </w:tcBorders>
          </w:tcPr>
          <w:p w:rsidR="00C97C77" w:rsidRDefault="00C97C77" w:rsidP="00CA3F50">
            <w:pPr>
              <w:pStyle w:val="Header"/>
            </w:pPr>
            <w:r>
              <w:t>Total</w:t>
            </w:r>
          </w:p>
        </w:tc>
        <w:tc>
          <w:tcPr>
            <w:tcW w:w="1080" w:type="dxa"/>
            <w:tcBorders>
              <w:top w:val="single" w:sz="6" w:space="0" w:color="auto"/>
              <w:left w:val="single" w:sz="6" w:space="0" w:color="auto"/>
              <w:bottom w:val="single" w:sz="6" w:space="0" w:color="auto"/>
              <w:right w:val="single" w:sz="6" w:space="0" w:color="auto"/>
            </w:tcBorders>
          </w:tcPr>
          <w:p w:rsidR="00C97C77" w:rsidRDefault="00EA6561" w:rsidP="00CA3F50">
            <w:r>
              <w:t>44</w:t>
            </w:r>
            <w:r w:rsidR="00A02097">
              <w:t>7,734</w:t>
            </w:r>
          </w:p>
        </w:tc>
      </w:tr>
    </w:tbl>
    <w:p w:rsidR="00C97C77" w:rsidRDefault="001265F4" w:rsidP="00CA3F50">
      <w:r>
        <w:rPr>
          <w:vertAlign w:val="superscript"/>
        </w:rPr>
        <w:t>1</w:t>
      </w:r>
      <w:r w:rsidR="00C97C77">
        <w:t xml:space="preserve"> </w:t>
      </w:r>
      <w:r w:rsidR="00C97C77" w:rsidRPr="00631FCC">
        <w:rPr>
          <w:sz w:val="20"/>
        </w:rPr>
        <w:t>The recordkeeping requirements in §§ 640.3(a)(1), 640.4(a)(1), and 640.66, which address the maintenance of SOPs, are included in the estimate for § 606.100(b).</w:t>
      </w:r>
    </w:p>
    <w:p w:rsidR="00C97C77" w:rsidRPr="00934764" w:rsidRDefault="001265F4" w:rsidP="00CA3F50">
      <w:pPr>
        <w:rPr>
          <w:color w:val="FF00FF"/>
        </w:rPr>
      </w:pPr>
      <w:r>
        <w:rPr>
          <w:vertAlign w:val="superscript"/>
        </w:rPr>
        <w:t>2</w:t>
      </w:r>
      <w:r w:rsidR="00C97C77">
        <w:t xml:space="preserve"> </w:t>
      </w:r>
      <w:r w:rsidR="00C97C77" w:rsidRPr="001265F4">
        <w:rPr>
          <w:sz w:val="20"/>
        </w:rPr>
        <w:t>The recordkeeping requirements in § 640.27(b), which address the maintenance of donor health records for the plateletpheresi</w:t>
      </w:r>
      <w:r w:rsidR="00D06B00" w:rsidRPr="001265F4">
        <w:rPr>
          <w:sz w:val="20"/>
        </w:rPr>
        <w:t>s, are included in the estimate</w:t>
      </w:r>
      <w:r w:rsidR="00C97C77" w:rsidRPr="001265F4">
        <w:rPr>
          <w:sz w:val="20"/>
        </w:rPr>
        <w:t xml:space="preserve"> for § 606.110(a).</w:t>
      </w:r>
    </w:p>
    <w:p w:rsidR="00C97C77" w:rsidRDefault="001265F4" w:rsidP="00CA3F50">
      <w:r>
        <w:rPr>
          <w:vertAlign w:val="superscript"/>
        </w:rPr>
        <w:t>3</w:t>
      </w:r>
      <w:r w:rsidR="00C97C77">
        <w:t xml:space="preserve"> </w:t>
      </w:r>
      <w:r w:rsidR="00C97C77" w:rsidRPr="001265F4">
        <w:rPr>
          <w:sz w:val="20"/>
        </w:rPr>
        <w:t xml:space="preserve">The recordkeeping requirements in §§ 640.3(a)(2) and (f); 640.4(a)(2); 640.25(b)(4) and (c)(1); 640.31(b); 640.33(b); 640.51(b); 640.53(b) and (c); </w:t>
      </w:r>
      <w:r w:rsidR="00357441" w:rsidRPr="001265F4">
        <w:rPr>
          <w:sz w:val="20"/>
        </w:rPr>
        <w:t xml:space="preserve">640.56(b) and (d); </w:t>
      </w:r>
      <w:r w:rsidR="00C97C77" w:rsidRPr="001265F4">
        <w:rPr>
          <w:sz w:val="20"/>
        </w:rPr>
        <w:t>640.61; 640.63(b)(3), (e)(1), and (e)(3); 640.65(b)(2); 640.71(b)(1); 640.72; and 640.76(a) and (b), which address the maintenance of various records are included in the estimate for § 606.160.</w:t>
      </w:r>
    </w:p>
    <w:p w:rsidR="00C97C77" w:rsidRDefault="001265F4" w:rsidP="00CA3F50">
      <w:r>
        <w:rPr>
          <w:vertAlign w:val="superscript"/>
        </w:rPr>
        <w:t>4</w:t>
      </w:r>
      <w:r w:rsidR="00C97C77">
        <w:rPr>
          <w:vertAlign w:val="superscript"/>
        </w:rPr>
        <w:t xml:space="preserve"> </w:t>
      </w:r>
      <w:r w:rsidR="00C97C77" w:rsidRPr="001265F4">
        <w:rPr>
          <w:sz w:val="20"/>
        </w:rPr>
        <w:t xml:space="preserve">Five percent of </w:t>
      </w:r>
      <w:r w:rsidR="000A44C6" w:rsidRPr="001265F4">
        <w:rPr>
          <w:sz w:val="20"/>
        </w:rPr>
        <w:t>establishments that fall under the Clinical Laboratory Improvement Amendments of 1988 that transfuse blood and components and FDA</w:t>
      </w:r>
      <w:r w:rsidR="00902BCE" w:rsidRPr="001265F4">
        <w:rPr>
          <w:sz w:val="20"/>
        </w:rPr>
        <w:t>-</w:t>
      </w:r>
      <w:r w:rsidR="000A44C6" w:rsidRPr="001265F4">
        <w:rPr>
          <w:sz w:val="20"/>
        </w:rPr>
        <w:t xml:space="preserve">registered blood establishments (0.05 </w:t>
      </w:r>
      <w:r w:rsidR="00FA1795" w:rsidRPr="001265F4">
        <w:rPr>
          <w:sz w:val="20"/>
        </w:rPr>
        <w:t xml:space="preserve">x </w:t>
      </w:r>
      <w:r w:rsidR="00366CE7">
        <w:rPr>
          <w:sz w:val="20"/>
        </w:rPr>
        <w:t>4,961 + 2</w:t>
      </w:r>
      <w:r w:rsidR="00F91F08">
        <w:rPr>
          <w:sz w:val="20"/>
        </w:rPr>
        <w:t>,</w:t>
      </w:r>
      <w:r w:rsidR="00366CE7">
        <w:rPr>
          <w:sz w:val="20"/>
        </w:rPr>
        <w:t>361=366</w:t>
      </w:r>
      <w:r w:rsidR="000A44C6" w:rsidRPr="001265F4">
        <w:rPr>
          <w:sz w:val="20"/>
        </w:rPr>
        <w:t>).</w:t>
      </w:r>
    </w:p>
    <w:p w:rsidR="00C97C77" w:rsidRDefault="001265F4" w:rsidP="00CA3F50">
      <w:pPr>
        <w:rPr>
          <w:sz w:val="20"/>
        </w:rPr>
      </w:pPr>
      <w:r>
        <w:rPr>
          <w:vertAlign w:val="superscript"/>
        </w:rPr>
        <w:t>5</w:t>
      </w:r>
      <w:r w:rsidR="00C97C77">
        <w:rPr>
          <w:vertAlign w:val="superscript"/>
        </w:rPr>
        <w:t xml:space="preserve"> </w:t>
      </w:r>
      <w:r w:rsidR="00C97C77" w:rsidRPr="001265F4">
        <w:rPr>
          <w:sz w:val="20"/>
        </w:rPr>
        <w:t xml:space="preserve">Five percent of plateletpheresis and leukopheresis establishments (0.05 </w:t>
      </w:r>
      <w:r w:rsidR="00FA1795" w:rsidRPr="001265F4">
        <w:rPr>
          <w:sz w:val="20"/>
        </w:rPr>
        <w:t>x</w:t>
      </w:r>
      <w:r w:rsidR="00C97C77" w:rsidRPr="001265F4">
        <w:rPr>
          <w:sz w:val="20"/>
        </w:rPr>
        <w:t xml:space="preserve"> </w:t>
      </w:r>
      <w:r w:rsidR="00366CE7">
        <w:rPr>
          <w:sz w:val="20"/>
        </w:rPr>
        <w:t>990=50</w:t>
      </w:r>
      <w:r w:rsidR="00C97C77" w:rsidRPr="001265F4">
        <w:rPr>
          <w:sz w:val="20"/>
        </w:rPr>
        <w:t>)</w:t>
      </w:r>
      <w:r w:rsidR="00FA1795" w:rsidRPr="001265F4">
        <w:rPr>
          <w:sz w:val="20"/>
        </w:rPr>
        <w:t>.</w:t>
      </w:r>
    </w:p>
    <w:p w:rsidR="00E2425F" w:rsidRDefault="00E2425F" w:rsidP="00CA3F50">
      <w:pPr>
        <w:rPr>
          <w:sz w:val="20"/>
        </w:rPr>
      </w:pPr>
    </w:p>
    <w:p w:rsidR="007D7D09" w:rsidRDefault="007D7D09" w:rsidP="00CA3F50">
      <w:pPr>
        <w:rPr>
          <w:sz w:val="20"/>
        </w:rPr>
      </w:pPr>
    </w:p>
    <w:p w:rsidR="00E2425F" w:rsidRDefault="00794967" w:rsidP="00E2425F">
      <w:r>
        <w:t xml:space="preserve">Table 3. – </w:t>
      </w:r>
      <w:r w:rsidRPr="00794967">
        <w:t xml:space="preserve"> </w:t>
      </w:r>
      <w:r>
        <w:t>Estimated Annual Third-Party Disclosure Burden</w:t>
      </w:r>
    </w:p>
    <w:p w:rsidR="007D7D09" w:rsidRDefault="007D7D09" w:rsidP="00E2425F">
      <w:pPr>
        <w:rPr>
          <w:vertAlign w:val="superscript"/>
        </w:rPr>
      </w:pPr>
    </w:p>
    <w:tbl>
      <w:tblPr>
        <w:tblW w:w="0" w:type="auto"/>
        <w:tblInd w:w="-79" w:type="dxa"/>
        <w:tblLayout w:type="fixed"/>
        <w:tblCellMar>
          <w:left w:w="101" w:type="dxa"/>
          <w:right w:w="101" w:type="dxa"/>
        </w:tblCellMar>
        <w:tblLook w:val="0000" w:firstRow="0" w:lastRow="0" w:firstColumn="0" w:lastColumn="0" w:noHBand="0" w:noVBand="0"/>
      </w:tblPr>
      <w:tblGrid>
        <w:gridCol w:w="2160"/>
        <w:gridCol w:w="1500"/>
        <w:gridCol w:w="1740"/>
        <w:gridCol w:w="1350"/>
        <w:gridCol w:w="1470"/>
        <w:gridCol w:w="1080"/>
      </w:tblGrid>
      <w:tr w:rsidR="00E2425F" w:rsidTr="009B3116">
        <w:tc>
          <w:tcPr>
            <w:tcW w:w="2160" w:type="dxa"/>
            <w:tcBorders>
              <w:top w:val="single" w:sz="6" w:space="0" w:color="auto"/>
              <w:left w:val="single" w:sz="6" w:space="0" w:color="auto"/>
              <w:bottom w:val="single" w:sz="6" w:space="0" w:color="auto"/>
              <w:right w:val="nil"/>
            </w:tcBorders>
          </w:tcPr>
          <w:p w:rsidR="00E2425F" w:rsidRDefault="00E2425F">
            <w:r>
              <w:t>21 CFR Section</w:t>
            </w:r>
          </w:p>
        </w:tc>
        <w:tc>
          <w:tcPr>
            <w:tcW w:w="1500" w:type="dxa"/>
            <w:tcBorders>
              <w:top w:val="single" w:sz="6" w:space="0" w:color="auto"/>
              <w:left w:val="single" w:sz="6" w:space="0" w:color="auto"/>
              <w:bottom w:val="single" w:sz="6" w:space="0" w:color="auto"/>
              <w:right w:val="nil"/>
            </w:tcBorders>
          </w:tcPr>
          <w:p w:rsidR="00E2425F" w:rsidRDefault="007D7D09" w:rsidP="004A56D2">
            <w:pPr>
              <w:ind w:left="0"/>
            </w:pPr>
            <w:r>
              <w:t xml:space="preserve">No. of </w:t>
            </w:r>
            <w:r w:rsidR="004A56D2">
              <w:t>R</w:t>
            </w:r>
            <w:r w:rsidR="00E2425F">
              <w:t>espondents</w:t>
            </w:r>
          </w:p>
        </w:tc>
        <w:tc>
          <w:tcPr>
            <w:tcW w:w="1740" w:type="dxa"/>
            <w:tcBorders>
              <w:top w:val="single" w:sz="6" w:space="0" w:color="auto"/>
              <w:left w:val="single" w:sz="6" w:space="0" w:color="auto"/>
              <w:bottom w:val="single" w:sz="6" w:space="0" w:color="auto"/>
              <w:right w:val="nil"/>
            </w:tcBorders>
          </w:tcPr>
          <w:p w:rsidR="00E2425F" w:rsidRDefault="004D2801" w:rsidP="004A56D2">
            <w:r>
              <w:t xml:space="preserve"> </w:t>
            </w:r>
            <w:r w:rsidR="00E2425F">
              <w:t xml:space="preserve"> </w:t>
            </w:r>
            <w:r>
              <w:t xml:space="preserve">No. of </w:t>
            </w:r>
            <w:r w:rsidR="004A56D2">
              <w:t>R</w:t>
            </w:r>
            <w:r>
              <w:t xml:space="preserve">esponses per </w:t>
            </w:r>
            <w:r w:rsidR="004A56D2">
              <w:t>R</w:t>
            </w:r>
            <w:r w:rsidR="00E2425F">
              <w:t>espondent</w:t>
            </w:r>
          </w:p>
        </w:tc>
        <w:tc>
          <w:tcPr>
            <w:tcW w:w="1350" w:type="dxa"/>
            <w:tcBorders>
              <w:top w:val="single" w:sz="6" w:space="0" w:color="auto"/>
              <w:left w:val="single" w:sz="6" w:space="0" w:color="auto"/>
              <w:bottom w:val="single" w:sz="6" w:space="0" w:color="auto"/>
              <w:right w:val="nil"/>
            </w:tcBorders>
          </w:tcPr>
          <w:p w:rsidR="00E2425F" w:rsidRDefault="004D2801" w:rsidP="004A56D2">
            <w:pPr>
              <w:ind w:left="0"/>
            </w:pPr>
            <w:r>
              <w:t xml:space="preserve"> Total </w:t>
            </w:r>
            <w:r w:rsidR="004A56D2">
              <w:t>A</w:t>
            </w:r>
            <w:r>
              <w:t xml:space="preserve">nnual </w:t>
            </w:r>
            <w:r w:rsidR="004A56D2">
              <w:t>R</w:t>
            </w:r>
            <w:r>
              <w:t>esponses</w:t>
            </w:r>
          </w:p>
        </w:tc>
        <w:tc>
          <w:tcPr>
            <w:tcW w:w="1470" w:type="dxa"/>
            <w:tcBorders>
              <w:top w:val="single" w:sz="6" w:space="0" w:color="auto"/>
              <w:left w:val="single" w:sz="6" w:space="0" w:color="auto"/>
              <w:bottom w:val="single" w:sz="6" w:space="0" w:color="auto"/>
              <w:right w:val="nil"/>
            </w:tcBorders>
          </w:tcPr>
          <w:p w:rsidR="00E2425F" w:rsidRDefault="007D7D09" w:rsidP="004A56D2">
            <w:pPr>
              <w:ind w:left="0"/>
            </w:pPr>
            <w:r>
              <w:t xml:space="preserve"> Average </w:t>
            </w:r>
            <w:r w:rsidR="004A56D2">
              <w:t>B</w:t>
            </w:r>
            <w:r>
              <w:t xml:space="preserve">urden per </w:t>
            </w:r>
            <w:r w:rsidR="004A56D2">
              <w:t>R</w:t>
            </w:r>
            <w:r>
              <w:t>esponse</w:t>
            </w:r>
          </w:p>
        </w:tc>
        <w:tc>
          <w:tcPr>
            <w:tcW w:w="1080" w:type="dxa"/>
            <w:tcBorders>
              <w:top w:val="single" w:sz="6" w:space="0" w:color="auto"/>
              <w:left w:val="single" w:sz="6" w:space="0" w:color="auto"/>
              <w:bottom w:val="single" w:sz="6" w:space="0" w:color="auto"/>
              <w:right w:val="single" w:sz="6" w:space="0" w:color="auto"/>
            </w:tcBorders>
          </w:tcPr>
          <w:p w:rsidR="00E2425F" w:rsidRDefault="004D2801" w:rsidP="004A56D2">
            <w:pPr>
              <w:ind w:left="0"/>
            </w:pPr>
            <w:r>
              <w:t xml:space="preserve">Total </w:t>
            </w:r>
            <w:r w:rsidR="007D7D09">
              <w:t xml:space="preserve">               </w:t>
            </w:r>
            <w:r w:rsidR="004A56D2">
              <w:t>H</w:t>
            </w:r>
            <w:r w:rsidR="00E2425F">
              <w:t>ours</w:t>
            </w:r>
          </w:p>
        </w:tc>
      </w:tr>
      <w:tr w:rsidR="00D979BC" w:rsidTr="009B3116">
        <w:tc>
          <w:tcPr>
            <w:tcW w:w="2160" w:type="dxa"/>
            <w:tcBorders>
              <w:top w:val="single" w:sz="6" w:space="0" w:color="auto"/>
              <w:left w:val="single" w:sz="6" w:space="0" w:color="auto"/>
              <w:bottom w:val="single" w:sz="4" w:space="0" w:color="auto"/>
              <w:right w:val="nil"/>
            </w:tcBorders>
          </w:tcPr>
          <w:p w:rsidR="00D979BC" w:rsidRDefault="00D979BC">
            <w:r>
              <w:t>606.170(a)</w:t>
            </w:r>
          </w:p>
        </w:tc>
        <w:tc>
          <w:tcPr>
            <w:tcW w:w="1500" w:type="dxa"/>
            <w:tcBorders>
              <w:top w:val="single" w:sz="6" w:space="0" w:color="auto"/>
              <w:left w:val="single" w:sz="6" w:space="0" w:color="auto"/>
              <w:bottom w:val="single" w:sz="4" w:space="0" w:color="auto"/>
              <w:right w:val="nil"/>
            </w:tcBorders>
          </w:tcPr>
          <w:p w:rsidR="00D979BC" w:rsidRDefault="00A1746D">
            <w:r>
              <w:t>366</w:t>
            </w:r>
            <w:r w:rsidR="004716D5">
              <w:rPr>
                <w:vertAlign w:val="superscript"/>
              </w:rPr>
              <w:t>1</w:t>
            </w:r>
          </w:p>
        </w:tc>
        <w:tc>
          <w:tcPr>
            <w:tcW w:w="1740" w:type="dxa"/>
            <w:tcBorders>
              <w:top w:val="single" w:sz="6" w:space="0" w:color="auto"/>
              <w:left w:val="single" w:sz="6" w:space="0" w:color="auto"/>
              <w:bottom w:val="single" w:sz="4" w:space="0" w:color="auto"/>
              <w:right w:val="nil"/>
            </w:tcBorders>
          </w:tcPr>
          <w:p w:rsidR="00D979BC" w:rsidRDefault="00A1746D">
            <w:r>
              <w:t>1</w:t>
            </w:r>
            <w:r w:rsidR="0085296A">
              <w:t>.</w:t>
            </w:r>
            <w:r>
              <w:t>2</w:t>
            </w:r>
          </w:p>
        </w:tc>
        <w:tc>
          <w:tcPr>
            <w:tcW w:w="1350" w:type="dxa"/>
            <w:tcBorders>
              <w:top w:val="single" w:sz="6" w:space="0" w:color="auto"/>
              <w:left w:val="single" w:sz="6" w:space="0" w:color="auto"/>
              <w:bottom w:val="single" w:sz="4" w:space="0" w:color="auto"/>
              <w:right w:val="nil"/>
            </w:tcBorders>
          </w:tcPr>
          <w:p w:rsidR="00D979BC" w:rsidRDefault="0085296A">
            <w:r>
              <w:t>439</w:t>
            </w:r>
          </w:p>
        </w:tc>
        <w:tc>
          <w:tcPr>
            <w:tcW w:w="1470" w:type="dxa"/>
            <w:tcBorders>
              <w:top w:val="single" w:sz="6" w:space="0" w:color="auto"/>
              <w:left w:val="single" w:sz="6" w:space="0" w:color="auto"/>
              <w:bottom w:val="single" w:sz="4" w:space="0" w:color="auto"/>
              <w:right w:val="nil"/>
            </w:tcBorders>
          </w:tcPr>
          <w:p w:rsidR="00D979BC" w:rsidRDefault="00D979BC">
            <w:r>
              <w:t>0.5</w:t>
            </w:r>
          </w:p>
          <w:p w:rsidR="00A1746D" w:rsidRDefault="009B3116" w:rsidP="009B3116">
            <w:pPr>
              <w:ind w:left="0"/>
            </w:pPr>
            <w:r>
              <w:t>(30minutes)</w:t>
            </w:r>
          </w:p>
        </w:tc>
        <w:tc>
          <w:tcPr>
            <w:tcW w:w="1080" w:type="dxa"/>
            <w:tcBorders>
              <w:top w:val="single" w:sz="6" w:space="0" w:color="auto"/>
              <w:left w:val="single" w:sz="6" w:space="0" w:color="auto"/>
              <w:bottom w:val="single" w:sz="6" w:space="0" w:color="auto"/>
              <w:right w:val="single" w:sz="6" w:space="0" w:color="auto"/>
            </w:tcBorders>
          </w:tcPr>
          <w:p w:rsidR="00D979BC" w:rsidRDefault="0085296A" w:rsidP="0085296A">
            <w:r>
              <w:t>220</w:t>
            </w:r>
          </w:p>
        </w:tc>
      </w:tr>
      <w:tr w:rsidR="00E2425F" w:rsidTr="009B3116">
        <w:tc>
          <w:tcPr>
            <w:tcW w:w="2160" w:type="dxa"/>
            <w:tcBorders>
              <w:top w:val="single" w:sz="6" w:space="0" w:color="auto"/>
              <w:left w:val="single" w:sz="6" w:space="0" w:color="auto"/>
              <w:bottom w:val="single" w:sz="4" w:space="0" w:color="auto"/>
              <w:right w:val="nil"/>
            </w:tcBorders>
          </w:tcPr>
          <w:p w:rsidR="00E2425F" w:rsidRDefault="00E2425F">
            <w:r>
              <w:t>610.40(c)(1)(ii)</w:t>
            </w:r>
          </w:p>
        </w:tc>
        <w:tc>
          <w:tcPr>
            <w:tcW w:w="1500" w:type="dxa"/>
            <w:tcBorders>
              <w:top w:val="single" w:sz="6" w:space="0" w:color="auto"/>
              <w:left w:val="single" w:sz="6" w:space="0" w:color="auto"/>
              <w:bottom w:val="single" w:sz="4" w:space="0" w:color="auto"/>
              <w:right w:val="nil"/>
            </w:tcBorders>
          </w:tcPr>
          <w:p w:rsidR="00E2425F" w:rsidRDefault="009B3116">
            <w:r>
              <w:t>2,361</w:t>
            </w:r>
          </w:p>
        </w:tc>
        <w:tc>
          <w:tcPr>
            <w:tcW w:w="1740" w:type="dxa"/>
            <w:tcBorders>
              <w:top w:val="single" w:sz="6" w:space="0" w:color="auto"/>
              <w:left w:val="single" w:sz="6" w:space="0" w:color="auto"/>
              <w:bottom w:val="single" w:sz="4" w:space="0" w:color="auto"/>
              <w:right w:val="nil"/>
            </w:tcBorders>
          </w:tcPr>
          <w:p w:rsidR="00E2425F" w:rsidRDefault="009B3116">
            <w:r>
              <w:t>1.52</w:t>
            </w:r>
          </w:p>
        </w:tc>
        <w:tc>
          <w:tcPr>
            <w:tcW w:w="1350" w:type="dxa"/>
            <w:tcBorders>
              <w:top w:val="single" w:sz="6" w:space="0" w:color="auto"/>
              <w:left w:val="single" w:sz="6" w:space="0" w:color="auto"/>
              <w:bottom w:val="single" w:sz="4" w:space="0" w:color="auto"/>
              <w:right w:val="nil"/>
            </w:tcBorders>
          </w:tcPr>
          <w:p w:rsidR="00E2425F" w:rsidRDefault="00E2425F">
            <w:r>
              <w:t>3,600</w:t>
            </w:r>
          </w:p>
        </w:tc>
        <w:tc>
          <w:tcPr>
            <w:tcW w:w="1470" w:type="dxa"/>
            <w:tcBorders>
              <w:top w:val="single" w:sz="6" w:space="0" w:color="auto"/>
              <w:left w:val="single" w:sz="6" w:space="0" w:color="auto"/>
              <w:bottom w:val="single" w:sz="4" w:space="0" w:color="auto"/>
              <w:right w:val="nil"/>
            </w:tcBorders>
          </w:tcPr>
          <w:p w:rsidR="00E2425F" w:rsidRDefault="00E2425F">
            <w:r>
              <w:t>0.08</w:t>
            </w:r>
          </w:p>
          <w:p w:rsidR="009B3116" w:rsidRDefault="009B3116" w:rsidP="009B3116">
            <w:pPr>
              <w:ind w:left="0"/>
            </w:pPr>
            <w:r>
              <w:t>(5 minutes)</w:t>
            </w:r>
          </w:p>
        </w:tc>
        <w:tc>
          <w:tcPr>
            <w:tcW w:w="1080" w:type="dxa"/>
            <w:tcBorders>
              <w:top w:val="single" w:sz="6" w:space="0" w:color="auto"/>
              <w:left w:val="single" w:sz="6" w:space="0" w:color="auto"/>
              <w:bottom w:val="single" w:sz="6" w:space="0" w:color="auto"/>
              <w:right w:val="single" w:sz="6" w:space="0" w:color="auto"/>
            </w:tcBorders>
          </w:tcPr>
          <w:p w:rsidR="00E2425F" w:rsidRDefault="00E2425F">
            <w:r>
              <w:t>288</w:t>
            </w:r>
          </w:p>
        </w:tc>
      </w:tr>
      <w:tr w:rsidR="00E2425F" w:rsidTr="009B3116">
        <w:tc>
          <w:tcPr>
            <w:tcW w:w="2160" w:type="dxa"/>
            <w:tcBorders>
              <w:top w:val="single" w:sz="6" w:space="0" w:color="auto"/>
              <w:left w:val="single" w:sz="6" w:space="0" w:color="auto"/>
              <w:bottom w:val="single" w:sz="4" w:space="0" w:color="auto"/>
              <w:right w:val="nil"/>
            </w:tcBorders>
          </w:tcPr>
          <w:p w:rsidR="00E2425F" w:rsidRDefault="00E2425F">
            <w:pPr>
              <w:rPr>
                <w:vertAlign w:val="superscript"/>
              </w:rPr>
            </w:pPr>
            <w:r>
              <w:t>610.40(h)(2)(ii)(C) and (h)(2)(ii)</w:t>
            </w:r>
            <w:r w:rsidR="00D979BC">
              <w:t>(</w:t>
            </w:r>
            <w:r>
              <w:t>D)</w:t>
            </w:r>
          </w:p>
        </w:tc>
        <w:tc>
          <w:tcPr>
            <w:tcW w:w="1500" w:type="dxa"/>
            <w:tcBorders>
              <w:top w:val="single" w:sz="6" w:space="0" w:color="auto"/>
              <w:left w:val="single" w:sz="6" w:space="0" w:color="auto"/>
              <w:bottom w:val="single" w:sz="4" w:space="0" w:color="auto"/>
              <w:right w:val="nil"/>
            </w:tcBorders>
          </w:tcPr>
          <w:p w:rsidR="00E2425F" w:rsidRDefault="00E2425F">
            <w:r>
              <w:t>40</w:t>
            </w:r>
          </w:p>
        </w:tc>
        <w:tc>
          <w:tcPr>
            <w:tcW w:w="1740" w:type="dxa"/>
            <w:tcBorders>
              <w:top w:val="single" w:sz="6" w:space="0" w:color="auto"/>
              <w:left w:val="single" w:sz="6" w:space="0" w:color="auto"/>
              <w:bottom w:val="single" w:sz="4" w:space="0" w:color="auto"/>
              <w:right w:val="nil"/>
            </w:tcBorders>
          </w:tcPr>
          <w:p w:rsidR="00E2425F" w:rsidRDefault="00E2425F">
            <w:r>
              <w:t>12</w:t>
            </w:r>
          </w:p>
        </w:tc>
        <w:tc>
          <w:tcPr>
            <w:tcW w:w="1350" w:type="dxa"/>
            <w:tcBorders>
              <w:top w:val="single" w:sz="6" w:space="0" w:color="auto"/>
              <w:left w:val="single" w:sz="6" w:space="0" w:color="auto"/>
              <w:bottom w:val="single" w:sz="4" w:space="0" w:color="auto"/>
              <w:right w:val="nil"/>
            </w:tcBorders>
          </w:tcPr>
          <w:p w:rsidR="00E2425F" w:rsidRDefault="00E2425F">
            <w:r>
              <w:t>480</w:t>
            </w:r>
          </w:p>
        </w:tc>
        <w:tc>
          <w:tcPr>
            <w:tcW w:w="1470" w:type="dxa"/>
            <w:tcBorders>
              <w:top w:val="single" w:sz="6" w:space="0" w:color="auto"/>
              <w:left w:val="single" w:sz="6" w:space="0" w:color="auto"/>
              <w:bottom w:val="single" w:sz="4" w:space="0" w:color="auto"/>
              <w:right w:val="nil"/>
            </w:tcBorders>
          </w:tcPr>
          <w:p w:rsidR="00E2425F" w:rsidRDefault="00E2425F">
            <w:r>
              <w:t>0.2</w:t>
            </w:r>
            <w:r w:rsidR="009B3116">
              <w:t>0</w:t>
            </w:r>
          </w:p>
          <w:p w:rsidR="009B3116" w:rsidRDefault="009B3116" w:rsidP="009B3116">
            <w:pPr>
              <w:ind w:left="0"/>
            </w:pPr>
            <w:r>
              <w:t>(12 minutes)</w:t>
            </w:r>
          </w:p>
        </w:tc>
        <w:tc>
          <w:tcPr>
            <w:tcW w:w="1080" w:type="dxa"/>
            <w:tcBorders>
              <w:top w:val="single" w:sz="6" w:space="0" w:color="auto"/>
              <w:left w:val="single" w:sz="6" w:space="0" w:color="auto"/>
              <w:bottom w:val="single" w:sz="6" w:space="0" w:color="auto"/>
              <w:right w:val="single" w:sz="6" w:space="0" w:color="auto"/>
            </w:tcBorders>
          </w:tcPr>
          <w:p w:rsidR="00E2425F" w:rsidRDefault="00E2425F">
            <w:r>
              <w:t>96</w:t>
            </w:r>
          </w:p>
        </w:tc>
      </w:tr>
      <w:tr w:rsidR="00E2425F" w:rsidTr="009B3116">
        <w:tc>
          <w:tcPr>
            <w:tcW w:w="2160" w:type="dxa"/>
            <w:tcBorders>
              <w:top w:val="single" w:sz="4" w:space="0" w:color="auto"/>
              <w:left w:val="single" w:sz="6" w:space="0" w:color="auto"/>
              <w:bottom w:val="single" w:sz="6" w:space="0" w:color="auto"/>
              <w:right w:val="nil"/>
            </w:tcBorders>
          </w:tcPr>
          <w:p w:rsidR="00E2425F" w:rsidRDefault="00E2425F">
            <w:r>
              <w:t>610.40(h)(2)(vi)</w:t>
            </w:r>
          </w:p>
        </w:tc>
        <w:tc>
          <w:tcPr>
            <w:tcW w:w="1500" w:type="dxa"/>
            <w:tcBorders>
              <w:top w:val="single" w:sz="4" w:space="0" w:color="auto"/>
              <w:left w:val="single" w:sz="6" w:space="0" w:color="auto"/>
              <w:bottom w:val="single" w:sz="6" w:space="0" w:color="auto"/>
              <w:right w:val="nil"/>
            </w:tcBorders>
          </w:tcPr>
          <w:p w:rsidR="00E2425F" w:rsidRDefault="009B3116">
            <w:r>
              <w:t>2,361</w:t>
            </w:r>
          </w:p>
        </w:tc>
        <w:tc>
          <w:tcPr>
            <w:tcW w:w="1740" w:type="dxa"/>
            <w:tcBorders>
              <w:top w:val="single" w:sz="4" w:space="0" w:color="auto"/>
              <w:left w:val="single" w:sz="6" w:space="0" w:color="auto"/>
              <w:bottom w:val="single" w:sz="6" w:space="0" w:color="auto"/>
              <w:right w:val="nil"/>
            </w:tcBorders>
          </w:tcPr>
          <w:p w:rsidR="00E2425F" w:rsidRDefault="009B3116">
            <w:r>
              <w:t>7.62</w:t>
            </w:r>
          </w:p>
        </w:tc>
        <w:tc>
          <w:tcPr>
            <w:tcW w:w="1350" w:type="dxa"/>
            <w:tcBorders>
              <w:top w:val="single" w:sz="4" w:space="0" w:color="auto"/>
              <w:left w:val="single" w:sz="6" w:space="0" w:color="auto"/>
              <w:bottom w:val="single" w:sz="6" w:space="0" w:color="auto"/>
              <w:right w:val="nil"/>
            </w:tcBorders>
          </w:tcPr>
          <w:p w:rsidR="00E2425F" w:rsidRDefault="00E2425F">
            <w:r>
              <w:t>18,000</w:t>
            </w:r>
          </w:p>
        </w:tc>
        <w:tc>
          <w:tcPr>
            <w:tcW w:w="1470" w:type="dxa"/>
            <w:tcBorders>
              <w:top w:val="single" w:sz="4" w:space="0" w:color="auto"/>
              <w:left w:val="single" w:sz="6" w:space="0" w:color="auto"/>
              <w:bottom w:val="single" w:sz="6" w:space="0" w:color="auto"/>
              <w:right w:val="nil"/>
            </w:tcBorders>
          </w:tcPr>
          <w:p w:rsidR="00E2425F" w:rsidRDefault="009B3116">
            <w:r>
              <w:t>0.08</w:t>
            </w:r>
          </w:p>
          <w:p w:rsidR="009B3116" w:rsidRDefault="009B3116" w:rsidP="009B3116">
            <w:pPr>
              <w:ind w:left="0"/>
            </w:pPr>
            <w:r>
              <w:t>(5 minutes)</w:t>
            </w:r>
          </w:p>
        </w:tc>
        <w:tc>
          <w:tcPr>
            <w:tcW w:w="1080" w:type="dxa"/>
            <w:tcBorders>
              <w:top w:val="single" w:sz="6" w:space="0" w:color="auto"/>
              <w:left w:val="single" w:sz="6" w:space="0" w:color="auto"/>
              <w:bottom w:val="single" w:sz="6" w:space="0" w:color="auto"/>
              <w:right w:val="single" w:sz="6" w:space="0" w:color="auto"/>
            </w:tcBorders>
          </w:tcPr>
          <w:p w:rsidR="00E2425F" w:rsidRDefault="008E03DA">
            <w:r>
              <w:t>1,4</w:t>
            </w:r>
            <w:r w:rsidR="00E2425F">
              <w:t>40</w:t>
            </w:r>
          </w:p>
        </w:tc>
      </w:tr>
      <w:tr w:rsidR="00E2425F" w:rsidTr="009B3116">
        <w:tc>
          <w:tcPr>
            <w:tcW w:w="2160" w:type="dxa"/>
            <w:tcBorders>
              <w:top w:val="single" w:sz="6" w:space="0" w:color="auto"/>
              <w:left w:val="single" w:sz="6" w:space="0" w:color="auto"/>
              <w:bottom w:val="single" w:sz="4" w:space="0" w:color="auto"/>
              <w:right w:val="nil"/>
            </w:tcBorders>
          </w:tcPr>
          <w:p w:rsidR="00E2425F" w:rsidRDefault="00E2425F">
            <w:r>
              <w:t>610.42(a)</w:t>
            </w:r>
          </w:p>
        </w:tc>
        <w:tc>
          <w:tcPr>
            <w:tcW w:w="1500" w:type="dxa"/>
            <w:tcBorders>
              <w:top w:val="single" w:sz="6" w:space="0" w:color="auto"/>
              <w:left w:val="single" w:sz="6" w:space="0" w:color="auto"/>
              <w:bottom w:val="single" w:sz="4" w:space="0" w:color="auto"/>
              <w:right w:val="nil"/>
            </w:tcBorders>
          </w:tcPr>
          <w:p w:rsidR="00E2425F" w:rsidRDefault="00E2425F">
            <w:r>
              <w:t>1</w:t>
            </w:r>
          </w:p>
        </w:tc>
        <w:tc>
          <w:tcPr>
            <w:tcW w:w="1740" w:type="dxa"/>
            <w:tcBorders>
              <w:top w:val="single" w:sz="6" w:space="0" w:color="auto"/>
              <w:left w:val="single" w:sz="6" w:space="0" w:color="auto"/>
              <w:bottom w:val="single" w:sz="4" w:space="0" w:color="auto"/>
              <w:right w:val="nil"/>
            </w:tcBorders>
          </w:tcPr>
          <w:p w:rsidR="00E2425F" w:rsidRDefault="00E2425F">
            <w:r>
              <w:t>1</w:t>
            </w:r>
          </w:p>
        </w:tc>
        <w:tc>
          <w:tcPr>
            <w:tcW w:w="1350" w:type="dxa"/>
            <w:tcBorders>
              <w:top w:val="single" w:sz="6" w:space="0" w:color="auto"/>
              <w:left w:val="single" w:sz="6" w:space="0" w:color="auto"/>
              <w:bottom w:val="single" w:sz="4" w:space="0" w:color="auto"/>
              <w:right w:val="nil"/>
            </w:tcBorders>
          </w:tcPr>
          <w:p w:rsidR="00E2425F" w:rsidRDefault="00E2425F">
            <w:r>
              <w:t>1</w:t>
            </w:r>
          </w:p>
        </w:tc>
        <w:tc>
          <w:tcPr>
            <w:tcW w:w="1470" w:type="dxa"/>
            <w:tcBorders>
              <w:top w:val="single" w:sz="6" w:space="0" w:color="auto"/>
              <w:left w:val="single" w:sz="6" w:space="0" w:color="auto"/>
              <w:bottom w:val="single" w:sz="4" w:space="0" w:color="auto"/>
              <w:right w:val="nil"/>
            </w:tcBorders>
          </w:tcPr>
          <w:p w:rsidR="00E2425F" w:rsidRDefault="00E2425F">
            <w:r>
              <w:t>1</w:t>
            </w:r>
          </w:p>
        </w:tc>
        <w:tc>
          <w:tcPr>
            <w:tcW w:w="1080" w:type="dxa"/>
            <w:tcBorders>
              <w:top w:val="single" w:sz="6" w:space="0" w:color="auto"/>
              <w:left w:val="single" w:sz="6" w:space="0" w:color="auto"/>
              <w:bottom w:val="single" w:sz="6" w:space="0" w:color="auto"/>
              <w:right w:val="single" w:sz="6" w:space="0" w:color="auto"/>
            </w:tcBorders>
          </w:tcPr>
          <w:p w:rsidR="00E2425F" w:rsidRDefault="00E2425F">
            <w:r>
              <w:t>1</w:t>
            </w:r>
          </w:p>
        </w:tc>
      </w:tr>
      <w:tr w:rsidR="00E2425F" w:rsidTr="009B3116">
        <w:tc>
          <w:tcPr>
            <w:tcW w:w="2160" w:type="dxa"/>
            <w:tcBorders>
              <w:top w:val="single" w:sz="4" w:space="0" w:color="auto"/>
              <w:left w:val="single" w:sz="6" w:space="0" w:color="auto"/>
              <w:bottom w:val="single" w:sz="4" w:space="0" w:color="auto"/>
              <w:right w:val="nil"/>
            </w:tcBorders>
          </w:tcPr>
          <w:p w:rsidR="00E2425F" w:rsidRDefault="00E2425F">
            <w:r>
              <w:t>610.46(a)(1)(ii)(B)</w:t>
            </w:r>
          </w:p>
        </w:tc>
        <w:tc>
          <w:tcPr>
            <w:tcW w:w="1500" w:type="dxa"/>
            <w:tcBorders>
              <w:top w:val="single" w:sz="4" w:space="0" w:color="auto"/>
              <w:left w:val="single" w:sz="6" w:space="0" w:color="auto"/>
              <w:bottom w:val="single" w:sz="4" w:space="0" w:color="auto"/>
              <w:right w:val="nil"/>
            </w:tcBorders>
          </w:tcPr>
          <w:p w:rsidR="00E2425F" w:rsidRDefault="00641E4A">
            <w:r>
              <w:t>1,</w:t>
            </w:r>
            <w:r w:rsidR="009B3116">
              <w:t>945</w:t>
            </w:r>
          </w:p>
        </w:tc>
        <w:tc>
          <w:tcPr>
            <w:tcW w:w="1740" w:type="dxa"/>
            <w:tcBorders>
              <w:top w:val="single" w:sz="4" w:space="0" w:color="auto"/>
              <w:left w:val="single" w:sz="6" w:space="0" w:color="auto"/>
              <w:bottom w:val="single" w:sz="4" w:space="0" w:color="auto"/>
              <w:right w:val="nil"/>
            </w:tcBorders>
          </w:tcPr>
          <w:p w:rsidR="00E2425F" w:rsidRDefault="009B3116">
            <w:r>
              <w:t>5.40</w:t>
            </w:r>
          </w:p>
        </w:tc>
        <w:tc>
          <w:tcPr>
            <w:tcW w:w="1350" w:type="dxa"/>
            <w:tcBorders>
              <w:top w:val="single" w:sz="4" w:space="0" w:color="auto"/>
              <w:left w:val="single" w:sz="6" w:space="0" w:color="auto"/>
              <w:bottom w:val="single" w:sz="4" w:space="0" w:color="auto"/>
              <w:right w:val="nil"/>
            </w:tcBorders>
          </w:tcPr>
          <w:p w:rsidR="00E2425F" w:rsidRDefault="00E2425F">
            <w:r>
              <w:t>10,500</w:t>
            </w:r>
          </w:p>
        </w:tc>
        <w:tc>
          <w:tcPr>
            <w:tcW w:w="1470" w:type="dxa"/>
            <w:tcBorders>
              <w:top w:val="single" w:sz="4" w:space="0" w:color="auto"/>
              <w:left w:val="single" w:sz="6" w:space="0" w:color="auto"/>
              <w:bottom w:val="single" w:sz="4" w:space="0" w:color="auto"/>
              <w:right w:val="nil"/>
            </w:tcBorders>
          </w:tcPr>
          <w:p w:rsidR="00E2425F" w:rsidRDefault="009B3116">
            <w:r>
              <w:t>0.17</w:t>
            </w:r>
          </w:p>
          <w:p w:rsidR="009B3116" w:rsidRDefault="009B3116" w:rsidP="009B3116">
            <w:pPr>
              <w:ind w:left="0"/>
            </w:pPr>
            <w:r>
              <w:t>(10 minutes)</w:t>
            </w:r>
          </w:p>
        </w:tc>
        <w:tc>
          <w:tcPr>
            <w:tcW w:w="1080" w:type="dxa"/>
            <w:tcBorders>
              <w:top w:val="single" w:sz="6" w:space="0" w:color="auto"/>
              <w:left w:val="single" w:sz="6" w:space="0" w:color="auto"/>
              <w:bottom w:val="single" w:sz="6" w:space="0" w:color="auto"/>
              <w:right w:val="single" w:sz="6" w:space="0" w:color="auto"/>
            </w:tcBorders>
          </w:tcPr>
          <w:p w:rsidR="00E2425F" w:rsidRDefault="00E2425F">
            <w:r>
              <w:t>1,785</w:t>
            </w:r>
          </w:p>
        </w:tc>
      </w:tr>
      <w:tr w:rsidR="00E2425F" w:rsidTr="009B3116">
        <w:trPr>
          <w:trHeight w:val="390"/>
        </w:trPr>
        <w:tc>
          <w:tcPr>
            <w:tcW w:w="2160" w:type="dxa"/>
            <w:tcBorders>
              <w:top w:val="single" w:sz="4" w:space="0" w:color="auto"/>
              <w:left w:val="single" w:sz="6" w:space="0" w:color="auto"/>
              <w:bottom w:val="single" w:sz="6" w:space="0" w:color="auto"/>
              <w:right w:val="nil"/>
            </w:tcBorders>
          </w:tcPr>
          <w:p w:rsidR="00E2425F" w:rsidRDefault="00E2425F">
            <w:r>
              <w:t>610.46(a)(3)</w:t>
            </w:r>
          </w:p>
        </w:tc>
        <w:tc>
          <w:tcPr>
            <w:tcW w:w="1500" w:type="dxa"/>
            <w:tcBorders>
              <w:top w:val="single" w:sz="4" w:space="0" w:color="auto"/>
              <w:left w:val="single" w:sz="6" w:space="0" w:color="auto"/>
              <w:bottom w:val="single" w:sz="6" w:space="0" w:color="auto"/>
              <w:right w:val="nil"/>
            </w:tcBorders>
          </w:tcPr>
          <w:p w:rsidR="00E2425F" w:rsidRDefault="00641E4A">
            <w:r>
              <w:t>1,</w:t>
            </w:r>
            <w:r w:rsidR="009B3116">
              <w:t>945</w:t>
            </w:r>
          </w:p>
        </w:tc>
        <w:tc>
          <w:tcPr>
            <w:tcW w:w="1740" w:type="dxa"/>
            <w:tcBorders>
              <w:top w:val="single" w:sz="4" w:space="0" w:color="auto"/>
              <w:left w:val="single" w:sz="6" w:space="0" w:color="auto"/>
              <w:bottom w:val="single" w:sz="6" w:space="0" w:color="auto"/>
              <w:right w:val="nil"/>
            </w:tcBorders>
          </w:tcPr>
          <w:p w:rsidR="00E2425F" w:rsidRDefault="009B3116">
            <w:pPr>
              <w:pStyle w:val="Header"/>
            </w:pPr>
            <w:r>
              <w:t>5.40</w:t>
            </w:r>
          </w:p>
        </w:tc>
        <w:tc>
          <w:tcPr>
            <w:tcW w:w="1350" w:type="dxa"/>
            <w:tcBorders>
              <w:top w:val="single" w:sz="4" w:space="0" w:color="auto"/>
              <w:left w:val="single" w:sz="6" w:space="0" w:color="auto"/>
              <w:bottom w:val="single" w:sz="6" w:space="0" w:color="auto"/>
              <w:right w:val="nil"/>
            </w:tcBorders>
          </w:tcPr>
          <w:p w:rsidR="00E2425F" w:rsidRDefault="00E2425F">
            <w:r>
              <w:t>10,500</w:t>
            </w:r>
          </w:p>
        </w:tc>
        <w:tc>
          <w:tcPr>
            <w:tcW w:w="1470" w:type="dxa"/>
            <w:tcBorders>
              <w:top w:val="single" w:sz="4" w:space="0" w:color="auto"/>
              <w:left w:val="single" w:sz="6" w:space="0" w:color="auto"/>
              <w:bottom w:val="single" w:sz="6" w:space="0" w:color="auto"/>
              <w:right w:val="nil"/>
            </w:tcBorders>
          </w:tcPr>
          <w:p w:rsidR="00E2425F" w:rsidRDefault="00E2425F">
            <w:r>
              <w:t>0.17</w:t>
            </w:r>
          </w:p>
          <w:p w:rsidR="009B3116" w:rsidRDefault="009B3116" w:rsidP="009B3116">
            <w:pPr>
              <w:ind w:left="0"/>
            </w:pPr>
            <w:r>
              <w:t>(10 minutes)</w:t>
            </w:r>
          </w:p>
        </w:tc>
        <w:tc>
          <w:tcPr>
            <w:tcW w:w="1080" w:type="dxa"/>
            <w:tcBorders>
              <w:top w:val="single" w:sz="6" w:space="0" w:color="auto"/>
              <w:left w:val="single" w:sz="6" w:space="0" w:color="auto"/>
              <w:bottom w:val="single" w:sz="6" w:space="0" w:color="auto"/>
              <w:right w:val="single" w:sz="6" w:space="0" w:color="auto"/>
            </w:tcBorders>
          </w:tcPr>
          <w:p w:rsidR="00E2425F" w:rsidRDefault="00E2425F">
            <w:r>
              <w:t>1,785</w:t>
            </w:r>
          </w:p>
        </w:tc>
      </w:tr>
      <w:tr w:rsidR="00D979BC" w:rsidTr="009B3116">
        <w:tc>
          <w:tcPr>
            <w:tcW w:w="2160" w:type="dxa"/>
            <w:tcBorders>
              <w:top w:val="single" w:sz="4" w:space="0" w:color="auto"/>
              <w:left w:val="single" w:sz="6" w:space="0" w:color="auto"/>
              <w:bottom w:val="single" w:sz="6" w:space="0" w:color="auto"/>
              <w:right w:val="nil"/>
            </w:tcBorders>
          </w:tcPr>
          <w:p w:rsidR="00D979BC" w:rsidRDefault="00D979BC">
            <w:r>
              <w:t>610.46(b)(3)</w:t>
            </w:r>
          </w:p>
        </w:tc>
        <w:tc>
          <w:tcPr>
            <w:tcW w:w="1500" w:type="dxa"/>
            <w:tcBorders>
              <w:top w:val="single" w:sz="4" w:space="0" w:color="auto"/>
              <w:left w:val="single" w:sz="6" w:space="0" w:color="auto"/>
              <w:bottom w:val="single" w:sz="6" w:space="0" w:color="auto"/>
              <w:right w:val="nil"/>
            </w:tcBorders>
          </w:tcPr>
          <w:p w:rsidR="00D979BC" w:rsidRDefault="009B3116">
            <w:r>
              <w:t>4,961</w:t>
            </w:r>
          </w:p>
        </w:tc>
        <w:tc>
          <w:tcPr>
            <w:tcW w:w="1740" w:type="dxa"/>
            <w:tcBorders>
              <w:top w:val="single" w:sz="4" w:space="0" w:color="auto"/>
              <w:left w:val="single" w:sz="6" w:space="0" w:color="auto"/>
              <w:bottom w:val="single" w:sz="6" w:space="0" w:color="auto"/>
              <w:right w:val="nil"/>
            </w:tcBorders>
          </w:tcPr>
          <w:p w:rsidR="00D979BC" w:rsidRDefault="00853398">
            <w:pPr>
              <w:pStyle w:val="Header"/>
            </w:pPr>
            <w:r>
              <w:t>0.35</w:t>
            </w:r>
          </w:p>
        </w:tc>
        <w:tc>
          <w:tcPr>
            <w:tcW w:w="1350" w:type="dxa"/>
            <w:tcBorders>
              <w:top w:val="single" w:sz="4" w:space="0" w:color="auto"/>
              <w:left w:val="single" w:sz="6" w:space="0" w:color="auto"/>
              <w:bottom w:val="single" w:sz="6" w:space="0" w:color="auto"/>
              <w:right w:val="nil"/>
            </w:tcBorders>
          </w:tcPr>
          <w:p w:rsidR="00D979BC" w:rsidRDefault="00853398">
            <w:r>
              <w:t>1,755</w:t>
            </w:r>
          </w:p>
        </w:tc>
        <w:tc>
          <w:tcPr>
            <w:tcW w:w="1470" w:type="dxa"/>
            <w:tcBorders>
              <w:top w:val="single" w:sz="4" w:space="0" w:color="auto"/>
              <w:left w:val="single" w:sz="6" w:space="0" w:color="auto"/>
              <w:bottom w:val="single" w:sz="6" w:space="0" w:color="auto"/>
              <w:right w:val="nil"/>
            </w:tcBorders>
          </w:tcPr>
          <w:p w:rsidR="00D979BC" w:rsidRDefault="00D979BC">
            <w:r>
              <w:t>1.0</w:t>
            </w:r>
          </w:p>
        </w:tc>
        <w:tc>
          <w:tcPr>
            <w:tcW w:w="1080" w:type="dxa"/>
            <w:tcBorders>
              <w:top w:val="single" w:sz="6" w:space="0" w:color="auto"/>
              <w:left w:val="single" w:sz="6" w:space="0" w:color="auto"/>
              <w:bottom w:val="single" w:sz="6" w:space="0" w:color="auto"/>
              <w:right w:val="single" w:sz="6" w:space="0" w:color="auto"/>
            </w:tcBorders>
          </w:tcPr>
          <w:p w:rsidR="00D979BC" w:rsidRDefault="00D979BC">
            <w:r>
              <w:t>1,755</w:t>
            </w:r>
          </w:p>
        </w:tc>
      </w:tr>
      <w:tr w:rsidR="00D979BC" w:rsidTr="009B3116">
        <w:tc>
          <w:tcPr>
            <w:tcW w:w="2160" w:type="dxa"/>
            <w:tcBorders>
              <w:top w:val="single" w:sz="4" w:space="0" w:color="auto"/>
              <w:left w:val="single" w:sz="6" w:space="0" w:color="auto"/>
              <w:bottom w:val="single" w:sz="6" w:space="0" w:color="auto"/>
              <w:right w:val="nil"/>
            </w:tcBorders>
          </w:tcPr>
          <w:p w:rsidR="00D979BC" w:rsidRDefault="00D979BC">
            <w:r>
              <w:t>610.47(a)(1)(ii)(B)</w:t>
            </w:r>
          </w:p>
        </w:tc>
        <w:tc>
          <w:tcPr>
            <w:tcW w:w="1500" w:type="dxa"/>
            <w:tcBorders>
              <w:top w:val="single" w:sz="4" w:space="0" w:color="auto"/>
              <w:left w:val="single" w:sz="6" w:space="0" w:color="auto"/>
              <w:bottom w:val="single" w:sz="6" w:space="0" w:color="auto"/>
              <w:right w:val="nil"/>
            </w:tcBorders>
          </w:tcPr>
          <w:p w:rsidR="00D979BC" w:rsidRDefault="00853398">
            <w:r>
              <w:t>1,945</w:t>
            </w:r>
          </w:p>
        </w:tc>
        <w:tc>
          <w:tcPr>
            <w:tcW w:w="1740" w:type="dxa"/>
            <w:tcBorders>
              <w:top w:val="single" w:sz="4" w:space="0" w:color="auto"/>
              <w:left w:val="single" w:sz="6" w:space="0" w:color="auto"/>
              <w:bottom w:val="single" w:sz="6" w:space="0" w:color="auto"/>
              <w:right w:val="nil"/>
            </w:tcBorders>
          </w:tcPr>
          <w:p w:rsidR="00D979BC" w:rsidRDefault="00853398">
            <w:pPr>
              <w:pStyle w:val="Header"/>
            </w:pPr>
            <w:r>
              <w:t>12.03</w:t>
            </w:r>
          </w:p>
        </w:tc>
        <w:tc>
          <w:tcPr>
            <w:tcW w:w="1350" w:type="dxa"/>
            <w:tcBorders>
              <w:top w:val="single" w:sz="4" w:space="0" w:color="auto"/>
              <w:left w:val="single" w:sz="6" w:space="0" w:color="auto"/>
              <w:bottom w:val="single" w:sz="6" w:space="0" w:color="auto"/>
              <w:right w:val="nil"/>
            </w:tcBorders>
          </w:tcPr>
          <w:p w:rsidR="00D979BC" w:rsidRDefault="00D979BC">
            <w:r>
              <w:t>23,400</w:t>
            </w:r>
          </w:p>
        </w:tc>
        <w:tc>
          <w:tcPr>
            <w:tcW w:w="1470" w:type="dxa"/>
            <w:tcBorders>
              <w:top w:val="single" w:sz="4" w:space="0" w:color="auto"/>
              <w:left w:val="single" w:sz="6" w:space="0" w:color="auto"/>
              <w:bottom w:val="single" w:sz="6" w:space="0" w:color="auto"/>
              <w:right w:val="nil"/>
            </w:tcBorders>
          </w:tcPr>
          <w:p w:rsidR="00D979BC" w:rsidRDefault="00D979BC">
            <w:r>
              <w:t>0.17</w:t>
            </w:r>
          </w:p>
          <w:p w:rsidR="00853398" w:rsidRDefault="00853398" w:rsidP="00853398">
            <w:pPr>
              <w:ind w:left="0"/>
            </w:pPr>
            <w:r>
              <w:t>(10 minutes)</w:t>
            </w:r>
          </w:p>
        </w:tc>
        <w:tc>
          <w:tcPr>
            <w:tcW w:w="1080" w:type="dxa"/>
            <w:tcBorders>
              <w:top w:val="single" w:sz="6" w:space="0" w:color="auto"/>
              <w:left w:val="single" w:sz="6" w:space="0" w:color="auto"/>
              <w:bottom w:val="single" w:sz="6" w:space="0" w:color="auto"/>
              <w:right w:val="single" w:sz="6" w:space="0" w:color="auto"/>
            </w:tcBorders>
          </w:tcPr>
          <w:p w:rsidR="00D979BC" w:rsidRDefault="00D979BC">
            <w:r>
              <w:t>3,978</w:t>
            </w:r>
          </w:p>
        </w:tc>
      </w:tr>
      <w:tr w:rsidR="00D979BC" w:rsidTr="009B3116">
        <w:tc>
          <w:tcPr>
            <w:tcW w:w="2160" w:type="dxa"/>
            <w:tcBorders>
              <w:top w:val="single" w:sz="4" w:space="0" w:color="auto"/>
              <w:left w:val="single" w:sz="6" w:space="0" w:color="auto"/>
              <w:bottom w:val="single" w:sz="6" w:space="0" w:color="auto"/>
              <w:right w:val="nil"/>
            </w:tcBorders>
          </w:tcPr>
          <w:p w:rsidR="00D979BC" w:rsidRDefault="00D979BC">
            <w:r>
              <w:lastRenderedPageBreak/>
              <w:t>610.47(a)(3)</w:t>
            </w:r>
          </w:p>
        </w:tc>
        <w:tc>
          <w:tcPr>
            <w:tcW w:w="1500" w:type="dxa"/>
            <w:tcBorders>
              <w:top w:val="single" w:sz="4" w:space="0" w:color="auto"/>
              <w:left w:val="single" w:sz="6" w:space="0" w:color="auto"/>
              <w:bottom w:val="single" w:sz="6" w:space="0" w:color="auto"/>
              <w:right w:val="nil"/>
            </w:tcBorders>
          </w:tcPr>
          <w:p w:rsidR="00D979BC" w:rsidRDefault="00853398">
            <w:r>
              <w:t>1,945</w:t>
            </w:r>
          </w:p>
        </w:tc>
        <w:tc>
          <w:tcPr>
            <w:tcW w:w="1740" w:type="dxa"/>
            <w:tcBorders>
              <w:top w:val="single" w:sz="4" w:space="0" w:color="auto"/>
              <w:left w:val="single" w:sz="6" w:space="0" w:color="auto"/>
              <w:bottom w:val="single" w:sz="6" w:space="0" w:color="auto"/>
              <w:right w:val="nil"/>
            </w:tcBorders>
          </w:tcPr>
          <w:p w:rsidR="00D979BC" w:rsidRDefault="00853398">
            <w:pPr>
              <w:pStyle w:val="Header"/>
            </w:pPr>
            <w:r>
              <w:t>12.03</w:t>
            </w:r>
          </w:p>
        </w:tc>
        <w:tc>
          <w:tcPr>
            <w:tcW w:w="1350" w:type="dxa"/>
            <w:tcBorders>
              <w:top w:val="single" w:sz="4" w:space="0" w:color="auto"/>
              <w:left w:val="single" w:sz="6" w:space="0" w:color="auto"/>
              <w:bottom w:val="single" w:sz="6" w:space="0" w:color="auto"/>
              <w:right w:val="nil"/>
            </w:tcBorders>
          </w:tcPr>
          <w:p w:rsidR="00D979BC" w:rsidRDefault="00D979BC">
            <w:r>
              <w:t>23,400</w:t>
            </w:r>
          </w:p>
        </w:tc>
        <w:tc>
          <w:tcPr>
            <w:tcW w:w="1470" w:type="dxa"/>
            <w:tcBorders>
              <w:top w:val="single" w:sz="4" w:space="0" w:color="auto"/>
              <w:left w:val="single" w:sz="6" w:space="0" w:color="auto"/>
              <w:bottom w:val="single" w:sz="6" w:space="0" w:color="auto"/>
              <w:right w:val="nil"/>
            </w:tcBorders>
          </w:tcPr>
          <w:p w:rsidR="00D979BC" w:rsidRDefault="00853398">
            <w:r>
              <w:t>0.17</w:t>
            </w:r>
          </w:p>
          <w:p w:rsidR="00853398" w:rsidRDefault="00853398" w:rsidP="00853398">
            <w:pPr>
              <w:ind w:left="0"/>
            </w:pPr>
            <w:r>
              <w:t>(10 minutes)</w:t>
            </w:r>
          </w:p>
        </w:tc>
        <w:tc>
          <w:tcPr>
            <w:tcW w:w="1080" w:type="dxa"/>
            <w:tcBorders>
              <w:top w:val="single" w:sz="6" w:space="0" w:color="auto"/>
              <w:left w:val="single" w:sz="6" w:space="0" w:color="auto"/>
              <w:bottom w:val="single" w:sz="6" w:space="0" w:color="auto"/>
              <w:right w:val="single" w:sz="6" w:space="0" w:color="auto"/>
            </w:tcBorders>
          </w:tcPr>
          <w:p w:rsidR="00D979BC" w:rsidRDefault="00D979BC">
            <w:r>
              <w:t>3,978</w:t>
            </w:r>
          </w:p>
        </w:tc>
      </w:tr>
      <w:tr w:rsidR="00D979BC" w:rsidTr="009B3116">
        <w:tc>
          <w:tcPr>
            <w:tcW w:w="2160" w:type="dxa"/>
            <w:tcBorders>
              <w:top w:val="single" w:sz="6" w:space="0" w:color="auto"/>
              <w:left w:val="single" w:sz="6" w:space="0" w:color="auto"/>
              <w:bottom w:val="single" w:sz="6" w:space="0" w:color="auto"/>
              <w:right w:val="nil"/>
            </w:tcBorders>
          </w:tcPr>
          <w:p w:rsidR="00D979BC" w:rsidRDefault="00D979BC">
            <w:r>
              <w:t>610.47(b)(3)</w:t>
            </w:r>
          </w:p>
        </w:tc>
        <w:tc>
          <w:tcPr>
            <w:tcW w:w="1500" w:type="dxa"/>
            <w:tcBorders>
              <w:top w:val="single" w:sz="6" w:space="0" w:color="auto"/>
              <w:left w:val="single" w:sz="6" w:space="0" w:color="auto"/>
              <w:bottom w:val="single" w:sz="6" w:space="0" w:color="auto"/>
              <w:right w:val="nil"/>
            </w:tcBorders>
          </w:tcPr>
          <w:p w:rsidR="00D979BC" w:rsidRDefault="00853398">
            <w:r>
              <w:t>4,961</w:t>
            </w:r>
          </w:p>
        </w:tc>
        <w:tc>
          <w:tcPr>
            <w:tcW w:w="1740" w:type="dxa"/>
            <w:tcBorders>
              <w:top w:val="single" w:sz="6" w:space="0" w:color="auto"/>
              <w:left w:val="single" w:sz="6" w:space="0" w:color="auto"/>
              <w:bottom w:val="single" w:sz="6" w:space="0" w:color="auto"/>
              <w:right w:val="nil"/>
            </w:tcBorders>
          </w:tcPr>
          <w:p w:rsidR="00D979BC" w:rsidRDefault="00853398">
            <w:pPr>
              <w:ind w:left="0"/>
            </w:pPr>
            <w:r>
              <w:t xml:space="preserve"> 0.4</w:t>
            </w:r>
            <w:r w:rsidR="00D979BC">
              <w:t>1</w:t>
            </w:r>
          </w:p>
        </w:tc>
        <w:tc>
          <w:tcPr>
            <w:tcW w:w="1350" w:type="dxa"/>
            <w:tcBorders>
              <w:top w:val="single" w:sz="6" w:space="0" w:color="auto"/>
              <w:left w:val="single" w:sz="6" w:space="0" w:color="auto"/>
              <w:bottom w:val="single" w:sz="6" w:space="0" w:color="auto"/>
              <w:right w:val="nil"/>
            </w:tcBorders>
          </w:tcPr>
          <w:p w:rsidR="00D979BC" w:rsidRDefault="00D979BC">
            <w:r>
              <w:t>2,050</w:t>
            </w:r>
          </w:p>
        </w:tc>
        <w:tc>
          <w:tcPr>
            <w:tcW w:w="1470" w:type="dxa"/>
            <w:tcBorders>
              <w:top w:val="single" w:sz="6" w:space="0" w:color="auto"/>
              <w:left w:val="single" w:sz="6" w:space="0" w:color="auto"/>
              <w:bottom w:val="single" w:sz="6" w:space="0" w:color="auto"/>
              <w:right w:val="nil"/>
            </w:tcBorders>
          </w:tcPr>
          <w:p w:rsidR="00D979BC" w:rsidRDefault="00D979BC">
            <w:r>
              <w:t>1.0</w:t>
            </w:r>
          </w:p>
        </w:tc>
        <w:tc>
          <w:tcPr>
            <w:tcW w:w="1080" w:type="dxa"/>
            <w:tcBorders>
              <w:top w:val="single" w:sz="6" w:space="0" w:color="auto"/>
              <w:left w:val="single" w:sz="6" w:space="0" w:color="auto"/>
              <w:bottom w:val="single" w:sz="6" w:space="0" w:color="auto"/>
              <w:right w:val="single" w:sz="6" w:space="0" w:color="auto"/>
            </w:tcBorders>
          </w:tcPr>
          <w:p w:rsidR="00D979BC" w:rsidRDefault="00D979BC">
            <w:r>
              <w:t>2,050</w:t>
            </w:r>
          </w:p>
        </w:tc>
      </w:tr>
      <w:tr w:rsidR="00D979BC" w:rsidTr="009B3116">
        <w:tc>
          <w:tcPr>
            <w:tcW w:w="2160" w:type="dxa"/>
            <w:tcBorders>
              <w:top w:val="single" w:sz="6" w:space="0" w:color="auto"/>
              <w:left w:val="single" w:sz="6" w:space="0" w:color="auto"/>
              <w:bottom w:val="single" w:sz="6" w:space="0" w:color="auto"/>
              <w:right w:val="nil"/>
            </w:tcBorders>
          </w:tcPr>
          <w:p w:rsidR="00D979BC" w:rsidRDefault="00D979BC">
            <w:r>
              <w:t>630.6(a)</w:t>
            </w:r>
            <w:r w:rsidR="004716D5">
              <w:rPr>
                <w:vertAlign w:val="superscript"/>
              </w:rPr>
              <w:t>2</w:t>
            </w:r>
          </w:p>
        </w:tc>
        <w:tc>
          <w:tcPr>
            <w:tcW w:w="1500" w:type="dxa"/>
            <w:tcBorders>
              <w:top w:val="single" w:sz="6" w:space="0" w:color="auto"/>
              <w:left w:val="single" w:sz="6" w:space="0" w:color="auto"/>
              <w:bottom w:val="single" w:sz="6" w:space="0" w:color="auto"/>
              <w:right w:val="nil"/>
            </w:tcBorders>
          </w:tcPr>
          <w:p w:rsidR="00D979BC" w:rsidRDefault="00853398">
            <w:r>
              <w:t>648</w:t>
            </w:r>
          </w:p>
        </w:tc>
        <w:tc>
          <w:tcPr>
            <w:tcW w:w="1740" w:type="dxa"/>
            <w:tcBorders>
              <w:top w:val="single" w:sz="6" w:space="0" w:color="auto"/>
              <w:left w:val="single" w:sz="6" w:space="0" w:color="auto"/>
              <w:bottom w:val="single" w:sz="6" w:space="0" w:color="auto"/>
              <w:right w:val="nil"/>
            </w:tcBorders>
          </w:tcPr>
          <w:p w:rsidR="00D979BC" w:rsidRDefault="00853398">
            <w:r>
              <w:t>668.72</w:t>
            </w:r>
          </w:p>
        </w:tc>
        <w:tc>
          <w:tcPr>
            <w:tcW w:w="1350" w:type="dxa"/>
            <w:tcBorders>
              <w:top w:val="single" w:sz="6" w:space="0" w:color="auto"/>
              <w:left w:val="single" w:sz="6" w:space="0" w:color="auto"/>
              <w:bottom w:val="single" w:sz="6" w:space="0" w:color="auto"/>
              <w:right w:val="nil"/>
            </w:tcBorders>
          </w:tcPr>
          <w:p w:rsidR="00D979BC" w:rsidRDefault="00853398">
            <w:r>
              <w:t>433,333</w:t>
            </w:r>
          </w:p>
        </w:tc>
        <w:tc>
          <w:tcPr>
            <w:tcW w:w="1470" w:type="dxa"/>
            <w:tcBorders>
              <w:top w:val="single" w:sz="6" w:space="0" w:color="auto"/>
              <w:left w:val="single" w:sz="6" w:space="0" w:color="auto"/>
              <w:bottom w:val="single" w:sz="6" w:space="0" w:color="auto"/>
              <w:right w:val="nil"/>
            </w:tcBorders>
          </w:tcPr>
          <w:p w:rsidR="00D979BC" w:rsidRDefault="00D979BC">
            <w:r>
              <w:t>0.08</w:t>
            </w:r>
          </w:p>
          <w:p w:rsidR="00853398" w:rsidRDefault="00853398" w:rsidP="00853398">
            <w:pPr>
              <w:ind w:left="0"/>
            </w:pPr>
            <w:r>
              <w:t>(5 minutes)</w:t>
            </w:r>
          </w:p>
        </w:tc>
        <w:tc>
          <w:tcPr>
            <w:tcW w:w="1080" w:type="dxa"/>
            <w:tcBorders>
              <w:top w:val="single" w:sz="6" w:space="0" w:color="auto"/>
              <w:left w:val="single" w:sz="6" w:space="0" w:color="auto"/>
              <w:bottom w:val="single" w:sz="6" w:space="0" w:color="auto"/>
              <w:right w:val="single" w:sz="6" w:space="0" w:color="auto"/>
            </w:tcBorders>
          </w:tcPr>
          <w:p w:rsidR="00D979BC" w:rsidRDefault="00853398">
            <w:r>
              <w:t>34,667</w:t>
            </w:r>
          </w:p>
        </w:tc>
      </w:tr>
      <w:tr w:rsidR="00D979BC" w:rsidTr="009B3116">
        <w:tc>
          <w:tcPr>
            <w:tcW w:w="2160" w:type="dxa"/>
            <w:tcBorders>
              <w:top w:val="single" w:sz="6" w:space="0" w:color="auto"/>
              <w:left w:val="single" w:sz="6" w:space="0" w:color="auto"/>
              <w:bottom w:val="single" w:sz="6" w:space="0" w:color="auto"/>
              <w:right w:val="nil"/>
            </w:tcBorders>
          </w:tcPr>
          <w:p w:rsidR="00D979BC" w:rsidRDefault="00D979BC">
            <w:r>
              <w:t>630.6(a)</w:t>
            </w:r>
            <w:r w:rsidR="004716D5">
              <w:rPr>
                <w:vertAlign w:val="superscript"/>
              </w:rPr>
              <w:t>3</w:t>
            </w:r>
          </w:p>
        </w:tc>
        <w:tc>
          <w:tcPr>
            <w:tcW w:w="1500" w:type="dxa"/>
            <w:tcBorders>
              <w:top w:val="single" w:sz="6" w:space="0" w:color="auto"/>
              <w:left w:val="single" w:sz="6" w:space="0" w:color="auto"/>
              <w:bottom w:val="single" w:sz="6" w:space="0" w:color="auto"/>
              <w:right w:val="nil"/>
            </w:tcBorders>
          </w:tcPr>
          <w:p w:rsidR="00D979BC" w:rsidRDefault="00853398">
            <w:r>
              <w:t>84</w:t>
            </w:r>
          </w:p>
        </w:tc>
        <w:tc>
          <w:tcPr>
            <w:tcW w:w="1740" w:type="dxa"/>
            <w:tcBorders>
              <w:top w:val="single" w:sz="6" w:space="0" w:color="auto"/>
              <w:left w:val="single" w:sz="6" w:space="0" w:color="auto"/>
              <w:bottom w:val="single" w:sz="6" w:space="0" w:color="auto"/>
              <w:right w:val="nil"/>
            </w:tcBorders>
          </w:tcPr>
          <w:p w:rsidR="00D979BC" w:rsidRDefault="00853398">
            <w:r>
              <w:t>53.57</w:t>
            </w:r>
          </w:p>
        </w:tc>
        <w:tc>
          <w:tcPr>
            <w:tcW w:w="1350" w:type="dxa"/>
            <w:tcBorders>
              <w:top w:val="single" w:sz="6" w:space="0" w:color="auto"/>
              <w:left w:val="single" w:sz="6" w:space="0" w:color="auto"/>
              <w:bottom w:val="single" w:sz="6" w:space="0" w:color="auto"/>
              <w:right w:val="nil"/>
            </w:tcBorders>
          </w:tcPr>
          <w:p w:rsidR="00D979BC" w:rsidRDefault="00D979BC">
            <w:r>
              <w:t>4,500</w:t>
            </w:r>
          </w:p>
        </w:tc>
        <w:tc>
          <w:tcPr>
            <w:tcW w:w="1470" w:type="dxa"/>
            <w:tcBorders>
              <w:top w:val="single" w:sz="6" w:space="0" w:color="auto"/>
              <w:left w:val="single" w:sz="6" w:space="0" w:color="auto"/>
              <w:bottom w:val="single" w:sz="6" w:space="0" w:color="auto"/>
              <w:right w:val="nil"/>
            </w:tcBorders>
          </w:tcPr>
          <w:p w:rsidR="00D979BC" w:rsidRDefault="00D979BC">
            <w:r>
              <w:t>1.5</w:t>
            </w:r>
            <w:r w:rsidR="00853398">
              <w:t>0</w:t>
            </w:r>
          </w:p>
          <w:p w:rsidR="00853398" w:rsidRDefault="00853398" w:rsidP="00853398">
            <w:pPr>
              <w:ind w:left="0"/>
            </w:pPr>
            <w:r>
              <w:t>(90 minutes)</w:t>
            </w:r>
          </w:p>
        </w:tc>
        <w:tc>
          <w:tcPr>
            <w:tcW w:w="1080" w:type="dxa"/>
            <w:tcBorders>
              <w:top w:val="single" w:sz="6" w:space="0" w:color="auto"/>
              <w:left w:val="single" w:sz="6" w:space="0" w:color="auto"/>
              <w:bottom w:val="single" w:sz="6" w:space="0" w:color="auto"/>
              <w:right w:val="single" w:sz="6" w:space="0" w:color="auto"/>
            </w:tcBorders>
          </w:tcPr>
          <w:p w:rsidR="00D979BC" w:rsidRDefault="00D979BC">
            <w:r>
              <w:t>6,750</w:t>
            </w:r>
          </w:p>
        </w:tc>
      </w:tr>
      <w:tr w:rsidR="00D979BC" w:rsidTr="009B3116">
        <w:tc>
          <w:tcPr>
            <w:tcW w:w="2160" w:type="dxa"/>
            <w:tcBorders>
              <w:top w:val="single" w:sz="6" w:space="0" w:color="auto"/>
              <w:left w:val="single" w:sz="6" w:space="0" w:color="auto"/>
              <w:bottom w:val="single" w:sz="6" w:space="0" w:color="auto"/>
              <w:right w:val="nil"/>
            </w:tcBorders>
          </w:tcPr>
          <w:p w:rsidR="00D979BC" w:rsidRDefault="00D979BC">
            <w:r>
              <w:t>630.6(d)(1)</w:t>
            </w:r>
          </w:p>
        </w:tc>
        <w:tc>
          <w:tcPr>
            <w:tcW w:w="1500" w:type="dxa"/>
            <w:tcBorders>
              <w:top w:val="single" w:sz="6" w:space="0" w:color="auto"/>
              <w:left w:val="single" w:sz="6" w:space="0" w:color="auto"/>
              <w:bottom w:val="single" w:sz="6" w:space="0" w:color="auto"/>
              <w:right w:val="nil"/>
            </w:tcBorders>
          </w:tcPr>
          <w:p w:rsidR="00D979BC" w:rsidRDefault="00853398">
            <w:r>
              <w:t>63</w:t>
            </w:r>
          </w:p>
        </w:tc>
        <w:tc>
          <w:tcPr>
            <w:tcW w:w="1740" w:type="dxa"/>
            <w:tcBorders>
              <w:top w:val="single" w:sz="6" w:space="0" w:color="auto"/>
              <w:left w:val="single" w:sz="6" w:space="0" w:color="auto"/>
              <w:bottom w:val="single" w:sz="6" w:space="0" w:color="auto"/>
              <w:right w:val="nil"/>
            </w:tcBorders>
          </w:tcPr>
          <w:p w:rsidR="00D979BC" w:rsidRDefault="00940F6C">
            <w:r>
              <w:t>35</w:t>
            </w:r>
            <w:r w:rsidR="00853398">
              <w:t>.71</w:t>
            </w:r>
          </w:p>
        </w:tc>
        <w:tc>
          <w:tcPr>
            <w:tcW w:w="1350" w:type="dxa"/>
            <w:tcBorders>
              <w:top w:val="single" w:sz="6" w:space="0" w:color="auto"/>
              <w:left w:val="single" w:sz="6" w:space="0" w:color="auto"/>
              <w:bottom w:val="single" w:sz="6" w:space="0" w:color="auto"/>
              <w:right w:val="nil"/>
            </w:tcBorders>
          </w:tcPr>
          <w:p w:rsidR="00D979BC" w:rsidRDefault="00853398">
            <w:r>
              <w:t>2,250</w:t>
            </w:r>
          </w:p>
        </w:tc>
        <w:tc>
          <w:tcPr>
            <w:tcW w:w="1470" w:type="dxa"/>
            <w:tcBorders>
              <w:top w:val="single" w:sz="6" w:space="0" w:color="auto"/>
              <w:left w:val="single" w:sz="6" w:space="0" w:color="auto"/>
              <w:bottom w:val="single" w:sz="6" w:space="0" w:color="auto"/>
              <w:right w:val="nil"/>
            </w:tcBorders>
          </w:tcPr>
          <w:p w:rsidR="00D979BC" w:rsidRDefault="00D979BC">
            <w:r>
              <w:t>1</w:t>
            </w:r>
          </w:p>
        </w:tc>
        <w:tc>
          <w:tcPr>
            <w:tcW w:w="1080" w:type="dxa"/>
            <w:tcBorders>
              <w:top w:val="single" w:sz="6" w:space="0" w:color="auto"/>
              <w:left w:val="single" w:sz="6" w:space="0" w:color="auto"/>
              <w:bottom w:val="single" w:sz="6" w:space="0" w:color="auto"/>
              <w:right w:val="single" w:sz="6" w:space="0" w:color="auto"/>
            </w:tcBorders>
          </w:tcPr>
          <w:p w:rsidR="00D979BC" w:rsidRDefault="00853398">
            <w:r>
              <w:t>2,250</w:t>
            </w:r>
          </w:p>
        </w:tc>
      </w:tr>
      <w:tr w:rsidR="00D979BC" w:rsidTr="00E2425F">
        <w:trPr>
          <w:cantSplit/>
        </w:trPr>
        <w:tc>
          <w:tcPr>
            <w:tcW w:w="8220" w:type="dxa"/>
            <w:gridSpan w:val="5"/>
            <w:tcBorders>
              <w:top w:val="single" w:sz="6" w:space="0" w:color="auto"/>
              <w:left w:val="single" w:sz="6" w:space="0" w:color="auto"/>
              <w:bottom w:val="single" w:sz="6" w:space="0" w:color="auto"/>
              <w:right w:val="nil"/>
            </w:tcBorders>
          </w:tcPr>
          <w:p w:rsidR="00D979BC" w:rsidRDefault="00D979BC">
            <w:pPr>
              <w:pStyle w:val="Header"/>
            </w:pPr>
            <w:r>
              <w:t>Total</w:t>
            </w:r>
          </w:p>
        </w:tc>
        <w:tc>
          <w:tcPr>
            <w:tcW w:w="1080" w:type="dxa"/>
            <w:tcBorders>
              <w:top w:val="single" w:sz="6" w:space="0" w:color="auto"/>
              <w:left w:val="single" w:sz="6" w:space="0" w:color="auto"/>
              <w:bottom w:val="single" w:sz="6" w:space="0" w:color="auto"/>
              <w:right w:val="single" w:sz="6" w:space="0" w:color="auto"/>
            </w:tcBorders>
          </w:tcPr>
          <w:p w:rsidR="00D979BC" w:rsidRDefault="001934AC">
            <w:r>
              <w:t>61,043</w:t>
            </w:r>
          </w:p>
        </w:tc>
      </w:tr>
    </w:tbl>
    <w:p w:rsidR="004716D5" w:rsidRDefault="004716D5" w:rsidP="004716D5">
      <w:r>
        <w:rPr>
          <w:vertAlign w:val="superscript"/>
        </w:rPr>
        <w:t xml:space="preserve">1 </w:t>
      </w:r>
      <w:r w:rsidRPr="001265F4">
        <w:rPr>
          <w:sz w:val="20"/>
        </w:rPr>
        <w:t>Five percent of establishments that fa</w:t>
      </w:r>
      <w:r w:rsidR="004D2801">
        <w:rPr>
          <w:sz w:val="20"/>
        </w:rPr>
        <w:t>ll under CLIA</w:t>
      </w:r>
      <w:r w:rsidRPr="001265F4">
        <w:rPr>
          <w:sz w:val="20"/>
        </w:rPr>
        <w:t xml:space="preserve"> that transfuse blood and components and FDA-registered bl</w:t>
      </w:r>
      <w:r w:rsidR="004D2801">
        <w:rPr>
          <w:sz w:val="20"/>
        </w:rPr>
        <w:t>ood establishments (0.05 x 4,961 + 2,361=366</w:t>
      </w:r>
      <w:r w:rsidRPr="001265F4">
        <w:rPr>
          <w:sz w:val="20"/>
        </w:rPr>
        <w:t>).</w:t>
      </w:r>
    </w:p>
    <w:p w:rsidR="004716D5" w:rsidRDefault="004716D5" w:rsidP="004716D5">
      <w:r>
        <w:rPr>
          <w:vertAlign w:val="superscript"/>
        </w:rPr>
        <w:t>2</w:t>
      </w:r>
      <w:r>
        <w:t xml:space="preserve"> </w:t>
      </w:r>
      <w:r w:rsidRPr="001265F4">
        <w:rPr>
          <w:sz w:val="20"/>
        </w:rPr>
        <w:t>Notification of donors determined not to be eligible for donation based on failure to satisfy eligibility criteria.</w:t>
      </w:r>
    </w:p>
    <w:p w:rsidR="004716D5" w:rsidRDefault="004716D5" w:rsidP="004716D5">
      <w:r>
        <w:rPr>
          <w:vertAlign w:val="superscript"/>
        </w:rPr>
        <w:t>3</w:t>
      </w:r>
      <w:r>
        <w:t xml:space="preserve"> </w:t>
      </w:r>
      <w:r w:rsidRPr="001265F4">
        <w:rPr>
          <w:sz w:val="20"/>
        </w:rPr>
        <w:t>Notification of donors deferred based on reactive test results for evidence of infection due to communicable disease agents.</w:t>
      </w:r>
    </w:p>
    <w:p w:rsidR="00E2425F" w:rsidRDefault="00E2425F" w:rsidP="00CA3F50"/>
    <w:p w:rsidR="00C97C77" w:rsidRDefault="00C97C77" w:rsidP="00CA3F50"/>
    <w:p w:rsidR="00C97C77" w:rsidRDefault="00821306" w:rsidP="009B2C58">
      <w:pPr>
        <w:pStyle w:val="BodyText"/>
      </w:pPr>
      <w:r>
        <w:t>Respondents to this collection of information are licensed and unlicensed</w:t>
      </w:r>
      <w:r w:rsidR="00E7022C">
        <w:t xml:space="preserve"> </w:t>
      </w:r>
      <w:r>
        <w:t>blood establishments that collect blood and blood components, including</w:t>
      </w:r>
      <w:r w:rsidR="005765FB">
        <w:t xml:space="preserve"> </w:t>
      </w:r>
      <w:r>
        <w:t>Source Plasma and Source Leukocytes, inspected by FDA, and other</w:t>
      </w:r>
      <w:r w:rsidR="00065010">
        <w:t xml:space="preserve"> </w:t>
      </w:r>
      <w:r>
        <w:t>transfusion services inspected by Centers for Medicare and Medicaid Services</w:t>
      </w:r>
      <w:r w:rsidR="005765FB">
        <w:t xml:space="preserve"> </w:t>
      </w:r>
      <w:r>
        <w:t xml:space="preserve">(CMS). </w:t>
      </w:r>
      <w:r w:rsidR="002D2452">
        <w:t xml:space="preserve"> </w:t>
      </w:r>
      <w:r>
        <w:t>Based on information received from CBER’s database systems, there are</w:t>
      </w:r>
      <w:r w:rsidR="002D2452">
        <w:t xml:space="preserve"> </w:t>
      </w:r>
      <w:r w:rsidR="009A2466">
        <w:t>approximately 416</w:t>
      </w:r>
      <w:r>
        <w:t xml:space="preserve"> licensed Source Plasma establishments with multiple</w:t>
      </w:r>
      <w:r w:rsidR="005765FB">
        <w:t xml:space="preserve"> </w:t>
      </w:r>
      <w:r>
        <w:t>locations and approximat</w:t>
      </w:r>
      <w:r w:rsidR="009A2466">
        <w:t>ely 1,265</w:t>
      </w:r>
      <w:r>
        <w:t xml:space="preserve"> registered blood collection </w:t>
      </w:r>
      <w:r w:rsidR="00065010">
        <w:t>establishments, for</w:t>
      </w:r>
      <w:r w:rsidR="009A2466">
        <w:t xml:space="preserve"> an estimated total of 1,681</w:t>
      </w:r>
      <w:r>
        <w:t xml:space="preserve"> establishments.</w:t>
      </w:r>
      <w:r w:rsidR="00175F53">
        <w:t xml:space="preserve">  Also, there are an estimated total of 680 unlicensed, registered blood collection establishments for an approximate total of 2,361 </w:t>
      </w:r>
      <w:r w:rsidR="009711F6">
        <w:t>collection establishments (416 + 1,265 + 680 = 2,361</w:t>
      </w:r>
      <w:r w:rsidR="00EE7EED">
        <w:t xml:space="preserve"> establishments)</w:t>
      </w:r>
      <w:r w:rsidR="009711F6">
        <w:t>.</w:t>
      </w:r>
      <w:r>
        <w:t xml:space="preserve"> </w:t>
      </w:r>
      <w:r w:rsidR="002D2452">
        <w:t xml:space="preserve"> </w:t>
      </w:r>
      <w:r>
        <w:t>Of these establishments,</w:t>
      </w:r>
      <w:r w:rsidR="005765FB">
        <w:t xml:space="preserve"> </w:t>
      </w:r>
      <w:r w:rsidR="009A2466">
        <w:t>approximately 990</w:t>
      </w:r>
      <w:r>
        <w:t xml:space="preserve"> perform plateletpheresis and leukopheresis.</w:t>
      </w:r>
      <w:r w:rsidR="005A585D">
        <w:t xml:space="preserve"> </w:t>
      </w:r>
      <w:r>
        <w:t xml:space="preserve"> These</w:t>
      </w:r>
      <w:r w:rsidR="005765FB">
        <w:t xml:space="preserve"> </w:t>
      </w:r>
      <w:r>
        <w:t>establishments a</w:t>
      </w:r>
      <w:r w:rsidR="00185BB6">
        <w:t>nn</w:t>
      </w:r>
      <w:r w:rsidR="009A2466">
        <w:t>ually collect approximately 40</w:t>
      </w:r>
      <w:r>
        <w:t xml:space="preserve"> million units of Whole Blood</w:t>
      </w:r>
      <w:r w:rsidR="005765FB">
        <w:t xml:space="preserve"> </w:t>
      </w:r>
      <w:r>
        <w:t>and blood components, including Source Plasma and Source Leukocytes, and</w:t>
      </w:r>
      <w:r w:rsidR="005765FB">
        <w:t xml:space="preserve"> </w:t>
      </w:r>
      <w:r>
        <w:t xml:space="preserve">are required to follow FDA ‘‘lookback’’ procedures. </w:t>
      </w:r>
      <w:r w:rsidR="002D2452">
        <w:t xml:space="preserve"> </w:t>
      </w:r>
      <w:r>
        <w:t>In addition, there are</w:t>
      </w:r>
      <w:r w:rsidR="005765FB">
        <w:t xml:space="preserve"> </w:t>
      </w:r>
      <w:r w:rsidR="009A2466">
        <w:t>another 4,961</w:t>
      </w:r>
      <w:r>
        <w:t xml:space="preserve"> establishments that fall under the Clinical Laboratory</w:t>
      </w:r>
      <w:r w:rsidR="005765FB">
        <w:t xml:space="preserve"> </w:t>
      </w:r>
      <w:r>
        <w:t xml:space="preserve">Improvement Amendments </w:t>
      </w:r>
      <w:r w:rsidR="00683A32">
        <w:t xml:space="preserve">(CLIA) </w:t>
      </w:r>
      <w:r>
        <w:t xml:space="preserve">of 1988 </w:t>
      </w:r>
      <w:r w:rsidR="00683A32">
        <w:t xml:space="preserve">(Public Law 100-578) </w:t>
      </w:r>
      <w:r>
        <w:t>(formerly referred to as facilities approved</w:t>
      </w:r>
      <w:r w:rsidR="005765FB">
        <w:t xml:space="preserve"> </w:t>
      </w:r>
      <w:r>
        <w:t>for Medicare reimbursement) that transfuse blood and blood components.</w:t>
      </w:r>
    </w:p>
    <w:p w:rsidR="00C97C77" w:rsidRDefault="00C97C77" w:rsidP="00CA3F50"/>
    <w:p w:rsidR="00C97C77" w:rsidRDefault="00C97C77" w:rsidP="00CA3F50">
      <w:r>
        <w:t>The reporting</w:t>
      </w:r>
      <w:r w:rsidR="004716D5">
        <w:t>,</w:t>
      </w:r>
      <w:r>
        <w:t xml:space="preserve"> recordkeeping</w:t>
      </w:r>
      <w:r w:rsidR="004716D5">
        <w:t>, and discl</w:t>
      </w:r>
      <w:r w:rsidR="008E42B7">
        <w:t>o</w:t>
      </w:r>
      <w:r w:rsidR="004716D5">
        <w:t>sure</w:t>
      </w:r>
      <w:r>
        <w:t xml:space="preserve"> estimates are based on information provided by industry, CMS, and FDA experience.  Based on information received from industry, we estimate that there are </w:t>
      </w:r>
      <w:r w:rsidR="000B596A">
        <w:t xml:space="preserve">approximately </w:t>
      </w:r>
      <w:r w:rsidR="009A2466">
        <w:t>25</w:t>
      </w:r>
      <w:r>
        <w:t xml:space="preserve"> million donations of Source Plasma from approximately 2 million donors and </w:t>
      </w:r>
      <w:r w:rsidR="005765FB">
        <w:t xml:space="preserve">approximately </w:t>
      </w:r>
      <w:r w:rsidR="009A2466">
        <w:t>15</w:t>
      </w:r>
      <w:r>
        <w:t xml:space="preserve"> million donations of Whole Blood, including</w:t>
      </w:r>
      <w:r w:rsidR="009A2466">
        <w:t xml:space="preserve"> approximately 225,000</w:t>
      </w:r>
      <w:r>
        <w:t xml:space="preserve"> (</w:t>
      </w:r>
      <w:r w:rsidR="009A2466">
        <w:t>approximately 1.5% of 15</w:t>
      </w:r>
      <w:r>
        <w:t xml:space="preserve"> million) autologous</w:t>
      </w:r>
      <w:r w:rsidR="005765FB">
        <w:t xml:space="preserve"> donations</w:t>
      </w:r>
      <w:r w:rsidR="00A72FE7">
        <w:t>, from approximately 10.9</w:t>
      </w:r>
      <w:r>
        <w:t xml:space="preserve"> million donors.  Assuming each autologous donor makes an average of 2 donations, FDA estimates that</w:t>
      </w:r>
      <w:r w:rsidR="009A2466">
        <w:t xml:space="preserve"> there are approximately 112,500</w:t>
      </w:r>
      <w:r w:rsidR="00B07A1D">
        <w:t xml:space="preserve"> autologous donors.</w:t>
      </w:r>
    </w:p>
    <w:p w:rsidR="00C97C77" w:rsidRDefault="00C97C77" w:rsidP="00CA3F50"/>
    <w:p w:rsidR="00C97C77" w:rsidRDefault="00C97C77" w:rsidP="00CA3F50">
      <w:r>
        <w:t>FDA estimates th</w:t>
      </w:r>
      <w:r w:rsidR="00185BB6">
        <w:t>at approximately 5 percent (3,600) of the 72</w:t>
      </w:r>
      <w:r>
        <w:t>,000 donations that are donated specifically for the use of an identified recipient would be tested under the dedicated donors testing pr</w:t>
      </w:r>
      <w:r w:rsidR="00B07A1D">
        <w:t>ovisions in § 610.40(c)(1)(ii).</w:t>
      </w:r>
    </w:p>
    <w:p w:rsidR="00C97C77" w:rsidRDefault="00C97C77" w:rsidP="00CA3F50">
      <w:pPr>
        <w:pStyle w:val="BodyTextIndent"/>
      </w:pPr>
    </w:p>
    <w:p w:rsidR="00C97C77" w:rsidRPr="00CA3F50" w:rsidRDefault="00C97C77" w:rsidP="00CA3F50">
      <w:pPr>
        <w:pStyle w:val="BodyTextIndent"/>
        <w:jc w:val="left"/>
        <w:rPr>
          <w:b w:val="0"/>
        </w:rPr>
      </w:pPr>
      <w:r w:rsidRPr="00CA3F50">
        <w:rPr>
          <w:b w:val="0"/>
        </w:rPr>
        <w:t>Under § 610.40(g)(2) and (h)(2)(ii)(A),</w:t>
      </w:r>
      <w:r w:rsidR="005A1D21" w:rsidRPr="00CA3F50">
        <w:rPr>
          <w:b w:val="0"/>
        </w:rPr>
        <w:t xml:space="preserve"> Source Leukocytes, a licensed product that is used in the </w:t>
      </w:r>
      <w:r w:rsidR="005A1D21" w:rsidRPr="00CA3F50">
        <w:rPr>
          <w:b w:val="0"/>
        </w:rPr>
        <w:lastRenderedPageBreak/>
        <w:t>manufacture of interferon, which requires rapid preparation from blood, is currently shipped prior to completion of testing for evidence of certain communicable disease agents.  Shipments of Source Leukocytes are pre</w:t>
      </w:r>
      <w:r w:rsidR="00962954" w:rsidRPr="00CA3F50">
        <w:rPr>
          <w:b w:val="0"/>
        </w:rPr>
        <w:t>-</w:t>
      </w:r>
      <w:r w:rsidR="005A1D21" w:rsidRPr="00CA3F50">
        <w:rPr>
          <w:b w:val="0"/>
        </w:rPr>
        <w:t>approved</w:t>
      </w:r>
      <w:r w:rsidRPr="00CA3F50">
        <w:rPr>
          <w:b w:val="0"/>
        </w:rPr>
        <w:t xml:space="preserve"> </w:t>
      </w:r>
      <w:r w:rsidR="005A1D21" w:rsidRPr="00CA3F50">
        <w:rPr>
          <w:b w:val="0"/>
        </w:rPr>
        <w:t>under a biologics license application and each shipment does not have to be reported to the Agency.</w:t>
      </w:r>
      <w:r w:rsidRPr="00CA3F50">
        <w:rPr>
          <w:b w:val="0"/>
        </w:rPr>
        <w:t xml:space="preserve">  Based on information from CBER’s database system, FDA receives </w:t>
      </w:r>
      <w:r w:rsidR="00821306" w:rsidRPr="00CA3F50">
        <w:rPr>
          <w:b w:val="0"/>
        </w:rPr>
        <w:t xml:space="preserve">less than </w:t>
      </w:r>
      <w:r w:rsidR="00962954" w:rsidRPr="00CA3F50">
        <w:rPr>
          <w:b w:val="0"/>
        </w:rPr>
        <w:t>one</w:t>
      </w:r>
      <w:r w:rsidRPr="00CA3F50">
        <w:rPr>
          <w:b w:val="0"/>
        </w:rPr>
        <w:t xml:space="preserve"> application per year from manufacturers of Source Leukocytes.  </w:t>
      </w:r>
      <w:r w:rsidR="00821306" w:rsidRPr="00CA3F50">
        <w:rPr>
          <w:b w:val="0"/>
        </w:rPr>
        <w:t>However, for calculati</w:t>
      </w:r>
      <w:r w:rsidR="00962954" w:rsidRPr="00CA3F50">
        <w:rPr>
          <w:b w:val="0"/>
        </w:rPr>
        <w:t>on purposes, we are estimating one</w:t>
      </w:r>
      <w:r w:rsidR="00B07A1D">
        <w:rPr>
          <w:b w:val="0"/>
        </w:rPr>
        <w:t xml:space="preserve"> application annually.</w:t>
      </w:r>
    </w:p>
    <w:p w:rsidR="00C97C77" w:rsidRPr="00CA3F50" w:rsidRDefault="00C97C77" w:rsidP="00CA3F50">
      <w:pPr>
        <w:pStyle w:val="BodyTextIndent"/>
        <w:jc w:val="left"/>
        <w:rPr>
          <w:b w:val="0"/>
        </w:rPr>
      </w:pPr>
    </w:p>
    <w:p w:rsidR="00C97C77" w:rsidRPr="00CA3F50" w:rsidRDefault="00C97C77" w:rsidP="00CA3F50">
      <w:pPr>
        <w:pStyle w:val="BodyTextIndent"/>
        <w:jc w:val="left"/>
        <w:rPr>
          <w:b w:val="0"/>
        </w:rPr>
      </w:pPr>
      <w:r w:rsidRPr="00CA3F50">
        <w:rPr>
          <w:b w:val="0"/>
        </w:rPr>
        <w:t xml:space="preserve">Under § 610.40(h)(2)(ii)(C) and (h)(2)(ii)(D), FDA estimates that each manufacturer would ship an estimated 1 </w:t>
      </w:r>
      <w:r w:rsidR="00184534" w:rsidRPr="00CA3F50">
        <w:rPr>
          <w:b w:val="0"/>
        </w:rPr>
        <w:t xml:space="preserve">unit of </w:t>
      </w:r>
      <w:r w:rsidRPr="00CA3F50">
        <w:rPr>
          <w:b w:val="0"/>
        </w:rPr>
        <w:t>human blood or blood component</w:t>
      </w:r>
      <w:r w:rsidR="00AA50B1">
        <w:rPr>
          <w:b w:val="0"/>
        </w:rPr>
        <w:t>s</w:t>
      </w:r>
      <w:r w:rsidRPr="00CA3F50">
        <w:rPr>
          <w:b w:val="0"/>
        </w:rPr>
        <w:t xml:space="preserve"> per month (12 per year) that would require two labels; one as reactive for the appropriate screening test under § 610.40(h)(2)(ii)(C), and the other stating the exempted use spe</w:t>
      </w:r>
      <w:r w:rsidR="00962954" w:rsidRPr="00CA3F50">
        <w:rPr>
          <w:b w:val="0"/>
        </w:rPr>
        <w:t xml:space="preserve">cifically approved by FDA under </w:t>
      </w:r>
      <w:r w:rsidRPr="00CA3F50">
        <w:rPr>
          <w:b w:val="0"/>
        </w:rPr>
        <w:t>§</w:t>
      </w:r>
      <w:r w:rsidR="00962954" w:rsidRPr="00CA3F50">
        <w:rPr>
          <w:b w:val="0"/>
        </w:rPr>
        <w:t xml:space="preserve"> </w:t>
      </w:r>
      <w:r w:rsidRPr="00CA3F50">
        <w:rPr>
          <w:b w:val="0"/>
        </w:rPr>
        <w:t xml:space="preserve">610.40(h)(2)(ii)(D).  According to CBER's database system, there are </w:t>
      </w:r>
      <w:r w:rsidR="00702F96" w:rsidRPr="00CA3F50">
        <w:rPr>
          <w:b w:val="0"/>
        </w:rPr>
        <w:t>appro</w:t>
      </w:r>
      <w:r w:rsidR="00E54844" w:rsidRPr="00CA3F50">
        <w:rPr>
          <w:b w:val="0"/>
        </w:rPr>
        <w:t>x</w:t>
      </w:r>
      <w:r w:rsidR="00702F96" w:rsidRPr="00CA3F50">
        <w:rPr>
          <w:b w:val="0"/>
        </w:rPr>
        <w:t xml:space="preserve">imately </w:t>
      </w:r>
      <w:r w:rsidRPr="00CA3F50">
        <w:rPr>
          <w:b w:val="0"/>
        </w:rPr>
        <w:t>40 licensed manufacturers that ship known reactive hu</w:t>
      </w:r>
      <w:r w:rsidR="00B07A1D">
        <w:rPr>
          <w:b w:val="0"/>
        </w:rPr>
        <w:t>man blood or blood components.</w:t>
      </w:r>
    </w:p>
    <w:p w:rsidR="00C97C77" w:rsidRPr="00CA3F50" w:rsidRDefault="00C97C77" w:rsidP="00CA3F50">
      <w:pPr>
        <w:pStyle w:val="BodyTextIndent"/>
        <w:jc w:val="left"/>
        <w:rPr>
          <w:b w:val="0"/>
        </w:rPr>
      </w:pPr>
    </w:p>
    <w:p w:rsidR="00C97C77" w:rsidRPr="00CA3F50" w:rsidRDefault="00C97C77" w:rsidP="00CA3F50">
      <w:pPr>
        <w:pStyle w:val="BodyTextIndent"/>
        <w:jc w:val="left"/>
        <w:rPr>
          <w:b w:val="0"/>
        </w:rPr>
      </w:pPr>
      <w:r w:rsidRPr="00CA3F50">
        <w:rPr>
          <w:b w:val="0"/>
        </w:rPr>
        <w:t>Based on information we received from industry, we estimate that approximately 18,000 donations</w:t>
      </w:r>
      <w:r w:rsidR="000B596A" w:rsidRPr="00CA3F50">
        <w:rPr>
          <w:b w:val="0"/>
        </w:rPr>
        <w:t xml:space="preserve">: (1) </w:t>
      </w:r>
      <w:r w:rsidR="00962954" w:rsidRPr="00CA3F50">
        <w:rPr>
          <w:b w:val="0"/>
        </w:rPr>
        <w:t xml:space="preserve"> A</w:t>
      </w:r>
      <w:r w:rsidRPr="00CA3F50">
        <w:rPr>
          <w:b w:val="0"/>
        </w:rPr>
        <w:t xml:space="preserve">nnually test reactive by a screening test for syphilis, </w:t>
      </w:r>
      <w:r w:rsidR="000B596A" w:rsidRPr="00CA3F50">
        <w:rPr>
          <w:b w:val="0"/>
        </w:rPr>
        <w:t xml:space="preserve">(2) </w:t>
      </w:r>
      <w:r w:rsidRPr="00CA3F50">
        <w:rPr>
          <w:b w:val="0"/>
        </w:rPr>
        <w:t xml:space="preserve">are determined to be biological false positives by additional testing and </w:t>
      </w:r>
      <w:r w:rsidR="000B596A" w:rsidRPr="00CA3F50">
        <w:rPr>
          <w:b w:val="0"/>
        </w:rPr>
        <w:t xml:space="preserve">(3) </w:t>
      </w:r>
      <w:r w:rsidR="00E54844" w:rsidRPr="00CA3F50">
        <w:rPr>
          <w:b w:val="0"/>
        </w:rPr>
        <w:t xml:space="preserve">are </w:t>
      </w:r>
      <w:r w:rsidRPr="00CA3F50">
        <w:rPr>
          <w:b w:val="0"/>
        </w:rPr>
        <w:t>labeled acc</w:t>
      </w:r>
      <w:r w:rsidR="00B07A1D">
        <w:rPr>
          <w:b w:val="0"/>
        </w:rPr>
        <w:t>ordingly (§ 610.40(h)(2)(vi)).</w:t>
      </w:r>
    </w:p>
    <w:p w:rsidR="00C97C77" w:rsidRPr="00CA3F50" w:rsidRDefault="00C97C77" w:rsidP="00CA3F50">
      <w:pPr>
        <w:pStyle w:val="BodyTextIndent"/>
        <w:jc w:val="left"/>
        <w:rPr>
          <w:b w:val="0"/>
        </w:rPr>
      </w:pPr>
    </w:p>
    <w:p w:rsidR="00C97C77" w:rsidRPr="00CA3F50" w:rsidRDefault="00C97C77" w:rsidP="00CA3F50">
      <w:pPr>
        <w:pStyle w:val="BodyTextIndent"/>
        <w:jc w:val="left"/>
        <w:rPr>
          <w:b w:val="0"/>
        </w:rPr>
      </w:pPr>
      <w:r w:rsidRPr="00CA3F50">
        <w:rPr>
          <w:b w:val="0"/>
        </w:rPr>
        <w:t>Human blood or a blood component with a reactive screening test, as a component of a medical device, is an integral part of the medical device, e.g., a positive control for an in vitro diagnostic testing kit.  It is usual and customary business practice for manufacturers to include on the container label a warning statement that identifies the communicable disease agent.  In addition, on the rare occasion when a human blood or blood component with a reactive screening test is the only component available for a medical device that does not require a reactive</w:t>
      </w:r>
      <w:r w:rsidR="00E51F29" w:rsidRPr="00CA3F50">
        <w:rPr>
          <w:b w:val="0"/>
        </w:rPr>
        <w:t xml:space="preserve"> component, then a warning statement must</w:t>
      </w:r>
      <w:r w:rsidRPr="00CA3F50">
        <w:rPr>
          <w:b w:val="0"/>
        </w:rPr>
        <w:t xml:space="preserve"> be affixed to the medical device.  To account for this rare occasion under § 610.42(a), we estimate that the warning statement would be necessary no more than once a year.</w:t>
      </w:r>
    </w:p>
    <w:p w:rsidR="00C97C77" w:rsidRPr="006E4012" w:rsidRDefault="00C97C77" w:rsidP="00CA3F50"/>
    <w:p w:rsidR="00C97C77" w:rsidRDefault="005626A8" w:rsidP="009B2C58">
      <w:pPr>
        <w:pStyle w:val="BodyText"/>
      </w:pPr>
      <w:r>
        <w:t>FDA estimates that approximately 3,500 repeat donors will test reactive</w:t>
      </w:r>
      <w:r w:rsidR="005765FB">
        <w:t xml:space="preserve"> </w:t>
      </w:r>
      <w:r>
        <w:t>on a screening test for HIV.  We also estimate that an average of three</w:t>
      </w:r>
      <w:r w:rsidR="005765FB">
        <w:t xml:space="preserve"> </w:t>
      </w:r>
      <w:r>
        <w:t>components was made from e</w:t>
      </w:r>
      <w:r w:rsidR="00631FCC">
        <w:t xml:space="preserve">ach donation. Under </w:t>
      </w:r>
      <w:r>
        <w:t>§ 610.46(a)(1)(ii)(B) and</w:t>
      </w:r>
      <w:r w:rsidR="00443C68">
        <w:t xml:space="preserve"> </w:t>
      </w:r>
      <w:r>
        <w:t>(a)(3), this estimate results in 10,500 (3,500 x 3) notifications of the HIV</w:t>
      </w:r>
      <w:r w:rsidR="005765FB">
        <w:t xml:space="preserve"> </w:t>
      </w:r>
      <w:r>
        <w:t>screening test results to consignees by collecting establishments for the</w:t>
      </w:r>
      <w:r w:rsidR="005765FB">
        <w:t xml:space="preserve"> </w:t>
      </w:r>
      <w:r>
        <w:t>purpose of quarantining affected blood and blood components, and another</w:t>
      </w:r>
      <w:r w:rsidR="005765FB">
        <w:t xml:space="preserve"> </w:t>
      </w:r>
      <w:r>
        <w:t>10,500 (3,500 x 3) notifications to consignees of subsequent test results. We</w:t>
      </w:r>
      <w:r w:rsidR="005765FB">
        <w:t xml:space="preserve"> </w:t>
      </w:r>
      <w:r>
        <w:t>estimate an average of 10 minutes per notification of consignees.</w:t>
      </w:r>
    </w:p>
    <w:p w:rsidR="005626A8" w:rsidRDefault="005626A8" w:rsidP="009B2C58">
      <w:pPr>
        <w:pStyle w:val="BodyText"/>
      </w:pPr>
    </w:p>
    <w:p w:rsidR="005626A8" w:rsidRDefault="00443C68" w:rsidP="009B2C58">
      <w:pPr>
        <w:pStyle w:val="BodyText"/>
      </w:pPr>
      <w:r>
        <w:t>W</w:t>
      </w:r>
      <w:r w:rsidR="005626A8">
        <w:t>e estimate that § 610.46(b)(3) will require 4,</w:t>
      </w:r>
      <w:r w:rsidR="00B42ABC">
        <w:t>961</w:t>
      </w:r>
      <w:r w:rsidR="005626A8">
        <w:t xml:space="preserve"> consignees to</w:t>
      </w:r>
      <w:r w:rsidR="005765FB">
        <w:t xml:space="preserve"> </w:t>
      </w:r>
      <w:r w:rsidR="005626A8">
        <w:t>notify transfusion recipients, their legal representatives, or physicians of record</w:t>
      </w:r>
      <w:r w:rsidR="005765FB">
        <w:t xml:space="preserve"> </w:t>
      </w:r>
      <w:r w:rsidR="005626A8">
        <w:t>an average of 0.35 times per year resulting in a total number of 1,755 (585</w:t>
      </w:r>
      <w:r w:rsidR="005765FB">
        <w:t xml:space="preserve"> </w:t>
      </w:r>
      <w:r w:rsidR="005626A8">
        <w:t>confirmed positive repeat donors x 3) notifications. Under § 610.46(b)(3), we</w:t>
      </w:r>
      <w:r w:rsidR="005765FB">
        <w:t xml:space="preserve"> </w:t>
      </w:r>
      <w:r w:rsidR="005626A8">
        <w:t>also estimate 1 hour to accommodate the time to gather test results and records</w:t>
      </w:r>
      <w:r w:rsidR="005765FB">
        <w:t xml:space="preserve"> </w:t>
      </w:r>
      <w:r w:rsidR="005626A8">
        <w:t>for each recipient and to accommodate multiple attempts to contact the</w:t>
      </w:r>
      <w:r w:rsidR="005765FB">
        <w:t xml:space="preserve"> </w:t>
      </w:r>
      <w:r w:rsidR="005626A8">
        <w:t>recipient.</w:t>
      </w:r>
    </w:p>
    <w:p w:rsidR="005626A8" w:rsidRDefault="005626A8" w:rsidP="009B2C58">
      <w:pPr>
        <w:pStyle w:val="BodyText"/>
      </w:pPr>
    </w:p>
    <w:p w:rsidR="005626A8" w:rsidRDefault="005626A8" w:rsidP="009B2C58">
      <w:pPr>
        <w:pStyle w:val="BodyText"/>
      </w:pPr>
      <w:r>
        <w:t>Furthermore, we estimate that approximately 7,800 repeat donors per year</w:t>
      </w:r>
      <w:r w:rsidR="005765FB">
        <w:t xml:space="preserve"> </w:t>
      </w:r>
      <w:r>
        <w:t>would test reactive for antibody to HCV.</w:t>
      </w:r>
      <w:r w:rsidR="002D2452">
        <w:t xml:space="preserve"> </w:t>
      </w:r>
      <w:r w:rsidR="00631FCC">
        <w:t xml:space="preserve"> Under </w:t>
      </w:r>
      <w:r>
        <w:t>§ 610.47(a)(1)(ii)(B) and</w:t>
      </w:r>
      <w:r w:rsidR="005765FB">
        <w:t xml:space="preserve"> </w:t>
      </w:r>
      <w:r w:rsidR="00B42ABC">
        <w:t>610.47</w:t>
      </w:r>
      <w:r>
        <w:t xml:space="preserve">(a)(3), collecting establishments </w:t>
      </w:r>
      <w:r>
        <w:lastRenderedPageBreak/>
        <w:t>would notify the consignee 2 times for</w:t>
      </w:r>
      <w:r w:rsidR="005765FB">
        <w:t xml:space="preserve"> </w:t>
      </w:r>
      <w:r>
        <w:t>each of the 23,400 (7,800 x 3 components) components prepared from these</w:t>
      </w:r>
      <w:r w:rsidR="005765FB">
        <w:t xml:space="preserve"> </w:t>
      </w:r>
      <w:r>
        <w:t>donations, once for quarantine purposes and again with additional HCV test</w:t>
      </w:r>
      <w:r w:rsidR="005765FB">
        <w:t xml:space="preserve"> </w:t>
      </w:r>
      <w:r>
        <w:t xml:space="preserve">results for a total of 46,800 notifications as an annual ongoing burden. </w:t>
      </w:r>
      <w:r w:rsidR="002D2452">
        <w:t xml:space="preserve"> </w:t>
      </w:r>
      <w:r>
        <w:t>Under</w:t>
      </w:r>
      <w:r w:rsidR="005765FB">
        <w:t xml:space="preserve"> </w:t>
      </w:r>
      <w:r>
        <w:t>§ 610.47(b)(3), we e</w:t>
      </w:r>
      <w:r w:rsidR="00B42ABC">
        <w:t>stimate that approximately 4,961</w:t>
      </w:r>
      <w:r>
        <w:t xml:space="preserve"> consignees would notify</w:t>
      </w:r>
      <w:r w:rsidR="005765FB">
        <w:t xml:space="preserve"> </w:t>
      </w:r>
      <w:r>
        <w:t xml:space="preserve">approximately 2,050 recipients or their physicians of record annually. </w:t>
      </w:r>
      <w:r w:rsidR="00B07A1D">
        <w:t xml:space="preserve"> </w:t>
      </w:r>
      <w:r>
        <w:t>Finally,</w:t>
      </w:r>
      <w:r w:rsidR="005765FB">
        <w:t xml:space="preserve"> </w:t>
      </w:r>
      <w:r w:rsidR="00631FCC">
        <w:t>we estimate 1 hour</w:t>
      </w:r>
      <w:r>
        <w:t xml:space="preserve"> to complete notification.</w:t>
      </w:r>
    </w:p>
    <w:p w:rsidR="00C97C77" w:rsidRDefault="00C97C77" w:rsidP="00CA3F50">
      <w:pPr>
        <w:pStyle w:val="BodyTextIndent"/>
      </w:pPr>
    </w:p>
    <w:p w:rsidR="00C97C77" w:rsidRPr="00CA3F50" w:rsidRDefault="00B028CE" w:rsidP="00CA3F50">
      <w:pPr>
        <w:pStyle w:val="BodyTextIndent"/>
        <w:jc w:val="left"/>
        <w:rPr>
          <w:b w:val="0"/>
        </w:rPr>
      </w:pPr>
      <w:r w:rsidRPr="00CA3F50">
        <w:rPr>
          <w:b w:val="0"/>
        </w:rPr>
        <w:t>Based on i</w:t>
      </w:r>
      <w:r w:rsidR="00C97C77" w:rsidRPr="00CA3F50">
        <w:rPr>
          <w:b w:val="0"/>
        </w:rPr>
        <w:t>ndustry estimates</w:t>
      </w:r>
      <w:r w:rsidRPr="00CA3F50">
        <w:rPr>
          <w:b w:val="0"/>
        </w:rPr>
        <w:t>, roughly</w:t>
      </w:r>
      <w:r w:rsidR="00C97C77" w:rsidRPr="00CA3F50">
        <w:rPr>
          <w:b w:val="0"/>
        </w:rPr>
        <w:t xml:space="preserve"> 13 percent of 10 million potential donors (1.3 million donors) who come to donate annually are determined not to be eligible for donation prior to collection because of failure to satisfy eligibility criteria.  It is the usual and customary business practice of </w:t>
      </w:r>
      <w:r w:rsidR="00B42ABC">
        <w:rPr>
          <w:b w:val="0"/>
        </w:rPr>
        <w:t>approximately 1,945 (1,265+680)</w:t>
      </w:r>
      <w:r w:rsidR="00C97C77" w:rsidRPr="00CA3F50">
        <w:rPr>
          <w:b w:val="0"/>
        </w:rPr>
        <w:t xml:space="preserve"> </w:t>
      </w:r>
      <w:r w:rsidR="001504F5" w:rsidRPr="00CA3F50">
        <w:rPr>
          <w:b w:val="0"/>
        </w:rPr>
        <w:t xml:space="preserve">blood </w:t>
      </w:r>
      <w:r w:rsidR="00C97C77" w:rsidRPr="00CA3F50">
        <w:rPr>
          <w:b w:val="0"/>
        </w:rPr>
        <w:t>collecting establishments to notify o</w:t>
      </w:r>
      <w:r w:rsidRPr="00CA3F50">
        <w:rPr>
          <w:b w:val="0"/>
        </w:rPr>
        <w:t xml:space="preserve">nsite and to explain </w:t>
      </w:r>
      <w:r w:rsidR="00C97C77" w:rsidRPr="00CA3F50">
        <w:rPr>
          <w:b w:val="0"/>
        </w:rPr>
        <w:t xml:space="preserve">why the donor is determined not to be suitable for donating.  Based on such available information, we estimate that two-thirds </w:t>
      </w:r>
      <w:r w:rsidR="00B42ABC">
        <w:rPr>
          <w:b w:val="0"/>
        </w:rPr>
        <w:t>(1,297</w:t>
      </w:r>
      <w:r w:rsidR="001504F5" w:rsidRPr="00CA3F50">
        <w:rPr>
          <w:b w:val="0"/>
        </w:rPr>
        <w:t xml:space="preserve">) </w:t>
      </w:r>
      <w:r w:rsidR="00C97C77" w:rsidRPr="00CA3F50">
        <w:rPr>
          <w:b w:val="0"/>
        </w:rPr>
        <w:t xml:space="preserve">of the </w:t>
      </w:r>
      <w:r w:rsidR="00B42ABC">
        <w:rPr>
          <w:b w:val="0"/>
        </w:rPr>
        <w:t>1,945</w:t>
      </w:r>
      <w:r w:rsidR="00C97C77" w:rsidRPr="00CA3F50">
        <w:rPr>
          <w:b w:val="0"/>
        </w:rPr>
        <w:t xml:space="preserve"> </w:t>
      </w:r>
      <w:r w:rsidR="001504F5" w:rsidRPr="00CA3F50">
        <w:rPr>
          <w:b w:val="0"/>
        </w:rPr>
        <w:t xml:space="preserve">blood </w:t>
      </w:r>
      <w:r w:rsidR="00C97C77" w:rsidRPr="00CA3F50">
        <w:rPr>
          <w:b w:val="0"/>
        </w:rPr>
        <w:t>collecting establishments provided on site additional information and counseling to a donor determined not to be eligible for donation as usual and customary business practice.  Consequently, we estimate that only one-third</w:t>
      </w:r>
      <w:r w:rsidR="001504F5" w:rsidRPr="00CA3F50">
        <w:rPr>
          <w:b w:val="0"/>
        </w:rPr>
        <w:t>,</w:t>
      </w:r>
      <w:r w:rsidR="00C97C77" w:rsidRPr="00CA3F50">
        <w:rPr>
          <w:b w:val="0"/>
        </w:rPr>
        <w:t xml:space="preserve"> or </w:t>
      </w:r>
      <w:r w:rsidR="00B42ABC">
        <w:rPr>
          <w:b w:val="0"/>
        </w:rPr>
        <w:t>648</w:t>
      </w:r>
      <w:r w:rsidR="001504F5" w:rsidRPr="00CA3F50">
        <w:rPr>
          <w:b w:val="0"/>
        </w:rPr>
        <w:t>,</w:t>
      </w:r>
      <w:r w:rsidR="00C97C77" w:rsidRPr="00CA3F50">
        <w:rPr>
          <w:b w:val="0"/>
        </w:rPr>
        <w:t xml:space="preserve"> </w:t>
      </w:r>
      <w:r w:rsidR="001504F5" w:rsidRPr="00CA3F50">
        <w:rPr>
          <w:b w:val="0"/>
        </w:rPr>
        <w:t xml:space="preserve">approximately, blood </w:t>
      </w:r>
      <w:r w:rsidR="00C97C77" w:rsidRPr="00CA3F50">
        <w:rPr>
          <w:b w:val="0"/>
        </w:rPr>
        <w:t>collection establishments would need to provide, under § 630.6(a), additional information and counseling to the estimated 43</w:t>
      </w:r>
      <w:r w:rsidR="003E3DF9" w:rsidRPr="00CA3F50">
        <w:rPr>
          <w:b w:val="0"/>
        </w:rPr>
        <w:t>3</w:t>
      </w:r>
      <w:r w:rsidR="00C97C77" w:rsidRPr="00CA3F50">
        <w:rPr>
          <w:b w:val="0"/>
        </w:rPr>
        <w:t>,</w:t>
      </w:r>
      <w:r w:rsidR="00B42ABC">
        <w:rPr>
          <w:b w:val="0"/>
        </w:rPr>
        <w:t>333</w:t>
      </w:r>
      <w:r w:rsidR="00C97C77" w:rsidRPr="00CA3F50">
        <w:rPr>
          <w:b w:val="0"/>
        </w:rPr>
        <w:t xml:space="preserve"> (one-third of </w:t>
      </w:r>
      <w:r w:rsidR="001504F5" w:rsidRPr="00CA3F50">
        <w:rPr>
          <w:b w:val="0"/>
        </w:rPr>
        <w:t xml:space="preserve">approximately </w:t>
      </w:r>
      <w:r w:rsidR="00C97C77" w:rsidRPr="00CA3F50">
        <w:rPr>
          <w:b w:val="0"/>
        </w:rPr>
        <w:t>1.3 million) ineligible donors.</w:t>
      </w:r>
    </w:p>
    <w:p w:rsidR="00C97C77" w:rsidRDefault="00C97C77" w:rsidP="00CA3F50"/>
    <w:p w:rsidR="00C97C77" w:rsidRDefault="00C97C77" w:rsidP="00CA3F50">
      <w:r>
        <w:t>It is estimated that another 4.5 percent of 10 million donors (450,000 donors) are deferred annually based on test resu</w:t>
      </w:r>
      <w:r w:rsidR="003E3DF9">
        <w:t>lts.  We estimate that</w:t>
      </w:r>
      <w:r>
        <w:t xml:space="preserve"> </w:t>
      </w:r>
      <w:r w:rsidR="001504F5">
        <w:t xml:space="preserve">approximately </w:t>
      </w:r>
      <w:r>
        <w:t>95 percent of the establishments that collect 9</w:t>
      </w:r>
      <w:r w:rsidR="001504F5">
        <w:t>9</w:t>
      </w:r>
      <w:r>
        <w:t xml:space="preserve"> percent of the blood and blood components notify donors who have reactive test results for HIV, Hepatitis B Virus (HBV), HCV, Human T-Lymphotropic Virus (HTLV), and syphilis as usual and customary business practice.  Consequently, 5 percent of the </w:t>
      </w:r>
      <w:r w:rsidR="00B42ABC">
        <w:t>1,681</w:t>
      </w:r>
      <w:r w:rsidR="001504F5">
        <w:t xml:space="preserve"> establishments (</w:t>
      </w:r>
      <w:r w:rsidR="00B42ABC">
        <w:t>84</w:t>
      </w:r>
      <w:r w:rsidR="001504F5">
        <w:t xml:space="preserve">) </w:t>
      </w:r>
      <w:r>
        <w:t xml:space="preserve">collecting </w:t>
      </w:r>
      <w:r w:rsidR="001504F5">
        <w:t>1</w:t>
      </w:r>
      <w:r>
        <w:t xml:space="preserve"> percent (</w:t>
      </w:r>
      <w:r w:rsidR="001504F5">
        <w:t>4</w:t>
      </w:r>
      <w:r>
        <w:t>,</w:t>
      </w:r>
      <w:r w:rsidR="001504F5">
        <w:t>5</w:t>
      </w:r>
      <w:r>
        <w:t>00) of the deferred donors (450,000) would notify donor</w:t>
      </w:r>
      <w:r w:rsidR="00AA50B1">
        <w:t>s</w:t>
      </w:r>
      <w:r>
        <w:t xml:space="preserve"> under § 630.6(a)</w:t>
      </w:r>
      <w:r>
        <w:rPr>
          <w:i/>
          <w:iCs/>
        </w:rPr>
        <w:t>.</w:t>
      </w:r>
    </w:p>
    <w:p w:rsidR="00C97C77" w:rsidRDefault="00C97C77" w:rsidP="00CA3F50"/>
    <w:p w:rsidR="00C97C77" w:rsidRDefault="00C97C77" w:rsidP="00CA3F50">
      <w:r>
        <w:t xml:space="preserve">As part of usual and customary business practice, collecting establishments notify an autologous donor’s referring physician of reactive test results obtained during the donation process required under § 630.6(d)(1).  However, we estimate that </w:t>
      </w:r>
      <w:r w:rsidR="007F62A9">
        <w:t xml:space="preserve">approximately </w:t>
      </w:r>
      <w:r>
        <w:t xml:space="preserve">5 percent of the </w:t>
      </w:r>
      <w:r w:rsidR="00B42ABC">
        <w:t>1,265</w:t>
      </w:r>
      <w:r>
        <w:t xml:space="preserve"> blood collection establishments (</w:t>
      </w:r>
      <w:r w:rsidR="00B42ABC">
        <w:t>63</w:t>
      </w:r>
      <w:r>
        <w:t xml:space="preserve">) may not notify the referring physicians </w:t>
      </w:r>
      <w:r w:rsidR="003E3DF9">
        <w:t>o</w:t>
      </w:r>
      <w:r w:rsidR="00B42ABC">
        <w:t>f the estimated 2 percent of 112</w:t>
      </w:r>
      <w:r w:rsidR="003E3DF9">
        <w:t>,5</w:t>
      </w:r>
      <w:r>
        <w:t>00 autologous donors w</w:t>
      </w:r>
      <w:r w:rsidR="00B42ABC">
        <w:t>ith reactive test results (2,250</w:t>
      </w:r>
      <w:r>
        <w:t>) as their usual an</w:t>
      </w:r>
      <w:r w:rsidR="000C00C5">
        <w:t>d customary business practice.</w:t>
      </w:r>
    </w:p>
    <w:p w:rsidR="00C97C77" w:rsidRDefault="00C97C77" w:rsidP="00CA3F50">
      <w:pPr>
        <w:pStyle w:val="BodyTextIndent"/>
      </w:pPr>
    </w:p>
    <w:p w:rsidR="00C97C77" w:rsidRPr="002958BA" w:rsidRDefault="00C97C77" w:rsidP="002958BA">
      <w:pPr>
        <w:pStyle w:val="BodyTextIndent"/>
        <w:jc w:val="left"/>
        <w:rPr>
          <w:b w:val="0"/>
        </w:rPr>
      </w:pPr>
      <w:r w:rsidRPr="002958BA">
        <w:rPr>
          <w:b w:val="0"/>
        </w:rPr>
        <w:t xml:space="preserve">The recordkeeping chart reflects the estimate that </w:t>
      </w:r>
      <w:r w:rsidR="004654EE" w:rsidRPr="002958BA">
        <w:rPr>
          <w:b w:val="0"/>
        </w:rPr>
        <w:t xml:space="preserve">approximately </w:t>
      </w:r>
      <w:r w:rsidR="00631FCC">
        <w:rPr>
          <w:b w:val="0"/>
        </w:rPr>
        <w:t>95 percent</w:t>
      </w:r>
      <w:r w:rsidRPr="002958BA">
        <w:rPr>
          <w:b w:val="0"/>
        </w:rPr>
        <w:t xml:space="preserve"> of the recordkeepers, which collect 9</w:t>
      </w:r>
      <w:r w:rsidR="00631FCC">
        <w:rPr>
          <w:b w:val="0"/>
        </w:rPr>
        <w:t>9 percent</w:t>
      </w:r>
      <w:r w:rsidRPr="002958BA">
        <w:rPr>
          <w:b w:val="0"/>
        </w:rPr>
        <w:t xml:space="preserve"> of the blood supply, ha</w:t>
      </w:r>
      <w:r w:rsidR="00F43B05" w:rsidRPr="002958BA">
        <w:rPr>
          <w:b w:val="0"/>
        </w:rPr>
        <w:t>ve</w:t>
      </w:r>
      <w:r w:rsidRPr="002958BA">
        <w:rPr>
          <w:b w:val="0"/>
        </w:rPr>
        <w:t xml:space="preserve"> developed SOPs as part of their customary and usual business practice.  Establishments may minimize burdens associated with CGMP and related regulations by using model </w:t>
      </w:r>
      <w:r w:rsidR="00F43B05" w:rsidRPr="002958BA">
        <w:rPr>
          <w:b w:val="0"/>
        </w:rPr>
        <w:t xml:space="preserve">standards </w:t>
      </w:r>
      <w:r w:rsidRPr="002958BA">
        <w:rPr>
          <w:b w:val="0"/>
        </w:rPr>
        <w:t>developed by industries’ accreditation organizations.  These accreditation organizations represent almost all r</w:t>
      </w:r>
      <w:r w:rsidR="000C00C5">
        <w:rPr>
          <w:b w:val="0"/>
        </w:rPr>
        <w:t>egistered blood establishments.</w:t>
      </w:r>
    </w:p>
    <w:p w:rsidR="00C97C77" w:rsidRPr="002958BA" w:rsidRDefault="00C97C77" w:rsidP="002958BA">
      <w:pPr>
        <w:pStyle w:val="BodyTextIndent"/>
        <w:jc w:val="left"/>
        <w:rPr>
          <w:b w:val="0"/>
        </w:rPr>
      </w:pPr>
    </w:p>
    <w:p w:rsidR="00C97C77" w:rsidRPr="002958BA" w:rsidRDefault="00C97C77" w:rsidP="002958BA">
      <w:pPr>
        <w:pStyle w:val="BodyTextIndent"/>
        <w:jc w:val="left"/>
        <w:rPr>
          <w:b w:val="0"/>
        </w:rPr>
      </w:pPr>
      <w:r w:rsidRPr="002958BA">
        <w:rPr>
          <w:b w:val="0"/>
        </w:rPr>
        <w:t xml:space="preserve">Under </w:t>
      </w:r>
      <w:r w:rsidR="00357441" w:rsidRPr="002958BA">
        <w:rPr>
          <w:b w:val="0"/>
        </w:rPr>
        <w:t xml:space="preserve">§ </w:t>
      </w:r>
      <w:r w:rsidRPr="002958BA">
        <w:rPr>
          <w:b w:val="0"/>
        </w:rPr>
        <w:t xml:space="preserve">606.160(b)(1)(ix), we estimate the total annual records based on the 1.3 million donors determined not to be eligible to donate and each of the </w:t>
      </w:r>
      <w:r w:rsidR="00F43B05" w:rsidRPr="002958BA">
        <w:rPr>
          <w:rFonts w:ascii="Melior" w:hAnsi="Melior" w:cs="Melior"/>
          <w:b w:val="0"/>
          <w:color w:val="auto"/>
          <w:sz w:val="26"/>
          <w:szCs w:val="26"/>
        </w:rPr>
        <w:t xml:space="preserve">estimated 1.75 million (1.3 million + 450,000) </w:t>
      </w:r>
      <w:r w:rsidRPr="002958BA">
        <w:rPr>
          <w:b w:val="0"/>
        </w:rPr>
        <w:t xml:space="preserve">donors deferred based on reactive test results for evidence of infection due to communicable disease agents.  Under § 606.160(b)(1)(xi), only the </w:t>
      </w:r>
      <w:r w:rsidR="00B42ABC">
        <w:rPr>
          <w:b w:val="0"/>
        </w:rPr>
        <w:t>1,945</w:t>
      </w:r>
      <w:r w:rsidRPr="002958BA">
        <w:rPr>
          <w:b w:val="0"/>
        </w:rPr>
        <w:t xml:space="preserve"> registered blood establishments collect autologous donations and, therefore, are required to notify referring </w:t>
      </w:r>
      <w:r w:rsidRPr="002958BA">
        <w:rPr>
          <w:b w:val="0"/>
        </w:rPr>
        <w:lastRenderedPageBreak/>
        <w:t>physicians.  We estimate that 4.5 perc</w:t>
      </w:r>
      <w:r w:rsidR="00B42ABC">
        <w:rPr>
          <w:b w:val="0"/>
        </w:rPr>
        <w:t>ent of the 112,500 autologous donors (5,063</w:t>
      </w:r>
      <w:r w:rsidRPr="002958BA">
        <w:rPr>
          <w:b w:val="0"/>
        </w:rPr>
        <w:t>) will be deferred under § 610.41 and thus result in the notification of their referring physicians.</w:t>
      </w:r>
    </w:p>
    <w:p w:rsidR="00C97C77" w:rsidRPr="006E4012" w:rsidRDefault="00C97C77" w:rsidP="00CA3F50"/>
    <w:p w:rsidR="00C97C77" w:rsidRDefault="00C97C77" w:rsidP="00CA3F50">
      <w:r>
        <w:t>FDA has concluded that the use of untested or incompletely tested but appropriately documented human blood or blood components in rare medical emergencies should not be prohibited.  We estimate the recordkeeping under § 610.40(g)(1</w:t>
      </w:r>
      <w:r w:rsidR="00A221E9">
        <w:t>) to be minimal with one or fewer</w:t>
      </w:r>
      <w:r>
        <w:t xml:space="preserve"> occurrence</w:t>
      </w:r>
      <w:r w:rsidR="006506FC">
        <w:t>s</w:t>
      </w:r>
      <w:r>
        <w:t xml:space="preserve"> per year.  The reporting</w:t>
      </w:r>
      <w:r w:rsidR="00843E14">
        <w:t>/disclosure</w:t>
      </w:r>
      <w:r>
        <w:t xml:space="preserve"> of test results to the consignee in § 610.40(g) does not create a new burden for respondents because it is the usual and customary business practice or procedure to finish the testing and provide the results to the manufacturer responsible for labeling the blood products.</w:t>
      </w:r>
    </w:p>
    <w:p w:rsidR="0090452B" w:rsidRDefault="0090452B" w:rsidP="00CA3F50"/>
    <w:p w:rsidR="0090452B" w:rsidRDefault="0090452B" w:rsidP="00CA3F50">
      <w:r>
        <w:t>The</w:t>
      </w:r>
      <w:r w:rsidR="00B42ABC">
        <w:t xml:space="preserve"> average burden per response</w:t>
      </w:r>
      <w:r>
        <w:t xml:space="preserve"> </w:t>
      </w:r>
      <w:r w:rsidR="00B42ABC">
        <w:t>(</w:t>
      </w:r>
      <w:r>
        <w:t>hours</w:t>
      </w:r>
      <w:r w:rsidR="00B42ABC">
        <w:t>)</w:t>
      </w:r>
      <w:r>
        <w:t xml:space="preserve"> and</w:t>
      </w:r>
      <w:r w:rsidR="00B42ABC">
        <w:t xml:space="preserve"> the average burden for recordkeeping (hours)</w:t>
      </w:r>
      <w:r>
        <w:t xml:space="preserve"> are based on estimates received from industry or FDA experience with similar recordkeeping or reporting requirements.</w:t>
      </w:r>
    </w:p>
    <w:p w:rsidR="00D51C6B" w:rsidRDefault="00D51C6B" w:rsidP="00CA3F50"/>
    <w:p w:rsidR="00D51C6B" w:rsidRPr="000700B3" w:rsidRDefault="00D51C6B" w:rsidP="000700B3">
      <w:pPr>
        <w:widowControl/>
        <w:autoSpaceDE w:val="0"/>
        <w:autoSpaceDN w:val="0"/>
        <w:adjustRightInd w:val="0"/>
        <w:ind w:left="0"/>
        <w:rPr>
          <w:rFonts w:cs="Arial"/>
          <w:color w:val="auto"/>
        </w:rPr>
      </w:pPr>
      <w:r>
        <w:t>The development of labels is</w:t>
      </w:r>
      <w:r w:rsidR="005474AD">
        <w:t xml:space="preserve"> a one-time burden.  The contain</w:t>
      </w:r>
      <w:r>
        <w:t xml:space="preserve">er labels have been standardized and are sold commercially.  The label is only customized for the firm’s name and address.  In addition, the instruction circular is printed by major blood banking associations, </w:t>
      </w:r>
      <w:r w:rsidR="00242720">
        <w:t xml:space="preserve">the </w:t>
      </w:r>
      <w:r>
        <w:t>ARC, AABB, and ABC, and are sold at minimal cost to the firms.  The circula</w:t>
      </w:r>
      <w:r w:rsidR="005474AD">
        <w:t>rs are updated annually usually due to new industry information.  Therefore no burden is imposed by FDA regarding the labeling and disclosure regulations (§</w:t>
      </w:r>
      <w:r w:rsidR="005B078C">
        <w:t>§</w:t>
      </w:r>
      <w:r w:rsidR="005474AD">
        <w:t xml:space="preserve"> 606.12</w:t>
      </w:r>
      <w:r w:rsidR="000700B3">
        <w:t xml:space="preserve">1 and 606.122) and Uniform Labeling </w:t>
      </w:r>
      <w:r w:rsidR="000700B3">
        <w:rPr>
          <w:rFonts w:cs="Arial"/>
          <w:color w:val="auto"/>
        </w:rPr>
        <w:t>of Blood and Blood Components using ISBT 128 (Ind</w:t>
      </w:r>
      <w:r w:rsidR="00DF69CE">
        <w:rPr>
          <w:rFonts w:cs="Arial"/>
          <w:color w:val="auto"/>
        </w:rPr>
        <w:t>ustry Consensus Standard for the</w:t>
      </w:r>
      <w:r w:rsidR="000700B3">
        <w:rPr>
          <w:rFonts w:cs="Arial"/>
          <w:color w:val="auto"/>
        </w:rPr>
        <w:t xml:space="preserve"> Uniform Labeling of Blood and Blood Components</w:t>
      </w:r>
      <w:r w:rsidR="00DF69CE">
        <w:rPr>
          <w:rFonts w:cs="Arial"/>
          <w:color w:val="auto"/>
        </w:rPr>
        <w:t xml:space="preserve"> Using ISTB 128 Version </w:t>
      </w:r>
      <w:r w:rsidR="00F519BA">
        <w:rPr>
          <w:rFonts w:cs="Arial"/>
          <w:color w:val="auto"/>
        </w:rPr>
        <w:t>3</w:t>
      </w:r>
      <w:r w:rsidR="00DF69CE">
        <w:rPr>
          <w:rFonts w:cs="Arial"/>
          <w:color w:val="auto"/>
        </w:rPr>
        <w:t>.0.0,</w:t>
      </w:r>
      <w:r w:rsidR="00F519BA">
        <w:rPr>
          <w:rFonts w:cs="Arial"/>
          <w:color w:val="auto"/>
        </w:rPr>
        <w:t>March 2013</w:t>
      </w:r>
      <w:r w:rsidR="000700B3">
        <w:rPr>
          <w:rFonts w:cs="Arial"/>
          <w:color w:val="auto"/>
        </w:rPr>
        <w:t>).</w:t>
      </w:r>
    </w:p>
    <w:p w:rsidR="00C97C77" w:rsidRDefault="00C97C77" w:rsidP="00CA3F50"/>
    <w:p w:rsidR="002E15A7" w:rsidRDefault="002E15A7" w:rsidP="00CA3F50"/>
    <w:p w:rsidR="00C97C77" w:rsidRPr="00611117" w:rsidRDefault="004C4203" w:rsidP="009B2C58">
      <w:pPr>
        <w:pStyle w:val="BodyText"/>
        <w:rPr>
          <w:u w:val="single"/>
        </w:rPr>
      </w:pPr>
      <w:r w:rsidRPr="00611117">
        <w:rPr>
          <w:u w:val="single"/>
        </w:rPr>
        <w:t>12b. Annualized Cost Burden Estimate</w:t>
      </w:r>
    </w:p>
    <w:p w:rsidR="00C97C77" w:rsidRDefault="00C97C77" w:rsidP="009B2C58">
      <w:pPr>
        <w:pStyle w:val="BodyText"/>
      </w:pPr>
    </w:p>
    <w:p w:rsidR="00C97C77" w:rsidRDefault="00C97C77" w:rsidP="009B2C58">
      <w:pPr>
        <w:pStyle w:val="BodyText"/>
      </w:pPr>
      <w:r>
        <w:t xml:space="preserve">The estimated </w:t>
      </w:r>
      <w:r w:rsidR="00F55637">
        <w:t>annual co</w:t>
      </w:r>
      <w:r w:rsidR="00550BB7">
        <w:t>st to respondents is $</w:t>
      </w:r>
      <w:r w:rsidR="007B0D0C">
        <w:t>32,654,016</w:t>
      </w:r>
      <w:r>
        <w:t>.</w:t>
      </w:r>
    </w:p>
    <w:p w:rsidR="00C97C77" w:rsidRDefault="00C97C77" w:rsidP="00CA3F50">
      <w:pPr>
        <w:pStyle w:val="Header"/>
      </w:pPr>
    </w:p>
    <w:tbl>
      <w:tblPr>
        <w:tblW w:w="0" w:type="auto"/>
        <w:tblInd w:w="100" w:type="dxa"/>
        <w:tblLayout w:type="fixed"/>
        <w:tblCellMar>
          <w:left w:w="100" w:type="dxa"/>
          <w:right w:w="100" w:type="dxa"/>
        </w:tblCellMar>
        <w:tblLook w:val="0000" w:firstRow="0" w:lastRow="0" w:firstColumn="0" w:lastColumn="0" w:noHBand="0" w:noVBand="0"/>
      </w:tblPr>
      <w:tblGrid>
        <w:gridCol w:w="2340"/>
        <w:gridCol w:w="2340"/>
        <w:gridCol w:w="2340"/>
        <w:gridCol w:w="2340"/>
      </w:tblGrid>
      <w:tr w:rsidR="00C97C77">
        <w:trPr>
          <w:cantSplit/>
          <w:trHeight w:val="403"/>
        </w:trPr>
        <w:tc>
          <w:tcPr>
            <w:tcW w:w="2340" w:type="dxa"/>
            <w:tcBorders>
              <w:top w:val="single" w:sz="6" w:space="0" w:color="auto"/>
              <w:left w:val="single" w:sz="6" w:space="0" w:color="auto"/>
              <w:bottom w:val="double" w:sz="4" w:space="0" w:color="auto"/>
            </w:tcBorders>
          </w:tcPr>
          <w:p w:rsidR="00C97C77" w:rsidRPr="002958BA" w:rsidRDefault="00C97C77" w:rsidP="00CA3F50">
            <w:pPr>
              <w:pStyle w:val="Heading1"/>
              <w:rPr>
                <w:rFonts w:eastAsia="Arial Unicode MS"/>
                <w:b w:val="0"/>
                <w:u w:val="none"/>
                <w:vertAlign w:val="superscript"/>
              </w:rPr>
            </w:pPr>
            <w:r w:rsidRPr="002958BA">
              <w:rPr>
                <w:b w:val="0"/>
                <w:u w:val="none"/>
              </w:rPr>
              <w:t>Activity</w:t>
            </w:r>
          </w:p>
        </w:tc>
        <w:tc>
          <w:tcPr>
            <w:tcW w:w="2340" w:type="dxa"/>
            <w:tcBorders>
              <w:top w:val="single" w:sz="6" w:space="0" w:color="auto"/>
              <w:left w:val="single" w:sz="6" w:space="0" w:color="auto"/>
              <w:bottom w:val="double" w:sz="4" w:space="0" w:color="auto"/>
            </w:tcBorders>
          </w:tcPr>
          <w:p w:rsidR="00C97C77" w:rsidRPr="002958BA" w:rsidRDefault="004C4203" w:rsidP="00CA3F50">
            <w:pPr>
              <w:pStyle w:val="Heading1"/>
              <w:rPr>
                <w:rFonts w:eastAsia="Arial Unicode MS"/>
                <w:b w:val="0"/>
                <w:u w:val="none"/>
                <w:vertAlign w:val="superscript"/>
              </w:rPr>
            </w:pPr>
            <w:r w:rsidRPr="002958BA">
              <w:rPr>
                <w:b w:val="0"/>
                <w:u w:val="none"/>
              </w:rPr>
              <w:t xml:space="preserve"> Total Burden Hours</w:t>
            </w:r>
          </w:p>
        </w:tc>
        <w:tc>
          <w:tcPr>
            <w:tcW w:w="2340" w:type="dxa"/>
            <w:tcBorders>
              <w:top w:val="single" w:sz="6" w:space="0" w:color="auto"/>
              <w:left w:val="single" w:sz="6" w:space="0" w:color="auto"/>
              <w:bottom w:val="double" w:sz="4" w:space="0" w:color="auto"/>
            </w:tcBorders>
          </w:tcPr>
          <w:p w:rsidR="00C97C77" w:rsidRPr="002958BA" w:rsidRDefault="004C4203" w:rsidP="00CA3F50">
            <w:pPr>
              <w:pStyle w:val="Heading1"/>
              <w:rPr>
                <w:rFonts w:eastAsia="Arial Unicode MS"/>
                <w:b w:val="0"/>
                <w:u w:val="none"/>
                <w:vertAlign w:val="superscript"/>
              </w:rPr>
            </w:pPr>
            <w:r w:rsidRPr="002958BA">
              <w:rPr>
                <w:b w:val="0"/>
                <w:u w:val="none"/>
              </w:rPr>
              <w:t>Hourly Wage Rate</w:t>
            </w:r>
          </w:p>
        </w:tc>
        <w:tc>
          <w:tcPr>
            <w:tcW w:w="2340" w:type="dxa"/>
            <w:tcBorders>
              <w:top w:val="single" w:sz="6" w:space="0" w:color="auto"/>
              <w:left w:val="single" w:sz="6" w:space="0" w:color="auto"/>
              <w:bottom w:val="double" w:sz="4" w:space="0" w:color="auto"/>
              <w:right w:val="single" w:sz="6" w:space="0" w:color="auto"/>
            </w:tcBorders>
          </w:tcPr>
          <w:p w:rsidR="00C97C77" w:rsidRPr="002958BA" w:rsidRDefault="00C97C77" w:rsidP="00CA3F50">
            <w:pPr>
              <w:pStyle w:val="Heading1"/>
              <w:rPr>
                <w:rFonts w:eastAsia="Arial Unicode MS"/>
                <w:b w:val="0"/>
                <w:u w:val="none"/>
                <w:vertAlign w:val="superscript"/>
              </w:rPr>
            </w:pPr>
            <w:r w:rsidRPr="002958BA">
              <w:rPr>
                <w:b w:val="0"/>
                <w:u w:val="none"/>
              </w:rPr>
              <w:t>Total</w:t>
            </w:r>
            <w:r w:rsidR="004C4203" w:rsidRPr="002958BA">
              <w:rPr>
                <w:b w:val="0"/>
                <w:u w:val="none"/>
              </w:rPr>
              <w:t xml:space="preserve"> Respondent          </w:t>
            </w:r>
            <w:r w:rsidRPr="002958BA">
              <w:rPr>
                <w:b w:val="0"/>
                <w:u w:val="none"/>
              </w:rPr>
              <w:t xml:space="preserve"> </w:t>
            </w:r>
            <w:r w:rsidR="004C4203" w:rsidRPr="002958BA">
              <w:rPr>
                <w:b w:val="0"/>
                <w:u w:val="none"/>
              </w:rPr>
              <w:t xml:space="preserve">                     </w:t>
            </w:r>
            <w:r w:rsidRPr="002958BA">
              <w:rPr>
                <w:b w:val="0"/>
                <w:u w:val="none"/>
              </w:rPr>
              <w:t>Cost</w:t>
            </w:r>
          </w:p>
        </w:tc>
      </w:tr>
      <w:tr w:rsidR="00C97C77">
        <w:trPr>
          <w:cantSplit/>
          <w:trHeight w:val="403"/>
        </w:trPr>
        <w:tc>
          <w:tcPr>
            <w:tcW w:w="2340" w:type="dxa"/>
            <w:tcBorders>
              <w:top w:val="single" w:sz="4" w:space="0" w:color="auto"/>
              <w:left w:val="single" w:sz="4" w:space="0" w:color="auto"/>
              <w:bottom w:val="single" w:sz="4" w:space="0" w:color="auto"/>
              <w:right w:val="single" w:sz="4" w:space="0" w:color="auto"/>
            </w:tcBorders>
          </w:tcPr>
          <w:p w:rsidR="00C97C77" w:rsidRDefault="00C97C77" w:rsidP="00CA3F50">
            <w:pPr>
              <w:pStyle w:val="Header"/>
            </w:pPr>
            <w:r>
              <w:t>Reporting</w:t>
            </w:r>
          </w:p>
        </w:tc>
        <w:tc>
          <w:tcPr>
            <w:tcW w:w="2340" w:type="dxa"/>
            <w:tcBorders>
              <w:top w:val="single" w:sz="4" w:space="0" w:color="auto"/>
              <w:left w:val="single" w:sz="4" w:space="0" w:color="auto"/>
              <w:bottom w:val="single" w:sz="4" w:space="0" w:color="auto"/>
              <w:right w:val="single" w:sz="4" w:space="0" w:color="auto"/>
            </w:tcBorders>
          </w:tcPr>
          <w:p w:rsidR="00C97C77" w:rsidRDefault="00843E14" w:rsidP="00CA3F50">
            <w:pPr>
              <w:pStyle w:val="Header"/>
            </w:pPr>
            <w:r>
              <w:t>1,</w:t>
            </w:r>
            <w:r w:rsidR="00550BB7">
              <w:t>4</w:t>
            </w:r>
            <w:r w:rsidR="00AE66C8">
              <w:t>4</w:t>
            </w:r>
            <w:r w:rsidR="00794967">
              <w:t>2</w:t>
            </w:r>
          </w:p>
        </w:tc>
        <w:tc>
          <w:tcPr>
            <w:tcW w:w="2340" w:type="dxa"/>
            <w:tcBorders>
              <w:top w:val="single" w:sz="4" w:space="0" w:color="auto"/>
              <w:left w:val="single" w:sz="4" w:space="0" w:color="auto"/>
              <w:bottom w:val="single" w:sz="4" w:space="0" w:color="auto"/>
              <w:right w:val="single" w:sz="4" w:space="0" w:color="auto"/>
            </w:tcBorders>
          </w:tcPr>
          <w:p w:rsidR="00C97C77" w:rsidRDefault="00C97C77" w:rsidP="00E05735">
            <w:r>
              <w:t>$</w:t>
            </w:r>
            <w:r w:rsidR="004718C8">
              <w:t>6</w:t>
            </w:r>
            <w:r w:rsidR="00550BB7">
              <w:t>4</w:t>
            </w:r>
          </w:p>
        </w:tc>
        <w:tc>
          <w:tcPr>
            <w:tcW w:w="2340" w:type="dxa"/>
            <w:tcBorders>
              <w:top w:val="single" w:sz="4" w:space="0" w:color="auto"/>
              <w:left w:val="single" w:sz="4" w:space="0" w:color="auto"/>
              <w:bottom w:val="single" w:sz="4" w:space="0" w:color="auto"/>
              <w:right w:val="single" w:sz="4" w:space="0" w:color="auto"/>
            </w:tcBorders>
          </w:tcPr>
          <w:p w:rsidR="00C97C77" w:rsidRDefault="00E05735" w:rsidP="004A56D2">
            <w:r>
              <w:t xml:space="preserve"> </w:t>
            </w:r>
            <w:r w:rsidR="00C97C77">
              <w:t>$</w:t>
            </w:r>
            <w:r w:rsidR="00794967">
              <w:t>9</w:t>
            </w:r>
            <w:r w:rsidR="00550BB7">
              <w:t>2,288</w:t>
            </w:r>
          </w:p>
        </w:tc>
      </w:tr>
      <w:tr w:rsidR="00C97C77">
        <w:trPr>
          <w:cantSplit/>
          <w:trHeight w:val="403"/>
        </w:trPr>
        <w:tc>
          <w:tcPr>
            <w:tcW w:w="2340" w:type="dxa"/>
            <w:tcBorders>
              <w:top w:val="single" w:sz="4" w:space="0" w:color="auto"/>
              <w:left w:val="single" w:sz="4" w:space="0" w:color="auto"/>
              <w:bottom w:val="single" w:sz="4" w:space="0" w:color="auto"/>
              <w:right w:val="single" w:sz="4" w:space="0" w:color="auto"/>
            </w:tcBorders>
          </w:tcPr>
          <w:p w:rsidR="00C97C77" w:rsidRDefault="00C97C77" w:rsidP="00B63F2B">
            <w:r>
              <w:t>Recordkeeping</w:t>
            </w:r>
          </w:p>
        </w:tc>
        <w:tc>
          <w:tcPr>
            <w:tcW w:w="2340" w:type="dxa"/>
            <w:tcBorders>
              <w:top w:val="single" w:sz="4" w:space="0" w:color="auto"/>
              <w:left w:val="single" w:sz="4" w:space="0" w:color="auto"/>
              <w:bottom w:val="single" w:sz="4" w:space="0" w:color="auto"/>
              <w:right w:val="single" w:sz="4" w:space="0" w:color="auto"/>
            </w:tcBorders>
          </w:tcPr>
          <w:p w:rsidR="00C97C77" w:rsidRDefault="004C4203" w:rsidP="00B63F2B">
            <w:r>
              <w:t>44</w:t>
            </w:r>
            <w:r w:rsidR="00550BB7">
              <w:t>7,734</w:t>
            </w:r>
          </w:p>
        </w:tc>
        <w:tc>
          <w:tcPr>
            <w:tcW w:w="2340" w:type="dxa"/>
            <w:tcBorders>
              <w:top w:val="single" w:sz="4" w:space="0" w:color="auto"/>
              <w:left w:val="single" w:sz="4" w:space="0" w:color="auto"/>
              <w:bottom w:val="single" w:sz="4" w:space="0" w:color="auto"/>
              <w:right w:val="single" w:sz="4" w:space="0" w:color="auto"/>
            </w:tcBorders>
          </w:tcPr>
          <w:p w:rsidR="00C97C77" w:rsidRDefault="00C97C77" w:rsidP="00E05735">
            <w:r>
              <w:t>$</w:t>
            </w:r>
            <w:r w:rsidR="004718C8">
              <w:t>6</w:t>
            </w:r>
            <w:r w:rsidR="00550BB7">
              <w:t>4</w:t>
            </w:r>
          </w:p>
        </w:tc>
        <w:tc>
          <w:tcPr>
            <w:tcW w:w="2340" w:type="dxa"/>
            <w:tcBorders>
              <w:top w:val="single" w:sz="4" w:space="0" w:color="auto"/>
              <w:left w:val="single" w:sz="4" w:space="0" w:color="auto"/>
              <w:bottom w:val="single" w:sz="4" w:space="0" w:color="auto"/>
              <w:right w:val="single" w:sz="4" w:space="0" w:color="auto"/>
            </w:tcBorders>
          </w:tcPr>
          <w:p w:rsidR="00C97C77" w:rsidRDefault="00C97C77">
            <w:r>
              <w:t>$</w:t>
            </w:r>
            <w:r w:rsidR="00E05735">
              <w:t>2</w:t>
            </w:r>
            <w:r w:rsidR="00550BB7">
              <w:t>8,654,976</w:t>
            </w:r>
          </w:p>
        </w:tc>
      </w:tr>
      <w:tr w:rsidR="00843E14">
        <w:trPr>
          <w:cantSplit/>
          <w:trHeight w:val="403"/>
        </w:trPr>
        <w:tc>
          <w:tcPr>
            <w:tcW w:w="2340" w:type="dxa"/>
            <w:tcBorders>
              <w:top w:val="single" w:sz="4" w:space="0" w:color="auto"/>
              <w:left w:val="single" w:sz="4" w:space="0" w:color="auto"/>
              <w:bottom w:val="single" w:sz="4" w:space="0" w:color="auto"/>
              <w:right w:val="single" w:sz="4" w:space="0" w:color="auto"/>
            </w:tcBorders>
          </w:tcPr>
          <w:p w:rsidR="00843E14" w:rsidRDefault="00843E14" w:rsidP="00B63F2B">
            <w:r>
              <w:t xml:space="preserve">Disclosure </w:t>
            </w:r>
          </w:p>
        </w:tc>
        <w:tc>
          <w:tcPr>
            <w:tcW w:w="2340" w:type="dxa"/>
            <w:tcBorders>
              <w:top w:val="single" w:sz="4" w:space="0" w:color="auto"/>
              <w:left w:val="single" w:sz="4" w:space="0" w:color="auto"/>
              <w:bottom w:val="single" w:sz="4" w:space="0" w:color="auto"/>
              <w:right w:val="single" w:sz="4" w:space="0" w:color="auto"/>
            </w:tcBorders>
          </w:tcPr>
          <w:p w:rsidR="00843E14" w:rsidRDefault="008B29CC" w:rsidP="00B63F2B">
            <w:r>
              <w:t>61,043</w:t>
            </w:r>
          </w:p>
        </w:tc>
        <w:tc>
          <w:tcPr>
            <w:tcW w:w="2340" w:type="dxa"/>
            <w:tcBorders>
              <w:top w:val="single" w:sz="4" w:space="0" w:color="auto"/>
              <w:left w:val="single" w:sz="4" w:space="0" w:color="auto"/>
              <w:bottom w:val="single" w:sz="4" w:space="0" w:color="auto"/>
              <w:right w:val="single" w:sz="4" w:space="0" w:color="auto"/>
            </w:tcBorders>
          </w:tcPr>
          <w:p w:rsidR="00843E14" w:rsidRDefault="00BF26DC" w:rsidP="00E05735">
            <w:r>
              <w:t>$6</w:t>
            </w:r>
            <w:r w:rsidR="00550BB7">
              <w:t>4</w:t>
            </w:r>
          </w:p>
        </w:tc>
        <w:tc>
          <w:tcPr>
            <w:tcW w:w="2340" w:type="dxa"/>
            <w:tcBorders>
              <w:top w:val="single" w:sz="4" w:space="0" w:color="auto"/>
              <w:left w:val="single" w:sz="4" w:space="0" w:color="auto"/>
              <w:bottom w:val="single" w:sz="4" w:space="0" w:color="auto"/>
              <w:right w:val="single" w:sz="4" w:space="0" w:color="auto"/>
            </w:tcBorders>
          </w:tcPr>
          <w:p w:rsidR="00843E14" w:rsidRDefault="00843E14" w:rsidP="008B29CC">
            <w:r>
              <w:t>$</w:t>
            </w:r>
            <w:r w:rsidR="008B29CC">
              <w:t>3,906,752</w:t>
            </w:r>
          </w:p>
        </w:tc>
      </w:tr>
      <w:tr w:rsidR="00C97C77">
        <w:trPr>
          <w:cantSplit/>
          <w:trHeight w:val="403"/>
        </w:trPr>
        <w:tc>
          <w:tcPr>
            <w:tcW w:w="7020" w:type="dxa"/>
            <w:gridSpan w:val="3"/>
            <w:tcBorders>
              <w:top w:val="single" w:sz="4" w:space="0" w:color="auto"/>
              <w:left w:val="single" w:sz="4" w:space="0" w:color="auto"/>
              <w:bottom w:val="single" w:sz="4" w:space="0" w:color="auto"/>
              <w:right w:val="single" w:sz="4" w:space="0" w:color="auto"/>
            </w:tcBorders>
          </w:tcPr>
          <w:p w:rsidR="00C97C77" w:rsidRDefault="00C97C77">
            <w:r>
              <w:t>Total</w:t>
            </w:r>
          </w:p>
        </w:tc>
        <w:tc>
          <w:tcPr>
            <w:tcW w:w="2340" w:type="dxa"/>
            <w:tcBorders>
              <w:top w:val="single" w:sz="4" w:space="0" w:color="auto"/>
              <w:left w:val="single" w:sz="4" w:space="0" w:color="auto"/>
              <w:bottom w:val="single" w:sz="4" w:space="0" w:color="auto"/>
              <w:right w:val="single" w:sz="4" w:space="0" w:color="auto"/>
            </w:tcBorders>
          </w:tcPr>
          <w:p w:rsidR="00C97C77" w:rsidRDefault="00C97C77" w:rsidP="008B29CC">
            <w:r>
              <w:t>$</w:t>
            </w:r>
            <w:r w:rsidR="009E611B">
              <w:t>32,654,016</w:t>
            </w:r>
          </w:p>
        </w:tc>
      </w:tr>
    </w:tbl>
    <w:p w:rsidR="00C97C77" w:rsidRDefault="00C97C77" w:rsidP="009B2C58">
      <w:pPr>
        <w:pStyle w:val="BodyText"/>
      </w:pPr>
    </w:p>
    <w:p w:rsidR="00C97C77" w:rsidRDefault="00C97C77" w:rsidP="00CA3F50">
      <w:r>
        <w:t>The c</w:t>
      </w:r>
      <w:r w:rsidR="004718C8">
        <w:t>o</w:t>
      </w:r>
      <w:r w:rsidR="00550BB7">
        <w:t>st is based on a pay rate of $42</w:t>
      </w:r>
      <w:r>
        <w:t>/hour for a medical technologist (MT), who is responsible for recording donor, quarantine, testing, and disposition of information, notifying consignees of test results, and has the training and skills to handle various recordkeeping requirements.  The cost estimate is also based on a supervisor, at a pay rate of $</w:t>
      </w:r>
      <w:r w:rsidR="00550BB7">
        <w:t>56</w:t>
      </w:r>
      <w:r>
        <w:t>/hour who is responsible for updating SOPs, recording donor information, and notifying physicians of recipients or recipients of test results, investigating, writing, and reporting a fatality, and a Medical Director (MD), at a pay rate of $</w:t>
      </w:r>
      <w:r w:rsidR="00550BB7">
        <w:t>92</w:t>
      </w:r>
      <w:r>
        <w:t xml:space="preserve">/hour, who is responsible for updating SOPs, recording donor information, and </w:t>
      </w:r>
      <w:r>
        <w:lastRenderedPageBreak/>
        <w:t>notifying physicians of recipients or recipients of test results, investigating, writing, and reporting a fatality.  These salary estimates include recordkeeping</w:t>
      </w:r>
      <w:r w:rsidR="00BA4F99">
        <w:t>,</w:t>
      </w:r>
      <w:r>
        <w:t xml:space="preserve"> reporting</w:t>
      </w:r>
      <w:r w:rsidR="00BA4F99">
        <w:t xml:space="preserve">, and </w:t>
      </w:r>
      <w:r>
        <w:t>disclosure requirements that are performed by the MT, supervisor, or MD</w:t>
      </w:r>
      <w:r w:rsidR="007B0D0C">
        <w:t>;</w:t>
      </w:r>
      <w:r>
        <w:t xml:space="preserve"> the cost/hour includes the average salary of the three ($</w:t>
      </w:r>
      <w:r w:rsidR="00550BB7">
        <w:t>64</w:t>
      </w:r>
      <w:r>
        <w:t>).  These salary estimates include benefits but no overhead costs.</w:t>
      </w:r>
      <w:r w:rsidR="00BA4F99">
        <w:t xml:space="preserve"> </w:t>
      </w:r>
    </w:p>
    <w:p w:rsidR="00C97C77" w:rsidRDefault="00C97C77" w:rsidP="009B2C58">
      <w:pPr>
        <w:pStyle w:val="BodyText"/>
      </w:pPr>
    </w:p>
    <w:p w:rsidR="00C97C77" w:rsidRDefault="00611F75" w:rsidP="00CA3F50">
      <w:pPr>
        <w:pStyle w:val="Heading2"/>
      </w:pPr>
      <w:r>
        <w:t>Estimates of Other Total Annual Cost Burden to Respondents and</w:t>
      </w:r>
      <w:r w:rsidR="0018755E">
        <w:t>/or Recordk</w:t>
      </w:r>
      <w:r>
        <w:t>eepers</w:t>
      </w:r>
      <w:r w:rsidR="0018755E">
        <w:t>/Capital Costs</w:t>
      </w:r>
    </w:p>
    <w:p w:rsidR="00C97C77" w:rsidRDefault="00C97C77" w:rsidP="009B2C58">
      <w:pPr>
        <w:pStyle w:val="BodyText"/>
      </w:pPr>
    </w:p>
    <w:p w:rsidR="00C97C77" w:rsidRDefault="00C97C77" w:rsidP="00CA3F50">
      <w:r>
        <w:t>There are no capital</w:t>
      </w:r>
      <w:r w:rsidR="00A10B62">
        <w:t>,</w:t>
      </w:r>
      <w:r>
        <w:t xml:space="preserve"> </w:t>
      </w:r>
      <w:r w:rsidR="00A10B62">
        <w:t xml:space="preserve">start-up, </w:t>
      </w:r>
      <w:r>
        <w:t>operati</w:t>
      </w:r>
      <w:r w:rsidR="00611F75">
        <w:t xml:space="preserve">ng </w:t>
      </w:r>
      <w:r w:rsidR="00A10B62">
        <w:t xml:space="preserve">or </w:t>
      </w:r>
      <w:r>
        <w:t>maint</w:t>
      </w:r>
      <w:r w:rsidR="00D51C6B">
        <w:t>enance costs associated with this</w:t>
      </w:r>
      <w:r>
        <w:t xml:space="preserve"> </w:t>
      </w:r>
      <w:bookmarkStart w:id="0" w:name="_GoBack"/>
      <w:bookmarkEnd w:id="0"/>
      <w:r>
        <w:t>information</w:t>
      </w:r>
      <w:r w:rsidR="00A10B62">
        <w:t xml:space="preserve"> collection</w:t>
      </w:r>
      <w:r>
        <w:t>.</w:t>
      </w:r>
    </w:p>
    <w:p w:rsidR="00C97C77" w:rsidRDefault="00C97C77" w:rsidP="009B2C58">
      <w:pPr>
        <w:pStyle w:val="BodyText"/>
      </w:pPr>
    </w:p>
    <w:p w:rsidR="00444B12" w:rsidRDefault="00444B12" w:rsidP="009B2C58">
      <w:pPr>
        <w:pStyle w:val="BodyText"/>
      </w:pPr>
    </w:p>
    <w:p w:rsidR="00C97C77" w:rsidRDefault="00611F75" w:rsidP="00CA3F50">
      <w:pPr>
        <w:pStyle w:val="Heading2"/>
      </w:pPr>
      <w:r>
        <w:t xml:space="preserve">Annualized </w:t>
      </w:r>
      <w:r w:rsidR="00C97C77">
        <w:t xml:space="preserve">Cost to </w:t>
      </w:r>
      <w:r>
        <w:t xml:space="preserve">the </w:t>
      </w:r>
      <w:r w:rsidR="00C97C77">
        <w:t>Federal Government</w:t>
      </w:r>
    </w:p>
    <w:p w:rsidR="00C97C77" w:rsidRDefault="00C97C77" w:rsidP="009B2C58">
      <w:pPr>
        <w:pStyle w:val="BodyText"/>
      </w:pPr>
    </w:p>
    <w:p w:rsidR="00C97C77" w:rsidRDefault="00C97C77" w:rsidP="00CA3F50">
      <w:r>
        <w:t>The estimated annualized cost to the Federal Government is $</w:t>
      </w:r>
      <w:r w:rsidR="00913CA5">
        <w:t>1,870,668</w:t>
      </w:r>
      <w:r>
        <w:t>.  This estimate i</w:t>
      </w:r>
      <w:r w:rsidR="00CA3F50">
        <w:t>s based</w:t>
      </w:r>
      <w:r w:rsidR="000C00C5">
        <w:t xml:space="preserve"> </w:t>
      </w:r>
      <w:r>
        <w:t>on a FDA reviewer or investigator at an av</w:t>
      </w:r>
      <w:r w:rsidR="001B4E77">
        <w:t>erage grade scale of GS-12/5 ($54</w:t>
      </w:r>
      <w:r>
        <w:t>/hour), who reviews the requests for approval submitted under §§ 610.40(g)</w:t>
      </w:r>
      <w:r w:rsidR="00CA3F50">
        <w:t xml:space="preserve">(2) and 610.40(h)(2)(ii)(A), or </w:t>
      </w:r>
      <w:r>
        <w:t>performs biannual on-site inspections.  The inspection cost includes inspection of a facility, review of facility records, and report preparation.  The estimated cos</w:t>
      </w:r>
      <w:r w:rsidR="001B4E77">
        <w:t>t is also based on a GS-13/5 ($65</w:t>
      </w:r>
      <w:r>
        <w:t>/hour) Consumer Safety Officer who compiles, reviews, and analyzes fatality reports.  These salary estimates include benefits but no overhead costs.</w:t>
      </w:r>
    </w:p>
    <w:p w:rsidR="00C97C77" w:rsidRDefault="00C97C77" w:rsidP="00CA3F50">
      <w:pPr>
        <w:pStyle w:val="Footer"/>
      </w:pPr>
    </w:p>
    <w:p w:rsidR="00CA3F50" w:rsidRDefault="00CA3F50" w:rsidP="00CA3F50">
      <w:pPr>
        <w:pStyle w:val="Footer"/>
      </w:pPr>
    </w:p>
    <w:p w:rsidR="00CA3F50" w:rsidRDefault="00CA3F50" w:rsidP="00CA3F50">
      <w:pPr>
        <w:pStyle w:val="Footer"/>
      </w:pPr>
    </w:p>
    <w:tbl>
      <w:tblPr>
        <w:tblW w:w="0" w:type="auto"/>
        <w:tblInd w:w="100" w:type="dxa"/>
        <w:tblLayout w:type="fixed"/>
        <w:tblCellMar>
          <w:left w:w="100" w:type="dxa"/>
          <w:right w:w="100" w:type="dxa"/>
        </w:tblCellMar>
        <w:tblLook w:val="0000" w:firstRow="0" w:lastRow="0" w:firstColumn="0" w:lastColumn="0" w:noHBand="0" w:noVBand="0"/>
      </w:tblPr>
      <w:tblGrid>
        <w:gridCol w:w="2610"/>
        <w:gridCol w:w="1620"/>
        <w:gridCol w:w="1255"/>
        <w:gridCol w:w="1325"/>
        <w:gridCol w:w="1560"/>
      </w:tblGrid>
      <w:tr w:rsidR="00C97C77" w:rsidTr="00357441">
        <w:trPr>
          <w:cantSplit/>
          <w:trHeight w:val="403"/>
        </w:trPr>
        <w:tc>
          <w:tcPr>
            <w:tcW w:w="2610" w:type="dxa"/>
            <w:tcBorders>
              <w:top w:val="single" w:sz="6" w:space="0" w:color="auto"/>
              <w:left w:val="single" w:sz="6" w:space="0" w:color="auto"/>
              <w:bottom w:val="double" w:sz="4" w:space="0" w:color="auto"/>
            </w:tcBorders>
          </w:tcPr>
          <w:p w:rsidR="00C97C77" w:rsidRDefault="00C97C77" w:rsidP="00CA3F50">
            <w:r>
              <w:t>Activity</w:t>
            </w:r>
          </w:p>
        </w:tc>
        <w:tc>
          <w:tcPr>
            <w:tcW w:w="1620" w:type="dxa"/>
            <w:tcBorders>
              <w:top w:val="single" w:sz="6" w:space="0" w:color="auto"/>
              <w:left w:val="single" w:sz="6" w:space="0" w:color="auto"/>
              <w:bottom w:val="double" w:sz="4" w:space="0" w:color="auto"/>
            </w:tcBorders>
          </w:tcPr>
          <w:p w:rsidR="00C97C77" w:rsidRDefault="00C97C77" w:rsidP="00CA3F50">
            <w:r>
              <w:t>Number of Respondents</w:t>
            </w:r>
          </w:p>
        </w:tc>
        <w:tc>
          <w:tcPr>
            <w:tcW w:w="1255" w:type="dxa"/>
            <w:tcBorders>
              <w:top w:val="single" w:sz="6" w:space="0" w:color="auto"/>
              <w:left w:val="single" w:sz="6" w:space="0" w:color="auto"/>
              <w:bottom w:val="double" w:sz="4" w:space="0" w:color="auto"/>
            </w:tcBorders>
          </w:tcPr>
          <w:p w:rsidR="00C97C77" w:rsidRDefault="00C97C77" w:rsidP="00CA3F50">
            <w:r>
              <w:t>Number of Hours</w:t>
            </w:r>
          </w:p>
        </w:tc>
        <w:tc>
          <w:tcPr>
            <w:tcW w:w="1325" w:type="dxa"/>
            <w:tcBorders>
              <w:top w:val="single" w:sz="6" w:space="0" w:color="auto"/>
              <w:left w:val="single" w:sz="6" w:space="0" w:color="auto"/>
              <w:bottom w:val="double" w:sz="4" w:space="0" w:color="auto"/>
            </w:tcBorders>
          </w:tcPr>
          <w:p w:rsidR="00C97C77" w:rsidRDefault="00C97C77" w:rsidP="00CA3F50">
            <w:r>
              <w:t>Cost per Hour</w:t>
            </w:r>
          </w:p>
        </w:tc>
        <w:tc>
          <w:tcPr>
            <w:tcW w:w="1560" w:type="dxa"/>
            <w:tcBorders>
              <w:top w:val="single" w:sz="6" w:space="0" w:color="auto"/>
              <w:left w:val="single" w:sz="6" w:space="0" w:color="auto"/>
              <w:bottom w:val="double" w:sz="4" w:space="0" w:color="auto"/>
              <w:right w:val="single" w:sz="6" w:space="0" w:color="auto"/>
            </w:tcBorders>
          </w:tcPr>
          <w:p w:rsidR="00C97C77" w:rsidRDefault="00C97C77" w:rsidP="00CA3F50">
            <w:r>
              <w:t>Total Cost</w:t>
            </w:r>
          </w:p>
        </w:tc>
      </w:tr>
      <w:tr w:rsidR="00C97C77" w:rsidTr="00357441">
        <w:trPr>
          <w:cantSplit/>
          <w:trHeight w:val="403"/>
        </w:trPr>
        <w:tc>
          <w:tcPr>
            <w:tcW w:w="2610" w:type="dxa"/>
            <w:tcBorders>
              <w:left w:val="single" w:sz="4" w:space="0" w:color="auto"/>
              <w:bottom w:val="single" w:sz="4" w:space="0" w:color="auto"/>
              <w:right w:val="single" w:sz="4" w:space="0" w:color="auto"/>
            </w:tcBorders>
          </w:tcPr>
          <w:p w:rsidR="00C97C77" w:rsidRDefault="00C97C77" w:rsidP="00CA3F50">
            <w:r>
              <w:t>Product Release Review</w:t>
            </w:r>
          </w:p>
        </w:tc>
        <w:tc>
          <w:tcPr>
            <w:tcW w:w="1620" w:type="dxa"/>
            <w:tcBorders>
              <w:left w:val="single" w:sz="4" w:space="0" w:color="auto"/>
              <w:bottom w:val="single" w:sz="4" w:space="0" w:color="auto"/>
              <w:right w:val="single" w:sz="4" w:space="0" w:color="auto"/>
            </w:tcBorders>
          </w:tcPr>
          <w:p w:rsidR="00C97C77" w:rsidRDefault="00C97C77" w:rsidP="00CA3F50">
            <w:r>
              <w:t>2</w:t>
            </w:r>
          </w:p>
        </w:tc>
        <w:tc>
          <w:tcPr>
            <w:tcW w:w="1255" w:type="dxa"/>
            <w:tcBorders>
              <w:left w:val="single" w:sz="4" w:space="0" w:color="auto"/>
              <w:bottom w:val="single" w:sz="4" w:space="0" w:color="auto"/>
              <w:right w:val="single" w:sz="4" w:space="0" w:color="auto"/>
            </w:tcBorders>
          </w:tcPr>
          <w:p w:rsidR="00C97C77" w:rsidRDefault="00C97C77" w:rsidP="00CA3F50">
            <w:r>
              <w:t>1</w:t>
            </w:r>
          </w:p>
        </w:tc>
        <w:tc>
          <w:tcPr>
            <w:tcW w:w="1325" w:type="dxa"/>
            <w:tcBorders>
              <w:left w:val="single" w:sz="4" w:space="0" w:color="auto"/>
              <w:bottom w:val="single" w:sz="4" w:space="0" w:color="auto"/>
              <w:right w:val="single" w:sz="4" w:space="0" w:color="auto"/>
            </w:tcBorders>
          </w:tcPr>
          <w:p w:rsidR="00C97C77" w:rsidRDefault="00C97C77" w:rsidP="00CA3F50">
            <w:r>
              <w:t>$</w:t>
            </w:r>
            <w:r w:rsidR="00985873">
              <w:t>54</w:t>
            </w:r>
          </w:p>
        </w:tc>
        <w:tc>
          <w:tcPr>
            <w:tcW w:w="1560" w:type="dxa"/>
            <w:tcBorders>
              <w:left w:val="single" w:sz="4" w:space="0" w:color="auto"/>
              <w:bottom w:val="single" w:sz="4" w:space="0" w:color="auto"/>
              <w:right w:val="single" w:sz="4" w:space="0" w:color="auto"/>
            </w:tcBorders>
          </w:tcPr>
          <w:p w:rsidR="00C97C77" w:rsidRDefault="00680957" w:rsidP="00CA3F50">
            <w:r>
              <w:t xml:space="preserve">         </w:t>
            </w:r>
            <w:r w:rsidR="00C97C77">
              <w:t>$</w:t>
            </w:r>
            <w:r w:rsidR="00985873">
              <w:t>108</w:t>
            </w:r>
          </w:p>
        </w:tc>
      </w:tr>
      <w:tr w:rsidR="00C97C77" w:rsidTr="00357441">
        <w:trPr>
          <w:cantSplit/>
          <w:trHeight w:val="403"/>
        </w:trPr>
        <w:tc>
          <w:tcPr>
            <w:tcW w:w="2610" w:type="dxa"/>
            <w:tcBorders>
              <w:top w:val="single" w:sz="4" w:space="0" w:color="auto"/>
              <w:left w:val="single" w:sz="4" w:space="0" w:color="auto"/>
              <w:bottom w:val="single" w:sz="4" w:space="0" w:color="auto"/>
              <w:right w:val="single" w:sz="4" w:space="0" w:color="auto"/>
            </w:tcBorders>
          </w:tcPr>
          <w:p w:rsidR="00C97C77" w:rsidRDefault="00C97C77" w:rsidP="00CA3F50">
            <w:r>
              <w:t>Inspection</w:t>
            </w:r>
          </w:p>
        </w:tc>
        <w:tc>
          <w:tcPr>
            <w:tcW w:w="1620" w:type="dxa"/>
            <w:tcBorders>
              <w:top w:val="single" w:sz="4" w:space="0" w:color="auto"/>
              <w:left w:val="single" w:sz="4" w:space="0" w:color="auto"/>
              <w:bottom w:val="single" w:sz="4" w:space="0" w:color="auto"/>
              <w:right w:val="single" w:sz="4" w:space="0" w:color="auto"/>
            </w:tcBorders>
          </w:tcPr>
          <w:p w:rsidR="00C97C77" w:rsidRDefault="00985873" w:rsidP="00CA3F50">
            <w:r>
              <w:t>8</w:t>
            </w:r>
            <w:r w:rsidR="00913CA5">
              <w:t>40</w:t>
            </w:r>
          </w:p>
        </w:tc>
        <w:tc>
          <w:tcPr>
            <w:tcW w:w="1255" w:type="dxa"/>
            <w:tcBorders>
              <w:top w:val="single" w:sz="4" w:space="0" w:color="auto"/>
              <w:left w:val="single" w:sz="4" w:space="0" w:color="auto"/>
              <w:bottom w:val="single" w:sz="4" w:space="0" w:color="auto"/>
              <w:right w:val="single" w:sz="4" w:space="0" w:color="auto"/>
            </w:tcBorders>
          </w:tcPr>
          <w:p w:rsidR="00C97C77" w:rsidRDefault="00C97C77" w:rsidP="00CA3F50">
            <w:r>
              <w:t>40</w:t>
            </w:r>
          </w:p>
        </w:tc>
        <w:tc>
          <w:tcPr>
            <w:tcW w:w="1325" w:type="dxa"/>
            <w:tcBorders>
              <w:top w:val="single" w:sz="4" w:space="0" w:color="auto"/>
              <w:left w:val="single" w:sz="4" w:space="0" w:color="auto"/>
              <w:bottom w:val="single" w:sz="4" w:space="0" w:color="auto"/>
              <w:right w:val="single" w:sz="4" w:space="0" w:color="auto"/>
            </w:tcBorders>
          </w:tcPr>
          <w:p w:rsidR="00C97C77" w:rsidRDefault="00985873" w:rsidP="00CA3F50">
            <w:r>
              <w:t>$54</w:t>
            </w:r>
          </w:p>
        </w:tc>
        <w:tc>
          <w:tcPr>
            <w:tcW w:w="1560" w:type="dxa"/>
            <w:tcBorders>
              <w:top w:val="single" w:sz="4" w:space="0" w:color="auto"/>
              <w:left w:val="single" w:sz="4" w:space="0" w:color="auto"/>
              <w:bottom w:val="single" w:sz="4" w:space="0" w:color="auto"/>
              <w:right w:val="single" w:sz="4" w:space="0" w:color="auto"/>
            </w:tcBorders>
          </w:tcPr>
          <w:p w:rsidR="00C97C77" w:rsidRDefault="00985873" w:rsidP="00CA3F50">
            <w:r>
              <w:t>$1,8</w:t>
            </w:r>
            <w:r w:rsidR="00913CA5">
              <w:t>14,400</w:t>
            </w:r>
          </w:p>
        </w:tc>
      </w:tr>
      <w:tr w:rsidR="00C97C77" w:rsidTr="00357441">
        <w:trPr>
          <w:cantSplit/>
          <w:trHeight w:val="403"/>
        </w:trPr>
        <w:tc>
          <w:tcPr>
            <w:tcW w:w="2610" w:type="dxa"/>
            <w:tcBorders>
              <w:top w:val="single" w:sz="4" w:space="0" w:color="auto"/>
              <w:left w:val="single" w:sz="4" w:space="0" w:color="auto"/>
              <w:bottom w:val="single" w:sz="4" w:space="0" w:color="auto"/>
              <w:right w:val="single" w:sz="4" w:space="0" w:color="auto"/>
            </w:tcBorders>
          </w:tcPr>
          <w:p w:rsidR="00C97C77" w:rsidRDefault="00C97C77" w:rsidP="00CA3F50">
            <w:r>
              <w:t>Fatality Report Review</w:t>
            </w:r>
          </w:p>
        </w:tc>
        <w:tc>
          <w:tcPr>
            <w:tcW w:w="1620" w:type="dxa"/>
            <w:tcBorders>
              <w:top w:val="single" w:sz="4" w:space="0" w:color="auto"/>
              <w:left w:val="single" w:sz="4" w:space="0" w:color="auto"/>
              <w:bottom w:val="single" w:sz="4" w:space="0" w:color="auto"/>
              <w:right w:val="single" w:sz="4" w:space="0" w:color="auto"/>
            </w:tcBorders>
          </w:tcPr>
          <w:p w:rsidR="00C97C77" w:rsidRDefault="00985873" w:rsidP="00CA3F50">
            <w:r>
              <w:t>7</w:t>
            </w:r>
            <w:r w:rsidR="00F10EA8">
              <w:t>2</w:t>
            </w:r>
          </w:p>
        </w:tc>
        <w:tc>
          <w:tcPr>
            <w:tcW w:w="1255" w:type="dxa"/>
            <w:tcBorders>
              <w:top w:val="single" w:sz="4" w:space="0" w:color="auto"/>
              <w:left w:val="single" w:sz="4" w:space="0" w:color="auto"/>
              <w:bottom w:val="single" w:sz="4" w:space="0" w:color="auto"/>
              <w:right w:val="single" w:sz="4" w:space="0" w:color="auto"/>
            </w:tcBorders>
          </w:tcPr>
          <w:p w:rsidR="00C97C77" w:rsidRDefault="00C97C77" w:rsidP="00CA3F50">
            <w:r>
              <w:t>12</w:t>
            </w:r>
          </w:p>
        </w:tc>
        <w:tc>
          <w:tcPr>
            <w:tcW w:w="1325" w:type="dxa"/>
            <w:tcBorders>
              <w:top w:val="single" w:sz="4" w:space="0" w:color="auto"/>
              <w:left w:val="single" w:sz="4" w:space="0" w:color="auto"/>
              <w:bottom w:val="single" w:sz="4" w:space="0" w:color="auto"/>
              <w:right w:val="single" w:sz="4" w:space="0" w:color="auto"/>
            </w:tcBorders>
          </w:tcPr>
          <w:p w:rsidR="00C97C77" w:rsidRDefault="00C97C77" w:rsidP="00CA3F50">
            <w:r>
              <w:t>$</w:t>
            </w:r>
            <w:r w:rsidR="00985873">
              <w:t>65</w:t>
            </w:r>
          </w:p>
        </w:tc>
        <w:tc>
          <w:tcPr>
            <w:tcW w:w="1560" w:type="dxa"/>
            <w:tcBorders>
              <w:top w:val="single" w:sz="4" w:space="0" w:color="auto"/>
              <w:left w:val="single" w:sz="4" w:space="0" w:color="auto"/>
              <w:bottom w:val="single" w:sz="4" w:space="0" w:color="auto"/>
              <w:right w:val="single" w:sz="4" w:space="0" w:color="auto"/>
            </w:tcBorders>
          </w:tcPr>
          <w:p w:rsidR="00C97C77" w:rsidRDefault="00680957" w:rsidP="00CA3F50">
            <w:r>
              <w:t xml:space="preserve">     </w:t>
            </w:r>
            <w:r w:rsidR="00C97C77">
              <w:t>$</w:t>
            </w:r>
            <w:r w:rsidR="00985873">
              <w:t>5</w:t>
            </w:r>
            <w:r w:rsidR="00F10EA8">
              <w:t>6,160</w:t>
            </w:r>
          </w:p>
        </w:tc>
      </w:tr>
      <w:tr w:rsidR="00C97C77" w:rsidTr="00357441">
        <w:trPr>
          <w:cantSplit/>
          <w:trHeight w:val="403"/>
        </w:trPr>
        <w:tc>
          <w:tcPr>
            <w:tcW w:w="6810" w:type="dxa"/>
            <w:gridSpan w:val="4"/>
            <w:tcBorders>
              <w:left w:val="single" w:sz="6" w:space="0" w:color="auto"/>
              <w:bottom w:val="single" w:sz="6" w:space="0" w:color="auto"/>
              <w:right w:val="single" w:sz="6" w:space="0" w:color="auto"/>
            </w:tcBorders>
          </w:tcPr>
          <w:p w:rsidR="00C97C77" w:rsidRDefault="00C97C77" w:rsidP="00CA3F50">
            <w:r>
              <w:t>Total</w:t>
            </w:r>
          </w:p>
        </w:tc>
        <w:tc>
          <w:tcPr>
            <w:tcW w:w="1560" w:type="dxa"/>
            <w:tcBorders>
              <w:left w:val="single" w:sz="6" w:space="0" w:color="auto"/>
              <w:bottom w:val="single" w:sz="6" w:space="0" w:color="auto"/>
              <w:right w:val="single" w:sz="6" w:space="0" w:color="auto"/>
            </w:tcBorders>
          </w:tcPr>
          <w:p w:rsidR="00C97C77" w:rsidRDefault="00C97C77" w:rsidP="00CA3F50">
            <w:r>
              <w:t>$</w:t>
            </w:r>
            <w:r w:rsidR="00985873">
              <w:t>1,</w:t>
            </w:r>
            <w:r w:rsidR="00913CA5">
              <w:t>870,6</w:t>
            </w:r>
            <w:r w:rsidR="00DE4422">
              <w:t>6</w:t>
            </w:r>
            <w:r w:rsidR="00913CA5">
              <w:t>8</w:t>
            </w:r>
          </w:p>
        </w:tc>
      </w:tr>
    </w:tbl>
    <w:p w:rsidR="00C97C77" w:rsidRDefault="00C97C77" w:rsidP="00CA3F50">
      <w:pPr>
        <w:pStyle w:val="Footer"/>
      </w:pPr>
    </w:p>
    <w:p w:rsidR="00C97C77" w:rsidRDefault="003409D1" w:rsidP="00CA3F50">
      <w:pPr>
        <w:pStyle w:val="Heading2"/>
      </w:pPr>
      <w:r>
        <w:t xml:space="preserve">Explanation for </w:t>
      </w:r>
      <w:r w:rsidR="00C97C77">
        <w:t>Program Changes</w:t>
      </w:r>
      <w:r>
        <w:t xml:space="preserve"> or Adjustments</w:t>
      </w:r>
    </w:p>
    <w:p w:rsidR="00C97C77" w:rsidRDefault="00C97C77" w:rsidP="009B2C58">
      <w:pPr>
        <w:pStyle w:val="BodyText"/>
      </w:pPr>
    </w:p>
    <w:p w:rsidR="007513D7" w:rsidRDefault="00935392" w:rsidP="009B2C58">
      <w:pPr>
        <w:pStyle w:val="BodyText"/>
      </w:pPr>
      <w:r w:rsidRPr="009B2C58">
        <w:t>The estimated total annual burden for this information coll</w:t>
      </w:r>
      <w:r w:rsidR="009C4E58">
        <w:t>ection was 506,637 hours in 2011</w:t>
      </w:r>
      <w:r w:rsidRPr="009B2C58">
        <w:t>.  The curren</w:t>
      </w:r>
      <w:r w:rsidR="009C4E58">
        <w:t>t increase to 51</w:t>
      </w:r>
      <w:r w:rsidR="009E611B">
        <w:t>0,219</w:t>
      </w:r>
      <w:r w:rsidRPr="009B2C58">
        <w:t xml:space="preserve"> burden hours</w:t>
      </w:r>
      <w:r w:rsidR="009C4E58">
        <w:t xml:space="preserve"> (</w:t>
      </w:r>
      <w:r w:rsidR="00C205A0">
        <w:t>+</w:t>
      </w:r>
      <w:r w:rsidR="009E611B">
        <w:t>3,582</w:t>
      </w:r>
      <w:r w:rsidR="006C6F0F" w:rsidRPr="009B2C58">
        <w:t xml:space="preserve"> hours)</w:t>
      </w:r>
      <w:r w:rsidR="00F77E80">
        <w:t xml:space="preserve"> is mostly attributed</w:t>
      </w:r>
      <w:r w:rsidR="00ED35F4">
        <w:t xml:space="preserve"> to</w:t>
      </w:r>
      <w:r w:rsidR="001D409E">
        <w:t xml:space="preserve"> a</w:t>
      </w:r>
      <w:r w:rsidR="00C205A0">
        <w:t xml:space="preserve"> slight</w:t>
      </w:r>
      <w:r w:rsidR="001D409E">
        <w:t xml:space="preserve"> increase in the number of </w:t>
      </w:r>
      <w:r w:rsidR="00C205A0">
        <w:t xml:space="preserve">recordkeepers and corresponding records under § 606.100(b) and (c) </w:t>
      </w:r>
      <w:r w:rsidR="00F94431">
        <w:t xml:space="preserve">and </w:t>
      </w:r>
      <w:r w:rsidR="008B29CC">
        <w:t xml:space="preserve">§ 606.170(a). </w:t>
      </w:r>
    </w:p>
    <w:p w:rsidR="007513D7" w:rsidRDefault="007513D7" w:rsidP="009B2C58">
      <w:pPr>
        <w:pStyle w:val="BodyText"/>
      </w:pPr>
    </w:p>
    <w:p w:rsidR="00935392" w:rsidRDefault="007513D7" w:rsidP="009B2C58">
      <w:pPr>
        <w:pStyle w:val="BodyText"/>
      </w:pPr>
      <w:r>
        <w:t xml:space="preserve">In addition, FDA </w:t>
      </w:r>
      <w:r w:rsidR="00CE0674">
        <w:t xml:space="preserve">is </w:t>
      </w:r>
      <w:r>
        <w:t>consolidat</w:t>
      </w:r>
      <w:r w:rsidR="00CE0674">
        <w:t>ing</w:t>
      </w:r>
      <w:r>
        <w:t xml:space="preserve"> </w:t>
      </w:r>
      <w:r w:rsidR="00CE0674">
        <w:t xml:space="preserve">OMB Control No. </w:t>
      </w:r>
      <w:r>
        <w:t>0910-0723 into OMB Control No. 0910-0116</w:t>
      </w:r>
      <w:r w:rsidR="00CE0674">
        <w:t xml:space="preserve">.  </w:t>
      </w:r>
      <w:r w:rsidR="008B1FCC">
        <w:t>There is no change in burden since</w:t>
      </w:r>
      <w:r w:rsidR="00CE0674">
        <w:t xml:space="preserve"> the burden </w:t>
      </w:r>
      <w:r w:rsidR="00A91F35">
        <w:t xml:space="preserve">under 0910-0723 </w:t>
      </w:r>
      <w:r w:rsidR="00CE0674">
        <w:t xml:space="preserve">was </w:t>
      </w:r>
      <w:r w:rsidR="004A56D2">
        <w:t xml:space="preserve">considered </w:t>
      </w:r>
      <w:r w:rsidR="00CE0674">
        <w:t>usual and customary practice</w:t>
      </w:r>
      <w:r w:rsidR="00A91F35">
        <w:t xml:space="preserve"> (§ 606.121)</w:t>
      </w:r>
      <w:r w:rsidR="008B1FCC">
        <w:t>.</w:t>
      </w:r>
      <w:r w:rsidR="00A91F35">
        <w:t xml:space="preserve">  </w:t>
      </w:r>
      <w:r w:rsidR="008B1FCC">
        <w:t xml:space="preserve"> </w:t>
      </w:r>
      <w:r w:rsidR="00CE0674">
        <w:t xml:space="preserve"> </w:t>
      </w:r>
    </w:p>
    <w:p w:rsidR="00882257" w:rsidRDefault="00882257" w:rsidP="009B2C58">
      <w:pPr>
        <w:pStyle w:val="BodyText"/>
      </w:pPr>
    </w:p>
    <w:p w:rsidR="00C97C77" w:rsidRDefault="003B329A" w:rsidP="00CA3F50">
      <w:pPr>
        <w:pStyle w:val="Heading2"/>
      </w:pPr>
      <w:r>
        <w:lastRenderedPageBreak/>
        <w:t xml:space="preserve">Plans for </w:t>
      </w:r>
      <w:r w:rsidR="00C97C77">
        <w:t xml:space="preserve">Tabulation </w:t>
      </w:r>
      <w:r>
        <w:t xml:space="preserve">and Publication and Project Time Schedule </w:t>
      </w:r>
    </w:p>
    <w:p w:rsidR="00C97C77" w:rsidRDefault="00C97C77" w:rsidP="009B2C58">
      <w:pPr>
        <w:pStyle w:val="BodyText"/>
      </w:pPr>
    </w:p>
    <w:p w:rsidR="00C97C77" w:rsidRDefault="00C97C77" w:rsidP="009B2C58">
      <w:pPr>
        <w:pStyle w:val="BodyText"/>
      </w:pPr>
      <w:r>
        <w:t xml:space="preserve">There are no </w:t>
      </w:r>
      <w:r w:rsidR="003B329A">
        <w:t xml:space="preserve">tabulated </w:t>
      </w:r>
      <w:r>
        <w:t>results to publish for this information collection.</w:t>
      </w:r>
    </w:p>
    <w:p w:rsidR="00C97C77" w:rsidRDefault="00C97C77" w:rsidP="009B2C58">
      <w:pPr>
        <w:pStyle w:val="BodyText"/>
      </w:pPr>
    </w:p>
    <w:p w:rsidR="00C97C77" w:rsidRDefault="003B329A" w:rsidP="00CA3F50">
      <w:pPr>
        <w:pStyle w:val="Heading2"/>
      </w:pPr>
      <w:r>
        <w:t>Reason(s) Display of OMB Expiration Date is Inappropriate</w:t>
      </w:r>
    </w:p>
    <w:p w:rsidR="00C97C77" w:rsidRDefault="00C97C77" w:rsidP="009B2C58">
      <w:pPr>
        <w:pStyle w:val="BodyText"/>
      </w:pPr>
    </w:p>
    <w:p w:rsidR="00C97C77" w:rsidRDefault="00C97C77" w:rsidP="009B2C58">
      <w:pPr>
        <w:pStyle w:val="BodyText"/>
      </w:pPr>
      <w:r>
        <w:t>FDA is not seeking approval to exempt display of the expiration date for OMB approval.</w:t>
      </w:r>
    </w:p>
    <w:p w:rsidR="00C97C77" w:rsidRDefault="00C97C77" w:rsidP="009B2C58">
      <w:pPr>
        <w:pStyle w:val="BodyText"/>
      </w:pPr>
    </w:p>
    <w:p w:rsidR="00C97C77" w:rsidRDefault="00C97C77" w:rsidP="00CA3F50">
      <w:pPr>
        <w:pStyle w:val="Heading2"/>
      </w:pPr>
      <w:r>
        <w:t>Exceptions to Certification for Paperwork Reduction Act Submissions</w:t>
      </w:r>
    </w:p>
    <w:p w:rsidR="00C97C77" w:rsidRDefault="00C97C77" w:rsidP="009B2C58">
      <w:pPr>
        <w:pStyle w:val="BodyText"/>
      </w:pPr>
    </w:p>
    <w:p w:rsidR="00C97C77" w:rsidRDefault="00E4011C" w:rsidP="00CA3F50">
      <w:r>
        <w:t>There are no exceptions to the certification.</w:t>
      </w:r>
      <w:r w:rsidR="003B329A">
        <w:t xml:space="preserve"> </w:t>
      </w:r>
    </w:p>
    <w:p w:rsidR="00C97C77" w:rsidRDefault="00C97C77" w:rsidP="009B2C58">
      <w:pPr>
        <w:pStyle w:val="BodyText"/>
      </w:pPr>
    </w:p>
    <w:sectPr w:rsidR="00C97C77" w:rsidSect="00D76130">
      <w:headerReference w:type="even" r:id="rId9"/>
      <w:headerReference w:type="default" r:id="rId10"/>
      <w:footerReference w:type="even" r:id="rId11"/>
      <w:footerReference w:type="default" r:id="rId12"/>
      <w:footnotePr>
        <w:numRestart w:val="eachSect"/>
      </w:footnotePr>
      <w:endnotePr>
        <w:numFmt w:val="decimal"/>
      </w:endnotePr>
      <w:type w:val="continuous"/>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25B" w:rsidRDefault="00A4425B" w:rsidP="00CA3F50">
      <w:r>
        <w:separator/>
      </w:r>
    </w:p>
  </w:endnote>
  <w:endnote w:type="continuationSeparator" w:id="0">
    <w:p w:rsidR="00A4425B" w:rsidRDefault="00A4425B" w:rsidP="00CA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5B" w:rsidRDefault="00A4425B" w:rsidP="00CA3F5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4425B" w:rsidRDefault="00A4425B" w:rsidP="00CA3F50">
    <w:pPr>
      <w:pStyle w:val="Footer"/>
      <w:rPr>
        <w:rStyle w:val="PageNumber"/>
      </w:rPr>
    </w:pPr>
  </w:p>
  <w:p w:rsidR="00A4425B" w:rsidRDefault="00A4425B" w:rsidP="00CA3F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5B" w:rsidRDefault="00A4425B" w:rsidP="00472891">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A10B62">
      <w:rPr>
        <w:rStyle w:val="PageNumber"/>
        <w:noProof/>
      </w:rPr>
      <w:t>15</w:t>
    </w:r>
    <w:r>
      <w:rPr>
        <w:rStyle w:val="PageNumber"/>
      </w:rPr>
      <w:fldChar w:fldCharType="end"/>
    </w:r>
  </w:p>
  <w:p w:rsidR="00A4425B" w:rsidRDefault="00A4425B" w:rsidP="00CA3F50">
    <w:pPr>
      <w:pStyle w:val="Footer"/>
      <w:rPr>
        <w:rStyle w:val="PageNumber"/>
      </w:rPr>
    </w:pPr>
  </w:p>
  <w:p w:rsidR="00A4425B" w:rsidRDefault="00A4425B" w:rsidP="00CA3F50">
    <w:pPr>
      <w:pStyle w:val="Footer"/>
      <w:rPr>
        <w:rStyle w:val="PageNumber"/>
      </w:rPr>
    </w:pPr>
  </w:p>
  <w:p w:rsidR="00A4425B" w:rsidRDefault="00A4425B" w:rsidP="00CA3F50">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25B" w:rsidRDefault="00A4425B" w:rsidP="00CA3F50">
      <w:r>
        <w:separator/>
      </w:r>
    </w:p>
  </w:footnote>
  <w:footnote w:type="continuationSeparator" w:id="0">
    <w:p w:rsidR="00A4425B" w:rsidRDefault="00A4425B" w:rsidP="00CA3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5B" w:rsidRDefault="00A4425B" w:rsidP="00CA3F50"/>
  <w:p w:rsidR="00A4425B" w:rsidRDefault="00A4425B" w:rsidP="00CA3F50"/>
  <w:p w:rsidR="00A4425B" w:rsidRDefault="00A4425B" w:rsidP="00CA3F50"/>
  <w:p w:rsidR="00A4425B" w:rsidRDefault="00A4425B" w:rsidP="00CA3F50"/>
  <w:p w:rsidR="00A4425B" w:rsidRDefault="00A4425B" w:rsidP="00CA3F50"/>
  <w:p w:rsidR="00A4425B" w:rsidRDefault="00A4425B" w:rsidP="00CA3F50"/>
  <w:p w:rsidR="00A4425B" w:rsidRDefault="00A4425B" w:rsidP="00CA3F50"/>
  <w:p w:rsidR="00A4425B" w:rsidRDefault="00A4425B" w:rsidP="00CA3F50"/>
  <w:p w:rsidR="00A4425B" w:rsidRDefault="00A4425B" w:rsidP="00CA3F5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5B" w:rsidRDefault="00A4425B" w:rsidP="00CA3F50">
    <w:pPr>
      <w:pStyle w:val="Header"/>
      <w:rPr>
        <w:rStyle w:val="PageNumber"/>
      </w:rPr>
    </w:pPr>
  </w:p>
  <w:p w:rsidR="00A4425B" w:rsidRDefault="00A4425B" w:rsidP="00CA3F5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B5C54"/>
    <w:multiLevelType w:val="multilevel"/>
    <w:tmpl w:val="8124DBC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9EE009C"/>
    <w:multiLevelType w:val="hybridMultilevel"/>
    <w:tmpl w:val="291EAE9A"/>
    <w:lvl w:ilvl="0" w:tplc="C65C66D8">
      <w:start w:val="1"/>
      <w:numFmt w:val="decimal"/>
      <w:pStyle w:val="Heading2"/>
      <w:lvlText w:val="%1."/>
      <w:lvlJc w:val="left"/>
      <w:pPr>
        <w:tabs>
          <w:tab w:val="num" w:pos="360"/>
        </w:tabs>
        <w:ind w:left="360" w:hanging="360"/>
      </w:pPr>
      <w:rPr>
        <w:rFonts w:ascii="Times New Roman" w:hAnsi="Times New Roman"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24A5632"/>
    <w:multiLevelType w:val="hybridMultilevel"/>
    <w:tmpl w:val="4C96942C"/>
    <w:lvl w:ilvl="0" w:tplc="C7EADB96">
      <w:start w:val="1"/>
      <w:numFmt w:val="decimal"/>
      <w:lvlText w:val="%1."/>
      <w:lvlJc w:val="left"/>
      <w:pPr>
        <w:tabs>
          <w:tab w:val="num" w:pos="720"/>
        </w:tabs>
        <w:ind w:left="720" w:hanging="360"/>
      </w:pPr>
      <w:rPr>
        <w:rFonts w:ascii="Times New Roman" w:hAnsi="Times New Roman" w:hint="default"/>
        <w:b/>
        <w:i w:val="0"/>
        <w:sz w:val="24"/>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3B2C"/>
    <w:rsid w:val="00005A4F"/>
    <w:rsid w:val="00020367"/>
    <w:rsid w:val="00021503"/>
    <w:rsid w:val="000370BE"/>
    <w:rsid w:val="000442E1"/>
    <w:rsid w:val="00044843"/>
    <w:rsid w:val="00053294"/>
    <w:rsid w:val="00064925"/>
    <w:rsid w:val="00065010"/>
    <w:rsid w:val="00067D39"/>
    <w:rsid w:val="000700B3"/>
    <w:rsid w:val="00094411"/>
    <w:rsid w:val="00096749"/>
    <w:rsid w:val="000A0900"/>
    <w:rsid w:val="000A3D6D"/>
    <w:rsid w:val="000A44C6"/>
    <w:rsid w:val="000B596A"/>
    <w:rsid w:val="000C00C5"/>
    <w:rsid w:val="000C13BD"/>
    <w:rsid w:val="000D1404"/>
    <w:rsid w:val="000D5830"/>
    <w:rsid w:val="000D5B1F"/>
    <w:rsid w:val="000D65FD"/>
    <w:rsid w:val="000D6ED0"/>
    <w:rsid w:val="000F3697"/>
    <w:rsid w:val="00111DC1"/>
    <w:rsid w:val="00113CB5"/>
    <w:rsid w:val="00117CA0"/>
    <w:rsid w:val="001265F4"/>
    <w:rsid w:val="00126F7E"/>
    <w:rsid w:val="00132D7E"/>
    <w:rsid w:val="001504F5"/>
    <w:rsid w:val="001629B9"/>
    <w:rsid w:val="00164BD2"/>
    <w:rsid w:val="00173018"/>
    <w:rsid w:val="00175F53"/>
    <w:rsid w:val="00180CC3"/>
    <w:rsid w:val="00184534"/>
    <w:rsid w:val="00185BB6"/>
    <w:rsid w:val="0018664B"/>
    <w:rsid w:val="0018729C"/>
    <w:rsid w:val="0018755E"/>
    <w:rsid w:val="001934AC"/>
    <w:rsid w:val="00197C77"/>
    <w:rsid w:val="001B1059"/>
    <w:rsid w:val="001B4E77"/>
    <w:rsid w:val="001C5167"/>
    <w:rsid w:val="001C643C"/>
    <w:rsid w:val="001D409E"/>
    <w:rsid w:val="001E1594"/>
    <w:rsid w:val="001E44AA"/>
    <w:rsid w:val="001F2DEF"/>
    <w:rsid w:val="001F464F"/>
    <w:rsid w:val="001F50A5"/>
    <w:rsid w:val="00222AFE"/>
    <w:rsid w:val="00224D77"/>
    <w:rsid w:val="00227E43"/>
    <w:rsid w:val="00231AB7"/>
    <w:rsid w:val="00242720"/>
    <w:rsid w:val="00286C1D"/>
    <w:rsid w:val="0029108E"/>
    <w:rsid w:val="00291506"/>
    <w:rsid w:val="00295573"/>
    <w:rsid w:val="002958BA"/>
    <w:rsid w:val="002A48E0"/>
    <w:rsid w:val="002B2AF7"/>
    <w:rsid w:val="002C1A91"/>
    <w:rsid w:val="002C34FE"/>
    <w:rsid w:val="002D2452"/>
    <w:rsid w:val="002D32DE"/>
    <w:rsid w:val="002D4D6E"/>
    <w:rsid w:val="002E15A7"/>
    <w:rsid w:val="002E3F53"/>
    <w:rsid w:val="002F5B9C"/>
    <w:rsid w:val="002F63A9"/>
    <w:rsid w:val="002F7E9B"/>
    <w:rsid w:val="00300E29"/>
    <w:rsid w:val="00302662"/>
    <w:rsid w:val="0030563D"/>
    <w:rsid w:val="0030608F"/>
    <w:rsid w:val="003105D3"/>
    <w:rsid w:val="0031191D"/>
    <w:rsid w:val="00326C94"/>
    <w:rsid w:val="00327140"/>
    <w:rsid w:val="00327BC8"/>
    <w:rsid w:val="00330C0B"/>
    <w:rsid w:val="003409D1"/>
    <w:rsid w:val="003437F0"/>
    <w:rsid w:val="003443D0"/>
    <w:rsid w:val="003445EC"/>
    <w:rsid w:val="0035423A"/>
    <w:rsid w:val="00357441"/>
    <w:rsid w:val="00366CE7"/>
    <w:rsid w:val="00370E15"/>
    <w:rsid w:val="00372D08"/>
    <w:rsid w:val="0037307E"/>
    <w:rsid w:val="00376BD0"/>
    <w:rsid w:val="003774B5"/>
    <w:rsid w:val="00387D25"/>
    <w:rsid w:val="0039456B"/>
    <w:rsid w:val="0039490B"/>
    <w:rsid w:val="003A044D"/>
    <w:rsid w:val="003A15E4"/>
    <w:rsid w:val="003A2617"/>
    <w:rsid w:val="003A2E69"/>
    <w:rsid w:val="003A6DF0"/>
    <w:rsid w:val="003B329A"/>
    <w:rsid w:val="003B7C3D"/>
    <w:rsid w:val="003C2E52"/>
    <w:rsid w:val="003C3220"/>
    <w:rsid w:val="003D57EE"/>
    <w:rsid w:val="003E3DF9"/>
    <w:rsid w:val="003F5E2A"/>
    <w:rsid w:val="003F5F61"/>
    <w:rsid w:val="003F73E5"/>
    <w:rsid w:val="004039E7"/>
    <w:rsid w:val="00407713"/>
    <w:rsid w:val="0041045F"/>
    <w:rsid w:val="004149F8"/>
    <w:rsid w:val="00434079"/>
    <w:rsid w:val="00437E7A"/>
    <w:rsid w:val="00441674"/>
    <w:rsid w:val="00443356"/>
    <w:rsid w:val="00443C68"/>
    <w:rsid w:val="00444B12"/>
    <w:rsid w:val="00455164"/>
    <w:rsid w:val="00457C03"/>
    <w:rsid w:val="004627CB"/>
    <w:rsid w:val="004627E4"/>
    <w:rsid w:val="004654EE"/>
    <w:rsid w:val="004716D5"/>
    <w:rsid w:val="004718C8"/>
    <w:rsid w:val="00472891"/>
    <w:rsid w:val="00480027"/>
    <w:rsid w:val="004806BC"/>
    <w:rsid w:val="004841DF"/>
    <w:rsid w:val="00484B89"/>
    <w:rsid w:val="00496497"/>
    <w:rsid w:val="004A56D2"/>
    <w:rsid w:val="004A68BD"/>
    <w:rsid w:val="004B25F6"/>
    <w:rsid w:val="004C4203"/>
    <w:rsid w:val="004D2801"/>
    <w:rsid w:val="004D2DBB"/>
    <w:rsid w:val="004D34ED"/>
    <w:rsid w:val="004E37AE"/>
    <w:rsid w:val="004E535A"/>
    <w:rsid w:val="004E7A71"/>
    <w:rsid w:val="004F4BA1"/>
    <w:rsid w:val="004F4E4D"/>
    <w:rsid w:val="004F74DB"/>
    <w:rsid w:val="00503381"/>
    <w:rsid w:val="00505883"/>
    <w:rsid w:val="0051133F"/>
    <w:rsid w:val="00524277"/>
    <w:rsid w:val="0054285D"/>
    <w:rsid w:val="005474AD"/>
    <w:rsid w:val="00550BB7"/>
    <w:rsid w:val="005625AF"/>
    <w:rsid w:val="005626A8"/>
    <w:rsid w:val="00563042"/>
    <w:rsid w:val="005765FB"/>
    <w:rsid w:val="00576DA4"/>
    <w:rsid w:val="005A1D21"/>
    <w:rsid w:val="005A1EC3"/>
    <w:rsid w:val="005A585D"/>
    <w:rsid w:val="005B078C"/>
    <w:rsid w:val="005B43E8"/>
    <w:rsid w:val="005B5BB1"/>
    <w:rsid w:val="005C3327"/>
    <w:rsid w:val="005C3666"/>
    <w:rsid w:val="005C6006"/>
    <w:rsid w:val="005D557E"/>
    <w:rsid w:val="005D7364"/>
    <w:rsid w:val="005E0757"/>
    <w:rsid w:val="005E2F65"/>
    <w:rsid w:val="005E3B2C"/>
    <w:rsid w:val="005E625B"/>
    <w:rsid w:val="005E7FD3"/>
    <w:rsid w:val="005F6F23"/>
    <w:rsid w:val="005F7DEA"/>
    <w:rsid w:val="00603B74"/>
    <w:rsid w:val="00611117"/>
    <w:rsid w:val="00611F75"/>
    <w:rsid w:val="00611FCD"/>
    <w:rsid w:val="00631FCC"/>
    <w:rsid w:val="00632399"/>
    <w:rsid w:val="006334D3"/>
    <w:rsid w:val="00633A24"/>
    <w:rsid w:val="00633A56"/>
    <w:rsid w:val="00636E05"/>
    <w:rsid w:val="00641E4A"/>
    <w:rsid w:val="006506FC"/>
    <w:rsid w:val="006575F7"/>
    <w:rsid w:val="0066024A"/>
    <w:rsid w:val="00663B03"/>
    <w:rsid w:val="00673687"/>
    <w:rsid w:val="00680957"/>
    <w:rsid w:val="00683A32"/>
    <w:rsid w:val="00687AD8"/>
    <w:rsid w:val="006930D6"/>
    <w:rsid w:val="00693D81"/>
    <w:rsid w:val="006A2F08"/>
    <w:rsid w:val="006A7525"/>
    <w:rsid w:val="006B0BE7"/>
    <w:rsid w:val="006C6F0F"/>
    <w:rsid w:val="006D3083"/>
    <w:rsid w:val="006E4012"/>
    <w:rsid w:val="006F4946"/>
    <w:rsid w:val="006F7B26"/>
    <w:rsid w:val="00702F96"/>
    <w:rsid w:val="00707F78"/>
    <w:rsid w:val="00711E4A"/>
    <w:rsid w:val="00713D5E"/>
    <w:rsid w:val="00714A29"/>
    <w:rsid w:val="0073159B"/>
    <w:rsid w:val="007513D7"/>
    <w:rsid w:val="0075142B"/>
    <w:rsid w:val="00751898"/>
    <w:rsid w:val="00757BDC"/>
    <w:rsid w:val="00760057"/>
    <w:rsid w:val="00761638"/>
    <w:rsid w:val="00761CE2"/>
    <w:rsid w:val="00764B29"/>
    <w:rsid w:val="0076688B"/>
    <w:rsid w:val="00776FBA"/>
    <w:rsid w:val="00782D35"/>
    <w:rsid w:val="00793C49"/>
    <w:rsid w:val="00794967"/>
    <w:rsid w:val="007A43CF"/>
    <w:rsid w:val="007B0D0C"/>
    <w:rsid w:val="007B2104"/>
    <w:rsid w:val="007B4A81"/>
    <w:rsid w:val="007C3904"/>
    <w:rsid w:val="007D28C2"/>
    <w:rsid w:val="007D3E58"/>
    <w:rsid w:val="007D74CA"/>
    <w:rsid w:val="007D7D09"/>
    <w:rsid w:val="007E7CF7"/>
    <w:rsid w:val="007F2F32"/>
    <w:rsid w:val="007F62A9"/>
    <w:rsid w:val="0080005A"/>
    <w:rsid w:val="00801922"/>
    <w:rsid w:val="008105C9"/>
    <w:rsid w:val="0081537A"/>
    <w:rsid w:val="00821306"/>
    <w:rsid w:val="00823F8F"/>
    <w:rsid w:val="00843E14"/>
    <w:rsid w:val="00844E60"/>
    <w:rsid w:val="0085296A"/>
    <w:rsid w:val="00853398"/>
    <w:rsid w:val="00865019"/>
    <w:rsid w:val="00876EDB"/>
    <w:rsid w:val="008810A3"/>
    <w:rsid w:val="00882257"/>
    <w:rsid w:val="008844A7"/>
    <w:rsid w:val="00885C68"/>
    <w:rsid w:val="0088780A"/>
    <w:rsid w:val="008A4581"/>
    <w:rsid w:val="008B1FCC"/>
    <w:rsid w:val="008B29CC"/>
    <w:rsid w:val="008B4496"/>
    <w:rsid w:val="008B4C4D"/>
    <w:rsid w:val="008D2C2A"/>
    <w:rsid w:val="008E03DA"/>
    <w:rsid w:val="008E1FC0"/>
    <w:rsid w:val="008E42B7"/>
    <w:rsid w:val="008F16F9"/>
    <w:rsid w:val="008F48B5"/>
    <w:rsid w:val="00902BCE"/>
    <w:rsid w:val="00902DD0"/>
    <w:rsid w:val="0090452B"/>
    <w:rsid w:val="009055D3"/>
    <w:rsid w:val="00913CA5"/>
    <w:rsid w:val="00916032"/>
    <w:rsid w:val="00926CF5"/>
    <w:rsid w:val="00933272"/>
    <w:rsid w:val="00934764"/>
    <w:rsid w:val="00935392"/>
    <w:rsid w:val="00940F6C"/>
    <w:rsid w:val="00945081"/>
    <w:rsid w:val="00952287"/>
    <w:rsid w:val="00960030"/>
    <w:rsid w:val="00962954"/>
    <w:rsid w:val="009711F6"/>
    <w:rsid w:val="00972187"/>
    <w:rsid w:val="00973FA5"/>
    <w:rsid w:val="00975A6F"/>
    <w:rsid w:val="00975FB8"/>
    <w:rsid w:val="00976D05"/>
    <w:rsid w:val="00977AB4"/>
    <w:rsid w:val="0098267F"/>
    <w:rsid w:val="009857BA"/>
    <w:rsid w:val="00985873"/>
    <w:rsid w:val="009877F5"/>
    <w:rsid w:val="009977BC"/>
    <w:rsid w:val="009A2466"/>
    <w:rsid w:val="009A4F4F"/>
    <w:rsid w:val="009B2C58"/>
    <w:rsid w:val="009B3116"/>
    <w:rsid w:val="009B48B7"/>
    <w:rsid w:val="009B5630"/>
    <w:rsid w:val="009C0A6C"/>
    <w:rsid w:val="009C23CD"/>
    <w:rsid w:val="009C4E58"/>
    <w:rsid w:val="009D0819"/>
    <w:rsid w:val="009D62F5"/>
    <w:rsid w:val="009E611B"/>
    <w:rsid w:val="009F10AD"/>
    <w:rsid w:val="00A01151"/>
    <w:rsid w:val="00A02097"/>
    <w:rsid w:val="00A05E55"/>
    <w:rsid w:val="00A10B62"/>
    <w:rsid w:val="00A152C8"/>
    <w:rsid w:val="00A16F7F"/>
    <w:rsid w:val="00A1746D"/>
    <w:rsid w:val="00A2049A"/>
    <w:rsid w:val="00A221E9"/>
    <w:rsid w:val="00A23F56"/>
    <w:rsid w:val="00A440F4"/>
    <w:rsid w:val="00A4425B"/>
    <w:rsid w:val="00A5764D"/>
    <w:rsid w:val="00A57E44"/>
    <w:rsid w:val="00A72968"/>
    <w:rsid w:val="00A72FE7"/>
    <w:rsid w:val="00A75282"/>
    <w:rsid w:val="00A7639D"/>
    <w:rsid w:val="00A90BE2"/>
    <w:rsid w:val="00A91F35"/>
    <w:rsid w:val="00A92DD4"/>
    <w:rsid w:val="00A96678"/>
    <w:rsid w:val="00AA50B1"/>
    <w:rsid w:val="00AA75B3"/>
    <w:rsid w:val="00AA7CBC"/>
    <w:rsid w:val="00AB0063"/>
    <w:rsid w:val="00AB58E9"/>
    <w:rsid w:val="00AC09B1"/>
    <w:rsid w:val="00AD1FB1"/>
    <w:rsid w:val="00AE0212"/>
    <w:rsid w:val="00AE19D0"/>
    <w:rsid w:val="00AE34B2"/>
    <w:rsid w:val="00AE66C8"/>
    <w:rsid w:val="00AF4494"/>
    <w:rsid w:val="00B028CE"/>
    <w:rsid w:val="00B07A1D"/>
    <w:rsid w:val="00B1344A"/>
    <w:rsid w:val="00B23799"/>
    <w:rsid w:val="00B42ABC"/>
    <w:rsid w:val="00B45AA4"/>
    <w:rsid w:val="00B51FC0"/>
    <w:rsid w:val="00B63F2B"/>
    <w:rsid w:val="00B80213"/>
    <w:rsid w:val="00B856EF"/>
    <w:rsid w:val="00B86256"/>
    <w:rsid w:val="00B86E43"/>
    <w:rsid w:val="00B94E6B"/>
    <w:rsid w:val="00B951DB"/>
    <w:rsid w:val="00BA3BF9"/>
    <w:rsid w:val="00BA4F99"/>
    <w:rsid w:val="00BB77D3"/>
    <w:rsid w:val="00BC0957"/>
    <w:rsid w:val="00BE7B66"/>
    <w:rsid w:val="00BF26DC"/>
    <w:rsid w:val="00BF2C42"/>
    <w:rsid w:val="00BF4EAC"/>
    <w:rsid w:val="00C046B3"/>
    <w:rsid w:val="00C139A7"/>
    <w:rsid w:val="00C1574D"/>
    <w:rsid w:val="00C205A0"/>
    <w:rsid w:val="00C27745"/>
    <w:rsid w:val="00C356C6"/>
    <w:rsid w:val="00C503AF"/>
    <w:rsid w:val="00C523D9"/>
    <w:rsid w:val="00C61D28"/>
    <w:rsid w:val="00C71A81"/>
    <w:rsid w:val="00C74AA5"/>
    <w:rsid w:val="00C94C15"/>
    <w:rsid w:val="00C961C5"/>
    <w:rsid w:val="00C97C77"/>
    <w:rsid w:val="00CA0231"/>
    <w:rsid w:val="00CA3F50"/>
    <w:rsid w:val="00CB42A0"/>
    <w:rsid w:val="00CB6F22"/>
    <w:rsid w:val="00CC31C3"/>
    <w:rsid w:val="00CC5B42"/>
    <w:rsid w:val="00CD2984"/>
    <w:rsid w:val="00CD47A0"/>
    <w:rsid w:val="00CD4E6A"/>
    <w:rsid w:val="00CE0674"/>
    <w:rsid w:val="00CE58E0"/>
    <w:rsid w:val="00D05E20"/>
    <w:rsid w:val="00D06B00"/>
    <w:rsid w:val="00D10ACE"/>
    <w:rsid w:val="00D14E07"/>
    <w:rsid w:val="00D17E8C"/>
    <w:rsid w:val="00D23299"/>
    <w:rsid w:val="00D31E20"/>
    <w:rsid w:val="00D3324E"/>
    <w:rsid w:val="00D4160D"/>
    <w:rsid w:val="00D51C6B"/>
    <w:rsid w:val="00D52D31"/>
    <w:rsid w:val="00D56D8B"/>
    <w:rsid w:val="00D650BB"/>
    <w:rsid w:val="00D76130"/>
    <w:rsid w:val="00D82D73"/>
    <w:rsid w:val="00D853A6"/>
    <w:rsid w:val="00D9018B"/>
    <w:rsid w:val="00D90A61"/>
    <w:rsid w:val="00D976EC"/>
    <w:rsid w:val="00D979BC"/>
    <w:rsid w:val="00DA3202"/>
    <w:rsid w:val="00DA3EA9"/>
    <w:rsid w:val="00DB67F9"/>
    <w:rsid w:val="00DC0D24"/>
    <w:rsid w:val="00DC57ED"/>
    <w:rsid w:val="00DD37DF"/>
    <w:rsid w:val="00DE4422"/>
    <w:rsid w:val="00DF69CE"/>
    <w:rsid w:val="00E03424"/>
    <w:rsid w:val="00E05735"/>
    <w:rsid w:val="00E218B6"/>
    <w:rsid w:val="00E2425F"/>
    <w:rsid w:val="00E26E71"/>
    <w:rsid w:val="00E2738F"/>
    <w:rsid w:val="00E314DE"/>
    <w:rsid w:val="00E3713E"/>
    <w:rsid w:val="00E4011C"/>
    <w:rsid w:val="00E40ADC"/>
    <w:rsid w:val="00E46F28"/>
    <w:rsid w:val="00E475D1"/>
    <w:rsid w:val="00E51F29"/>
    <w:rsid w:val="00E54844"/>
    <w:rsid w:val="00E64AE6"/>
    <w:rsid w:val="00E7022C"/>
    <w:rsid w:val="00E87F48"/>
    <w:rsid w:val="00EA6561"/>
    <w:rsid w:val="00EB7710"/>
    <w:rsid w:val="00EC3568"/>
    <w:rsid w:val="00ED35F4"/>
    <w:rsid w:val="00ED537A"/>
    <w:rsid w:val="00ED649E"/>
    <w:rsid w:val="00ED66F8"/>
    <w:rsid w:val="00EE7DB5"/>
    <w:rsid w:val="00EE7EED"/>
    <w:rsid w:val="00F01035"/>
    <w:rsid w:val="00F10EA8"/>
    <w:rsid w:val="00F11CBA"/>
    <w:rsid w:val="00F16282"/>
    <w:rsid w:val="00F21126"/>
    <w:rsid w:val="00F2248C"/>
    <w:rsid w:val="00F24C0A"/>
    <w:rsid w:val="00F41277"/>
    <w:rsid w:val="00F4307C"/>
    <w:rsid w:val="00F43B05"/>
    <w:rsid w:val="00F444D3"/>
    <w:rsid w:val="00F519BA"/>
    <w:rsid w:val="00F5539F"/>
    <w:rsid w:val="00F55637"/>
    <w:rsid w:val="00F67AF8"/>
    <w:rsid w:val="00F77E80"/>
    <w:rsid w:val="00F813BE"/>
    <w:rsid w:val="00F81F7B"/>
    <w:rsid w:val="00F8574D"/>
    <w:rsid w:val="00F91F08"/>
    <w:rsid w:val="00F94431"/>
    <w:rsid w:val="00FA1795"/>
    <w:rsid w:val="00FA67BF"/>
    <w:rsid w:val="00FC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CA3F50"/>
    <w:pPr>
      <w:widowControl w:val="0"/>
      <w:ind w:left="72"/>
    </w:pPr>
    <w:rPr>
      <w:color w:val="000000"/>
      <w:sz w:val="24"/>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autoRedefine/>
    <w:qFormat/>
    <w:rsid w:val="00CA3F50"/>
    <w:pPr>
      <w:keepNext/>
      <w:widowControl/>
      <w:numPr>
        <w:numId w:val="3"/>
      </w:numPr>
      <w:jc w:val="both"/>
      <w:outlineLvl w:val="1"/>
    </w:pPr>
    <w:rPr>
      <w:u w:val="single"/>
    </w:rPr>
  </w:style>
  <w:style w:type="paragraph" w:styleId="Heading4">
    <w:name w:val="heading 4"/>
    <w:basedOn w:val="Normal"/>
    <w:next w:val="Normal"/>
    <w:qFormat/>
    <w:pPr>
      <w:keepNext/>
      <w:widowControl/>
      <w:jc w:val="both"/>
      <w:outlineLvl w:val="3"/>
    </w:pPr>
    <w:rPr>
      <w:color w:val="auto"/>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otnoteReference">
    <w:name w:val="footnote reference"/>
    <w:basedOn w:val="DefaultParagraphFont"/>
    <w:semiHidden/>
  </w:style>
  <w:style w:type="paragraph" w:styleId="BodyText">
    <w:name w:val="Body Text"/>
    <w:basedOn w:val="Normal"/>
    <w:autoRedefine/>
    <w:rsid w:val="009B2C58"/>
    <w:rPr>
      <w:szCs w:val="24"/>
    </w:rPr>
  </w:style>
  <w:style w:type="paragraph" w:styleId="BodyTextIndent2">
    <w:name w:val="Body Text Indent 2"/>
    <w:basedOn w:val="Normal"/>
    <w:pPr>
      <w:ind w:left="1440" w:hanging="1440"/>
    </w:pPr>
  </w:style>
  <w:style w:type="paragraph" w:styleId="BodyTextIndent">
    <w:name w:val="Body Text Indent"/>
    <w:basedOn w:val="Normal"/>
    <w:pPr>
      <w:jc w:val="center"/>
    </w:pPr>
    <w:rPr>
      <w:b/>
    </w:rPr>
  </w:style>
  <w:style w:type="paragraph" w:styleId="Header">
    <w:name w:val="header"/>
    <w:basedOn w:val="Normal"/>
    <w:pPr>
      <w:tabs>
        <w:tab w:val="center" w:pos="4320"/>
        <w:tab w:val="right" w:pos="8640"/>
      </w:tabs>
    </w:pPr>
  </w:style>
  <w:style w:type="paragraph" w:styleId="DocumentMap">
    <w:name w:val="Document Map"/>
    <w:basedOn w:val="Normal"/>
    <w:semiHidden/>
    <w:pPr>
      <w:widowControl/>
      <w:shd w:val="clear" w:color="auto" w:fill="000080"/>
    </w:pPr>
    <w:rPr>
      <w:rFonts w:ascii="Tahoma" w:hAnsi="Tahoma"/>
    </w:rPr>
  </w:style>
  <w:style w:type="paragraph" w:styleId="BodyText3">
    <w:name w:val="Body Text 3"/>
    <w:basedOn w:val="Normal"/>
    <w:pPr>
      <w:widowControl/>
      <w:ind w:right="-720"/>
    </w:pPr>
  </w:style>
  <w:style w:type="paragraph" w:styleId="BodyTextIndent3">
    <w:name w:val="Body Text Indent 3"/>
    <w:basedOn w:val="Normal"/>
    <w:pPr>
      <w:ind w:left="720"/>
    </w:pPr>
  </w:style>
  <w:style w:type="paragraph" w:styleId="BodyText2">
    <w:name w:val="Body Text 2"/>
    <w:basedOn w:val="Normal"/>
    <w:rPr>
      <w:b/>
      <w:bCs/>
    </w:rPr>
  </w:style>
  <w:style w:type="paragraph" w:styleId="FootnoteText">
    <w:name w:val="footnote text"/>
    <w:basedOn w:val="Normal"/>
    <w:semiHidden/>
    <w:pPr>
      <w:widowControl/>
    </w:pPr>
    <w:rPr>
      <w:color w:val="auto"/>
      <w:sz w:val="20"/>
    </w:rPr>
  </w:style>
  <w:style w:type="paragraph" w:styleId="BalloonText">
    <w:name w:val="Balloon Text"/>
    <w:basedOn w:val="Normal"/>
    <w:semiHidden/>
    <w:rsid w:val="005E3B2C"/>
    <w:rPr>
      <w:rFonts w:ascii="Tahoma" w:hAnsi="Tahoma" w:cs="Tahoma"/>
      <w:sz w:val="16"/>
      <w:szCs w:val="16"/>
    </w:rPr>
  </w:style>
  <w:style w:type="character" w:styleId="CommentReference">
    <w:name w:val="annotation reference"/>
    <w:semiHidden/>
    <w:rsid w:val="001F2DEF"/>
    <w:rPr>
      <w:sz w:val="16"/>
      <w:szCs w:val="16"/>
    </w:rPr>
  </w:style>
  <w:style w:type="paragraph" w:styleId="CommentText">
    <w:name w:val="annotation text"/>
    <w:basedOn w:val="Normal"/>
    <w:semiHidden/>
    <w:rsid w:val="001F2DEF"/>
    <w:rPr>
      <w:sz w:val="20"/>
    </w:rPr>
  </w:style>
  <w:style w:type="paragraph" w:styleId="CommentSubject">
    <w:name w:val="annotation subject"/>
    <w:basedOn w:val="CommentText"/>
    <w:next w:val="CommentText"/>
    <w:semiHidden/>
    <w:rsid w:val="001F2DEF"/>
    <w:rPr>
      <w:b/>
      <w:bCs/>
    </w:rPr>
  </w:style>
  <w:style w:type="paragraph" w:styleId="HTMLPreformatted">
    <w:name w:val="HTML Preformatted"/>
    <w:basedOn w:val="Normal"/>
    <w:rsid w:val="00A7296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8169">
      <w:bodyDiv w:val="1"/>
      <w:marLeft w:val="0"/>
      <w:marRight w:val="0"/>
      <w:marTop w:val="0"/>
      <w:marBottom w:val="0"/>
      <w:divBdr>
        <w:top w:val="none" w:sz="0" w:space="0" w:color="auto"/>
        <w:left w:val="none" w:sz="0" w:space="0" w:color="auto"/>
        <w:bottom w:val="none" w:sz="0" w:space="0" w:color="auto"/>
        <w:right w:val="none" w:sz="0" w:space="0" w:color="auto"/>
      </w:divBdr>
    </w:div>
    <w:div w:id="710228156">
      <w:bodyDiv w:val="1"/>
      <w:marLeft w:val="0"/>
      <w:marRight w:val="0"/>
      <w:marTop w:val="0"/>
      <w:marBottom w:val="0"/>
      <w:divBdr>
        <w:top w:val="none" w:sz="0" w:space="0" w:color="auto"/>
        <w:left w:val="none" w:sz="0" w:space="0" w:color="auto"/>
        <w:bottom w:val="none" w:sz="0" w:space="0" w:color="auto"/>
        <w:right w:val="none" w:sz="0" w:space="0" w:color="auto"/>
      </w:divBdr>
    </w:div>
    <w:div w:id="166809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64569-C328-4CEC-A939-DDA3BA8E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5747</Words>
  <Characters>32764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OMB INFORMATION COLLECTION</vt:lpstr>
    </vt:vector>
  </TitlesOfParts>
  <Company>FDA</Company>
  <LinksUpToDate>false</LinksUpToDate>
  <CharactersWithSpaces>38435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dc:title>
  <dc:creator>CBER</dc:creator>
  <cp:lastModifiedBy>Mizrachi, Ila</cp:lastModifiedBy>
  <cp:revision>3</cp:revision>
  <cp:lastPrinted>2014-12-04T01:59:00Z</cp:lastPrinted>
  <dcterms:created xsi:type="dcterms:W3CDTF">2015-02-18T17:13:00Z</dcterms:created>
  <dcterms:modified xsi:type="dcterms:W3CDTF">2015-03-06T17:48:00Z</dcterms:modified>
</cp:coreProperties>
</file>