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373487">
      <w:pPr>
        <w:jc w:val="center"/>
        <w:rPr>
          <w:b/>
        </w:rPr>
      </w:pPr>
      <w:bookmarkStart w:id="0" w:name="_GoBack"/>
      <w:bookmarkEnd w:id="0"/>
      <w:r w:rsidRPr="00063AB9">
        <w:rPr>
          <w:b/>
        </w:rPr>
        <w:t>“</w:t>
      </w:r>
      <w:r w:rsidR="00373487" w:rsidRPr="00373487">
        <w:rPr>
          <w:b/>
          <w:bCs/>
        </w:rPr>
        <w:t>Guidance for Industry and Food and Drug Administration Staff; Section 905(j) Reports: Demonstrating Substantial Equivalence for Tobacco Products</w:t>
      </w:r>
      <w:r w:rsidRPr="00063AB9">
        <w:rPr>
          <w:b/>
        </w:rPr>
        <w:t>”</w:t>
      </w:r>
    </w:p>
    <w:p w:rsidR="001076D2" w:rsidRPr="00FA6A85" w:rsidRDefault="001076D2" w:rsidP="001076D2">
      <w:pPr>
        <w:jc w:val="center"/>
        <w:rPr>
          <w:b/>
        </w:rPr>
      </w:pPr>
      <w:r w:rsidRPr="00FA6A85">
        <w:rPr>
          <w:b/>
        </w:rPr>
        <w:t>(OMB Control Number 0910-</w:t>
      </w:r>
      <w:r w:rsidR="00373487">
        <w:rPr>
          <w:b/>
        </w:rPr>
        <w:t>0673</w:t>
      </w:r>
      <w:r w:rsidRPr="00FA6A85">
        <w:rPr>
          <w:b/>
        </w:rPr>
        <w:t>)</w:t>
      </w:r>
    </w:p>
    <w:p w:rsidR="001076D2" w:rsidRPr="00FA6A85" w:rsidRDefault="001076D2" w:rsidP="001076D2">
      <w:pPr>
        <w:jc w:val="center"/>
        <w:rPr>
          <w:b/>
        </w:rPr>
      </w:pPr>
    </w:p>
    <w:p w:rsidR="001076D2" w:rsidRPr="00FA6A85" w:rsidRDefault="001076D2" w:rsidP="001076D2">
      <w:pPr>
        <w:jc w:val="center"/>
        <w:rPr>
          <w:b/>
        </w:rPr>
      </w:pPr>
    </w:p>
    <w:p w:rsidR="001076D2" w:rsidRPr="00FA6A85" w:rsidRDefault="00C03A24" w:rsidP="001076D2">
      <w:pPr>
        <w:rPr>
          <w:b/>
        </w:rPr>
      </w:pPr>
      <w:r>
        <w:rPr>
          <w:b/>
        </w:rPr>
        <w:t>Change Request</w:t>
      </w:r>
    </w:p>
    <w:p w:rsidR="001076D2" w:rsidRPr="00FA6A85" w:rsidRDefault="001076D2" w:rsidP="001076D2">
      <w:pPr>
        <w:rPr>
          <w:b/>
        </w:rPr>
      </w:pPr>
    </w:p>
    <w:p w:rsidR="001076D2" w:rsidRPr="00FA6A85" w:rsidRDefault="00373487" w:rsidP="001076D2">
      <w:pPr>
        <w:rPr>
          <w:b/>
        </w:rPr>
      </w:pPr>
      <w:r>
        <w:rPr>
          <w:b/>
        </w:rPr>
        <w:t>Mar 4, 2015</w:t>
      </w:r>
    </w:p>
    <w:p w:rsidR="001076D2" w:rsidRPr="00FA6A85" w:rsidRDefault="001076D2" w:rsidP="001076D2">
      <w:pPr>
        <w:jc w:val="center"/>
      </w:pPr>
    </w:p>
    <w:p w:rsidR="001076D2" w:rsidRPr="00FA6A85" w:rsidRDefault="001076D2" w:rsidP="00671626">
      <w:pPr>
        <w:spacing w:line="360" w:lineRule="auto"/>
      </w:pPr>
    </w:p>
    <w:p w:rsidR="0013562F" w:rsidRDefault="001076D2" w:rsidP="00671626">
      <w:pPr>
        <w:spacing w:line="360" w:lineRule="auto"/>
      </w:pPr>
      <w:r w:rsidRPr="00FA6A85">
        <w:t>The Food and Drug Administration is submitting this nonmaterial/non-substantive c</w:t>
      </w:r>
      <w:r w:rsidR="00C03A24">
        <w:t xml:space="preserve">hange request </w:t>
      </w:r>
      <w:r w:rsidR="0013562F">
        <w:t xml:space="preserve">to </w:t>
      </w:r>
      <w:r w:rsidR="00A249D6">
        <w:t>reduce</w:t>
      </w:r>
      <w:r w:rsidR="00373487">
        <w:t xml:space="preserve"> the burden based </w:t>
      </w:r>
      <w:r w:rsidR="00671626">
        <w:t xml:space="preserve">on new guidance document recommendations </w:t>
      </w:r>
      <w:r w:rsidR="00373487">
        <w:t xml:space="preserve">which will reduce the time </w:t>
      </w:r>
      <w:r w:rsidR="00671626">
        <w:t xml:space="preserve">for a manufacturer to submit a </w:t>
      </w:r>
      <w:r w:rsidR="00373487">
        <w:t>Substantial Equivalence (SE) report.</w:t>
      </w:r>
    </w:p>
    <w:p w:rsidR="00373487" w:rsidRDefault="00373487" w:rsidP="005F7666"/>
    <w:p w:rsidR="00373487" w:rsidRDefault="00373487" w:rsidP="00671626">
      <w:pPr>
        <w:spacing w:line="360" w:lineRule="auto"/>
      </w:pPr>
      <w:r w:rsidRPr="00373487">
        <w:t>Based on current information, FDA now estimates that it will receive 300 section 905(j) reports each year. Of these 300 reports, FDA estimates that 75 of these reports will be “full” substantial equivalence (SE) reports that take a manufacturer approximately  300 hours to prepare. Under the newly issued guidance entitled, “Demonstrating the Substantial Equivalence of a New Tobacco Product: Responses to Frequently Asked Questions,” FDA is recommending that certain modifications might be addressed in either a “Same Characteristics SE Report” or “Product Quantity Change Report.” FDA estimates that it will receive 100 Same Characteristics Se Reports and that it will take a manufacturer approximately 47 hours to prepare this report. FDA estimates that it will receive 125 Product Quantity Change SE Reports and that it will take a manufacturer approximately 87 hours to prepare this report. Therefore, FDA estimates the burden for submission of substantial equivalence information will be 38,075 hours</w:t>
      </w:r>
      <w:r w:rsidR="00A249D6">
        <w:t xml:space="preserve"> a </w:t>
      </w:r>
      <w:r w:rsidR="00671626">
        <w:t>total reduction of 321,925 hours.</w:t>
      </w:r>
    </w:p>
    <w:p w:rsidR="00373487" w:rsidRDefault="00373487" w:rsidP="00373487"/>
    <w:tbl>
      <w:tblPr>
        <w:tblW w:w="4909" w:type="pct"/>
        <w:tblCellMar>
          <w:left w:w="0" w:type="dxa"/>
          <w:right w:w="0" w:type="dxa"/>
        </w:tblCellMar>
        <w:tblLook w:val="04A0" w:firstRow="1" w:lastRow="0" w:firstColumn="1" w:lastColumn="0" w:noHBand="0" w:noVBand="1"/>
      </w:tblPr>
      <w:tblGrid>
        <w:gridCol w:w="1657"/>
        <w:gridCol w:w="1376"/>
        <w:gridCol w:w="1421"/>
        <w:gridCol w:w="1160"/>
        <w:gridCol w:w="1502"/>
        <w:gridCol w:w="1579"/>
      </w:tblGrid>
      <w:tr w:rsidR="00373487" w:rsidRPr="00373487" w:rsidTr="00A249D6">
        <w:trPr>
          <w:cantSplit/>
          <w:trHeight w:val="1"/>
          <w:tblHeader/>
        </w:trPr>
        <w:tc>
          <w:tcPr>
            <w:tcW w:w="5000" w:type="pct"/>
            <w:gridSpan w:val="6"/>
            <w:tcBorders>
              <w:top w:val="nil"/>
              <w:left w:val="nil"/>
              <w:bottom w:val="single" w:sz="8" w:space="0" w:color="auto"/>
              <w:right w:val="nil"/>
            </w:tcBorders>
            <w:tcMar>
              <w:top w:w="0" w:type="dxa"/>
              <w:left w:w="108" w:type="dxa"/>
              <w:bottom w:w="0" w:type="dxa"/>
              <w:right w:w="108" w:type="dxa"/>
            </w:tcMar>
          </w:tcPr>
          <w:p w:rsidR="00373487" w:rsidRPr="00A249D6" w:rsidRDefault="00373487" w:rsidP="00A249D6">
            <w:pPr>
              <w:rPr>
                <w:b/>
                <w:bCs/>
              </w:rPr>
            </w:pPr>
            <w:r w:rsidRPr="00373487">
              <w:rPr>
                <w:b/>
                <w:bCs/>
              </w:rPr>
              <w:t>Current 0910-0673</w:t>
            </w:r>
          </w:p>
        </w:tc>
      </w:tr>
      <w:tr w:rsidR="00A249D6" w:rsidRPr="00373487" w:rsidTr="00A249D6">
        <w:trPr>
          <w:cantSplit/>
          <w:trHeight w:val="1"/>
          <w:tblHeader/>
        </w:trPr>
        <w:tc>
          <w:tcPr>
            <w:tcW w:w="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FD&amp;C Act sections</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Number. of respondents</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Number of responses per respondent</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Total annual responses</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Average burden per response</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Total hours</w:t>
            </w:r>
          </w:p>
        </w:tc>
      </w:tr>
      <w:tr w:rsidR="00A249D6" w:rsidRPr="00373487" w:rsidTr="00A249D6">
        <w:trPr>
          <w:cantSplit/>
          <w:trHeight w:val="1"/>
        </w:trPr>
        <w:tc>
          <w:tcPr>
            <w:tcW w:w="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905(j)(1)(A)(</w:t>
            </w:r>
            <w:proofErr w:type="spellStart"/>
            <w:r w:rsidRPr="00373487">
              <w:t>i</w:t>
            </w:r>
            <w:proofErr w:type="spellEnd"/>
            <w:r w:rsidRPr="00373487">
              <w:t>) and 910(a</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1,000</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1</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1,000</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360</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3487" w:rsidRPr="00373487" w:rsidRDefault="00373487" w:rsidP="00373487">
            <w:r w:rsidRPr="00373487">
              <w:t>360,000</w:t>
            </w:r>
          </w:p>
        </w:tc>
      </w:tr>
    </w:tbl>
    <w:p w:rsidR="00373487" w:rsidRDefault="00373487" w:rsidP="00373487"/>
    <w:p w:rsidR="00373487" w:rsidRDefault="00373487" w:rsidP="00373487"/>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1157"/>
        <w:gridCol w:w="1565"/>
        <w:gridCol w:w="1237"/>
        <w:gridCol w:w="1647"/>
        <w:gridCol w:w="1721"/>
        <w:gridCol w:w="23"/>
      </w:tblGrid>
      <w:tr w:rsidR="00A249D6" w:rsidRPr="00A249D6" w:rsidTr="00A249D6">
        <w:trPr>
          <w:gridAfter w:val="1"/>
          <w:wAfter w:w="14" w:type="pct"/>
          <w:cantSplit/>
          <w:trHeight w:val="1"/>
          <w:tblHeader/>
        </w:trPr>
        <w:tc>
          <w:tcPr>
            <w:tcW w:w="4986" w:type="pct"/>
            <w:gridSpan w:val="6"/>
            <w:tcBorders>
              <w:top w:val="nil"/>
              <w:left w:val="nil"/>
              <w:bottom w:val="single" w:sz="4" w:space="0" w:color="auto"/>
              <w:right w:val="nil"/>
            </w:tcBorders>
            <w:shd w:val="clear" w:color="auto" w:fill="auto"/>
          </w:tcPr>
          <w:p w:rsidR="00A249D6" w:rsidRPr="00671626" w:rsidRDefault="00671626" w:rsidP="00A249D6">
            <w:pPr>
              <w:rPr>
                <w:b/>
                <w:bCs/>
              </w:rPr>
            </w:pPr>
            <w:r w:rsidRPr="00671626">
              <w:rPr>
                <w:b/>
                <w:bCs/>
              </w:rPr>
              <w:t>NEW 0910-0673 burden</w:t>
            </w:r>
          </w:p>
        </w:tc>
      </w:tr>
      <w:tr w:rsidR="00A249D6" w:rsidRPr="00A249D6" w:rsidTr="00A249D6">
        <w:trPr>
          <w:gridAfter w:val="1"/>
          <w:wAfter w:w="14" w:type="pct"/>
          <w:cantSplit/>
          <w:trHeight w:val="1"/>
          <w:tblHeader/>
        </w:trPr>
        <w:tc>
          <w:tcPr>
            <w:tcW w:w="806" w:type="pct"/>
            <w:shd w:val="clear" w:color="auto" w:fill="auto"/>
          </w:tcPr>
          <w:p w:rsidR="00A249D6" w:rsidRPr="00A249D6" w:rsidRDefault="00A249D6" w:rsidP="00A249D6">
            <w:r w:rsidRPr="00A249D6">
              <w:t>Activity</w:t>
            </w:r>
          </w:p>
        </w:tc>
        <w:tc>
          <w:tcPr>
            <w:tcW w:w="660" w:type="pct"/>
            <w:shd w:val="clear" w:color="auto" w:fill="auto"/>
          </w:tcPr>
          <w:p w:rsidR="00A249D6" w:rsidRPr="00A249D6" w:rsidRDefault="00A249D6" w:rsidP="00A249D6">
            <w:r w:rsidRPr="00A249D6">
              <w:t>Number. of respondents</w:t>
            </w:r>
          </w:p>
        </w:tc>
        <w:tc>
          <w:tcPr>
            <w:tcW w:w="893" w:type="pct"/>
            <w:shd w:val="clear" w:color="auto" w:fill="auto"/>
          </w:tcPr>
          <w:p w:rsidR="00A249D6" w:rsidRPr="00A249D6" w:rsidRDefault="00A249D6" w:rsidP="00A249D6">
            <w:r w:rsidRPr="00A249D6">
              <w:rPr>
                <w:bCs/>
              </w:rPr>
              <w:t>Number of responses per respondent</w:t>
            </w:r>
          </w:p>
        </w:tc>
        <w:tc>
          <w:tcPr>
            <w:tcW w:w="706" w:type="pct"/>
            <w:shd w:val="clear" w:color="auto" w:fill="auto"/>
          </w:tcPr>
          <w:p w:rsidR="00A249D6" w:rsidRPr="00A249D6" w:rsidRDefault="00A249D6" w:rsidP="00A249D6">
            <w:r w:rsidRPr="00A249D6">
              <w:t>Total annual responses</w:t>
            </w:r>
          </w:p>
        </w:tc>
        <w:tc>
          <w:tcPr>
            <w:tcW w:w="940" w:type="pct"/>
            <w:shd w:val="clear" w:color="auto" w:fill="auto"/>
          </w:tcPr>
          <w:p w:rsidR="00A249D6" w:rsidRPr="00A249D6" w:rsidRDefault="00A249D6" w:rsidP="00A249D6">
            <w:r w:rsidRPr="00A249D6">
              <w:rPr>
                <w:bCs/>
              </w:rPr>
              <w:t>Average burden per response</w:t>
            </w:r>
          </w:p>
        </w:tc>
        <w:tc>
          <w:tcPr>
            <w:tcW w:w="982" w:type="pct"/>
            <w:shd w:val="clear" w:color="auto" w:fill="auto"/>
          </w:tcPr>
          <w:p w:rsidR="00A249D6" w:rsidRPr="00A249D6" w:rsidRDefault="00A249D6" w:rsidP="00A249D6">
            <w:r w:rsidRPr="00A249D6">
              <w:t>Total hours</w:t>
            </w:r>
          </w:p>
        </w:tc>
      </w:tr>
      <w:tr w:rsidR="00A249D6" w:rsidRPr="00A249D6" w:rsidTr="00A249D6">
        <w:trPr>
          <w:gridAfter w:val="1"/>
          <w:wAfter w:w="14" w:type="pct"/>
          <w:cantSplit/>
          <w:trHeight w:val="1"/>
        </w:trPr>
        <w:tc>
          <w:tcPr>
            <w:tcW w:w="806" w:type="pct"/>
            <w:shd w:val="clear" w:color="auto" w:fill="auto"/>
          </w:tcPr>
          <w:p w:rsidR="00A249D6" w:rsidRPr="00A249D6" w:rsidRDefault="00A249D6" w:rsidP="00A249D6">
            <w:r w:rsidRPr="00A249D6">
              <w:t>Full SE 905(j)(1)(A)(</w:t>
            </w:r>
            <w:proofErr w:type="spellStart"/>
            <w:r w:rsidRPr="00A249D6">
              <w:t>i</w:t>
            </w:r>
            <w:proofErr w:type="spellEnd"/>
            <w:r w:rsidRPr="00A249D6">
              <w:t>) and 910(a</w:t>
            </w:r>
          </w:p>
        </w:tc>
        <w:tc>
          <w:tcPr>
            <w:tcW w:w="660" w:type="pct"/>
            <w:shd w:val="clear" w:color="auto" w:fill="auto"/>
          </w:tcPr>
          <w:p w:rsidR="00A249D6" w:rsidRPr="00A249D6" w:rsidRDefault="00A249D6" w:rsidP="00A249D6">
            <w:r w:rsidRPr="00A249D6">
              <w:t>75</w:t>
            </w:r>
          </w:p>
        </w:tc>
        <w:tc>
          <w:tcPr>
            <w:tcW w:w="893" w:type="pct"/>
            <w:shd w:val="clear" w:color="auto" w:fill="auto"/>
          </w:tcPr>
          <w:p w:rsidR="00A249D6" w:rsidRPr="00A249D6" w:rsidRDefault="00A249D6" w:rsidP="00A249D6">
            <w:r w:rsidRPr="00A249D6">
              <w:t>1</w:t>
            </w:r>
          </w:p>
        </w:tc>
        <w:tc>
          <w:tcPr>
            <w:tcW w:w="706" w:type="pct"/>
            <w:shd w:val="clear" w:color="auto" w:fill="auto"/>
          </w:tcPr>
          <w:p w:rsidR="00A249D6" w:rsidRPr="00A249D6" w:rsidRDefault="00A249D6" w:rsidP="00A249D6">
            <w:r w:rsidRPr="00A249D6">
              <w:t>75</w:t>
            </w:r>
          </w:p>
        </w:tc>
        <w:tc>
          <w:tcPr>
            <w:tcW w:w="940" w:type="pct"/>
            <w:shd w:val="clear" w:color="auto" w:fill="auto"/>
          </w:tcPr>
          <w:p w:rsidR="00A249D6" w:rsidRPr="00A249D6" w:rsidRDefault="00A249D6" w:rsidP="00A249D6">
            <w:r w:rsidRPr="00A249D6">
              <w:t>300</w:t>
            </w:r>
          </w:p>
        </w:tc>
        <w:tc>
          <w:tcPr>
            <w:tcW w:w="982" w:type="pct"/>
            <w:shd w:val="clear" w:color="auto" w:fill="auto"/>
          </w:tcPr>
          <w:p w:rsidR="00A249D6" w:rsidRPr="00A249D6" w:rsidRDefault="00A249D6" w:rsidP="00A249D6">
            <w:r w:rsidRPr="00A249D6">
              <w:t>22,500</w:t>
            </w:r>
          </w:p>
        </w:tc>
      </w:tr>
      <w:tr w:rsidR="00A249D6" w:rsidRPr="00A249D6" w:rsidTr="00A2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8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Product Quantity Change SE Report</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125</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1</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125</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87</w:t>
            </w:r>
          </w:p>
        </w:tc>
        <w:tc>
          <w:tcPr>
            <w:tcW w:w="9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 xml:space="preserve">10,875 </w:t>
            </w:r>
          </w:p>
        </w:tc>
      </w:tr>
      <w:tr w:rsidR="00A249D6" w:rsidRPr="00A249D6" w:rsidTr="00A2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Same characteristics SE Report</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100</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1</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100</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 xml:space="preserve">47 </w:t>
            </w:r>
          </w:p>
        </w:tc>
        <w:tc>
          <w:tcPr>
            <w:tcW w:w="9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49D6" w:rsidRPr="00A249D6" w:rsidRDefault="00A249D6" w:rsidP="00A249D6">
            <w:r w:rsidRPr="00A249D6">
              <w:t>4,700</w:t>
            </w:r>
          </w:p>
        </w:tc>
      </w:tr>
      <w:tr w:rsidR="00A249D6" w:rsidRPr="00A249D6" w:rsidTr="00A2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06" w:type="pct"/>
            <w:tcBorders>
              <w:top w:val="nil"/>
              <w:left w:val="single" w:sz="8" w:space="0" w:color="auto"/>
              <w:bottom w:val="nil"/>
              <w:right w:val="single" w:sz="8" w:space="0" w:color="auto"/>
            </w:tcBorders>
            <w:tcMar>
              <w:top w:w="0" w:type="dxa"/>
              <w:left w:w="108" w:type="dxa"/>
              <w:bottom w:w="0" w:type="dxa"/>
              <w:right w:w="108" w:type="dxa"/>
            </w:tcMar>
          </w:tcPr>
          <w:p w:rsidR="00A249D6" w:rsidRPr="00A249D6" w:rsidRDefault="00A249D6" w:rsidP="00A249D6"/>
        </w:tc>
        <w:tc>
          <w:tcPr>
            <w:tcW w:w="660" w:type="pct"/>
            <w:tcBorders>
              <w:top w:val="nil"/>
              <w:left w:val="nil"/>
              <w:bottom w:val="nil"/>
              <w:right w:val="single" w:sz="8" w:space="0" w:color="auto"/>
            </w:tcBorders>
            <w:tcMar>
              <w:top w:w="0" w:type="dxa"/>
              <w:left w:w="108" w:type="dxa"/>
              <w:bottom w:w="0" w:type="dxa"/>
              <w:right w:w="108" w:type="dxa"/>
            </w:tcMar>
          </w:tcPr>
          <w:p w:rsidR="00A249D6" w:rsidRPr="00A249D6" w:rsidRDefault="00A249D6" w:rsidP="00A249D6"/>
        </w:tc>
        <w:tc>
          <w:tcPr>
            <w:tcW w:w="893" w:type="pct"/>
            <w:tcBorders>
              <w:top w:val="nil"/>
              <w:left w:val="nil"/>
              <w:bottom w:val="nil"/>
              <w:right w:val="single" w:sz="8" w:space="0" w:color="auto"/>
            </w:tcBorders>
            <w:tcMar>
              <w:top w:w="0" w:type="dxa"/>
              <w:left w:w="108" w:type="dxa"/>
              <w:bottom w:w="0" w:type="dxa"/>
              <w:right w:w="108" w:type="dxa"/>
            </w:tcMar>
          </w:tcPr>
          <w:p w:rsidR="00A249D6" w:rsidRPr="00A249D6" w:rsidRDefault="00A249D6" w:rsidP="00A249D6"/>
        </w:tc>
        <w:tc>
          <w:tcPr>
            <w:tcW w:w="706" w:type="pct"/>
            <w:tcBorders>
              <w:top w:val="nil"/>
              <w:left w:val="nil"/>
              <w:bottom w:val="nil"/>
              <w:right w:val="single" w:sz="8" w:space="0" w:color="auto"/>
            </w:tcBorders>
            <w:tcMar>
              <w:top w:w="0" w:type="dxa"/>
              <w:left w:w="108" w:type="dxa"/>
              <w:bottom w:w="0" w:type="dxa"/>
              <w:right w:w="108" w:type="dxa"/>
            </w:tcMar>
          </w:tcPr>
          <w:p w:rsidR="00A249D6" w:rsidRPr="00A249D6" w:rsidRDefault="00A249D6" w:rsidP="00A249D6"/>
        </w:tc>
        <w:tc>
          <w:tcPr>
            <w:tcW w:w="940" w:type="pct"/>
            <w:tcBorders>
              <w:top w:val="nil"/>
              <w:left w:val="nil"/>
              <w:bottom w:val="nil"/>
              <w:right w:val="single" w:sz="8" w:space="0" w:color="auto"/>
            </w:tcBorders>
            <w:tcMar>
              <w:top w:w="0" w:type="dxa"/>
              <w:left w:w="108" w:type="dxa"/>
              <w:bottom w:w="0" w:type="dxa"/>
              <w:right w:w="108" w:type="dxa"/>
            </w:tcMar>
          </w:tcPr>
          <w:p w:rsidR="00A249D6" w:rsidRPr="00A249D6" w:rsidRDefault="00A249D6" w:rsidP="00A249D6"/>
        </w:tc>
        <w:tc>
          <w:tcPr>
            <w:tcW w:w="995" w:type="pct"/>
            <w:gridSpan w:val="2"/>
            <w:tcBorders>
              <w:top w:val="nil"/>
              <w:left w:val="nil"/>
              <w:bottom w:val="nil"/>
              <w:right w:val="single" w:sz="8" w:space="0" w:color="auto"/>
            </w:tcBorders>
            <w:tcMar>
              <w:top w:w="0" w:type="dxa"/>
              <w:left w:w="108" w:type="dxa"/>
              <w:bottom w:w="0" w:type="dxa"/>
              <w:right w:w="108" w:type="dxa"/>
            </w:tcMar>
            <w:hideMark/>
          </w:tcPr>
          <w:p w:rsidR="00A249D6" w:rsidRPr="00A249D6" w:rsidRDefault="00A249D6" w:rsidP="00A249D6"/>
        </w:tc>
      </w:tr>
      <w:tr w:rsidR="00A249D6" w:rsidRPr="00A249D6" w:rsidTr="00A2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06" w:type="pct"/>
            <w:tcBorders>
              <w:top w:val="nil"/>
              <w:left w:val="single" w:sz="8" w:space="0" w:color="auto"/>
              <w:bottom w:val="nil"/>
              <w:right w:val="single" w:sz="8" w:space="0" w:color="auto"/>
            </w:tcBorders>
            <w:tcMar>
              <w:top w:w="0" w:type="dxa"/>
              <w:left w:w="108" w:type="dxa"/>
              <w:bottom w:w="0" w:type="dxa"/>
              <w:right w:w="108" w:type="dxa"/>
            </w:tcMar>
            <w:hideMark/>
          </w:tcPr>
          <w:p w:rsidR="00A249D6" w:rsidRPr="00A249D6" w:rsidRDefault="00A249D6" w:rsidP="00A249D6">
            <w:r w:rsidRPr="00A249D6">
              <w:t>Totals</w:t>
            </w:r>
          </w:p>
        </w:tc>
        <w:tc>
          <w:tcPr>
            <w:tcW w:w="660" w:type="pct"/>
            <w:tcBorders>
              <w:top w:val="nil"/>
              <w:left w:val="nil"/>
              <w:bottom w:val="nil"/>
              <w:right w:val="single" w:sz="8" w:space="0" w:color="auto"/>
            </w:tcBorders>
            <w:tcMar>
              <w:top w:w="0" w:type="dxa"/>
              <w:left w:w="108" w:type="dxa"/>
              <w:bottom w:w="0" w:type="dxa"/>
              <w:right w:w="108" w:type="dxa"/>
            </w:tcMar>
          </w:tcPr>
          <w:p w:rsidR="00A249D6" w:rsidRPr="00A249D6" w:rsidRDefault="00A249D6" w:rsidP="00A249D6"/>
        </w:tc>
        <w:tc>
          <w:tcPr>
            <w:tcW w:w="893" w:type="pct"/>
            <w:tcBorders>
              <w:top w:val="nil"/>
              <w:left w:val="nil"/>
              <w:bottom w:val="nil"/>
              <w:right w:val="single" w:sz="8" w:space="0" w:color="auto"/>
            </w:tcBorders>
            <w:tcMar>
              <w:top w:w="0" w:type="dxa"/>
              <w:left w:w="108" w:type="dxa"/>
              <w:bottom w:w="0" w:type="dxa"/>
              <w:right w:w="108" w:type="dxa"/>
            </w:tcMar>
          </w:tcPr>
          <w:p w:rsidR="00A249D6" w:rsidRPr="00A249D6" w:rsidRDefault="00A249D6" w:rsidP="00A249D6"/>
        </w:tc>
        <w:tc>
          <w:tcPr>
            <w:tcW w:w="706" w:type="pct"/>
            <w:tcBorders>
              <w:top w:val="nil"/>
              <w:left w:val="nil"/>
              <w:bottom w:val="nil"/>
              <w:right w:val="single" w:sz="8" w:space="0" w:color="auto"/>
            </w:tcBorders>
            <w:tcMar>
              <w:top w:w="0" w:type="dxa"/>
              <w:left w:w="108" w:type="dxa"/>
              <w:bottom w:w="0" w:type="dxa"/>
              <w:right w:w="108" w:type="dxa"/>
            </w:tcMar>
          </w:tcPr>
          <w:p w:rsidR="00A249D6" w:rsidRPr="00A249D6" w:rsidRDefault="00A249D6" w:rsidP="00A249D6"/>
        </w:tc>
        <w:tc>
          <w:tcPr>
            <w:tcW w:w="940" w:type="pct"/>
            <w:tcBorders>
              <w:top w:val="nil"/>
              <w:left w:val="nil"/>
              <w:bottom w:val="nil"/>
              <w:right w:val="single" w:sz="8" w:space="0" w:color="auto"/>
            </w:tcBorders>
            <w:tcMar>
              <w:top w:w="0" w:type="dxa"/>
              <w:left w:w="108" w:type="dxa"/>
              <w:bottom w:w="0" w:type="dxa"/>
              <w:right w:w="108" w:type="dxa"/>
            </w:tcMar>
          </w:tcPr>
          <w:p w:rsidR="00A249D6" w:rsidRPr="00A249D6" w:rsidRDefault="00A249D6" w:rsidP="00A249D6"/>
        </w:tc>
        <w:tc>
          <w:tcPr>
            <w:tcW w:w="995" w:type="pct"/>
            <w:gridSpan w:val="2"/>
            <w:tcBorders>
              <w:top w:val="nil"/>
              <w:left w:val="nil"/>
              <w:bottom w:val="nil"/>
              <w:right w:val="single" w:sz="8" w:space="0" w:color="auto"/>
            </w:tcBorders>
            <w:tcMar>
              <w:top w:w="0" w:type="dxa"/>
              <w:left w:w="108" w:type="dxa"/>
              <w:bottom w:w="0" w:type="dxa"/>
              <w:right w:w="108" w:type="dxa"/>
            </w:tcMar>
          </w:tcPr>
          <w:p w:rsidR="00A249D6" w:rsidRPr="00A249D6" w:rsidRDefault="00A249D6" w:rsidP="00A249D6">
            <w:r w:rsidRPr="00A249D6">
              <w:t>38,075</w:t>
            </w:r>
          </w:p>
        </w:tc>
      </w:tr>
    </w:tbl>
    <w:p w:rsidR="00373487" w:rsidRPr="00373487" w:rsidRDefault="00373487" w:rsidP="00373487"/>
    <w:p w:rsidR="005F7666" w:rsidRDefault="005F7666" w:rsidP="005F7666"/>
    <w:p w:rsidR="0075675F" w:rsidRPr="0075675F" w:rsidRDefault="00C03A24" w:rsidP="0013562F">
      <w:r>
        <w:t>In a conversation with OM</w:t>
      </w:r>
      <w:r w:rsidR="00373487">
        <w:t>B on February 5, 2015</w:t>
      </w:r>
      <w:r w:rsidR="0013562F">
        <w:t>, FDA was given concurrence to submit this request. No other changes are being requested.</w:t>
      </w:r>
      <w:r w:rsidR="0013562F" w:rsidRPr="0075675F">
        <w:t xml:space="preserve"> </w:t>
      </w:r>
    </w:p>
    <w:p w:rsidR="001603DF" w:rsidRDefault="001603DF" w:rsidP="0075675F"/>
    <w:p w:rsidR="00DE3A3A" w:rsidRPr="00FA6A85" w:rsidRDefault="00DE3A3A" w:rsidP="00DE3A3A"/>
    <w:p w:rsidR="00DE3A3A" w:rsidRPr="00FA6A85" w:rsidRDefault="00DE3A3A"/>
    <w:sectPr w:rsidR="00DE3A3A" w:rsidRPr="00FA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15FF"/>
    <w:multiLevelType w:val="hybridMultilevel"/>
    <w:tmpl w:val="1086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CF4F5F"/>
    <w:multiLevelType w:val="hybridMultilevel"/>
    <w:tmpl w:val="E21CC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FE3"/>
    <w:rsid w:val="000A35D1"/>
    <w:rsid w:val="000A3DDE"/>
    <w:rsid w:val="000A59A7"/>
    <w:rsid w:val="000A7381"/>
    <w:rsid w:val="000A79D9"/>
    <w:rsid w:val="000B4A8D"/>
    <w:rsid w:val="000C1095"/>
    <w:rsid w:val="000C36BE"/>
    <w:rsid w:val="000C6573"/>
    <w:rsid w:val="000D0A24"/>
    <w:rsid w:val="000D1731"/>
    <w:rsid w:val="000D24B5"/>
    <w:rsid w:val="000D3717"/>
    <w:rsid w:val="000D5823"/>
    <w:rsid w:val="000E09A1"/>
    <w:rsid w:val="000E444F"/>
    <w:rsid w:val="000E447C"/>
    <w:rsid w:val="000E58C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3562F"/>
    <w:rsid w:val="00140EA7"/>
    <w:rsid w:val="001501F8"/>
    <w:rsid w:val="001520E4"/>
    <w:rsid w:val="00156FD7"/>
    <w:rsid w:val="001573D0"/>
    <w:rsid w:val="001603DF"/>
    <w:rsid w:val="001703D8"/>
    <w:rsid w:val="00170C08"/>
    <w:rsid w:val="00173D3C"/>
    <w:rsid w:val="00177F99"/>
    <w:rsid w:val="001850D9"/>
    <w:rsid w:val="00185F56"/>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D020E"/>
    <w:rsid w:val="001D5CF7"/>
    <w:rsid w:val="001E13BB"/>
    <w:rsid w:val="001E4160"/>
    <w:rsid w:val="001E41A9"/>
    <w:rsid w:val="001F4443"/>
    <w:rsid w:val="00201DD0"/>
    <w:rsid w:val="002067C6"/>
    <w:rsid w:val="00212204"/>
    <w:rsid w:val="00213ACB"/>
    <w:rsid w:val="0021437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797B"/>
    <w:rsid w:val="00363A58"/>
    <w:rsid w:val="00364849"/>
    <w:rsid w:val="00366EA6"/>
    <w:rsid w:val="00370C26"/>
    <w:rsid w:val="00372649"/>
    <w:rsid w:val="00373487"/>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544"/>
    <w:rsid w:val="003A468B"/>
    <w:rsid w:val="003A7AEF"/>
    <w:rsid w:val="003A7C62"/>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B071A"/>
    <w:rsid w:val="004B17EC"/>
    <w:rsid w:val="004B1CAD"/>
    <w:rsid w:val="004B21CE"/>
    <w:rsid w:val="004B326C"/>
    <w:rsid w:val="004B760C"/>
    <w:rsid w:val="004C0310"/>
    <w:rsid w:val="004C497D"/>
    <w:rsid w:val="004C4D82"/>
    <w:rsid w:val="004C5B41"/>
    <w:rsid w:val="004C7CDE"/>
    <w:rsid w:val="004D14ED"/>
    <w:rsid w:val="004D29AB"/>
    <w:rsid w:val="004D59CB"/>
    <w:rsid w:val="004D5AB7"/>
    <w:rsid w:val="004E37CD"/>
    <w:rsid w:val="004E3880"/>
    <w:rsid w:val="004E3A72"/>
    <w:rsid w:val="004E6873"/>
    <w:rsid w:val="004E74E9"/>
    <w:rsid w:val="004F3428"/>
    <w:rsid w:val="004F5A69"/>
    <w:rsid w:val="004F77D8"/>
    <w:rsid w:val="00501AD1"/>
    <w:rsid w:val="005054E9"/>
    <w:rsid w:val="00506591"/>
    <w:rsid w:val="00511C33"/>
    <w:rsid w:val="00513DF1"/>
    <w:rsid w:val="00520555"/>
    <w:rsid w:val="00522596"/>
    <w:rsid w:val="005242EB"/>
    <w:rsid w:val="0052607C"/>
    <w:rsid w:val="005265F8"/>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7BB"/>
    <w:rsid w:val="005F6CE7"/>
    <w:rsid w:val="005F7666"/>
    <w:rsid w:val="005F7B9D"/>
    <w:rsid w:val="0060441E"/>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6132F"/>
    <w:rsid w:val="006651C7"/>
    <w:rsid w:val="006701B0"/>
    <w:rsid w:val="006715A2"/>
    <w:rsid w:val="00671626"/>
    <w:rsid w:val="00672603"/>
    <w:rsid w:val="006809FF"/>
    <w:rsid w:val="00682EC9"/>
    <w:rsid w:val="00692970"/>
    <w:rsid w:val="00692B17"/>
    <w:rsid w:val="0069339F"/>
    <w:rsid w:val="00695ECB"/>
    <w:rsid w:val="006A05AA"/>
    <w:rsid w:val="006A09BD"/>
    <w:rsid w:val="006A1046"/>
    <w:rsid w:val="006B6700"/>
    <w:rsid w:val="006B6D76"/>
    <w:rsid w:val="006C04CF"/>
    <w:rsid w:val="006C0F7F"/>
    <w:rsid w:val="006C1D69"/>
    <w:rsid w:val="006C4849"/>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1FAF"/>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5675F"/>
    <w:rsid w:val="00760317"/>
    <w:rsid w:val="00760886"/>
    <w:rsid w:val="0076206F"/>
    <w:rsid w:val="00763B47"/>
    <w:rsid w:val="00763B6A"/>
    <w:rsid w:val="007656BD"/>
    <w:rsid w:val="00770EC8"/>
    <w:rsid w:val="007737F3"/>
    <w:rsid w:val="0077631F"/>
    <w:rsid w:val="007804C1"/>
    <w:rsid w:val="00781165"/>
    <w:rsid w:val="0078251E"/>
    <w:rsid w:val="00786E2C"/>
    <w:rsid w:val="007905F6"/>
    <w:rsid w:val="007914F8"/>
    <w:rsid w:val="0079675E"/>
    <w:rsid w:val="00797454"/>
    <w:rsid w:val="007A04F7"/>
    <w:rsid w:val="007B0335"/>
    <w:rsid w:val="007B13EA"/>
    <w:rsid w:val="007B771C"/>
    <w:rsid w:val="007C2629"/>
    <w:rsid w:val="007C7494"/>
    <w:rsid w:val="007D0CAC"/>
    <w:rsid w:val="007D2338"/>
    <w:rsid w:val="007D2913"/>
    <w:rsid w:val="007D4D15"/>
    <w:rsid w:val="007D675A"/>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355A7"/>
    <w:rsid w:val="0083691A"/>
    <w:rsid w:val="008503CB"/>
    <w:rsid w:val="00850E65"/>
    <w:rsid w:val="00854953"/>
    <w:rsid w:val="008607E8"/>
    <w:rsid w:val="00862B9E"/>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1F51"/>
    <w:rsid w:val="008F20C3"/>
    <w:rsid w:val="00902C91"/>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9D6"/>
    <w:rsid w:val="00A24D58"/>
    <w:rsid w:val="00A263C3"/>
    <w:rsid w:val="00A32FEE"/>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97899"/>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B003D"/>
    <w:rsid w:val="00BB038B"/>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36D0"/>
    <w:rsid w:val="00C03A24"/>
    <w:rsid w:val="00C053A2"/>
    <w:rsid w:val="00C058D9"/>
    <w:rsid w:val="00C05DD5"/>
    <w:rsid w:val="00C12821"/>
    <w:rsid w:val="00C12BE4"/>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72B54"/>
    <w:rsid w:val="00C747C6"/>
    <w:rsid w:val="00C76F17"/>
    <w:rsid w:val="00C824AF"/>
    <w:rsid w:val="00C840F0"/>
    <w:rsid w:val="00C864BA"/>
    <w:rsid w:val="00C86769"/>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F02C1"/>
    <w:rsid w:val="00CF5C4D"/>
    <w:rsid w:val="00CF7556"/>
    <w:rsid w:val="00D03711"/>
    <w:rsid w:val="00D128F9"/>
    <w:rsid w:val="00D12E23"/>
    <w:rsid w:val="00D137FF"/>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5B34"/>
    <w:rsid w:val="00E81663"/>
    <w:rsid w:val="00E83CD7"/>
    <w:rsid w:val="00E87427"/>
    <w:rsid w:val="00E92249"/>
    <w:rsid w:val="00E93756"/>
    <w:rsid w:val="00E9605C"/>
    <w:rsid w:val="00EA5963"/>
    <w:rsid w:val="00EA7061"/>
    <w:rsid w:val="00EB17D4"/>
    <w:rsid w:val="00EB3012"/>
    <w:rsid w:val="00EB78EB"/>
    <w:rsid w:val="00EC286C"/>
    <w:rsid w:val="00EC5535"/>
    <w:rsid w:val="00ED277A"/>
    <w:rsid w:val="00ED4719"/>
    <w:rsid w:val="00ED4A93"/>
    <w:rsid w:val="00EF0B92"/>
    <w:rsid w:val="00EF167E"/>
    <w:rsid w:val="00EF27E2"/>
    <w:rsid w:val="00EF3B5C"/>
    <w:rsid w:val="00F03A92"/>
    <w:rsid w:val="00F03B6A"/>
    <w:rsid w:val="00F10D35"/>
    <w:rsid w:val="00F13216"/>
    <w:rsid w:val="00F1722F"/>
    <w:rsid w:val="00F17693"/>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89148">
      <w:bodyDiv w:val="1"/>
      <w:marLeft w:val="0"/>
      <w:marRight w:val="0"/>
      <w:marTop w:val="0"/>
      <w:marBottom w:val="0"/>
      <w:divBdr>
        <w:top w:val="none" w:sz="0" w:space="0" w:color="auto"/>
        <w:left w:val="none" w:sz="0" w:space="0" w:color="auto"/>
        <w:bottom w:val="none" w:sz="0" w:space="0" w:color="auto"/>
        <w:right w:val="none" w:sz="0" w:space="0" w:color="auto"/>
      </w:divBdr>
    </w:div>
    <w:div w:id="1195582819">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325</Words>
  <Characters>1885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Sanford, Amber</cp:lastModifiedBy>
  <cp:revision>2</cp:revision>
  <dcterms:created xsi:type="dcterms:W3CDTF">2015-03-03T21:17:00Z</dcterms:created>
  <dcterms:modified xsi:type="dcterms:W3CDTF">2015-03-03T21:17:00Z</dcterms:modified>
</cp:coreProperties>
</file>