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297E" w14:textId="77777777" w:rsidR="00336B4A" w:rsidRPr="00BF6552" w:rsidRDefault="00336B4A" w:rsidP="00EE12DD">
      <w:pPr>
        <w:jc w:val="center"/>
        <w:rPr>
          <w:b/>
          <w:sz w:val="36"/>
          <w:szCs w:val="28"/>
        </w:rPr>
      </w:pPr>
      <w:r w:rsidRPr="00BF6552">
        <w:rPr>
          <w:b/>
          <w:sz w:val="36"/>
          <w:szCs w:val="28"/>
        </w:rPr>
        <w:t>SUPPORTING STATEMENT</w:t>
      </w:r>
    </w:p>
    <w:p w14:paraId="3FDB881C" w14:textId="77777777" w:rsidR="00336B4A" w:rsidRDefault="00336B4A" w:rsidP="00EE12DD">
      <w:pPr>
        <w:jc w:val="center"/>
        <w:rPr>
          <w:b/>
          <w:sz w:val="36"/>
          <w:szCs w:val="28"/>
        </w:rPr>
      </w:pPr>
      <w:r w:rsidRPr="00BF6552">
        <w:rPr>
          <w:b/>
          <w:sz w:val="36"/>
          <w:szCs w:val="28"/>
        </w:rPr>
        <w:t>Part B</w:t>
      </w:r>
    </w:p>
    <w:p w14:paraId="640182FF" w14:textId="77777777" w:rsidR="00604070" w:rsidRDefault="00604070" w:rsidP="00EE12DD">
      <w:pPr>
        <w:jc w:val="center"/>
      </w:pPr>
    </w:p>
    <w:p w14:paraId="6EA05E3E" w14:textId="77777777" w:rsidR="008C0930" w:rsidRDefault="00604070" w:rsidP="00EE12DD">
      <w:pPr>
        <w:jc w:val="center"/>
      </w:pPr>
      <w:r>
        <w:t xml:space="preserve">Corporation for National and Community Service AmeriCorps </w:t>
      </w:r>
    </w:p>
    <w:p w14:paraId="231B6CBC" w14:textId="0C73D005" w:rsidR="008C0930" w:rsidRDefault="00604070" w:rsidP="00EE12DD">
      <w:pPr>
        <w:jc w:val="center"/>
      </w:pPr>
      <w:r>
        <w:br/>
      </w:r>
      <w:r w:rsidR="008C0930">
        <w:t>Social Network Analysis of AmeriCorps State &amp; National Grantees</w:t>
      </w:r>
    </w:p>
    <w:p w14:paraId="290B4EE6" w14:textId="6E272416" w:rsidR="00604070" w:rsidRDefault="001D29A7" w:rsidP="00EE12DD">
      <w:pPr>
        <w:jc w:val="center"/>
      </w:pPr>
      <w:r>
        <w:t>Partnership and Collaboration Survey</w:t>
      </w:r>
    </w:p>
    <w:p w14:paraId="31DE945D" w14:textId="2B95ADFD" w:rsidR="00485F23" w:rsidRPr="00E51A58" w:rsidRDefault="00364974" w:rsidP="00EE12DD">
      <w:pPr>
        <w:jc w:val="center"/>
        <w:rPr>
          <w:i/>
        </w:rPr>
      </w:pPr>
      <w:r w:rsidRPr="001471B9">
        <w:rPr>
          <w:i/>
          <w:highlight w:val="yellow"/>
        </w:rPr>
        <w:t>Feb</w:t>
      </w:r>
      <w:r>
        <w:rPr>
          <w:i/>
          <w:highlight w:val="yellow"/>
        </w:rPr>
        <w:t>ru</w:t>
      </w:r>
      <w:r w:rsidRPr="001471B9">
        <w:rPr>
          <w:i/>
          <w:highlight w:val="yellow"/>
        </w:rPr>
        <w:t xml:space="preserve">ary </w:t>
      </w:r>
      <w:r w:rsidR="001D29A7" w:rsidRPr="001471B9">
        <w:rPr>
          <w:i/>
          <w:highlight w:val="yellow"/>
        </w:rPr>
        <w:t>201</w:t>
      </w:r>
      <w:r>
        <w:rPr>
          <w:i/>
          <w:highlight w:val="yellow"/>
        </w:rPr>
        <w:t>5</w:t>
      </w:r>
    </w:p>
    <w:p w14:paraId="42EE8036" w14:textId="77777777" w:rsidR="00604070" w:rsidRDefault="00604070" w:rsidP="00EE12DD">
      <w:pPr>
        <w:jc w:val="center"/>
      </w:pPr>
    </w:p>
    <w:p w14:paraId="52B97BF2" w14:textId="77777777" w:rsidR="00604070" w:rsidRDefault="00604070" w:rsidP="00EE12DD">
      <w:pPr>
        <w:jc w:val="center"/>
      </w:pPr>
    </w:p>
    <w:p w14:paraId="30D4D512" w14:textId="77777777" w:rsidR="00604070" w:rsidRDefault="00604070" w:rsidP="00EE12DD">
      <w:pPr>
        <w:jc w:val="center"/>
      </w:pPr>
      <w:r>
        <w:t>Corporation for National and Community Service</w:t>
      </w:r>
    </w:p>
    <w:p w14:paraId="6FFEEB6D" w14:textId="77777777" w:rsidR="00604070" w:rsidRDefault="00604070" w:rsidP="00EE12DD">
      <w:pPr>
        <w:jc w:val="center"/>
      </w:pPr>
      <w:r>
        <w:t>1201 New York Ave., NW</w:t>
      </w:r>
    </w:p>
    <w:p w14:paraId="219AB746" w14:textId="77777777" w:rsidR="00604070" w:rsidRDefault="00604070" w:rsidP="00EE12DD">
      <w:pPr>
        <w:jc w:val="center"/>
      </w:pPr>
      <w:r>
        <w:t>Washington, DC 20525</w:t>
      </w:r>
    </w:p>
    <w:p w14:paraId="4775C9E0" w14:textId="1264F95B" w:rsidR="00604070" w:rsidRDefault="00604070" w:rsidP="00EE12DD">
      <w:pPr>
        <w:jc w:val="center"/>
      </w:pPr>
      <w:r>
        <w:t>Telephone</w:t>
      </w:r>
      <w:r w:rsidR="005758C6">
        <w:t xml:space="preserve">:  </w:t>
      </w:r>
      <w:r>
        <w:t>(202) 606-5000</w:t>
      </w:r>
    </w:p>
    <w:p w14:paraId="0CCE813A" w14:textId="77777777" w:rsidR="00604070" w:rsidRDefault="00604070" w:rsidP="00EE12DD">
      <w:pPr>
        <w:jc w:val="center"/>
      </w:pPr>
      <w:r>
        <w:t>RGhertner@cns.gov</w:t>
      </w:r>
    </w:p>
    <w:p w14:paraId="6940424B" w14:textId="77777777" w:rsidR="00604070" w:rsidRDefault="00604070" w:rsidP="00EE12DD">
      <w:pPr>
        <w:rPr>
          <w:sz w:val="36"/>
          <w:szCs w:val="28"/>
        </w:rPr>
      </w:pPr>
      <w:r>
        <w:rPr>
          <w:sz w:val="36"/>
          <w:szCs w:val="28"/>
        </w:rPr>
        <w:br w:type="page"/>
      </w:r>
    </w:p>
    <w:sdt>
      <w:sdtPr>
        <w:rPr>
          <w:rFonts w:ascii="Times New Roman" w:eastAsiaTheme="minorHAnsi" w:hAnsi="Times New Roman" w:cs="Times New Roman"/>
          <w:b w:val="0"/>
          <w:bCs w:val="0"/>
          <w:color w:val="auto"/>
          <w:sz w:val="24"/>
          <w:szCs w:val="24"/>
          <w:lang w:eastAsia="en-US"/>
        </w:rPr>
        <w:id w:val="538641363"/>
        <w:docPartObj>
          <w:docPartGallery w:val="Table of Contents"/>
          <w:docPartUnique/>
        </w:docPartObj>
      </w:sdtPr>
      <w:sdtEndPr>
        <w:rPr>
          <w:noProof/>
        </w:rPr>
      </w:sdtEndPr>
      <w:sdtContent>
        <w:p w14:paraId="613C283C" w14:textId="77777777" w:rsidR="00604070" w:rsidRDefault="00604070" w:rsidP="00EE12DD">
          <w:pPr>
            <w:pStyle w:val="TOCHeading"/>
            <w:spacing w:line="360" w:lineRule="auto"/>
          </w:pPr>
          <w:r>
            <w:t>Contents</w:t>
          </w:r>
        </w:p>
        <w:p w14:paraId="5BE082B3" w14:textId="1F3204B0" w:rsidR="00E72B7E" w:rsidRDefault="00604070" w:rsidP="00EE12DD">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9043829" w:history="1">
            <w:r w:rsidR="00E72B7E" w:rsidRPr="00BB1D42">
              <w:rPr>
                <w:rStyle w:val="Hyperlink"/>
                <w:rFonts w:ascii="Futura Bk BT" w:hAnsi="Futura Bk BT"/>
                <w:noProof/>
              </w:rPr>
              <w:t>B</w:t>
            </w:r>
            <w:r w:rsidR="005758C6">
              <w:rPr>
                <w:rStyle w:val="Hyperlink"/>
                <w:rFonts w:ascii="Futura Bk BT" w:hAnsi="Futura Bk BT"/>
                <w:noProof/>
              </w:rPr>
              <w:t xml:space="preserve">.  </w:t>
            </w:r>
            <w:r w:rsidR="00E72B7E" w:rsidRPr="00BB1D42">
              <w:rPr>
                <w:rStyle w:val="Hyperlink"/>
                <w:rFonts w:ascii="Futura Bk BT" w:hAnsi="Futura Bk BT"/>
                <w:noProof/>
              </w:rPr>
              <w:t>COLLECTION OF INFORMATION AND EMPLOYING STATISTICAL METHODS</w:t>
            </w:r>
            <w:r w:rsidR="00E72B7E">
              <w:rPr>
                <w:noProof/>
                <w:webHidden/>
              </w:rPr>
              <w:tab/>
            </w:r>
            <w:r w:rsidR="00E72B7E">
              <w:rPr>
                <w:noProof/>
                <w:webHidden/>
              </w:rPr>
              <w:fldChar w:fldCharType="begin"/>
            </w:r>
            <w:r w:rsidR="00E72B7E">
              <w:rPr>
                <w:noProof/>
                <w:webHidden/>
              </w:rPr>
              <w:instrText xml:space="preserve"> PAGEREF _Toc389043829 \h </w:instrText>
            </w:r>
            <w:r w:rsidR="00E72B7E">
              <w:rPr>
                <w:noProof/>
                <w:webHidden/>
              </w:rPr>
            </w:r>
            <w:r w:rsidR="00E72B7E">
              <w:rPr>
                <w:noProof/>
                <w:webHidden/>
              </w:rPr>
              <w:fldChar w:fldCharType="separate"/>
            </w:r>
            <w:r w:rsidR="005758C6">
              <w:rPr>
                <w:noProof/>
                <w:webHidden/>
              </w:rPr>
              <w:t>3</w:t>
            </w:r>
            <w:r w:rsidR="00E72B7E">
              <w:rPr>
                <w:noProof/>
                <w:webHidden/>
              </w:rPr>
              <w:fldChar w:fldCharType="end"/>
            </w:r>
          </w:hyperlink>
        </w:p>
        <w:p w14:paraId="4F03055D" w14:textId="77777777" w:rsidR="00E72B7E" w:rsidRDefault="00403587" w:rsidP="00EE12DD">
          <w:pPr>
            <w:pStyle w:val="TOC2"/>
            <w:tabs>
              <w:tab w:val="right" w:leader="dot" w:pos="9350"/>
            </w:tabs>
            <w:rPr>
              <w:rFonts w:asciiTheme="minorHAnsi" w:eastAsiaTheme="minorEastAsia" w:hAnsiTheme="minorHAnsi" w:cstheme="minorBidi"/>
              <w:noProof/>
              <w:sz w:val="22"/>
              <w:szCs w:val="22"/>
            </w:rPr>
          </w:pPr>
          <w:hyperlink w:anchor="_Toc389043830" w:history="1">
            <w:r w:rsidR="00E72B7E" w:rsidRPr="00BB1D42">
              <w:rPr>
                <w:rStyle w:val="Hyperlink"/>
                <w:noProof/>
              </w:rPr>
              <w:t>B.1 Potential Respondent Universe and Sampling Methods</w:t>
            </w:r>
            <w:r w:rsidR="00E72B7E">
              <w:rPr>
                <w:noProof/>
                <w:webHidden/>
              </w:rPr>
              <w:tab/>
            </w:r>
            <w:r w:rsidR="00E72B7E">
              <w:rPr>
                <w:noProof/>
                <w:webHidden/>
              </w:rPr>
              <w:fldChar w:fldCharType="begin"/>
            </w:r>
            <w:r w:rsidR="00E72B7E">
              <w:rPr>
                <w:noProof/>
                <w:webHidden/>
              </w:rPr>
              <w:instrText xml:space="preserve"> PAGEREF _Toc389043830 \h </w:instrText>
            </w:r>
            <w:r w:rsidR="00E72B7E">
              <w:rPr>
                <w:noProof/>
                <w:webHidden/>
              </w:rPr>
            </w:r>
            <w:r w:rsidR="00E72B7E">
              <w:rPr>
                <w:noProof/>
                <w:webHidden/>
              </w:rPr>
              <w:fldChar w:fldCharType="separate"/>
            </w:r>
            <w:r w:rsidR="005758C6">
              <w:rPr>
                <w:noProof/>
                <w:webHidden/>
              </w:rPr>
              <w:t>3</w:t>
            </w:r>
            <w:r w:rsidR="00E72B7E">
              <w:rPr>
                <w:noProof/>
                <w:webHidden/>
              </w:rPr>
              <w:fldChar w:fldCharType="end"/>
            </w:r>
          </w:hyperlink>
        </w:p>
        <w:p w14:paraId="41F18FAF" w14:textId="77777777" w:rsidR="00E72B7E" w:rsidRDefault="00403587" w:rsidP="00EE12DD">
          <w:pPr>
            <w:pStyle w:val="TOC2"/>
            <w:tabs>
              <w:tab w:val="right" w:leader="dot" w:pos="9350"/>
            </w:tabs>
            <w:rPr>
              <w:rFonts w:asciiTheme="minorHAnsi" w:eastAsiaTheme="minorEastAsia" w:hAnsiTheme="minorHAnsi" w:cstheme="minorBidi"/>
              <w:noProof/>
              <w:sz w:val="22"/>
              <w:szCs w:val="22"/>
            </w:rPr>
          </w:pPr>
          <w:hyperlink w:anchor="_Toc389043831" w:history="1">
            <w:r w:rsidR="00E72B7E" w:rsidRPr="00BB1D42">
              <w:rPr>
                <w:rStyle w:val="Hyperlink"/>
                <w:noProof/>
              </w:rPr>
              <w:t>B.2 Information Collection Procedures</w:t>
            </w:r>
            <w:r w:rsidR="00E72B7E">
              <w:rPr>
                <w:noProof/>
                <w:webHidden/>
              </w:rPr>
              <w:tab/>
            </w:r>
            <w:r w:rsidR="00E72B7E">
              <w:rPr>
                <w:noProof/>
                <w:webHidden/>
              </w:rPr>
              <w:fldChar w:fldCharType="begin"/>
            </w:r>
            <w:r w:rsidR="00E72B7E">
              <w:rPr>
                <w:noProof/>
                <w:webHidden/>
              </w:rPr>
              <w:instrText xml:space="preserve"> PAGEREF _Toc389043831 \h </w:instrText>
            </w:r>
            <w:r w:rsidR="00E72B7E">
              <w:rPr>
                <w:noProof/>
                <w:webHidden/>
              </w:rPr>
            </w:r>
            <w:r w:rsidR="00E72B7E">
              <w:rPr>
                <w:noProof/>
                <w:webHidden/>
              </w:rPr>
              <w:fldChar w:fldCharType="separate"/>
            </w:r>
            <w:r w:rsidR="005758C6">
              <w:rPr>
                <w:noProof/>
                <w:webHidden/>
              </w:rPr>
              <w:t>3</w:t>
            </w:r>
            <w:r w:rsidR="00E72B7E">
              <w:rPr>
                <w:noProof/>
                <w:webHidden/>
              </w:rPr>
              <w:fldChar w:fldCharType="end"/>
            </w:r>
          </w:hyperlink>
        </w:p>
        <w:p w14:paraId="6B2210AD" w14:textId="77777777" w:rsidR="00E72B7E" w:rsidRDefault="00403587" w:rsidP="00EE12DD">
          <w:pPr>
            <w:pStyle w:val="TOC2"/>
            <w:tabs>
              <w:tab w:val="right" w:leader="dot" w:pos="9350"/>
            </w:tabs>
            <w:rPr>
              <w:rFonts w:asciiTheme="minorHAnsi" w:eastAsiaTheme="minorEastAsia" w:hAnsiTheme="minorHAnsi" w:cstheme="minorBidi"/>
              <w:noProof/>
              <w:sz w:val="22"/>
              <w:szCs w:val="22"/>
            </w:rPr>
          </w:pPr>
          <w:hyperlink w:anchor="_Toc389043832" w:history="1">
            <w:r w:rsidR="00E72B7E" w:rsidRPr="00BB1D42">
              <w:rPr>
                <w:rStyle w:val="Hyperlink"/>
                <w:noProof/>
              </w:rPr>
              <w:t>B.3 Maximizing Response Rates</w:t>
            </w:r>
            <w:r w:rsidR="00E72B7E">
              <w:rPr>
                <w:noProof/>
                <w:webHidden/>
              </w:rPr>
              <w:tab/>
            </w:r>
            <w:r w:rsidR="00E72B7E">
              <w:rPr>
                <w:noProof/>
                <w:webHidden/>
              </w:rPr>
              <w:fldChar w:fldCharType="begin"/>
            </w:r>
            <w:r w:rsidR="00E72B7E">
              <w:rPr>
                <w:noProof/>
                <w:webHidden/>
              </w:rPr>
              <w:instrText xml:space="preserve"> PAGEREF _Toc389043832 \h </w:instrText>
            </w:r>
            <w:r w:rsidR="00E72B7E">
              <w:rPr>
                <w:noProof/>
                <w:webHidden/>
              </w:rPr>
            </w:r>
            <w:r w:rsidR="00E72B7E">
              <w:rPr>
                <w:noProof/>
                <w:webHidden/>
              </w:rPr>
              <w:fldChar w:fldCharType="separate"/>
            </w:r>
            <w:r w:rsidR="005758C6">
              <w:rPr>
                <w:noProof/>
                <w:webHidden/>
              </w:rPr>
              <w:t>8</w:t>
            </w:r>
            <w:r w:rsidR="00E72B7E">
              <w:rPr>
                <w:noProof/>
                <w:webHidden/>
              </w:rPr>
              <w:fldChar w:fldCharType="end"/>
            </w:r>
          </w:hyperlink>
        </w:p>
        <w:p w14:paraId="14E6B077" w14:textId="77777777" w:rsidR="00E72B7E" w:rsidRDefault="00403587" w:rsidP="00EE12DD">
          <w:pPr>
            <w:pStyle w:val="TOC2"/>
            <w:tabs>
              <w:tab w:val="right" w:leader="dot" w:pos="9350"/>
            </w:tabs>
            <w:rPr>
              <w:rFonts w:asciiTheme="minorHAnsi" w:eastAsiaTheme="minorEastAsia" w:hAnsiTheme="minorHAnsi" w:cstheme="minorBidi"/>
              <w:noProof/>
              <w:sz w:val="22"/>
              <w:szCs w:val="22"/>
            </w:rPr>
          </w:pPr>
          <w:hyperlink w:anchor="_Toc389043833" w:history="1">
            <w:r w:rsidR="00E72B7E" w:rsidRPr="00BB1D42">
              <w:rPr>
                <w:rStyle w:val="Hyperlink"/>
                <w:noProof/>
              </w:rPr>
              <w:t xml:space="preserve">B.4 </w:t>
            </w:r>
            <w:r w:rsidR="00E72B7E" w:rsidRPr="00E72B7E">
              <w:rPr>
                <w:rStyle w:val="Hyperlink"/>
                <w:noProof/>
              </w:rPr>
              <w:t>Tests of Procedures</w:t>
            </w:r>
            <w:r w:rsidR="00E72B7E">
              <w:rPr>
                <w:noProof/>
                <w:webHidden/>
              </w:rPr>
              <w:tab/>
            </w:r>
            <w:r w:rsidR="00E72B7E">
              <w:rPr>
                <w:noProof/>
                <w:webHidden/>
              </w:rPr>
              <w:fldChar w:fldCharType="begin"/>
            </w:r>
            <w:r w:rsidR="00E72B7E">
              <w:rPr>
                <w:noProof/>
                <w:webHidden/>
              </w:rPr>
              <w:instrText xml:space="preserve"> PAGEREF _Toc389043833 \h </w:instrText>
            </w:r>
            <w:r w:rsidR="00E72B7E">
              <w:rPr>
                <w:noProof/>
                <w:webHidden/>
              </w:rPr>
            </w:r>
            <w:r w:rsidR="00E72B7E">
              <w:rPr>
                <w:noProof/>
                <w:webHidden/>
              </w:rPr>
              <w:fldChar w:fldCharType="separate"/>
            </w:r>
            <w:r w:rsidR="005758C6">
              <w:rPr>
                <w:noProof/>
                <w:webHidden/>
              </w:rPr>
              <w:t>10</w:t>
            </w:r>
            <w:r w:rsidR="00E72B7E">
              <w:rPr>
                <w:noProof/>
                <w:webHidden/>
              </w:rPr>
              <w:fldChar w:fldCharType="end"/>
            </w:r>
          </w:hyperlink>
        </w:p>
        <w:p w14:paraId="710C8332" w14:textId="77777777" w:rsidR="00E72B7E" w:rsidRDefault="00403587" w:rsidP="00EE12DD">
          <w:pPr>
            <w:pStyle w:val="TOC2"/>
            <w:tabs>
              <w:tab w:val="right" w:leader="dot" w:pos="9350"/>
            </w:tabs>
            <w:rPr>
              <w:rFonts w:asciiTheme="minorHAnsi" w:eastAsiaTheme="minorEastAsia" w:hAnsiTheme="minorHAnsi" w:cstheme="minorBidi"/>
              <w:noProof/>
              <w:sz w:val="22"/>
              <w:szCs w:val="22"/>
            </w:rPr>
          </w:pPr>
          <w:hyperlink w:anchor="_Toc389043834" w:history="1">
            <w:r w:rsidR="00E72B7E" w:rsidRPr="00BB1D42">
              <w:rPr>
                <w:rStyle w:val="Hyperlink"/>
                <w:noProof/>
              </w:rPr>
              <w:t>B.5 Names and Telephone Numbers of Individuals Consulted.</w:t>
            </w:r>
            <w:r w:rsidR="00E72B7E">
              <w:rPr>
                <w:noProof/>
                <w:webHidden/>
              </w:rPr>
              <w:tab/>
            </w:r>
            <w:r w:rsidR="00E72B7E">
              <w:rPr>
                <w:noProof/>
                <w:webHidden/>
              </w:rPr>
              <w:fldChar w:fldCharType="begin"/>
            </w:r>
            <w:r w:rsidR="00E72B7E">
              <w:rPr>
                <w:noProof/>
                <w:webHidden/>
              </w:rPr>
              <w:instrText xml:space="preserve"> PAGEREF _Toc389043834 \h </w:instrText>
            </w:r>
            <w:r w:rsidR="00E72B7E">
              <w:rPr>
                <w:noProof/>
                <w:webHidden/>
              </w:rPr>
            </w:r>
            <w:r w:rsidR="00E72B7E">
              <w:rPr>
                <w:noProof/>
                <w:webHidden/>
              </w:rPr>
              <w:fldChar w:fldCharType="separate"/>
            </w:r>
            <w:r w:rsidR="005758C6">
              <w:rPr>
                <w:noProof/>
                <w:webHidden/>
              </w:rPr>
              <w:t>10</w:t>
            </w:r>
            <w:r w:rsidR="00E72B7E">
              <w:rPr>
                <w:noProof/>
                <w:webHidden/>
              </w:rPr>
              <w:fldChar w:fldCharType="end"/>
            </w:r>
          </w:hyperlink>
        </w:p>
        <w:p w14:paraId="0811F753" w14:textId="77777777" w:rsidR="00604070" w:rsidRDefault="00604070" w:rsidP="00EE12DD">
          <w:r>
            <w:rPr>
              <w:b/>
              <w:bCs/>
              <w:noProof/>
            </w:rPr>
            <w:fldChar w:fldCharType="end"/>
          </w:r>
        </w:p>
      </w:sdtContent>
    </w:sdt>
    <w:p w14:paraId="3449DCD5" w14:textId="77777777" w:rsidR="00604070" w:rsidRDefault="00604070" w:rsidP="00EE12DD">
      <w:pPr>
        <w:rPr>
          <w:sz w:val="36"/>
          <w:szCs w:val="28"/>
        </w:rPr>
      </w:pPr>
      <w:r>
        <w:rPr>
          <w:sz w:val="36"/>
          <w:szCs w:val="28"/>
        </w:rPr>
        <w:br w:type="page"/>
      </w:r>
    </w:p>
    <w:p w14:paraId="10A99B44" w14:textId="2CD5599F" w:rsidR="00D60C05" w:rsidRPr="00336B4A" w:rsidRDefault="00D60C05" w:rsidP="00EE12DD">
      <w:pPr>
        <w:pStyle w:val="Heading1"/>
        <w:rPr>
          <w:rFonts w:ascii="Futura Bk BT" w:hAnsi="Futura Bk BT"/>
          <w:color w:val="000000" w:themeColor="text1"/>
          <w:sz w:val="24"/>
          <w:szCs w:val="24"/>
        </w:rPr>
      </w:pPr>
      <w:bookmarkStart w:id="0" w:name="_Toc389043829"/>
      <w:r w:rsidRPr="00336B4A">
        <w:rPr>
          <w:rFonts w:ascii="Futura Bk BT" w:hAnsi="Futura Bk BT"/>
          <w:color w:val="000000" w:themeColor="text1"/>
          <w:sz w:val="24"/>
          <w:szCs w:val="24"/>
        </w:rPr>
        <w:t>B</w:t>
      </w:r>
      <w:r w:rsidR="005758C6">
        <w:rPr>
          <w:rFonts w:ascii="Futura Bk BT" w:hAnsi="Futura Bk BT"/>
          <w:color w:val="000000" w:themeColor="text1"/>
          <w:sz w:val="24"/>
          <w:szCs w:val="24"/>
        </w:rPr>
        <w:t xml:space="preserve">.  </w:t>
      </w:r>
      <w:r w:rsidRPr="00336B4A">
        <w:rPr>
          <w:rFonts w:ascii="Futura Bk BT" w:hAnsi="Futura Bk BT"/>
          <w:color w:val="000000" w:themeColor="text1"/>
          <w:sz w:val="24"/>
          <w:szCs w:val="24"/>
        </w:rPr>
        <w:t>COLLECTION OF INFORMATION AND EMPLOYING STATISTICAL METHODS</w:t>
      </w:r>
      <w:bookmarkEnd w:id="0"/>
    </w:p>
    <w:p w14:paraId="66B537AB" w14:textId="270B2715" w:rsidR="007B7139" w:rsidRDefault="007B7139" w:rsidP="00EE12DD">
      <w:pPr>
        <w:pStyle w:val="BodyText"/>
        <w:spacing w:line="360" w:lineRule="auto"/>
        <w:rPr>
          <w:iCs/>
          <w:szCs w:val="22"/>
        </w:rPr>
      </w:pPr>
      <w:bookmarkStart w:id="1" w:name="_Toc389043830"/>
      <w:bookmarkStart w:id="2" w:name="_Toc389043831"/>
      <w:r>
        <w:t>This section provides supporting statements for each of the five points outlined in Part B of the OMB guidelines, in order to collect information for a social network analysis (SNA) study of select sites of AmeriCorps State and National (ACSN) grantees and other organizations in the communities they serve</w:t>
      </w:r>
      <w:r w:rsidR="005758C6">
        <w:rPr>
          <w:iCs/>
          <w:szCs w:val="22"/>
        </w:rPr>
        <w:t xml:space="preserve">.  </w:t>
      </w:r>
      <w:r>
        <w:rPr>
          <w:iCs/>
        </w:rPr>
        <w:t xml:space="preserve">As noted in Part A, the study will be carried out in five </w:t>
      </w:r>
      <w:r w:rsidR="00EE12DD">
        <w:rPr>
          <w:iCs/>
        </w:rPr>
        <w:t>communities served by AC</w:t>
      </w:r>
      <w:r>
        <w:rPr>
          <w:iCs/>
        </w:rPr>
        <w:t>S</w:t>
      </w:r>
      <w:r w:rsidR="00EE12DD">
        <w:rPr>
          <w:iCs/>
        </w:rPr>
        <w:t>N</w:t>
      </w:r>
      <w:r>
        <w:rPr>
          <w:iCs/>
        </w:rPr>
        <w:t xml:space="preserve"> grantee</w:t>
      </w:r>
      <w:r w:rsidR="00EE12DD">
        <w:rPr>
          <w:iCs/>
        </w:rPr>
        <w:t>s</w:t>
      </w:r>
      <w:r w:rsidR="005758C6">
        <w:rPr>
          <w:iCs/>
        </w:rPr>
        <w:t xml:space="preserve">.  </w:t>
      </w:r>
      <w:r>
        <w:t xml:space="preserve"> </w:t>
      </w:r>
      <w:r>
        <w:rPr>
          <w:iCs/>
          <w:szCs w:val="22"/>
        </w:rPr>
        <w:t>This submission seeks clearance for conduct</w:t>
      </w:r>
      <w:r w:rsidR="00BB7615">
        <w:rPr>
          <w:iCs/>
          <w:szCs w:val="22"/>
        </w:rPr>
        <w:t>ing</w:t>
      </w:r>
      <w:r>
        <w:rPr>
          <w:iCs/>
          <w:szCs w:val="22"/>
        </w:rPr>
        <w:t xml:space="preserve"> the Partnership and Collaboration (PAC) survey </w:t>
      </w:r>
      <w:r w:rsidR="00BB7615">
        <w:rPr>
          <w:iCs/>
          <w:szCs w:val="22"/>
        </w:rPr>
        <w:t xml:space="preserve">as part of the AmeriCorps State &amp; National Social Network Study, </w:t>
      </w:r>
      <w:r>
        <w:rPr>
          <w:iCs/>
          <w:szCs w:val="22"/>
        </w:rPr>
        <w:t>with respondents from organizations in five AmeriCorps grantee communities</w:t>
      </w:r>
      <w:r w:rsidR="005758C6">
        <w:rPr>
          <w:iCs/>
          <w:szCs w:val="22"/>
        </w:rPr>
        <w:t xml:space="preserve">.  </w:t>
      </w:r>
    </w:p>
    <w:p w14:paraId="4CF55050" w14:textId="77777777" w:rsidR="00BE215B" w:rsidRDefault="00BE215B" w:rsidP="00EE12DD">
      <w:pPr>
        <w:pStyle w:val="BodyText"/>
        <w:spacing w:line="360" w:lineRule="auto"/>
      </w:pPr>
    </w:p>
    <w:p w14:paraId="4D17D7E1" w14:textId="77777777" w:rsidR="002C0BC4" w:rsidRDefault="002C0BC4" w:rsidP="00EE12DD">
      <w:pPr>
        <w:pStyle w:val="Heading2"/>
      </w:pPr>
      <w:r w:rsidRPr="0031019C">
        <w:t>B.1 Potential Respondent Universe and Sampling Methods</w:t>
      </w:r>
      <w:bookmarkEnd w:id="1"/>
    </w:p>
    <w:p w14:paraId="11230591" w14:textId="3E88E3C7" w:rsidR="00A31EF3" w:rsidRDefault="007B7139" w:rsidP="00EE12DD">
      <w:pPr>
        <w:rPr>
          <w:sz w:val="23"/>
          <w:szCs w:val="23"/>
        </w:rPr>
      </w:pPr>
      <w:r w:rsidRPr="00457AB0">
        <w:rPr>
          <w:sz w:val="23"/>
          <w:szCs w:val="23"/>
        </w:rPr>
        <w:t xml:space="preserve">The </w:t>
      </w:r>
      <w:r>
        <w:rPr>
          <w:sz w:val="23"/>
          <w:szCs w:val="23"/>
        </w:rPr>
        <w:t>PAC survey</w:t>
      </w:r>
      <w:r w:rsidRPr="00457AB0">
        <w:rPr>
          <w:sz w:val="23"/>
          <w:szCs w:val="23"/>
        </w:rPr>
        <w:t xml:space="preserve"> aims to understand </w:t>
      </w:r>
      <w:r>
        <w:rPr>
          <w:sz w:val="23"/>
          <w:szCs w:val="23"/>
        </w:rPr>
        <w:t xml:space="preserve">the degrees of collaboration among organizations operating in the communities served by </w:t>
      </w:r>
      <w:r w:rsidRPr="00457AB0">
        <w:rPr>
          <w:sz w:val="23"/>
          <w:szCs w:val="23"/>
        </w:rPr>
        <w:t>ACSN grantee</w:t>
      </w:r>
      <w:r>
        <w:rPr>
          <w:sz w:val="23"/>
          <w:szCs w:val="23"/>
        </w:rPr>
        <w:t xml:space="preserve">s, and </w:t>
      </w:r>
      <w:r w:rsidRPr="00457AB0">
        <w:rPr>
          <w:sz w:val="23"/>
          <w:szCs w:val="23"/>
        </w:rPr>
        <w:t>that work on common goals and focus areas</w:t>
      </w:r>
      <w:r w:rsidR="005758C6">
        <w:rPr>
          <w:sz w:val="23"/>
          <w:szCs w:val="23"/>
        </w:rPr>
        <w:t xml:space="preserve">.  </w:t>
      </w:r>
      <w:r w:rsidR="00C668BB">
        <w:rPr>
          <w:sz w:val="23"/>
          <w:szCs w:val="23"/>
        </w:rPr>
        <w:t>It should be noted, the definition of community is based on geography, not population demographic</w:t>
      </w:r>
      <w:r w:rsidR="00EE12DD">
        <w:rPr>
          <w:sz w:val="23"/>
          <w:szCs w:val="23"/>
        </w:rPr>
        <w:t>s or group membership</w:t>
      </w:r>
      <w:r w:rsidR="005758C6">
        <w:rPr>
          <w:sz w:val="23"/>
          <w:szCs w:val="23"/>
        </w:rPr>
        <w:t xml:space="preserve">.  </w:t>
      </w:r>
      <w:r w:rsidR="00C668BB">
        <w:rPr>
          <w:sz w:val="23"/>
          <w:szCs w:val="23"/>
        </w:rPr>
        <w:t>The specific geographic boundary of a community was not defined, but rather allowed to be defined by the grantees</w:t>
      </w:r>
      <w:r w:rsidR="005758C6">
        <w:rPr>
          <w:sz w:val="23"/>
          <w:szCs w:val="23"/>
        </w:rPr>
        <w:t xml:space="preserve">.  </w:t>
      </w:r>
      <w:r w:rsidR="00C668BB">
        <w:rPr>
          <w:sz w:val="23"/>
          <w:szCs w:val="23"/>
        </w:rPr>
        <w:t>This was done because ACSN grantees target different levels of geographies depending on their specific circumstances, including intervention, resources, and the</w:t>
      </w:r>
      <w:r w:rsidR="00EE12DD">
        <w:rPr>
          <w:sz w:val="23"/>
          <w:szCs w:val="23"/>
        </w:rPr>
        <w:t xml:space="preserve"> area being served, among other factors</w:t>
      </w:r>
      <w:r w:rsidR="005758C6">
        <w:rPr>
          <w:sz w:val="23"/>
          <w:szCs w:val="23"/>
        </w:rPr>
        <w:t xml:space="preserve">.  </w:t>
      </w:r>
      <w:r w:rsidR="00A31EF3">
        <w:rPr>
          <w:sz w:val="23"/>
          <w:szCs w:val="23"/>
        </w:rPr>
        <w:t xml:space="preserve">Determining the respondent universe is done in two stages, first </w:t>
      </w:r>
      <w:r w:rsidR="00C668BB">
        <w:rPr>
          <w:sz w:val="23"/>
          <w:szCs w:val="23"/>
        </w:rPr>
        <w:t>being</w:t>
      </w:r>
      <w:r w:rsidR="00A31EF3">
        <w:rPr>
          <w:sz w:val="23"/>
          <w:szCs w:val="23"/>
        </w:rPr>
        <w:t xml:space="preserve"> the identification of the sites for the survey administration followed by identification of the final respondent population.</w:t>
      </w:r>
    </w:p>
    <w:p w14:paraId="1C7D53D3" w14:textId="77777777" w:rsidR="00A31EF3" w:rsidRDefault="00A31EF3" w:rsidP="00EE12DD">
      <w:pPr>
        <w:rPr>
          <w:sz w:val="23"/>
          <w:szCs w:val="23"/>
        </w:rPr>
      </w:pPr>
    </w:p>
    <w:p w14:paraId="0F059767" w14:textId="6218C0C6" w:rsidR="00A31EF3" w:rsidRDefault="00A31EF3" w:rsidP="00EE12DD">
      <w:pPr>
        <w:ind w:firstLine="720"/>
        <w:rPr>
          <w:i/>
          <w:sz w:val="23"/>
          <w:szCs w:val="23"/>
        </w:rPr>
      </w:pPr>
      <w:r>
        <w:rPr>
          <w:i/>
          <w:sz w:val="23"/>
          <w:szCs w:val="23"/>
        </w:rPr>
        <w:t>Identifying Sites for the Study</w:t>
      </w:r>
    </w:p>
    <w:p w14:paraId="431EE9B1" w14:textId="30852319" w:rsidR="001D2D72" w:rsidRDefault="00A31EF3" w:rsidP="00EE12DD">
      <w:pPr>
        <w:rPr>
          <w:sz w:val="23"/>
          <w:szCs w:val="23"/>
        </w:rPr>
      </w:pPr>
      <w:r>
        <w:rPr>
          <w:sz w:val="23"/>
          <w:szCs w:val="23"/>
        </w:rPr>
        <w:t>A list of ten candidate AmeriCorps grantee</w:t>
      </w:r>
      <w:r w:rsidR="00DD7D4D">
        <w:rPr>
          <w:sz w:val="23"/>
          <w:szCs w:val="23"/>
        </w:rPr>
        <w:t>s</w:t>
      </w:r>
      <w:r>
        <w:rPr>
          <w:sz w:val="23"/>
          <w:szCs w:val="23"/>
        </w:rPr>
        <w:t xml:space="preserve"> </w:t>
      </w:r>
      <w:r w:rsidR="00DD7D4D">
        <w:rPr>
          <w:sz w:val="23"/>
          <w:szCs w:val="23"/>
        </w:rPr>
        <w:t xml:space="preserve">was </w:t>
      </w:r>
      <w:r>
        <w:rPr>
          <w:sz w:val="23"/>
          <w:szCs w:val="23"/>
        </w:rPr>
        <w:t>identified by the CNCS Office of Research &amp; Evaluation, in conjunction with ACSN program officers</w:t>
      </w:r>
      <w:r w:rsidR="005758C6">
        <w:rPr>
          <w:sz w:val="23"/>
          <w:szCs w:val="23"/>
        </w:rPr>
        <w:t xml:space="preserve">.  </w:t>
      </w:r>
      <w:r w:rsidR="00DD7D4D">
        <w:rPr>
          <w:sz w:val="23"/>
          <w:szCs w:val="23"/>
        </w:rPr>
        <w:t>ACSN grantees typically operate in a number of sites or service locations</w:t>
      </w:r>
      <w:r w:rsidR="00EE12DD">
        <w:rPr>
          <w:sz w:val="23"/>
          <w:szCs w:val="23"/>
        </w:rPr>
        <w:t xml:space="preserve"> within a community</w:t>
      </w:r>
      <w:r w:rsidR="00DD7D4D">
        <w:rPr>
          <w:sz w:val="23"/>
          <w:szCs w:val="23"/>
        </w:rPr>
        <w:t>, and this study focuses on collaboration at the site level</w:t>
      </w:r>
      <w:r w:rsidR="005758C6">
        <w:rPr>
          <w:sz w:val="23"/>
          <w:szCs w:val="23"/>
        </w:rPr>
        <w:t xml:space="preserve">.  </w:t>
      </w:r>
      <w:r w:rsidR="00DD7D4D">
        <w:rPr>
          <w:sz w:val="23"/>
          <w:szCs w:val="23"/>
        </w:rPr>
        <w:t xml:space="preserve">The grantees were contacted to provide recommendations for their </w:t>
      </w:r>
      <w:r w:rsidR="00EE12DD">
        <w:rPr>
          <w:sz w:val="23"/>
          <w:szCs w:val="23"/>
        </w:rPr>
        <w:t>service locations</w:t>
      </w:r>
      <w:r w:rsidR="00DD7D4D">
        <w:rPr>
          <w:sz w:val="23"/>
          <w:szCs w:val="23"/>
        </w:rPr>
        <w:t xml:space="preserve"> to administer the PAC survey</w:t>
      </w:r>
      <w:r w:rsidR="005758C6">
        <w:rPr>
          <w:sz w:val="23"/>
          <w:szCs w:val="23"/>
        </w:rPr>
        <w:t xml:space="preserve">.  </w:t>
      </w:r>
      <w:r w:rsidR="00DD7D4D">
        <w:rPr>
          <w:sz w:val="23"/>
          <w:szCs w:val="23"/>
        </w:rPr>
        <w:t xml:space="preserve">Interviews were then conducted with these </w:t>
      </w:r>
      <w:r>
        <w:rPr>
          <w:sz w:val="23"/>
          <w:szCs w:val="23"/>
        </w:rPr>
        <w:t>sites, following a semi-structured interview protocol</w:t>
      </w:r>
      <w:r w:rsidR="005758C6">
        <w:rPr>
          <w:sz w:val="23"/>
          <w:szCs w:val="23"/>
        </w:rPr>
        <w:t xml:space="preserve">.  </w:t>
      </w:r>
      <w:r w:rsidR="00DD7D4D">
        <w:rPr>
          <w:sz w:val="23"/>
          <w:szCs w:val="23"/>
        </w:rPr>
        <w:t>One of the grantee sites</w:t>
      </w:r>
      <w:r w:rsidR="00DF5972">
        <w:rPr>
          <w:sz w:val="23"/>
          <w:szCs w:val="23"/>
        </w:rPr>
        <w:t xml:space="preserve"> was dropped from the list for being unresponsive</w:t>
      </w:r>
      <w:r w:rsidR="00464F7C">
        <w:rPr>
          <w:sz w:val="23"/>
          <w:szCs w:val="23"/>
        </w:rPr>
        <w:t>, leaving a list of nine candidate sites</w:t>
      </w:r>
      <w:r w:rsidR="005758C6">
        <w:rPr>
          <w:sz w:val="23"/>
          <w:szCs w:val="23"/>
        </w:rPr>
        <w:t xml:space="preserve">.  </w:t>
      </w:r>
      <w:r w:rsidR="001D2D72">
        <w:rPr>
          <w:sz w:val="23"/>
          <w:szCs w:val="23"/>
        </w:rPr>
        <w:t xml:space="preserve">In general, interviews </w:t>
      </w:r>
      <w:r w:rsidR="00BE215B">
        <w:rPr>
          <w:sz w:val="23"/>
          <w:szCs w:val="23"/>
        </w:rPr>
        <w:t xml:space="preserve">with sites </w:t>
      </w:r>
      <w:r w:rsidR="001D2D72">
        <w:rPr>
          <w:sz w:val="23"/>
          <w:szCs w:val="23"/>
        </w:rPr>
        <w:t>asked about:</w:t>
      </w:r>
    </w:p>
    <w:p w14:paraId="12014069" w14:textId="5BD260A7" w:rsidR="00A31EF3" w:rsidRDefault="00DF5972" w:rsidP="00EE12DD">
      <w:pPr>
        <w:pStyle w:val="ListParagraph"/>
        <w:numPr>
          <w:ilvl w:val="0"/>
          <w:numId w:val="10"/>
        </w:numPr>
        <w:rPr>
          <w:sz w:val="23"/>
          <w:szCs w:val="23"/>
        </w:rPr>
      </w:pPr>
      <w:r>
        <w:rPr>
          <w:sz w:val="23"/>
          <w:szCs w:val="23"/>
        </w:rPr>
        <w:t>T</w:t>
      </w:r>
      <w:r w:rsidR="001D2D72" w:rsidRPr="001D2D72">
        <w:rPr>
          <w:sz w:val="23"/>
          <w:szCs w:val="23"/>
        </w:rPr>
        <w:t>he number of organizations working on the grantee’s issue area and serving the</w:t>
      </w:r>
      <w:r w:rsidR="001D2D72">
        <w:rPr>
          <w:sz w:val="23"/>
          <w:szCs w:val="23"/>
        </w:rPr>
        <w:t xml:space="preserve"> same geographic community</w:t>
      </w:r>
      <w:r w:rsidR="00CA650B">
        <w:rPr>
          <w:sz w:val="23"/>
          <w:szCs w:val="23"/>
        </w:rPr>
        <w:t>.</w:t>
      </w:r>
    </w:p>
    <w:p w14:paraId="68248A69" w14:textId="24F00D33" w:rsidR="001D2D72" w:rsidRDefault="00DF5972" w:rsidP="00EE12DD">
      <w:pPr>
        <w:pStyle w:val="ListParagraph"/>
        <w:numPr>
          <w:ilvl w:val="0"/>
          <w:numId w:val="10"/>
        </w:numPr>
        <w:rPr>
          <w:sz w:val="23"/>
          <w:szCs w:val="23"/>
        </w:rPr>
      </w:pPr>
      <w:r>
        <w:rPr>
          <w:sz w:val="23"/>
          <w:szCs w:val="23"/>
        </w:rPr>
        <w:t>T</w:t>
      </w:r>
      <w:r w:rsidR="001D2D72">
        <w:rPr>
          <w:sz w:val="23"/>
          <w:szCs w:val="23"/>
        </w:rPr>
        <w:t>he grantees’ perceptions of the amount of collaboration among the identified organizations</w:t>
      </w:r>
      <w:r w:rsidR="00CA650B">
        <w:rPr>
          <w:sz w:val="23"/>
          <w:szCs w:val="23"/>
        </w:rPr>
        <w:t>.</w:t>
      </w:r>
    </w:p>
    <w:p w14:paraId="3A3D7A31" w14:textId="65601057" w:rsidR="001D2D72" w:rsidRDefault="00DF5972" w:rsidP="00EE12DD">
      <w:pPr>
        <w:pStyle w:val="ListParagraph"/>
        <w:numPr>
          <w:ilvl w:val="0"/>
          <w:numId w:val="10"/>
        </w:numPr>
        <w:rPr>
          <w:sz w:val="23"/>
          <w:szCs w:val="23"/>
        </w:rPr>
      </w:pPr>
      <w:r>
        <w:rPr>
          <w:sz w:val="23"/>
          <w:szCs w:val="23"/>
        </w:rPr>
        <w:t>T</w:t>
      </w:r>
      <w:r w:rsidR="001D2D72">
        <w:rPr>
          <w:sz w:val="23"/>
          <w:szCs w:val="23"/>
        </w:rPr>
        <w:t>he grantees’ perceptions of their own role in the network of organizations</w:t>
      </w:r>
      <w:r w:rsidR="00CA650B">
        <w:rPr>
          <w:sz w:val="23"/>
          <w:szCs w:val="23"/>
        </w:rPr>
        <w:t>.</w:t>
      </w:r>
    </w:p>
    <w:p w14:paraId="02F8BAFA" w14:textId="64D0FD4E" w:rsidR="001D2D72" w:rsidRDefault="001D2D72" w:rsidP="00EE12DD">
      <w:pPr>
        <w:rPr>
          <w:sz w:val="23"/>
          <w:szCs w:val="23"/>
        </w:rPr>
      </w:pPr>
      <w:r>
        <w:rPr>
          <w:sz w:val="23"/>
          <w:szCs w:val="23"/>
        </w:rPr>
        <w:t>After completing the interviews, the results were analyzed together with administrative data and public records (</w:t>
      </w:r>
      <w:r w:rsidR="000B047E">
        <w:rPr>
          <w:sz w:val="23"/>
          <w:szCs w:val="23"/>
        </w:rPr>
        <w:t xml:space="preserve">US </w:t>
      </w:r>
      <w:r>
        <w:rPr>
          <w:sz w:val="23"/>
          <w:szCs w:val="23"/>
        </w:rPr>
        <w:t xml:space="preserve">Census, IRS 990 filings for non-profits, etc.) to select the final five grantee sites </w:t>
      </w:r>
      <w:r w:rsidR="00EE12DD">
        <w:rPr>
          <w:sz w:val="23"/>
          <w:szCs w:val="23"/>
        </w:rPr>
        <w:t xml:space="preserve">in which </w:t>
      </w:r>
      <w:r>
        <w:rPr>
          <w:sz w:val="23"/>
          <w:szCs w:val="23"/>
        </w:rPr>
        <w:t>to administer the PAC survey and subsequently conduct the social network analysis</w:t>
      </w:r>
      <w:r w:rsidR="005758C6">
        <w:rPr>
          <w:sz w:val="23"/>
          <w:szCs w:val="23"/>
        </w:rPr>
        <w:t xml:space="preserve">.  </w:t>
      </w:r>
      <w:r w:rsidR="00C668BB">
        <w:rPr>
          <w:sz w:val="23"/>
          <w:szCs w:val="23"/>
        </w:rPr>
        <w:t>Criteria for site selection included:</w:t>
      </w:r>
    </w:p>
    <w:p w14:paraId="1D67CEB1" w14:textId="4F420109" w:rsidR="002B0A80" w:rsidRDefault="00DF5972" w:rsidP="00EE12DD">
      <w:pPr>
        <w:pStyle w:val="ListParagraph"/>
        <w:numPr>
          <w:ilvl w:val="0"/>
          <w:numId w:val="11"/>
        </w:numPr>
        <w:autoSpaceDE w:val="0"/>
        <w:autoSpaceDN w:val="0"/>
      </w:pPr>
      <w:r>
        <w:t>The grantee explicitly uses collaboration with other organizations in the local community as a strategy to meet its objectives</w:t>
      </w:r>
      <w:r w:rsidR="005758C6">
        <w:t xml:space="preserve">.  </w:t>
      </w:r>
    </w:p>
    <w:p w14:paraId="3271268E" w14:textId="1B7510AA" w:rsidR="002B0A80" w:rsidRDefault="00DF5972" w:rsidP="00EE12DD">
      <w:pPr>
        <w:pStyle w:val="ListParagraph"/>
        <w:numPr>
          <w:ilvl w:val="0"/>
          <w:numId w:val="11"/>
        </w:numPr>
        <w:autoSpaceDE w:val="0"/>
        <w:autoSpaceDN w:val="0"/>
      </w:pPr>
      <w:r>
        <w:t>The network within which the grantee operates is expected to be bounded, mea</w:t>
      </w:r>
      <w:r w:rsidR="003834EE">
        <w:t xml:space="preserve">ning there are a set number of </w:t>
      </w:r>
      <w:r>
        <w:t>network actors.</w:t>
      </w:r>
    </w:p>
    <w:p w14:paraId="39E0EFA7" w14:textId="3C9FBF8B" w:rsidR="002B0A80" w:rsidRDefault="00DF5972" w:rsidP="00EE12DD">
      <w:pPr>
        <w:pStyle w:val="ListParagraph"/>
        <w:numPr>
          <w:ilvl w:val="0"/>
          <w:numId w:val="11"/>
        </w:numPr>
        <w:autoSpaceDE w:val="0"/>
        <w:autoSpaceDN w:val="0"/>
      </w:pPr>
      <w:r>
        <w:t xml:space="preserve">The grantee identifies at least </w:t>
      </w:r>
      <w:r w:rsidR="002B0A80">
        <w:t>2</w:t>
      </w:r>
      <w:r>
        <w:t xml:space="preserve"> and no more than 50 core partners.</w:t>
      </w:r>
    </w:p>
    <w:p w14:paraId="055699E3" w14:textId="3DC8E5F3" w:rsidR="002B0A80" w:rsidRDefault="00DF5972" w:rsidP="00EE12DD">
      <w:pPr>
        <w:pStyle w:val="ListParagraph"/>
        <w:numPr>
          <w:ilvl w:val="0"/>
          <w:numId w:val="11"/>
        </w:numPr>
        <w:autoSpaceDE w:val="0"/>
        <w:autoSpaceDN w:val="0"/>
      </w:pPr>
      <w:r>
        <w:t xml:space="preserve">The selected grantees as a group represent different </w:t>
      </w:r>
      <w:r w:rsidR="002B0A80">
        <w:t>geographical areas</w:t>
      </w:r>
      <w:r>
        <w:t>, including rural/urban, and region</w:t>
      </w:r>
      <w:r w:rsidR="005758C6">
        <w:t xml:space="preserve">.  </w:t>
      </w:r>
    </w:p>
    <w:p w14:paraId="267C0090" w14:textId="7B040FC2" w:rsidR="00DF5972" w:rsidRDefault="00DF5972" w:rsidP="00EE12DD">
      <w:pPr>
        <w:pStyle w:val="ListParagraph"/>
        <w:numPr>
          <w:ilvl w:val="0"/>
          <w:numId w:val="11"/>
        </w:numPr>
        <w:autoSpaceDE w:val="0"/>
        <w:autoSpaceDN w:val="0"/>
      </w:pPr>
      <w:r>
        <w:t>The selected grantees as a group work in at least three service focus areas</w:t>
      </w:r>
      <w:r w:rsidR="005758C6">
        <w:t xml:space="preserve">.  </w:t>
      </w:r>
    </w:p>
    <w:p w14:paraId="5700B414" w14:textId="6C8F46EE" w:rsidR="002B0A80" w:rsidRDefault="002B0A80" w:rsidP="00EE12DD">
      <w:pPr>
        <w:autoSpaceDE w:val="0"/>
        <w:autoSpaceDN w:val="0"/>
      </w:pPr>
    </w:p>
    <w:p w14:paraId="315FD22B" w14:textId="7B675819" w:rsidR="00DF5972" w:rsidRDefault="00DF5972" w:rsidP="00EE12DD">
      <w:pPr>
        <w:autoSpaceDE w:val="0"/>
        <w:autoSpaceDN w:val="0"/>
      </w:pPr>
      <w:r>
        <w:t>Exhibit 1</w:t>
      </w:r>
      <w:r w:rsidR="00464F7C">
        <w:t xml:space="preserve"> shows the list of nine grantee sites</w:t>
      </w:r>
      <w:r>
        <w:t>, how they rated against the criteria, and the final inclusion</w:t>
      </w:r>
      <w:r w:rsidR="005758C6">
        <w:t xml:space="preserve">.  </w:t>
      </w:r>
    </w:p>
    <w:p w14:paraId="5AD7FAA5" w14:textId="41EE7C5C" w:rsidR="00464F7C" w:rsidRPr="00785FE2" w:rsidRDefault="00785FE2" w:rsidP="00EE12DD">
      <w:pPr>
        <w:autoSpaceDE w:val="0"/>
        <w:autoSpaceDN w:val="0"/>
        <w:rPr>
          <w:b/>
        </w:rPr>
      </w:pPr>
      <w:r>
        <w:rPr>
          <w:b/>
        </w:rPr>
        <w:t>Exhibit 1</w:t>
      </w:r>
      <w:r w:rsidR="005758C6">
        <w:rPr>
          <w:b/>
        </w:rPr>
        <w:t xml:space="preserve">.  </w:t>
      </w:r>
      <w:r>
        <w:rPr>
          <w:b/>
        </w:rPr>
        <w:t>Candidate Sites for Administering the Partnership and Collaboration Survey</w:t>
      </w:r>
    </w:p>
    <w:tbl>
      <w:tblPr>
        <w:tblW w:w="110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00"/>
        <w:gridCol w:w="1427"/>
        <w:gridCol w:w="1093"/>
        <w:gridCol w:w="1273"/>
        <w:gridCol w:w="900"/>
        <w:gridCol w:w="1337"/>
        <w:gridCol w:w="1620"/>
      </w:tblGrid>
      <w:tr w:rsidR="00DA00CA" w:rsidRPr="003A63D6" w14:paraId="7EA21DB7" w14:textId="77777777" w:rsidTr="00DA00CA">
        <w:tc>
          <w:tcPr>
            <w:tcW w:w="1620" w:type="dxa"/>
            <w:shd w:val="clear" w:color="auto" w:fill="auto"/>
            <w:noWrap/>
            <w:vAlign w:val="center"/>
            <w:hideMark/>
          </w:tcPr>
          <w:p w14:paraId="014D1F7E" w14:textId="2731F24D" w:rsidR="00DA00CA" w:rsidRPr="003A63D6" w:rsidRDefault="00DA00CA" w:rsidP="00EE12DD">
            <w:pPr>
              <w:spacing w:after="0"/>
              <w:jc w:val="center"/>
              <w:rPr>
                <w:rFonts w:eastAsia="Times New Roman"/>
                <w:b/>
                <w:bCs/>
                <w:color w:val="000000"/>
                <w:sz w:val="20"/>
                <w:szCs w:val="20"/>
              </w:rPr>
            </w:pPr>
            <w:r w:rsidRPr="003A63D6">
              <w:rPr>
                <w:rFonts w:eastAsia="Times New Roman"/>
                <w:b/>
                <w:bCs/>
                <w:color w:val="000000"/>
                <w:sz w:val="20"/>
                <w:szCs w:val="20"/>
              </w:rPr>
              <w:t>Grantee</w:t>
            </w:r>
          </w:p>
        </w:tc>
        <w:tc>
          <w:tcPr>
            <w:tcW w:w="1800" w:type="dxa"/>
            <w:shd w:val="clear" w:color="auto" w:fill="auto"/>
            <w:noWrap/>
            <w:vAlign w:val="center"/>
            <w:hideMark/>
          </w:tcPr>
          <w:p w14:paraId="06BDC525" w14:textId="74CF5058" w:rsidR="00DA00CA" w:rsidRPr="003A63D6" w:rsidRDefault="00DA00CA" w:rsidP="00EE12DD">
            <w:pPr>
              <w:spacing w:after="0"/>
              <w:jc w:val="center"/>
              <w:rPr>
                <w:rFonts w:eastAsia="Times New Roman"/>
                <w:b/>
                <w:bCs/>
                <w:color w:val="000000"/>
                <w:sz w:val="20"/>
                <w:szCs w:val="20"/>
              </w:rPr>
            </w:pPr>
            <w:r>
              <w:rPr>
                <w:rFonts w:eastAsia="Times New Roman"/>
                <w:b/>
                <w:bCs/>
                <w:color w:val="000000"/>
                <w:sz w:val="20"/>
                <w:szCs w:val="20"/>
              </w:rPr>
              <w:t>Site</w:t>
            </w:r>
          </w:p>
        </w:tc>
        <w:tc>
          <w:tcPr>
            <w:tcW w:w="1427" w:type="dxa"/>
            <w:shd w:val="clear" w:color="auto" w:fill="auto"/>
            <w:noWrap/>
            <w:hideMark/>
          </w:tcPr>
          <w:p w14:paraId="3940E1E7" w14:textId="6105454C" w:rsidR="00DA00CA" w:rsidRPr="003A63D6" w:rsidRDefault="00DA00CA" w:rsidP="00EE12DD">
            <w:pPr>
              <w:spacing w:after="0"/>
              <w:rPr>
                <w:rFonts w:eastAsia="Times New Roman"/>
                <w:b/>
                <w:bCs/>
                <w:color w:val="000000"/>
                <w:sz w:val="20"/>
                <w:szCs w:val="20"/>
              </w:rPr>
            </w:pPr>
            <w:r w:rsidRPr="003A63D6">
              <w:rPr>
                <w:rFonts w:eastAsia="Times New Roman"/>
                <w:b/>
                <w:bCs/>
                <w:color w:val="000000"/>
                <w:sz w:val="20"/>
                <w:szCs w:val="20"/>
              </w:rPr>
              <w:t>Use</w:t>
            </w:r>
            <w:r>
              <w:rPr>
                <w:rFonts w:eastAsia="Times New Roman"/>
                <w:b/>
                <w:bCs/>
                <w:color w:val="000000"/>
                <w:sz w:val="20"/>
                <w:szCs w:val="20"/>
              </w:rPr>
              <w:t xml:space="preserve">s </w:t>
            </w:r>
            <w:r w:rsidRPr="003A63D6">
              <w:rPr>
                <w:rFonts w:eastAsia="Times New Roman"/>
                <w:b/>
                <w:bCs/>
                <w:color w:val="000000"/>
                <w:sz w:val="20"/>
                <w:szCs w:val="20"/>
              </w:rPr>
              <w:t>collaboration</w:t>
            </w:r>
          </w:p>
        </w:tc>
        <w:tc>
          <w:tcPr>
            <w:tcW w:w="1093" w:type="dxa"/>
            <w:shd w:val="clear" w:color="auto" w:fill="auto"/>
            <w:noWrap/>
            <w:hideMark/>
          </w:tcPr>
          <w:p w14:paraId="09272883" w14:textId="77777777" w:rsidR="00DA00CA" w:rsidRPr="003A63D6" w:rsidRDefault="00DA00CA" w:rsidP="00EE12DD">
            <w:pPr>
              <w:spacing w:after="0"/>
              <w:rPr>
                <w:rFonts w:eastAsia="Times New Roman"/>
                <w:b/>
                <w:bCs/>
                <w:color w:val="000000"/>
                <w:sz w:val="20"/>
                <w:szCs w:val="20"/>
              </w:rPr>
            </w:pPr>
            <w:r w:rsidRPr="003A63D6">
              <w:rPr>
                <w:rFonts w:eastAsia="Times New Roman"/>
                <w:b/>
                <w:bCs/>
                <w:color w:val="000000"/>
                <w:sz w:val="20"/>
                <w:szCs w:val="20"/>
              </w:rPr>
              <w:t>Bounded network</w:t>
            </w:r>
          </w:p>
        </w:tc>
        <w:tc>
          <w:tcPr>
            <w:tcW w:w="1273" w:type="dxa"/>
            <w:shd w:val="clear" w:color="auto" w:fill="auto"/>
            <w:noWrap/>
            <w:hideMark/>
          </w:tcPr>
          <w:p w14:paraId="3E49CD42" w14:textId="77777777" w:rsidR="00DA00CA" w:rsidRPr="003A63D6" w:rsidRDefault="00DA00CA" w:rsidP="00EE12DD">
            <w:pPr>
              <w:spacing w:after="0"/>
              <w:rPr>
                <w:rFonts w:eastAsia="Times New Roman"/>
                <w:b/>
                <w:bCs/>
                <w:color w:val="000000"/>
                <w:sz w:val="20"/>
                <w:szCs w:val="20"/>
              </w:rPr>
            </w:pPr>
            <w:r w:rsidRPr="003A63D6">
              <w:rPr>
                <w:rFonts w:eastAsia="Times New Roman"/>
                <w:b/>
                <w:bCs/>
                <w:color w:val="000000"/>
                <w:sz w:val="20"/>
                <w:szCs w:val="20"/>
              </w:rPr>
              <w:t>More than 2, less than 50 partners</w:t>
            </w:r>
          </w:p>
        </w:tc>
        <w:tc>
          <w:tcPr>
            <w:tcW w:w="900" w:type="dxa"/>
            <w:shd w:val="clear" w:color="auto" w:fill="auto"/>
            <w:noWrap/>
            <w:hideMark/>
          </w:tcPr>
          <w:p w14:paraId="30542223" w14:textId="77777777" w:rsidR="00DA00CA" w:rsidRPr="003A63D6" w:rsidRDefault="00DA00CA" w:rsidP="00EE12DD">
            <w:pPr>
              <w:spacing w:after="0"/>
              <w:rPr>
                <w:rFonts w:eastAsia="Times New Roman"/>
                <w:b/>
                <w:bCs/>
                <w:color w:val="000000"/>
                <w:sz w:val="20"/>
                <w:szCs w:val="20"/>
              </w:rPr>
            </w:pPr>
            <w:r w:rsidRPr="003A63D6">
              <w:rPr>
                <w:rFonts w:eastAsia="Times New Roman"/>
                <w:b/>
                <w:bCs/>
                <w:color w:val="000000"/>
                <w:sz w:val="20"/>
                <w:szCs w:val="20"/>
              </w:rPr>
              <w:t>Urban/Rural</w:t>
            </w:r>
          </w:p>
        </w:tc>
        <w:tc>
          <w:tcPr>
            <w:tcW w:w="1337" w:type="dxa"/>
            <w:shd w:val="clear" w:color="auto" w:fill="auto"/>
            <w:noWrap/>
            <w:hideMark/>
          </w:tcPr>
          <w:p w14:paraId="26AE654B" w14:textId="57349BB5" w:rsidR="00DA00CA" w:rsidRPr="003A63D6" w:rsidRDefault="00DA00CA" w:rsidP="00EE12DD">
            <w:pPr>
              <w:spacing w:after="0"/>
              <w:rPr>
                <w:rFonts w:eastAsia="Times New Roman"/>
                <w:b/>
                <w:bCs/>
                <w:color w:val="000000"/>
                <w:sz w:val="20"/>
                <w:szCs w:val="20"/>
              </w:rPr>
            </w:pPr>
            <w:r>
              <w:rPr>
                <w:rFonts w:eastAsia="Times New Roman"/>
                <w:b/>
                <w:bCs/>
                <w:color w:val="000000"/>
                <w:sz w:val="20"/>
                <w:szCs w:val="20"/>
              </w:rPr>
              <w:t>Census Division</w:t>
            </w:r>
          </w:p>
        </w:tc>
        <w:tc>
          <w:tcPr>
            <w:tcW w:w="1620" w:type="dxa"/>
            <w:shd w:val="clear" w:color="auto" w:fill="auto"/>
            <w:noWrap/>
            <w:vAlign w:val="center"/>
            <w:hideMark/>
          </w:tcPr>
          <w:p w14:paraId="0B70BA27" w14:textId="77777777" w:rsidR="00DA00CA" w:rsidRPr="00DA00CA" w:rsidRDefault="00DA00CA" w:rsidP="00EE12DD">
            <w:pPr>
              <w:spacing w:after="0"/>
              <w:jc w:val="center"/>
              <w:rPr>
                <w:rFonts w:eastAsia="Times New Roman"/>
                <w:b/>
                <w:bCs/>
                <w:color w:val="000000"/>
                <w:sz w:val="20"/>
                <w:szCs w:val="20"/>
              </w:rPr>
            </w:pPr>
            <w:r w:rsidRPr="00DA00CA">
              <w:rPr>
                <w:rFonts w:eastAsia="Times New Roman"/>
                <w:b/>
                <w:bCs/>
                <w:color w:val="000000"/>
                <w:sz w:val="20"/>
                <w:szCs w:val="20"/>
              </w:rPr>
              <w:t>Focus area</w:t>
            </w:r>
          </w:p>
        </w:tc>
      </w:tr>
      <w:tr w:rsidR="00DA00CA" w:rsidRPr="003A63D6" w14:paraId="1604B5E5" w14:textId="77777777" w:rsidTr="002169D0">
        <w:tc>
          <w:tcPr>
            <w:tcW w:w="11070" w:type="dxa"/>
            <w:gridSpan w:val="8"/>
            <w:shd w:val="clear" w:color="auto" w:fill="auto"/>
            <w:noWrap/>
            <w:vAlign w:val="bottom"/>
          </w:tcPr>
          <w:p w14:paraId="2A082874" w14:textId="6AF190C7" w:rsidR="00DA00CA" w:rsidRPr="003A63D6" w:rsidRDefault="00DA00CA" w:rsidP="00EE12DD">
            <w:pPr>
              <w:spacing w:after="0"/>
              <w:rPr>
                <w:rFonts w:eastAsia="Times New Roman"/>
                <w:sz w:val="20"/>
                <w:szCs w:val="20"/>
              </w:rPr>
            </w:pPr>
            <w:r>
              <w:rPr>
                <w:rFonts w:eastAsia="Times New Roman"/>
                <w:b/>
                <w:sz w:val="20"/>
                <w:szCs w:val="20"/>
              </w:rPr>
              <w:t>Sites Selected</w:t>
            </w:r>
          </w:p>
        </w:tc>
      </w:tr>
      <w:tr w:rsidR="00DA00CA" w:rsidRPr="003A63D6" w14:paraId="7F19A184" w14:textId="77777777" w:rsidTr="00DA00CA">
        <w:tc>
          <w:tcPr>
            <w:tcW w:w="1620" w:type="dxa"/>
            <w:shd w:val="clear" w:color="auto" w:fill="auto"/>
            <w:noWrap/>
            <w:vAlign w:val="bottom"/>
            <w:hideMark/>
          </w:tcPr>
          <w:p w14:paraId="38620E64" w14:textId="54524A52" w:rsidR="00DA00CA" w:rsidRPr="003A63D6" w:rsidRDefault="00DA00CA" w:rsidP="00EE12DD">
            <w:pPr>
              <w:spacing w:after="0"/>
              <w:rPr>
                <w:rFonts w:eastAsia="Times New Roman"/>
                <w:sz w:val="20"/>
                <w:szCs w:val="20"/>
              </w:rPr>
            </w:pPr>
            <w:r w:rsidRPr="003A63D6">
              <w:rPr>
                <w:rFonts w:eastAsia="Times New Roman"/>
                <w:sz w:val="20"/>
                <w:szCs w:val="20"/>
              </w:rPr>
              <w:t>National Association of Community Health Centers</w:t>
            </w:r>
          </w:p>
        </w:tc>
        <w:tc>
          <w:tcPr>
            <w:tcW w:w="1800" w:type="dxa"/>
            <w:shd w:val="clear" w:color="auto" w:fill="auto"/>
            <w:noWrap/>
            <w:vAlign w:val="bottom"/>
            <w:hideMark/>
          </w:tcPr>
          <w:p w14:paraId="24CEE7E6" w14:textId="7CF70180" w:rsidR="00DA00CA" w:rsidRPr="003A63D6" w:rsidRDefault="00DA00CA" w:rsidP="00EE12DD">
            <w:pPr>
              <w:spacing w:after="0"/>
              <w:rPr>
                <w:rFonts w:eastAsia="Times New Roman"/>
                <w:sz w:val="20"/>
                <w:szCs w:val="20"/>
              </w:rPr>
            </w:pPr>
            <w:r w:rsidRPr="003A63D6">
              <w:rPr>
                <w:rFonts w:eastAsia="Times New Roman"/>
                <w:sz w:val="20"/>
                <w:szCs w:val="20"/>
              </w:rPr>
              <w:t>Heart of Texas Community Health Center</w:t>
            </w:r>
            <w:r>
              <w:rPr>
                <w:rFonts w:eastAsia="Times New Roman"/>
                <w:sz w:val="20"/>
                <w:szCs w:val="20"/>
              </w:rPr>
              <w:t>,</w:t>
            </w:r>
            <w:r w:rsidRPr="003A63D6">
              <w:rPr>
                <w:rFonts w:eastAsia="Times New Roman"/>
                <w:sz w:val="20"/>
                <w:szCs w:val="20"/>
              </w:rPr>
              <w:t xml:space="preserve"> Waco, TX</w:t>
            </w:r>
          </w:p>
        </w:tc>
        <w:tc>
          <w:tcPr>
            <w:tcW w:w="1427" w:type="dxa"/>
            <w:shd w:val="clear" w:color="auto" w:fill="auto"/>
            <w:noWrap/>
            <w:hideMark/>
          </w:tcPr>
          <w:p w14:paraId="30A326AA" w14:textId="62C6E883"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093" w:type="dxa"/>
            <w:shd w:val="clear" w:color="auto" w:fill="auto"/>
            <w:noWrap/>
            <w:hideMark/>
          </w:tcPr>
          <w:p w14:paraId="7E0F25DD" w14:textId="4D0FEB3D"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273" w:type="dxa"/>
            <w:shd w:val="clear" w:color="auto" w:fill="auto"/>
            <w:noWrap/>
            <w:hideMark/>
          </w:tcPr>
          <w:p w14:paraId="262C94E2" w14:textId="2168384A"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900" w:type="dxa"/>
            <w:shd w:val="clear" w:color="auto" w:fill="auto"/>
            <w:noWrap/>
            <w:hideMark/>
          </w:tcPr>
          <w:p w14:paraId="175876D9" w14:textId="77777777" w:rsidR="00DA00CA" w:rsidRPr="003A63D6" w:rsidRDefault="00DA00CA" w:rsidP="00EE12DD">
            <w:pPr>
              <w:spacing w:after="0"/>
              <w:rPr>
                <w:rFonts w:eastAsia="Times New Roman"/>
                <w:sz w:val="20"/>
                <w:szCs w:val="20"/>
              </w:rPr>
            </w:pPr>
            <w:r w:rsidRPr="003A63D6">
              <w:rPr>
                <w:rFonts w:eastAsia="Times New Roman"/>
                <w:sz w:val="20"/>
                <w:szCs w:val="20"/>
              </w:rPr>
              <w:t>Rural</w:t>
            </w:r>
          </w:p>
        </w:tc>
        <w:tc>
          <w:tcPr>
            <w:tcW w:w="1337" w:type="dxa"/>
            <w:shd w:val="clear" w:color="auto" w:fill="auto"/>
            <w:noWrap/>
            <w:hideMark/>
          </w:tcPr>
          <w:p w14:paraId="37D42705" w14:textId="699CCD70" w:rsidR="00DA00CA" w:rsidRPr="003A63D6" w:rsidRDefault="00DA00CA" w:rsidP="00EE12DD">
            <w:pPr>
              <w:spacing w:after="0"/>
              <w:rPr>
                <w:rFonts w:eastAsia="Times New Roman"/>
                <w:sz w:val="20"/>
                <w:szCs w:val="20"/>
              </w:rPr>
            </w:pPr>
            <w:r w:rsidRPr="003A63D6">
              <w:rPr>
                <w:rFonts w:eastAsia="Times New Roman"/>
                <w:sz w:val="20"/>
                <w:szCs w:val="20"/>
              </w:rPr>
              <w:t> </w:t>
            </w:r>
            <w:r>
              <w:rPr>
                <w:rFonts w:eastAsia="Times New Roman"/>
                <w:sz w:val="20"/>
                <w:szCs w:val="20"/>
              </w:rPr>
              <w:t>West South Central</w:t>
            </w:r>
          </w:p>
        </w:tc>
        <w:tc>
          <w:tcPr>
            <w:tcW w:w="1620" w:type="dxa"/>
            <w:shd w:val="clear" w:color="auto" w:fill="auto"/>
            <w:noWrap/>
            <w:vAlign w:val="bottom"/>
            <w:hideMark/>
          </w:tcPr>
          <w:p w14:paraId="60E9A988" w14:textId="77777777" w:rsidR="00DA00CA" w:rsidRPr="003A63D6" w:rsidRDefault="00DA00CA" w:rsidP="00EE12DD">
            <w:pPr>
              <w:spacing w:after="0"/>
              <w:rPr>
                <w:rFonts w:eastAsia="Times New Roman"/>
                <w:sz w:val="20"/>
                <w:szCs w:val="20"/>
              </w:rPr>
            </w:pPr>
            <w:r w:rsidRPr="003A63D6">
              <w:rPr>
                <w:rFonts w:eastAsia="Times New Roman"/>
                <w:sz w:val="20"/>
                <w:szCs w:val="20"/>
              </w:rPr>
              <w:t>Healthy Futures</w:t>
            </w:r>
          </w:p>
        </w:tc>
      </w:tr>
      <w:tr w:rsidR="00DA00CA" w:rsidRPr="003A63D6" w14:paraId="326FA094" w14:textId="77777777" w:rsidTr="00DA00CA">
        <w:tc>
          <w:tcPr>
            <w:tcW w:w="1620" w:type="dxa"/>
            <w:shd w:val="clear" w:color="auto" w:fill="auto"/>
            <w:noWrap/>
            <w:vAlign w:val="bottom"/>
            <w:hideMark/>
          </w:tcPr>
          <w:p w14:paraId="28EFE98E" w14:textId="77777777" w:rsidR="00DA00CA" w:rsidRPr="003A63D6" w:rsidRDefault="00DA00CA" w:rsidP="00EE12DD">
            <w:pPr>
              <w:spacing w:after="0"/>
              <w:rPr>
                <w:rFonts w:eastAsia="Times New Roman"/>
                <w:sz w:val="20"/>
                <w:szCs w:val="20"/>
              </w:rPr>
            </w:pPr>
            <w:r w:rsidRPr="003A63D6">
              <w:rPr>
                <w:rFonts w:eastAsia="Times New Roman"/>
                <w:sz w:val="20"/>
                <w:szCs w:val="20"/>
              </w:rPr>
              <w:t>Reading Partners</w:t>
            </w:r>
          </w:p>
        </w:tc>
        <w:tc>
          <w:tcPr>
            <w:tcW w:w="1800" w:type="dxa"/>
            <w:shd w:val="clear" w:color="auto" w:fill="auto"/>
            <w:noWrap/>
            <w:vAlign w:val="bottom"/>
            <w:hideMark/>
          </w:tcPr>
          <w:p w14:paraId="16DFC827" w14:textId="35CA1BAA" w:rsidR="00DA00CA" w:rsidRPr="003A63D6" w:rsidRDefault="00DA00CA" w:rsidP="00EE12DD">
            <w:pPr>
              <w:spacing w:after="0"/>
              <w:rPr>
                <w:rFonts w:eastAsia="Times New Roman"/>
                <w:sz w:val="20"/>
                <w:szCs w:val="20"/>
              </w:rPr>
            </w:pPr>
            <w:r w:rsidRPr="003A63D6">
              <w:rPr>
                <w:rFonts w:eastAsia="Times New Roman"/>
                <w:sz w:val="20"/>
                <w:szCs w:val="20"/>
              </w:rPr>
              <w:t>Tulsa Public Schools</w:t>
            </w:r>
            <w:r>
              <w:rPr>
                <w:rFonts w:eastAsia="Times New Roman"/>
                <w:sz w:val="20"/>
                <w:szCs w:val="20"/>
              </w:rPr>
              <w:t>,</w:t>
            </w:r>
            <w:r w:rsidRPr="003A63D6">
              <w:rPr>
                <w:rFonts w:eastAsia="Times New Roman"/>
                <w:sz w:val="20"/>
                <w:szCs w:val="20"/>
              </w:rPr>
              <w:t xml:space="preserve"> Tulsa, OK</w:t>
            </w:r>
          </w:p>
        </w:tc>
        <w:tc>
          <w:tcPr>
            <w:tcW w:w="1427" w:type="dxa"/>
            <w:shd w:val="clear" w:color="auto" w:fill="auto"/>
            <w:noWrap/>
            <w:hideMark/>
          </w:tcPr>
          <w:p w14:paraId="220E324C" w14:textId="4C7CCCA2"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093" w:type="dxa"/>
            <w:shd w:val="clear" w:color="auto" w:fill="auto"/>
            <w:noWrap/>
            <w:hideMark/>
          </w:tcPr>
          <w:p w14:paraId="15AC54F2" w14:textId="4E7A26A0"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273" w:type="dxa"/>
            <w:shd w:val="clear" w:color="auto" w:fill="auto"/>
            <w:noWrap/>
            <w:hideMark/>
          </w:tcPr>
          <w:p w14:paraId="0F437865" w14:textId="7267CCBE"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900" w:type="dxa"/>
            <w:shd w:val="clear" w:color="auto" w:fill="auto"/>
            <w:noWrap/>
            <w:hideMark/>
          </w:tcPr>
          <w:p w14:paraId="2A6E822D" w14:textId="77777777" w:rsidR="00DA00CA" w:rsidRPr="003A63D6" w:rsidRDefault="00DA00CA" w:rsidP="00EE12DD">
            <w:pPr>
              <w:spacing w:after="0"/>
              <w:rPr>
                <w:rFonts w:eastAsia="Times New Roman"/>
                <w:sz w:val="20"/>
                <w:szCs w:val="20"/>
              </w:rPr>
            </w:pPr>
            <w:r w:rsidRPr="003A63D6">
              <w:rPr>
                <w:rFonts w:eastAsia="Times New Roman"/>
                <w:sz w:val="20"/>
                <w:szCs w:val="20"/>
              </w:rPr>
              <w:t>Urban</w:t>
            </w:r>
          </w:p>
        </w:tc>
        <w:tc>
          <w:tcPr>
            <w:tcW w:w="1337" w:type="dxa"/>
            <w:shd w:val="clear" w:color="auto" w:fill="auto"/>
            <w:noWrap/>
            <w:hideMark/>
          </w:tcPr>
          <w:p w14:paraId="6C84B6C3" w14:textId="7E808F0A" w:rsidR="00DA00CA" w:rsidRPr="003A63D6" w:rsidRDefault="00DA00CA" w:rsidP="00EE12DD">
            <w:pPr>
              <w:spacing w:after="0"/>
              <w:rPr>
                <w:rFonts w:eastAsia="Times New Roman"/>
                <w:sz w:val="20"/>
                <w:szCs w:val="20"/>
              </w:rPr>
            </w:pPr>
            <w:r>
              <w:rPr>
                <w:rFonts w:eastAsia="Times New Roman"/>
                <w:sz w:val="20"/>
                <w:szCs w:val="20"/>
              </w:rPr>
              <w:t>West South Central</w:t>
            </w:r>
          </w:p>
        </w:tc>
        <w:tc>
          <w:tcPr>
            <w:tcW w:w="1620" w:type="dxa"/>
            <w:shd w:val="clear" w:color="auto" w:fill="auto"/>
            <w:noWrap/>
            <w:vAlign w:val="bottom"/>
            <w:hideMark/>
          </w:tcPr>
          <w:p w14:paraId="3A643C71" w14:textId="77777777" w:rsidR="00DA00CA" w:rsidRPr="003A63D6" w:rsidRDefault="00DA00CA" w:rsidP="00EE12DD">
            <w:pPr>
              <w:spacing w:after="0"/>
              <w:rPr>
                <w:rFonts w:eastAsia="Times New Roman"/>
                <w:sz w:val="20"/>
                <w:szCs w:val="20"/>
              </w:rPr>
            </w:pPr>
            <w:r w:rsidRPr="003A63D6">
              <w:rPr>
                <w:rFonts w:eastAsia="Times New Roman"/>
                <w:sz w:val="20"/>
                <w:szCs w:val="20"/>
              </w:rPr>
              <w:t>Education</w:t>
            </w:r>
          </w:p>
        </w:tc>
      </w:tr>
      <w:tr w:rsidR="00DA00CA" w:rsidRPr="003A63D6" w14:paraId="0875B23D" w14:textId="77777777" w:rsidTr="00DA00CA">
        <w:tc>
          <w:tcPr>
            <w:tcW w:w="1620" w:type="dxa"/>
            <w:shd w:val="clear" w:color="auto" w:fill="auto"/>
            <w:noWrap/>
            <w:vAlign w:val="bottom"/>
            <w:hideMark/>
          </w:tcPr>
          <w:p w14:paraId="0D614ED6" w14:textId="2B38FB46" w:rsidR="00DA00CA" w:rsidRPr="003A63D6" w:rsidRDefault="00DA00CA" w:rsidP="00EE12DD">
            <w:pPr>
              <w:spacing w:after="0"/>
              <w:rPr>
                <w:rFonts w:eastAsia="Times New Roman"/>
                <w:sz w:val="20"/>
                <w:szCs w:val="20"/>
              </w:rPr>
            </w:pPr>
            <w:r>
              <w:rPr>
                <w:rFonts w:eastAsia="Times New Roman"/>
                <w:sz w:val="20"/>
                <w:szCs w:val="20"/>
              </w:rPr>
              <w:t>Jesuit Volunteer Corps</w:t>
            </w:r>
            <w:r w:rsidRPr="003A63D6">
              <w:rPr>
                <w:rFonts w:eastAsia="Times New Roman"/>
                <w:sz w:val="20"/>
                <w:szCs w:val="20"/>
              </w:rPr>
              <w:t xml:space="preserve"> Northwest</w:t>
            </w:r>
          </w:p>
        </w:tc>
        <w:tc>
          <w:tcPr>
            <w:tcW w:w="1800" w:type="dxa"/>
            <w:shd w:val="clear" w:color="auto" w:fill="auto"/>
            <w:noWrap/>
            <w:vAlign w:val="bottom"/>
            <w:hideMark/>
          </w:tcPr>
          <w:p w14:paraId="691A23C2" w14:textId="5F6FDFF1" w:rsidR="00DA00CA" w:rsidRPr="003A63D6" w:rsidRDefault="00DA00CA" w:rsidP="00EE12DD">
            <w:pPr>
              <w:spacing w:after="0"/>
              <w:rPr>
                <w:rFonts w:eastAsia="Times New Roman"/>
                <w:sz w:val="20"/>
                <w:szCs w:val="20"/>
              </w:rPr>
            </w:pPr>
            <w:r w:rsidRPr="003A63D6">
              <w:rPr>
                <w:rFonts w:eastAsia="Times New Roman"/>
                <w:sz w:val="20"/>
                <w:szCs w:val="20"/>
              </w:rPr>
              <w:t>Gorge Grown Food Network</w:t>
            </w:r>
            <w:r>
              <w:rPr>
                <w:rFonts w:eastAsia="Times New Roman"/>
                <w:sz w:val="20"/>
                <w:szCs w:val="20"/>
              </w:rPr>
              <w:t>,</w:t>
            </w:r>
            <w:r w:rsidRPr="003A63D6">
              <w:rPr>
                <w:rFonts w:eastAsia="Times New Roman"/>
                <w:sz w:val="20"/>
                <w:szCs w:val="20"/>
              </w:rPr>
              <w:t xml:space="preserve"> Hood River, OR</w:t>
            </w:r>
          </w:p>
        </w:tc>
        <w:tc>
          <w:tcPr>
            <w:tcW w:w="1427" w:type="dxa"/>
            <w:shd w:val="clear" w:color="auto" w:fill="auto"/>
            <w:noWrap/>
            <w:hideMark/>
          </w:tcPr>
          <w:p w14:paraId="2ADAB646" w14:textId="61B6A48B"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093" w:type="dxa"/>
            <w:shd w:val="clear" w:color="auto" w:fill="auto"/>
            <w:noWrap/>
            <w:hideMark/>
          </w:tcPr>
          <w:p w14:paraId="238F6B61" w14:textId="16CE7BE7"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273" w:type="dxa"/>
            <w:shd w:val="clear" w:color="auto" w:fill="auto"/>
            <w:noWrap/>
            <w:hideMark/>
          </w:tcPr>
          <w:p w14:paraId="50173ACF" w14:textId="472F86BC"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900" w:type="dxa"/>
            <w:shd w:val="clear" w:color="auto" w:fill="auto"/>
            <w:noWrap/>
            <w:hideMark/>
          </w:tcPr>
          <w:p w14:paraId="2637F77C" w14:textId="77777777" w:rsidR="00DA00CA" w:rsidRPr="003A63D6" w:rsidRDefault="00DA00CA" w:rsidP="00EE12DD">
            <w:pPr>
              <w:spacing w:after="0"/>
              <w:rPr>
                <w:rFonts w:eastAsia="Times New Roman"/>
                <w:sz w:val="20"/>
                <w:szCs w:val="20"/>
              </w:rPr>
            </w:pPr>
            <w:r w:rsidRPr="003A63D6">
              <w:rPr>
                <w:rFonts w:eastAsia="Times New Roman"/>
                <w:sz w:val="20"/>
                <w:szCs w:val="20"/>
              </w:rPr>
              <w:t>Rural</w:t>
            </w:r>
          </w:p>
        </w:tc>
        <w:tc>
          <w:tcPr>
            <w:tcW w:w="1337" w:type="dxa"/>
            <w:shd w:val="clear" w:color="auto" w:fill="auto"/>
            <w:noWrap/>
            <w:hideMark/>
          </w:tcPr>
          <w:p w14:paraId="4C1E132F" w14:textId="00B4F130" w:rsidR="00DA00CA" w:rsidRPr="003A63D6" w:rsidRDefault="00DA00CA" w:rsidP="00EE12DD">
            <w:pPr>
              <w:spacing w:after="0"/>
              <w:rPr>
                <w:rFonts w:eastAsia="Times New Roman"/>
                <w:sz w:val="20"/>
                <w:szCs w:val="20"/>
              </w:rPr>
            </w:pPr>
            <w:r w:rsidRPr="003A63D6">
              <w:rPr>
                <w:rFonts w:eastAsia="Times New Roman"/>
                <w:sz w:val="20"/>
                <w:szCs w:val="20"/>
              </w:rPr>
              <w:t> </w:t>
            </w:r>
            <w:r>
              <w:rPr>
                <w:rFonts w:eastAsia="Times New Roman"/>
                <w:sz w:val="20"/>
                <w:szCs w:val="20"/>
              </w:rPr>
              <w:t>Pacific</w:t>
            </w:r>
          </w:p>
        </w:tc>
        <w:tc>
          <w:tcPr>
            <w:tcW w:w="1620" w:type="dxa"/>
            <w:shd w:val="clear" w:color="auto" w:fill="auto"/>
            <w:noWrap/>
            <w:vAlign w:val="bottom"/>
            <w:hideMark/>
          </w:tcPr>
          <w:p w14:paraId="38D2C253" w14:textId="68658208" w:rsidR="00DA00CA" w:rsidRPr="003A63D6" w:rsidRDefault="00DA00CA" w:rsidP="00EE12DD">
            <w:pPr>
              <w:spacing w:after="0"/>
              <w:rPr>
                <w:rFonts w:eastAsia="Times New Roman"/>
                <w:sz w:val="20"/>
                <w:szCs w:val="20"/>
              </w:rPr>
            </w:pPr>
            <w:r w:rsidRPr="003A63D6">
              <w:rPr>
                <w:rFonts w:eastAsia="Times New Roman"/>
                <w:sz w:val="20"/>
                <w:szCs w:val="20"/>
              </w:rPr>
              <w:t>Healthy Futures</w:t>
            </w:r>
            <w:r w:rsidR="00785FE2">
              <w:rPr>
                <w:rFonts w:eastAsia="Times New Roman"/>
                <w:sz w:val="20"/>
                <w:szCs w:val="20"/>
              </w:rPr>
              <w:t>/Capacity Building</w:t>
            </w:r>
          </w:p>
        </w:tc>
      </w:tr>
      <w:tr w:rsidR="00DA00CA" w:rsidRPr="003A63D6" w14:paraId="3287CB9A" w14:textId="77777777" w:rsidTr="00DA00CA">
        <w:tc>
          <w:tcPr>
            <w:tcW w:w="1620" w:type="dxa"/>
            <w:shd w:val="clear" w:color="auto" w:fill="auto"/>
            <w:noWrap/>
            <w:vAlign w:val="bottom"/>
            <w:hideMark/>
          </w:tcPr>
          <w:p w14:paraId="054FED38" w14:textId="47C80889" w:rsidR="00DA00CA" w:rsidRPr="003A63D6" w:rsidRDefault="00DA00CA" w:rsidP="00EE12DD">
            <w:pPr>
              <w:spacing w:after="0"/>
              <w:rPr>
                <w:rFonts w:eastAsia="Times New Roman"/>
                <w:sz w:val="20"/>
                <w:szCs w:val="20"/>
              </w:rPr>
            </w:pPr>
            <w:r w:rsidRPr="003A63D6">
              <w:rPr>
                <w:rFonts w:eastAsia="Times New Roman"/>
                <w:sz w:val="20"/>
                <w:szCs w:val="20"/>
              </w:rPr>
              <w:t>Vermont</w:t>
            </w:r>
            <w:r>
              <w:rPr>
                <w:rFonts w:eastAsia="Times New Roman"/>
                <w:sz w:val="20"/>
                <w:szCs w:val="20"/>
              </w:rPr>
              <w:t xml:space="preserve"> Housing and Conservation Board</w:t>
            </w:r>
          </w:p>
        </w:tc>
        <w:tc>
          <w:tcPr>
            <w:tcW w:w="1800" w:type="dxa"/>
            <w:shd w:val="clear" w:color="auto" w:fill="auto"/>
            <w:noWrap/>
            <w:vAlign w:val="bottom"/>
            <w:hideMark/>
          </w:tcPr>
          <w:p w14:paraId="664C3F81" w14:textId="77777777" w:rsidR="00DA00CA" w:rsidRPr="003A63D6" w:rsidRDefault="00DA00CA" w:rsidP="00EE12DD">
            <w:pPr>
              <w:spacing w:after="0"/>
              <w:rPr>
                <w:rFonts w:eastAsia="Times New Roman"/>
                <w:sz w:val="20"/>
                <w:szCs w:val="20"/>
              </w:rPr>
            </w:pPr>
            <w:r w:rsidRPr="003A63D6">
              <w:rPr>
                <w:rFonts w:eastAsia="Times New Roman"/>
                <w:sz w:val="20"/>
                <w:szCs w:val="20"/>
              </w:rPr>
              <w:t>Burlington, VT</w:t>
            </w:r>
          </w:p>
        </w:tc>
        <w:tc>
          <w:tcPr>
            <w:tcW w:w="1427" w:type="dxa"/>
            <w:shd w:val="clear" w:color="auto" w:fill="auto"/>
            <w:noWrap/>
            <w:hideMark/>
          </w:tcPr>
          <w:p w14:paraId="162D209E" w14:textId="66BAD454"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093" w:type="dxa"/>
            <w:shd w:val="clear" w:color="auto" w:fill="auto"/>
            <w:noWrap/>
            <w:hideMark/>
          </w:tcPr>
          <w:p w14:paraId="5C48FE53" w14:textId="20F4E0B5"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273" w:type="dxa"/>
            <w:shd w:val="clear" w:color="auto" w:fill="auto"/>
            <w:noWrap/>
            <w:hideMark/>
          </w:tcPr>
          <w:p w14:paraId="7751A771" w14:textId="051B48E1"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900" w:type="dxa"/>
            <w:shd w:val="clear" w:color="auto" w:fill="auto"/>
            <w:noWrap/>
            <w:hideMark/>
          </w:tcPr>
          <w:p w14:paraId="12918C78" w14:textId="77777777" w:rsidR="00DA00CA" w:rsidRPr="003A63D6" w:rsidRDefault="00DA00CA" w:rsidP="00EE12DD">
            <w:pPr>
              <w:spacing w:after="0"/>
              <w:rPr>
                <w:rFonts w:eastAsia="Times New Roman"/>
                <w:sz w:val="20"/>
                <w:szCs w:val="20"/>
              </w:rPr>
            </w:pPr>
            <w:r w:rsidRPr="003A63D6">
              <w:rPr>
                <w:rFonts w:eastAsia="Times New Roman"/>
                <w:sz w:val="20"/>
                <w:szCs w:val="20"/>
              </w:rPr>
              <w:t>Rural</w:t>
            </w:r>
          </w:p>
        </w:tc>
        <w:tc>
          <w:tcPr>
            <w:tcW w:w="1337" w:type="dxa"/>
            <w:shd w:val="clear" w:color="auto" w:fill="auto"/>
            <w:noWrap/>
            <w:hideMark/>
          </w:tcPr>
          <w:p w14:paraId="74C69927" w14:textId="1846533C" w:rsidR="00DA00CA" w:rsidRPr="003A63D6" w:rsidRDefault="00DA00CA" w:rsidP="00EE12DD">
            <w:pPr>
              <w:spacing w:after="0"/>
              <w:rPr>
                <w:rFonts w:eastAsia="Times New Roman"/>
                <w:sz w:val="20"/>
                <w:szCs w:val="20"/>
              </w:rPr>
            </w:pPr>
            <w:r w:rsidRPr="003A63D6">
              <w:rPr>
                <w:rFonts w:eastAsia="Times New Roman"/>
                <w:sz w:val="20"/>
                <w:szCs w:val="20"/>
              </w:rPr>
              <w:t> </w:t>
            </w:r>
            <w:r>
              <w:rPr>
                <w:rFonts w:eastAsia="Times New Roman"/>
                <w:sz w:val="20"/>
                <w:szCs w:val="20"/>
              </w:rPr>
              <w:t>New England</w:t>
            </w:r>
          </w:p>
        </w:tc>
        <w:tc>
          <w:tcPr>
            <w:tcW w:w="1620" w:type="dxa"/>
            <w:shd w:val="clear" w:color="auto" w:fill="auto"/>
            <w:noWrap/>
            <w:vAlign w:val="bottom"/>
            <w:hideMark/>
          </w:tcPr>
          <w:p w14:paraId="01EE6AE7" w14:textId="77777777" w:rsidR="00DA00CA" w:rsidRPr="003A63D6" w:rsidRDefault="00DA00CA" w:rsidP="00EE12DD">
            <w:pPr>
              <w:spacing w:after="0"/>
              <w:rPr>
                <w:rFonts w:eastAsia="Times New Roman"/>
                <w:sz w:val="20"/>
                <w:szCs w:val="20"/>
              </w:rPr>
            </w:pPr>
            <w:r w:rsidRPr="003A63D6">
              <w:rPr>
                <w:rFonts w:eastAsia="Times New Roman"/>
                <w:sz w:val="20"/>
                <w:szCs w:val="20"/>
              </w:rPr>
              <w:t>Economic Opportunity</w:t>
            </w:r>
          </w:p>
        </w:tc>
      </w:tr>
      <w:tr w:rsidR="00DA00CA" w:rsidRPr="003A63D6" w14:paraId="05854990" w14:textId="77777777" w:rsidTr="00DA00CA">
        <w:tc>
          <w:tcPr>
            <w:tcW w:w="1620" w:type="dxa"/>
            <w:shd w:val="clear" w:color="auto" w:fill="auto"/>
            <w:noWrap/>
            <w:vAlign w:val="bottom"/>
            <w:hideMark/>
          </w:tcPr>
          <w:p w14:paraId="2E4B2A8D" w14:textId="77777777" w:rsidR="00DA00CA" w:rsidRPr="003A63D6" w:rsidRDefault="00DA00CA" w:rsidP="00EE12DD">
            <w:pPr>
              <w:spacing w:after="0"/>
              <w:rPr>
                <w:rFonts w:eastAsia="Times New Roman"/>
                <w:sz w:val="20"/>
                <w:szCs w:val="20"/>
              </w:rPr>
            </w:pPr>
            <w:r w:rsidRPr="003A63D6">
              <w:rPr>
                <w:rFonts w:eastAsia="Times New Roman"/>
                <w:sz w:val="20"/>
                <w:szCs w:val="20"/>
              </w:rPr>
              <w:t>FoodCorps</w:t>
            </w:r>
          </w:p>
        </w:tc>
        <w:tc>
          <w:tcPr>
            <w:tcW w:w="1800" w:type="dxa"/>
            <w:shd w:val="clear" w:color="auto" w:fill="auto"/>
            <w:noWrap/>
            <w:vAlign w:val="bottom"/>
            <w:hideMark/>
          </w:tcPr>
          <w:p w14:paraId="14AC27C9" w14:textId="5CF9510D" w:rsidR="00DA00CA" w:rsidRPr="003A63D6" w:rsidRDefault="00DA00CA" w:rsidP="00EE12DD">
            <w:pPr>
              <w:spacing w:after="0"/>
              <w:rPr>
                <w:rFonts w:eastAsia="Times New Roman"/>
                <w:sz w:val="20"/>
                <w:szCs w:val="20"/>
              </w:rPr>
            </w:pPr>
            <w:r w:rsidRPr="003A63D6">
              <w:rPr>
                <w:rFonts w:eastAsia="Times New Roman"/>
                <w:sz w:val="20"/>
                <w:szCs w:val="20"/>
              </w:rPr>
              <w:t>Detroit Black Community Food Network</w:t>
            </w:r>
            <w:r>
              <w:rPr>
                <w:rFonts w:eastAsia="Times New Roman"/>
                <w:sz w:val="20"/>
                <w:szCs w:val="20"/>
              </w:rPr>
              <w:t>,</w:t>
            </w:r>
            <w:r w:rsidRPr="003A63D6">
              <w:rPr>
                <w:rFonts w:eastAsia="Times New Roman"/>
                <w:sz w:val="20"/>
                <w:szCs w:val="20"/>
              </w:rPr>
              <w:t xml:space="preserve"> Detroit, MI</w:t>
            </w:r>
          </w:p>
        </w:tc>
        <w:tc>
          <w:tcPr>
            <w:tcW w:w="1427" w:type="dxa"/>
            <w:shd w:val="clear" w:color="auto" w:fill="auto"/>
            <w:noWrap/>
            <w:hideMark/>
          </w:tcPr>
          <w:p w14:paraId="2B7F0537" w14:textId="7F0CA321"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093" w:type="dxa"/>
            <w:shd w:val="clear" w:color="auto" w:fill="auto"/>
            <w:noWrap/>
            <w:hideMark/>
          </w:tcPr>
          <w:p w14:paraId="42F7D57D" w14:textId="2F4EC465"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1273" w:type="dxa"/>
            <w:shd w:val="clear" w:color="auto" w:fill="auto"/>
            <w:noWrap/>
            <w:hideMark/>
          </w:tcPr>
          <w:p w14:paraId="38C5F354" w14:textId="3FDCFA55" w:rsidR="00DA00CA" w:rsidRPr="003A63D6" w:rsidRDefault="00DA00CA" w:rsidP="00EE12DD">
            <w:pPr>
              <w:spacing w:after="0"/>
              <w:rPr>
                <w:rFonts w:eastAsia="Times New Roman"/>
                <w:sz w:val="20"/>
                <w:szCs w:val="20"/>
              </w:rPr>
            </w:pPr>
            <w:r w:rsidRPr="00E72E70">
              <w:rPr>
                <w:rFonts w:eastAsia="Times New Roman"/>
                <w:sz w:val="20"/>
                <w:szCs w:val="20"/>
              </w:rPr>
              <w:t>Yes</w:t>
            </w:r>
          </w:p>
        </w:tc>
        <w:tc>
          <w:tcPr>
            <w:tcW w:w="900" w:type="dxa"/>
            <w:shd w:val="clear" w:color="auto" w:fill="auto"/>
            <w:noWrap/>
            <w:hideMark/>
          </w:tcPr>
          <w:p w14:paraId="1D14ABF8" w14:textId="77777777" w:rsidR="00DA00CA" w:rsidRPr="003A63D6" w:rsidRDefault="00DA00CA" w:rsidP="00EE12DD">
            <w:pPr>
              <w:spacing w:after="0"/>
              <w:rPr>
                <w:rFonts w:eastAsia="Times New Roman"/>
                <w:sz w:val="20"/>
                <w:szCs w:val="20"/>
              </w:rPr>
            </w:pPr>
            <w:r w:rsidRPr="003A63D6">
              <w:rPr>
                <w:rFonts w:eastAsia="Times New Roman"/>
                <w:sz w:val="20"/>
                <w:szCs w:val="20"/>
              </w:rPr>
              <w:t>Urban</w:t>
            </w:r>
          </w:p>
        </w:tc>
        <w:tc>
          <w:tcPr>
            <w:tcW w:w="1337" w:type="dxa"/>
            <w:shd w:val="clear" w:color="auto" w:fill="auto"/>
            <w:noWrap/>
            <w:hideMark/>
          </w:tcPr>
          <w:p w14:paraId="3D160363" w14:textId="5CF3EE86" w:rsidR="00DA00CA" w:rsidRPr="003A63D6" w:rsidRDefault="00DA00CA" w:rsidP="00EE12DD">
            <w:pPr>
              <w:spacing w:after="0"/>
              <w:rPr>
                <w:rFonts w:eastAsia="Times New Roman"/>
                <w:sz w:val="20"/>
                <w:szCs w:val="20"/>
              </w:rPr>
            </w:pPr>
            <w:r w:rsidRPr="003A63D6">
              <w:rPr>
                <w:rFonts w:eastAsia="Times New Roman"/>
                <w:sz w:val="20"/>
                <w:szCs w:val="20"/>
              </w:rPr>
              <w:t> </w:t>
            </w:r>
            <w:r>
              <w:rPr>
                <w:rFonts w:eastAsia="Times New Roman"/>
                <w:sz w:val="20"/>
                <w:szCs w:val="20"/>
              </w:rPr>
              <w:t>East North Central</w:t>
            </w:r>
          </w:p>
        </w:tc>
        <w:tc>
          <w:tcPr>
            <w:tcW w:w="1620" w:type="dxa"/>
            <w:shd w:val="clear" w:color="auto" w:fill="auto"/>
            <w:noWrap/>
            <w:vAlign w:val="bottom"/>
            <w:hideMark/>
          </w:tcPr>
          <w:p w14:paraId="108CD2F2" w14:textId="77777777" w:rsidR="00DA00CA" w:rsidRPr="003A63D6" w:rsidRDefault="00DA00CA" w:rsidP="00EE12DD">
            <w:pPr>
              <w:spacing w:after="0"/>
              <w:rPr>
                <w:rFonts w:eastAsia="Times New Roman"/>
                <w:sz w:val="20"/>
                <w:szCs w:val="20"/>
              </w:rPr>
            </w:pPr>
            <w:r w:rsidRPr="003A63D6">
              <w:rPr>
                <w:rFonts w:eastAsia="Times New Roman"/>
                <w:sz w:val="20"/>
                <w:szCs w:val="20"/>
              </w:rPr>
              <w:t>Healthy Futures</w:t>
            </w:r>
          </w:p>
        </w:tc>
      </w:tr>
      <w:tr w:rsidR="00DA00CA" w:rsidRPr="003A63D6" w14:paraId="34406D4F" w14:textId="77777777" w:rsidTr="002169D0">
        <w:tc>
          <w:tcPr>
            <w:tcW w:w="11070" w:type="dxa"/>
            <w:gridSpan w:val="8"/>
            <w:shd w:val="clear" w:color="auto" w:fill="auto"/>
            <w:noWrap/>
            <w:vAlign w:val="bottom"/>
          </w:tcPr>
          <w:p w14:paraId="76C9BC0E" w14:textId="750D11C3" w:rsidR="00DA00CA" w:rsidRPr="00DA00CA" w:rsidRDefault="00DA00CA" w:rsidP="00EE12DD">
            <w:pPr>
              <w:spacing w:after="0"/>
              <w:rPr>
                <w:rFonts w:eastAsia="Times New Roman"/>
                <w:b/>
                <w:sz w:val="20"/>
                <w:szCs w:val="20"/>
              </w:rPr>
            </w:pPr>
            <w:r w:rsidRPr="00DA00CA">
              <w:rPr>
                <w:rFonts w:eastAsia="Times New Roman"/>
                <w:b/>
                <w:sz w:val="20"/>
                <w:szCs w:val="20"/>
              </w:rPr>
              <w:t>Sites Not Selected</w:t>
            </w:r>
          </w:p>
        </w:tc>
      </w:tr>
      <w:tr w:rsidR="00DA00CA" w:rsidRPr="003A63D6" w14:paraId="24328EEE" w14:textId="77777777" w:rsidTr="00DA00CA">
        <w:tc>
          <w:tcPr>
            <w:tcW w:w="1620" w:type="dxa"/>
            <w:shd w:val="clear" w:color="auto" w:fill="auto"/>
            <w:noWrap/>
            <w:vAlign w:val="bottom"/>
            <w:hideMark/>
          </w:tcPr>
          <w:p w14:paraId="3E52CE79" w14:textId="77777777" w:rsidR="00DA00CA" w:rsidRPr="003A63D6" w:rsidRDefault="00DA00CA" w:rsidP="00EE12DD">
            <w:pPr>
              <w:spacing w:after="0"/>
              <w:rPr>
                <w:rFonts w:eastAsia="Times New Roman"/>
                <w:sz w:val="20"/>
                <w:szCs w:val="20"/>
              </w:rPr>
            </w:pPr>
            <w:r w:rsidRPr="003A63D6">
              <w:rPr>
                <w:rFonts w:eastAsia="Times New Roman"/>
                <w:sz w:val="20"/>
                <w:szCs w:val="20"/>
              </w:rPr>
              <w:t>Project Homecoming</w:t>
            </w:r>
          </w:p>
        </w:tc>
        <w:tc>
          <w:tcPr>
            <w:tcW w:w="1800" w:type="dxa"/>
            <w:shd w:val="clear" w:color="auto" w:fill="auto"/>
            <w:noWrap/>
            <w:vAlign w:val="bottom"/>
            <w:hideMark/>
          </w:tcPr>
          <w:p w14:paraId="09C7C8A9" w14:textId="77777777" w:rsidR="00DA00CA" w:rsidRPr="003A63D6" w:rsidRDefault="00DA00CA" w:rsidP="00EE12DD">
            <w:pPr>
              <w:spacing w:after="0"/>
              <w:rPr>
                <w:rFonts w:eastAsia="Times New Roman"/>
                <w:sz w:val="20"/>
                <w:szCs w:val="20"/>
              </w:rPr>
            </w:pPr>
            <w:r w:rsidRPr="003A63D6">
              <w:rPr>
                <w:rFonts w:eastAsia="Times New Roman"/>
                <w:sz w:val="20"/>
                <w:szCs w:val="20"/>
              </w:rPr>
              <w:t>New Orleans, LA</w:t>
            </w:r>
          </w:p>
        </w:tc>
        <w:tc>
          <w:tcPr>
            <w:tcW w:w="1427" w:type="dxa"/>
            <w:shd w:val="clear" w:color="auto" w:fill="auto"/>
            <w:noWrap/>
            <w:hideMark/>
          </w:tcPr>
          <w:p w14:paraId="5069A08F" w14:textId="0BB3C716" w:rsidR="00DA00CA" w:rsidRPr="003A63D6" w:rsidRDefault="00DA00CA" w:rsidP="00EE12DD">
            <w:pPr>
              <w:spacing w:after="0"/>
              <w:rPr>
                <w:rFonts w:eastAsia="Times New Roman"/>
                <w:sz w:val="20"/>
                <w:szCs w:val="20"/>
              </w:rPr>
            </w:pPr>
            <w:r>
              <w:rPr>
                <w:rFonts w:eastAsia="Times New Roman"/>
                <w:sz w:val="20"/>
                <w:szCs w:val="20"/>
              </w:rPr>
              <w:t>Somewhat</w:t>
            </w:r>
          </w:p>
        </w:tc>
        <w:tc>
          <w:tcPr>
            <w:tcW w:w="1093" w:type="dxa"/>
            <w:shd w:val="clear" w:color="auto" w:fill="auto"/>
            <w:noWrap/>
            <w:hideMark/>
          </w:tcPr>
          <w:p w14:paraId="7F416B62" w14:textId="77777777" w:rsidR="00DA00CA" w:rsidRPr="003A63D6" w:rsidRDefault="00DA00CA" w:rsidP="00EE12DD">
            <w:pPr>
              <w:spacing w:after="0"/>
              <w:rPr>
                <w:rFonts w:eastAsia="Times New Roman"/>
                <w:sz w:val="20"/>
                <w:szCs w:val="20"/>
              </w:rPr>
            </w:pPr>
            <w:r w:rsidRPr="003A63D6">
              <w:rPr>
                <w:rFonts w:eastAsia="Times New Roman"/>
                <w:sz w:val="20"/>
                <w:szCs w:val="20"/>
              </w:rPr>
              <w:t>YES</w:t>
            </w:r>
          </w:p>
        </w:tc>
        <w:tc>
          <w:tcPr>
            <w:tcW w:w="1273" w:type="dxa"/>
            <w:shd w:val="clear" w:color="auto" w:fill="auto"/>
            <w:noWrap/>
            <w:hideMark/>
          </w:tcPr>
          <w:p w14:paraId="0BC17BDA" w14:textId="77777777" w:rsidR="00DA00CA" w:rsidRPr="003A63D6" w:rsidRDefault="00DA00CA" w:rsidP="00EE12DD">
            <w:pPr>
              <w:spacing w:after="0"/>
              <w:rPr>
                <w:rFonts w:eastAsia="Times New Roman"/>
                <w:sz w:val="20"/>
                <w:szCs w:val="20"/>
              </w:rPr>
            </w:pPr>
            <w:r w:rsidRPr="003A63D6">
              <w:rPr>
                <w:rFonts w:eastAsia="Times New Roman"/>
                <w:sz w:val="20"/>
                <w:szCs w:val="20"/>
              </w:rPr>
              <w:t>YES</w:t>
            </w:r>
          </w:p>
        </w:tc>
        <w:tc>
          <w:tcPr>
            <w:tcW w:w="900" w:type="dxa"/>
            <w:shd w:val="clear" w:color="auto" w:fill="auto"/>
            <w:noWrap/>
            <w:hideMark/>
          </w:tcPr>
          <w:p w14:paraId="18B90761" w14:textId="77777777" w:rsidR="00DA00CA" w:rsidRPr="003A63D6" w:rsidRDefault="00DA00CA" w:rsidP="00EE12DD">
            <w:pPr>
              <w:spacing w:after="0"/>
              <w:rPr>
                <w:rFonts w:eastAsia="Times New Roman"/>
                <w:sz w:val="20"/>
                <w:szCs w:val="20"/>
              </w:rPr>
            </w:pPr>
            <w:r w:rsidRPr="003A63D6">
              <w:rPr>
                <w:rFonts w:eastAsia="Times New Roman"/>
                <w:sz w:val="20"/>
                <w:szCs w:val="20"/>
              </w:rPr>
              <w:t>Urban</w:t>
            </w:r>
          </w:p>
        </w:tc>
        <w:tc>
          <w:tcPr>
            <w:tcW w:w="1337" w:type="dxa"/>
            <w:shd w:val="clear" w:color="auto" w:fill="auto"/>
            <w:noWrap/>
            <w:hideMark/>
          </w:tcPr>
          <w:p w14:paraId="0D5CDC06" w14:textId="151280B2" w:rsidR="00DA00CA" w:rsidRPr="003A63D6" w:rsidRDefault="00DA00CA" w:rsidP="00EE12DD">
            <w:pPr>
              <w:spacing w:after="0"/>
              <w:rPr>
                <w:rFonts w:eastAsia="Times New Roman"/>
                <w:sz w:val="20"/>
                <w:szCs w:val="20"/>
              </w:rPr>
            </w:pPr>
            <w:r w:rsidRPr="003A63D6">
              <w:rPr>
                <w:rFonts w:eastAsia="Times New Roman"/>
                <w:sz w:val="20"/>
                <w:szCs w:val="20"/>
              </w:rPr>
              <w:t> </w:t>
            </w:r>
            <w:r>
              <w:rPr>
                <w:rFonts w:eastAsia="Times New Roman"/>
                <w:sz w:val="20"/>
                <w:szCs w:val="20"/>
              </w:rPr>
              <w:t>West South Central</w:t>
            </w:r>
          </w:p>
        </w:tc>
        <w:tc>
          <w:tcPr>
            <w:tcW w:w="1620" w:type="dxa"/>
            <w:shd w:val="clear" w:color="auto" w:fill="auto"/>
            <w:noWrap/>
            <w:vAlign w:val="bottom"/>
            <w:hideMark/>
          </w:tcPr>
          <w:p w14:paraId="3E71861B" w14:textId="77777777" w:rsidR="00DA00CA" w:rsidRPr="003A63D6" w:rsidRDefault="00DA00CA" w:rsidP="00EE12DD">
            <w:pPr>
              <w:spacing w:after="0"/>
              <w:rPr>
                <w:rFonts w:eastAsia="Times New Roman"/>
                <w:sz w:val="20"/>
                <w:szCs w:val="20"/>
              </w:rPr>
            </w:pPr>
            <w:r w:rsidRPr="003A63D6">
              <w:rPr>
                <w:rFonts w:eastAsia="Times New Roman"/>
                <w:sz w:val="20"/>
                <w:szCs w:val="20"/>
              </w:rPr>
              <w:t>Economic Opportunity</w:t>
            </w:r>
          </w:p>
        </w:tc>
      </w:tr>
      <w:tr w:rsidR="00DA00CA" w:rsidRPr="003A63D6" w14:paraId="54BBEE6D" w14:textId="77777777" w:rsidTr="00DA00CA">
        <w:tc>
          <w:tcPr>
            <w:tcW w:w="1620" w:type="dxa"/>
            <w:shd w:val="clear" w:color="auto" w:fill="auto"/>
            <w:noWrap/>
            <w:vAlign w:val="bottom"/>
            <w:hideMark/>
          </w:tcPr>
          <w:p w14:paraId="5C11F919" w14:textId="77777777" w:rsidR="00DA00CA" w:rsidRPr="003A63D6" w:rsidRDefault="00DA00CA" w:rsidP="00EE12DD">
            <w:pPr>
              <w:spacing w:after="0"/>
              <w:rPr>
                <w:rFonts w:eastAsia="Times New Roman"/>
                <w:sz w:val="20"/>
                <w:szCs w:val="20"/>
              </w:rPr>
            </w:pPr>
            <w:r w:rsidRPr="003A63D6">
              <w:rPr>
                <w:rFonts w:eastAsia="Times New Roman"/>
                <w:sz w:val="20"/>
                <w:szCs w:val="20"/>
              </w:rPr>
              <w:t>Citizen Schools</w:t>
            </w:r>
          </w:p>
        </w:tc>
        <w:tc>
          <w:tcPr>
            <w:tcW w:w="1800" w:type="dxa"/>
            <w:shd w:val="clear" w:color="auto" w:fill="auto"/>
            <w:noWrap/>
            <w:vAlign w:val="bottom"/>
            <w:hideMark/>
          </w:tcPr>
          <w:p w14:paraId="388E1112" w14:textId="56486917" w:rsidR="00DA00CA" w:rsidRPr="003A63D6" w:rsidRDefault="00DA00CA" w:rsidP="00EE12DD">
            <w:pPr>
              <w:spacing w:after="0"/>
              <w:rPr>
                <w:rFonts w:eastAsia="Times New Roman"/>
                <w:sz w:val="20"/>
                <w:szCs w:val="20"/>
              </w:rPr>
            </w:pPr>
            <w:r w:rsidRPr="003A63D6">
              <w:rPr>
                <w:rFonts w:eastAsia="Times New Roman"/>
                <w:sz w:val="20"/>
                <w:szCs w:val="20"/>
              </w:rPr>
              <w:t>Orchard Gardens School</w:t>
            </w:r>
            <w:r>
              <w:rPr>
                <w:rFonts w:eastAsia="Times New Roman"/>
                <w:sz w:val="20"/>
                <w:szCs w:val="20"/>
              </w:rPr>
              <w:t>,</w:t>
            </w:r>
            <w:r w:rsidRPr="003A63D6">
              <w:rPr>
                <w:rFonts w:eastAsia="Times New Roman"/>
                <w:sz w:val="20"/>
                <w:szCs w:val="20"/>
              </w:rPr>
              <w:t xml:space="preserve"> Boston, MA</w:t>
            </w:r>
          </w:p>
        </w:tc>
        <w:tc>
          <w:tcPr>
            <w:tcW w:w="1427" w:type="dxa"/>
            <w:shd w:val="clear" w:color="auto" w:fill="auto"/>
            <w:noWrap/>
            <w:hideMark/>
          </w:tcPr>
          <w:p w14:paraId="3D31A2FA" w14:textId="5A36C8C6" w:rsidR="00DA00CA" w:rsidRPr="003A63D6" w:rsidRDefault="00DA00CA" w:rsidP="00EE12DD">
            <w:pPr>
              <w:spacing w:after="0"/>
              <w:rPr>
                <w:rFonts w:eastAsia="Times New Roman"/>
                <w:sz w:val="20"/>
                <w:szCs w:val="20"/>
              </w:rPr>
            </w:pPr>
            <w:r w:rsidRPr="00C43E87">
              <w:rPr>
                <w:rFonts w:eastAsia="Times New Roman"/>
                <w:sz w:val="20"/>
                <w:szCs w:val="20"/>
              </w:rPr>
              <w:t>Yes</w:t>
            </w:r>
          </w:p>
        </w:tc>
        <w:tc>
          <w:tcPr>
            <w:tcW w:w="1093" w:type="dxa"/>
            <w:shd w:val="clear" w:color="auto" w:fill="auto"/>
            <w:noWrap/>
            <w:hideMark/>
          </w:tcPr>
          <w:p w14:paraId="34461694" w14:textId="3110EBDE" w:rsidR="00DA00CA" w:rsidRPr="003A63D6" w:rsidRDefault="00DA00CA" w:rsidP="00EE12DD">
            <w:pPr>
              <w:spacing w:after="0"/>
              <w:rPr>
                <w:rFonts w:eastAsia="Times New Roman"/>
                <w:sz w:val="20"/>
                <w:szCs w:val="20"/>
              </w:rPr>
            </w:pPr>
            <w:r>
              <w:rPr>
                <w:rFonts w:eastAsia="Times New Roman"/>
                <w:sz w:val="20"/>
                <w:szCs w:val="20"/>
              </w:rPr>
              <w:t>No</w:t>
            </w:r>
          </w:p>
        </w:tc>
        <w:tc>
          <w:tcPr>
            <w:tcW w:w="1273" w:type="dxa"/>
            <w:shd w:val="clear" w:color="auto" w:fill="auto"/>
            <w:noWrap/>
            <w:hideMark/>
          </w:tcPr>
          <w:p w14:paraId="7FDD09B9" w14:textId="144DAA91" w:rsidR="00DA00CA" w:rsidRPr="003A63D6" w:rsidRDefault="00DA00CA" w:rsidP="00EE12DD">
            <w:pPr>
              <w:spacing w:after="0"/>
              <w:rPr>
                <w:rFonts w:eastAsia="Times New Roman"/>
                <w:sz w:val="20"/>
                <w:szCs w:val="20"/>
              </w:rPr>
            </w:pPr>
            <w:r w:rsidRPr="00CC62A1">
              <w:rPr>
                <w:rFonts w:eastAsia="Times New Roman"/>
                <w:sz w:val="20"/>
                <w:szCs w:val="20"/>
              </w:rPr>
              <w:t>No</w:t>
            </w:r>
          </w:p>
        </w:tc>
        <w:tc>
          <w:tcPr>
            <w:tcW w:w="900" w:type="dxa"/>
            <w:shd w:val="clear" w:color="auto" w:fill="auto"/>
            <w:noWrap/>
            <w:hideMark/>
          </w:tcPr>
          <w:p w14:paraId="5DCAF5DE" w14:textId="77777777" w:rsidR="00DA00CA" w:rsidRPr="003A63D6" w:rsidRDefault="00DA00CA" w:rsidP="00EE12DD">
            <w:pPr>
              <w:spacing w:after="0"/>
              <w:rPr>
                <w:rFonts w:eastAsia="Times New Roman"/>
                <w:sz w:val="20"/>
                <w:szCs w:val="20"/>
              </w:rPr>
            </w:pPr>
            <w:r w:rsidRPr="003A63D6">
              <w:rPr>
                <w:rFonts w:eastAsia="Times New Roman"/>
                <w:sz w:val="20"/>
                <w:szCs w:val="20"/>
              </w:rPr>
              <w:t>Urban</w:t>
            </w:r>
          </w:p>
        </w:tc>
        <w:tc>
          <w:tcPr>
            <w:tcW w:w="1337" w:type="dxa"/>
            <w:shd w:val="clear" w:color="auto" w:fill="auto"/>
            <w:noWrap/>
            <w:hideMark/>
          </w:tcPr>
          <w:p w14:paraId="4E4722A2" w14:textId="01DFE35E" w:rsidR="00DA00CA" w:rsidRPr="003A63D6" w:rsidRDefault="00DA00CA" w:rsidP="00EE12DD">
            <w:pPr>
              <w:spacing w:after="0"/>
              <w:rPr>
                <w:rFonts w:eastAsia="Times New Roman"/>
                <w:sz w:val="20"/>
                <w:szCs w:val="20"/>
              </w:rPr>
            </w:pPr>
            <w:r w:rsidRPr="003A63D6">
              <w:rPr>
                <w:rFonts w:eastAsia="Times New Roman"/>
                <w:sz w:val="20"/>
                <w:szCs w:val="20"/>
              </w:rPr>
              <w:t> </w:t>
            </w:r>
            <w:r>
              <w:rPr>
                <w:rFonts w:eastAsia="Times New Roman"/>
                <w:sz w:val="20"/>
                <w:szCs w:val="20"/>
              </w:rPr>
              <w:t>New England</w:t>
            </w:r>
          </w:p>
        </w:tc>
        <w:tc>
          <w:tcPr>
            <w:tcW w:w="1620" w:type="dxa"/>
            <w:shd w:val="clear" w:color="auto" w:fill="auto"/>
            <w:noWrap/>
            <w:vAlign w:val="bottom"/>
            <w:hideMark/>
          </w:tcPr>
          <w:p w14:paraId="1A088AA7" w14:textId="77777777" w:rsidR="00DA00CA" w:rsidRPr="003A63D6" w:rsidRDefault="00DA00CA" w:rsidP="00EE12DD">
            <w:pPr>
              <w:spacing w:after="0"/>
              <w:rPr>
                <w:rFonts w:eastAsia="Times New Roman"/>
                <w:sz w:val="20"/>
                <w:szCs w:val="20"/>
              </w:rPr>
            </w:pPr>
            <w:r w:rsidRPr="003A63D6">
              <w:rPr>
                <w:rFonts w:eastAsia="Times New Roman"/>
                <w:sz w:val="20"/>
                <w:szCs w:val="20"/>
              </w:rPr>
              <w:t>Education</w:t>
            </w:r>
          </w:p>
        </w:tc>
      </w:tr>
      <w:tr w:rsidR="00DA00CA" w:rsidRPr="003A63D6" w14:paraId="75908AA8" w14:textId="77777777" w:rsidTr="00DA00CA">
        <w:tc>
          <w:tcPr>
            <w:tcW w:w="1620" w:type="dxa"/>
            <w:shd w:val="clear" w:color="auto" w:fill="auto"/>
            <w:noWrap/>
            <w:vAlign w:val="bottom"/>
            <w:hideMark/>
          </w:tcPr>
          <w:p w14:paraId="2293A440" w14:textId="4AD7573E" w:rsidR="00DA00CA" w:rsidRPr="003A63D6" w:rsidRDefault="00DA00CA" w:rsidP="00EE12DD">
            <w:pPr>
              <w:spacing w:after="0"/>
              <w:rPr>
                <w:rFonts w:eastAsia="Times New Roman"/>
                <w:sz w:val="20"/>
                <w:szCs w:val="20"/>
              </w:rPr>
            </w:pPr>
            <w:r w:rsidRPr="003A63D6">
              <w:rPr>
                <w:rFonts w:eastAsia="Times New Roman"/>
                <w:sz w:val="20"/>
                <w:szCs w:val="20"/>
              </w:rPr>
              <w:t>National Association of Community Health Centers</w:t>
            </w:r>
          </w:p>
        </w:tc>
        <w:tc>
          <w:tcPr>
            <w:tcW w:w="1800" w:type="dxa"/>
            <w:shd w:val="clear" w:color="auto" w:fill="auto"/>
            <w:noWrap/>
            <w:vAlign w:val="bottom"/>
            <w:hideMark/>
          </w:tcPr>
          <w:p w14:paraId="1510E1CD" w14:textId="620486B8" w:rsidR="00DA00CA" w:rsidRPr="003A63D6" w:rsidRDefault="00DA00CA" w:rsidP="00EE12DD">
            <w:pPr>
              <w:spacing w:after="0"/>
              <w:rPr>
                <w:rFonts w:eastAsia="Times New Roman"/>
                <w:sz w:val="20"/>
                <w:szCs w:val="20"/>
              </w:rPr>
            </w:pPr>
            <w:r w:rsidRPr="003A63D6">
              <w:rPr>
                <w:rFonts w:eastAsia="Times New Roman"/>
                <w:sz w:val="20"/>
                <w:szCs w:val="20"/>
              </w:rPr>
              <w:t>Family Health Care Network</w:t>
            </w:r>
            <w:r>
              <w:rPr>
                <w:rFonts w:eastAsia="Times New Roman"/>
                <w:sz w:val="20"/>
                <w:szCs w:val="20"/>
              </w:rPr>
              <w:t>,</w:t>
            </w:r>
            <w:r w:rsidRPr="003A63D6">
              <w:rPr>
                <w:rFonts w:eastAsia="Times New Roman"/>
                <w:sz w:val="20"/>
                <w:szCs w:val="20"/>
              </w:rPr>
              <w:t xml:space="preserve"> Visalia, CA</w:t>
            </w:r>
          </w:p>
        </w:tc>
        <w:tc>
          <w:tcPr>
            <w:tcW w:w="1427" w:type="dxa"/>
            <w:shd w:val="clear" w:color="auto" w:fill="auto"/>
            <w:noWrap/>
            <w:hideMark/>
          </w:tcPr>
          <w:p w14:paraId="43B331F1" w14:textId="479E34E5" w:rsidR="00DA00CA" w:rsidRPr="003A63D6" w:rsidRDefault="00DA00CA" w:rsidP="00EE12DD">
            <w:pPr>
              <w:spacing w:after="0"/>
              <w:rPr>
                <w:rFonts w:eastAsia="Times New Roman"/>
                <w:sz w:val="20"/>
                <w:szCs w:val="20"/>
              </w:rPr>
            </w:pPr>
            <w:r w:rsidRPr="00C43E87">
              <w:rPr>
                <w:rFonts w:eastAsia="Times New Roman"/>
                <w:sz w:val="20"/>
                <w:szCs w:val="20"/>
              </w:rPr>
              <w:t>Yes</w:t>
            </w:r>
          </w:p>
        </w:tc>
        <w:tc>
          <w:tcPr>
            <w:tcW w:w="1093" w:type="dxa"/>
            <w:shd w:val="clear" w:color="auto" w:fill="auto"/>
            <w:noWrap/>
            <w:hideMark/>
          </w:tcPr>
          <w:p w14:paraId="4C8FB46E" w14:textId="78C5942F" w:rsidR="00DA00CA" w:rsidRPr="003A63D6" w:rsidRDefault="00DA00CA" w:rsidP="00EE12DD">
            <w:pPr>
              <w:spacing w:after="0"/>
              <w:rPr>
                <w:rFonts w:eastAsia="Times New Roman"/>
                <w:sz w:val="20"/>
                <w:szCs w:val="20"/>
              </w:rPr>
            </w:pPr>
            <w:r>
              <w:rPr>
                <w:rFonts w:eastAsia="Times New Roman"/>
                <w:sz w:val="20"/>
                <w:szCs w:val="20"/>
              </w:rPr>
              <w:t>Yes</w:t>
            </w:r>
          </w:p>
        </w:tc>
        <w:tc>
          <w:tcPr>
            <w:tcW w:w="1273" w:type="dxa"/>
            <w:shd w:val="clear" w:color="auto" w:fill="auto"/>
            <w:noWrap/>
            <w:hideMark/>
          </w:tcPr>
          <w:p w14:paraId="4009BD8C" w14:textId="32E05D43" w:rsidR="00DA00CA" w:rsidRPr="003A63D6" w:rsidRDefault="00DA00CA" w:rsidP="00EE12DD">
            <w:pPr>
              <w:spacing w:after="0"/>
              <w:rPr>
                <w:rFonts w:eastAsia="Times New Roman"/>
                <w:sz w:val="20"/>
                <w:szCs w:val="20"/>
              </w:rPr>
            </w:pPr>
            <w:r w:rsidRPr="00CC62A1">
              <w:rPr>
                <w:rFonts w:eastAsia="Times New Roman"/>
                <w:sz w:val="20"/>
                <w:szCs w:val="20"/>
              </w:rPr>
              <w:t>No</w:t>
            </w:r>
          </w:p>
        </w:tc>
        <w:tc>
          <w:tcPr>
            <w:tcW w:w="900" w:type="dxa"/>
            <w:shd w:val="clear" w:color="auto" w:fill="auto"/>
            <w:noWrap/>
            <w:hideMark/>
          </w:tcPr>
          <w:p w14:paraId="50B978AD" w14:textId="77777777" w:rsidR="00DA00CA" w:rsidRPr="003A63D6" w:rsidRDefault="00DA00CA" w:rsidP="00EE12DD">
            <w:pPr>
              <w:spacing w:after="0"/>
              <w:rPr>
                <w:rFonts w:eastAsia="Times New Roman"/>
                <w:sz w:val="20"/>
                <w:szCs w:val="20"/>
              </w:rPr>
            </w:pPr>
            <w:r w:rsidRPr="003A63D6">
              <w:rPr>
                <w:rFonts w:eastAsia="Times New Roman"/>
                <w:sz w:val="20"/>
                <w:szCs w:val="20"/>
              </w:rPr>
              <w:t>Rural</w:t>
            </w:r>
          </w:p>
        </w:tc>
        <w:tc>
          <w:tcPr>
            <w:tcW w:w="1337" w:type="dxa"/>
            <w:shd w:val="clear" w:color="auto" w:fill="auto"/>
            <w:noWrap/>
            <w:hideMark/>
          </w:tcPr>
          <w:p w14:paraId="7657765C" w14:textId="05223131" w:rsidR="00DA00CA" w:rsidRPr="003A63D6" w:rsidRDefault="00DA00CA" w:rsidP="00EE12DD">
            <w:pPr>
              <w:spacing w:after="0"/>
              <w:rPr>
                <w:rFonts w:eastAsia="Times New Roman"/>
                <w:sz w:val="20"/>
                <w:szCs w:val="20"/>
              </w:rPr>
            </w:pPr>
            <w:r w:rsidRPr="003A63D6">
              <w:rPr>
                <w:rFonts w:eastAsia="Times New Roman"/>
                <w:sz w:val="20"/>
                <w:szCs w:val="20"/>
              </w:rPr>
              <w:t> </w:t>
            </w:r>
            <w:r>
              <w:rPr>
                <w:rFonts w:eastAsia="Times New Roman"/>
                <w:sz w:val="20"/>
                <w:szCs w:val="20"/>
              </w:rPr>
              <w:t>Pacific</w:t>
            </w:r>
          </w:p>
        </w:tc>
        <w:tc>
          <w:tcPr>
            <w:tcW w:w="1620" w:type="dxa"/>
            <w:shd w:val="clear" w:color="auto" w:fill="auto"/>
            <w:noWrap/>
            <w:vAlign w:val="bottom"/>
            <w:hideMark/>
          </w:tcPr>
          <w:p w14:paraId="1464AEBF" w14:textId="77777777" w:rsidR="00DA00CA" w:rsidRPr="003A63D6" w:rsidRDefault="00DA00CA" w:rsidP="00EE12DD">
            <w:pPr>
              <w:spacing w:after="0"/>
              <w:rPr>
                <w:rFonts w:eastAsia="Times New Roman"/>
                <w:sz w:val="20"/>
                <w:szCs w:val="20"/>
              </w:rPr>
            </w:pPr>
            <w:r w:rsidRPr="003A63D6">
              <w:rPr>
                <w:rFonts w:eastAsia="Times New Roman"/>
                <w:sz w:val="20"/>
                <w:szCs w:val="20"/>
              </w:rPr>
              <w:t>Healthy Futures</w:t>
            </w:r>
          </w:p>
        </w:tc>
      </w:tr>
      <w:tr w:rsidR="00DA00CA" w:rsidRPr="003A63D6" w14:paraId="5BD37F27" w14:textId="77777777" w:rsidTr="00DA00CA">
        <w:tc>
          <w:tcPr>
            <w:tcW w:w="1620" w:type="dxa"/>
            <w:shd w:val="clear" w:color="auto" w:fill="auto"/>
            <w:noWrap/>
            <w:vAlign w:val="bottom"/>
            <w:hideMark/>
          </w:tcPr>
          <w:p w14:paraId="1DD818EC" w14:textId="40043D60" w:rsidR="00DA00CA" w:rsidRPr="003A63D6" w:rsidRDefault="00DA00CA" w:rsidP="00EE12DD">
            <w:pPr>
              <w:spacing w:after="0"/>
              <w:rPr>
                <w:rFonts w:eastAsia="Times New Roman"/>
                <w:sz w:val="20"/>
                <w:szCs w:val="20"/>
              </w:rPr>
            </w:pPr>
            <w:r w:rsidRPr="003A63D6">
              <w:rPr>
                <w:rFonts w:eastAsia="Times New Roman"/>
                <w:sz w:val="20"/>
                <w:szCs w:val="20"/>
              </w:rPr>
              <w:t>American Legion Auxiliary</w:t>
            </w:r>
          </w:p>
        </w:tc>
        <w:tc>
          <w:tcPr>
            <w:tcW w:w="1800" w:type="dxa"/>
            <w:shd w:val="clear" w:color="auto" w:fill="auto"/>
            <w:noWrap/>
            <w:vAlign w:val="bottom"/>
            <w:hideMark/>
          </w:tcPr>
          <w:p w14:paraId="0640D487" w14:textId="340FDD88" w:rsidR="00DA00CA" w:rsidRPr="003A63D6" w:rsidRDefault="00DA00CA" w:rsidP="00EE12DD">
            <w:pPr>
              <w:spacing w:after="0"/>
              <w:rPr>
                <w:rFonts w:eastAsia="Times New Roman"/>
                <w:sz w:val="20"/>
                <w:szCs w:val="20"/>
              </w:rPr>
            </w:pPr>
            <w:r w:rsidRPr="003A63D6">
              <w:rPr>
                <w:rFonts w:eastAsia="Times New Roman"/>
                <w:sz w:val="20"/>
                <w:szCs w:val="20"/>
              </w:rPr>
              <w:t>Volunteers of America Indiana</w:t>
            </w:r>
            <w:r>
              <w:rPr>
                <w:rFonts w:eastAsia="Times New Roman"/>
                <w:sz w:val="20"/>
                <w:szCs w:val="20"/>
              </w:rPr>
              <w:t>,</w:t>
            </w:r>
            <w:r w:rsidRPr="003A63D6">
              <w:rPr>
                <w:rFonts w:eastAsia="Times New Roman"/>
                <w:sz w:val="20"/>
                <w:szCs w:val="20"/>
              </w:rPr>
              <w:t xml:space="preserve"> Fort Wayne, IN</w:t>
            </w:r>
          </w:p>
        </w:tc>
        <w:tc>
          <w:tcPr>
            <w:tcW w:w="1427" w:type="dxa"/>
            <w:shd w:val="clear" w:color="auto" w:fill="auto"/>
            <w:noWrap/>
            <w:hideMark/>
          </w:tcPr>
          <w:p w14:paraId="0025FAC4" w14:textId="4E58D827" w:rsidR="00DA00CA" w:rsidRPr="003A63D6" w:rsidRDefault="00DA00CA" w:rsidP="00EE12DD">
            <w:pPr>
              <w:spacing w:after="0"/>
              <w:rPr>
                <w:rFonts w:eastAsia="Times New Roman"/>
                <w:sz w:val="20"/>
                <w:szCs w:val="20"/>
              </w:rPr>
            </w:pPr>
            <w:r w:rsidRPr="00C43E87">
              <w:rPr>
                <w:rFonts w:eastAsia="Times New Roman"/>
                <w:sz w:val="20"/>
                <w:szCs w:val="20"/>
              </w:rPr>
              <w:t>Yes</w:t>
            </w:r>
          </w:p>
        </w:tc>
        <w:tc>
          <w:tcPr>
            <w:tcW w:w="1093" w:type="dxa"/>
            <w:shd w:val="clear" w:color="auto" w:fill="auto"/>
            <w:noWrap/>
            <w:hideMark/>
          </w:tcPr>
          <w:p w14:paraId="4C11DBC3" w14:textId="2BF3B7E5" w:rsidR="00DA00CA" w:rsidRPr="003A63D6" w:rsidRDefault="00DA00CA" w:rsidP="00EE12DD">
            <w:pPr>
              <w:spacing w:after="0"/>
              <w:rPr>
                <w:rFonts w:eastAsia="Times New Roman"/>
                <w:sz w:val="20"/>
                <w:szCs w:val="20"/>
              </w:rPr>
            </w:pPr>
            <w:r>
              <w:rPr>
                <w:rFonts w:eastAsia="Times New Roman"/>
                <w:sz w:val="20"/>
                <w:szCs w:val="20"/>
              </w:rPr>
              <w:t>No</w:t>
            </w:r>
          </w:p>
        </w:tc>
        <w:tc>
          <w:tcPr>
            <w:tcW w:w="1273" w:type="dxa"/>
            <w:shd w:val="clear" w:color="auto" w:fill="auto"/>
            <w:noWrap/>
            <w:hideMark/>
          </w:tcPr>
          <w:p w14:paraId="6428A846" w14:textId="0516AE9F" w:rsidR="00DA00CA" w:rsidRPr="003A63D6" w:rsidRDefault="00DA00CA" w:rsidP="00EE12DD">
            <w:pPr>
              <w:spacing w:after="0"/>
              <w:rPr>
                <w:rFonts w:eastAsia="Times New Roman"/>
                <w:sz w:val="20"/>
                <w:szCs w:val="20"/>
              </w:rPr>
            </w:pPr>
            <w:r>
              <w:rPr>
                <w:rFonts w:eastAsia="Times New Roman"/>
                <w:sz w:val="20"/>
                <w:szCs w:val="20"/>
              </w:rPr>
              <w:t>No</w:t>
            </w:r>
          </w:p>
        </w:tc>
        <w:tc>
          <w:tcPr>
            <w:tcW w:w="900" w:type="dxa"/>
            <w:shd w:val="clear" w:color="auto" w:fill="auto"/>
            <w:noWrap/>
            <w:hideMark/>
          </w:tcPr>
          <w:p w14:paraId="06CC64E4" w14:textId="77777777" w:rsidR="00DA00CA" w:rsidRPr="003A63D6" w:rsidRDefault="00DA00CA" w:rsidP="00EE12DD">
            <w:pPr>
              <w:spacing w:after="0"/>
              <w:rPr>
                <w:rFonts w:eastAsia="Times New Roman"/>
                <w:sz w:val="20"/>
                <w:szCs w:val="20"/>
              </w:rPr>
            </w:pPr>
            <w:r w:rsidRPr="003A63D6">
              <w:rPr>
                <w:rFonts w:eastAsia="Times New Roman"/>
                <w:sz w:val="20"/>
                <w:szCs w:val="20"/>
              </w:rPr>
              <w:t>Rural</w:t>
            </w:r>
          </w:p>
        </w:tc>
        <w:tc>
          <w:tcPr>
            <w:tcW w:w="1337" w:type="dxa"/>
            <w:shd w:val="clear" w:color="auto" w:fill="auto"/>
            <w:noWrap/>
            <w:hideMark/>
          </w:tcPr>
          <w:p w14:paraId="6A474209" w14:textId="0BC5E672" w:rsidR="00DA00CA" w:rsidRPr="003A63D6" w:rsidRDefault="00DA00CA" w:rsidP="00EE12DD">
            <w:pPr>
              <w:spacing w:after="0"/>
              <w:rPr>
                <w:rFonts w:eastAsia="Times New Roman"/>
                <w:sz w:val="20"/>
                <w:szCs w:val="20"/>
              </w:rPr>
            </w:pPr>
            <w:r w:rsidRPr="003A63D6">
              <w:rPr>
                <w:rFonts w:eastAsia="Times New Roman"/>
                <w:sz w:val="20"/>
                <w:szCs w:val="20"/>
              </w:rPr>
              <w:t> </w:t>
            </w:r>
            <w:r>
              <w:rPr>
                <w:rFonts w:eastAsia="Times New Roman"/>
                <w:sz w:val="20"/>
                <w:szCs w:val="20"/>
              </w:rPr>
              <w:t>East North Central</w:t>
            </w:r>
          </w:p>
        </w:tc>
        <w:tc>
          <w:tcPr>
            <w:tcW w:w="1620" w:type="dxa"/>
            <w:shd w:val="clear" w:color="auto" w:fill="auto"/>
            <w:noWrap/>
            <w:vAlign w:val="bottom"/>
            <w:hideMark/>
          </w:tcPr>
          <w:p w14:paraId="4ABD50D9" w14:textId="77777777" w:rsidR="00DA00CA" w:rsidRPr="003A63D6" w:rsidRDefault="00DA00CA" w:rsidP="00EE12DD">
            <w:pPr>
              <w:spacing w:after="0"/>
              <w:rPr>
                <w:rFonts w:eastAsia="Times New Roman"/>
                <w:sz w:val="20"/>
                <w:szCs w:val="20"/>
              </w:rPr>
            </w:pPr>
            <w:r w:rsidRPr="003A63D6">
              <w:rPr>
                <w:rFonts w:eastAsia="Times New Roman"/>
                <w:sz w:val="20"/>
                <w:szCs w:val="20"/>
              </w:rPr>
              <w:t>Veterans and Military Families</w:t>
            </w:r>
          </w:p>
        </w:tc>
      </w:tr>
    </w:tbl>
    <w:p w14:paraId="2AB77DE9" w14:textId="77777777" w:rsidR="00464F7C" w:rsidRDefault="00464F7C" w:rsidP="00EE12DD">
      <w:pPr>
        <w:autoSpaceDE w:val="0"/>
        <w:autoSpaceDN w:val="0"/>
      </w:pPr>
    </w:p>
    <w:p w14:paraId="1CEC9CF1" w14:textId="410C5729" w:rsidR="002169D0" w:rsidRDefault="002169D0" w:rsidP="00EE12DD">
      <w:pPr>
        <w:autoSpaceDE w:val="0"/>
        <w:autoSpaceDN w:val="0"/>
      </w:pPr>
      <w:r>
        <w:t>The four sites not selected did not f</w:t>
      </w:r>
      <w:r w:rsidR="00BB7615">
        <w:t>ully meet at least one criterion</w:t>
      </w:r>
      <w:r w:rsidR="005758C6">
        <w:t xml:space="preserve">.  </w:t>
      </w:r>
      <w:r w:rsidR="00BB7615">
        <w:t>The five selected sites met all criteria, and respondents from the sites were enthusiastic about the study.</w:t>
      </w:r>
    </w:p>
    <w:p w14:paraId="38B19E57" w14:textId="77777777" w:rsidR="00BB7615" w:rsidRDefault="00BB7615" w:rsidP="00EE12DD">
      <w:pPr>
        <w:autoSpaceDE w:val="0"/>
        <w:autoSpaceDN w:val="0"/>
      </w:pPr>
    </w:p>
    <w:p w14:paraId="66A6A1A4" w14:textId="49FB254B" w:rsidR="00A31EF3" w:rsidRDefault="00A31EF3" w:rsidP="00EE12DD">
      <w:pPr>
        <w:ind w:firstLine="720"/>
        <w:rPr>
          <w:i/>
          <w:sz w:val="23"/>
          <w:szCs w:val="23"/>
        </w:rPr>
      </w:pPr>
      <w:r>
        <w:rPr>
          <w:i/>
          <w:sz w:val="23"/>
          <w:szCs w:val="23"/>
        </w:rPr>
        <w:t xml:space="preserve">Respondent Universe </w:t>
      </w:r>
      <w:r w:rsidR="001471B9">
        <w:rPr>
          <w:i/>
          <w:sz w:val="23"/>
          <w:szCs w:val="23"/>
        </w:rPr>
        <w:t>for PAC Survey</w:t>
      </w:r>
    </w:p>
    <w:p w14:paraId="52871FEF" w14:textId="36E5FA86" w:rsidR="003732A7" w:rsidRDefault="003732A7" w:rsidP="00EE12DD">
      <w:pPr>
        <w:rPr>
          <w:sz w:val="23"/>
          <w:szCs w:val="23"/>
        </w:rPr>
      </w:pPr>
      <w:r w:rsidRPr="008807BD">
        <w:rPr>
          <w:sz w:val="23"/>
          <w:szCs w:val="23"/>
        </w:rPr>
        <w:t xml:space="preserve">Because network </w:t>
      </w:r>
      <w:r>
        <w:rPr>
          <w:sz w:val="23"/>
          <w:szCs w:val="23"/>
        </w:rPr>
        <w:t xml:space="preserve">analysis </w:t>
      </w:r>
      <w:r w:rsidRPr="008807BD">
        <w:rPr>
          <w:sz w:val="23"/>
          <w:szCs w:val="23"/>
        </w:rPr>
        <w:t xml:space="preserve">methods focus on relations among </w:t>
      </w:r>
      <w:r>
        <w:rPr>
          <w:sz w:val="23"/>
          <w:szCs w:val="23"/>
        </w:rPr>
        <w:t>organizations</w:t>
      </w:r>
      <w:r w:rsidRPr="008807BD">
        <w:rPr>
          <w:sz w:val="23"/>
          <w:szCs w:val="23"/>
        </w:rPr>
        <w:t xml:space="preserve">, </w:t>
      </w:r>
      <w:r>
        <w:rPr>
          <w:sz w:val="23"/>
          <w:szCs w:val="23"/>
        </w:rPr>
        <w:t>organizations c</w:t>
      </w:r>
      <w:r w:rsidRPr="008807BD">
        <w:rPr>
          <w:sz w:val="23"/>
          <w:szCs w:val="23"/>
        </w:rPr>
        <w:t>annot be sampled independently to be includ</w:t>
      </w:r>
      <w:r w:rsidRPr="00BC030F">
        <w:rPr>
          <w:sz w:val="23"/>
          <w:szCs w:val="23"/>
        </w:rPr>
        <w:t>ed as observations</w:t>
      </w:r>
      <w:r w:rsidR="005758C6">
        <w:rPr>
          <w:sz w:val="23"/>
          <w:szCs w:val="23"/>
        </w:rPr>
        <w:t xml:space="preserve">.  </w:t>
      </w:r>
      <w:r w:rsidRPr="00BC030F">
        <w:rPr>
          <w:sz w:val="23"/>
          <w:szCs w:val="23"/>
        </w:rPr>
        <w:t>If one organization</w:t>
      </w:r>
      <w:r w:rsidRPr="008807BD">
        <w:rPr>
          <w:sz w:val="23"/>
          <w:szCs w:val="23"/>
        </w:rPr>
        <w:t xml:space="preserve"> happens to be selected, then all </w:t>
      </w:r>
      <w:r>
        <w:rPr>
          <w:sz w:val="23"/>
          <w:szCs w:val="23"/>
        </w:rPr>
        <w:t xml:space="preserve">the </w:t>
      </w:r>
      <w:r w:rsidRPr="008807BD">
        <w:rPr>
          <w:sz w:val="23"/>
          <w:szCs w:val="23"/>
        </w:rPr>
        <w:t xml:space="preserve">other </w:t>
      </w:r>
      <w:r>
        <w:rPr>
          <w:sz w:val="23"/>
          <w:szCs w:val="23"/>
        </w:rPr>
        <w:t xml:space="preserve">organizations </w:t>
      </w:r>
      <w:r w:rsidRPr="00BC030F">
        <w:rPr>
          <w:sz w:val="23"/>
          <w:szCs w:val="23"/>
        </w:rPr>
        <w:t>it is connected to will need to be included</w:t>
      </w:r>
      <w:r>
        <w:rPr>
          <w:sz w:val="23"/>
          <w:szCs w:val="23"/>
        </w:rPr>
        <w:t xml:space="preserve"> in the sample</w:t>
      </w:r>
      <w:r w:rsidR="005758C6">
        <w:rPr>
          <w:sz w:val="23"/>
          <w:szCs w:val="23"/>
        </w:rPr>
        <w:t xml:space="preserve">.  </w:t>
      </w:r>
      <w:r w:rsidRPr="008807BD">
        <w:rPr>
          <w:sz w:val="23"/>
          <w:szCs w:val="23"/>
        </w:rPr>
        <w:t>As a result, network approaches tend to study whole populations by means of census, rather than by sample</w:t>
      </w:r>
      <w:r w:rsidR="005758C6">
        <w:rPr>
          <w:sz w:val="23"/>
          <w:szCs w:val="23"/>
        </w:rPr>
        <w:t xml:space="preserve">.  </w:t>
      </w:r>
      <w:r>
        <w:rPr>
          <w:sz w:val="23"/>
          <w:szCs w:val="23"/>
        </w:rPr>
        <w:t xml:space="preserve">The </w:t>
      </w:r>
      <w:r w:rsidR="00EE12DD">
        <w:rPr>
          <w:sz w:val="23"/>
          <w:szCs w:val="23"/>
        </w:rPr>
        <w:t>participants</w:t>
      </w:r>
      <w:r>
        <w:rPr>
          <w:sz w:val="23"/>
          <w:szCs w:val="23"/>
        </w:rPr>
        <w:t xml:space="preserve"> for this study will consist of all organizations within an AmeriCorps grantee community that work on the same focus area as the grantee</w:t>
      </w:r>
      <w:r w:rsidR="005758C6">
        <w:rPr>
          <w:sz w:val="23"/>
          <w:szCs w:val="23"/>
        </w:rPr>
        <w:t xml:space="preserve">.  </w:t>
      </w:r>
      <w:r>
        <w:rPr>
          <w:sz w:val="23"/>
          <w:szCs w:val="23"/>
        </w:rPr>
        <w:t>Because a census will be conducted, no complex sampling design will be used and survey weights will not be calculated</w:t>
      </w:r>
      <w:r w:rsidR="005758C6">
        <w:rPr>
          <w:sz w:val="23"/>
          <w:szCs w:val="23"/>
        </w:rPr>
        <w:t xml:space="preserve">.  </w:t>
      </w:r>
    </w:p>
    <w:p w14:paraId="11C2A652" w14:textId="0E2D4DC8" w:rsidR="003732A7" w:rsidRPr="009711D5" w:rsidRDefault="009711D5" w:rsidP="00EE12DD">
      <w:pPr>
        <w:rPr>
          <w:sz w:val="23"/>
          <w:szCs w:val="23"/>
        </w:rPr>
      </w:pPr>
      <w:r>
        <w:rPr>
          <w:sz w:val="23"/>
          <w:szCs w:val="23"/>
        </w:rPr>
        <w:t>Within the five sites chosen, the potential respondent universe is defined as all organizations in the geographic community providing services addressing the focus area of the ACSN grantee, including organizations in the private, public, non-profit, and religious sectors</w:t>
      </w:r>
      <w:r w:rsidR="005758C6">
        <w:rPr>
          <w:sz w:val="23"/>
          <w:szCs w:val="23"/>
        </w:rPr>
        <w:t xml:space="preserve">.  </w:t>
      </w:r>
      <w:r w:rsidR="00797995">
        <w:rPr>
          <w:sz w:val="23"/>
          <w:szCs w:val="23"/>
        </w:rPr>
        <w:t xml:space="preserve">Defining the </w:t>
      </w:r>
      <w:r w:rsidR="002203BA">
        <w:rPr>
          <w:sz w:val="23"/>
          <w:szCs w:val="23"/>
        </w:rPr>
        <w:t xml:space="preserve">network </w:t>
      </w:r>
      <w:r w:rsidR="00797995">
        <w:rPr>
          <w:sz w:val="23"/>
          <w:szCs w:val="23"/>
        </w:rPr>
        <w:t xml:space="preserve">boundary around a set of actors </w:t>
      </w:r>
      <w:r w:rsidR="002203BA">
        <w:rPr>
          <w:sz w:val="23"/>
          <w:szCs w:val="23"/>
        </w:rPr>
        <w:t>(</w:t>
      </w:r>
      <w:r w:rsidR="00797995">
        <w:rPr>
          <w:sz w:val="23"/>
          <w:szCs w:val="23"/>
        </w:rPr>
        <w:t>which in the case of this study is the population of organizations</w:t>
      </w:r>
      <w:r w:rsidR="002203BA">
        <w:rPr>
          <w:sz w:val="23"/>
          <w:szCs w:val="23"/>
        </w:rPr>
        <w:t xml:space="preserve"> in the grantee communities) </w:t>
      </w:r>
      <w:r w:rsidR="003732A7">
        <w:rPr>
          <w:sz w:val="23"/>
          <w:szCs w:val="23"/>
        </w:rPr>
        <w:t xml:space="preserve">is a key </w:t>
      </w:r>
      <w:r w:rsidR="00797995">
        <w:rPr>
          <w:sz w:val="23"/>
          <w:szCs w:val="23"/>
        </w:rPr>
        <w:t xml:space="preserve">step in </w:t>
      </w:r>
      <w:r w:rsidR="003732A7">
        <w:rPr>
          <w:sz w:val="23"/>
          <w:szCs w:val="23"/>
        </w:rPr>
        <w:t>designing a SNA</w:t>
      </w:r>
      <w:r w:rsidR="00A1394C">
        <w:rPr>
          <w:sz w:val="23"/>
          <w:szCs w:val="23"/>
        </w:rPr>
        <w:t>.</w:t>
      </w:r>
      <w:r w:rsidR="00866392">
        <w:rPr>
          <w:rStyle w:val="FootnoteReference"/>
          <w:sz w:val="23"/>
          <w:szCs w:val="23"/>
        </w:rPr>
        <w:footnoteReference w:id="1"/>
      </w:r>
      <w:r w:rsidR="003732A7">
        <w:rPr>
          <w:sz w:val="23"/>
          <w:szCs w:val="23"/>
        </w:rPr>
        <w:t xml:space="preserve"> Various approaches have been recommended</w:t>
      </w:r>
      <w:r w:rsidR="00DF5972">
        <w:rPr>
          <w:sz w:val="23"/>
          <w:szCs w:val="23"/>
        </w:rPr>
        <w:t>.</w:t>
      </w:r>
      <w:r w:rsidR="00866392">
        <w:rPr>
          <w:rStyle w:val="FootnoteReference"/>
          <w:sz w:val="23"/>
          <w:szCs w:val="23"/>
        </w:rPr>
        <w:footnoteReference w:id="2"/>
      </w:r>
      <w:r w:rsidR="00DF541D">
        <w:rPr>
          <w:sz w:val="23"/>
          <w:szCs w:val="23"/>
        </w:rPr>
        <w:t xml:space="preserve"> </w:t>
      </w:r>
      <w:r w:rsidR="00866392">
        <w:t xml:space="preserve"> </w:t>
      </w:r>
      <w:r w:rsidR="003732A7">
        <w:t>Our method will combine the positional and relationship-based approach</w:t>
      </w:r>
      <w:r w:rsidR="005758C6">
        <w:t xml:space="preserve">.  </w:t>
      </w:r>
      <w:r w:rsidR="003732A7">
        <w:t xml:space="preserve">The positional approach defines network membership depending on the presence of a specific attribute – in our case, the organization must exist in the geographical area and </w:t>
      </w:r>
      <w:r w:rsidR="00EE12DD">
        <w:t>in some way contribute to the objective of the grantees’ AmeriCorps interventions or services</w:t>
      </w:r>
      <w:r w:rsidR="005758C6">
        <w:t xml:space="preserve">.  </w:t>
      </w:r>
      <w:r w:rsidR="003732A7">
        <w:t>The relationship-based approach defines membership based on specific social relationships – in our case through snowball sampling, we will identify organizations that have relationships with others in the geographic and focus area</w:t>
      </w:r>
      <w:r w:rsidR="005758C6">
        <w:t xml:space="preserve">.  </w:t>
      </w:r>
      <w:r w:rsidR="003732A7">
        <w:t>This overall approach will exclude organizations that do not work in the geographical area, such as national support organizations like funders or umbrella organizations</w:t>
      </w:r>
      <w:r w:rsidR="005758C6">
        <w:t xml:space="preserve">.  </w:t>
      </w:r>
      <w:r w:rsidR="003732A7">
        <w:t>It will also exclude organizations that are in the same geographic area but have no relationship with any other organization</w:t>
      </w:r>
      <w:r w:rsidR="005758C6">
        <w:t xml:space="preserve">.  </w:t>
      </w:r>
      <w:r w:rsidR="003732A7">
        <w:t xml:space="preserve">This approach was selected to ensure that a manageable number of organizations would be included, </w:t>
      </w:r>
      <w:r w:rsidR="0045281E">
        <w:t>because as previously stated,</w:t>
      </w:r>
      <w:r w:rsidR="003732A7">
        <w:t xml:space="preserve"> collecting </w:t>
      </w:r>
      <w:r w:rsidR="0045281E">
        <w:t xml:space="preserve">primary </w:t>
      </w:r>
      <w:r w:rsidR="003732A7">
        <w:t>data for SNA requires a very high response rate and cannot be based on a sample.</w:t>
      </w:r>
    </w:p>
    <w:p w14:paraId="2ED5AF9B" w14:textId="6944A1E8" w:rsidR="00BC3936" w:rsidRPr="008414FF" w:rsidRDefault="00BC3936" w:rsidP="00EE12DD">
      <w:r w:rsidRPr="008414FF">
        <w:t xml:space="preserve">It is anticipated that in each of the five sites there will be at 50 organizations that work on the same focus area as the AmeriCorps grantee; the final </w:t>
      </w:r>
      <w:r w:rsidR="0045281E">
        <w:t>number of organizations</w:t>
      </w:r>
      <w:r w:rsidRPr="008414FF">
        <w:t xml:space="preserve"> surveyed is expected to be 250 respondents across the five sites</w:t>
      </w:r>
      <w:r w:rsidR="005758C6">
        <w:t xml:space="preserve">.  </w:t>
      </w:r>
      <w:r w:rsidRPr="008414FF">
        <w:t>The sample for each community should represent</w:t>
      </w:r>
      <w:r w:rsidR="0045281E">
        <w:t>, as close as possible,</w:t>
      </w:r>
      <w:r w:rsidRPr="008414FF">
        <w:t xml:space="preserve"> the universe of all possible respondents in order to get the most complete picture of the relationships among all of the organizations</w:t>
      </w:r>
      <w:r w:rsidR="0045281E">
        <w:t xml:space="preserve"> within the grantees’ networks</w:t>
      </w:r>
      <w:r w:rsidR="005758C6">
        <w:t xml:space="preserve">.  </w:t>
      </w:r>
      <w:r w:rsidRPr="008414FF">
        <w:t>Omitting any organizations from the network analysis could result in an inaccurate portrayal of the network characteristics as a whole.</w:t>
      </w:r>
    </w:p>
    <w:p w14:paraId="7471F2DB" w14:textId="01D594CB" w:rsidR="00BC3936" w:rsidRPr="00D1666E" w:rsidRDefault="00BC3936" w:rsidP="00EE12DD">
      <w:r w:rsidRPr="00D1666E">
        <w:t xml:space="preserve">Respondents to the PAC survey will be an individual </w:t>
      </w:r>
      <w:r w:rsidR="007B7139" w:rsidRPr="00D1666E">
        <w:t xml:space="preserve">within </w:t>
      </w:r>
      <w:r w:rsidRPr="00D1666E">
        <w:t>each organization</w:t>
      </w:r>
      <w:r w:rsidR="0045281E">
        <w:t>, authorized to speak on behalf of the organization,</w:t>
      </w:r>
      <w:r w:rsidR="007B7139" w:rsidRPr="00D1666E">
        <w:t xml:space="preserve"> that </w:t>
      </w:r>
      <w:r w:rsidRPr="00D1666E">
        <w:t>is most knowledgeable about that organization’s</w:t>
      </w:r>
      <w:r w:rsidR="007B7139" w:rsidRPr="00D1666E">
        <w:t xml:space="preserve"> collaborations, partnerships and interactions </w:t>
      </w:r>
      <w:r w:rsidRPr="00D1666E">
        <w:t>with other organizations in the geographic community working on the grantee’s focus area</w:t>
      </w:r>
      <w:r w:rsidR="005758C6">
        <w:t xml:space="preserve">.  </w:t>
      </w:r>
    </w:p>
    <w:p w14:paraId="6E15064C" w14:textId="1BA74305" w:rsidR="00DA679B" w:rsidRPr="009860F0" w:rsidRDefault="00D7417A" w:rsidP="00EE12DD">
      <w:r w:rsidRPr="009860F0">
        <w:t>The universe of respondents with potentially relevant knowledge is difficult to estimate and hence snowball sampling methods will be used to identify respondents for the PAC survey</w:t>
      </w:r>
      <w:r w:rsidR="005758C6">
        <w:t xml:space="preserve">.  </w:t>
      </w:r>
      <w:r w:rsidR="00110FF8" w:rsidRPr="009860F0">
        <w:t>An initial list of organizations will be put together through initial calls with the ACSN grantees and also through an environmental scan of the organizations in the community that work on the same focus area as the ACSN grantee</w:t>
      </w:r>
      <w:r w:rsidR="005758C6">
        <w:t xml:space="preserve">.  </w:t>
      </w:r>
      <w:r w:rsidR="00110FF8" w:rsidRPr="009860F0">
        <w:t xml:space="preserve">Then, </w:t>
      </w:r>
      <w:r w:rsidR="00D561BC" w:rsidRPr="009860F0">
        <w:t xml:space="preserve">snowball sampling will be used where existing respondents help </w:t>
      </w:r>
      <w:r w:rsidR="0045281E">
        <w:t xml:space="preserve">identify and </w:t>
      </w:r>
      <w:r w:rsidR="00D561BC" w:rsidRPr="009860F0">
        <w:t xml:space="preserve">recruit other respondents from organizations </w:t>
      </w:r>
      <w:r w:rsidR="0045281E">
        <w:t>with which</w:t>
      </w:r>
      <w:r w:rsidR="00D561BC" w:rsidRPr="009860F0">
        <w:t xml:space="preserve"> they interact the most</w:t>
      </w:r>
      <w:r w:rsidR="005758C6">
        <w:t xml:space="preserve">.  </w:t>
      </w:r>
      <w:r w:rsidR="0045281E">
        <w:t>We anticipate conducting three rounds of sampling, the first being with the grantees themselves, the second with the organizations identified by the grantee, and the third being with the organizations identified in the second round</w:t>
      </w:r>
      <w:r w:rsidR="005758C6">
        <w:t xml:space="preserve">.  </w:t>
      </w:r>
      <w:r w:rsidR="00D561BC" w:rsidRPr="009860F0">
        <w:t xml:space="preserve">This sampling technique is </w:t>
      </w:r>
      <w:r w:rsidR="00BC3936" w:rsidRPr="009860F0">
        <w:t>often</w:t>
      </w:r>
      <w:r w:rsidR="00D561BC" w:rsidRPr="009860F0">
        <w:t xml:space="preserve"> used in social network analysis </w:t>
      </w:r>
      <w:r w:rsidR="00BC3936" w:rsidRPr="009860F0">
        <w:t>where</w:t>
      </w:r>
      <w:r w:rsidR="00D561BC" w:rsidRPr="009860F0">
        <w:t xml:space="preserve"> it is </w:t>
      </w:r>
      <w:r w:rsidRPr="009860F0">
        <w:t>h</w:t>
      </w:r>
      <w:r w:rsidR="00D561BC" w:rsidRPr="009860F0">
        <w:t xml:space="preserve">ard to establish a sampling frame and it is assumed that cases are affiliated through links that can be </w:t>
      </w:r>
      <w:r w:rsidR="00AC1BB6" w:rsidRPr="009860F0">
        <w:t>used</w:t>
      </w:r>
      <w:r w:rsidR="00D561BC" w:rsidRPr="009860F0">
        <w:t xml:space="preserve"> to locate other respondents based on existing ones</w:t>
      </w:r>
      <w:r w:rsidR="005758C6">
        <w:t xml:space="preserve">.  </w:t>
      </w:r>
    </w:p>
    <w:p w14:paraId="395E672F" w14:textId="183FEEE6" w:rsidR="00110FF8" w:rsidRPr="00D1666E" w:rsidRDefault="001471B9" w:rsidP="00EE12DD">
      <w:pPr>
        <w:pStyle w:val="Heading2"/>
        <w:rPr>
          <w:rFonts w:ascii="Times New Roman" w:hAnsi="Times New Roman" w:cs="Times New Roman"/>
          <w:b w:val="0"/>
          <w:i/>
          <w:sz w:val="23"/>
          <w:szCs w:val="23"/>
        </w:rPr>
      </w:pPr>
      <w:r w:rsidRPr="001471B9">
        <w:rPr>
          <w:rFonts w:ascii="Times New Roman" w:hAnsi="Times New Roman" w:cs="Times New Roman"/>
        </w:rPr>
        <w:tab/>
      </w:r>
      <w:r w:rsidRPr="00A1394C">
        <w:rPr>
          <w:rFonts w:ascii="Times New Roman" w:hAnsi="Times New Roman" w:cs="Times New Roman"/>
          <w:b w:val="0"/>
          <w:i/>
          <w:sz w:val="23"/>
          <w:szCs w:val="23"/>
        </w:rPr>
        <w:t xml:space="preserve">Potential Bias </w:t>
      </w:r>
      <w:r w:rsidR="00A40F9D" w:rsidRPr="00A1394C">
        <w:rPr>
          <w:rFonts w:ascii="Times New Roman" w:hAnsi="Times New Roman" w:cs="Times New Roman"/>
          <w:b w:val="0"/>
          <w:i/>
          <w:sz w:val="23"/>
          <w:szCs w:val="23"/>
        </w:rPr>
        <w:t>from Using Snowball Sampling</w:t>
      </w:r>
    </w:p>
    <w:p w14:paraId="5AFF047C" w14:textId="206AC1EC" w:rsidR="00052976" w:rsidRDefault="005775FD" w:rsidP="00EE12DD">
      <w:r>
        <w:t>Potential biases can occur in social network a</w:t>
      </w:r>
      <w:r w:rsidR="00052976" w:rsidRPr="00A40F9D">
        <w:t>nalysis when snowball sampling is used</w:t>
      </w:r>
      <w:r w:rsidR="00D1666E">
        <w:t>.</w:t>
      </w:r>
      <w:r w:rsidR="0045281E">
        <w:rPr>
          <w:rStyle w:val="FootnoteReference"/>
        </w:rPr>
        <w:footnoteReference w:id="3"/>
      </w:r>
      <w:r w:rsidR="0045281E">
        <w:rPr>
          <w:vertAlign w:val="superscript"/>
        </w:rPr>
        <w:t>,</w:t>
      </w:r>
      <w:r w:rsidR="0045281E">
        <w:rPr>
          <w:rStyle w:val="FootnoteReference"/>
        </w:rPr>
        <w:footnoteReference w:id="4"/>
      </w:r>
      <w:r w:rsidR="0045281E">
        <w:rPr>
          <w:vertAlign w:val="superscript"/>
        </w:rPr>
        <w:t>,</w:t>
      </w:r>
      <w:r w:rsidR="00866392">
        <w:rPr>
          <w:rStyle w:val="FootnoteReference"/>
        </w:rPr>
        <w:footnoteReference w:id="5"/>
      </w:r>
      <w:r w:rsidR="0045281E">
        <w:rPr>
          <w:vertAlign w:val="superscript"/>
        </w:rPr>
        <w:t xml:space="preserve"> </w:t>
      </w:r>
      <w:r>
        <w:t>Some of the major limitations are</w:t>
      </w:r>
      <w:r w:rsidR="005758C6">
        <w:t xml:space="preserve">:  </w:t>
      </w:r>
      <w:r>
        <w:t xml:space="preserve">1) it does not yield a random sample and hence the results are not generalizable to the population of organizations; 2) the initial group of respondents selected via a convenience sample may introduce bias; 3) there is no guaranteed way to find all organizations in a population, 4) actors who are isolated or </w:t>
      </w:r>
      <w:r w:rsidR="0045281E">
        <w:t>not as well</w:t>
      </w:r>
      <w:r>
        <w:t xml:space="preserve"> connected are less likely to be mentioned or referred </w:t>
      </w:r>
      <w:r w:rsidR="0045281E">
        <w:t xml:space="preserve">to us </w:t>
      </w:r>
      <w:r>
        <w:t>and hence omitted from the network</w:t>
      </w:r>
      <w:r w:rsidR="005758C6">
        <w:t xml:space="preserve">.  </w:t>
      </w:r>
      <w:r>
        <w:t>Therefore there is bias towards inclusion of individuals with relationships that overemphasize connectedness</w:t>
      </w:r>
      <w:r w:rsidR="005758C6">
        <w:t xml:space="preserve">.  </w:t>
      </w:r>
      <w:r>
        <w:t>These biases will be discussed as limitations in any publications or presentations produced using the study data.</w:t>
      </w:r>
    </w:p>
    <w:p w14:paraId="05AFC7F2" w14:textId="77777777" w:rsidR="00A1394C" w:rsidRPr="00A40F9D" w:rsidRDefault="00A1394C" w:rsidP="00EE12DD"/>
    <w:p w14:paraId="06B5DFC6" w14:textId="77777777" w:rsidR="00A751A0" w:rsidRDefault="00D60C05" w:rsidP="00EE12DD">
      <w:pPr>
        <w:pStyle w:val="Heading2"/>
      </w:pPr>
      <w:r w:rsidRPr="00A751A0">
        <w:t xml:space="preserve">B.2 </w:t>
      </w:r>
      <w:r w:rsidR="00A751A0" w:rsidRPr="00A751A0">
        <w:t xml:space="preserve">Information Collection </w:t>
      </w:r>
      <w:r w:rsidR="00A751A0">
        <w:t>P</w:t>
      </w:r>
      <w:r w:rsidRPr="00A751A0">
        <w:t>rocedures</w:t>
      </w:r>
      <w:bookmarkEnd w:id="2"/>
    </w:p>
    <w:p w14:paraId="0A5665EE" w14:textId="3D98B022" w:rsidR="00362849" w:rsidRDefault="00110FF8" w:rsidP="00EE12DD">
      <w:r>
        <w:t xml:space="preserve">Initial interviews with the </w:t>
      </w:r>
      <w:r w:rsidR="008807BD" w:rsidRPr="00457AB0">
        <w:t>ACSN grantee</w:t>
      </w:r>
      <w:r>
        <w:t>s in each</w:t>
      </w:r>
      <w:r w:rsidR="008807BD" w:rsidRPr="00457AB0">
        <w:t xml:space="preserve"> site </w:t>
      </w:r>
      <w:r w:rsidR="00362849" w:rsidRPr="00457AB0">
        <w:t xml:space="preserve">will be </w:t>
      </w:r>
      <w:r>
        <w:t>held to identify organizations they interact with, and contact information from key individuals from those organizations will be obtained</w:t>
      </w:r>
      <w:r w:rsidR="005758C6">
        <w:t xml:space="preserve">.  </w:t>
      </w:r>
      <w:r w:rsidR="00362849" w:rsidRPr="00457AB0">
        <w:t xml:space="preserve">Using snowball sampling, a list of 50 organizations per grantee will be compiled and </w:t>
      </w:r>
      <w:r w:rsidR="00D37982" w:rsidRPr="00457AB0">
        <w:t xml:space="preserve">a total of 250 </w:t>
      </w:r>
      <w:r w:rsidR="00362849" w:rsidRPr="00457AB0">
        <w:t>respondents will be s</w:t>
      </w:r>
      <w:r w:rsidR="00FE1721" w:rsidRPr="00457AB0">
        <w:t>ent a pre</w:t>
      </w:r>
      <w:r w:rsidR="007B7139">
        <w:t>-</w:t>
      </w:r>
      <w:r w:rsidR="00FE1721" w:rsidRPr="00457AB0">
        <w:t>notification letter and a formal email invitation</w:t>
      </w:r>
      <w:r w:rsidR="005758C6">
        <w:t xml:space="preserve">.  </w:t>
      </w:r>
      <w:r w:rsidR="00FE1721" w:rsidRPr="00D37982">
        <w:t xml:space="preserve">The formal invitation </w:t>
      </w:r>
      <w:r w:rsidR="00D37982" w:rsidRPr="00D37982">
        <w:t xml:space="preserve">will </w:t>
      </w:r>
      <w:r w:rsidR="00FE1721" w:rsidRPr="00D37982">
        <w:t>explain</w:t>
      </w:r>
      <w:r w:rsidR="00FE1721" w:rsidRPr="00457AB0">
        <w:t xml:space="preserve"> the survey, including the voluntary nature of survey completion, confidentiality, and the risks, benefits, and rights as respondents</w:t>
      </w:r>
      <w:r w:rsidR="005758C6">
        <w:t xml:space="preserve">.  </w:t>
      </w:r>
      <w:r w:rsidR="00FE1721" w:rsidRPr="00457AB0">
        <w:t>Non-responders will receive</w:t>
      </w:r>
      <w:r w:rsidR="00362849" w:rsidRPr="00457AB0">
        <w:t xml:space="preserve"> two email reminders and a postcard reminder</w:t>
      </w:r>
      <w:r w:rsidR="00FE1721" w:rsidRPr="00457AB0">
        <w:t xml:space="preserve">, a paper copy of the survey with return postage will be sent to them and finally the </w:t>
      </w:r>
      <w:r w:rsidR="00FE1721" w:rsidRPr="0045281E">
        <w:t>survey will be completed on the telephone with respondents that don’t complete the paper copy</w:t>
      </w:r>
      <w:r w:rsidR="005758C6">
        <w:t xml:space="preserve">.  </w:t>
      </w:r>
      <w:r w:rsidR="008A29E4" w:rsidRPr="0045281E">
        <w:t>(Attachment F</w:t>
      </w:r>
      <w:r w:rsidR="005758C6">
        <w:t xml:space="preserve">:  </w:t>
      </w:r>
      <w:r w:rsidR="008A29E4" w:rsidRPr="0045281E">
        <w:t>Email Reminder 1; Attachment G</w:t>
      </w:r>
      <w:r w:rsidR="005758C6">
        <w:t xml:space="preserve">:  </w:t>
      </w:r>
      <w:r w:rsidR="008A29E4" w:rsidRPr="0045281E">
        <w:t>Email Reminder 2; and Attachment H</w:t>
      </w:r>
      <w:r w:rsidR="005758C6">
        <w:t xml:space="preserve">:  </w:t>
      </w:r>
      <w:r w:rsidR="008A29E4" w:rsidRPr="0045281E">
        <w:t>Post Card Reminder)</w:t>
      </w:r>
      <w:r w:rsidR="005758C6">
        <w:t xml:space="preserve">.  </w:t>
      </w:r>
    </w:p>
    <w:p w14:paraId="452A5FF3" w14:textId="77777777" w:rsidR="00A1394C" w:rsidRDefault="00A1394C" w:rsidP="00EE12DD"/>
    <w:p w14:paraId="2F911B60" w14:textId="77777777" w:rsidR="00D60C05" w:rsidRDefault="00D60C05" w:rsidP="00EE12DD">
      <w:pPr>
        <w:pStyle w:val="Heading2"/>
      </w:pPr>
      <w:bookmarkStart w:id="3" w:name="_Toc389043832"/>
      <w:r>
        <w:t>B.3 Maximizing Response Rates</w:t>
      </w:r>
      <w:bookmarkEnd w:id="3"/>
    </w:p>
    <w:p w14:paraId="6CD40964" w14:textId="6044A993" w:rsidR="00F1215C" w:rsidRDefault="00F1215C" w:rsidP="00EE12DD">
      <w:r w:rsidRPr="000168D7">
        <w:t xml:space="preserve">We will employ a number of strategies to maximize response rates, including keeping all </w:t>
      </w:r>
      <w:r>
        <w:t>survey</w:t>
      </w:r>
      <w:r w:rsidRPr="000168D7">
        <w:t xml:space="preserve"> instruments short and simple</w:t>
      </w:r>
      <w:r w:rsidR="00362849">
        <w:t xml:space="preserve"> to minimize respondent burden</w:t>
      </w:r>
      <w:r w:rsidR="005758C6">
        <w:t xml:space="preserve">.  </w:t>
      </w:r>
      <w:r w:rsidR="00362849">
        <w:t>All participants will receive a pre-notification letter, a hyperlink to the survey, and then multiple reminders as necessary</w:t>
      </w:r>
      <w:r w:rsidR="005758C6">
        <w:t xml:space="preserve">.  </w:t>
      </w:r>
      <w:r>
        <w:t>Strategies that will be used to enhance the response likelihood include the following:</w:t>
      </w:r>
    </w:p>
    <w:p w14:paraId="34B43621" w14:textId="038796AC" w:rsidR="00E53BD7" w:rsidRDefault="00E53BD7" w:rsidP="00EE12DD">
      <w:pPr>
        <w:numPr>
          <w:ilvl w:val="0"/>
          <w:numId w:val="2"/>
        </w:numPr>
        <w:spacing w:after="0"/>
      </w:pPr>
      <w:r>
        <w:t>Many respondents will have been contacted in the snowball sampling, which will provide an initial contact regarding the survey</w:t>
      </w:r>
      <w:r w:rsidR="005758C6">
        <w:t xml:space="preserve">.  </w:t>
      </w:r>
      <w:r>
        <w:t>This will increase identification with the survey and respondent buy-in, as they will have contributed to the development of the sample.</w:t>
      </w:r>
    </w:p>
    <w:p w14:paraId="1D79212A" w14:textId="008D6423" w:rsidR="00F1215C" w:rsidRDefault="00F1215C" w:rsidP="00EE12DD">
      <w:pPr>
        <w:numPr>
          <w:ilvl w:val="0"/>
          <w:numId w:val="2"/>
        </w:numPr>
        <w:spacing w:after="0"/>
      </w:pPr>
      <w:r>
        <w:t>E-mail requests will be individualized by respondent name.</w:t>
      </w:r>
    </w:p>
    <w:p w14:paraId="4AFA0805" w14:textId="75FE596D" w:rsidR="00F1215C" w:rsidRDefault="00F1215C" w:rsidP="00EE12DD">
      <w:pPr>
        <w:numPr>
          <w:ilvl w:val="0"/>
          <w:numId w:val="2"/>
        </w:numPr>
        <w:spacing w:after="0"/>
      </w:pPr>
      <w:r>
        <w:t xml:space="preserve">The request will include </w:t>
      </w:r>
      <w:r w:rsidRPr="000168D7">
        <w:t>friendly and inviting</w:t>
      </w:r>
      <w:r>
        <w:t xml:space="preserve"> language and include an estimate of the short time required to complete the survey</w:t>
      </w:r>
      <w:r w:rsidR="005758C6">
        <w:t xml:space="preserve">.  </w:t>
      </w:r>
    </w:p>
    <w:p w14:paraId="751297C2" w14:textId="2189FB47" w:rsidR="00F1215C" w:rsidRDefault="00F1215C" w:rsidP="00EE12DD">
      <w:pPr>
        <w:numPr>
          <w:ilvl w:val="0"/>
          <w:numId w:val="2"/>
        </w:numPr>
        <w:spacing w:after="0"/>
      </w:pPr>
      <w:r w:rsidRPr="000168D7">
        <w:t>These e</w:t>
      </w:r>
      <w:r>
        <w:t>-</w:t>
      </w:r>
      <w:r w:rsidRPr="000168D7">
        <w:t xml:space="preserve">mail requests will convey the </w:t>
      </w:r>
      <w:r>
        <w:t>potential value of results to respondents</w:t>
      </w:r>
      <w:r w:rsidRPr="000168D7">
        <w:t xml:space="preserve">, and will indicate that the </w:t>
      </w:r>
      <w:r w:rsidR="00270F29">
        <w:t xml:space="preserve">respondents’ identities </w:t>
      </w:r>
      <w:r w:rsidRPr="000168D7">
        <w:t xml:space="preserve">will not be identified to any </w:t>
      </w:r>
      <w:r w:rsidR="00270F29">
        <w:t>g</w:t>
      </w:r>
      <w:r w:rsidRPr="000168D7">
        <w:t xml:space="preserve">overnment </w:t>
      </w:r>
      <w:r w:rsidR="00270F29">
        <w:t>a</w:t>
      </w:r>
      <w:r w:rsidRPr="000168D7">
        <w:t>gency</w:t>
      </w:r>
      <w:r w:rsidR="005758C6">
        <w:t xml:space="preserve">.  </w:t>
      </w:r>
      <w:r w:rsidRPr="000168D7">
        <w:t xml:space="preserve"> </w:t>
      </w:r>
    </w:p>
    <w:p w14:paraId="6554D58D" w14:textId="77777777" w:rsidR="00362849" w:rsidRDefault="00F1215C" w:rsidP="00EE12DD">
      <w:pPr>
        <w:numPr>
          <w:ilvl w:val="0"/>
          <w:numId w:val="2"/>
        </w:numPr>
        <w:spacing w:after="0"/>
      </w:pPr>
      <w:r>
        <w:t>Web-based survey r</w:t>
      </w:r>
      <w:r w:rsidRPr="001C2651">
        <w:t xml:space="preserve">espondents </w:t>
      </w:r>
      <w:r>
        <w:t xml:space="preserve">also will </w:t>
      </w:r>
      <w:r w:rsidRPr="001C2651">
        <w:t>be provided with a “resume” capability that allows them to break off the session mid-survey and then return to the survey at a later time to complete it without losing previously entered data</w:t>
      </w:r>
      <w:r>
        <w:t>.</w:t>
      </w:r>
    </w:p>
    <w:p w14:paraId="0291679B" w14:textId="4D4B1627" w:rsidR="00F1215C" w:rsidRPr="009D072D" w:rsidRDefault="00F1215C" w:rsidP="00EE12DD">
      <w:pPr>
        <w:numPr>
          <w:ilvl w:val="0"/>
          <w:numId w:val="2"/>
        </w:numPr>
        <w:spacing w:after="0"/>
      </w:pPr>
      <w:r w:rsidRPr="00D1666E">
        <w:t>Reminder e-mail notices will be sent to non-responders beginning 3 days after the initial invitation</w:t>
      </w:r>
      <w:r w:rsidR="005758C6">
        <w:t xml:space="preserve">.  </w:t>
      </w:r>
      <w:r w:rsidRPr="00D1666E">
        <w:t xml:space="preserve">A total of </w:t>
      </w:r>
      <w:r w:rsidR="00362849" w:rsidRPr="00D1666E">
        <w:t>2</w:t>
      </w:r>
      <w:r w:rsidRPr="00D1666E">
        <w:t xml:space="preserve"> reminders e-mails (1 week apart), which include a hyperlink to the Web-based survey, will be sent to non-responders</w:t>
      </w:r>
      <w:r w:rsidR="005758C6">
        <w:t xml:space="preserve">.  </w:t>
      </w:r>
      <w:r w:rsidR="00362849" w:rsidRPr="00D1666E">
        <w:t>Respondents will also receive a post-card reminder</w:t>
      </w:r>
      <w:r w:rsidR="005758C6">
        <w:t xml:space="preserve">.  </w:t>
      </w:r>
      <w:r w:rsidR="00362849" w:rsidRPr="00D1666E">
        <w:t xml:space="preserve">If they still do not respond, a paper copy of the survey with return postage will be sent to them and finally the survey will </w:t>
      </w:r>
      <w:r w:rsidR="00270F29">
        <w:t xml:space="preserve">attempt to </w:t>
      </w:r>
      <w:r w:rsidR="00362849" w:rsidRPr="00D1666E">
        <w:t>be completed on the telephone with respondents that don’t complete the paper copy</w:t>
      </w:r>
      <w:r w:rsidR="005758C6">
        <w:t xml:space="preserve">.  </w:t>
      </w:r>
    </w:p>
    <w:p w14:paraId="7ADB6C6C" w14:textId="3B6BCC19" w:rsidR="006028BC" w:rsidRDefault="006028BC" w:rsidP="00EE12DD">
      <w:pPr>
        <w:pStyle w:val="ListParagraph"/>
        <w:numPr>
          <w:ilvl w:val="0"/>
          <w:numId w:val="2"/>
        </w:numPr>
      </w:pPr>
      <w:bookmarkStart w:id="4" w:name="_GoBack"/>
      <w:bookmarkEnd w:id="4"/>
      <w:r>
        <w:t>Respondents will be provided a copy of the final report when it is complete, which will have general assessments of the extent of collaboration in the network, as well as recommendations on how collaboration can be improved.</w:t>
      </w:r>
    </w:p>
    <w:p w14:paraId="31819E12" w14:textId="26251807" w:rsidR="006028BC" w:rsidRDefault="006028BC" w:rsidP="00EE12DD">
      <w:pPr>
        <w:pStyle w:val="ListParagraph"/>
        <w:numPr>
          <w:ilvl w:val="0"/>
          <w:numId w:val="2"/>
        </w:numPr>
      </w:pPr>
      <w:r>
        <w:t>Through the snowball sampling procedure, we hope to identify leaders in the community who will be willing to be champions of the survey effort</w:t>
      </w:r>
      <w:r w:rsidR="005758C6">
        <w:t xml:space="preserve">.  </w:t>
      </w:r>
      <w:r>
        <w:t>The status of these leaders may serve to increase the response rate by validating the survey and raising awareness of the benefits of the survey to the community.</w:t>
      </w:r>
    </w:p>
    <w:p w14:paraId="15964ED7" w14:textId="3F684836" w:rsidR="00E53BD7" w:rsidRDefault="00E53BD7" w:rsidP="00EE12DD">
      <w:r>
        <w:t xml:space="preserve">We expect to achieve at least an 80 percent response rate, and hope to achieve over a 90 percent response rate given the intensity of contact and buy-in </w:t>
      </w:r>
      <w:r w:rsidR="00221512">
        <w:t>we plan on obtaining from respondents</w:t>
      </w:r>
      <w:r w:rsidR="005758C6">
        <w:t xml:space="preserve">.  </w:t>
      </w:r>
      <w:r w:rsidR="00221512">
        <w:t>Although we will not calculate non-response weights, we will conduct a non-response bias analysis</w:t>
      </w:r>
      <w:r w:rsidR="005758C6">
        <w:t xml:space="preserve">.  </w:t>
      </w:r>
      <w:r w:rsidR="009C73D1">
        <w:t>The analysis will be based on a limited amount of information available on organizations identified in the snowball sampling that can be obtained from publicly available sources</w:t>
      </w:r>
      <w:r w:rsidR="005758C6">
        <w:t xml:space="preserve">.  </w:t>
      </w:r>
      <w:r w:rsidR="009C73D1">
        <w:t>We anticipate having at a minimum:</w:t>
      </w:r>
    </w:p>
    <w:p w14:paraId="4D9DDAE5" w14:textId="2D96CC06" w:rsidR="009C73D1" w:rsidRDefault="009C73D1" w:rsidP="00EE12DD">
      <w:pPr>
        <w:pStyle w:val="ListParagraph"/>
        <w:numPr>
          <w:ilvl w:val="0"/>
          <w:numId w:val="10"/>
        </w:numPr>
      </w:pPr>
      <w:r>
        <w:t>Organizational sector.</w:t>
      </w:r>
    </w:p>
    <w:p w14:paraId="0D2E1CC8" w14:textId="0003D1DD" w:rsidR="009C73D1" w:rsidRDefault="009C73D1" w:rsidP="00EE12DD">
      <w:pPr>
        <w:pStyle w:val="ListParagraph"/>
        <w:numPr>
          <w:ilvl w:val="0"/>
          <w:numId w:val="10"/>
        </w:numPr>
      </w:pPr>
      <w:r>
        <w:t>Approximate organization size.</w:t>
      </w:r>
    </w:p>
    <w:p w14:paraId="70BFED48" w14:textId="38B7D8C5" w:rsidR="009C73D1" w:rsidRDefault="009C73D1" w:rsidP="00EE12DD">
      <w:pPr>
        <w:pStyle w:val="ListParagraph"/>
        <w:numPr>
          <w:ilvl w:val="0"/>
          <w:numId w:val="10"/>
        </w:numPr>
      </w:pPr>
      <w:r>
        <w:t>Organization funding (based on 990 records for non-profits and religious organizations; public financial reporting for businesses required to do so; publicly-available budgets for government entities; non-existent for small businesses and non-profits that do not file public financial reports).</w:t>
      </w:r>
    </w:p>
    <w:p w14:paraId="74BEA7AF" w14:textId="77777777" w:rsidR="00A80330" w:rsidRDefault="00A80330" w:rsidP="00270F29">
      <w:pPr>
        <w:pStyle w:val="ListParagraph"/>
      </w:pPr>
    </w:p>
    <w:p w14:paraId="1008DE25" w14:textId="77777777" w:rsidR="00D60C05" w:rsidRPr="00F1215C" w:rsidRDefault="00D60C05" w:rsidP="00EE12DD">
      <w:pPr>
        <w:pStyle w:val="Heading2"/>
      </w:pPr>
      <w:bookmarkStart w:id="5" w:name="_Toc389043833"/>
      <w:r w:rsidRPr="0031019C">
        <w:t xml:space="preserve">B.4 </w:t>
      </w:r>
      <w:r w:rsidR="00F1215C" w:rsidRPr="00BB7615">
        <w:t>Tests of Procedures</w:t>
      </w:r>
      <w:bookmarkEnd w:id="5"/>
    </w:p>
    <w:p w14:paraId="3F3EEEE2" w14:textId="09E4C210" w:rsidR="00105A17" w:rsidRPr="00FB092A" w:rsidRDefault="00336B4A" w:rsidP="00EE12DD">
      <w:r w:rsidRPr="008755CB">
        <w:t xml:space="preserve">The </w:t>
      </w:r>
      <w:r w:rsidR="00F1215C" w:rsidRPr="008755CB">
        <w:t>survey</w:t>
      </w:r>
      <w:r w:rsidRPr="008755CB">
        <w:t xml:space="preserve"> instruments have been reviewed extensively by the </w:t>
      </w:r>
      <w:r w:rsidR="00706141">
        <w:t>Office of Research &amp;</w:t>
      </w:r>
      <w:r w:rsidR="006028BC">
        <w:t xml:space="preserve"> Evaluation</w:t>
      </w:r>
      <w:r w:rsidR="00706141">
        <w:t xml:space="preserve">, the research team at </w:t>
      </w:r>
      <w:r w:rsidR="006028BC">
        <w:t>ICF International, and outside experts in social network analysis</w:t>
      </w:r>
      <w:r w:rsidR="005758C6">
        <w:t xml:space="preserve">.  </w:t>
      </w:r>
    </w:p>
    <w:p w14:paraId="4E130A2B" w14:textId="263F9D66" w:rsidR="00182AB3" w:rsidRPr="00D1666E" w:rsidRDefault="00182AB3" w:rsidP="00EE12DD">
      <w:pPr>
        <w:pStyle w:val="BodyText"/>
        <w:spacing w:line="360" w:lineRule="auto"/>
        <w:rPr>
          <w:sz w:val="24"/>
          <w:szCs w:val="24"/>
        </w:rPr>
      </w:pPr>
      <w:bookmarkStart w:id="6" w:name="_Toc389043834"/>
      <w:r w:rsidRPr="00D1666E">
        <w:rPr>
          <w:sz w:val="24"/>
          <w:szCs w:val="24"/>
        </w:rPr>
        <w:t>The survey was subjected to cognitive testing conducted by ICF International</w:t>
      </w:r>
      <w:r w:rsidR="005758C6">
        <w:rPr>
          <w:sz w:val="24"/>
          <w:szCs w:val="24"/>
        </w:rPr>
        <w:t xml:space="preserve">.  </w:t>
      </w:r>
      <w:r w:rsidRPr="00D1666E">
        <w:rPr>
          <w:sz w:val="24"/>
          <w:szCs w:val="24"/>
        </w:rPr>
        <w:t>The recruitment materials, consents, and PAC survey were piloted over the telephone with nine respondents from a CNCS grantee site from December 15, 2014 to January 15, 2015</w:t>
      </w:r>
      <w:r w:rsidR="005758C6">
        <w:rPr>
          <w:sz w:val="24"/>
          <w:szCs w:val="24"/>
        </w:rPr>
        <w:t xml:space="preserve">.  </w:t>
      </w:r>
      <w:r w:rsidRPr="00D1666E">
        <w:rPr>
          <w:sz w:val="24"/>
          <w:szCs w:val="24"/>
        </w:rPr>
        <w:t xml:space="preserve">The overall aim of the cognitive interviews was to </w:t>
      </w:r>
      <w:r w:rsidRPr="00D1666E">
        <w:rPr>
          <w:sz w:val="24"/>
          <w:szCs w:val="24"/>
          <w:lang w:val="x-none"/>
        </w:rPr>
        <w:t>test respondent comprehension</w:t>
      </w:r>
      <w:r w:rsidRPr="00D1666E">
        <w:rPr>
          <w:sz w:val="24"/>
          <w:szCs w:val="24"/>
        </w:rPr>
        <w:t xml:space="preserve"> of the survey protocol, to assess difficulty of the proposed questions, ensure clarity of the survey language, and identify complex conceptual issues that may not be readily obvious from simple reading of the questionnaire</w:t>
      </w:r>
      <w:r w:rsidR="005758C6">
        <w:rPr>
          <w:sz w:val="24"/>
          <w:szCs w:val="24"/>
        </w:rPr>
        <w:t xml:space="preserve">.  </w:t>
      </w:r>
      <w:r w:rsidRPr="00D1666E">
        <w:rPr>
          <w:sz w:val="24"/>
          <w:szCs w:val="24"/>
          <w:lang w:val="x-none"/>
        </w:rPr>
        <w:t>The cognitive interviews were kept to no more than an hour to avoid respondent fatigue</w:t>
      </w:r>
      <w:r w:rsidR="005758C6">
        <w:rPr>
          <w:sz w:val="24"/>
          <w:szCs w:val="24"/>
          <w:lang w:val="x-none"/>
        </w:rPr>
        <w:t xml:space="preserve">.  </w:t>
      </w:r>
    </w:p>
    <w:p w14:paraId="3071AE0D" w14:textId="77777777" w:rsidR="00182AB3" w:rsidRPr="00D1666E" w:rsidRDefault="00182AB3" w:rsidP="00EE12DD">
      <w:pPr>
        <w:pStyle w:val="BodyText"/>
        <w:spacing w:line="360" w:lineRule="auto"/>
        <w:rPr>
          <w:sz w:val="24"/>
          <w:szCs w:val="24"/>
        </w:rPr>
      </w:pPr>
    </w:p>
    <w:p w14:paraId="44B57A77" w14:textId="3DEAFFF1" w:rsidR="00E42FF9" w:rsidRPr="00D1666E" w:rsidRDefault="00182AB3" w:rsidP="00EE12DD">
      <w:pPr>
        <w:pStyle w:val="BodyText"/>
        <w:spacing w:line="360" w:lineRule="auto"/>
        <w:rPr>
          <w:sz w:val="24"/>
          <w:szCs w:val="24"/>
        </w:rPr>
      </w:pPr>
      <w:r w:rsidRPr="00D1666E">
        <w:rPr>
          <w:sz w:val="24"/>
          <w:szCs w:val="24"/>
          <w:lang w:val="x-none"/>
        </w:rPr>
        <w:t>Overall, respondents reacted positively to the survey and flow of the questions</w:t>
      </w:r>
      <w:r w:rsidR="005758C6">
        <w:rPr>
          <w:sz w:val="24"/>
          <w:szCs w:val="24"/>
        </w:rPr>
        <w:t xml:space="preserve">.  </w:t>
      </w:r>
      <w:r w:rsidR="00E42FF9" w:rsidRPr="00D1666E">
        <w:rPr>
          <w:sz w:val="24"/>
          <w:szCs w:val="24"/>
        </w:rPr>
        <w:t>Relevant comments from respondents included:</w:t>
      </w:r>
    </w:p>
    <w:p w14:paraId="1CAF08EF" w14:textId="1ABF9DBF" w:rsidR="00E42FF9" w:rsidRPr="00D1666E" w:rsidRDefault="00E42FF9" w:rsidP="00EE12DD">
      <w:pPr>
        <w:pStyle w:val="BodyText"/>
        <w:numPr>
          <w:ilvl w:val="0"/>
          <w:numId w:val="10"/>
        </w:numPr>
        <w:spacing w:line="360" w:lineRule="auto"/>
        <w:rPr>
          <w:sz w:val="24"/>
          <w:szCs w:val="24"/>
        </w:rPr>
      </w:pPr>
      <w:r w:rsidRPr="00D1666E">
        <w:rPr>
          <w:sz w:val="24"/>
          <w:szCs w:val="24"/>
        </w:rPr>
        <w:t xml:space="preserve">General agreement that the </w:t>
      </w:r>
      <w:r w:rsidR="00182AB3" w:rsidRPr="00D1666E">
        <w:rPr>
          <w:sz w:val="24"/>
          <w:szCs w:val="24"/>
          <w:lang w:val="x-none"/>
        </w:rPr>
        <w:t>survey was intuitive and the instructions were clear</w:t>
      </w:r>
      <w:r w:rsidR="005758C6">
        <w:rPr>
          <w:sz w:val="24"/>
          <w:szCs w:val="24"/>
          <w:lang w:val="x-none"/>
        </w:rPr>
        <w:t xml:space="preserve">.  </w:t>
      </w:r>
    </w:p>
    <w:p w14:paraId="4B79F660" w14:textId="39B750EB" w:rsidR="00182AB3" w:rsidRPr="00D1666E" w:rsidRDefault="00E42FF9" w:rsidP="00EE12DD">
      <w:pPr>
        <w:pStyle w:val="BodyText"/>
        <w:numPr>
          <w:ilvl w:val="0"/>
          <w:numId w:val="10"/>
        </w:numPr>
        <w:spacing w:line="360" w:lineRule="auto"/>
        <w:rPr>
          <w:sz w:val="24"/>
          <w:szCs w:val="24"/>
        </w:rPr>
      </w:pPr>
      <w:r w:rsidRPr="00D1666E">
        <w:rPr>
          <w:sz w:val="24"/>
          <w:szCs w:val="24"/>
        </w:rPr>
        <w:t xml:space="preserve">Agreement that </w:t>
      </w:r>
      <w:r w:rsidR="00182AB3" w:rsidRPr="00D1666E">
        <w:rPr>
          <w:sz w:val="24"/>
          <w:szCs w:val="24"/>
          <w:lang w:val="x-none"/>
        </w:rPr>
        <w:t>the qualitative</w:t>
      </w:r>
      <w:r w:rsidR="00182AB3" w:rsidRPr="00D1666E">
        <w:rPr>
          <w:sz w:val="24"/>
          <w:szCs w:val="24"/>
        </w:rPr>
        <w:t>, free-text</w:t>
      </w:r>
      <w:r w:rsidR="00182AB3" w:rsidRPr="00D1666E">
        <w:rPr>
          <w:sz w:val="24"/>
          <w:szCs w:val="24"/>
          <w:lang w:val="x-none"/>
        </w:rPr>
        <w:t xml:space="preserve"> questions were important and w</w:t>
      </w:r>
      <w:r w:rsidR="00182AB3" w:rsidRPr="00D1666E">
        <w:rPr>
          <w:sz w:val="24"/>
          <w:szCs w:val="24"/>
        </w:rPr>
        <w:t>ould</w:t>
      </w:r>
      <w:r w:rsidR="00182AB3" w:rsidRPr="00D1666E">
        <w:rPr>
          <w:sz w:val="24"/>
          <w:szCs w:val="24"/>
          <w:lang w:val="x-none"/>
        </w:rPr>
        <w:t xml:space="preserve"> provi</w:t>
      </w:r>
      <w:r w:rsidR="00182AB3" w:rsidRPr="00D1666E">
        <w:rPr>
          <w:sz w:val="24"/>
          <w:szCs w:val="24"/>
        </w:rPr>
        <w:t xml:space="preserve">de a more </w:t>
      </w:r>
      <w:r w:rsidR="00182AB3" w:rsidRPr="00D1666E">
        <w:rPr>
          <w:sz w:val="24"/>
          <w:szCs w:val="24"/>
          <w:lang w:val="x-none"/>
        </w:rPr>
        <w:t xml:space="preserve">in-depth understanding of the </w:t>
      </w:r>
      <w:r w:rsidR="00182AB3" w:rsidRPr="00D1666E">
        <w:rPr>
          <w:sz w:val="24"/>
          <w:szCs w:val="24"/>
        </w:rPr>
        <w:t>networks in their communities</w:t>
      </w:r>
      <w:r w:rsidR="005758C6">
        <w:rPr>
          <w:sz w:val="24"/>
          <w:szCs w:val="24"/>
          <w:lang w:val="x-none"/>
        </w:rPr>
        <w:t xml:space="preserve">.  </w:t>
      </w:r>
    </w:p>
    <w:p w14:paraId="7E779285" w14:textId="5629575E" w:rsidR="00E42FF9" w:rsidRPr="00D1666E" w:rsidRDefault="00E42FF9" w:rsidP="00EE12DD">
      <w:pPr>
        <w:pStyle w:val="BodyText"/>
        <w:numPr>
          <w:ilvl w:val="0"/>
          <w:numId w:val="10"/>
        </w:numPr>
        <w:spacing w:line="360" w:lineRule="auto"/>
        <w:rPr>
          <w:sz w:val="24"/>
          <w:szCs w:val="24"/>
        </w:rPr>
      </w:pPr>
      <w:r w:rsidRPr="00D1666E">
        <w:rPr>
          <w:sz w:val="24"/>
          <w:szCs w:val="24"/>
        </w:rPr>
        <w:t>Use of the term “your organization” was unclear</w:t>
      </w:r>
      <w:r w:rsidR="005758C6">
        <w:rPr>
          <w:sz w:val="24"/>
          <w:szCs w:val="24"/>
        </w:rPr>
        <w:t xml:space="preserve">.  </w:t>
      </w:r>
      <w:r w:rsidRPr="00D1666E">
        <w:rPr>
          <w:sz w:val="24"/>
          <w:szCs w:val="24"/>
        </w:rPr>
        <w:t>Some respondents did not know if this meant the entire organization, or just the specific office or department dealing with the target focus area</w:t>
      </w:r>
      <w:r w:rsidR="005758C6">
        <w:rPr>
          <w:sz w:val="24"/>
          <w:szCs w:val="24"/>
        </w:rPr>
        <w:t xml:space="preserve">.  </w:t>
      </w:r>
      <w:r w:rsidRPr="00D1666E">
        <w:rPr>
          <w:sz w:val="24"/>
          <w:szCs w:val="24"/>
        </w:rPr>
        <w:t>This was clarified in the final instrument.</w:t>
      </w:r>
    </w:p>
    <w:p w14:paraId="605DFF4E" w14:textId="563AC8A8" w:rsidR="00E42FF9" w:rsidRPr="00D1666E" w:rsidRDefault="00E42FF9" w:rsidP="00EE12DD">
      <w:pPr>
        <w:pStyle w:val="BodyText"/>
        <w:numPr>
          <w:ilvl w:val="0"/>
          <w:numId w:val="10"/>
        </w:numPr>
        <w:spacing w:line="360" w:lineRule="auto"/>
        <w:rPr>
          <w:sz w:val="24"/>
          <w:szCs w:val="24"/>
        </w:rPr>
      </w:pPr>
      <w:r w:rsidRPr="00D1666E">
        <w:rPr>
          <w:sz w:val="24"/>
          <w:szCs w:val="24"/>
        </w:rPr>
        <w:t>Wording was slightly modified on a number of items to ensure greater clarity in meaning.</w:t>
      </w:r>
    </w:p>
    <w:p w14:paraId="340C11F5" w14:textId="6C2D47E2" w:rsidR="00FB2D3C" w:rsidRDefault="00FB2D3C" w:rsidP="00EE12DD">
      <w:pPr>
        <w:pStyle w:val="BodyText"/>
        <w:numPr>
          <w:ilvl w:val="0"/>
          <w:numId w:val="10"/>
        </w:numPr>
        <w:spacing w:line="360" w:lineRule="auto"/>
        <w:rPr>
          <w:sz w:val="24"/>
          <w:szCs w:val="24"/>
        </w:rPr>
      </w:pPr>
      <w:r w:rsidRPr="009D072D">
        <w:rPr>
          <w:sz w:val="24"/>
          <w:szCs w:val="24"/>
        </w:rPr>
        <w:t>Respondents agreed that the length of the entire survey was reasonable</w:t>
      </w:r>
      <w:r w:rsidR="005758C6">
        <w:rPr>
          <w:sz w:val="24"/>
          <w:szCs w:val="24"/>
        </w:rPr>
        <w:t xml:space="preserve">.  </w:t>
      </w:r>
      <w:r w:rsidRPr="00D1666E">
        <w:rPr>
          <w:sz w:val="24"/>
          <w:szCs w:val="24"/>
        </w:rPr>
        <w:t>S</w:t>
      </w:r>
      <w:r w:rsidRPr="009D072D">
        <w:rPr>
          <w:sz w:val="24"/>
          <w:szCs w:val="24"/>
        </w:rPr>
        <w:t>everal respondents expressed concern about the length of time required to respond to additional questions on each organization that they interacted with</w:t>
      </w:r>
      <w:r w:rsidR="005758C6">
        <w:rPr>
          <w:sz w:val="24"/>
          <w:szCs w:val="24"/>
        </w:rPr>
        <w:t xml:space="preserve">.  </w:t>
      </w:r>
      <w:r w:rsidRPr="009D072D">
        <w:rPr>
          <w:sz w:val="24"/>
          <w:szCs w:val="24"/>
        </w:rPr>
        <w:t xml:space="preserve">In addition, </w:t>
      </w:r>
      <w:r w:rsidRPr="00D1666E">
        <w:rPr>
          <w:sz w:val="24"/>
          <w:szCs w:val="24"/>
        </w:rPr>
        <w:t>many respondents believed the definition used in the pilot questionnaire of “an organization you interact with” was too vague, and it was likely different respondents would interpret differently</w:t>
      </w:r>
      <w:r w:rsidR="005758C6">
        <w:rPr>
          <w:sz w:val="24"/>
          <w:szCs w:val="24"/>
        </w:rPr>
        <w:t xml:space="preserve">.  </w:t>
      </w:r>
      <w:r w:rsidRPr="00D1666E">
        <w:rPr>
          <w:sz w:val="24"/>
          <w:szCs w:val="24"/>
        </w:rPr>
        <w:t xml:space="preserve">Rather than a binary “yes/no” question, as was piloted, the final survey asks a Likert scale of increasing collaboration based on the Hogue </w:t>
      </w:r>
      <w:r w:rsidR="00C22909" w:rsidRPr="00D1666E">
        <w:rPr>
          <w:sz w:val="24"/>
          <w:szCs w:val="24"/>
        </w:rPr>
        <w:t>mode</w:t>
      </w:r>
      <w:r w:rsidRPr="00D1666E">
        <w:rPr>
          <w:sz w:val="24"/>
          <w:szCs w:val="24"/>
        </w:rPr>
        <w:t xml:space="preserve"> discussed in Part A of this justification</w:t>
      </w:r>
      <w:r w:rsidR="005758C6">
        <w:rPr>
          <w:sz w:val="24"/>
          <w:szCs w:val="24"/>
        </w:rPr>
        <w:t xml:space="preserve">.  </w:t>
      </w:r>
      <w:r w:rsidRPr="00D1666E">
        <w:rPr>
          <w:sz w:val="24"/>
          <w:szCs w:val="24"/>
        </w:rPr>
        <w:t>This is meant to A) provide greater anchoring to respondents on the nature of the relationship; and B) reduce respondent burden</w:t>
      </w:r>
      <w:r w:rsidR="005758C6">
        <w:rPr>
          <w:sz w:val="24"/>
          <w:szCs w:val="24"/>
        </w:rPr>
        <w:t xml:space="preserve">.  </w:t>
      </w:r>
      <w:r w:rsidRPr="00D1666E">
        <w:rPr>
          <w:sz w:val="24"/>
          <w:szCs w:val="24"/>
        </w:rPr>
        <w:t>The piloted survey asked five additional items related to any organization the respondent said “yes” to interacting with</w:t>
      </w:r>
      <w:r w:rsidR="005758C6">
        <w:rPr>
          <w:sz w:val="24"/>
          <w:szCs w:val="24"/>
        </w:rPr>
        <w:t xml:space="preserve">.  </w:t>
      </w:r>
      <w:r w:rsidRPr="00D1666E">
        <w:rPr>
          <w:sz w:val="24"/>
          <w:szCs w:val="24"/>
        </w:rPr>
        <w:t>The final survey reduces the additional items to two, and only asks them for organizations where the level of collaboration is of “coordination” or higher, which we believe will be more restrictive than the piloted instrument</w:t>
      </w:r>
      <w:r w:rsidR="005758C6">
        <w:rPr>
          <w:sz w:val="24"/>
          <w:szCs w:val="24"/>
        </w:rPr>
        <w:t xml:space="preserve">.  </w:t>
      </w:r>
      <w:r w:rsidR="00C22909" w:rsidRPr="00D1666E">
        <w:rPr>
          <w:sz w:val="24"/>
          <w:szCs w:val="24"/>
        </w:rPr>
        <w:t>The three items that were removed were seen as redundant with the question on the Hogue model</w:t>
      </w:r>
      <w:r w:rsidR="005758C6">
        <w:rPr>
          <w:sz w:val="24"/>
          <w:szCs w:val="24"/>
        </w:rPr>
        <w:t xml:space="preserve">.  </w:t>
      </w:r>
    </w:p>
    <w:p w14:paraId="5133E2D4" w14:textId="77777777" w:rsidR="00A80330" w:rsidRPr="00D1666E" w:rsidRDefault="00A80330" w:rsidP="00EE12DD">
      <w:pPr>
        <w:pStyle w:val="BodyText"/>
        <w:spacing w:line="360" w:lineRule="auto"/>
        <w:ind w:left="720"/>
        <w:rPr>
          <w:sz w:val="24"/>
          <w:szCs w:val="24"/>
        </w:rPr>
      </w:pPr>
    </w:p>
    <w:p w14:paraId="61279267" w14:textId="42DD6B9B" w:rsidR="00D60C05" w:rsidRDefault="00D60C05" w:rsidP="00EE12DD">
      <w:pPr>
        <w:pStyle w:val="Heading2"/>
      </w:pPr>
      <w:r>
        <w:t>B.5 Names and Telephone Numbers of Individuals Consulted</w:t>
      </w:r>
      <w:bookmarkEnd w:id="6"/>
      <w:r w:rsidR="005758C6">
        <w:t xml:space="preserve">.  </w:t>
      </w:r>
    </w:p>
    <w:p w14:paraId="462861F1" w14:textId="0E1503B2" w:rsidR="00D340BD" w:rsidRDefault="006F32D7" w:rsidP="00EE12DD">
      <w:pPr>
        <w:pStyle w:val="NoSpacing"/>
        <w:spacing w:line="360" w:lineRule="auto"/>
      </w:pPr>
      <w:r w:rsidRPr="005A20D4">
        <w:t xml:space="preserve">The organization responsible for </w:t>
      </w:r>
      <w:r w:rsidR="00D340BD">
        <w:t xml:space="preserve">study design and </w:t>
      </w:r>
      <w:r w:rsidRPr="005A20D4">
        <w:t xml:space="preserve">data collection activities </w:t>
      </w:r>
      <w:r w:rsidR="00D340BD">
        <w:t>is ICF International</w:t>
      </w:r>
      <w:r w:rsidR="005758C6">
        <w:t xml:space="preserve">.  </w:t>
      </w:r>
      <w:r w:rsidR="00D340BD">
        <w:t xml:space="preserve">Several individuals at CNCS </w:t>
      </w:r>
      <w:r>
        <w:t>Office of Research and Evaluation, led by Robin Ghertner, MPP</w:t>
      </w:r>
      <w:r w:rsidR="00D340BD">
        <w:t xml:space="preserve"> also participated in conceptualizing the design, methods and instruments</w:t>
      </w:r>
      <w:r w:rsidR="005758C6">
        <w:t xml:space="preserve">.  </w:t>
      </w:r>
      <w:r w:rsidR="00D340BD">
        <w:t>CNCS will be primarily responsible for data analysis.</w:t>
      </w:r>
    </w:p>
    <w:p w14:paraId="1642434E" w14:textId="77777777" w:rsidR="00D340BD" w:rsidRDefault="00D340BD" w:rsidP="00EE12DD">
      <w:pPr>
        <w:pStyle w:val="NoSpacing"/>
        <w:spacing w:line="360" w:lineRule="auto"/>
      </w:pPr>
    </w:p>
    <w:p w14:paraId="1D8A6A10" w14:textId="77777777" w:rsidR="00866392" w:rsidRDefault="00866392" w:rsidP="00EE12DD">
      <w:pPr>
        <w:pStyle w:val="NoSpacing"/>
        <w:spacing w:line="360" w:lineRule="auto"/>
      </w:pPr>
    </w:p>
    <w:p w14:paraId="071CB845" w14:textId="02F530DB" w:rsidR="00D340BD" w:rsidRDefault="00D340BD" w:rsidP="00EE12DD">
      <w:pPr>
        <w:pStyle w:val="NoSpacing"/>
        <w:spacing w:line="360" w:lineRule="auto"/>
      </w:pPr>
      <w:r>
        <w:t>CNCS Staff</w:t>
      </w:r>
      <w:r w:rsidR="005758C6">
        <w:t xml:space="preserve">:  </w:t>
      </w:r>
    </w:p>
    <w:p w14:paraId="73D5D3A1" w14:textId="77777777" w:rsidR="00BC0351" w:rsidRDefault="00D340BD" w:rsidP="00EE12DD">
      <w:pPr>
        <w:pStyle w:val="ListParagraph"/>
        <w:numPr>
          <w:ilvl w:val="0"/>
          <w:numId w:val="8"/>
        </w:numPr>
      </w:pPr>
      <w:r>
        <w:t>Robin Ghertner, MPP</w:t>
      </w:r>
    </w:p>
    <w:p w14:paraId="6D24B9E7" w14:textId="77777777" w:rsidR="00BC0351" w:rsidRDefault="00D340BD" w:rsidP="00EE12DD">
      <w:pPr>
        <w:pStyle w:val="ListParagraph"/>
      </w:pPr>
      <w:r>
        <w:t>Senior Research Ana</w:t>
      </w:r>
      <w:r w:rsidR="00BC0351">
        <w:t>lyst</w:t>
      </w:r>
    </w:p>
    <w:p w14:paraId="34FCBAD8" w14:textId="77777777" w:rsidR="00BC0351" w:rsidRDefault="00D340BD" w:rsidP="00EE12DD">
      <w:pPr>
        <w:pStyle w:val="ListParagraph"/>
      </w:pPr>
      <w:r>
        <w:t>Office of Research and Evaluation</w:t>
      </w:r>
    </w:p>
    <w:p w14:paraId="5E98C7E9" w14:textId="77777777" w:rsidR="00BC0351" w:rsidRDefault="00D340BD" w:rsidP="00EE12DD">
      <w:pPr>
        <w:pStyle w:val="ListParagraph"/>
      </w:pPr>
      <w:r>
        <w:t>Corporation for National and Community Service</w:t>
      </w:r>
    </w:p>
    <w:p w14:paraId="263A0E83" w14:textId="60850BC2" w:rsidR="00BC0351" w:rsidRDefault="00D340BD" w:rsidP="00EE12DD">
      <w:pPr>
        <w:pStyle w:val="ListParagraph"/>
      </w:pPr>
      <w:r>
        <w:t>Telephone Number</w:t>
      </w:r>
      <w:r w:rsidR="005758C6">
        <w:t xml:space="preserve">:  </w:t>
      </w:r>
      <w:r w:rsidRPr="00D340BD">
        <w:t>202-606-6772</w:t>
      </w:r>
    </w:p>
    <w:p w14:paraId="1C4B7B67" w14:textId="69047331" w:rsidR="00D340BD" w:rsidRDefault="00D340BD" w:rsidP="00EE12DD">
      <w:pPr>
        <w:pStyle w:val="ListParagraph"/>
      </w:pPr>
      <w:r>
        <w:t>Email Address</w:t>
      </w:r>
      <w:r w:rsidR="005758C6">
        <w:t xml:space="preserve">:  </w:t>
      </w:r>
      <w:hyperlink r:id="rId8" w:history="1">
        <w:r w:rsidRPr="0089595F">
          <w:rPr>
            <w:rStyle w:val="Hyperlink"/>
          </w:rPr>
          <w:t>rghertner@cns.gov</w:t>
        </w:r>
      </w:hyperlink>
    </w:p>
    <w:p w14:paraId="16C9E0A8" w14:textId="6623D6BB" w:rsidR="00BC0351" w:rsidRDefault="00D340BD" w:rsidP="00EE12DD">
      <w:pPr>
        <w:pStyle w:val="ListParagraph"/>
        <w:numPr>
          <w:ilvl w:val="0"/>
          <w:numId w:val="8"/>
        </w:numPr>
      </w:pPr>
      <w:r>
        <w:t>Anthony Nerino</w:t>
      </w:r>
      <w:r w:rsidR="004C74FA">
        <w:t>, MA</w:t>
      </w:r>
      <w:r>
        <w:t xml:space="preserve"> </w:t>
      </w:r>
    </w:p>
    <w:p w14:paraId="59BC5663" w14:textId="77777777" w:rsidR="00BC0351" w:rsidRDefault="00D340BD" w:rsidP="00EE12DD">
      <w:pPr>
        <w:pStyle w:val="ListParagraph"/>
      </w:pPr>
      <w:r>
        <w:t>Research Associate</w:t>
      </w:r>
    </w:p>
    <w:p w14:paraId="294AE723" w14:textId="77777777" w:rsidR="00BC0351" w:rsidRDefault="00D340BD" w:rsidP="00EE12DD">
      <w:pPr>
        <w:pStyle w:val="ListParagraph"/>
      </w:pPr>
      <w:r>
        <w:t>Office of Research and Evaluation</w:t>
      </w:r>
    </w:p>
    <w:p w14:paraId="3991F505" w14:textId="77777777" w:rsidR="00BC0351" w:rsidRDefault="00D340BD" w:rsidP="00EE12DD">
      <w:pPr>
        <w:pStyle w:val="ListParagraph"/>
      </w:pPr>
      <w:r>
        <w:t>Corporation for National and Community Service</w:t>
      </w:r>
    </w:p>
    <w:p w14:paraId="2F718959" w14:textId="7C852D78" w:rsidR="00BC0351" w:rsidRDefault="00D340BD" w:rsidP="00EE12DD">
      <w:pPr>
        <w:pStyle w:val="ListParagraph"/>
      </w:pPr>
      <w:r>
        <w:t>Telephone Number</w:t>
      </w:r>
      <w:r w:rsidR="005758C6">
        <w:t xml:space="preserve">:  </w:t>
      </w:r>
      <w:r>
        <w:t>202-606-3913</w:t>
      </w:r>
    </w:p>
    <w:p w14:paraId="31AEEE94" w14:textId="37CB6F9E" w:rsidR="00D340BD" w:rsidRDefault="00D340BD" w:rsidP="00EE12DD">
      <w:pPr>
        <w:pStyle w:val="ListParagraph"/>
      </w:pPr>
      <w:r>
        <w:t>Email Address</w:t>
      </w:r>
      <w:r w:rsidR="005758C6">
        <w:t xml:space="preserve">:  </w:t>
      </w:r>
      <w:hyperlink r:id="rId9" w:history="1">
        <w:r>
          <w:rPr>
            <w:rStyle w:val="Hyperlink"/>
          </w:rPr>
          <w:t>anerino@cns.gov</w:t>
        </w:r>
      </w:hyperlink>
    </w:p>
    <w:p w14:paraId="1F03760A" w14:textId="77777777" w:rsidR="00BC0351" w:rsidRDefault="004D1E58" w:rsidP="00EE12DD">
      <w:pPr>
        <w:pStyle w:val="ListParagraph"/>
        <w:numPr>
          <w:ilvl w:val="0"/>
          <w:numId w:val="8"/>
        </w:numPr>
        <w:ind w:left="360" w:firstLine="0"/>
      </w:pPr>
      <w:r>
        <w:t>Joseph Breems</w:t>
      </w:r>
    </w:p>
    <w:p w14:paraId="62D4220A" w14:textId="07F1A45F" w:rsidR="00BC0351" w:rsidRDefault="004C74FA" w:rsidP="00EE12DD">
      <w:pPr>
        <w:pStyle w:val="ListParagraph"/>
        <w:ind w:left="360" w:firstLine="360"/>
      </w:pPr>
      <w:r>
        <w:t xml:space="preserve">Research </w:t>
      </w:r>
      <w:r w:rsidR="004D1E58">
        <w:t>Fellow</w:t>
      </w:r>
    </w:p>
    <w:p w14:paraId="7F2AD39D" w14:textId="77777777" w:rsidR="00BC0351" w:rsidRDefault="004D1E58" w:rsidP="00EE12DD">
      <w:pPr>
        <w:pStyle w:val="ListParagraph"/>
        <w:ind w:left="360" w:firstLine="360"/>
      </w:pPr>
      <w:r>
        <w:t>Office of Research and Evaluation</w:t>
      </w:r>
    </w:p>
    <w:p w14:paraId="29052326" w14:textId="77777777" w:rsidR="00BC0351" w:rsidRDefault="004D1E58" w:rsidP="00EE12DD">
      <w:pPr>
        <w:pStyle w:val="ListParagraph"/>
        <w:ind w:left="360" w:firstLine="360"/>
      </w:pPr>
      <w:r>
        <w:t>Corporation for National and Community Service</w:t>
      </w:r>
    </w:p>
    <w:p w14:paraId="45223F0C" w14:textId="31DBE14F" w:rsidR="00BC0351" w:rsidRDefault="004D1E58" w:rsidP="00EE12DD">
      <w:pPr>
        <w:pStyle w:val="ListParagraph"/>
        <w:ind w:left="360" w:firstLine="360"/>
      </w:pPr>
      <w:r>
        <w:t>Telephone Number</w:t>
      </w:r>
      <w:r w:rsidR="005758C6">
        <w:t xml:space="preserve">:  </w:t>
      </w:r>
      <w:r>
        <w:t>202-606-6992</w:t>
      </w:r>
    </w:p>
    <w:p w14:paraId="4DD98BD2" w14:textId="77D76ED8" w:rsidR="004D1E58" w:rsidRDefault="004D1E58" w:rsidP="00EE12DD">
      <w:pPr>
        <w:pStyle w:val="ListParagraph"/>
        <w:ind w:left="360" w:firstLine="360"/>
      </w:pPr>
      <w:r>
        <w:t>Email Address</w:t>
      </w:r>
      <w:r w:rsidR="005758C6">
        <w:t xml:space="preserve">:  </w:t>
      </w:r>
      <w:hyperlink r:id="rId10" w:history="1">
        <w:r w:rsidRPr="004D1E58">
          <w:rPr>
            <w:rStyle w:val="Hyperlink"/>
          </w:rPr>
          <w:t>jbreems@cns.gov</w:t>
        </w:r>
      </w:hyperlink>
    </w:p>
    <w:p w14:paraId="2DD5D6AD" w14:textId="77777777" w:rsidR="004D1E58" w:rsidRDefault="004D1E58" w:rsidP="00EE12DD">
      <w:r>
        <w:t>ICF International</w:t>
      </w:r>
    </w:p>
    <w:p w14:paraId="7F996716" w14:textId="77777777" w:rsidR="004D1E58" w:rsidRDefault="004D1E58" w:rsidP="00EE12DD">
      <w:pPr>
        <w:pStyle w:val="ListParagraph"/>
        <w:numPr>
          <w:ilvl w:val="0"/>
          <w:numId w:val="9"/>
        </w:numPr>
        <w:ind w:left="360" w:firstLine="0"/>
      </w:pPr>
      <w:r>
        <w:t>Bhuvana Sukumar, Ph.D</w:t>
      </w:r>
    </w:p>
    <w:p w14:paraId="3B14B8B2" w14:textId="77777777" w:rsidR="004D1E58" w:rsidRDefault="004D1E58" w:rsidP="00EE12DD">
      <w:pPr>
        <w:pStyle w:val="ListParagraph"/>
      </w:pPr>
      <w:r>
        <w:t>Senior Manager</w:t>
      </w:r>
    </w:p>
    <w:p w14:paraId="24FE4854" w14:textId="77777777" w:rsidR="004D1E58" w:rsidRDefault="004D1E58" w:rsidP="00EE12DD">
      <w:pPr>
        <w:pStyle w:val="ListParagraph"/>
      </w:pPr>
      <w:r>
        <w:t xml:space="preserve">ICF International </w:t>
      </w:r>
    </w:p>
    <w:p w14:paraId="4A2972D1" w14:textId="6B504EE8" w:rsidR="004D1E58" w:rsidRDefault="004D1E58" w:rsidP="00EE12DD">
      <w:pPr>
        <w:pStyle w:val="ListParagraph"/>
      </w:pPr>
      <w:r>
        <w:t>Telephone Number</w:t>
      </w:r>
      <w:r w:rsidR="005758C6">
        <w:t xml:space="preserve">:  </w:t>
      </w:r>
      <w:r>
        <w:t>404-592-2122</w:t>
      </w:r>
    </w:p>
    <w:p w14:paraId="33268D86" w14:textId="77777777" w:rsidR="004D1E58" w:rsidRDefault="004D1E58" w:rsidP="00EE12DD">
      <w:pPr>
        <w:pStyle w:val="ListParagraph"/>
      </w:pPr>
      <w:r>
        <w:t>Email Address:Bhuvana.sukumar@icfi.com</w:t>
      </w:r>
    </w:p>
    <w:p w14:paraId="69102019" w14:textId="77777777" w:rsidR="004D1E58" w:rsidRDefault="004D1E58" w:rsidP="00EE12DD">
      <w:pPr>
        <w:pStyle w:val="ListParagraph"/>
        <w:numPr>
          <w:ilvl w:val="0"/>
          <w:numId w:val="9"/>
        </w:numPr>
      </w:pPr>
      <w:r>
        <w:t>Bryan Higgins, Ph.D</w:t>
      </w:r>
    </w:p>
    <w:p w14:paraId="2AAC57CB" w14:textId="77777777" w:rsidR="004D1E58" w:rsidRDefault="004D1E58" w:rsidP="00EE12DD">
      <w:pPr>
        <w:pStyle w:val="ListParagraph"/>
      </w:pPr>
      <w:r>
        <w:t>Technical Specialist</w:t>
      </w:r>
    </w:p>
    <w:p w14:paraId="30B0D220" w14:textId="77777777" w:rsidR="004D1E58" w:rsidRDefault="004D1E58" w:rsidP="00EE12DD">
      <w:pPr>
        <w:pStyle w:val="ListParagraph"/>
      </w:pPr>
      <w:r>
        <w:t>ICF International</w:t>
      </w:r>
    </w:p>
    <w:p w14:paraId="0A79E521" w14:textId="4DB3D58F" w:rsidR="004D1E58" w:rsidRDefault="004D1E58" w:rsidP="00EE12DD">
      <w:pPr>
        <w:pStyle w:val="ListParagraph"/>
      </w:pPr>
      <w:r>
        <w:t>Telephone Number</w:t>
      </w:r>
      <w:r w:rsidR="005758C6">
        <w:t xml:space="preserve">:  </w:t>
      </w:r>
      <w:r>
        <w:t>703-934-3498</w:t>
      </w:r>
    </w:p>
    <w:p w14:paraId="0157CBC1" w14:textId="77777777" w:rsidR="004D1E58" w:rsidRDefault="004D1E58" w:rsidP="00EE12DD">
      <w:pPr>
        <w:pStyle w:val="ListParagraph"/>
      </w:pPr>
      <w:r>
        <w:t>Email Address:Bryan.Higgins@icfi.com</w:t>
      </w:r>
    </w:p>
    <w:p w14:paraId="20305766" w14:textId="77777777" w:rsidR="004D1E58" w:rsidRDefault="004D1E58" w:rsidP="00EE12DD">
      <w:pPr>
        <w:pStyle w:val="ListParagraph"/>
        <w:numPr>
          <w:ilvl w:val="0"/>
          <w:numId w:val="9"/>
        </w:numPr>
      </w:pPr>
      <w:r>
        <w:t>Yisong Geng, Ph.D</w:t>
      </w:r>
    </w:p>
    <w:p w14:paraId="7995A4F1" w14:textId="77777777" w:rsidR="00BC0351" w:rsidRDefault="00BC0351" w:rsidP="00EE12DD">
      <w:pPr>
        <w:pStyle w:val="ListParagraph"/>
      </w:pPr>
      <w:r>
        <w:t>Technical Specialist</w:t>
      </w:r>
    </w:p>
    <w:p w14:paraId="7CE5A26D" w14:textId="77777777" w:rsidR="00BC0351" w:rsidRDefault="00BC0351" w:rsidP="00EE12DD">
      <w:pPr>
        <w:pStyle w:val="ListParagraph"/>
      </w:pPr>
      <w:r>
        <w:t>ICF International</w:t>
      </w:r>
    </w:p>
    <w:p w14:paraId="10953559" w14:textId="3E48D9CF" w:rsidR="00BC0351" w:rsidRPr="00BC0351" w:rsidRDefault="00BC0351" w:rsidP="00EE12DD">
      <w:pPr>
        <w:pStyle w:val="ListParagraph"/>
      </w:pPr>
      <w:r>
        <w:t>Telephone Number</w:t>
      </w:r>
      <w:r w:rsidR="005758C6">
        <w:t xml:space="preserve">:  </w:t>
      </w:r>
      <w:r w:rsidRPr="00457AB0">
        <w:rPr>
          <w:color w:val="000000"/>
        </w:rPr>
        <w:t>203-504-8748</w:t>
      </w:r>
    </w:p>
    <w:p w14:paraId="472C53A6" w14:textId="77777777" w:rsidR="00D340BD" w:rsidRDefault="00BC0351" w:rsidP="00EE12DD">
      <w:pPr>
        <w:pStyle w:val="ListParagraph"/>
      </w:pPr>
      <w:r>
        <w:t>Email Address:Yisong.geng@icfi.com</w:t>
      </w:r>
    </w:p>
    <w:sectPr w:rsidR="00D340B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73D67" w14:textId="77777777" w:rsidR="0045281E" w:rsidRDefault="0045281E" w:rsidP="00F1215C">
      <w:pPr>
        <w:spacing w:after="0" w:line="240" w:lineRule="auto"/>
      </w:pPr>
      <w:r>
        <w:separator/>
      </w:r>
    </w:p>
  </w:endnote>
  <w:endnote w:type="continuationSeparator" w:id="0">
    <w:p w14:paraId="6712862F" w14:textId="77777777" w:rsidR="0045281E" w:rsidRDefault="0045281E" w:rsidP="00F1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utura Bk BT">
    <w:altName w:val="Segoe UI"/>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215658"/>
      <w:docPartObj>
        <w:docPartGallery w:val="Page Numbers (Bottom of Page)"/>
        <w:docPartUnique/>
      </w:docPartObj>
    </w:sdtPr>
    <w:sdtEndPr>
      <w:rPr>
        <w:noProof/>
      </w:rPr>
    </w:sdtEndPr>
    <w:sdtContent>
      <w:p w14:paraId="461CB719" w14:textId="2D4BEEFB" w:rsidR="0045281E" w:rsidRDefault="0045281E">
        <w:pPr>
          <w:pStyle w:val="Footer"/>
          <w:jc w:val="center"/>
        </w:pPr>
        <w:r>
          <w:fldChar w:fldCharType="begin"/>
        </w:r>
        <w:r>
          <w:instrText xml:space="preserve"> PAGE   \* MERGEFORMAT </w:instrText>
        </w:r>
        <w:r>
          <w:fldChar w:fldCharType="separate"/>
        </w:r>
        <w:r w:rsidR="00403587">
          <w:rPr>
            <w:noProof/>
          </w:rPr>
          <w:t>9</w:t>
        </w:r>
        <w:r>
          <w:rPr>
            <w:noProof/>
          </w:rPr>
          <w:fldChar w:fldCharType="end"/>
        </w:r>
      </w:p>
    </w:sdtContent>
  </w:sdt>
  <w:p w14:paraId="29FE8178" w14:textId="77777777" w:rsidR="0045281E" w:rsidRDefault="00452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1F9B4" w14:textId="77777777" w:rsidR="0045281E" w:rsidRDefault="0045281E" w:rsidP="00F1215C">
      <w:pPr>
        <w:spacing w:after="0" w:line="240" w:lineRule="auto"/>
      </w:pPr>
      <w:r>
        <w:separator/>
      </w:r>
    </w:p>
  </w:footnote>
  <w:footnote w:type="continuationSeparator" w:id="0">
    <w:p w14:paraId="464BDEC3" w14:textId="77777777" w:rsidR="0045281E" w:rsidRDefault="0045281E" w:rsidP="00F1215C">
      <w:pPr>
        <w:spacing w:after="0" w:line="240" w:lineRule="auto"/>
      </w:pPr>
      <w:r>
        <w:continuationSeparator/>
      </w:r>
    </w:p>
  </w:footnote>
  <w:footnote w:id="1">
    <w:p w14:paraId="4EDC2E23" w14:textId="060B3FDB" w:rsidR="0045281E" w:rsidRPr="00A1394C" w:rsidRDefault="0045281E" w:rsidP="00A1394C">
      <w:pPr>
        <w:pStyle w:val="authors"/>
        <w:spacing w:before="0" w:after="0"/>
        <w:contextualSpacing/>
        <w:rPr>
          <w:b w:val="0"/>
          <w:color w:val="333333"/>
          <w:sz w:val="20"/>
          <w:szCs w:val="20"/>
          <w:lang w:val="en"/>
        </w:rPr>
      </w:pPr>
      <w:r w:rsidRPr="00BB7615">
        <w:rPr>
          <w:rStyle w:val="FootnoteReference"/>
          <w:b w:val="0"/>
          <w:sz w:val="20"/>
          <w:szCs w:val="20"/>
        </w:rPr>
        <w:footnoteRef/>
      </w:r>
      <w:r w:rsidRPr="00BB7615">
        <w:rPr>
          <w:b w:val="0"/>
          <w:sz w:val="20"/>
          <w:szCs w:val="20"/>
        </w:rPr>
        <w:t xml:space="preserve"> </w:t>
      </w:r>
      <w:r w:rsidRPr="00BB7615">
        <w:rPr>
          <w:b w:val="0"/>
          <w:color w:val="333333"/>
          <w:sz w:val="20"/>
          <w:szCs w:val="20"/>
          <w:lang w:val="en"/>
        </w:rPr>
        <w:t>Knoke, D., and Yang, S</w:t>
      </w:r>
      <w:r w:rsidR="005758C6">
        <w:rPr>
          <w:b w:val="0"/>
          <w:color w:val="333333"/>
          <w:sz w:val="20"/>
          <w:szCs w:val="20"/>
          <w:lang w:val="en"/>
        </w:rPr>
        <w:t xml:space="preserve">.  </w:t>
      </w:r>
      <w:r w:rsidRPr="00BB7615">
        <w:rPr>
          <w:b w:val="0"/>
          <w:color w:val="333333"/>
          <w:sz w:val="20"/>
          <w:szCs w:val="20"/>
          <w:lang w:val="en"/>
        </w:rPr>
        <w:t>Social Network Analysis, Second Edition</w:t>
      </w:r>
      <w:r w:rsidR="005758C6">
        <w:rPr>
          <w:b w:val="0"/>
          <w:color w:val="333333"/>
          <w:sz w:val="20"/>
          <w:szCs w:val="20"/>
          <w:lang w:val="en"/>
        </w:rPr>
        <w:t xml:space="preserve">.  </w:t>
      </w:r>
      <w:r w:rsidRPr="00BB7615">
        <w:rPr>
          <w:b w:val="0"/>
          <w:color w:val="333333"/>
          <w:sz w:val="20"/>
          <w:szCs w:val="20"/>
          <w:lang w:val="en"/>
        </w:rPr>
        <w:t>Thousand</w:t>
      </w:r>
      <w:r>
        <w:rPr>
          <w:b w:val="0"/>
          <w:color w:val="333333"/>
          <w:sz w:val="20"/>
          <w:szCs w:val="20"/>
          <w:lang w:val="en"/>
        </w:rPr>
        <w:t xml:space="preserve"> Oaks, California</w:t>
      </w:r>
      <w:r w:rsidR="005758C6">
        <w:rPr>
          <w:b w:val="0"/>
          <w:color w:val="333333"/>
          <w:sz w:val="20"/>
          <w:szCs w:val="20"/>
          <w:lang w:val="en"/>
        </w:rPr>
        <w:t xml:space="preserve">.  </w:t>
      </w:r>
      <w:r>
        <w:rPr>
          <w:b w:val="0"/>
          <w:color w:val="333333"/>
          <w:sz w:val="20"/>
          <w:szCs w:val="20"/>
          <w:lang w:val="en"/>
        </w:rPr>
        <w:t>Sage, 2008</w:t>
      </w:r>
      <w:r w:rsidR="005758C6">
        <w:rPr>
          <w:b w:val="0"/>
          <w:color w:val="333333"/>
          <w:sz w:val="20"/>
          <w:szCs w:val="20"/>
          <w:lang w:val="en"/>
        </w:rPr>
        <w:t xml:space="preserve">.  </w:t>
      </w:r>
    </w:p>
  </w:footnote>
  <w:footnote w:id="2">
    <w:p w14:paraId="57ACAFC4" w14:textId="21DAC9B3" w:rsidR="0045281E" w:rsidRPr="00E4342F" w:rsidRDefault="0045281E" w:rsidP="00E4342F">
      <w:pPr>
        <w:pStyle w:val="authors"/>
        <w:spacing w:before="0" w:after="0"/>
        <w:contextualSpacing/>
        <w:rPr>
          <w:b w:val="0"/>
          <w:color w:val="333333"/>
          <w:sz w:val="20"/>
          <w:szCs w:val="20"/>
          <w:lang w:val="en"/>
        </w:rPr>
      </w:pPr>
      <w:r w:rsidRPr="00BB7615">
        <w:rPr>
          <w:rStyle w:val="FootnoteReference"/>
          <w:b w:val="0"/>
          <w:sz w:val="20"/>
          <w:szCs w:val="20"/>
        </w:rPr>
        <w:footnoteRef/>
      </w:r>
      <w:r w:rsidRPr="00BB7615">
        <w:rPr>
          <w:b w:val="0"/>
          <w:sz w:val="20"/>
          <w:szCs w:val="20"/>
        </w:rPr>
        <w:t xml:space="preserve"> </w:t>
      </w:r>
      <w:r w:rsidRPr="00BB7615">
        <w:rPr>
          <w:b w:val="0"/>
          <w:color w:val="333333"/>
          <w:sz w:val="20"/>
          <w:szCs w:val="20"/>
          <w:lang w:val="en"/>
        </w:rPr>
        <w:t>Laumann, E.O., Marsden, P.V., and Prensky, D</w:t>
      </w:r>
      <w:r w:rsidR="005758C6">
        <w:rPr>
          <w:b w:val="0"/>
          <w:color w:val="333333"/>
          <w:sz w:val="20"/>
          <w:szCs w:val="20"/>
          <w:lang w:val="en"/>
        </w:rPr>
        <w:t xml:space="preserve">.  </w:t>
      </w:r>
      <w:r w:rsidRPr="00BB7615">
        <w:rPr>
          <w:b w:val="0"/>
          <w:color w:val="333333"/>
          <w:sz w:val="20"/>
          <w:szCs w:val="20"/>
          <w:lang w:val="en"/>
        </w:rPr>
        <w:t>The Boundary Specification Problem in Network Analysis</w:t>
      </w:r>
      <w:r w:rsidR="005758C6">
        <w:rPr>
          <w:b w:val="0"/>
          <w:color w:val="333333"/>
          <w:sz w:val="20"/>
          <w:szCs w:val="20"/>
          <w:lang w:val="en"/>
        </w:rPr>
        <w:t xml:space="preserve">.  </w:t>
      </w:r>
      <w:r w:rsidRPr="00BB7615">
        <w:rPr>
          <w:b w:val="0"/>
          <w:color w:val="333333"/>
          <w:sz w:val="20"/>
          <w:szCs w:val="20"/>
          <w:lang w:val="en"/>
        </w:rPr>
        <w:t>In L.C</w:t>
      </w:r>
      <w:r w:rsidR="005758C6">
        <w:rPr>
          <w:b w:val="0"/>
          <w:color w:val="333333"/>
          <w:sz w:val="20"/>
          <w:szCs w:val="20"/>
          <w:lang w:val="en"/>
        </w:rPr>
        <w:t xml:space="preserve">.  </w:t>
      </w:r>
      <w:r w:rsidRPr="00BB7615">
        <w:rPr>
          <w:b w:val="0"/>
          <w:color w:val="333333"/>
          <w:sz w:val="20"/>
          <w:szCs w:val="20"/>
          <w:lang w:val="en"/>
        </w:rPr>
        <w:t>Freeman, D.R</w:t>
      </w:r>
      <w:r w:rsidR="005758C6">
        <w:rPr>
          <w:b w:val="0"/>
          <w:color w:val="333333"/>
          <w:sz w:val="20"/>
          <w:szCs w:val="20"/>
          <w:lang w:val="en"/>
        </w:rPr>
        <w:t xml:space="preserve">.  </w:t>
      </w:r>
      <w:r w:rsidRPr="00BB7615">
        <w:rPr>
          <w:b w:val="0"/>
          <w:color w:val="333333"/>
          <w:sz w:val="20"/>
          <w:szCs w:val="20"/>
          <w:lang w:val="en"/>
        </w:rPr>
        <w:t>White, and A.K</w:t>
      </w:r>
      <w:r w:rsidR="005758C6">
        <w:rPr>
          <w:b w:val="0"/>
          <w:color w:val="333333"/>
          <w:sz w:val="20"/>
          <w:szCs w:val="20"/>
          <w:lang w:val="en"/>
        </w:rPr>
        <w:t xml:space="preserve">.  </w:t>
      </w:r>
      <w:r w:rsidRPr="00BB7615">
        <w:rPr>
          <w:b w:val="0"/>
          <w:color w:val="333333"/>
          <w:sz w:val="20"/>
          <w:szCs w:val="20"/>
          <w:lang w:val="en"/>
        </w:rPr>
        <w:t>Romney (eds.), Research Methods in Social Network Analysis</w:t>
      </w:r>
      <w:r w:rsidR="005758C6">
        <w:rPr>
          <w:b w:val="0"/>
          <w:color w:val="333333"/>
          <w:sz w:val="20"/>
          <w:szCs w:val="20"/>
          <w:lang w:val="en"/>
        </w:rPr>
        <w:t xml:space="preserve">.  </w:t>
      </w:r>
      <w:r w:rsidRPr="00BB7615">
        <w:rPr>
          <w:b w:val="0"/>
          <w:color w:val="333333"/>
          <w:sz w:val="20"/>
          <w:szCs w:val="20"/>
          <w:lang w:val="en"/>
        </w:rPr>
        <w:t>Fairfax, Va.</w:t>
      </w:r>
      <w:r w:rsidR="005758C6">
        <w:rPr>
          <w:b w:val="0"/>
          <w:color w:val="333333"/>
          <w:sz w:val="20"/>
          <w:szCs w:val="20"/>
          <w:lang w:val="en"/>
        </w:rPr>
        <w:t xml:space="preserve">:  </w:t>
      </w:r>
      <w:r w:rsidRPr="00BB7615">
        <w:rPr>
          <w:b w:val="0"/>
          <w:color w:val="333333"/>
          <w:sz w:val="20"/>
          <w:szCs w:val="20"/>
          <w:lang w:val="en"/>
        </w:rPr>
        <w:t>George</w:t>
      </w:r>
      <w:r>
        <w:rPr>
          <w:b w:val="0"/>
          <w:color w:val="333333"/>
          <w:sz w:val="20"/>
          <w:szCs w:val="20"/>
          <w:lang w:val="en"/>
        </w:rPr>
        <w:t xml:space="preserve"> Mason University Press, 1989</w:t>
      </w:r>
      <w:r w:rsidR="005758C6">
        <w:rPr>
          <w:b w:val="0"/>
          <w:color w:val="333333"/>
          <w:sz w:val="20"/>
          <w:szCs w:val="20"/>
          <w:lang w:val="en"/>
        </w:rPr>
        <w:t xml:space="preserve">.  </w:t>
      </w:r>
    </w:p>
  </w:footnote>
  <w:footnote w:id="3">
    <w:p w14:paraId="6635EC9A" w14:textId="6CD0F464" w:rsidR="0045281E" w:rsidRPr="0045281E" w:rsidRDefault="0045281E">
      <w:pPr>
        <w:pStyle w:val="FootnoteText"/>
      </w:pPr>
      <w:r>
        <w:rPr>
          <w:rStyle w:val="FootnoteReference"/>
        </w:rPr>
        <w:footnoteRef/>
      </w:r>
      <w:r>
        <w:t xml:space="preserve"> </w:t>
      </w:r>
      <w:r w:rsidRPr="00BB7615">
        <w:t>Griffiths, P., Gossop, M., Powis, B</w:t>
      </w:r>
      <w:r w:rsidR="005758C6">
        <w:t xml:space="preserve">.  </w:t>
      </w:r>
      <w:r w:rsidRPr="00BB7615">
        <w:t>and Strang, J</w:t>
      </w:r>
      <w:r w:rsidR="005758C6">
        <w:t xml:space="preserve">.  </w:t>
      </w:r>
      <w:r w:rsidRPr="00BB7615">
        <w:t>(1993)</w:t>
      </w:r>
      <w:r w:rsidR="005758C6">
        <w:t xml:space="preserve">.  </w:t>
      </w:r>
      <w:r w:rsidRPr="00BB7615">
        <w:t>Reaching hidden populations of drug users by privileged access interviewers</w:t>
      </w:r>
      <w:r w:rsidR="005758C6">
        <w:t xml:space="preserve">:  </w:t>
      </w:r>
      <w:r w:rsidRPr="00BB7615">
        <w:t xml:space="preserve">methodological and practical issues, </w:t>
      </w:r>
      <w:r w:rsidRPr="00BB7615">
        <w:rPr>
          <w:i/>
          <w:iCs/>
        </w:rPr>
        <w:t>Addiction</w:t>
      </w:r>
      <w:r w:rsidRPr="00BB7615">
        <w:t>, vol</w:t>
      </w:r>
      <w:r w:rsidR="005758C6">
        <w:t xml:space="preserve">.  </w:t>
      </w:r>
      <w:r w:rsidRPr="00BB7615">
        <w:t>88, 1617-1626.</w:t>
      </w:r>
    </w:p>
  </w:footnote>
  <w:footnote w:id="4">
    <w:p w14:paraId="47B25166" w14:textId="192791C5" w:rsidR="0045281E" w:rsidRPr="0045281E" w:rsidRDefault="0045281E">
      <w:pPr>
        <w:pStyle w:val="FootnoteText"/>
      </w:pPr>
      <w:r>
        <w:rPr>
          <w:rStyle w:val="FootnoteReference"/>
        </w:rPr>
        <w:footnoteRef/>
      </w:r>
      <w:r>
        <w:t xml:space="preserve"> </w:t>
      </w:r>
      <w:r w:rsidRPr="00BB7615">
        <w:rPr>
          <w:rStyle w:val="cit-title6"/>
          <w:b w:val="0"/>
          <w:sz w:val="20"/>
          <w:szCs w:val="20"/>
          <w:lang w:val="en"/>
          <w:specVanish w:val="0"/>
        </w:rPr>
        <w:t>Biernacki, P</w:t>
      </w:r>
      <w:r w:rsidR="005758C6">
        <w:rPr>
          <w:rStyle w:val="cit-title6"/>
          <w:b w:val="0"/>
          <w:sz w:val="20"/>
          <w:szCs w:val="20"/>
          <w:lang w:val="en"/>
          <w:specVanish w:val="0"/>
        </w:rPr>
        <w:t xml:space="preserve">.  </w:t>
      </w:r>
      <w:r w:rsidRPr="00BB7615">
        <w:rPr>
          <w:rStyle w:val="cit-title6"/>
          <w:b w:val="0"/>
          <w:sz w:val="20"/>
          <w:szCs w:val="20"/>
          <w:lang w:val="en"/>
          <w:specVanish w:val="0"/>
        </w:rPr>
        <w:t>and Waldorf, D</w:t>
      </w:r>
      <w:r w:rsidR="005758C6">
        <w:rPr>
          <w:rStyle w:val="cit-title6"/>
          <w:b w:val="0"/>
          <w:sz w:val="20"/>
          <w:szCs w:val="20"/>
          <w:lang w:val="en"/>
          <w:specVanish w:val="0"/>
        </w:rPr>
        <w:t xml:space="preserve">.  </w:t>
      </w:r>
      <w:r w:rsidRPr="00BB7615">
        <w:rPr>
          <w:rStyle w:val="cit-title6"/>
          <w:b w:val="0"/>
          <w:sz w:val="20"/>
          <w:szCs w:val="20"/>
          <w:lang w:val="en"/>
          <w:specVanish w:val="0"/>
        </w:rPr>
        <w:t>(1981)</w:t>
      </w:r>
      <w:r w:rsidR="005758C6">
        <w:rPr>
          <w:rStyle w:val="cit-title6"/>
          <w:b w:val="0"/>
          <w:sz w:val="20"/>
          <w:szCs w:val="20"/>
          <w:lang w:val="en"/>
          <w:specVanish w:val="0"/>
        </w:rPr>
        <w:t xml:space="preserve">.  </w:t>
      </w:r>
      <w:r w:rsidRPr="00BB7615">
        <w:rPr>
          <w:rStyle w:val="cit-title6"/>
          <w:b w:val="0"/>
          <w:sz w:val="20"/>
          <w:szCs w:val="20"/>
          <w:lang w:val="en"/>
          <w:specVanish w:val="0"/>
        </w:rPr>
        <w:t>Snowball Sampling</w:t>
      </w:r>
      <w:r w:rsidR="005758C6">
        <w:rPr>
          <w:rStyle w:val="cit-title6"/>
          <w:b w:val="0"/>
          <w:sz w:val="20"/>
          <w:szCs w:val="20"/>
          <w:lang w:val="en"/>
          <w:specVanish w:val="0"/>
        </w:rPr>
        <w:t xml:space="preserve">:  </w:t>
      </w:r>
      <w:r w:rsidRPr="00BB7615">
        <w:rPr>
          <w:rStyle w:val="cit-title6"/>
          <w:b w:val="0"/>
          <w:sz w:val="20"/>
          <w:szCs w:val="20"/>
          <w:lang w:val="en"/>
          <w:specVanish w:val="0"/>
        </w:rPr>
        <w:t>Problems and Techniques of Chain Referral Sampling</w:t>
      </w:r>
      <w:r w:rsidR="005758C6">
        <w:rPr>
          <w:rStyle w:val="cit-title6"/>
          <w:b w:val="0"/>
          <w:sz w:val="20"/>
          <w:szCs w:val="20"/>
          <w:lang w:val="en"/>
          <w:specVanish w:val="0"/>
        </w:rPr>
        <w:t xml:space="preserve">.  </w:t>
      </w:r>
      <w:r w:rsidRPr="00BB7615">
        <w:rPr>
          <w:rStyle w:val="site-title"/>
          <w:i/>
          <w:color w:val="222222"/>
          <w:lang w:val="en"/>
        </w:rPr>
        <w:t>Sociological Methods &amp; Research</w:t>
      </w:r>
      <w:r w:rsidR="005758C6">
        <w:rPr>
          <w:rStyle w:val="site-title"/>
          <w:i/>
          <w:color w:val="222222"/>
          <w:lang w:val="en"/>
        </w:rPr>
        <w:t xml:space="preserve">.  </w:t>
      </w:r>
      <w:r w:rsidRPr="00BB7615">
        <w:rPr>
          <w:rStyle w:val="cit-print-date2"/>
          <w:color w:val="222222"/>
          <w:lang w:val="en"/>
        </w:rPr>
        <w:t xml:space="preserve">November 1981 </w:t>
      </w:r>
      <w:r w:rsidRPr="00BB7615">
        <w:rPr>
          <w:rStyle w:val="cit-vol2"/>
          <w:color w:val="222222"/>
          <w:lang w:val="en"/>
        </w:rPr>
        <w:t>10</w:t>
      </w:r>
      <w:r w:rsidR="005758C6">
        <w:rPr>
          <w:rStyle w:val="cit-sep2"/>
          <w:color w:val="222222"/>
          <w:lang w:val="en"/>
        </w:rPr>
        <w:t xml:space="preserve">:  </w:t>
      </w:r>
      <w:r w:rsidRPr="00BB7615">
        <w:rPr>
          <w:rStyle w:val="cit-first-page"/>
          <w:color w:val="222222"/>
          <w:lang w:val="en"/>
        </w:rPr>
        <w:t>141</w:t>
      </w:r>
      <w:r w:rsidRPr="00BB7615">
        <w:rPr>
          <w:rStyle w:val="cit-sep2"/>
          <w:color w:val="222222"/>
          <w:lang w:val="en"/>
        </w:rPr>
        <w:t>-</w:t>
      </w:r>
      <w:r w:rsidRPr="00BB7615">
        <w:rPr>
          <w:rStyle w:val="cit-last-page2"/>
          <w:color w:val="222222"/>
          <w:lang w:val="en"/>
        </w:rPr>
        <w:t>163.</w:t>
      </w:r>
    </w:p>
  </w:footnote>
  <w:footnote w:id="5">
    <w:p w14:paraId="0E90DBBA" w14:textId="6745F422" w:rsidR="0045281E" w:rsidRPr="00BB7615" w:rsidRDefault="0045281E" w:rsidP="0045281E">
      <w:pPr>
        <w:spacing w:after="0" w:line="240" w:lineRule="auto"/>
        <w:ind w:right="1195"/>
        <w:rPr>
          <w:sz w:val="20"/>
          <w:szCs w:val="20"/>
        </w:rPr>
      </w:pPr>
      <w:r w:rsidRPr="00BB7615">
        <w:rPr>
          <w:rStyle w:val="FootnoteReference"/>
          <w:sz w:val="20"/>
          <w:szCs w:val="20"/>
        </w:rPr>
        <w:footnoteRef/>
      </w:r>
      <w:r w:rsidRPr="00BB7615">
        <w:rPr>
          <w:sz w:val="20"/>
          <w:szCs w:val="20"/>
        </w:rPr>
        <w:t xml:space="preserve"> Van Meter, K</w:t>
      </w:r>
      <w:r w:rsidR="005758C6">
        <w:rPr>
          <w:sz w:val="20"/>
          <w:szCs w:val="20"/>
        </w:rPr>
        <w:t xml:space="preserve">.  </w:t>
      </w:r>
      <w:r w:rsidRPr="00BB7615">
        <w:rPr>
          <w:sz w:val="20"/>
          <w:szCs w:val="20"/>
        </w:rPr>
        <w:t>(1990) Methodological and Design Issues</w:t>
      </w:r>
      <w:r w:rsidR="005758C6">
        <w:rPr>
          <w:sz w:val="20"/>
          <w:szCs w:val="20"/>
        </w:rPr>
        <w:t xml:space="preserve">:  </w:t>
      </w:r>
      <w:r w:rsidRPr="00BB7615">
        <w:rPr>
          <w:sz w:val="20"/>
          <w:szCs w:val="20"/>
        </w:rPr>
        <w:t xml:space="preserve">Techniques for Assessing the Representatives of Snowball Samples, </w:t>
      </w:r>
      <w:r w:rsidRPr="00BB7615">
        <w:rPr>
          <w:i/>
          <w:iCs/>
          <w:sz w:val="20"/>
          <w:szCs w:val="20"/>
        </w:rPr>
        <w:t>NIDA Research Monograph</w:t>
      </w:r>
      <w:r w:rsidRPr="00BB7615">
        <w:rPr>
          <w:sz w:val="20"/>
          <w:szCs w:val="20"/>
        </w:rPr>
        <w:t>, 31-43.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95C0F"/>
    <w:multiLevelType w:val="hybridMultilevel"/>
    <w:tmpl w:val="022A55F8"/>
    <w:lvl w:ilvl="0" w:tplc="E58022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D3203"/>
    <w:multiLevelType w:val="hybridMultilevel"/>
    <w:tmpl w:val="B91ACA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056755E"/>
    <w:multiLevelType w:val="hybridMultilevel"/>
    <w:tmpl w:val="681C7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035B32"/>
    <w:multiLevelType w:val="hybridMultilevel"/>
    <w:tmpl w:val="E17860CA"/>
    <w:lvl w:ilvl="0" w:tplc="E2DE25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03873"/>
    <w:multiLevelType w:val="hybridMultilevel"/>
    <w:tmpl w:val="900A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F33DE"/>
    <w:multiLevelType w:val="hybridMultilevel"/>
    <w:tmpl w:val="F49245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5192252A"/>
    <w:multiLevelType w:val="hybridMultilevel"/>
    <w:tmpl w:val="1BE8E0E6"/>
    <w:lvl w:ilvl="0" w:tplc="04090001">
      <w:start w:val="1"/>
      <w:numFmt w:val="bullet"/>
      <w:lvlText w:val=""/>
      <w:lvlJc w:val="left"/>
      <w:pPr>
        <w:ind w:left="1080" w:hanging="360"/>
      </w:pPr>
      <w:rPr>
        <w:rFonts w:ascii="Symbol" w:hAnsi="Symbol" w:hint="default"/>
      </w:rPr>
    </w:lvl>
    <w:lvl w:ilvl="1" w:tplc="8C1802DC">
      <w:start w:val="6"/>
      <w:numFmt w:val="bullet"/>
      <w:lvlText w:val="·"/>
      <w:lvlJc w:val="left"/>
      <w:pPr>
        <w:ind w:left="2064" w:hanging="624"/>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042013"/>
    <w:multiLevelType w:val="hybridMultilevel"/>
    <w:tmpl w:val="4DB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B551FA"/>
    <w:multiLevelType w:val="hybridMultilevel"/>
    <w:tmpl w:val="4AE83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66FC7"/>
    <w:multiLevelType w:val="hybridMultilevel"/>
    <w:tmpl w:val="DEF8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62250B"/>
    <w:multiLevelType w:val="hybridMultilevel"/>
    <w:tmpl w:val="49D853CC"/>
    <w:lvl w:ilvl="0" w:tplc="9C6EC2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9D0EBE"/>
    <w:multiLevelType w:val="hybridMultilevel"/>
    <w:tmpl w:val="24A07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F7674"/>
    <w:multiLevelType w:val="hybridMultilevel"/>
    <w:tmpl w:val="AEDA5C64"/>
    <w:lvl w:ilvl="0" w:tplc="E580227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0"/>
  </w:num>
  <w:num w:numId="5">
    <w:abstractNumId w:val="12"/>
  </w:num>
  <w:num w:numId="6">
    <w:abstractNumId w:val="4"/>
  </w:num>
  <w:num w:numId="7">
    <w:abstractNumId w:val="0"/>
  </w:num>
  <w:num w:numId="8">
    <w:abstractNumId w:val="8"/>
  </w:num>
  <w:num w:numId="9">
    <w:abstractNumId w:val="11"/>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05"/>
    <w:rsid w:val="0000782A"/>
    <w:rsid w:val="0003557C"/>
    <w:rsid w:val="00041623"/>
    <w:rsid w:val="000448D9"/>
    <w:rsid w:val="0005023D"/>
    <w:rsid w:val="00052976"/>
    <w:rsid w:val="00080BF0"/>
    <w:rsid w:val="00090551"/>
    <w:rsid w:val="000945F2"/>
    <w:rsid w:val="000A16C2"/>
    <w:rsid w:val="000B047E"/>
    <w:rsid w:val="000E6AD7"/>
    <w:rsid w:val="000F1010"/>
    <w:rsid w:val="000F1D6F"/>
    <w:rsid w:val="00105A17"/>
    <w:rsid w:val="00110FF8"/>
    <w:rsid w:val="0012070D"/>
    <w:rsid w:val="00136674"/>
    <w:rsid w:val="001471B9"/>
    <w:rsid w:val="0016285A"/>
    <w:rsid w:val="00182AB3"/>
    <w:rsid w:val="00185375"/>
    <w:rsid w:val="001C0139"/>
    <w:rsid w:val="001D29A7"/>
    <w:rsid w:val="001D2D72"/>
    <w:rsid w:val="001E7218"/>
    <w:rsid w:val="001F667F"/>
    <w:rsid w:val="00206DD8"/>
    <w:rsid w:val="002169D0"/>
    <w:rsid w:val="002203BA"/>
    <w:rsid w:val="00221512"/>
    <w:rsid w:val="0023207C"/>
    <w:rsid w:val="00243024"/>
    <w:rsid w:val="002469B5"/>
    <w:rsid w:val="0025523E"/>
    <w:rsid w:val="00270F29"/>
    <w:rsid w:val="002A1264"/>
    <w:rsid w:val="002B0A80"/>
    <w:rsid w:val="002C0BC4"/>
    <w:rsid w:val="002E024A"/>
    <w:rsid w:val="002F0603"/>
    <w:rsid w:val="003024C0"/>
    <w:rsid w:val="0031019C"/>
    <w:rsid w:val="00317D28"/>
    <w:rsid w:val="00325411"/>
    <w:rsid w:val="003367A1"/>
    <w:rsid w:val="00336B4A"/>
    <w:rsid w:val="00362849"/>
    <w:rsid w:val="00364974"/>
    <w:rsid w:val="003732A7"/>
    <w:rsid w:val="003807F2"/>
    <w:rsid w:val="003834EE"/>
    <w:rsid w:val="003A36D7"/>
    <w:rsid w:val="003A63D6"/>
    <w:rsid w:val="003B4EE8"/>
    <w:rsid w:val="00403587"/>
    <w:rsid w:val="0041315E"/>
    <w:rsid w:val="004333D5"/>
    <w:rsid w:val="004511AD"/>
    <w:rsid w:val="0045281E"/>
    <w:rsid w:val="00457AB0"/>
    <w:rsid w:val="00464E40"/>
    <w:rsid w:val="00464F7C"/>
    <w:rsid w:val="00485F23"/>
    <w:rsid w:val="00492765"/>
    <w:rsid w:val="004964F7"/>
    <w:rsid w:val="004C6A6C"/>
    <w:rsid w:val="004C74FA"/>
    <w:rsid w:val="004D1E58"/>
    <w:rsid w:val="004D3B4D"/>
    <w:rsid w:val="00537854"/>
    <w:rsid w:val="00570196"/>
    <w:rsid w:val="005709F1"/>
    <w:rsid w:val="0057415B"/>
    <w:rsid w:val="005758C6"/>
    <w:rsid w:val="005775FD"/>
    <w:rsid w:val="00587E65"/>
    <w:rsid w:val="005C7284"/>
    <w:rsid w:val="005E2906"/>
    <w:rsid w:val="006028BC"/>
    <w:rsid w:val="00603148"/>
    <w:rsid w:val="00604070"/>
    <w:rsid w:val="006160D5"/>
    <w:rsid w:val="00621794"/>
    <w:rsid w:val="00634104"/>
    <w:rsid w:val="00653BE3"/>
    <w:rsid w:val="0066649F"/>
    <w:rsid w:val="006673B1"/>
    <w:rsid w:val="006942CD"/>
    <w:rsid w:val="006A19C8"/>
    <w:rsid w:val="006A2793"/>
    <w:rsid w:val="006A37D0"/>
    <w:rsid w:val="006F32D7"/>
    <w:rsid w:val="00706141"/>
    <w:rsid w:val="00733AD2"/>
    <w:rsid w:val="007671B6"/>
    <w:rsid w:val="00785FE2"/>
    <w:rsid w:val="00797995"/>
    <w:rsid w:val="007B7139"/>
    <w:rsid w:val="007D0CAC"/>
    <w:rsid w:val="007E6054"/>
    <w:rsid w:val="00804E83"/>
    <w:rsid w:val="008414FF"/>
    <w:rsid w:val="008656DD"/>
    <w:rsid w:val="00866392"/>
    <w:rsid w:val="008755CB"/>
    <w:rsid w:val="008807BD"/>
    <w:rsid w:val="00884F33"/>
    <w:rsid w:val="0088629F"/>
    <w:rsid w:val="008A29E4"/>
    <w:rsid w:val="008C0930"/>
    <w:rsid w:val="00907CD6"/>
    <w:rsid w:val="009711D5"/>
    <w:rsid w:val="009860F0"/>
    <w:rsid w:val="00986AAB"/>
    <w:rsid w:val="009C5F2C"/>
    <w:rsid w:val="009C73D1"/>
    <w:rsid w:val="009D072D"/>
    <w:rsid w:val="009D5E87"/>
    <w:rsid w:val="009F226D"/>
    <w:rsid w:val="00A1394C"/>
    <w:rsid w:val="00A25A50"/>
    <w:rsid w:val="00A31EF3"/>
    <w:rsid w:val="00A36D0D"/>
    <w:rsid w:val="00A40F9D"/>
    <w:rsid w:val="00A63B4E"/>
    <w:rsid w:val="00A751A0"/>
    <w:rsid w:val="00A80330"/>
    <w:rsid w:val="00AA418D"/>
    <w:rsid w:val="00AC1BB6"/>
    <w:rsid w:val="00B41FA4"/>
    <w:rsid w:val="00BB7615"/>
    <w:rsid w:val="00BC030F"/>
    <w:rsid w:val="00BC0351"/>
    <w:rsid w:val="00BC3936"/>
    <w:rsid w:val="00BC676B"/>
    <w:rsid w:val="00BE215B"/>
    <w:rsid w:val="00BE5BBF"/>
    <w:rsid w:val="00BF22EE"/>
    <w:rsid w:val="00C07321"/>
    <w:rsid w:val="00C22909"/>
    <w:rsid w:val="00C668BB"/>
    <w:rsid w:val="00C9288C"/>
    <w:rsid w:val="00CA650B"/>
    <w:rsid w:val="00D1666E"/>
    <w:rsid w:val="00D340BD"/>
    <w:rsid w:val="00D37982"/>
    <w:rsid w:val="00D561BC"/>
    <w:rsid w:val="00D60C05"/>
    <w:rsid w:val="00D7417A"/>
    <w:rsid w:val="00D9642E"/>
    <w:rsid w:val="00D971BB"/>
    <w:rsid w:val="00DA00CA"/>
    <w:rsid w:val="00DA679B"/>
    <w:rsid w:val="00DC0F1F"/>
    <w:rsid w:val="00DD7D4D"/>
    <w:rsid w:val="00DF541D"/>
    <w:rsid w:val="00DF5972"/>
    <w:rsid w:val="00E35D65"/>
    <w:rsid w:val="00E42FF9"/>
    <w:rsid w:val="00E4342F"/>
    <w:rsid w:val="00E53BD7"/>
    <w:rsid w:val="00E72B7E"/>
    <w:rsid w:val="00E90372"/>
    <w:rsid w:val="00EE12DD"/>
    <w:rsid w:val="00F1215C"/>
    <w:rsid w:val="00F771B9"/>
    <w:rsid w:val="00FB2D3C"/>
    <w:rsid w:val="00FB7195"/>
    <w:rsid w:val="00FD27C7"/>
    <w:rsid w:val="00FD50EA"/>
    <w:rsid w:val="00FE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B984"/>
  <w15:docId w15:val="{E1871066-F581-425D-87EC-CD0359BF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C05"/>
  </w:style>
  <w:style w:type="paragraph" w:styleId="Heading1">
    <w:name w:val="heading 1"/>
    <w:basedOn w:val="Normal"/>
    <w:next w:val="Normal"/>
    <w:link w:val="Heading1Char"/>
    <w:uiPriority w:val="9"/>
    <w:qFormat/>
    <w:rsid w:val="00336B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6B4A"/>
    <w:pPr>
      <w:keepNext/>
      <w:keepLines/>
      <w:spacing w:before="200" w:after="0"/>
      <w:outlineLvl w:val="1"/>
    </w:pPr>
    <w:rPr>
      <w:rFonts w:ascii="Futura Bk BT" w:eastAsiaTheme="majorEastAsia" w:hAnsi="Futura Bk BT" w:cstheme="majorBidi"/>
      <w:b/>
      <w:bCs/>
      <w:color w:val="000000" w:themeColor="text1"/>
      <w:szCs w:val="26"/>
    </w:rPr>
  </w:style>
  <w:style w:type="paragraph" w:styleId="Heading3">
    <w:name w:val="heading 3"/>
    <w:basedOn w:val="Normal"/>
    <w:next w:val="Normal"/>
    <w:link w:val="Heading3Char"/>
    <w:uiPriority w:val="9"/>
    <w:semiHidden/>
    <w:unhideWhenUsed/>
    <w:qFormat/>
    <w:rsid w:val="00F121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0C05"/>
    <w:rPr>
      <w:sz w:val="16"/>
      <w:szCs w:val="16"/>
    </w:rPr>
  </w:style>
  <w:style w:type="paragraph" w:styleId="CommentText">
    <w:name w:val="annotation text"/>
    <w:basedOn w:val="Normal"/>
    <w:link w:val="CommentTextChar"/>
    <w:uiPriority w:val="99"/>
    <w:semiHidden/>
    <w:unhideWhenUsed/>
    <w:rsid w:val="00D60C05"/>
    <w:pPr>
      <w:spacing w:line="240" w:lineRule="auto"/>
    </w:pPr>
    <w:rPr>
      <w:sz w:val="20"/>
      <w:szCs w:val="20"/>
    </w:rPr>
  </w:style>
  <w:style w:type="character" w:customStyle="1" w:styleId="CommentTextChar">
    <w:name w:val="Comment Text Char"/>
    <w:basedOn w:val="DefaultParagraphFont"/>
    <w:link w:val="CommentText"/>
    <w:uiPriority w:val="99"/>
    <w:semiHidden/>
    <w:rsid w:val="00D60C05"/>
    <w:rPr>
      <w:sz w:val="20"/>
      <w:szCs w:val="20"/>
    </w:rPr>
  </w:style>
  <w:style w:type="paragraph" w:styleId="BalloonText">
    <w:name w:val="Balloon Text"/>
    <w:basedOn w:val="Normal"/>
    <w:link w:val="BalloonTextChar"/>
    <w:uiPriority w:val="99"/>
    <w:semiHidden/>
    <w:unhideWhenUsed/>
    <w:rsid w:val="00D60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C05"/>
    <w:rPr>
      <w:rFonts w:ascii="Tahoma" w:hAnsi="Tahoma" w:cs="Tahoma"/>
      <w:sz w:val="16"/>
      <w:szCs w:val="16"/>
    </w:rPr>
  </w:style>
  <w:style w:type="paragraph" w:styleId="ListParagraph">
    <w:name w:val="List Paragraph"/>
    <w:basedOn w:val="Normal"/>
    <w:uiPriority w:val="34"/>
    <w:qFormat/>
    <w:rsid w:val="000A16C2"/>
    <w:pPr>
      <w:ind w:left="720"/>
      <w:contextualSpacing/>
    </w:pPr>
  </w:style>
  <w:style w:type="character" w:customStyle="1" w:styleId="Heading1Char">
    <w:name w:val="Heading 1 Char"/>
    <w:basedOn w:val="DefaultParagraphFont"/>
    <w:link w:val="Heading1"/>
    <w:uiPriority w:val="9"/>
    <w:rsid w:val="00336B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36B4A"/>
    <w:rPr>
      <w:rFonts w:ascii="Futura Bk BT" w:eastAsiaTheme="majorEastAsia" w:hAnsi="Futura Bk BT" w:cstheme="majorBidi"/>
      <w:b/>
      <w:bCs/>
      <w:color w:val="000000" w:themeColor="text1"/>
      <w:szCs w:val="26"/>
    </w:rPr>
  </w:style>
  <w:style w:type="character" w:customStyle="1" w:styleId="Heading3Char">
    <w:name w:val="Heading 3 Char"/>
    <w:basedOn w:val="DefaultParagraphFont"/>
    <w:link w:val="Heading3"/>
    <w:uiPriority w:val="9"/>
    <w:semiHidden/>
    <w:rsid w:val="00F1215C"/>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F1215C"/>
    <w:pPr>
      <w:spacing w:after="0" w:line="240" w:lineRule="auto"/>
    </w:pPr>
    <w:rPr>
      <w:rFonts w:eastAsia="Times New Roman"/>
      <w:sz w:val="20"/>
      <w:szCs w:val="20"/>
      <w:lang w:val="x-none" w:eastAsia="x-none"/>
    </w:rPr>
  </w:style>
  <w:style w:type="character" w:customStyle="1" w:styleId="EndnoteTextChar">
    <w:name w:val="Endnote Text Char"/>
    <w:basedOn w:val="DefaultParagraphFont"/>
    <w:link w:val="EndnoteText"/>
    <w:uiPriority w:val="99"/>
    <w:semiHidden/>
    <w:rsid w:val="00F1215C"/>
    <w:rPr>
      <w:rFonts w:eastAsia="Times New Roman"/>
      <w:sz w:val="20"/>
      <w:szCs w:val="20"/>
      <w:lang w:val="x-none" w:eastAsia="x-none"/>
    </w:rPr>
  </w:style>
  <w:style w:type="character" w:styleId="EndnoteReference">
    <w:name w:val="endnote reference"/>
    <w:uiPriority w:val="99"/>
    <w:semiHidden/>
    <w:unhideWhenUsed/>
    <w:rsid w:val="00F1215C"/>
    <w:rPr>
      <w:vertAlign w:val="superscript"/>
    </w:rPr>
  </w:style>
  <w:style w:type="paragraph" w:styleId="FootnoteText">
    <w:name w:val="footnote text"/>
    <w:basedOn w:val="Normal"/>
    <w:link w:val="FootnoteTextChar"/>
    <w:uiPriority w:val="99"/>
    <w:semiHidden/>
    <w:unhideWhenUsed/>
    <w:rsid w:val="00F1215C"/>
    <w:pPr>
      <w:spacing w:after="0" w:line="240" w:lineRule="auto"/>
    </w:pPr>
    <w:rPr>
      <w:rFonts w:eastAsia="Times New Roman"/>
      <w:sz w:val="20"/>
      <w:szCs w:val="20"/>
      <w:lang w:val="x-none" w:eastAsia="x-none"/>
    </w:rPr>
  </w:style>
  <w:style w:type="character" w:customStyle="1" w:styleId="FootnoteTextChar">
    <w:name w:val="Footnote Text Char"/>
    <w:basedOn w:val="DefaultParagraphFont"/>
    <w:link w:val="FootnoteText"/>
    <w:uiPriority w:val="99"/>
    <w:semiHidden/>
    <w:rsid w:val="00F1215C"/>
    <w:rPr>
      <w:rFonts w:eastAsia="Times New Roman"/>
      <w:sz w:val="20"/>
      <w:szCs w:val="20"/>
      <w:lang w:val="x-none" w:eastAsia="x-none"/>
    </w:rPr>
  </w:style>
  <w:style w:type="paragraph" w:styleId="TOCHeading">
    <w:name w:val="TOC Heading"/>
    <w:basedOn w:val="Heading1"/>
    <w:next w:val="Normal"/>
    <w:uiPriority w:val="39"/>
    <w:semiHidden/>
    <w:unhideWhenUsed/>
    <w:qFormat/>
    <w:rsid w:val="00604070"/>
    <w:pPr>
      <w:spacing w:line="276" w:lineRule="auto"/>
      <w:outlineLvl w:val="9"/>
    </w:pPr>
    <w:rPr>
      <w:lang w:eastAsia="ja-JP"/>
    </w:rPr>
  </w:style>
  <w:style w:type="paragraph" w:styleId="TOC1">
    <w:name w:val="toc 1"/>
    <w:basedOn w:val="Normal"/>
    <w:next w:val="Normal"/>
    <w:autoRedefine/>
    <w:uiPriority w:val="39"/>
    <w:unhideWhenUsed/>
    <w:rsid w:val="00604070"/>
    <w:pPr>
      <w:spacing w:after="100"/>
    </w:pPr>
  </w:style>
  <w:style w:type="paragraph" w:styleId="TOC2">
    <w:name w:val="toc 2"/>
    <w:basedOn w:val="Normal"/>
    <w:next w:val="Normal"/>
    <w:autoRedefine/>
    <w:uiPriority w:val="39"/>
    <w:unhideWhenUsed/>
    <w:rsid w:val="00604070"/>
    <w:pPr>
      <w:spacing w:after="100"/>
      <w:ind w:left="240"/>
    </w:pPr>
  </w:style>
  <w:style w:type="character" w:styleId="Hyperlink">
    <w:name w:val="Hyperlink"/>
    <w:basedOn w:val="DefaultParagraphFont"/>
    <w:uiPriority w:val="99"/>
    <w:unhideWhenUsed/>
    <w:rsid w:val="00604070"/>
    <w:rPr>
      <w:color w:val="0000FF" w:themeColor="hyperlink"/>
      <w:u w:val="single"/>
    </w:rPr>
  </w:style>
  <w:style w:type="paragraph" w:styleId="NoSpacing">
    <w:name w:val="No Spacing"/>
    <w:uiPriority w:val="1"/>
    <w:qFormat/>
    <w:rsid w:val="006F32D7"/>
    <w:pPr>
      <w:spacing w:after="0" w:line="240" w:lineRule="auto"/>
    </w:pPr>
  </w:style>
  <w:style w:type="character" w:styleId="FootnoteReference">
    <w:name w:val="footnote reference"/>
    <w:basedOn w:val="DefaultParagraphFont"/>
    <w:uiPriority w:val="99"/>
    <w:semiHidden/>
    <w:unhideWhenUsed/>
    <w:rsid w:val="006F32D7"/>
    <w:rPr>
      <w:vertAlign w:val="superscript"/>
    </w:rPr>
  </w:style>
  <w:style w:type="paragraph" w:styleId="CommentSubject">
    <w:name w:val="annotation subject"/>
    <w:basedOn w:val="CommentText"/>
    <w:next w:val="CommentText"/>
    <w:link w:val="CommentSubjectChar"/>
    <w:uiPriority w:val="99"/>
    <w:semiHidden/>
    <w:unhideWhenUsed/>
    <w:rsid w:val="008755CB"/>
    <w:rPr>
      <w:b/>
      <w:bCs/>
    </w:rPr>
  </w:style>
  <w:style w:type="character" w:customStyle="1" w:styleId="CommentSubjectChar">
    <w:name w:val="Comment Subject Char"/>
    <w:basedOn w:val="CommentTextChar"/>
    <w:link w:val="CommentSubject"/>
    <w:uiPriority w:val="99"/>
    <w:semiHidden/>
    <w:rsid w:val="008755CB"/>
    <w:rPr>
      <w:b/>
      <w:bCs/>
      <w:sz w:val="20"/>
      <w:szCs w:val="20"/>
    </w:rPr>
  </w:style>
  <w:style w:type="table" w:styleId="TableGrid">
    <w:name w:val="Table Grid"/>
    <w:basedOn w:val="TableNormal"/>
    <w:uiPriority w:val="59"/>
    <w:rsid w:val="0061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0BC4"/>
    <w:pPr>
      <w:spacing w:before="100" w:beforeAutospacing="1" w:after="100" w:afterAutospacing="1" w:line="240" w:lineRule="auto"/>
    </w:pPr>
    <w:rPr>
      <w:rFonts w:eastAsia="Times New Roman"/>
    </w:rPr>
  </w:style>
  <w:style w:type="paragraph" w:styleId="BodyText">
    <w:name w:val="Body Text"/>
    <w:basedOn w:val="Normal"/>
    <w:link w:val="BodyTextChar"/>
    <w:semiHidden/>
    <w:unhideWhenUsed/>
    <w:rsid w:val="00D9642E"/>
    <w:pPr>
      <w:tabs>
        <w:tab w:val="left" w:pos="720"/>
        <w:tab w:val="left" w:pos="1080"/>
        <w:tab w:val="left" w:pos="1440"/>
        <w:tab w:val="left" w:pos="1800"/>
      </w:tabs>
      <w:spacing w:after="0" w:line="264" w:lineRule="auto"/>
    </w:pPr>
    <w:rPr>
      <w:rFonts w:eastAsia="Times New Roman"/>
      <w:sz w:val="22"/>
      <w:szCs w:val="20"/>
    </w:rPr>
  </w:style>
  <w:style w:type="character" w:customStyle="1" w:styleId="BodyTextChar">
    <w:name w:val="Body Text Char"/>
    <w:basedOn w:val="DefaultParagraphFont"/>
    <w:link w:val="BodyText"/>
    <w:semiHidden/>
    <w:rsid w:val="00D9642E"/>
    <w:rPr>
      <w:rFonts w:eastAsia="Times New Roman"/>
      <w:sz w:val="22"/>
      <w:szCs w:val="20"/>
    </w:rPr>
  </w:style>
  <w:style w:type="paragraph" w:customStyle="1" w:styleId="Default">
    <w:name w:val="Default"/>
    <w:rsid w:val="00D561BC"/>
    <w:pPr>
      <w:autoSpaceDE w:val="0"/>
      <w:autoSpaceDN w:val="0"/>
      <w:adjustRightInd w:val="0"/>
      <w:spacing w:after="0" w:line="240" w:lineRule="auto"/>
    </w:pPr>
    <w:rPr>
      <w:color w:val="000000"/>
    </w:rPr>
  </w:style>
  <w:style w:type="character" w:customStyle="1" w:styleId="Normal1">
    <w:name w:val="Normal1"/>
    <w:basedOn w:val="DefaultParagraphFont"/>
    <w:uiPriority w:val="99"/>
    <w:rsid w:val="00D340BD"/>
    <w:rPr>
      <w:rFonts w:ascii="Times New Roman" w:hAnsi="Times New Roman" w:cs="Times New Roman" w:hint="default"/>
    </w:rPr>
  </w:style>
  <w:style w:type="paragraph" w:customStyle="1" w:styleId="authors">
    <w:name w:val="authors"/>
    <w:basedOn w:val="Normal"/>
    <w:rsid w:val="00866392"/>
    <w:pPr>
      <w:spacing w:before="30" w:after="75" w:line="240" w:lineRule="auto"/>
    </w:pPr>
    <w:rPr>
      <w:rFonts w:eastAsia="Times New Roman"/>
      <w:b/>
      <w:bCs/>
      <w:sz w:val="26"/>
      <w:szCs w:val="26"/>
    </w:rPr>
  </w:style>
  <w:style w:type="character" w:customStyle="1" w:styleId="cit-title6">
    <w:name w:val="cit-title6"/>
    <w:basedOn w:val="DefaultParagraphFont"/>
    <w:rsid w:val="00866392"/>
    <w:rPr>
      <w:b/>
      <w:bCs/>
      <w:vanish w:val="0"/>
      <w:webHidden w:val="0"/>
      <w:color w:val="111111"/>
      <w:sz w:val="24"/>
      <w:szCs w:val="24"/>
      <w:specVanish w:val="0"/>
    </w:rPr>
  </w:style>
  <w:style w:type="character" w:customStyle="1" w:styleId="site-title">
    <w:name w:val="site-title"/>
    <w:basedOn w:val="DefaultParagraphFont"/>
    <w:rsid w:val="00866392"/>
  </w:style>
  <w:style w:type="character" w:customStyle="1" w:styleId="cit-print-date2">
    <w:name w:val="cit-print-date2"/>
    <w:basedOn w:val="DefaultParagraphFont"/>
    <w:rsid w:val="00866392"/>
  </w:style>
  <w:style w:type="character" w:customStyle="1" w:styleId="cit-vol2">
    <w:name w:val="cit-vol2"/>
    <w:basedOn w:val="DefaultParagraphFont"/>
    <w:rsid w:val="00866392"/>
  </w:style>
  <w:style w:type="character" w:customStyle="1" w:styleId="cit-sep2">
    <w:name w:val="cit-sep2"/>
    <w:basedOn w:val="DefaultParagraphFont"/>
    <w:rsid w:val="00866392"/>
  </w:style>
  <w:style w:type="character" w:customStyle="1" w:styleId="cit-first-page">
    <w:name w:val="cit-first-page"/>
    <w:basedOn w:val="DefaultParagraphFont"/>
    <w:rsid w:val="00866392"/>
  </w:style>
  <w:style w:type="character" w:customStyle="1" w:styleId="cit-last-page2">
    <w:name w:val="cit-last-page2"/>
    <w:basedOn w:val="DefaultParagraphFont"/>
    <w:rsid w:val="00866392"/>
  </w:style>
  <w:style w:type="paragraph" w:styleId="Header">
    <w:name w:val="header"/>
    <w:basedOn w:val="Normal"/>
    <w:link w:val="HeaderChar"/>
    <w:uiPriority w:val="99"/>
    <w:unhideWhenUsed/>
    <w:rsid w:val="00EE1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2DD"/>
  </w:style>
  <w:style w:type="paragraph" w:styleId="Footer">
    <w:name w:val="footer"/>
    <w:basedOn w:val="Normal"/>
    <w:link w:val="FooterChar"/>
    <w:uiPriority w:val="99"/>
    <w:unhideWhenUsed/>
    <w:rsid w:val="00E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7211">
      <w:bodyDiv w:val="1"/>
      <w:marLeft w:val="0"/>
      <w:marRight w:val="0"/>
      <w:marTop w:val="0"/>
      <w:marBottom w:val="0"/>
      <w:divBdr>
        <w:top w:val="none" w:sz="0" w:space="0" w:color="auto"/>
        <w:left w:val="none" w:sz="0" w:space="0" w:color="auto"/>
        <w:bottom w:val="none" w:sz="0" w:space="0" w:color="auto"/>
        <w:right w:val="none" w:sz="0" w:space="0" w:color="auto"/>
      </w:divBdr>
    </w:div>
    <w:div w:id="97484352">
      <w:bodyDiv w:val="1"/>
      <w:marLeft w:val="0"/>
      <w:marRight w:val="0"/>
      <w:marTop w:val="0"/>
      <w:marBottom w:val="0"/>
      <w:divBdr>
        <w:top w:val="none" w:sz="0" w:space="0" w:color="auto"/>
        <w:left w:val="none" w:sz="0" w:space="0" w:color="auto"/>
        <w:bottom w:val="none" w:sz="0" w:space="0" w:color="auto"/>
        <w:right w:val="none" w:sz="0" w:space="0" w:color="auto"/>
      </w:divBdr>
    </w:div>
    <w:div w:id="148786526">
      <w:bodyDiv w:val="1"/>
      <w:marLeft w:val="0"/>
      <w:marRight w:val="0"/>
      <w:marTop w:val="0"/>
      <w:marBottom w:val="0"/>
      <w:divBdr>
        <w:top w:val="none" w:sz="0" w:space="0" w:color="auto"/>
        <w:left w:val="none" w:sz="0" w:space="0" w:color="auto"/>
        <w:bottom w:val="none" w:sz="0" w:space="0" w:color="auto"/>
        <w:right w:val="none" w:sz="0" w:space="0" w:color="auto"/>
      </w:divBdr>
    </w:div>
    <w:div w:id="473370881">
      <w:bodyDiv w:val="1"/>
      <w:marLeft w:val="0"/>
      <w:marRight w:val="0"/>
      <w:marTop w:val="0"/>
      <w:marBottom w:val="0"/>
      <w:divBdr>
        <w:top w:val="none" w:sz="0" w:space="0" w:color="auto"/>
        <w:left w:val="none" w:sz="0" w:space="0" w:color="auto"/>
        <w:bottom w:val="none" w:sz="0" w:space="0" w:color="auto"/>
        <w:right w:val="none" w:sz="0" w:space="0" w:color="auto"/>
      </w:divBdr>
      <w:divsChild>
        <w:div w:id="789323562">
          <w:marLeft w:val="0"/>
          <w:marRight w:val="0"/>
          <w:marTop w:val="0"/>
          <w:marBottom w:val="0"/>
          <w:divBdr>
            <w:top w:val="none" w:sz="0" w:space="0" w:color="auto"/>
            <w:left w:val="none" w:sz="0" w:space="0" w:color="auto"/>
            <w:bottom w:val="none" w:sz="0" w:space="0" w:color="auto"/>
            <w:right w:val="none" w:sz="0" w:space="0" w:color="auto"/>
          </w:divBdr>
          <w:divsChild>
            <w:div w:id="840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2499">
      <w:bodyDiv w:val="1"/>
      <w:marLeft w:val="0"/>
      <w:marRight w:val="0"/>
      <w:marTop w:val="0"/>
      <w:marBottom w:val="0"/>
      <w:divBdr>
        <w:top w:val="none" w:sz="0" w:space="0" w:color="auto"/>
        <w:left w:val="none" w:sz="0" w:space="0" w:color="auto"/>
        <w:bottom w:val="none" w:sz="0" w:space="0" w:color="auto"/>
        <w:right w:val="none" w:sz="0" w:space="0" w:color="auto"/>
      </w:divBdr>
    </w:div>
    <w:div w:id="582378269">
      <w:bodyDiv w:val="1"/>
      <w:marLeft w:val="0"/>
      <w:marRight w:val="0"/>
      <w:marTop w:val="0"/>
      <w:marBottom w:val="0"/>
      <w:divBdr>
        <w:top w:val="none" w:sz="0" w:space="0" w:color="auto"/>
        <w:left w:val="none" w:sz="0" w:space="0" w:color="auto"/>
        <w:bottom w:val="none" w:sz="0" w:space="0" w:color="auto"/>
        <w:right w:val="none" w:sz="0" w:space="0" w:color="auto"/>
      </w:divBdr>
    </w:div>
    <w:div w:id="654379226">
      <w:bodyDiv w:val="1"/>
      <w:marLeft w:val="0"/>
      <w:marRight w:val="0"/>
      <w:marTop w:val="0"/>
      <w:marBottom w:val="0"/>
      <w:divBdr>
        <w:top w:val="none" w:sz="0" w:space="0" w:color="auto"/>
        <w:left w:val="none" w:sz="0" w:space="0" w:color="auto"/>
        <w:bottom w:val="none" w:sz="0" w:space="0" w:color="auto"/>
        <w:right w:val="none" w:sz="0" w:space="0" w:color="auto"/>
      </w:divBdr>
    </w:div>
    <w:div w:id="681786676">
      <w:bodyDiv w:val="1"/>
      <w:marLeft w:val="0"/>
      <w:marRight w:val="0"/>
      <w:marTop w:val="0"/>
      <w:marBottom w:val="0"/>
      <w:divBdr>
        <w:top w:val="none" w:sz="0" w:space="0" w:color="auto"/>
        <w:left w:val="none" w:sz="0" w:space="0" w:color="auto"/>
        <w:bottom w:val="none" w:sz="0" w:space="0" w:color="auto"/>
        <w:right w:val="none" w:sz="0" w:space="0" w:color="auto"/>
      </w:divBdr>
    </w:div>
    <w:div w:id="740105186">
      <w:bodyDiv w:val="1"/>
      <w:marLeft w:val="0"/>
      <w:marRight w:val="0"/>
      <w:marTop w:val="0"/>
      <w:marBottom w:val="0"/>
      <w:divBdr>
        <w:top w:val="none" w:sz="0" w:space="0" w:color="auto"/>
        <w:left w:val="none" w:sz="0" w:space="0" w:color="auto"/>
        <w:bottom w:val="none" w:sz="0" w:space="0" w:color="auto"/>
        <w:right w:val="none" w:sz="0" w:space="0" w:color="auto"/>
      </w:divBdr>
    </w:div>
    <w:div w:id="1003895585">
      <w:bodyDiv w:val="1"/>
      <w:marLeft w:val="0"/>
      <w:marRight w:val="0"/>
      <w:marTop w:val="0"/>
      <w:marBottom w:val="0"/>
      <w:divBdr>
        <w:top w:val="none" w:sz="0" w:space="0" w:color="auto"/>
        <w:left w:val="none" w:sz="0" w:space="0" w:color="auto"/>
        <w:bottom w:val="none" w:sz="0" w:space="0" w:color="auto"/>
        <w:right w:val="none" w:sz="0" w:space="0" w:color="auto"/>
      </w:divBdr>
      <w:divsChild>
        <w:div w:id="723597701">
          <w:marLeft w:val="0"/>
          <w:marRight w:val="0"/>
          <w:marTop w:val="0"/>
          <w:marBottom w:val="0"/>
          <w:divBdr>
            <w:top w:val="none" w:sz="0" w:space="0" w:color="auto"/>
            <w:left w:val="none" w:sz="0" w:space="0" w:color="auto"/>
            <w:bottom w:val="none" w:sz="0" w:space="0" w:color="auto"/>
            <w:right w:val="none" w:sz="0" w:space="0" w:color="auto"/>
          </w:divBdr>
          <w:divsChild>
            <w:div w:id="15097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2325">
      <w:bodyDiv w:val="1"/>
      <w:marLeft w:val="0"/>
      <w:marRight w:val="0"/>
      <w:marTop w:val="0"/>
      <w:marBottom w:val="0"/>
      <w:divBdr>
        <w:top w:val="none" w:sz="0" w:space="0" w:color="auto"/>
        <w:left w:val="none" w:sz="0" w:space="0" w:color="auto"/>
        <w:bottom w:val="none" w:sz="0" w:space="0" w:color="auto"/>
        <w:right w:val="none" w:sz="0" w:space="0" w:color="auto"/>
      </w:divBdr>
    </w:div>
    <w:div w:id="1071929383">
      <w:bodyDiv w:val="1"/>
      <w:marLeft w:val="0"/>
      <w:marRight w:val="0"/>
      <w:marTop w:val="0"/>
      <w:marBottom w:val="0"/>
      <w:divBdr>
        <w:top w:val="none" w:sz="0" w:space="0" w:color="auto"/>
        <w:left w:val="none" w:sz="0" w:space="0" w:color="auto"/>
        <w:bottom w:val="none" w:sz="0" w:space="0" w:color="auto"/>
        <w:right w:val="none" w:sz="0" w:space="0" w:color="auto"/>
      </w:divBdr>
    </w:div>
    <w:div w:id="1208227914">
      <w:bodyDiv w:val="1"/>
      <w:marLeft w:val="0"/>
      <w:marRight w:val="0"/>
      <w:marTop w:val="0"/>
      <w:marBottom w:val="0"/>
      <w:divBdr>
        <w:top w:val="none" w:sz="0" w:space="0" w:color="auto"/>
        <w:left w:val="none" w:sz="0" w:space="0" w:color="auto"/>
        <w:bottom w:val="none" w:sz="0" w:space="0" w:color="auto"/>
        <w:right w:val="none" w:sz="0" w:space="0" w:color="auto"/>
      </w:divBdr>
    </w:div>
    <w:div w:id="1217474641">
      <w:bodyDiv w:val="1"/>
      <w:marLeft w:val="0"/>
      <w:marRight w:val="0"/>
      <w:marTop w:val="0"/>
      <w:marBottom w:val="0"/>
      <w:divBdr>
        <w:top w:val="none" w:sz="0" w:space="0" w:color="auto"/>
        <w:left w:val="none" w:sz="0" w:space="0" w:color="auto"/>
        <w:bottom w:val="none" w:sz="0" w:space="0" w:color="auto"/>
        <w:right w:val="none" w:sz="0" w:space="0" w:color="auto"/>
      </w:divBdr>
    </w:div>
    <w:div w:id="1236668256">
      <w:bodyDiv w:val="1"/>
      <w:marLeft w:val="0"/>
      <w:marRight w:val="0"/>
      <w:marTop w:val="0"/>
      <w:marBottom w:val="0"/>
      <w:divBdr>
        <w:top w:val="none" w:sz="0" w:space="0" w:color="auto"/>
        <w:left w:val="none" w:sz="0" w:space="0" w:color="auto"/>
        <w:bottom w:val="none" w:sz="0" w:space="0" w:color="auto"/>
        <w:right w:val="none" w:sz="0" w:space="0" w:color="auto"/>
      </w:divBdr>
    </w:div>
    <w:div w:id="1292133625">
      <w:bodyDiv w:val="1"/>
      <w:marLeft w:val="0"/>
      <w:marRight w:val="0"/>
      <w:marTop w:val="0"/>
      <w:marBottom w:val="0"/>
      <w:divBdr>
        <w:top w:val="none" w:sz="0" w:space="0" w:color="auto"/>
        <w:left w:val="none" w:sz="0" w:space="0" w:color="auto"/>
        <w:bottom w:val="none" w:sz="0" w:space="0" w:color="auto"/>
        <w:right w:val="none" w:sz="0" w:space="0" w:color="auto"/>
      </w:divBdr>
    </w:div>
    <w:div w:id="1346008825">
      <w:bodyDiv w:val="1"/>
      <w:marLeft w:val="0"/>
      <w:marRight w:val="0"/>
      <w:marTop w:val="0"/>
      <w:marBottom w:val="0"/>
      <w:divBdr>
        <w:top w:val="none" w:sz="0" w:space="0" w:color="auto"/>
        <w:left w:val="none" w:sz="0" w:space="0" w:color="auto"/>
        <w:bottom w:val="none" w:sz="0" w:space="0" w:color="auto"/>
        <w:right w:val="none" w:sz="0" w:space="0" w:color="auto"/>
      </w:divBdr>
    </w:div>
    <w:div w:id="1384401107">
      <w:bodyDiv w:val="1"/>
      <w:marLeft w:val="0"/>
      <w:marRight w:val="0"/>
      <w:marTop w:val="0"/>
      <w:marBottom w:val="0"/>
      <w:divBdr>
        <w:top w:val="none" w:sz="0" w:space="0" w:color="auto"/>
        <w:left w:val="none" w:sz="0" w:space="0" w:color="auto"/>
        <w:bottom w:val="none" w:sz="0" w:space="0" w:color="auto"/>
        <w:right w:val="none" w:sz="0" w:space="0" w:color="auto"/>
      </w:divBdr>
    </w:div>
    <w:div w:id="1581481426">
      <w:bodyDiv w:val="1"/>
      <w:marLeft w:val="0"/>
      <w:marRight w:val="0"/>
      <w:marTop w:val="0"/>
      <w:marBottom w:val="0"/>
      <w:divBdr>
        <w:top w:val="none" w:sz="0" w:space="0" w:color="auto"/>
        <w:left w:val="none" w:sz="0" w:space="0" w:color="auto"/>
        <w:bottom w:val="none" w:sz="0" w:space="0" w:color="auto"/>
        <w:right w:val="none" w:sz="0" w:space="0" w:color="auto"/>
      </w:divBdr>
    </w:div>
    <w:div w:id="1922106231">
      <w:bodyDiv w:val="1"/>
      <w:marLeft w:val="0"/>
      <w:marRight w:val="0"/>
      <w:marTop w:val="0"/>
      <w:marBottom w:val="0"/>
      <w:divBdr>
        <w:top w:val="none" w:sz="0" w:space="0" w:color="auto"/>
        <w:left w:val="none" w:sz="0" w:space="0" w:color="auto"/>
        <w:bottom w:val="none" w:sz="0" w:space="0" w:color="auto"/>
        <w:right w:val="none" w:sz="0" w:space="0" w:color="auto"/>
      </w:divBdr>
    </w:div>
    <w:div w:id="2047901225">
      <w:bodyDiv w:val="1"/>
      <w:marLeft w:val="0"/>
      <w:marRight w:val="0"/>
      <w:marTop w:val="0"/>
      <w:marBottom w:val="0"/>
      <w:divBdr>
        <w:top w:val="none" w:sz="0" w:space="0" w:color="auto"/>
        <w:left w:val="none" w:sz="0" w:space="0" w:color="auto"/>
        <w:bottom w:val="none" w:sz="0" w:space="0" w:color="auto"/>
        <w:right w:val="none" w:sz="0" w:space="0" w:color="auto"/>
      </w:divBdr>
    </w:div>
    <w:div w:id="2124034285">
      <w:bodyDiv w:val="1"/>
      <w:marLeft w:val="0"/>
      <w:marRight w:val="0"/>
      <w:marTop w:val="0"/>
      <w:marBottom w:val="0"/>
      <w:divBdr>
        <w:top w:val="none" w:sz="0" w:space="0" w:color="auto"/>
        <w:left w:val="none" w:sz="0" w:space="0" w:color="auto"/>
        <w:bottom w:val="none" w:sz="0" w:space="0" w:color="auto"/>
        <w:right w:val="none" w:sz="0" w:space="0" w:color="auto"/>
      </w:divBdr>
      <w:divsChild>
        <w:div w:id="153493102">
          <w:marLeft w:val="0"/>
          <w:marRight w:val="0"/>
          <w:marTop w:val="0"/>
          <w:marBottom w:val="0"/>
          <w:divBdr>
            <w:top w:val="none" w:sz="0" w:space="0" w:color="auto"/>
            <w:left w:val="none" w:sz="0" w:space="0" w:color="auto"/>
            <w:bottom w:val="none" w:sz="0" w:space="0" w:color="auto"/>
            <w:right w:val="none" w:sz="0" w:space="0" w:color="auto"/>
          </w:divBdr>
          <w:divsChild>
            <w:div w:id="6830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hertner@c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breems@cns.gov" TargetMode="External"/><Relationship Id="rId4" Type="http://schemas.openxmlformats.org/officeDocument/2006/relationships/settings" Target="settings.xml"/><Relationship Id="rId9" Type="http://schemas.openxmlformats.org/officeDocument/2006/relationships/hyperlink" Target="mailto:anerino@c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A75A-1C24-4321-8709-6B5C024C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Ghertner, Robin</cp:lastModifiedBy>
  <cp:revision>2</cp:revision>
  <cp:lastPrinted>2014-06-18T16:48:00Z</cp:lastPrinted>
  <dcterms:created xsi:type="dcterms:W3CDTF">2015-05-12T20:21:00Z</dcterms:created>
  <dcterms:modified xsi:type="dcterms:W3CDTF">2015-05-12T20:21:00Z</dcterms:modified>
</cp:coreProperties>
</file>