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3E" w:rsidRDefault="00E76740">
      <w:pPr>
        <w:spacing w:before="6" w:line="318" w:lineRule="exact"/>
        <w:jc w:val="center"/>
        <w:textAlignment w:val="baseline"/>
        <w:rPr>
          <w:rFonts w:ascii="Arial" w:eastAsia="Arial" w:hAnsi="Arial"/>
          <w:b/>
          <w:color w:val="000000"/>
          <w:spacing w:val="3"/>
          <w:sz w:val="27"/>
        </w:rPr>
      </w:pPr>
      <w:r>
        <w:pict>
          <v:shapetype id="_x0000_t202" coordsize="21600,21600" o:spt="202" path="m,l,21600r21600,l21600,xe">
            <v:stroke joinstyle="miter"/>
            <v:path gradientshapeok="t" o:connecttype="rect"/>
          </v:shapetype>
          <v:shape id="_x0000_s1031" type="#_x0000_t202" style="position:absolute;left:0;text-align:left;margin-left:15.15pt;margin-top:760.8pt;width:563pt;height:11.95pt;z-index:-251640832;mso-wrap-distance-left:0;mso-wrap-distance-right:0;mso-position-horizontal-relative:page;mso-position-vertical-relative:page" filled="f" stroked="f">
            <v:textbox inset="0,0,0,0">
              <w:txbxContent>
                <w:p w:rsidR="007C433E" w:rsidRDefault="00D8266E">
                  <w:pPr>
                    <w:tabs>
                      <w:tab w:val="left" w:pos="5544"/>
                      <w:tab w:val="left" w:pos="10584"/>
                    </w:tabs>
                    <w:spacing w:before="18" w:after="15" w:line="202" w:lineRule="exact"/>
                    <w:ind w:left="144"/>
                    <w:textAlignment w:val="baseline"/>
                    <w:rPr>
                      <w:rFonts w:ascii="Arial" w:eastAsia="Arial" w:hAnsi="Arial"/>
                      <w:b/>
                      <w:color w:val="000000"/>
                      <w:spacing w:val="3"/>
                      <w:sz w:val="17"/>
                    </w:rPr>
                  </w:pPr>
                  <w:r>
                    <w:rPr>
                      <w:rFonts w:ascii="Arial" w:eastAsia="Arial" w:hAnsi="Arial"/>
                      <w:b/>
                      <w:color w:val="000000"/>
                      <w:spacing w:val="3"/>
                      <w:sz w:val="17"/>
                    </w:rPr>
                    <w:t>OMB 83-I</w:t>
                  </w:r>
                  <w:r>
                    <w:rPr>
                      <w:rFonts w:ascii="Arial" w:eastAsia="Arial" w:hAnsi="Arial"/>
                      <w:b/>
                      <w:color w:val="000000"/>
                      <w:spacing w:val="3"/>
                      <w:sz w:val="17"/>
                    </w:rPr>
                    <w:tab/>
                  </w:r>
                  <w:r>
                    <w:rPr>
                      <w:rFonts w:ascii="Arial" w:eastAsia="Arial" w:hAnsi="Arial"/>
                      <w:color w:val="000000"/>
                      <w:spacing w:val="3"/>
                      <w:sz w:val="17"/>
                    </w:rPr>
                    <w:t>3</w:t>
                  </w:r>
                  <w:r>
                    <w:rPr>
                      <w:rFonts w:ascii="Arial" w:eastAsia="Arial" w:hAnsi="Arial"/>
                      <w:color w:val="000000"/>
                      <w:spacing w:val="3"/>
                      <w:sz w:val="17"/>
                    </w:rPr>
                    <w:tab/>
                  </w:r>
                  <w:r>
                    <w:rPr>
                      <w:rFonts w:ascii="Arial" w:eastAsia="Arial" w:hAnsi="Arial"/>
                      <w:b/>
                      <w:color w:val="000000"/>
                      <w:spacing w:val="3"/>
                      <w:sz w:val="17"/>
                    </w:rPr>
                    <w:t>10/95</w:t>
                  </w:r>
                </w:p>
              </w:txbxContent>
            </v:textbox>
            <w10:wrap type="square" anchorx="page" anchory="page"/>
          </v:shape>
        </w:pict>
      </w:r>
      <w:r w:rsidR="00D8266E">
        <w:rPr>
          <w:rFonts w:ascii="Arial" w:eastAsia="Arial" w:hAnsi="Arial"/>
          <w:b/>
          <w:color w:val="000000"/>
          <w:spacing w:val="3"/>
          <w:sz w:val="27"/>
        </w:rPr>
        <w:t>Supporting Statement for Paperwork Reduction Act Submissions</w:t>
      </w:r>
    </w:p>
    <w:p w:rsidR="007C433E" w:rsidRDefault="00D8266E">
      <w:pPr>
        <w:spacing w:before="274" w:line="278" w:lineRule="exact"/>
        <w:jc w:val="center"/>
        <w:textAlignment w:val="baseline"/>
        <w:rPr>
          <w:rFonts w:ascii="Arial" w:eastAsia="Arial" w:hAnsi="Arial"/>
          <w:b/>
          <w:color w:val="000000"/>
          <w:sz w:val="23"/>
        </w:rPr>
      </w:pPr>
      <w:r>
        <w:rPr>
          <w:rFonts w:ascii="Arial" w:eastAsia="Arial" w:hAnsi="Arial"/>
          <w:b/>
          <w:color w:val="000000"/>
          <w:sz w:val="23"/>
        </w:rPr>
        <w:t xml:space="preserve">Procedures for Appealing Section 8 Rent Adjustments </w:t>
      </w:r>
      <w:r>
        <w:rPr>
          <w:rFonts w:ascii="Arial" w:eastAsia="Arial" w:hAnsi="Arial"/>
          <w:b/>
          <w:color w:val="000000"/>
          <w:sz w:val="23"/>
        </w:rPr>
        <w:br/>
        <w:t>OMB Control Number 2502-0446</w:t>
      </w:r>
    </w:p>
    <w:p w:rsidR="007C433E" w:rsidRDefault="00D8266E">
      <w:pPr>
        <w:spacing w:before="296" w:line="268" w:lineRule="exact"/>
        <w:ind w:left="792"/>
        <w:textAlignment w:val="baseline"/>
        <w:rPr>
          <w:rFonts w:eastAsia="Times New Roman"/>
          <w:b/>
          <w:color w:val="000000"/>
          <w:spacing w:val="3"/>
          <w:sz w:val="23"/>
        </w:rPr>
      </w:pPr>
      <w:r>
        <w:rPr>
          <w:rFonts w:eastAsia="Times New Roman"/>
          <w:b/>
          <w:color w:val="000000"/>
          <w:spacing w:val="3"/>
          <w:sz w:val="23"/>
        </w:rPr>
        <w:t>Justification</w:t>
      </w:r>
    </w:p>
    <w:p w:rsidR="007C433E" w:rsidRDefault="00D8266E">
      <w:pPr>
        <w:spacing w:before="268" w:line="275" w:lineRule="exact"/>
        <w:ind w:left="504" w:right="792"/>
        <w:textAlignment w:val="baseline"/>
        <w:rPr>
          <w:rFonts w:eastAsia="Times New Roman"/>
          <w:b/>
          <w:color w:val="000000"/>
          <w:sz w:val="23"/>
        </w:rPr>
      </w:pPr>
      <w:r>
        <w:rPr>
          <w:rFonts w:eastAsia="Times New Roman"/>
          <w:b/>
          <w:color w:val="000000"/>
          <w:sz w:val="23"/>
        </w:rPr>
        <w:t xml:space="preserve">Title II, Section 221, of </w:t>
      </w:r>
      <w:r>
        <w:rPr>
          <w:rFonts w:eastAsia="Times New Roman"/>
          <w:color w:val="000000"/>
          <w:sz w:val="23"/>
        </w:rPr>
        <w:t>the National Housing Act requires that the Department of Housing and Urban Development (HUD) regulate rents for certain subsidized rental projects. Under this legislation, HUD is</w:t>
      </w:r>
    </w:p>
    <w:p w:rsidR="007C433E" w:rsidRDefault="00D8266E">
      <w:pPr>
        <w:tabs>
          <w:tab w:val="left" w:leader="underscore" w:pos="4320"/>
        </w:tabs>
        <w:spacing w:line="277" w:lineRule="exact"/>
        <w:ind w:left="504" w:right="432"/>
        <w:textAlignment w:val="baseline"/>
        <w:rPr>
          <w:rFonts w:eastAsia="Times New Roman"/>
          <w:color w:val="000000"/>
          <w:sz w:val="23"/>
        </w:rPr>
      </w:pPr>
      <w:proofErr w:type="gramStart"/>
      <w:r>
        <w:rPr>
          <w:rFonts w:eastAsia="Times New Roman"/>
          <w:color w:val="000000"/>
          <w:sz w:val="23"/>
        </w:rPr>
        <w:t>charged</w:t>
      </w:r>
      <w:proofErr w:type="gramEnd"/>
      <w:r>
        <w:rPr>
          <w:rFonts w:eastAsia="Times New Roman"/>
          <w:color w:val="000000"/>
          <w:sz w:val="23"/>
        </w:rPr>
        <w:t xml:space="preserve"> with the responsibility of </w:t>
      </w:r>
      <w:proofErr w:type="spellStart"/>
      <w:r>
        <w:rPr>
          <w:rFonts w:eastAsia="Times New Roman"/>
          <w:color w:val="000000"/>
          <w:sz w:val="23"/>
        </w:rPr>
        <w:t>detei</w:t>
      </w:r>
      <w:proofErr w:type="spellEnd"/>
      <w:r>
        <w:rPr>
          <w:rFonts w:eastAsia="Times New Roman"/>
          <w:color w:val="000000"/>
          <w:sz w:val="23"/>
        </w:rPr>
        <w:tab/>
        <w:t xml:space="preserve">wining the method of rent adjustments and with facilitating these </w:t>
      </w:r>
      <w:r>
        <w:rPr>
          <w:rFonts w:eastAsia="Times New Roman"/>
          <w:color w:val="000000"/>
          <w:sz w:val="23"/>
        </w:rPr>
        <w:br/>
        <w:t>adjustments. Because rent adjustments are considered benefits to project owners, HUD must also provide some means for owners to appeal the decisions made by the Department or the Contract Administrator. This appeal process, and the information collection included as part of the process, play an important role in preventing costly litigation and in ensuring the accuracy of the overall rent adjustment process.</w:t>
      </w:r>
    </w:p>
    <w:p w:rsidR="007C433E" w:rsidRDefault="00D8266E">
      <w:pPr>
        <w:numPr>
          <w:ilvl w:val="0"/>
          <w:numId w:val="15"/>
        </w:numPr>
        <w:tabs>
          <w:tab w:val="clear" w:pos="360"/>
          <w:tab w:val="left" w:pos="504"/>
        </w:tabs>
        <w:spacing w:before="264" w:line="277" w:lineRule="exact"/>
        <w:ind w:left="504" w:right="432" w:hanging="360"/>
        <w:textAlignment w:val="baseline"/>
        <w:rPr>
          <w:rFonts w:eastAsia="Times New Roman"/>
          <w:color w:val="000000"/>
          <w:spacing w:val="4"/>
          <w:sz w:val="23"/>
        </w:rPr>
      </w:pPr>
      <w:r>
        <w:rPr>
          <w:rFonts w:eastAsia="Times New Roman"/>
          <w:color w:val="000000"/>
          <w:spacing w:val="4"/>
          <w:sz w:val="23"/>
        </w:rPr>
        <w:t xml:space="preserve">Owners of certain subsidized multifamily housing rental projects are allowed two appeals under the Section 8 rent appeal process. The first appeal is made to the local HUD Office or Contract Administrator that rendered the initial rent adjustment decision, and the second appeal may be made to the Hub Director, who will designate an official to review any appeal. Each appeal must include a letter explaining the owner's disagreement and documentation outlining the requested rents, along with any other supporting documentation. This information must be submitted within 30 days </w:t>
      </w:r>
      <w:r>
        <w:rPr>
          <w:rFonts w:eastAsia="Times New Roman"/>
          <w:b/>
          <w:color w:val="000000"/>
          <w:spacing w:val="4"/>
          <w:sz w:val="23"/>
        </w:rPr>
        <w:t xml:space="preserve">of </w:t>
      </w:r>
      <w:r>
        <w:rPr>
          <w:rFonts w:eastAsia="Times New Roman"/>
          <w:color w:val="000000"/>
          <w:spacing w:val="4"/>
          <w:sz w:val="23"/>
        </w:rPr>
        <w:t>notification of denial of the rent adjustment request.</w:t>
      </w:r>
    </w:p>
    <w:p w:rsidR="007C433E" w:rsidRDefault="00D8266E">
      <w:pPr>
        <w:numPr>
          <w:ilvl w:val="0"/>
          <w:numId w:val="15"/>
        </w:numPr>
        <w:tabs>
          <w:tab w:val="clear" w:pos="360"/>
          <w:tab w:val="left" w:pos="504"/>
        </w:tabs>
        <w:spacing w:before="274" w:line="275" w:lineRule="exact"/>
        <w:ind w:left="504" w:right="576" w:hanging="360"/>
        <w:textAlignment w:val="baseline"/>
        <w:rPr>
          <w:rFonts w:eastAsia="Times New Roman"/>
          <w:color w:val="000000"/>
          <w:sz w:val="23"/>
        </w:rPr>
      </w:pPr>
      <w:r>
        <w:rPr>
          <w:rFonts w:eastAsia="Times New Roman"/>
          <w:color w:val="000000"/>
          <w:sz w:val="23"/>
        </w:rPr>
        <w:t xml:space="preserve">This information is not collected electronically and there are no plans to automate the process at this time because it requires either HUD staff or Contract Administrator staff to review the owner's supporting documentation to justify the appeal and compare it to the owner's original rent increase submission and determination of the rents by HUD or the Contract Administrator. At this time, automating this process is not feasible as it will not allow reviewers to adequately assess all pertinent materials due to the unique nature and project operation of every property while ensuring compliance with HUD regulations and guidelines as </w:t>
      </w:r>
      <w:r>
        <w:rPr>
          <w:rFonts w:eastAsia="Times New Roman"/>
          <w:b/>
          <w:color w:val="000000"/>
          <w:sz w:val="23"/>
        </w:rPr>
        <w:t>required by the business agreements.</w:t>
      </w:r>
    </w:p>
    <w:p w:rsidR="007C433E" w:rsidRDefault="00D8266E">
      <w:pPr>
        <w:numPr>
          <w:ilvl w:val="0"/>
          <w:numId w:val="15"/>
        </w:numPr>
        <w:tabs>
          <w:tab w:val="clear" w:pos="360"/>
          <w:tab w:val="left" w:pos="504"/>
        </w:tabs>
        <w:spacing w:before="279" w:line="268" w:lineRule="exact"/>
        <w:ind w:left="504" w:hanging="360"/>
        <w:textAlignment w:val="baseline"/>
        <w:rPr>
          <w:rFonts w:eastAsia="Times New Roman"/>
          <w:b/>
          <w:color w:val="000000"/>
          <w:spacing w:val="2"/>
          <w:sz w:val="23"/>
        </w:rPr>
      </w:pPr>
      <w:r>
        <w:rPr>
          <w:rFonts w:eastAsia="Times New Roman"/>
          <w:b/>
          <w:color w:val="000000"/>
          <w:spacing w:val="2"/>
          <w:sz w:val="23"/>
        </w:rPr>
        <w:t xml:space="preserve">No similar </w:t>
      </w:r>
      <w:r>
        <w:rPr>
          <w:rFonts w:eastAsia="Times New Roman"/>
          <w:color w:val="000000"/>
          <w:spacing w:val="2"/>
          <w:sz w:val="23"/>
        </w:rPr>
        <w:t>information is being collected.</w:t>
      </w:r>
    </w:p>
    <w:p w:rsidR="007C433E" w:rsidRDefault="00D8266E">
      <w:pPr>
        <w:numPr>
          <w:ilvl w:val="0"/>
          <w:numId w:val="15"/>
        </w:numPr>
        <w:tabs>
          <w:tab w:val="clear" w:pos="360"/>
          <w:tab w:val="left" w:pos="504"/>
        </w:tabs>
        <w:spacing w:before="265" w:line="278" w:lineRule="exact"/>
        <w:ind w:left="504" w:right="360" w:hanging="360"/>
        <w:textAlignment w:val="baseline"/>
        <w:rPr>
          <w:rFonts w:eastAsia="Times New Roman"/>
          <w:color w:val="000000"/>
          <w:sz w:val="23"/>
        </w:rPr>
      </w:pPr>
      <w:r>
        <w:rPr>
          <w:rFonts w:eastAsia="Times New Roman"/>
          <w:color w:val="000000"/>
          <w:sz w:val="23"/>
        </w:rPr>
        <w:t xml:space="preserve">Some project </w:t>
      </w:r>
      <w:r>
        <w:rPr>
          <w:rFonts w:eastAsia="Times New Roman"/>
          <w:b/>
          <w:color w:val="000000"/>
          <w:sz w:val="23"/>
        </w:rPr>
        <w:t xml:space="preserve">owners </w:t>
      </w:r>
      <w:r>
        <w:rPr>
          <w:rFonts w:eastAsia="Times New Roman"/>
          <w:color w:val="000000"/>
          <w:sz w:val="23"/>
        </w:rPr>
        <w:t>may be considered small businesses. The collection of this information is the same for all project owners. A project owner determines whether or not to submit the information. The two burden hours per submission are not considered significant.</w:t>
      </w:r>
    </w:p>
    <w:p w:rsidR="007C433E" w:rsidRDefault="00D8266E">
      <w:pPr>
        <w:numPr>
          <w:ilvl w:val="0"/>
          <w:numId w:val="15"/>
        </w:numPr>
        <w:tabs>
          <w:tab w:val="clear" w:pos="360"/>
          <w:tab w:val="left" w:pos="504"/>
        </w:tabs>
        <w:spacing w:before="253" w:line="280" w:lineRule="exact"/>
        <w:ind w:left="504" w:right="792" w:hanging="360"/>
        <w:textAlignment w:val="baseline"/>
        <w:rPr>
          <w:rFonts w:eastAsia="Times New Roman"/>
          <w:color w:val="000000"/>
          <w:sz w:val="23"/>
        </w:rPr>
      </w:pPr>
      <w:r>
        <w:rPr>
          <w:rFonts w:eastAsia="Times New Roman"/>
          <w:color w:val="000000"/>
          <w:sz w:val="23"/>
        </w:rPr>
        <w:t>If this information were not collected as required, HUD would be in violation of the statute. The information is collected, at the owner's discretion, when they wish to appeal a rent decision. The information collection could not be conducted less frequently. Failure to collect this information would hinder the Department's ability to provide owners with an opportunity to appeal rent adjustments.</w:t>
      </w:r>
    </w:p>
    <w:p w:rsidR="007C433E" w:rsidRDefault="00D8266E">
      <w:pPr>
        <w:numPr>
          <w:ilvl w:val="0"/>
          <w:numId w:val="15"/>
        </w:numPr>
        <w:tabs>
          <w:tab w:val="clear" w:pos="360"/>
          <w:tab w:val="left" w:pos="504"/>
        </w:tabs>
        <w:spacing w:before="258" w:line="288" w:lineRule="exact"/>
        <w:ind w:left="504" w:right="360" w:hanging="360"/>
        <w:textAlignment w:val="baseline"/>
        <w:rPr>
          <w:rFonts w:eastAsia="Times New Roman"/>
          <w:color w:val="000000"/>
          <w:sz w:val="23"/>
        </w:rPr>
      </w:pPr>
      <w:r>
        <w:rPr>
          <w:rFonts w:eastAsia="Times New Roman"/>
          <w:color w:val="000000"/>
          <w:sz w:val="23"/>
        </w:rPr>
        <w:t xml:space="preserve">The information must be submitted within 30 days of notification of denial of the </w:t>
      </w:r>
      <w:r>
        <w:rPr>
          <w:rFonts w:eastAsia="Times New Roman"/>
          <w:b/>
          <w:color w:val="000000"/>
          <w:sz w:val="23"/>
        </w:rPr>
        <w:t xml:space="preserve">rent </w:t>
      </w:r>
      <w:r>
        <w:rPr>
          <w:rFonts w:eastAsia="Times New Roman"/>
          <w:color w:val="000000"/>
          <w:sz w:val="23"/>
        </w:rPr>
        <w:t>adjustment request, as required by Section 516(c) of MAHRA.</w:t>
      </w:r>
    </w:p>
    <w:p w:rsidR="007C433E" w:rsidRDefault="00E76740">
      <w:pPr>
        <w:numPr>
          <w:ilvl w:val="0"/>
          <w:numId w:val="15"/>
        </w:numPr>
        <w:tabs>
          <w:tab w:val="clear" w:pos="360"/>
          <w:tab w:val="left" w:pos="504"/>
        </w:tabs>
        <w:spacing w:before="273" w:line="280" w:lineRule="exact"/>
        <w:ind w:left="504" w:right="432" w:hanging="360"/>
        <w:textAlignment w:val="baseline"/>
        <w:rPr>
          <w:rFonts w:eastAsia="Times New Roman"/>
          <w:color w:val="000000"/>
          <w:spacing w:val="2"/>
          <w:sz w:val="23"/>
        </w:rPr>
      </w:pPr>
      <w:r>
        <w:pict>
          <v:line id="_x0000_s1030" style="position:absolute;left:0;text-align:left;z-index:251655168;mso-position-horizontal-relative:page;mso-position-vertical-relative:page" from="15.15pt,759.85pt" to="578.2pt,759.85pt" strokeweight=".95pt">
            <w10:wrap anchorx="page" anchory="page"/>
          </v:line>
        </w:pict>
      </w:r>
      <w:r w:rsidR="00D8266E">
        <w:rPr>
          <w:rFonts w:eastAsia="Times New Roman"/>
          <w:color w:val="000000"/>
          <w:spacing w:val="2"/>
          <w:sz w:val="23"/>
        </w:rPr>
        <w:t xml:space="preserve">In accordance with 5 CFR 1320.8(d), the agency's notice soliciting public comments was announced in the </w:t>
      </w:r>
      <w:r w:rsidR="00D8266E">
        <w:rPr>
          <w:rFonts w:eastAsia="Times New Roman"/>
          <w:color w:val="000000"/>
          <w:spacing w:val="2"/>
          <w:sz w:val="23"/>
          <w:u w:val="single"/>
        </w:rPr>
        <w:t>Federal Register</w:t>
      </w:r>
      <w:r w:rsidR="00D8266E">
        <w:rPr>
          <w:rFonts w:eastAsia="Times New Roman"/>
          <w:color w:val="000000"/>
          <w:spacing w:val="2"/>
          <w:sz w:val="23"/>
        </w:rPr>
        <w:t xml:space="preserve"> on ( Tuesday, August 23, 2011; _</w:t>
      </w:r>
      <w:proofErr w:type="spellStart"/>
      <w:r w:rsidR="00D8266E">
        <w:rPr>
          <w:rFonts w:eastAsia="Times New Roman"/>
          <w:color w:val="000000"/>
          <w:spacing w:val="2"/>
          <w:sz w:val="23"/>
        </w:rPr>
        <w:t>Vol</w:t>
      </w:r>
      <w:proofErr w:type="spellEnd"/>
      <w:r w:rsidR="00D8266E">
        <w:rPr>
          <w:rFonts w:eastAsia="Times New Roman"/>
          <w:color w:val="000000"/>
          <w:spacing w:val="2"/>
          <w:sz w:val="23"/>
        </w:rPr>
        <w:t>; 76; No. 163; Page 52674.). No comments were received.</w:t>
      </w:r>
    </w:p>
    <w:p w:rsidR="007C433E" w:rsidRDefault="007C433E">
      <w:pPr>
        <w:sectPr w:rsidR="007C433E">
          <w:pgSz w:w="12240" w:h="15840"/>
          <w:pgMar w:top="800" w:right="677" w:bottom="228" w:left="303" w:header="720" w:footer="720" w:gutter="0"/>
          <w:cols w:space="720"/>
        </w:sectPr>
      </w:pPr>
    </w:p>
    <w:p w:rsidR="007C433E" w:rsidRDefault="00D8266E">
      <w:pPr>
        <w:numPr>
          <w:ilvl w:val="0"/>
          <w:numId w:val="16"/>
        </w:numPr>
        <w:tabs>
          <w:tab w:val="clear" w:pos="360"/>
          <w:tab w:val="left" w:pos="504"/>
        </w:tabs>
        <w:spacing w:before="274" w:line="272" w:lineRule="exact"/>
        <w:ind w:left="504" w:hanging="360"/>
        <w:textAlignment w:val="baseline"/>
        <w:rPr>
          <w:rFonts w:eastAsia="Times New Roman"/>
          <w:color w:val="000000"/>
          <w:spacing w:val="3"/>
          <w:sz w:val="23"/>
        </w:rPr>
      </w:pPr>
      <w:r>
        <w:rPr>
          <w:rFonts w:eastAsia="Times New Roman"/>
          <w:color w:val="000000"/>
          <w:spacing w:val="3"/>
          <w:sz w:val="23"/>
        </w:rPr>
        <w:lastRenderedPageBreak/>
        <w:t>No payments or gifts are provided to the respondents.</w:t>
      </w:r>
    </w:p>
    <w:p w:rsidR="007C433E" w:rsidRDefault="00D8266E">
      <w:pPr>
        <w:numPr>
          <w:ilvl w:val="0"/>
          <w:numId w:val="16"/>
        </w:numPr>
        <w:tabs>
          <w:tab w:val="clear" w:pos="360"/>
          <w:tab w:val="left" w:pos="504"/>
        </w:tabs>
        <w:spacing w:before="277" w:line="268" w:lineRule="exact"/>
        <w:ind w:left="504" w:hanging="360"/>
        <w:textAlignment w:val="baseline"/>
        <w:rPr>
          <w:rFonts w:eastAsia="Times New Roman"/>
          <w:color w:val="000000"/>
          <w:spacing w:val="3"/>
          <w:sz w:val="23"/>
        </w:rPr>
      </w:pPr>
      <w:r>
        <w:rPr>
          <w:rFonts w:eastAsia="Times New Roman"/>
          <w:color w:val="000000"/>
          <w:spacing w:val="3"/>
          <w:sz w:val="23"/>
        </w:rPr>
        <w:t>There are no assurances of confidentiality provided to respondents.</w:t>
      </w:r>
    </w:p>
    <w:p w:rsidR="007C433E" w:rsidRDefault="00D8266E">
      <w:pPr>
        <w:numPr>
          <w:ilvl w:val="0"/>
          <w:numId w:val="16"/>
        </w:numPr>
        <w:tabs>
          <w:tab w:val="clear" w:pos="360"/>
          <w:tab w:val="left" w:pos="504"/>
        </w:tabs>
        <w:spacing w:before="285" w:line="268" w:lineRule="exact"/>
        <w:ind w:left="504" w:hanging="360"/>
        <w:textAlignment w:val="baseline"/>
        <w:rPr>
          <w:rFonts w:eastAsia="Times New Roman"/>
          <w:color w:val="000000"/>
          <w:spacing w:val="3"/>
          <w:sz w:val="23"/>
        </w:rPr>
      </w:pPr>
      <w:r>
        <w:rPr>
          <w:rFonts w:eastAsia="Times New Roman"/>
          <w:color w:val="000000"/>
          <w:spacing w:val="3"/>
          <w:sz w:val="23"/>
        </w:rPr>
        <w:lastRenderedPageBreak/>
        <w:t>The letters do not contain questions of a sensitive nature.</w:t>
      </w:r>
    </w:p>
    <w:p w:rsidR="007C433E" w:rsidRDefault="00D8266E">
      <w:pPr>
        <w:numPr>
          <w:ilvl w:val="0"/>
          <w:numId w:val="16"/>
        </w:numPr>
        <w:tabs>
          <w:tab w:val="clear" w:pos="360"/>
          <w:tab w:val="left" w:pos="504"/>
        </w:tabs>
        <w:spacing w:before="283" w:after="223" w:line="268" w:lineRule="exact"/>
        <w:ind w:left="504" w:hanging="360"/>
        <w:textAlignment w:val="baseline"/>
        <w:rPr>
          <w:rFonts w:eastAsia="Times New Roman"/>
          <w:color w:val="000000"/>
          <w:spacing w:val="3"/>
          <w:sz w:val="23"/>
        </w:rPr>
      </w:pPr>
      <w:r>
        <w:rPr>
          <w:rFonts w:eastAsia="Times New Roman"/>
          <w:color w:val="000000"/>
          <w:spacing w:val="3"/>
          <w:sz w:val="23"/>
        </w:rPr>
        <w:t>Estimated Burden and Annual Cost to Respondents:</w:t>
      </w:r>
    </w:p>
    <w:tbl>
      <w:tblPr>
        <w:tblW w:w="0" w:type="auto"/>
        <w:tblInd w:w="487" w:type="dxa"/>
        <w:tblLayout w:type="fixed"/>
        <w:tblCellMar>
          <w:left w:w="0" w:type="dxa"/>
          <w:right w:w="0" w:type="dxa"/>
        </w:tblCellMar>
        <w:tblLook w:val="0000" w:firstRow="0" w:lastRow="0" w:firstColumn="0" w:lastColumn="0" w:noHBand="0" w:noVBand="0"/>
      </w:tblPr>
      <w:tblGrid>
        <w:gridCol w:w="1642"/>
        <w:gridCol w:w="1430"/>
        <w:gridCol w:w="1181"/>
        <w:gridCol w:w="1339"/>
        <w:gridCol w:w="1358"/>
        <w:gridCol w:w="1258"/>
        <w:gridCol w:w="1080"/>
        <w:gridCol w:w="1008"/>
      </w:tblGrid>
      <w:tr w:rsidR="007C433E">
        <w:trPr>
          <w:trHeight w:hRule="exact" w:val="658"/>
        </w:trPr>
        <w:tc>
          <w:tcPr>
            <w:tcW w:w="1642"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before="156" w:after="77" w:line="207" w:lineRule="exact"/>
              <w:jc w:val="center"/>
              <w:textAlignment w:val="baseline"/>
              <w:rPr>
                <w:rFonts w:ascii="Arial" w:eastAsia="Arial" w:hAnsi="Arial"/>
                <w:b/>
                <w:color w:val="000000"/>
                <w:sz w:val="18"/>
              </w:rPr>
            </w:pPr>
            <w:r>
              <w:rPr>
                <w:rFonts w:ascii="Arial" w:eastAsia="Arial" w:hAnsi="Arial"/>
                <w:b/>
                <w:color w:val="000000"/>
                <w:sz w:val="18"/>
              </w:rPr>
              <w:t xml:space="preserve">Information </w:t>
            </w:r>
            <w:r>
              <w:rPr>
                <w:rFonts w:ascii="Arial" w:eastAsia="Arial" w:hAnsi="Arial"/>
                <w:b/>
                <w:color w:val="000000"/>
                <w:sz w:val="18"/>
              </w:rPr>
              <w:br/>
              <w:t>Collection</w:t>
            </w:r>
          </w:p>
        </w:tc>
        <w:tc>
          <w:tcPr>
            <w:tcW w:w="1430"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before="151" w:after="82" w:line="207" w:lineRule="exact"/>
              <w:jc w:val="center"/>
              <w:textAlignment w:val="baseline"/>
              <w:rPr>
                <w:rFonts w:ascii="Arial" w:eastAsia="Arial" w:hAnsi="Arial"/>
                <w:b/>
                <w:color w:val="000000"/>
                <w:sz w:val="18"/>
              </w:rPr>
            </w:pPr>
            <w:r>
              <w:rPr>
                <w:rFonts w:ascii="Arial" w:eastAsia="Arial" w:hAnsi="Arial"/>
                <w:b/>
                <w:color w:val="000000"/>
                <w:sz w:val="18"/>
              </w:rPr>
              <w:t xml:space="preserve">Number of </w:t>
            </w:r>
            <w:r>
              <w:rPr>
                <w:rFonts w:ascii="Arial" w:eastAsia="Arial" w:hAnsi="Arial"/>
                <w:b/>
                <w:color w:val="000000"/>
                <w:sz w:val="18"/>
              </w:rPr>
              <w:br/>
              <w:t>Respondents</w:t>
            </w:r>
          </w:p>
        </w:tc>
        <w:tc>
          <w:tcPr>
            <w:tcW w:w="1181"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before="40" w:line="207" w:lineRule="exact"/>
              <w:jc w:val="center"/>
              <w:textAlignment w:val="baseline"/>
              <w:rPr>
                <w:rFonts w:ascii="Arial" w:eastAsia="Arial" w:hAnsi="Arial"/>
                <w:b/>
                <w:color w:val="000000"/>
                <w:sz w:val="18"/>
              </w:rPr>
            </w:pPr>
            <w:r>
              <w:rPr>
                <w:rFonts w:ascii="Arial" w:eastAsia="Arial" w:hAnsi="Arial"/>
                <w:b/>
                <w:color w:val="000000"/>
                <w:sz w:val="18"/>
              </w:rPr>
              <w:t>Frequency</w:t>
            </w:r>
          </w:p>
          <w:p w:rsidR="007C433E" w:rsidRDefault="00D8266E">
            <w:pPr>
              <w:spacing w:before="4" w:line="207" w:lineRule="exact"/>
              <w:jc w:val="center"/>
              <w:textAlignment w:val="baseline"/>
              <w:rPr>
                <w:rFonts w:ascii="Arial" w:eastAsia="Arial" w:hAnsi="Arial"/>
                <w:b/>
                <w:color w:val="000000"/>
                <w:sz w:val="18"/>
              </w:rPr>
            </w:pPr>
            <w:r>
              <w:rPr>
                <w:rFonts w:ascii="Arial" w:eastAsia="Arial" w:hAnsi="Arial"/>
                <w:b/>
                <w:color w:val="000000"/>
                <w:sz w:val="18"/>
              </w:rPr>
              <w:t>of</w:t>
            </w:r>
          </w:p>
          <w:p w:rsidR="007C433E" w:rsidRDefault="00D8266E">
            <w:pPr>
              <w:spacing w:line="189" w:lineRule="exact"/>
              <w:jc w:val="center"/>
              <w:textAlignment w:val="baseline"/>
              <w:rPr>
                <w:rFonts w:ascii="Arial" w:eastAsia="Arial" w:hAnsi="Arial"/>
                <w:b/>
                <w:color w:val="000000"/>
                <w:sz w:val="18"/>
              </w:rPr>
            </w:pPr>
            <w:r>
              <w:rPr>
                <w:rFonts w:ascii="Arial" w:eastAsia="Arial" w:hAnsi="Arial"/>
                <w:b/>
                <w:color w:val="000000"/>
                <w:sz w:val="18"/>
              </w:rPr>
              <w:t>Response</w:t>
            </w:r>
          </w:p>
        </w:tc>
        <w:tc>
          <w:tcPr>
            <w:tcW w:w="1339"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before="140" w:after="93" w:line="207" w:lineRule="exact"/>
              <w:jc w:val="center"/>
              <w:textAlignment w:val="baseline"/>
              <w:rPr>
                <w:rFonts w:ascii="Arial" w:eastAsia="Arial" w:hAnsi="Arial"/>
                <w:b/>
                <w:color w:val="000000"/>
                <w:sz w:val="18"/>
              </w:rPr>
            </w:pPr>
            <w:r>
              <w:rPr>
                <w:rFonts w:ascii="Arial" w:eastAsia="Arial" w:hAnsi="Arial"/>
                <w:b/>
                <w:color w:val="000000"/>
                <w:sz w:val="18"/>
              </w:rPr>
              <w:t xml:space="preserve">Responses </w:t>
            </w:r>
            <w:r>
              <w:rPr>
                <w:rFonts w:ascii="Arial" w:eastAsia="Arial" w:hAnsi="Arial"/>
                <w:b/>
                <w:color w:val="000000"/>
                <w:sz w:val="18"/>
              </w:rPr>
              <w:br/>
              <w:t>Per Annum</w:t>
            </w:r>
          </w:p>
        </w:tc>
        <w:tc>
          <w:tcPr>
            <w:tcW w:w="1358" w:type="dxa"/>
            <w:tcBorders>
              <w:top w:val="single" w:sz="4" w:space="0" w:color="000000"/>
              <w:left w:val="single" w:sz="4" w:space="0" w:color="000000"/>
              <w:bottom w:val="single" w:sz="4" w:space="0" w:color="000000"/>
              <w:right w:val="single" w:sz="4" w:space="0" w:color="000000"/>
            </w:tcBorders>
          </w:tcPr>
          <w:p w:rsidR="007C433E" w:rsidRDefault="00D8266E">
            <w:pPr>
              <w:spacing w:line="207" w:lineRule="exact"/>
              <w:ind w:left="576" w:hanging="432"/>
              <w:textAlignment w:val="baseline"/>
              <w:rPr>
                <w:rFonts w:ascii="Arial" w:eastAsia="Arial" w:hAnsi="Arial"/>
                <w:b/>
                <w:color w:val="000000"/>
                <w:sz w:val="18"/>
              </w:rPr>
            </w:pPr>
            <w:r>
              <w:rPr>
                <w:rFonts w:ascii="Arial" w:eastAsia="Arial" w:hAnsi="Arial"/>
                <w:b/>
                <w:color w:val="000000"/>
                <w:sz w:val="18"/>
              </w:rPr>
              <w:t>Burden Hour Per</w:t>
            </w:r>
          </w:p>
          <w:p w:rsidR="007C433E" w:rsidRDefault="00D8266E">
            <w:pPr>
              <w:spacing w:before="5" w:line="202" w:lineRule="exact"/>
              <w:jc w:val="center"/>
              <w:textAlignment w:val="baseline"/>
              <w:rPr>
                <w:rFonts w:ascii="Arial" w:eastAsia="Arial" w:hAnsi="Arial"/>
                <w:b/>
                <w:color w:val="000000"/>
                <w:sz w:val="18"/>
              </w:rPr>
            </w:pPr>
            <w:r>
              <w:rPr>
                <w:rFonts w:ascii="Arial" w:eastAsia="Arial" w:hAnsi="Arial"/>
                <w:b/>
                <w:color w:val="000000"/>
                <w:sz w:val="18"/>
              </w:rPr>
              <w:t>Response</w:t>
            </w:r>
          </w:p>
        </w:tc>
        <w:tc>
          <w:tcPr>
            <w:tcW w:w="1258" w:type="dxa"/>
            <w:tcBorders>
              <w:top w:val="single" w:sz="4" w:space="0" w:color="000000"/>
              <w:left w:val="single" w:sz="4" w:space="0" w:color="000000"/>
              <w:bottom w:val="single" w:sz="4" w:space="0" w:color="000000"/>
              <w:right w:val="single" w:sz="4" w:space="0" w:color="000000"/>
            </w:tcBorders>
          </w:tcPr>
          <w:p w:rsidR="007C433E" w:rsidRDefault="00D8266E">
            <w:pPr>
              <w:spacing w:after="2" w:line="207" w:lineRule="exact"/>
              <w:jc w:val="center"/>
              <w:textAlignment w:val="baseline"/>
              <w:rPr>
                <w:rFonts w:ascii="Arial" w:eastAsia="Arial" w:hAnsi="Arial"/>
                <w:b/>
                <w:color w:val="000000"/>
                <w:sz w:val="18"/>
              </w:rPr>
            </w:pPr>
            <w:r>
              <w:rPr>
                <w:rFonts w:ascii="Arial" w:eastAsia="Arial" w:hAnsi="Arial"/>
                <w:b/>
                <w:color w:val="000000"/>
                <w:sz w:val="18"/>
              </w:rPr>
              <w:t xml:space="preserve">Annual </w:t>
            </w:r>
            <w:r>
              <w:rPr>
                <w:rFonts w:ascii="Arial" w:eastAsia="Arial" w:hAnsi="Arial"/>
                <w:b/>
                <w:color w:val="000000"/>
                <w:sz w:val="18"/>
              </w:rPr>
              <w:br/>
              <w:t xml:space="preserve">Burden </w:t>
            </w:r>
            <w:r>
              <w:rPr>
                <w:rFonts w:ascii="Arial" w:eastAsia="Arial" w:hAnsi="Arial"/>
                <w:b/>
                <w:color w:val="000000"/>
                <w:sz w:val="18"/>
              </w:rPr>
              <w:br/>
              <w:t>Hours</w:t>
            </w:r>
          </w:p>
        </w:tc>
        <w:tc>
          <w:tcPr>
            <w:tcW w:w="1080" w:type="dxa"/>
            <w:tcBorders>
              <w:top w:val="single" w:sz="4" w:space="0" w:color="000000"/>
              <w:left w:val="single" w:sz="4" w:space="0" w:color="000000"/>
              <w:bottom w:val="single" w:sz="4" w:space="0" w:color="000000"/>
              <w:right w:val="single" w:sz="4" w:space="0" w:color="000000"/>
            </w:tcBorders>
          </w:tcPr>
          <w:p w:rsidR="007C433E" w:rsidRDefault="00D8266E">
            <w:pPr>
              <w:spacing w:after="6" w:line="207" w:lineRule="exact"/>
              <w:jc w:val="center"/>
              <w:textAlignment w:val="baseline"/>
              <w:rPr>
                <w:rFonts w:ascii="Arial" w:eastAsia="Arial" w:hAnsi="Arial"/>
                <w:b/>
                <w:color w:val="000000"/>
                <w:sz w:val="18"/>
              </w:rPr>
            </w:pPr>
            <w:r>
              <w:rPr>
                <w:rFonts w:ascii="Arial" w:eastAsia="Arial" w:hAnsi="Arial"/>
                <w:b/>
                <w:color w:val="000000"/>
                <w:sz w:val="18"/>
              </w:rPr>
              <w:t xml:space="preserve">Hourly </w:t>
            </w:r>
            <w:r>
              <w:rPr>
                <w:rFonts w:ascii="Arial" w:eastAsia="Arial" w:hAnsi="Arial"/>
                <w:b/>
                <w:color w:val="000000"/>
                <w:sz w:val="18"/>
              </w:rPr>
              <w:br/>
              <w:t xml:space="preserve">Cost Per </w:t>
            </w:r>
            <w:r>
              <w:rPr>
                <w:rFonts w:ascii="Arial" w:eastAsia="Arial" w:hAnsi="Arial"/>
                <w:b/>
                <w:color w:val="000000"/>
                <w:sz w:val="18"/>
              </w:rPr>
              <w:br/>
              <w:t>Response</w:t>
            </w:r>
          </w:p>
        </w:tc>
        <w:tc>
          <w:tcPr>
            <w:tcW w:w="1008" w:type="dxa"/>
            <w:tcBorders>
              <w:top w:val="single" w:sz="4" w:space="0" w:color="000000"/>
              <w:left w:val="single" w:sz="4" w:space="0" w:color="000000"/>
              <w:bottom w:val="single" w:sz="4" w:space="0" w:color="000000"/>
              <w:right w:val="single" w:sz="4" w:space="0" w:color="000000"/>
            </w:tcBorders>
          </w:tcPr>
          <w:p w:rsidR="007C433E" w:rsidRDefault="00D8266E">
            <w:pPr>
              <w:spacing w:before="116" w:after="117" w:line="207" w:lineRule="exact"/>
              <w:jc w:val="center"/>
              <w:textAlignment w:val="baseline"/>
              <w:rPr>
                <w:rFonts w:ascii="Arial" w:eastAsia="Arial" w:hAnsi="Arial"/>
                <w:b/>
                <w:color w:val="000000"/>
                <w:sz w:val="18"/>
              </w:rPr>
            </w:pPr>
            <w:r>
              <w:rPr>
                <w:rFonts w:ascii="Arial" w:eastAsia="Arial" w:hAnsi="Arial"/>
                <w:b/>
                <w:color w:val="000000"/>
                <w:sz w:val="18"/>
              </w:rPr>
              <w:t xml:space="preserve">Annual </w:t>
            </w:r>
            <w:r>
              <w:rPr>
                <w:rFonts w:ascii="Arial" w:eastAsia="Arial" w:hAnsi="Arial"/>
                <w:b/>
                <w:color w:val="000000"/>
                <w:sz w:val="18"/>
              </w:rPr>
              <w:br/>
              <w:t>Cost</w:t>
            </w:r>
          </w:p>
        </w:tc>
      </w:tr>
      <w:tr w:rsidR="007C433E">
        <w:trPr>
          <w:trHeight w:hRule="exact" w:val="249"/>
        </w:trPr>
        <w:tc>
          <w:tcPr>
            <w:tcW w:w="1642"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16" w:line="207" w:lineRule="exact"/>
              <w:jc w:val="center"/>
              <w:textAlignment w:val="baseline"/>
              <w:rPr>
                <w:rFonts w:ascii="Arial" w:eastAsia="Arial" w:hAnsi="Arial"/>
                <w:b/>
                <w:color w:val="000000"/>
                <w:sz w:val="18"/>
              </w:rPr>
            </w:pPr>
            <w:r>
              <w:rPr>
                <w:rFonts w:ascii="Arial" w:eastAsia="Arial" w:hAnsi="Arial"/>
                <w:b/>
                <w:color w:val="000000"/>
                <w:sz w:val="18"/>
              </w:rPr>
              <w:t>Appeal Letter</w:t>
            </w:r>
          </w:p>
        </w:tc>
        <w:tc>
          <w:tcPr>
            <w:tcW w:w="1430"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24" w:line="207" w:lineRule="exact"/>
              <w:jc w:val="center"/>
              <w:textAlignment w:val="baseline"/>
              <w:rPr>
                <w:rFonts w:ascii="Arial" w:eastAsia="Arial" w:hAnsi="Arial"/>
                <w:b/>
                <w:color w:val="000000"/>
                <w:sz w:val="18"/>
              </w:rPr>
            </w:pPr>
            <w:r>
              <w:rPr>
                <w:rFonts w:ascii="Arial" w:eastAsia="Arial" w:hAnsi="Arial"/>
                <w:b/>
                <w:color w:val="000000"/>
                <w:sz w:val="18"/>
              </w:rPr>
              <w:t>525</w:t>
            </w:r>
          </w:p>
        </w:tc>
        <w:tc>
          <w:tcPr>
            <w:tcW w:w="1181"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36" w:line="210" w:lineRule="exact"/>
              <w:jc w:val="center"/>
              <w:textAlignment w:val="baseline"/>
              <w:rPr>
                <w:rFonts w:ascii="Tahoma" w:eastAsia="Tahoma" w:hAnsi="Tahoma"/>
                <w:color w:val="000000"/>
                <w:sz w:val="17"/>
              </w:rPr>
            </w:pPr>
            <w:r>
              <w:rPr>
                <w:rFonts w:ascii="Tahoma" w:eastAsia="Tahoma" w:hAnsi="Tahoma"/>
                <w:color w:val="000000"/>
                <w:sz w:val="17"/>
              </w:rPr>
              <w:t>1</w:t>
            </w:r>
          </w:p>
        </w:tc>
        <w:tc>
          <w:tcPr>
            <w:tcW w:w="1339"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35" w:line="207" w:lineRule="exact"/>
              <w:jc w:val="center"/>
              <w:textAlignment w:val="baseline"/>
              <w:rPr>
                <w:rFonts w:ascii="Arial" w:eastAsia="Arial" w:hAnsi="Arial"/>
                <w:b/>
                <w:color w:val="000000"/>
                <w:sz w:val="18"/>
              </w:rPr>
            </w:pPr>
            <w:r>
              <w:rPr>
                <w:rFonts w:ascii="Arial" w:eastAsia="Arial" w:hAnsi="Arial"/>
                <w:b/>
                <w:color w:val="000000"/>
                <w:sz w:val="18"/>
              </w:rPr>
              <w:t>525</w:t>
            </w:r>
          </w:p>
        </w:tc>
        <w:tc>
          <w:tcPr>
            <w:tcW w:w="1358"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45" w:line="203" w:lineRule="exact"/>
              <w:jc w:val="center"/>
              <w:textAlignment w:val="baseline"/>
              <w:rPr>
                <w:rFonts w:ascii="Arial" w:eastAsia="Arial" w:hAnsi="Arial"/>
                <w:b/>
                <w:color w:val="000000"/>
                <w:sz w:val="18"/>
              </w:rPr>
            </w:pPr>
            <w:r>
              <w:rPr>
                <w:rFonts w:ascii="Arial" w:eastAsia="Arial" w:hAnsi="Arial"/>
                <w:b/>
                <w:color w:val="000000"/>
                <w:sz w:val="18"/>
              </w:rPr>
              <w:t>2</w:t>
            </w:r>
          </w:p>
        </w:tc>
        <w:tc>
          <w:tcPr>
            <w:tcW w:w="1258"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45" w:line="203" w:lineRule="exact"/>
              <w:jc w:val="center"/>
              <w:textAlignment w:val="baseline"/>
              <w:rPr>
                <w:rFonts w:ascii="Arial" w:eastAsia="Arial" w:hAnsi="Arial"/>
                <w:b/>
                <w:color w:val="000000"/>
                <w:sz w:val="18"/>
              </w:rPr>
            </w:pPr>
            <w:r>
              <w:rPr>
                <w:rFonts w:ascii="Arial" w:eastAsia="Arial" w:hAnsi="Arial"/>
                <w:b/>
                <w:color w:val="000000"/>
                <w:sz w:val="18"/>
              </w:rPr>
              <w:t>1050</w:t>
            </w:r>
          </w:p>
        </w:tc>
        <w:tc>
          <w:tcPr>
            <w:tcW w:w="1080"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49" w:line="199" w:lineRule="exact"/>
              <w:jc w:val="center"/>
              <w:textAlignment w:val="baseline"/>
              <w:rPr>
                <w:rFonts w:ascii="Arial" w:eastAsia="Arial" w:hAnsi="Arial"/>
                <w:b/>
                <w:color w:val="000000"/>
                <w:sz w:val="18"/>
              </w:rPr>
            </w:pPr>
            <w:r>
              <w:rPr>
                <w:rFonts w:ascii="Arial" w:eastAsia="Arial" w:hAnsi="Arial"/>
                <w:b/>
                <w:color w:val="000000"/>
                <w:sz w:val="18"/>
              </w:rPr>
              <w:t>$35.00</w:t>
            </w:r>
          </w:p>
        </w:tc>
        <w:tc>
          <w:tcPr>
            <w:tcW w:w="1008"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55" w:line="193" w:lineRule="exact"/>
              <w:jc w:val="center"/>
              <w:textAlignment w:val="baseline"/>
              <w:rPr>
                <w:rFonts w:ascii="Arial" w:eastAsia="Arial" w:hAnsi="Arial"/>
                <w:b/>
                <w:color w:val="000000"/>
                <w:sz w:val="18"/>
              </w:rPr>
            </w:pPr>
            <w:r>
              <w:rPr>
                <w:rFonts w:ascii="Arial" w:eastAsia="Arial" w:hAnsi="Arial"/>
                <w:b/>
                <w:color w:val="000000"/>
                <w:sz w:val="18"/>
              </w:rPr>
              <w:t>$36,750</w:t>
            </w:r>
          </w:p>
        </w:tc>
      </w:tr>
    </w:tbl>
    <w:p w:rsidR="001F018D" w:rsidRDefault="001F018D">
      <w:pPr>
        <w:spacing w:line="197" w:lineRule="exact"/>
        <w:ind w:left="504"/>
        <w:textAlignment w:val="baseline"/>
        <w:rPr>
          <w:rFonts w:eastAsia="Times New Roman"/>
          <w:color w:val="000000"/>
          <w:sz w:val="18"/>
        </w:rPr>
      </w:pPr>
    </w:p>
    <w:p w:rsidR="001F018D" w:rsidRPr="00E76740" w:rsidRDefault="001F018D">
      <w:pPr>
        <w:spacing w:line="197" w:lineRule="exact"/>
        <w:ind w:left="504"/>
        <w:textAlignment w:val="baseline"/>
        <w:rPr>
          <w:rFonts w:eastAsia="Times New Roman"/>
          <w:sz w:val="18"/>
        </w:rPr>
      </w:pPr>
      <w:r w:rsidRPr="00E76740">
        <w:rPr>
          <w:rFonts w:eastAsia="Times New Roman"/>
          <w:sz w:val="24"/>
          <w:szCs w:val="24"/>
        </w:rPr>
        <w:t>Methodology:</w:t>
      </w:r>
    </w:p>
    <w:p w:rsidR="001F018D" w:rsidRPr="00E76740" w:rsidRDefault="001F018D" w:rsidP="001F018D">
      <w:pPr>
        <w:spacing w:before="253" w:line="277" w:lineRule="exact"/>
        <w:ind w:left="504" w:right="432"/>
        <w:textAlignment w:val="baseline"/>
        <w:rPr>
          <w:rFonts w:eastAsia="Times New Roman"/>
          <w:spacing w:val="3"/>
          <w:sz w:val="23"/>
        </w:rPr>
      </w:pPr>
      <w:r w:rsidRPr="00E76740">
        <w:rPr>
          <w:rFonts w:eastAsia="Times New Roman"/>
          <w:spacing w:val="3"/>
          <w:sz w:val="23"/>
        </w:rPr>
        <w:t>A survey was conducted of the New York and Philadelphia Multifamily Hubs, as well as two Performance-Based Contract Administrators (PBCAs)</w:t>
      </w:r>
      <w:r w:rsidR="00FC4CA2" w:rsidRPr="00E76740">
        <w:rPr>
          <w:rFonts w:eastAsia="Times New Roman"/>
          <w:spacing w:val="3"/>
          <w:sz w:val="23"/>
        </w:rPr>
        <w:t>:</w:t>
      </w:r>
      <w:r w:rsidRPr="00E76740">
        <w:rPr>
          <w:rFonts w:eastAsia="Times New Roman"/>
          <w:spacing w:val="3"/>
          <w:sz w:val="23"/>
        </w:rPr>
        <w:t xml:space="preserve"> Contract Management Services and Indiana </w:t>
      </w:r>
      <w:proofErr w:type="spellStart"/>
      <w:r w:rsidRPr="00E76740">
        <w:rPr>
          <w:rFonts w:eastAsia="Times New Roman"/>
          <w:spacing w:val="3"/>
          <w:sz w:val="23"/>
        </w:rPr>
        <w:t>Quadel</w:t>
      </w:r>
      <w:proofErr w:type="spellEnd"/>
      <w:r w:rsidRPr="00E76740">
        <w:rPr>
          <w:rFonts w:eastAsia="Times New Roman"/>
          <w:spacing w:val="3"/>
          <w:sz w:val="23"/>
        </w:rPr>
        <w:t xml:space="preserve"> Consulting.   The </w:t>
      </w:r>
      <w:r w:rsidR="00087D07" w:rsidRPr="00E76740">
        <w:rPr>
          <w:rFonts w:eastAsia="Times New Roman"/>
          <w:spacing w:val="3"/>
          <w:sz w:val="23"/>
        </w:rPr>
        <w:t xml:space="preserve">two </w:t>
      </w:r>
      <w:r w:rsidRPr="00E76740">
        <w:rPr>
          <w:rFonts w:eastAsia="Times New Roman"/>
          <w:spacing w:val="3"/>
          <w:sz w:val="23"/>
        </w:rPr>
        <w:t xml:space="preserve">PBCAs, which are the recipients of the first </w:t>
      </w:r>
      <w:r w:rsidR="00087D07" w:rsidRPr="00E76740">
        <w:rPr>
          <w:rFonts w:eastAsia="Times New Roman"/>
          <w:spacing w:val="3"/>
          <w:sz w:val="23"/>
        </w:rPr>
        <w:t xml:space="preserve">project </w:t>
      </w:r>
      <w:r w:rsidRPr="00E76740">
        <w:rPr>
          <w:rFonts w:eastAsia="Times New Roman"/>
          <w:spacing w:val="3"/>
          <w:sz w:val="23"/>
        </w:rPr>
        <w:t xml:space="preserve">owner/management agent appeal </w:t>
      </w:r>
      <w:r w:rsidR="00087D07" w:rsidRPr="00E76740">
        <w:rPr>
          <w:rFonts w:eastAsia="Times New Roman"/>
          <w:spacing w:val="3"/>
          <w:sz w:val="23"/>
        </w:rPr>
        <w:t>(</w:t>
      </w:r>
      <w:r w:rsidRPr="00E76740">
        <w:rPr>
          <w:rFonts w:eastAsia="Times New Roman"/>
          <w:spacing w:val="3"/>
          <w:sz w:val="23"/>
        </w:rPr>
        <w:t>if the</w:t>
      </w:r>
      <w:r w:rsidR="00FC4CA2" w:rsidRPr="00E76740">
        <w:rPr>
          <w:rFonts w:eastAsia="Times New Roman"/>
          <w:spacing w:val="3"/>
          <w:sz w:val="23"/>
        </w:rPr>
        <w:t>re is a</w:t>
      </w:r>
      <w:r w:rsidRPr="00E76740">
        <w:rPr>
          <w:rFonts w:eastAsia="Times New Roman"/>
          <w:spacing w:val="3"/>
          <w:sz w:val="23"/>
        </w:rPr>
        <w:t xml:space="preserve"> disagree</w:t>
      </w:r>
      <w:r w:rsidR="00FC4CA2" w:rsidRPr="00E76740">
        <w:rPr>
          <w:rFonts w:eastAsia="Times New Roman"/>
          <w:spacing w:val="3"/>
          <w:sz w:val="23"/>
        </w:rPr>
        <w:t xml:space="preserve">ment with the </w:t>
      </w:r>
      <w:r w:rsidRPr="00E76740">
        <w:rPr>
          <w:rFonts w:eastAsia="Times New Roman"/>
          <w:spacing w:val="3"/>
          <w:sz w:val="23"/>
        </w:rPr>
        <w:t>Section 8 rent adjustment</w:t>
      </w:r>
      <w:r w:rsidR="00087D07" w:rsidRPr="00E76740">
        <w:rPr>
          <w:rFonts w:eastAsia="Times New Roman"/>
          <w:spacing w:val="3"/>
          <w:sz w:val="23"/>
        </w:rPr>
        <w:t xml:space="preserve">), reported that they </w:t>
      </w:r>
      <w:r w:rsidRPr="00E76740">
        <w:rPr>
          <w:rFonts w:eastAsia="Times New Roman"/>
          <w:spacing w:val="3"/>
          <w:sz w:val="23"/>
        </w:rPr>
        <w:t xml:space="preserve">received </w:t>
      </w:r>
      <w:r w:rsidR="00087D07" w:rsidRPr="00E76740">
        <w:rPr>
          <w:rFonts w:eastAsia="Times New Roman"/>
          <w:spacing w:val="3"/>
          <w:sz w:val="23"/>
        </w:rPr>
        <w:t>a total of 10</w:t>
      </w:r>
      <w:r w:rsidRPr="00E76740">
        <w:rPr>
          <w:rFonts w:eastAsia="Times New Roman"/>
          <w:spacing w:val="3"/>
          <w:sz w:val="23"/>
        </w:rPr>
        <w:t xml:space="preserve"> appeals </w:t>
      </w:r>
      <w:r w:rsidR="00087D07" w:rsidRPr="00E76740">
        <w:rPr>
          <w:rFonts w:eastAsia="Times New Roman"/>
          <w:spacing w:val="3"/>
          <w:sz w:val="23"/>
        </w:rPr>
        <w:t xml:space="preserve">last year (10 by  Indiana </w:t>
      </w:r>
      <w:proofErr w:type="spellStart"/>
      <w:r w:rsidR="00087D07" w:rsidRPr="00E76740">
        <w:rPr>
          <w:rFonts w:eastAsia="Times New Roman"/>
          <w:spacing w:val="3"/>
          <w:sz w:val="23"/>
        </w:rPr>
        <w:t>Quadel</w:t>
      </w:r>
      <w:proofErr w:type="spellEnd"/>
      <w:r w:rsidR="00087D07" w:rsidRPr="00E76740">
        <w:rPr>
          <w:rFonts w:eastAsia="Times New Roman"/>
          <w:spacing w:val="3"/>
          <w:sz w:val="23"/>
        </w:rPr>
        <w:t xml:space="preserve"> Consulting and 5 by Contract Management Services). </w:t>
      </w:r>
      <w:r w:rsidR="00FC4CA2" w:rsidRPr="00E76740">
        <w:rPr>
          <w:rFonts w:eastAsia="Times New Roman"/>
          <w:spacing w:val="3"/>
          <w:sz w:val="23"/>
        </w:rPr>
        <w:t>In addition, t</w:t>
      </w:r>
      <w:r w:rsidRPr="00E76740">
        <w:rPr>
          <w:rFonts w:eastAsia="Times New Roman"/>
          <w:spacing w:val="3"/>
          <w:sz w:val="23"/>
        </w:rPr>
        <w:t xml:space="preserve">he </w:t>
      </w:r>
      <w:r w:rsidR="00087D07" w:rsidRPr="00E76740">
        <w:rPr>
          <w:rFonts w:eastAsia="Times New Roman"/>
          <w:spacing w:val="3"/>
          <w:sz w:val="23"/>
        </w:rPr>
        <w:t xml:space="preserve">two Multifamily Hubs reported </w:t>
      </w:r>
      <w:r w:rsidR="00FC4CA2" w:rsidRPr="00E76740">
        <w:rPr>
          <w:rFonts w:eastAsia="Times New Roman"/>
          <w:spacing w:val="3"/>
          <w:sz w:val="23"/>
        </w:rPr>
        <w:t xml:space="preserve">a total of </w:t>
      </w:r>
      <w:r w:rsidRPr="00E76740">
        <w:rPr>
          <w:rFonts w:eastAsia="Times New Roman"/>
          <w:spacing w:val="3"/>
          <w:sz w:val="23"/>
        </w:rPr>
        <w:t xml:space="preserve">12 appeals </w:t>
      </w:r>
      <w:r w:rsidR="00087D07" w:rsidRPr="00E76740">
        <w:rPr>
          <w:rFonts w:eastAsia="Times New Roman"/>
          <w:spacing w:val="3"/>
          <w:sz w:val="23"/>
        </w:rPr>
        <w:t xml:space="preserve">during the same time period.  Although it takes </w:t>
      </w:r>
      <w:r w:rsidRPr="00E76740">
        <w:rPr>
          <w:rFonts w:eastAsia="Times New Roman"/>
          <w:spacing w:val="3"/>
          <w:sz w:val="23"/>
        </w:rPr>
        <w:t>an average of 5.75 hours to process and close each appeal, according to our test group</w:t>
      </w:r>
      <w:r w:rsidR="00087D07" w:rsidRPr="00E76740">
        <w:rPr>
          <w:rFonts w:eastAsia="Times New Roman"/>
          <w:spacing w:val="3"/>
          <w:sz w:val="23"/>
        </w:rPr>
        <w:t xml:space="preserve">, it only </w:t>
      </w:r>
      <w:r w:rsidRPr="00E76740">
        <w:rPr>
          <w:rFonts w:eastAsia="Times New Roman"/>
          <w:spacing w:val="3"/>
          <w:sz w:val="23"/>
        </w:rPr>
        <w:t>takes an owner no more than two hours to prepare an appeal letter to a Section 8 rent adjustment</w:t>
      </w:r>
      <w:r w:rsidR="00087D07" w:rsidRPr="00E76740">
        <w:rPr>
          <w:rFonts w:eastAsia="Times New Roman"/>
          <w:spacing w:val="3"/>
          <w:sz w:val="23"/>
        </w:rPr>
        <w:t>.  This is</w:t>
      </w:r>
      <w:r w:rsidRPr="00E76740">
        <w:rPr>
          <w:rFonts w:eastAsia="Times New Roman"/>
          <w:spacing w:val="3"/>
          <w:sz w:val="23"/>
        </w:rPr>
        <w:t xml:space="preserve"> because all of the documentation needed to justify the appeal has previously been prepared</w:t>
      </w:r>
      <w:r w:rsidR="00087D07" w:rsidRPr="00E76740">
        <w:rPr>
          <w:rFonts w:eastAsia="Times New Roman"/>
          <w:spacing w:val="3"/>
          <w:sz w:val="23"/>
        </w:rPr>
        <w:t>-</w:t>
      </w:r>
      <w:r w:rsidRPr="00E76740">
        <w:rPr>
          <w:rFonts w:eastAsia="Times New Roman"/>
          <w:spacing w:val="3"/>
          <w:sz w:val="23"/>
        </w:rPr>
        <w:t xml:space="preserve"> it just needs to be pulled together with a cover letter providing the justification for the appeal. Since there </w:t>
      </w:r>
      <w:r w:rsidR="00087D07" w:rsidRPr="00E76740">
        <w:rPr>
          <w:rFonts w:eastAsia="Times New Roman"/>
          <w:spacing w:val="3"/>
          <w:sz w:val="23"/>
        </w:rPr>
        <w:t xml:space="preserve">are fifty-two HUD field offices, nationally, </w:t>
      </w:r>
      <w:r w:rsidRPr="00E76740">
        <w:rPr>
          <w:rFonts w:eastAsia="Times New Roman"/>
          <w:spacing w:val="3"/>
          <w:sz w:val="23"/>
        </w:rPr>
        <w:t xml:space="preserve">and fifty-three </w:t>
      </w:r>
      <w:r w:rsidR="00087D07" w:rsidRPr="00E76740">
        <w:rPr>
          <w:rFonts w:eastAsia="Times New Roman"/>
          <w:spacing w:val="3"/>
          <w:sz w:val="23"/>
        </w:rPr>
        <w:t>PBCAs, it is estimated that 525 appeals would be filed (i.e., 52 HUD Offices + 53 PBCAs= 105 x 5 appeals (est.</w:t>
      </w:r>
      <w:proofErr w:type="gramStart"/>
      <w:r w:rsidR="00087D07" w:rsidRPr="00E76740">
        <w:rPr>
          <w:rFonts w:eastAsia="Times New Roman"/>
          <w:spacing w:val="3"/>
          <w:sz w:val="23"/>
        </w:rPr>
        <w:t>)=</w:t>
      </w:r>
      <w:proofErr w:type="gramEnd"/>
      <w:r w:rsidR="00087D07" w:rsidRPr="00E76740">
        <w:rPr>
          <w:rFonts w:eastAsia="Times New Roman"/>
          <w:spacing w:val="3"/>
          <w:sz w:val="23"/>
        </w:rPr>
        <w:t xml:space="preserve"> 525 </w:t>
      </w:r>
      <w:r w:rsidR="00FC4CA2" w:rsidRPr="00E76740">
        <w:rPr>
          <w:rFonts w:eastAsia="Times New Roman"/>
          <w:spacing w:val="3"/>
          <w:sz w:val="23"/>
        </w:rPr>
        <w:t>Number of R</w:t>
      </w:r>
      <w:r w:rsidR="00087D07" w:rsidRPr="00E76740">
        <w:rPr>
          <w:rFonts w:eastAsia="Times New Roman"/>
          <w:spacing w:val="3"/>
          <w:sz w:val="23"/>
        </w:rPr>
        <w:t>espondents).</w:t>
      </w:r>
    </w:p>
    <w:p w:rsidR="00F0529A" w:rsidRPr="00E76740" w:rsidRDefault="00087D07" w:rsidP="00F0529A">
      <w:pPr>
        <w:spacing w:before="100" w:beforeAutospacing="1" w:after="100" w:afterAutospacing="1"/>
        <w:ind w:left="504"/>
        <w:textAlignment w:val="baseline"/>
        <w:rPr>
          <w:rFonts w:eastAsia="Times New Roman"/>
          <w:sz w:val="24"/>
          <w:szCs w:val="24"/>
        </w:rPr>
      </w:pPr>
      <w:r w:rsidRPr="00E76740">
        <w:rPr>
          <w:rFonts w:eastAsia="Times New Roman"/>
          <w:spacing w:val="3"/>
          <w:sz w:val="24"/>
          <w:szCs w:val="24"/>
        </w:rPr>
        <w:t>Based on 2 ho</w:t>
      </w:r>
      <w:r w:rsidR="00F0529A" w:rsidRPr="00E76740">
        <w:rPr>
          <w:rFonts w:eastAsia="Times New Roman"/>
          <w:spacing w:val="3"/>
          <w:sz w:val="24"/>
          <w:szCs w:val="24"/>
        </w:rPr>
        <w:t>u</w:t>
      </w:r>
      <w:r w:rsidRPr="00E76740">
        <w:rPr>
          <w:rFonts w:eastAsia="Times New Roman"/>
          <w:spacing w:val="3"/>
          <w:sz w:val="24"/>
          <w:szCs w:val="24"/>
        </w:rPr>
        <w:t>rs to complete each appeal letter, the annual bur</w:t>
      </w:r>
      <w:r w:rsidR="00F0529A" w:rsidRPr="00E76740">
        <w:rPr>
          <w:rFonts w:eastAsia="Times New Roman"/>
          <w:spacing w:val="3"/>
          <w:sz w:val="24"/>
          <w:szCs w:val="24"/>
        </w:rPr>
        <w:t xml:space="preserve">den would be 1,050 hours (525 Responses </w:t>
      </w:r>
      <w:proofErr w:type="gramStart"/>
      <w:r w:rsidR="00F0529A" w:rsidRPr="00E76740">
        <w:rPr>
          <w:rFonts w:eastAsia="Times New Roman"/>
          <w:spacing w:val="3"/>
          <w:sz w:val="24"/>
          <w:szCs w:val="24"/>
        </w:rPr>
        <w:t>Per</w:t>
      </w:r>
      <w:proofErr w:type="gramEnd"/>
      <w:r w:rsidR="00F0529A" w:rsidRPr="00E76740">
        <w:rPr>
          <w:rFonts w:eastAsia="Times New Roman"/>
          <w:spacing w:val="3"/>
          <w:sz w:val="24"/>
          <w:szCs w:val="24"/>
        </w:rPr>
        <w:t xml:space="preserve"> Annum </w:t>
      </w:r>
      <w:r w:rsidR="00FC4CA2" w:rsidRPr="00E76740">
        <w:rPr>
          <w:rFonts w:eastAsia="Times New Roman"/>
          <w:spacing w:val="3"/>
          <w:sz w:val="24"/>
          <w:szCs w:val="24"/>
        </w:rPr>
        <w:t xml:space="preserve">x </w:t>
      </w:r>
      <w:r w:rsidR="00F0529A" w:rsidRPr="00E76740">
        <w:rPr>
          <w:rFonts w:eastAsia="Times New Roman"/>
          <w:spacing w:val="3"/>
          <w:sz w:val="24"/>
          <w:szCs w:val="24"/>
        </w:rPr>
        <w:t xml:space="preserve">2 Burden Hour Per Response= 1,050 Annual Burden Hours). The Hourly Cost </w:t>
      </w:r>
      <w:proofErr w:type="gramStart"/>
      <w:r w:rsidR="00F0529A" w:rsidRPr="00E76740">
        <w:rPr>
          <w:rFonts w:eastAsia="Times New Roman"/>
          <w:spacing w:val="3"/>
          <w:sz w:val="24"/>
          <w:szCs w:val="24"/>
        </w:rPr>
        <w:t>Per</w:t>
      </w:r>
      <w:proofErr w:type="gramEnd"/>
      <w:r w:rsidR="00F0529A" w:rsidRPr="00E76740">
        <w:rPr>
          <w:rFonts w:eastAsia="Times New Roman"/>
          <w:spacing w:val="3"/>
          <w:sz w:val="24"/>
          <w:szCs w:val="24"/>
        </w:rPr>
        <w:t xml:space="preserve"> Response </w:t>
      </w:r>
      <w:r w:rsidR="00FC4CA2" w:rsidRPr="00E76740">
        <w:rPr>
          <w:rFonts w:eastAsia="Times New Roman"/>
          <w:spacing w:val="3"/>
          <w:sz w:val="24"/>
          <w:szCs w:val="24"/>
        </w:rPr>
        <w:t>is</w:t>
      </w:r>
      <w:r w:rsidR="00F0529A" w:rsidRPr="00E76740">
        <w:rPr>
          <w:rFonts w:eastAsia="Times New Roman"/>
          <w:spacing w:val="3"/>
          <w:sz w:val="24"/>
          <w:szCs w:val="24"/>
        </w:rPr>
        <w:t xml:space="preserve"> $35.00.  This is based on </w:t>
      </w:r>
      <w:r w:rsidR="00F0529A" w:rsidRPr="00E76740">
        <w:rPr>
          <w:rFonts w:eastAsia="Times New Roman"/>
          <w:sz w:val="24"/>
          <w:szCs w:val="24"/>
        </w:rPr>
        <w:t xml:space="preserve">a blended estimate of project owner's and clerical annual salaries, averaging $72,800 annually.  The Annual Cost of $36,750 is based on 1,050 Annual Burden Hours x $35.00 Hourly Cost </w:t>
      </w:r>
      <w:proofErr w:type="gramStart"/>
      <w:r w:rsidR="00F0529A" w:rsidRPr="00E76740">
        <w:rPr>
          <w:rFonts w:eastAsia="Times New Roman"/>
          <w:sz w:val="24"/>
          <w:szCs w:val="24"/>
        </w:rPr>
        <w:t>Per</w:t>
      </w:r>
      <w:proofErr w:type="gramEnd"/>
      <w:r w:rsidR="00F0529A" w:rsidRPr="00E76740">
        <w:rPr>
          <w:rFonts w:eastAsia="Times New Roman"/>
          <w:sz w:val="24"/>
          <w:szCs w:val="24"/>
        </w:rPr>
        <w:t xml:space="preserve"> Response.</w:t>
      </w:r>
    </w:p>
    <w:p w:rsidR="00F0529A" w:rsidRPr="00E76740" w:rsidRDefault="00F0529A" w:rsidP="00F0529A">
      <w:pPr>
        <w:ind w:left="504"/>
        <w:textAlignment w:val="baseline"/>
        <w:rPr>
          <w:rFonts w:eastAsia="Times New Roman"/>
          <w:sz w:val="24"/>
          <w:szCs w:val="24"/>
        </w:rPr>
      </w:pPr>
    </w:p>
    <w:p w:rsidR="001F018D"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Survey Participants:</w:t>
      </w:r>
    </w:p>
    <w:p w:rsidR="00F0529A" w:rsidRPr="00E76740" w:rsidRDefault="00F0529A">
      <w:pPr>
        <w:spacing w:line="197" w:lineRule="exact"/>
        <w:ind w:left="504"/>
        <w:textAlignment w:val="baseline"/>
        <w:rPr>
          <w:rFonts w:eastAsia="Times New Roman"/>
          <w:sz w:val="24"/>
          <w:szCs w:val="24"/>
        </w:rPr>
      </w:pPr>
      <w:bookmarkStart w:id="0" w:name="_GoBack"/>
      <w:bookmarkEnd w:id="0"/>
    </w:p>
    <w:p w:rsidR="00F0529A"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Mr. Thomas Langston</w:t>
      </w:r>
      <w:r w:rsidRPr="00E76740">
        <w:rPr>
          <w:rFonts w:eastAsia="Times New Roman"/>
          <w:sz w:val="24"/>
          <w:szCs w:val="24"/>
        </w:rPr>
        <w:tab/>
      </w:r>
      <w:r w:rsidRPr="00E76740">
        <w:rPr>
          <w:rFonts w:eastAsia="Times New Roman"/>
          <w:sz w:val="24"/>
          <w:szCs w:val="24"/>
        </w:rPr>
        <w:tab/>
      </w:r>
      <w:r w:rsidRPr="00E76740">
        <w:rPr>
          <w:rFonts w:eastAsia="Times New Roman"/>
          <w:sz w:val="24"/>
          <w:szCs w:val="24"/>
        </w:rPr>
        <w:tab/>
        <w:t>Ms. Diane Lima</w:t>
      </w:r>
    </w:p>
    <w:p w:rsidR="00F0529A"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Director of Operations</w:t>
      </w:r>
      <w:r w:rsidRPr="00E76740">
        <w:rPr>
          <w:rFonts w:eastAsia="Times New Roman"/>
          <w:sz w:val="24"/>
          <w:szCs w:val="24"/>
        </w:rPr>
        <w:tab/>
      </w:r>
      <w:r w:rsidRPr="00E76740">
        <w:rPr>
          <w:rFonts w:eastAsia="Times New Roman"/>
          <w:sz w:val="24"/>
          <w:szCs w:val="24"/>
        </w:rPr>
        <w:tab/>
      </w:r>
      <w:r w:rsidRPr="00E76740">
        <w:rPr>
          <w:rFonts w:eastAsia="Times New Roman"/>
          <w:sz w:val="24"/>
          <w:szCs w:val="24"/>
        </w:rPr>
        <w:tab/>
        <w:t>Senior Program Advisor</w:t>
      </w:r>
    </w:p>
    <w:p w:rsidR="00F0529A"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U.S. Department of HUD</w:t>
      </w:r>
      <w:r w:rsidRPr="00E76740">
        <w:rPr>
          <w:rFonts w:eastAsia="Times New Roman"/>
          <w:sz w:val="24"/>
          <w:szCs w:val="24"/>
        </w:rPr>
        <w:tab/>
      </w:r>
      <w:r w:rsidRPr="00E76740">
        <w:rPr>
          <w:rFonts w:eastAsia="Times New Roman"/>
          <w:sz w:val="24"/>
          <w:szCs w:val="24"/>
        </w:rPr>
        <w:tab/>
        <w:t>U.S. Dept. of HUD</w:t>
      </w:r>
    </w:p>
    <w:p w:rsidR="00F0529A"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100 Penn Square East</w:t>
      </w:r>
      <w:r w:rsidRPr="00E76740">
        <w:rPr>
          <w:rFonts w:eastAsia="Times New Roman"/>
          <w:sz w:val="24"/>
          <w:szCs w:val="24"/>
        </w:rPr>
        <w:tab/>
      </w:r>
      <w:r w:rsidRPr="00E76740">
        <w:rPr>
          <w:rFonts w:eastAsia="Times New Roman"/>
          <w:sz w:val="24"/>
          <w:szCs w:val="24"/>
        </w:rPr>
        <w:tab/>
      </w:r>
      <w:r w:rsidRPr="00E76740">
        <w:rPr>
          <w:rFonts w:eastAsia="Times New Roman"/>
          <w:sz w:val="24"/>
          <w:szCs w:val="24"/>
        </w:rPr>
        <w:tab/>
        <w:t>26 Federal Plaza</w:t>
      </w:r>
    </w:p>
    <w:p w:rsidR="00F0529A"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Philadelphia, PA 19107</w:t>
      </w:r>
      <w:r w:rsidRPr="00E76740">
        <w:rPr>
          <w:rFonts w:eastAsia="Times New Roman"/>
          <w:sz w:val="24"/>
          <w:szCs w:val="24"/>
        </w:rPr>
        <w:tab/>
      </w:r>
      <w:r w:rsidRPr="00E76740">
        <w:rPr>
          <w:rFonts w:eastAsia="Times New Roman"/>
          <w:sz w:val="24"/>
          <w:szCs w:val="24"/>
        </w:rPr>
        <w:tab/>
      </w:r>
      <w:r w:rsidRPr="00E76740">
        <w:rPr>
          <w:rFonts w:eastAsia="Times New Roman"/>
          <w:sz w:val="24"/>
          <w:szCs w:val="24"/>
        </w:rPr>
        <w:tab/>
        <w:t>New York, New York 10278</w:t>
      </w:r>
    </w:p>
    <w:p w:rsidR="00F0529A"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(215) 861-7565</w:t>
      </w:r>
      <w:r w:rsidRPr="00E76740">
        <w:rPr>
          <w:rFonts w:eastAsia="Times New Roman"/>
          <w:sz w:val="24"/>
          <w:szCs w:val="24"/>
        </w:rPr>
        <w:tab/>
      </w:r>
      <w:r w:rsidRPr="00E76740">
        <w:rPr>
          <w:rFonts w:eastAsia="Times New Roman"/>
          <w:sz w:val="24"/>
          <w:szCs w:val="24"/>
        </w:rPr>
        <w:tab/>
      </w:r>
      <w:r w:rsidRPr="00E76740">
        <w:rPr>
          <w:rFonts w:eastAsia="Times New Roman"/>
          <w:sz w:val="24"/>
          <w:szCs w:val="24"/>
        </w:rPr>
        <w:tab/>
      </w:r>
      <w:r w:rsidRPr="00E76740">
        <w:rPr>
          <w:rFonts w:eastAsia="Times New Roman"/>
          <w:sz w:val="24"/>
          <w:szCs w:val="24"/>
        </w:rPr>
        <w:tab/>
        <w:t>(212) 542-7774</w:t>
      </w:r>
    </w:p>
    <w:p w:rsidR="00F0529A" w:rsidRPr="00E76740" w:rsidRDefault="00F0529A">
      <w:pPr>
        <w:spacing w:line="197" w:lineRule="exact"/>
        <w:ind w:left="504"/>
        <w:textAlignment w:val="baseline"/>
        <w:rPr>
          <w:rFonts w:eastAsia="Times New Roman"/>
          <w:sz w:val="24"/>
          <w:szCs w:val="24"/>
        </w:rPr>
      </w:pPr>
    </w:p>
    <w:p w:rsidR="00F0529A"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Ms. Erin Ferguson</w:t>
      </w:r>
      <w:r w:rsidR="00FC4CA2" w:rsidRPr="00E76740">
        <w:rPr>
          <w:rFonts w:eastAsia="Times New Roman"/>
          <w:sz w:val="24"/>
          <w:szCs w:val="24"/>
        </w:rPr>
        <w:tab/>
      </w:r>
      <w:r w:rsidR="00FC4CA2" w:rsidRPr="00E76740">
        <w:rPr>
          <w:rFonts w:eastAsia="Times New Roman"/>
          <w:sz w:val="24"/>
          <w:szCs w:val="24"/>
        </w:rPr>
        <w:tab/>
      </w:r>
      <w:r w:rsidR="00FC4CA2" w:rsidRPr="00E76740">
        <w:rPr>
          <w:rFonts w:eastAsia="Times New Roman"/>
          <w:sz w:val="24"/>
          <w:szCs w:val="24"/>
        </w:rPr>
        <w:tab/>
        <w:t>Mr. Michael Adamson</w:t>
      </w:r>
    </w:p>
    <w:p w:rsidR="00F0529A"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PBCA Contract Administrator</w:t>
      </w:r>
      <w:r w:rsidR="00FC4CA2" w:rsidRPr="00E76740">
        <w:rPr>
          <w:rFonts w:eastAsia="Times New Roman"/>
          <w:sz w:val="24"/>
          <w:szCs w:val="24"/>
        </w:rPr>
        <w:tab/>
      </w:r>
      <w:r w:rsidR="00FC4CA2" w:rsidRPr="00E76740">
        <w:rPr>
          <w:rFonts w:eastAsia="Times New Roman"/>
          <w:sz w:val="24"/>
          <w:szCs w:val="24"/>
        </w:rPr>
        <w:tab/>
        <w:t>PBCA Contract Administrator</w:t>
      </w:r>
    </w:p>
    <w:p w:rsidR="00F0529A"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Contract Management Services</w:t>
      </w:r>
      <w:r w:rsidR="00FC4CA2" w:rsidRPr="00E76740">
        <w:rPr>
          <w:rFonts w:eastAsia="Times New Roman"/>
          <w:sz w:val="24"/>
          <w:szCs w:val="24"/>
        </w:rPr>
        <w:tab/>
      </w:r>
      <w:r w:rsidR="00FC4CA2" w:rsidRPr="00E76740">
        <w:rPr>
          <w:rFonts w:eastAsia="Times New Roman"/>
          <w:sz w:val="24"/>
          <w:szCs w:val="24"/>
        </w:rPr>
        <w:tab/>
        <w:t xml:space="preserve">Indiana </w:t>
      </w:r>
      <w:proofErr w:type="spellStart"/>
      <w:r w:rsidR="00FC4CA2" w:rsidRPr="00E76740">
        <w:rPr>
          <w:rFonts w:eastAsia="Times New Roman"/>
          <w:sz w:val="24"/>
          <w:szCs w:val="24"/>
        </w:rPr>
        <w:t>Quadel</w:t>
      </w:r>
      <w:proofErr w:type="spellEnd"/>
      <w:r w:rsidR="00FC4CA2" w:rsidRPr="00E76740">
        <w:rPr>
          <w:rFonts w:eastAsia="Times New Roman"/>
          <w:sz w:val="24"/>
          <w:szCs w:val="24"/>
        </w:rPr>
        <w:t xml:space="preserve"> Consulting</w:t>
      </w:r>
    </w:p>
    <w:p w:rsidR="00F0529A" w:rsidRPr="00E76740" w:rsidRDefault="00F0529A">
      <w:pPr>
        <w:spacing w:line="197" w:lineRule="exact"/>
        <w:ind w:left="504"/>
        <w:textAlignment w:val="baseline"/>
        <w:rPr>
          <w:rFonts w:eastAsia="Times New Roman"/>
          <w:sz w:val="24"/>
          <w:szCs w:val="24"/>
        </w:rPr>
      </w:pPr>
      <w:r w:rsidRPr="00E76740">
        <w:rPr>
          <w:rFonts w:eastAsia="Times New Roman"/>
          <w:sz w:val="24"/>
          <w:szCs w:val="24"/>
        </w:rPr>
        <w:t>345 6</w:t>
      </w:r>
      <w:r w:rsidRPr="00E76740">
        <w:rPr>
          <w:rFonts w:eastAsia="Times New Roman"/>
          <w:sz w:val="24"/>
          <w:szCs w:val="24"/>
          <w:vertAlign w:val="superscript"/>
        </w:rPr>
        <w:t>th</w:t>
      </w:r>
      <w:r w:rsidRPr="00E76740">
        <w:rPr>
          <w:rFonts w:eastAsia="Times New Roman"/>
          <w:sz w:val="24"/>
          <w:szCs w:val="24"/>
        </w:rPr>
        <w:t xml:space="preserve"> Street- Suite 200</w:t>
      </w:r>
      <w:r w:rsidR="00FC4CA2" w:rsidRPr="00E76740">
        <w:rPr>
          <w:rFonts w:eastAsia="Times New Roman"/>
          <w:sz w:val="24"/>
          <w:szCs w:val="24"/>
        </w:rPr>
        <w:tab/>
      </w:r>
      <w:r w:rsidR="00FC4CA2" w:rsidRPr="00E76740">
        <w:rPr>
          <w:rFonts w:eastAsia="Times New Roman"/>
          <w:sz w:val="24"/>
          <w:szCs w:val="24"/>
        </w:rPr>
        <w:tab/>
      </w:r>
      <w:r w:rsidR="00FC4CA2" w:rsidRPr="00E76740">
        <w:rPr>
          <w:rFonts w:eastAsia="Times New Roman"/>
          <w:sz w:val="24"/>
          <w:szCs w:val="24"/>
        </w:rPr>
        <w:tab/>
        <w:t>10 West Market Street, Suite 1750</w:t>
      </w:r>
    </w:p>
    <w:p w:rsidR="00FC4CA2" w:rsidRPr="00E76740" w:rsidRDefault="00FC4CA2">
      <w:pPr>
        <w:spacing w:line="197" w:lineRule="exact"/>
        <w:ind w:left="504"/>
        <w:textAlignment w:val="baseline"/>
        <w:rPr>
          <w:rFonts w:eastAsia="Times New Roman"/>
          <w:sz w:val="24"/>
          <w:szCs w:val="24"/>
        </w:rPr>
      </w:pPr>
      <w:r w:rsidRPr="00E76740">
        <w:rPr>
          <w:rFonts w:eastAsia="Times New Roman"/>
          <w:sz w:val="24"/>
          <w:szCs w:val="24"/>
        </w:rPr>
        <w:t>Bremerton, WA 98337</w:t>
      </w:r>
      <w:r w:rsidRPr="00E76740">
        <w:rPr>
          <w:rFonts w:eastAsia="Times New Roman"/>
          <w:sz w:val="24"/>
          <w:szCs w:val="24"/>
        </w:rPr>
        <w:tab/>
      </w:r>
      <w:r w:rsidRPr="00E76740">
        <w:rPr>
          <w:rFonts w:eastAsia="Times New Roman"/>
          <w:sz w:val="24"/>
          <w:szCs w:val="24"/>
        </w:rPr>
        <w:tab/>
      </w:r>
      <w:r w:rsidRPr="00E76740">
        <w:rPr>
          <w:rFonts w:eastAsia="Times New Roman"/>
          <w:sz w:val="24"/>
          <w:szCs w:val="24"/>
        </w:rPr>
        <w:tab/>
        <w:t>Indianapolis, IN 46204</w:t>
      </w:r>
      <w:r w:rsidRPr="00E76740">
        <w:rPr>
          <w:rFonts w:eastAsia="Times New Roman"/>
          <w:sz w:val="24"/>
          <w:szCs w:val="24"/>
        </w:rPr>
        <w:tab/>
      </w:r>
    </w:p>
    <w:p w:rsidR="00FC4CA2" w:rsidRPr="00E76740" w:rsidRDefault="00FC4CA2">
      <w:pPr>
        <w:spacing w:line="197" w:lineRule="exact"/>
        <w:ind w:left="504"/>
        <w:textAlignment w:val="baseline"/>
        <w:rPr>
          <w:rFonts w:eastAsia="Times New Roman"/>
          <w:sz w:val="24"/>
          <w:szCs w:val="24"/>
        </w:rPr>
      </w:pPr>
      <w:r w:rsidRPr="00E76740">
        <w:rPr>
          <w:rFonts w:eastAsia="Times New Roman"/>
          <w:sz w:val="24"/>
          <w:szCs w:val="24"/>
        </w:rPr>
        <w:t>(360) 616-7230</w:t>
      </w:r>
      <w:r w:rsidRPr="00E76740">
        <w:rPr>
          <w:rFonts w:eastAsia="Times New Roman"/>
          <w:sz w:val="24"/>
          <w:szCs w:val="24"/>
        </w:rPr>
        <w:tab/>
      </w:r>
      <w:r w:rsidRPr="00E76740">
        <w:rPr>
          <w:rFonts w:eastAsia="Times New Roman"/>
          <w:sz w:val="24"/>
          <w:szCs w:val="24"/>
        </w:rPr>
        <w:tab/>
      </w:r>
      <w:r w:rsidRPr="00E76740">
        <w:rPr>
          <w:rFonts w:eastAsia="Times New Roman"/>
          <w:sz w:val="24"/>
          <w:szCs w:val="24"/>
        </w:rPr>
        <w:tab/>
      </w:r>
      <w:r w:rsidRPr="00E76740">
        <w:rPr>
          <w:rFonts w:eastAsia="Times New Roman"/>
          <w:sz w:val="24"/>
          <w:szCs w:val="24"/>
        </w:rPr>
        <w:tab/>
        <w:t>(3170 656-8809</w:t>
      </w:r>
    </w:p>
    <w:p w:rsidR="001F018D" w:rsidRPr="00E76740" w:rsidRDefault="001F018D">
      <w:pPr>
        <w:spacing w:line="197" w:lineRule="exact"/>
        <w:ind w:left="504"/>
        <w:textAlignment w:val="baseline"/>
        <w:rPr>
          <w:rFonts w:eastAsia="Times New Roman"/>
          <w:sz w:val="18"/>
        </w:rPr>
      </w:pPr>
    </w:p>
    <w:p w:rsidR="001F018D" w:rsidRDefault="001F018D">
      <w:pPr>
        <w:spacing w:line="197" w:lineRule="exact"/>
        <w:ind w:left="504"/>
        <w:textAlignment w:val="baseline"/>
        <w:rPr>
          <w:rFonts w:eastAsia="Times New Roman"/>
          <w:color w:val="000000"/>
          <w:sz w:val="18"/>
        </w:rPr>
      </w:pPr>
    </w:p>
    <w:p w:rsidR="007C433E" w:rsidRDefault="00D8266E">
      <w:pPr>
        <w:numPr>
          <w:ilvl w:val="0"/>
          <w:numId w:val="16"/>
        </w:numPr>
        <w:tabs>
          <w:tab w:val="clear" w:pos="360"/>
          <w:tab w:val="left" w:pos="504"/>
        </w:tabs>
        <w:spacing w:before="285" w:line="268" w:lineRule="exact"/>
        <w:ind w:left="504" w:hanging="360"/>
        <w:textAlignment w:val="baseline"/>
        <w:rPr>
          <w:rFonts w:eastAsia="Times New Roman"/>
          <w:color w:val="000000"/>
          <w:spacing w:val="3"/>
          <w:sz w:val="23"/>
        </w:rPr>
      </w:pPr>
      <w:r>
        <w:rPr>
          <w:rFonts w:eastAsia="Times New Roman"/>
          <w:color w:val="000000"/>
          <w:spacing w:val="3"/>
          <w:sz w:val="23"/>
        </w:rPr>
        <w:t>There are no additional costs to the respondents.</w:t>
      </w:r>
    </w:p>
    <w:p w:rsidR="007C433E" w:rsidRDefault="00D8266E">
      <w:pPr>
        <w:numPr>
          <w:ilvl w:val="0"/>
          <w:numId w:val="16"/>
        </w:numPr>
        <w:tabs>
          <w:tab w:val="clear" w:pos="360"/>
          <w:tab w:val="left" w:pos="504"/>
        </w:tabs>
        <w:spacing w:before="280" w:after="213" w:line="268" w:lineRule="exact"/>
        <w:ind w:left="504" w:hanging="360"/>
        <w:textAlignment w:val="baseline"/>
        <w:rPr>
          <w:rFonts w:eastAsia="Times New Roman"/>
          <w:color w:val="000000"/>
          <w:spacing w:val="4"/>
          <w:sz w:val="23"/>
        </w:rPr>
      </w:pPr>
      <w:r>
        <w:rPr>
          <w:rFonts w:eastAsia="Times New Roman"/>
          <w:color w:val="000000"/>
          <w:spacing w:val="4"/>
          <w:sz w:val="23"/>
        </w:rPr>
        <w:t>Estimated Burden and Annual Cost to the Federal Government:</w:t>
      </w:r>
    </w:p>
    <w:tbl>
      <w:tblPr>
        <w:tblW w:w="0" w:type="auto"/>
        <w:tblInd w:w="506" w:type="dxa"/>
        <w:tblLayout w:type="fixed"/>
        <w:tblCellMar>
          <w:left w:w="0" w:type="dxa"/>
          <w:right w:w="0" w:type="dxa"/>
        </w:tblCellMar>
        <w:tblLook w:val="0000" w:firstRow="0" w:lastRow="0" w:firstColumn="0" w:lastColumn="0" w:noHBand="0" w:noVBand="0"/>
      </w:tblPr>
      <w:tblGrid>
        <w:gridCol w:w="1546"/>
        <w:gridCol w:w="1790"/>
        <w:gridCol w:w="1627"/>
        <w:gridCol w:w="1536"/>
        <w:gridCol w:w="1887"/>
        <w:gridCol w:w="1906"/>
      </w:tblGrid>
      <w:tr w:rsidR="007C433E">
        <w:trPr>
          <w:trHeight w:hRule="exact" w:val="456"/>
        </w:trPr>
        <w:tc>
          <w:tcPr>
            <w:tcW w:w="1546" w:type="dxa"/>
            <w:tcBorders>
              <w:top w:val="single" w:sz="4" w:space="0" w:color="000000"/>
              <w:left w:val="single" w:sz="4" w:space="0" w:color="000000"/>
              <w:bottom w:val="single" w:sz="4" w:space="0" w:color="000000"/>
              <w:right w:val="single" w:sz="4" w:space="0" w:color="000000"/>
            </w:tcBorders>
          </w:tcPr>
          <w:p w:rsidR="007C433E" w:rsidRDefault="00D8266E">
            <w:pPr>
              <w:spacing w:before="42" w:line="204" w:lineRule="exact"/>
              <w:jc w:val="center"/>
              <w:textAlignment w:val="baseline"/>
              <w:rPr>
                <w:rFonts w:ascii="Arial" w:eastAsia="Arial" w:hAnsi="Arial"/>
                <w:b/>
                <w:color w:val="000000"/>
                <w:sz w:val="18"/>
              </w:rPr>
            </w:pPr>
            <w:r>
              <w:rPr>
                <w:rFonts w:ascii="Arial" w:eastAsia="Arial" w:hAnsi="Arial"/>
                <w:b/>
                <w:color w:val="000000"/>
                <w:sz w:val="18"/>
              </w:rPr>
              <w:t xml:space="preserve">Information </w:t>
            </w:r>
            <w:r>
              <w:rPr>
                <w:rFonts w:ascii="Arial" w:eastAsia="Arial" w:hAnsi="Arial"/>
                <w:b/>
                <w:color w:val="000000"/>
                <w:sz w:val="18"/>
              </w:rPr>
              <w:br/>
              <w:t>Collection</w:t>
            </w:r>
          </w:p>
        </w:tc>
        <w:tc>
          <w:tcPr>
            <w:tcW w:w="1790" w:type="dxa"/>
            <w:tcBorders>
              <w:top w:val="single" w:sz="4" w:space="0" w:color="000000"/>
              <w:left w:val="single" w:sz="4" w:space="0" w:color="000000"/>
              <w:bottom w:val="single" w:sz="4" w:space="0" w:color="000000"/>
              <w:right w:val="single" w:sz="4" w:space="0" w:color="000000"/>
            </w:tcBorders>
          </w:tcPr>
          <w:p w:rsidR="007C433E" w:rsidRDefault="00D8266E">
            <w:pPr>
              <w:spacing w:before="42" w:line="204" w:lineRule="exact"/>
              <w:jc w:val="center"/>
              <w:textAlignment w:val="baseline"/>
              <w:rPr>
                <w:rFonts w:ascii="Arial" w:eastAsia="Arial" w:hAnsi="Arial"/>
                <w:b/>
                <w:color w:val="000000"/>
                <w:sz w:val="18"/>
              </w:rPr>
            </w:pPr>
            <w:r>
              <w:rPr>
                <w:rFonts w:ascii="Arial" w:eastAsia="Arial" w:hAnsi="Arial"/>
                <w:b/>
                <w:color w:val="000000"/>
                <w:sz w:val="18"/>
              </w:rPr>
              <w:t xml:space="preserve">Number of </w:t>
            </w:r>
            <w:r>
              <w:rPr>
                <w:rFonts w:ascii="Arial" w:eastAsia="Arial" w:hAnsi="Arial"/>
                <w:b/>
                <w:color w:val="000000"/>
                <w:sz w:val="18"/>
              </w:rPr>
              <w:br/>
              <w:t>Responses</w:t>
            </w:r>
          </w:p>
        </w:tc>
        <w:tc>
          <w:tcPr>
            <w:tcW w:w="1627"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before="42" w:line="204" w:lineRule="exact"/>
              <w:jc w:val="center"/>
              <w:textAlignment w:val="baseline"/>
              <w:rPr>
                <w:rFonts w:ascii="Arial" w:eastAsia="Arial" w:hAnsi="Arial"/>
                <w:b/>
                <w:color w:val="000000"/>
                <w:sz w:val="18"/>
              </w:rPr>
            </w:pPr>
            <w:r>
              <w:rPr>
                <w:rFonts w:ascii="Arial" w:eastAsia="Arial" w:hAnsi="Arial"/>
                <w:b/>
                <w:color w:val="000000"/>
                <w:sz w:val="18"/>
              </w:rPr>
              <w:t xml:space="preserve">Burden Hour </w:t>
            </w:r>
            <w:r>
              <w:rPr>
                <w:rFonts w:ascii="Arial" w:eastAsia="Arial" w:hAnsi="Arial"/>
                <w:b/>
                <w:color w:val="000000"/>
                <w:sz w:val="18"/>
              </w:rPr>
              <w:br/>
              <w:t>Per Response</w:t>
            </w:r>
          </w:p>
        </w:tc>
        <w:tc>
          <w:tcPr>
            <w:tcW w:w="1536" w:type="dxa"/>
            <w:tcBorders>
              <w:top w:val="single" w:sz="4" w:space="0" w:color="000000"/>
              <w:left w:val="single" w:sz="4" w:space="0" w:color="000000"/>
              <w:bottom w:val="single" w:sz="4" w:space="0" w:color="000000"/>
              <w:right w:val="single" w:sz="4" w:space="0" w:color="000000"/>
            </w:tcBorders>
          </w:tcPr>
          <w:p w:rsidR="007C433E" w:rsidRDefault="00D8266E">
            <w:pPr>
              <w:spacing w:before="35" w:after="2" w:line="207" w:lineRule="exact"/>
              <w:ind w:left="504" w:hanging="360"/>
              <w:textAlignment w:val="baseline"/>
              <w:rPr>
                <w:rFonts w:ascii="Arial" w:eastAsia="Arial" w:hAnsi="Arial"/>
                <w:b/>
                <w:color w:val="000000"/>
                <w:sz w:val="18"/>
              </w:rPr>
            </w:pPr>
            <w:r>
              <w:rPr>
                <w:rFonts w:ascii="Arial" w:eastAsia="Arial" w:hAnsi="Arial"/>
                <w:b/>
                <w:color w:val="000000"/>
                <w:sz w:val="18"/>
              </w:rPr>
              <w:t>Annual Burden Hours</w:t>
            </w:r>
          </w:p>
        </w:tc>
        <w:tc>
          <w:tcPr>
            <w:tcW w:w="1887" w:type="dxa"/>
            <w:tcBorders>
              <w:top w:val="single" w:sz="4" w:space="0" w:color="000000"/>
              <w:left w:val="single" w:sz="4" w:space="0" w:color="000000"/>
              <w:bottom w:val="single" w:sz="4" w:space="0" w:color="000000"/>
              <w:right w:val="single" w:sz="4" w:space="0" w:color="000000"/>
            </w:tcBorders>
          </w:tcPr>
          <w:p w:rsidR="007C433E" w:rsidRDefault="00D8266E">
            <w:pPr>
              <w:spacing w:after="10" w:line="207" w:lineRule="exact"/>
              <w:jc w:val="center"/>
              <w:textAlignment w:val="baseline"/>
              <w:rPr>
                <w:rFonts w:ascii="Arial" w:eastAsia="Arial" w:hAnsi="Arial"/>
                <w:b/>
                <w:color w:val="000000"/>
                <w:sz w:val="18"/>
              </w:rPr>
            </w:pPr>
            <w:r>
              <w:rPr>
                <w:rFonts w:ascii="Arial" w:eastAsia="Arial" w:hAnsi="Arial"/>
                <w:b/>
                <w:color w:val="000000"/>
                <w:sz w:val="18"/>
              </w:rPr>
              <w:t xml:space="preserve">Hourly Cost Per </w:t>
            </w:r>
            <w:r>
              <w:rPr>
                <w:rFonts w:ascii="Arial" w:eastAsia="Arial" w:hAnsi="Arial"/>
                <w:b/>
                <w:color w:val="000000"/>
                <w:sz w:val="18"/>
              </w:rPr>
              <w:br/>
              <w:t>Response</w:t>
            </w:r>
          </w:p>
        </w:tc>
        <w:tc>
          <w:tcPr>
            <w:tcW w:w="1906"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before="122" w:after="122" w:line="207" w:lineRule="exact"/>
              <w:jc w:val="center"/>
              <w:textAlignment w:val="baseline"/>
              <w:rPr>
                <w:rFonts w:ascii="Arial" w:eastAsia="Arial" w:hAnsi="Arial"/>
                <w:b/>
                <w:color w:val="000000"/>
                <w:sz w:val="18"/>
              </w:rPr>
            </w:pPr>
            <w:r>
              <w:rPr>
                <w:rFonts w:ascii="Arial" w:eastAsia="Arial" w:hAnsi="Arial"/>
                <w:b/>
                <w:color w:val="000000"/>
                <w:sz w:val="18"/>
              </w:rPr>
              <w:t>Annual Cost</w:t>
            </w:r>
          </w:p>
        </w:tc>
      </w:tr>
      <w:tr w:rsidR="007C433E">
        <w:trPr>
          <w:trHeight w:hRule="exact" w:val="245"/>
        </w:trPr>
        <w:tc>
          <w:tcPr>
            <w:tcW w:w="1546"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6" w:line="207" w:lineRule="exact"/>
              <w:jc w:val="center"/>
              <w:textAlignment w:val="baseline"/>
              <w:rPr>
                <w:rFonts w:ascii="Arial" w:eastAsia="Arial" w:hAnsi="Arial"/>
                <w:b/>
                <w:color w:val="000000"/>
                <w:sz w:val="18"/>
              </w:rPr>
            </w:pPr>
            <w:r>
              <w:rPr>
                <w:rFonts w:ascii="Arial" w:eastAsia="Arial" w:hAnsi="Arial"/>
                <w:b/>
                <w:color w:val="000000"/>
                <w:sz w:val="18"/>
              </w:rPr>
              <w:t>Appeal Letter</w:t>
            </w:r>
          </w:p>
        </w:tc>
        <w:tc>
          <w:tcPr>
            <w:tcW w:w="1790"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11" w:line="207" w:lineRule="exact"/>
              <w:jc w:val="center"/>
              <w:textAlignment w:val="baseline"/>
              <w:rPr>
                <w:rFonts w:ascii="Arial" w:eastAsia="Arial" w:hAnsi="Arial"/>
                <w:b/>
                <w:color w:val="000000"/>
                <w:sz w:val="18"/>
              </w:rPr>
            </w:pPr>
            <w:r>
              <w:rPr>
                <w:rFonts w:ascii="Arial" w:eastAsia="Arial" w:hAnsi="Arial"/>
                <w:b/>
                <w:color w:val="000000"/>
                <w:sz w:val="18"/>
              </w:rPr>
              <w:t>525</w:t>
            </w:r>
          </w:p>
        </w:tc>
        <w:tc>
          <w:tcPr>
            <w:tcW w:w="1627"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21" w:line="207" w:lineRule="exact"/>
              <w:jc w:val="center"/>
              <w:textAlignment w:val="baseline"/>
              <w:rPr>
                <w:rFonts w:ascii="Arial" w:eastAsia="Arial" w:hAnsi="Arial"/>
                <w:b/>
                <w:color w:val="000000"/>
                <w:sz w:val="18"/>
              </w:rPr>
            </w:pPr>
            <w:r>
              <w:rPr>
                <w:rFonts w:ascii="Arial" w:eastAsia="Arial" w:hAnsi="Arial"/>
                <w:b/>
                <w:color w:val="000000"/>
                <w:sz w:val="18"/>
              </w:rPr>
              <w:t>5.75</w:t>
            </w:r>
          </w:p>
        </w:tc>
        <w:tc>
          <w:tcPr>
            <w:tcW w:w="1536"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25" w:line="207" w:lineRule="exact"/>
              <w:jc w:val="center"/>
              <w:textAlignment w:val="baseline"/>
              <w:rPr>
                <w:rFonts w:ascii="Arial" w:eastAsia="Arial" w:hAnsi="Arial"/>
                <w:b/>
                <w:color w:val="000000"/>
                <w:sz w:val="18"/>
              </w:rPr>
            </w:pPr>
            <w:r>
              <w:rPr>
                <w:rFonts w:ascii="Arial" w:eastAsia="Arial" w:hAnsi="Arial"/>
                <w:b/>
                <w:color w:val="000000"/>
                <w:sz w:val="18"/>
              </w:rPr>
              <w:t>3018.75</w:t>
            </w:r>
          </w:p>
        </w:tc>
        <w:tc>
          <w:tcPr>
            <w:tcW w:w="1887"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35" w:line="204" w:lineRule="exact"/>
              <w:jc w:val="center"/>
              <w:textAlignment w:val="baseline"/>
              <w:rPr>
                <w:rFonts w:ascii="Arial" w:eastAsia="Arial" w:hAnsi="Arial"/>
                <w:b/>
                <w:color w:val="000000"/>
                <w:sz w:val="18"/>
              </w:rPr>
            </w:pPr>
            <w:r>
              <w:rPr>
                <w:rFonts w:ascii="Arial" w:eastAsia="Arial" w:hAnsi="Arial"/>
                <w:b/>
                <w:color w:val="000000"/>
                <w:sz w:val="18"/>
              </w:rPr>
              <w:t>$43.00</w:t>
            </w:r>
          </w:p>
        </w:tc>
        <w:tc>
          <w:tcPr>
            <w:tcW w:w="1906" w:type="dxa"/>
            <w:tcBorders>
              <w:top w:val="single" w:sz="4" w:space="0" w:color="000000"/>
              <w:left w:val="single" w:sz="4" w:space="0" w:color="000000"/>
              <w:bottom w:val="single" w:sz="4" w:space="0" w:color="000000"/>
              <w:right w:val="single" w:sz="4" w:space="0" w:color="000000"/>
            </w:tcBorders>
            <w:vAlign w:val="center"/>
          </w:tcPr>
          <w:p w:rsidR="007C433E" w:rsidRDefault="00D8266E">
            <w:pPr>
              <w:spacing w:after="42" w:line="197" w:lineRule="exact"/>
              <w:jc w:val="center"/>
              <w:textAlignment w:val="baseline"/>
              <w:rPr>
                <w:rFonts w:ascii="Arial" w:eastAsia="Arial" w:hAnsi="Arial"/>
                <w:b/>
                <w:color w:val="000000"/>
                <w:sz w:val="18"/>
              </w:rPr>
            </w:pPr>
            <w:r>
              <w:rPr>
                <w:rFonts w:ascii="Arial" w:eastAsia="Arial" w:hAnsi="Arial"/>
                <w:b/>
                <w:color w:val="000000"/>
                <w:sz w:val="18"/>
              </w:rPr>
              <w:t>$129,806</w:t>
            </w:r>
          </w:p>
        </w:tc>
      </w:tr>
    </w:tbl>
    <w:p w:rsidR="007C433E" w:rsidRDefault="00D8266E">
      <w:pPr>
        <w:spacing w:line="209" w:lineRule="exact"/>
        <w:ind w:left="504"/>
        <w:textAlignment w:val="baseline"/>
        <w:rPr>
          <w:rFonts w:eastAsia="Times New Roman"/>
          <w:color w:val="000000"/>
          <w:spacing w:val="7"/>
          <w:sz w:val="18"/>
        </w:rPr>
      </w:pPr>
      <w:r>
        <w:rPr>
          <w:rFonts w:eastAsia="Times New Roman"/>
          <w:color w:val="000000"/>
          <w:spacing w:val="7"/>
          <w:sz w:val="18"/>
        </w:rPr>
        <w:t>The hourly rate is based on the annual salary of a GS-13, step 1($89,033 annually).</w:t>
      </w:r>
    </w:p>
    <w:p w:rsidR="007C433E" w:rsidRDefault="00E76740">
      <w:pPr>
        <w:numPr>
          <w:ilvl w:val="0"/>
          <w:numId w:val="16"/>
        </w:numPr>
        <w:tabs>
          <w:tab w:val="clear" w:pos="360"/>
          <w:tab w:val="left" w:pos="504"/>
        </w:tabs>
        <w:spacing w:before="267" w:line="282" w:lineRule="exact"/>
        <w:ind w:left="504" w:right="936" w:hanging="360"/>
        <w:textAlignment w:val="baseline"/>
        <w:rPr>
          <w:rFonts w:eastAsia="Times New Roman"/>
          <w:color w:val="000000"/>
          <w:sz w:val="23"/>
        </w:rPr>
      </w:pPr>
      <w:r>
        <w:pict>
          <v:line id="_x0000_s1028" style="position:absolute;left:0;text-align:left;z-index:251656192;mso-position-horizontal-relative:page;mso-position-vertical-relative:page" from="22.3pt,759.35pt" to="585.15pt,759.35pt" strokeweight=".95pt">
            <w10:wrap anchorx="page" anchory="page"/>
          </v:line>
        </w:pict>
      </w:r>
      <w:r w:rsidR="00D8266E">
        <w:rPr>
          <w:rFonts w:eastAsia="Times New Roman"/>
          <w:color w:val="000000"/>
          <w:sz w:val="23"/>
        </w:rPr>
        <w:t>This is an extension of a currently approved collection. That process encourages owners of eligible multifamily housing projects to restructure their FHA-insured mortgages and project-based assistance contracts before the year in which the contract expires.</w:t>
      </w:r>
    </w:p>
    <w:p w:rsidR="007C433E" w:rsidRDefault="007C433E">
      <w:pPr>
        <w:sectPr w:rsidR="007C433E">
          <w:type w:val="continuous"/>
          <w:pgSz w:w="12240" w:h="15840"/>
          <w:pgMar w:top="798" w:right="536" w:bottom="160" w:left="444" w:header="720" w:footer="720" w:gutter="0"/>
          <w:cols w:space="720"/>
        </w:sectPr>
      </w:pPr>
    </w:p>
    <w:p w:rsidR="007C433E" w:rsidRDefault="00E76740">
      <w:pPr>
        <w:numPr>
          <w:ilvl w:val="0"/>
          <w:numId w:val="17"/>
        </w:numPr>
        <w:spacing w:before="287" w:line="277" w:lineRule="exact"/>
        <w:ind w:left="0"/>
        <w:jc w:val="both"/>
        <w:textAlignment w:val="baseline"/>
        <w:rPr>
          <w:rFonts w:eastAsia="Times New Roman"/>
          <w:color w:val="000000"/>
          <w:spacing w:val="3"/>
          <w:sz w:val="23"/>
        </w:rPr>
      </w:pPr>
      <w:r>
        <w:pict>
          <v:line id="_x0000_s1027" style="position:absolute;left:0;text-align:left;z-index:251657216;mso-position-horizontal-relative:text;mso-position-vertical-relative:text" from="-9.25pt,734.35pt" to="553.8pt,734.35pt" strokeweight=".95pt"/>
        </w:pict>
      </w:r>
      <w:r w:rsidR="00D8266E">
        <w:rPr>
          <w:rFonts w:eastAsia="Times New Roman"/>
          <w:color w:val="000000"/>
          <w:spacing w:val="3"/>
          <w:sz w:val="23"/>
        </w:rPr>
        <w:t>The results of this information collection will not be published.</w:t>
      </w:r>
    </w:p>
    <w:p w:rsidR="007C433E" w:rsidRDefault="00D8266E">
      <w:pPr>
        <w:numPr>
          <w:ilvl w:val="0"/>
          <w:numId w:val="17"/>
        </w:numPr>
        <w:spacing w:before="277" w:line="277" w:lineRule="exact"/>
        <w:ind w:left="0"/>
        <w:jc w:val="both"/>
        <w:textAlignment w:val="baseline"/>
        <w:rPr>
          <w:rFonts w:eastAsia="Times New Roman"/>
          <w:color w:val="000000"/>
          <w:spacing w:val="3"/>
          <w:sz w:val="23"/>
        </w:rPr>
      </w:pPr>
      <w:r>
        <w:rPr>
          <w:rFonts w:eastAsia="Times New Roman"/>
          <w:color w:val="000000"/>
          <w:spacing w:val="3"/>
          <w:sz w:val="23"/>
        </w:rPr>
        <w:t>HUD is not seeking approval to avoid displaying the expiration date.</w:t>
      </w:r>
    </w:p>
    <w:p w:rsidR="007C433E" w:rsidRDefault="00D8266E">
      <w:pPr>
        <w:numPr>
          <w:ilvl w:val="0"/>
          <w:numId w:val="17"/>
        </w:numPr>
        <w:spacing w:before="278" w:line="277" w:lineRule="exact"/>
        <w:ind w:left="0"/>
        <w:jc w:val="both"/>
        <w:textAlignment w:val="baseline"/>
        <w:rPr>
          <w:rFonts w:eastAsia="Times New Roman"/>
          <w:color w:val="000000"/>
          <w:spacing w:val="1"/>
          <w:sz w:val="23"/>
        </w:rPr>
      </w:pPr>
      <w:r>
        <w:rPr>
          <w:rFonts w:eastAsia="Times New Roman"/>
          <w:color w:val="000000"/>
          <w:spacing w:val="1"/>
          <w:sz w:val="23"/>
        </w:rPr>
        <w:t>There are no exceptions to the certification statement identified in Item 19 of the OMB 83-I.</w:t>
      </w:r>
    </w:p>
    <w:p w:rsidR="007C433E" w:rsidRDefault="00D8266E" w:rsidP="001F018D">
      <w:pPr>
        <w:spacing w:before="556" w:line="270" w:lineRule="exact"/>
        <w:jc w:val="both"/>
        <w:textAlignment w:val="baseline"/>
        <w:rPr>
          <w:rFonts w:eastAsia="Times New Roman"/>
          <w:b/>
          <w:color w:val="000000"/>
          <w:spacing w:val="3"/>
          <w:sz w:val="23"/>
        </w:rPr>
      </w:pPr>
      <w:r>
        <w:rPr>
          <w:rFonts w:eastAsia="Times New Roman"/>
          <w:b/>
          <w:color w:val="000000"/>
          <w:spacing w:val="3"/>
          <w:sz w:val="23"/>
        </w:rPr>
        <w:t>Collections of Information Employing Statistical Methods</w:t>
      </w:r>
    </w:p>
    <w:p w:rsidR="007C433E" w:rsidRDefault="00D8266E" w:rsidP="001F018D">
      <w:pPr>
        <w:spacing w:before="278" w:line="277" w:lineRule="exact"/>
        <w:jc w:val="both"/>
        <w:textAlignment w:val="baseline"/>
        <w:rPr>
          <w:rFonts w:eastAsia="Times New Roman"/>
          <w:color w:val="000000"/>
          <w:spacing w:val="3"/>
          <w:sz w:val="23"/>
        </w:rPr>
      </w:pPr>
      <w:r>
        <w:rPr>
          <w:rFonts w:eastAsia="Times New Roman"/>
          <w:color w:val="000000"/>
          <w:spacing w:val="3"/>
          <w:sz w:val="23"/>
        </w:rPr>
        <w:t>This collection of information does not employ statistical methods.</w:t>
      </w:r>
    </w:p>
    <w:p w:rsidR="007C433E" w:rsidRDefault="00E76740" w:rsidP="001F018D">
      <w:pPr>
        <w:textAlignment w:val="baseline"/>
      </w:pPr>
      <w:r>
        <w:pict>
          <v:shape id="_x0000_s1026" type="#_x0000_t202" style="position:absolute;margin-left:15.25pt;margin-top:761pt;width:563pt;height:10.35pt;z-index:-251638784;mso-wrap-distance-left:0;mso-wrap-distance-right:0;mso-position-horizontal-relative:page;mso-position-vertical-relative:page" filled="f" stroked="f">
            <v:textbox inset="0,0,0,0">
              <w:txbxContent>
                <w:p w:rsidR="007C433E" w:rsidRDefault="00D8266E">
                  <w:pPr>
                    <w:tabs>
                      <w:tab w:val="left" w:pos="5544"/>
                      <w:tab w:val="right" w:pos="11088"/>
                    </w:tabs>
                    <w:spacing w:before="2" w:line="200" w:lineRule="exact"/>
                    <w:ind w:left="72"/>
                    <w:textAlignment w:val="baseline"/>
                    <w:rPr>
                      <w:rFonts w:ascii="Arial" w:eastAsia="Arial" w:hAnsi="Arial"/>
                      <w:b/>
                      <w:color w:val="000000"/>
                      <w:sz w:val="18"/>
                    </w:rPr>
                  </w:pPr>
                  <w:r>
                    <w:rPr>
                      <w:rFonts w:ascii="Arial" w:eastAsia="Arial" w:hAnsi="Arial"/>
                      <w:b/>
                      <w:color w:val="000000"/>
                      <w:sz w:val="18"/>
                    </w:rPr>
                    <w:t>OMB 83-I</w:t>
                  </w:r>
                  <w:r>
                    <w:rPr>
                      <w:rFonts w:ascii="Arial" w:eastAsia="Arial" w:hAnsi="Arial"/>
                      <w:b/>
                      <w:color w:val="000000"/>
                      <w:sz w:val="18"/>
                    </w:rPr>
                    <w:tab/>
                    <w:t>5</w:t>
                  </w:r>
                  <w:r>
                    <w:rPr>
                      <w:rFonts w:ascii="Arial" w:eastAsia="Arial" w:hAnsi="Arial"/>
                      <w:b/>
                      <w:color w:val="000000"/>
                      <w:sz w:val="18"/>
                    </w:rPr>
                    <w:tab/>
                    <w:t>10/95</w:t>
                  </w:r>
                </w:p>
              </w:txbxContent>
            </v:textbox>
            <w10:wrap type="square" anchorx="page" anchory="page"/>
          </v:shape>
        </w:pict>
      </w:r>
    </w:p>
    <w:sectPr w:rsidR="007C433E">
      <w:pgSz w:w="12240" w:h="15840"/>
      <w:pgMar w:top="1152"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Symbol">
    <w:pitch w:val="default"/>
    <w:family w:val="auto"/>
  </w:font>
  <w:font w:name="Wingdings">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21B"/>
    <w:multiLevelType w:val="multilevel"/>
    <w:tmpl w:val="CD4091BE"/>
    <w:lvl w:ilvl="0">
      <w:start w:val="1"/>
      <w:numFmt w:val="decimal"/>
      <w:lvlText w:val="(%1)"/>
      <w:lvlJc w:val="left"/>
      <w:pPr>
        <w:tabs>
          <w:tab w:val="left" w:pos="288"/>
        </w:tabs>
        <w:ind w:left="720"/>
      </w:pPr>
      <w:rPr>
        <w:rFonts w:ascii="Times New Roman" w:eastAsia="Times New Roman" w:hAnsi="Times New Roman"/>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6C185E"/>
    <w:multiLevelType w:val="multilevel"/>
    <w:tmpl w:val="23BC5BB2"/>
    <w:lvl w:ilvl="0">
      <w:start w:val="9"/>
      <w:numFmt w:val="decimal"/>
      <w:lvlText w:val="%1."/>
      <w:lvlJc w:val="left"/>
      <w:pPr>
        <w:tabs>
          <w:tab w:val="left" w:pos="360"/>
        </w:tabs>
        <w:ind w:left="720"/>
      </w:pPr>
      <w:rPr>
        <w:rFonts w:ascii="Times New Roman" w:eastAsia="Times New Roman" w:hAnsi="Times New Roman"/>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F6202A"/>
    <w:multiLevelType w:val="multilevel"/>
    <w:tmpl w:val="253842DE"/>
    <w:lvl w:ilvl="0">
      <w:start w:val="16"/>
      <w:numFmt w:val="decimal"/>
      <w:lvlText w:val="%1."/>
      <w:lvlJc w:val="left"/>
      <w:pPr>
        <w:tabs>
          <w:tab w:val="left" w:pos="360"/>
        </w:tabs>
        <w:ind w:left="720"/>
      </w:pPr>
      <w:rPr>
        <w:rFonts w:ascii="Times New Roman" w:eastAsia="Times New Roman" w:hAnsi="Times New Roman"/>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6D5689"/>
    <w:multiLevelType w:val="multilevel"/>
    <w:tmpl w:val="097C1AE6"/>
    <w:lvl w:ilvl="0">
      <w:start w:val="1"/>
      <w:numFmt w:val="lowerLetter"/>
      <w:lvlText w:val="%1."/>
      <w:lvlJc w:val="left"/>
      <w:pPr>
        <w:tabs>
          <w:tab w:val="left" w:pos="144"/>
        </w:tabs>
        <w:ind w:left="720"/>
      </w:pPr>
      <w:rPr>
        <w:rFonts w:ascii="Arial" w:eastAsia="Arial" w:hAnsi="Arial"/>
        <w:b/>
        <w:strike w:val="0"/>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BE7949"/>
    <w:multiLevelType w:val="multilevel"/>
    <w:tmpl w:val="4B1A87FE"/>
    <w:lvl w:ilvl="0">
      <w:start w:val="1"/>
      <w:numFmt w:val="bullet"/>
      <w:lvlText w:val="n"/>
      <w:lvlJc w:val="left"/>
      <w:pPr>
        <w:tabs>
          <w:tab w:val="left" w:pos="288"/>
        </w:tabs>
        <w:ind w:left="720"/>
      </w:pPr>
      <w:rPr>
        <w:rFonts w:ascii="Wingdings" w:eastAsia="Wingdings" w:hAnsi="Wingdings"/>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613CDF"/>
    <w:multiLevelType w:val="multilevel"/>
    <w:tmpl w:val="0E8A0BC6"/>
    <w:lvl w:ilvl="0">
      <w:start w:val="2"/>
      <w:numFmt w:val="decimal"/>
      <w:lvlText w:val="%1."/>
      <w:lvlJc w:val="left"/>
      <w:pPr>
        <w:tabs>
          <w:tab w:val="left" w:pos="360"/>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576EF1"/>
    <w:multiLevelType w:val="multilevel"/>
    <w:tmpl w:val="B62EB9EA"/>
    <w:lvl w:ilvl="0">
      <w:start w:val="1"/>
      <w:numFmt w:val="lowerLetter"/>
      <w:lvlText w:val="%1."/>
      <w:lvlJc w:val="left"/>
      <w:pPr>
        <w:tabs>
          <w:tab w:val="left" w:pos="144"/>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C13E59"/>
    <w:multiLevelType w:val="multilevel"/>
    <w:tmpl w:val="3F728A78"/>
    <w:lvl w:ilvl="0">
      <w:start w:val="1"/>
      <w:numFmt w:val="lowerLetter"/>
      <w:lvlText w:val="%1."/>
      <w:lvlJc w:val="left"/>
      <w:pPr>
        <w:tabs>
          <w:tab w:val="left" w:pos="360"/>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FA64F2"/>
    <w:multiLevelType w:val="multilevel"/>
    <w:tmpl w:val="A97C7A3C"/>
    <w:lvl w:ilvl="0">
      <w:start w:val="2"/>
      <w:numFmt w:val="lowerLetter"/>
      <w:lvlText w:val="%1."/>
      <w:lvlJc w:val="left"/>
      <w:pPr>
        <w:tabs>
          <w:tab w:val="left" w:pos="216"/>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C71B3F"/>
    <w:multiLevelType w:val="multilevel"/>
    <w:tmpl w:val="0382FFE6"/>
    <w:lvl w:ilvl="0">
      <w:start w:val="1"/>
      <w:numFmt w:val="lowerLetter"/>
      <w:lvlText w:val="%1."/>
      <w:lvlJc w:val="left"/>
      <w:pPr>
        <w:tabs>
          <w:tab w:val="left" w:pos="216"/>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EC6AE6"/>
    <w:multiLevelType w:val="multilevel"/>
    <w:tmpl w:val="850ED594"/>
    <w:lvl w:ilvl="0">
      <w:start w:val="1"/>
      <w:numFmt w:val="decimal"/>
      <w:lvlText w:val="%1."/>
      <w:lvlJc w:val="left"/>
      <w:pPr>
        <w:tabs>
          <w:tab w:val="left" w:pos="216"/>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FD09FA"/>
    <w:multiLevelType w:val="multilevel"/>
    <w:tmpl w:val="EB42E81C"/>
    <w:lvl w:ilvl="0">
      <w:start w:val="1"/>
      <w:numFmt w:val="lowerLetter"/>
      <w:lvlText w:val="(%1)"/>
      <w:lvlJc w:val="left"/>
      <w:pPr>
        <w:tabs>
          <w:tab w:val="left" w:pos="360"/>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6E1961"/>
    <w:multiLevelType w:val="multilevel"/>
    <w:tmpl w:val="9198085A"/>
    <w:lvl w:ilvl="0">
      <w:start w:val="1"/>
      <w:numFmt w:val="lowerLetter"/>
      <w:lvlText w:val="%1."/>
      <w:lvlJc w:val="left"/>
      <w:pPr>
        <w:tabs>
          <w:tab w:val="left" w:pos="432"/>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C448FC"/>
    <w:multiLevelType w:val="multilevel"/>
    <w:tmpl w:val="5E182C10"/>
    <w:lvl w:ilvl="0">
      <w:start w:val="1"/>
      <w:numFmt w:val="decimal"/>
      <w:lvlText w:val="%1."/>
      <w:lvlJc w:val="left"/>
      <w:pPr>
        <w:tabs>
          <w:tab w:val="left" w:pos="216"/>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7521DC"/>
    <w:multiLevelType w:val="multilevel"/>
    <w:tmpl w:val="439ACAC6"/>
    <w:lvl w:ilvl="0">
      <w:start w:val="2"/>
      <w:numFmt w:val="lowerLetter"/>
      <w:lvlText w:val="%1."/>
      <w:lvlJc w:val="left"/>
      <w:pPr>
        <w:tabs>
          <w:tab w:val="left" w:pos="216"/>
        </w:tabs>
        <w:ind w:left="720"/>
      </w:pPr>
      <w:rPr>
        <w:rFonts w:ascii="Arial" w:eastAsia="Arial" w:hAnsi="Arial"/>
        <w:strike w:val="0"/>
        <w:color w:val="000000"/>
        <w:spacing w:val="7"/>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F80C90"/>
    <w:multiLevelType w:val="multilevel"/>
    <w:tmpl w:val="262E124A"/>
    <w:lvl w:ilvl="0">
      <w:start w:val="1"/>
      <w:numFmt w:val="bullet"/>
      <w:lvlText w:val="·"/>
      <w:lvlJc w:val="left"/>
      <w:pPr>
        <w:tabs>
          <w:tab w:val="left" w:pos="216"/>
        </w:tabs>
        <w:ind w:left="720"/>
      </w:pPr>
      <w:rPr>
        <w:rFonts w:ascii="Symbol" w:eastAsia="Symbol" w:hAnsi="Symbol"/>
        <w:b/>
        <w:strike w:val="0"/>
        <w:color w:val="000000"/>
        <w:spacing w:val="-7"/>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9B564F"/>
    <w:multiLevelType w:val="multilevel"/>
    <w:tmpl w:val="C7C0CED6"/>
    <w:lvl w:ilvl="0">
      <w:start w:val="1"/>
      <w:numFmt w:val="lowerRoman"/>
      <w:lvlText w:val="(%1)"/>
      <w:lvlJc w:val="left"/>
      <w:pPr>
        <w:tabs>
          <w:tab w:val="left" w:pos="360"/>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0"/>
  </w:num>
  <w:num w:numId="3">
    <w:abstractNumId w:val="8"/>
  </w:num>
  <w:num w:numId="4">
    <w:abstractNumId w:val="14"/>
  </w:num>
  <w:num w:numId="5">
    <w:abstractNumId w:val="12"/>
  </w:num>
  <w:num w:numId="6">
    <w:abstractNumId w:val="7"/>
  </w:num>
  <w:num w:numId="7">
    <w:abstractNumId w:val="6"/>
  </w:num>
  <w:num w:numId="8">
    <w:abstractNumId w:val="13"/>
  </w:num>
  <w:num w:numId="9">
    <w:abstractNumId w:val="9"/>
  </w:num>
  <w:num w:numId="10">
    <w:abstractNumId w:val="10"/>
  </w:num>
  <w:num w:numId="11">
    <w:abstractNumId w:val="3"/>
  </w:num>
  <w:num w:numId="12">
    <w:abstractNumId w:val="4"/>
  </w:num>
  <w:num w:numId="13">
    <w:abstractNumId w:val="11"/>
  </w:num>
  <w:num w:numId="14">
    <w:abstractNumId w:val="16"/>
  </w:num>
  <w:num w:numId="15">
    <w:abstractNumId w:val="5"/>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7C433E"/>
    <w:rsid w:val="00087D07"/>
    <w:rsid w:val="001F018D"/>
    <w:rsid w:val="004F1AFC"/>
    <w:rsid w:val="007C433E"/>
    <w:rsid w:val="00D8266E"/>
    <w:rsid w:val="00E76740"/>
    <w:rsid w:val="00F0529A"/>
    <w:rsid w:val="00FC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Langston, Thomas</dc:creator>
  <cp:lastModifiedBy>H45596</cp:lastModifiedBy>
  <cp:revision>2</cp:revision>
  <cp:lastPrinted>2015-05-18T18:47:00Z</cp:lastPrinted>
  <dcterms:created xsi:type="dcterms:W3CDTF">2015-05-19T18:52:00Z</dcterms:created>
  <dcterms:modified xsi:type="dcterms:W3CDTF">2015-05-19T18:52:00Z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2015038000</vt:i4>
  </property>
  <property fmtid="{D5CDD505-2E9C-101B-9397-08002B2CF9AE}" pid="3" name="_NewReviewCycle">
    <vt:lpwstr/>
  </property>
  <property fmtid="{D5CDD505-2E9C-101B-9397-08002B2CF9AE}" pid="4" name="_EmailSubject">
    <vt:lpwstr> Insufficient Reply:  OMB is asking for more information regarding ICR Package 2502-0446 [Urgent]</vt:lpwstr>
  </property>
  <property fmtid="{D5CDD505-2E9C-101B-9397-08002B2CF9AE}" pid="5" name="_AuthorEmail">
    <vt:lpwstr>thomas.langston@hud.gov</vt:lpwstr>
  </property>
  <property fmtid="{D5CDD505-2E9C-101B-9397-08002B2CF9AE}" pid="6" name="_AuthorEmailDisplayName">
    <vt:lpwstr>Langston, Thomas</vt:lpwstr>
  </property>
  <property fmtid="{D5CDD505-2E9C-101B-9397-08002B2CF9AE}" pid="7" name="_ReviewingToolsShownOnce">
    <vt:lpwstr/>
  </property>
</Properties>
</file>