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CB706" w14:textId="77777777" w:rsidR="00C713B7" w:rsidRDefault="00C713B7" w:rsidP="00FA2D94">
      <w:pPr>
        <w:tabs>
          <w:tab w:val="center" w:pos="4680"/>
        </w:tabs>
        <w:jc w:val="center"/>
        <w:rPr>
          <w:b/>
          <w:bCs/>
        </w:rPr>
      </w:pPr>
      <w:r>
        <w:rPr>
          <w:b/>
          <w:bCs/>
        </w:rPr>
        <w:t>SUPPORTING STATEMENT</w:t>
      </w:r>
    </w:p>
    <w:p w14:paraId="530635B3" w14:textId="77777777" w:rsidR="00C713B7" w:rsidRDefault="00C713B7" w:rsidP="00FA2D94">
      <w:pPr>
        <w:tabs>
          <w:tab w:val="center" w:pos="4680"/>
        </w:tabs>
      </w:pPr>
      <w:r>
        <w:rPr>
          <w:b/>
          <w:bCs/>
        </w:rPr>
        <w:tab/>
        <w:t>ENVIRONMENTAL PROTECTION AGENCY</w:t>
      </w:r>
    </w:p>
    <w:p w14:paraId="3046E9AC" w14:textId="77777777" w:rsidR="00C713B7" w:rsidRDefault="00C713B7" w:rsidP="00FA2D94">
      <w:pPr>
        <w:tabs>
          <w:tab w:val="center" w:pos="4680"/>
        </w:tabs>
      </w:pPr>
    </w:p>
    <w:p w14:paraId="2B7F3690" w14:textId="77777777" w:rsidR="00C713B7" w:rsidRDefault="00C713B7" w:rsidP="00FA2D94">
      <w:pPr>
        <w:rPr>
          <w:b/>
          <w:bCs/>
        </w:rPr>
      </w:pPr>
      <w:bookmarkStart w:id="0" w:name="OLE_LINK1"/>
      <w:r>
        <w:rPr>
          <w:b/>
          <w:bCs/>
        </w:rPr>
        <w:t>NESHAP for Ferroalloys Production: Ferromanganese and Silicomanganese</w:t>
      </w:r>
    </w:p>
    <w:p w14:paraId="4A5D0C4D" w14:textId="77777777" w:rsidR="00B832FF" w:rsidRDefault="00C713B7" w:rsidP="00EE71F6">
      <w:pPr>
        <w:rPr>
          <w:b/>
          <w:bCs/>
        </w:rPr>
      </w:pPr>
      <w:r>
        <w:rPr>
          <w:b/>
          <w:bCs/>
        </w:rPr>
        <w:t>(40 CFR Part 63, Subpart XXX)</w:t>
      </w:r>
      <w:r w:rsidR="006D532B">
        <w:rPr>
          <w:b/>
          <w:bCs/>
        </w:rPr>
        <w:t xml:space="preserve"> (</w:t>
      </w:r>
      <w:r w:rsidR="004128DD">
        <w:rPr>
          <w:b/>
          <w:bCs/>
        </w:rPr>
        <w:t xml:space="preserve">Supplemental </w:t>
      </w:r>
      <w:r w:rsidR="00416235">
        <w:rPr>
          <w:b/>
          <w:bCs/>
        </w:rPr>
        <w:t xml:space="preserve">Proposed </w:t>
      </w:r>
      <w:r w:rsidR="006D532B">
        <w:rPr>
          <w:b/>
          <w:bCs/>
        </w:rPr>
        <w:t>R</w:t>
      </w:r>
      <w:r w:rsidR="00416235">
        <w:rPr>
          <w:b/>
          <w:bCs/>
        </w:rPr>
        <w:t>ule</w:t>
      </w:r>
      <w:r w:rsidR="00DF5BB6">
        <w:rPr>
          <w:b/>
          <w:bCs/>
        </w:rPr>
        <w:t>)</w:t>
      </w:r>
      <w:bookmarkEnd w:id="0"/>
      <w:r>
        <w:rPr>
          <w:b/>
          <w:bCs/>
        </w:rPr>
        <w:t xml:space="preserve"> </w:t>
      </w:r>
    </w:p>
    <w:p w14:paraId="6EADC594" w14:textId="77777777" w:rsidR="00EE71F6" w:rsidRDefault="00EE71F6" w:rsidP="00EE71F6">
      <w:pPr>
        <w:rPr>
          <w:b/>
          <w:bCs/>
          <w:color w:val="000000"/>
        </w:rPr>
      </w:pPr>
    </w:p>
    <w:p w14:paraId="1B81B647" w14:textId="77777777" w:rsidR="00C713B7" w:rsidRDefault="00C713B7" w:rsidP="00FA2D94">
      <w:pPr>
        <w:spacing w:after="240" w:line="276" w:lineRule="auto"/>
        <w:rPr>
          <w:b/>
          <w:bCs/>
          <w:color w:val="000000"/>
        </w:rPr>
      </w:pPr>
      <w:r>
        <w:rPr>
          <w:b/>
          <w:bCs/>
          <w:color w:val="000000"/>
        </w:rPr>
        <w:t>1.</w:t>
      </w:r>
      <w:r w:rsidR="00A30540">
        <w:rPr>
          <w:b/>
          <w:bCs/>
          <w:color w:val="000000"/>
        </w:rPr>
        <w:t xml:space="preserve"> </w:t>
      </w:r>
      <w:r>
        <w:rPr>
          <w:b/>
          <w:bCs/>
          <w:color w:val="000000"/>
        </w:rPr>
        <w:t>Identification of the Information Collection</w:t>
      </w:r>
    </w:p>
    <w:p w14:paraId="5A3A90D7" w14:textId="77777777" w:rsidR="00C713B7" w:rsidRDefault="00C713B7" w:rsidP="00FA2D94">
      <w:pPr>
        <w:spacing w:after="240" w:line="276" w:lineRule="auto"/>
        <w:ind w:firstLine="720"/>
        <w:rPr>
          <w:b/>
          <w:bCs/>
          <w:color w:val="000000"/>
        </w:rPr>
      </w:pPr>
      <w:r>
        <w:rPr>
          <w:b/>
          <w:bCs/>
          <w:color w:val="000000"/>
        </w:rPr>
        <w:t>1(a)</w:t>
      </w:r>
      <w:r w:rsidR="00A30540">
        <w:rPr>
          <w:b/>
          <w:bCs/>
          <w:color w:val="000000"/>
        </w:rPr>
        <w:t xml:space="preserve"> </w:t>
      </w:r>
      <w:r>
        <w:rPr>
          <w:b/>
          <w:bCs/>
          <w:color w:val="000000"/>
        </w:rPr>
        <w:t>Title of the Information Collection</w:t>
      </w:r>
    </w:p>
    <w:p w14:paraId="13D37A26" w14:textId="32786855" w:rsidR="00C713B7" w:rsidRDefault="00C713B7" w:rsidP="00FA2D94">
      <w:pPr>
        <w:spacing w:after="240" w:line="276" w:lineRule="auto"/>
        <w:ind w:left="56" w:firstLine="14"/>
        <w:rPr>
          <w:b/>
          <w:bCs/>
          <w:color w:val="000000"/>
        </w:rPr>
      </w:pPr>
      <w:r>
        <w:t>NESHAP for Ferroalloys Production: Ferromanganese and Silicomanganese (40 CFR Part 63, Subpart XXX)</w:t>
      </w:r>
      <w:r w:rsidR="00954AC4">
        <w:t xml:space="preserve">, EPA ICR Number </w:t>
      </w:r>
      <w:r w:rsidR="00E1617B" w:rsidRPr="006C3450">
        <w:t>2448.0</w:t>
      </w:r>
      <w:r w:rsidR="000716A3">
        <w:t>2</w:t>
      </w:r>
      <w:r w:rsidR="00954AC4">
        <w:t xml:space="preserve">, OMB Control Number </w:t>
      </w:r>
      <w:r w:rsidR="00954AC4" w:rsidRPr="006C3450">
        <w:t>2060-</w:t>
      </w:r>
      <w:r w:rsidR="00E1617B" w:rsidRPr="006C3450">
        <w:t>NEW</w:t>
      </w:r>
      <w:r w:rsidR="00E1617B">
        <w:t>.</w:t>
      </w:r>
    </w:p>
    <w:p w14:paraId="3301C8D1" w14:textId="77777777" w:rsidR="00C713B7" w:rsidRDefault="00C713B7" w:rsidP="00FA2D94">
      <w:pPr>
        <w:spacing w:after="240" w:line="276" w:lineRule="auto"/>
        <w:ind w:firstLine="720"/>
        <w:rPr>
          <w:color w:val="000000"/>
        </w:rPr>
      </w:pPr>
      <w:r>
        <w:rPr>
          <w:b/>
          <w:bCs/>
          <w:color w:val="000000"/>
        </w:rPr>
        <w:t>1(b)</w:t>
      </w:r>
      <w:r w:rsidR="00A30540">
        <w:rPr>
          <w:b/>
          <w:bCs/>
          <w:color w:val="000000"/>
        </w:rPr>
        <w:t xml:space="preserve"> </w:t>
      </w:r>
      <w:r>
        <w:rPr>
          <w:b/>
          <w:bCs/>
          <w:color w:val="000000"/>
        </w:rPr>
        <w:t>Short Characterization/Abstract</w:t>
      </w:r>
    </w:p>
    <w:p w14:paraId="6681B890" w14:textId="77777777" w:rsidR="00C713B7" w:rsidRDefault="00C713B7" w:rsidP="00FA2D94">
      <w:pPr>
        <w:spacing w:after="240" w:line="276" w:lineRule="auto"/>
        <w:ind w:firstLine="720"/>
      </w:pPr>
      <w:r>
        <w:t xml:space="preserve">The National Emission Standards for Hazardous Air Pollutants (NESHAP) for the regulations published </w:t>
      </w:r>
      <w:r w:rsidR="00B832FF">
        <w:t>at 40 CFR subpart XXX</w:t>
      </w:r>
      <w:r>
        <w:t xml:space="preserve"> were proposed on August 4, 1998, promulgated on May 20, 1999, and amended most recently on March 22, 2001.</w:t>
      </w:r>
      <w:r w:rsidR="00A30540">
        <w:t xml:space="preserve"> </w:t>
      </w:r>
      <w:r>
        <w:t>The</w:t>
      </w:r>
      <w:r w:rsidR="00A30540">
        <w:t xml:space="preserve"> purpose of this information collection request is to document the expected impacts of proposed </w:t>
      </w:r>
      <w:r w:rsidR="00D86179">
        <w:t xml:space="preserve">addition of </w:t>
      </w:r>
      <w:r w:rsidR="00EE71F6">
        <w:t xml:space="preserve">proposed </w:t>
      </w:r>
      <w:r w:rsidR="006D532B">
        <w:t xml:space="preserve">changes to </w:t>
      </w:r>
      <w:r w:rsidR="00D86179">
        <w:t xml:space="preserve">subpart </w:t>
      </w:r>
      <w:r w:rsidR="00A30540">
        <w:t xml:space="preserve">XXX </w:t>
      </w:r>
      <w:r w:rsidR="006D532B">
        <w:t xml:space="preserve">that are </w:t>
      </w:r>
      <w:r w:rsidR="00A30540">
        <w:t>being developed as part of the risk and technology review process</w:t>
      </w:r>
      <w:r w:rsidR="00D86179">
        <w:t xml:space="preserve"> of the current subpart XXX</w:t>
      </w:r>
      <w:r w:rsidR="00A30540">
        <w:t xml:space="preserve">. </w:t>
      </w:r>
      <w:r w:rsidR="00EE71F6">
        <w:t xml:space="preserve">Subpart XXX would continue to apply </w:t>
      </w:r>
      <w:r>
        <w:t>to new and existing ferroalloy</w:t>
      </w:r>
      <w:r w:rsidR="00A30540">
        <w:t>s</w:t>
      </w:r>
      <w:r>
        <w:t xml:space="preserve"> production facilities that manufacture ferromanganese and silicomanganese, and that are </w:t>
      </w:r>
      <w:r w:rsidR="00954AC4">
        <w:t xml:space="preserve">either </w:t>
      </w:r>
      <w:r>
        <w:t>major sources of hazardous air pollutants (HAPs) emissions or are co-located at major sources of HAPs.</w:t>
      </w:r>
      <w:r w:rsidR="00A30540">
        <w:t xml:space="preserve"> </w:t>
      </w:r>
      <w:r>
        <w:t xml:space="preserve">The following affected facilities at ferroalloy production plants are subject to this NESHAP rule: submerged arc furnaces; </w:t>
      </w:r>
      <w:r w:rsidR="00A30540">
        <w:t xml:space="preserve">casting operations, </w:t>
      </w:r>
      <w:r>
        <w:t xml:space="preserve">metal oxygen refining </w:t>
      </w:r>
      <w:r w:rsidR="00A30540">
        <w:t xml:space="preserve">(MOR) </w:t>
      </w:r>
      <w:r>
        <w:t>process; crushing and screening operations; and fugitive dust sources.</w:t>
      </w:r>
      <w:r w:rsidR="00A30540">
        <w:t xml:space="preserve"> </w:t>
      </w:r>
      <w:r>
        <w:t xml:space="preserve">New sources include those that commenced construction or reconstruction after the date of </w:t>
      </w:r>
      <w:r w:rsidR="00583B48">
        <w:t xml:space="preserve">the supplemental </w:t>
      </w:r>
      <w:r>
        <w:t>proposal.</w:t>
      </w:r>
      <w:r w:rsidR="00A30540">
        <w:t xml:space="preserve"> </w:t>
      </w:r>
      <w:r>
        <w:t>This information is being collected to assure compliance with 40 CFR part 63, subpart XXX.</w:t>
      </w:r>
    </w:p>
    <w:p w14:paraId="199266D3" w14:textId="163737B1" w:rsidR="001D376B" w:rsidRDefault="00D86179" w:rsidP="00FA2D94">
      <w:pPr>
        <w:spacing w:after="240" w:line="276" w:lineRule="auto"/>
        <w:ind w:firstLine="720"/>
      </w:pPr>
      <w:r>
        <w:t>Compared to existing subpart XXX, t</w:t>
      </w:r>
      <w:r w:rsidR="001D376B">
        <w:t xml:space="preserve">he proposed </w:t>
      </w:r>
      <w:r w:rsidR="00EE71F6">
        <w:t>changes</w:t>
      </w:r>
      <w:r>
        <w:t xml:space="preserve"> would </w:t>
      </w:r>
      <w:r w:rsidR="001D376B">
        <w:t xml:space="preserve">increase the number of pollutants and sources regulated and add requirements for continuous monitoring and periodic testing. In addition, the proposed rule would eliminate the startup, shutdown and malfunction (SSM) exemption, remove the SSM plan requirement </w:t>
      </w:r>
      <w:r w:rsidR="00B832FF">
        <w:t xml:space="preserve">and </w:t>
      </w:r>
      <w:r w:rsidR="001D376B">
        <w:t>add a requirement for electronic submittal of performance tests.</w:t>
      </w:r>
    </w:p>
    <w:p w14:paraId="207F5F75" w14:textId="77777777" w:rsidR="00C713B7" w:rsidRDefault="00C713B7" w:rsidP="00FA2D94">
      <w:pPr>
        <w:spacing w:after="240" w:line="276" w:lineRule="auto"/>
        <w:ind w:firstLine="720"/>
      </w:pPr>
      <w:r>
        <w:t xml:space="preserve">In general, all NESHAP standards require initial notifications, performance tests, </w:t>
      </w:r>
      <w:r w:rsidR="00A30540">
        <w:t xml:space="preserve">monitoring </w:t>
      </w:r>
      <w:r>
        <w:t>and periodic reports by the owners/operators of the affected facilities.</w:t>
      </w:r>
      <w:r w:rsidR="00A30540">
        <w:t xml:space="preserve"> </w:t>
      </w:r>
      <w:r>
        <w:t>These notifications, reports, and records are essential in determining compliance, and are required of all affected facilities subject to NESHAP.</w:t>
      </w:r>
    </w:p>
    <w:p w14:paraId="517DC4D3" w14:textId="77777777" w:rsidR="00C713B7" w:rsidRDefault="00C713B7" w:rsidP="00FA2D94">
      <w:pPr>
        <w:spacing w:after="240" w:line="276" w:lineRule="auto"/>
        <w:ind w:firstLine="720"/>
      </w:pPr>
      <w:r>
        <w:t xml:space="preserve">Any owner/operator subject to the provisions of this part shall maintain a file of these measurements, and retain the file for at least </w:t>
      </w:r>
      <w:r w:rsidR="003F540B">
        <w:t>5</w:t>
      </w:r>
      <w:r>
        <w:t xml:space="preserve"> years following the date of such measurements, </w:t>
      </w:r>
      <w:r>
        <w:lastRenderedPageBreak/>
        <w:t>maintenance reports, and records.</w:t>
      </w:r>
      <w:r w:rsidR="00A30540">
        <w:t xml:space="preserve"> </w:t>
      </w:r>
      <w:r>
        <w:t>All reports are sent to the delegated state or local authority.</w:t>
      </w:r>
      <w:r w:rsidR="00A30540">
        <w:t xml:space="preserve"> </w:t>
      </w:r>
      <w:r>
        <w:t>In the event that there is no such delegated authority, the reports are sent directly to the United States Environmental Protection Agency (EPA) regional office.</w:t>
      </w:r>
    </w:p>
    <w:p w14:paraId="60F4AAC4" w14:textId="77777777" w:rsidR="00C713B7" w:rsidRDefault="00C713B7" w:rsidP="00FA2D94">
      <w:pPr>
        <w:spacing w:after="240" w:line="276" w:lineRule="auto"/>
        <w:ind w:firstLine="720"/>
      </w:pPr>
      <w:r>
        <w:rPr>
          <w:color w:val="000000"/>
        </w:rPr>
        <w:t xml:space="preserve">Over the next </w:t>
      </w:r>
      <w:r w:rsidR="001D376B">
        <w:rPr>
          <w:color w:val="000000"/>
        </w:rPr>
        <w:t>3</w:t>
      </w:r>
      <w:r>
        <w:rPr>
          <w:color w:val="000000"/>
        </w:rPr>
        <w:t xml:space="preserve"> years, an average of </w:t>
      </w:r>
      <w:r w:rsidR="001D376B">
        <w:rPr>
          <w:color w:val="000000"/>
        </w:rPr>
        <w:t xml:space="preserve">two </w:t>
      </w:r>
      <w:r>
        <w:rPr>
          <w:color w:val="000000"/>
        </w:rPr>
        <w:t>respondent</w:t>
      </w:r>
      <w:r w:rsidR="001D376B">
        <w:rPr>
          <w:color w:val="000000"/>
        </w:rPr>
        <w:t>s</w:t>
      </w:r>
      <w:r>
        <w:rPr>
          <w:color w:val="000000"/>
        </w:rPr>
        <w:t xml:space="preserve"> per year will be subject to the standard, and no additional respondents per year will become subject to the standard.</w:t>
      </w:r>
      <w:r w:rsidR="00A30540">
        <w:rPr>
          <w:color w:val="000000"/>
        </w:rPr>
        <w:t xml:space="preserve"> </w:t>
      </w:r>
      <w:r>
        <w:rPr>
          <w:color w:val="000000"/>
        </w:rPr>
        <w:t xml:space="preserve">Based on our consultations with industry representatives, there </w:t>
      </w:r>
      <w:r w:rsidR="001D376B">
        <w:rPr>
          <w:color w:val="000000"/>
        </w:rPr>
        <w:t xml:space="preserve">are two plants that are currently subject to subpart XXX and both would be subject to the </w:t>
      </w:r>
      <w:r w:rsidR="00D86179">
        <w:rPr>
          <w:color w:val="000000"/>
        </w:rPr>
        <w:t xml:space="preserve">proposed </w:t>
      </w:r>
      <w:r w:rsidR="006D532B">
        <w:rPr>
          <w:color w:val="000000"/>
        </w:rPr>
        <w:t xml:space="preserve">revisions to </w:t>
      </w:r>
      <w:r w:rsidR="00D86179">
        <w:rPr>
          <w:color w:val="000000"/>
        </w:rPr>
        <w:t>XXX</w:t>
      </w:r>
      <w:r w:rsidR="001D376B">
        <w:rPr>
          <w:color w:val="000000"/>
        </w:rPr>
        <w:t xml:space="preserve">. </w:t>
      </w:r>
      <w:r>
        <w:t>The facilit</w:t>
      </w:r>
      <w:r w:rsidR="001D376B">
        <w:t>ies</w:t>
      </w:r>
      <w:r>
        <w:t xml:space="preserve"> subject to this rule h</w:t>
      </w:r>
      <w:r w:rsidR="00B832FF">
        <w:t>ave</w:t>
      </w:r>
      <w:r>
        <w:t xml:space="preserve"> the ability to comply with the reporting requirements electronically.</w:t>
      </w:r>
    </w:p>
    <w:p w14:paraId="2548126C" w14:textId="77777777" w:rsidR="00C713B7" w:rsidRDefault="00C713B7" w:rsidP="00FA2D94">
      <w:pPr>
        <w:spacing w:after="240" w:line="276" w:lineRule="auto"/>
        <w:ind w:firstLine="720"/>
      </w:pPr>
      <w:r>
        <w:t>The burden to respondents is calculated in Table</w:t>
      </w:r>
      <w:r w:rsidR="00CC69E2">
        <w:t>s</w:t>
      </w:r>
      <w:r>
        <w:t xml:space="preserve"> </w:t>
      </w:r>
      <w:r>
        <w:rPr>
          <w:rFonts w:cs="Shruti"/>
        </w:rPr>
        <w:t>1</w:t>
      </w:r>
      <w:r w:rsidR="00CC69E2">
        <w:rPr>
          <w:rFonts w:cs="Shruti"/>
        </w:rPr>
        <w:t>, 2, and 3 of Attachment 1</w:t>
      </w:r>
      <w:r>
        <w:rPr>
          <w:rFonts w:cs="Shruti"/>
        </w:rPr>
        <w:t xml:space="preserve">: Annual Respondent Burden and Cost </w:t>
      </w:r>
      <w:r w:rsidR="00B832FF">
        <w:rPr>
          <w:rFonts w:cs="Shruti"/>
        </w:rPr>
        <w:t>of</w:t>
      </w:r>
      <w:r w:rsidR="003B31A2">
        <w:rPr>
          <w:rFonts w:cs="Shruti"/>
        </w:rPr>
        <w:t xml:space="preserve"> Reporting and Recordkeeping </w:t>
      </w:r>
      <w:r>
        <w:t>for Ferroalloys Production: Ferromanganese and Silicomanganese.</w:t>
      </w:r>
      <w:r w:rsidR="00A30540">
        <w:t xml:space="preserve"> </w:t>
      </w:r>
      <w:r>
        <w:t xml:space="preserve">Since this regulation only affects the </w:t>
      </w:r>
      <w:r w:rsidR="006821C0">
        <w:t xml:space="preserve">ferroalloys production </w:t>
      </w:r>
      <w:r>
        <w:t>industry, the burden to the “Federal Government” is attributed entirely to work performed by Federal employees or government contractor</w:t>
      </w:r>
      <w:r w:rsidR="00696CCD">
        <w:t>s</w:t>
      </w:r>
      <w:r>
        <w:t>.</w:t>
      </w:r>
      <w:r w:rsidR="00A30540">
        <w:t xml:space="preserve"> </w:t>
      </w:r>
      <w:r>
        <w:t xml:space="preserve">This burden is calculated in </w:t>
      </w:r>
      <w:r>
        <w:rPr>
          <w:rFonts w:cs="Shruti"/>
        </w:rPr>
        <w:t>Ta</w:t>
      </w:r>
      <w:r>
        <w:rPr>
          <w:rFonts w:cs="Shruti"/>
          <w:color w:val="000000"/>
        </w:rPr>
        <w:t>ble</w:t>
      </w:r>
      <w:r w:rsidR="00CC69E2">
        <w:rPr>
          <w:rFonts w:cs="Shruti"/>
          <w:color w:val="000000"/>
        </w:rPr>
        <w:t>s</w:t>
      </w:r>
      <w:r>
        <w:rPr>
          <w:rFonts w:cs="Shruti"/>
          <w:color w:val="000000"/>
        </w:rPr>
        <w:t xml:space="preserve"> </w:t>
      </w:r>
      <w:r w:rsidR="00CC69E2">
        <w:rPr>
          <w:rFonts w:cs="Shruti"/>
          <w:color w:val="000000"/>
        </w:rPr>
        <w:t>5, 6, and 7 of Attachment 1</w:t>
      </w:r>
      <w:r>
        <w:rPr>
          <w:rFonts w:cs="Shruti"/>
          <w:color w:val="000000"/>
        </w:rPr>
        <w:t xml:space="preserve">: Annual Burden and Cost to the Federal Government </w:t>
      </w:r>
      <w:r>
        <w:t>for Ferroalloys Production: Ferromanganese and Silicomanganese</w:t>
      </w:r>
      <w:r w:rsidR="00CC69E2">
        <w:rPr>
          <w:rFonts w:cs="Shruti"/>
          <w:color w:val="000000"/>
        </w:rPr>
        <w:t>.</w:t>
      </w:r>
    </w:p>
    <w:p w14:paraId="58F77E51"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color w:val="000000"/>
        </w:rPr>
      </w:pPr>
      <w:r>
        <w:rPr>
          <w:b/>
          <w:bCs/>
          <w:color w:val="000000"/>
        </w:rPr>
        <w:t>2.</w:t>
      </w:r>
      <w:r w:rsidR="00A30540">
        <w:rPr>
          <w:b/>
          <w:bCs/>
          <w:color w:val="000000"/>
        </w:rPr>
        <w:t xml:space="preserve"> </w:t>
      </w:r>
      <w:r>
        <w:rPr>
          <w:b/>
          <w:bCs/>
          <w:color w:val="000000"/>
        </w:rPr>
        <w:t>Need for and Use of the Collection</w:t>
      </w:r>
    </w:p>
    <w:p w14:paraId="29B5D566"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2(a)</w:t>
      </w:r>
      <w:r w:rsidR="00A30540">
        <w:rPr>
          <w:b/>
          <w:bCs/>
          <w:color w:val="000000"/>
        </w:rPr>
        <w:t xml:space="preserve"> </w:t>
      </w:r>
      <w:r>
        <w:rPr>
          <w:b/>
          <w:bCs/>
          <w:color w:val="000000"/>
        </w:rPr>
        <w:t>Need/Authority for the Collection</w:t>
      </w:r>
    </w:p>
    <w:p w14:paraId="3FC87A14" w14:textId="77777777" w:rsidR="006821C0" w:rsidRDefault="006821C0" w:rsidP="00FA2D94">
      <w:pPr>
        <w:pBdr>
          <w:top w:val="single" w:sz="6" w:space="0" w:color="FFFFFF"/>
          <w:left w:val="single" w:sz="6" w:space="0" w:color="FFFFFF"/>
          <w:bottom w:val="single" w:sz="6" w:space="0" w:color="FFFFFF"/>
          <w:right w:val="single" w:sz="6" w:space="0" w:color="FFFFFF"/>
        </w:pBdr>
        <w:spacing w:after="240" w:line="276" w:lineRule="auto"/>
        <w:ind w:firstLine="720"/>
      </w:pPr>
      <w:r w:rsidRPr="006821C0">
        <w:t xml:space="preserve">Section 112 of the Clean Air Act (CAA) requires </w:t>
      </w:r>
      <w:r>
        <w:t xml:space="preserve">the </w:t>
      </w:r>
      <w:r w:rsidRPr="006821C0">
        <w:t>EPA to establish NESHAP for both major</w:t>
      </w:r>
      <w:r>
        <w:t xml:space="preserve"> </w:t>
      </w:r>
      <w:r w:rsidRPr="006821C0">
        <w:t>and area sources of HAP that are listed for regulation under CAA section 112(c). A major source</w:t>
      </w:r>
      <w:r>
        <w:t xml:space="preserve"> </w:t>
      </w:r>
      <w:r w:rsidRPr="006821C0">
        <w:t>is a stationary source that emits or has the potential to emit more than 10 tons per year (tpy) of any</w:t>
      </w:r>
      <w:r>
        <w:t xml:space="preserve"> </w:t>
      </w:r>
      <w:r w:rsidRPr="006821C0">
        <w:t>single HAP or more than 25 tpy of any combination of HAP. An area source is a stationary source</w:t>
      </w:r>
      <w:r>
        <w:t xml:space="preserve"> </w:t>
      </w:r>
      <w:r w:rsidRPr="006821C0">
        <w:t>that is not a major source (i.e., an area source does not emit and does not have the potential to emit</w:t>
      </w:r>
      <w:r>
        <w:t xml:space="preserve"> </w:t>
      </w:r>
      <w:r w:rsidRPr="006821C0">
        <w:t>more than 10 tpy of any single HAP and more than 25 tpy of any combination of HAP). For major</w:t>
      </w:r>
      <w:r>
        <w:t xml:space="preserve"> </w:t>
      </w:r>
      <w:r w:rsidRPr="006821C0">
        <w:t>sources, these technology-based standards must reflect the maximum degree of emission reductions</w:t>
      </w:r>
      <w:r>
        <w:t xml:space="preserve"> </w:t>
      </w:r>
      <w:r w:rsidRPr="006821C0">
        <w:t>of HAP achievable (after considering cost, energy requirements, and non-air quality health and</w:t>
      </w:r>
      <w:r>
        <w:t xml:space="preserve"> </w:t>
      </w:r>
      <w:r w:rsidRPr="006821C0">
        <w:t>environmental impacts) and are commonly referred to as maximum achievable control technology</w:t>
      </w:r>
      <w:r>
        <w:t xml:space="preserve"> </w:t>
      </w:r>
      <w:r w:rsidRPr="006821C0">
        <w:t xml:space="preserve">(MACT) standards. Section 112(d)(6) requires </w:t>
      </w:r>
      <w:r>
        <w:t xml:space="preserve">the </w:t>
      </w:r>
      <w:r w:rsidRPr="006821C0">
        <w:t>EPA to review these technology-based standards</w:t>
      </w:r>
      <w:r>
        <w:t xml:space="preserve"> </w:t>
      </w:r>
      <w:r w:rsidRPr="006821C0">
        <w:t>and to revise them “as necessary (taking into account developments in practices, processes, and</w:t>
      </w:r>
      <w:r>
        <w:t xml:space="preserve"> </w:t>
      </w:r>
      <w:r w:rsidRPr="006821C0">
        <w:t>control technologies)” no less frequently than every 8 years. In addition, section 112(f) of the CAA</w:t>
      </w:r>
      <w:r>
        <w:t xml:space="preserve"> </w:t>
      </w:r>
      <w:r w:rsidRPr="006821C0">
        <w:t xml:space="preserve">requires </w:t>
      </w:r>
      <w:r>
        <w:t xml:space="preserve">the </w:t>
      </w:r>
      <w:r w:rsidRPr="006821C0">
        <w:t>EPA to determine for source categories subject to certain CAA section 112(d) standards</w:t>
      </w:r>
      <w:r>
        <w:t xml:space="preserve"> </w:t>
      </w:r>
      <w:r w:rsidRPr="006821C0">
        <w:t>whether the emissions limitations provide an ample margin of safety to protect public health. For</w:t>
      </w:r>
      <w:r>
        <w:t xml:space="preserve"> </w:t>
      </w:r>
      <w:r w:rsidRPr="006821C0">
        <w:t>MACT standards for HAP “classified as a known, probable, or possible human carcinogen" that</w:t>
      </w:r>
      <w:r>
        <w:t xml:space="preserve"> </w:t>
      </w:r>
      <w:r w:rsidRPr="006821C0">
        <w:t>"do not reduce lifetime excess cancer risks to the individual most exposed to emissions from a</w:t>
      </w:r>
      <w:r>
        <w:t xml:space="preserve"> </w:t>
      </w:r>
      <w:r w:rsidRPr="006821C0">
        <w:t xml:space="preserve">source in the category or subcategory to less than 1-in-1 million,” </w:t>
      </w:r>
      <w:r w:rsidR="00B832FF">
        <w:t>t</w:t>
      </w:r>
      <w:r>
        <w:t xml:space="preserve">he </w:t>
      </w:r>
      <w:r w:rsidRPr="006821C0">
        <w:t>EPA must promulgate residual</w:t>
      </w:r>
      <w:r>
        <w:t xml:space="preserve"> </w:t>
      </w:r>
      <w:r w:rsidRPr="006821C0">
        <w:t>risk standards for the source category (or subcategory) as necessary to provide an ample margin of</w:t>
      </w:r>
      <w:r>
        <w:t xml:space="preserve"> </w:t>
      </w:r>
      <w:r w:rsidRPr="006821C0">
        <w:t xml:space="preserve">safety to protect </w:t>
      </w:r>
      <w:r w:rsidRPr="006821C0">
        <w:lastRenderedPageBreak/>
        <w:t xml:space="preserve">public health. In doing so, </w:t>
      </w:r>
      <w:r>
        <w:t xml:space="preserve">the </w:t>
      </w:r>
      <w:r w:rsidRPr="006821C0">
        <w:t>EPA may adopt standards equal to existing MACT</w:t>
      </w:r>
      <w:r>
        <w:t xml:space="preserve"> </w:t>
      </w:r>
      <w:r w:rsidRPr="006821C0">
        <w:t xml:space="preserve">standards, if </w:t>
      </w:r>
      <w:r>
        <w:t xml:space="preserve">the </w:t>
      </w:r>
      <w:r w:rsidRPr="006821C0">
        <w:t xml:space="preserve">EPA determines that the existing standards are sufficiently protective. </w:t>
      </w:r>
      <w:r>
        <w:t xml:space="preserve">The </w:t>
      </w:r>
      <w:r w:rsidRPr="006821C0">
        <w:t>EPA must also</w:t>
      </w:r>
      <w:r>
        <w:t xml:space="preserve"> </w:t>
      </w:r>
      <w:r w:rsidRPr="006821C0">
        <w:t>adopt more stringent standards, if necessary, to prevent an adverse environmental effect, but must</w:t>
      </w:r>
      <w:r>
        <w:t xml:space="preserve"> </w:t>
      </w:r>
      <w:r w:rsidRPr="006821C0">
        <w:t>consider cost, energy, safety, and other relevant factors in doing so.</w:t>
      </w:r>
    </w:p>
    <w:p w14:paraId="09002ACF" w14:textId="77777777" w:rsidR="00C713B7" w:rsidRDefault="006821C0" w:rsidP="00FA2D94">
      <w:pPr>
        <w:pBdr>
          <w:top w:val="single" w:sz="6" w:space="0" w:color="FFFFFF"/>
          <w:left w:val="single" w:sz="6" w:space="0" w:color="FFFFFF"/>
          <w:bottom w:val="single" w:sz="6" w:space="0" w:color="FFFFFF"/>
          <w:right w:val="single" w:sz="6" w:space="0" w:color="FFFFFF"/>
        </w:pBdr>
        <w:spacing w:after="240" w:line="276" w:lineRule="auto"/>
        <w:ind w:firstLine="720"/>
      </w:pPr>
      <w:r w:rsidRPr="006821C0">
        <w:t>Certain records and reports are necessary for the Administrator to confirm the compliance</w:t>
      </w:r>
      <w:r>
        <w:t xml:space="preserve"> </w:t>
      </w:r>
      <w:r w:rsidRPr="006821C0">
        <w:t>status of sources subject to NESHAP, identify any new or reconstructed sources subject to the</w:t>
      </w:r>
      <w:r>
        <w:t xml:space="preserve"> </w:t>
      </w:r>
      <w:r w:rsidRPr="006821C0">
        <w:t>standards, and confirm that the standards are being achieved on a continuous basis. These</w:t>
      </w:r>
      <w:r>
        <w:t xml:space="preserve"> </w:t>
      </w:r>
      <w:r w:rsidRPr="006821C0">
        <w:t>recordkeeping and reporting requirements are specifically authorized by section 114 of the Clean</w:t>
      </w:r>
      <w:r>
        <w:t xml:space="preserve"> </w:t>
      </w:r>
      <w:r w:rsidRPr="006821C0">
        <w:t>Air Act (42 U.S.C. 7414) and set out in the part 63 NESHAP General Provisions. The</w:t>
      </w:r>
      <w:r>
        <w:t xml:space="preserve"> </w:t>
      </w:r>
      <w:r w:rsidRPr="006821C0">
        <w:t>recordkeeping and reporting requirements for title V permits are contained in 40 CFR 70.6 and 40</w:t>
      </w:r>
      <w:r>
        <w:t xml:space="preserve"> </w:t>
      </w:r>
      <w:r w:rsidRPr="006821C0">
        <w:t>CFR 71.6. Under parts 63 and 70 or 71, the owner or operator must keep each record for 5 years</w:t>
      </w:r>
      <w:r>
        <w:t xml:space="preserve"> </w:t>
      </w:r>
      <w:r w:rsidRPr="006821C0">
        <w:t>following the date of each occurrence, measurement, maintenance, corrective action, report, or</w:t>
      </w:r>
      <w:r>
        <w:t xml:space="preserve"> </w:t>
      </w:r>
      <w:r w:rsidRPr="006821C0">
        <w:t>record.</w:t>
      </w:r>
      <w:r>
        <w:t xml:space="preserve"> </w:t>
      </w:r>
    </w:p>
    <w:p w14:paraId="6676FCFF"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2(b)</w:t>
      </w:r>
      <w:r w:rsidR="00A30540">
        <w:rPr>
          <w:b/>
          <w:bCs/>
          <w:color w:val="000000"/>
        </w:rPr>
        <w:t xml:space="preserve"> </w:t>
      </w:r>
      <w:r>
        <w:rPr>
          <w:b/>
          <w:bCs/>
          <w:color w:val="000000"/>
        </w:rPr>
        <w:t>Practical Utility/Users of the Data</w:t>
      </w:r>
    </w:p>
    <w:p w14:paraId="7DD4AC82"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The recordkeeping and reporting requirements in the standards ensure compliance with the applicable regulations which where promulgated in accordance with the Clean Air Act.</w:t>
      </w:r>
      <w:r w:rsidR="00A30540">
        <w:rPr>
          <w:color w:val="000000"/>
        </w:rPr>
        <w:t xml:space="preserve"> </w:t>
      </w:r>
      <w:r>
        <w:rPr>
          <w:color w:val="000000"/>
        </w:rPr>
        <w:t>The collected information is also used for targeting inspections and as evidence in legal proceedings.</w:t>
      </w:r>
    </w:p>
    <w:p w14:paraId="62EAEA51" w14:textId="77777777" w:rsidR="00C713B7" w:rsidRDefault="00C713B7" w:rsidP="00FA2D94">
      <w:pPr>
        <w:spacing w:after="240" w:line="276" w:lineRule="auto"/>
        <w:ind w:firstLine="720"/>
      </w:pPr>
      <w:r>
        <w:t>Performance tests for air pollution devices are required in order to determine an affected facility</w:t>
      </w:r>
      <w:r w:rsidR="002158B5">
        <w:t>’</w:t>
      </w:r>
      <w:r>
        <w:t>s initial capability to comply with the emission standards.</w:t>
      </w:r>
      <w:r w:rsidR="00A30540">
        <w:t xml:space="preserve"> </w:t>
      </w:r>
      <w:r>
        <w:t>Continuous emission monitors are used to ensure that the control equipment is operating properly and therefore, ensure compliance with the standards at all times.</w:t>
      </w:r>
      <w:r w:rsidR="00A30540">
        <w:t xml:space="preserve"> </w:t>
      </w:r>
      <w:r>
        <w:t>During the performance test, a record of the operating parameters under which compliance was achieved may be recorded and used to determine compliance in place of a continuous emission monitor.</w:t>
      </w:r>
    </w:p>
    <w:p w14:paraId="692BFF43" w14:textId="77777777" w:rsidR="00C713B7" w:rsidRDefault="00C713B7" w:rsidP="00FA2D94">
      <w:pPr>
        <w:spacing w:after="240" w:line="276" w:lineRule="auto"/>
        <w:ind w:firstLine="720"/>
      </w:pPr>
      <w:r>
        <w:t>The notifications required in the standards are used to inform the Agency or delegated authority when a source becomes subject to the requirements of the regulations.</w:t>
      </w:r>
      <w:r w:rsidR="00A30540">
        <w:t xml:space="preserve"> </w:t>
      </w:r>
      <w:r>
        <w:t>The reviewing authority may then inspect the source to ensure that the pollution control devices are properly installed and operated; that leaks are being detected and repaired; and that the standards are being met.</w:t>
      </w:r>
      <w:r w:rsidR="00A30540">
        <w:t xml:space="preserve"> </w:t>
      </w:r>
      <w:r>
        <w:t>The performance test may also be observed.</w:t>
      </w:r>
    </w:p>
    <w:p w14:paraId="57ECA560" w14:textId="77777777" w:rsidR="00C713B7" w:rsidRDefault="00C713B7" w:rsidP="00FA2D94">
      <w:pPr>
        <w:spacing w:after="240" w:line="276" w:lineRule="auto"/>
        <w:ind w:firstLine="720"/>
      </w:pPr>
      <w:r>
        <w:t>The required semiannual compliance status reports and quarterly excess emissions reports are used to determine periods of excess emissions, identify problems at the facility, verify operation/maintenance procedures and for compliance determinations.</w:t>
      </w:r>
    </w:p>
    <w:p w14:paraId="2C912D44" w14:textId="77777777" w:rsidR="00B832FF" w:rsidRDefault="00B832FF">
      <w:pPr>
        <w:widowControl/>
        <w:autoSpaceDE/>
        <w:autoSpaceDN/>
        <w:adjustRightInd/>
        <w:rPr>
          <w:b/>
          <w:bCs/>
          <w:color w:val="000000"/>
        </w:rPr>
      </w:pPr>
      <w:r>
        <w:rPr>
          <w:b/>
          <w:bCs/>
          <w:color w:val="000000"/>
        </w:rPr>
        <w:br w:type="page"/>
      </w:r>
    </w:p>
    <w:p w14:paraId="588257ED" w14:textId="77777777" w:rsidR="00C713B7" w:rsidRDefault="00C713B7" w:rsidP="00B832FF">
      <w:pPr>
        <w:pBdr>
          <w:top w:val="single" w:sz="6" w:space="0" w:color="FFFFFF"/>
          <w:left w:val="single" w:sz="6" w:space="0" w:color="FFFFFF"/>
          <w:bottom w:val="single" w:sz="6" w:space="0" w:color="FFFFFF"/>
          <w:right w:val="single" w:sz="6" w:space="0" w:color="FFFFFF"/>
        </w:pBdr>
        <w:spacing w:after="240" w:line="276" w:lineRule="auto"/>
        <w:ind w:left="720" w:firstLine="14"/>
        <w:rPr>
          <w:b/>
          <w:bCs/>
          <w:color w:val="000000"/>
        </w:rPr>
      </w:pPr>
      <w:r>
        <w:rPr>
          <w:b/>
          <w:bCs/>
          <w:color w:val="000000"/>
        </w:rPr>
        <w:lastRenderedPageBreak/>
        <w:t>3.</w:t>
      </w:r>
      <w:r w:rsidR="00A30540">
        <w:rPr>
          <w:b/>
          <w:bCs/>
          <w:color w:val="000000"/>
        </w:rPr>
        <w:t xml:space="preserve"> </w:t>
      </w:r>
      <w:r>
        <w:rPr>
          <w:b/>
          <w:bCs/>
          <w:color w:val="000000"/>
        </w:rPr>
        <w:t>Non</w:t>
      </w:r>
      <w:r w:rsidR="00954AC4">
        <w:rPr>
          <w:b/>
          <w:bCs/>
          <w:color w:val="000000"/>
        </w:rPr>
        <w:t>-</w:t>
      </w:r>
      <w:r>
        <w:rPr>
          <w:b/>
          <w:bCs/>
          <w:color w:val="000000"/>
        </w:rPr>
        <w:t>duplication, Consultations, and Other Collection Criteria</w:t>
      </w:r>
    </w:p>
    <w:p w14:paraId="1B741137" w14:textId="77777777" w:rsidR="00C713B7" w:rsidRDefault="00C65AB6" w:rsidP="00FA2D94">
      <w:pPr>
        <w:spacing w:after="240" w:line="276" w:lineRule="auto"/>
        <w:ind w:firstLine="720"/>
        <w:rPr>
          <w:b/>
          <w:bCs/>
          <w:color w:val="000000"/>
        </w:rPr>
      </w:pPr>
      <w:r w:rsidRPr="00481723">
        <w:t xml:space="preserve">A computer search of </w:t>
      </w:r>
      <w:r>
        <w:t xml:space="preserve">the </w:t>
      </w:r>
      <w:r w:rsidRPr="00481723">
        <w:t>EPA</w:t>
      </w:r>
      <w:r>
        <w:t>’</w:t>
      </w:r>
      <w:r w:rsidRPr="00481723">
        <w:t xml:space="preserve">s ongoing </w:t>
      </w:r>
      <w:r w:rsidRPr="00AC6F60">
        <w:t>ICR</w:t>
      </w:r>
      <w:r w:rsidRPr="00481723">
        <w:t>s revealed no duplication of information-gathering efforts.</w:t>
      </w:r>
    </w:p>
    <w:p w14:paraId="4EC536F5"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3(a)</w:t>
      </w:r>
      <w:r w:rsidR="00A30540">
        <w:rPr>
          <w:b/>
          <w:bCs/>
          <w:color w:val="000000"/>
        </w:rPr>
        <w:t xml:space="preserve"> </w:t>
      </w:r>
      <w:r>
        <w:rPr>
          <w:b/>
          <w:bCs/>
          <w:color w:val="000000"/>
        </w:rPr>
        <w:t>Non</w:t>
      </w:r>
      <w:r w:rsidR="00954AC4">
        <w:rPr>
          <w:b/>
          <w:bCs/>
          <w:color w:val="000000"/>
        </w:rPr>
        <w:t>-</w:t>
      </w:r>
      <w:r>
        <w:rPr>
          <w:b/>
          <w:bCs/>
          <w:color w:val="000000"/>
        </w:rPr>
        <w:t>duplication</w:t>
      </w:r>
    </w:p>
    <w:p w14:paraId="7EDA35E2"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If the subject standards have not been delegated, the information is sent directly to the appropriate EPA regional office.</w:t>
      </w:r>
      <w:r w:rsidR="00A30540">
        <w:rPr>
          <w:color w:val="000000"/>
        </w:rPr>
        <w:t xml:space="preserve"> </w:t>
      </w:r>
      <w:r>
        <w:rPr>
          <w:color w:val="000000"/>
        </w:rPr>
        <w:t>Otherwise, the information is sent directly to the delegated state or local agency.</w:t>
      </w:r>
      <w:r w:rsidR="00A30540">
        <w:rPr>
          <w:color w:val="000000"/>
        </w:rPr>
        <w:t xml:space="preserve"> </w:t>
      </w:r>
      <w:r>
        <w:rPr>
          <w:color w:val="000000"/>
        </w:rPr>
        <w:t xml:space="preserve">If a state or local agency has adopted its own similar standards to implement the </w:t>
      </w:r>
      <w:r w:rsidR="00B832FF">
        <w:rPr>
          <w:color w:val="000000"/>
        </w:rPr>
        <w:t>f</w:t>
      </w:r>
      <w:r>
        <w:rPr>
          <w:color w:val="000000"/>
        </w:rPr>
        <w:t xml:space="preserve">ederal standards, a copy of the report submitted to the state or local agency can be sent to the Administrator in lieu of the report required by the </w:t>
      </w:r>
      <w:r w:rsidR="00B832FF">
        <w:rPr>
          <w:color w:val="000000"/>
        </w:rPr>
        <w:t>f</w:t>
      </w:r>
      <w:r>
        <w:rPr>
          <w:color w:val="000000"/>
        </w:rPr>
        <w:t>ederal standards.</w:t>
      </w:r>
      <w:r w:rsidR="00A30540">
        <w:rPr>
          <w:color w:val="000000"/>
        </w:rPr>
        <w:t xml:space="preserve"> </w:t>
      </w:r>
      <w:r>
        <w:rPr>
          <w:color w:val="000000"/>
        </w:rPr>
        <w:t>Therefore, no duplication exists.</w:t>
      </w:r>
    </w:p>
    <w:p w14:paraId="145219FD"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3(b)</w:t>
      </w:r>
      <w:r w:rsidR="00A30540">
        <w:rPr>
          <w:b/>
          <w:bCs/>
          <w:color w:val="000000"/>
        </w:rPr>
        <w:t xml:space="preserve"> </w:t>
      </w:r>
      <w:r>
        <w:rPr>
          <w:b/>
          <w:bCs/>
          <w:color w:val="000000"/>
        </w:rPr>
        <w:t>Public Notice Required Prior to ICR Submission to OMB</w:t>
      </w:r>
    </w:p>
    <w:p w14:paraId="2CBBAE31" w14:textId="77777777" w:rsidR="00C713B7" w:rsidRDefault="00416235"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t>The preamble to the proposed rule will provide public notice</w:t>
      </w:r>
      <w:r w:rsidR="00C713B7">
        <w:t>.</w:t>
      </w:r>
    </w:p>
    <w:p w14:paraId="371658E1"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3(c)</w:t>
      </w:r>
      <w:r w:rsidR="00A30540">
        <w:rPr>
          <w:b/>
          <w:bCs/>
          <w:color w:val="000000"/>
        </w:rPr>
        <w:t xml:space="preserve"> </w:t>
      </w:r>
      <w:r>
        <w:rPr>
          <w:b/>
          <w:bCs/>
          <w:color w:val="000000"/>
        </w:rPr>
        <w:t>Consultations</w:t>
      </w:r>
    </w:p>
    <w:p w14:paraId="6F5C89B9" w14:textId="77777777" w:rsidR="00C65AB6" w:rsidRDefault="00C65AB6" w:rsidP="00FA2D94">
      <w:pPr>
        <w:widowControl/>
        <w:spacing w:after="240" w:line="276" w:lineRule="auto"/>
        <w:ind w:firstLine="720"/>
      </w:pPr>
      <w:r w:rsidRPr="00481723">
        <w:t xml:space="preserve">The </w:t>
      </w:r>
      <w:r>
        <w:t>proposed rule</w:t>
      </w:r>
      <w:r w:rsidRPr="00481723">
        <w:t xml:space="preserve"> </w:t>
      </w:r>
      <w:r>
        <w:t xml:space="preserve">amendments were </w:t>
      </w:r>
      <w:r w:rsidRPr="00481723">
        <w:t xml:space="preserve">developed </w:t>
      </w:r>
      <w:r>
        <w:t xml:space="preserve">using extensive </w:t>
      </w:r>
      <w:r w:rsidRPr="00481723">
        <w:t xml:space="preserve">consultation with individual </w:t>
      </w:r>
      <w:r>
        <w:t>companies and s</w:t>
      </w:r>
      <w:r w:rsidRPr="00481723">
        <w:t xml:space="preserve">tate agencies. </w:t>
      </w:r>
      <w:r w:rsidR="00FA2D94">
        <w:t xml:space="preserve">Several of the </w:t>
      </w:r>
      <w:r>
        <w:t xml:space="preserve">key </w:t>
      </w:r>
      <w:r w:rsidRPr="00481723">
        <w:t xml:space="preserve">non-EPA persons consulted on the information collection activities are identified in Table </w:t>
      </w:r>
      <w:r w:rsidR="004606BD">
        <w:t>1</w:t>
      </w:r>
      <w:r w:rsidRPr="00481723">
        <w:t>.</w:t>
      </w:r>
      <w:r>
        <w:t xml:space="preserve"> </w:t>
      </w:r>
      <w:r w:rsidR="00FA2D94">
        <w:t>Additional meetings and contacts are documented in the project docket for this proposed rule, Docket No. EPA-HQ-OAR-2009-0734.</w:t>
      </w:r>
    </w:p>
    <w:p w14:paraId="4C1C842E" w14:textId="77777777" w:rsidR="00C65AB6" w:rsidRPr="00C65AB6" w:rsidRDefault="00C65AB6" w:rsidP="001A7872">
      <w:pPr>
        <w:spacing w:after="240" w:line="276" w:lineRule="auto"/>
        <w:jc w:val="center"/>
        <w:rPr>
          <w:b/>
        </w:rPr>
      </w:pPr>
      <w:r w:rsidRPr="00C65AB6">
        <w:rPr>
          <w:b/>
        </w:rPr>
        <w:t xml:space="preserve">TABLE </w:t>
      </w:r>
      <w:r w:rsidR="001A7872">
        <w:rPr>
          <w:b/>
        </w:rPr>
        <w:t>1</w:t>
      </w:r>
      <w:r w:rsidRPr="00C65AB6">
        <w:rPr>
          <w:b/>
        </w:rPr>
        <w:t xml:space="preserve">. </w:t>
      </w:r>
      <w:r w:rsidR="001A7872">
        <w:rPr>
          <w:b/>
        </w:rPr>
        <w:t xml:space="preserve"> </w:t>
      </w:r>
      <w:r w:rsidRPr="00C65AB6">
        <w:rPr>
          <w:b/>
        </w:rPr>
        <w:t>P</w:t>
      </w:r>
      <w:r w:rsidR="001A7872">
        <w:rPr>
          <w:b/>
        </w:rPr>
        <w:t>ERSONS</w:t>
      </w:r>
      <w:r w:rsidRPr="00C65AB6">
        <w:rPr>
          <w:b/>
        </w:rPr>
        <w:t xml:space="preserve"> CONSULTED ON THE INFORMATION COLLECTION ACTIVITIES</w:t>
      </w:r>
    </w:p>
    <w:tbl>
      <w:tblPr>
        <w:tblW w:w="4938" w:type="pct"/>
        <w:jc w:val="center"/>
        <w:tblCellMar>
          <w:left w:w="120" w:type="dxa"/>
          <w:right w:w="120" w:type="dxa"/>
        </w:tblCellMar>
        <w:tblLook w:val="0000" w:firstRow="0" w:lastRow="0" w:firstColumn="0" w:lastColumn="0" w:noHBand="0" w:noVBand="0"/>
      </w:tblPr>
      <w:tblGrid>
        <w:gridCol w:w="2061"/>
        <w:gridCol w:w="4691"/>
        <w:gridCol w:w="2447"/>
      </w:tblGrid>
      <w:tr w:rsidR="00C65AB6" w:rsidRPr="005463CA" w14:paraId="127A4894" w14:textId="77777777" w:rsidTr="001A7872">
        <w:trPr>
          <w:cantSplit/>
          <w:tblHeader/>
          <w:jc w:val="center"/>
        </w:trPr>
        <w:tc>
          <w:tcPr>
            <w:tcW w:w="1120" w:type="pct"/>
            <w:tcBorders>
              <w:top w:val="double" w:sz="6" w:space="0" w:color="000000"/>
              <w:left w:val="double" w:sz="6" w:space="0" w:color="000000"/>
              <w:bottom w:val="single" w:sz="6" w:space="0" w:color="000000"/>
              <w:right w:val="nil"/>
            </w:tcBorders>
            <w:vAlign w:val="bottom"/>
          </w:tcPr>
          <w:p w14:paraId="7D07A9DB" w14:textId="77777777" w:rsidR="00C65AB6" w:rsidRPr="00C65AB6" w:rsidRDefault="00C65AB6" w:rsidP="00FA2D94">
            <w:pPr>
              <w:jc w:val="center"/>
              <w:rPr>
                <w:b/>
              </w:rPr>
            </w:pPr>
            <w:r w:rsidRPr="00C65AB6">
              <w:rPr>
                <w:b/>
              </w:rPr>
              <w:t>Contact</w:t>
            </w:r>
          </w:p>
        </w:tc>
        <w:tc>
          <w:tcPr>
            <w:tcW w:w="2550" w:type="pct"/>
            <w:tcBorders>
              <w:top w:val="double" w:sz="6" w:space="0" w:color="000000"/>
              <w:left w:val="single" w:sz="6" w:space="0" w:color="000000"/>
              <w:bottom w:val="single" w:sz="6" w:space="0" w:color="000000"/>
              <w:right w:val="nil"/>
            </w:tcBorders>
            <w:vAlign w:val="bottom"/>
          </w:tcPr>
          <w:p w14:paraId="2A0C2BE6" w14:textId="77777777" w:rsidR="00C65AB6" w:rsidRPr="005463CA" w:rsidRDefault="00C65AB6" w:rsidP="00FA2D94">
            <w:pPr>
              <w:keepNext/>
              <w:widowControl/>
              <w:jc w:val="center"/>
              <w:rPr>
                <w:b/>
              </w:rPr>
            </w:pPr>
            <w:r w:rsidRPr="005463CA">
              <w:rPr>
                <w:b/>
              </w:rPr>
              <w:t>Organization</w:t>
            </w:r>
          </w:p>
        </w:tc>
        <w:tc>
          <w:tcPr>
            <w:tcW w:w="1330" w:type="pct"/>
            <w:tcBorders>
              <w:top w:val="double" w:sz="6" w:space="0" w:color="000000"/>
              <w:left w:val="single" w:sz="6" w:space="0" w:color="000000"/>
              <w:bottom w:val="single" w:sz="6" w:space="0" w:color="000000"/>
              <w:right w:val="double" w:sz="6" w:space="0" w:color="000000"/>
            </w:tcBorders>
            <w:vAlign w:val="bottom"/>
          </w:tcPr>
          <w:p w14:paraId="2FFCDB6A" w14:textId="77777777" w:rsidR="00C65AB6" w:rsidRPr="005463CA" w:rsidRDefault="00C65AB6" w:rsidP="00FA2D94">
            <w:pPr>
              <w:keepNext/>
              <w:widowControl/>
              <w:jc w:val="center"/>
              <w:rPr>
                <w:b/>
              </w:rPr>
            </w:pPr>
            <w:r w:rsidRPr="005463CA">
              <w:rPr>
                <w:b/>
              </w:rPr>
              <w:t>Telephone Number</w:t>
            </w:r>
          </w:p>
        </w:tc>
      </w:tr>
      <w:tr w:rsidR="00C65AB6" w:rsidRPr="005463CA" w14:paraId="64DD80B4" w14:textId="77777777" w:rsidTr="001A7872">
        <w:trPr>
          <w:cantSplit/>
          <w:jc w:val="center"/>
        </w:trPr>
        <w:tc>
          <w:tcPr>
            <w:tcW w:w="1120" w:type="pct"/>
            <w:tcBorders>
              <w:top w:val="single" w:sz="6" w:space="0" w:color="000000"/>
              <w:left w:val="double" w:sz="6" w:space="0" w:color="000000"/>
              <w:bottom w:val="single" w:sz="6" w:space="0" w:color="000000"/>
              <w:right w:val="nil"/>
            </w:tcBorders>
          </w:tcPr>
          <w:p w14:paraId="783F0BC9" w14:textId="77777777" w:rsidR="00C65AB6" w:rsidRPr="005463CA" w:rsidRDefault="00C65AB6" w:rsidP="00FA2D94">
            <w:pPr>
              <w:widowControl/>
            </w:pPr>
            <w:r>
              <w:t>Jeffrey McKinney</w:t>
            </w:r>
          </w:p>
        </w:tc>
        <w:tc>
          <w:tcPr>
            <w:tcW w:w="2550" w:type="pct"/>
            <w:tcBorders>
              <w:top w:val="single" w:sz="6" w:space="0" w:color="000000"/>
              <w:left w:val="single" w:sz="6" w:space="0" w:color="000000"/>
              <w:bottom w:val="single" w:sz="6" w:space="0" w:color="000000"/>
              <w:right w:val="nil"/>
            </w:tcBorders>
          </w:tcPr>
          <w:p w14:paraId="25B41CCD" w14:textId="77777777" w:rsidR="00C65AB6" w:rsidRPr="005463CA" w:rsidRDefault="00C65AB6" w:rsidP="00FA2D94">
            <w:pPr>
              <w:widowControl/>
            </w:pPr>
            <w:r>
              <w:t>Eramet Marietta, Inc.</w:t>
            </w:r>
          </w:p>
        </w:tc>
        <w:tc>
          <w:tcPr>
            <w:tcW w:w="1330" w:type="pct"/>
            <w:tcBorders>
              <w:top w:val="single" w:sz="6" w:space="0" w:color="000000"/>
              <w:left w:val="single" w:sz="6" w:space="0" w:color="000000"/>
              <w:bottom w:val="single" w:sz="6" w:space="0" w:color="000000"/>
              <w:right w:val="double" w:sz="6" w:space="0" w:color="000000"/>
            </w:tcBorders>
          </w:tcPr>
          <w:p w14:paraId="09C1A4D7" w14:textId="77777777" w:rsidR="00C65AB6" w:rsidRPr="00C65AB6" w:rsidRDefault="00C65AB6" w:rsidP="00FA2D94">
            <w:pPr>
              <w:pStyle w:val="PlainText"/>
              <w:rPr>
                <w:rFonts w:ascii="Times New Roman" w:hAnsi="Times New Roman"/>
                <w:sz w:val="24"/>
                <w:szCs w:val="24"/>
              </w:rPr>
            </w:pPr>
            <w:r w:rsidRPr="00C65AB6">
              <w:rPr>
                <w:rFonts w:ascii="Times New Roman" w:hAnsi="Times New Roman"/>
                <w:sz w:val="24"/>
                <w:szCs w:val="24"/>
              </w:rPr>
              <w:t>740-374-1143</w:t>
            </w:r>
          </w:p>
        </w:tc>
      </w:tr>
      <w:tr w:rsidR="00C65AB6" w:rsidRPr="005463CA" w14:paraId="300B08E1" w14:textId="77777777" w:rsidTr="001A7872">
        <w:trPr>
          <w:cantSplit/>
          <w:jc w:val="center"/>
        </w:trPr>
        <w:tc>
          <w:tcPr>
            <w:tcW w:w="1120" w:type="pct"/>
            <w:tcBorders>
              <w:top w:val="single" w:sz="6" w:space="0" w:color="000000"/>
              <w:left w:val="double" w:sz="6" w:space="0" w:color="000000"/>
              <w:bottom w:val="single" w:sz="6" w:space="0" w:color="000000"/>
              <w:right w:val="nil"/>
            </w:tcBorders>
          </w:tcPr>
          <w:p w14:paraId="209F66DD" w14:textId="77777777" w:rsidR="00C65AB6" w:rsidRPr="005463CA" w:rsidRDefault="006B40AD" w:rsidP="00FA2D94">
            <w:pPr>
              <w:widowControl/>
            </w:pPr>
            <w:r>
              <w:t>John Konrady</w:t>
            </w:r>
          </w:p>
        </w:tc>
        <w:tc>
          <w:tcPr>
            <w:tcW w:w="2550" w:type="pct"/>
            <w:tcBorders>
              <w:top w:val="single" w:sz="6" w:space="0" w:color="000000"/>
              <w:left w:val="single" w:sz="6" w:space="0" w:color="000000"/>
              <w:bottom w:val="single" w:sz="6" w:space="0" w:color="000000"/>
              <w:right w:val="nil"/>
            </w:tcBorders>
          </w:tcPr>
          <w:p w14:paraId="1E39EE39" w14:textId="77777777" w:rsidR="00C65AB6" w:rsidRPr="005463CA" w:rsidRDefault="00FA2D94" w:rsidP="00FA2D94">
            <w:pPr>
              <w:widowControl/>
            </w:pPr>
            <w:r>
              <w:t>Felman Production</w:t>
            </w:r>
          </w:p>
        </w:tc>
        <w:tc>
          <w:tcPr>
            <w:tcW w:w="1330" w:type="pct"/>
            <w:tcBorders>
              <w:top w:val="single" w:sz="6" w:space="0" w:color="000000"/>
              <w:left w:val="single" w:sz="6" w:space="0" w:color="000000"/>
              <w:bottom w:val="single" w:sz="6" w:space="0" w:color="000000"/>
              <w:right w:val="double" w:sz="6" w:space="0" w:color="000000"/>
            </w:tcBorders>
          </w:tcPr>
          <w:p w14:paraId="2F74D48E" w14:textId="69F701A2" w:rsidR="00C65AB6" w:rsidRPr="005463CA" w:rsidRDefault="00FA2D94" w:rsidP="005D0D08">
            <w:pPr>
              <w:widowControl/>
            </w:pPr>
            <w:r>
              <w:t>304-</w:t>
            </w:r>
            <w:r w:rsidR="00813E79">
              <w:t>882-1181</w:t>
            </w:r>
          </w:p>
        </w:tc>
      </w:tr>
      <w:tr w:rsidR="00C65AB6" w:rsidRPr="005463CA" w14:paraId="143C301A" w14:textId="77777777" w:rsidTr="001A7872">
        <w:trPr>
          <w:cantSplit/>
          <w:jc w:val="center"/>
        </w:trPr>
        <w:tc>
          <w:tcPr>
            <w:tcW w:w="1120" w:type="pct"/>
            <w:tcBorders>
              <w:top w:val="single" w:sz="6" w:space="0" w:color="000000"/>
              <w:left w:val="double" w:sz="6" w:space="0" w:color="000000"/>
              <w:bottom w:val="single" w:sz="6" w:space="0" w:color="000000"/>
              <w:right w:val="nil"/>
            </w:tcBorders>
          </w:tcPr>
          <w:p w14:paraId="3260698B" w14:textId="77777777" w:rsidR="00C65AB6" w:rsidRPr="005463CA" w:rsidRDefault="00FA2D94" w:rsidP="00FA2D94">
            <w:pPr>
              <w:widowControl/>
              <w:rPr>
                <w:lang w:val="it-IT"/>
              </w:rPr>
            </w:pPr>
            <w:r>
              <w:rPr>
                <w:lang w:val="it-IT"/>
              </w:rPr>
              <w:t>James Robertson</w:t>
            </w:r>
          </w:p>
        </w:tc>
        <w:tc>
          <w:tcPr>
            <w:tcW w:w="2550" w:type="pct"/>
            <w:tcBorders>
              <w:top w:val="single" w:sz="6" w:space="0" w:color="000000"/>
              <w:left w:val="single" w:sz="6" w:space="0" w:color="000000"/>
              <w:bottom w:val="single" w:sz="6" w:space="0" w:color="000000"/>
              <w:right w:val="nil"/>
            </w:tcBorders>
          </w:tcPr>
          <w:p w14:paraId="37BDD01D" w14:textId="77777777" w:rsidR="00C65AB6" w:rsidRPr="005463CA" w:rsidRDefault="00FA2D94" w:rsidP="00FA2D94">
            <w:pPr>
              <w:widowControl/>
              <w:rPr>
                <w:lang w:val="it-IT"/>
              </w:rPr>
            </w:pPr>
            <w:r>
              <w:rPr>
                <w:lang w:val="it-IT"/>
              </w:rPr>
              <w:t>West Virginia Department of Environmental Protection</w:t>
            </w:r>
          </w:p>
        </w:tc>
        <w:tc>
          <w:tcPr>
            <w:tcW w:w="1330" w:type="pct"/>
            <w:tcBorders>
              <w:top w:val="single" w:sz="6" w:space="0" w:color="000000"/>
              <w:left w:val="single" w:sz="6" w:space="0" w:color="000000"/>
              <w:bottom w:val="single" w:sz="6" w:space="0" w:color="000000"/>
              <w:right w:val="double" w:sz="6" w:space="0" w:color="000000"/>
            </w:tcBorders>
          </w:tcPr>
          <w:p w14:paraId="07E5C17B" w14:textId="77777777" w:rsidR="00C65AB6" w:rsidRPr="005463CA" w:rsidRDefault="00FA2D94" w:rsidP="006B40AD">
            <w:pPr>
              <w:widowControl/>
            </w:pPr>
            <w:r>
              <w:t>304-926-</w:t>
            </w:r>
            <w:r w:rsidR="006B40AD">
              <w:t>0499</w:t>
            </w:r>
          </w:p>
        </w:tc>
      </w:tr>
      <w:tr w:rsidR="00C65AB6" w:rsidRPr="005463CA" w14:paraId="00444502" w14:textId="77777777" w:rsidTr="001A7872">
        <w:trPr>
          <w:cantSplit/>
          <w:jc w:val="center"/>
        </w:trPr>
        <w:tc>
          <w:tcPr>
            <w:tcW w:w="1120" w:type="pct"/>
            <w:tcBorders>
              <w:top w:val="single" w:sz="6" w:space="0" w:color="000000"/>
              <w:left w:val="double" w:sz="6" w:space="0" w:color="000000"/>
              <w:bottom w:val="double" w:sz="6" w:space="0" w:color="000000"/>
              <w:right w:val="nil"/>
            </w:tcBorders>
          </w:tcPr>
          <w:p w14:paraId="640E138F" w14:textId="77777777" w:rsidR="00C65AB6" w:rsidRPr="005463CA" w:rsidRDefault="00FA2D94" w:rsidP="00FA2D94">
            <w:pPr>
              <w:widowControl/>
              <w:rPr>
                <w:lang w:val="it-IT"/>
              </w:rPr>
            </w:pPr>
            <w:r>
              <w:rPr>
                <w:lang w:val="it-IT"/>
              </w:rPr>
              <w:t>Christina Wieg</w:t>
            </w:r>
          </w:p>
        </w:tc>
        <w:tc>
          <w:tcPr>
            <w:tcW w:w="2550" w:type="pct"/>
            <w:tcBorders>
              <w:top w:val="single" w:sz="6" w:space="0" w:color="000000"/>
              <w:left w:val="single" w:sz="6" w:space="0" w:color="000000"/>
              <w:bottom w:val="double" w:sz="6" w:space="0" w:color="000000"/>
              <w:right w:val="nil"/>
            </w:tcBorders>
          </w:tcPr>
          <w:p w14:paraId="0B11450C" w14:textId="77777777" w:rsidR="00C65AB6" w:rsidRPr="005463CA" w:rsidRDefault="00FA2D94" w:rsidP="00FA2D94">
            <w:pPr>
              <w:widowControl/>
              <w:rPr>
                <w:lang w:val="it-IT"/>
              </w:rPr>
            </w:pPr>
            <w:r>
              <w:rPr>
                <w:lang w:val="it-IT"/>
              </w:rPr>
              <w:t>Ohio EPA</w:t>
            </w:r>
          </w:p>
        </w:tc>
        <w:tc>
          <w:tcPr>
            <w:tcW w:w="1330" w:type="pct"/>
            <w:tcBorders>
              <w:top w:val="single" w:sz="6" w:space="0" w:color="000000"/>
              <w:left w:val="single" w:sz="6" w:space="0" w:color="000000"/>
              <w:bottom w:val="double" w:sz="6" w:space="0" w:color="000000"/>
              <w:right w:val="double" w:sz="6" w:space="0" w:color="000000"/>
            </w:tcBorders>
          </w:tcPr>
          <w:p w14:paraId="309286A5" w14:textId="77777777" w:rsidR="00C65AB6" w:rsidRPr="005463CA" w:rsidRDefault="00FA2D94" w:rsidP="006B40AD">
            <w:pPr>
              <w:widowControl/>
            </w:pPr>
            <w:r>
              <w:t>740-380-</w:t>
            </w:r>
            <w:r w:rsidR="006B40AD">
              <w:t>5223</w:t>
            </w:r>
          </w:p>
        </w:tc>
      </w:tr>
    </w:tbl>
    <w:p w14:paraId="561801C4" w14:textId="77777777" w:rsidR="00FA2D94" w:rsidRDefault="00FA2D94" w:rsidP="00FA2D94">
      <w:pPr>
        <w:pBdr>
          <w:top w:val="single" w:sz="6" w:space="0" w:color="FFFFFF"/>
          <w:left w:val="single" w:sz="6" w:space="0" w:color="FFFFFF"/>
          <w:bottom w:val="single" w:sz="6" w:space="0" w:color="FFFFFF"/>
          <w:right w:val="single" w:sz="6" w:space="0" w:color="FFFFFF"/>
        </w:pBdr>
        <w:spacing w:after="240" w:line="276" w:lineRule="auto"/>
        <w:ind w:firstLine="720"/>
      </w:pPr>
    </w:p>
    <w:p w14:paraId="7208A434"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3(d)</w:t>
      </w:r>
      <w:r w:rsidR="00A30540">
        <w:rPr>
          <w:b/>
          <w:bCs/>
          <w:color w:val="000000"/>
        </w:rPr>
        <w:t xml:space="preserve"> </w:t>
      </w:r>
      <w:r>
        <w:rPr>
          <w:b/>
          <w:bCs/>
          <w:color w:val="000000"/>
        </w:rPr>
        <w:t>Effects of Less Frequent Collection</w:t>
      </w:r>
    </w:p>
    <w:p w14:paraId="50904B9C"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Less frequent information collection would decrease the margin of assurance that facilities are continuing to meet the standards.</w:t>
      </w:r>
      <w:r w:rsidR="00A30540">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A30540">
        <w:rPr>
          <w:color w:val="000000"/>
        </w:rPr>
        <w:t xml:space="preserve"> </w:t>
      </w:r>
      <w:r>
        <w:rPr>
          <w:color w:val="000000"/>
        </w:rPr>
        <w:t xml:space="preserve">If the information required by these standards was collected less frequently, the proper operation and maintenance of control equipment and the </w:t>
      </w:r>
      <w:r>
        <w:rPr>
          <w:color w:val="000000"/>
        </w:rPr>
        <w:lastRenderedPageBreak/>
        <w:t>possibility of detecting violations would be less likely.</w:t>
      </w:r>
    </w:p>
    <w:p w14:paraId="4AB18F17"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3(e)</w:t>
      </w:r>
      <w:r w:rsidR="00A30540">
        <w:rPr>
          <w:b/>
          <w:bCs/>
          <w:color w:val="000000"/>
        </w:rPr>
        <w:t xml:space="preserve"> </w:t>
      </w:r>
      <w:r>
        <w:rPr>
          <w:b/>
          <w:bCs/>
          <w:color w:val="000000"/>
        </w:rPr>
        <w:t>General Guidelines</w:t>
      </w:r>
    </w:p>
    <w:p w14:paraId="18CB4305" w14:textId="77777777" w:rsidR="00C713B7" w:rsidRDefault="00FA2D94" w:rsidP="00FA2D94">
      <w:pPr>
        <w:pBdr>
          <w:top w:val="single" w:sz="6" w:space="0" w:color="FFFFFF"/>
          <w:left w:val="single" w:sz="6" w:space="0" w:color="FFFFFF"/>
          <w:bottom w:val="single" w:sz="6" w:space="0" w:color="FFFFFF"/>
          <w:right w:val="single" w:sz="6" w:space="0" w:color="FFFFFF"/>
        </w:pBdr>
        <w:spacing w:after="240" w:line="276" w:lineRule="auto"/>
        <w:ind w:firstLine="720"/>
      </w:pPr>
      <w:r>
        <w:t xml:space="preserve">None of the guidelines in 5 CFR 1320.6 are being exceeded. </w:t>
      </w:r>
    </w:p>
    <w:p w14:paraId="48D6CC3D"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3(f)</w:t>
      </w:r>
      <w:r w:rsidR="00A30540">
        <w:rPr>
          <w:b/>
          <w:bCs/>
          <w:color w:val="000000"/>
        </w:rPr>
        <w:t xml:space="preserve"> </w:t>
      </w:r>
      <w:r>
        <w:rPr>
          <w:b/>
          <w:bCs/>
          <w:color w:val="000000"/>
        </w:rPr>
        <w:t>Confidentiality</w:t>
      </w:r>
    </w:p>
    <w:p w14:paraId="73662D8D"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1074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31EE81EB"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3(g)</w:t>
      </w:r>
      <w:r w:rsidR="00A30540">
        <w:rPr>
          <w:b/>
          <w:bCs/>
          <w:color w:val="000000"/>
        </w:rPr>
        <w:t xml:space="preserve"> </w:t>
      </w:r>
      <w:r>
        <w:rPr>
          <w:b/>
          <w:bCs/>
          <w:color w:val="000000"/>
        </w:rPr>
        <w:t>Sensitive Questions</w:t>
      </w:r>
    </w:p>
    <w:p w14:paraId="25FAEC6A"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The reporting or recordkeeping requirements in the standard do not include sensitive questions.</w:t>
      </w:r>
    </w:p>
    <w:p w14:paraId="264C6265"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b/>
          <w:bCs/>
          <w:color w:val="000000"/>
        </w:rPr>
      </w:pPr>
      <w:r>
        <w:rPr>
          <w:b/>
          <w:bCs/>
          <w:color w:val="000000"/>
        </w:rPr>
        <w:t>4.</w:t>
      </w:r>
      <w:r w:rsidR="00A30540">
        <w:rPr>
          <w:b/>
          <w:bCs/>
          <w:color w:val="000000"/>
        </w:rPr>
        <w:t xml:space="preserve"> </w:t>
      </w:r>
      <w:r>
        <w:rPr>
          <w:b/>
          <w:bCs/>
          <w:color w:val="000000"/>
        </w:rPr>
        <w:t>The Respondents and the Information Requested</w:t>
      </w:r>
    </w:p>
    <w:p w14:paraId="5B6785E5"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(a)</w:t>
      </w:r>
      <w:r w:rsidR="00A30540">
        <w:rPr>
          <w:b/>
          <w:bCs/>
          <w:color w:val="000000"/>
        </w:rPr>
        <w:t xml:space="preserve"> </w:t>
      </w:r>
      <w:r>
        <w:rPr>
          <w:b/>
          <w:bCs/>
          <w:color w:val="000000"/>
        </w:rPr>
        <w:t>Respondents/</w:t>
      </w:r>
      <w:r w:rsidR="00FA2D94">
        <w:rPr>
          <w:b/>
          <w:bCs/>
          <w:color w:val="000000"/>
        </w:rPr>
        <w:t>NAICS</w:t>
      </w:r>
      <w:r>
        <w:rPr>
          <w:b/>
          <w:bCs/>
          <w:color w:val="000000"/>
        </w:rPr>
        <w:t xml:space="preserve"> Codes</w:t>
      </w:r>
    </w:p>
    <w:p w14:paraId="2D888DCA" w14:textId="77777777" w:rsidR="00C713B7" w:rsidRDefault="00C713B7" w:rsidP="00FA2D94">
      <w:pPr>
        <w:spacing w:after="240" w:line="276" w:lineRule="auto"/>
        <w:ind w:firstLine="720"/>
      </w:pPr>
      <w:r>
        <w:t>The respondents to the recordkeeping and reporting requirements are the owners or operators of all new and existing ferroalloys production facilities that are major sources or are co-located at major sources.</w:t>
      </w:r>
      <w:r w:rsidR="00A30540">
        <w:t xml:space="preserve"> </w:t>
      </w:r>
      <w:r>
        <w:t>The affected facilities produce either ferromanganese or silicomanganese.</w:t>
      </w:r>
      <w:r w:rsidR="00A30540">
        <w:t xml:space="preserve"> </w:t>
      </w:r>
      <w:r w:rsidR="00FA2D94" w:rsidRPr="00953EED">
        <w:t xml:space="preserve">The North American Industry Classification System </w:t>
      </w:r>
      <w:r w:rsidR="00FA2D94" w:rsidRPr="00AC6F60">
        <w:t>(NAICS)</w:t>
      </w:r>
      <w:r w:rsidR="00FA2D94" w:rsidRPr="00953EED">
        <w:t xml:space="preserve"> code</w:t>
      </w:r>
      <w:r w:rsidR="00FA2D94">
        <w:t xml:space="preserve"> is </w:t>
      </w:r>
      <w:r>
        <w:t xml:space="preserve">331112, </w:t>
      </w:r>
      <w:r w:rsidR="00C10747">
        <w:t>“</w:t>
      </w:r>
      <w:r>
        <w:t>Electrometallurgical Ferroalloy Product Manufacturing</w:t>
      </w:r>
      <w:r w:rsidR="00FA2D94">
        <w:t>.</w:t>
      </w:r>
      <w:r w:rsidR="00C10747">
        <w:t>”</w:t>
      </w:r>
    </w:p>
    <w:p w14:paraId="6AB451ED" w14:textId="77777777" w:rsidR="00BE6991" w:rsidRDefault="00BE6991" w:rsidP="00FA2D94">
      <w:pPr>
        <w:spacing w:after="240" w:line="276" w:lineRule="auto"/>
        <w:ind w:firstLine="720"/>
      </w:pPr>
      <w:r>
        <w:t>There are two facilities that will be subject to the proposed amendments to the NESHAP. No new ferroalloys production facilities are expected during the 3-year period of this ICR.</w:t>
      </w:r>
    </w:p>
    <w:p w14:paraId="22B7DF3F" w14:textId="77777777" w:rsidR="00C713B7" w:rsidRDefault="00C713B7" w:rsidP="00FA2D94">
      <w:pPr>
        <w:spacing w:after="240" w:line="276" w:lineRule="auto"/>
        <w:ind w:firstLine="720"/>
        <w:rPr>
          <w:color w:val="000000"/>
        </w:rPr>
      </w:pPr>
      <w:r>
        <w:rPr>
          <w:b/>
          <w:bCs/>
          <w:color w:val="000000"/>
        </w:rPr>
        <w:t>4(b)</w:t>
      </w:r>
      <w:r w:rsidR="00A30540">
        <w:rPr>
          <w:b/>
          <w:bCs/>
          <w:color w:val="000000"/>
        </w:rPr>
        <w:t xml:space="preserve"> </w:t>
      </w:r>
      <w:r>
        <w:rPr>
          <w:b/>
          <w:bCs/>
          <w:color w:val="000000"/>
        </w:rPr>
        <w:t>Information Requested</w:t>
      </w:r>
      <w:r>
        <w:rPr>
          <w:color w:val="000000"/>
        </w:rPr>
        <w:t xml:space="preserve"> </w:t>
      </w:r>
    </w:p>
    <w:p w14:paraId="02FC27D1" w14:textId="77777777" w:rsidR="00C713B7" w:rsidRDefault="00C713B7" w:rsidP="00FA2D94">
      <w:pPr>
        <w:tabs>
          <w:tab w:val="left" w:pos="720"/>
          <w:tab w:val="left" w:pos="1440"/>
        </w:tabs>
        <w:kinsoku w:val="0"/>
        <w:overflowPunct w:val="0"/>
        <w:spacing w:after="240" w:line="276" w:lineRule="auto"/>
        <w:ind w:left="36" w:firstLine="692"/>
        <w:rPr>
          <w:b/>
          <w:bCs/>
          <w:color w:val="000000"/>
        </w:rPr>
      </w:pPr>
      <w:r>
        <w:rPr>
          <w:b/>
          <w:bCs/>
          <w:color w:val="000000"/>
        </w:rPr>
        <w:tab/>
        <w:t>i)</w:t>
      </w:r>
      <w:r w:rsidR="00A30540">
        <w:rPr>
          <w:b/>
          <w:bCs/>
          <w:color w:val="000000"/>
        </w:rPr>
        <w:t xml:space="preserve"> </w:t>
      </w:r>
      <w:r>
        <w:rPr>
          <w:b/>
          <w:bCs/>
          <w:color w:val="000000"/>
        </w:rPr>
        <w:t>Data Items</w:t>
      </w:r>
    </w:p>
    <w:p w14:paraId="1E902BAF" w14:textId="77777777" w:rsidR="00BE6991" w:rsidRDefault="00BE6991" w:rsidP="00BE6991">
      <w:pPr>
        <w:kinsoku w:val="0"/>
        <w:spacing w:after="240" w:line="276" w:lineRule="auto"/>
        <w:ind w:firstLine="720"/>
        <w:rPr>
          <w:color w:val="000000"/>
        </w:rPr>
      </w:pPr>
      <w:r w:rsidRPr="00BE6991">
        <w:rPr>
          <w:color w:val="000000"/>
        </w:rPr>
        <w:t>Attachment 2, Information</w:t>
      </w:r>
      <w:r>
        <w:rPr>
          <w:color w:val="000000"/>
        </w:rPr>
        <w:t xml:space="preserve"> </w:t>
      </w:r>
      <w:r w:rsidRPr="00BE6991">
        <w:rPr>
          <w:color w:val="000000"/>
        </w:rPr>
        <w:t>Requirements, summarizes the data items, including recordkeeping and reporting requirements, for</w:t>
      </w:r>
      <w:r>
        <w:rPr>
          <w:color w:val="000000"/>
        </w:rPr>
        <w:t xml:space="preserve"> </w:t>
      </w:r>
      <w:r w:rsidRPr="00BE6991">
        <w:rPr>
          <w:color w:val="000000"/>
        </w:rPr>
        <w:t xml:space="preserve">the </w:t>
      </w:r>
      <w:r>
        <w:rPr>
          <w:color w:val="000000"/>
        </w:rPr>
        <w:t xml:space="preserve">Ferroalloys Production </w:t>
      </w:r>
      <w:r w:rsidRPr="00BE6991">
        <w:rPr>
          <w:color w:val="000000"/>
        </w:rPr>
        <w:t>source category. The amendments to the NESHAP require that any</w:t>
      </w:r>
      <w:r>
        <w:rPr>
          <w:color w:val="000000"/>
        </w:rPr>
        <w:t xml:space="preserve"> </w:t>
      </w:r>
      <w:r w:rsidRPr="00BE6991">
        <w:rPr>
          <w:color w:val="000000"/>
        </w:rPr>
        <w:t xml:space="preserve">performance tests performed after </w:t>
      </w:r>
      <w:r>
        <w:rPr>
          <w:color w:val="000000"/>
        </w:rPr>
        <w:t xml:space="preserve">the effective date of the final rule </w:t>
      </w:r>
      <w:r w:rsidRPr="00BE6991">
        <w:rPr>
          <w:color w:val="000000"/>
        </w:rPr>
        <w:t>be submitted electronically to EPA’s Central</w:t>
      </w:r>
      <w:r>
        <w:rPr>
          <w:color w:val="000000"/>
        </w:rPr>
        <w:t xml:space="preserve"> </w:t>
      </w:r>
      <w:r w:rsidRPr="00BE6991">
        <w:rPr>
          <w:color w:val="000000"/>
        </w:rPr>
        <w:t>Data Exchange by using the Electronic Reporting Tool (ERT) for test methods that are compatible</w:t>
      </w:r>
      <w:r>
        <w:rPr>
          <w:color w:val="000000"/>
        </w:rPr>
        <w:t xml:space="preserve"> </w:t>
      </w:r>
      <w:r w:rsidRPr="00BE6991">
        <w:rPr>
          <w:color w:val="000000"/>
        </w:rPr>
        <w:t>with ERT. This new requirement to submit the data to the ERT is in addition to the other existing</w:t>
      </w:r>
      <w:r>
        <w:rPr>
          <w:color w:val="000000"/>
        </w:rPr>
        <w:t xml:space="preserve"> </w:t>
      </w:r>
      <w:r w:rsidRPr="00BE6991">
        <w:rPr>
          <w:color w:val="000000"/>
        </w:rPr>
        <w:t>submission requirements for this data.</w:t>
      </w:r>
    </w:p>
    <w:p w14:paraId="1BE8993E" w14:textId="77777777" w:rsidR="002260D6" w:rsidRDefault="002260D6" w:rsidP="002260D6">
      <w:pPr>
        <w:pBdr>
          <w:top w:val="single" w:sz="6" w:space="0" w:color="FFFFFF"/>
          <w:left w:val="single" w:sz="6" w:space="0" w:color="FFFFFF"/>
          <w:bottom w:val="single" w:sz="6" w:space="0" w:color="FFFFFF"/>
          <w:right w:val="single" w:sz="6" w:space="0" w:color="FFFFFF"/>
        </w:pBdr>
        <w:tabs>
          <w:tab w:val="left" w:pos="1440"/>
        </w:tabs>
        <w:spacing w:after="240" w:line="276" w:lineRule="auto"/>
        <w:ind w:firstLine="720"/>
        <w:rPr>
          <w:b/>
          <w:bCs/>
        </w:rPr>
      </w:pPr>
      <w:r>
        <w:rPr>
          <w:b/>
        </w:rPr>
        <w:lastRenderedPageBreak/>
        <w:tab/>
        <w:t>(ii)</w:t>
      </w:r>
      <w:r>
        <w:t xml:space="preserve"> </w:t>
      </w:r>
      <w:r>
        <w:rPr>
          <w:b/>
          <w:bCs/>
        </w:rPr>
        <w:t>Respondent Activities</w:t>
      </w:r>
      <w:r>
        <w:rPr>
          <w:b/>
          <w:bCs/>
        </w:rPr>
        <w:tab/>
      </w:r>
    </w:p>
    <w:p w14:paraId="454BA0A3" w14:textId="77777777" w:rsidR="002260D6" w:rsidRPr="002260D6"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The respondent activities that will be required by the proposed</w:t>
      </w:r>
      <w:r>
        <w:t xml:space="preserve"> </w:t>
      </w:r>
      <w:r w:rsidRPr="002260D6">
        <w:t xml:space="preserve">amendments to the </w:t>
      </w:r>
      <w:r>
        <w:t>Ferroalloys Production</w:t>
      </w:r>
      <w:r w:rsidRPr="002260D6">
        <w:t xml:space="preserve"> NESHAP are identified in Tables 1</w:t>
      </w:r>
      <w:r w:rsidR="003B31A2">
        <w:t xml:space="preserve"> through </w:t>
      </w:r>
      <w:r w:rsidRPr="002260D6">
        <w:t>3 of Attachment</w:t>
      </w:r>
      <w:r>
        <w:t xml:space="preserve"> </w:t>
      </w:r>
      <w:r w:rsidRPr="002260D6">
        <w:t>1 and are introduced in section 6(a).</w:t>
      </w:r>
    </w:p>
    <w:p w14:paraId="1CC13FFA" w14:textId="77777777" w:rsidR="002260D6" w:rsidRPr="002260D6" w:rsidRDefault="002260D6" w:rsidP="002260D6">
      <w:pPr>
        <w:pBdr>
          <w:top w:val="single" w:sz="6" w:space="0" w:color="FFFFFF"/>
          <w:left w:val="single" w:sz="6" w:space="0" w:color="FFFFFF"/>
          <w:bottom w:val="single" w:sz="6" w:space="0" w:color="FFFFFF"/>
          <w:right w:val="single" w:sz="6" w:space="0" w:color="FFFFFF"/>
        </w:pBdr>
        <w:spacing w:after="240" w:line="276" w:lineRule="auto"/>
        <w:ind w:firstLine="720"/>
      </w:pPr>
      <w:r w:rsidRPr="002260D6">
        <w:t>This illustrative estimate is not considered a duplicate estimate of cost under the General</w:t>
      </w:r>
      <w:r>
        <w:t xml:space="preserve"> </w:t>
      </w:r>
      <w:r w:rsidRPr="002260D6">
        <w:t xml:space="preserve">Duty to Minimize Emissions clause under </w:t>
      </w:r>
      <w:r w:rsidR="00604930">
        <w:t>§</w:t>
      </w:r>
      <w:r w:rsidRPr="002260D6">
        <w:t>63.6(e)(1)(i), which states: “At all times, the owner and</w:t>
      </w:r>
      <w:r>
        <w:t xml:space="preserve"> </w:t>
      </w:r>
      <w:r w:rsidRPr="002260D6">
        <w:t>operator must operate and maintain any affected source, including associated air pollution control</w:t>
      </w:r>
      <w:r>
        <w:t xml:space="preserve"> </w:t>
      </w:r>
      <w:r w:rsidRPr="002260D6">
        <w:t>equipment and monitoring equipment, in a manner consistent with safety and good air pollution</w:t>
      </w:r>
      <w:r>
        <w:t xml:space="preserve"> </w:t>
      </w:r>
      <w:r w:rsidRPr="002260D6">
        <w:t>control practices for minimizing emissions. Determining whether such operation and maintenance</w:t>
      </w:r>
      <w:r>
        <w:t xml:space="preserve"> </w:t>
      </w:r>
      <w:r w:rsidRPr="002260D6">
        <w:t>procedures are being used will be based on information available to the Administrator which may</w:t>
      </w:r>
      <w:r>
        <w:t xml:space="preserve"> </w:t>
      </w:r>
      <w:r w:rsidRPr="002260D6">
        <w:t>include, but is not limited to, monitoring results, review of operation and maintenance procedures,</w:t>
      </w:r>
      <w:r>
        <w:t xml:space="preserve"> </w:t>
      </w:r>
      <w:r w:rsidRPr="002260D6">
        <w:t>review of operation and maintenance records, and inspection of the source.”</w:t>
      </w:r>
    </w:p>
    <w:p w14:paraId="68B3D929" w14:textId="77777777" w:rsidR="00C713B7" w:rsidRDefault="00C713B7" w:rsidP="00FA2D94">
      <w:pPr>
        <w:spacing w:after="240" w:line="276" w:lineRule="auto"/>
        <w:rPr>
          <w:b/>
          <w:bCs/>
        </w:rPr>
      </w:pPr>
      <w:r>
        <w:rPr>
          <w:b/>
          <w:bCs/>
        </w:rPr>
        <w:t>5.</w:t>
      </w:r>
      <w:r w:rsidR="00A30540">
        <w:rPr>
          <w:b/>
          <w:bCs/>
        </w:rPr>
        <w:t xml:space="preserve"> </w:t>
      </w:r>
      <w:r>
        <w:rPr>
          <w:b/>
          <w:bCs/>
        </w:rPr>
        <w:t>The Information Collected:</w:t>
      </w:r>
      <w:r w:rsidR="00A30540">
        <w:rPr>
          <w:b/>
          <w:bCs/>
        </w:rPr>
        <w:t xml:space="preserve"> </w:t>
      </w:r>
      <w:r>
        <w:rPr>
          <w:b/>
          <w:bCs/>
        </w:rPr>
        <w:t>Agency Activities, Collection Methodology, and Information Management</w:t>
      </w:r>
    </w:p>
    <w:p w14:paraId="569EED82" w14:textId="77777777" w:rsidR="00C713B7" w:rsidRDefault="00C713B7" w:rsidP="00FA2D94">
      <w:pPr>
        <w:spacing w:after="240" w:line="276" w:lineRule="auto"/>
        <w:ind w:firstLine="720"/>
      </w:pPr>
      <w:r>
        <w:rPr>
          <w:b/>
          <w:bCs/>
        </w:rPr>
        <w:t>5(a)</w:t>
      </w:r>
      <w:r w:rsidR="00A30540">
        <w:rPr>
          <w:b/>
          <w:bCs/>
        </w:rPr>
        <w:t xml:space="preserve"> </w:t>
      </w:r>
      <w:r>
        <w:rPr>
          <w:b/>
          <w:bCs/>
        </w:rPr>
        <w:t>Agency Activities</w:t>
      </w:r>
    </w:p>
    <w:p w14:paraId="2A0A787B" w14:textId="77777777" w:rsidR="00C713B7" w:rsidRDefault="002260D6" w:rsidP="002260D6">
      <w:pPr>
        <w:spacing w:after="240" w:line="276" w:lineRule="auto"/>
        <w:ind w:firstLine="720"/>
        <w:rPr>
          <w:b/>
          <w:bCs/>
        </w:rPr>
      </w:pPr>
      <w:r>
        <w:t xml:space="preserve">The Agency activities associated with the proposed amendments to the Ferroalloys Production NESHAP are provided in Tables 5 </w:t>
      </w:r>
      <w:r w:rsidR="00CC69E2">
        <w:t>through</w:t>
      </w:r>
      <w:r>
        <w:t xml:space="preserve"> 7 of </w:t>
      </w:r>
      <w:r w:rsidR="00CC69E2">
        <w:t>A</w:t>
      </w:r>
      <w:r>
        <w:t xml:space="preserve">ttachment 1 and are introduced in section (6)(c). </w:t>
      </w:r>
    </w:p>
    <w:p w14:paraId="6EBCE1DE" w14:textId="77777777" w:rsidR="00C713B7" w:rsidRDefault="00C713B7" w:rsidP="00FA2D94">
      <w:pPr>
        <w:spacing w:after="240" w:line="276" w:lineRule="auto"/>
        <w:ind w:firstLine="720"/>
        <w:rPr>
          <w:b/>
          <w:bCs/>
        </w:rPr>
      </w:pPr>
      <w:r>
        <w:rPr>
          <w:b/>
          <w:bCs/>
        </w:rPr>
        <w:t>5(b)</w:t>
      </w:r>
      <w:r w:rsidR="00A30540">
        <w:rPr>
          <w:b/>
          <w:bCs/>
        </w:rPr>
        <w:t xml:space="preserve"> </w:t>
      </w:r>
      <w:r>
        <w:rPr>
          <w:b/>
          <w:bCs/>
        </w:rPr>
        <w:t>Collection Methodology and Management</w:t>
      </w:r>
    </w:p>
    <w:p w14:paraId="5F320406" w14:textId="77777777" w:rsidR="00C713B7" w:rsidRDefault="00C713B7" w:rsidP="00FA2D94">
      <w:pPr>
        <w:spacing w:after="240" w:line="276" w:lineRule="auto"/>
        <w:ind w:firstLine="720"/>
      </w:pPr>
      <w:r>
        <w:t>Following notification of startup, the reviewing authority might inspect the source to determine whether the pollution control devices are properly installed and operated.</w:t>
      </w:r>
      <w:r w:rsidR="00A30540">
        <w:t xml:space="preserve"> </w:t>
      </w:r>
      <w:r>
        <w:t>Performance test reports are used by the Agency to discern a source</w:t>
      </w:r>
      <w:r w:rsidR="00C10747">
        <w:t>’</w:t>
      </w:r>
      <w:r>
        <w:t>s initial capability to comply with the emission standard.</w:t>
      </w:r>
      <w:r w:rsidR="00A30540">
        <w:t xml:space="preserve"> </w:t>
      </w:r>
      <w:r>
        <w:t>Data and records maintained by the respondents are tabulated and published for use in compliance and enforcement programs.</w:t>
      </w:r>
      <w:r w:rsidR="00A30540">
        <w:t xml:space="preserve"> </w:t>
      </w:r>
      <w:r>
        <w:t>The quarterly excess emissions reports are used for problem identification, as a check on source operation and maintenance, and for compliance determinations.</w:t>
      </w:r>
    </w:p>
    <w:p w14:paraId="1CD1361F" w14:textId="77777777" w:rsidR="00C713B7" w:rsidRDefault="00C713B7" w:rsidP="00FA2D94">
      <w:pPr>
        <w:spacing w:after="240" w:line="276" w:lineRule="auto"/>
        <w:ind w:firstLine="720"/>
      </w:pPr>
      <w:r>
        <w:t xml:space="preserve">Information contained in the reports is entered into the </w:t>
      </w:r>
      <w:r w:rsidR="00604930">
        <w:t>EPA Air Facility Subsystem (</w:t>
      </w:r>
      <w:r>
        <w:t>AFS</w:t>
      </w:r>
      <w:r w:rsidR="00604930">
        <w:t>)</w:t>
      </w:r>
      <w:r>
        <w:t xml:space="preserve"> which is operated and maintained by the EPA Office of Compliance.</w:t>
      </w:r>
      <w:r w:rsidR="00A30540">
        <w:t xml:space="preserve"> </w:t>
      </w:r>
      <w:r>
        <w:t>AFS is the EPA database for the collection, maintenance, and retrieval of compliance data for approximately 125,000 industrial and government-owned facilities.</w:t>
      </w:r>
      <w:r w:rsidR="00A30540">
        <w:t xml:space="preserve"> </w:t>
      </w:r>
      <w:r w:rsidR="00604930">
        <w:t xml:space="preserve">The </w:t>
      </w:r>
      <w:r>
        <w:t>EPA uses the AFS for tracking air pollution compliance and enforcement by local and state regulatory agencies, EPA regional offices and EPA headquarters.</w:t>
      </w:r>
      <w:r w:rsidR="00A30540">
        <w:t xml:space="preserve"> </w:t>
      </w:r>
      <w:r w:rsidR="00604930">
        <w:t xml:space="preserve">The </w:t>
      </w:r>
      <w:r>
        <w:t>EPA and its delegated Authorities can edit, store, retrieve and analyze the data.</w:t>
      </w:r>
    </w:p>
    <w:p w14:paraId="2115F1DF" w14:textId="77777777" w:rsidR="00C713B7" w:rsidRDefault="00C713B7" w:rsidP="00FA2D94">
      <w:pPr>
        <w:spacing w:after="240" w:line="276" w:lineRule="auto"/>
        <w:ind w:firstLine="720"/>
        <w:rPr>
          <w:b/>
          <w:bCs/>
        </w:rPr>
      </w:pPr>
      <w:r>
        <w:lastRenderedPageBreak/>
        <w:t xml:space="preserve">The records required by this regulation must be retained by the owner/operator for </w:t>
      </w:r>
      <w:r w:rsidR="002260D6">
        <w:t>5</w:t>
      </w:r>
      <w:r>
        <w:t xml:space="preserve"> years.</w:t>
      </w:r>
    </w:p>
    <w:p w14:paraId="61ECAABD" w14:textId="77777777" w:rsidR="00C713B7" w:rsidRDefault="00C713B7" w:rsidP="00FA2D94">
      <w:pPr>
        <w:spacing w:after="240" w:line="276" w:lineRule="auto"/>
        <w:ind w:firstLine="720"/>
      </w:pPr>
      <w:r>
        <w:rPr>
          <w:b/>
          <w:bCs/>
        </w:rPr>
        <w:t>5(c)</w:t>
      </w:r>
      <w:r w:rsidR="00A30540">
        <w:rPr>
          <w:b/>
          <w:bCs/>
        </w:rPr>
        <w:t xml:space="preserve"> </w:t>
      </w:r>
      <w:r>
        <w:rPr>
          <w:b/>
          <w:bCs/>
        </w:rPr>
        <w:t>Small Entity Flexibility</w:t>
      </w:r>
    </w:p>
    <w:p w14:paraId="4F5EED60" w14:textId="77777777" w:rsidR="00C713B7" w:rsidRDefault="008A0069" w:rsidP="00FA2D94">
      <w:pPr>
        <w:spacing w:after="240" w:line="276" w:lineRule="auto"/>
        <w:ind w:firstLine="720"/>
      </w:pPr>
      <w:r w:rsidRPr="008A0069">
        <w:t>For this source category, which has the NAICS code 331112 (</w:t>
      </w:r>
      <w:r w:rsidRPr="00604930">
        <w:t>i.e.,</w:t>
      </w:r>
      <w:r w:rsidRPr="008A0069">
        <w:t xml:space="preserve"> Electrometallurgical ferroalloy product manufacturing), the </w:t>
      </w:r>
      <w:r>
        <w:t>Small Business Administration (</w:t>
      </w:r>
      <w:r w:rsidRPr="008A0069">
        <w:t>SBA</w:t>
      </w:r>
      <w:r>
        <w:t>)</w:t>
      </w:r>
      <w:r w:rsidRPr="008A0069">
        <w:t xml:space="preserve"> small business size standard is 750 employees according to the SBA small business standards definitions.</w:t>
      </w:r>
      <w:r>
        <w:t xml:space="preserve"> We have determined that t</w:t>
      </w:r>
      <w:r w:rsidR="00C713B7">
        <w:t>here are no small businesses affected by this regulation at this time.</w:t>
      </w:r>
      <w:r w:rsidR="00A30540">
        <w:t xml:space="preserve"> </w:t>
      </w:r>
      <w:r w:rsidR="00C713B7">
        <w:t>The Agency considers the final rule requirements the minimum needed to ensure compliance with the standards.</w:t>
      </w:r>
    </w:p>
    <w:p w14:paraId="38D21B04" w14:textId="77777777" w:rsidR="00C713B7" w:rsidRDefault="00C713B7" w:rsidP="00FA2D94">
      <w:pPr>
        <w:spacing w:after="240" w:line="276" w:lineRule="auto"/>
        <w:ind w:firstLine="720"/>
      </w:pPr>
      <w:r>
        <w:rPr>
          <w:b/>
          <w:bCs/>
        </w:rPr>
        <w:t>5(d)</w:t>
      </w:r>
      <w:r w:rsidR="00A30540">
        <w:rPr>
          <w:b/>
          <w:bCs/>
        </w:rPr>
        <w:t xml:space="preserve"> </w:t>
      </w:r>
      <w:r>
        <w:rPr>
          <w:b/>
          <w:bCs/>
        </w:rPr>
        <w:t>Collection Schedule</w:t>
      </w:r>
    </w:p>
    <w:p w14:paraId="6F63310E" w14:textId="77777777" w:rsidR="00C713B7" w:rsidRDefault="008A0069" w:rsidP="008A0069">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8A0069">
        <w:t>The specific frequency for each information collection activity within this request is shown</w:t>
      </w:r>
      <w:r>
        <w:t xml:space="preserve"> </w:t>
      </w:r>
      <w:r w:rsidRPr="008A0069">
        <w:t xml:space="preserve">in Tables 1-3 of Attachment 1 for the </w:t>
      </w:r>
      <w:r>
        <w:t>Ferroalloys Production source c</w:t>
      </w:r>
      <w:r w:rsidRPr="008A0069">
        <w:t>ategory.</w:t>
      </w:r>
    </w:p>
    <w:p w14:paraId="4B5DE6AA"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rPr>
          <w:b/>
          <w:bCs/>
          <w:color w:val="000000"/>
        </w:rPr>
      </w:pPr>
      <w:r>
        <w:rPr>
          <w:b/>
          <w:bCs/>
          <w:color w:val="000000"/>
        </w:rPr>
        <w:t>6.</w:t>
      </w:r>
      <w:r w:rsidR="00A30540">
        <w:rPr>
          <w:b/>
          <w:bCs/>
          <w:color w:val="000000"/>
        </w:rPr>
        <w:t xml:space="preserve"> </w:t>
      </w:r>
      <w:r>
        <w:rPr>
          <w:b/>
          <w:bCs/>
          <w:color w:val="000000"/>
        </w:rPr>
        <w:t>Estimating the Burden and Cost of the Collection</w:t>
      </w:r>
    </w:p>
    <w:p w14:paraId="6C66D5E8"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6(a)</w:t>
      </w:r>
      <w:r w:rsidR="00A30540">
        <w:rPr>
          <w:b/>
          <w:bCs/>
          <w:color w:val="000000"/>
        </w:rPr>
        <w:t xml:space="preserve"> </w:t>
      </w:r>
      <w:r>
        <w:rPr>
          <w:b/>
          <w:bCs/>
          <w:color w:val="000000"/>
        </w:rPr>
        <w:t>Estimating Respondent Burden</w:t>
      </w:r>
    </w:p>
    <w:p w14:paraId="4029106E" w14:textId="77777777" w:rsidR="008A0069" w:rsidRDefault="008A0069" w:rsidP="008A0069">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8A0069">
        <w:rPr>
          <w:color w:val="000000"/>
        </w:rPr>
        <w:t xml:space="preserve">The annual burden estimates for the proposed amendments to the </w:t>
      </w:r>
      <w:r>
        <w:rPr>
          <w:color w:val="000000"/>
        </w:rPr>
        <w:t xml:space="preserve">Ferroalloys Production </w:t>
      </w:r>
      <w:r w:rsidRPr="008A0069">
        <w:rPr>
          <w:color w:val="000000"/>
        </w:rPr>
        <w:t>NESHAP are shown in Tables 1</w:t>
      </w:r>
      <w:r w:rsidR="00CC69E2">
        <w:rPr>
          <w:color w:val="000000"/>
        </w:rPr>
        <w:t xml:space="preserve"> through </w:t>
      </w:r>
      <w:r w:rsidRPr="008A0069">
        <w:rPr>
          <w:color w:val="000000"/>
        </w:rPr>
        <w:t>3 of Attachment 1. These numbers were derived from estimates</w:t>
      </w:r>
      <w:r>
        <w:rPr>
          <w:color w:val="000000"/>
        </w:rPr>
        <w:t xml:space="preserve"> </w:t>
      </w:r>
      <w:r w:rsidRPr="008A0069">
        <w:rPr>
          <w:color w:val="000000"/>
        </w:rPr>
        <w:t xml:space="preserve">based on </w:t>
      </w:r>
      <w:r>
        <w:rPr>
          <w:color w:val="000000"/>
        </w:rPr>
        <w:t xml:space="preserve">the </w:t>
      </w:r>
      <w:r w:rsidRPr="008A0069">
        <w:rPr>
          <w:color w:val="000000"/>
        </w:rPr>
        <w:t>EPA’s experience with other standards. No burden estimates are provided for new</w:t>
      </w:r>
      <w:r>
        <w:rPr>
          <w:color w:val="000000"/>
        </w:rPr>
        <w:t xml:space="preserve"> </w:t>
      </w:r>
      <w:r w:rsidRPr="008A0069">
        <w:rPr>
          <w:color w:val="000000"/>
        </w:rPr>
        <w:t>sources because no new facilities are expected to become affected sources during the 3</w:t>
      </w:r>
      <w:r w:rsidR="00CC69E2">
        <w:rPr>
          <w:color w:val="000000"/>
        </w:rPr>
        <w:t>-</w:t>
      </w:r>
      <w:r w:rsidRPr="008A0069">
        <w:rPr>
          <w:color w:val="000000"/>
        </w:rPr>
        <w:t>year</w:t>
      </w:r>
      <w:r>
        <w:rPr>
          <w:color w:val="000000"/>
        </w:rPr>
        <w:t xml:space="preserve"> </w:t>
      </w:r>
      <w:r w:rsidRPr="008A0069">
        <w:rPr>
          <w:color w:val="000000"/>
        </w:rPr>
        <w:t>period</w:t>
      </w:r>
      <w:r>
        <w:rPr>
          <w:color w:val="000000"/>
        </w:rPr>
        <w:t xml:space="preserve"> </w:t>
      </w:r>
      <w:r w:rsidRPr="008A0069">
        <w:rPr>
          <w:color w:val="000000"/>
        </w:rPr>
        <w:t>of this ICR.</w:t>
      </w:r>
      <w:r>
        <w:rPr>
          <w:color w:val="000000"/>
        </w:rPr>
        <w:t xml:space="preserve"> </w:t>
      </w:r>
    </w:p>
    <w:p w14:paraId="02681C37"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6(b)</w:t>
      </w:r>
      <w:r w:rsidR="00A30540">
        <w:rPr>
          <w:b/>
          <w:bCs/>
          <w:color w:val="000000"/>
        </w:rPr>
        <w:t xml:space="preserve"> </w:t>
      </w:r>
      <w:r>
        <w:rPr>
          <w:b/>
          <w:bCs/>
          <w:color w:val="000000"/>
        </w:rPr>
        <w:t>Estimating Respondent Costs</w:t>
      </w:r>
    </w:p>
    <w:p w14:paraId="6F0F0BB2"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w:t>
      </w:r>
      <w:r w:rsidR="00A30540">
        <w:rPr>
          <w:b/>
          <w:bCs/>
          <w:color w:val="000000"/>
        </w:rPr>
        <w:t xml:space="preserve"> </w:t>
      </w:r>
      <w:r>
        <w:rPr>
          <w:b/>
          <w:bCs/>
          <w:color w:val="000000"/>
        </w:rPr>
        <w:t>Estimating Labor Costs</w:t>
      </w:r>
      <w:r>
        <w:rPr>
          <w:color w:val="000000"/>
        </w:rPr>
        <w:t xml:space="preserve"> </w:t>
      </w:r>
    </w:p>
    <w:p w14:paraId="2F40A1D4" w14:textId="07AD4FC8" w:rsidR="009F538B" w:rsidRPr="009F538B" w:rsidRDefault="009F538B" w:rsidP="009F538B">
      <w:pPr>
        <w:spacing w:after="240" w:line="276" w:lineRule="auto"/>
        <w:ind w:firstLine="720"/>
      </w:pPr>
      <w:r w:rsidRPr="009F538B">
        <w:t xml:space="preserve">We used May </w:t>
      </w:r>
      <w:r w:rsidR="002014D8" w:rsidRPr="009F538B">
        <w:t>20</w:t>
      </w:r>
      <w:r w:rsidR="002014D8">
        <w:t>12</w:t>
      </w:r>
      <w:r w:rsidR="002014D8" w:rsidRPr="009F538B">
        <w:t xml:space="preserve"> </w:t>
      </w:r>
      <w:r w:rsidR="0078769B">
        <w:t xml:space="preserve">mean hourly </w:t>
      </w:r>
      <w:r w:rsidRPr="009F538B">
        <w:t>labor rates from the Bureau of Labor Statistics for the Iron and Steel Mills and Ferroalloy Manufacturing (NAICS 331100)</w:t>
      </w:r>
      <w:bookmarkStart w:id="1" w:name="_Ref193533243"/>
      <w:r w:rsidR="0075795D">
        <w:t>.</w:t>
      </w:r>
      <w:r w:rsidRPr="009F538B">
        <w:rPr>
          <w:vertAlign w:val="superscript"/>
        </w:rPr>
        <w:footnoteReference w:id="1"/>
      </w:r>
      <w:bookmarkEnd w:id="1"/>
      <w:r w:rsidRPr="009F538B">
        <w:t xml:space="preserve"> Loading factors (i.e., fringe benefits and overhead rates) were calculated using methodologies referenced in promulgated regulations and their accompanying Information Collection Requests (ICRs), particularly those used in New Source Review (NSR) regulations. Fringe benefits are calculated as 29% of hourly earnings, and overhead is calculated using a standard 110% above </w:t>
      </w:r>
      <w:r w:rsidRPr="0075795D">
        <w:t xml:space="preserve">hourly earnings.  Table </w:t>
      </w:r>
      <w:r w:rsidR="00CC69E2">
        <w:t>2</w:t>
      </w:r>
      <w:r w:rsidRPr="0075795D">
        <w:t xml:space="preserve"> presents the labor rates used in the cost</w:t>
      </w:r>
      <w:r w:rsidRPr="009F538B">
        <w:t xml:space="preserve"> analysis.  </w:t>
      </w:r>
    </w:p>
    <w:p w14:paraId="0EC3F496" w14:textId="77777777" w:rsidR="007D4E98" w:rsidRDefault="007D4E98">
      <w:pPr>
        <w:widowControl/>
        <w:autoSpaceDE/>
        <w:autoSpaceDN/>
        <w:adjustRightInd/>
        <w:rPr>
          <w:b/>
        </w:rPr>
      </w:pPr>
      <w:r>
        <w:rPr>
          <w:b/>
        </w:rPr>
        <w:br w:type="page"/>
      </w:r>
    </w:p>
    <w:p w14:paraId="5D8D1DA7" w14:textId="5E4B6DE6" w:rsidR="009F538B" w:rsidRPr="009F538B" w:rsidRDefault="009F538B" w:rsidP="001A7872">
      <w:pPr>
        <w:spacing w:after="240" w:line="276" w:lineRule="auto"/>
        <w:jc w:val="center"/>
        <w:rPr>
          <w:b/>
        </w:rPr>
      </w:pPr>
      <w:r w:rsidRPr="009F538B">
        <w:rPr>
          <w:b/>
        </w:rPr>
        <w:lastRenderedPageBreak/>
        <w:t>T</w:t>
      </w:r>
      <w:r w:rsidR="001A7872">
        <w:rPr>
          <w:b/>
        </w:rPr>
        <w:t>ABLE</w:t>
      </w:r>
      <w:r w:rsidRPr="009F538B">
        <w:rPr>
          <w:b/>
        </w:rPr>
        <w:t xml:space="preserve"> </w:t>
      </w:r>
      <w:r w:rsidR="001A7872">
        <w:rPr>
          <w:b/>
        </w:rPr>
        <w:t>2</w:t>
      </w:r>
      <w:r w:rsidRPr="009F538B">
        <w:rPr>
          <w:b/>
        </w:rPr>
        <w:t xml:space="preserve">. </w:t>
      </w:r>
      <w:r w:rsidR="001A7872">
        <w:rPr>
          <w:b/>
        </w:rPr>
        <w:t xml:space="preserve"> </w:t>
      </w:r>
      <w:r w:rsidR="002014D8">
        <w:rPr>
          <w:b/>
        </w:rPr>
        <w:t>2012</w:t>
      </w:r>
      <w:r w:rsidR="002014D8" w:rsidRPr="009F538B">
        <w:rPr>
          <w:b/>
        </w:rPr>
        <w:t xml:space="preserve"> </w:t>
      </w:r>
      <w:r w:rsidRPr="009F538B">
        <w:rPr>
          <w:b/>
        </w:rPr>
        <w:t>LOADED LABOR RATES</w:t>
      </w:r>
    </w:p>
    <w:tbl>
      <w:tblPr>
        <w:tblW w:w="7844" w:type="dxa"/>
        <w:jc w:val="center"/>
        <w:tblLayout w:type="fixed"/>
        <w:tblLook w:val="04A0" w:firstRow="1" w:lastRow="0" w:firstColumn="1" w:lastColumn="0" w:noHBand="0" w:noVBand="1"/>
      </w:tblPr>
      <w:tblGrid>
        <w:gridCol w:w="2804"/>
        <w:gridCol w:w="1620"/>
        <w:gridCol w:w="900"/>
        <w:gridCol w:w="1080"/>
        <w:gridCol w:w="1440"/>
      </w:tblGrid>
      <w:tr w:rsidR="0078769B" w:rsidRPr="009F538B" w14:paraId="7BF89435" w14:textId="77777777" w:rsidTr="001A7872">
        <w:trPr>
          <w:trHeight w:val="693"/>
          <w:jc w:val="center"/>
        </w:trPr>
        <w:tc>
          <w:tcPr>
            <w:tcW w:w="2804" w:type="dxa"/>
            <w:tcBorders>
              <w:top w:val="double" w:sz="6" w:space="0" w:color="auto"/>
              <w:left w:val="nil"/>
              <w:bottom w:val="single" w:sz="4" w:space="0" w:color="auto"/>
              <w:right w:val="nil"/>
            </w:tcBorders>
            <w:shd w:val="clear" w:color="auto" w:fill="auto"/>
            <w:vAlign w:val="bottom"/>
          </w:tcPr>
          <w:p w14:paraId="09B76F21" w14:textId="77777777" w:rsidR="0078769B" w:rsidRPr="009F538B" w:rsidRDefault="001A7872" w:rsidP="009F538B">
            <w:pPr>
              <w:jc w:val="center"/>
              <w:rPr>
                <w:b/>
                <w:bCs/>
                <w:sz w:val="20"/>
                <w:szCs w:val="20"/>
              </w:rPr>
            </w:pPr>
            <w:r>
              <w:rPr>
                <w:b/>
                <w:bCs/>
                <w:sz w:val="20"/>
                <w:szCs w:val="20"/>
              </w:rPr>
              <w:t xml:space="preserve"> </w:t>
            </w:r>
          </w:p>
        </w:tc>
        <w:tc>
          <w:tcPr>
            <w:tcW w:w="1620" w:type="dxa"/>
            <w:tcBorders>
              <w:top w:val="double" w:sz="6" w:space="0" w:color="auto"/>
              <w:left w:val="nil"/>
              <w:bottom w:val="single" w:sz="4" w:space="0" w:color="auto"/>
              <w:right w:val="nil"/>
            </w:tcBorders>
            <w:shd w:val="clear" w:color="auto" w:fill="auto"/>
            <w:vAlign w:val="bottom"/>
          </w:tcPr>
          <w:p w14:paraId="5D2F0833" w14:textId="399799AF" w:rsidR="0078769B" w:rsidRPr="009F538B" w:rsidRDefault="0078769B" w:rsidP="009B345F">
            <w:pPr>
              <w:jc w:val="center"/>
              <w:rPr>
                <w:b/>
                <w:bCs/>
                <w:sz w:val="20"/>
                <w:szCs w:val="20"/>
              </w:rPr>
            </w:pPr>
            <w:r w:rsidRPr="009F538B">
              <w:rPr>
                <w:b/>
                <w:bCs/>
                <w:sz w:val="20"/>
                <w:szCs w:val="20"/>
              </w:rPr>
              <w:t>Hourly earnings [$</w:t>
            </w:r>
            <w:r w:rsidR="009B345F" w:rsidRPr="009F538B">
              <w:rPr>
                <w:b/>
                <w:bCs/>
                <w:sz w:val="20"/>
                <w:szCs w:val="20"/>
              </w:rPr>
              <w:t>20</w:t>
            </w:r>
            <w:r w:rsidR="009B345F">
              <w:rPr>
                <w:b/>
                <w:bCs/>
                <w:sz w:val="20"/>
                <w:szCs w:val="20"/>
              </w:rPr>
              <w:t>12</w:t>
            </w:r>
            <w:r w:rsidRPr="009F538B">
              <w:rPr>
                <w:b/>
                <w:bCs/>
                <w:sz w:val="20"/>
                <w:szCs w:val="20"/>
              </w:rPr>
              <w:t>]</w:t>
            </w:r>
          </w:p>
        </w:tc>
        <w:tc>
          <w:tcPr>
            <w:tcW w:w="900" w:type="dxa"/>
            <w:tcBorders>
              <w:top w:val="double" w:sz="6" w:space="0" w:color="auto"/>
              <w:left w:val="nil"/>
              <w:bottom w:val="single" w:sz="4" w:space="0" w:color="auto"/>
              <w:right w:val="nil"/>
            </w:tcBorders>
            <w:shd w:val="clear" w:color="auto" w:fill="auto"/>
            <w:vAlign w:val="bottom"/>
          </w:tcPr>
          <w:p w14:paraId="705A63BE" w14:textId="77777777" w:rsidR="0078769B" w:rsidRPr="009F538B" w:rsidRDefault="0078769B" w:rsidP="009F538B">
            <w:pPr>
              <w:jc w:val="center"/>
              <w:rPr>
                <w:b/>
                <w:bCs/>
                <w:sz w:val="20"/>
                <w:szCs w:val="20"/>
              </w:rPr>
            </w:pPr>
            <w:r w:rsidRPr="009F538B">
              <w:rPr>
                <w:b/>
                <w:bCs/>
                <w:sz w:val="20"/>
                <w:szCs w:val="20"/>
              </w:rPr>
              <w:t>Fringe</w:t>
            </w:r>
          </w:p>
        </w:tc>
        <w:tc>
          <w:tcPr>
            <w:tcW w:w="1080" w:type="dxa"/>
            <w:tcBorders>
              <w:top w:val="double" w:sz="6" w:space="0" w:color="auto"/>
              <w:left w:val="nil"/>
              <w:bottom w:val="single" w:sz="4" w:space="0" w:color="auto"/>
              <w:right w:val="nil"/>
            </w:tcBorders>
            <w:shd w:val="clear" w:color="auto" w:fill="auto"/>
            <w:vAlign w:val="bottom"/>
          </w:tcPr>
          <w:p w14:paraId="56B15A58" w14:textId="77777777" w:rsidR="0078769B" w:rsidRPr="009F538B" w:rsidRDefault="0078769B" w:rsidP="009F538B">
            <w:pPr>
              <w:jc w:val="center"/>
              <w:rPr>
                <w:b/>
                <w:bCs/>
                <w:sz w:val="20"/>
                <w:szCs w:val="20"/>
              </w:rPr>
            </w:pPr>
            <w:r w:rsidRPr="009F538B">
              <w:rPr>
                <w:b/>
                <w:bCs/>
                <w:sz w:val="20"/>
                <w:szCs w:val="20"/>
              </w:rPr>
              <w:t>Overhead</w:t>
            </w:r>
          </w:p>
        </w:tc>
        <w:tc>
          <w:tcPr>
            <w:tcW w:w="1440" w:type="dxa"/>
            <w:tcBorders>
              <w:top w:val="double" w:sz="6" w:space="0" w:color="auto"/>
              <w:left w:val="nil"/>
              <w:bottom w:val="single" w:sz="4" w:space="0" w:color="auto"/>
              <w:right w:val="nil"/>
            </w:tcBorders>
            <w:shd w:val="clear" w:color="auto" w:fill="auto"/>
            <w:vAlign w:val="bottom"/>
          </w:tcPr>
          <w:p w14:paraId="6CE3D894" w14:textId="39D8BB4F" w:rsidR="0078769B" w:rsidRPr="009F538B" w:rsidRDefault="0078769B" w:rsidP="009B345F">
            <w:pPr>
              <w:jc w:val="center"/>
              <w:rPr>
                <w:b/>
                <w:bCs/>
                <w:sz w:val="20"/>
                <w:szCs w:val="20"/>
              </w:rPr>
            </w:pPr>
            <w:r w:rsidRPr="009F538B">
              <w:rPr>
                <w:b/>
                <w:bCs/>
                <w:sz w:val="20"/>
                <w:szCs w:val="20"/>
              </w:rPr>
              <w:t xml:space="preserve">Loaded </w:t>
            </w:r>
            <w:r w:rsidR="009B345F" w:rsidRPr="009F538B">
              <w:rPr>
                <w:b/>
                <w:bCs/>
                <w:sz w:val="20"/>
                <w:szCs w:val="20"/>
              </w:rPr>
              <w:t>20</w:t>
            </w:r>
            <w:r w:rsidR="009B345F">
              <w:rPr>
                <w:b/>
                <w:bCs/>
                <w:sz w:val="20"/>
                <w:szCs w:val="20"/>
              </w:rPr>
              <w:t>12</w:t>
            </w:r>
            <w:r w:rsidR="009B345F" w:rsidRPr="009F538B">
              <w:rPr>
                <w:b/>
                <w:bCs/>
                <w:sz w:val="20"/>
                <w:szCs w:val="20"/>
              </w:rPr>
              <w:t xml:space="preserve"> </w:t>
            </w:r>
            <w:r w:rsidRPr="009F538B">
              <w:rPr>
                <w:b/>
                <w:bCs/>
                <w:sz w:val="20"/>
                <w:szCs w:val="20"/>
              </w:rPr>
              <w:t>Hourly Earnings ($)</w:t>
            </w:r>
          </w:p>
        </w:tc>
      </w:tr>
      <w:tr w:rsidR="0078769B" w:rsidRPr="009F538B" w14:paraId="4D04360A" w14:textId="77777777" w:rsidTr="001A7872">
        <w:trPr>
          <w:trHeight w:val="255"/>
          <w:jc w:val="center"/>
        </w:trPr>
        <w:tc>
          <w:tcPr>
            <w:tcW w:w="2804" w:type="dxa"/>
            <w:tcBorders>
              <w:top w:val="nil"/>
              <w:left w:val="nil"/>
              <w:bottom w:val="nil"/>
              <w:right w:val="nil"/>
            </w:tcBorders>
            <w:shd w:val="clear" w:color="auto" w:fill="auto"/>
            <w:noWrap/>
            <w:vAlign w:val="bottom"/>
          </w:tcPr>
          <w:p w14:paraId="0A5AAB92" w14:textId="77777777" w:rsidR="0078769B" w:rsidRPr="009F538B" w:rsidRDefault="0078769B" w:rsidP="0075795D">
            <w:pPr>
              <w:rPr>
                <w:sz w:val="20"/>
                <w:szCs w:val="20"/>
              </w:rPr>
            </w:pPr>
            <w:r w:rsidRPr="009F538B">
              <w:rPr>
                <w:sz w:val="20"/>
                <w:szCs w:val="20"/>
              </w:rPr>
              <w:t>Professional specialty and technical</w:t>
            </w:r>
            <w:r>
              <w:rPr>
                <w:sz w:val="20"/>
                <w:szCs w:val="20"/>
              </w:rPr>
              <w:t xml:space="preserve"> (environmental engineer)</w:t>
            </w:r>
          </w:p>
        </w:tc>
        <w:tc>
          <w:tcPr>
            <w:tcW w:w="1620" w:type="dxa"/>
            <w:tcBorders>
              <w:top w:val="nil"/>
              <w:left w:val="nil"/>
              <w:bottom w:val="nil"/>
              <w:right w:val="nil"/>
            </w:tcBorders>
            <w:shd w:val="clear" w:color="auto" w:fill="auto"/>
            <w:noWrap/>
            <w:vAlign w:val="bottom"/>
          </w:tcPr>
          <w:p w14:paraId="5374AC52" w14:textId="7068034B" w:rsidR="0078769B" w:rsidRPr="009F538B" w:rsidRDefault="009B345F" w:rsidP="0075795D">
            <w:pPr>
              <w:jc w:val="right"/>
              <w:rPr>
                <w:sz w:val="20"/>
                <w:szCs w:val="20"/>
              </w:rPr>
            </w:pPr>
            <w:r>
              <w:rPr>
                <w:sz w:val="20"/>
                <w:szCs w:val="20"/>
              </w:rPr>
              <w:t>34.26</w:t>
            </w:r>
          </w:p>
        </w:tc>
        <w:tc>
          <w:tcPr>
            <w:tcW w:w="900" w:type="dxa"/>
            <w:tcBorders>
              <w:top w:val="nil"/>
              <w:left w:val="nil"/>
              <w:bottom w:val="nil"/>
              <w:right w:val="nil"/>
            </w:tcBorders>
            <w:shd w:val="clear" w:color="auto" w:fill="auto"/>
            <w:noWrap/>
            <w:vAlign w:val="bottom"/>
          </w:tcPr>
          <w:p w14:paraId="3E03AD0A" w14:textId="77777777" w:rsidR="0078769B" w:rsidRPr="009F538B" w:rsidRDefault="0078769B" w:rsidP="009F538B">
            <w:pPr>
              <w:jc w:val="right"/>
              <w:rPr>
                <w:sz w:val="20"/>
                <w:szCs w:val="20"/>
              </w:rPr>
            </w:pPr>
            <w:r w:rsidRPr="009F538B">
              <w:rPr>
                <w:sz w:val="20"/>
                <w:szCs w:val="20"/>
              </w:rPr>
              <w:t>1.29</w:t>
            </w:r>
          </w:p>
        </w:tc>
        <w:tc>
          <w:tcPr>
            <w:tcW w:w="1080" w:type="dxa"/>
            <w:tcBorders>
              <w:top w:val="nil"/>
              <w:left w:val="nil"/>
              <w:bottom w:val="nil"/>
              <w:right w:val="nil"/>
            </w:tcBorders>
            <w:shd w:val="clear" w:color="auto" w:fill="auto"/>
            <w:noWrap/>
            <w:vAlign w:val="bottom"/>
          </w:tcPr>
          <w:p w14:paraId="2E123E03" w14:textId="77777777" w:rsidR="0078769B" w:rsidRPr="009F538B" w:rsidRDefault="0078769B" w:rsidP="009F538B">
            <w:pPr>
              <w:jc w:val="right"/>
              <w:rPr>
                <w:sz w:val="20"/>
                <w:szCs w:val="20"/>
              </w:rPr>
            </w:pPr>
            <w:r w:rsidRPr="009F538B">
              <w:rPr>
                <w:sz w:val="20"/>
                <w:szCs w:val="20"/>
              </w:rPr>
              <w:t>2.10</w:t>
            </w:r>
          </w:p>
        </w:tc>
        <w:tc>
          <w:tcPr>
            <w:tcW w:w="1440" w:type="dxa"/>
            <w:tcBorders>
              <w:top w:val="nil"/>
              <w:left w:val="nil"/>
              <w:bottom w:val="nil"/>
              <w:right w:val="nil"/>
            </w:tcBorders>
            <w:shd w:val="clear" w:color="auto" w:fill="auto"/>
            <w:noWrap/>
            <w:vAlign w:val="bottom"/>
          </w:tcPr>
          <w:p w14:paraId="0CE1C9B7" w14:textId="60E778C1" w:rsidR="0078769B" w:rsidRPr="009F538B" w:rsidRDefault="0078769B" w:rsidP="009B345F">
            <w:pPr>
              <w:jc w:val="right"/>
              <w:rPr>
                <w:sz w:val="20"/>
                <w:szCs w:val="20"/>
              </w:rPr>
            </w:pPr>
            <w:r w:rsidRPr="009F538B">
              <w:rPr>
                <w:sz w:val="20"/>
                <w:szCs w:val="20"/>
              </w:rPr>
              <w:t>$</w:t>
            </w:r>
            <w:r w:rsidR="009B345F">
              <w:rPr>
                <w:sz w:val="20"/>
                <w:szCs w:val="20"/>
              </w:rPr>
              <w:t>92.81</w:t>
            </w:r>
          </w:p>
        </w:tc>
      </w:tr>
      <w:tr w:rsidR="0078769B" w:rsidRPr="009F538B" w14:paraId="7CF92770" w14:textId="77777777" w:rsidTr="001A7872">
        <w:trPr>
          <w:trHeight w:val="255"/>
          <w:jc w:val="center"/>
        </w:trPr>
        <w:tc>
          <w:tcPr>
            <w:tcW w:w="2804" w:type="dxa"/>
            <w:tcBorders>
              <w:top w:val="nil"/>
              <w:left w:val="nil"/>
              <w:right w:val="nil"/>
            </w:tcBorders>
            <w:shd w:val="clear" w:color="auto" w:fill="auto"/>
            <w:noWrap/>
            <w:vAlign w:val="bottom"/>
          </w:tcPr>
          <w:p w14:paraId="726B3CDC" w14:textId="77777777" w:rsidR="0078769B" w:rsidRPr="009F538B" w:rsidRDefault="0078769B" w:rsidP="009F538B">
            <w:pPr>
              <w:rPr>
                <w:sz w:val="20"/>
                <w:szCs w:val="20"/>
              </w:rPr>
            </w:pPr>
            <w:r w:rsidRPr="009F538B">
              <w:rPr>
                <w:sz w:val="20"/>
                <w:szCs w:val="20"/>
              </w:rPr>
              <w:t>Executive, admin, managerial</w:t>
            </w:r>
            <w:r>
              <w:rPr>
                <w:sz w:val="20"/>
                <w:szCs w:val="20"/>
              </w:rPr>
              <w:t xml:space="preserve"> (managers, all other)</w:t>
            </w:r>
          </w:p>
        </w:tc>
        <w:tc>
          <w:tcPr>
            <w:tcW w:w="1620" w:type="dxa"/>
            <w:tcBorders>
              <w:top w:val="nil"/>
              <w:left w:val="nil"/>
              <w:right w:val="nil"/>
            </w:tcBorders>
            <w:shd w:val="clear" w:color="auto" w:fill="auto"/>
            <w:noWrap/>
            <w:vAlign w:val="bottom"/>
          </w:tcPr>
          <w:p w14:paraId="170AB49E" w14:textId="0FFA5BD9" w:rsidR="0078769B" w:rsidRPr="009F538B" w:rsidRDefault="009B345F" w:rsidP="0075795D">
            <w:pPr>
              <w:jc w:val="right"/>
              <w:rPr>
                <w:sz w:val="20"/>
                <w:szCs w:val="20"/>
              </w:rPr>
            </w:pPr>
            <w:r>
              <w:rPr>
                <w:sz w:val="20"/>
                <w:szCs w:val="20"/>
              </w:rPr>
              <w:t>55.21</w:t>
            </w:r>
          </w:p>
        </w:tc>
        <w:tc>
          <w:tcPr>
            <w:tcW w:w="900" w:type="dxa"/>
            <w:tcBorders>
              <w:top w:val="nil"/>
              <w:left w:val="nil"/>
              <w:right w:val="nil"/>
            </w:tcBorders>
            <w:shd w:val="clear" w:color="auto" w:fill="auto"/>
            <w:noWrap/>
            <w:vAlign w:val="bottom"/>
          </w:tcPr>
          <w:p w14:paraId="10BFCC12" w14:textId="77777777" w:rsidR="0078769B" w:rsidRPr="009F538B" w:rsidRDefault="0078769B" w:rsidP="009F538B">
            <w:pPr>
              <w:jc w:val="right"/>
              <w:rPr>
                <w:sz w:val="20"/>
                <w:szCs w:val="20"/>
              </w:rPr>
            </w:pPr>
            <w:r w:rsidRPr="009F538B">
              <w:rPr>
                <w:sz w:val="20"/>
                <w:szCs w:val="20"/>
              </w:rPr>
              <w:t>1.29</w:t>
            </w:r>
          </w:p>
        </w:tc>
        <w:tc>
          <w:tcPr>
            <w:tcW w:w="1080" w:type="dxa"/>
            <w:tcBorders>
              <w:top w:val="nil"/>
              <w:left w:val="nil"/>
              <w:right w:val="nil"/>
            </w:tcBorders>
            <w:shd w:val="clear" w:color="auto" w:fill="auto"/>
            <w:noWrap/>
            <w:vAlign w:val="bottom"/>
          </w:tcPr>
          <w:p w14:paraId="29048AA2" w14:textId="77777777" w:rsidR="0078769B" w:rsidRPr="009F538B" w:rsidRDefault="0078769B" w:rsidP="009F538B">
            <w:pPr>
              <w:jc w:val="right"/>
              <w:rPr>
                <w:sz w:val="20"/>
                <w:szCs w:val="20"/>
              </w:rPr>
            </w:pPr>
            <w:r w:rsidRPr="009F538B">
              <w:rPr>
                <w:sz w:val="20"/>
                <w:szCs w:val="20"/>
              </w:rPr>
              <w:t>2.10</w:t>
            </w:r>
          </w:p>
        </w:tc>
        <w:tc>
          <w:tcPr>
            <w:tcW w:w="1440" w:type="dxa"/>
            <w:tcBorders>
              <w:top w:val="nil"/>
              <w:left w:val="nil"/>
              <w:right w:val="nil"/>
            </w:tcBorders>
            <w:shd w:val="clear" w:color="auto" w:fill="auto"/>
            <w:noWrap/>
            <w:vAlign w:val="bottom"/>
          </w:tcPr>
          <w:p w14:paraId="2E473641" w14:textId="4C49D5EE" w:rsidR="0078769B" w:rsidRPr="009F538B" w:rsidRDefault="0078769B" w:rsidP="009B345F">
            <w:pPr>
              <w:jc w:val="right"/>
              <w:rPr>
                <w:sz w:val="20"/>
                <w:szCs w:val="20"/>
              </w:rPr>
            </w:pPr>
            <w:r w:rsidRPr="009F538B">
              <w:rPr>
                <w:sz w:val="20"/>
                <w:szCs w:val="20"/>
              </w:rPr>
              <w:t>$</w:t>
            </w:r>
            <w:r w:rsidR="009B345F">
              <w:rPr>
                <w:sz w:val="20"/>
                <w:szCs w:val="20"/>
              </w:rPr>
              <w:t>149.56</w:t>
            </w:r>
          </w:p>
        </w:tc>
      </w:tr>
      <w:tr w:rsidR="0078769B" w:rsidRPr="009F538B" w14:paraId="32A04B43" w14:textId="77777777" w:rsidTr="008F4988">
        <w:trPr>
          <w:trHeight w:val="255"/>
          <w:jc w:val="center"/>
        </w:trPr>
        <w:tc>
          <w:tcPr>
            <w:tcW w:w="2804" w:type="dxa"/>
            <w:tcBorders>
              <w:top w:val="nil"/>
              <w:left w:val="nil"/>
              <w:bottom w:val="single" w:sz="4" w:space="0" w:color="auto"/>
              <w:right w:val="nil"/>
            </w:tcBorders>
            <w:shd w:val="clear" w:color="auto" w:fill="auto"/>
            <w:noWrap/>
            <w:vAlign w:val="bottom"/>
          </w:tcPr>
          <w:p w14:paraId="7D6AECFE" w14:textId="77777777" w:rsidR="0078769B" w:rsidRPr="009F538B" w:rsidRDefault="0078769B" w:rsidP="009F538B">
            <w:pPr>
              <w:rPr>
                <w:sz w:val="20"/>
                <w:szCs w:val="20"/>
              </w:rPr>
            </w:pPr>
            <w:r w:rsidRPr="009F538B">
              <w:rPr>
                <w:sz w:val="20"/>
                <w:szCs w:val="20"/>
              </w:rPr>
              <w:t>Admin support</w:t>
            </w:r>
            <w:r>
              <w:rPr>
                <w:sz w:val="20"/>
                <w:szCs w:val="20"/>
              </w:rPr>
              <w:t xml:space="preserve"> (office clerk)</w:t>
            </w:r>
          </w:p>
        </w:tc>
        <w:tc>
          <w:tcPr>
            <w:tcW w:w="1620" w:type="dxa"/>
            <w:tcBorders>
              <w:top w:val="nil"/>
              <w:left w:val="nil"/>
              <w:bottom w:val="single" w:sz="4" w:space="0" w:color="auto"/>
              <w:right w:val="nil"/>
            </w:tcBorders>
            <w:shd w:val="clear" w:color="auto" w:fill="auto"/>
            <w:noWrap/>
            <w:vAlign w:val="bottom"/>
          </w:tcPr>
          <w:p w14:paraId="0A12CF7A" w14:textId="407BDC1D" w:rsidR="0078769B" w:rsidRPr="009F538B" w:rsidRDefault="009B345F" w:rsidP="0075795D">
            <w:pPr>
              <w:jc w:val="right"/>
              <w:rPr>
                <w:sz w:val="20"/>
                <w:szCs w:val="20"/>
              </w:rPr>
            </w:pPr>
            <w:r>
              <w:rPr>
                <w:sz w:val="20"/>
                <w:szCs w:val="20"/>
              </w:rPr>
              <w:t>16.27</w:t>
            </w:r>
          </w:p>
        </w:tc>
        <w:tc>
          <w:tcPr>
            <w:tcW w:w="900" w:type="dxa"/>
            <w:tcBorders>
              <w:top w:val="nil"/>
              <w:left w:val="nil"/>
              <w:bottom w:val="single" w:sz="4" w:space="0" w:color="auto"/>
              <w:right w:val="nil"/>
            </w:tcBorders>
            <w:shd w:val="clear" w:color="auto" w:fill="auto"/>
            <w:noWrap/>
            <w:vAlign w:val="bottom"/>
          </w:tcPr>
          <w:p w14:paraId="0EAE30E6" w14:textId="77777777" w:rsidR="0078769B" w:rsidRPr="009F538B" w:rsidRDefault="0078769B" w:rsidP="009F538B">
            <w:pPr>
              <w:jc w:val="right"/>
              <w:rPr>
                <w:sz w:val="20"/>
                <w:szCs w:val="20"/>
              </w:rPr>
            </w:pPr>
            <w:r w:rsidRPr="009F538B">
              <w:rPr>
                <w:sz w:val="20"/>
                <w:szCs w:val="20"/>
              </w:rPr>
              <w:t>1.29</w:t>
            </w:r>
          </w:p>
        </w:tc>
        <w:tc>
          <w:tcPr>
            <w:tcW w:w="1080" w:type="dxa"/>
            <w:tcBorders>
              <w:top w:val="nil"/>
              <w:left w:val="nil"/>
              <w:bottom w:val="single" w:sz="4" w:space="0" w:color="auto"/>
              <w:right w:val="nil"/>
            </w:tcBorders>
            <w:shd w:val="clear" w:color="auto" w:fill="auto"/>
            <w:noWrap/>
            <w:vAlign w:val="bottom"/>
          </w:tcPr>
          <w:p w14:paraId="4B969629" w14:textId="77777777" w:rsidR="0078769B" w:rsidRPr="009F538B" w:rsidRDefault="0078769B" w:rsidP="009F538B">
            <w:pPr>
              <w:jc w:val="right"/>
              <w:rPr>
                <w:sz w:val="20"/>
                <w:szCs w:val="20"/>
              </w:rPr>
            </w:pPr>
            <w:r w:rsidRPr="009F538B">
              <w:rPr>
                <w:sz w:val="20"/>
                <w:szCs w:val="20"/>
              </w:rPr>
              <w:t>2.10</w:t>
            </w:r>
          </w:p>
        </w:tc>
        <w:tc>
          <w:tcPr>
            <w:tcW w:w="1440" w:type="dxa"/>
            <w:tcBorders>
              <w:top w:val="nil"/>
              <w:left w:val="nil"/>
              <w:bottom w:val="single" w:sz="4" w:space="0" w:color="auto"/>
              <w:right w:val="nil"/>
            </w:tcBorders>
            <w:shd w:val="clear" w:color="auto" w:fill="auto"/>
            <w:noWrap/>
            <w:vAlign w:val="bottom"/>
          </w:tcPr>
          <w:p w14:paraId="6B0B7BFB" w14:textId="586732FB" w:rsidR="0078769B" w:rsidRPr="009F538B" w:rsidRDefault="0078769B" w:rsidP="000C7A70">
            <w:pPr>
              <w:jc w:val="right"/>
              <w:rPr>
                <w:sz w:val="20"/>
                <w:szCs w:val="20"/>
              </w:rPr>
            </w:pPr>
            <w:r w:rsidRPr="009F538B">
              <w:rPr>
                <w:sz w:val="20"/>
                <w:szCs w:val="20"/>
              </w:rPr>
              <w:t>$</w:t>
            </w:r>
            <w:r w:rsidR="000C7A70">
              <w:rPr>
                <w:sz w:val="20"/>
                <w:szCs w:val="20"/>
              </w:rPr>
              <w:t>44.08</w:t>
            </w:r>
          </w:p>
        </w:tc>
      </w:tr>
      <w:tr w:rsidR="008F4988" w:rsidRPr="009F538B" w14:paraId="73D733A5" w14:textId="77777777" w:rsidTr="008F4988">
        <w:trPr>
          <w:trHeight w:val="255"/>
          <w:jc w:val="center"/>
        </w:trPr>
        <w:tc>
          <w:tcPr>
            <w:tcW w:w="2804" w:type="dxa"/>
            <w:tcBorders>
              <w:top w:val="single" w:sz="4" w:space="0" w:color="auto"/>
              <w:left w:val="nil"/>
              <w:right w:val="nil"/>
            </w:tcBorders>
            <w:shd w:val="clear" w:color="auto" w:fill="auto"/>
            <w:noWrap/>
            <w:vAlign w:val="bottom"/>
          </w:tcPr>
          <w:p w14:paraId="50F76781" w14:textId="77777777" w:rsidR="008F4988" w:rsidRPr="009F538B" w:rsidRDefault="008F4988" w:rsidP="009F538B">
            <w:pPr>
              <w:rPr>
                <w:sz w:val="20"/>
                <w:szCs w:val="20"/>
              </w:rPr>
            </w:pPr>
          </w:p>
        </w:tc>
        <w:tc>
          <w:tcPr>
            <w:tcW w:w="1620" w:type="dxa"/>
            <w:tcBorders>
              <w:top w:val="single" w:sz="4" w:space="0" w:color="auto"/>
              <w:left w:val="nil"/>
              <w:right w:val="nil"/>
            </w:tcBorders>
            <w:shd w:val="clear" w:color="auto" w:fill="auto"/>
            <w:noWrap/>
            <w:vAlign w:val="bottom"/>
          </w:tcPr>
          <w:p w14:paraId="3E4AAE02" w14:textId="77777777" w:rsidR="008F4988" w:rsidRDefault="008F4988" w:rsidP="0075795D">
            <w:pPr>
              <w:jc w:val="right"/>
              <w:rPr>
                <w:sz w:val="20"/>
                <w:szCs w:val="20"/>
              </w:rPr>
            </w:pPr>
          </w:p>
        </w:tc>
        <w:tc>
          <w:tcPr>
            <w:tcW w:w="900" w:type="dxa"/>
            <w:tcBorders>
              <w:top w:val="single" w:sz="4" w:space="0" w:color="auto"/>
              <w:left w:val="nil"/>
              <w:right w:val="nil"/>
            </w:tcBorders>
            <w:shd w:val="clear" w:color="auto" w:fill="auto"/>
            <w:noWrap/>
            <w:vAlign w:val="bottom"/>
          </w:tcPr>
          <w:p w14:paraId="52025D04" w14:textId="77777777" w:rsidR="008F4988" w:rsidRPr="009F538B" w:rsidRDefault="008F4988" w:rsidP="009F538B">
            <w:pPr>
              <w:jc w:val="right"/>
              <w:rPr>
                <w:sz w:val="20"/>
                <w:szCs w:val="20"/>
              </w:rPr>
            </w:pPr>
          </w:p>
        </w:tc>
        <w:tc>
          <w:tcPr>
            <w:tcW w:w="1080" w:type="dxa"/>
            <w:tcBorders>
              <w:top w:val="single" w:sz="4" w:space="0" w:color="auto"/>
              <w:left w:val="nil"/>
              <w:right w:val="nil"/>
            </w:tcBorders>
            <w:shd w:val="clear" w:color="auto" w:fill="auto"/>
            <w:noWrap/>
            <w:vAlign w:val="bottom"/>
          </w:tcPr>
          <w:p w14:paraId="3FB73792" w14:textId="77777777" w:rsidR="008F4988" w:rsidRPr="009F538B" w:rsidRDefault="008F4988" w:rsidP="009F538B">
            <w:pPr>
              <w:jc w:val="right"/>
              <w:rPr>
                <w:sz w:val="20"/>
                <w:szCs w:val="20"/>
              </w:rPr>
            </w:pPr>
          </w:p>
        </w:tc>
        <w:tc>
          <w:tcPr>
            <w:tcW w:w="1440" w:type="dxa"/>
            <w:tcBorders>
              <w:top w:val="single" w:sz="4" w:space="0" w:color="auto"/>
              <w:left w:val="nil"/>
              <w:right w:val="nil"/>
            </w:tcBorders>
            <w:shd w:val="clear" w:color="auto" w:fill="auto"/>
            <w:noWrap/>
            <w:vAlign w:val="bottom"/>
          </w:tcPr>
          <w:p w14:paraId="72DBC310" w14:textId="77777777" w:rsidR="008F4988" w:rsidRPr="009F538B" w:rsidRDefault="008F4988" w:rsidP="000C7A70">
            <w:pPr>
              <w:jc w:val="right"/>
              <w:rPr>
                <w:sz w:val="20"/>
                <w:szCs w:val="20"/>
              </w:rPr>
            </w:pPr>
          </w:p>
        </w:tc>
      </w:tr>
    </w:tbl>
    <w:p w14:paraId="64D2693E" w14:textId="77777777" w:rsidR="009F538B" w:rsidRPr="009F538B" w:rsidRDefault="009F538B" w:rsidP="009F538B">
      <w:pPr>
        <w:spacing w:after="240" w:line="276" w:lineRule="auto"/>
        <w:ind w:firstLine="720"/>
        <w:rPr>
          <w:iCs/>
        </w:rPr>
      </w:pPr>
      <w:r w:rsidRPr="009F538B">
        <w:rPr>
          <w:iCs/>
        </w:rPr>
        <w:t xml:space="preserve">To estimate the costs of conducting the initial </w:t>
      </w:r>
      <w:r w:rsidR="0078769B">
        <w:rPr>
          <w:iCs/>
        </w:rPr>
        <w:t>performance tests</w:t>
      </w:r>
      <w:r w:rsidRPr="009F538B">
        <w:rPr>
          <w:iCs/>
        </w:rPr>
        <w:t>, we assumed that facilities would hire a contractor. We show th</w:t>
      </w:r>
      <w:r w:rsidR="0078769B">
        <w:rPr>
          <w:iCs/>
        </w:rPr>
        <w:t>ese</w:t>
      </w:r>
      <w:r w:rsidRPr="009F538B">
        <w:rPr>
          <w:iCs/>
        </w:rPr>
        <w:t xml:space="preserve"> cost as one-time expense in the </w:t>
      </w:r>
      <w:r w:rsidR="0078769B">
        <w:rPr>
          <w:iCs/>
        </w:rPr>
        <w:t xml:space="preserve">3-year </w:t>
      </w:r>
      <w:r w:rsidRPr="009F538B">
        <w:rPr>
          <w:iCs/>
        </w:rPr>
        <w:t>ICR</w:t>
      </w:r>
      <w:r w:rsidR="0078769B">
        <w:rPr>
          <w:iCs/>
        </w:rPr>
        <w:t xml:space="preserve"> period</w:t>
      </w:r>
      <w:r w:rsidRPr="009F538B">
        <w:rPr>
          <w:iCs/>
        </w:rPr>
        <w:t>.</w:t>
      </w:r>
    </w:p>
    <w:p w14:paraId="771C5E7D"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(ii)</w:t>
      </w:r>
      <w:r w:rsidR="00A30540">
        <w:rPr>
          <w:b/>
          <w:bCs/>
          <w:color w:val="000000"/>
        </w:rPr>
        <w:t xml:space="preserve"> </w:t>
      </w:r>
      <w:r>
        <w:rPr>
          <w:b/>
          <w:bCs/>
          <w:color w:val="000000"/>
        </w:rPr>
        <w:t>Estimating Capital/Startup and Operation and Maintenance Costs</w:t>
      </w:r>
    </w:p>
    <w:p w14:paraId="1661E1FD" w14:textId="77777777" w:rsidR="00C713B7" w:rsidRDefault="00E1399D" w:rsidP="00E1399D">
      <w:pPr>
        <w:spacing w:after="240" w:line="276" w:lineRule="auto"/>
        <w:ind w:firstLine="720"/>
      </w:pPr>
      <w:r w:rsidRPr="00E1399D">
        <w:t>The capital costs assoc</w:t>
      </w:r>
      <w:r>
        <w:t xml:space="preserve">iated with the NESHAP include </w:t>
      </w:r>
      <w:r w:rsidRPr="00E1399D">
        <w:t>monitoring system initial costs;</w:t>
      </w:r>
      <w:r>
        <w:t xml:space="preserve"> </w:t>
      </w:r>
      <w:r w:rsidRPr="00E1399D">
        <w:t>one-time costs when a facility becomes subject to the regulation. The annual operation and</w:t>
      </w:r>
      <w:r>
        <w:t xml:space="preserve"> </w:t>
      </w:r>
      <w:r w:rsidRPr="00E1399D">
        <w:t>maintenance costs are the ongoing costs to maintain the monitors and conducting stack testing.</w:t>
      </w:r>
      <w:r>
        <w:t xml:space="preserve"> </w:t>
      </w:r>
      <w:r w:rsidR="00604930">
        <w:t>We assumed that facilities would purchase and begin to operate all required monitoring systems in Year 2 of the ICR, which is also the year we assumed they would conduct their initial performance tests.</w:t>
      </w:r>
    </w:p>
    <w:p w14:paraId="4427750F"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(iii)</w:t>
      </w:r>
      <w:r w:rsidR="00A30540">
        <w:rPr>
          <w:b/>
          <w:bCs/>
          <w:color w:val="000000"/>
        </w:rPr>
        <w:t xml:space="preserve"> </w:t>
      </w:r>
      <w:r>
        <w:rPr>
          <w:b/>
          <w:bCs/>
          <w:color w:val="000000"/>
        </w:rPr>
        <w:t>Capital/Startup vs. Operation and Maintenance (O&amp;M) Costs</w:t>
      </w:r>
    </w:p>
    <w:p w14:paraId="38C2AB99" w14:textId="1BCD920C" w:rsidR="00E1399D" w:rsidRDefault="00E1399D" w:rsidP="00E1399D">
      <w:pPr>
        <w:spacing w:after="240" w:line="276" w:lineRule="auto"/>
        <w:ind w:firstLine="720"/>
      </w:pPr>
      <w:r w:rsidRPr="00E1399D">
        <w:t>The estimated capital and O&amp;M costs for the affected units for the first 3 years after</w:t>
      </w:r>
      <w:r>
        <w:t xml:space="preserve"> </w:t>
      </w:r>
      <w:r w:rsidRPr="00E1399D">
        <w:t xml:space="preserve">promulgation are provided. For the </w:t>
      </w:r>
      <w:r>
        <w:t>two</w:t>
      </w:r>
      <w:r w:rsidRPr="00E1399D">
        <w:t xml:space="preserve"> facilities, the total capital costs are $</w:t>
      </w:r>
      <w:r w:rsidR="00DF3698">
        <w:t>360</w:t>
      </w:r>
      <w:r w:rsidR="003A0061">
        <w:t>,</w:t>
      </w:r>
      <w:r w:rsidR="00DF3698">
        <w:t>548</w:t>
      </w:r>
      <w:r w:rsidR="00CC69E2">
        <w:t>.</w:t>
      </w:r>
      <w:r w:rsidRPr="00E1399D">
        <w:t xml:space="preserve"> The total</w:t>
      </w:r>
      <w:r>
        <w:t xml:space="preserve"> </w:t>
      </w:r>
      <w:r w:rsidRPr="00E1399D">
        <w:t>annualized capital and O&amp;M costs are $</w:t>
      </w:r>
      <w:r w:rsidR="0098296E">
        <w:t>1,</w:t>
      </w:r>
      <w:r w:rsidR="00DF3698">
        <w:t>798</w:t>
      </w:r>
      <w:r w:rsidR="0098296E">
        <w:t>,</w:t>
      </w:r>
      <w:r w:rsidR="00DF3698">
        <w:t>436</w:t>
      </w:r>
      <w:r w:rsidRPr="00E1399D">
        <w:t xml:space="preserve"> for an average of $</w:t>
      </w:r>
      <w:r w:rsidR="00DF3698">
        <w:t>599</w:t>
      </w:r>
      <w:r w:rsidR="0098296E">
        <w:t>,</w:t>
      </w:r>
      <w:r w:rsidR="00DF3698">
        <w:t>479</w:t>
      </w:r>
      <w:r w:rsidRPr="00E1399D">
        <w:t xml:space="preserve"> per year.</w:t>
      </w:r>
    </w:p>
    <w:p w14:paraId="175E6DE3" w14:textId="77777777" w:rsidR="00C713B7" w:rsidRDefault="00C713B7" w:rsidP="00E1399D">
      <w:pPr>
        <w:spacing w:after="240" w:line="276" w:lineRule="auto"/>
        <w:ind w:firstLine="720"/>
        <w:rPr>
          <w:b/>
          <w:bCs/>
          <w:color w:val="000000"/>
        </w:rPr>
      </w:pPr>
      <w:r>
        <w:rPr>
          <w:b/>
          <w:bCs/>
          <w:color w:val="000000"/>
        </w:rPr>
        <w:t>6(c)</w:t>
      </w:r>
      <w:r w:rsidR="00A30540">
        <w:rPr>
          <w:b/>
          <w:bCs/>
          <w:color w:val="000000"/>
        </w:rPr>
        <w:t xml:space="preserve"> </w:t>
      </w:r>
      <w:r>
        <w:rPr>
          <w:b/>
          <w:bCs/>
          <w:color w:val="000000"/>
        </w:rPr>
        <w:t>Estimating Agency Burden and Cost</w:t>
      </w:r>
    </w:p>
    <w:p w14:paraId="1CAA615A" w14:textId="77777777" w:rsidR="00C713B7" w:rsidRDefault="00C713B7" w:rsidP="00FA2D94">
      <w:pPr>
        <w:spacing w:after="240" w:line="276" w:lineRule="auto"/>
        <w:ind w:firstLine="720"/>
      </w:pPr>
      <w:r>
        <w:t>The only costs to the Agency are those costs associated with analysis of the reported information.</w:t>
      </w:r>
      <w:r w:rsidR="00A30540">
        <w:t xml:space="preserve"> </w:t>
      </w:r>
      <w:r>
        <w:t>The overall compliance and enforcement program of EPA includes activities such as the examination of records maintained by the respondents, periodic inspection of sources of emissions, and the publication and distribution of collected information.</w:t>
      </w:r>
    </w:p>
    <w:p w14:paraId="4F6582E6" w14:textId="5362F64E" w:rsidR="00E1399D" w:rsidRPr="00E1399D" w:rsidRDefault="00E1399D" w:rsidP="00E1399D">
      <w:pPr>
        <w:spacing w:after="240" w:line="276" w:lineRule="auto"/>
        <w:ind w:firstLine="720"/>
      </w:pPr>
      <w:r w:rsidRPr="00E1399D">
        <w:t xml:space="preserve">The average annual Agency cost during the </w:t>
      </w:r>
      <w:r w:rsidR="00B22121">
        <w:t>3</w:t>
      </w:r>
      <w:r w:rsidRPr="00E1399D">
        <w:t xml:space="preserve"> years of the ICR is estimated to be</w:t>
      </w:r>
      <w:r>
        <w:t xml:space="preserve"> </w:t>
      </w:r>
      <w:r w:rsidRPr="00E1399D">
        <w:t>$</w:t>
      </w:r>
      <w:r w:rsidR="004539F6">
        <w:t>2,177</w:t>
      </w:r>
      <w:r w:rsidRPr="00E1399D">
        <w:t>.</w:t>
      </w:r>
    </w:p>
    <w:p w14:paraId="045B9D28" w14:textId="77E1C1CA" w:rsidR="00E1399D" w:rsidRPr="00E1399D" w:rsidRDefault="00E1399D" w:rsidP="00E1399D">
      <w:pPr>
        <w:spacing w:after="240" w:line="276" w:lineRule="auto"/>
        <w:ind w:firstLine="720"/>
      </w:pPr>
      <w:r w:rsidRPr="00E1399D">
        <w:t xml:space="preserve">The Agency labor rates are from the Office of Personnel Management (OPM) </w:t>
      </w:r>
      <w:r w:rsidR="00135DD4" w:rsidRPr="00E1399D">
        <w:t>201</w:t>
      </w:r>
      <w:r w:rsidR="00135DD4">
        <w:t>2</w:t>
      </w:r>
      <w:r w:rsidR="00135DD4" w:rsidRPr="00E1399D">
        <w:t xml:space="preserve"> </w:t>
      </w:r>
      <w:r w:rsidRPr="00E1399D">
        <w:t>General</w:t>
      </w:r>
      <w:r>
        <w:t xml:space="preserve"> </w:t>
      </w:r>
      <w:r w:rsidRPr="00E1399D">
        <w:t>Schedule, which excludes locality rates of pay. These rates can be obtained from Salary Table</w:t>
      </w:r>
      <w:r>
        <w:t xml:space="preserve"> </w:t>
      </w:r>
      <w:r w:rsidR="0056349B" w:rsidRPr="00E1399D">
        <w:t>201</w:t>
      </w:r>
      <w:r w:rsidR="0056349B">
        <w:t>2</w:t>
      </w:r>
      <w:r w:rsidRPr="00E1399D">
        <w:t xml:space="preserve">-GS available on the OPM website, </w:t>
      </w:r>
      <w:r w:rsidR="00135DD4" w:rsidRPr="00135DD4">
        <w:t>https://www.opm.gov/policy-data-oversight/pay-leave/salaries-wages/2012/general-schedule/</w:t>
      </w:r>
      <w:r w:rsidRPr="00E1399D">
        <w:t>.</w:t>
      </w:r>
    </w:p>
    <w:p w14:paraId="49A8B4B6" w14:textId="3901AC83" w:rsidR="00E1399D" w:rsidRPr="00E1399D" w:rsidRDefault="00E1399D" w:rsidP="007C40DE">
      <w:pPr>
        <w:spacing w:line="276" w:lineRule="auto"/>
        <w:ind w:firstLine="720"/>
      </w:pPr>
      <w:r w:rsidRPr="00E1399D">
        <w:lastRenderedPageBreak/>
        <w:t>Managerial $62.27 (GS-13, Step 5, $38.92+ 60%)</w:t>
      </w:r>
    </w:p>
    <w:p w14:paraId="68299842" w14:textId="5F11A127" w:rsidR="00E1399D" w:rsidRPr="00E1399D" w:rsidRDefault="00E1399D" w:rsidP="007C40DE">
      <w:pPr>
        <w:spacing w:line="276" w:lineRule="auto"/>
        <w:ind w:firstLine="720"/>
      </w:pPr>
      <w:r w:rsidRPr="00E1399D">
        <w:t>Technical $46.21 (GS-12, Step 1, $28.88+ 60%)</w:t>
      </w:r>
    </w:p>
    <w:p w14:paraId="1EC31CA1" w14:textId="13FDC548" w:rsidR="00E1399D" w:rsidRDefault="00E1399D" w:rsidP="007C40DE">
      <w:pPr>
        <w:spacing w:line="276" w:lineRule="auto"/>
        <w:ind w:firstLine="720"/>
      </w:pPr>
      <w:r w:rsidRPr="00E1399D">
        <w:t>Clerical $25.01 (GS-6, Step 3, $15.63 + 60%)</w:t>
      </w:r>
    </w:p>
    <w:p w14:paraId="3E2E219B" w14:textId="77777777" w:rsidR="007C40DE" w:rsidRPr="00E1399D" w:rsidRDefault="007C40DE" w:rsidP="007C40DE">
      <w:pPr>
        <w:spacing w:line="276" w:lineRule="auto"/>
        <w:ind w:firstLine="720"/>
      </w:pPr>
    </w:p>
    <w:p w14:paraId="0ACC1E57" w14:textId="77777777" w:rsidR="00C713B7" w:rsidRDefault="00E1399D" w:rsidP="00E1399D">
      <w:pPr>
        <w:spacing w:after="240" w:line="276" w:lineRule="auto"/>
      </w:pPr>
      <w:r w:rsidRPr="00E1399D">
        <w:t xml:space="preserve">These rates were increased by 60 percent to include fringe benefits and overhead </w:t>
      </w:r>
    </w:p>
    <w:p w14:paraId="53B499B7"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Pr>
          <w:b/>
          <w:bCs/>
          <w:color w:val="000000"/>
        </w:rPr>
        <w:t>6(d)</w:t>
      </w:r>
      <w:r w:rsidR="00A30540">
        <w:rPr>
          <w:b/>
          <w:bCs/>
          <w:color w:val="000000"/>
        </w:rPr>
        <w:t xml:space="preserve"> </w:t>
      </w:r>
      <w:r>
        <w:rPr>
          <w:b/>
          <w:bCs/>
          <w:color w:val="000000"/>
        </w:rPr>
        <w:t>Estimating the Respondent Universe and Total Burden and Costs</w:t>
      </w:r>
    </w:p>
    <w:p w14:paraId="5279DE77" w14:textId="039507CF" w:rsidR="00C60A86" w:rsidRDefault="00C60A86" w:rsidP="00C60A86">
      <w:pPr>
        <w:spacing w:after="240" w:line="276" w:lineRule="auto"/>
        <w:ind w:firstLine="720"/>
      </w:pPr>
      <w:r w:rsidRPr="00C60A86">
        <w:t xml:space="preserve">There are </w:t>
      </w:r>
      <w:r>
        <w:t>two</w:t>
      </w:r>
      <w:r w:rsidRPr="00C60A86">
        <w:t xml:space="preserve"> existing facilities that are subject to the proposed </w:t>
      </w:r>
      <w:r>
        <w:t xml:space="preserve">Ferroalloys Production </w:t>
      </w:r>
      <w:r w:rsidRPr="00C60A86">
        <w:t>NESHAP. No new sources are expected during the 3-year compliance period. No new facilities</w:t>
      </w:r>
      <w:r>
        <w:t xml:space="preserve"> </w:t>
      </w:r>
      <w:r w:rsidRPr="00C60A86">
        <w:t>are expected to begin operation during the 3-year compliance period. Over the 3-year period, it is</w:t>
      </w:r>
      <w:r>
        <w:t xml:space="preserve"> </w:t>
      </w:r>
      <w:r w:rsidRPr="00C60A86">
        <w:t xml:space="preserve">estimated that these </w:t>
      </w:r>
      <w:r>
        <w:t xml:space="preserve">two </w:t>
      </w:r>
      <w:r w:rsidRPr="00C60A86">
        <w:t xml:space="preserve">facilities will </w:t>
      </w:r>
      <w:r w:rsidRPr="00011FD8">
        <w:t xml:space="preserve">have </w:t>
      </w:r>
      <w:r w:rsidR="004539F6" w:rsidRPr="00011FD8">
        <w:t>3</w:t>
      </w:r>
      <w:r w:rsidR="00DF3698">
        <w:t>4</w:t>
      </w:r>
      <w:r w:rsidR="004539F6" w:rsidRPr="00011FD8">
        <w:t xml:space="preserve"> </w:t>
      </w:r>
      <w:r w:rsidRPr="00011FD8">
        <w:t xml:space="preserve">responses for an average of </w:t>
      </w:r>
      <w:r w:rsidR="004539F6" w:rsidRPr="00011FD8">
        <w:t>1</w:t>
      </w:r>
      <w:r w:rsidR="00DF3698">
        <w:t>1</w:t>
      </w:r>
      <w:r w:rsidR="004539F6" w:rsidRPr="00011FD8">
        <w:t xml:space="preserve"> </w:t>
      </w:r>
      <w:r w:rsidRPr="00011FD8">
        <w:t>per</w:t>
      </w:r>
      <w:r w:rsidRPr="00C60A86">
        <w:t xml:space="preserve"> year</w:t>
      </w:r>
      <w:r>
        <w:t>.</w:t>
      </w:r>
    </w:p>
    <w:p w14:paraId="28586508" w14:textId="59F5BDBF"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6(e)</w:t>
      </w:r>
      <w:r w:rsidR="00A30540">
        <w:rPr>
          <w:b/>
          <w:bCs/>
          <w:color w:val="000000"/>
        </w:rPr>
        <w:t xml:space="preserve"> </w:t>
      </w:r>
      <w:r>
        <w:rPr>
          <w:b/>
          <w:bCs/>
          <w:color w:val="000000"/>
        </w:rPr>
        <w:t>Bottom Line Burden Hours Burden Hours and Cost Tables</w:t>
      </w:r>
    </w:p>
    <w:p w14:paraId="6228A9AA"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1440"/>
        <w:rPr>
          <w:color w:val="000000"/>
        </w:rPr>
      </w:pPr>
      <w:r>
        <w:rPr>
          <w:b/>
          <w:bCs/>
          <w:color w:val="000000"/>
        </w:rPr>
        <w:t>(i) Respondent Tally</w:t>
      </w:r>
    </w:p>
    <w:p w14:paraId="4D01BCB8" w14:textId="6C54226B" w:rsidR="00C60A86" w:rsidRPr="00C60A86" w:rsidRDefault="00C60A86" w:rsidP="00C60A86">
      <w:pPr>
        <w:spacing w:after="240" w:line="276" w:lineRule="auto"/>
        <w:ind w:firstLine="720"/>
      </w:pPr>
      <w:r w:rsidRPr="00C60A86">
        <w:t>The bottom line respondent burden hours and costs, presented in Tables 1-3 of Attachment 1 are calculated by adding person-hours per year down each column for technical, managerial, and clerical staff, and by adding down the cost column. The average annual burden for the recordkeeping and reporting requirements in the proposed amendments to subpart XXX for the two existing facilities that are subject to the Ferroalloys Production NESHAP is $</w:t>
      </w:r>
      <w:r w:rsidR="00DF3698">
        <w:t>599</w:t>
      </w:r>
      <w:r w:rsidR="00B030F6">
        <w:t>,</w:t>
      </w:r>
      <w:r w:rsidR="00DF3698">
        <w:t>479</w:t>
      </w:r>
      <w:r w:rsidRPr="00C60A86">
        <w:t xml:space="preserve">. This includes </w:t>
      </w:r>
      <w:r w:rsidR="00DF3698">
        <w:t>801</w:t>
      </w:r>
      <w:r w:rsidR="005D315D" w:rsidRPr="00C60A86">
        <w:t xml:space="preserve"> </w:t>
      </w:r>
      <w:r w:rsidRPr="00C60A86">
        <w:t>annual labor hours. The detailed bottom line burden hours and cost calculations for the respondents and the Agency are shown in Tables 1</w:t>
      </w:r>
      <w:r w:rsidR="009530AD">
        <w:t>, 2,</w:t>
      </w:r>
      <w:r w:rsidRPr="00C60A86">
        <w:t xml:space="preserve"> and </w:t>
      </w:r>
      <w:r w:rsidR="009530AD">
        <w:t>3 of Attachment 1</w:t>
      </w:r>
      <w:r w:rsidRPr="00C60A86">
        <w:t>, respectively</w:t>
      </w:r>
      <w:r w:rsidR="008F5B9E">
        <w:t>.</w:t>
      </w:r>
      <w:r w:rsidRPr="00C60A86">
        <w:t xml:space="preserve"> </w:t>
      </w:r>
    </w:p>
    <w:p w14:paraId="56B1B024" w14:textId="77777777" w:rsidR="00C713B7" w:rsidRDefault="00C713B7" w:rsidP="00FA2D94">
      <w:pPr>
        <w:spacing w:after="240" w:line="276" w:lineRule="auto"/>
        <w:ind w:firstLine="1440"/>
      </w:pPr>
      <w:r>
        <w:rPr>
          <w:b/>
          <w:bCs/>
        </w:rPr>
        <w:t>(ii)</w:t>
      </w:r>
      <w:r w:rsidR="00A30540">
        <w:rPr>
          <w:b/>
          <w:bCs/>
        </w:rPr>
        <w:t xml:space="preserve"> </w:t>
      </w:r>
      <w:r>
        <w:rPr>
          <w:b/>
          <w:bCs/>
        </w:rPr>
        <w:t>The Agency Tally</w:t>
      </w:r>
    </w:p>
    <w:p w14:paraId="79BF31FC" w14:textId="4EFB37EC" w:rsidR="00C713B7" w:rsidRDefault="00C60A86" w:rsidP="00C60A86">
      <w:pPr>
        <w:spacing w:after="240" w:line="276" w:lineRule="auto"/>
        <w:ind w:firstLine="720"/>
        <w:rPr>
          <w:b/>
          <w:bCs/>
          <w:color w:val="000000"/>
        </w:rPr>
      </w:pPr>
      <w:r w:rsidRPr="00C60A86">
        <w:t>The average annual Federal Government cost is $</w:t>
      </w:r>
      <w:r w:rsidR="005D315D">
        <w:t>2,177</w:t>
      </w:r>
      <w:r w:rsidRPr="00C60A86">
        <w:t xml:space="preserve"> for </w:t>
      </w:r>
      <w:r w:rsidR="005D315D">
        <w:t>48</w:t>
      </w:r>
      <w:r w:rsidR="005D315D" w:rsidRPr="00C60A86">
        <w:t xml:space="preserve"> </w:t>
      </w:r>
      <w:r w:rsidRPr="00C60A86">
        <w:t>hours for the proposed</w:t>
      </w:r>
      <w:r>
        <w:t xml:space="preserve"> </w:t>
      </w:r>
      <w:r w:rsidRPr="00C60A86">
        <w:t xml:space="preserve">amendments to subpart </w:t>
      </w:r>
      <w:r>
        <w:t>XX</w:t>
      </w:r>
      <w:r w:rsidRPr="00C60A86">
        <w:t>X. The bottom line Agency burden hours and costs presented in Tables 5</w:t>
      </w:r>
      <w:r w:rsidR="009530AD">
        <w:t xml:space="preserve"> through </w:t>
      </w:r>
      <w:r w:rsidRPr="00C60A86">
        <w:t>7</w:t>
      </w:r>
      <w:r>
        <w:t xml:space="preserve"> </w:t>
      </w:r>
      <w:r w:rsidRPr="00C60A86">
        <w:t>of Att</w:t>
      </w:r>
      <w:r>
        <w:t>a</w:t>
      </w:r>
      <w:r w:rsidRPr="00C60A86">
        <w:t>chment 1 are calculated by adding person-hours per year down each column for technical,</w:t>
      </w:r>
      <w:r>
        <w:t xml:space="preserve"> </w:t>
      </w:r>
      <w:r w:rsidRPr="00C60A86">
        <w:t>managerial, and clerical staff, and by adding down the cost column.</w:t>
      </w:r>
    </w:p>
    <w:p w14:paraId="36ED99BE" w14:textId="77777777" w:rsidR="00C713B7" w:rsidRPr="0024518C"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b/>
          <w:bCs/>
          <w:color w:val="000000"/>
        </w:rPr>
      </w:pPr>
      <w:r w:rsidRPr="0024518C">
        <w:rPr>
          <w:b/>
          <w:bCs/>
          <w:color w:val="000000"/>
        </w:rPr>
        <w:t>6(f)</w:t>
      </w:r>
      <w:r w:rsidR="00A30540" w:rsidRPr="0024518C">
        <w:rPr>
          <w:b/>
          <w:bCs/>
          <w:color w:val="000000"/>
        </w:rPr>
        <w:t xml:space="preserve"> </w:t>
      </w:r>
      <w:r w:rsidRPr="0024518C">
        <w:rPr>
          <w:b/>
          <w:bCs/>
          <w:color w:val="000000"/>
        </w:rPr>
        <w:t>Reasons for Change in Burden</w:t>
      </w:r>
    </w:p>
    <w:p w14:paraId="542FD7FA" w14:textId="435F643F" w:rsidR="0024518C" w:rsidRPr="0024518C" w:rsidRDefault="0024518C" w:rsidP="0024518C">
      <w:pPr>
        <w:pBdr>
          <w:top w:val="single" w:sz="6" w:space="0" w:color="FFFFFF"/>
          <w:left w:val="single" w:sz="6" w:space="0" w:color="FFFFFF"/>
          <w:bottom w:val="single" w:sz="6" w:space="0" w:color="FFFFFF"/>
          <w:right w:val="single" w:sz="6" w:space="0" w:color="FFFFFF"/>
        </w:pBdr>
        <w:spacing w:after="240" w:line="276" w:lineRule="auto"/>
        <w:ind w:firstLine="720"/>
      </w:pPr>
      <w:r w:rsidRPr="0024518C">
        <w:t xml:space="preserve">We are requesting an increase in </w:t>
      </w:r>
      <w:r w:rsidRPr="00134E56">
        <w:t>burden of $</w:t>
      </w:r>
      <w:r w:rsidR="00134E56" w:rsidRPr="00134E56">
        <w:t>5</w:t>
      </w:r>
      <w:r w:rsidR="00DF3698">
        <w:t>43</w:t>
      </w:r>
      <w:r w:rsidR="00134E56" w:rsidRPr="00134E56">
        <w:t>,</w:t>
      </w:r>
      <w:r w:rsidR="00DF3698">
        <w:t>523</w:t>
      </w:r>
      <w:r w:rsidR="00896668" w:rsidRPr="00134E56">
        <w:t xml:space="preserve"> </w:t>
      </w:r>
      <w:r w:rsidR="006F0CE2" w:rsidRPr="00134E56">
        <w:t>over the full</w:t>
      </w:r>
      <w:r w:rsidR="006F0CE2">
        <w:t xml:space="preserve"> 3-year program </w:t>
      </w:r>
      <w:r w:rsidRPr="0024518C">
        <w:t xml:space="preserve">due to implementation of </w:t>
      </w:r>
      <w:r w:rsidR="006D532B">
        <w:t xml:space="preserve">these proposed changes to the </w:t>
      </w:r>
      <w:r w:rsidRPr="0024518C">
        <w:t xml:space="preserve">regulation. </w:t>
      </w:r>
    </w:p>
    <w:p w14:paraId="4A7D7660"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b/>
          <w:bCs/>
          <w:color w:val="000000"/>
        </w:rPr>
        <w:t>6(g)</w:t>
      </w:r>
      <w:r w:rsidR="00A30540">
        <w:rPr>
          <w:b/>
          <w:bCs/>
          <w:color w:val="000000"/>
        </w:rPr>
        <w:t xml:space="preserve"> </w:t>
      </w:r>
      <w:r>
        <w:rPr>
          <w:b/>
          <w:bCs/>
          <w:color w:val="000000"/>
        </w:rPr>
        <w:t>Burden Statement</w:t>
      </w:r>
    </w:p>
    <w:p w14:paraId="4A331193" w14:textId="64560897" w:rsidR="00C955A0" w:rsidRPr="00C955A0" w:rsidRDefault="00C955A0" w:rsidP="00C955A0">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sidRPr="00C955A0">
        <w:rPr>
          <w:color w:val="000000"/>
        </w:rPr>
        <w:t xml:space="preserve">The average annual respondent burden for the proposed </w:t>
      </w:r>
      <w:r>
        <w:rPr>
          <w:color w:val="000000"/>
        </w:rPr>
        <w:t xml:space="preserve">amendments to the Ferroalloys Production NESHAP </w:t>
      </w:r>
      <w:r w:rsidRPr="00C955A0">
        <w:rPr>
          <w:color w:val="000000"/>
        </w:rPr>
        <w:t xml:space="preserve">is estimated at </w:t>
      </w:r>
      <w:r w:rsidR="00DF3698">
        <w:rPr>
          <w:color w:val="000000"/>
        </w:rPr>
        <w:t>401</w:t>
      </w:r>
      <w:r w:rsidR="00E7490A">
        <w:rPr>
          <w:color w:val="000000"/>
        </w:rPr>
        <w:t xml:space="preserve"> </w:t>
      </w:r>
      <w:r w:rsidRPr="00C955A0">
        <w:rPr>
          <w:color w:val="000000"/>
        </w:rPr>
        <w:t>hours</w:t>
      </w:r>
      <w:r w:rsidR="00B22121">
        <w:rPr>
          <w:color w:val="000000"/>
        </w:rPr>
        <w:t xml:space="preserve"> per facility or </w:t>
      </w:r>
      <w:r w:rsidR="00DF3698">
        <w:rPr>
          <w:color w:val="000000"/>
        </w:rPr>
        <w:t>36</w:t>
      </w:r>
      <w:r w:rsidR="00E7490A">
        <w:rPr>
          <w:color w:val="000000"/>
        </w:rPr>
        <w:t xml:space="preserve"> </w:t>
      </w:r>
      <w:r w:rsidR="00B22121">
        <w:rPr>
          <w:color w:val="000000"/>
        </w:rPr>
        <w:t>hours per response</w:t>
      </w:r>
      <w:r w:rsidRPr="00C955A0">
        <w:rPr>
          <w:color w:val="000000"/>
        </w:rPr>
        <w:t>.</w:t>
      </w:r>
    </w:p>
    <w:p w14:paraId="2435FFEF" w14:textId="77777777" w:rsidR="00C713B7" w:rsidRDefault="00C713B7" w:rsidP="00FA2D94">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lastRenderedPageBreak/>
        <w:t xml:space="preserve">Burden means the total time, effort, or financial resources expended by persons to generate, maintain, retain, or disclose or provide information to or for a </w:t>
      </w:r>
      <w:r w:rsidR="00C955A0">
        <w:rPr>
          <w:color w:val="000000"/>
        </w:rPr>
        <w:t>f</w:t>
      </w:r>
      <w:r>
        <w:rPr>
          <w:color w:val="000000"/>
        </w:rPr>
        <w:t>ederal agency.</w:t>
      </w:r>
      <w:r w:rsidR="00A30540">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6A82AE5" w14:textId="77777777" w:rsidR="00C955A0" w:rsidRDefault="00C713B7" w:rsidP="00C955A0">
      <w:pPr>
        <w:pBdr>
          <w:top w:val="single" w:sz="6" w:space="0" w:color="FFFFFF"/>
          <w:left w:val="single" w:sz="6" w:space="0" w:color="FFFFFF"/>
          <w:bottom w:val="single" w:sz="6" w:space="0" w:color="FFFFFF"/>
          <w:right w:val="single" w:sz="6" w:space="0" w:color="FFFFFF"/>
        </w:pBdr>
        <w:spacing w:after="240" w:line="276" w:lineRule="auto"/>
        <w:ind w:firstLine="720"/>
        <w:rPr>
          <w:color w:val="000000"/>
        </w:rPr>
      </w:pPr>
      <w:r>
        <w:rPr>
          <w:color w:val="000000"/>
        </w:rPr>
        <w:t>An agency may not conduct or sponsor, and a person is not required to respond to, a collection of information unless it displays a valid OMB Control Number.</w:t>
      </w:r>
      <w:r w:rsidR="00A30540">
        <w:rPr>
          <w:color w:val="000000"/>
        </w:rPr>
        <w:t xml:space="preserve"> </w:t>
      </w:r>
      <w:r>
        <w:rPr>
          <w:color w:val="000000"/>
        </w:rPr>
        <w:t>The OMB Control Numbers for the EPA regulations are listed at 40 CFR part 9 and 48 CFR chapter 15.</w:t>
      </w:r>
    </w:p>
    <w:p w14:paraId="3C828070" w14:textId="618DDEAD" w:rsidR="00C955A0" w:rsidRPr="00C955A0" w:rsidRDefault="00C713B7" w:rsidP="00C955A0">
      <w:pPr>
        <w:pBdr>
          <w:top w:val="single" w:sz="6" w:space="0" w:color="FFFFFF"/>
          <w:left w:val="single" w:sz="6" w:space="0" w:color="FFFFFF"/>
          <w:bottom w:val="single" w:sz="6" w:space="0" w:color="FFFFFF"/>
          <w:right w:val="single" w:sz="6" w:space="0" w:color="FFFFFF"/>
        </w:pBdr>
        <w:spacing w:after="240" w:line="276" w:lineRule="auto"/>
        <w:ind w:firstLine="720"/>
      </w:pPr>
      <w:r>
        <w:t xml:space="preserve">To comment on the Agency's need for this information, the accuracy of the provided burden estimates, and any suggested methods for minimizing respondent burden, including the use of automated collection techniques, </w:t>
      </w:r>
      <w:r w:rsidR="00C955A0">
        <w:t xml:space="preserve">the </w:t>
      </w:r>
      <w:r>
        <w:t xml:space="preserve">EPA has established a public docket for this ICR under Docket ID Number </w:t>
      </w:r>
      <w:r w:rsidR="00E032FA">
        <w:t>EPA-HQ-</w:t>
      </w:r>
      <w:r>
        <w:t>O</w:t>
      </w:r>
      <w:r w:rsidR="00C955A0">
        <w:t>AR</w:t>
      </w:r>
      <w:r>
        <w:t>-</w:t>
      </w:r>
      <w:r w:rsidR="00C955A0">
        <w:t>2010</w:t>
      </w:r>
      <w:r>
        <w:t>-0</w:t>
      </w:r>
      <w:r w:rsidR="00C955A0">
        <w:t>895</w:t>
      </w:r>
      <w:r w:rsidR="00F32ADE">
        <w:t xml:space="preserve">.  </w:t>
      </w:r>
      <w:r w:rsidR="00F32ADE" w:rsidRPr="00C955A0">
        <w:t xml:space="preserve">An electronic version of the public docket is available at </w:t>
      </w:r>
      <w:hyperlink r:id="rId8" w:history="1">
        <w:r w:rsidR="00F32ADE" w:rsidRPr="00C955A0">
          <w:rPr>
            <w:rStyle w:val="Hyperlink"/>
          </w:rPr>
          <w:t>http://www.regulations.gov.</w:t>
        </w:r>
      </w:hyperlink>
      <w:r w:rsidR="00F32ADE" w:rsidRPr="00C955A0">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r w:rsidR="00F32ADE">
        <w:t xml:space="preserve"> The docket is also available f</w:t>
      </w:r>
      <w:r w:rsidR="00C955A0" w:rsidRPr="00C955A0">
        <w:t xml:space="preserve">or in person viewing at the Air and Radiation Docket and Information Center in the EPA Docket Center (EPA/DC), EPA West, Room 3334, 1301 Constitution Ave., NW, Washington, DC. The EPA Docket Center Public Reading Room is open from </w:t>
      </w:r>
      <w:smartTag w:uri="urn:schemas-microsoft-com:office:smarttags" w:element="time">
        <w:smartTagPr>
          <w:attr w:name="Hour" w:val="8"/>
          <w:attr w:name="Minute" w:val="30"/>
        </w:smartTagPr>
        <w:r w:rsidR="00C955A0" w:rsidRPr="00C955A0">
          <w:t>8:30 a.m.</w:t>
        </w:r>
      </w:smartTag>
      <w:r w:rsidR="00C955A0" w:rsidRPr="00C955A0">
        <w:t xml:space="preserve"> to </w:t>
      </w:r>
      <w:smartTag w:uri="urn:schemas-microsoft-com:office:smarttags" w:element="time">
        <w:smartTagPr>
          <w:attr w:name="Hour" w:val="16"/>
          <w:attr w:name="Minute" w:val="30"/>
        </w:smartTagPr>
        <w:r w:rsidR="00C955A0" w:rsidRPr="00C955A0">
          <w:t>4:30 p.m.</w:t>
        </w:r>
      </w:smartTag>
      <w:r w:rsidR="00C955A0" w:rsidRPr="00C955A0">
        <w:t xml:space="preserve">, Monday through Friday, excluding legal holidays. The telephone number for the Reading Room is (202) 566-1744, and the telephone number for the Air Docket is (202) 566-1742. Also, you </w:t>
      </w:r>
      <w:r w:rsidR="00F32ADE">
        <w:t>may</w:t>
      </w:r>
      <w:r w:rsidR="00F32ADE" w:rsidRPr="00C955A0">
        <w:t xml:space="preserve"> </w:t>
      </w:r>
      <w:r w:rsidR="00C955A0" w:rsidRPr="00C955A0">
        <w:t>send comments to the Office of Information and Regulatory Affairs, Office of Management and Budget, 725 17</w:t>
      </w:r>
      <w:r w:rsidR="00C955A0" w:rsidRPr="00C955A0">
        <w:rPr>
          <w:vertAlign w:val="superscript"/>
        </w:rPr>
        <w:t>th</w:t>
      </w:r>
      <w:r w:rsidR="00C955A0" w:rsidRPr="00C955A0">
        <w:t xml:space="preserve"> Street, NW, Washington, DC 20503, Attention Desk Officer for EPA. Please include the relevant Docket ID Number (EPA-HQ-OAR-20</w:t>
      </w:r>
      <w:r w:rsidR="006A6C4F">
        <w:t>10</w:t>
      </w:r>
      <w:r w:rsidR="00C955A0" w:rsidRPr="00C955A0">
        <w:t>-</w:t>
      </w:r>
      <w:r w:rsidR="006A6C4F">
        <w:t>0895</w:t>
      </w:r>
      <w:r w:rsidR="00C955A0" w:rsidRPr="00C955A0">
        <w:t>) in any correspondence.</w:t>
      </w:r>
    </w:p>
    <w:p w14:paraId="75861C14" w14:textId="77777777" w:rsidR="00C713B7" w:rsidRDefault="00C713B7" w:rsidP="00FA2D94">
      <w:pPr>
        <w:spacing w:after="240" w:line="276" w:lineRule="auto"/>
        <w:rPr>
          <w:b/>
          <w:bCs/>
          <w:color w:val="000000"/>
        </w:rPr>
      </w:pPr>
      <w:r>
        <w:rPr>
          <w:b/>
          <w:bCs/>
          <w:color w:val="000000"/>
        </w:rPr>
        <w:t>Part B of the Supporting Statement</w:t>
      </w:r>
    </w:p>
    <w:p w14:paraId="34F031D6" w14:textId="77777777" w:rsidR="00BE6991" w:rsidRDefault="006A6C4F" w:rsidP="00FA2D94">
      <w:pPr>
        <w:tabs>
          <w:tab w:val="left" w:pos="720"/>
        </w:tabs>
        <w:spacing w:after="240" w:line="276" w:lineRule="auto"/>
        <w:ind w:firstLine="14"/>
        <w:rPr>
          <w:color w:val="000000"/>
        </w:rPr>
      </w:pPr>
      <w:r>
        <w:rPr>
          <w:color w:val="000000"/>
        </w:rPr>
        <w:tab/>
      </w:r>
      <w:r w:rsidR="00C713B7">
        <w:rPr>
          <w:color w:val="000000"/>
        </w:rPr>
        <w:t>This part is not applicable because no statistical methods were used in collecting this information.</w:t>
      </w:r>
    </w:p>
    <w:p w14:paraId="7DB4C145" w14:textId="77777777" w:rsidR="00BE6991" w:rsidRDefault="00BE6991" w:rsidP="00FA2D94">
      <w:pPr>
        <w:tabs>
          <w:tab w:val="left" w:pos="720"/>
        </w:tabs>
        <w:spacing w:after="240" w:line="276" w:lineRule="auto"/>
        <w:ind w:firstLine="14"/>
        <w:rPr>
          <w:color w:val="000000"/>
        </w:rPr>
      </w:pPr>
    </w:p>
    <w:p w14:paraId="1A676ECD" w14:textId="77777777" w:rsidR="002636D4" w:rsidRDefault="002636D4" w:rsidP="001A3C69">
      <w:pPr>
        <w:spacing w:after="240" w:line="276" w:lineRule="auto"/>
        <w:ind w:firstLine="14"/>
        <w:jc w:val="center"/>
        <w:rPr>
          <w:color w:val="000000"/>
        </w:rPr>
      </w:pPr>
      <w:r>
        <w:rPr>
          <w:color w:val="000000"/>
        </w:rPr>
        <w:br w:type="page"/>
      </w:r>
      <w:r>
        <w:rPr>
          <w:color w:val="000000"/>
        </w:rPr>
        <w:lastRenderedPageBreak/>
        <w:t>ATTACHMENT 1</w:t>
      </w:r>
    </w:p>
    <w:p w14:paraId="0D127655" w14:textId="77777777" w:rsidR="002636D4" w:rsidRDefault="002636D4" w:rsidP="001A3C69">
      <w:pPr>
        <w:tabs>
          <w:tab w:val="left" w:pos="720"/>
        </w:tabs>
        <w:spacing w:after="240" w:line="276" w:lineRule="auto"/>
        <w:ind w:firstLine="14"/>
        <w:jc w:val="center"/>
        <w:rPr>
          <w:color w:val="000000"/>
        </w:rPr>
      </w:pPr>
    </w:p>
    <w:p w14:paraId="185255C6" w14:textId="77777777" w:rsidR="002636D4" w:rsidRDefault="002636D4" w:rsidP="001A3C69">
      <w:pPr>
        <w:tabs>
          <w:tab w:val="left" w:pos="720"/>
        </w:tabs>
        <w:spacing w:after="240" w:line="276" w:lineRule="auto"/>
        <w:ind w:firstLine="14"/>
        <w:jc w:val="center"/>
        <w:rPr>
          <w:color w:val="000000"/>
        </w:rPr>
      </w:pPr>
      <w:r>
        <w:rPr>
          <w:color w:val="000000"/>
        </w:rPr>
        <w:t>Burden Estimate Tables 1 through 8</w:t>
      </w:r>
    </w:p>
    <w:p w14:paraId="29B15DEE" w14:textId="77777777" w:rsidR="002636D4" w:rsidRDefault="002636D4" w:rsidP="00FA2D94">
      <w:pPr>
        <w:tabs>
          <w:tab w:val="left" w:pos="720"/>
        </w:tabs>
        <w:spacing w:after="240" w:line="276" w:lineRule="auto"/>
        <w:ind w:firstLine="14"/>
        <w:rPr>
          <w:color w:val="000000"/>
        </w:rPr>
      </w:pPr>
    </w:p>
    <w:p w14:paraId="146D3480" w14:textId="77777777" w:rsidR="002636D4" w:rsidRDefault="002636D4" w:rsidP="00040D10">
      <w:pPr>
        <w:spacing w:after="240" w:line="276" w:lineRule="auto"/>
        <w:ind w:left="2160" w:hanging="2146"/>
        <w:rPr>
          <w:color w:val="000000"/>
        </w:rPr>
      </w:pPr>
      <w:r>
        <w:rPr>
          <w:color w:val="000000"/>
        </w:rPr>
        <w:t>Tables 1 through 3:</w:t>
      </w:r>
      <w:r>
        <w:rPr>
          <w:color w:val="000000"/>
        </w:rPr>
        <w:tab/>
      </w:r>
      <w:r w:rsidR="00040D10">
        <w:rPr>
          <w:color w:val="000000"/>
        </w:rPr>
        <w:t>Annual Respondent Burden and Cost of Recordkeeping and Reporting Requirements of the Proposed Standard</w:t>
      </w:r>
      <w:r>
        <w:rPr>
          <w:color w:val="000000"/>
        </w:rPr>
        <w:tab/>
      </w:r>
      <w:r>
        <w:rPr>
          <w:color w:val="000000"/>
        </w:rPr>
        <w:tab/>
      </w:r>
      <w:r>
        <w:rPr>
          <w:color w:val="000000"/>
        </w:rPr>
        <w:tab/>
      </w:r>
      <w:r w:rsidR="00040D10">
        <w:rPr>
          <w:color w:val="000000"/>
        </w:rPr>
        <w:t>, Years 1 through 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C83DF74" w14:textId="77777777" w:rsidR="00040D10" w:rsidRDefault="00040D10" w:rsidP="00040D10">
      <w:pPr>
        <w:spacing w:after="240" w:line="276" w:lineRule="auto"/>
        <w:ind w:left="2160" w:hanging="2146"/>
        <w:rPr>
          <w:color w:val="000000"/>
        </w:rPr>
      </w:pPr>
      <w:r>
        <w:rPr>
          <w:color w:val="000000"/>
        </w:rPr>
        <w:t>Table 4:</w:t>
      </w:r>
      <w:r>
        <w:rPr>
          <w:color w:val="000000"/>
        </w:rPr>
        <w:tab/>
      </w:r>
      <w:r>
        <w:rPr>
          <w:color w:val="000000"/>
        </w:rPr>
        <w:tab/>
        <w:t>Summary of Annual Respondent Burden and Cost of Recordkeeping and Reporting of the Proposed Standard</w:t>
      </w:r>
    </w:p>
    <w:p w14:paraId="2A202D86" w14:textId="77777777" w:rsidR="00040D10" w:rsidRDefault="00040D10" w:rsidP="00040D10">
      <w:pPr>
        <w:spacing w:after="240" w:line="276" w:lineRule="auto"/>
        <w:ind w:left="2160" w:hanging="2146"/>
        <w:rPr>
          <w:color w:val="000000"/>
        </w:rPr>
      </w:pPr>
      <w:r>
        <w:rPr>
          <w:color w:val="000000"/>
        </w:rPr>
        <w:t>Tables 5 through 7:</w:t>
      </w:r>
      <w:r>
        <w:rPr>
          <w:color w:val="000000"/>
        </w:rPr>
        <w:tab/>
      </w:r>
      <w:r w:rsidRPr="00040D10">
        <w:rPr>
          <w:color w:val="000000"/>
        </w:rPr>
        <w:t>A</w:t>
      </w:r>
      <w:r>
        <w:rPr>
          <w:color w:val="000000"/>
        </w:rPr>
        <w:t>nnual</w:t>
      </w:r>
      <w:r w:rsidRPr="00040D10">
        <w:rPr>
          <w:color w:val="000000"/>
        </w:rPr>
        <w:t xml:space="preserve"> B</w:t>
      </w:r>
      <w:r>
        <w:rPr>
          <w:color w:val="000000"/>
        </w:rPr>
        <w:t>urden</w:t>
      </w:r>
      <w:r w:rsidRPr="00040D10">
        <w:rPr>
          <w:color w:val="000000"/>
        </w:rPr>
        <w:t xml:space="preserve"> </w:t>
      </w:r>
      <w:r>
        <w:rPr>
          <w:color w:val="000000"/>
        </w:rPr>
        <w:t>and</w:t>
      </w:r>
      <w:r w:rsidRPr="00040D10">
        <w:rPr>
          <w:color w:val="000000"/>
        </w:rPr>
        <w:t xml:space="preserve"> C</w:t>
      </w:r>
      <w:r>
        <w:rPr>
          <w:color w:val="000000"/>
        </w:rPr>
        <w:t>ost</w:t>
      </w:r>
      <w:r w:rsidRPr="00040D10">
        <w:rPr>
          <w:color w:val="000000"/>
        </w:rPr>
        <w:t xml:space="preserve"> </w:t>
      </w:r>
      <w:r>
        <w:rPr>
          <w:color w:val="000000"/>
        </w:rPr>
        <w:t>to</w:t>
      </w:r>
      <w:r w:rsidRPr="00040D10">
        <w:rPr>
          <w:color w:val="000000"/>
        </w:rPr>
        <w:t xml:space="preserve"> </w:t>
      </w:r>
      <w:r>
        <w:rPr>
          <w:color w:val="000000"/>
        </w:rPr>
        <w:t>the</w:t>
      </w:r>
      <w:r w:rsidRPr="00040D10">
        <w:rPr>
          <w:color w:val="000000"/>
        </w:rPr>
        <w:t xml:space="preserve"> F</w:t>
      </w:r>
      <w:r>
        <w:rPr>
          <w:color w:val="000000"/>
        </w:rPr>
        <w:t>ederal</w:t>
      </w:r>
      <w:r w:rsidRPr="00040D10">
        <w:rPr>
          <w:color w:val="000000"/>
        </w:rPr>
        <w:t xml:space="preserve"> G</w:t>
      </w:r>
      <w:r>
        <w:rPr>
          <w:color w:val="000000"/>
        </w:rPr>
        <w:t>overnment</w:t>
      </w:r>
      <w:r w:rsidRPr="00040D10">
        <w:rPr>
          <w:color w:val="000000"/>
        </w:rPr>
        <w:t xml:space="preserve"> </w:t>
      </w:r>
      <w:r>
        <w:rPr>
          <w:color w:val="000000"/>
        </w:rPr>
        <w:t xml:space="preserve">of the </w:t>
      </w:r>
      <w:r w:rsidRPr="00040D10">
        <w:rPr>
          <w:color w:val="000000"/>
        </w:rPr>
        <w:t>P</w:t>
      </w:r>
      <w:r>
        <w:rPr>
          <w:color w:val="000000"/>
        </w:rPr>
        <w:t>roposed</w:t>
      </w:r>
      <w:r w:rsidRPr="00040D10">
        <w:rPr>
          <w:color w:val="000000"/>
        </w:rPr>
        <w:t xml:space="preserve"> S</w:t>
      </w:r>
      <w:r>
        <w:rPr>
          <w:color w:val="000000"/>
        </w:rPr>
        <w:t>tandard, Years 1 through 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F7F32FD" w14:textId="77777777" w:rsidR="00040D10" w:rsidRDefault="00040D10" w:rsidP="00040D10">
      <w:pPr>
        <w:spacing w:after="240" w:line="276" w:lineRule="auto"/>
        <w:ind w:left="2160" w:hanging="2146"/>
        <w:rPr>
          <w:color w:val="000000"/>
        </w:rPr>
        <w:sectPr w:rsidR="00040D10">
          <w:headerReference w:type="even" r:id="rId9"/>
          <w:headerReference w:type="default" r:id="rId10"/>
          <w:footerReference w:type="even" r:id="rId11"/>
          <w:type w:val="continuous"/>
          <w:pgSz w:w="12240" w:h="15840" w:code="1"/>
          <w:pgMar w:top="1440" w:right="1440" w:bottom="1440" w:left="1440" w:header="1008" w:footer="0" w:gutter="0"/>
          <w:cols w:space="720"/>
          <w:noEndnote/>
          <w:titlePg/>
        </w:sectPr>
      </w:pPr>
      <w:r>
        <w:rPr>
          <w:color w:val="000000"/>
        </w:rPr>
        <w:t>Table 8:</w:t>
      </w:r>
      <w:r>
        <w:rPr>
          <w:color w:val="000000"/>
        </w:rPr>
        <w:tab/>
      </w:r>
      <w:r>
        <w:rPr>
          <w:color w:val="000000"/>
        </w:rPr>
        <w:tab/>
        <w:t xml:space="preserve">Summary of </w:t>
      </w:r>
      <w:r w:rsidR="001A3C69" w:rsidRPr="00040D10">
        <w:rPr>
          <w:color w:val="000000"/>
        </w:rPr>
        <w:t>A</w:t>
      </w:r>
      <w:r w:rsidR="001A3C69">
        <w:rPr>
          <w:color w:val="000000"/>
        </w:rPr>
        <w:t>nnual</w:t>
      </w:r>
      <w:r w:rsidR="001A3C69" w:rsidRPr="00040D10">
        <w:rPr>
          <w:color w:val="000000"/>
        </w:rPr>
        <w:t xml:space="preserve"> B</w:t>
      </w:r>
      <w:r w:rsidR="001A3C69">
        <w:rPr>
          <w:color w:val="000000"/>
        </w:rPr>
        <w:t>urden</w:t>
      </w:r>
      <w:r w:rsidR="001A3C69" w:rsidRPr="00040D10">
        <w:rPr>
          <w:color w:val="000000"/>
        </w:rPr>
        <w:t xml:space="preserve"> </w:t>
      </w:r>
      <w:r w:rsidR="001A3C69">
        <w:rPr>
          <w:color w:val="000000"/>
        </w:rPr>
        <w:t>and</w:t>
      </w:r>
      <w:r w:rsidR="001A3C69" w:rsidRPr="00040D10">
        <w:rPr>
          <w:color w:val="000000"/>
        </w:rPr>
        <w:t xml:space="preserve"> C</w:t>
      </w:r>
      <w:r w:rsidR="001A3C69">
        <w:rPr>
          <w:color w:val="000000"/>
        </w:rPr>
        <w:t>ost</w:t>
      </w:r>
      <w:r w:rsidR="001A3C69" w:rsidRPr="00040D10">
        <w:rPr>
          <w:color w:val="000000"/>
        </w:rPr>
        <w:t xml:space="preserve"> </w:t>
      </w:r>
      <w:r w:rsidR="001A3C69">
        <w:rPr>
          <w:color w:val="000000"/>
        </w:rPr>
        <w:t>to</w:t>
      </w:r>
      <w:r w:rsidR="001A3C69" w:rsidRPr="00040D10">
        <w:rPr>
          <w:color w:val="000000"/>
        </w:rPr>
        <w:t xml:space="preserve"> </w:t>
      </w:r>
      <w:r w:rsidR="001A3C69">
        <w:rPr>
          <w:color w:val="000000"/>
        </w:rPr>
        <w:t>the</w:t>
      </w:r>
      <w:r w:rsidR="001A3C69" w:rsidRPr="00040D10">
        <w:rPr>
          <w:color w:val="000000"/>
        </w:rPr>
        <w:t xml:space="preserve"> F</w:t>
      </w:r>
      <w:r w:rsidR="001A3C69">
        <w:rPr>
          <w:color w:val="000000"/>
        </w:rPr>
        <w:t>ederal</w:t>
      </w:r>
      <w:r w:rsidR="001A3C69" w:rsidRPr="00040D10">
        <w:rPr>
          <w:color w:val="000000"/>
        </w:rPr>
        <w:t xml:space="preserve"> G</w:t>
      </w:r>
      <w:r w:rsidR="001A3C69">
        <w:rPr>
          <w:color w:val="000000"/>
        </w:rPr>
        <w:t>overnment</w:t>
      </w:r>
      <w:r w:rsidR="001A3C69" w:rsidRPr="00040D10">
        <w:rPr>
          <w:color w:val="000000"/>
        </w:rPr>
        <w:t xml:space="preserve"> </w:t>
      </w:r>
      <w:r w:rsidR="001A3C69">
        <w:rPr>
          <w:color w:val="000000"/>
        </w:rPr>
        <w:t xml:space="preserve">of the </w:t>
      </w:r>
      <w:r w:rsidR="001A3C69" w:rsidRPr="00040D10">
        <w:rPr>
          <w:color w:val="000000"/>
        </w:rPr>
        <w:t>P</w:t>
      </w:r>
      <w:r w:rsidR="001A3C69">
        <w:rPr>
          <w:color w:val="000000"/>
        </w:rPr>
        <w:t>roposed</w:t>
      </w:r>
      <w:r w:rsidR="001A3C69" w:rsidRPr="00040D10">
        <w:rPr>
          <w:color w:val="000000"/>
        </w:rPr>
        <w:t xml:space="preserve"> S</w:t>
      </w:r>
      <w:r w:rsidR="001A3C69">
        <w:rPr>
          <w:color w:val="000000"/>
        </w:rPr>
        <w:t>tandard</w:t>
      </w:r>
    </w:p>
    <w:p w14:paraId="7E2F8BF4" w14:textId="13BD92A2" w:rsidR="00F97191" w:rsidRDefault="00363A1F" w:rsidP="00DC6E06">
      <w:pPr>
        <w:tabs>
          <w:tab w:val="left" w:pos="720"/>
        </w:tabs>
        <w:spacing w:after="240" w:line="276" w:lineRule="auto"/>
        <w:ind w:firstLine="14"/>
      </w:pPr>
      <w:r w:rsidRPr="00363A1F">
        <w:rPr>
          <w:noProof/>
        </w:rPr>
        <w:lastRenderedPageBreak/>
        <w:drawing>
          <wp:inline distT="0" distB="0" distL="0" distR="0" wp14:anchorId="6D82F8ED" wp14:editId="4C07388D">
            <wp:extent cx="8229600" cy="5827923"/>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5827923"/>
                    </a:xfrm>
                    <a:prstGeom prst="rect">
                      <a:avLst/>
                    </a:prstGeom>
                    <a:noFill/>
                    <a:ln>
                      <a:noFill/>
                    </a:ln>
                  </pic:spPr>
                </pic:pic>
              </a:graphicData>
            </a:graphic>
          </wp:inline>
        </w:drawing>
      </w:r>
      <w:r w:rsidRPr="00363A1F">
        <w:rPr>
          <w:noProof/>
        </w:rPr>
        <w:lastRenderedPageBreak/>
        <w:drawing>
          <wp:inline distT="0" distB="0" distL="0" distR="0" wp14:anchorId="4FEDAB41" wp14:editId="42C1CB6C">
            <wp:extent cx="8229600" cy="58334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0" cy="5833431"/>
                    </a:xfrm>
                    <a:prstGeom prst="rect">
                      <a:avLst/>
                    </a:prstGeom>
                    <a:noFill/>
                    <a:ln>
                      <a:noFill/>
                    </a:ln>
                  </pic:spPr>
                </pic:pic>
              </a:graphicData>
            </a:graphic>
          </wp:inline>
        </w:drawing>
      </w:r>
      <w:r w:rsidRPr="00363A1F">
        <w:rPr>
          <w:noProof/>
        </w:rPr>
        <w:t xml:space="preserve"> </w:t>
      </w:r>
      <w:r w:rsidRPr="00363A1F">
        <w:rPr>
          <w:noProof/>
        </w:rPr>
        <w:lastRenderedPageBreak/>
        <w:drawing>
          <wp:inline distT="0" distB="0" distL="0" distR="0" wp14:anchorId="69818B40" wp14:editId="11D3A0C9">
            <wp:extent cx="8229600" cy="58334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5833431"/>
                    </a:xfrm>
                    <a:prstGeom prst="rect">
                      <a:avLst/>
                    </a:prstGeom>
                    <a:noFill/>
                    <a:ln>
                      <a:noFill/>
                    </a:ln>
                  </pic:spPr>
                </pic:pic>
              </a:graphicData>
            </a:graphic>
          </wp:inline>
        </w:drawing>
      </w:r>
      <w:r w:rsidR="00BC2D64" w:rsidRPr="00BC2D64">
        <w:t xml:space="preserve"> </w:t>
      </w:r>
      <w:bookmarkStart w:id="2" w:name="_GoBack"/>
      <w:r w:rsidRPr="00363A1F">
        <w:rPr>
          <w:noProof/>
        </w:rPr>
        <w:lastRenderedPageBreak/>
        <w:drawing>
          <wp:inline distT="0" distB="0" distL="0" distR="0" wp14:anchorId="708A1A35" wp14:editId="1D5F5112">
            <wp:extent cx="7858125" cy="2257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58125" cy="2257425"/>
                    </a:xfrm>
                    <a:prstGeom prst="rect">
                      <a:avLst/>
                    </a:prstGeom>
                    <a:noFill/>
                    <a:ln>
                      <a:noFill/>
                    </a:ln>
                  </pic:spPr>
                </pic:pic>
              </a:graphicData>
            </a:graphic>
          </wp:inline>
        </w:drawing>
      </w:r>
      <w:bookmarkEnd w:id="2"/>
      <w:r w:rsidR="00F97191">
        <w:br w:type="page"/>
      </w:r>
    </w:p>
    <w:p w14:paraId="191ABC7F" w14:textId="16662EE2" w:rsidR="00385836" w:rsidRDefault="00DF447A" w:rsidP="00FA2D94">
      <w:pPr>
        <w:tabs>
          <w:tab w:val="left" w:pos="720"/>
        </w:tabs>
        <w:spacing w:after="240" w:line="276" w:lineRule="auto"/>
        <w:ind w:firstLine="14"/>
      </w:pPr>
      <w:r>
        <w:object w:dxaOrig="20824" w:dyaOrig="5712" w14:anchorId="05AE0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75pt;height:269.25pt" o:ole="">
            <v:imagedata r:id="rId16" o:title=""/>
          </v:shape>
          <o:OLEObject Type="Embed" ProgID="Excel.Sheet.8" ShapeID="_x0000_i1025" DrawAspect="Content" ObjectID="_1484381929" r:id="rId17"/>
        </w:object>
      </w:r>
    </w:p>
    <w:p w14:paraId="655E9C36" w14:textId="197ACE99" w:rsidR="00385836" w:rsidRDefault="00DF447A" w:rsidP="00FA2D94">
      <w:pPr>
        <w:tabs>
          <w:tab w:val="left" w:pos="720"/>
        </w:tabs>
        <w:spacing w:after="240" w:line="276" w:lineRule="auto"/>
        <w:ind w:firstLine="14"/>
      </w:pPr>
      <w:r>
        <w:object w:dxaOrig="20824" w:dyaOrig="5712" w14:anchorId="61B58986">
          <v:shape id="_x0000_i1026" type="#_x0000_t75" style="width:782.25pt;height:261.75pt" o:ole="">
            <v:imagedata r:id="rId18" o:title=""/>
          </v:shape>
          <o:OLEObject Type="Embed" ProgID="Excel.Sheet.8" ShapeID="_x0000_i1026" DrawAspect="Content" ObjectID="_1484381930" r:id="rId19"/>
        </w:object>
      </w:r>
    </w:p>
    <w:p w14:paraId="77186493" w14:textId="40899EFC" w:rsidR="00385836" w:rsidRDefault="00DF447A" w:rsidP="00FA2D94">
      <w:pPr>
        <w:tabs>
          <w:tab w:val="left" w:pos="720"/>
        </w:tabs>
        <w:spacing w:after="240" w:line="276" w:lineRule="auto"/>
        <w:ind w:firstLine="14"/>
      </w:pPr>
      <w:r>
        <w:object w:dxaOrig="20824" w:dyaOrig="5712" w14:anchorId="549EE635">
          <v:shape id="_x0000_i1027" type="#_x0000_t75" style="width:765pt;height:257.25pt" o:ole="">
            <v:imagedata r:id="rId20" o:title=""/>
          </v:shape>
          <o:OLEObject Type="Embed" ProgID="Excel.Sheet.8" ShapeID="_x0000_i1027" DrawAspect="Content" ObjectID="_1484381931" r:id="rId21"/>
        </w:object>
      </w:r>
    </w:p>
    <w:p w14:paraId="76C74D97" w14:textId="77777777" w:rsidR="00385836" w:rsidRDefault="00385836" w:rsidP="00FA2D94">
      <w:pPr>
        <w:tabs>
          <w:tab w:val="left" w:pos="720"/>
        </w:tabs>
        <w:spacing w:after="240" w:line="276" w:lineRule="auto"/>
        <w:ind w:firstLine="14"/>
      </w:pPr>
    </w:p>
    <w:p w14:paraId="56F89CE7" w14:textId="77777777" w:rsidR="00385836" w:rsidRDefault="00385836" w:rsidP="00FA2D94">
      <w:pPr>
        <w:tabs>
          <w:tab w:val="left" w:pos="720"/>
        </w:tabs>
        <w:spacing w:after="240" w:line="276" w:lineRule="auto"/>
        <w:ind w:firstLine="14"/>
      </w:pPr>
    </w:p>
    <w:p w14:paraId="1AA83E49" w14:textId="77777777" w:rsidR="00385836" w:rsidRDefault="00385836" w:rsidP="00FA2D94">
      <w:pPr>
        <w:tabs>
          <w:tab w:val="left" w:pos="720"/>
        </w:tabs>
        <w:spacing w:after="240" w:line="276" w:lineRule="auto"/>
        <w:ind w:firstLine="14"/>
      </w:pPr>
    </w:p>
    <w:p w14:paraId="011906A2" w14:textId="1C916D7C" w:rsidR="00C713B7" w:rsidRPr="002636D4" w:rsidRDefault="00385836" w:rsidP="00FA2D94">
      <w:pPr>
        <w:tabs>
          <w:tab w:val="left" w:pos="720"/>
        </w:tabs>
        <w:spacing w:after="240" w:line="276" w:lineRule="auto"/>
        <w:ind w:firstLine="14"/>
        <w:rPr>
          <w:b/>
          <w:color w:val="000000"/>
        </w:rPr>
      </w:pPr>
      <w:r>
        <w:object w:dxaOrig="10768" w:dyaOrig="3206" w14:anchorId="47BFF3A1">
          <v:shape id="_x0000_i1028" type="#_x0000_t75" style="width:556.5pt;height:203.25pt" o:ole="">
            <v:imagedata r:id="rId22" o:title=""/>
          </v:shape>
          <o:OLEObject Type="Embed" ProgID="Excel.Sheet.8" ShapeID="_x0000_i1028" DrawAspect="Content" ObjectID="_1484381932" r:id="rId23"/>
        </w:object>
      </w:r>
      <w:r w:rsidR="002636D4">
        <w:rPr>
          <w:b/>
          <w:color w:val="000000"/>
        </w:rPr>
        <w:br w:type="page"/>
      </w:r>
      <w:r w:rsidR="00BE6991" w:rsidRPr="002636D4">
        <w:rPr>
          <w:b/>
          <w:color w:val="000000"/>
        </w:rPr>
        <w:lastRenderedPageBreak/>
        <w:t>Attachment 2. Information Requirements – Amendments to the Ferroalloys Production NESHAP</w:t>
      </w:r>
    </w:p>
    <w:tbl>
      <w:tblPr>
        <w:tblW w:w="0" w:type="auto"/>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4A0" w:firstRow="1" w:lastRow="0" w:firstColumn="1" w:lastColumn="0" w:noHBand="0" w:noVBand="1"/>
      </w:tblPr>
      <w:tblGrid>
        <w:gridCol w:w="3294"/>
        <w:gridCol w:w="3294"/>
        <w:gridCol w:w="3294"/>
        <w:gridCol w:w="3294"/>
      </w:tblGrid>
      <w:tr w:rsidR="00BE6991" w:rsidRPr="006E589E" w14:paraId="04F563C2" w14:textId="77777777" w:rsidTr="006E589E">
        <w:tc>
          <w:tcPr>
            <w:tcW w:w="3294" w:type="dxa"/>
            <w:shd w:val="clear" w:color="auto" w:fill="auto"/>
          </w:tcPr>
          <w:p w14:paraId="3820130C" w14:textId="77777777" w:rsidR="00BE6991" w:rsidRPr="006E589E" w:rsidRDefault="00BE6991" w:rsidP="006E589E">
            <w:pPr>
              <w:tabs>
                <w:tab w:val="left" w:pos="720"/>
              </w:tabs>
              <w:spacing w:after="240"/>
              <w:jc w:val="center"/>
              <w:rPr>
                <w:b/>
                <w:color w:val="000000"/>
              </w:rPr>
            </w:pPr>
            <w:r w:rsidRPr="006E589E">
              <w:rPr>
                <w:b/>
                <w:color w:val="000000"/>
              </w:rPr>
              <w:t>Requirement</w:t>
            </w:r>
          </w:p>
        </w:tc>
        <w:tc>
          <w:tcPr>
            <w:tcW w:w="3294" w:type="dxa"/>
            <w:shd w:val="clear" w:color="auto" w:fill="auto"/>
          </w:tcPr>
          <w:p w14:paraId="418794EB" w14:textId="77777777" w:rsidR="00BE6991" w:rsidRPr="006E589E" w:rsidRDefault="00BE6991" w:rsidP="006E589E">
            <w:pPr>
              <w:tabs>
                <w:tab w:val="left" w:pos="720"/>
              </w:tabs>
              <w:spacing w:after="240"/>
              <w:jc w:val="center"/>
              <w:rPr>
                <w:b/>
                <w:color w:val="000000"/>
              </w:rPr>
            </w:pPr>
            <w:r w:rsidRPr="006E589E">
              <w:rPr>
                <w:b/>
                <w:color w:val="000000"/>
              </w:rPr>
              <w:t>Citation for Existing Sources</w:t>
            </w:r>
          </w:p>
        </w:tc>
        <w:tc>
          <w:tcPr>
            <w:tcW w:w="3294" w:type="dxa"/>
            <w:shd w:val="clear" w:color="auto" w:fill="auto"/>
          </w:tcPr>
          <w:p w14:paraId="0968CD59" w14:textId="77777777" w:rsidR="00BE6991" w:rsidRPr="006E589E" w:rsidRDefault="00BE6991" w:rsidP="006E589E">
            <w:pPr>
              <w:tabs>
                <w:tab w:val="left" w:pos="720"/>
              </w:tabs>
              <w:spacing w:after="240"/>
              <w:jc w:val="center"/>
              <w:rPr>
                <w:b/>
                <w:color w:val="000000"/>
              </w:rPr>
            </w:pPr>
            <w:r w:rsidRPr="006E589E">
              <w:rPr>
                <w:b/>
                <w:color w:val="000000"/>
              </w:rPr>
              <w:t>Citation for New Sources</w:t>
            </w:r>
          </w:p>
        </w:tc>
        <w:tc>
          <w:tcPr>
            <w:tcW w:w="3294" w:type="dxa"/>
            <w:shd w:val="clear" w:color="auto" w:fill="auto"/>
          </w:tcPr>
          <w:p w14:paraId="149A77DF" w14:textId="77777777" w:rsidR="00BE6991" w:rsidRPr="006E589E" w:rsidRDefault="00BE6991" w:rsidP="006E589E">
            <w:pPr>
              <w:tabs>
                <w:tab w:val="left" w:pos="720"/>
              </w:tabs>
              <w:spacing w:after="240"/>
              <w:jc w:val="center"/>
              <w:rPr>
                <w:b/>
                <w:color w:val="000000"/>
              </w:rPr>
            </w:pPr>
            <w:r w:rsidRPr="006E589E">
              <w:rPr>
                <w:b/>
                <w:color w:val="000000"/>
              </w:rPr>
              <w:t>General Provisions Citation</w:t>
            </w:r>
          </w:p>
        </w:tc>
      </w:tr>
      <w:tr w:rsidR="00BE6991" w:rsidRPr="006E589E" w14:paraId="70E767E8" w14:textId="77777777" w:rsidTr="006E589E">
        <w:tc>
          <w:tcPr>
            <w:tcW w:w="3294" w:type="dxa"/>
            <w:shd w:val="clear" w:color="auto" w:fill="auto"/>
          </w:tcPr>
          <w:p w14:paraId="5500B05D" w14:textId="77777777" w:rsidR="00BE6991" w:rsidRPr="006E589E" w:rsidRDefault="00457A43" w:rsidP="006E589E">
            <w:pPr>
              <w:tabs>
                <w:tab w:val="left" w:pos="720"/>
              </w:tabs>
              <w:spacing w:after="240"/>
              <w:rPr>
                <w:color w:val="000000"/>
              </w:rPr>
            </w:pPr>
            <w:r w:rsidRPr="006E589E">
              <w:rPr>
                <w:color w:val="000000"/>
              </w:rPr>
              <w:t>Emission standards</w:t>
            </w:r>
          </w:p>
        </w:tc>
        <w:tc>
          <w:tcPr>
            <w:tcW w:w="3294" w:type="dxa"/>
            <w:shd w:val="clear" w:color="auto" w:fill="auto"/>
          </w:tcPr>
          <w:p w14:paraId="167AC40B"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3</w:t>
            </w:r>
            <w:r>
              <w:rPr>
                <w:color w:val="000000"/>
              </w:rPr>
              <w:t>, 63.1652</w:t>
            </w:r>
          </w:p>
        </w:tc>
        <w:tc>
          <w:tcPr>
            <w:tcW w:w="3294" w:type="dxa"/>
            <w:shd w:val="clear" w:color="auto" w:fill="auto"/>
          </w:tcPr>
          <w:p w14:paraId="7EBF8ED1"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3</w:t>
            </w:r>
            <w:r>
              <w:rPr>
                <w:color w:val="000000"/>
              </w:rPr>
              <w:t>, 63.1652</w:t>
            </w:r>
          </w:p>
        </w:tc>
        <w:tc>
          <w:tcPr>
            <w:tcW w:w="3294" w:type="dxa"/>
            <w:shd w:val="clear" w:color="auto" w:fill="auto"/>
          </w:tcPr>
          <w:p w14:paraId="15D6EA4E" w14:textId="77777777" w:rsidR="00BE6991" w:rsidRPr="006E589E" w:rsidRDefault="00BE6991" w:rsidP="006E589E">
            <w:pPr>
              <w:tabs>
                <w:tab w:val="left" w:pos="720"/>
              </w:tabs>
              <w:spacing w:after="240"/>
              <w:rPr>
                <w:color w:val="000000"/>
              </w:rPr>
            </w:pPr>
          </w:p>
        </w:tc>
      </w:tr>
      <w:tr w:rsidR="00BE6991" w:rsidRPr="006E589E" w14:paraId="35C8523F" w14:textId="77777777" w:rsidTr="006E589E">
        <w:tc>
          <w:tcPr>
            <w:tcW w:w="3294" w:type="dxa"/>
            <w:shd w:val="clear" w:color="auto" w:fill="auto"/>
          </w:tcPr>
          <w:p w14:paraId="788A2A9C" w14:textId="77777777" w:rsidR="00BE6991" w:rsidRPr="006E589E" w:rsidRDefault="00457A43" w:rsidP="006E589E">
            <w:pPr>
              <w:tabs>
                <w:tab w:val="left" w:pos="720"/>
              </w:tabs>
              <w:spacing w:after="240"/>
              <w:rPr>
                <w:color w:val="000000"/>
              </w:rPr>
            </w:pPr>
            <w:r w:rsidRPr="006E589E">
              <w:rPr>
                <w:color w:val="000000"/>
              </w:rPr>
              <w:t>Operational and work practice standards</w:t>
            </w:r>
          </w:p>
        </w:tc>
        <w:tc>
          <w:tcPr>
            <w:tcW w:w="3294" w:type="dxa"/>
            <w:shd w:val="clear" w:color="auto" w:fill="auto"/>
          </w:tcPr>
          <w:p w14:paraId="6791A246"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4</w:t>
            </w:r>
            <w:r>
              <w:rPr>
                <w:color w:val="000000"/>
              </w:rPr>
              <w:t>, 63.1654</w:t>
            </w:r>
          </w:p>
        </w:tc>
        <w:tc>
          <w:tcPr>
            <w:tcW w:w="3294" w:type="dxa"/>
            <w:shd w:val="clear" w:color="auto" w:fill="auto"/>
          </w:tcPr>
          <w:p w14:paraId="590B3E28"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4</w:t>
            </w:r>
            <w:r>
              <w:rPr>
                <w:color w:val="000000"/>
              </w:rPr>
              <w:t>63.1654</w:t>
            </w:r>
          </w:p>
        </w:tc>
        <w:tc>
          <w:tcPr>
            <w:tcW w:w="3294" w:type="dxa"/>
            <w:shd w:val="clear" w:color="auto" w:fill="auto"/>
          </w:tcPr>
          <w:p w14:paraId="1F5C5F7F" w14:textId="77777777" w:rsidR="00BE6991" w:rsidRPr="006E589E" w:rsidRDefault="00BE6991" w:rsidP="006E589E">
            <w:pPr>
              <w:tabs>
                <w:tab w:val="left" w:pos="720"/>
              </w:tabs>
              <w:spacing w:after="240"/>
              <w:rPr>
                <w:color w:val="000000"/>
              </w:rPr>
            </w:pPr>
          </w:p>
        </w:tc>
      </w:tr>
      <w:tr w:rsidR="00BE6991" w:rsidRPr="006E589E" w14:paraId="3A17B1D7" w14:textId="77777777" w:rsidTr="006E589E">
        <w:tc>
          <w:tcPr>
            <w:tcW w:w="3294" w:type="dxa"/>
            <w:shd w:val="clear" w:color="auto" w:fill="auto"/>
          </w:tcPr>
          <w:p w14:paraId="6107FCD2" w14:textId="77777777" w:rsidR="00BE6991" w:rsidRPr="006E589E" w:rsidRDefault="00457A43" w:rsidP="006E589E">
            <w:pPr>
              <w:tabs>
                <w:tab w:val="left" w:pos="720"/>
              </w:tabs>
              <w:spacing w:after="240"/>
              <w:rPr>
                <w:color w:val="000000"/>
              </w:rPr>
            </w:pPr>
            <w:r w:rsidRPr="006E589E">
              <w:rPr>
                <w:color w:val="000000"/>
              </w:rPr>
              <w:t>Performance tests</w:t>
            </w:r>
          </w:p>
        </w:tc>
        <w:tc>
          <w:tcPr>
            <w:tcW w:w="3294" w:type="dxa"/>
            <w:shd w:val="clear" w:color="auto" w:fill="auto"/>
          </w:tcPr>
          <w:p w14:paraId="0A7AFE80"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5</w:t>
            </w:r>
            <w:r>
              <w:rPr>
                <w:color w:val="000000"/>
              </w:rPr>
              <w:t>, 63.1</w:t>
            </w:r>
            <w:r w:rsidR="00395E4E">
              <w:rPr>
                <w:color w:val="000000"/>
              </w:rPr>
              <w:t>656</w:t>
            </w:r>
          </w:p>
        </w:tc>
        <w:tc>
          <w:tcPr>
            <w:tcW w:w="3294" w:type="dxa"/>
            <w:shd w:val="clear" w:color="auto" w:fill="auto"/>
          </w:tcPr>
          <w:p w14:paraId="2B8231CB"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5</w:t>
            </w:r>
            <w:r w:rsidR="00395E4E">
              <w:rPr>
                <w:color w:val="000000"/>
              </w:rPr>
              <w:t>, 63.1656</w:t>
            </w:r>
          </w:p>
        </w:tc>
        <w:tc>
          <w:tcPr>
            <w:tcW w:w="3294" w:type="dxa"/>
            <w:shd w:val="clear" w:color="auto" w:fill="auto"/>
          </w:tcPr>
          <w:p w14:paraId="3CBD028D" w14:textId="77777777" w:rsidR="00BE6991" w:rsidRPr="006E589E" w:rsidRDefault="00457A43" w:rsidP="006E589E">
            <w:pPr>
              <w:tabs>
                <w:tab w:val="left" w:pos="720"/>
              </w:tabs>
              <w:spacing w:after="240"/>
              <w:rPr>
                <w:color w:val="000000"/>
              </w:rPr>
            </w:pPr>
            <w:r w:rsidRPr="006E589E">
              <w:rPr>
                <w:color w:val="000000"/>
              </w:rPr>
              <w:t>§63.7</w:t>
            </w:r>
          </w:p>
        </w:tc>
      </w:tr>
      <w:tr w:rsidR="00BE6991" w:rsidRPr="006E589E" w14:paraId="05F917D8" w14:textId="77777777" w:rsidTr="006E589E">
        <w:tc>
          <w:tcPr>
            <w:tcW w:w="3294" w:type="dxa"/>
            <w:shd w:val="clear" w:color="auto" w:fill="auto"/>
          </w:tcPr>
          <w:p w14:paraId="3A0E5E0C" w14:textId="77777777" w:rsidR="00BE6991" w:rsidRPr="006E589E" w:rsidRDefault="00457A43" w:rsidP="006E589E">
            <w:pPr>
              <w:tabs>
                <w:tab w:val="left" w:pos="720"/>
              </w:tabs>
              <w:spacing w:after="240"/>
              <w:rPr>
                <w:color w:val="000000"/>
              </w:rPr>
            </w:pPr>
            <w:r w:rsidRPr="006E589E">
              <w:rPr>
                <w:color w:val="000000"/>
              </w:rPr>
              <w:t>Monitoring</w:t>
            </w:r>
          </w:p>
        </w:tc>
        <w:tc>
          <w:tcPr>
            <w:tcW w:w="3294" w:type="dxa"/>
            <w:shd w:val="clear" w:color="auto" w:fill="auto"/>
          </w:tcPr>
          <w:p w14:paraId="543ABD23"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6</w:t>
            </w:r>
            <w:r w:rsidR="00395E4E">
              <w:rPr>
                <w:color w:val="000000"/>
              </w:rPr>
              <w:t>, 63.1657</w:t>
            </w:r>
          </w:p>
        </w:tc>
        <w:tc>
          <w:tcPr>
            <w:tcW w:w="3294" w:type="dxa"/>
            <w:shd w:val="clear" w:color="auto" w:fill="auto"/>
          </w:tcPr>
          <w:p w14:paraId="6C76CC31" w14:textId="77777777" w:rsidR="00BE6991" w:rsidRPr="006E589E" w:rsidRDefault="006321AA" w:rsidP="006D532B">
            <w:pPr>
              <w:tabs>
                <w:tab w:val="left" w:pos="720"/>
              </w:tabs>
              <w:spacing w:after="240"/>
              <w:rPr>
                <w:color w:val="000000"/>
              </w:rPr>
            </w:pPr>
            <w:r>
              <w:rPr>
                <w:color w:val="000000"/>
              </w:rPr>
              <w:t>§</w:t>
            </w:r>
            <w:r w:rsidR="00457A43" w:rsidRPr="006E589E">
              <w:rPr>
                <w:color w:val="000000"/>
              </w:rPr>
              <w:t>§63.16</w:t>
            </w:r>
            <w:r w:rsidR="006D532B">
              <w:rPr>
                <w:color w:val="000000"/>
              </w:rPr>
              <w:t>2</w:t>
            </w:r>
            <w:r w:rsidR="00457A43" w:rsidRPr="006E589E">
              <w:rPr>
                <w:color w:val="000000"/>
              </w:rPr>
              <w:t>6</w:t>
            </w:r>
            <w:r w:rsidR="00395E4E">
              <w:rPr>
                <w:color w:val="000000"/>
              </w:rPr>
              <w:t>, 63.1657</w:t>
            </w:r>
          </w:p>
        </w:tc>
        <w:tc>
          <w:tcPr>
            <w:tcW w:w="3294" w:type="dxa"/>
            <w:shd w:val="clear" w:color="auto" w:fill="auto"/>
          </w:tcPr>
          <w:p w14:paraId="248463E5" w14:textId="77777777" w:rsidR="00BE6991" w:rsidRPr="006E589E" w:rsidRDefault="00457A43" w:rsidP="006E589E">
            <w:pPr>
              <w:tabs>
                <w:tab w:val="left" w:pos="720"/>
              </w:tabs>
              <w:spacing w:after="240"/>
              <w:rPr>
                <w:color w:val="000000"/>
              </w:rPr>
            </w:pPr>
            <w:r w:rsidRPr="006E589E">
              <w:rPr>
                <w:color w:val="000000"/>
              </w:rPr>
              <w:t>§63.8</w:t>
            </w:r>
          </w:p>
        </w:tc>
      </w:tr>
      <w:tr w:rsidR="00BE6991" w:rsidRPr="006E589E" w14:paraId="64988F48" w14:textId="77777777" w:rsidTr="006E589E">
        <w:tc>
          <w:tcPr>
            <w:tcW w:w="3294" w:type="dxa"/>
            <w:shd w:val="clear" w:color="auto" w:fill="auto"/>
          </w:tcPr>
          <w:p w14:paraId="57EFC605" w14:textId="77777777" w:rsidR="00BE6991" w:rsidRPr="006E589E" w:rsidRDefault="00457A43" w:rsidP="006E589E">
            <w:pPr>
              <w:tabs>
                <w:tab w:val="left" w:pos="720"/>
              </w:tabs>
              <w:spacing w:after="240"/>
              <w:rPr>
                <w:color w:val="000000"/>
              </w:rPr>
            </w:pPr>
            <w:r w:rsidRPr="006E589E">
              <w:rPr>
                <w:color w:val="000000"/>
              </w:rPr>
              <w:t>Notification</w:t>
            </w:r>
          </w:p>
        </w:tc>
        <w:tc>
          <w:tcPr>
            <w:tcW w:w="3294" w:type="dxa"/>
            <w:shd w:val="clear" w:color="auto" w:fill="auto"/>
          </w:tcPr>
          <w:p w14:paraId="248C9286" w14:textId="0A8C9998" w:rsidR="00BE6991" w:rsidRPr="006E589E" w:rsidRDefault="006321AA" w:rsidP="003564CB">
            <w:pPr>
              <w:tabs>
                <w:tab w:val="left" w:pos="720"/>
              </w:tabs>
              <w:spacing w:after="240"/>
              <w:rPr>
                <w:color w:val="000000"/>
              </w:rPr>
            </w:pPr>
            <w:r>
              <w:rPr>
                <w:color w:val="000000"/>
              </w:rPr>
              <w:t>§</w:t>
            </w:r>
            <w:r w:rsidR="00457A43" w:rsidRPr="006E589E">
              <w:rPr>
                <w:color w:val="000000"/>
              </w:rPr>
              <w:t>§63.16</w:t>
            </w:r>
            <w:r w:rsidR="006D532B">
              <w:rPr>
                <w:color w:val="000000"/>
              </w:rPr>
              <w:t>2</w:t>
            </w:r>
            <w:r w:rsidR="003564CB">
              <w:rPr>
                <w:color w:val="000000"/>
              </w:rPr>
              <w:t>7</w:t>
            </w:r>
            <w:r w:rsidR="00395E4E">
              <w:rPr>
                <w:color w:val="000000"/>
              </w:rPr>
              <w:t>, 63.1658</w:t>
            </w:r>
          </w:p>
        </w:tc>
        <w:tc>
          <w:tcPr>
            <w:tcW w:w="3294" w:type="dxa"/>
            <w:shd w:val="clear" w:color="auto" w:fill="auto"/>
          </w:tcPr>
          <w:p w14:paraId="3FDDD6F4" w14:textId="764F3F0B" w:rsidR="00BE6991" w:rsidRPr="006E589E" w:rsidRDefault="006321AA" w:rsidP="003564CB">
            <w:pPr>
              <w:tabs>
                <w:tab w:val="left" w:pos="720"/>
              </w:tabs>
              <w:spacing w:after="240"/>
              <w:rPr>
                <w:color w:val="000000"/>
              </w:rPr>
            </w:pPr>
            <w:r>
              <w:rPr>
                <w:color w:val="000000"/>
              </w:rPr>
              <w:t>§</w:t>
            </w:r>
            <w:r w:rsidR="00457A43" w:rsidRPr="006E589E">
              <w:rPr>
                <w:color w:val="000000"/>
              </w:rPr>
              <w:t>§63.16</w:t>
            </w:r>
            <w:r w:rsidR="006D532B">
              <w:rPr>
                <w:color w:val="000000"/>
              </w:rPr>
              <w:t>2</w:t>
            </w:r>
            <w:r w:rsidR="003564CB">
              <w:rPr>
                <w:color w:val="000000"/>
              </w:rPr>
              <w:t>7</w:t>
            </w:r>
            <w:r w:rsidR="00395E4E">
              <w:rPr>
                <w:color w:val="000000"/>
              </w:rPr>
              <w:t>, 63.1658</w:t>
            </w:r>
          </w:p>
        </w:tc>
        <w:tc>
          <w:tcPr>
            <w:tcW w:w="3294" w:type="dxa"/>
            <w:shd w:val="clear" w:color="auto" w:fill="auto"/>
          </w:tcPr>
          <w:p w14:paraId="3C8C11ED" w14:textId="77777777" w:rsidR="00BE6991" w:rsidRPr="006E589E" w:rsidRDefault="00457A43" w:rsidP="006E589E">
            <w:pPr>
              <w:tabs>
                <w:tab w:val="left" w:pos="720"/>
              </w:tabs>
              <w:spacing w:after="240"/>
              <w:rPr>
                <w:color w:val="000000"/>
              </w:rPr>
            </w:pPr>
            <w:r w:rsidRPr="006E589E">
              <w:rPr>
                <w:color w:val="000000"/>
              </w:rPr>
              <w:t>§63.9</w:t>
            </w:r>
          </w:p>
        </w:tc>
      </w:tr>
      <w:tr w:rsidR="00BE6991" w:rsidRPr="006E589E" w14:paraId="4AE7FDD7" w14:textId="77777777" w:rsidTr="006E589E">
        <w:tc>
          <w:tcPr>
            <w:tcW w:w="3294" w:type="dxa"/>
            <w:shd w:val="clear" w:color="auto" w:fill="auto"/>
          </w:tcPr>
          <w:p w14:paraId="4BBDA35C" w14:textId="77777777" w:rsidR="00BE6991" w:rsidRPr="006E589E" w:rsidRDefault="00457A43" w:rsidP="006E589E">
            <w:pPr>
              <w:tabs>
                <w:tab w:val="left" w:pos="720"/>
              </w:tabs>
              <w:spacing w:after="240"/>
              <w:rPr>
                <w:color w:val="000000"/>
              </w:rPr>
            </w:pPr>
            <w:r w:rsidRPr="006E589E">
              <w:rPr>
                <w:color w:val="000000"/>
              </w:rPr>
              <w:t>Recordkeeping and reporting</w:t>
            </w:r>
          </w:p>
        </w:tc>
        <w:tc>
          <w:tcPr>
            <w:tcW w:w="3294" w:type="dxa"/>
            <w:shd w:val="clear" w:color="auto" w:fill="auto"/>
          </w:tcPr>
          <w:p w14:paraId="4530D0F8" w14:textId="7F2E64A8" w:rsidR="00BE6991" w:rsidRPr="006E589E" w:rsidRDefault="006321AA" w:rsidP="003564CB">
            <w:pPr>
              <w:tabs>
                <w:tab w:val="left" w:pos="720"/>
              </w:tabs>
              <w:spacing w:after="240"/>
              <w:rPr>
                <w:color w:val="000000"/>
              </w:rPr>
            </w:pPr>
            <w:r>
              <w:rPr>
                <w:color w:val="000000"/>
              </w:rPr>
              <w:t>§</w:t>
            </w:r>
            <w:r w:rsidR="00457A43" w:rsidRPr="006E589E">
              <w:rPr>
                <w:color w:val="000000"/>
              </w:rPr>
              <w:t>§63.16</w:t>
            </w:r>
            <w:r w:rsidR="006D532B">
              <w:rPr>
                <w:color w:val="000000"/>
              </w:rPr>
              <w:t>2</w:t>
            </w:r>
            <w:r w:rsidR="003564CB">
              <w:rPr>
                <w:color w:val="000000"/>
              </w:rPr>
              <w:t>8</w:t>
            </w:r>
            <w:r w:rsidR="00395E4E">
              <w:rPr>
                <w:color w:val="000000"/>
              </w:rPr>
              <w:t>, 63.1659, 63.1660</w:t>
            </w:r>
          </w:p>
        </w:tc>
        <w:tc>
          <w:tcPr>
            <w:tcW w:w="3294" w:type="dxa"/>
            <w:shd w:val="clear" w:color="auto" w:fill="auto"/>
          </w:tcPr>
          <w:p w14:paraId="7CCD9E0B" w14:textId="5744EA9A" w:rsidR="00BE6991" w:rsidRPr="006E589E" w:rsidRDefault="006321AA" w:rsidP="003564CB">
            <w:pPr>
              <w:tabs>
                <w:tab w:val="left" w:pos="720"/>
              </w:tabs>
              <w:spacing w:after="240"/>
              <w:rPr>
                <w:color w:val="000000"/>
              </w:rPr>
            </w:pPr>
            <w:r>
              <w:rPr>
                <w:color w:val="000000"/>
              </w:rPr>
              <w:t>§</w:t>
            </w:r>
            <w:r w:rsidR="00457A43" w:rsidRPr="006E589E">
              <w:rPr>
                <w:color w:val="000000"/>
              </w:rPr>
              <w:t>§63.16</w:t>
            </w:r>
            <w:r w:rsidR="006D532B">
              <w:rPr>
                <w:color w:val="000000"/>
              </w:rPr>
              <w:t>2</w:t>
            </w:r>
            <w:r w:rsidR="003564CB">
              <w:rPr>
                <w:color w:val="000000"/>
              </w:rPr>
              <w:t>8</w:t>
            </w:r>
            <w:r w:rsidR="00395E4E">
              <w:rPr>
                <w:color w:val="000000"/>
              </w:rPr>
              <w:t>, 63.1659, 63.1660</w:t>
            </w:r>
          </w:p>
        </w:tc>
        <w:tc>
          <w:tcPr>
            <w:tcW w:w="3294" w:type="dxa"/>
            <w:shd w:val="clear" w:color="auto" w:fill="auto"/>
          </w:tcPr>
          <w:p w14:paraId="77351809" w14:textId="77777777" w:rsidR="00BE6991" w:rsidRPr="006E589E" w:rsidRDefault="00457A43" w:rsidP="006E589E">
            <w:pPr>
              <w:tabs>
                <w:tab w:val="left" w:pos="720"/>
              </w:tabs>
              <w:spacing w:after="240"/>
              <w:rPr>
                <w:color w:val="000000"/>
              </w:rPr>
            </w:pPr>
            <w:r w:rsidRPr="006E589E">
              <w:rPr>
                <w:color w:val="000000"/>
              </w:rPr>
              <w:t>§63.10</w:t>
            </w:r>
          </w:p>
        </w:tc>
      </w:tr>
    </w:tbl>
    <w:p w14:paraId="41020296" w14:textId="77777777" w:rsidR="00BE6991" w:rsidRDefault="00BE6991" w:rsidP="00FA2D94">
      <w:pPr>
        <w:tabs>
          <w:tab w:val="left" w:pos="720"/>
        </w:tabs>
        <w:spacing w:after="240" w:line="276" w:lineRule="auto"/>
        <w:ind w:firstLine="14"/>
        <w:rPr>
          <w:color w:val="000000"/>
        </w:rPr>
      </w:pPr>
    </w:p>
    <w:sectPr w:rsidR="00BE6991" w:rsidSect="00BE6991">
      <w:pgSz w:w="15840" w:h="12240" w:orient="landscape" w:code="1"/>
      <w:pgMar w:top="1440" w:right="1440" w:bottom="1440" w:left="1440" w:header="1008"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D0782" w14:textId="77777777" w:rsidR="002E37F2" w:rsidRDefault="002E37F2">
      <w:r>
        <w:separator/>
      </w:r>
    </w:p>
  </w:endnote>
  <w:endnote w:type="continuationSeparator" w:id="0">
    <w:p w14:paraId="0EE19EA5" w14:textId="77777777" w:rsidR="002E37F2" w:rsidRDefault="002E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DDC5" w14:textId="77777777" w:rsidR="00AC0F1B" w:rsidRDefault="00AC0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3BBED0" w14:textId="77777777" w:rsidR="00AC0F1B" w:rsidRDefault="00AC0F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564D" w14:textId="77777777" w:rsidR="002E37F2" w:rsidRDefault="002E37F2">
      <w:r>
        <w:separator/>
      </w:r>
    </w:p>
  </w:footnote>
  <w:footnote w:type="continuationSeparator" w:id="0">
    <w:p w14:paraId="6D023AE5" w14:textId="77777777" w:rsidR="002E37F2" w:rsidRDefault="002E37F2">
      <w:r>
        <w:continuationSeparator/>
      </w:r>
    </w:p>
  </w:footnote>
  <w:footnote w:id="1">
    <w:p w14:paraId="7F4F4630" w14:textId="154D909B" w:rsidR="009F538B" w:rsidRDefault="009F538B" w:rsidP="009F538B">
      <w:pPr>
        <w:pStyle w:val="FootnoteText"/>
      </w:pPr>
      <w:r>
        <w:rPr>
          <w:rStyle w:val="FootnoteReference"/>
        </w:rPr>
        <w:footnoteRef/>
      </w:r>
      <w:r>
        <w:t xml:space="preserve"> May </w:t>
      </w:r>
      <w:r w:rsidR="002014D8">
        <w:t xml:space="preserve">2012 </w:t>
      </w:r>
      <w:r>
        <w:t xml:space="preserve">National Industry-Specific Occupational Employment and Wage Estimates.  Located </w:t>
      </w:r>
      <w:r w:rsidR="0075795D" w:rsidRPr="0075795D">
        <w:t>http://www.bls.gov/oes/current/naics4_331100.htm#11-0000</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0F9F" w14:textId="77777777" w:rsidR="00AC0F1B" w:rsidRDefault="00AC0F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245">
      <w:rPr>
        <w:rStyle w:val="PageNumber"/>
        <w:noProof/>
      </w:rPr>
      <w:t>11</w:t>
    </w:r>
    <w:r>
      <w:rPr>
        <w:rStyle w:val="PageNumber"/>
      </w:rPr>
      <w:fldChar w:fldCharType="end"/>
    </w:r>
  </w:p>
  <w:p w14:paraId="4BCB23BF" w14:textId="77777777" w:rsidR="00AC0F1B" w:rsidRDefault="00AC0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3732" w14:textId="77777777" w:rsidR="00AC0F1B" w:rsidRDefault="00AC0F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5CA">
      <w:rPr>
        <w:rStyle w:val="PageNumber"/>
        <w:noProof/>
      </w:rPr>
      <w:t>16</w:t>
    </w:r>
    <w:r>
      <w:rPr>
        <w:rStyle w:val="PageNumber"/>
      </w:rPr>
      <w:fldChar w:fldCharType="end"/>
    </w:r>
  </w:p>
  <w:p w14:paraId="24105720" w14:textId="77777777" w:rsidR="00AC0F1B" w:rsidRDefault="00AC0F1B">
    <w:pPr>
      <w:spacing w:line="240" w:lineRule="exact"/>
    </w:pPr>
  </w:p>
  <w:p w14:paraId="21EB37ED" w14:textId="77777777" w:rsidR="00AC0F1B" w:rsidRDefault="00AC0F1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11C21C7"/>
    <w:multiLevelType w:val="hybridMultilevel"/>
    <w:tmpl w:val="1C844C24"/>
    <w:lvl w:ilvl="0" w:tplc="BB9CDDCA">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B7"/>
    <w:rsid w:val="0000063A"/>
    <w:rsid w:val="00011FD8"/>
    <w:rsid w:val="00040D10"/>
    <w:rsid w:val="00047CBF"/>
    <w:rsid w:val="000625CA"/>
    <w:rsid w:val="000716A3"/>
    <w:rsid w:val="000B5A20"/>
    <w:rsid w:val="000C7A70"/>
    <w:rsid w:val="00112559"/>
    <w:rsid w:val="00134E56"/>
    <w:rsid w:val="00135DD4"/>
    <w:rsid w:val="00145A7E"/>
    <w:rsid w:val="001A3C69"/>
    <w:rsid w:val="001A7872"/>
    <w:rsid w:val="001D1D65"/>
    <w:rsid w:val="001D376B"/>
    <w:rsid w:val="001F1FF6"/>
    <w:rsid w:val="001F7083"/>
    <w:rsid w:val="002014D8"/>
    <w:rsid w:val="002158B5"/>
    <w:rsid w:val="002260D6"/>
    <w:rsid w:val="0024518C"/>
    <w:rsid w:val="002612B8"/>
    <w:rsid w:val="002636D4"/>
    <w:rsid w:val="00275C97"/>
    <w:rsid w:val="00295A12"/>
    <w:rsid w:val="002D2777"/>
    <w:rsid w:val="002E37F2"/>
    <w:rsid w:val="002F4FCD"/>
    <w:rsid w:val="002F67AA"/>
    <w:rsid w:val="003564CB"/>
    <w:rsid w:val="00363A1F"/>
    <w:rsid w:val="0037211E"/>
    <w:rsid w:val="00383DE0"/>
    <w:rsid w:val="00385836"/>
    <w:rsid w:val="00395E4E"/>
    <w:rsid w:val="003A0061"/>
    <w:rsid w:val="003B1D8F"/>
    <w:rsid w:val="003B31A2"/>
    <w:rsid w:val="003F22E4"/>
    <w:rsid w:val="003F540B"/>
    <w:rsid w:val="004128DD"/>
    <w:rsid w:val="00416235"/>
    <w:rsid w:val="004539F6"/>
    <w:rsid w:val="0045402C"/>
    <w:rsid w:val="00457A43"/>
    <w:rsid w:val="004606BD"/>
    <w:rsid w:val="00490D96"/>
    <w:rsid w:val="00492248"/>
    <w:rsid w:val="004C40DF"/>
    <w:rsid w:val="004C425C"/>
    <w:rsid w:val="004C7374"/>
    <w:rsid w:val="004E1EDE"/>
    <w:rsid w:val="004E5C9A"/>
    <w:rsid w:val="0056349B"/>
    <w:rsid w:val="00583B48"/>
    <w:rsid w:val="005B3E68"/>
    <w:rsid w:val="005C547A"/>
    <w:rsid w:val="005D0D08"/>
    <w:rsid w:val="005D315D"/>
    <w:rsid w:val="005E4E9C"/>
    <w:rsid w:val="00604930"/>
    <w:rsid w:val="006321AA"/>
    <w:rsid w:val="00641AFA"/>
    <w:rsid w:val="00661245"/>
    <w:rsid w:val="006654E2"/>
    <w:rsid w:val="006766D6"/>
    <w:rsid w:val="006777A3"/>
    <w:rsid w:val="006821C0"/>
    <w:rsid w:val="006862CB"/>
    <w:rsid w:val="00687558"/>
    <w:rsid w:val="00696CCD"/>
    <w:rsid w:val="006A6C4F"/>
    <w:rsid w:val="006B18B1"/>
    <w:rsid w:val="006B40AD"/>
    <w:rsid w:val="006B58F8"/>
    <w:rsid w:val="006C3450"/>
    <w:rsid w:val="006D532B"/>
    <w:rsid w:val="006E589E"/>
    <w:rsid w:val="006F0CE2"/>
    <w:rsid w:val="00732776"/>
    <w:rsid w:val="007415CE"/>
    <w:rsid w:val="007528CC"/>
    <w:rsid w:val="0075795D"/>
    <w:rsid w:val="0077661C"/>
    <w:rsid w:val="0078769B"/>
    <w:rsid w:val="007C40DE"/>
    <w:rsid w:val="007C521B"/>
    <w:rsid w:val="007D4E98"/>
    <w:rsid w:val="00802C48"/>
    <w:rsid w:val="00813E79"/>
    <w:rsid w:val="00825E2D"/>
    <w:rsid w:val="00896668"/>
    <w:rsid w:val="008A0069"/>
    <w:rsid w:val="008B2036"/>
    <w:rsid w:val="008F4988"/>
    <w:rsid w:val="008F5B9E"/>
    <w:rsid w:val="00910B70"/>
    <w:rsid w:val="00920D56"/>
    <w:rsid w:val="00944C2C"/>
    <w:rsid w:val="0095183F"/>
    <w:rsid w:val="009530AD"/>
    <w:rsid w:val="00954AC4"/>
    <w:rsid w:val="0098296E"/>
    <w:rsid w:val="00986436"/>
    <w:rsid w:val="009A3F72"/>
    <w:rsid w:val="009A6938"/>
    <w:rsid w:val="009B345F"/>
    <w:rsid w:val="009B6B38"/>
    <w:rsid w:val="009E3F31"/>
    <w:rsid w:val="009F538B"/>
    <w:rsid w:val="00A30540"/>
    <w:rsid w:val="00A3567B"/>
    <w:rsid w:val="00A41CB9"/>
    <w:rsid w:val="00A949C0"/>
    <w:rsid w:val="00AA17A4"/>
    <w:rsid w:val="00AC0F1B"/>
    <w:rsid w:val="00AD4753"/>
    <w:rsid w:val="00AD6BAB"/>
    <w:rsid w:val="00B030F6"/>
    <w:rsid w:val="00B22121"/>
    <w:rsid w:val="00B263D5"/>
    <w:rsid w:val="00B475BC"/>
    <w:rsid w:val="00B57969"/>
    <w:rsid w:val="00B66C8A"/>
    <w:rsid w:val="00B767BC"/>
    <w:rsid w:val="00B832FF"/>
    <w:rsid w:val="00BC2D64"/>
    <w:rsid w:val="00BE6991"/>
    <w:rsid w:val="00C10747"/>
    <w:rsid w:val="00C15799"/>
    <w:rsid w:val="00C2632B"/>
    <w:rsid w:val="00C60A86"/>
    <w:rsid w:val="00C65AB6"/>
    <w:rsid w:val="00C713B7"/>
    <w:rsid w:val="00C955A0"/>
    <w:rsid w:val="00CA708C"/>
    <w:rsid w:val="00CB16FF"/>
    <w:rsid w:val="00CB320E"/>
    <w:rsid w:val="00CC69E2"/>
    <w:rsid w:val="00CE7EEB"/>
    <w:rsid w:val="00D027CE"/>
    <w:rsid w:val="00D078A9"/>
    <w:rsid w:val="00D24EDD"/>
    <w:rsid w:val="00D31626"/>
    <w:rsid w:val="00D34531"/>
    <w:rsid w:val="00D50872"/>
    <w:rsid w:val="00D86179"/>
    <w:rsid w:val="00DB0246"/>
    <w:rsid w:val="00DC1EDC"/>
    <w:rsid w:val="00DC6E06"/>
    <w:rsid w:val="00DD1A9E"/>
    <w:rsid w:val="00DE2993"/>
    <w:rsid w:val="00DF3698"/>
    <w:rsid w:val="00DF447A"/>
    <w:rsid w:val="00DF5BB6"/>
    <w:rsid w:val="00E032FA"/>
    <w:rsid w:val="00E123D6"/>
    <w:rsid w:val="00E1399D"/>
    <w:rsid w:val="00E1617B"/>
    <w:rsid w:val="00E27501"/>
    <w:rsid w:val="00E66659"/>
    <w:rsid w:val="00E7490A"/>
    <w:rsid w:val="00EE71F6"/>
    <w:rsid w:val="00EF5F90"/>
    <w:rsid w:val="00EF715E"/>
    <w:rsid w:val="00F05A59"/>
    <w:rsid w:val="00F32ADE"/>
    <w:rsid w:val="00F8441A"/>
    <w:rsid w:val="00F923CF"/>
    <w:rsid w:val="00F94928"/>
    <w:rsid w:val="00F97191"/>
    <w:rsid w:val="00FA2D94"/>
    <w:rsid w:val="00FF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571410C6"/>
  <w15:docId w15:val="{151C6B31-E4F8-416C-AED1-808151ED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1440" w:hanging="720"/>
    </w:pPr>
  </w:style>
  <w:style w:type="character" w:customStyle="1" w:styleId="1">
    <w:name w:val="1"/>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rsid w:val="00A30540"/>
    <w:rPr>
      <w:sz w:val="16"/>
      <w:szCs w:val="16"/>
    </w:rPr>
  </w:style>
  <w:style w:type="paragraph" w:styleId="CommentText">
    <w:name w:val="annotation text"/>
    <w:basedOn w:val="Normal"/>
    <w:link w:val="CommentTextChar"/>
    <w:rsid w:val="00A30540"/>
    <w:rPr>
      <w:sz w:val="20"/>
      <w:szCs w:val="20"/>
    </w:rPr>
  </w:style>
  <w:style w:type="character" w:customStyle="1" w:styleId="CommentTextChar">
    <w:name w:val="Comment Text Char"/>
    <w:basedOn w:val="DefaultParagraphFont"/>
    <w:link w:val="CommentText"/>
    <w:rsid w:val="00A30540"/>
  </w:style>
  <w:style w:type="paragraph" w:styleId="CommentSubject">
    <w:name w:val="annotation subject"/>
    <w:basedOn w:val="CommentText"/>
    <w:next w:val="CommentText"/>
    <w:link w:val="CommentSubjectChar"/>
    <w:rsid w:val="00A30540"/>
    <w:rPr>
      <w:b/>
      <w:bCs/>
    </w:rPr>
  </w:style>
  <w:style w:type="character" w:customStyle="1" w:styleId="CommentSubjectChar">
    <w:name w:val="Comment Subject Char"/>
    <w:link w:val="CommentSubject"/>
    <w:rsid w:val="00A30540"/>
    <w:rPr>
      <w:b/>
      <w:bCs/>
    </w:rPr>
  </w:style>
  <w:style w:type="paragraph" w:styleId="BalloonText">
    <w:name w:val="Balloon Text"/>
    <w:basedOn w:val="Normal"/>
    <w:link w:val="BalloonTextChar"/>
    <w:rsid w:val="00A30540"/>
    <w:rPr>
      <w:rFonts w:ascii="Tahoma" w:hAnsi="Tahoma" w:cs="Tahoma"/>
      <w:sz w:val="16"/>
      <w:szCs w:val="16"/>
    </w:rPr>
  </w:style>
  <w:style w:type="character" w:customStyle="1" w:styleId="BalloonTextChar">
    <w:name w:val="Balloon Text Char"/>
    <w:link w:val="BalloonText"/>
    <w:rsid w:val="00A30540"/>
    <w:rPr>
      <w:rFonts w:ascii="Tahoma" w:hAnsi="Tahoma" w:cs="Tahoma"/>
      <w:sz w:val="16"/>
      <w:szCs w:val="16"/>
    </w:rPr>
  </w:style>
  <w:style w:type="character" w:customStyle="1" w:styleId="HeaderChar">
    <w:name w:val="Header Char"/>
    <w:link w:val="Header"/>
    <w:uiPriority w:val="99"/>
    <w:rsid w:val="00A30540"/>
    <w:rPr>
      <w:sz w:val="24"/>
      <w:szCs w:val="24"/>
    </w:rPr>
  </w:style>
  <w:style w:type="character" w:customStyle="1" w:styleId="eudoraheader">
    <w:name w:val="eudoraheader"/>
    <w:rsid w:val="00C65AB6"/>
  </w:style>
  <w:style w:type="paragraph" w:styleId="PlainText">
    <w:name w:val="Plain Text"/>
    <w:basedOn w:val="Normal"/>
    <w:link w:val="PlainTextChar"/>
    <w:uiPriority w:val="99"/>
    <w:unhideWhenUsed/>
    <w:rsid w:val="00C65AB6"/>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C65AB6"/>
    <w:rPr>
      <w:rFonts w:ascii="Calibri" w:eastAsia="Calibri" w:hAnsi="Calibri"/>
      <w:sz w:val="22"/>
      <w:szCs w:val="21"/>
    </w:rPr>
  </w:style>
  <w:style w:type="table" w:styleId="TableGrid">
    <w:name w:val="Table Grid"/>
    <w:basedOn w:val="TableNormal"/>
    <w:rsid w:val="00BE6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F538B"/>
    <w:rPr>
      <w:color w:val="0000FF"/>
      <w:u w:val="single"/>
    </w:rPr>
  </w:style>
  <w:style w:type="paragraph" w:styleId="FootnoteText">
    <w:name w:val="footnote text"/>
    <w:basedOn w:val="Normal"/>
    <w:link w:val="FootnoteTextChar"/>
    <w:uiPriority w:val="99"/>
    <w:rsid w:val="009F538B"/>
    <w:rPr>
      <w:sz w:val="20"/>
      <w:szCs w:val="20"/>
    </w:rPr>
  </w:style>
  <w:style w:type="character" w:customStyle="1" w:styleId="FootnoteTextChar">
    <w:name w:val="Footnote Text Char"/>
    <w:basedOn w:val="DefaultParagraphFont"/>
    <w:link w:val="FootnoteText"/>
    <w:uiPriority w:val="99"/>
    <w:rsid w:val="009F538B"/>
  </w:style>
  <w:style w:type="character" w:styleId="FollowedHyperlink">
    <w:name w:val="FollowedHyperlink"/>
    <w:rsid w:val="009F53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6327">
      <w:bodyDiv w:val="1"/>
      <w:marLeft w:val="0"/>
      <w:marRight w:val="0"/>
      <w:marTop w:val="0"/>
      <w:marBottom w:val="0"/>
      <w:divBdr>
        <w:top w:val="none" w:sz="0" w:space="0" w:color="auto"/>
        <w:left w:val="none" w:sz="0" w:space="0" w:color="auto"/>
        <w:bottom w:val="none" w:sz="0" w:space="0" w:color="auto"/>
        <w:right w:val="none" w:sz="0" w:space="0" w:color="auto"/>
      </w:divBdr>
    </w:div>
    <w:div w:id="294717573">
      <w:bodyDiv w:val="1"/>
      <w:marLeft w:val="0"/>
      <w:marRight w:val="0"/>
      <w:marTop w:val="0"/>
      <w:marBottom w:val="0"/>
      <w:divBdr>
        <w:top w:val="none" w:sz="0" w:space="0" w:color="auto"/>
        <w:left w:val="none" w:sz="0" w:space="0" w:color="auto"/>
        <w:bottom w:val="none" w:sz="0" w:space="0" w:color="auto"/>
        <w:right w:val="none" w:sz="0" w:space="0" w:color="auto"/>
      </w:divBdr>
    </w:div>
    <w:div w:id="349843950">
      <w:bodyDiv w:val="1"/>
      <w:marLeft w:val="0"/>
      <w:marRight w:val="0"/>
      <w:marTop w:val="0"/>
      <w:marBottom w:val="0"/>
      <w:divBdr>
        <w:top w:val="none" w:sz="0" w:space="0" w:color="auto"/>
        <w:left w:val="none" w:sz="0" w:space="0" w:color="auto"/>
        <w:bottom w:val="none" w:sz="0" w:space="0" w:color="auto"/>
        <w:right w:val="none" w:sz="0" w:space="0" w:color="auto"/>
      </w:divBdr>
    </w:div>
    <w:div w:id="837041701">
      <w:bodyDiv w:val="1"/>
      <w:marLeft w:val="0"/>
      <w:marRight w:val="0"/>
      <w:marTop w:val="0"/>
      <w:marBottom w:val="0"/>
      <w:divBdr>
        <w:top w:val="none" w:sz="0" w:space="0" w:color="auto"/>
        <w:left w:val="none" w:sz="0" w:space="0" w:color="auto"/>
        <w:bottom w:val="none" w:sz="0" w:space="0" w:color="auto"/>
        <w:right w:val="none" w:sz="0" w:space="0" w:color="auto"/>
      </w:divBdr>
    </w:div>
    <w:div w:id="14498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2.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Microsoft_Excel_97-2003_Worksheet3.xls"/><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Excel_97-2003_Worksheet1.xls"/><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Microsoft_Excel_97-2003_Worksheet4.xls"/><Relationship Id="rId10" Type="http://schemas.openxmlformats.org/officeDocument/2006/relationships/header" Target="header2.xml"/><Relationship Id="rId19" Type="http://schemas.openxmlformats.org/officeDocument/2006/relationships/oleObject" Target="embeddings/Microsoft_Excel_97-2003_Worksheet2.xls"/><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9D6D-6112-4294-AB87-0783289D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24781</CharactersWithSpaces>
  <SharedDoc>false</SharedDoc>
  <HLinks>
    <vt:vector size="6" baseType="variant">
      <vt:variant>
        <vt:i4>262217</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2014-05-21T14:43:00Z</cp:lastPrinted>
  <dcterms:created xsi:type="dcterms:W3CDTF">2015-02-02T16:32:00Z</dcterms:created>
  <dcterms:modified xsi:type="dcterms:W3CDTF">2015-02-02T16:32:00Z</dcterms:modified>
</cp:coreProperties>
</file>