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87BC96" w14:textId="77777777" w:rsidR="00CB5FEA" w:rsidRPr="00E141E0" w:rsidRDefault="00CB5FEA">
      <w:pPr>
        <w:widowControl/>
        <w:tabs>
          <w:tab w:val="center" w:pos="4680"/>
        </w:tabs>
        <w:rPr>
          <w:sz w:val="26"/>
          <w:szCs w:val="26"/>
        </w:rPr>
      </w:pPr>
      <w:r w:rsidRPr="00E141E0">
        <w:rPr>
          <w:sz w:val="26"/>
          <w:szCs w:val="26"/>
        </w:rPr>
        <w:tab/>
        <w:t>UNITED STATES OF AMERICA</w:t>
      </w:r>
    </w:p>
    <w:p w14:paraId="5887BC97" w14:textId="77777777" w:rsidR="00CB5FEA" w:rsidRPr="00E141E0" w:rsidRDefault="00CB5FEA">
      <w:pPr>
        <w:widowControl/>
        <w:tabs>
          <w:tab w:val="center" w:pos="4680"/>
        </w:tabs>
        <w:rPr>
          <w:sz w:val="26"/>
          <w:szCs w:val="26"/>
        </w:rPr>
      </w:pPr>
      <w:r w:rsidRPr="00E141E0">
        <w:rPr>
          <w:sz w:val="26"/>
          <w:szCs w:val="26"/>
        </w:rPr>
        <w:tab/>
        <w:t>FEDERAL ENERGY REGULATORY COMMISSION</w:t>
      </w:r>
    </w:p>
    <w:p w14:paraId="5887BC98" w14:textId="77777777" w:rsidR="00CB5FEA" w:rsidRPr="00E141E0" w:rsidRDefault="00CB5FEA">
      <w:pPr>
        <w:widowControl/>
        <w:rPr>
          <w:sz w:val="26"/>
          <w:szCs w:val="26"/>
        </w:rPr>
      </w:pPr>
    </w:p>
    <w:p w14:paraId="5887BC99" w14:textId="2C189589" w:rsidR="00CB5FEA" w:rsidRDefault="00CB5FEA">
      <w:pPr>
        <w:widowControl/>
        <w:tabs>
          <w:tab w:val="center" w:pos="4680"/>
        </w:tabs>
        <w:rPr>
          <w:sz w:val="26"/>
          <w:szCs w:val="26"/>
        </w:rPr>
      </w:pPr>
      <w:r w:rsidRPr="00E141E0">
        <w:rPr>
          <w:sz w:val="26"/>
          <w:szCs w:val="26"/>
        </w:rPr>
        <w:tab/>
        <w:t>(</w:t>
      </w:r>
      <w:r w:rsidR="00F60AC7" w:rsidRPr="00E141E0">
        <w:rPr>
          <w:sz w:val="26"/>
          <w:szCs w:val="26"/>
        </w:rPr>
        <w:t>Docket No.</w:t>
      </w:r>
      <w:r w:rsidR="00CA3D1F" w:rsidRPr="00E141E0">
        <w:rPr>
          <w:sz w:val="26"/>
          <w:szCs w:val="26"/>
        </w:rPr>
        <w:t xml:space="preserve"> </w:t>
      </w:r>
      <w:r w:rsidR="00953329" w:rsidRPr="00E141E0">
        <w:rPr>
          <w:sz w:val="26"/>
          <w:szCs w:val="26"/>
        </w:rPr>
        <w:t>RD15-2</w:t>
      </w:r>
      <w:r w:rsidR="00CA3D1F" w:rsidRPr="00E141E0">
        <w:rPr>
          <w:sz w:val="26"/>
          <w:szCs w:val="26"/>
        </w:rPr>
        <w:t>-000</w:t>
      </w:r>
      <w:r w:rsidRPr="00E141E0">
        <w:rPr>
          <w:sz w:val="26"/>
          <w:szCs w:val="26"/>
        </w:rPr>
        <w:t>)</w:t>
      </w:r>
      <w:bookmarkStart w:id="0" w:name="_GoBack"/>
      <w:bookmarkEnd w:id="0"/>
    </w:p>
    <w:p w14:paraId="07E271F5" w14:textId="77777777" w:rsidR="00AC3216" w:rsidRPr="00E141E0" w:rsidRDefault="00AC3216">
      <w:pPr>
        <w:widowControl/>
        <w:tabs>
          <w:tab w:val="center" w:pos="4680"/>
        </w:tabs>
        <w:rPr>
          <w:sz w:val="26"/>
          <w:szCs w:val="26"/>
        </w:rPr>
      </w:pPr>
    </w:p>
    <w:p w14:paraId="5887BC9A" w14:textId="48C756A6" w:rsidR="00CB5FEA" w:rsidRDefault="00AC3216" w:rsidP="00AC3216">
      <w:pPr>
        <w:widowControl/>
        <w:jc w:val="center"/>
        <w:rPr>
          <w:sz w:val="26"/>
          <w:szCs w:val="26"/>
        </w:rPr>
      </w:pPr>
      <w:r w:rsidRPr="00AC3216">
        <w:rPr>
          <w:sz w:val="26"/>
          <w:szCs w:val="26"/>
        </w:rPr>
        <w:t>(May 21, 2015)</w:t>
      </w:r>
    </w:p>
    <w:p w14:paraId="3A80ABB9" w14:textId="77777777" w:rsidR="00AC3216" w:rsidRPr="00E141E0" w:rsidRDefault="00AC3216">
      <w:pPr>
        <w:widowControl/>
        <w:rPr>
          <w:sz w:val="26"/>
          <w:szCs w:val="26"/>
        </w:rPr>
      </w:pPr>
    </w:p>
    <w:p w14:paraId="09E5EA25" w14:textId="096A3D04" w:rsidR="00CD2927" w:rsidRPr="00CD2927" w:rsidRDefault="00CD2927" w:rsidP="00BE7B46">
      <w:pPr>
        <w:widowControl/>
        <w:tabs>
          <w:tab w:val="center" w:pos="4680"/>
        </w:tabs>
        <w:jc w:val="center"/>
        <w:rPr>
          <w:sz w:val="26"/>
          <w:szCs w:val="26"/>
        </w:rPr>
      </w:pPr>
      <w:r w:rsidRPr="00CD2927">
        <w:rPr>
          <w:sz w:val="26"/>
          <w:szCs w:val="26"/>
        </w:rPr>
        <w:t>COMMISSION INFORMATION COLLECTION ACTIVITIES (FERC-725</w:t>
      </w:r>
      <w:r>
        <w:rPr>
          <w:sz w:val="26"/>
          <w:szCs w:val="26"/>
        </w:rPr>
        <w:t>G</w:t>
      </w:r>
      <w:r w:rsidRPr="00CD2927">
        <w:rPr>
          <w:sz w:val="26"/>
          <w:szCs w:val="26"/>
        </w:rPr>
        <w:t>);</w:t>
      </w:r>
    </w:p>
    <w:p w14:paraId="5887BC9C" w14:textId="080FCDD1" w:rsidR="00CB5FEA" w:rsidRPr="00E141E0" w:rsidRDefault="00CD2927" w:rsidP="001D7D03">
      <w:pPr>
        <w:widowControl/>
        <w:jc w:val="center"/>
        <w:rPr>
          <w:sz w:val="26"/>
          <w:szCs w:val="26"/>
        </w:rPr>
      </w:pPr>
      <w:r w:rsidRPr="00CD2927">
        <w:rPr>
          <w:sz w:val="26"/>
          <w:szCs w:val="26"/>
        </w:rPr>
        <w:t>COMMENT REQUEST</w:t>
      </w:r>
    </w:p>
    <w:p w14:paraId="28B3ECF4" w14:textId="77777777" w:rsidR="00F753E8" w:rsidRPr="00E141E0" w:rsidRDefault="00F753E8" w:rsidP="00F753E8">
      <w:pPr>
        <w:widowControl/>
        <w:tabs>
          <w:tab w:val="center" w:pos="4680"/>
        </w:tabs>
        <w:rPr>
          <w:sz w:val="26"/>
          <w:szCs w:val="26"/>
        </w:rPr>
      </w:pPr>
    </w:p>
    <w:p w14:paraId="5887BC9F" w14:textId="77777777" w:rsidR="00CB5FEA" w:rsidRPr="00E141E0" w:rsidRDefault="00CB5FEA">
      <w:pPr>
        <w:widowControl/>
        <w:spacing w:line="480" w:lineRule="auto"/>
        <w:rPr>
          <w:sz w:val="26"/>
          <w:szCs w:val="26"/>
        </w:rPr>
      </w:pPr>
      <w:r w:rsidRPr="00E141E0">
        <w:rPr>
          <w:b/>
          <w:bCs/>
          <w:sz w:val="26"/>
          <w:szCs w:val="26"/>
        </w:rPr>
        <w:t xml:space="preserve">AGENCY:  </w:t>
      </w:r>
      <w:r w:rsidRPr="00E141E0">
        <w:rPr>
          <w:sz w:val="26"/>
          <w:szCs w:val="26"/>
        </w:rPr>
        <w:t>Federal Energy Regulatory Commission</w:t>
      </w:r>
    </w:p>
    <w:p w14:paraId="5887BCA0" w14:textId="694F1128" w:rsidR="00CB5FEA" w:rsidRPr="00E141E0" w:rsidRDefault="00CB5FEA">
      <w:pPr>
        <w:widowControl/>
        <w:spacing w:line="480" w:lineRule="auto"/>
        <w:rPr>
          <w:sz w:val="26"/>
          <w:szCs w:val="26"/>
        </w:rPr>
      </w:pPr>
      <w:r w:rsidRPr="00E141E0">
        <w:rPr>
          <w:b/>
          <w:bCs/>
          <w:sz w:val="26"/>
          <w:szCs w:val="26"/>
        </w:rPr>
        <w:t>ACTION:</w:t>
      </w:r>
      <w:r w:rsidRPr="00E141E0">
        <w:rPr>
          <w:sz w:val="26"/>
          <w:szCs w:val="26"/>
        </w:rPr>
        <w:t xml:space="preserve">  </w:t>
      </w:r>
      <w:r w:rsidR="008A1555" w:rsidRPr="00E141E0">
        <w:rPr>
          <w:sz w:val="26"/>
          <w:szCs w:val="26"/>
        </w:rPr>
        <w:t>Notice</w:t>
      </w:r>
      <w:r w:rsidR="00D55AF3" w:rsidRPr="00E141E0">
        <w:rPr>
          <w:sz w:val="26"/>
          <w:szCs w:val="26"/>
        </w:rPr>
        <w:t xml:space="preserve"> </w:t>
      </w:r>
      <w:r w:rsidR="00CD2927" w:rsidRPr="00CD2927">
        <w:rPr>
          <w:sz w:val="26"/>
          <w:szCs w:val="26"/>
        </w:rPr>
        <w:t xml:space="preserve">of information collection </w:t>
      </w:r>
      <w:r w:rsidR="00D55AF3" w:rsidRPr="00E141E0">
        <w:rPr>
          <w:sz w:val="26"/>
          <w:szCs w:val="26"/>
        </w:rPr>
        <w:t xml:space="preserve">and </w:t>
      </w:r>
      <w:r w:rsidR="00CD2927">
        <w:rPr>
          <w:sz w:val="26"/>
          <w:szCs w:val="26"/>
        </w:rPr>
        <w:t>r</w:t>
      </w:r>
      <w:r w:rsidR="00D55AF3" w:rsidRPr="00E141E0">
        <w:rPr>
          <w:sz w:val="26"/>
          <w:szCs w:val="26"/>
        </w:rPr>
        <w:t xml:space="preserve">equest for </w:t>
      </w:r>
      <w:r w:rsidR="00CD2927">
        <w:rPr>
          <w:sz w:val="26"/>
          <w:szCs w:val="26"/>
        </w:rPr>
        <w:t>c</w:t>
      </w:r>
      <w:r w:rsidR="00D55AF3" w:rsidRPr="00E141E0">
        <w:rPr>
          <w:sz w:val="26"/>
          <w:szCs w:val="26"/>
        </w:rPr>
        <w:t>omments</w:t>
      </w:r>
    </w:p>
    <w:p w14:paraId="6C616CC4" w14:textId="2A4A1C0A" w:rsidR="00CD2927" w:rsidRPr="00CD2927" w:rsidRDefault="00CB5FEA" w:rsidP="00CD2927">
      <w:pPr>
        <w:spacing w:line="480" w:lineRule="auto"/>
        <w:rPr>
          <w:sz w:val="26"/>
        </w:rPr>
      </w:pPr>
      <w:r w:rsidRPr="00E141E0">
        <w:rPr>
          <w:b/>
          <w:sz w:val="26"/>
          <w:szCs w:val="26"/>
        </w:rPr>
        <w:t>SUMMARY:</w:t>
      </w:r>
      <w:r w:rsidR="00F60AC7" w:rsidRPr="00E141E0">
        <w:rPr>
          <w:b/>
          <w:sz w:val="26"/>
          <w:szCs w:val="26"/>
        </w:rPr>
        <w:t xml:space="preserve">  </w:t>
      </w:r>
      <w:r w:rsidR="00CD2927" w:rsidRPr="00CD2927">
        <w:rPr>
          <w:sz w:val="26"/>
        </w:rPr>
        <w:t>In compliance with the requirements of the Paperwork Reduction Act of 1995, 44 USC 3507(a)(1)(D)</w:t>
      </w:r>
      <w:r w:rsidR="00984200">
        <w:rPr>
          <w:sz w:val="26"/>
        </w:rPr>
        <w:t xml:space="preserve"> and the Office of Management and Budget’s implementing regulations</w:t>
      </w:r>
      <w:r w:rsidR="00CD2927" w:rsidRPr="00CD2927">
        <w:rPr>
          <w:sz w:val="26"/>
        </w:rPr>
        <w:t>, the Federal Energy Regulatory Commission (Commission or FERC) is soliciting public comment on the information collection, FERC-725</w:t>
      </w:r>
      <w:r w:rsidR="00CD2927">
        <w:rPr>
          <w:sz w:val="26"/>
        </w:rPr>
        <w:t>G</w:t>
      </w:r>
      <w:r w:rsidR="00CD2927" w:rsidRPr="00CD2927">
        <w:rPr>
          <w:sz w:val="26"/>
        </w:rPr>
        <w:t xml:space="preserve"> (Mandatory Reliability Standards for the Bulk-Power System: PRC Standards</w:t>
      </w:r>
      <w:r w:rsidR="00CD2927">
        <w:rPr>
          <w:sz w:val="26"/>
        </w:rPr>
        <w:t xml:space="preserve">), </w:t>
      </w:r>
      <w:r w:rsidR="00CD2927" w:rsidRPr="00CD2927">
        <w:rPr>
          <w:sz w:val="26"/>
        </w:rPr>
        <w:t xml:space="preserve">as modified in this docket. </w:t>
      </w:r>
      <w:r w:rsidR="00A750D4">
        <w:rPr>
          <w:sz w:val="26"/>
        </w:rPr>
        <w:t xml:space="preserve"> </w:t>
      </w:r>
      <w:r w:rsidR="00CD2927" w:rsidRPr="00CD2927">
        <w:rPr>
          <w:sz w:val="26"/>
        </w:rPr>
        <w:t>The Commission previously published a notice in the Federal Register (</w:t>
      </w:r>
      <w:r w:rsidR="00CD2927" w:rsidRPr="00984200">
        <w:rPr>
          <w:sz w:val="26"/>
        </w:rPr>
        <w:t>80 FR 13528, 3/16/2015</w:t>
      </w:r>
      <w:r w:rsidR="00CD2927" w:rsidRPr="00CD2927">
        <w:rPr>
          <w:sz w:val="26"/>
        </w:rPr>
        <w:t xml:space="preserve">) requesting public comments.  </w:t>
      </w:r>
      <w:r w:rsidR="00CD2927" w:rsidRPr="00502FE0">
        <w:rPr>
          <w:sz w:val="26"/>
        </w:rPr>
        <w:t>The Commission received no comments and is making this notation in its submittal to OMB.</w:t>
      </w:r>
    </w:p>
    <w:p w14:paraId="5887BCA2" w14:textId="67123CEA" w:rsidR="00CB5FEA" w:rsidRPr="00E141E0" w:rsidRDefault="00CB5FEA">
      <w:pPr>
        <w:widowControl/>
        <w:spacing w:line="480" w:lineRule="auto"/>
        <w:rPr>
          <w:b/>
          <w:bCs/>
          <w:sz w:val="26"/>
          <w:szCs w:val="26"/>
        </w:rPr>
      </w:pPr>
      <w:r w:rsidRPr="00E141E0">
        <w:rPr>
          <w:b/>
          <w:bCs/>
          <w:sz w:val="26"/>
          <w:szCs w:val="26"/>
        </w:rPr>
        <w:t>DATES:</w:t>
      </w:r>
      <w:r w:rsidRPr="00E141E0">
        <w:rPr>
          <w:sz w:val="26"/>
          <w:szCs w:val="26"/>
        </w:rPr>
        <w:t xml:space="preserve">  </w:t>
      </w:r>
      <w:r w:rsidR="008A1555" w:rsidRPr="00E141E0">
        <w:rPr>
          <w:sz w:val="26"/>
          <w:szCs w:val="26"/>
        </w:rPr>
        <w:t xml:space="preserve">Comments </w:t>
      </w:r>
      <w:r w:rsidR="004D14DA" w:rsidRPr="00E141E0">
        <w:rPr>
          <w:sz w:val="26"/>
          <w:szCs w:val="26"/>
        </w:rPr>
        <w:t xml:space="preserve">regarding </w:t>
      </w:r>
      <w:r w:rsidR="00FE5961" w:rsidRPr="00E141E0">
        <w:rPr>
          <w:sz w:val="26"/>
          <w:szCs w:val="26"/>
        </w:rPr>
        <w:t>th</w:t>
      </w:r>
      <w:r w:rsidR="00FE5961">
        <w:rPr>
          <w:sz w:val="26"/>
          <w:szCs w:val="26"/>
        </w:rPr>
        <w:t>e</w:t>
      </w:r>
      <w:r w:rsidR="00FE5961" w:rsidRPr="00E141E0">
        <w:rPr>
          <w:sz w:val="26"/>
          <w:szCs w:val="26"/>
        </w:rPr>
        <w:t xml:space="preserve"> </w:t>
      </w:r>
      <w:r w:rsidR="004D14DA" w:rsidRPr="00E141E0">
        <w:rPr>
          <w:sz w:val="26"/>
          <w:szCs w:val="26"/>
        </w:rPr>
        <w:t xml:space="preserve">proposed </w:t>
      </w:r>
      <w:r w:rsidR="00121183">
        <w:rPr>
          <w:sz w:val="26"/>
          <w:szCs w:val="26"/>
        </w:rPr>
        <w:t xml:space="preserve">revision to </w:t>
      </w:r>
      <w:r w:rsidR="00FE5961">
        <w:rPr>
          <w:sz w:val="26"/>
          <w:szCs w:val="26"/>
        </w:rPr>
        <w:t xml:space="preserve">this </w:t>
      </w:r>
      <w:r w:rsidR="004D14DA" w:rsidRPr="00E141E0">
        <w:rPr>
          <w:sz w:val="26"/>
          <w:szCs w:val="26"/>
        </w:rPr>
        <w:t xml:space="preserve">information collection must be received on or </w:t>
      </w:r>
      <w:r w:rsidR="004D14DA" w:rsidRPr="00F64C21">
        <w:rPr>
          <w:sz w:val="26"/>
          <w:szCs w:val="26"/>
        </w:rPr>
        <w:t xml:space="preserve">before </w:t>
      </w:r>
      <w:r w:rsidR="00FF195D" w:rsidRPr="00F64C21">
        <w:rPr>
          <w:sz w:val="26"/>
          <w:szCs w:val="26"/>
        </w:rPr>
        <w:t>[</w:t>
      </w:r>
      <w:r w:rsidR="005467A5" w:rsidRPr="00F64C21">
        <w:rPr>
          <w:b/>
          <w:sz w:val="26"/>
          <w:szCs w:val="26"/>
        </w:rPr>
        <w:t xml:space="preserve">INSERT DATE </w:t>
      </w:r>
      <w:r w:rsidR="00121183" w:rsidRPr="00F64C21">
        <w:rPr>
          <w:b/>
          <w:sz w:val="26"/>
          <w:szCs w:val="26"/>
        </w:rPr>
        <w:t xml:space="preserve">THAT IS </w:t>
      </w:r>
      <w:r w:rsidR="00CD2927" w:rsidRPr="00F64C21">
        <w:rPr>
          <w:b/>
          <w:sz w:val="26"/>
          <w:szCs w:val="26"/>
        </w:rPr>
        <w:t xml:space="preserve">30 </w:t>
      </w:r>
      <w:r w:rsidR="005467A5" w:rsidRPr="00F64C21">
        <w:rPr>
          <w:b/>
          <w:sz w:val="26"/>
          <w:szCs w:val="26"/>
        </w:rPr>
        <w:t>DAYS AFTER PUBLICATION IN THE FEDERAL REGISTER</w:t>
      </w:r>
      <w:r w:rsidR="008A1555" w:rsidRPr="00F64C21">
        <w:rPr>
          <w:sz w:val="26"/>
          <w:szCs w:val="26"/>
        </w:rPr>
        <w:t>].</w:t>
      </w:r>
    </w:p>
    <w:p w14:paraId="5887BCA3" w14:textId="490ED063" w:rsidR="00112239" w:rsidRPr="00E141E0" w:rsidRDefault="00CB5FEA" w:rsidP="00112239">
      <w:pPr>
        <w:spacing w:line="480" w:lineRule="auto"/>
        <w:rPr>
          <w:sz w:val="26"/>
          <w:szCs w:val="26"/>
        </w:rPr>
      </w:pPr>
      <w:r w:rsidRPr="00E141E0">
        <w:rPr>
          <w:b/>
          <w:bCs/>
          <w:sz w:val="26"/>
          <w:szCs w:val="26"/>
        </w:rPr>
        <w:t>ADDRESSES:</w:t>
      </w:r>
      <w:r w:rsidRPr="00E141E0">
        <w:rPr>
          <w:sz w:val="26"/>
          <w:szCs w:val="26"/>
        </w:rPr>
        <w:t xml:space="preserve">  </w:t>
      </w:r>
      <w:r w:rsidR="00112239" w:rsidRPr="00E141E0">
        <w:rPr>
          <w:sz w:val="26"/>
          <w:szCs w:val="26"/>
        </w:rPr>
        <w:t xml:space="preserve">Comments, identified by </w:t>
      </w:r>
      <w:r w:rsidR="00121183">
        <w:rPr>
          <w:sz w:val="26"/>
          <w:szCs w:val="26"/>
        </w:rPr>
        <w:t>D</w:t>
      </w:r>
      <w:r w:rsidR="00112239" w:rsidRPr="00E141E0">
        <w:rPr>
          <w:sz w:val="26"/>
          <w:szCs w:val="26"/>
        </w:rPr>
        <w:t xml:space="preserve">ocket </w:t>
      </w:r>
      <w:r w:rsidR="00121183">
        <w:rPr>
          <w:sz w:val="26"/>
          <w:szCs w:val="26"/>
        </w:rPr>
        <w:t>N</w:t>
      </w:r>
      <w:r w:rsidR="00112239" w:rsidRPr="00E141E0">
        <w:rPr>
          <w:sz w:val="26"/>
          <w:szCs w:val="26"/>
        </w:rPr>
        <w:t>umber</w:t>
      </w:r>
      <w:r w:rsidR="00121183">
        <w:rPr>
          <w:sz w:val="26"/>
          <w:szCs w:val="26"/>
        </w:rPr>
        <w:t xml:space="preserve"> RD15-2</w:t>
      </w:r>
      <w:r w:rsidR="00112239" w:rsidRPr="00E141E0">
        <w:rPr>
          <w:sz w:val="26"/>
          <w:szCs w:val="26"/>
        </w:rPr>
        <w:t xml:space="preserve">, may be filed in the following ways: </w:t>
      </w:r>
    </w:p>
    <w:p w14:paraId="52D75725" w14:textId="77777777" w:rsidR="00121183" w:rsidRDefault="00121183" w:rsidP="00121183">
      <w:pPr>
        <w:widowControl/>
        <w:numPr>
          <w:ilvl w:val="0"/>
          <w:numId w:val="7"/>
        </w:numPr>
        <w:tabs>
          <w:tab w:val="clear" w:pos="1500"/>
          <w:tab w:val="num" w:pos="1080"/>
        </w:tabs>
        <w:autoSpaceDE/>
        <w:autoSpaceDN/>
        <w:adjustRightInd/>
        <w:spacing w:line="480" w:lineRule="auto"/>
        <w:ind w:left="720" w:firstLine="0"/>
      </w:pPr>
      <w:proofErr w:type="spellStart"/>
      <w:r>
        <w:t>eFiling</w:t>
      </w:r>
      <w:proofErr w:type="spellEnd"/>
      <w:r>
        <w:t xml:space="preserve"> at Commission’s Web Site: </w:t>
      </w:r>
      <w:hyperlink r:id="rId12" w:history="1">
        <w:r w:rsidRPr="00EC7068">
          <w:rPr>
            <w:rStyle w:val="Hyperlink"/>
          </w:rPr>
          <w:t>http://www.ferc.gov/docs-filing/efiling.asp</w:t>
        </w:r>
      </w:hyperlink>
    </w:p>
    <w:p w14:paraId="2A370394" w14:textId="77777777" w:rsidR="00121183" w:rsidRDefault="00121183" w:rsidP="00121183">
      <w:pPr>
        <w:widowControl/>
        <w:numPr>
          <w:ilvl w:val="0"/>
          <w:numId w:val="7"/>
        </w:numPr>
        <w:tabs>
          <w:tab w:val="clear" w:pos="1500"/>
          <w:tab w:val="num" w:pos="1080"/>
        </w:tabs>
        <w:autoSpaceDE/>
        <w:autoSpaceDN/>
        <w:adjustRightInd/>
        <w:spacing w:line="480" w:lineRule="auto"/>
        <w:ind w:left="1080"/>
      </w:pPr>
      <w:r>
        <w:lastRenderedPageBreak/>
        <w:t>Mail/Hand Delivery/Courier: Federal Energy Regulatory Commission, Secretary of the Commission, 888 First Street, NE, Washington, DC 20426.</w:t>
      </w:r>
    </w:p>
    <w:p w14:paraId="1B911624" w14:textId="77777777" w:rsidR="00121183" w:rsidRDefault="00121183" w:rsidP="00121183">
      <w:pPr>
        <w:spacing w:line="480" w:lineRule="auto"/>
      </w:pPr>
      <w:r>
        <w:rPr>
          <w:i/>
        </w:rPr>
        <w:t xml:space="preserve">Instructions: </w:t>
      </w:r>
      <w:r>
        <w:t xml:space="preserve">All submissions must be formatted and filed in accordance with submission guidelines at: </w:t>
      </w:r>
      <w:hyperlink r:id="rId13" w:history="1">
        <w:r w:rsidRPr="00866BB4">
          <w:rPr>
            <w:rStyle w:val="Hyperlink"/>
          </w:rPr>
          <w:t>http://www.ferc.gov/help/submission-guide.asp</w:t>
        </w:r>
      </w:hyperlink>
      <w:r>
        <w:t>.  For user assistance, contact FERC Online Support by e-mail at ferconlinesupport@ferc.gov, or by phone at:  (866) 208-3676 (</w:t>
      </w:r>
      <w:proofErr w:type="gramStart"/>
      <w:r>
        <w:t>toll-free),</w:t>
      </w:r>
      <w:proofErr w:type="gramEnd"/>
      <w:r>
        <w:t xml:space="preserve"> or (202) 502-8659 for TTY.</w:t>
      </w:r>
    </w:p>
    <w:p w14:paraId="5887BCA6" w14:textId="28DB30BC" w:rsidR="00CB5FEA" w:rsidRPr="00E141E0" w:rsidRDefault="00CB5FEA" w:rsidP="008A155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bCs/>
          <w:sz w:val="26"/>
          <w:szCs w:val="26"/>
        </w:rPr>
      </w:pPr>
      <w:r w:rsidRPr="00E141E0">
        <w:rPr>
          <w:b/>
          <w:bCs/>
          <w:sz w:val="26"/>
          <w:szCs w:val="26"/>
        </w:rPr>
        <w:t xml:space="preserve">FOR FURTHER INFORMATION: </w:t>
      </w:r>
      <w:r w:rsidRPr="00E141E0">
        <w:rPr>
          <w:sz w:val="26"/>
          <w:szCs w:val="26"/>
        </w:rPr>
        <w:t xml:space="preserve"> </w:t>
      </w:r>
      <w:r w:rsidR="008A1555" w:rsidRPr="00E141E0">
        <w:rPr>
          <w:bCs/>
          <w:sz w:val="26"/>
          <w:szCs w:val="26"/>
        </w:rPr>
        <w:t xml:space="preserve">Ellen Brown may be reached by e-mail at </w:t>
      </w:r>
      <w:r w:rsidR="008A1555" w:rsidRPr="00E141E0">
        <w:rPr>
          <w:bCs/>
          <w:sz w:val="26"/>
          <w:szCs w:val="26"/>
          <w:u w:val="single"/>
        </w:rPr>
        <w:t>DataClearance@FERC.gov</w:t>
      </w:r>
      <w:r w:rsidR="008A1555" w:rsidRPr="00E141E0">
        <w:rPr>
          <w:bCs/>
          <w:sz w:val="26"/>
          <w:szCs w:val="26"/>
        </w:rPr>
        <w:t>, telephone at (202) 502-8663, and fax at (202) 273-0873.</w:t>
      </w:r>
    </w:p>
    <w:p w14:paraId="2EE3C60E" w14:textId="77777777" w:rsidR="00121183" w:rsidRDefault="00CB5FEA" w:rsidP="00953329">
      <w:pPr>
        <w:spacing w:line="480" w:lineRule="auto"/>
        <w:rPr>
          <w:sz w:val="26"/>
          <w:szCs w:val="26"/>
        </w:rPr>
      </w:pPr>
      <w:r w:rsidRPr="00E141E0">
        <w:rPr>
          <w:b/>
          <w:bCs/>
          <w:sz w:val="26"/>
          <w:szCs w:val="26"/>
        </w:rPr>
        <w:t>SUPPLEMENTARY INFORMATION:</w:t>
      </w:r>
      <w:r w:rsidR="00953329" w:rsidRPr="00E141E0">
        <w:rPr>
          <w:sz w:val="26"/>
          <w:szCs w:val="26"/>
        </w:rPr>
        <w:t xml:space="preserve"> </w:t>
      </w:r>
      <w:r w:rsidR="0084609A">
        <w:rPr>
          <w:sz w:val="26"/>
          <w:szCs w:val="26"/>
        </w:rPr>
        <w:t xml:space="preserve"> </w:t>
      </w:r>
    </w:p>
    <w:p w14:paraId="3CD736AD" w14:textId="0C596B46" w:rsidR="00121183" w:rsidRPr="0074194D" w:rsidRDefault="00121183" w:rsidP="00121183">
      <w:pPr>
        <w:spacing w:line="480" w:lineRule="auto"/>
      </w:pPr>
      <w:r>
        <w:rPr>
          <w:i/>
        </w:rPr>
        <w:t xml:space="preserve">Title: </w:t>
      </w:r>
      <w:r>
        <w:t>FERC-725G (</w:t>
      </w:r>
      <w:r w:rsidRPr="00121183">
        <w:t>Mandatory Reliability Standards for the Bulk-Power System: PRC Standards</w:t>
      </w:r>
      <w:r>
        <w:t>)</w:t>
      </w:r>
    </w:p>
    <w:p w14:paraId="65800E93" w14:textId="42D08330" w:rsidR="00121183" w:rsidRDefault="00121183" w:rsidP="00953329">
      <w:pPr>
        <w:spacing w:line="480" w:lineRule="auto"/>
        <w:rPr>
          <w:sz w:val="26"/>
          <w:szCs w:val="26"/>
        </w:rPr>
      </w:pPr>
      <w:r>
        <w:rPr>
          <w:i/>
        </w:rPr>
        <w:t>OMB Control No.:</w:t>
      </w:r>
      <w:r w:rsidRPr="00F50EDA">
        <w:t xml:space="preserve"> </w:t>
      </w:r>
      <w:r>
        <w:t>1902-</w:t>
      </w:r>
      <w:r w:rsidRPr="00121183">
        <w:t>0252</w:t>
      </w:r>
    </w:p>
    <w:p w14:paraId="4B542E41" w14:textId="68C8C277" w:rsidR="00121183" w:rsidRPr="00121183" w:rsidRDefault="00121183" w:rsidP="00121183">
      <w:pPr>
        <w:spacing w:line="480" w:lineRule="auto"/>
        <w:rPr>
          <w:sz w:val="26"/>
          <w:szCs w:val="26"/>
        </w:rPr>
      </w:pPr>
      <w:r w:rsidRPr="00121183">
        <w:rPr>
          <w:i/>
          <w:sz w:val="26"/>
          <w:szCs w:val="26"/>
        </w:rPr>
        <w:t>Type of Request:</w:t>
      </w:r>
      <w:r w:rsidRPr="00121183">
        <w:rPr>
          <w:sz w:val="26"/>
          <w:szCs w:val="26"/>
        </w:rPr>
        <w:t xml:space="preserve"> Three-year extension of the FERC-725G information collection requirements </w:t>
      </w:r>
      <w:r w:rsidR="00FE5961">
        <w:rPr>
          <w:sz w:val="26"/>
          <w:szCs w:val="26"/>
        </w:rPr>
        <w:t xml:space="preserve">as modified in Docket No. </w:t>
      </w:r>
      <w:proofErr w:type="gramStart"/>
      <w:r w:rsidR="00FE5961">
        <w:rPr>
          <w:sz w:val="26"/>
          <w:szCs w:val="26"/>
        </w:rPr>
        <w:t>RD15-2</w:t>
      </w:r>
      <w:r w:rsidRPr="00121183">
        <w:rPr>
          <w:sz w:val="26"/>
          <w:szCs w:val="26"/>
        </w:rPr>
        <w:t>.</w:t>
      </w:r>
      <w:proofErr w:type="gramEnd"/>
    </w:p>
    <w:p w14:paraId="26334579" w14:textId="0CB69D9E" w:rsidR="00953329" w:rsidRPr="00E141E0" w:rsidRDefault="00121183" w:rsidP="00953329">
      <w:pPr>
        <w:spacing w:line="480" w:lineRule="auto"/>
        <w:rPr>
          <w:sz w:val="26"/>
          <w:szCs w:val="26"/>
        </w:rPr>
      </w:pPr>
      <w:r w:rsidRPr="00E141E0">
        <w:rPr>
          <w:i/>
          <w:sz w:val="26"/>
          <w:szCs w:val="26"/>
        </w:rPr>
        <w:t>Abstract:</w:t>
      </w:r>
      <w:r w:rsidR="00FE5961">
        <w:rPr>
          <w:i/>
          <w:sz w:val="26"/>
          <w:szCs w:val="26"/>
        </w:rPr>
        <w:t xml:space="preserve"> </w:t>
      </w:r>
      <w:r w:rsidRPr="00E141E0">
        <w:rPr>
          <w:i/>
          <w:sz w:val="26"/>
          <w:szCs w:val="26"/>
        </w:rPr>
        <w:t xml:space="preserve"> </w:t>
      </w:r>
      <w:r w:rsidR="00953329" w:rsidRPr="00E141E0">
        <w:rPr>
          <w:sz w:val="26"/>
          <w:szCs w:val="26"/>
        </w:rPr>
        <w:t xml:space="preserve">The Commission </w:t>
      </w:r>
      <w:r>
        <w:rPr>
          <w:sz w:val="26"/>
          <w:szCs w:val="26"/>
        </w:rPr>
        <w:t xml:space="preserve">is </w:t>
      </w:r>
      <w:r w:rsidR="00953329" w:rsidRPr="00E141E0">
        <w:rPr>
          <w:sz w:val="26"/>
          <w:szCs w:val="26"/>
        </w:rPr>
        <w:t>submit</w:t>
      </w:r>
      <w:r>
        <w:rPr>
          <w:sz w:val="26"/>
          <w:szCs w:val="26"/>
        </w:rPr>
        <w:t>ting</w:t>
      </w:r>
      <w:r w:rsidR="00953329" w:rsidRPr="00E141E0">
        <w:rPr>
          <w:sz w:val="26"/>
          <w:szCs w:val="26"/>
        </w:rPr>
        <w:t xml:space="preserve"> Reliability Standard PRC-006-2 to OMB under FERC-</w:t>
      </w:r>
      <w:r w:rsidR="00953329" w:rsidRPr="006563C5">
        <w:rPr>
          <w:sz w:val="26"/>
          <w:szCs w:val="26"/>
        </w:rPr>
        <w:t>725G</w:t>
      </w:r>
      <w:r w:rsidR="00FE5961">
        <w:rPr>
          <w:sz w:val="26"/>
          <w:szCs w:val="26"/>
        </w:rPr>
        <w:t xml:space="preserve"> </w:t>
      </w:r>
      <w:r w:rsidR="00953329" w:rsidRPr="00273BAC">
        <w:rPr>
          <w:rStyle w:val="FootnoteReference"/>
          <w:b/>
          <w:sz w:val="26"/>
          <w:szCs w:val="26"/>
          <w:vertAlign w:val="superscript"/>
        </w:rPr>
        <w:footnoteReference w:id="1"/>
      </w:r>
      <w:r w:rsidR="00FE5961" w:rsidRPr="00FE5961">
        <w:rPr>
          <w:sz w:val="26"/>
          <w:szCs w:val="26"/>
        </w:rPr>
        <w:t xml:space="preserve"> </w:t>
      </w:r>
      <w:r w:rsidR="00FE5961" w:rsidRPr="00E141E0">
        <w:rPr>
          <w:sz w:val="26"/>
          <w:szCs w:val="26"/>
        </w:rPr>
        <w:t xml:space="preserve">for review </w:t>
      </w:r>
      <w:r w:rsidR="00FE5961">
        <w:rPr>
          <w:sz w:val="26"/>
          <w:szCs w:val="26"/>
        </w:rPr>
        <w:t>of the reporting and recordkeeping requirements.</w:t>
      </w:r>
    </w:p>
    <w:p w14:paraId="234E41C0" w14:textId="284367CA" w:rsidR="001D635F" w:rsidRPr="00E141E0" w:rsidRDefault="001D635F" w:rsidP="001D635F">
      <w:pPr>
        <w:spacing w:line="480" w:lineRule="auto"/>
        <w:rPr>
          <w:sz w:val="26"/>
          <w:szCs w:val="26"/>
        </w:rPr>
      </w:pPr>
      <w:r w:rsidRPr="00E141E0">
        <w:rPr>
          <w:sz w:val="26"/>
          <w:szCs w:val="26"/>
        </w:rPr>
        <w:lastRenderedPageBreak/>
        <w:t>The Commission requires the information collected by the FERC-725G to implement the statutory provisions of section 215 of the Federal Power Act (FPA)</w:t>
      </w:r>
      <w:r w:rsidR="008C06EA">
        <w:rPr>
          <w:sz w:val="26"/>
          <w:szCs w:val="26"/>
        </w:rPr>
        <w:t>.</w:t>
      </w:r>
      <w:r w:rsidR="008C06EA" w:rsidRPr="00273BAC">
        <w:rPr>
          <w:rStyle w:val="StyleFootnoteReference"/>
        </w:rPr>
        <w:footnoteReference w:id="2"/>
      </w:r>
      <w:r w:rsidRPr="00E141E0">
        <w:rPr>
          <w:sz w:val="26"/>
          <w:szCs w:val="26"/>
        </w:rPr>
        <w:t xml:space="preserve">  On August 8, 2005, </w:t>
      </w:r>
      <w:r w:rsidR="006E258B">
        <w:rPr>
          <w:sz w:val="26"/>
          <w:szCs w:val="26"/>
        </w:rPr>
        <w:t xml:space="preserve">Congress enacted into law </w:t>
      </w:r>
      <w:r w:rsidRPr="00E141E0">
        <w:rPr>
          <w:sz w:val="26"/>
          <w:szCs w:val="26"/>
        </w:rPr>
        <w:t>the Electricity Modernization Act of 2005, which is Title XII, Subtitle A, of the Energy Policy Act of 2005 (</w:t>
      </w:r>
      <w:proofErr w:type="spellStart"/>
      <w:r w:rsidRPr="00E141E0">
        <w:rPr>
          <w:sz w:val="26"/>
          <w:szCs w:val="26"/>
        </w:rPr>
        <w:t>EPAct</w:t>
      </w:r>
      <w:proofErr w:type="spellEnd"/>
      <w:r w:rsidRPr="00E141E0">
        <w:rPr>
          <w:sz w:val="26"/>
          <w:szCs w:val="26"/>
        </w:rPr>
        <w:t xml:space="preserve"> 2005).</w:t>
      </w:r>
      <w:r w:rsidRPr="00E141E0">
        <w:rPr>
          <w:b/>
          <w:sz w:val="26"/>
          <w:szCs w:val="26"/>
          <w:vertAlign w:val="superscript"/>
        </w:rPr>
        <w:footnoteReference w:id="3"/>
      </w:r>
      <w:r w:rsidRPr="00E141E0">
        <w:rPr>
          <w:sz w:val="26"/>
          <w:szCs w:val="26"/>
        </w:rPr>
        <w:t xml:space="preserve">  </w:t>
      </w:r>
      <w:proofErr w:type="spellStart"/>
      <w:r w:rsidRPr="00E141E0">
        <w:rPr>
          <w:sz w:val="26"/>
          <w:szCs w:val="26"/>
        </w:rPr>
        <w:t>EPAct</w:t>
      </w:r>
      <w:proofErr w:type="spellEnd"/>
      <w:r w:rsidRPr="00E141E0">
        <w:rPr>
          <w:sz w:val="26"/>
          <w:szCs w:val="26"/>
        </w:rPr>
        <w:t xml:space="preserve"> 2005 added a new section 215 to the FPA, which required a Commission-certified Electric Reliability Organization (ERO) to develop mandatory and enforceable Reliability Standards, which are subject to Commission review and approval.  Once approved, the Reliability Standards may be enforced by the ERO subject to Commission oversight, or the Commission can independently enforce Reliability Standards.</w:t>
      </w:r>
      <w:r w:rsidRPr="00E141E0">
        <w:rPr>
          <w:b/>
          <w:sz w:val="26"/>
          <w:szCs w:val="26"/>
          <w:vertAlign w:val="superscript"/>
        </w:rPr>
        <w:footnoteReference w:id="4"/>
      </w:r>
    </w:p>
    <w:p w14:paraId="0C3D255D" w14:textId="4E44B42C" w:rsidR="001D635F" w:rsidRPr="00E141E0" w:rsidRDefault="001D635F" w:rsidP="009A286B">
      <w:pPr>
        <w:spacing w:line="480" w:lineRule="auto"/>
        <w:ind w:firstLine="720"/>
        <w:rPr>
          <w:sz w:val="26"/>
          <w:szCs w:val="26"/>
        </w:rPr>
      </w:pPr>
      <w:r w:rsidRPr="00E141E0">
        <w:rPr>
          <w:sz w:val="26"/>
          <w:szCs w:val="26"/>
        </w:rPr>
        <w:t>On February 3, 2006, the Commission issued Order No. 672, implementing section 215 of the FPA.</w:t>
      </w:r>
      <w:r w:rsidRPr="00E141E0">
        <w:rPr>
          <w:b/>
          <w:sz w:val="26"/>
          <w:szCs w:val="26"/>
          <w:vertAlign w:val="superscript"/>
        </w:rPr>
        <w:footnoteReference w:id="5"/>
      </w:r>
      <w:r w:rsidRPr="00E141E0">
        <w:rPr>
          <w:sz w:val="26"/>
          <w:szCs w:val="26"/>
        </w:rPr>
        <w:t xml:space="preserve">  Pursuant to Order No. 672, the Commission certified one organization, North American Electric Reliability Corporation (NERC), as the ERO.</w:t>
      </w:r>
      <w:r w:rsidR="006E258B" w:rsidRPr="006E258B">
        <w:rPr>
          <w:rStyle w:val="FootnoteReference"/>
          <w:b/>
          <w:sz w:val="26"/>
          <w:szCs w:val="26"/>
          <w:vertAlign w:val="superscript"/>
        </w:rPr>
        <w:footnoteReference w:id="6"/>
      </w:r>
      <w:r w:rsidRPr="00E141E0">
        <w:rPr>
          <w:sz w:val="26"/>
          <w:szCs w:val="26"/>
        </w:rPr>
        <w:t xml:space="preserve">  </w:t>
      </w:r>
      <w:r w:rsidRPr="00E141E0">
        <w:rPr>
          <w:sz w:val="26"/>
          <w:szCs w:val="26"/>
        </w:rPr>
        <w:lastRenderedPageBreak/>
        <w:t>The Reliability Standards developed by the ERO and approved by the Commission apply to users, owners and operators of the Bulk-Power System as set forth in each Reliability Standard.</w:t>
      </w:r>
    </w:p>
    <w:p w14:paraId="3B76FE3B" w14:textId="5875C06B" w:rsidR="0084609A" w:rsidRDefault="00CF5290" w:rsidP="00CF5290">
      <w:pPr>
        <w:spacing w:line="480" w:lineRule="auto"/>
        <w:ind w:firstLine="720"/>
        <w:rPr>
          <w:sz w:val="26"/>
          <w:szCs w:val="26"/>
        </w:rPr>
      </w:pPr>
      <w:r w:rsidRPr="00E141E0">
        <w:rPr>
          <w:sz w:val="26"/>
          <w:szCs w:val="26"/>
        </w:rPr>
        <w:t xml:space="preserve">In Order No. 763, the Commission approved </w:t>
      </w:r>
      <w:r w:rsidR="00BD41F2">
        <w:rPr>
          <w:sz w:val="26"/>
          <w:szCs w:val="26"/>
        </w:rPr>
        <w:t xml:space="preserve">Reliability Standard </w:t>
      </w:r>
      <w:r w:rsidRPr="00E141E0">
        <w:rPr>
          <w:sz w:val="26"/>
          <w:szCs w:val="26"/>
        </w:rPr>
        <w:t xml:space="preserve">PRC-006-1, but directed NERC to include explicit language in a subsequent version of the </w:t>
      </w:r>
      <w:r w:rsidR="00BD41F2">
        <w:rPr>
          <w:sz w:val="26"/>
          <w:szCs w:val="26"/>
        </w:rPr>
        <w:t>Reliability S</w:t>
      </w:r>
      <w:r w:rsidRPr="00E141E0">
        <w:rPr>
          <w:sz w:val="26"/>
          <w:szCs w:val="26"/>
        </w:rPr>
        <w:t>tandard clarifying that applicable entities are required to implement corrective actions identified by the planning coordinator in accordance with a schedule established by the same planning coordinator.</w:t>
      </w:r>
    </w:p>
    <w:p w14:paraId="3D24F4C6" w14:textId="6AE37606" w:rsidR="001D635F" w:rsidRDefault="00D177C3" w:rsidP="0084609A">
      <w:pPr>
        <w:spacing w:line="480" w:lineRule="auto"/>
        <w:ind w:firstLine="720"/>
        <w:rPr>
          <w:sz w:val="26"/>
          <w:szCs w:val="26"/>
        </w:rPr>
      </w:pPr>
      <w:r w:rsidRPr="0084609A">
        <w:rPr>
          <w:sz w:val="26"/>
          <w:szCs w:val="26"/>
        </w:rPr>
        <w:t xml:space="preserve">NERC filed a petition on </w:t>
      </w:r>
      <w:r w:rsidR="00BD41F2">
        <w:rPr>
          <w:sz w:val="26"/>
          <w:szCs w:val="26"/>
        </w:rPr>
        <w:t>December 15, 2014</w:t>
      </w:r>
      <w:r w:rsidRPr="0084609A">
        <w:rPr>
          <w:sz w:val="26"/>
          <w:szCs w:val="26"/>
        </w:rPr>
        <w:t xml:space="preserve"> requesting approval of </w:t>
      </w:r>
      <w:r w:rsidR="00BD41F2">
        <w:rPr>
          <w:sz w:val="26"/>
          <w:szCs w:val="26"/>
        </w:rPr>
        <w:t>p</w:t>
      </w:r>
      <w:r w:rsidR="00CF5290" w:rsidRPr="0084609A">
        <w:rPr>
          <w:sz w:val="26"/>
          <w:szCs w:val="26"/>
        </w:rPr>
        <w:t>roposed Reliability Standard PRC-006-2 address</w:t>
      </w:r>
      <w:r w:rsidRPr="0084609A">
        <w:rPr>
          <w:sz w:val="26"/>
          <w:szCs w:val="26"/>
        </w:rPr>
        <w:t>ing</w:t>
      </w:r>
      <w:r w:rsidR="00CF5290" w:rsidRPr="0084609A">
        <w:rPr>
          <w:sz w:val="26"/>
          <w:szCs w:val="26"/>
        </w:rPr>
        <w:t xml:space="preserve"> </w:t>
      </w:r>
      <w:r w:rsidR="005F71B2">
        <w:rPr>
          <w:sz w:val="26"/>
          <w:szCs w:val="26"/>
        </w:rPr>
        <w:t xml:space="preserve">the Commission’s directive in Order </w:t>
      </w:r>
      <w:r w:rsidR="00BD41F2">
        <w:rPr>
          <w:sz w:val="26"/>
          <w:szCs w:val="26"/>
        </w:rPr>
        <w:t xml:space="preserve">No. </w:t>
      </w:r>
      <w:r w:rsidR="005F71B2">
        <w:rPr>
          <w:sz w:val="26"/>
          <w:szCs w:val="26"/>
        </w:rPr>
        <w:t>763</w:t>
      </w:r>
      <w:r w:rsidR="00CF5290" w:rsidRPr="0084609A">
        <w:rPr>
          <w:sz w:val="26"/>
          <w:szCs w:val="26"/>
        </w:rPr>
        <w:t>.</w:t>
      </w:r>
      <w:r w:rsidR="0084609A" w:rsidRPr="0084609A">
        <w:rPr>
          <w:sz w:val="26"/>
          <w:szCs w:val="26"/>
        </w:rPr>
        <w:t xml:space="preserve"> </w:t>
      </w:r>
      <w:r w:rsidR="007D6FF9">
        <w:rPr>
          <w:sz w:val="26"/>
          <w:szCs w:val="26"/>
        </w:rPr>
        <w:t xml:space="preserve"> The </w:t>
      </w:r>
      <w:r w:rsidR="0084609A">
        <w:rPr>
          <w:sz w:val="26"/>
          <w:szCs w:val="26"/>
        </w:rPr>
        <w:t>NERC</w:t>
      </w:r>
      <w:r w:rsidR="0084609A" w:rsidRPr="0084609A">
        <w:rPr>
          <w:sz w:val="26"/>
          <w:szCs w:val="26"/>
        </w:rPr>
        <w:t xml:space="preserve"> petition states that the “[p]</w:t>
      </w:r>
      <w:proofErr w:type="spellStart"/>
      <w:r w:rsidR="0084609A" w:rsidRPr="0084609A">
        <w:rPr>
          <w:sz w:val="26"/>
          <w:szCs w:val="26"/>
        </w:rPr>
        <w:t>roposed</w:t>
      </w:r>
      <w:proofErr w:type="spellEnd"/>
      <w:r w:rsidR="0084609A" w:rsidRPr="0084609A">
        <w:rPr>
          <w:sz w:val="26"/>
          <w:szCs w:val="26"/>
        </w:rPr>
        <w:t xml:space="preserve"> Reliability Standard PRC-006-2, through proposed new Requirement R15, and proposed enhanced language of the existing Requirements R9 and R10, requires the Planning Coordinator to develop a schedule for implementation of any necessary corrective actions, and requires that the applicable entities will implement these corrective actions according to the schedule established by the Planning Coordinator.”</w:t>
      </w:r>
    </w:p>
    <w:p w14:paraId="2C10D46D" w14:textId="209C9E3C" w:rsidR="00A750D4" w:rsidRPr="0084609A" w:rsidRDefault="00A750D4" w:rsidP="0084609A">
      <w:pPr>
        <w:spacing w:line="480" w:lineRule="auto"/>
        <w:ind w:firstLine="720"/>
        <w:rPr>
          <w:sz w:val="26"/>
          <w:szCs w:val="26"/>
        </w:rPr>
      </w:pPr>
      <w:r>
        <w:rPr>
          <w:sz w:val="26"/>
          <w:szCs w:val="26"/>
        </w:rPr>
        <w:t xml:space="preserve">Reliability Standard PRC-006-2 </w:t>
      </w:r>
      <w:r w:rsidRPr="00003815">
        <w:rPr>
          <w:sz w:val="26"/>
          <w:szCs w:val="26"/>
        </w:rPr>
        <w:t xml:space="preserve">was approved </w:t>
      </w:r>
      <w:r w:rsidR="00F64C21">
        <w:rPr>
          <w:sz w:val="26"/>
          <w:szCs w:val="26"/>
        </w:rPr>
        <w:t xml:space="preserve">on 3/4/2015 </w:t>
      </w:r>
      <w:r w:rsidRPr="00003815">
        <w:rPr>
          <w:sz w:val="26"/>
          <w:szCs w:val="26"/>
        </w:rPr>
        <w:t>in a Delegated Order</w:t>
      </w:r>
      <w:r w:rsidR="00F64C21">
        <w:rPr>
          <w:sz w:val="26"/>
          <w:szCs w:val="26"/>
        </w:rPr>
        <w:t>.</w:t>
      </w:r>
      <w:r w:rsidR="00F64C21" w:rsidRPr="00F64C21">
        <w:rPr>
          <w:rStyle w:val="FootnoteReference"/>
          <w:sz w:val="26"/>
          <w:szCs w:val="26"/>
          <w:vertAlign w:val="superscript"/>
        </w:rPr>
        <w:footnoteReference w:id="7"/>
      </w:r>
      <w:r w:rsidRPr="00F64C21">
        <w:rPr>
          <w:sz w:val="26"/>
          <w:szCs w:val="26"/>
          <w:vertAlign w:val="superscript"/>
        </w:rPr>
        <w:t xml:space="preserve"> </w:t>
      </w:r>
    </w:p>
    <w:p w14:paraId="35EC7372" w14:textId="466F1A0E" w:rsidR="00CF5290" w:rsidRPr="00E141E0" w:rsidRDefault="001D635F" w:rsidP="001D635F">
      <w:pPr>
        <w:spacing w:line="480" w:lineRule="auto"/>
        <w:rPr>
          <w:sz w:val="26"/>
          <w:szCs w:val="26"/>
        </w:rPr>
      </w:pPr>
      <w:r w:rsidRPr="00E141E0">
        <w:rPr>
          <w:i/>
          <w:sz w:val="26"/>
          <w:szCs w:val="26"/>
        </w:rPr>
        <w:t>Type of Respondents:</w:t>
      </w:r>
      <w:r w:rsidRPr="00A51098">
        <w:rPr>
          <w:sz w:val="26"/>
          <w:szCs w:val="26"/>
        </w:rPr>
        <w:t xml:space="preserve"> </w:t>
      </w:r>
      <w:r w:rsidR="00A51098">
        <w:rPr>
          <w:sz w:val="26"/>
          <w:szCs w:val="26"/>
        </w:rPr>
        <w:t xml:space="preserve"> </w:t>
      </w:r>
      <w:r w:rsidR="00CF5290" w:rsidRPr="00E141E0">
        <w:rPr>
          <w:sz w:val="26"/>
          <w:szCs w:val="26"/>
        </w:rPr>
        <w:t xml:space="preserve">Planning coordinators, </w:t>
      </w:r>
      <w:r w:rsidR="00BD41F2">
        <w:rPr>
          <w:sz w:val="26"/>
          <w:szCs w:val="26"/>
        </w:rPr>
        <w:t>UFLS</w:t>
      </w:r>
      <w:r w:rsidR="00CF5290" w:rsidRPr="00E141E0">
        <w:rPr>
          <w:sz w:val="26"/>
          <w:szCs w:val="26"/>
        </w:rPr>
        <w:t xml:space="preserve"> entities (as they are defined </w:t>
      </w:r>
      <w:r w:rsidR="00BD41F2">
        <w:rPr>
          <w:sz w:val="26"/>
          <w:szCs w:val="26"/>
        </w:rPr>
        <w:t>in</w:t>
      </w:r>
      <w:r w:rsidR="00BD41F2" w:rsidRPr="00E141E0">
        <w:rPr>
          <w:sz w:val="26"/>
          <w:szCs w:val="26"/>
        </w:rPr>
        <w:t xml:space="preserve"> </w:t>
      </w:r>
      <w:r w:rsidR="00CF5290" w:rsidRPr="00E141E0">
        <w:rPr>
          <w:sz w:val="26"/>
          <w:szCs w:val="26"/>
        </w:rPr>
        <w:t>th</w:t>
      </w:r>
      <w:r w:rsidR="00BD41F2">
        <w:rPr>
          <w:sz w:val="26"/>
          <w:szCs w:val="26"/>
        </w:rPr>
        <w:t>e</w:t>
      </w:r>
      <w:r w:rsidR="00CF5290" w:rsidRPr="00E141E0">
        <w:rPr>
          <w:sz w:val="26"/>
          <w:szCs w:val="26"/>
        </w:rPr>
        <w:t xml:space="preserve"> </w:t>
      </w:r>
      <w:r w:rsidR="00470373">
        <w:rPr>
          <w:sz w:val="26"/>
          <w:szCs w:val="26"/>
        </w:rPr>
        <w:t>p</w:t>
      </w:r>
      <w:r w:rsidR="00BD41F2">
        <w:rPr>
          <w:sz w:val="26"/>
          <w:szCs w:val="26"/>
        </w:rPr>
        <w:t>roposed Reliability S</w:t>
      </w:r>
      <w:r w:rsidR="00CF5290" w:rsidRPr="00E141E0">
        <w:rPr>
          <w:sz w:val="26"/>
          <w:szCs w:val="26"/>
        </w:rPr>
        <w:t xml:space="preserve">tandard) and transmission owners that own elements identified in the </w:t>
      </w:r>
      <w:proofErr w:type="spellStart"/>
      <w:r w:rsidR="00CF5290" w:rsidRPr="00E141E0">
        <w:rPr>
          <w:sz w:val="26"/>
          <w:szCs w:val="26"/>
        </w:rPr>
        <w:t>underfrequency</w:t>
      </w:r>
      <w:proofErr w:type="spellEnd"/>
      <w:r w:rsidR="00CF5290" w:rsidRPr="00E141E0">
        <w:rPr>
          <w:sz w:val="26"/>
          <w:szCs w:val="26"/>
        </w:rPr>
        <w:t xml:space="preserve"> load shedding programs established by the planning coordinators.</w:t>
      </w:r>
    </w:p>
    <w:p w14:paraId="1C82E983" w14:textId="7391072E" w:rsidR="001D635F" w:rsidRPr="00030822" w:rsidRDefault="001D635F" w:rsidP="001D7D03">
      <w:pPr>
        <w:pStyle w:val="FERCparanumber"/>
        <w:numPr>
          <w:ilvl w:val="0"/>
          <w:numId w:val="0"/>
        </w:numPr>
        <w:rPr>
          <w:szCs w:val="26"/>
        </w:rPr>
      </w:pPr>
      <w:r w:rsidRPr="00E141E0">
        <w:rPr>
          <w:i/>
          <w:szCs w:val="26"/>
        </w:rPr>
        <w:lastRenderedPageBreak/>
        <w:t>Estimate of Annual Burden</w:t>
      </w:r>
      <w:r w:rsidR="00F5556D" w:rsidRPr="00F5556D">
        <w:rPr>
          <w:i/>
          <w:szCs w:val="26"/>
        </w:rPr>
        <w:t>:</w:t>
      </w:r>
      <w:r w:rsidRPr="00273BAC">
        <w:rPr>
          <w:rStyle w:val="FootnoteReference"/>
          <w:b/>
          <w:szCs w:val="26"/>
          <w:vertAlign w:val="superscript"/>
        </w:rPr>
        <w:footnoteReference w:id="8"/>
      </w:r>
      <w:r w:rsidR="00F5556D" w:rsidRPr="00273BAC">
        <w:rPr>
          <w:szCs w:val="26"/>
        </w:rPr>
        <w:t xml:space="preserve"> </w:t>
      </w:r>
      <w:r w:rsidRPr="00273BAC">
        <w:rPr>
          <w:szCs w:val="26"/>
        </w:rPr>
        <w:t xml:space="preserve"> </w:t>
      </w:r>
      <w:r w:rsidRPr="00E141E0">
        <w:rPr>
          <w:szCs w:val="26"/>
        </w:rPr>
        <w:t xml:space="preserve">Our estimate below regarding the number of respondents is based on the NERC compliance registry as of </w:t>
      </w:r>
      <w:r w:rsidR="00030822">
        <w:rPr>
          <w:szCs w:val="26"/>
        </w:rPr>
        <w:t>May</w:t>
      </w:r>
      <w:r w:rsidRPr="00E141E0">
        <w:rPr>
          <w:szCs w:val="26"/>
        </w:rPr>
        <w:t xml:space="preserve"> </w:t>
      </w:r>
      <w:r w:rsidR="00030822">
        <w:rPr>
          <w:szCs w:val="26"/>
        </w:rPr>
        <w:t>5</w:t>
      </w:r>
      <w:r w:rsidRPr="00E141E0">
        <w:rPr>
          <w:szCs w:val="26"/>
        </w:rPr>
        <w:t>, 201</w:t>
      </w:r>
      <w:r w:rsidR="00975C01">
        <w:rPr>
          <w:szCs w:val="26"/>
        </w:rPr>
        <w:t>5</w:t>
      </w:r>
      <w:r w:rsidRPr="00E141E0">
        <w:rPr>
          <w:szCs w:val="26"/>
        </w:rPr>
        <w:t xml:space="preserve">.  According to the NERC </w:t>
      </w:r>
      <w:r w:rsidR="007914AC">
        <w:rPr>
          <w:szCs w:val="26"/>
        </w:rPr>
        <w:t>c</w:t>
      </w:r>
      <w:r w:rsidRPr="00E141E0">
        <w:rPr>
          <w:szCs w:val="26"/>
        </w:rPr>
        <w:t>ompliance</w:t>
      </w:r>
      <w:r w:rsidR="007914AC">
        <w:rPr>
          <w:szCs w:val="26"/>
        </w:rPr>
        <w:t xml:space="preserve"> </w:t>
      </w:r>
      <w:r w:rsidRPr="00E141E0">
        <w:rPr>
          <w:szCs w:val="26"/>
        </w:rPr>
        <w:t xml:space="preserve">registry, there are </w:t>
      </w:r>
      <w:r w:rsidR="00975C01">
        <w:rPr>
          <w:szCs w:val="26"/>
        </w:rPr>
        <w:t>80</w:t>
      </w:r>
      <w:r w:rsidR="00975C01" w:rsidRPr="00E141E0">
        <w:rPr>
          <w:szCs w:val="26"/>
        </w:rPr>
        <w:t xml:space="preserve"> </w:t>
      </w:r>
      <w:r w:rsidRPr="00E141E0">
        <w:rPr>
          <w:szCs w:val="26"/>
        </w:rPr>
        <w:t xml:space="preserve">planning coordinators.  </w:t>
      </w:r>
      <w:r w:rsidRPr="006305AF">
        <w:rPr>
          <w:szCs w:val="26"/>
        </w:rPr>
        <w:t xml:space="preserve">The individual burden estimates are based on the time needed to gather data, </w:t>
      </w:r>
      <w:r w:rsidR="006305AF">
        <w:rPr>
          <w:szCs w:val="26"/>
        </w:rPr>
        <w:t>develop corrective action plans</w:t>
      </w:r>
      <w:r w:rsidRPr="006305AF">
        <w:rPr>
          <w:szCs w:val="26"/>
        </w:rPr>
        <w:t xml:space="preserve"> </w:t>
      </w:r>
      <w:r w:rsidR="006305AF">
        <w:rPr>
          <w:szCs w:val="26"/>
        </w:rPr>
        <w:t>and schedule</w:t>
      </w:r>
      <w:r w:rsidR="00404CAC">
        <w:rPr>
          <w:szCs w:val="26"/>
        </w:rPr>
        <w:t>s</w:t>
      </w:r>
      <w:r w:rsidR="006305AF">
        <w:rPr>
          <w:szCs w:val="26"/>
        </w:rPr>
        <w:t xml:space="preserve"> to </w:t>
      </w:r>
      <w:r w:rsidR="00404CAC">
        <w:rPr>
          <w:szCs w:val="26"/>
        </w:rPr>
        <w:t>perform</w:t>
      </w:r>
      <w:r w:rsidR="006305AF">
        <w:rPr>
          <w:szCs w:val="26"/>
        </w:rPr>
        <w:t xml:space="preserve"> assessments of </w:t>
      </w:r>
      <w:r w:rsidRPr="006305AF">
        <w:rPr>
          <w:szCs w:val="26"/>
        </w:rPr>
        <w:t xml:space="preserve">the </w:t>
      </w:r>
      <w:proofErr w:type="spellStart"/>
      <w:r w:rsidR="00F5556D" w:rsidRPr="006305AF">
        <w:rPr>
          <w:szCs w:val="26"/>
        </w:rPr>
        <w:t>underfrequency</w:t>
      </w:r>
      <w:proofErr w:type="spellEnd"/>
      <w:r w:rsidR="00F5556D" w:rsidRPr="006305AF">
        <w:rPr>
          <w:szCs w:val="26"/>
        </w:rPr>
        <w:t xml:space="preserve"> load shedding</w:t>
      </w:r>
      <w:r w:rsidRPr="006305AF">
        <w:rPr>
          <w:szCs w:val="26"/>
        </w:rPr>
        <w:t xml:space="preserve"> programs</w:t>
      </w:r>
      <w:r w:rsidR="00404CAC">
        <w:rPr>
          <w:szCs w:val="26"/>
        </w:rPr>
        <w:t>.</w:t>
      </w:r>
      <w:r w:rsidR="006E1ACD" w:rsidRPr="00404CAC">
        <w:rPr>
          <w:szCs w:val="26"/>
        </w:rPr>
        <w:t xml:space="preserve"> </w:t>
      </w:r>
      <w:r w:rsidRPr="00404CAC">
        <w:rPr>
          <w:szCs w:val="26"/>
        </w:rPr>
        <w:t xml:space="preserve">Additionally, documentation and the review of </w:t>
      </w:r>
      <w:proofErr w:type="spellStart"/>
      <w:r w:rsidR="00F5556D" w:rsidRPr="00404CAC">
        <w:rPr>
          <w:szCs w:val="26"/>
        </w:rPr>
        <w:t>underfrequency</w:t>
      </w:r>
      <w:proofErr w:type="spellEnd"/>
      <w:r w:rsidR="00F5556D" w:rsidRPr="00404CAC">
        <w:rPr>
          <w:szCs w:val="26"/>
        </w:rPr>
        <w:t xml:space="preserve"> load shedding</w:t>
      </w:r>
      <w:r w:rsidR="00F5556D" w:rsidRPr="00030822" w:rsidDel="00F5556D">
        <w:rPr>
          <w:szCs w:val="26"/>
        </w:rPr>
        <w:t xml:space="preserve"> </w:t>
      </w:r>
      <w:r w:rsidRPr="00030822">
        <w:rPr>
          <w:szCs w:val="26"/>
        </w:rPr>
        <w:t>program results by supervisors and management is included in the administrative estimations.  These are consistent with estimates for similar tasks in other Commission approved standards.</w:t>
      </w:r>
    </w:p>
    <w:p w14:paraId="086B6A08" w14:textId="61019C8E" w:rsidR="00A36F06" w:rsidRPr="00E141E0" w:rsidRDefault="00A36F06" w:rsidP="001D635F">
      <w:pPr>
        <w:pStyle w:val="FERCparanumber"/>
        <w:numPr>
          <w:ilvl w:val="0"/>
          <w:numId w:val="0"/>
        </w:numPr>
        <w:rPr>
          <w:szCs w:val="26"/>
        </w:rPr>
      </w:pPr>
      <w:r>
        <w:rPr>
          <w:szCs w:val="26"/>
        </w:rPr>
        <w:tab/>
      </w:r>
      <w:proofErr w:type="gramStart"/>
      <w:r>
        <w:rPr>
          <w:szCs w:val="26"/>
        </w:rPr>
        <w:t>Estimates for the additional burden and cost imposed by the order in Docket No.</w:t>
      </w:r>
      <w:proofErr w:type="gramEnd"/>
      <w:r>
        <w:rPr>
          <w:szCs w:val="26"/>
        </w:rPr>
        <w:t xml:space="preserve"> RD15-2</w:t>
      </w:r>
      <w:r w:rsidR="0090565D">
        <w:rPr>
          <w:szCs w:val="26"/>
        </w:rPr>
        <w:t>-000</w:t>
      </w:r>
      <w:r>
        <w:rPr>
          <w:szCs w:val="26"/>
        </w:rPr>
        <w:t xml:space="preserve"> </w:t>
      </w:r>
      <w:proofErr w:type="gramStart"/>
      <w:r>
        <w:rPr>
          <w:szCs w:val="26"/>
        </w:rPr>
        <w:t>follow</w:t>
      </w:r>
      <w:proofErr w:type="gramEnd"/>
      <w:r>
        <w:rPr>
          <w:szCs w:val="26"/>
        </w:rPr>
        <w:t>.</w:t>
      </w:r>
      <w:r w:rsidR="004A2FF6" w:rsidRPr="00ED1C1A">
        <w:rPr>
          <w:rStyle w:val="FootnoteReference"/>
          <w:szCs w:val="26"/>
          <w:vertAlign w:val="superscript"/>
        </w:rPr>
        <w:footnoteReference w:id="9"/>
      </w:r>
    </w:p>
    <w:tbl>
      <w:tblPr>
        <w:tblW w:w="10250" w:type="dxa"/>
        <w:jc w:val="center"/>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9"/>
        <w:gridCol w:w="1712"/>
        <w:gridCol w:w="1530"/>
        <w:gridCol w:w="1215"/>
        <w:gridCol w:w="1531"/>
        <w:gridCol w:w="1192"/>
        <w:gridCol w:w="1361"/>
      </w:tblGrid>
      <w:tr w:rsidR="00CE6500" w:rsidRPr="00CF2E80" w14:paraId="35A6926A" w14:textId="77777777" w:rsidTr="005F71B2">
        <w:trPr>
          <w:trHeight w:val="737"/>
          <w:jc w:val="center"/>
        </w:trPr>
        <w:tc>
          <w:tcPr>
            <w:tcW w:w="10250" w:type="dxa"/>
            <w:gridSpan w:val="7"/>
            <w:tcBorders>
              <w:top w:val="single" w:sz="4" w:space="0" w:color="auto"/>
              <w:left w:val="single" w:sz="4" w:space="0" w:color="auto"/>
              <w:bottom w:val="single" w:sz="4" w:space="0" w:color="auto"/>
              <w:right w:val="single" w:sz="4" w:space="0" w:color="auto"/>
            </w:tcBorders>
            <w:noWrap/>
            <w:vAlign w:val="bottom"/>
          </w:tcPr>
          <w:p w14:paraId="65DEF695" w14:textId="5196CDEF" w:rsidR="00CE6500" w:rsidRPr="00CF2E80" w:rsidRDefault="00CE6500" w:rsidP="00EB619A">
            <w:pPr>
              <w:keepNext/>
              <w:jc w:val="center"/>
              <w:rPr>
                <w:b/>
                <w:sz w:val="26"/>
                <w:szCs w:val="26"/>
              </w:rPr>
            </w:pPr>
            <w:r w:rsidRPr="00CF2E80">
              <w:rPr>
                <w:b/>
                <w:sz w:val="26"/>
                <w:szCs w:val="26"/>
              </w:rPr>
              <w:lastRenderedPageBreak/>
              <w:t xml:space="preserve">FERC-725G, </w:t>
            </w:r>
            <w:r w:rsidR="00EB619A" w:rsidRPr="00CF2E80">
              <w:rPr>
                <w:b/>
                <w:sz w:val="26"/>
                <w:szCs w:val="26"/>
              </w:rPr>
              <w:t xml:space="preserve">as modified in </w:t>
            </w:r>
            <w:r w:rsidRPr="00CF2E80">
              <w:rPr>
                <w:b/>
                <w:sz w:val="26"/>
                <w:szCs w:val="26"/>
              </w:rPr>
              <w:t>RD15-2</w:t>
            </w:r>
            <w:r w:rsidR="00527108" w:rsidRPr="00CF2E80">
              <w:rPr>
                <w:b/>
                <w:sz w:val="26"/>
                <w:szCs w:val="26"/>
              </w:rPr>
              <w:t xml:space="preserve"> (due to approval of PRC-006-2)</w:t>
            </w:r>
          </w:p>
        </w:tc>
      </w:tr>
      <w:tr w:rsidR="00CE6500" w:rsidRPr="00CF2E80" w14:paraId="367A4D26" w14:textId="77777777" w:rsidTr="00273BAC">
        <w:trPr>
          <w:trHeight w:val="2087"/>
          <w:jc w:val="center"/>
        </w:trPr>
        <w:tc>
          <w:tcPr>
            <w:tcW w:w="1709" w:type="dxa"/>
            <w:tcBorders>
              <w:top w:val="single" w:sz="4" w:space="0" w:color="auto"/>
              <w:left w:val="single" w:sz="4" w:space="0" w:color="auto"/>
              <w:bottom w:val="single" w:sz="4" w:space="0" w:color="auto"/>
              <w:right w:val="single" w:sz="4" w:space="0" w:color="auto"/>
            </w:tcBorders>
            <w:noWrap/>
            <w:vAlign w:val="bottom"/>
          </w:tcPr>
          <w:p w14:paraId="524BAFA5" w14:textId="77777777" w:rsidR="00CE6500" w:rsidRPr="00CF2E80" w:rsidRDefault="00CE6500" w:rsidP="00CE6500">
            <w:pPr>
              <w:jc w:val="center"/>
              <w:rPr>
                <w:b/>
                <w:sz w:val="26"/>
                <w:szCs w:val="26"/>
              </w:rPr>
            </w:pPr>
            <w:r w:rsidRPr="00CF2E80">
              <w:rPr>
                <w:sz w:val="26"/>
                <w:szCs w:val="26"/>
              </w:rPr>
              <w:br w:type="page"/>
            </w:r>
          </w:p>
        </w:tc>
        <w:tc>
          <w:tcPr>
            <w:tcW w:w="171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9E1D31" w14:textId="77777777" w:rsidR="00CE6500" w:rsidRPr="00CF2E80" w:rsidRDefault="00CE6500" w:rsidP="00CE6500">
            <w:pPr>
              <w:jc w:val="center"/>
              <w:rPr>
                <w:b/>
                <w:sz w:val="26"/>
                <w:szCs w:val="26"/>
              </w:rPr>
            </w:pPr>
            <w:r w:rsidRPr="00CF2E80">
              <w:rPr>
                <w:b/>
                <w:sz w:val="26"/>
                <w:szCs w:val="26"/>
              </w:rPr>
              <w:t>Number and Type of Respondent</w:t>
            </w:r>
            <w:r w:rsidRPr="00CF2E80">
              <w:rPr>
                <w:b/>
                <w:sz w:val="26"/>
                <w:szCs w:val="26"/>
                <w:vertAlign w:val="superscript"/>
              </w:rPr>
              <w:footnoteReference w:id="10"/>
            </w:r>
          </w:p>
          <w:p w14:paraId="18D2A8E2" w14:textId="77777777" w:rsidR="00CE6500" w:rsidRPr="00CF2E80" w:rsidRDefault="00CE6500" w:rsidP="00CE6500">
            <w:pPr>
              <w:jc w:val="center"/>
              <w:rPr>
                <w:b/>
                <w:sz w:val="26"/>
                <w:szCs w:val="26"/>
              </w:rPr>
            </w:pPr>
            <w:r w:rsidRPr="00CF2E80">
              <w:rPr>
                <w:b/>
                <w:sz w:val="26"/>
                <w:szCs w:val="26"/>
              </w:rPr>
              <w:t>(1)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A5B5E6" w14:textId="77777777" w:rsidR="00CE6500" w:rsidRPr="00CF2E80" w:rsidRDefault="00CE6500" w:rsidP="00CE6500">
            <w:pPr>
              <w:jc w:val="center"/>
              <w:rPr>
                <w:b/>
                <w:sz w:val="26"/>
                <w:szCs w:val="26"/>
              </w:rPr>
            </w:pPr>
            <w:r w:rsidRPr="00CF2E80">
              <w:rPr>
                <w:b/>
                <w:sz w:val="26"/>
                <w:szCs w:val="26"/>
              </w:rPr>
              <w:t>Annual Number of Responses per Respondent</w:t>
            </w:r>
          </w:p>
          <w:p w14:paraId="4440238D" w14:textId="77777777" w:rsidR="00CE6500" w:rsidRPr="00CF2E80" w:rsidRDefault="00CE6500" w:rsidP="00CE6500">
            <w:pPr>
              <w:jc w:val="center"/>
              <w:rPr>
                <w:b/>
                <w:sz w:val="26"/>
                <w:szCs w:val="26"/>
              </w:rPr>
            </w:pPr>
            <w:r w:rsidRPr="00CF2E80">
              <w:rPr>
                <w:b/>
                <w:sz w:val="26"/>
                <w:szCs w:val="26"/>
              </w:rPr>
              <w:t>(2)</w:t>
            </w:r>
          </w:p>
        </w:tc>
        <w:tc>
          <w:tcPr>
            <w:tcW w:w="1215" w:type="dxa"/>
            <w:tcBorders>
              <w:top w:val="single" w:sz="4" w:space="0" w:color="auto"/>
              <w:left w:val="single" w:sz="4" w:space="0" w:color="auto"/>
              <w:bottom w:val="single" w:sz="4" w:space="0" w:color="auto"/>
              <w:right w:val="single" w:sz="4" w:space="0" w:color="auto"/>
            </w:tcBorders>
            <w:vAlign w:val="bottom"/>
            <w:hideMark/>
          </w:tcPr>
          <w:p w14:paraId="6BA0C0BF" w14:textId="77777777" w:rsidR="00CE6500" w:rsidRPr="00CF2E80" w:rsidRDefault="00CE6500" w:rsidP="00CE6500">
            <w:pPr>
              <w:jc w:val="center"/>
              <w:rPr>
                <w:b/>
                <w:sz w:val="26"/>
                <w:szCs w:val="26"/>
                <w:highlight w:val="yellow"/>
              </w:rPr>
            </w:pPr>
            <w:r w:rsidRPr="00CF2E80">
              <w:rPr>
                <w:b/>
                <w:sz w:val="26"/>
                <w:szCs w:val="26"/>
              </w:rPr>
              <w:t>Total Number of Responses (1)*(2)=(3)</w:t>
            </w:r>
          </w:p>
        </w:tc>
        <w:tc>
          <w:tcPr>
            <w:tcW w:w="1531" w:type="dxa"/>
            <w:tcBorders>
              <w:top w:val="single" w:sz="4" w:space="0" w:color="auto"/>
              <w:left w:val="single" w:sz="4" w:space="0" w:color="auto"/>
              <w:bottom w:val="single" w:sz="4" w:space="0" w:color="auto"/>
              <w:right w:val="single" w:sz="4" w:space="0" w:color="auto"/>
            </w:tcBorders>
            <w:vAlign w:val="bottom"/>
            <w:hideMark/>
          </w:tcPr>
          <w:p w14:paraId="110F4824" w14:textId="77777777" w:rsidR="00CE6500" w:rsidRPr="00CF2E80" w:rsidRDefault="00CE6500" w:rsidP="00CE6500">
            <w:pPr>
              <w:jc w:val="center"/>
              <w:rPr>
                <w:b/>
                <w:sz w:val="26"/>
                <w:szCs w:val="26"/>
              </w:rPr>
            </w:pPr>
            <w:r w:rsidRPr="00CF2E80">
              <w:rPr>
                <w:b/>
                <w:sz w:val="26"/>
                <w:szCs w:val="26"/>
              </w:rPr>
              <w:t>Average Burden per Response (Hours)</w:t>
            </w:r>
          </w:p>
          <w:p w14:paraId="124F3E02" w14:textId="77777777" w:rsidR="00CE6500" w:rsidRPr="00CF2E80" w:rsidRDefault="00CE6500" w:rsidP="00CE6500">
            <w:pPr>
              <w:jc w:val="center"/>
              <w:rPr>
                <w:b/>
                <w:sz w:val="26"/>
                <w:szCs w:val="26"/>
                <w:highlight w:val="yellow"/>
              </w:rPr>
            </w:pPr>
            <w:r w:rsidRPr="00CF2E80">
              <w:rPr>
                <w:b/>
                <w:sz w:val="26"/>
                <w:szCs w:val="26"/>
              </w:rPr>
              <w:t>(4)</w:t>
            </w:r>
          </w:p>
        </w:tc>
        <w:tc>
          <w:tcPr>
            <w:tcW w:w="1192" w:type="dxa"/>
            <w:tcBorders>
              <w:top w:val="single" w:sz="4" w:space="0" w:color="auto"/>
              <w:left w:val="single" w:sz="4" w:space="0" w:color="auto"/>
              <w:bottom w:val="single" w:sz="4" w:space="0" w:color="auto"/>
              <w:right w:val="single" w:sz="4" w:space="0" w:color="auto"/>
            </w:tcBorders>
            <w:vAlign w:val="bottom"/>
            <w:hideMark/>
          </w:tcPr>
          <w:p w14:paraId="050A9DA9" w14:textId="77777777" w:rsidR="00CE6500" w:rsidRPr="00CF2E80" w:rsidRDefault="00CE6500" w:rsidP="00CE6500">
            <w:pPr>
              <w:ind w:right="71"/>
              <w:jc w:val="center"/>
              <w:rPr>
                <w:b/>
                <w:sz w:val="26"/>
                <w:szCs w:val="26"/>
              </w:rPr>
            </w:pPr>
            <w:r w:rsidRPr="00CF2E80">
              <w:rPr>
                <w:b/>
                <w:sz w:val="26"/>
                <w:szCs w:val="26"/>
              </w:rPr>
              <w:t xml:space="preserve">Total Annual Burden (Hours) </w:t>
            </w:r>
          </w:p>
          <w:p w14:paraId="034F0216" w14:textId="77777777" w:rsidR="00CE6500" w:rsidRPr="00CF2E80" w:rsidRDefault="00CE6500" w:rsidP="00CE6500">
            <w:pPr>
              <w:jc w:val="center"/>
              <w:rPr>
                <w:b/>
                <w:sz w:val="26"/>
                <w:szCs w:val="26"/>
                <w:highlight w:val="yellow"/>
              </w:rPr>
            </w:pPr>
            <w:r w:rsidRPr="00CF2E80">
              <w:rPr>
                <w:b/>
                <w:sz w:val="26"/>
                <w:szCs w:val="26"/>
              </w:rPr>
              <w:t>(3)*(4)=(5)</w:t>
            </w:r>
          </w:p>
        </w:tc>
        <w:tc>
          <w:tcPr>
            <w:tcW w:w="1361" w:type="dxa"/>
            <w:tcBorders>
              <w:top w:val="single" w:sz="4" w:space="0" w:color="auto"/>
              <w:left w:val="single" w:sz="4" w:space="0" w:color="auto"/>
              <w:bottom w:val="single" w:sz="4" w:space="0" w:color="auto"/>
              <w:right w:val="single" w:sz="4" w:space="0" w:color="auto"/>
            </w:tcBorders>
            <w:vAlign w:val="bottom"/>
          </w:tcPr>
          <w:p w14:paraId="090FC77C" w14:textId="7E3BCE29" w:rsidR="00CE6500" w:rsidRPr="00CF2E80" w:rsidRDefault="00CE6500" w:rsidP="00D67012">
            <w:pPr>
              <w:jc w:val="center"/>
              <w:rPr>
                <w:sz w:val="26"/>
                <w:szCs w:val="26"/>
              </w:rPr>
            </w:pPr>
            <w:r w:rsidRPr="00CF2E80">
              <w:rPr>
                <w:b/>
                <w:sz w:val="26"/>
                <w:szCs w:val="26"/>
              </w:rPr>
              <w:t>Total Annual Cost</w:t>
            </w:r>
            <w:r w:rsidR="000E451E" w:rsidRPr="00CF2E80">
              <w:rPr>
                <w:rStyle w:val="FootnoteReference"/>
                <w:b/>
                <w:sz w:val="26"/>
                <w:szCs w:val="26"/>
                <w:vertAlign w:val="superscript"/>
              </w:rPr>
              <w:footnoteReference w:id="11"/>
            </w:r>
          </w:p>
          <w:p w14:paraId="3D648A16" w14:textId="77777777" w:rsidR="00CE6500" w:rsidRPr="00CF2E80" w:rsidRDefault="00CE6500" w:rsidP="00D67012">
            <w:pPr>
              <w:jc w:val="center"/>
              <w:rPr>
                <w:b/>
                <w:sz w:val="26"/>
                <w:szCs w:val="26"/>
              </w:rPr>
            </w:pPr>
            <w:r w:rsidRPr="00CF2E80">
              <w:rPr>
                <w:b/>
                <w:sz w:val="26"/>
                <w:szCs w:val="26"/>
              </w:rPr>
              <w:t>($)</w:t>
            </w:r>
          </w:p>
          <w:p w14:paraId="551234A4" w14:textId="77777777" w:rsidR="00CE6500" w:rsidRPr="00CF2E80" w:rsidRDefault="00CE6500" w:rsidP="00CE6500">
            <w:pPr>
              <w:jc w:val="center"/>
              <w:rPr>
                <w:b/>
                <w:sz w:val="26"/>
                <w:szCs w:val="26"/>
              </w:rPr>
            </w:pPr>
          </w:p>
        </w:tc>
      </w:tr>
      <w:tr w:rsidR="00FC2921" w:rsidRPr="00CF2E80" w14:paraId="53F9BBD3" w14:textId="77777777" w:rsidTr="00EB619A">
        <w:trPr>
          <w:trHeight w:val="467"/>
          <w:jc w:val="center"/>
        </w:trPr>
        <w:tc>
          <w:tcPr>
            <w:tcW w:w="1709" w:type="dxa"/>
            <w:tcBorders>
              <w:top w:val="single" w:sz="4" w:space="0" w:color="auto"/>
              <w:left w:val="single" w:sz="4" w:space="0" w:color="auto"/>
              <w:bottom w:val="single" w:sz="4" w:space="0" w:color="auto"/>
              <w:right w:val="single" w:sz="4" w:space="0" w:color="auto"/>
            </w:tcBorders>
            <w:noWrap/>
            <w:vAlign w:val="bottom"/>
          </w:tcPr>
          <w:p w14:paraId="6FBF8F17" w14:textId="213CEECB" w:rsidR="00FC2921" w:rsidRPr="00CF2E80" w:rsidRDefault="00EB619A" w:rsidP="00EB619A">
            <w:pPr>
              <w:rPr>
                <w:sz w:val="26"/>
                <w:szCs w:val="26"/>
              </w:rPr>
            </w:pPr>
            <w:r w:rsidRPr="00CF2E80">
              <w:rPr>
                <w:sz w:val="26"/>
                <w:szCs w:val="26"/>
              </w:rPr>
              <w:t>Reporting and recordkeeping requirements</w:t>
            </w:r>
            <w:r w:rsidRPr="00CF2E80">
              <w:rPr>
                <w:rStyle w:val="FootnoteReference"/>
                <w:sz w:val="26"/>
                <w:szCs w:val="26"/>
                <w:vertAlign w:val="superscript"/>
              </w:rPr>
              <w:footnoteReference w:id="12"/>
            </w:r>
            <w:r w:rsidRPr="00CF2E80">
              <w:rPr>
                <w:sz w:val="26"/>
                <w:szCs w:val="26"/>
              </w:rPr>
              <w:t xml:space="preserve"> </w:t>
            </w:r>
          </w:p>
        </w:tc>
        <w:tc>
          <w:tcPr>
            <w:tcW w:w="1712" w:type="dxa"/>
            <w:tcBorders>
              <w:top w:val="single" w:sz="4" w:space="0" w:color="auto"/>
              <w:left w:val="single" w:sz="4" w:space="0" w:color="auto"/>
              <w:bottom w:val="single" w:sz="4" w:space="0" w:color="auto"/>
              <w:right w:val="single" w:sz="4" w:space="0" w:color="auto"/>
            </w:tcBorders>
            <w:vAlign w:val="bottom"/>
          </w:tcPr>
          <w:p w14:paraId="22E15274" w14:textId="5E7638DD" w:rsidR="00FC2921" w:rsidRPr="00CF2E80" w:rsidRDefault="00FC2921" w:rsidP="00EB619A">
            <w:pPr>
              <w:rPr>
                <w:sz w:val="26"/>
                <w:szCs w:val="26"/>
              </w:rPr>
            </w:pPr>
            <w:r w:rsidRPr="00CF2E80">
              <w:rPr>
                <w:sz w:val="26"/>
                <w:szCs w:val="26"/>
              </w:rPr>
              <w:t xml:space="preserve">80 </w:t>
            </w:r>
            <w:r w:rsidR="00A4214A" w:rsidRPr="00CF2E80">
              <w:rPr>
                <w:sz w:val="26"/>
                <w:szCs w:val="26"/>
              </w:rPr>
              <w:t>planning coordinators</w:t>
            </w:r>
          </w:p>
        </w:tc>
        <w:tc>
          <w:tcPr>
            <w:tcW w:w="1530" w:type="dxa"/>
            <w:tcBorders>
              <w:top w:val="single" w:sz="4" w:space="0" w:color="auto"/>
              <w:left w:val="single" w:sz="4" w:space="0" w:color="auto"/>
              <w:bottom w:val="single" w:sz="4" w:space="0" w:color="auto"/>
              <w:right w:val="single" w:sz="4" w:space="0" w:color="auto"/>
            </w:tcBorders>
            <w:vAlign w:val="bottom"/>
          </w:tcPr>
          <w:p w14:paraId="3924F19A" w14:textId="787054B1" w:rsidR="00FC2921" w:rsidRPr="00CF2E80" w:rsidRDefault="00FC2921" w:rsidP="005C5A54">
            <w:pPr>
              <w:jc w:val="right"/>
              <w:rPr>
                <w:sz w:val="26"/>
                <w:szCs w:val="26"/>
              </w:rPr>
            </w:pPr>
            <w:r w:rsidRPr="00CF2E80">
              <w:rPr>
                <w:sz w:val="26"/>
                <w:szCs w:val="26"/>
              </w:rPr>
              <w:t>1</w:t>
            </w:r>
          </w:p>
        </w:tc>
        <w:tc>
          <w:tcPr>
            <w:tcW w:w="1215" w:type="dxa"/>
            <w:tcBorders>
              <w:top w:val="single" w:sz="4" w:space="0" w:color="auto"/>
              <w:left w:val="single" w:sz="4" w:space="0" w:color="auto"/>
              <w:bottom w:val="single" w:sz="4" w:space="0" w:color="auto"/>
              <w:right w:val="single" w:sz="4" w:space="0" w:color="auto"/>
            </w:tcBorders>
            <w:vAlign w:val="bottom"/>
          </w:tcPr>
          <w:p w14:paraId="59556308" w14:textId="7FD25167" w:rsidR="00FC2921" w:rsidRPr="00CF2E80" w:rsidRDefault="00FC2921" w:rsidP="005C5A54">
            <w:pPr>
              <w:jc w:val="right"/>
              <w:rPr>
                <w:sz w:val="26"/>
                <w:szCs w:val="26"/>
              </w:rPr>
            </w:pPr>
            <w:r w:rsidRPr="00CF2E80">
              <w:rPr>
                <w:sz w:val="26"/>
                <w:szCs w:val="26"/>
              </w:rPr>
              <w:t>80</w:t>
            </w:r>
          </w:p>
        </w:tc>
        <w:tc>
          <w:tcPr>
            <w:tcW w:w="1531" w:type="dxa"/>
            <w:tcBorders>
              <w:top w:val="single" w:sz="4" w:space="0" w:color="auto"/>
              <w:left w:val="single" w:sz="4" w:space="0" w:color="auto"/>
              <w:bottom w:val="single" w:sz="4" w:space="0" w:color="auto"/>
              <w:right w:val="single" w:sz="4" w:space="0" w:color="auto"/>
            </w:tcBorders>
            <w:vAlign w:val="bottom"/>
          </w:tcPr>
          <w:p w14:paraId="3BC50BB0" w14:textId="1FE434C8" w:rsidR="00FC2921" w:rsidRPr="00CF2E80" w:rsidRDefault="00FC2921" w:rsidP="005C5A54">
            <w:pPr>
              <w:jc w:val="right"/>
              <w:rPr>
                <w:sz w:val="26"/>
                <w:szCs w:val="26"/>
              </w:rPr>
            </w:pPr>
            <w:r w:rsidRPr="00CF2E80">
              <w:rPr>
                <w:sz w:val="26"/>
                <w:szCs w:val="26"/>
              </w:rPr>
              <w:t xml:space="preserve">52 </w:t>
            </w:r>
            <w:r w:rsidR="003C30A7" w:rsidRPr="00CF2E80">
              <w:rPr>
                <w:sz w:val="26"/>
                <w:szCs w:val="26"/>
              </w:rPr>
              <w:t xml:space="preserve">hrs. </w:t>
            </w:r>
            <w:r w:rsidRPr="00CF2E80">
              <w:rPr>
                <w:sz w:val="26"/>
                <w:szCs w:val="26"/>
              </w:rPr>
              <w:t>(47</w:t>
            </w:r>
            <w:r w:rsidR="003C30A7" w:rsidRPr="00CF2E80">
              <w:rPr>
                <w:sz w:val="26"/>
                <w:szCs w:val="26"/>
              </w:rPr>
              <w:t xml:space="preserve"> hrs.</w:t>
            </w:r>
            <w:r w:rsidRPr="00CF2E80">
              <w:rPr>
                <w:sz w:val="26"/>
                <w:szCs w:val="26"/>
              </w:rPr>
              <w:t xml:space="preserve"> for reporting </w:t>
            </w:r>
            <w:r w:rsidR="003C30A7" w:rsidRPr="00CF2E80">
              <w:rPr>
                <w:sz w:val="26"/>
                <w:szCs w:val="26"/>
              </w:rPr>
              <w:t>requirements,</w:t>
            </w:r>
            <w:r w:rsidRPr="00CF2E80">
              <w:rPr>
                <w:sz w:val="26"/>
                <w:szCs w:val="26"/>
              </w:rPr>
              <w:t xml:space="preserve"> and 5 </w:t>
            </w:r>
            <w:r w:rsidR="003C30A7" w:rsidRPr="00CF2E80">
              <w:rPr>
                <w:sz w:val="26"/>
                <w:szCs w:val="26"/>
              </w:rPr>
              <w:t xml:space="preserve">hrs. </w:t>
            </w:r>
            <w:r w:rsidRPr="00CF2E80">
              <w:rPr>
                <w:sz w:val="26"/>
                <w:szCs w:val="26"/>
              </w:rPr>
              <w:t>for record retention requirement</w:t>
            </w:r>
            <w:r w:rsidR="003C30A7" w:rsidRPr="00CF2E80">
              <w:rPr>
                <w:sz w:val="26"/>
                <w:szCs w:val="26"/>
              </w:rPr>
              <w:t>s</w:t>
            </w:r>
            <w:r w:rsidRPr="00CF2E80">
              <w:rPr>
                <w:sz w:val="26"/>
                <w:szCs w:val="26"/>
              </w:rPr>
              <w:t>)</w:t>
            </w:r>
          </w:p>
        </w:tc>
        <w:tc>
          <w:tcPr>
            <w:tcW w:w="1192" w:type="dxa"/>
            <w:tcBorders>
              <w:top w:val="single" w:sz="4" w:space="0" w:color="auto"/>
              <w:left w:val="single" w:sz="4" w:space="0" w:color="auto"/>
              <w:bottom w:val="single" w:sz="4" w:space="0" w:color="auto"/>
              <w:right w:val="single" w:sz="4" w:space="0" w:color="auto"/>
            </w:tcBorders>
            <w:vAlign w:val="bottom"/>
          </w:tcPr>
          <w:p w14:paraId="115E3A5A" w14:textId="13771B5A" w:rsidR="00FC2921" w:rsidRPr="00CF2E80" w:rsidRDefault="00FC2921" w:rsidP="005C5A54">
            <w:pPr>
              <w:jc w:val="right"/>
              <w:rPr>
                <w:sz w:val="26"/>
                <w:szCs w:val="26"/>
              </w:rPr>
            </w:pPr>
            <w:r w:rsidRPr="00CF2E80">
              <w:rPr>
                <w:sz w:val="26"/>
                <w:szCs w:val="26"/>
              </w:rPr>
              <w:t>4,160</w:t>
            </w:r>
            <w:r w:rsidR="003C30A7" w:rsidRPr="00CF2E80">
              <w:rPr>
                <w:sz w:val="26"/>
                <w:szCs w:val="26"/>
              </w:rPr>
              <w:t xml:space="preserve"> hrs.</w:t>
            </w:r>
            <w:r w:rsidRPr="00CF2E80">
              <w:rPr>
                <w:sz w:val="26"/>
                <w:szCs w:val="26"/>
              </w:rPr>
              <w:t xml:space="preserve"> (3,760</w:t>
            </w:r>
            <w:r w:rsidR="003C30A7" w:rsidRPr="00CF2E80">
              <w:rPr>
                <w:sz w:val="26"/>
                <w:szCs w:val="26"/>
              </w:rPr>
              <w:t xml:space="preserve"> hrs.</w:t>
            </w:r>
            <w:r w:rsidRPr="00CF2E80">
              <w:rPr>
                <w:sz w:val="26"/>
                <w:szCs w:val="26"/>
              </w:rPr>
              <w:t xml:space="preserve"> for reporting requirements</w:t>
            </w:r>
            <w:r w:rsidR="003C30A7" w:rsidRPr="00CF2E80">
              <w:rPr>
                <w:sz w:val="26"/>
                <w:szCs w:val="26"/>
              </w:rPr>
              <w:t>,</w:t>
            </w:r>
            <w:r w:rsidRPr="00CF2E80">
              <w:rPr>
                <w:sz w:val="26"/>
                <w:szCs w:val="26"/>
              </w:rPr>
              <w:t xml:space="preserve"> and 400 </w:t>
            </w:r>
            <w:r w:rsidR="003C30A7" w:rsidRPr="00CF2E80">
              <w:rPr>
                <w:sz w:val="26"/>
                <w:szCs w:val="26"/>
              </w:rPr>
              <w:t xml:space="preserve">hrs. </w:t>
            </w:r>
            <w:r w:rsidRPr="00CF2E80">
              <w:rPr>
                <w:sz w:val="26"/>
                <w:szCs w:val="26"/>
              </w:rPr>
              <w:t xml:space="preserve">for record retention </w:t>
            </w:r>
            <w:r w:rsidRPr="00CF2E80">
              <w:rPr>
                <w:sz w:val="26"/>
                <w:szCs w:val="26"/>
              </w:rPr>
              <w:lastRenderedPageBreak/>
              <w:t>requirements)</w:t>
            </w:r>
          </w:p>
        </w:tc>
        <w:tc>
          <w:tcPr>
            <w:tcW w:w="1361" w:type="dxa"/>
            <w:tcBorders>
              <w:top w:val="single" w:sz="4" w:space="0" w:color="auto"/>
              <w:left w:val="single" w:sz="4" w:space="0" w:color="auto"/>
              <w:bottom w:val="single" w:sz="4" w:space="0" w:color="auto"/>
              <w:right w:val="single" w:sz="4" w:space="0" w:color="auto"/>
            </w:tcBorders>
            <w:vAlign w:val="bottom"/>
          </w:tcPr>
          <w:p w14:paraId="66F1593F" w14:textId="17EA52CC" w:rsidR="00FC2921" w:rsidRPr="00CF2E80" w:rsidRDefault="00FC2921" w:rsidP="005C5A54">
            <w:pPr>
              <w:jc w:val="right"/>
              <w:rPr>
                <w:sz w:val="26"/>
                <w:szCs w:val="26"/>
              </w:rPr>
            </w:pPr>
            <w:r w:rsidRPr="00CF2E80">
              <w:rPr>
                <w:sz w:val="26"/>
                <w:szCs w:val="26"/>
              </w:rPr>
              <w:lastRenderedPageBreak/>
              <w:t>$285,783 ($274,179 for reporting requirements</w:t>
            </w:r>
            <w:r w:rsidR="003C30A7" w:rsidRPr="00CF2E80">
              <w:rPr>
                <w:sz w:val="26"/>
                <w:szCs w:val="26"/>
              </w:rPr>
              <w:t>,</w:t>
            </w:r>
            <w:r w:rsidRPr="00CF2E80">
              <w:rPr>
                <w:sz w:val="26"/>
                <w:szCs w:val="26"/>
              </w:rPr>
              <w:t xml:space="preserve"> and $11,604 for record retention requirements)</w:t>
            </w:r>
          </w:p>
        </w:tc>
      </w:tr>
      <w:tr w:rsidR="00FC2921" w:rsidRPr="00CF2E80" w14:paraId="781B6963" w14:textId="77777777" w:rsidTr="005C5A54">
        <w:trPr>
          <w:trHeight w:val="467"/>
          <w:jc w:val="center"/>
        </w:trPr>
        <w:tc>
          <w:tcPr>
            <w:tcW w:w="1709" w:type="dxa"/>
            <w:tcBorders>
              <w:top w:val="single" w:sz="4" w:space="0" w:color="auto"/>
              <w:left w:val="single" w:sz="4" w:space="0" w:color="auto"/>
              <w:bottom w:val="single" w:sz="4" w:space="0" w:color="auto"/>
              <w:right w:val="single" w:sz="4" w:space="0" w:color="auto"/>
            </w:tcBorders>
            <w:noWrap/>
            <w:vAlign w:val="center"/>
            <w:hideMark/>
          </w:tcPr>
          <w:p w14:paraId="0E5288FD" w14:textId="77777777" w:rsidR="00FC2921" w:rsidRPr="00CF2E80" w:rsidRDefault="00FC2921" w:rsidP="00CE6500">
            <w:pPr>
              <w:rPr>
                <w:b/>
                <w:sz w:val="26"/>
                <w:szCs w:val="26"/>
              </w:rPr>
            </w:pPr>
            <w:r w:rsidRPr="00CF2E80">
              <w:rPr>
                <w:b/>
                <w:sz w:val="26"/>
                <w:szCs w:val="26"/>
              </w:rPr>
              <w:lastRenderedPageBreak/>
              <w:t>Total</w:t>
            </w:r>
          </w:p>
        </w:tc>
        <w:tc>
          <w:tcPr>
            <w:tcW w:w="1712" w:type="dxa"/>
            <w:tcBorders>
              <w:top w:val="single" w:sz="4" w:space="0" w:color="auto"/>
              <w:left w:val="single" w:sz="4" w:space="0" w:color="auto"/>
              <w:bottom w:val="single" w:sz="4" w:space="0" w:color="auto"/>
              <w:right w:val="single" w:sz="4" w:space="0" w:color="auto"/>
            </w:tcBorders>
            <w:vAlign w:val="bottom"/>
          </w:tcPr>
          <w:p w14:paraId="0F5E19FF" w14:textId="318C9A6E" w:rsidR="00FC2921" w:rsidRPr="00CF2E80" w:rsidRDefault="00FC2921" w:rsidP="005C5A54">
            <w:pPr>
              <w:jc w:val="right"/>
              <w:rPr>
                <w:sz w:val="26"/>
                <w:szCs w:val="26"/>
                <w:highlight w:val="yellow"/>
              </w:rPr>
            </w:pPr>
            <w:r w:rsidRPr="00CF2E80">
              <w:rPr>
                <w:sz w:val="26"/>
                <w:szCs w:val="26"/>
              </w:rPr>
              <w:t xml:space="preserve">80 </w:t>
            </w:r>
            <w:r w:rsidR="00A4214A" w:rsidRPr="00CF2E80">
              <w:rPr>
                <w:sz w:val="26"/>
                <w:szCs w:val="26"/>
              </w:rPr>
              <w:t>planning coordinators</w:t>
            </w:r>
          </w:p>
        </w:tc>
        <w:tc>
          <w:tcPr>
            <w:tcW w:w="1530" w:type="dxa"/>
            <w:tcBorders>
              <w:top w:val="single" w:sz="4" w:space="0" w:color="auto"/>
              <w:left w:val="single" w:sz="4" w:space="0" w:color="auto"/>
              <w:bottom w:val="single" w:sz="4" w:space="0" w:color="auto"/>
              <w:right w:val="single" w:sz="4" w:space="0" w:color="auto"/>
            </w:tcBorders>
            <w:vAlign w:val="bottom"/>
          </w:tcPr>
          <w:p w14:paraId="2817F513" w14:textId="77777777" w:rsidR="00FC2921" w:rsidRPr="00CF2E80" w:rsidRDefault="00FC2921" w:rsidP="005C5A54">
            <w:pPr>
              <w:jc w:val="right"/>
              <w:rPr>
                <w:sz w:val="26"/>
                <w:szCs w:val="26"/>
                <w:highlight w:val="yellow"/>
              </w:rPr>
            </w:pPr>
          </w:p>
        </w:tc>
        <w:tc>
          <w:tcPr>
            <w:tcW w:w="1215" w:type="dxa"/>
            <w:tcBorders>
              <w:top w:val="single" w:sz="4" w:space="0" w:color="auto"/>
              <w:left w:val="single" w:sz="4" w:space="0" w:color="auto"/>
              <w:bottom w:val="single" w:sz="4" w:space="0" w:color="auto"/>
              <w:right w:val="single" w:sz="4" w:space="0" w:color="auto"/>
            </w:tcBorders>
            <w:vAlign w:val="bottom"/>
          </w:tcPr>
          <w:p w14:paraId="3A219E8A" w14:textId="77777777" w:rsidR="00FC2921" w:rsidRPr="00CF2E80" w:rsidRDefault="00FC2921" w:rsidP="005C5A54">
            <w:pPr>
              <w:jc w:val="right"/>
              <w:rPr>
                <w:sz w:val="26"/>
                <w:szCs w:val="26"/>
                <w:highlight w:val="yellow"/>
              </w:rPr>
            </w:pPr>
          </w:p>
        </w:tc>
        <w:tc>
          <w:tcPr>
            <w:tcW w:w="1531" w:type="dxa"/>
            <w:tcBorders>
              <w:top w:val="single" w:sz="4" w:space="0" w:color="auto"/>
              <w:left w:val="single" w:sz="4" w:space="0" w:color="auto"/>
              <w:bottom w:val="single" w:sz="4" w:space="0" w:color="auto"/>
              <w:right w:val="single" w:sz="4" w:space="0" w:color="auto"/>
            </w:tcBorders>
            <w:vAlign w:val="bottom"/>
          </w:tcPr>
          <w:p w14:paraId="36CBD64C" w14:textId="77777777" w:rsidR="00FC2921" w:rsidRPr="00CF2E80" w:rsidRDefault="00FC2921" w:rsidP="005C5A54">
            <w:pPr>
              <w:jc w:val="right"/>
              <w:rPr>
                <w:sz w:val="26"/>
                <w:szCs w:val="26"/>
                <w:highlight w:val="yellow"/>
              </w:rPr>
            </w:pPr>
          </w:p>
        </w:tc>
        <w:tc>
          <w:tcPr>
            <w:tcW w:w="1192" w:type="dxa"/>
            <w:tcBorders>
              <w:top w:val="single" w:sz="4" w:space="0" w:color="auto"/>
              <w:left w:val="single" w:sz="4" w:space="0" w:color="auto"/>
              <w:bottom w:val="single" w:sz="4" w:space="0" w:color="auto"/>
              <w:right w:val="single" w:sz="4" w:space="0" w:color="auto"/>
            </w:tcBorders>
            <w:vAlign w:val="bottom"/>
          </w:tcPr>
          <w:p w14:paraId="44E8E3FF" w14:textId="2039AB2B" w:rsidR="00FC2921" w:rsidRPr="00CF2E80" w:rsidRDefault="00FC2921" w:rsidP="004A2FF6">
            <w:pPr>
              <w:jc w:val="right"/>
              <w:rPr>
                <w:sz w:val="26"/>
                <w:szCs w:val="26"/>
                <w:highlight w:val="yellow"/>
              </w:rPr>
            </w:pPr>
            <w:r w:rsidRPr="00CF2E80">
              <w:rPr>
                <w:sz w:val="26"/>
                <w:szCs w:val="26"/>
              </w:rPr>
              <w:t xml:space="preserve">4,160 </w:t>
            </w:r>
          </w:p>
        </w:tc>
        <w:tc>
          <w:tcPr>
            <w:tcW w:w="1361" w:type="dxa"/>
            <w:tcBorders>
              <w:top w:val="single" w:sz="4" w:space="0" w:color="auto"/>
              <w:left w:val="single" w:sz="4" w:space="0" w:color="auto"/>
              <w:bottom w:val="single" w:sz="4" w:space="0" w:color="auto"/>
              <w:right w:val="single" w:sz="4" w:space="0" w:color="auto"/>
            </w:tcBorders>
            <w:vAlign w:val="bottom"/>
          </w:tcPr>
          <w:p w14:paraId="357F84EE" w14:textId="07BCE613" w:rsidR="00FC2921" w:rsidRPr="00CF2E80" w:rsidRDefault="00FC2921" w:rsidP="005C5A54">
            <w:pPr>
              <w:jc w:val="right"/>
              <w:rPr>
                <w:sz w:val="26"/>
                <w:szCs w:val="26"/>
                <w:highlight w:val="yellow"/>
              </w:rPr>
            </w:pPr>
            <w:r w:rsidRPr="00CF2E80">
              <w:rPr>
                <w:sz w:val="26"/>
                <w:szCs w:val="26"/>
              </w:rPr>
              <w:t>$285,783</w:t>
            </w:r>
          </w:p>
        </w:tc>
      </w:tr>
    </w:tbl>
    <w:p w14:paraId="3E3B7776" w14:textId="6B463CA4" w:rsidR="001D635F" w:rsidRPr="00E141E0" w:rsidRDefault="001D635F" w:rsidP="001D635F">
      <w:pPr>
        <w:spacing w:line="480" w:lineRule="auto"/>
        <w:rPr>
          <w:sz w:val="26"/>
          <w:szCs w:val="26"/>
        </w:rPr>
      </w:pPr>
    </w:p>
    <w:p w14:paraId="5887BD20" w14:textId="77777777" w:rsidR="00FE6081" w:rsidRPr="00E141E0" w:rsidRDefault="00FE6081" w:rsidP="00775C82">
      <w:pPr>
        <w:widowControl/>
        <w:autoSpaceDE/>
        <w:autoSpaceDN/>
        <w:adjustRightInd/>
        <w:rPr>
          <w:sz w:val="26"/>
          <w:szCs w:val="26"/>
        </w:rPr>
      </w:pPr>
    </w:p>
    <w:p w14:paraId="5887BD21" w14:textId="77777777" w:rsidR="000F4891" w:rsidRPr="00E141E0" w:rsidRDefault="000F4891" w:rsidP="000041DD">
      <w:pPr>
        <w:widowControl/>
        <w:rPr>
          <w:sz w:val="26"/>
          <w:szCs w:val="26"/>
        </w:rPr>
      </w:pPr>
    </w:p>
    <w:p w14:paraId="5887BD26" w14:textId="77777777" w:rsidR="00241F8D" w:rsidRPr="00E141E0" w:rsidRDefault="00241F8D" w:rsidP="004E588A">
      <w:pPr>
        <w:widowControl/>
        <w:rPr>
          <w:sz w:val="26"/>
          <w:szCs w:val="26"/>
        </w:rPr>
      </w:pPr>
    </w:p>
    <w:p w14:paraId="5887BD27" w14:textId="77777777" w:rsidR="00241F8D" w:rsidRPr="00E141E0" w:rsidRDefault="00241F8D" w:rsidP="00241F8D">
      <w:pPr>
        <w:widowControl/>
        <w:ind w:firstLine="2174"/>
        <w:jc w:val="center"/>
        <w:rPr>
          <w:sz w:val="26"/>
          <w:szCs w:val="26"/>
        </w:rPr>
      </w:pPr>
      <w:r w:rsidRPr="00E141E0">
        <w:rPr>
          <w:sz w:val="26"/>
          <w:szCs w:val="26"/>
        </w:rPr>
        <w:t>Kimberly D. Bose,</w:t>
      </w:r>
    </w:p>
    <w:p w14:paraId="5887BD29" w14:textId="681E6028" w:rsidR="00241F8D" w:rsidRPr="00E141E0" w:rsidRDefault="00241F8D" w:rsidP="005964F3">
      <w:pPr>
        <w:widowControl/>
        <w:ind w:firstLine="2174"/>
        <w:jc w:val="center"/>
        <w:rPr>
          <w:sz w:val="26"/>
          <w:szCs w:val="26"/>
        </w:rPr>
      </w:pPr>
      <w:proofErr w:type="gramStart"/>
      <w:r w:rsidRPr="00E141E0">
        <w:rPr>
          <w:sz w:val="26"/>
          <w:szCs w:val="26"/>
        </w:rPr>
        <w:t>Secretary.</w:t>
      </w:r>
      <w:proofErr w:type="gramEnd"/>
    </w:p>
    <w:sectPr w:rsidR="00241F8D" w:rsidRPr="00E141E0" w:rsidSect="00241F8D">
      <w:headerReference w:type="even" r:id="rId14"/>
      <w:headerReference w:type="default" r:id="rId15"/>
      <w:footerReference w:type="default" r:id="rId16"/>
      <w:headerReference w:type="first" r:id="rId17"/>
      <w:footerReference w:type="first" r:id="rId18"/>
      <w:pgSz w:w="12240" w:h="15840"/>
      <w:pgMar w:top="1440" w:right="1440" w:bottom="1440" w:left="1440" w:header="720" w:footer="144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2F98DE" w14:textId="77777777" w:rsidR="001961FF" w:rsidRDefault="001961FF">
      <w:r>
        <w:separator/>
      </w:r>
    </w:p>
  </w:endnote>
  <w:endnote w:type="continuationSeparator" w:id="0">
    <w:p w14:paraId="21673F13" w14:textId="77777777" w:rsidR="001961FF" w:rsidRDefault="00196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7BD30" w14:textId="77777777" w:rsidR="002B43E1" w:rsidRDefault="002B43E1">
    <w:pPr>
      <w:pStyle w:val="Footer"/>
      <w:jc w:val="right"/>
    </w:pPr>
  </w:p>
  <w:p w14:paraId="5887BD31" w14:textId="77777777" w:rsidR="002B43E1" w:rsidRDefault="002B43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7BD34" w14:textId="77777777" w:rsidR="002B43E1" w:rsidRDefault="002B43E1">
    <w:pPr>
      <w:pStyle w:val="Footer"/>
      <w:jc w:val="right"/>
    </w:pPr>
  </w:p>
  <w:p w14:paraId="5887BD35" w14:textId="77777777" w:rsidR="002B43E1" w:rsidRDefault="002B43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03E552" w14:textId="77777777" w:rsidR="001961FF" w:rsidRDefault="001961FF">
      <w:r>
        <w:separator/>
      </w:r>
    </w:p>
  </w:footnote>
  <w:footnote w:type="continuationSeparator" w:id="0">
    <w:p w14:paraId="17D555FA" w14:textId="77777777" w:rsidR="001961FF" w:rsidRDefault="001961FF">
      <w:r>
        <w:continuationSeparator/>
      </w:r>
    </w:p>
  </w:footnote>
  <w:footnote w:id="1">
    <w:p w14:paraId="3F2583FF" w14:textId="6476ECF5" w:rsidR="002B43E1" w:rsidRPr="00A4214A" w:rsidRDefault="002B43E1" w:rsidP="00A4214A">
      <w:pPr>
        <w:pStyle w:val="FootnoteText"/>
        <w:spacing w:after="260"/>
        <w:ind w:firstLine="720"/>
        <w:rPr>
          <w:sz w:val="26"/>
          <w:szCs w:val="26"/>
        </w:rPr>
      </w:pPr>
      <w:r w:rsidRPr="00A4214A">
        <w:rPr>
          <w:rStyle w:val="FootnoteReference"/>
          <w:b/>
          <w:sz w:val="26"/>
          <w:szCs w:val="26"/>
          <w:vertAlign w:val="superscript"/>
        </w:rPr>
        <w:footnoteRef/>
      </w:r>
      <w:r w:rsidRPr="00A4214A">
        <w:rPr>
          <w:sz w:val="26"/>
          <w:szCs w:val="26"/>
        </w:rPr>
        <w:t xml:space="preserve"> </w:t>
      </w:r>
      <w:r>
        <w:rPr>
          <w:sz w:val="26"/>
          <w:szCs w:val="26"/>
        </w:rPr>
        <w:t xml:space="preserve"> In 2012, the Commission initially approved </w:t>
      </w:r>
      <w:r w:rsidRPr="00FE4156">
        <w:rPr>
          <w:sz w:val="26"/>
          <w:szCs w:val="26"/>
        </w:rPr>
        <w:t>Reliability Standard PRC-006-1</w:t>
      </w:r>
      <w:r>
        <w:rPr>
          <w:sz w:val="26"/>
          <w:szCs w:val="26"/>
        </w:rPr>
        <w:t xml:space="preserve">.  </w:t>
      </w:r>
      <w:r w:rsidRPr="004D138A">
        <w:rPr>
          <w:i/>
          <w:iCs/>
          <w:sz w:val="26"/>
          <w:szCs w:val="26"/>
        </w:rPr>
        <w:t xml:space="preserve">Automatic </w:t>
      </w:r>
      <w:proofErr w:type="spellStart"/>
      <w:r w:rsidRPr="004D138A">
        <w:rPr>
          <w:i/>
          <w:iCs/>
          <w:sz w:val="26"/>
          <w:szCs w:val="26"/>
        </w:rPr>
        <w:t>Underfrequency</w:t>
      </w:r>
      <w:proofErr w:type="spellEnd"/>
      <w:r w:rsidRPr="004D138A">
        <w:rPr>
          <w:i/>
          <w:iCs/>
          <w:sz w:val="26"/>
          <w:szCs w:val="26"/>
        </w:rPr>
        <w:t xml:space="preserve"> Load Shedding and Load Shedding Plans Reliability Standards</w:t>
      </w:r>
      <w:r w:rsidRPr="004D138A">
        <w:rPr>
          <w:sz w:val="26"/>
          <w:szCs w:val="26"/>
        </w:rPr>
        <w:t xml:space="preserve">, Order No. 763, 139 FERC ¶ 61,098, </w:t>
      </w:r>
      <w:r w:rsidRPr="004D138A">
        <w:rPr>
          <w:i/>
          <w:iCs/>
          <w:sz w:val="26"/>
          <w:szCs w:val="26"/>
        </w:rPr>
        <w:t xml:space="preserve">order </w:t>
      </w:r>
      <w:r>
        <w:rPr>
          <w:i/>
          <w:iCs/>
          <w:sz w:val="26"/>
          <w:szCs w:val="26"/>
        </w:rPr>
        <w:t>granting</w:t>
      </w:r>
      <w:r w:rsidRPr="004D138A">
        <w:rPr>
          <w:i/>
          <w:iCs/>
          <w:sz w:val="26"/>
          <w:szCs w:val="26"/>
        </w:rPr>
        <w:t xml:space="preserve"> clarification</w:t>
      </w:r>
      <w:r w:rsidRPr="004D138A">
        <w:rPr>
          <w:sz w:val="26"/>
          <w:szCs w:val="26"/>
        </w:rPr>
        <w:t>, 140 FERC ¶ 61,164 (2012).</w:t>
      </w:r>
      <w:r>
        <w:rPr>
          <w:sz w:val="26"/>
          <w:szCs w:val="26"/>
        </w:rPr>
        <w:t xml:space="preserve">  </w:t>
      </w:r>
      <w:r w:rsidRPr="00BE7B46">
        <w:rPr>
          <w:sz w:val="26"/>
          <w:szCs w:val="26"/>
        </w:rPr>
        <w:t xml:space="preserve">The </w:t>
      </w:r>
      <w:r w:rsidRPr="001D7D03">
        <w:rPr>
          <w:sz w:val="26"/>
          <w:szCs w:val="26"/>
        </w:rPr>
        <w:t>Commission included Reliability Standard PRC-006-1 under FERC-725A (OMB Control No. 1902-0244).  The entire burden associated with Reliability Standard PRC-006-2 (for new requirements as well as those unchanged from PRC-006-1) will be added to FERC-725G.  In the future, the burden (an estimated 12,672 hours) associated with Reliability Standard PRC-006-1 will be removed from FERC-725A, to remove the temporary double counting of those hours.</w:t>
      </w:r>
    </w:p>
  </w:footnote>
  <w:footnote w:id="2">
    <w:p w14:paraId="06C2A24D" w14:textId="24EF5571" w:rsidR="002B43E1" w:rsidRPr="00A4214A" w:rsidRDefault="002B43E1" w:rsidP="00A4214A">
      <w:pPr>
        <w:pStyle w:val="FootnoteText"/>
        <w:spacing w:after="260"/>
        <w:ind w:firstLine="720"/>
        <w:rPr>
          <w:b/>
          <w:sz w:val="26"/>
          <w:szCs w:val="26"/>
        </w:rPr>
      </w:pPr>
      <w:r w:rsidRPr="00A4214A">
        <w:rPr>
          <w:rStyle w:val="FootnoteReference"/>
          <w:b/>
          <w:sz w:val="26"/>
          <w:szCs w:val="26"/>
          <w:vertAlign w:val="superscript"/>
        </w:rPr>
        <w:footnoteRef/>
      </w:r>
      <w:r w:rsidRPr="00A4214A">
        <w:rPr>
          <w:sz w:val="26"/>
          <w:szCs w:val="26"/>
        </w:rPr>
        <w:t xml:space="preserve">  </w:t>
      </w:r>
      <w:proofErr w:type="gramStart"/>
      <w:r w:rsidRPr="00A4214A">
        <w:rPr>
          <w:sz w:val="26"/>
          <w:szCs w:val="26"/>
        </w:rPr>
        <w:t>16 U</w:t>
      </w:r>
      <w:r>
        <w:rPr>
          <w:sz w:val="26"/>
          <w:szCs w:val="26"/>
        </w:rPr>
        <w:t>.</w:t>
      </w:r>
      <w:r w:rsidRPr="00A4214A">
        <w:rPr>
          <w:sz w:val="26"/>
          <w:szCs w:val="26"/>
        </w:rPr>
        <w:t>S</w:t>
      </w:r>
      <w:r>
        <w:rPr>
          <w:sz w:val="26"/>
          <w:szCs w:val="26"/>
        </w:rPr>
        <w:t>.</w:t>
      </w:r>
      <w:r w:rsidRPr="00A4214A">
        <w:rPr>
          <w:sz w:val="26"/>
          <w:szCs w:val="26"/>
        </w:rPr>
        <w:t>C</w:t>
      </w:r>
      <w:r>
        <w:rPr>
          <w:sz w:val="26"/>
          <w:szCs w:val="26"/>
        </w:rPr>
        <w:t>.</w:t>
      </w:r>
      <w:r w:rsidRPr="00A4214A">
        <w:rPr>
          <w:sz w:val="26"/>
          <w:szCs w:val="26"/>
        </w:rPr>
        <w:t xml:space="preserve"> 824</w:t>
      </w:r>
      <w:r w:rsidRPr="00A4214A">
        <w:rPr>
          <w:i/>
          <w:sz w:val="26"/>
          <w:szCs w:val="26"/>
        </w:rPr>
        <w:t>o</w:t>
      </w:r>
      <w:r>
        <w:rPr>
          <w:sz w:val="26"/>
          <w:szCs w:val="26"/>
        </w:rPr>
        <w:t xml:space="preserve"> (2012)</w:t>
      </w:r>
      <w:r w:rsidRPr="00A4214A">
        <w:rPr>
          <w:sz w:val="26"/>
          <w:szCs w:val="26"/>
        </w:rPr>
        <w:t>.</w:t>
      </w:r>
      <w:proofErr w:type="gramEnd"/>
    </w:p>
  </w:footnote>
  <w:footnote w:id="3">
    <w:p w14:paraId="20CF269F" w14:textId="09BE953D" w:rsidR="002B43E1" w:rsidRPr="00A4214A" w:rsidRDefault="002B43E1" w:rsidP="00A4214A">
      <w:pPr>
        <w:pStyle w:val="FootnoteText"/>
        <w:spacing w:after="260"/>
        <w:ind w:firstLine="720"/>
        <w:rPr>
          <w:sz w:val="26"/>
          <w:szCs w:val="26"/>
        </w:rPr>
      </w:pPr>
      <w:r w:rsidRPr="00A4214A">
        <w:rPr>
          <w:rStyle w:val="FootnoteReference"/>
          <w:b/>
          <w:sz w:val="26"/>
          <w:szCs w:val="26"/>
          <w:vertAlign w:val="superscript"/>
        </w:rPr>
        <w:footnoteRef/>
      </w:r>
      <w:r>
        <w:rPr>
          <w:sz w:val="26"/>
          <w:szCs w:val="26"/>
        </w:rPr>
        <w:t xml:space="preserve"> </w:t>
      </w:r>
      <w:r w:rsidRPr="00A4214A">
        <w:rPr>
          <w:sz w:val="26"/>
          <w:szCs w:val="26"/>
        </w:rPr>
        <w:t xml:space="preserve"> Energy Policy Act of 2005, Pub. L. No. 109-58, Title XII, Subtitle </w:t>
      </w:r>
      <w:proofErr w:type="gramStart"/>
      <w:r w:rsidRPr="00A4214A">
        <w:rPr>
          <w:sz w:val="26"/>
          <w:szCs w:val="26"/>
        </w:rPr>
        <w:t>A</w:t>
      </w:r>
      <w:proofErr w:type="gramEnd"/>
      <w:r w:rsidRPr="00A4214A">
        <w:rPr>
          <w:sz w:val="26"/>
          <w:szCs w:val="26"/>
        </w:rPr>
        <w:t>, 119 Stat. 594, 941</w:t>
      </w:r>
      <w:r>
        <w:rPr>
          <w:sz w:val="26"/>
          <w:szCs w:val="26"/>
        </w:rPr>
        <w:t xml:space="preserve"> (codified at</w:t>
      </w:r>
      <w:r w:rsidRPr="00A4214A">
        <w:rPr>
          <w:sz w:val="26"/>
          <w:szCs w:val="26"/>
        </w:rPr>
        <w:t xml:space="preserve"> 16 U</w:t>
      </w:r>
      <w:r>
        <w:rPr>
          <w:sz w:val="26"/>
          <w:szCs w:val="26"/>
        </w:rPr>
        <w:t>.</w:t>
      </w:r>
      <w:r w:rsidRPr="00A4214A">
        <w:rPr>
          <w:sz w:val="26"/>
          <w:szCs w:val="26"/>
        </w:rPr>
        <w:t>S</w:t>
      </w:r>
      <w:r>
        <w:rPr>
          <w:sz w:val="26"/>
          <w:szCs w:val="26"/>
        </w:rPr>
        <w:t>.</w:t>
      </w:r>
      <w:r w:rsidRPr="00A4214A">
        <w:rPr>
          <w:sz w:val="26"/>
          <w:szCs w:val="26"/>
        </w:rPr>
        <w:t>C</w:t>
      </w:r>
      <w:r>
        <w:rPr>
          <w:sz w:val="26"/>
          <w:szCs w:val="26"/>
        </w:rPr>
        <w:t>.</w:t>
      </w:r>
      <w:r w:rsidRPr="00A4214A">
        <w:rPr>
          <w:sz w:val="26"/>
          <w:szCs w:val="26"/>
        </w:rPr>
        <w:t xml:space="preserve"> 824</w:t>
      </w:r>
      <w:r w:rsidRPr="00A4214A">
        <w:rPr>
          <w:i/>
          <w:sz w:val="26"/>
          <w:szCs w:val="26"/>
        </w:rPr>
        <w:t>o</w:t>
      </w:r>
      <w:r>
        <w:rPr>
          <w:sz w:val="26"/>
          <w:szCs w:val="26"/>
        </w:rPr>
        <w:t>)</w:t>
      </w:r>
      <w:r w:rsidRPr="00A4214A">
        <w:rPr>
          <w:sz w:val="26"/>
          <w:szCs w:val="26"/>
        </w:rPr>
        <w:t>.</w:t>
      </w:r>
    </w:p>
  </w:footnote>
  <w:footnote w:id="4">
    <w:p w14:paraId="46096054" w14:textId="501FE9F0" w:rsidR="002B43E1" w:rsidRPr="00A4214A" w:rsidRDefault="002B43E1" w:rsidP="00A4214A">
      <w:pPr>
        <w:pStyle w:val="FootnoteText"/>
        <w:spacing w:after="260"/>
        <w:ind w:firstLine="720"/>
        <w:rPr>
          <w:sz w:val="26"/>
          <w:szCs w:val="26"/>
        </w:rPr>
      </w:pPr>
      <w:r w:rsidRPr="00A4214A">
        <w:rPr>
          <w:rStyle w:val="FootnoteReference"/>
          <w:b/>
          <w:sz w:val="26"/>
          <w:szCs w:val="26"/>
          <w:vertAlign w:val="superscript"/>
        </w:rPr>
        <w:footnoteRef/>
      </w:r>
      <w:r w:rsidRPr="00A4214A">
        <w:rPr>
          <w:sz w:val="26"/>
          <w:szCs w:val="26"/>
        </w:rPr>
        <w:t xml:space="preserve">  16 U</w:t>
      </w:r>
      <w:r>
        <w:rPr>
          <w:sz w:val="26"/>
          <w:szCs w:val="26"/>
        </w:rPr>
        <w:t>.</w:t>
      </w:r>
      <w:r w:rsidRPr="00A4214A">
        <w:rPr>
          <w:sz w:val="26"/>
          <w:szCs w:val="26"/>
        </w:rPr>
        <w:t>S</w:t>
      </w:r>
      <w:r>
        <w:rPr>
          <w:sz w:val="26"/>
          <w:szCs w:val="26"/>
        </w:rPr>
        <w:t>.</w:t>
      </w:r>
      <w:r w:rsidRPr="00A4214A">
        <w:rPr>
          <w:sz w:val="26"/>
          <w:szCs w:val="26"/>
        </w:rPr>
        <w:t>C</w:t>
      </w:r>
      <w:r>
        <w:rPr>
          <w:sz w:val="26"/>
          <w:szCs w:val="26"/>
        </w:rPr>
        <w:t>.</w:t>
      </w:r>
      <w:r w:rsidRPr="00A4214A">
        <w:rPr>
          <w:sz w:val="26"/>
          <w:szCs w:val="26"/>
        </w:rPr>
        <w:t xml:space="preserve"> </w:t>
      </w:r>
      <w:proofErr w:type="gramStart"/>
      <w:r w:rsidRPr="00A4214A">
        <w:rPr>
          <w:sz w:val="26"/>
          <w:szCs w:val="26"/>
        </w:rPr>
        <w:t>824</w:t>
      </w:r>
      <w:r w:rsidRPr="00A4214A">
        <w:rPr>
          <w:i/>
          <w:sz w:val="26"/>
          <w:szCs w:val="26"/>
        </w:rPr>
        <w:t>o</w:t>
      </w:r>
      <w:r w:rsidRPr="00A4214A">
        <w:rPr>
          <w:sz w:val="26"/>
          <w:szCs w:val="26"/>
        </w:rPr>
        <w:t>(</w:t>
      </w:r>
      <w:proofErr w:type="gramEnd"/>
      <w:r w:rsidRPr="00A4214A">
        <w:rPr>
          <w:sz w:val="26"/>
          <w:szCs w:val="26"/>
        </w:rPr>
        <w:t>e)(3).</w:t>
      </w:r>
    </w:p>
  </w:footnote>
  <w:footnote w:id="5">
    <w:p w14:paraId="70C143B0" w14:textId="77777777" w:rsidR="002B43E1" w:rsidRPr="00A4214A" w:rsidRDefault="002B43E1" w:rsidP="00A4214A">
      <w:pPr>
        <w:pStyle w:val="FootnoteText"/>
        <w:keepLines/>
        <w:spacing w:after="260"/>
        <w:ind w:firstLine="720"/>
        <w:rPr>
          <w:sz w:val="26"/>
          <w:szCs w:val="26"/>
        </w:rPr>
      </w:pPr>
      <w:r w:rsidRPr="00A4214A">
        <w:rPr>
          <w:rStyle w:val="FootnoteReference"/>
          <w:b/>
          <w:sz w:val="26"/>
          <w:szCs w:val="26"/>
          <w:vertAlign w:val="superscript"/>
        </w:rPr>
        <w:footnoteRef/>
      </w:r>
      <w:r w:rsidRPr="00A4214A">
        <w:rPr>
          <w:sz w:val="26"/>
          <w:szCs w:val="26"/>
        </w:rPr>
        <w:t xml:space="preserve">  </w:t>
      </w:r>
      <w:r w:rsidRPr="00A4214A">
        <w:rPr>
          <w:i/>
          <w:iCs/>
          <w:sz w:val="26"/>
          <w:szCs w:val="26"/>
        </w:rPr>
        <w:t>Rules Concerning Certification of the Electric Reliability Organization; and Procedures for the Establishment, Approval, and Enforcement of Electric Reliability Standards</w:t>
      </w:r>
      <w:r w:rsidRPr="00A4214A">
        <w:rPr>
          <w:sz w:val="26"/>
          <w:szCs w:val="26"/>
        </w:rPr>
        <w:t xml:space="preserve">, Order No. 672, FERC Stats. </w:t>
      </w:r>
      <w:proofErr w:type="gramStart"/>
      <w:r w:rsidRPr="00A4214A">
        <w:rPr>
          <w:sz w:val="26"/>
          <w:szCs w:val="26"/>
        </w:rPr>
        <w:t xml:space="preserve">&amp; </w:t>
      </w:r>
      <w:proofErr w:type="spellStart"/>
      <w:r w:rsidRPr="00A4214A">
        <w:rPr>
          <w:sz w:val="26"/>
          <w:szCs w:val="26"/>
        </w:rPr>
        <w:t>Regs</w:t>
      </w:r>
      <w:proofErr w:type="spellEnd"/>
      <w:r w:rsidRPr="00A4214A">
        <w:rPr>
          <w:sz w:val="26"/>
          <w:szCs w:val="26"/>
        </w:rPr>
        <w:t>.</w:t>
      </w:r>
      <w:proofErr w:type="gramEnd"/>
      <w:r w:rsidRPr="00A4214A">
        <w:rPr>
          <w:sz w:val="26"/>
          <w:szCs w:val="26"/>
        </w:rPr>
        <w:t xml:space="preserve"> ¶ 31,204, </w:t>
      </w:r>
      <w:r w:rsidRPr="00A4214A">
        <w:rPr>
          <w:i/>
          <w:iCs/>
          <w:sz w:val="26"/>
          <w:szCs w:val="26"/>
        </w:rPr>
        <w:t xml:space="preserve">order on </w:t>
      </w:r>
      <w:proofErr w:type="spellStart"/>
      <w:r w:rsidRPr="00A4214A">
        <w:rPr>
          <w:i/>
          <w:iCs/>
          <w:sz w:val="26"/>
          <w:szCs w:val="26"/>
        </w:rPr>
        <w:t>reh’g</w:t>
      </w:r>
      <w:proofErr w:type="spellEnd"/>
      <w:r w:rsidRPr="00A4214A">
        <w:rPr>
          <w:sz w:val="26"/>
          <w:szCs w:val="26"/>
        </w:rPr>
        <w:t xml:space="preserve">, Order No. 672-A, FERC Stats. </w:t>
      </w:r>
      <w:proofErr w:type="gramStart"/>
      <w:r w:rsidRPr="00A4214A">
        <w:rPr>
          <w:sz w:val="26"/>
          <w:szCs w:val="26"/>
        </w:rPr>
        <w:t xml:space="preserve">&amp; </w:t>
      </w:r>
      <w:proofErr w:type="spellStart"/>
      <w:r w:rsidRPr="00A4214A">
        <w:rPr>
          <w:sz w:val="26"/>
          <w:szCs w:val="26"/>
        </w:rPr>
        <w:t>Regs</w:t>
      </w:r>
      <w:proofErr w:type="spellEnd"/>
      <w:r w:rsidRPr="00A4214A">
        <w:rPr>
          <w:sz w:val="26"/>
          <w:szCs w:val="26"/>
        </w:rPr>
        <w:t>.</w:t>
      </w:r>
      <w:proofErr w:type="gramEnd"/>
      <w:r w:rsidRPr="00A4214A">
        <w:rPr>
          <w:sz w:val="26"/>
          <w:szCs w:val="26"/>
        </w:rPr>
        <w:t xml:space="preserve"> </w:t>
      </w:r>
      <w:proofErr w:type="gramStart"/>
      <w:r w:rsidRPr="00A4214A">
        <w:rPr>
          <w:sz w:val="26"/>
          <w:szCs w:val="26"/>
        </w:rPr>
        <w:t>¶ 31,212 (2006).</w:t>
      </w:r>
      <w:proofErr w:type="gramEnd"/>
    </w:p>
  </w:footnote>
  <w:footnote w:id="6">
    <w:p w14:paraId="120A246E" w14:textId="30078E97" w:rsidR="002B43E1" w:rsidRPr="00863D20" w:rsidRDefault="002B43E1" w:rsidP="00863D20">
      <w:pPr>
        <w:pStyle w:val="FootnoteText"/>
        <w:spacing w:after="260"/>
        <w:ind w:firstLine="720"/>
        <w:rPr>
          <w:sz w:val="26"/>
          <w:szCs w:val="26"/>
        </w:rPr>
      </w:pPr>
      <w:r w:rsidRPr="006E258B">
        <w:rPr>
          <w:rStyle w:val="FootnoteReference"/>
          <w:b/>
          <w:sz w:val="26"/>
          <w:szCs w:val="26"/>
          <w:vertAlign w:val="superscript"/>
        </w:rPr>
        <w:footnoteRef/>
      </w:r>
      <w:r w:rsidRPr="006E258B">
        <w:rPr>
          <w:sz w:val="26"/>
          <w:szCs w:val="26"/>
        </w:rPr>
        <w:t xml:space="preserve"> </w:t>
      </w:r>
      <w:r>
        <w:rPr>
          <w:sz w:val="26"/>
          <w:szCs w:val="26"/>
        </w:rPr>
        <w:t xml:space="preserve"> </w:t>
      </w:r>
      <w:r w:rsidRPr="00863D20">
        <w:rPr>
          <w:i/>
          <w:sz w:val="26"/>
          <w:szCs w:val="26"/>
        </w:rPr>
        <w:t>North American Electric Reliability Corp</w:t>
      </w:r>
      <w:r w:rsidRPr="00863D20">
        <w:rPr>
          <w:sz w:val="26"/>
          <w:szCs w:val="26"/>
        </w:rPr>
        <w:t xml:space="preserve">., 116 FERC ¶ 61,062, </w:t>
      </w:r>
      <w:r w:rsidRPr="00863D20">
        <w:rPr>
          <w:i/>
          <w:sz w:val="26"/>
          <w:szCs w:val="26"/>
        </w:rPr>
        <w:t xml:space="preserve">order on </w:t>
      </w:r>
      <w:proofErr w:type="spellStart"/>
      <w:r w:rsidRPr="00863D20">
        <w:rPr>
          <w:i/>
          <w:sz w:val="26"/>
          <w:szCs w:val="26"/>
        </w:rPr>
        <w:t>reh’g</w:t>
      </w:r>
      <w:proofErr w:type="spellEnd"/>
      <w:r w:rsidRPr="00863D20">
        <w:rPr>
          <w:i/>
          <w:sz w:val="26"/>
          <w:szCs w:val="26"/>
        </w:rPr>
        <w:t xml:space="preserve"> and compliance</w:t>
      </w:r>
      <w:r w:rsidRPr="00863D20">
        <w:rPr>
          <w:sz w:val="26"/>
          <w:szCs w:val="26"/>
        </w:rPr>
        <w:t>, 117 FERC ¶ 61,126 (2006),</w:t>
      </w:r>
      <w:r w:rsidRPr="00863D20">
        <w:rPr>
          <w:i/>
          <w:sz w:val="26"/>
          <w:szCs w:val="26"/>
        </w:rPr>
        <w:t xml:space="preserve"> order on compliance</w:t>
      </w:r>
      <w:r w:rsidRPr="00863D20">
        <w:rPr>
          <w:sz w:val="26"/>
          <w:szCs w:val="26"/>
        </w:rPr>
        <w:t xml:space="preserve">, 118 FERC ¶ 61,190, </w:t>
      </w:r>
      <w:r w:rsidRPr="00863D20">
        <w:rPr>
          <w:i/>
          <w:sz w:val="26"/>
          <w:szCs w:val="26"/>
        </w:rPr>
        <w:t xml:space="preserve">order on </w:t>
      </w:r>
      <w:proofErr w:type="spellStart"/>
      <w:r w:rsidRPr="00863D20">
        <w:rPr>
          <w:i/>
          <w:sz w:val="26"/>
          <w:szCs w:val="26"/>
        </w:rPr>
        <w:t>reh’g</w:t>
      </w:r>
      <w:proofErr w:type="spellEnd"/>
      <w:r w:rsidRPr="00863D20">
        <w:rPr>
          <w:sz w:val="26"/>
          <w:szCs w:val="26"/>
        </w:rPr>
        <w:t xml:space="preserve">, 119 FERC ¶ 61,046 (2007), </w:t>
      </w:r>
      <w:proofErr w:type="spellStart"/>
      <w:r w:rsidRPr="00863D20">
        <w:rPr>
          <w:i/>
          <w:sz w:val="26"/>
          <w:szCs w:val="26"/>
        </w:rPr>
        <w:t>aff’d</w:t>
      </w:r>
      <w:proofErr w:type="spellEnd"/>
      <w:r w:rsidRPr="00863D20">
        <w:rPr>
          <w:i/>
          <w:sz w:val="26"/>
          <w:szCs w:val="26"/>
        </w:rPr>
        <w:t xml:space="preserve"> sub nom. Alcoa Inc. v. FERC</w:t>
      </w:r>
      <w:r w:rsidRPr="00863D20">
        <w:rPr>
          <w:sz w:val="26"/>
          <w:szCs w:val="26"/>
        </w:rPr>
        <w:t>, 564 F.3d 1342 (D.C. Cir. 2009).</w:t>
      </w:r>
    </w:p>
  </w:footnote>
  <w:footnote w:id="7">
    <w:p w14:paraId="33015AA6" w14:textId="4AD9B002" w:rsidR="00F64C21" w:rsidRDefault="00F64C21" w:rsidP="00F64C21">
      <w:pPr>
        <w:pStyle w:val="FootnoteText"/>
        <w:ind w:firstLine="720"/>
      </w:pPr>
      <w:r w:rsidRPr="00F64C21">
        <w:rPr>
          <w:rStyle w:val="FootnoteReference"/>
          <w:vertAlign w:val="superscript"/>
        </w:rPr>
        <w:footnoteRef/>
      </w:r>
      <w:r>
        <w:t xml:space="preserve"> </w:t>
      </w:r>
      <w:proofErr w:type="gramStart"/>
      <w:r>
        <w:t>The Order in Docket No.</w:t>
      </w:r>
      <w:proofErr w:type="gramEnd"/>
      <w:r>
        <w:t xml:space="preserve"> RD15-2 is available at </w:t>
      </w:r>
      <w:r w:rsidRPr="00F64C21">
        <w:t>http://elibrary.ferc.gov/idmws/common/opennat.asp?fileID=13793463</w:t>
      </w:r>
      <w:r>
        <w:t>.</w:t>
      </w:r>
    </w:p>
  </w:footnote>
  <w:footnote w:id="8">
    <w:p w14:paraId="00914A6E" w14:textId="72932062" w:rsidR="002B43E1" w:rsidRPr="00A4214A" w:rsidRDefault="002B43E1" w:rsidP="00A4214A">
      <w:pPr>
        <w:pStyle w:val="FootnoteText"/>
        <w:spacing w:after="260"/>
        <w:ind w:firstLine="720"/>
        <w:rPr>
          <w:sz w:val="26"/>
          <w:szCs w:val="26"/>
        </w:rPr>
      </w:pPr>
      <w:r w:rsidRPr="00ED1C1A">
        <w:rPr>
          <w:rStyle w:val="FootnoteReference"/>
          <w:sz w:val="26"/>
          <w:szCs w:val="26"/>
          <w:vertAlign w:val="superscript"/>
        </w:rPr>
        <w:footnoteRef/>
      </w:r>
      <w:r w:rsidRPr="00A4214A">
        <w:rPr>
          <w:sz w:val="26"/>
          <w:szCs w:val="26"/>
        </w:rPr>
        <w:t xml:space="preserve"> </w:t>
      </w:r>
      <w:r>
        <w:rPr>
          <w:sz w:val="26"/>
          <w:szCs w:val="26"/>
        </w:rPr>
        <w:t xml:space="preserve"> </w:t>
      </w:r>
      <w:r w:rsidRPr="00A4214A">
        <w:rPr>
          <w:sz w:val="26"/>
          <w:szCs w:val="26"/>
        </w:rPr>
        <w:t xml:space="preserve">The Commission defines </w:t>
      </w:r>
      <w:r>
        <w:rPr>
          <w:sz w:val="26"/>
          <w:szCs w:val="26"/>
        </w:rPr>
        <w:t>“</w:t>
      </w:r>
      <w:r w:rsidRPr="00A4214A">
        <w:rPr>
          <w:sz w:val="26"/>
          <w:szCs w:val="26"/>
        </w:rPr>
        <w:t>burden</w:t>
      </w:r>
      <w:r>
        <w:rPr>
          <w:sz w:val="26"/>
          <w:szCs w:val="26"/>
        </w:rPr>
        <w:t>”</w:t>
      </w:r>
      <w:r w:rsidRPr="00A4214A">
        <w:rPr>
          <w:sz w:val="26"/>
          <w:szCs w:val="26"/>
        </w:rPr>
        <w:t xml:space="preserve"> as the total time, effort, or financial resources expended by persons to generate, maintain, retain, or disclose or provide information to or for a </w:t>
      </w:r>
      <w:r>
        <w:rPr>
          <w:sz w:val="26"/>
          <w:szCs w:val="26"/>
        </w:rPr>
        <w:t>f</w:t>
      </w:r>
      <w:r w:rsidRPr="00A4214A">
        <w:rPr>
          <w:sz w:val="26"/>
          <w:szCs w:val="26"/>
        </w:rPr>
        <w:t xml:space="preserve">ederal agency.  </w:t>
      </w:r>
      <w:r>
        <w:rPr>
          <w:sz w:val="26"/>
          <w:szCs w:val="26"/>
        </w:rPr>
        <w:t>For additional information, see 5 CFR 1320.3</w:t>
      </w:r>
      <w:r w:rsidRPr="00A4214A">
        <w:rPr>
          <w:sz w:val="26"/>
          <w:szCs w:val="26"/>
        </w:rPr>
        <w:t>.</w:t>
      </w:r>
    </w:p>
  </w:footnote>
  <w:footnote w:id="9">
    <w:p w14:paraId="2D5EF364" w14:textId="23686F20" w:rsidR="002B43E1" w:rsidRPr="00022E14" w:rsidRDefault="002B43E1" w:rsidP="004A2FF6">
      <w:pPr>
        <w:pStyle w:val="FootnoteText"/>
        <w:spacing w:after="260"/>
        <w:ind w:firstLine="720"/>
        <w:rPr>
          <w:sz w:val="26"/>
          <w:szCs w:val="26"/>
        </w:rPr>
      </w:pPr>
      <w:r w:rsidRPr="00ED1C1A">
        <w:rPr>
          <w:rStyle w:val="FootnoteReference"/>
          <w:vertAlign w:val="superscript"/>
        </w:rPr>
        <w:footnoteRef/>
      </w:r>
      <w:r>
        <w:t xml:space="preserve"> </w:t>
      </w:r>
      <w:r w:rsidRPr="0006484B">
        <w:rPr>
          <w:sz w:val="26"/>
          <w:szCs w:val="26"/>
        </w:rPr>
        <w:t xml:space="preserve">The only changes to </w:t>
      </w:r>
      <w:r>
        <w:rPr>
          <w:sz w:val="26"/>
          <w:szCs w:val="26"/>
        </w:rPr>
        <w:t>R</w:t>
      </w:r>
      <w:r w:rsidRPr="0006484B">
        <w:rPr>
          <w:sz w:val="26"/>
          <w:szCs w:val="26"/>
        </w:rPr>
        <w:t>equirement</w:t>
      </w:r>
      <w:r>
        <w:rPr>
          <w:sz w:val="26"/>
          <w:szCs w:val="26"/>
        </w:rPr>
        <w:t>s</w:t>
      </w:r>
      <w:r w:rsidRPr="0006484B">
        <w:rPr>
          <w:sz w:val="26"/>
          <w:szCs w:val="26"/>
        </w:rPr>
        <w:t xml:space="preserve"> R9 </w:t>
      </w:r>
      <w:r>
        <w:rPr>
          <w:sz w:val="26"/>
          <w:szCs w:val="26"/>
        </w:rPr>
        <w:t xml:space="preserve">and R10 </w:t>
      </w:r>
      <w:r w:rsidRPr="0006484B">
        <w:rPr>
          <w:sz w:val="26"/>
          <w:szCs w:val="26"/>
        </w:rPr>
        <w:t xml:space="preserve">and associated measures and evidence retention in </w:t>
      </w:r>
      <w:r>
        <w:rPr>
          <w:sz w:val="26"/>
          <w:szCs w:val="26"/>
        </w:rPr>
        <w:t xml:space="preserve">Reliability Standard </w:t>
      </w:r>
      <w:r w:rsidRPr="0006484B">
        <w:rPr>
          <w:sz w:val="26"/>
          <w:szCs w:val="26"/>
        </w:rPr>
        <w:t>PRC-006-2 (from PRC-006-1) were enhancements to the language which do not impact the cost of implementation.  The modifications provide additional clarity and do not affect burden or cost.</w:t>
      </w:r>
      <w:r>
        <w:rPr>
          <w:sz w:val="26"/>
          <w:szCs w:val="26"/>
        </w:rPr>
        <w:t xml:space="preserve"> </w:t>
      </w:r>
    </w:p>
    <w:p w14:paraId="15DFE64E" w14:textId="25DAA428" w:rsidR="002B43E1" w:rsidRDefault="002B43E1">
      <w:pPr>
        <w:pStyle w:val="FootnoteText"/>
      </w:pPr>
    </w:p>
  </w:footnote>
  <w:footnote w:id="10">
    <w:p w14:paraId="4EA6ED61" w14:textId="4038F22F" w:rsidR="002B43E1" w:rsidRPr="00A3310C" w:rsidRDefault="002B43E1" w:rsidP="00A4214A">
      <w:pPr>
        <w:pStyle w:val="FootnoteText"/>
        <w:spacing w:after="260"/>
        <w:ind w:firstLine="720"/>
        <w:rPr>
          <w:sz w:val="26"/>
          <w:szCs w:val="26"/>
        </w:rPr>
      </w:pPr>
      <w:r w:rsidRPr="00002327">
        <w:rPr>
          <w:rStyle w:val="FootnoteReference"/>
          <w:b/>
          <w:sz w:val="26"/>
          <w:szCs w:val="26"/>
          <w:vertAlign w:val="superscript"/>
        </w:rPr>
        <w:footnoteRef/>
      </w:r>
      <w:r w:rsidRPr="00002327">
        <w:rPr>
          <w:sz w:val="26"/>
          <w:szCs w:val="26"/>
        </w:rPr>
        <w:t xml:space="preserve"> </w:t>
      </w:r>
      <w:r>
        <w:rPr>
          <w:sz w:val="26"/>
          <w:szCs w:val="26"/>
        </w:rPr>
        <w:t xml:space="preserve"> </w:t>
      </w:r>
      <w:r w:rsidRPr="00002327">
        <w:rPr>
          <w:sz w:val="26"/>
          <w:szCs w:val="26"/>
        </w:rPr>
        <w:t xml:space="preserve">The </w:t>
      </w:r>
      <w:r w:rsidRPr="00A4214A">
        <w:rPr>
          <w:sz w:val="26"/>
          <w:szCs w:val="26"/>
        </w:rPr>
        <w:t xml:space="preserve">number of respondents is based on the NERC compliance registry as </w:t>
      </w:r>
      <w:r w:rsidRPr="00A36F06">
        <w:rPr>
          <w:sz w:val="26"/>
          <w:szCs w:val="26"/>
        </w:rPr>
        <w:t>January 30, 2015.</w:t>
      </w:r>
    </w:p>
  </w:footnote>
  <w:footnote w:id="11">
    <w:p w14:paraId="2573BF24" w14:textId="3110A478" w:rsidR="002B43E1" w:rsidRPr="00A3310C" w:rsidRDefault="002B43E1" w:rsidP="00A4214A">
      <w:pPr>
        <w:pStyle w:val="FootnoteText"/>
        <w:spacing w:after="260"/>
        <w:ind w:firstLine="720"/>
        <w:rPr>
          <w:sz w:val="26"/>
          <w:szCs w:val="26"/>
        </w:rPr>
      </w:pPr>
      <w:r w:rsidRPr="00A3310C">
        <w:rPr>
          <w:rStyle w:val="FootnoteReference"/>
          <w:b/>
          <w:sz w:val="26"/>
          <w:szCs w:val="26"/>
          <w:vertAlign w:val="superscript"/>
        </w:rPr>
        <w:footnoteRef/>
      </w:r>
      <w:r w:rsidRPr="00A3310C">
        <w:rPr>
          <w:sz w:val="26"/>
          <w:szCs w:val="26"/>
        </w:rPr>
        <w:t xml:space="preserve">  The estimates for cost per hour (salary plus benefits) are based on the May 2013 figures of the Bureau of Labor and Statistics (posted as of February 9, 2015 at </w:t>
      </w:r>
      <w:hyperlink r:id="rId1" w:tooltip="blocked::http://bls.gov/oes/current/naics3_221000.htm" w:history="1">
        <w:r w:rsidRPr="00A3310C">
          <w:rPr>
            <w:color w:val="0000FF"/>
            <w:sz w:val="26"/>
            <w:szCs w:val="26"/>
            <w:u w:val="single"/>
          </w:rPr>
          <w:t>http://bls.gov/oes/current/naics3_221000.htm</w:t>
        </w:r>
      </w:hyperlink>
      <w:r w:rsidRPr="00A3310C">
        <w:rPr>
          <w:color w:val="0000FF"/>
          <w:sz w:val="26"/>
          <w:szCs w:val="26"/>
          <w:u w:val="single"/>
        </w:rPr>
        <w:t>).</w:t>
      </w:r>
    </w:p>
    <w:p w14:paraId="6245E15C" w14:textId="1F91E400" w:rsidR="002B43E1" w:rsidRPr="00A3310C" w:rsidRDefault="002B43E1" w:rsidP="00B520B3">
      <w:pPr>
        <w:widowControl/>
        <w:numPr>
          <w:ilvl w:val="0"/>
          <w:numId w:val="5"/>
        </w:numPr>
        <w:autoSpaceDE/>
        <w:autoSpaceDN/>
        <w:adjustRightInd/>
        <w:spacing w:after="260"/>
        <w:ind w:left="0" w:firstLine="360"/>
      </w:pPr>
      <w:r w:rsidRPr="00A3310C">
        <w:rPr>
          <w:sz w:val="26"/>
          <w:szCs w:val="26"/>
        </w:rPr>
        <w:t>$72.92/hour</w:t>
      </w:r>
      <w:r>
        <w:rPr>
          <w:sz w:val="26"/>
          <w:szCs w:val="26"/>
        </w:rPr>
        <w:t xml:space="preserve"> [($84.96 + $60.87)/2]</w:t>
      </w:r>
      <w:r w:rsidRPr="00A3310C">
        <w:rPr>
          <w:sz w:val="26"/>
          <w:szCs w:val="26"/>
        </w:rPr>
        <w:t xml:space="preserve">, the average </w:t>
      </w:r>
      <w:r>
        <w:rPr>
          <w:sz w:val="26"/>
          <w:szCs w:val="26"/>
        </w:rPr>
        <w:t xml:space="preserve">of the salary plus benefits </w:t>
      </w:r>
      <w:r w:rsidRPr="00A3310C">
        <w:rPr>
          <w:sz w:val="26"/>
          <w:szCs w:val="26"/>
        </w:rPr>
        <w:t>for a manager ($84.96/hour) and an electrical engineer ($60.87/hour)</w:t>
      </w:r>
      <w:r>
        <w:rPr>
          <w:sz w:val="26"/>
          <w:szCs w:val="26"/>
        </w:rPr>
        <w:t>, is used for the hourly cost for the reporting requirements associated with Requirement R15 and Measure M15</w:t>
      </w:r>
      <w:r w:rsidRPr="00A3310C">
        <w:rPr>
          <w:sz w:val="26"/>
          <w:szCs w:val="26"/>
        </w:rPr>
        <w:t>.</w:t>
      </w:r>
    </w:p>
    <w:p w14:paraId="671E0B85" w14:textId="3AE49E68" w:rsidR="002B43E1" w:rsidRDefault="002B43E1" w:rsidP="00B520B3">
      <w:pPr>
        <w:widowControl/>
        <w:numPr>
          <w:ilvl w:val="0"/>
          <w:numId w:val="5"/>
        </w:numPr>
        <w:autoSpaceDE/>
        <w:autoSpaceDN/>
        <w:adjustRightInd/>
        <w:spacing w:after="260"/>
        <w:ind w:left="0" w:firstLine="360"/>
      </w:pPr>
      <w:r w:rsidRPr="00A3310C">
        <w:rPr>
          <w:sz w:val="26"/>
          <w:szCs w:val="26"/>
        </w:rPr>
        <w:t>$29.01/hour</w:t>
      </w:r>
      <w:r>
        <w:rPr>
          <w:sz w:val="26"/>
          <w:szCs w:val="26"/>
        </w:rPr>
        <w:t xml:space="preserve">, the salary plus benefits </w:t>
      </w:r>
      <w:r w:rsidRPr="00A3310C">
        <w:rPr>
          <w:sz w:val="26"/>
          <w:szCs w:val="26"/>
        </w:rPr>
        <w:t>for a file clerk</w:t>
      </w:r>
      <w:r>
        <w:rPr>
          <w:sz w:val="26"/>
          <w:szCs w:val="26"/>
        </w:rPr>
        <w:t>, is used for the hourly cost for the evidence retention requirements associated with Requirement R15 and Measure M15.</w:t>
      </w:r>
    </w:p>
  </w:footnote>
  <w:footnote w:id="12">
    <w:p w14:paraId="4B5749F9" w14:textId="3AFAA8FE" w:rsidR="002B43E1" w:rsidRPr="00EB619A" w:rsidRDefault="002B43E1" w:rsidP="00EB619A">
      <w:pPr>
        <w:pStyle w:val="FootnoteText"/>
        <w:ind w:firstLine="720"/>
        <w:rPr>
          <w:sz w:val="26"/>
          <w:szCs w:val="26"/>
        </w:rPr>
      </w:pPr>
      <w:r w:rsidRPr="00EB619A">
        <w:rPr>
          <w:rStyle w:val="FootnoteReference"/>
          <w:sz w:val="26"/>
          <w:szCs w:val="26"/>
          <w:vertAlign w:val="superscript"/>
        </w:rPr>
        <w:footnoteRef/>
      </w:r>
      <w:r w:rsidRPr="00EB619A">
        <w:rPr>
          <w:sz w:val="26"/>
          <w:szCs w:val="26"/>
          <w:vertAlign w:val="superscript"/>
        </w:rPr>
        <w:t xml:space="preserve"> </w:t>
      </w:r>
      <w:r w:rsidRPr="00EB619A">
        <w:rPr>
          <w:sz w:val="26"/>
          <w:szCs w:val="26"/>
        </w:rPr>
        <w:t xml:space="preserve">The requirements include: Requirement R15 and Measure M15 and evidence retention (planning coordinator that conducts </w:t>
      </w:r>
      <w:proofErr w:type="spellStart"/>
      <w:r w:rsidRPr="00EB619A">
        <w:rPr>
          <w:sz w:val="26"/>
          <w:szCs w:val="26"/>
        </w:rPr>
        <w:t>underfrequency</w:t>
      </w:r>
      <w:proofErr w:type="spellEnd"/>
      <w:r w:rsidRPr="00EB619A">
        <w:rPr>
          <w:sz w:val="26"/>
          <w:szCs w:val="26"/>
        </w:rPr>
        <w:t xml:space="preserve"> load shedding design assessment under Requirements R4, R5, or R12 and determines </w:t>
      </w:r>
      <w:proofErr w:type="spellStart"/>
      <w:r w:rsidRPr="00EB619A">
        <w:rPr>
          <w:sz w:val="26"/>
          <w:szCs w:val="26"/>
        </w:rPr>
        <w:t>underfrequency</w:t>
      </w:r>
      <w:proofErr w:type="spellEnd"/>
      <w:r w:rsidRPr="00EB619A">
        <w:rPr>
          <w:sz w:val="26"/>
          <w:szCs w:val="26"/>
        </w:rPr>
        <w:t xml:space="preserve"> load shedding program does not meet the performance characteristics in Requirement R3, develops corrective action plans and schedule for implementation by UFLS entities within its area)</w:t>
      </w:r>
      <w:r>
        <w:rPr>
          <w:sz w:val="26"/>
          <w:szCs w:val="2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ABFF8" w14:textId="43A24789" w:rsidR="002B43E1" w:rsidRDefault="002B43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7BD2E" w14:textId="439F3873" w:rsidR="002B43E1" w:rsidRDefault="002B43E1" w:rsidP="00241F8D">
    <w:pPr>
      <w:tabs>
        <w:tab w:val="left" w:pos="4625"/>
        <w:tab w:val="center" w:pos="4680"/>
      </w:tabs>
      <w:rPr>
        <w:sz w:val="26"/>
        <w:szCs w:val="26"/>
      </w:rPr>
    </w:pPr>
    <w:r>
      <w:rPr>
        <w:sz w:val="26"/>
        <w:szCs w:val="26"/>
      </w:rPr>
      <w:t>Docket No. RD15-2-</w:t>
    </w:r>
    <w:r w:rsidRPr="00FD6160">
      <w:rPr>
        <w:sz w:val="26"/>
        <w:szCs w:val="26"/>
      </w:rPr>
      <w:t>000</w:t>
    </w:r>
    <w:r>
      <w:rPr>
        <w:sz w:val="26"/>
        <w:szCs w:val="26"/>
      </w:rPr>
      <w:tab/>
    </w:r>
    <w:r>
      <w:rPr>
        <w:sz w:val="26"/>
        <w:szCs w:val="26"/>
      </w:rPr>
      <w:tab/>
    </w:r>
    <w:r>
      <w:rPr>
        <w:sz w:val="26"/>
        <w:szCs w:val="26"/>
      </w:rPr>
      <w:fldChar w:fldCharType="begin"/>
    </w:r>
    <w:r>
      <w:rPr>
        <w:sz w:val="26"/>
        <w:szCs w:val="26"/>
      </w:rPr>
      <w:instrText xml:space="preserve"> PAGE  \* Arabic  \* MERGEFORMAT </w:instrText>
    </w:r>
    <w:r>
      <w:rPr>
        <w:sz w:val="26"/>
        <w:szCs w:val="26"/>
      </w:rPr>
      <w:fldChar w:fldCharType="separate"/>
    </w:r>
    <w:r w:rsidR="00AC3216">
      <w:rPr>
        <w:noProof/>
        <w:sz w:val="26"/>
        <w:szCs w:val="26"/>
      </w:rPr>
      <w:t>6</w:t>
    </w:r>
    <w:r>
      <w:rPr>
        <w:sz w:val="26"/>
        <w:szCs w:val="26"/>
      </w:rPr>
      <w:fldChar w:fldCharType="end"/>
    </w:r>
  </w:p>
  <w:p w14:paraId="5887BD2F" w14:textId="77777777" w:rsidR="002B43E1" w:rsidRDefault="002B43E1" w:rsidP="00241F8D">
    <w:pPr>
      <w:tabs>
        <w:tab w:val="left" w:pos="4625"/>
        <w:tab w:val="center" w:pos="468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7BD32" w14:textId="7FBAFDA9" w:rsidR="002B43E1" w:rsidRDefault="002B43E1">
    <w:pPr>
      <w:pStyle w:val="Header"/>
      <w:jc w:val="center"/>
    </w:pPr>
  </w:p>
  <w:p w14:paraId="5887BD33" w14:textId="77777777" w:rsidR="002B43E1" w:rsidRDefault="002B43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DFE0A4E"/>
    <w:lvl w:ilvl="0">
      <w:start w:val="1"/>
      <w:numFmt w:val="bullet"/>
      <w:lvlText w:val=""/>
      <w:lvlJc w:val="left"/>
      <w:pPr>
        <w:tabs>
          <w:tab w:val="num" w:pos="360"/>
        </w:tabs>
        <w:ind w:left="360" w:hanging="360"/>
      </w:pPr>
      <w:rPr>
        <w:rFonts w:ascii="Symbol" w:hAnsi="Symbol" w:hint="default"/>
      </w:rPr>
    </w:lvl>
  </w:abstractNum>
  <w:abstractNum w:abstractNumId="1">
    <w:nsid w:val="10C87709"/>
    <w:multiLevelType w:val="hybridMultilevel"/>
    <w:tmpl w:val="B5B42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453C6417"/>
    <w:multiLevelType w:val="hybridMultilevel"/>
    <w:tmpl w:val="0226C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157323B"/>
    <w:multiLevelType w:val="hybridMultilevel"/>
    <w:tmpl w:val="8CC6F802"/>
    <w:lvl w:ilvl="0" w:tplc="12C2E04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646187"/>
    <w:multiLevelType w:val="hybridMultilevel"/>
    <w:tmpl w:val="9DCC217A"/>
    <w:lvl w:ilvl="0" w:tplc="FFFFFFFF">
      <w:start w:val="1"/>
      <w:numFmt w:val="bullet"/>
      <w:lvlText w:val=""/>
      <w:lvlJc w:val="left"/>
      <w:pPr>
        <w:tabs>
          <w:tab w:val="num" w:pos="36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7E4E4DD3"/>
    <w:multiLevelType w:val="hybridMultilevel"/>
    <w:tmpl w:val="8EBADEA0"/>
    <w:lvl w:ilvl="0" w:tplc="E4FAF836">
      <w:start w:val="1"/>
      <w:numFmt w:val="decimal"/>
      <w:pStyle w:val="FERCparanumber"/>
      <w:lvlText w:val="%1."/>
      <w:lvlJc w:val="left"/>
      <w:pPr>
        <w:tabs>
          <w:tab w:val="num" w:pos="720"/>
        </w:tabs>
        <w:ind w:left="0" w:firstLine="0"/>
      </w:pPr>
      <w:rPr>
        <w:rFonts w:hint="default"/>
      </w:rPr>
    </w:lvl>
    <w:lvl w:ilvl="1" w:tplc="04090019">
      <w:start w:val="2"/>
      <w:numFmt w:val="upperLetter"/>
      <w:lvlText w:val="%2."/>
      <w:lvlJc w:val="left"/>
      <w:pPr>
        <w:tabs>
          <w:tab w:val="num" w:pos="1800"/>
        </w:tabs>
        <w:ind w:left="1800" w:hanging="72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0"/>
  </w:num>
  <w:num w:numId="4">
    <w:abstractNumId w:val="4"/>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FEA"/>
    <w:rsid w:val="00001F5C"/>
    <w:rsid w:val="00002327"/>
    <w:rsid w:val="00002A41"/>
    <w:rsid w:val="00003815"/>
    <w:rsid w:val="000041DD"/>
    <w:rsid w:val="0001126B"/>
    <w:rsid w:val="000156B9"/>
    <w:rsid w:val="00015E54"/>
    <w:rsid w:val="00020514"/>
    <w:rsid w:val="00020E15"/>
    <w:rsid w:val="00021A92"/>
    <w:rsid w:val="00022E14"/>
    <w:rsid w:val="00030822"/>
    <w:rsid w:val="00031A66"/>
    <w:rsid w:val="00033011"/>
    <w:rsid w:val="0003629F"/>
    <w:rsid w:val="00042B53"/>
    <w:rsid w:val="0004765F"/>
    <w:rsid w:val="000500F1"/>
    <w:rsid w:val="00053A71"/>
    <w:rsid w:val="0005598B"/>
    <w:rsid w:val="00061C56"/>
    <w:rsid w:val="0006484B"/>
    <w:rsid w:val="00076204"/>
    <w:rsid w:val="000819B8"/>
    <w:rsid w:val="000823CB"/>
    <w:rsid w:val="00084A8E"/>
    <w:rsid w:val="00091C6C"/>
    <w:rsid w:val="0009463B"/>
    <w:rsid w:val="00094C60"/>
    <w:rsid w:val="00097D90"/>
    <w:rsid w:val="000A4E0B"/>
    <w:rsid w:val="000A54D0"/>
    <w:rsid w:val="000B575A"/>
    <w:rsid w:val="000D24CE"/>
    <w:rsid w:val="000D347D"/>
    <w:rsid w:val="000E2627"/>
    <w:rsid w:val="000E451E"/>
    <w:rsid w:val="000E4FD8"/>
    <w:rsid w:val="000E6AF3"/>
    <w:rsid w:val="000F3DDC"/>
    <w:rsid w:val="000F3EC3"/>
    <w:rsid w:val="000F4891"/>
    <w:rsid w:val="000F4D25"/>
    <w:rsid w:val="000F7B9C"/>
    <w:rsid w:val="0010044A"/>
    <w:rsid w:val="00100800"/>
    <w:rsid w:val="00101C13"/>
    <w:rsid w:val="0010300D"/>
    <w:rsid w:val="00107504"/>
    <w:rsid w:val="00112239"/>
    <w:rsid w:val="00121183"/>
    <w:rsid w:val="00121210"/>
    <w:rsid w:val="00124BE9"/>
    <w:rsid w:val="00126D1F"/>
    <w:rsid w:val="00130035"/>
    <w:rsid w:val="001305E8"/>
    <w:rsid w:val="00133EE7"/>
    <w:rsid w:val="00136D4A"/>
    <w:rsid w:val="0013706E"/>
    <w:rsid w:val="00143544"/>
    <w:rsid w:val="00144339"/>
    <w:rsid w:val="001474B8"/>
    <w:rsid w:val="00147AA7"/>
    <w:rsid w:val="00150EAE"/>
    <w:rsid w:val="00156D19"/>
    <w:rsid w:val="00157E30"/>
    <w:rsid w:val="00160994"/>
    <w:rsid w:val="00160DC1"/>
    <w:rsid w:val="00186873"/>
    <w:rsid w:val="00194BB5"/>
    <w:rsid w:val="00195113"/>
    <w:rsid w:val="00195DDE"/>
    <w:rsid w:val="001961FF"/>
    <w:rsid w:val="001A0B38"/>
    <w:rsid w:val="001A2E18"/>
    <w:rsid w:val="001A4876"/>
    <w:rsid w:val="001B27CA"/>
    <w:rsid w:val="001B590E"/>
    <w:rsid w:val="001B6BF5"/>
    <w:rsid w:val="001C08D7"/>
    <w:rsid w:val="001C34F5"/>
    <w:rsid w:val="001C40D6"/>
    <w:rsid w:val="001C4136"/>
    <w:rsid w:val="001C66D6"/>
    <w:rsid w:val="001C6C49"/>
    <w:rsid w:val="001C7481"/>
    <w:rsid w:val="001D2214"/>
    <w:rsid w:val="001D2AC9"/>
    <w:rsid w:val="001D325F"/>
    <w:rsid w:val="001D635F"/>
    <w:rsid w:val="001D75FF"/>
    <w:rsid w:val="001D7D03"/>
    <w:rsid w:val="001E1651"/>
    <w:rsid w:val="001E2195"/>
    <w:rsid w:val="001E48EC"/>
    <w:rsid w:val="001E7E57"/>
    <w:rsid w:val="001F0CB7"/>
    <w:rsid w:val="001F3F25"/>
    <w:rsid w:val="001F4465"/>
    <w:rsid w:val="001F565E"/>
    <w:rsid w:val="00201F65"/>
    <w:rsid w:val="002029A1"/>
    <w:rsid w:val="0021394F"/>
    <w:rsid w:val="0022254B"/>
    <w:rsid w:val="00223B14"/>
    <w:rsid w:val="00233A28"/>
    <w:rsid w:val="00236815"/>
    <w:rsid w:val="00241F8D"/>
    <w:rsid w:val="00242E29"/>
    <w:rsid w:val="0024574C"/>
    <w:rsid w:val="00252E6B"/>
    <w:rsid w:val="002530C0"/>
    <w:rsid w:val="0025480E"/>
    <w:rsid w:val="00263592"/>
    <w:rsid w:val="002650C0"/>
    <w:rsid w:val="00265661"/>
    <w:rsid w:val="0027032E"/>
    <w:rsid w:val="00271047"/>
    <w:rsid w:val="00273BAC"/>
    <w:rsid w:val="0029140B"/>
    <w:rsid w:val="00291625"/>
    <w:rsid w:val="002937CD"/>
    <w:rsid w:val="0029716E"/>
    <w:rsid w:val="002A6F04"/>
    <w:rsid w:val="002B14B3"/>
    <w:rsid w:val="002B315B"/>
    <w:rsid w:val="002B3B60"/>
    <w:rsid w:val="002B43E1"/>
    <w:rsid w:val="002C00E0"/>
    <w:rsid w:val="002C5936"/>
    <w:rsid w:val="002C668F"/>
    <w:rsid w:val="002D0D17"/>
    <w:rsid w:val="002F19BF"/>
    <w:rsid w:val="002F4D29"/>
    <w:rsid w:val="002F6C9A"/>
    <w:rsid w:val="003015E3"/>
    <w:rsid w:val="00301A76"/>
    <w:rsid w:val="00302F28"/>
    <w:rsid w:val="003048C0"/>
    <w:rsid w:val="003109C5"/>
    <w:rsid w:val="00316147"/>
    <w:rsid w:val="00317693"/>
    <w:rsid w:val="00317B02"/>
    <w:rsid w:val="00322454"/>
    <w:rsid w:val="00322758"/>
    <w:rsid w:val="00322CE9"/>
    <w:rsid w:val="003249FE"/>
    <w:rsid w:val="0033213E"/>
    <w:rsid w:val="00336A1D"/>
    <w:rsid w:val="00340456"/>
    <w:rsid w:val="00341449"/>
    <w:rsid w:val="00346037"/>
    <w:rsid w:val="00347892"/>
    <w:rsid w:val="00351ED1"/>
    <w:rsid w:val="00352E0C"/>
    <w:rsid w:val="003532C7"/>
    <w:rsid w:val="003548B6"/>
    <w:rsid w:val="00355C37"/>
    <w:rsid w:val="00362E75"/>
    <w:rsid w:val="00364401"/>
    <w:rsid w:val="00364A7C"/>
    <w:rsid w:val="00366F10"/>
    <w:rsid w:val="00370E84"/>
    <w:rsid w:val="003729BB"/>
    <w:rsid w:val="00375906"/>
    <w:rsid w:val="003765E2"/>
    <w:rsid w:val="00377441"/>
    <w:rsid w:val="003804B5"/>
    <w:rsid w:val="00387051"/>
    <w:rsid w:val="003904BE"/>
    <w:rsid w:val="00391678"/>
    <w:rsid w:val="003A38C4"/>
    <w:rsid w:val="003A43CF"/>
    <w:rsid w:val="003A47F1"/>
    <w:rsid w:val="003A4E4D"/>
    <w:rsid w:val="003B2151"/>
    <w:rsid w:val="003C30A7"/>
    <w:rsid w:val="003C7413"/>
    <w:rsid w:val="003D5F1E"/>
    <w:rsid w:val="003E03C2"/>
    <w:rsid w:val="003E13F8"/>
    <w:rsid w:val="003E346F"/>
    <w:rsid w:val="003E485A"/>
    <w:rsid w:val="003E7424"/>
    <w:rsid w:val="003E7CEA"/>
    <w:rsid w:val="003F146A"/>
    <w:rsid w:val="003F1B02"/>
    <w:rsid w:val="00402D17"/>
    <w:rsid w:val="004040EE"/>
    <w:rsid w:val="00404CAC"/>
    <w:rsid w:val="00404F98"/>
    <w:rsid w:val="00405652"/>
    <w:rsid w:val="00405A2A"/>
    <w:rsid w:val="004125FA"/>
    <w:rsid w:val="00412FE8"/>
    <w:rsid w:val="00413B28"/>
    <w:rsid w:val="004159D6"/>
    <w:rsid w:val="00421ACA"/>
    <w:rsid w:val="0042301D"/>
    <w:rsid w:val="00425158"/>
    <w:rsid w:val="00427AD4"/>
    <w:rsid w:val="004308B7"/>
    <w:rsid w:val="00435FF8"/>
    <w:rsid w:val="004362EF"/>
    <w:rsid w:val="00437512"/>
    <w:rsid w:val="00443430"/>
    <w:rsid w:val="004438E9"/>
    <w:rsid w:val="00453D0A"/>
    <w:rsid w:val="00456216"/>
    <w:rsid w:val="00460C45"/>
    <w:rsid w:val="00462AC3"/>
    <w:rsid w:val="00466E84"/>
    <w:rsid w:val="00466F4A"/>
    <w:rsid w:val="004672D7"/>
    <w:rsid w:val="00470373"/>
    <w:rsid w:val="00473478"/>
    <w:rsid w:val="00474116"/>
    <w:rsid w:val="00475BED"/>
    <w:rsid w:val="0047725F"/>
    <w:rsid w:val="00482A44"/>
    <w:rsid w:val="00482EB4"/>
    <w:rsid w:val="004963F3"/>
    <w:rsid w:val="00496EBC"/>
    <w:rsid w:val="004A2EAB"/>
    <w:rsid w:val="004A2F1D"/>
    <w:rsid w:val="004A2FF6"/>
    <w:rsid w:val="004A6201"/>
    <w:rsid w:val="004B367B"/>
    <w:rsid w:val="004B538E"/>
    <w:rsid w:val="004C283E"/>
    <w:rsid w:val="004C3175"/>
    <w:rsid w:val="004C3815"/>
    <w:rsid w:val="004C7892"/>
    <w:rsid w:val="004D14DA"/>
    <w:rsid w:val="004D2815"/>
    <w:rsid w:val="004D3E71"/>
    <w:rsid w:val="004E1B06"/>
    <w:rsid w:val="004E1EEE"/>
    <w:rsid w:val="004E2FDE"/>
    <w:rsid w:val="004E588A"/>
    <w:rsid w:val="004F0838"/>
    <w:rsid w:val="00500A8A"/>
    <w:rsid w:val="00502726"/>
    <w:rsid w:val="00502FE0"/>
    <w:rsid w:val="00516070"/>
    <w:rsid w:val="005212B0"/>
    <w:rsid w:val="00521C12"/>
    <w:rsid w:val="00525FF9"/>
    <w:rsid w:val="00527108"/>
    <w:rsid w:val="00530A57"/>
    <w:rsid w:val="005316CB"/>
    <w:rsid w:val="00533361"/>
    <w:rsid w:val="00533A94"/>
    <w:rsid w:val="005467A5"/>
    <w:rsid w:val="0054709C"/>
    <w:rsid w:val="0055731A"/>
    <w:rsid w:val="00561AD8"/>
    <w:rsid w:val="00563BEF"/>
    <w:rsid w:val="005649FB"/>
    <w:rsid w:val="005668E9"/>
    <w:rsid w:val="00567335"/>
    <w:rsid w:val="00567736"/>
    <w:rsid w:val="00570E42"/>
    <w:rsid w:val="00583BA8"/>
    <w:rsid w:val="00583CD8"/>
    <w:rsid w:val="00584B09"/>
    <w:rsid w:val="005879DE"/>
    <w:rsid w:val="00590576"/>
    <w:rsid w:val="00591CE9"/>
    <w:rsid w:val="00594693"/>
    <w:rsid w:val="005964F3"/>
    <w:rsid w:val="005A07F5"/>
    <w:rsid w:val="005B1BA4"/>
    <w:rsid w:val="005C0209"/>
    <w:rsid w:val="005C4303"/>
    <w:rsid w:val="005C5A54"/>
    <w:rsid w:val="005D178D"/>
    <w:rsid w:val="005D40CA"/>
    <w:rsid w:val="005D598C"/>
    <w:rsid w:val="005E04F4"/>
    <w:rsid w:val="005E46EC"/>
    <w:rsid w:val="005E60DB"/>
    <w:rsid w:val="005F34E4"/>
    <w:rsid w:val="005F620F"/>
    <w:rsid w:val="005F71B2"/>
    <w:rsid w:val="00603179"/>
    <w:rsid w:val="00605174"/>
    <w:rsid w:val="0060551A"/>
    <w:rsid w:val="00605FE1"/>
    <w:rsid w:val="0061135C"/>
    <w:rsid w:val="0061355B"/>
    <w:rsid w:val="00615A6A"/>
    <w:rsid w:val="006165A8"/>
    <w:rsid w:val="00616AB5"/>
    <w:rsid w:val="0062507F"/>
    <w:rsid w:val="006265C5"/>
    <w:rsid w:val="00627C97"/>
    <w:rsid w:val="006305AF"/>
    <w:rsid w:val="006409EE"/>
    <w:rsid w:val="006424E6"/>
    <w:rsid w:val="00642FE5"/>
    <w:rsid w:val="006442F9"/>
    <w:rsid w:val="00644AD4"/>
    <w:rsid w:val="00645C86"/>
    <w:rsid w:val="00646DDF"/>
    <w:rsid w:val="00653E95"/>
    <w:rsid w:val="00655C8F"/>
    <w:rsid w:val="006563C5"/>
    <w:rsid w:val="006577F2"/>
    <w:rsid w:val="0066010A"/>
    <w:rsid w:val="00663917"/>
    <w:rsid w:val="00665AB3"/>
    <w:rsid w:val="00667161"/>
    <w:rsid w:val="00672AC7"/>
    <w:rsid w:val="00674F4B"/>
    <w:rsid w:val="006758A7"/>
    <w:rsid w:val="006774D3"/>
    <w:rsid w:val="0067783C"/>
    <w:rsid w:val="00677855"/>
    <w:rsid w:val="00683870"/>
    <w:rsid w:val="00685F8E"/>
    <w:rsid w:val="00693EFE"/>
    <w:rsid w:val="006947DD"/>
    <w:rsid w:val="006A089E"/>
    <w:rsid w:val="006A1547"/>
    <w:rsid w:val="006A33BC"/>
    <w:rsid w:val="006B132D"/>
    <w:rsid w:val="006B2E82"/>
    <w:rsid w:val="006B44BD"/>
    <w:rsid w:val="006C254E"/>
    <w:rsid w:val="006C562E"/>
    <w:rsid w:val="006D1C49"/>
    <w:rsid w:val="006D315B"/>
    <w:rsid w:val="006D489A"/>
    <w:rsid w:val="006D75C8"/>
    <w:rsid w:val="006E0062"/>
    <w:rsid w:val="006E120D"/>
    <w:rsid w:val="006E1ACD"/>
    <w:rsid w:val="006E1DA9"/>
    <w:rsid w:val="006E258B"/>
    <w:rsid w:val="006E38A9"/>
    <w:rsid w:val="006E3DC4"/>
    <w:rsid w:val="006E4234"/>
    <w:rsid w:val="006F5426"/>
    <w:rsid w:val="006F63AF"/>
    <w:rsid w:val="0070362B"/>
    <w:rsid w:val="00706187"/>
    <w:rsid w:val="0070764E"/>
    <w:rsid w:val="00707C6B"/>
    <w:rsid w:val="00710374"/>
    <w:rsid w:val="00711332"/>
    <w:rsid w:val="00716801"/>
    <w:rsid w:val="00720452"/>
    <w:rsid w:val="00720D05"/>
    <w:rsid w:val="00722BDF"/>
    <w:rsid w:val="00726927"/>
    <w:rsid w:val="00734FCE"/>
    <w:rsid w:val="0074037E"/>
    <w:rsid w:val="007500A6"/>
    <w:rsid w:val="00756ED2"/>
    <w:rsid w:val="00760262"/>
    <w:rsid w:val="00764E90"/>
    <w:rsid w:val="00766E5F"/>
    <w:rsid w:val="007701EA"/>
    <w:rsid w:val="0077092B"/>
    <w:rsid w:val="00773C9A"/>
    <w:rsid w:val="00775A04"/>
    <w:rsid w:val="00775C82"/>
    <w:rsid w:val="00776524"/>
    <w:rsid w:val="00786F41"/>
    <w:rsid w:val="007872FC"/>
    <w:rsid w:val="007914AC"/>
    <w:rsid w:val="00797FED"/>
    <w:rsid w:val="007A3FDC"/>
    <w:rsid w:val="007A4A9E"/>
    <w:rsid w:val="007A67B7"/>
    <w:rsid w:val="007A6E6A"/>
    <w:rsid w:val="007B0394"/>
    <w:rsid w:val="007B15AC"/>
    <w:rsid w:val="007B17F0"/>
    <w:rsid w:val="007B2C36"/>
    <w:rsid w:val="007B387A"/>
    <w:rsid w:val="007C30D6"/>
    <w:rsid w:val="007C5A59"/>
    <w:rsid w:val="007C6F67"/>
    <w:rsid w:val="007D0C48"/>
    <w:rsid w:val="007D0D58"/>
    <w:rsid w:val="007D1C72"/>
    <w:rsid w:val="007D36FD"/>
    <w:rsid w:val="007D6FF9"/>
    <w:rsid w:val="007E0EEF"/>
    <w:rsid w:val="007E284F"/>
    <w:rsid w:val="007E473D"/>
    <w:rsid w:val="007E5F9E"/>
    <w:rsid w:val="007F0370"/>
    <w:rsid w:val="007F3E46"/>
    <w:rsid w:val="008033ED"/>
    <w:rsid w:val="00803A9A"/>
    <w:rsid w:val="008064D0"/>
    <w:rsid w:val="00806CE0"/>
    <w:rsid w:val="00807377"/>
    <w:rsid w:val="0080797E"/>
    <w:rsid w:val="0081269C"/>
    <w:rsid w:val="00812D62"/>
    <w:rsid w:val="00814151"/>
    <w:rsid w:val="0081505F"/>
    <w:rsid w:val="00822994"/>
    <w:rsid w:val="00825115"/>
    <w:rsid w:val="00826587"/>
    <w:rsid w:val="008343BA"/>
    <w:rsid w:val="00837A77"/>
    <w:rsid w:val="00837B60"/>
    <w:rsid w:val="008407E9"/>
    <w:rsid w:val="00841E8B"/>
    <w:rsid w:val="008442AA"/>
    <w:rsid w:val="00844D6A"/>
    <w:rsid w:val="0084564B"/>
    <w:rsid w:val="0084609A"/>
    <w:rsid w:val="008465A4"/>
    <w:rsid w:val="00847122"/>
    <w:rsid w:val="0085131C"/>
    <w:rsid w:val="00855DD0"/>
    <w:rsid w:val="00861289"/>
    <w:rsid w:val="00862B58"/>
    <w:rsid w:val="00863D20"/>
    <w:rsid w:val="00866555"/>
    <w:rsid w:val="00866CE4"/>
    <w:rsid w:val="00880EE3"/>
    <w:rsid w:val="00884AE4"/>
    <w:rsid w:val="0088721D"/>
    <w:rsid w:val="008875AB"/>
    <w:rsid w:val="00887A28"/>
    <w:rsid w:val="00891248"/>
    <w:rsid w:val="00892BA3"/>
    <w:rsid w:val="008A1555"/>
    <w:rsid w:val="008A6190"/>
    <w:rsid w:val="008A7389"/>
    <w:rsid w:val="008B0155"/>
    <w:rsid w:val="008B4880"/>
    <w:rsid w:val="008B7291"/>
    <w:rsid w:val="008C069A"/>
    <w:rsid w:val="008C06EA"/>
    <w:rsid w:val="008C5AFD"/>
    <w:rsid w:val="008C62CC"/>
    <w:rsid w:val="008D0189"/>
    <w:rsid w:val="008D13AA"/>
    <w:rsid w:val="008E14A4"/>
    <w:rsid w:val="008E43ED"/>
    <w:rsid w:val="008E73EC"/>
    <w:rsid w:val="008E7D05"/>
    <w:rsid w:val="008F11A3"/>
    <w:rsid w:val="008F1F5B"/>
    <w:rsid w:val="008F43C7"/>
    <w:rsid w:val="00903418"/>
    <w:rsid w:val="009038D7"/>
    <w:rsid w:val="0090565D"/>
    <w:rsid w:val="00907F75"/>
    <w:rsid w:val="00914319"/>
    <w:rsid w:val="00921249"/>
    <w:rsid w:val="0092522B"/>
    <w:rsid w:val="009275B2"/>
    <w:rsid w:val="00931B48"/>
    <w:rsid w:val="00931CE1"/>
    <w:rsid w:val="00935600"/>
    <w:rsid w:val="00936E94"/>
    <w:rsid w:val="00950260"/>
    <w:rsid w:val="00953329"/>
    <w:rsid w:val="00955196"/>
    <w:rsid w:val="00956894"/>
    <w:rsid w:val="00960A24"/>
    <w:rsid w:val="00971612"/>
    <w:rsid w:val="00974220"/>
    <w:rsid w:val="00975C01"/>
    <w:rsid w:val="00980290"/>
    <w:rsid w:val="00980E20"/>
    <w:rsid w:val="009826F6"/>
    <w:rsid w:val="00984200"/>
    <w:rsid w:val="00990713"/>
    <w:rsid w:val="00992150"/>
    <w:rsid w:val="009A187C"/>
    <w:rsid w:val="009A1AD7"/>
    <w:rsid w:val="009A286B"/>
    <w:rsid w:val="009A3CB6"/>
    <w:rsid w:val="009A4280"/>
    <w:rsid w:val="009A4C8D"/>
    <w:rsid w:val="009C3630"/>
    <w:rsid w:val="009E2AA8"/>
    <w:rsid w:val="009E3F31"/>
    <w:rsid w:val="009E6891"/>
    <w:rsid w:val="009F1AF5"/>
    <w:rsid w:val="009F6363"/>
    <w:rsid w:val="00A020A7"/>
    <w:rsid w:val="00A022E6"/>
    <w:rsid w:val="00A02408"/>
    <w:rsid w:val="00A0605F"/>
    <w:rsid w:val="00A10D20"/>
    <w:rsid w:val="00A1116D"/>
    <w:rsid w:val="00A158C0"/>
    <w:rsid w:val="00A15C5E"/>
    <w:rsid w:val="00A21B8F"/>
    <w:rsid w:val="00A3310C"/>
    <w:rsid w:val="00A3495F"/>
    <w:rsid w:val="00A36F06"/>
    <w:rsid w:val="00A41358"/>
    <w:rsid w:val="00A4214A"/>
    <w:rsid w:val="00A51098"/>
    <w:rsid w:val="00A51EB4"/>
    <w:rsid w:val="00A53BF4"/>
    <w:rsid w:val="00A545C4"/>
    <w:rsid w:val="00A550B1"/>
    <w:rsid w:val="00A63C97"/>
    <w:rsid w:val="00A64455"/>
    <w:rsid w:val="00A6767C"/>
    <w:rsid w:val="00A6767F"/>
    <w:rsid w:val="00A7260E"/>
    <w:rsid w:val="00A750B7"/>
    <w:rsid w:val="00A750D4"/>
    <w:rsid w:val="00A755D8"/>
    <w:rsid w:val="00A765BA"/>
    <w:rsid w:val="00A774BE"/>
    <w:rsid w:val="00A82350"/>
    <w:rsid w:val="00A83E59"/>
    <w:rsid w:val="00A8416C"/>
    <w:rsid w:val="00A849DF"/>
    <w:rsid w:val="00A8661E"/>
    <w:rsid w:val="00A90075"/>
    <w:rsid w:val="00A91E24"/>
    <w:rsid w:val="00AA12A4"/>
    <w:rsid w:val="00AA4B8E"/>
    <w:rsid w:val="00AA6C97"/>
    <w:rsid w:val="00AB0DBE"/>
    <w:rsid w:val="00AB3C43"/>
    <w:rsid w:val="00AB4EF8"/>
    <w:rsid w:val="00AB6586"/>
    <w:rsid w:val="00AC2A9E"/>
    <w:rsid w:val="00AC3216"/>
    <w:rsid w:val="00AC4502"/>
    <w:rsid w:val="00AD076D"/>
    <w:rsid w:val="00AD5F61"/>
    <w:rsid w:val="00AE01FA"/>
    <w:rsid w:val="00AE20E7"/>
    <w:rsid w:val="00AF0D17"/>
    <w:rsid w:val="00AF14AF"/>
    <w:rsid w:val="00AF35D8"/>
    <w:rsid w:val="00AF380A"/>
    <w:rsid w:val="00AF5FD5"/>
    <w:rsid w:val="00AF6B90"/>
    <w:rsid w:val="00AF7D2C"/>
    <w:rsid w:val="00B0057F"/>
    <w:rsid w:val="00B01C91"/>
    <w:rsid w:val="00B039A0"/>
    <w:rsid w:val="00B06FA2"/>
    <w:rsid w:val="00B133D0"/>
    <w:rsid w:val="00B13722"/>
    <w:rsid w:val="00B1429A"/>
    <w:rsid w:val="00B25890"/>
    <w:rsid w:val="00B30714"/>
    <w:rsid w:val="00B34E1C"/>
    <w:rsid w:val="00B40EAF"/>
    <w:rsid w:val="00B42509"/>
    <w:rsid w:val="00B42ACC"/>
    <w:rsid w:val="00B42C27"/>
    <w:rsid w:val="00B43C67"/>
    <w:rsid w:val="00B505F6"/>
    <w:rsid w:val="00B50765"/>
    <w:rsid w:val="00B520B3"/>
    <w:rsid w:val="00B529F3"/>
    <w:rsid w:val="00B531AC"/>
    <w:rsid w:val="00B60CE4"/>
    <w:rsid w:val="00B8255B"/>
    <w:rsid w:val="00B83A1D"/>
    <w:rsid w:val="00B86A75"/>
    <w:rsid w:val="00B87B75"/>
    <w:rsid w:val="00B976CD"/>
    <w:rsid w:val="00BA2F66"/>
    <w:rsid w:val="00BA7754"/>
    <w:rsid w:val="00BB320A"/>
    <w:rsid w:val="00BB760C"/>
    <w:rsid w:val="00BC3E29"/>
    <w:rsid w:val="00BC4870"/>
    <w:rsid w:val="00BC7496"/>
    <w:rsid w:val="00BD0C36"/>
    <w:rsid w:val="00BD19BD"/>
    <w:rsid w:val="00BD41F2"/>
    <w:rsid w:val="00BE0560"/>
    <w:rsid w:val="00BE506D"/>
    <w:rsid w:val="00BE7B46"/>
    <w:rsid w:val="00BF175F"/>
    <w:rsid w:val="00BF1C5D"/>
    <w:rsid w:val="00BF3ED6"/>
    <w:rsid w:val="00BF7571"/>
    <w:rsid w:val="00C00B0E"/>
    <w:rsid w:val="00C0134C"/>
    <w:rsid w:val="00C05699"/>
    <w:rsid w:val="00C068C6"/>
    <w:rsid w:val="00C121AB"/>
    <w:rsid w:val="00C12370"/>
    <w:rsid w:val="00C12F9F"/>
    <w:rsid w:val="00C13EA7"/>
    <w:rsid w:val="00C21CC7"/>
    <w:rsid w:val="00C3434B"/>
    <w:rsid w:val="00C41DF1"/>
    <w:rsid w:val="00C466C9"/>
    <w:rsid w:val="00C46798"/>
    <w:rsid w:val="00C46EC1"/>
    <w:rsid w:val="00C52638"/>
    <w:rsid w:val="00C566EF"/>
    <w:rsid w:val="00C65EA4"/>
    <w:rsid w:val="00C65F42"/>
    <w:rsid w:val="00C679C8"/>
    <w:rsid w:val="00C67E63"/>
    <w:rsid w:val="00C705D7"/>
    <w:rsid w:val="00C72C4E"/>
    <w:rsid w:val="00C7309D"/>
    <w:rsid w:val="00C81C26"/>
    <w:rsid w:val="00C82E38"/>
    <w:rsid w:val="00C85500"/>
    <w:rsid w:val="00C85533"/>
    <w:rsid w:val="00C93E34"/>
    <w:rsid w:val="00CA3D1F"/>
    <w:rsid w:val="00CA785A"/>
    <w:rsid w:val="00CB290D"/>
    <w:rsid w:val="00CB37B0"/>
    <w:rsid w:val="00CB5FEA"/>
    <w:rsid w:val="00CB7C2D"/>
    <w:rsid w:val="00CB7CC5"/>
    <w:rsid w:val="00CC482C"/>
    <w:rsid w:val="00CD14FF"/>
    <w:rsid w:val="00CD2927"/>
    <w:rsid w:val="00CD2E42"/>
    <w:rsid w:val="00CD5132"/>
    <w:rsid w:val="00CD608C"/>
    <w:rsid w:val="00CD6513"/>
    <w:rsid w:val="00CE12F4"/>
    <w:rsid w:val="00CE5076"/>
    <w:rsid w:val="00CE5FB8"/>
    <w:rsid w:val="00CE6500"/>
    <w:rsid w:val="00CE7276"/>
    <w:rsid w:val="00CF101F"/>
    <w:rsid w:val="00CF1C50"/>
    <w:rsid w:val="00CF2165"/>
    <w:rsid w:val="00CF2E80"/>
    <w:rsid w:val="00CF5290"/>
    <w:rsid w:val="00CF535E"/>
    <w:rsid w:val="00CF58A3"/>
    <w:rsid w:val="00D00E6D"/>
    <w:rsid w:val="00D03781"/>
    <w:rsid w:val="00D067D0"/>
    <w:rsid w:val="00D10582"/>
    <w:rsid w:val="00D12110"/>
    <w:rsid w:val="00D177C3"/>
    <w:rsid w:val="00D22931"/>
    <w:rsid w:val="00D22B7D"/>
    <w:rsid w:val="00D22FBE"/>
    <w:rsid w:val="00D24945"/>
    <w:rsid w:val="00D30AB7"/>
    <w:rsid w:val="00D32A04"/>
    <w:rsid w:val="00D42400"/>
    <w:rsid w:val="00D4244D"/>
    <w:rsid w:val="00D44B70"/>
    <w:rsid w:val="00D460BF"/>
    <w:rsid w:val="00D46ACE"/>
    <w:rsid w:val="00D47744"/>
    <w:rsid w:val="00D47B07"/>
    <w:rsid w:val="00D51637"/>
    <w:rsid w:val="00D55AF3"/>
    <w:rsid w:val="00D606D1"/>
    <w:rsid w:val="00D626C0"/>
    <w:rsid w:val="00D635D8"/>
    <w:rsid w:val="00D64D41"/>
    <w:rsid w:val="00D64EFA"/>
    <w:rsid w:val="00D6578F"/>
    <w:rsid w:val="00D66AB3"/>
    <w:rsid w:val="00D67012"/>
    <w:rsid w:val="00D6793D"/>
    <w:rsid w:val="00D67FEA"/>
    <w:rsid w:val="00D7272C"/>
    <w:rsid w:val="00D74A26"/>
    <w:rsid w:val="00D90337"/>
    <w:rsid w:val="00D919BB"/>
    <w:rsid w:val="00D93EFF"/>
    <w:rsid w:val="00D9485A"/>
    <w:rsid w:val="00D94E89"/>
    <w:rsid w:val="00DA04EE"/>
    <w:rsid w:val="00DA1CED"/>
    <w:rsid w:val="00DA5D11"/>
    <w:rsid w:val="00DA7316"/>
    <w:rsid w:val="00DB35B8"/>
    <w:rsid w:val="00DB6686"/>
    <w:rsid w:val="00DC0380"/>
    <w:rsid w:val="00DC33B9"/>
    <w:rsid w:val="00DC5263"/>
    <w:rsid w:val="00DC730C"/>
    <w:rsid w:val="00DE6561"/>
    <w:rsid w:val="00DF220C"/>
    <w:rsid w:val="00DF405E"/>
    <w:rsid w:val="00DF7AAF"/>
    <w:rsid w:val="00E04F40"/>
    <w:rsid w:val="00E141E0"/>
    <w:rsid w:val="00E15888"/>
    <w:rsid w:val="00E17090"/>
    <w:rsid w:val="00E241E5"/>
    <w:rsid w:val="00E26D56"/>
    <w:rsid w:val="00E27D6E"/>
    <w:rsid w:val="00E31EE4"/>
    <w:rsid w:val="00E412BD"/>
    <w:rsid w:val="00E42004"/>
    <w:rsid w:val="00E4253D"/>
    <w:rsid w:val="00E4751B"/>
    <w:rsid w:val="00E57BD2"/>
    <w:rsid w:val="00E612A8"/>
    <w:rsid w:val="00E6195A"/>
    <w:rsid w:val="00E62177"/>
    <w:rsid w:val="00E6270C"/>
    <w:rsid w:val="00E6412F"/>
    <w:rsid w:val="00E66A2F"/>
    <w:rsid w:val="00E679CD"/>
    <w:rsid w:val="00E877F6"/>
    <w:rsid w:val="00E901D6"/>
    <w:rsid w:val="00E92E04"/>
    <w:rsid w:val="00E954DC"/>
    <w:rsid w:val="00EA1423"/>
    <w:rsid w:val="00EA1EE3"/>
    <w:rsid w:val="00EA2901"/>
    <w:rsid w:val="00EA2AB6"/>
    <w:rsid w:val="00EA3838"/>
    <w:rsid w:val="00EB25CC"/>
    <w:rsid w:val="00EB3CFA"/>
    <w:rsid w:val="00EB619A"/>
    <w:rsid w:val="00EB7440"/>
    <w:rsid w:val="00EC3F1F"/>
    <w:rsid w:val="00EC797E"/>
    <w:rsid w:val="00ED0242"/>
    <w:rsid w:val="00ED18D4"/>
    <w:rsid w:val="00ED1C1A"/>
    <w:rsid w:val="00ED30C2"/>
    <w:rsid w:val="00ED6358"/>
    <w:rsid w:val="00EE361E"/>
    <w:rsid w:val="00EE3898"/>
    <w:rsid w:val="00EE46CA"/>
    <w:rsid w:val="00EE67A5"/>
    <w:rsid w:val="00EF48B8"/>
    <w:rsid w:val="00F01B2F"/>
    <w:rsid w:val="00F06217"/>
    <w:rsid w:val="00F10F42"/>
    <w:rsid w:val="00F11B11"/>
    <w:rsid w:val="00F13BC6"/>
    <w:rsid w:val="00F13C26"/>
    <w:rsid w:val="00F15F42"/>
    <w:rsid w:val="00F203FD"/>
    <w:rsid w:val="00F23001"/>
    <w:rsid w:val="00F23043"/>
    <w:rsid w:val="00F23CFF"/>
    <w:rsid w:val="00F266EA"/>
    <w:rsid w:val="00F355DE"/>
    <w:rsid w:val="00F364D9"/>
    <w:rsid w:val="00F431E9"/>
    <w:rsid w:val="00F4328A"/>
    <w:rsid w:val="00F45AD2"/>
    <w:rsid w:val="00F514F5"/>
    <w:rsid w:val="00F52789"/>
    <w:rsid w:val="00F5556D"/>
    <w:rsid w:val="00F60037"/>
    <w:rsid w:val="00F6089E"/>
    <w:rsid w:val="00F60AC7"/>
    <w:rsid w:val="00F6110D"/>
    <w:rsid w:val="00F64C21"/>
    <w:rsid w:val="00F753E8"/>
    <w:rsid w:val="00F773C1"/>
    <w:rsid w:val="00F81760"/>
    <w:rsid w:val="00F8271D"/>
    <w:rsid w:val="00F84324"/>
    <w:rsid w:val="00F900B0"/>
    <w:rsid w:val="00F93E43"/>
    <w:rsid w:val="00F95AB3"/>
    <w:rsid w:val="00F96F84"/>
    <w:rsid w:val="00FA1209"/>
    <w:rsid w:val="00FA4BCE"/>
    <w:rsid w:val="00FA5A5E"/>
    <w:rsid w:val="00FB05E5"/>
    <w:rsid w:val="00FB23CC"/>
    <w:rsid w:val="00FB4342"/>
    <w:rsid w:val="00FC2921"/>
    <w:rsid w:val="00FC4C09"/>
    <w:rsid w:val="00FC5D4C"/>
    <w:rsid w:val="00FD02B2"/>
    <w:rsid w:val="00FD3F8F"/>
    <w:rsid w:val="00FD6160"/>
    <w:rsid w:val="00FE3109"/>
    <w:rsid w:val="00FE3587"/>
    <w:rsid w:val="00FE5961"/>
    <w:rsid w:val="00FE6081"/>
    <w:rsid w:val="00FF169E"/>
    <w:rsid w:val="00FF1742"/>
    <w:rsid w:val="00FF195D"/>
    <w:rsid w:val="00FF271A"/>
    <w:rsid w:val="00FF4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4:docId w14:val="5887B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List Number 5"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7FE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o1,fr1,o2,fr2,o3,fr3,Style 13,Style 12,Style 15,Style 17,Style 9,Style 18,(NECG) Footnote Reference,Style 20,Style 7,Styl,Style 8,Style 19,Style 28,Style 11,Style 16"/>
    <w:uiPriority w:val="99"/>
  </w:style>
  <w:style w:type="character" w:customStyle="1" w:styleId="Hypertext">
    <w:name w:val="Hypertext"/>
    <w:rPr>
      <w:color w:val="0000FF"/>
      <w:u w:val="single"/>
    </w:rPr>
  </w:style>
  <w:style w:type="character" w:styleId="Hyperlink">
    <w:name w:val="Hyperlink"/>
    <w:rsid w:val="00F60AC7"/>
    <w:rPr>
      <w:color w:val="0000FF"/>
      <w:u w:val="single"/>
    </w:rPr>
  </w:style>
  <w:style w:type="paragraph" w:styleId="Header">
    <w:name w:val="header"/>
    <w:basedOn w:val="Normal"/>
    <w:link w:val="HeaderChar"/>
    <w:uiPriority w:val="99"/>
    <w:rsid w:val="00FF1742"/>
    <w:pPr>
      <w:tabs>
        <w:tab w:val="center" w:pos="4320"/>
        <w:tab w:val="right" w:pos="8640"/>
      </w:tabs>
    </w:pPr>
  </w:style>
  <w:style w:type="paragraph" w:styleId="Footer">
    <w:name w:val="footer"/>
    <w:basedOn w:val="Normal"/>
    <w:link w:val="FooterChar"/>
    <w:uiPriority w:val="99"/>
    <w:rsid w:val="00FF1742"/>
    <w:pPr>
      <w:tabs>
        <w:tab w:val="center" w:pos="4320"/>
        <w:tab w:val="right" w:pos="8640"/>
      </w:tabs>
    </w:pPr>
  </w:style>
  <w:style w:type="character" w:styleId="FollowedHyperlink">
    <w:name w:val="FollowedHyperlink"/>
    <w:rsid w:val="005E60DB"/>
    <w:rPr>
      <w:color w:val="800080"/>
      <w:u w:val="single"/>
    </w:rPr>
  </w:style>
  <w:style w:type="character" w:styleId="PageNumber">
    <w:name w:val="page number"/>
    <w:basedOn w:val="DefaultParagraphFont"/>
    <w:rsid w:val="008407E9"/>
  </w:style>
  <w:style w:type="paragraph" w:customStyle="1" w:styleId="FERCparanumber">
    <w:name w:val="FERC paranumber"/>
    <w:basedOn w:val="Normal"/>
    <w:link w:val="FERCparanumberChar1"/>
    <w:rsid w:val="00A64455"/>
    <w:pPr>
      <w:widowControl/>
      <w:numPr>
        <w:numId w:val="1"/>
      </w:numPr>
      <w:spacing w:line="480" w:lineRule="auto"/>
    </w:pPr>
    <w:rPr>
      <w:sz w:val="26"/>
    </w:rPr>
  </w:style>
  <w:style w:type="character" w:customStyle="1" w:styleId="FERCparanumberChar1">
    <w:name w:val="FERC paranumber Char1"/>
    <w:link w:val="FERCparanumber"/>
    <w:rsid w:val="00A64455"/>
    <w:rPr>
      <w:sz w:val="26"/>
      <w:szCs w:val="24"/>
      <w:lang w:val="en-US" w:eastAsia="en-US" w:bidi="ar-SA"/>
    </w:rPr>
  </w:style>
  <w:style w:type="paragraph" w:customStyle="1" w:styleId="Default">
    <w:name w:val="Default"/>
    <w:rsid w:val="004D14DA"/>
    <w:pPr>
      <w:autoSpaceDE w:val="0"/>
      <w:autoSpaceDN w:val="0"/>
      <w:adjustRightInd w:val="0"/>
    </w:pPr>
    <w:rPr>
      <w:color w:val="000000"/>
      <w:sz w:val="24"/>
      <w:szCs w:val="24"/>
    </w:rPr>
  </w:style>
  <w:style w:type="table" w:styleId="TableGrid">
    <w:name w:val="Table Grid"/>
    <w:basedOn w:val="TableNormal"/>
    <w:rsid w:val="00F514F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fn,Footnote Text Char1,Footnote Text Char Char,Footnote Text Char1 Char,Footnote Text Char Char Char,Footnote Text MRP,Footnote Text Char1 Char Char,Footnote Text Char1 Char1,Footnote Text Char3,Footnote Text Char2 Char"/>
    <w:basedOn w:val="Normal"/>
    <w:link w:val="FootnoteTextChar2"/>
    <w:rsid w:val="00646DDF"/>
    <w:rPr>
      <w:sz w:val="20"/>
      <w:szCs w:val="20"/>
    </w:rPr>
  </w:style>
  <w:style w:type="paragraph" w:styleId="ListNumber5">
    <w:name w:val="List Number 5"/>
    <w:basedOn w:val="Normal"/>
    <w:uiPriority w:val="99"/>
    <w:rsid w:val="003109C5"/>
    <w:pPr>
      <w:tabs>
        <w:tab w:val="num" w:pos="1800"/>
      </w:tabs>
      <w:ind w:left="1800" w:hanging="360"/>
    </w:pPr>
    <w:rPr>
      <w:sz w:val="26"/>
    </w:rPr>
  </w:style>
  <w:style w:type="character" w:customStyle="1" w:styleId="FootnoteTextChar2">
    <w:name w:val="Footnote Text Char2"/>
    <w:aliases w:val="Footnote Text Char Char1,fn Char,Footnote Text Char1 Char2,Footnote Text Char Char Char1,Footnote Text Char1 Char Char1,Footnote Text Char Char Char Char,Footnote Text MRP Char,Footnote Text Char1 Char Char Char"/>
    <w:link w:val="FootnoteText"/>
    <w:locked/>
    <w:rsid w:val="003109C5"/>
  </w:style>
  <w:style w:type="paragraph" w:styleId="BalloonText">
    <w:name w:val="Balloon Text"/>
    <w:basedOn w:val="Normal"/>
    <w:link w:val="BalloonTextChar"/>
    <w:rsid w:val="0047725F"/>
    <w:rPr>
      <w:rFonts w:ascii="Tahoma" w:hAnsi="Tahoma" w:cs="Tahoma"/>
      <w:sz w:val="16"/>
      <w:szCs w:val="16"/>
    </w:rPr>
  </w:style>
  <w:style w:type="character" w:customStyle="1" w:styleId="BalloonTextChar">
    <w:name w:val="Balloon Text Char"/>
    <w:link w:val="BalloonText"/>
    <w:rsid w:val="0047725F"/>
    <w:rPr>
      <w:rFonts w:ascii="Tahoma" w:hAnsi="Tahoma" w:cs="Tahoma"/>
      <w:sz w:val="16"/>
      <w:szCs w:val="16"/>
    </w:rPr>
  </w:style>
  <w:style w:type="character" w:customStyle="1" w:styleId="fnChar1">
    <w:name w:val="fn Char1"/>
    <w:aliases w:val="Footnote Text Char1 Char3,Footnote Text Char Char Char2,Footnote Text Char1 Char Char2,Footnote Text Char Char Char Char1,Footnote Text MRP Char1,Footnote Text Char1 Char Char Char1,Footnote Text Char1 Char1 Char1"/>
    <w:uiPriority w:val="99"/>
    <w:rsid w:val="00707C6B"/>
    <w:rPr>
      <w:sz w:val="26"/>
      <w:lang w:val="en-US" w:eastAsia="en-US" w:bidi="ar-SA"/>
    </w:rPr>
  </w:style>
  <w:style w:type="paragraph" w:customStyle="1" w:styleId="LegalFormat">
    <w:name w:val="Legal Format"/>
    <w:basedOn w:val="ListContinue"/>
    <w:rsid w:val="00AF14AF"/>
    <w:pPr>
      <w:widowControl/>
      <w:tabs>
        <w:tab w:val="num" w:pos="360"/>
      </w:tabs>
      <w:autoSpaceDE/>
      <w:autoSpaceDN/>
      <w:adjustRightInd/>
      <w:spacing w:after="240"/>
      <w:ind w:left="720" w:hanging="360"/>
      <w:contextualSpacing w:val="0"/>
    </w:pPr>
    <w:rPr>
      <w:sz w:val="26"/>
      <w:szCs w:val="26"/>
    </w:rPr>
  </w:style>
  <w:style w:type="paragraph" w:styleId="ListContinue">
    <w:name w:val="List Continue"/>
    <w:basedOn w:val="Normal"/>
    <w:rsid w:val="00AF14AF"/>
    <w:pPr>
      <w:spacing w:after="120"/>
      <w:ind w:left="360"/>
      <w:contextualSpacing/>
    </w:pPr>
  </w:style>
  <w:style w:type="character" w:customStyle="1" w:styleId="FooterChar">
    <w:name w:val="Footer Char"/>
    <w:link w:val="Footer"/>
    <w:uiPriority w:val="99"/>
    <w:rsid w:val="00756ED2"/>
    <w:rPr>
      <w:sz w:val="24"/>
      <w:szCs w:val="24"/>
    </w:rPr>
  </w:style>
  <w:style w:type="character" w:customStyle="1" w:styleId="HeaderChar">
    <w:name w:val="Header Char"/>
    <w:basedOn w:val="DefaultParagraphFont"/>
    <w:link w:val="Header"/>
    <w:uiPriority w:val="99"/>
    <w:rsid w:val="00F93E43"/>
    <w:rPr>
      <w:sz w:val="24"/>
      <w:szCs w:val="24"/>
    </w:rPr>
  </w:style>
  <w:style w:type="character" w:styleId="PlaceholderText">
    <w:name w:val="Placeholder Text"/>
    <w:basedOn w:val="DefaultParagraphFont"/>
    <w:uiPriority w:val="99"/>
    <w:semiHidden/>
    <w:rsid w:val="006E120D"/>
    <w:rPr>
      <w:color w:val="808080"/>
    </w:rPr>
  </w:style>
  <w:style w:type="character" w:styleId="CommentReference">
    <w:name w:val="annotation reference"/>
    <w:basedOn w:val="DefaultParagraphFont"/>
    <w:rsid w:val="007D36FD"/>
    <w:rPr>
      <w:sz w:val="16"/>
      <w:szCs w:val="16"/>
    </w:rPr>
  </w:style>
  <w:style w:type="paragraph" w:styleId="CommentText">
    <w:name w:val="annotation text"/>
    <w:basedOn w:val="Normal"/>
    <w:link w:val="CommentTextChar"/>
    <w:rsid w:val="007D36FD"/>
    <w:rPr>
      <w:sz w:val="20"/>
      <w:szCs w:val="20"/>
    </w:rPr>
  </w:style>
  <w:style w:type="character" w:customStyle="1" w:styleId="CommentTextChar">
    <w:name w:val="Comment Text Char"/>
    <w:basedOn w:val="DefaultParagraphFont"/>
    <w:link w:val="CommentText"/>
    <w:rsid w:val="007D36FD"/>
  </w:style>
  <w:style w:type="paragraph" w:styleId="CommentSubject">
    <w:name w:val="annotation subject"/>
    <w:basedOn w:val="CommentText"/>
    <w:next w:val="CommentText"/>
    <w:link w:val="CommentSubjectChar"/>
    <w:rsid w:val="007D36FD"/>
    <w:rPr>
      <w:b/>
      <w:bCs/>
    </w:rPr>
  </w:style>
  <w:style w:type="character" w:customStyle="1" w:styleId="CommentSubjectChar">
    <w:name w:val="Comment Subject Char"/>
    <w:basedOn w:val="CommentTextChar"/>
    <w:link w:val="CommentSubject"/>
    <w:rsid w:val="007D36FD"/>
    <w:rPr>
      <w:b/>
      <w:bCs/>
    </w:rPr>
  </w:style>
  <w:style w:type="paragraph" w:styleId="EndnoteText">
    <w:name w:val="endnote text"/>
    <w:basedOn w:val="Normal"/>
    <w:link w:val="EndnoteTextChar"/>
    <w:rsid w:val="00A83E59"/>
    <w:rPr>
      <w:sz w:val="20"/>
      <w:szCs w:val="20"/>
    </w:rPr>
  </w:style>
  <w:style w:type="character" w:customStyle="1" w:styleId="EndnoteTextChar">
    <w:name w:val="Endnote Text Char"/>
    <w:basedOn w:val="DefaultParagraphFont"/>
    <w:link w:val="EndnoteText"/>
    <w:rsid w:val="00A83E59"/>
  </w:style>
  <w:style w:type="character" w:styleId="EndnoteReference">
    <w:name w:val="endnote reference"/>
    <w:basedOn w:val="DefaultParagraphFont"/>
    <w:rsid w:val="00A83E59"/>
    <w:rPr>
      <w:vertAlign w:val="superscript"/>
    </w:rPr>
  </w:style>
  <w:style w:type="paragraph" w:styleId="ListParagraph">
    <w:name w:val="List Paragraph"/>
    <w:basedOn w:val="Normal"/>
    <w:uiPriority w:val="34"/>
    <w:qFormat/>
    <w:rsid w:val="000F4891"/>
    <w:pPr>
      <w:ind w:left="720"/>
      <w:contextualSpacing/>
    </w:pPr>
  </w:style>
  <w:style w:type="character" w:customStyle="1" w:styleId="StyleFootnoteReference">
    <w:name w:val="Style Footnote Reference"/>
    <w:basedOn w:val="FootnoteReference"/>
    <w:rsid w:val="008C06EA"/>
    <w:rPr>
      <w:rFonts w:ascii="Times New Roman" w:hAnsi="Times New Roman"/>
      <w:b/>
      <w:caps w:val="0"/>
      <w:smallCaps w:val="0"/>
      <w:strike w:val="0"/>
      <w:dstrike w:val="0"/>
      <w:vanish w:val="0"/>
      <w:sz w:val="26"/>
      <w:u w:val="none"/>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List Number 5"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7FE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o1,fr1,o2,fr2,o3,fr3,Style 13,Style 12,Style 15,Style 17,Style 9,Style 18,(NECG) Footnote Reference,Style 20,Style 7,Styl,Style 8,Style 19,Style 28,Style 11,Style 16"/>
    <w:uiPriority w:val="99"/>
  </w:style>
  <w:style w:type="character" w:customStyle="1" w:styleId="Hypertext">
    <w:name w:val="Hypertext"/>
    <w:rPr>
      <w:color w:val="0000FF"/>
      <w:u w:val="single"/>
    </w:rPr>
  </w:style>
  <w:style w:type="character" w:styleId="Hyperlink">
    <w:name w:val="Hyperlink"/>
    <w:rsid w:val="00F60AC7"/>
    <w:rPr>
      <w:color w:val="0000FF"/>
      <w:u w:val="single"/>
    </w:rPr>
  </w:style>
  <w:style w:type="paragraph" w:styleId="Header">
    <w:name w:val="header"/>
    <w:basedOn w:val="Normal"/>
    <w:link w:val="HeaderChar"/>
    <w:uiPriority w:val="99"/>
    <w:rsid w:val="00FF1742"/>
    <w:pPr>
      <w:tabs>
        <w:tab w:val="center" w:pos="4320"/>
        <w:tab w:val="right" w:pos="8640"/>
      </w:tabs>
    </w:pPr>
  </w:style>
  <w:style w:type="paragraph" w:styleId="Footer">
    <w:name w:val="footer"/>
    <w:basedOn w:val="Normal"/>
    <w:link w:val="FooterChar"/>
    <w:uiPriority w:val="99"/>
    <w:rsid w:val="00FF1742"/>
    <w:pPr>
      <w:tabs>
        <w:tab w:val="center" w:pos="4320"/>
        <w:tab w:val="right" w:pos="8640"/>
      </w:tabs>
    </w:pPr>
  </w:style>
  <w:style w:type="character" w:styleId="FollowedHyperlink">
    <w:name w:val="FollowedHyperlink"/>
    <w:rsid w:val="005E60DB"/>
    <w:rPr>
      <w:color w:val="800080"/>
      <w:u w:val="single"/>
    </w:rPr>
  </w:style>
  <w:style w:type="character" w:styleId="PageNumber">
    <w:name w:val="page number"/>
    <w:basedOn w:val="DefaultParagraphFont"/>
    <w:rsid w:val="008407E9"/>
  </w:style>
  <w:style w:type="paragraph" w:customStyle="1" w:styleId="FERCparanumber">
    <w:name w:val="FERC paranumber"/>
    <w:basedOn w:val="Normal"/>
    <w:link w:val="FERCparanumberChar1"/>
    <w:rsid w:val="00A64455"/>
    <w:pPr>
      <w:widowControl/>
      <w:numPr>
        <w:numId w:val="1"/>
      </w:numPr>
      <w:spacing w:line="480" w:lineRule="auto"/>
    </w:pPr>
    <w:rPr>
      <w:sz w:val="26"/>
    </w:rPr>
  </w:style>
  <w:style w:type="character" w:customStyle="1" w:styleId="FERCparanumberChar1">
    <w:name w:val="FERC paranumber Char1"/>
    <w:link w:val="FERCparanumber"/>
    <w:rsid w:val="00A64455"/>
    <w:rPr>
      <w:sz w:val="26"/>
      <w:szCs w:val="24"/>
      <w:lang w:val="en-US" w:eastAsia="en-US" w:bidi="ar-SA"/>
    </w:rPr>
  </w:style>
  <w:style w:type="paragraph" w:customStyle="1" w:styleId="Default">
    <w:name w:val="Default"/>
    <w:rsid w:val="004D14DA"/>
    <w:pPr>
      <w:autoSpaceDE w:val="0"/>
      <w:autoSpaceDN w:val="0"/>
      <w:adjustRightInd w:val="0"/>
    </w:pPr>
    <w:rPr>
      <w:color w:val="000000"/>
      <w:sz w:val="24"/>
      <w:szCs w:val="24"/>
    </w:rPr>
  </w:style>
  <w:style w:type="table" w:styleId="TableGrid">
    <w:name w:val="Table Grid"/>
    <w:basedOn w:val="TableNormal"/>
    <w:rsid w:val="00F514F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fn,Footnote Text Char1,Footnote Text Char Char,Footnote Text Char1 Char,Footnote Text Char Char Char,Footnote Text MRP,Footnote Text Char1 Char Char,Footnote Text Char1 Char1,Footnote Text Char3,Footnote Text Char2 Char"/>
    <w:basedOn w:val="Normal"/>
    <w:link w:val="FootnoteTextChar2"/>
    <w:rsid w:val="00646DDF"/>
    <w:rPr>
      <w:sz w:val="20"/>
      <w:szCs w:val="20"/>
    </w:rPr>
  </w:style>
  <w:style w:type="paragraph" w:styleId="ListNumber5">
    <w:name w:val="List Number 5"/>
    <w:basedOn w:val="Normal"/>
    <w:uiPriority w:val="99"/>
    <w:rsid w:val="003109C5"/>
    <w:pPr>
      <w:tabs>
        <w:tab w:val="num" w:pos="1800"/>
      </w:tabs>
      <w:ind w:left="1800" w:hanging="360"/>
    </w:pPr>
    <w:rPr>
      <w:sz w:val="26"/>
    </w:rPr>
  </w:style>
  <w:style w:type="character" w:customStyle="1" w:styleId="FootnoteTextChar2">
    <w:name w:val="Footnote Text Char2"/>
    <w:aliases w:val="Footnote Text Char Char1,fn Char,Footnote Text Char1 Char2,Footnote Text Char Char Char1,Footnote Text Char1 Char Char1,Footnote Text Char Char Char Char,Footnote Text MRP Char,Footnote Text Char1 Char Char Char"/>
    <w:link w:val="FootnoteText"/>
    <w:locked/>
    <w:rsid w:val="003109C5"/>
  </w:style>
  <w:style w:type="paragraph" w:styleId="BalloonText">
    <w:name w:val="Balloon Text"/>
    <w:basedOn w:val="Normal"/>
    <w:link w:val="BalloonTextChar"/>
    <w:rsid w:val="0047725F"/>
    <w:rPr>
      <w:rFonts w:ascii="Tahoma" w:hAnsi="Tahoma" w:cs="Tahoma"/>
      <w:sz w:val="16"/>
      <w:szCs w:val="16"/>
    </w:rPr>
  </w:style>
  <w:style w:type="character" w:customStyle="1" w:styleId="BalloonTextChar">
    <w:name w:val="Balloon Text Char"/>
    <w:link w:val="BalloonText"/>
    <w:rsid w:val="0047725F"/>
    <w:rPr>
      <w:rFonts w:ascii="Tahoma" w:hAnsi="Tahoma" w:cs="Tahoma"/>
      <w:sz w:val="16"/>
      <w:szCs w:val="16"/>
    </w:rPr>
  </w:style>
  <w:style w:type="character" w:customStyle="1" w:styleId="fnChar1">
    <w:name w:val="fn Char1"/>
    <w:aliases w:val="Footnote Text Char1 Char3,Footnote Text Char Char Char2,Footnote Text Char1 Char Char2,Footnote Text Char Char Char Char1,Footnote Text MRP Char1,Footnote Text Char1 Char Char Char1,Footnote Text Char1 Char1 Char1"/>
    <w:uiPriority w:val="99"/>
    <w:rsid w:val="00707C6B"/>
    <w:rPr>
      <w:sz w:val="26"/>
      <w:lang w:val="en-US" w:eastAsia="en-US" w:bidi="ar-SA"/>
    </w:rPr>
  </w:style>
  <w:style w:type="paragraph" w:customStyle="1" w:styleId="LegalFormat">
    <w:name w:val="Legal Format"/>
    <w:basedOn w:val="ListContinue"/>
    <w:rsid w:val="00AF14AF"/>
    <w:pPr>
      <w:widowControl/>
      <w:tabs>
        <w:tab w:val="num" w:pos="360"/>
      </w:tabs>
      <w:autoSpaceDE/>
      <w:autoSpaceDN/>
      <w:adjustRightInd/>
      <w:spacing w:after="240"/>
      <w:ind w:left="720" w:hanging="360"/>
      <w:contextualSpacing w:val="0"/>
    </w:pPr>
    <w:rPr>
      <w:sz w:val="26"/>
      <w:szCs w:val="26"/>
    </w:rPr>
  </w:style>
  <w:style w:type="paragraph" w:styleId="ListContinue">
    <w:name w:val="List Continue"/>
    <w:basedOn w:val="Normal"/>
    <w:rsid w:val="00AF14AF"/>
    <w:pPr>
      <w:spacing w:after="120"/>
      <w:ind w:left="360"/>
      <w:contextualSpacing/>
    </w:pPr>
  </w:style>
  <w:style w:type="character" w:customStyle="1" w:styleId="FooterChar">
    <w:name w:val="Footer Char"/>
    <w:link w:val="Footer"/>
    <w:uiPriority w:val="99"/>
    <w:rsid w:val="00756ED2"/>
    <w:rPr>
      <w:sz w:val="24"/>
      <w:szCs w:val="24"/>
    </w:rPr>
  </w:style>
  <w:style w:type="character" w:customStyle="1" w:styleId="HeaderChar">
    <w:name w:val="Header Char"/>
    <w:basedOn w:val="DefaultParagraphFont"/>
    <w:link w:val="Header"/>
    <w:uiPriority w:val="99"/>
    <w:rsid w:val="00F93E43"/>
    <w:rPr>
      <w:sz w:val="24"/>
      <w:szCs w:val="24"/>
    </w:rPr>
  </w:style>
  <w:style w:type="character" w:styleId="PlaceholderText">
    <w:name w:val="Placeholder Text"/>
    <w:basedOn w:val="DefaultParagraphFont"/>
    <w:uiPriority w:val="99"/>
    <w:semiHidden/>
    <w:rsid w:val="006E120D"/>
    <w:rPr>
      <w:color w:val="808080"/>
    </w:rPr>
  </w:style>
  <w:style w:type="character" w:styleId="CommentReference">
    <w:name w:val="annotation reference"/>
    <w:basedOn w:val="DefaultParagraphFont"/>
    <w:rsid w:val="007D36FD"/>
    <w:rPr>
      <w:sz w:val="16"/>
      <w:szCs w:val="16"/>
    </w:rPr>
  </w:style>
  <w:style w:type="paragraph" w:styleId="CommentText">
    <w:name w:val="annotation text"/>
    <w:basedOn w:val="Normal"/>
    <w:link w:val="CommentTextChar"/>
    <w:rsid w:val="007D36FD"/>
    <w:rPr>
      <w:sz w:val="20"/>
      <w:szCs w:val="20"/>
    </w:rPr>
  </w:style>
  <w:style w:type="character" w:customStyle="1" w:styleId="CommentTextChar">
    <w:name w:val="Comment Text Char"/>
    <w:basedOn w:val="DefaultParagraphFont"/>
    <w:link w:val="CommentText"/>
    <w:rsid w:val="007D36FD"/>
  </w:style>
  <w:style w:type="paragraph" w:styleId="CommentSubject">
    <w:name w:val="annotation subject"/>
    <w:basedOn w:val="CommentText"/>
    <w:next w:val="CommentText"/>
    <w:link w:val="CommentSubjectChar"/>
    <w:rsid w:val="007D36FD"/>
    <w:rPr>
      <w:b/>
      <w:bCs/>
    </w:rPr>
  </w:style>
  <w:style w:type="character" w:customStyle="1" w:styleId="CommentSubjectChar">
    <w:name w:val="Comment Subject Char"/>
    <w:basedOn w:val="CommentTextChar"/>
    <w:link w:val="CommentSubject"/>
    <w:rsid w:val="007D36FD"/>
    <w:rPr>
      <w:b/>
      <w:bCs/>
    </w:rPr>
  </w:style>
  <w:style w:type="paragraph" w:styleId="EndnoteText">
    <w:name w:val="endnote text"/>
    <w:basedOn w:val="Normal"/>
    <w:link w:val="EndnoteTextChar"/>
    <w:rsid w:val="00A83E59"/>
    <w:rPr>
      <w:sz w:val="20"/>
      <w:szCs w:val="20"/>
    </w:rPr>
  </w:style>
  <w:style w:type="character" w:customStyle="1" w:styleId="EndnoteTextChar">
    <w:name w:val="Endnote Text Char"/>
    <w:basedOn w:val="DefaultParagraphFont"/>
    <w:link w:val="EndnoteText"/>
    <w:rsid w:val="00A83E59"/>
  </w:style>
  <w:style w:type="character" w:styleId="EndnoteReference">
    <w:name w:val="endnote reference"/>
    <w:basedOn w:val="DefaultParagraphFont"/>
    <w:rsid w:val="00A83E59"/>
    <w:rPr>
      <w:vertAlign w:val="superscript"/>
    </w:rPr>
  </w:style>
  <w:style w:type="paragraph" w:styleId="ListParagraph">
    <w:name w:val="List Paragraph"/>
    <w:basedOn w:val="Normal"/>
    <w:uiPriority w:val="34"/>
    <w:qFormat/>
    <w:rsid w:val="000F4891"/>
    <w:pPr>
      <w:ind w:left="720"/>
      <w:contextualSpacing/>
    </w:pPr>
  </w:style>
  <w:style w:type="character" w:customStyle="1" w:styleId="StyleFootnoteReference">
    <w:name w:val="Style Footnote Reference"/>
    <w:basedOn w:val="FootnoteReference"/>
    <w:rsid w:val="008C06EA"/>
    <w:rPr>
      <w:rFonts w:ascii="Times New Roman" w:hAnsi="Times New Roman"/>
      <w:b/>
      <w:caps w:val="0"/>
      <w:smallCaps w:val="0"/>
      <w:strike w:val="0"/>
      <w:dstrike w:val="0"/>
      <w:vanish w:val="0"/>
      <w:sz w:val="26"/>
      <w:u w:val="none"/>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707677">
      <w:bodyDiv w:val="1"/>
      <w:marLeft w:val="0"/>
      <w:marRight w:val="0"/>
      <w:marTop w:val="0"/>
      <w:marBottom w:val="0"/>
      <w:divBdr>
        <w:top w:val="none" w:sz="0" w:space="0" w:color="auto"/>
        <w:left w:val="none" w:sz="0" w:space="0" w:color="auto"/>
        <w:bottom w:val="none" w:sz="0" w:space="0" w:color="auto"/>
        <w:right w:val="none" w:sz="0" w:space="0" w:color="auto"/>
      </w:divBdr>
    </w:div>
    <w:div w:id="173095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help/submission-guide.asp" TargetMode="External"/><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ferc.gov/docs-filing/efiling.as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bls.gov/oes/current/naics3_221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90B93-A163-461A-9BF2-30EBA5AD4546}">
  <ds:schemaRefs>
    <ds:schemaRef ds:uri="http://schemas.microsoft.com/sharepoint/v3/contenttype/forms"/>
  </ds:schemaRefs>
</ds:datastoreItem>
</file>

<file path=customXml/itemProps2.xml><?xml version="1.0" encoding="utf-8"?>
<ds:datastoreItem xmlns:ds="http://schemas.openxmlformats.org/officeDocument/2006/customXml" ds:itemID="{D20E145C-9620-4979-8F51-4D51D0D1967C}">
  <ds:schemaRefs>
    <ds:schemaRef ds:uri="http://schemas.microsoft.com/office/2006/documentManagement/types"/>
    <ds:schemaRef ds:uri="http://purl.org/dc/terms/"/>
    <ds:schemaRef ds:uri="http://www.w3.org/XML/1998/namespace"/>
    <ds:schemaRef ds:uri="http://schemas.microsoft.com/office/2006/metadata/properties"/>
    <ds:schemaRef ds:uri="http://purl.org/dc/dcmitype/"/>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07438DC2-53EA-4C83-A792-A0C68DA5C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3CAB665-E2B3-46B3-B473-82D7D845AE5D}">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otalTime>0</ap:TotalTime>
  <ap:Pages>7</ap:Pages>
  <ap:Words>867</ap:Words>
  <ap:Characters>5543</ap:Characters>
  <ap:Application>Microsoft Office Word</ap:Application>
  <ap:DocSecurity>0</ap:DocSecurity>
  <ap:Lines>46</ap:Lines>
  <ap:Paragraphs>12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6398</ap:CharactersWithSpaces>
  <ap:SharedDoc>false</ap:SharedDoc>
  <ap:HLinks>
    <vt:vector baseType="variant" size="6">
      <vt:variant>
        <vt:i4>5308487</vt:i4>
      </vt:variant>
      <vt:variant>
        <vt:i4>0</vt:i4>
      </vt:variant>
      <vt:variant>
        <vt:i4>0</vt:i4>
      </vt:variant>
      <vt:variant>
        <vt:i4>5</vt:i4>
      </vt:variant>
      <vt:variant>
        <vt:lpwstr>http://www.ferc.gov/</vt:lpwstr>
      </vt:variant>
      <vt:variant>
        <vt:lpwstr/>
      </vt:variant>
    </vt:vector>
  </ap:HLinks>
  <ap:HyperlinksChanged>false</ap:HyperlinksChanged>
  <ap:AppVersion>14.0000</ap:AppVersion>
  <ap:Manager/>
  <ap:Company/>
  <ap:HyperlinkBase/>
  <ap:Templ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2015-05-21T16:26:00.0000000Z</dcterms:created>
  <dcterms:modified xsi:type="dcterms:W3CDTF">2015-05-21T16:49:00.0000000Z</dcterms:modified>
  <dc:identifier/>
  <version/>
  <category/>
  <contentStatus/>
  <dc:description/>
  <keywords/>
  <dc:subject/>
</coreProperties>
</file>

<file path=docProps/custom.xml><?xml version="1.0" encoding="utf-8"?>
<op:Properties xmlns:vt="http://schemas.openxmlformats.org/officeDocument/2006/docPropsVTypes" xmlns:op="http://schemas.openxmlformats.org/officeDocument/2006/custom-properties"/>
</file>