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rsidR="00A96B65" w:rsidRDefault="00E864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w:t>
      </w:r>
      <w:r w:rsidR="009F3297">
        <w:rPr>
          <w:rFonts w:ascii="Times New Roman" w:hAnsi="Times New Roman" w:cs="Times New Roman"/>
          <w:b/>
          <w:sz w:val="24"/>
          <w:szCs w:val="24"/>
        </w:rPr>
        <w:t>P</w:t>
      </w:r>
      <w:r w:rsidR="00570861">
        <w:rPr>
          <w:rFonts w:ascii="Times New Roman" w:hAnsi="Times New Roman" w:cs="Times New Roman"/>
          <w:b/>
          <w:sz w:val="24"/>
          <w:szCs w:val="24"/>
        </w:rPr>
        <w:t>, Mandatory Reliability Sta</w:t>
      </w:r>
      <w:r w:rsidR="00BD7446">
        <w:rPr>
          <w:rFonts w:ascii="Times New Roman" w:hAnsi="Times New Roman" w:cs="Times New Roman"/>
          <w:b/>
          <w:sz w:val="24"/>
          <w:szCs w:val="24"/>
        </w:rPr>
        <w:t xml:space="preserve">ndards for </w:t>
      </w:r>
      <w:r w:rsidR="009F3297">
        <w:rPr>
          <w:rFonts w:ascii="Times New Roman" w:hAnsi="Times New Roman" w:cs="Times New Roman"/>
          <w:b/>
          <w:sz w:val="24"/>
          <w:szCs w:val="24"/>
        </w:rPr>
        <w:t>PRC-005-3</w:t>
      </w:r>
    </w:p>
    <w:p w:rsidR="003B3B61" w:rsidRDefault="003B3B61" w:rsidP="003B3B61">
      <w:pPr>
        <w:spacing w:after="0"/>
        <w:jc w:val="center"/>
        <w:rPr>
          <w:rFonts w:ascii="Times New Roman" w:hAnsi="Times New Roman" w:cs="Times New Roman"/>
          <w:sz w:val="24"/>
          <w:szCs w:val="24"/>
        </w:rPr>
      </w:pPr>
      <w:r>
        <w:rPr>
          <w:rFonts w:ascii="Times New Roman" w:hAnsi="Times New Roman" w:cs="Times New Roman"/>
          <w:sz w:val="24"/>
          <w:szCs w:val="24"/>
        </w:rPr>
        <w:t xml:space="preserve">for the </w:t>
      </w:r>
      <w:r w:rsidR="009F3297">
        <w:rPr>
          <w:rFonts w:ascii="Times New Roman" w:hAnsi="Times New Roman" w:cs="Times New Roman"/>
          <w:sz w:val="24"/>
          <w:szCs w:val="24"/>
        </w:rPr>
        <w:t>Final Rule</w:t>
      </w:r>
      <w:r w:rsidR="0002567F" w:rsidRPr="00CE2CDA">
        <w:rPr>
          <w:rFonts w:ascii="Times New Roman" w:hAnsi="Times New Roman" w:cs="Times New Roman"/>
          <w:sz w:val="24"/>
          <w:szCs w:val="24"/>
        </w:rPr>
        <w:t xml:space="preserve"> </w:t>
      </w:r>
      <w:r w:rsidR="00570861" w:rsidRPr="009430EF">
        <w:rPr>
          <w:rFonts w:ascii="Times New Roman" w:hAnsi="Times New Roman" w:cs="Times New Roman"/>
          <w:sz w:val="24"/>
          <w:szCs w:val="24"/>
        </w:rPr>
        <w:t>in</w:t>
      </w:r>
      <w:r w:rsidR="00BD7446">
        <w:rPr>
          <w:rFonts w:ascii="Times New Roman" w:hAnsi="Times New Roman" w:cs="Times New Roman"/>
          <w:sz w:val="24"/>
          <w:szCs w:val="24"/>
        </w:rPr>
        <w:t xml:space="preserve"> Docket Number RM14-</w:t>
      </w:r>
      <w:r w:rsidR="009F3297">
        <w:rPr>
          <w:rFonts w:ascii="Times New Roman" w:hAnsi="Times New Roman" w:cs="Times New Roman"/>
          <w:sz w:val="24"/>
          <w:szCs w:val="24"/>
        </w:rPr>
        <w:t>8</w:t>
      </w:r>
      <w:r w:rsidR="00570861">
        <w:rPr>
          <w:rFonts w:ascii="Times New Roman" w:hAnsi="Times New Roman" w:cs="Times New Roman"/>
          <w:sz w:val="24"/>
          <w:szCs w:val="24"/>
        </w:rPr>
        <w:t>-000</w:t>
      </w:r>
      <w:r w:rsidR="00BD7446">
        <w:rPr>
          <w:rFonts w:ascii="Times New Roman" w:hAnsi="Times New Roman" w:cs="Times New Roman"/>
          <w:sz w:val="24"/>
          <w:szCs w:val="24"/>
        </w:rPr>
        <w:t xml:space="preserve"> (issued on 1/2</w:t>
      </w:r>
      <w:r w:rsidR="009F3297">
        <w:rPr>
          <w:rFonts w:ascii="Times New Roman" w:hAnsi="Times New Roman" w:cs="Times New Roman"/>
          <w:sz w:val="24"/>
          <w:szCs w:val="24"/>
        </w:rPr>
        <w:t>2</w:t>
      </w:r>
      <w:r>
        <w:rPr>
          <w:rFonts w:ascii="Times New Roman" w:hAnsi="Times New Roman" w:cs="Times New Roman"/>
          <w:sz w:val="24"/>
          <w:szCs w:val="24"/>
        </w:rPr>
        <w:t>/2014)</w:t>
      </w:r>
    </w:p>
    <w:p w:rsidR="00FD66F1" w:rsidRDefault="00FD66F1" w:rsidP="00F8440A">
      <w:pPr>
        <w:spacing w:after="0"/>
        <w:rPr>
          <w:rFonts w:ascii="Times New Roman" w:hAnsi="Times New Roman" w:cs="Times New Roman"/>
          <w:sz w:val="24"/>
          <w:szCs w:val="24"/>
        </w:rPr>
      </w:pPr>
    </w:p>
    <w:p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D7446">
        <w:rPr>
          <w:rFonts w:ascii="Times New Roman" w:hAnsi="Times New Roman" w:cs="Times New Roman"/>
          <w:sz w:val="24"/>
          <w:szCs w:val="24"/>
        </w:rPr>
        <w:t>FERC-725</w:t>
      </w:r>
      <w:r w:rsidR="009F3297">
        <w:rPr>
          <w:rFonts w:ascii="Times New Roman" w:hAnsi="Times New Roman" w:cs="Times New Roman"/>
          <w:sz w:val="24"/>
          <w:szCs w:val="24"/>
        </w:rPr>
        <w:t>P</w:t>
      </w:r>
      <w:r w:rsidR="00570861">
        <w:rPr>
          <w:rFonts w:ascii="Times New Roman" w:hAnsi="Times New Roman" w:cs="Times New Roman"/>
          <w:sz w:val="24"/>
          <w:szCs w:val="24"/>
        </w:rPr>
        <w:t xml:space="preserve"> (Mandatory Reliability Standard</w:t>
      </w:r>
      <w:r w:rsidR="008D6E39">
        <w:rPr>
          <w:rFonts w:ascii="Times New Roman" w:hAnsi="Times New Roman" w:cs="Times New Roman"/>
          <w:sz w:val="24"/>
          <w:szCs w:val="24"/>
        </w:rPr>
        <w:t xml:space="preserve">s for the Bulk-Power System: </w:t>
      </w:r>
      <w:r w:rsidR="009F3297">
        <w:rPr>
          <w:rFonts w:ascii="Times New Roman" w:hAnsi="Times New Roman" w:cs="Times New Roman"/>
          <w:sz w:val="24"/>
          <w:szCs w:val="24"/>
        </w:rPr>
        <w:t>PRC</w:t>
      </w:r>
      <w:r w:rsidR="008D6E39" w:rsidRPr="005F0306">
        <w:rPr>
          <w:rStyle w:val="FootnoteReference"/>
          <w:rFonts w:ascii="Times New Roman" w:hAnsi="Times New Roman" w:cs="Times New Roman"/>
          <w:sz w:val="24"/>
          <w:szCs w:val="24"/>
          <w:vertAlign w:val="superscript"/>
        </w:rPr>
        <w:footnoteReference w:id="1"/>
      </w:r>
      <w:r w:rsidR="008D6E39">
        <w:rPr>
          <w:rFonts w:ascii="Times New Roman" w:hAnsi="Times New Roman" w:cs="Times New Roman"/>
          <w:sz w:val="24"/>
          <w:szCs w:val="24"/>
        </w:rPr>
        <w:t xml:space="preserve"> </w:t>
      </w:r>
      <w:r w:rsidR="00570861">
        <w:rPr>
          <w:rFonts w:ascii="Times New Roman" w:hAnsi="Times New Roman" w:cs="Times New Roman"/>
          <w:sz w:val="24"/>
          <w:szCs w:val="24"/>
        </w:rPr>
        <w:t>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w:t>
      </w:r>
      <w:r w:rsidR="00F55699">
        <w:rPr>
          <w:rFonts w:ascii="Times New Roman" w:hAnsi="Times New Roman" w:cs="Times New Roman"/>
          <w:sz w:val="24"/>
          <w:szCs w:val="24"/>
        </w:rPr>
        <w:t xml:space="preserve">referenced in </w:t>
      </w:r>
      <w:r w:rsidR="00570861">
        <w:rPr>
          <w:rFonts w:ascii="Times New Roman" w:hAnsi="Times New Roman" w:cs="Times New Roman"/>
          <w:sz w:val="24"/>
          <w:szCs w:val="24"/>
        </w:rPr>
        <w:t>the Commission’s regulations at 18 Code of Federal Regulations (CFR) Part 40.</w:t>
      </w:r>
    </w:p>
    <w:p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rsidR="00535D48" w:rsidRDefault="00657A47" w:rsidP="00F8440A">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AB791E">
        <w:rPr>
          <w:rFonts w:ascii="Times New Roman" w:hAnsi="Times New Roman" w:cs="Times New Roman"/>
          <w:sz w:val="24"/>
          <w:szCs w:val="24"/>
        </w:rPr>
        <w:t>Final Rule</w:t>
      </w:r>
      <w:r w:rsidR="00F8440A"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00BD7446" w:rsidRPr="00BD7446">
        <w:rPr>
          <w:rFonts w:ascii="Times New Roman" w:hAnsi="Times New Roman" w:cs="Times New Roman"/>
          <w:sz w:val="24"/>
          <w:szCs w:val="24"/>
        </w:rPr>
        <w:t>approve</w:t>
      </w:r>
      <w:r w:rsidR="00AB791E">
        <w:rPr>
          <w:rFonts w:ascii="Times New Roman" w:hAnsi="Times New Roman" w:cs="Times New Roman"/>
          <w:sz w:val="24"/>
          <w:szCs w:val="24"/>
        </w:rPr>
        <w:t>s</w:t>
      </w:r>
      <w:r w:rsidR="00BD7446" w:rsidRPr="00BD7446">
        <w:rPr>
          <w:rFonts w:ascii="Times New Roman" w:hAnsi="Times New Roman" w:cs="Times New Roman"/>
          <w:sz w:val="24"/>
          <w:szCs w:val="24"/>
        </w:rPr>
        <w:t xml:space="preserve"> </w:t>
      </w:r>
      <w:r w:rsidR="00047471">
        <w:rPr>
          <w:rFonts w:ascii="Times New Roman" w:hAnsi="Times New Roman" w:cs="Times New Roman"/>
          <w:sz w:val="24"/>
          <w:szCs w:val="24"/>
        </w:rPr>
        <w:t>a revised</w:t>
      </w:r>
      <w:r w:rsidR="00BD7446" w:rsidRPr="00BD7446">
        <w:rPr>
          <w:rFonts w:ascii="Times New Roman" w:hAnsi="Times New Roman" w:cs="Times New Roman"/>
          <w:sz w:val="24"/>
          <w:szCs w:val="24"/>
        </w:rPr>
        <w:t xml:space="preserve"> Reliability Standard</w:t>
      </w:r>
      <w:r w:rsidR="00047471">
        <w:rPr>
          <w:rFonts w:ascii="Times New Roman" w:hAnsi="Times New Roman" w:cs="Times New Roman"/>
          <w:sz w:val="24"/>
          <w:szCs w:val="24"/>
        </w:rPr>
        <w:t xml:space="preserve"> PRC-005-3</w:t>
      </w:r>
      <w:r w:rsidR="00047471" w:rsidRPr="008E62C3">
        <w:rPr>
          <w:rStyle w:val="FootnoteReference"/>
          <w:rFonts w:ascii="Times New Roman" w:hAnsi="Times New Roman" w:cs="Times New Roman"/>
          <w:sz w:val="24"/>
          <w:szCs w:val="24"/>
          <w:vertAlign w:val="superscript"/>
        </w:rPr>
        <w:footnoteReference w:id="2"/>
      </w:r>
      <w:r w:rsidR="00047471">
        <w:rPr>
          <w:rFonts w:ascii="Times New Roman" w:hAnsi="Times New Roman" w:cs="Times New Roman"/>
          <w:sz w:val="24"/>
          <w:szCs w:val="24"/>
        </w:rPr>
        <w:t xml:space="preserve">.  </w:t>
      </w:r>
      <w:r w:rsidR="008E62C3">
        <w:rPr>
          <w:rFonts w:ascii="Times New Roman" w:hAnsi="Times New Roman" w:cs="Times New Roman"/>
          <w:sz w:val="24"/>
          <w:szCs w:val="24"/>
        </w:rPr>
        <w:t>Consistent with Commission Order No. 758, the Reliability Standard requires applicable entities to test and maintain certain auto</w:t>
      </w:r>
      <w:r w:rsidR="00461AD2">
        <w:rPr>
          <w:rFonts w:ascii="Times New Roman" w:hAnsi="Times New Roman" w:cs="Times New Roman"/>
          <w:sz w:val="24"/>
          <w:szCs w:val="24"/>
        </w:rPr>
        <w:t>-</w:t>
      </w:r>
      <w:r w:rsidR="008E62C3">
        <w:rPr>
          <w:rFonts w:ascii="Times New Roman" w:hAnsi="Times New Roman" w:cs="Times New Roman"/>
          <w:sz w:val="24"/>
          <w:szCs w:val="24"/>
        </w:rPr>
        <w:t xml:space="preserve">reclosing relays as part of the protection system maintenance program. </w:t>
      </w:r>
      <w:r w:rsidR="00047471">
        <w:rPr>
          <w:rFonts w:ascii="Times New Roman" w:hAnsi="Times New Roman" w:cs="Times New Roman"/>
          <w:sz w:val="24"/>
          <w:szCs w:val="24"/>
        </w:rPr>
        <w:t xml:space="preserve">Additionally, the Commission approves one new definition and six revised definitions referenced in the Reliability Standard, the assigned violation risk factors/violation severity levels, and NERC’s implementation plan.  </w:t>
      </w:r>
    </w:p>
    <w:p w:rsidR="008E62C3" w:rsidRDefault="008E62C3" w:rsidP="00F8440A">
      <w:pPr>
        <w:spacing w:after="0"/>
        <w:rPr>
          <w:rFonts w:ascii="Times New Roman" w:hAnsi="Times New Roman" w:cs="Times New Roman"/>
          <w:sz w:val="24"/>
          <w:szCs w:val="24"/>
        </w:rPr>
      </w:pPr>
    </w:p>
    <w:p w:rsidR="00047471" w:rsidRDefault="008E62C3" w:rsidP="00F8440A">
      <w:pPr>
        <w:spacing w:after="0"/>
        <w:rPr>
          <w:rFonts w:ascii="Times New Roman" w:hAnsi="Times New Roman" w:cs="Times New Roman"/>
          <w:sz w:val="24"/>
          <w:szCs w:val="24"/>
        </w:rPr>
      </w:pPr>
      <w:r>
        <w:rPr>
          <w:rFonts w:ascii="Times New Roman" w:hAnsi="Times New Roman" w:cs="Times New Roman"/>
          <w:sz w:val="24"/>
          <w:szCs w:val="24"/>
        </w:rPr>
        <w:t>Some of the existing information collection requirements in the approved Reliability Standard</w:t>
      </w:r>
      <w:r w:rsidR="00C233E7">
        <w:rPr>
          <w:rFonts w:ascii="Times New Roman" w:hAnsi="Times New Roman" w:cs="Times New Roman"/>
          <w:sz w:val="24"/>
          <w:szCs w:val="24"/>
        </w:rPr>
        <w:t xml:space="preserve"> (PRC-0</w:t>
      </w:r>
      <w:r w:rsidR="007175D4">
        <w:rPr>
          <w:rFonts w:ascii="Times New Roman" w:hAnsi="Times New Roman" w:cs="Times New Roman"/>
          <w:sz w:val="24"/>
          <w:szCs w:val="24"/>
        </w:rPr>
        <w:t>0</w:t>
      </w:r>
      <w:r w:rsidR="00C233E7">
        <w:rPr>
          <w:rFonts w:ascii="Times New Roman" w:hAnsi="Times New Roman" w:cs="Times New Roman"/>
          <w:sz w:val="24"/>
          <w:szCs w:val="24"/>
        </w:rPr>
        <w:t>5-3) are approved by OMB under FERC-725A (OMB Control No. 1902-0244).</w:t>
      </w:r>
    </w:p>
    <w:p w:rsidR="00A72E7B" w:rsidRDefault="00657A47" w:rsidP="00F8440A">
      <w:pPr>
        <w:spacing w:after="0"/>
        <w:rPr>
          <w:rFonts w:ascii="Times New Roman" w:hAnsi="Times New Roman" w:cs="Times New Roman"/>
          <w:sz w:val="24"/>
          <w:szCs w:val="24"/>
        </w:rPr>
      </w:pPr>
      <w:r>
        <w:rPr>
          <w:rFonts w:ascii="Times New Roman" w:hAnsi="Times New Roman" w:cs="Times New Roman"/>
          <w:sz w:val="24"/>
          <w:szCs w:val="24"/>
        </w:rPr>
        <w:t>The Commission submits th</w:t>
      </w:r>
      <w:r w:rsidR="00F707CA">
        <w:rPr>
          <w:rFonts w:ascii="Times New Roman" w:hAnsi="Times New Roman" w:cs="Times New Roman"/>
          <w:sz w:val="24"/>
          <w:szCs w:val="24"/>
        </w:rPr>
        <w:t>e changes due to the</w:t>
      </w:r>
      <w:r>
        <w:rPr>
          <w:rFonts w:ascii="Times New Roman" w:hAnsi="Times New Roman" w:cs="Times New Roman"/>
          <w:sz w:val="24"/>
          <w:szCs w:val="24"/>
        </w:rPr>
        <w:t xml:space="preserve"> </w:t>
      </w:r>
      <w:r w:rsidR="00047471">
        <w:rPr>
          <w:rFonts w:ascii="Times New Roman" w:hAnsi="Times New Roman" w:cs="Times New Roman"/>
          <w:sz w:val="24"/>
          <w:szCs w:val="24"/>
        </w:rPr>
        <w:t>Final Rule</w:t>
      </w:r>
      <w:r w:rsidR="00F707CA">
        <w:rPr>
          <w:rFonts w:ascii="Times New Roman" w:hAnsi="Times New Roman" w:cs="Times New Roman"/>
          <w:sz w:val="24"/>
          <w:szCs w:val="24"/>
        </w:rPr>
        <w:t xml:space="preserve"> in Docket No. </w:t>
      </w:r>
      <w:r w:rsidR="00BD7446">
        <w:rPr>
          <w:rFonts w:ascii="Times New Roman" w:hAnsi="Times New Roman" w:cs="Times New Roman"/>
          <w:sz w:val="24"/>
          <w:szCs w:val="24"/>
        </w:rPr>
        <w:t>RM14-</w:t>
      </w:r>
      <w:r w:rsidR="00047471">
        <w:rPr>
          <w:rFonts w:ascii="Times New Roman" w:hAnsi="Times New Roman" w:cs="Times New Roman"/>
          <w:sz w:val="24"/>
          <w:szCs w:val="24"/>
        </w:rPr>
        <w:t>8</w:t>
      </w:r>
      <w:r w:rsidR="00BB3B2C">
        <w:rPr>
          <w:rFonts w:ascii="Times New Roman" w:hAnsi="Times New Roman" w:cs="Times New Roman"/>
          <w:sz w:val="24"/>
          <w:szCs w:val="24"/>
        </w:rPr>
        <w:t xml:space="preserve">-000 </w:t>
      </w:r>
      <w:r w:rsidR="00BD7446">
        <w:rPr>
          <w:rFonts w:ascii="Times New Roman" w:hAnsi="Times New Roman" w:cs="Times New Roman"/>
          <w:sz w:val="24"/>
          <w:szCs w:val="24"/>
        </w:rPr>
        <w:t>under the FERC-725</w:t>
      </w:r>
      <w:r w:rsidR="00047471">
        <w:rPr>
          <w:rFonts w:ascii="Times New Roman" w:hAnsi="Times New Roman" w:cs="Times New Roman"/>
          <w:sz w:val="24"/>
          <w:szCs w:val="24"/>
        </w:rPr>
        <w:t>P</w:t>
      </w:r>
      <w:r>
        <w:rPr>
          <w:rFonts w:ascii="Times New Roman" w:hAnsi="Times New Roman" w:cs="Times New Roman"/>
          <w:sz w:val="24"/>
          <w:szCs w:val="24"/>
        </w:rPr>
        <w:t xml:space="preserve"> information colle</w:t>
      </w:r>
      <w:r w:rsidR="00BD7446">
        <w:rPr>
          <w:rFonts w:ascii="Times New Roman" w:hAnsi="Times New Roman" w:cs="Times New Roman"/>
          <w:sz w:val="24"/>
          <w:szCs w:val="24"/>
        </w:rPr>
        <w:t>ction (OMB Control No. 1902-026</w:t>
      </w:r>
      <w:r w:rsidR="00047471">
        <w:rPr>
          <w:rFonts w:ascii="Times New Roman" w:hAnsi="Times New Roman" w:cs="Times New Roman"/>
          <w:sz w:val="24"/>
          <w:szCs w:val="24"/>
        </w:rPr>
        <w:t>9</w:t>
      </w:r>
      <w:r>
        <w:rPr>
          <w:rFonts w:ascii="Times New Roman" w:hAnsi="Times New Roman" w:cs="Times New Roman"/>
          <w:sz w:val="24"/>
          <w:szCs w:val="24"/>
        </w:rPr>
        <w:t>)</w:t>
      </w:r>
      <w:r w:rsidR="00C233E7">
        <w:rPr>
          <w:rFonts w:ascii="Times New Roman" w:hAnsi="Times New Roman" w:cs="Times New Roman"/>
          <w:sz w:val="24"/>
          <w:szCs w:val="24"/>
        </w:rPr>
        <w:t xml:space="preserve"> which contains information collection requirements approved in Commission Order No. 793.  As part of that last approval of the FERC-725P information collection (</w:t>
      </w:r>
      <w:r w:rsidR="00C233E7">
        <w:rPr>
          <w:rFonts w:ascii="Times New Roman" w:hAnsi="Times New Roman"/>
          <w:sz w:val="24"/>
          <w:szCs w:val="24"/>
        </w:rPr>
        <w:t xml:space="preserve">ICR# </w:t>
      </w:r>
      <w:r w:rsidR="00C233E7" w:rsidRPr="00FB719C">
        <w:rPr>
          <w:rFonts w:ascii="Times New Roman" w:hAnsi="Times New Roman"/>
          <w:sz w:val="24"/>
          <w:szCs w:val="24"/>
        </w:rPr>
        <w:t>201312-1902-004</w:t>
      </w:r>
      <w:r w:rsidR="00C233E7">
        <w:rPr>
          <w:rFonts w:ascii="Times New Roman" w:hAnsi="Times New Roman"/>
          <w:sz w:val="24"/>
          <w:szCs w:val="24"/>
        </w:rPr>
        <w:t>, February 27, 2014), the Office of Management and Budget (OMB) included terms of clearance regarding record retention.  We address OMB’s terms of clearance in Question #7 below.</w:t>
      </w:r>
    </w:p>
    <w:p w:rsidR="0002242D" w:rsidRDefault="0002242D"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255F1F" w:rsidRPr="001B6A73" w:rsidRDefault="00255F1F" w:rsidP="00255F1F">
      <w:pPr>
        <w:spacing w:after="0"/>
        <w:rPr>
          <w:rFonts w:ascii="Times New Roman" w:hAnsi="Times New Roman" w:cs="Times New Roman"/>
          <w:sz w:val="24"/>
          <w:szCs w:val="24"/>
        </w:rPr>
      </w:pPr>
      <w:r w:rsidRPr="001B6A73">
        <w:rPr>
          <w:rFonts w:ascii="Times New Roman" w:hAnsi="Times New Roman" w:cs="Times New Roman"/>
          <w:sz w:val="24"/>
          <w:szCs w:val="24"/>
        </w:rPr>
        <w:t>On August 8, 2005, The Electricity Modernization Act of 2005, which is Title XII of the Energy Policy Act of 2005 (</w:t>
      </w:r>
      <w:proofErr w:type="spellStart"/>
      <w:r w:rsidRPr="001B6A73">
        <w:rPr>
          <w:rFonts w:ascii="Times New Roman" w:hAnsi="Times New Roman" w:cs="Times New Roman"/>
          <w:sz w:val="24"/>
          <w:szCs w:val="24"/>
        </w:rPr>
        <w:t>EPAct</w:t>
      </w:r>
      <w:proofErr w:type="spellEnd"/>
      <w:r w:rsidRPr="001B6A73">
        <w:rPr>
          <w:rFonts w:ascii="Times New Roman" w:hAnsi="Times New Roman" w:cs="Times New Roman"/>
          <w:sz w:val="24"/>
          <w:szCs w:val="24"/>
        </w:rPr>
        <w:t xml:space="preserve"> 2005), was enacted into law.  </w:t>
      </w:r>
      <w:proofErr w:type="spellStart"/>
      <w:r w:rsidRPr="001B6A73">
        <w:rPr>
          <w:rFonts w:ascii="Times New Roman" w:hAnsi="Times New Roman" w:cs="Times New Roman"/>
          <w:sz w:val="24"/>
          <w:szCs w:val="24"/>
        </w:rPr>
        <w:t>EPAct</w:t>
      </w:r>
      <w:proofErr w:type="spellEnd"/>
      <w:r w:rsidRPr="001B6A73">
        <w:rPr>
          <w:rFonts w:ascii="Times New Roman" w:hAnsi="Times New Roman" w:cs="Times New Roman"/>
          <w:sz w:val="24"/>
          <w:szCs w:val="24"/>
        </w:rPr>
        <w:t xml:space="preserve"> 2005 added a new </w:t>
      </w:r>
      <w:r w:rsidR="00535D48">
        <w:rPr>
          <w:rFonts w:ascii="Times New Roman" w:hAnsi="Times New Roman" w:cs="Times New Roman"/>
          <w:sz w:val="24"/>
          <w:szCs w:val="24"/>
        </w:rPr>
        <w:t>S</w:t>
      </w:r>
      <w:r w:rsidRPr="001B6A73">
        <w:rPr>
          <w:rFonts w:ascii="Times New Roman" w:hAnsi="Times New Roman" w:cs="Times New Roman"/>
          <w:sz w:val="24"/>
          <w:szCs w:val="24"/>
        </w:rPr>
        <w:t xml:space="preserve">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rsidR="00255F1F" w:rsidRPr="001B6A73" w:rsidRDefault="00255F1F" w:rsidP="00255F1F">
      <w:pPr>
        <w:spacing w:after="0"/>
        <w:rPr>
          <w:rFonts w:ascii="Times New Roman" w:hAnsi="Times New Roman" w:cs="Times New Roman"/>
          <w:sz w:val="24"/>
          <w:szCs w:val="24"/>
        </w:rPr>
      </w:pPr>
    </w:p>
    <w:p w:rsidR="00535D48" w:rsidRDefault="00255F1F" w:rsidP="00B837BA">
      <w:pPr>
        <w:spacing w:after="0"/>
        <w:rPr>
          <w:rFonts w:ascii="Times New Roman" w:hAnsi="Times New Roman" w:cs="Times New Roman"/>
          <w:sz w:val="24"/>
          <w:szCs w:val="24"/>
        </w:rPr>
      </w:pPr>
      <w:r w:rsidRPr="001B6A73">
        <w:rPr>
          <w:rFonts w:ascii="Times New Roman" w:hAnsi="Times New Roman" w:cs="Times New Roman"/>
          <w:sz w:val="24"/>
          <w:szCs w:val="24"/>
        </w:rPr>
        <w:lastRenderedPageBreak/>
        <w:t>On March 16, 2007, in Order No. 693, pursuant to section 215(d) of the FPA, the Commission approved 83 of 107 proposed Reliability Standards, six of the eight proposed regional differences, and the North American Electric Reliability Corpor</w:t>
      </w:r>
      <w:r>
        <w:rPr>
          <w:rFonts w:ascii="Times New Roman" w:hAnsi="Times New Roman" w:cs="Times New Roman"/>
          <w:sz w:val="24"/>
          <w:szCs w:val="24"/>
        </w:rPr>
        <w:t>ation (NERC) Glossary of Terms u</w:t>
      </w:r>
      <w:r w:rsidRPr="001B6A73">
        <w:rPr>
          <w:rFonts w:ascii="Times New Roman" w:hAnsi="Times New Roman" w:cs="Times New Roman"/>
          <w:sz w:val="24"/>
          <w:szCs w:val="24"/>
        </w:rPr>
        <w:t xml:space="preserve">sed in Reliability Standards (NERC Glossary), including </w:t>
      </w:r>
      <w:r w:rsidR="00634566">
        <w:rPr>
          <w:rFonts w:ascii="Times New Roman" w:hAnsi="Times New Roman" w:cs="Times New Roman"/>
          <w:sz w:val="24"/>
          <w:szCs w:val="24"/>
        </w:rPr>
        <w:t xml:space="preserve">the </w:t>
      </w:r>
      <w:r w:rsidR="00535D48">
        <w:rPr>
          <w:rFonts w:ascii="Times New Roman" w:hAnsi="Times New Roman" w:cs="Times New Roman"/>
          <w:sz w:val="24"/>
          <w:szCs w:val="24"/>
        </w:rPr>
        <w:t>initial versions of four protection system and load-shedding related maintenance standards:</w:t>
      </w:r>
    </w:p>
    <w:p w:rsidR="00535D48" w:rsidRDefault="00535D48" w:rsidP="00461AD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PRC-005-1</w:t>
      </w:r>
    </w:p>
    <w:p w:rsidR="00535D48" w:rsidRDefault="00535D48" w:rsidP="00461AD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PRC-008-0</w:t>
      </w:r>
    </w:p>
    <w:p w:rsidR="00535D48" w:rsidRDefault="00535D48" w:rsidP="00461AD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PRC-011-1</w:t>
      </w:r>
    </w:p>
    <w:p w:rsidR="00535D48" w:rsidRDefault="00535D48" w:rsidP="00461AD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PRC-017-0</w:t>
      </w:r>
    </w:p>
    <w:p w:rsidR="00C233E7" w:rsidRDefault="00C233E7" w:rsidP="00535D48">
      <w:pPr>
        <w:spacing w:after="0"/>
        <w:rPr>
          <w:rFonts w:ascii="Times New Roman" w:hAnsi="Times New Roman" w:cs="Times New Roman"/>
          <w:sz w:val="24"/>
          <w:szCs w:val="24"/>
        </w:rPr>
      </w:pPr>
    </w:p>
    <w:p w:rsidR="00C233E7" w:rsidRPr="00190012" w:rsidRDefault="00C233E7" w:rsidP="00C233E7">
      <w:pPr>
        <w:spacing w:after="0" w:line="240" w:lineRule="auto"/>
        <w:rPr>
          <w:rFonts w:ascii="Times New Roman" w:eastAsia="Times New Roman" w:hAnsi="Times New Roman" w:cs="Times New Roman"/>
          <w:sz w:val="24"/>
          <w:szCs w:val="24"/>
        </w:rPr>
      </w:pPr>
      <w:r w:rsidRPr="00190012">
        <w:rPr>
          <w:rFonts w:ascii="Times New Roman" w:eastAsia="Times New Roman" w:hAnsi="Times New Roman" w:cs="Times New Roman"/>
          <w:sz w:val="24"/>
          <w:szCs w:val="24"/>
        </w:rPr>
        <w:t xml:space="preserve">In approving these protection system-related Reliability Standards, the Commission directed NERC to develop or to consider a number of modifications.  Specifically, the Commission directed NERC to (1) develop a revision to PRC-005-1 incorporating a maximum time interval during which to conduct maintenance and testing of protection systems, and (2) consider combining into one standard the various maintenance and testing requirements for all of the maintenance and testing-related Reliability Standards for protection systems, </w:t>
      </w:r>
      <w:proofErr w:type="spellStart"/>
      <w:r w:rsidRPr="00190012">
        <w:rPr>
          <w:rFonts w:ascii="Times New Roman" w:eastAsia="Times New Roman" w:hAnsi="Times New Roman" w:cs="Times New Roman"/>
          <w:sz w:val="24"/>
          <w:szCs w:val="24"/>
        </w:rPr>
        <w:t>underfrequency</w:t>
      </w:r>
      <w:proofErr w:type="spellEnd"/>
      <w:r w:rsidRPr="00190012">
        <w:rPr>
          <w:rFonts w:ascii="Times New Roman" w:eastAsia="Times New Roman" w:hAnsi="Times New Roman" w:cs="Times New Roman"/>
          <w:sz w:val="24"/>
          <w:szCs w:val="24"/>
        </w:rPr>
        <w:t xml:space="preserve"> load shedding (UFLS) equipment and </w:t>
      </w:r>
      <w:proofErr w:type="spellStart"/>
      <w:r w:rsidRPr="00190012">
        <w:rPr>
          <w:rFonts w:ascii="Times New Roman" w:eastAsia="Times New Roman" w:hAnsi="Times New Roman" w:cs="Times New Roman"/>
          <w:sz w:val="24"/>
          <w:szCs w:val="24"/>
        </w:rPr>
        <w:t>undervoltage</w:t>
      </w:r>
      <w:proofErr w:type="spellEnd"/>
      <w:r w:rsidRPr="00190012">
        <w:rPr>
          <w:rFonts w:ascii="Times New Roman" w:eastAsia="Times New Roman" w:hAnsi="Times New Roman" w:cs="Times New Roman"/>
          <w:sz w:val="24"/>
          <w:szCs w:val="24"/>
        </w:rPr>
        <w:t xml:space="preserve"> load shedding (UVLS) equipment.</w:t>
      </w:r>
      <w:r w:rsidRPr="00190012">
        <w:rPr>
          <w:rFonts w:ascii="Times New Roman" w:eastAsia="Times New Roman" w:hAnsi="Times New Roman" w:cs="Times New Roman"/>
          <w:b/>
          <w:sz w:val="24"/>
          <w:szCs w:val="24"/>
          <w:vertAlign w:val="superscript"/>
        </w:rPr>
        <w:footnoteReference w:id="3"/>
      </w:r>
      <w:r w:rsidRPr="00190012">
        <w:rPr>
          <w:rFonts w:ascii="Times New Roman" w:eastAsia="Times New Roman" w:hAnsi="Times New Roman" w:cs="Times New Roman"/>
          <w:sz w:val="24"/>
          <w:szCs w:val="24"/>
        </w:rPr>
        <w:t xml:space="preserve">  </w:t>
      </w:r>
    </w:p>
    <w:p w:rsidR="00C233E7" w:rsidRDefault="00C233E7" w:rsidP="00C233E7">
      <w:pPr>
        <w:spacing w:after="0" w:line="240" w:lineRule="auto"/>
        <w:rPr>
          <w:rFonts w:ascii="Times New Roman" w:eastAsia="Times New Roman" w:hAnsi="Times New Roman" w:cs="Times New Roman"/>
          <w:sz w:val="24"/>
          <w:szCs w:val="24"/>
        </w:rPr>
      </w:pPr>
    </w:p>
    <w:p w:rsidR="00C233E7" w:rsidRPr="00040723" w:rsidRDefault="00C233E7" w:rsidP="00C233E7">
      <w:pPr>
        <w:spacing w:after="0" w:line="240" w:lineRule="auto"/>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 xml:space="preserve">The Commission issued Order No. 758 in February 2012, in response to NERC’s request for approval of its interpretation of Requirement R1 of the then-current version of </w:t>
      </w:r>
      <w:r>
        <w:rPr>
          <w:rFonts w:ascii="Times New Roman" w:eastAsia="Times New Roman" w:hAnsi="Times New Roman" w:cs="Times New Roman"/>
          <w:sz w:val="24"/>
          <w:szCs w:val="24"/>
        </w:rPr>
        <w:t xml:space="preserve">the </w:t>
      </w:r>
      <w:r w:rsidRPr="00040723">
        <w:rPr>
          <w:rFonts w:ascii="Times New Roman" w:eastAsia="Times New Roman" w:hAnsi="Times New Roman" w:cs="Times New Roman"/>
          <w:sz w:val="24"/>
          <w:szCs w:val="24"/>
        </w:rPr>
        <w:t>protection system maintenance standard, PRC-005-1.  The Com</w:t>
      </w:r>
      <w:r>
        <w:rPr>
          <w:rFonts w:ascii="Times New Roman" w:eastAsia="Times New Roman" w:hAnsi="Times New Roman" w:cs="Times New Roman"/>
          <w:sz w:val="24"/>
          <w:szCs w:val="24"/>
        </w:rPr>
        <w:t>mission accepted NERC’s</w:t>
      </w:r>
      <w:r w:rsidRPr="00040723">
        <w:rPr>
          <w:rFonts w:ascii="Times New Roman" w:eastAsia="Times New Roman" w:hAnsi="Times New Roman" w:cs="Times New Roman"/>
          <w:sz w:val="24"/>
          <w:szCs w:val="24"/>
        </w:rPr>
        <w:t xml:space="preserve"> interpretation of PRC-005-1, which identified the types of protection system equipment to which the Reliability Standard applied.  In addition, the Commission directed NERC to develop modifications to the standard to address gaps highlighted by the proposed interpretation, including the need to address reclosing relays</w:t>
      </w:r>
      <w:r w:rsidRPr="00B11BAE">
        <w:rPr>
          <w:rStyle w:val="FootnoteReference"/>
          <w:rFonts w:ascii="Times New Roman" w:eastAsia="Times New Roman" w:hAnsi="Times New Roman" w:cs="Times New Roman"/>
          <w:sz w:val="24"/>
          <w:szCs w:val="24"/>
          <w:vertAlign w:val="superscript"/>
        </w:rPr>
        <w:footnoteReference w:id="4"/>
      </w:r>
      <w:r w:rsidRPr="00040723">
        <w:rPr>
          <w:rFonts w:ascii="Times New Roman" w:eastAsia="Times New Roman" w:hAnsi="Times New Roman" w:cs="Times New Roman"/>
          <w:sz w:val="24"/>
          <w:szCs w:val="24"/>
        </w:rPr>
        <w:t xml:space="preserve"> that may affect the reliability of the Bulk-Power System.</w:t>
      </w:r>
      <w:r w:rsidRPr="00040723">
        <w:rPr>
          <w:rFonts w:ascii="Times New Roman" w:eastAsia="Times New Roman" w:hAnsi="Times New Roman" w:cs="Times New Roman"/>
          <w:b/>
          <w:sz w:val="24"/>
          <w:szCs w:val="24"/>
          <w:vertAlign w:val="superscript"/>
        </w:rPr>
        <w:footnoteReference w:id="5"/>
      </w:r>
      <w:r w:rsidRPr="00040723">
        <w:rPr>
          <w:rFonts w:ascii="Times New Roman" w:eastAsia="Times New Roman" w:hAnsi="Times New Roman" w:cs="Times New Roman"/>
          <w:sz w:val="24"/>
          <w:szCs w:val="24"/>
        </w:rPr>
        <w:t xml:space="preserve">  </w:t>
      </w:r>
    </w:p>
    <w:p w:rsidR="00C233E7" w:rsidRDefault="00C233E7" w:rsidP="00C233E7">
      <w:pPr>
        <w:spacing w:after="0" w:line="240" w:lineRule="auto"/>
        <w:rPr>
          <w:rFonts w:ascii="Times New Roman" w:eastAsia="Times New Roman" w:hAnsi="Times New Roman" w:cs="Times New Roman"/>
          <w:sz w:val="24"/>
          <w:szCs w:val="24"/>
        </w:rPr>
      </w:pPr>
    </w:p>
    <w:p w:rsidR="00C233E7" w:rsidRDefault="00C233E7" w:rsidP="00C233E7">
      <w:pPr>
        <w:spacing w:after="0" w:line="240" w:lineRule="auto"/>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In the discussion surrounding that directive, the Commission described certain scenarios where reclosing relays might impact reliability,</w:t>
      </w:r>
      <w:r w:rsidRPr="00040723">
        <w:rPr>
          <w:rFonts w:ascii="Times New Roman" w:eastAsia="Times New Roman" w:hAnsi="Times New Roman" w:cs="Times New Roman"/>
          <w:b/>
          <w:sz w:val="24"/>
          <w:szCs w:val="24"/>
          <w:vertAlign w:val="superscript"/>
        </w:rPr>
        <w:footnoteReference w:id="6"/>
      </w:r>
      <w:r w:rsidRPr="00040723">
        <w:rPr>
          <w:rFonts w:ascii="Times New Roman" w:eastAsia="Times New Roman" w:hAnsi="Times New Roman" w:cs="Times New Roman"/>
          <w:sz w:val="24"/>
          <w:szCs w:val="24"/>
        </w:rPr>
        <w:t xml:space="preserve"> but recognized that it may not be appropriate to include all applications of </w:t>
      </w:r>
      <w:proofErr w:type="spellStart"/>
      <w:r w:rsidRPr="00040723">
        <w:rPr>
          <w:rFonts w:ascii="Times New Roman" w:eastAsia="Times New Roman" w:hAnsi="Times New Roman" w:cs="Times New Roman"/>
          <w:sz w:val="24"/>
          <w:szCs w:val="24"/>
        </w:rPr>
        <w:t>autoreclosing</w:t>
      </w:r>
      <w:proofErr w:type="spellEnd"/>
      <w:r w:rsidRPr="00040723">
        <w:rPr>
          <w:rFonts w:ascii="Times New Roman" w:eastAsia="Times New Roman" w:hAnsi="Times New Roman" w:cs="Times New Roman"/>
          <w:sz w:val="24"/>
          <w:szCs w:val="24"/>
        </w:rPr>
        <w:t xml:space="preserve"> relays in the protection system maintenance standard:</w:t>
      </w:r>
    </w:p>
    <w:p w:rsidR="00C233E7" w:rsidRPr="00040723" w:rsidRDefault="00C233E7" w:rsidP="00C233E7">
      <w:pPr>
        <w:spacing w:after="0" w:line="240" w:lineRule="auto"/>
        <w:rPr>
          <w:rFonts w:ascii="Times New Roman" w:eastAsia="Times New Roman" w:hAnsi="Times New Roman" w:cs="Times New Roman"/>
          <w:sz w:val="24"/>
          <w:szCs w:val="24"/>
        </w:rPr>
      </w:pPr>
    </w:p>
    <w:p w:rsidR="00C233E7" w:rsidRPr="00040723" w:rsidRDefault="00C233E7" w:rsidP="00C233E7">
      <w:pPr>
        <w:spacing w:after="0" w:line="240" w:lineRule="auto"/>
        <w:ind w:left="1440"/>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lastRenderedPageBreak/>
        <w:t xml:space="preserve">The NOPR raised a concern that excluding the maintenance and testing of reclosing relays that can exacerbate fault conditions when not properly </w:t>
      </w:r>
      <w:r w:rsidR="000259B7">
        <w:rPr>
          <w:rFonts w:ascii="Times New Roman" w:eastAsia="Times New Roman" w:hAnsi="Times New Roman" w:cs="Times New Roman"/>
          <w:sz w:val="24"/>
          <w:szCs w:val="24"/>
        </w:rPr>
        <w:t>maintained</w:t>
      </w:r>
      <w:r w:rsidRPr="00040723">
        <w:rPr>
          <w:rFonts w:ascii="Times New Roman" w:eastAsia="Times New Roman" w:hAnsi="Times New Roman" w:cs="Times New Roman"/>
          <w:sz w:val="24"/>
          <w:szCs w:val="24"/>
        </w:rPr>
        <w:t xml:space="preserve"> and coordinated will result in a gap affecting Bulk-Power System reliability.  We agree with MidAmerican that while there are only limited circumstances when a reclosing relay can actually affect the reliability of the Bulk-Power System, there are some reclosing relays, e.g., whose failure to operate or that </w:t>
      </w:r>
      <w:proofErr w:type="spellStart"/>
      <w:r w:rsidRPr="00040723">
        <w:rPr>
          <w:rFonts w:ascii="Times New Roman" w:eastAsia="Times New Roman" w:hAnsi="Times New Roman" w:cs="Times New Roman"/>
          <w:sz w:val="24"/>
          <w:szCs w:val="24"/>
        </w:rPr>
        <w:t>misoperate</w:t>
      </w:r>
      <w:proofErr w:type="spellEnd"/>
      <w:r w:rsidRPr="00040723">
        <w:rPr>
          <w:rFonts w:ascii="Times New Roman" w:eastAsia="Times New Roman" w:hAnsi="Times New Roman" w:cs="Times New Roman"/>
          <w:sz w:val="24"/>
          <w:szCs w:val="24"/>
        </w:rPr>
        <w:t xml:space="preserve"> during an event due to lack of maintenance and testing, may negatively impact the reliability of the Bulk-Power System.  </w:t>
      </w:r>
    </w:p>
    <w:p w:rsidR="00C233E7" w:rsidRPr="00040723" w:rsidRDefault="00C233E7" w:rsidP="00C233E7">
      <w:pPr>
        <w:spacing w:after="0" w:line="240" w:lineRule="auto"/>
        <w:ind w:left="1440"/>
        <w:rPr>
          <w:rFonts w:ascii="Times New Roman" w:eastAsia="Times New Roman" w:hAnsi="Times New Roman" w:cs="Times New Roman"/>
          <w:sz w:val="24"/>
          <w:szCs w:val="24"/>
        </w:rPr>
      </w:pPr>
    </w:p>
    <w:p w:rsidR="00C233E7" w:rsidRPr="00040723" w:rsidRDefault="00C233E7" w:rsidP="00C233E7">
      <w:pPr>
        <w:spacing w:after="0" w:line="240" w:lineRule="auto"/>
        <w:ind w:left="1440"/>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 xml:space="preserve">In the NOPR we stated that a </w:t>
      </w:r>
      <w:proofErr w:type="spellStart"/>
      <w:r w:rsidRPr="00040723">
        <w:rPr>
          <w:rFonts w:ascii="Times New Roman" w:eastAsia="Times New Roman" w:hAnsi="Times New Roman" w:cs="Times New Roman"/>
          <w:sz w:val="24"/>
          <w:szCs w:val="24"/>
        </w:rPr>
        <w:t>misoperating</w:t>
      </w:r>
      <w:proofErr w:type="spellEnd"/>
      <w:r w:rsidRPr="00040723">
        <w:rPr>
          <w:rFonts w:ascii="Times New Roman" w:eastAsia="Times New Roman" w:hAnsi="Times New Roman" w:cs="Times New Roman"/>
          <w:sz w:val="24"/>
          <w:szCs w:val="24"/>
        </w:rPr>
        <w:t xml:space="preserve"> or </w:t>
      </w:r>
      <w:proofErr w:type="spellStart"/>
      <w:r w:rsidRPr="00040723">
        <w:rPr>
          <w:rFonts w:ascii="Times New Roman" w:eastAsia="Times New Roman" w:hAnsi="Times New Roman" w:cs="Times New Roman"/>
          <w:sz w:val="24"/>
          <w:szCs w:val="24"/>
        </w:rPr>
        <w:t>miscoordinated</w:t>
      </w:r>
      <w:proofErr w:type="spellEnd"/>
      <w:r w:rsidRPr="00040723">
        <w:rPr>
          <w:rFonts w:ascii="Times New Roman" w:eastAsia="Times New Roman" w:hAnsi="Times New Roman" w:cs="Times New Roman"/>
          <w:sz w:val="24"/>
          <w:szCs w:val="24"/>
        </w:rPr>
        <w:t xml:space="preserve"> reclosing relay may result in the </w:t>
      </w:r>
      <w:proofErr w:type="spellStart"/>
      <w:r w:rsidRPr="00040723">
        <w:rPr>
          <w:rFonts w:ascii="Times New Roman" w:eastAsia="Times New Roman" w:hAnsi="Times New Roman" w:cs="Times New Roman"/>
          <w:sz w:val="24"/>
          <w:szCs w:val="24"/>
        </w:rPr>
        <w:t>reclosure</w:t>
      </w:r>
      <w:proofErr w:type="spellEnd"/>
      <w:r w:rsidRPr="00040723">
        <w:rPr>
          <w:rFonts w:ascii="Times New Roman" w:eastAsia="Times New Roman" w:hAnsi="Times New Roman" w:cs="Times New Roman"/>
          <w:sz w:val="24"/>
          <w:szCs w:val="24"/>
        </w:rPr>
        <w:t xml:space="preserve"> of a Bulk-Power System element back onto a fault or that a </w:t>
      </w:r>
      <w:proofErr w:type="spellStart"/>
      <w:r w:rsidRPr="00040723">
        <w:rPr>
          <w:rFonts w:ascii="Times New Roman" w:eastAsia="Times New Roman" w:hAnsi="Times New Roman" w:cs="Times New Roman"/>
          <w:sz w:val="24"/>
          <w:szCs w:val="24"/>
        </w:rPr>
        <w:t>misoperating</w:t>
      </w:r>
      <w:proofErr w:type="spellEnd"/>
      <w:r w:rsidRPr="00040723">
        <w:rPr>
          <w:rFonts w:ascii="Times New Roman" w:eastAsia="Times New Roman" w:hAnsi="Times New Roman" w:cs="Times New Roman"/>
          <w:sz w:val="24"/>
          <w:szCs w:val="24"/>
        </w:rPr>
        <w:t xml:space="preserve"> or </w:t>
      </w:r>
      <w:proofErr w:type="spellStart"/>
      <w:r w:rsidRPr="00040723">
        <w:rPr>
          <w:rFonts w:ascii="Times New Roman" w:eastAsia="Times New Roman" w:hAnsi="Times New Roman" w:cs="Times New Roman"/>
          <w:sz w:val="24"/>
          <w:szCs w:val="24"/>
        </w:rPr>
        <w:t>miscoordinated</w:t>
      </w:r>
      <w:proofErr w:type="spellEnd"/>
      <w:r w:rsidRPr="00040723">
        <w:rPr>
          <w:rFonts w:ascii="Times New Roman" w:eastAsia="Times New Roman" w:hAnsi="Times New Roman" w:cs="Times New Roman"/>
          <w:sz w:val="24"/>
          <w:szCs w:val="24"/>
        </w:rPr>
        <w:t xml:space="preserve"> reclosing relay may fail to operate after a fault has been cleared, thus failing to restore the element to service.  As a result, the reliability of the Bulk-Power System would be affected.  In addition, </w:t>
      </w:r>
      <w:proofErr w:type="spellStart"/>
      <w:r w:rsidRPr="00040723">
        <w:rPr>
          <w:rFonts w:ascii="Times New Roman" w:eastAsia="Times New Roman" w:hAnsi="Times New Roman" w:cs="Times New Roman"/>
          <w:sz w:val="24"/>
          <w:szCs w:val="24"/>
        </w:rPr>
        <w:t>misoperated</w:t>
      </w:r>
      <w:proofErr w:type="spellEnd"/>
      <w:r w:rsidRPr="00040723">
        <w:rPr>
          <w:rFonts w:ascii="Times New Roman" w:eastAsia="Times New Roman" w:hAnsi="Times New Roman" w:cs="Times New Roman"/>
          <w:sz w:val="24"/>
          <w:szCs w:val="24"/>
        </w:rPr>
        <w:t xml:space="preserve"> or </w:t>
      </w:r>
      <w:proofErr w:type="spellStart"/>
      <w:r w:rsidRPr="00040723">
        <w:rPr>
          <w:rFonts w:ascii="Times New Roman" w:eastAsia="Times New Roman" w:hAnsi="Times New Roman" w:cs="Times New Roman"/>
          <w:sz w:val="24"/>
          <w:szCs w:val="24"/>
        </w:rPr>
        <w:t>miscoordinated</w:t>
      </w:r>
      <w:proofErr w:type="spellEnd"/>
      <w:r w:rsidRPr="00040723">
        <w:rPr>
          <w:rFonts w:ascii="Times New Roman" w:eastAsia="Times New Roman" w:hAnsi="Times New Roman" w:cs="Times New Roman"/>
          <w:sz w:val="24"/>
          <w:szCs w:val="24"/>
        </w:rPr>
        <w:t xml:space="preserve"> relays may result in damage to the Bulk-Power System.  For example, a </w:t>
      </w:r>
      <w:proofErr w:type="spellStart"/>
      <w:r w:rsidRPr="00040723">
        <w:rPr>
          <w:rFonts w:ascii="Times New Roman" w:eastAsia="Times New Roman" w:hAnsi="Times New Roman" w:cs="Times New Roman"/>
          <w:sz w:val="24"/>
          <w:szCs w:val="24"/>
        </w:rPr>
        <w:t>misoperation</w:t>
      </w:r>
      <w:proofErr w:type="spellEnd"/>
      <w:r w:rsidRPr="00040723">
        <w:rPr>
          <w:rFonts w:ascii="Times New Roman" w:eastAsia="Times New Roman" w:hAnsi="Times New Roman" w:cs="Times New Roman"/>
          <w:sz w:val="24"/>
          <w:szCs w:val="24"/>
        </w:rPr>
        <w:t xml:space="preserve"> or </w:t>
      </w:r>
      <w:proofErr w:type="spellStart"/>
      <w:r w:rsidRPr="00040723">
        <w:rPr>
          <w:rFonts w:ascii="Times New Roman" w:eastAsia="Times New Roman" w:hAnsi="Times New Roman" w:cs="Times New Roman"/>
          <w:sz w:val="24"/>
          <w:szCs w:val="24"/>
        </w:rPr>
        <w:t>miscoordination</w:t>
      </w:r>
      <w:proofErr w:type="spellEnd"/>
      <w:r w:rsidRPr="00040723">
        <w:rPr>
          <w:rFonts w:ascii="Times New Roman" w:eastAsia="Times New Roman" w:hAnsi="Times New Roman" w:cs="Times New Roman"/>
          <w:sz w:val="24"/>
          <w:szCs w:val="24"/>
        </w:rPr>
        <w:t xml:space="preserve"> of a reclosing relay causing the reclosing of Bulk-Power System facilities into a permanent fault can subject generators to excessive shaft torques and winding stresses and expose circuit breakers to systems conditions less than optimal for correct operation, potentially damaging the circuit breaker.</w:t>
      </w:r>
      <w:r w:rsidRPr="00040723">
        <w:rPr>
          <w:rFonts w:ascii="Times New Roman" w:eastAsia="Times New Roman" w:hAnsi="Times New Roman" w:cs="Times New Roman"/>
          <w:b/>
          <w:sz w:val="24"/>
          <w:szCs w:val="24"/>
          <w:vertAlign w:val="superscript"/>
        </w:rPr>
        <w:footnoteReference w:id="7"/>
      </w:r>
      <w:r w:rsidRPr="00040723">
        <w:rPr>
          <w:rFonts w:ascii="Times New Roman" w:eastAsia="Times New Roman" w:hAnsi="Times New Roman" w:cs="Times New Roman"/>
          <w:sz w:val="24"/>
          <w:szCs w:val="24"/>
        </w:rPr>
        <w:t xml:space="preserve"> </w:t>
      </w:r>
    </w:p>
    <w:p w:rsidR="00C233E7" w:rsidRDefault="00C233E7" w:rsidP="00C233E7">
      <w:pPr>
        <w:spacing w:after="0" w:line="240" w:lineRule="auto"/>
        <w:rPr>
          <w:rFonts w:ascii="Times New Roman" w:eastAsia="Times New Roman" w:hAnsi="Times New Roman" w:cs="Times New Roman"/>
          <w:sz w:val="24"/>
          <w:szCs w:val="24"/>
        </w:rPr>
      </w:pPr>
    </w:p>
    <w:p w:rsidR="00C233E7" w:rsidRDefault="00C233E7" w:rsidP="00C233E7">
      <w:pPr>
        <w:spacing w:after="0" w:line="240" w:lineRule="auto"/>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 xml:space="preserve">Prior to issuance of Order No. 758, NERC had begun development of revisions to its initial maintenance standards for protection systems and </w:t>
      </w:r>
      <w:proofErr w:type="spellStart"/>
      <w:r w:rsidRPr="00040723">
        <w:rPr>
          <w:rFonts w:ascii="Times New Roman" w:eastAsia="Times New Roman" w:hAnsi="Times New Roman" w:cs="Times New Roman"/>
          <w:sz w:val="24"/>
          <w:szCs w:val="24"/>
        </w:rPr>
        <w:t>underfrequency</w:t>
      </w:r>
      <w:proofErr w:type="spellEnd"/>
      <w:r w:rsidRPr="00040723">
        <w:rPr>
          <w:rFonts w:ascii="Times New Roman" w:eastAsia="Times New Roman" w:hAnsi="Times New Roman" w:cs="Times New Roman"/>
          <w:sz w:val="24"/>
          <w:szCs w:val="24"/>
        </w:rPr>
        <w:t xml:space="preserve"> and </w:t>
      </w:r>
      <w:proofErr w:type="spellStart"/>
      <w:r w:rsidRPr="00040723">
        <w:rPr>
          <w:rFonts w:ascii="Times New Roman" w:eastAsia="Times New Roman" w:hAnsi="Times New Roman" w:cs="Times New Roman"/>
          <w:sz w:val="24"/>
          <w:szCs w:val="24"/>
        </w:rPr>
        <w:t>undervoltage</w:t>
      </w:r>
      <w:proofErr w:type="spellEnd"/>
      <w:r w:rsidRPr="00040723">
        <w:rPr>
          <w:rFonts w:ascii="Times New Roman" w:eastAsia="Times New Roman" w:hAnsi="Times New Roman" w:cs="Times New Roman"/>
          <w:sz w:val="24"/>
          <w:szCs w:val="24"/>
        </w:rPr>
        <w:t xml:space="preserve"> load shedding equipment in response to the Order No. 693 directives.  Those revisions, reflected in a consolidated Reliability Standard, PRC-005-2, were approved by the Commission on December 24, 2013.</w:t>
      </w:r>
      <w:r w:rsidRPr="00040723">
        <w:rPr>
          <w:rFonts w:ascii="Times New Roman" w:eastAsia="Times New Roman" w:hAnsi="Times New Roman" w:cs="Times New Roman"/>
          <w:b/>
          <w:sz w:val="24"/>
          <w:szCs w:val="24"/>
          <w:vertAlign w:val="superscript"/>
        </w:rPr>
        <w:footnoteReference w:id="8"/>
      </w:r>
      <w:r w:rsidRPr="00040723">
        <w:rPr>
          <w:rFonts w:ascii="Times New Roman" w:eastAsia="Times New Roman" w:hAnsi="Times New Roman" w:cs="Times New Roman"/>
          <w:sz w:val="24"/>
          <w:szCs w:val="24"/>
        </w:rPr>
        <w:t xml:space="preserve">  In the order approving PRC-005-2, the Commission found that the revised standard represented an improvement over the four standards it would replace because it incorporated specific, required minimum maintenance activities and maximum time intervals for maintenance of individual components of the protection systems and load shedding equipment affecting the bulk electric system.</w:t>
      </w:r>
      <w:r w:rsidRPr="00040723">
        <w:rPr>
          <w:rFonts w:ascii="Times New Roman" w:eastAsia="Times New Roman" w:hAnsi="Times New Roman" w:cs="Times New Roman"/>
          <w:b/>
          <w:sz w:val="24"/>
          <w:szCs w:val="24"/>
          <w:vertAlign w:val="superscript"/>
        </w:rPr>
        <w:footnoteReference w:id="9"/>
      </w:r>
    </w:p>
    <w:p w:rsidR="00C233E7" w:rsidRDefault="00C233E7" w:rsidP="00C233E7">
      <w:pPr>
        <w:spacing w:after="0" w:line="240" w:lineRule="auto"/>
        <w:rPr>
          <w:rFonts w:ascii="Times New Roman" w:eastAsia="Times New Roman" w:hAnsi="Times New Roman" w:cs="Times New Roman"/>
          <w:sz w:val="24"/>
          <w:szCs w:val="24"/>
        </w:rPr>
      </w:pPr>
    </w:p>
    <w:p w:rsidR="00B837BA" w:rsidRDefault="00C233E7" w:rsidP="00B837BA">
      <w:pPr>
        <w:spacing w:after="0"/>
        <w:rPr>
          <w:rFonts w:ascii="Times New Roman" w:hAnsi="Times New Roman" w:cs="Times New Roman"/>
          <w:sz w:val="24"/>
          <w:szCs w:val="24"/>
        </w:rPr>
      </w:pPr>
      <w:r w:rsidRPr="004B1046">
        <w:rPr>
          <w:rFonts w:ascii="Times New Roman" w:eastAsia="Times New Roman" w:hAnsi="Times New Roman" w:cs="Times New Roman"/>
          <w:sz w:val="24"/>
          <w:szCs w:val="24"/>
        </w:rPr>
        <w:t>On February 14, 2014, NERC submitted a petit</w:t>
      </w:r>
      <w:r>
        <w:rPr>
          <w:rFonts w:ascii="Times New Roman" w:eastAsia="Times New Roman" w:hAnsi="Times New Roman" w:cs="Times New Roman"/>
          <w:sz w:val="24"/>
          <w:szCs w:val="24"/>
        </w:rPr>
        <w:t>ion seeking approval of</w:t>
      </w:r>
      <w:r w:rsidRPr="004B1046">
        <w:rPr>
          <w:rFonts w:ascii="Times New Roman" w:eastAsia="Times New Roman" w:hAnsi="Times New Roman" w:cs="Times New Roman"/>
          <w:sz w:val="24"/>
          <w:szCs w:val="24"/>
        </w:rPr>
        <w:t xml:space="preserve"> Reliability Standard PRC-005-3, developed in response to the Order No. 758 directive to include maintenance and testing of reclosing relays that can affect the reliable operation of the Bulk-Power System.</w:t>
      </w:r>
      <w:r w:rsidRPr="004B1046">
        <w:rPr>
          <w:rFonts w:ascii="Times New Roman" w:eastAsia="Times New Roman" w:hAnsi="Times New Roman" w:cs="Times New Roman"/>
          <w:b/>
          <w:sz w:val="24"/>
          <w:szCs w:val="24"/>
          <w:vertAlign w:val="superscript"/>
        </w:rPr>
        <w:footnoteReference w:id="10"/>
      </w:r>
      <w:r w:rsidRPr="004B1046">
        <w:rPr>
          <w:rFonts w:ascii="Times New Roman" w:eastAsia="Times New Roman" w:hAnsi="Times New Roman" w:cs="Times New Roman"/>
          <w:sz w:val="24"/>
          <w:szCs w:val="24"/>
        </w:rPr>
        <w:t xml:space="preserve">  In its petition, NERC maintain</w:t>
      </w:r>
      <w:r>
        <w:rPr>
          <w:rFonts w:ascii="Times New Roman" w:eastAsia="Times New Roman" w:hAnsi="Times New Roman" w:cs="Times New Roman"/>
          <w:sz w:val="24"/>
          <w:szCs w:val="24"/>
        </w:rPr>
        <w:t>ed that the approved</w:t>
      </w:r>
      <w:r w:rsidRPr="004B1046">
        <w:rPr>
          <w:rFonts w:ascii="Times New Roman" w:eastAsia="Times New Roman" w:hAnsi="Times New Roman" w:cs="Times New Roman"/>
          <w:sz w:val="24"/>
          <w:szCs w:val="24"/>
        </w:rPr>
        <w:t xml:space="preserve"> standard promotes reliability by making certain reclosing relays subject to a mandatory maintenance program, including adding detailed tables of minimum maintenance activities and maximum maintenance intervals for the reclosing relays.  NERC explain</w:t>
      </w:r>
      <w:r>
        <w:rPr>
          <w:rFonts w:ascii="Times New Roman" w:eastAsia="Times New Roman" w:hAnsi="Times New Roman" w:cs="Times New Roman"/>
          <w:sz w:val="24"/>
          <w:szCs w:val="24"/>
        </w:rPr>
        <w:t xml:space="preserve">ed </w:t>
      </w:r>
      <w:r w:rsidRPr="004B1046">
        <w:rPr>
          <w:rFonts w:ascii="Times New Roman" w:eastAsia="Times New Roman" w:hAnsi="Times New Roman" w:cs="Times New Roman"/>
          <w:sz w:val="24"/>
          <w:szCs w:val="24"/>
        </w:rPr>
        <w:t xml:space="preserve">that the purpose of PRC-005-3 is to “document and implement programs for </w:t>
      </w:r>
      <w:r w:rsidRPr="004B1046">
        <w:rPr>
          <w:rFonts w:ascii="Times New Roman" w:eastAsia="Times New Roman" w:hAnsi="Times New Roman" w:cs="Times New Roman"/>
          <w:sz w:val="24"/>
          <w:szCs w:val="24"/>
        </w:rPr>
        <w:lastRenderedPageBreak/>
        <w:t>the maintenance of all Protection Systems and Automatic Reclosing affecting the reliability of the Bulk Electric System so that they are kept in working order.”</w:t>
      </w:r>
      <w:r w:rsidRPr="004B1046">
        <w:rPr>
          <w:rFonts w:ascii="Times New Roman" w:eastAsia="Times New Roman" w:hAnsi="Times New Roman" w:cs="Times New Roman"/>
          <w:b/>
          <w:sz w:val="24"/>
          <w:szCs w:val="24"/>
          <w:vertAlign w:val="superscript"/>
        </w:rPr>
        <w:footnoteReference w:id="11"/>
      </w:r>
      <w:r w:rsidR="00B837BA">
        <w:rPr>
          <w:rFonts w:ascii="Times New Roman" w:hAnsi="Times New Roman" w:cs="Times New Roman"/>
          <w:sz w:val="24"/>
          <w:szCs w:val="24"/>
        </w:rPr>
        <w:t xml:space="preserve"> </w:t>
      </w:r>
    </w:p>
    <w:p w:rsidR="00EB3E6F" w:rsidRPr="00EB3E6F" w:rsidRDefault="00EB3E6F" w:rsidP="00EB3E6F">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C233E7" w:rsidRDefault="00C233E7" w:rsidP="00995C70">
      <w:pPr>
        <w:spacing w:after="0"/>
        <w:rPr>
          <w:rFonts w:ascii="Times New Roman" w:hAnsi="Times New Roman" w:cs="Times New Roman"/>
          <w:sz w:val="24"/>
          <w:szCs w:val="24"/>
        </w:rPr>
      </w:pPr>
      <w:r>
        <w:rPr>
          <w:rFonts w:ascii="Times New Roman" w:hAnsi="Times New Roman" w:cs="Times New Roman"/>
          <w:sz w:val="24"/>
          <w:szCs w:val="24"/>
        </w:rPr>
        <w:t xml:space="preserve">Reliability Standard PRC-005-3 applies to entities registered with NERC as distribution providers (DP), generation owners (GO), and transmission owners (TO).  However, the changes to the standard as compared to the one previously approved only affect TOs and GOs. </w:t>
      </w:r>
    </w:p>
    <w:p w:rsidR="00C233E7" w:rsidRDefault="00C233E7" w:rsidP="00995C70">
      <w:pPr>
        <w:spacing w:after="0"/>
        <w:rPr>
          <w:rFonts w:ascii="Times New Roman" w:hAnsi="Times New Roman" w:cs="Times New Roman"/>
          <w:sz w:val="24"/>
          <w:szCs w:val="24"/>
        </w:rPr>
      </w:pPr>
    </w:p>
    <w:p w:rsidR="00C233E7" w:rsidRPr="00B11BAE" w:rsidRDefault="00C233E7" w:rsidP="00995C70">
      <w:pPr>
        <w:spacing w:after="0"/>
        <w:rPr>
          <w:rFonts w:ascii="Times New Roman" w:hAnsi="Times New Roman" w:cs="Times New Roman"/>
          <w:sz w:val="24"/>
          <w:szCs w:val="24"/>
        </w:rPr>
      </w:pPr>
      <w:r w:rsidRPr="00FC5FD3">
        <w:rPr>
          <w:rFonts w:ascii="Times New Roman" w:hAnsi="Times New Roman" w:cs="Times New Roman"/>
          <w:sz w:val="24"/>
          <w:szCs w:val="24"/>
        </w:rPr>
        <w:t>Reclosing relays are utilized on transmission systems to restore transmission elements to service following autom</w:t>
      </w:r>
      <w:r>
        <w:rPr>
          <w:rFonts w:ascii="Times New Roman" w:hAnsi="Times New Roman" w:cs="Times New Roman"/>
          <w:sz w:val="24"/>
          <w:szCs w:val="24"/>
        </w:rPr>
        <w:t>atic circuit breaker tripping.</w:t>
      </w:r>
      <w:r w:rsidRPr="00FC5F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5FD3">
        <w:rPr>
          <w:rFonts w:ascii="Times New Roman" w:hAnsi="Times New Roman" w:cs="Times New Roman"/>
          <w:sz w:val="24"/>
          <w:szCs w:val="24"/>
        </w:rPr>
        <w:t xml:space="preserve">There are several types of reclosing relays, including electromechanical, solid state, and microprocessor-based, which may be applied in a </w:t>
      </w:r>
      <w:r>
        <w:rPr>
          <w:rFonts w:ascii="Times New Roman" w:hAnsi="Times New Roman" w:cs="Times New Roman"/>
          <w:sz w:val="24"/>
          <w:szCs w:val="24"/>
        </w:rPr>
        <w:t xml:space="preserve">variety of scenarios. </w:t>
      </w:r>
      <w:r w:rsidRPr="00FC5FD3">
        <w:rPr>
          <w:rFonts w:ascii="Times New Roman" w:hAnsi="Times New Roman" w:cs="Times New Roman"/>
          <w:sz w:val="24"/>
          <w:szCs w:val="24"/>
        </w:rPr>
        <w:t xml:space="preserve"> Most reclosing relays share three main functions: supervisory, timing, and output</w:t>
      </w:r>
      <w:r w:rsidRPr="00B11BAE">
        <w:rPr>
          <w:rFonts w:ascii="Times New Roman" w:hAnsi="Times New Roman" w:cs="Times New Roman"/>
          <w:sz w:val="24"/>
          <w:szCs w:val="24"/>
        </w:rPr>
        <w:t>.</w:t>
      </w:r>
      <w:r w:rsidRPr="00FC5FD3">
        <w:rPr>
          <w:rFonts w:ascii="Times New Roman" w:hAnsi="Times New Roman" w:cs="Times New Roman"/>
          <w:sz w:val="24"/>
          <w:szCs w:val="24"/>
        </w:rPr>
        <w:t xml:space="preserve"> </w:t>
      </w:r>
      <w:r>
        <w:rPr>
          <w:rFonts w:ascii="Times New Roman" w:hAnsi="Times New Roman" w:cs="Times New Roman"/>
          <w:sz w:val="24"/>
          <w:szCs w:val="24"/>
        </w:rPr>
        <w:t xml:space="preserve"> According to NERC, a</w:t>
      </w:r>
      <w:r w:rsidRPr="00FC5FD3">
        <w:rPr>
          <w:rFonts w:ascii="Times New Roman" w:hAnsi="Times New Roman" w:cs="Times New Roman"/>
          <w:sz w:val="24"/>
          <w:szCs w:val="24"/>
        </w:rPr>
        <w:t xml:space="preserve"> relay failure is most likely to occur as part of one of these functions. Reclosing relays are typically installed to lessen the burden on </w:t>
      </w:r>
      <w:r>
        <w:rPr>
          <w:rFonts w:ascii="Times New Roman" w:hAnsi="Times New Roman" w:cs="Times New Roman"/>
          <w:sz w:val="24"/>
          <w:szCs w:val="24"/>
        </w:rPr>
        <w:t>t</w:t>
      </w:r>
      <w:r w:rsidRPr="00FC5FD3">
        <w:rPr>
          <w:rFonts w:ascii="Times New Roman" w:hAnsi="Times New Roman" w:cs="Times New Roman"/>
          <w:sz w:val="24"/>
          <w:szCs w:val="24"/>
        </w:rPr>
        <w:t xml:space="preserve">ransmission </w:t>
      </w:r>
      <w:r>
        <w:rPr>
          <w:rFonts w:ascii="Times New Roman" w:hAnsi="Times New Roman" w:cs="Times New Roman"/>
          <w:sz w:val="24"/>
          <w:szCs w:val="24"/>
        </w:rPr>
        <w:t>o</w:t>
      </w:r>
      <w:r w:rsidRPr="00FC5FD3">
        <w:rPr>
          <w:rFonts w:ascii="Times New Roman" w:hAnsi="Times New Roman" w:cs="Times New Roman"/>
          <w:sz w:val="24"/>
          <w:szCs w:val="24"/>
        </w:rPr>
        <w:t>perators of manually</w:t>
      </w:r>
      <w:r>
        <w:rPr>
          <w:rFonts w:ascii="Times New Roman" w:hAnsi="Times New Roman" w:cs="Times New Roman"/>
          <w:sz w:val="24"/>
          <w:szCs w:val="24"/>
        </w:rPr>
        <w:t xml:space="preserve"> restoring transmission lines. </w:t>
      </w:r>
      <w:r w:rsidRPr="00FC5FD3">
        <w:rPr>
          <w:rFonts w:ascii="Times New Roman" w:hAnsi="Times New Roman" w:cs="Times New Roman"/>
          <w:sz w:val="24"/>
          <w:szCs w:val="24"/>
        </w:rPr>
        <w:t xml:space="preserve"> Relays of this type also provide improved capability in restoration of overhead transmission lines. The degree to which such capability is improved depends on the nature of the fault—permanent or temporary—and on </w:t>
      </w:r>
      <w:r>
        <w:rPr>
          <w:rFonts w:ascii="Times New Roman" w:hAnsi="Times New Roman" w:cs="Times New Roman"/>
          <w:sz w:val="24"/>
          <w:szCs w:val="24"/>
        </w:rPr>
        <w:t>t</w:t>
      </w:r>
      <w:r w:rsidRPr="00FC5FD3">
        <w:rPr>
          <w:rFonts w:ascii="Times New Roman" w:hAnsi="Times New Roman" w:cs="Times New Roman"/>
          <w:sz w:val="24"/>
          <w:szCs w:val="24"/>
        </w:rPr>
        <w:t xml:space="preserve">ransmission </w:t>
      </w:r>
      <w:r>
        <w:rPr>
          <w:rFonts w:ascii="Times New Roman" w:hAnsi="Times New Roman" w:cs="Times New Roman"/>
          <w:sz w:val="24"/>
          <w:szCs w:val="24"/>
        </w:rPr>
        <w:t>o</w:t>
      </w:r>
      <w:r w:rsidRPr="00FC5FD3">
        <w:rPr>
          <w:rFonts w:ascii="Times New Roman" w:hAnsi="Times New Roman" w:cs="Times New Roman"/>
          <w:sz w:val="24"/>
          <w:szCs w:val="24"/>
        </w:rPr>
        <w:t>perator practices</w:t>
      </w:r>
      <w:r>
        <w:rPr>
          <w:rFonts w:ascii="Times New Roman" w:hAnsi="Times New Roman" w:cs="Times New Roman"/>
          <w:sz w:val="24"/>
          <w:szCs w:val="24"/>
        </w:rPr>
        <w:t xml:space="preserve"> regarding manual restoration.</w:t>
      </w:r>
    </w:p>
    <w:p w:rsidR="00C233E7" w:rsidRDefault="00C233E7" w:rsidP="00995C70">
      <w:pPr>
        <w:spacing w:after="0"/>
        <w:rPr>
          <w:rFonts w:ascii="Times New Roman" w:hAnsi="Times New Roman" w:cs="Times New Roman"/>
          <w:sz w:val="24"/>
          <w:szCs w:val="24"/>
        </w:rPr>
      </w:pPr>
    </w:p>
    <w:p w:rsidR="00C233E7" w:rsidRDefault="00C233E7" w:rsidP="00995C70">
      <w:pPr>
        <w:spacing w:after="0"/>
        <w:rPr>
          <w:rFonts w:ascii="Times New Roman" w:hAnsi="Times New Roman" w:cs="Times New Roman"/>
          <w:sz w:val="24"/>
          <w:szCs w:val="24"/>
        </w:rPr>
      </w:pPr>
      <w:r w:rsidRPr="00FC5FD3">
        <w:rPr>
          <w:rFonts w:ascii="Times New Roman" w:hAnsi="Times New Roman" w:cs="Times New Roman"/>
          <w:sz w:val="24"/>
          <w:szCs w:val="24"/>
        </w:rPr>
        <w:t>While more efficient restoration of transmission lines following temporary faults does provide an inherent reliability benefit, certain applications of reclosing relays can result in undesired relay operation or operation not consistent with relay design, leading to adverse reliability impacts. Because certain applications of reclosing relays can have the potential to impact the Bulk-Power System, it is beneficial to reliability that those relays be included und</w:t>
      </w:r>
      <w:r w:rsidR="008B5B66">
        <w:rPr>
          <w:rFonts w:ascii="Times New Roman" w:hAnsi="Times New Roman" w:cs="Times New Roman"/>
          <w:sz w:val="24"/>
          <w:szCs w:val="24"/>
        </w:rPr>
        <w:t>er the applicability of</w:t>
      </w:r>
      <w:r w:rsidRPr="00FC5FD3">
        <w:rPr>
          <w:rFonts w:ascii="Times New Roman" w:hAnsi="Times New Roman" w:cs="Times New Roman"/>
          <w:sz w:val="24"/>
          <w:szCs w:val="24"/>
        </w:rPr>
        <w:t xml:space="preserve"> Reliability Standard PRC-005-3.</w:t>
      </w:r>
    </w:p>
    <w:p w:rsidR="00C233E7" w:rsidRDefault="00C233E7" w:rsidP="00995C7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233E7" w:rsidRDefault="00C233E7" w:rsidP="00995C70">
      <w:pPr>
        <w:spacing w:after="0"/>
        <w:rPr>
          <w:rFonts w:ascii="Times New Roman" w:hAnsi="Times New Roman" w:cs="Times New Roman"/>
          <w:sz w:val="24"/>
          <w:szCs w:val="24"/>
        </w:rPr>
      </w:pPr>
      <w:r>
        <w:rPr>
          <w:rFonts w:ascii="Times New Roman" w:hAnsi="Times New Roman" w:cs="Times New Roman"/>
          <w:sz w:val="24"/>
          <w:szCs w:val="24"/>
        </w:rPr>
        <w:t xml:space="preserve">Reliability Standard PRC-005-3 will require all GOs and TOs to perform a one-time review of existing plant substation sites to determine if they have reclosing relays that meet the inclusion criteria of the standard.  If a GO or TO has sites or </w:t>
      </w:r>
      <w:proofErr w:type="spellStart"/>
      <w:r>
        <w:rPr>
          <w:rFonts w:ascii="Times New Roman" w:hAnsi="Times New Roman" w:cs="Times New Roman"/>
          <w:sz w:val="24"/>
          <w:szCs w:val="24"/>
        </w:rPr>
        <w:t>subsites</w:t>
      </w:r>
      <w:proofErr w:type="spellEnd"/>
      <w:r>
        <w:rPr>
          <w:rFonts w:ascii="Times New Roman" w:hAnsi="Times New Roman" w:cs="Times New Roman"/>
          <w:sz w:val="24"/>
          <w:szCs w:val="24"/>
        </w:rPr>
        <w:t xml:space="preserve"> with reclosing relays that meet the inclusion criteria then they have to review their </w:t>
      </w:r>
      <w:r w:rsidRPr="00AD7B99">
        <w:rPr>
          <w:rFonts w:ascii="Times New Roman" w:hAnsi="Times New Roman" w:cs="Times New Roman"/>
          <w:sz w:val="24"/>
          <w:szCs w:val="24"/>
        </w:rPr>
        <w:t xml:space="preserve">existing reclosing scheme maintenance program to ensure that it contains at a minimum the </w:t>
      </w:r>
      <w:r>
        <w:rPr>
          <w:rFonts w:ascii="Times New Roman" w:hAnsi="Times New Roman" w:cs="Times New Roman"/>
          <w:sz w:val="24"/>
          <w:szCs w:val="24"/>
        </w:rPr>
        <w:t xml:space="preserve">maintenance </w:t>
      </w:r>
      <w:r w:rsidRPr="00AD7B99">
        <w:rPr>
          <w:rFonts w:ascii="Times New Roman" w:hAnsi="Times New Roman" w:cs="Times New Roman"/>
          <w:sz w:val="24"/>
          <w:szCs w:val="24"/>
        </w:rPr>
        <w:t>activities listed in Table 4 in Reliability Standard PRC-005-3, and that the activities are performed within the applicable maximum interval listed in Table 4.  If the existing reclosing scheme maintenance program does not meet the criteria in Reliability Standard PRC-005-3, the entity will have to make certain adjustments to the program.</w:t>
      </w:r>
    </w:p>
    <w:p w:rsidR="00C233E7" w:rsidRDefault="00C233E7" w:rsidP="00995C70">
      <w:pPr>
        <w:spacing w:after="0"/>
        <w:rPr>
          <w:rFonts w:ascii="Times New Roman" w:hAnsi="Times New Roman" w:cs="Times New Roman"/>
          <w:sz w:val="24"/>
          <w:szCs w:val="24"/>
        </w:rPr>
      </w:pPr>
    </w:p>
    <w:p w:rsidR="003410FA" w:rsidRDefault="00C233E7" w:rsidP="00995C70">
      <w:pPr>
        <w:spacing w:after="0"/>
        <w:rPr>
          <w:rFonts w:ascii="Times New Roman" w:hAnsi="Times New Roman" w:cs="Times New Roman"/>
          <w:sz w:val="24"/>
          <w:szCs w:val="24"/>
        </w:rPr>
      </w:pPr>
      <w:r>
        <w:rPr>
          <w:rFonts w:ascii="Times New Roman" w:hAnsi="Times New Roman" w:cs="Times New Roman"/>
          <w:sz w:val="24"/>
          <w:szCs w:val="24"/>
        </w:rPr>
        <w:lastRenderedPageBreak/>
        <w:t>The new information collection requirements in PRC-005-3 help to ensure that protection systems are well maintained and tested.  Without these new requirements there is an increased chance of protection systems not functioning properly</w:t>
      </w:r>
      <w:r w:rsidR="003410FA">
        <w:rPr>
          <w:rFonts w:ascii="Times New Roman" w:hAnsi="Times New Roman" w:cs="Times New Roman"/>
          <w:sz w:val="24"/>
          <w:szCs w:val="24"/>
        </w:rPr>
        <w:t>.</w:t>
      </w:r>
    </w:p>
    <w:p w:rsidR="004276A5" w:rsidRPr="00EB3E6F" w:rsidRDefault="004276A5" w:rsidP="004276A5">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45480C" w:rsidRDefault="0045480C" w:rsidP="0045480C">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w:t>
      </w:r>
    </w:p>
    <w:p w:rsidR="007A04A8" w:rsidRDefault="007A04A8" w:rsidP="0045480C">
      <w:pPr>
        <w:spacing w:after="0"/>
        <w:rPr>
          <w:rFonts w:ascii="Times New Roman" w:hAnsi="Times New Roman" w:cs="Times New Roman"/>
          <w:sz w:val="24"/>
          <w:szCs w:val="24"/>
        </w:rPr>
      </w:pPr>
    </w:p>
    <w:p w:rsidR="007A04A8" w:rsidRDefault="007A04A8" w:rsidP="0045480C">
      <w:pPr>
        <w:spacing w:after="0"/>
        <w:rPr>
          <w:rFonts w:ascii="Times New Roman" w:hAnsi="Times New Roman" w:cs="Times New Roman"/>
          <w:sz w:val="24"/>
          <w:szCs w:val="24"/>
        </w:rPr>
      </w:pPr>
      <w:r>
        <w:rPr>
          <w:rFonts w:ascii="Times New Roman" w:hAnsi="Times New Roman" w:cs="Times New Roman"/>
          <w:sz w:val="24"/>
          <w:szCs w:val="24"/>
        </w:rPr>
        <w:t>In general, the Commission supports the use of information technology to reduce burden.</w:t>
      </w:r>
    </w:p>
    <w:p w:rsidR="00466C57" w:rsidRPr="00EB3E6F" w:rsidRDefault="00466C57"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Reliability Standard </w:t>
      </w:r>
      <w:r w:rsidR="007A04A8">
        <w:rPr>
          <w:rFonts w:ascii="Times New Roman" w:hAnsi="Times New Roman" w:cs="Times New Roman"/>
          <w:sz w:val="24"/>
          <w:szCs w:val="24"/>
        </w:rPr>
        <w:t>PRC-005-3</w:t>
      </w:r>
      <w:r w:rsidR="00731C22">
        <w:rPr>
          <w:rFonts w:ascii="Times New Roman" w:hAnsi="Times New Roman" w:cs="Times New Roman"/>
          <w:sz w:val="24"/>
          <w:szCs w:val="24"/>
        </w:rPr>
        <w:t xml:space="preserve"> does not duplicate any filing requirements since the </w:t>
      </w:r>
      <w:r w:rsidR="007A04A8">
        <w:rPr>
          <w:rFonts w:ascii="Times New Roman" w:hAnsi="Times New Roman" w:cs="Times New Roman"/>
          <w:sz w:val="24"/>
          <w:szCs w:val="24"/>
        </w:rPr>
        <w:t>Final Rule</w:t>
      </w:r>
      <w:r w:rsidR="00731C22">
        <w:rPr>
          <w:rFonts w:ascii="Times New Roman" w:hAnsi="Times New Roman" w:cs="Times New Roman"/>
          <w:sz w:val="24"/>
          <w:szCs w:val="24"/>
        </w:rPr>
        <w:t xml:space="preserve"> </w:t>
      </w:r>
      <w:r w:rsidR="003410FA">
        <w:rPr>
          <w:rFonts w:ascii="Times New Roman" w:hAnsi="Times New Roman" w:cs="Times New Roman"/>
          <w:sz w:val="24"/>
          <w:szCs w:val="24"/>
        </w:rPr>
        <w:t xml:space="preserve">revises an existing standard </w:t>
      </w:r>
      <w:r w:rsidR="009A19ED">
        <w:rPr>
          <w:rFonts w:ascii="Times New Roman" w:hAnsi="Times New Roman" w:cs="Times New Roman"/>
          <w:sz w:val="24"/>
          <w:szCs w:val="24"/>
        </w:rPr>
        <w:t>to improve</w:t>
      </w:r>
      <w:r w:rsidR="003410FA">
        <w:rPr>
          <w:rFonts w:ascii="Times New Roman" w:hAnsi="Times New Roman" w:cs="Times New Roman"/>
          <w:sz w:val="24"/>
          <w:szCs w:val="24"/>
        </w:rPr>
        <w:t xml:space="preserve"> clarity and efficiency</w:t>
      </w:r>
      <w:r w:rsidR="00731C22">
        <w:rPr>
          <w:rFonts w:ascii="Times New Roman" w:hAnsi="Times New Roman" w:cs="Times New Roman"/>
          <w:sz w:val="24"/>
          <w:szCs w:val="24"/>
        </w:rPr>
        <w:t xml:space="preserve">.  </w:t>
      </w:r>
    </w:p>
    <w:p w:rsidR="00466C57" w:rsidRPr="00EB3E6F" w:rsidRDefault="00466C57"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736047">
        <w:rPr>
          <w:rFonts w:ascii="Times New Roman" w:hAnsi="Times New Roman" w:cs="Times New Roman"/>
          <w:sz w:val="24"/>
          <w:szCs w:val="24"/>
        </w:rPr>
        <w:t xml:space="preserve">RC estimates that there are </w:t>
      </w:r>
      <w:r w:rsidR="00CB04FF">
        <w:rPr>
          <w:rFonts w:ascii="Times New Roman" w:hAnsi="Times New Roman" w:cs="Times New Roman"/>
          <w:sz w:val="24"/>
          <w:szCs w:val="24"/>
        </w:rPr>
        <w:t>197</w:t>
      </w:r>
      <w:r w:rsidR="00CF759C" w:rsidRPr="00CF759C">
        <w:rPr>
          <w:rStyle w:val="FootnoteReference"/>
          <w:rFonts w:ascii="Times New Roman" w:hAnsi="Times New Roman" w:cs="Times New Roman"/>
          <w:sz w:val="24"/>
          <w:szCs w:val="24"/>
          <w:vertAlign w:val="superscript"/>
        </w:rPr>
        <w:footnoteReference w:id="12"/>
      </w:r>
      <w:r w:rsidR="00736047">
        <w:rPr>
          <w:rFonts w:ascii="Times New Roman" w:hAnsi="Times New Roman" w:cs="Times New Roman"/>
          <w:sz w:val="24"/>
          <w:szCs w:val="24"/>
        </w:rPr>
        <w:t xml:space="preserve"> small entities</w:t>
      </w:r>
      <w:r w:rsidRPr="001348AC">
        <w:rPr>
          <w:rFonts w:ascii="Times New Roman" w:hAnsi="Times New Roman" w:cs="Times New Roman"/>
          <w:sz w:val="24"/>
          <w:szCs w:val="24"/>
        </w:rPr>
        <w:t xml:space="preserve"> applicable to this rule.  FERC considers the impact of the rule to be very minimal.  </w:t>
      </w:r>
      <w:r w:rsidR="00736047">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13"/>
      </w:r>
      <w:r w:rsidR="0093102B">
        <w:rPr>
          <w:rFonts w:ascii="Times New Roman" w:hAnsi="Times New Roman" w:cs="Times New Roman"/>
          <w:sz w:val="24"/>
          <w:szCs w:val="24"/>
        </w:rPr>
        <w:t>.</w:t>
      </w:r>
    </w:p>
    <w:p w:rsidR="007A04A8" w:rsidRDefault="007A04A8" w:rsidP="00EB3E6F">
      <w:pPr>
        <w:spacing w:after="0"/>
        <w:rPr>
          <w:rFonts w:ascii="Times New Roman" w:hAnsi="Times New Roman" w:cs="Times New Roman"/>
          <w:sz w:val="24"/>
          <w:szCs w:val="24"/>
        </w:rPr>
      </w:pPr>
    </w:p>
    <w:p w:rsidR="007A04A8" w:rsidRDefault="007A04A8" w:rsidP="00EB3E6F">
      <w:pPr>
        <w:spacing w:after="0"/>
        <w:rPr>
          <w:rFonts w:ascii="Times New Roman" w:hAnsi="Times New Roman" w:cs="Times New Roman"/>
          <w:sz w:val="24"/>
          <w:szCs w:val="24"/>
        </w:rPr>
      </w:pPr>
      <w:r>
        <w:rPr>
          <w:rFonts w:ascii="Times New Roman" w:hAnsi="Times New Roman" w:cs="Times New Roman"/>
          <w:sz w:val="24"/>
          <w:szCs w:val="24"/>
        </w:rPr>
        <w:t xml:space="preserve">In this Final Rule, the approved changes are estimated to cost </w:t>
      </w:r>
      <w:r w:rsidR="00CB04FF">
        <w:rPr>
          <w:rFonts w:ascii="Times New Roman" w:hAnsi="Times New Roman" w:cs="Times New Roman"/>
          <w:sz w:val="24"/>
          <w:szCs w:val="24"/>
        </w:rPr>
        <w:t>small entities approximately $730</w:t>
      </w:r>
      <w:r>
        <w:rPr>
          <w:rFonts w:ascii="Times New Roman" w:hAnsi="Times New Roman" w:cs="Times New Roman"/>
          <w:sz w:val="24"/>
          <w:szCs w:val="24"/>
        </w:rPr>
        <w:t xml:space="preserve"> which Commission staff considers minimal.</w:t>
      </w:r>
    </w:p>
    <w:p w:rsidR="001348AC" w:rsidRPr="00EB3E6F" w:rsidRDefault="001348AC"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937A89" w:rsidRDefault="007A04A8" w:rsidP="00937A89">
      <w:pPr>
        <w:spacing w:after="0"/>
        <w:rPr>
          <w:rFonts w:ascii="Times New Roman" w:hAnsi="Times New Roman" w:cs="Times New Roman"/>
          <w:sz w:val="24"/>
          <w:szCs w:val="24"/>
        </w:rPr>
      </w:pPr>
      <w:r>
        <w:rPr>
          <w:rFonts w:ascii="Times New Roman" w:hAnsi="Times New Roman" w:cs="Times New Roman"/>
          <w:sz w:val="24"/>
          <w:szCs w:val="24"/>
        </w:rPr>
        <w:t xml:space="preserve">The additional burden imposed by this Final Rule is one-time only and cannot be conducted less frequently.  The record retention requirements are either existing </w:t>
      </w:r>
      <w:r w:rsidR="009B43F8">
        <w:rPr>
          <w:rFonts w:ascii="Times New Roman" w:hAnsi="Times New Roman" w:cs="Times New Roman"/>
          <w:sz w:val="24"/>
          <w:szCs w:val="24"/>
        </w:rPr>
        <w:t>requirements or considered usua</w:t>
      </w:r>
      <w:r>
        <w:rPr>
          <w:rFonts w:ascii="Times New Roman" w:hAnsi="Times New Roman" w:cs="Times New Roman"/>
          <w:sz w:val="24"/>
          <w:szCs w:val="24"/>
        </w:rPr>
        <w:t>l business practice.  The record retention requirements are not modified by this Final Rule.</w:t>
      </w:r>
    </w:p>
    <w:p w:rsidR="00297631" w:rsidRPr="00EB3E6F" w:rsidRDefault="00297631"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954EE" w:rsidRPr="009468C0" w:rsidRDefault="00E954EE" w:rsidP="00E954EE">
      <w:pPr>
        <w:spacing w:after="0" w:line="240" w:lineRule="auto"/>
        <w:rPr>
          <w:rFonts w:ascii="Times New Roman" w:hAnsi="Times New Roman"/>
          <w:sz w:val="24"/>
          <w:szCs w:val="24"/>
        </w:rPr>
      </w:pPr>
      <w:r w:rsidRPr="009468C0">
        <w:rPr>
          <w:rFonts w:ascii="Times New Roman" w:hAnsi="Times New Roman"/>
          <w:sz w:val="24"/>
          <w:szCs w:val="24"/>
        </w:rPr>
        <w:t xml:space="preserve">There </w:t>
      </w:r>
      <w:r>
        <w:rPr>
          <w:rFonts w:ascii="Times New Roman" w:hAnsi="Times New Roman"/>
          <w:sz w:val="24"/>
          <w:szCs w:val="24"/>
        </w:rPr>
        <w:t>is one</w:t>
      </w:r>
      <w:r w:rsidRPr="009468C0">
        <w:rPr>
          <w:rFonts w:ascii="Times New Roman" w:hAnsi="Times New Roman"/>
          <w:sz w:val="24"/>
          <w:szCs w:val="24"/>
        </w:rPr>
        <w:t xml:space="preserve"> special circumstances as described in 5 CFR 1320.5(d)(2) related</w:t>
      </w:r>
      <w:r>
        <w:rPr>
          <w:rFonts w:ascii="Times New Roman" w:hAnsi="Times New Roman"/>
          <w:sz w:val="24"/>
          <w:szCs w:val="24"/>
        </w:rPr>
        <w:t xml:space="preserve"> to this information collection:</w:t>
      </w:r>
    </w:p>
    <w:p w:rsidR="00E954EE" w:rsidRPr="009468C0" w:rsidRDefault="00E954EE" w:rsidP="00E954EE">
      <w:pPr>
        <w:spacing w:after="0" w:line="240" w:lineRule="auto"/>
        <w:rPr>
          <w:rFonts w:ascii="Times New Roman" w:hAnsi="Times New Roman"/>
          <w:sz w:val="24"/>
          <w:szCs w:val="24"/>
        </w:rPr>
      </w:pPr>
    </w:p>
    <w:p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 xml:space="preserve">The data retention requirement in the Reliability Standard </w:t>
      </w:r>
      <w:r w:rsidR="007A04A8">
        <w:rPr>
          <w:rFonts w:ascii="Times New Roman" w:hAnsi="Times New Roman"/>
          <w:sz w:val="24"/>
          <w:szCs w:val="24"/>
        </w:rPr>
        <w:t>PRC-005-3</w:t>
      </w:r>
      <w:r>
        <w:rPr>
          <w:rFonts w:ascii="Times New Roman" w:hAnsi="Times New Roman"/>
          <w:sz w:val="24"/>
          <w:szCs w:val="24"/>
        </w:rPr>
        <w:t xml:space="preserve"> says:</w:t>
      </w:r>
    </w:p>
    <w:p w:rsidR="00E954EE" w:rsidRDefault="00E954EE" w:rsidP="00E954EE">
      <w:pPr>
        <w:spacing w:after="0" w:line="240" w:lineRule="auto"/>
        <w:rPr>
          <w:rFonts w:ascii="Times New Roman" w:hAnsi="Times New Roman"/>
          <w:sz w:val="24"/>
          <w:szCs w:val="24"/>
        </w:rPr>
      </w:pPr>
    </w:p>
    <w:p w:rsidR="007A04A8" w:rsidRDefault="007A04A8" w:rsidP="007A04A8">
      <w:pPr>
        <w:autoSpaceDE w:val="0"/>
        <w:autoSpaceDN w:val="0"/>
        <w:adjustRightInd w:val="0"/>
        <w:spacing w:after="0" w:line="240" w:lineRule="auto"/>
        <w:ind w:left="720"/>
        <w:rPr>
          <w:rFonts w:ascii="Times New Roman" w:hAnsi="Times New Roman" w:cs="Times New Roman"/>
          <w:sz w:val="24"/>
          <w:szCs w:val="24"/>
        </w:rPr>
      </w:pPr>
      <w:r w:rsidRPr="007A04A8">
        <w:rPr>
          <w:rFonts w:ascii="Times New Roman" w:hAnsi="Times New Roman" w:cs="Times New Roman"/>
          <w:sz w:val="24"/>
          <w:szCs w:val="24"/>
        </w:rPr>
        <w:t>For Requirement R2, Requirement R3, Requirement R4, and Requirement R5, the Transmission Owner, Generator Owner, and Distribution Provider shall each keep documentation of the two most recent performances of each distinct maintenance activity for the Protection System or Automatic Reclosing Component, or all performances of each distinct maintenance activity for the Protection System or Automatic Reclosing Component since the previous scheduled audit date, whichever is longer.</w:t>
      </w:r>
    </w:p>
    <w:p w:rsidR="007A04A8" w:rsidRDefault="007A04A8" w:rsidP="00461AD2">
      <w:pPr>
        <w:autoSpaceDE w:val="0"/>
        <w:autoSpaceDN w:val="0"/>
        <w:adjustRightInd w:val="0"/>
        <w:spacing w:after="0" w:line="240" w:lineRule="auto"/>
        <w:rPr>
          <w:rFonts w:ascii="Times New Roman" w:hAnsi="Times New Roman" w:cs="Times New Roman"/>
          <w:sz w:val="24"/>
          <w:szCs w:val="24"/>
        </w:rPr>
      </w:pPr>
    </w:p>
    <w:p w:rsidR="00E817F8" w:rsidRDefault="007A04A8" w:rsidP="00461AD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Based on the above passage, entities may have to retain some documentation for as long as 24 years which is significantly longer than the 3-year maximum period allowed by OMB.</w:t>
      </w:r>
      <w:r w:rsidR="00E817F8">
        <w:rPr>
          <w:rFonts w:ascii="Times New Roman" w:hAnsi="Times New Roman" w:cs="Times New Roman"/>
          <w:sz w:val="24"/>
          <w:szCs w:val="24"/>
        </w:rPr>
        <w:t xml:space="preserve">  Recognizing and acknowledging OMB’s requirements, NERC provides the following explanation about the maintenance intervals in the proposed standard:</w:t>
      </w:r>
    </w:p>
    <w:p w:rsidR="00E817F8" w:rsidRDefault="00E817F8" w:rsidP="00461AD2">
      <w:pPr>
        <w:autoSpaceDE w:val="0"/>
        <w:autoSpaceDN w:val="0"/>
        <w:adjustRightInd w:val="0"/>
        <w:spacing w:after="0" w:line="240" w:lineRule="auto"/>
        <w:rPr>
          <w:rFonts w:ascii="Times New Roman" w:hAnsi="Times New Roman" w:cs="Times New Roman"/>
          <w:sz w:val="24"/>
          <w:szCs w:val="24"/>
        </w:rPr>
      </w:pPr>
    </w:p>
    <w:p w:rsidR="00E817F8" w:rsidRPr="00CB0A47" w:rsidRDefault="00E817F8" w:rsidP="00E817F8">
      <w:pPr>
        <w:pStyle w:val="Default"/>
        <w:ind w:left="1440"/>
      </w:pPr>
      <w:r>
        <w:tab/>
      </w:r>
      <w:r w:rsidRPr="00CB0A47">
        <w:t xml:space="preserve">Proposed PRC-005-3 continues to require entities to maintain documentation for the longer of: (1) the two most recent performances of each distinct maintenance activity for the Protection System or Automatic Reclosing Component; (2) all performances of each distinct maintenance activity for the Protection System or Automatic reclosing Component since the previous scheduled audit date. </w:t>
      </w:r>
      <w:r>
        <w:t xml:space="preserve"> </w:t>
      </w:r>
      <w:r w:rsidRPr="00CB0A47">
        <w:t xml:space="preserve">The Standard Drafting Team explains that this requirement assures that documentation is available to show that the time between maintenance cycles correctly meets the maintenance interval limits. </w:t>
      </w:r>
      <w:r>
        <w:t xml:space="preserve"> </w:t>
      </w:r>
      <w:r w:rsidRPr="00CB0A47">
        <w:t xml:space="preserve">Maintaining elements according to these intervals is a critical aspect of properly maintaining a covered Component. Because some maintenance intervals in proposed PRC-005-3 (and the predecessor Reliability Standard PRC-005-2) are up to twelve years, it is possible that an entity may need to retain records for up to twenty-four years. </w:t>
      </w:r>
    </w:p>
    <w:p w:rsidR="00E817F8" w:rsidRPr="00CB0A47" w:rsidRDefault="00E817F8" w:rsidP="00E817F8">
      <w:pPr>
        <w:spacing w:after="0" w:line="240" w:lineRule="auto"/>
        <w:ind w:left="1440"/>
        <w:rPr>
          <w:rFonts w:ascii="Times New Roman" w:hAnsi="Times New Roman" w:cs="Times New Roman"/>
          <w:sz w:val="24"/>
          <w:szCs w:val="24"/>
        </w:rPr>
      </w:pPr>
    </w:p>
    <w:p w:rsidR="00E817F8" w:rsidRPr="00CB0A47" w:rsidRDefault="00E817F8" w:rsidP="00E817F8">
      <w:pPr>
        <w:pStyle w:val="Default"/>
        <w:ind w:left="1440"/>
      </w:pPr>
      <w:r w:rsidRPr="00CB0A47">
        <w:t xml:space="preserve">The evidence retention periods in proposed Reliability Standard PRC-005-3 continue to be reasonable for this type of activity. </w:t>
      </w:r>
      <w:r>
        <w:t xml:space="preserve"> </w:t>
      </w:r>
      <w:r w:rsidRPr="00CB0A47">
        <w:t xml:space="preserve">The type of evidence entities will retain to demonstrate that maintenance was last completed within a given interval are the usual and customary documents maintained by these entities today </w:t>
      </w:r>
      <w:r w:rsidRPr="00CB0A47">
        <w:lastRenderedPageBreak/>
        <w:t xml:space="preserve">to document maintenance internally of various components. </w:t>
      </w:r>
      <w:r>
        <w:t xml:space="preserve"> </w:t>
      </w:r>
      <w:r w:rsidRPr="00CB0A47">
        <w:t xml:space="preserve">While the time intervals may seem longer than an entity may reasonably retain such records, the lengthy periods are necessary to establish maintenance has occurred according to the mandated intervals. </w:t>
      </w:r>
      <w:r>
        <w:t xml:space="preserve"> </w:t>
      </w:r>
      <w:r w:rsidRPr="00CB0A47">
        <w:t xml:space="preserve">Retaining records for the two most recent performances of each distinct maintenance activity, where the interval is twelve years, is how the twenty-four year retention period arises. </w:t>
      </w:r>
      <w:r>
        <w:t xml:space="preserve"> </w:t>
      </w:r>
      <w:r w:rsidRPr="00CB0A47">
        <w:t xml:space="preserve">Shortening the time period for retention would require that the maintenance intervals be reduced as well, which would significantly increase capital maintenance costs since entities would need to maintain Components under tighter time constraints. </w:t>
      </w:r>
    </w:p>
    <w:p w:rsidR="00E817F8" w:rsidRPr="00CB0A47" w:rsidRDefault="00E817F8" w:rsidP="00E817F8">
      <w:pPr>
        <w:pStyle w:val="Default"/>
        <w:ind w:left="1440"/>
      </w:pPr>
    </w:p>
    <w:p w:rsidR="00E817F8" w:rsidRPr="00CB0A47" w:rsidRDefault="00E817F8" w:rsidP="00E817F8">
      <w:pPr>
        <w:pStyle w:val="Default"/>
        <w:ind w:left="1440"/>
      </w:pPr>
      <w:r w:rsidRPr="00CB0A47">
        <w:t xml:space="preserve">The Measures in the proposed Reliability Standard provide examples of acceptable types of evidence for each Requirement, but the Measures do not mandate specific records be kept. </w:t>
      </w:r>
      <w:r>
        <w:t xml:space="preserve"> </w:t>
      </w:r>
      <w:r w:rsidRPr="00CB0A47">
        <w:t xml:space="preserve">Therefore, entities will have the flexibility to determine the level of documentation needed to verify this limited element of the proposed Reliability Standard. </w:t>
      </w:r>
      <w:r>
        <w:t xml:space="preserve"> </w:t>
      </w:r>
      <w:r w:rsidRPr="00CB0A47">
        <w:t xml:space="preserve">Generally, entities will likely only maintain summaries of their maintenance activities pertaining to the prior period in order to establish that the proper intervals were met. </w:t>
      </w:r>
      <w:r>
        <w:t xml:space="preserve"> </w:t>
      </w:r>
      <w:r w:rsidRPr="00CB0A47">
        <w:t xml:space="preserve">Therefore, the burden will be minimal compared to the increased capital costs that would result from shortening the intervals to create a shorter maximum retention time. </w:t>
      </w:r>
    </w:p>
    <w:p w:rsidR="00E817F8" w:rsidRPr="00CB0A47" w:rsidRDefault="00E817F8" w:rsidP="00E817F8">
      <w:pPr>
        <w:pStyle w:val="Default"/>
        <w:ind w:left="1440"/>
      </w:pPr>
    </w:p>
    <w:p w:rsidR="00E817F8" w:rsidRPr="00CB0A47" w:rsidRDefault="00E817F8" w:rsidP="00E817F8">
      <w:pPr>
        <w:spacing w:after="0" w:line="240" w:lineRule="auto"/>
        <w:ind w:left="1440"/>
        <w:rPr>
          <w:rFonts w:ascii="Times New Roman" w:hAnsi="Times New Roman" w:cs="Times New Roman"/>
          <w:sz w:val="24"/>
          <w:szCs w:val="24"/>
        </w:rPr>
      </w:pPr>
      <w:r w:rsidRPr="00CB0A47">
        <w:rPr>
          <w:rFonts w:ascii="Times New Roman" w:hAnsi="Times New Roman" w:cs="Times New Roman"/>
          <w:sz w:val="24"/>
          <w:szCs w:val="24"/>
        </w:rPr>
        <w:t>Recognizing that the period is long, NERC has requested that the Standard Drafting Team consider possible alternatives or refinements to the evidence retention periods in the PRC-005 Reliability Standard for all covered Component Types as part of NERC Project 2007-17.3 – Protection System Maintenance and Testing (Sudden Pressure Relays).</w:t>
      </w:r>
    </w:p>
    <w:p w:rsidR="00E817F8" w:rsidRPr="009468C0" w:rsidRDefault="00E817F8" w:rsidP="00E817F8">
      <w:pPr>
        <w:spacing w:after="0" w:line="240" w:lineRule="auto"/>
        <w:rPr>
          <w:rFonts w:ascii="Times New Roman" w:hAnsi="Times New Roman"/>
          <w:sz w:val="24"/>
          <w:szCs w:val="24"/>
        </w:rPr>
      </w:pPr>
    </w:p>
    <w:p w:rsidR="00E817F8" w:rsidRDefault="00E817F8" w:rsidP="00E817F8">
      <w:pPr>
        <w:spacing w:after="0" w:line="240" w:lineRule="auto"/>
        <w:rPr>
          <w:rFonts w:ascii="Times New Roman" w:hAnsi="Times New Roman"/>
          <w:sz w:val="24"/>
          <w:szCs w:val="24"/>
        </w:rPr>
      </w:pPr>
      <w:r>
        <w:rPr>
          <w:rFonts w:ascii="Times New Roman" w:hAnsi="Times New Roman"/>
          <w:sz w:val="24"/>
          <w:szCs w:val="24"/>
        </w:rPr>
        <w:t xml:space="preserve">In response to OMB’s current terms of clearance for this collection (ICR# </w:t>
      </w:r>
      <w:r w:rsidRPr="00FB719C">
        <w:rPr>
          <w:rFonts w:ascii="Times New Roman" w:hAnsi="Times New Roman"/>
          <w:sz w:val="24"/>
          <w:szCs w:val="24"/>
        </w:rPr>
        <w:t>201312-1902-004</w:t>
      </w:r>
      <w:r>
        <w:rPr>
          <w:rFonts w:ascii="Times New Roman" w:hAnsi="Times New Roman"/>
          <w:sz w:val="24"/>
          <w:szCs w:val="24"/>
        </w:rPr>
        <w:t>, February 27, 2014), FERC included the following in the proposed rule:</w:t>
      </w:r>
      <w:r w:rsidRPr="0009791C">
        <w:rPr>
          <w:rStyle w:val="FootnoteReference"/>
          <w:rFonts w:ascii="Times New Roman" w:hAnsi="Times New Roman"/>
          <w:sz w:val="24"/>
          <w:szCs w:val="24"/>
          <w:vertAlign w:val="superscript"/>
        </w:rPr>
        <w:footnoteReference w:id="14"/>
      </w:r>
      <w:r w:rsidRPr="0009791C">
        <w:rPr>
          <w:rFonts w:ascii="Times New Roman" w:hAnsi="Times New Roman"/>
          <w:sz w:val="24"/>
          <w:szCs w:val="24"/>
          <w:vertAlign w:val="superscript"/>
        </w:rPr>
        <w:t xml:space="preserve"> </w:t>
      </w:r>
    </w:p>
    <w:p w:rsidR="00E817F8" w:rsidRDefault="00E817F8" w:rsidP="00E817F8">
      <w:pPr>
        <w:spacing w:after="0" w:line="240" w:lineRule="auto"/>
        <w:rPr>
          <w:rFonts w:ascii="Times New Roman" w:hAnsi="Times New Roman"/>
          <w:sz w:val="24"/>
          <w:szCs w:val="24"/>
        </w:rPr>
      </w:pPr>
    </w:p>
    <w:p w:rsidR="00E817F8" w:rsidRDefault="00E817F8" w:rsidP="00E817F8">
      <w:pPr>
        <w:spacing w:after="0" w:line="240" w:lineRule="auto"/>
        <w:ind w:left="1440"/>
        <w:rPr>
          <w:rFonts w:ascii="Times New Roman" w:hAnsi="Times New Roman"/>
          <w:sz w:val="24"/>
          <w:szCs w:val="24"/>
        </w:rPr>
      </w:pPr>
      <w:r w:rsidRPr="0009791C">
        <w:rPr>
          <w:rFonts w:ascii="Times New Roman" w:hAnsi="Times New Roman"/>
          <w:sz w:val="24"/>
          <w:szCs w:val="24"/>
        </w:rPr>
        <w:t xml:space="preserve">We agree with NERC that the data retention obligations appear to be negligible as compared to the benefit and reduced cost of a longer maintenance interval for the highly reliable components that are subject to such lengthy data retention requirements, and note that the data retention provisions were developed by industry experts and subject to approval by stakeholder vote.  However, we seek comment regarding the reasonableness of the proposed data retention obligations.  Specifically, for relays with a 12-year maintenance cycle, the Commission seeks comment from NERC and other interested entities whether: (a) there is substantial need to keep the maintenance records for two cycles, and (b) retaining these types of records for 24 years is overly burdensome or costly.  In addition, we seek comment as to whether entities would keep maintenance records for a similar time frame even if it were not required under PRC-005-3.  Finally, we seek comment on any alternatives to the two maintenance cycle/24 year record retention approach which could prove to be less costly and burdensome, or more effective.  </w:t>
      </w:r>
      <w:r w:rsidRPr="0009791C">
        <w:rPr>
          <w:rFonts w:ascii="Times New Roman" w:hAnsi="Times New Roman"/>
          <w:sz w:val="24"/>
          <w:szCs w:val="24"/>
        </w:rPr>
        <w:lastRenderedPageBreak/>
        <w:t>To the extent such alternatives are identified, we seek information on the associated costs and benefits of the alternative approach.</w:t>
      </w:r>
    </w:p>
    <w:p w:rsidR="008D310F" w:rsidRPr="009B43F8" w:rsidRDefault="008D310F" w:rsidP="009B43F8">
      <w:pPr>
        <w:autoSpaceDE w:val="0"/>
        <w:autoSpaceDN w:val="0"/>
        <w:adjustRightInd w:val="0"/>
        <w:spacing w:after="0" w:line="240" w:lineRule="auto"/>
        <w:rPr>
          <w:rFonts w:ascii="Times New Roman" w:hAnsi="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1F1AD9"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  T</w:t>
      </w:r>
      <w:r w:rsidR="0045446A">
        <w:rPr>
          <w:rFonts w:ascii="Times New Roman" w:hAnsi="Times New Roman" w:cs="Times New Roman"/>
          <w:sz w:val="24"/>
          <w:szCs w:val="24"/>
        </w:rPr>
        <w:t>he</w:t>
      </w:r>
      <w:r w:rsidRPr="002C1BFB">
        <w:rPr>
          <w:rFonts w:ascii="Times New Roman" w:hAnsi="Times New Roman" w:cs="Times New Roman"/>
          <w:sz w:val="24"/>
          <w:szCs w:val="24"/>
        </w:rPr>
        <w:t xml:space="preserve"> </w:t>
      </w:r>
      <w:r>
        <w:rPr>
          <w:rFonts w:ascii="Times New Roman" w:hAnsi="Times New Roman" w:cs="Times New Roman"/>
          <w:sz w:val="24"/>
          <w:szCs w:val="24"/>
        </w:rPr>
        <w:t xml:space="preserve">reliability </w:t>
      </w:r>
      <w:r w:rsidRPr="002C1BFB">
        <w:rPr>
          <w:rFonts w:ascii="Times New Roman" w:hAnsi="Times New Roman" w:cs="Times New Roman"/>
          <w:sz w:val="24"/>
          <w:szCs w:val="24"/>
        </w:rPr>
        <w:t xml:space="preserve">standard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submitted to the FERC for review and approval.   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w:t>
      </w:r>
      <w:r w:rsidR="0045446A">
        <w:rPr>
          <w:rFonts w:ascii="Times New Roman" w:hAnsi="Times New Roman" w:cs="Times New Roman"/>
          <w:sz w:val="24"/>
          <w:szCs w:val="24"/>
        </w:rPr>
        <w:t>gestions concerning the approved</w:t>
      </w:r>
      <w:r w:rsidRPr="002C1BFB">
        <w:rPr>
          <w:rFonts w:ascii="Times New Roman" w:hAnsi="Times New Roman" w:cs="Times New Roman"/>
          <w:sz w:val="24"/>
          <w:szCs w:val="24"/>
        </w:rPr>
        <w:t xml:space="preserve"> collection of data.  The </w:t>
      </w:r>
      <w:r w:rsidR="00E817F8">
        <w:rPr>
          <w:rFonts w:ascii="Times New Roman" w:hAnsi="Times New Roman" w:cs="Times New Roman"/>
          <w:sz w:val="24"/>
          <w:szCs w:val="24"/>
        </w:rPr>
        <w:t>Final</w:t>
      </w:r>
      <w:r w:rsidRPr="002C1BFB">
        <w:rPr>
          <w:rFonts w:ascii="Times New Roman" w:hAnsi="Times New Roman" w:cs="Times New Roman"/>
          <w:sz w:val="24"/>
          <w:szCs w:val="24"/>
        </w:rPr>
        <w:t xml:space="preserve"> </w:t>
      </w:r>
      <w:r w:rsidR="00E817F8">
        <w:rPr>
          <w:rFonts w:ascii="Times New Roman" w:hAnsi="Times New Roman" w:cs="Times New Roman"/>
          <w:sz w:val="24"/>
          <w:szCs w:val="24"/>
        </w:rPr>
        <w:t>R</w:t>
      </w:r>
      <w:r w:rsidRPr="002C1BFB">
        <w:rPr>
          <w:rFonts w:ascii="Times New Roman" w:hAnsi="Times New Roman" w:cs="Times New Roman"/>
          <w:sz w:val="24"/>
          <w:szCs w:val="24"/>
        </w:rPr>
        <w:t>ule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sidR="00E954EE">
        <w:rPr>
          <w:rFonts w:ascii="Times New Roman" w:hAnsi="Times New Roman" w:cs="Times New Roman"/>
          <w:sz w:val="24"/>
          <w:szCs w:val="24"/>
        </w:rPr>
        <w:t>1</w:t>
      </w:r>
      <w:r w:rsidR="005E2146" w:rsidRPr="00236674">
        <w:rPr>
          <w:rFonts w:ascii="Times New Roman" w:hAnsi="Times New Roman" w:cs="Times New Roman"/>
          <w:sz w:val="24"/>
          <w:szCs w:val="24"/>
        </w:rPr>
        <w:t>/</w:t>
      </w:r>
      <w:r w:rsidR="00E954EE">
        <w:rPr>
          <w:rFonts w:ascii="Times New Roman" w:hAnsi="Times New Roman" w:cs="Times New Roman"/>
          <w:sz w:val="24"/>
          <w:szCs w:val="24"/>
        </w:rPr>
        <w:t>2</w:t>
      </w:r>
      <w:r w:rsidR="00E817F8">
        <w:rPr>
          <w:rFonts w:ascii="Times New Roman" w:hAnsi="Times New Roman" w:cs="Times New Roman"/>
          <w:sz w:val="24"/>
          <w:szCs w:val="24"/>
        </w:rPr>
        <w:t>8</w:t>
      </w:r>
      <w:r w:rsidR="00236674" w:rsidRPr="00236674">
        <w:rPr>
          <w:rFonts w:ascii="Times New Roman" w:hAnsi="Times New Roman" w:cs="Times New Roman"/>
          <w:sz w:val="24"/>
          <w:szCs w:val="24"/>
        </w:rPr>
        <w:t>/201</w:t>
      </w:r>
      <w:r w:rsidR="00E817F8">
        <w:rPr>
          <w:rFonts w:ascii="Times New Roman" w:hAnsi="Times New Roman" w:cs="Times New Roman"/>
          <w:sz w:val="24"/>
          <w:szCs w:val="24"/>
        </w:rPr>
        <w:t>5</w:t>
      </w:r>
      <w:r w:rsidR="00236674" w:rsidRPr="00236674">
        <w:rPr>
          <w:rFonts w:ascii="Times New Roman" w:hAnsi="Times New Roman" w:cs="Times New Roman"/>
          <w:sz w:val="24"/>
          <w:szCs w:val="24"/>
        </w:rPr>
        <w:t xml:space="preserve"> (</w:t>
      </w:r>
      <w:r w:rsidR="00E817F8">
        <w:rPr>
          <w:rFonts w:ascii="Times New Roman" w:hAnsi="Times New Roman" w:cs="Times New Roman"/>
          <w:sz w:val="24"/>
          <w:szCs w:val="24"/>
        </w:rPr>
        <w:t>80</w:t>
      </w:r>
      <w:r w:rsidR="00236674" w:rsidRPr="00236674">
        <w:rPr>
          <w:rFonts w:ascii="Times New Roman" w:hAnsi="Times New Roman" w:cs="Times New Roman"/>
          <w:sz w:val="24"/>
          <w:szCs w:val="24"/>
        </w:rPr>
        <w:t xml:space="preserve"> FR </w:t>
      </w:r>
      <w:r w:rsidR="00E817F8">
        <w:rPr>
          <w:rFonts w:ascii="Times New Roman" w:hAnsi="Times New Roman" w:cs="Times New Roman"/>
          <w:sz w:val="24"/>
          <w:szCs w:val="24"/>
        </w:rPr>
        <w:t>4195</w:t>
      </w:r>
      <w:r w:rsidRPr="00236674">
        <w:rPr>
          <w:rFonts w:ascii="Times New Roman" w:hAnsi="Times New Roman" w:cs="Times New Roman"/>
          <w:sz w:val="24"/>
          <w:szCs w:val="24"/>
        </w:rPr>
        <w:t>).</w:t>
      </w:r>
    </w:p>
    <w:p w:rsidR="001F1AD9" w:rsidRDefault="001F1AD9" w:rsidP="00EB3E6F">
      <w:pPr>
        <w:spacing w:after="0"/>
        <w:rPr>
          <w:rFonts w:ascii="Times New Roman" w:hAnsi="Times New Roman" w:cs="Times New Roman"/>
          <w:sz w:val="24"/>
          <w:szCs w:val="24"/>
        </w:rPr>
      </w:pPr>
    </w:p>
    <w:p w:rsidR="00EB3E6F" w:rsidRDefault="001F1AD9" w:rsidP="00D64890">
      <w:pPr>
        <w:spacing w:after="0"/>
        <w:rPr>
          <w:rFonts w:ascii="Times New Roman" w:hAnsi="Times New Roman"/>
          <w:sz w:val="24"/>
          <w:szCs w:val="24"/>
        </w:rPr>
      </w:pPr>
      <w:r>
        <w:rPr>
          <w:rFonts w:ascii="Times New Roman" w:hAnsi="Times New Roman" w:cs="Times New Roman"/>
          <w:sz w:val="24"/>
          <w:szCs w:val="24"/>
        </w:rPr>
        <w:t>The Commission did not receive any comments pertaining either to pap</w:t>
      </w:r>
      <w:r w:rsidR="00D64890">
        <w:rPr>
          <w:rFonts w:ascii="Times New Roman" w:hAnsi="Times New Roman" w:cs="Times New Roman"/>
          <w:sz w:val="24"/>
          <w:szCs w:val="24"/>
        </w:rPr>
        <w:t xml:space="preserve">erwork (i.e. respondent) burden. However, </w:t>
      </w:r>
      <w:r w:rsidR="00D64890">
        <w:rPr>
          <w:rFonts w:ascii="Times New Roman" w:hAnsi="Times New Roman"/>
          <w:sz w:val="24"/>
          <w:szCs w:val="24"/>
        </w:rPr>
        <w:t>t</w:t>
      </w:r>
      <w:r w:rsidR="00002DA4">
        <w:rPr>
          <w:rFonts w:ascii="Times New Roman" w:hAnsi="Times New Roman"/>
          <w:sz w:val="24"/>
          <w:szCs w:val="24"/>
        </w:rPr>
        <w:t>he Commission received comments pertaining the reduction of the record retention requirements.  Specifically, comments argue how the next version will propose a record retention requirement that reduces how long the documentation period will be by more than half and asked the Commission not to act on this section under this rule.  Other comments received pertained to informational filings and methods to verify the efficiency of the reliability standards to cover the reclosing relays propose in NOPR.  These comments argue for a better way to measure the efficiency of the standard by engaging NERC in informal conversation and data collection.</w:t>
      </w:r>
    </w:p>
    <w:p w:rsidR="00D64890" w:rsidRDefault="00D64890" w:rsidP="00D64890">
      <w:pPr>
        <w:spacing w:after="0"/>
        <w:rPr>
          <w:rFonts w:ascii="Times New Roman" w:hAnsi="Times New Roman"/>
          <w:sz w:val="24"/>
          <w:szCs w:val="24"/>
        </w:rPr>
      </w:pPr>
    </w:p>
    <w:p w:rsidR="00D64890" w:rsidRDefault="00D64890" w:rsidP="00D64890">
      <w:pPr>
        <w:spacing w:after="0"/>
        <w:rPr>
          <w:rFonts w:ascii="Times New Roman" w:hAnsi="Times New Roman"/>
          <w:sz w:val="24"/>
          <w:szCs w:val="24"/>
        </w:rPr>
      </w:pPr>
      <w:r>
        <w:rPr>
          <w:rFonts w:ascii="Times New Roman" w:hAnsi="Times New Roman"/>
          <w:sz w:val="24"/>
          <w:szCs w:val="24"/>
        </w:rPr>
        <w:t>Comments pertaining to the reduction of the record retention requirements are uploaded to the ROCIS clearance package.</w:t>
      </w:r>
    </w:p>
    <w:p w:rsidR="00D64890" w:rsidRPr="00D64890" w:rsidRDefault="00D64890" w:rsidP="00D64890">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rsidR="008D310F" w:rsidRPr="00D80FBD" w:rsidRDefault="008D310F"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w:t>
      </w:r>
      <w:r w:rsidR="001A4B2D">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Pr="001507E4">
        <w:rPr>
          <w:rStyle w:val="FootnoteReference"/>
          <w:rFonts w:ascii="Times New Roman" w:hAnsi="Times New Roman" w:cs="Times New Roman"/>
          <w:sz w:val="24"/>
          <w:szCs w:val="24"/>
          <w:vertAlign w:val="superscript"/>
        </w:rPr>
        <w:footnoteReference w:id="15"/>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w:t>
      </w:r>
      <w:r>
        <w:rPr>
          <w:rFonts w:ascii="Times New Roman" w:hAnsi="Times New Roman" w:cs="Times New Roman"/>
          <w:sz w:val="24"/>
          <w:szCs w:val="24"/>
        </w:rPr>
        <w:lastRenderedPageBreak/>
        <w:t>permission of the Submitting Entity, except as otherwise legally required.”  This serves to protect confidential information submitted to NERC or Regional Entities.</w:t>
      </w:r>
    </w:p>
    <w:p w:rsidR="002C1BFB" w:rsidRDefault="002C1BFB" w:rsidP="002C1BFB">
      <w:pPr>
        <w:spacing w:after="0"/>
        <w:rPr>
          <w:rFonts w:ascii="Times New Roman" w:hAnsi="Times New Roman" w:cs="Times New Roman"/>
          <w:sz w:val="24"/>
          <w:szCs w:val="24"/>
        </w:rPr>
      </w:pPr>
    </w:p>
    <w:p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B43F8">
        <w:rPr>
          <w:rFonts w:ascii="Times New Roman" w:hAnsi="Times New Roman" w:cs="Times New Roman"/>
          <w:sz w:val="24"/>
          <w:szCs w:val="24"/>
        </w:rPr>
        <w:t>ion collected under the approved</w:t>
      </w:r>
      <w:r>
        <w:rPr>
          <w:rFonts w:ascii="Times New Roman" w:hAnsi="Times New Roman" w:cs="Times New Roman"/>
          <w:sz w:val="24"/>
          <w:szCs w:val="24"/>
        </w:rPr>
        <w:t xml:space="preserve"> Reliability Standard to FERC.  Rather, they maintain it internally.  Since there are no submissions made to FERC, FERC provides no specific provisions in order to protect confidentiality. </w:t>
      </w:r>
    </w:p>
    <w:p w:rsidR="008D310F" w:rsidRPr="00D80FBD" w:rsidRDefault="008D310F"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RDefault="00D80FBD" w:rsidP="00D80FBD">
      <w:pPr>
        <w:spacing w:after="0"/>
        <w:rPr>
          <w:rFonts w:ascii="Times New Roman" w:hAnsi="Times New Roman" w:cs="Times New Roman"/>
          <w:sz w:val="24"/>
          <w:szCs w:val="24"/>
        </w:rPr>
      </w:pPr>
    </w:p>
    <w:p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74195A" w:rsidRPr="00D80FBD" w:rsidRDefault="0074195A"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RDefault="00D80FBD" w:rsidP="00D80FBD">
      <w:pPr>
        <w:spacing w:after="0"/>
        <w:rPr>
          <w:rFonts w:ascii="Times New Roman" w:hAnsi="Times New Roman" w:cs="Times New Roman"/>
          <w:sz w:val="24"/>
          <w:szCs w:val="24"/>
        </w:rPr>
      </w:pPr>
    </w:p>
    <w:p w:rsidR="00247B75" w:rsidRDefault="00E954EE" w:rsidP="00E954EE">
      <w:pPr>
        <w:spacing w:after="0"/>
        <w:rPr>
          <w:rFonts w:ascii="Times New Roman" w:hAnsi="Times New Roman" w:cs="Times New Roman"/>
          <w:sz w:val="24"/>
          <w:szCs w:val="24"/>
        </w:rPr>
      </w:pPr>
      <w:r w:rsidRPr="00E954EE">
        <w:rPr>
          <w:rFonts w:ascii="Times New Roman" w:hAnsi="Times New Roman" w:cs="Times New Roman"/>
          <w:sz w:val="24"/>
          <w:szCs w:val="24"/>
        </w:rPr>
        <w:t>According to the NERC Compliance Registry</w:t>
      </w:r>
      <w:r w:rsidR="00417400">
        <w:rPr>
          <w:rFonts w:ascii="Times New Roman" w:hAnsi="Times New Roman" w:cs="Times New Roman"/>
          <w:sz w:val="24"/>
          <w:szCs w:val="24"/>
        </w:rPr>
        <w:t xml:space="preserve"> as of </w:t>
      </w:r>
      <w:r w:rsidR="00E45F58">
        <w:rPr>
          <w:rFonts w:ascii="Times New Roman" w:hAnsi="Times New Roman" w:cs="Times New Roman"/>
          <w:sz w:val="24"/>
          <w:szCs w:val="24"/>
        </w:rPr>
        <w:t>5/28</w:t>
      </w:r>
      <w:r w:rsidR="002E3C5B">
        <w:rPr>
          <w:rFonts w:ascii="Times New Roman" w:hAnsi="Times New Roman" w:cs="Times New Roman"/>
          <w:sz w:val="24"/>
          <w:szCs w:val="24"/>
        </w:rPr>
        <w:t>/2014</w:t>
      </w:r>
      <w:r w:rsidR="00E45F58">
        <w:rPr>
          <w:rFonts w:ascii="Times New Roman" w:hAnsi="Times New Roman" w:cs="Times New Roman"/>
          <w:sz w:val="24"/>
          <w:szCs w:val="24"/>
        </w:rPr>
        <w:t>, there are 937 generator owners and transmission operators</w:t>
      </w:r>
      <w:r w:rsidR="005A409F">
        <w:rPr>
          <w:rFonts w:ascii="Times New Roman" w:hAnsi="Times New Roman" w:cs="Times New Roman"/>
          <w:sz w:val="24"/>
          <w:szCs w:val="24"/>
        </w:rPr>
        <w:t xml:space="preserve"> are required to comply with this reliability standard.</w:t>
      </w:r>
      <w:r w:rsidRPr="00E954EE">
        <w:rPr>
          <w:rFonts w:ascii="Times New Roman" w:hAnsi="Times New Roman" w:cs="Times New Roman"/>
          <w:sz w:val="24"/>
          <w:szCs w:val="24"/>
        </w:rPr>
        <w:t xml:space="preserve"> The Commission bases individual burden estimates on the time needed for</w:t>
      </w:r>
      <w:r w:rsidR="005A409F">
        <w:rPr>
          <w:rFonts w:ascii="Times New Roman" w:hAnsi="Times New Roman" w:cs="Times New Roman"/>
          <w:sz w:val="24"/>
          <w:szCs w:val="24"/>
        </w:rPr>
        <w:t xml:space="preserve"> </w:t>
      </w:r>
      <w:r w:rsidR="00D26CCF">
        <w:rPr>
          <w:rFonts w:ascii="Times New Roman" w:hAnsi="Times New Roman" w:cs="Times New Roman"/>
          <w:sz w:val="24"/>
          <w:szCs w:val="24"/>
        </w:rPr>
        <w:t xml:space="preserve">an entity to conduct a </w:t>
      </w:r>
      <w:r w:rsidR="00DD54DC">
        <w:rPr>
          <w:rFonts w:ascii="Times New Roman" w:hAnsi="Times New Roman" w:cs="Times New Roman"/>
          <w:sz w:val="24"/>
          <w:szCs w:val="24"/>
        </w:rPr>
        <w:t>one-time</w:t>
      </w:r>
      <w:r w:rsidR="00D26CCF">
        <w:rPr>
          <w:rFonts w:ascii="Times New Roman" w:hAnsi="Times New Roman" w:cs="Times New Roman"/>
          <w:sz w:val="24"/>
          <w:szCs w:val="24"/>
        </w:rPr>
        <w:t xml:space="preserve"> </w:t>
      </w:r>
      <w:r w:rsidR="00DD54DC">
        <w:rPr>
          <w:rFonts w:ascii="Times New Roman" w:hAnsi="Times New Roman" w:cs="Times New Roman"/>
          <w:sz w:val="24"/>
          <w:szCs w:val="24"/>
        </w:rPr>
        <w:t xml:space="preserve">review </w:t>
      </w:r>
      <w:r w:rsidR="00DD54DC" w:rsidRPr="00DD54DC">
        <w:rPr>
          <w:rFonts w:ascii="Times New Roman" w:hAnsi="Times New Roman" w:cs="Times New Roman"/>
          <w:sz w:val="24"/>
          <w:szCs w:val="24"/>
        </w:rPr>
        <w:t>of existing plant and substation sites to determine which ones fall under PRC-005-3</w:t>
      </w:r>
      <w:r w:rsidR="00DD54DC">
        <w:rPr>
          <w:rFonts w:ascii="Times New Roman" w:hAnsi="Times New Roman" w:cs="Times New Roman"/>
          <w:sz w:val="24"/>
          <w:szCs w:val="24"/>
        </w:rPr>
        <w:t>.</w:t>
      </w:r>
      <w:r w:rsidRPr="00E954EE">
        <w:rPr>
          <w:rFonts w:ascii="Times New Roman" w:hAnsi="Times New Roman" w:cs="Times New Roman"/>
          <w:sz w:val="24"/>
          <w:szCs w:val="24"/>
        </w:rPr>
        <w:t xml:space="preserve">  These burden estimates are consistent with estimates for similar tasks in other Commission-approved Reliability </w:t>
      </w:r>
      <w:r w:rsidR="005A409F">
        <w:rPr>
          <w:rFonts w:ascii="Times New Roman" w:hAnsi="Times New Roman" w:cs="Times New Roman"/>
          <w:sz w:val="24"/>
          <w:szCs w:val="24"/>
        </w:rPr>
        <w:t>Standards.</w:t>
      </w:r>
    </w:p>
    <w:p w:rsidR="00720C5A" w:rsidRDefault="00720C5A" w:rsidP="00E954EE">
      <w:pPr>
        <w:spacing w:after="0"/>
        <w:rPr>
          <w:rFonts w:ascii="Times New Roman" w:hAnsi="Times New Roman" w:cs="Times New Roman"/>
          <w:sz w:val="24"/>
          <w:szCs w:val="24"/>
        </w:rPr>
      </w:pPr>
    </w:p>
    <w:p w:rsidR="00720C5A" w:rsidRDefault="00720C5A" w:rsidP="00E954EE">
      <w:pPr>
        <w:spacing w:after="0"/>
        <w:rPr>
          <w:rFonts w:ascii="Times New Roman" w:hAnsi="Times New Roman" w:cs="Times New Roman"/>
          <w:sz w:val="24"/>
          <w:szCs w:val="24"/>
        </w:rPr>
      </w:pPr>
      <w:r>
        <w:rPr>
          <w:rFonts w:ascii="Times New Roman" w:hAnsi="Times New Roman" w:cs="Times New Roman"/>
          <w:sz w:val="24"/>
          <w:szCs w:val="24"/>
        </w:rPr>
        <w:t>The existing</w:t>
      </w:r>
      <w:r w:rsidR="00316C42">
        <w:rPr>
          <w:rFonts w:ascii="Times New Roman" w:hAnsi="Times New Roman" w:cs="Times New Roman"/>
          <w:sz w:val="24"/>
          <w:szCs w:val="24"/>
        </w:rPr>
        <w:t xml:space="preserve"> </w:t>
      </w:r>
      <w:r w:rsidR="00E85D85">
        <w:rPr>
          <w:rFonts w:ascii="Times New Roman" w:hAnsi="Times New Roman" w:cs="Times New Roman"/>
          <w:sz w:val="24"/>
          <w:szCs w:val="24"/>
        </w:rPr>
        <w:t xml:space="preserve">one-time, </w:t>
      </w:r>
      <w:r w:rsidR="00316C42">
        <w:rPr>
          <w:rFonts w:ascii="Times New Roman" w:hAnsi="Times New Roman" w:cs="Times New Roman"/>
          <w:sz w:val="24"/>
          <w:szCs w:val="24"/>
        </w:rPr>
        <w:t>OMB-approved</w:t>
      </w:r>
      <w:r w:rsidR="005A409F">
        <w:rPr>
          <w:rFonts w:ascii="Times New Roman" w:hAnsi="Times New Roman" w:cs="Times New Roman"/>
          <w:sz w:val="24"/>
          <w:szCs w:val="24"/>
        </w:rPr>
        <w:t xml:space="preserve"> reporting burden for FERC-725P</w:t>
      </w:r>
      <w:r>
        <w:rPr>
          <w:rFonts w:ascii="Times New Roman" w:hAnsi="Times New Roman" w:cs="Times New Roman"/>
          <w:sz w:val="24"/>
          <w:szCs w:val="24"/>
        </w:rPr>
        <w:t xml:space="preserve"> </w:t>
      </w:r>
      <w:r w:rsidR="00316C42">
        <w:rPr>
          <w:rFonts w:ascii="Times New Roman" w:hAnsi="Times New Roman" w:cs="Times New Roman"/>
          <w:sz w:val="24"/>
          <w:szCs w:val="24"/>
        </w:rPr>
        <w:t>[</w:t>
      </w:r>
      <w:r>
        <w:rPr>
          <w:rFonts w:ascii="Times New Roman" w:hAnsi="Times New Roman" w:cs="Times New Roman"/>
          <w:sz w:val="24"/>
          <w:szCs w:val="24"/>
        </w:rPr>
        <w:t>due t</w:t>
      </w:r>
      <w:r w:rsidR="005A409F">
        <w:rPr>
          <w:rFonts w:ascii="Times New Roman" w:hAnsi="Times New Roman" w:cs="Times New Roman"/>
          <w:sz w:val="24"/>
          <w:szCs w:val="24"/>
        </w:rPr>
        <w:t>o a Final Rule in Docket RM13-7 (published by FERC on 7/24/2013</w:t>
      </w:r>
      <w:r>
        <w:rPr>
          <w:rFonts w:ascii="Times New Roman" w:hAnsi="Times New Roman" w:cs="Times New Roman"/>
          <w:sz w:val="24"/>
          <w:szCs w:val="24"/>
        </w:rPr>
        <w:t>)</w:t>
      </w:r>
      <w:r w:rsidRPr="00720C5A">
        <w:rPr>
          <w:rStyle w:val="FootnoteReference"/>
          <w:rFonts w:ascii="Times New Roman" w:hAnsi="Times New Roman" w:cs="Times New Roman"/>
          <w:sz w:val="24"/>
          <w:szCs w:val="24"/>
          <w:vertAlign w:val="superscript"/>
        </w:rPr>
        <w:footnoteReference w:id="16"/>
      </w:r>
      <w:r w:rsidR="00316C42">
        <w:rPr>
          <w:rFonts w:ascii="Times New Roman" w:hAnsi="Times New Roman" w:cs="Times New Roman"/>
          <w:sz w:val="24"/>
          <w:szCs w:val="24"/>
        </w:rPr>
        <w:t>]</w:t>
      </w:r>
      <w:r>
        <w:rPr>
          <w:rFonts w:ascii="Times New Roman" w:hAnsi="Times New Roman" w:cs="Times New Roman"/>
          <w:sz w:val="24"/>
          <w:szCs w:val="24"/>
        </w:rPr>
        <w:t xml:space="preserve"> is contained within the following table:</w:t>
      </w:r>
    </w:p>
    <w:p w:rsidR="0045446A" w:rsidRDefault="0045446A" w:rsidP="00E954EE">
      <w:pPr>
        <w:spacing w:after="0"/>
        <w:rPr>
          <w:rFonts w:ascii="Times New Roman" w:hAnsi="Times New Roman" w:cs="Times New Roman"/>
          <w:sz w:val="24"/>
          <w:szCs w:val="24"/>
        </w:rPr>
      </w:pPr>
    </w:p>
    <w:p w:rsidR="0045446A" w:rsidRDefault="0045446A" w:rsidP="00E954EE">
      <w:pPr>
        <w:spacing w:after="0"/>
        <w:rPr>
          <w:rFonts w:ascii="Times New Roman" w:hAnsi="Times New Roman" w:cs="Times New Roman"/>
          <w:sz w:val="24"/>
          <w:szCs w:val="24"/>
        </w:rPr>
      </w:pPr>
    </w:p>
    <w:p w:rsidR="0045446A" w:rsidRDefault="0045446A" w:rsidP="00E954EE">
      <w:pPr>
        <w:spacing w:after="0"/>
        <w:rPr>
          <w:rFonts w:ascii="Times New Roman" w:hAnsi="Times New Roman" w:cs="Times New Roman"/>
          <w:sz w:val="24"/>
          <w:szCs w:val="24"/>
        </w:rPr>
      </w:pPr>
    </w:p>
    <w:p w:rsidR="0045446A" w:rsidRDefault="0045446A" w:rsidP="00E954EE">
      <w:pPr>
        <w:spacing w:after="0"/>
        <w:rPr>
          <w:rFonts w:ascii="Times New Roman" w:hAnsi="Times New Roman" w:cs="Times New Roman"/>
          <w:sz w:val="24"/>
          <w:szCs w:val="24"/>
        </w:rPr>
      </w:pPr>
    </w:p>
    <w:p w:rsidR="0045446A" w:rsidRDefault="0045446A" w:rsidP="00E954EE">
      <w:pPr>
        <w:spacing w:after="0"/>
        <w:rPr>
          <w:rFonts w:ascii="Times New Roman" w:hAnsi="Times New Roman" w:cs="Times New Roman"/>
          <w:sz w:val="24"/>
          <w:szCs w:val="24"/>
        </w:rPr>
      </w:pPr>
    </w:p>
    <w:p w:rsidR="0045446A" w:rsidRDefault="0045446A" w:rsidP="00E954EE">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511"/>
        <w:gridCol w:w="1424"/>
        <w:gridCol w:w="1455"/>
        <w:gridCol w:w="1447"/>
        <w:gridCol w:w="1282"/>
      </w:tblGrid>
      <w:tr w:rsidR="00E85D85" w:rsidRPr="00B62DC2" w:rsidTr="001062AD">
        <w:trPr>
          <w:cantSplit/>
        </w:trPr>
        <w:tc>
          <w:tcPr>
            <w:tcW w:w="245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85D85" w:rsidRPr="00B62DC2" w:rsidRDefault="00E85D85" w:rsidP="001062AD">
            <w:pPr>
              <w:spacing w:after="0" w:line="240" w:lineRule="auto"/>
              <w:rPr>
                <w:rFonts w:ascii="Times New Roman" w:hAnsi="Times New Roman" w:cs="Times New Roman"/>
                <w:b/>
                <w:sz w:val="24"/>
                <w:szCs w:val="24"/>
              </w:rPr>
            </w:pPr>
            <w:r w:rsidRPr="00B62DC2">
              <w:rPr>
                <w:rFonts w:ascii="Times New Roman" w:hAnsi="Times New Roman" w:cs="Times New Roman"/>
                <w:b/>
                <w:sz w:val="24"/>
                <w:szCs w:val="24"/>
              </w:rPr>
              <w:t>Requirement</w:t>
            </w:r>
          </w:p>
        </w:tc>
        <w:tc>
          <w:tcPr>
            <w:tcW w:w="151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Affected Entities</w:t>
            </w:r>
          </w:p>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(1)</w:t>
            </w:r>
          </w:p>
        </w:tc>
        <w:tc>
          <w:tcPr>
            <w:tcW w:w="142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PSMP</w:t>
            </w:r>
            <w:r w:rsidRPr="00DE1A72">
              <w:rPr>
                <w:rStyle w:val="FootnoteReference"/>
                <w:rFonts w:ascii="Times New Roman" w:hAnsi="Times New Roman" w:cs="Times New Roman"/>
                <w:b/>
                <w:sz w:val="24"/>
                <w:szCs w:val="24"/>
                <w:vertAlign w:val="superscript"/>
              </w:rPr>
              <w:footnoteReference w:id="17"/>
            </w:r>
            <w:r w:rsidRPr="00B62DC2">
              <w:rPr>
                <w:rFonts w:ascii="Times New Roman" w:hAnsi="Times New Roman" w:cs="Times New Roman"/>
                <w:b/>
                <w:sz w:val="24"/>
                <w:szCs w:val="24"/>
              </w:rPr>
              <w:t xml:space="preserve"> Reviewed  Per Entity</w:t>
            </w:r>
          </w:p>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(2)</w:t>
            </w:r>
          </w:p>
        </w:tc>
        <w:tc>
          <w:tcPr>
            <w:tcW w:w="145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Average</w:t>
            </w:r>
          </w:p>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Hours per Review</w:t>
            </w:r>
          </w:p>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(3)</w:t>
            </w:r>
          </w:p>
        </w:tc>
        <w:tc>
          <w:tcPr>
            <w:tcW w:w="144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Total Burden Hours</w:t>
            </w:r>
          </w:p>
          <w:p w:rsidR="00E85D85"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(1)*(2)*(3)</w:t>
            </w:r>
          </w:p>
          <w:p w:rsidR="00E85D85" w:rsidRPr="00B62DC2" w:rsidRDefault="00E85D85" w:rsidP="001062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82" w:type="dxa"/>
            <w:tcBorders>
              <w:top w:val="single" w:sz="4" w:space="0" w:color="auto"/>
              <w:left w:val="single" w:sz="4" w:space="0" w:color="auto"/>
              <w:bottom w:val="single" w:sz="4" w:space="0" w:color="auto"/>
              <w:right w:val="single" w:sz="4" w:space="0" w:color="auto"/>
            </w:tcBorders>
            <w:shd w:val="clear" w:color="auto" w:fill="D9D9D9"/>
            <w:vAlign w:val="bottom"/>
          </w:tcPr>
          <w:p w:rsidR="00E85D85" w:rsidRPr="00B62DC2" w:rsidRDefault="00E85D85" w:rsidP="001062AD">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br/>
            </w:r>
            <w:r>
              <w:rPr>
                <w:rFonts w:ascii="Times New Roman" w:hAnsi="Times New Roman" w:cs="Times New Roman"/>
                <w:b/>
                <w:sz w:val="24"/>
                <w:szCs w:val="24"/>
              </w:rPr>
              <w:t xml:space="preserve">Total Cost </w:t>
            </w:r>
            <w:r>
              <w:rPr>
                <w:rFonts w:ascii="Times New Roman" w:hAnsi="Times New Roman" w:cs="Times New Roman"/>
                <w:b/>
                <w:sz w:val="24"/>
                <w:szCs w:val="24"/>
              </w:rPr>
              <w:br/>
              <w:t>(4)</w:t>
            </w:r>
            <w:r w:rsidRPr="00B62DC2">
              <w:rPr>
                <w:rFonts w:ascii="Times New Roman" w:hAnsi="Times New Roman" w:cs="Times New Roman"/>
                <w:b/>
                <w:sz w:val="24"/>
                <w:szCs w:val="24"/>
              </w:rPr>
              <w:t>*$70</w:t>
            </w:r>
            <w:r w:rsidRPr="00B62DC2">
              <w:rPr>
                <w:rFonts w:ascii="Times New Roman" w:hAnsi="Times New Roman" w:cs="Times New Roman"/>
                <w:sz w:val="24"/>
                <w:szCs w:val="24"/>
                <w:vertAlign w:val="superscript"/>
              </w:rPr>
              <w:footnoteReference w:id="18"/>
            </w:r>
          </w:p>
        </w:tc>
      </w:tr>
      <w:tr w:rsidR="00E85D85" w:rsidRPr="00B62DC2" w:rsidTr="001062AD">
        <w:trPr>
          <w:cantSplit/>
          <w:trHeight w:val="930"/>
        </w:trPr>
        <w:tc>
          <w:tcPr>
            <w:tcW w:w="2457" w:type="dxa"/>
            <w:tcBorders>
              <w:top w:val="single" w:sz="4" w:space="0" w:color="auto"/>
              <w:left w:val="single" w:sz="4" w:space="0" w:color="auto"/>
              <w:bottom w:val="single" w:sz="4" w:space="0" w:color="auto"/>
              <w:right w:val="single" w:sz="4" w:space="0" w:color="auto"/>
            </w:tcBorders>
            <w:vAlign w:val="center"/>
            <w:hideMark/>
          </w:tcPr>
          <w:p w:rsidR="00E85D85" w:rsidRPr="00B62DC2" w:rsidRDefault="00E85D85" w:rsidP="001062AD">
            <w:pPr>
              <w:spacing w:after="0" w:line="240" w:lineRule="auto"/>
              <w:rPr>
                <w:rFonts w:ascii="Times New Roman" w:hAnsi="Times New Roman" w:cs="Times New Roman"/>
                <w:sz w:val="24"/>
                <w:szCs w:val="24"/>
              </w:rPr>
            </w:pPr>
            <w:r w:rsidRPr="00B62DC2">
              <w:rPr>
                <w:rFonts w:ascii="Times New Roman" w:hAnsi="Times New Roman" w:cs="Times New Roman"/>
                <w:b/>
                <w:sz w:val="24"/>
                <w:szCs w:val="24"/>
              </w:rPr>
              <w:lastRenderedPageBreak/>
              <w:t>One time review and adjustment of existing protection system maintenance program</w:t>
            </w:r>
            <w:r w:rsidRPr="00B62DC2">
              <w:rPr>
                <w:rFonts w:ascii="Times New Roman" w:hAnsi="Times New Roman" w:cs="Times New Roman"/>
                <w:sz w:val="24"/>
                <w:szCs w:val="24"/>
              </w:rPr>
              <w:t xml:space="preserve"> </w:t>
            </w:r>
          </w:p>
        </w:tc>
        <w:tc>
          <w:tcPr>
            <w:tcW w:w="1511" w:type="dxa"/>
            <w:tcBorders>
              <w:top w:val="single" w:sz="4" w:space="0" w:color="auto"/>
              <w:left w:val="single" w:sz="4" w:space="0" w:color="auto"/>
              <w:bottom w:val="single" w:sz="4" w:space="0" w:color="auto"/>
              <w:right w:val="single" w:sz="4" w:space="0" w:color="auto"/>
            </w:tcBorders>
            <w:vAlign w:val="bottom"/>
            <w:hideMark/>
          </w:tcPr>
          <w:p w:rsidR="00E85D85" w:rsidRPr="00B62DC2" w:rsidRDefault="00E85D85" w:rsidP="001062AD">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867 </w:t>
            </w:r>
          </w:p>
        </w:tc>
        <w:tc>
          <w:tcPr>
            <w:tcW w:w="1424" w:type="dxa"/>
            <w:tcBorders>
              <w:top w:val="single" w:sz="4" w:space="0" w:color="auto"/>
              <w:left w:val="single" w:sz="4" w:space="0" w:color="auto"/>
              <w:bottom w:val="single" w:sz="4" w:space="0" w:color="auto"/>
              <w:right w:val="single" w:sz="4" w:space="0" w:color="auto"/>
            </w:tcBorders>
            <w:vAlign w:val="bottom"/>
            <w:hideMark/>
          </w:tcPr>
          <w:p w:rsidR="00E85D85" w:rsidRPr="00B62DC2" w:rsidRDefault="00E85D85" w:rsidP="001062AD">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1 </w:t>
            </w:r>
          </w:p>
        </w:tc>
        <w:tc>
          <w:tcPr>
            <w:tcW w:w="1455" w:type="dxa"/>
            <w:tcBorders>
              <w:top w:val="single" w:sz="4" w:space="0" w:color="auto"/>
              <w:left w:val="single" w:sz="4" w:space="0" w:color="auto"/>
              <w:bottom w:val="single" w:sz="4" w:space="0" w:color="auto"/>
              <w:right w:val="single" w:sz="4" w:space="0" w:color="auto"/>
            </w:tcBorders>
            <w:vAlign w:val="bottom"/>
            <w:hideMark/>
          </w:tcPr>
          <w:p w:rsidR="00E85D85" w:rsidRPr="00B62DC2" w:rsidRDefault="00E85D85" w:rsidP="001062AD">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8 </w:t>
            </w:r>
          </w:p>
        </w:tc>
        <w:tc>
          <w:tcPr>
            <w:tcW w:w="1447" w:type="dxa"/>
            <w:tcBorders>
              <w:top w:val="single" w:sz="4" w:space="0" w:color="auto"/>
              <w:left w:val="single" w:sz="4" w:space="0" w:color="auto"/>
              <w:bottom w:val="single" w:sz="4" w:space="0" w:color="auto"/>
              <w:right w:val="single" w:sz="4" w:space="0" w:color="auto"/>
            </w:tcBorders>
            <w:vAlign w:val="bottom"/>
          </w:tcPr>
          <w:p w:rsidR="00E85D85" w:rsidRPr="00B62DC2" w:rsidRDefault="00E85D85" w:rsidP="001062AD">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6,936</w:t>
            </w:r>
          </w:p>
        </w:tc>
        <w:tc>
          <w:tcPr>
            <w:tcW w:w="1282" w:type="dxa"/>
            <w:tcBorders>
              <w:top w:val="single" w:sz="4" w:space="0" w:color="auto"/>
              <w:left w:val="single" w:sz="4" w:space="0" w:color="auto"/>
              <w:bottom w:val="single" w:sz="4" w:space="0" w:color="auto"/>
              <w:right w:val="single" w:sz="4" w:space="0" w:color="auto"/>
            </w:tcBorders>
            <w:vAlign w:val="bottom"/>
          </w:tcPr>
          <w:p w:rsidR="00E85D85" w:rsidRPr="00B62DC2" w:rsidRDefault="00E85D85" w:rsidP="001062AD">
            <w:pPr>
              <w:spacing w:after="0" w:line="240" w:lineRule="auto"/>
              <w:jc w:val="right"/>
              <w:rPr>
                <w:rFonts w:ascii="Times New Roman" w:hAnsi="Times New Roman" w:cs="Times New Roman"/>
                <w:b/>
                <w:sz w:val="24"/>
                <w:szCs w:val="24"/>
              </w:rPr>
            </w:pPr>
            <w:r w:rsidRPr="00B62DC2">
              <w:rPr>
                <w:rFonts w:ascii="Times New Roman" w:hAnsi="Times New Roman" w:cs="Times New Roman"/>
                <w:b/>
                <w:sz w:val="24"/>
                <w:szCs w:val="24"/>
              </w:rPr>
              <w:t xml:space="preserve">$485,520 </w:t>
            </w:r>
          </w:p>
        </w:tc>
      </w:tr>
    </w:tbl>
    <w:p w:rsidR="00720C5A" w:rsidRDefault="00720C5A" w:rsidP="00E954EE">
      <w:pPr>
        <w:spacing w:after="0"/>
        <w:rPr>
          <w:rFonts w:ascii="Times New Roman" w:hAnsi="Times New Roman" w:cs="Times New Roman"/>
          <w:sz w:val="24"/>
          <w:szCs w:val="24"/>
        </w:rPr>
      </w:pPr>
    </w:p>
    <w:p w:rsidR="00EA5C58" w:rsidRPr="00D80FBD" w:rsidRDefault="00EA5C58" w:rsidP="008D310F">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sidR="00520617">
        <w:rPr>
          <w:rFonts w:ascii="Times New Roman" w:hAnsi="Times New Roman" w:cs="Times New Roman"/>
          <w:sz w:val="24"/>
          <w:szCs w:val="24"/>
        </w:rPr>
        <w:t>either FERC-725P or this rulemaking.  Commission staff assumes that the information collection requirements associated with this rulemaking can be completed by entities using existing hardware and/or software.</w:t>
      </w:r>
    </w:p>
    <w:p w:rsidR="0074195A" w:rsidRPr="0074195A" w:rsidRDefault="0074195A" w:rsidP="0074195A">
      <w:pPr>
        <w:spacing w:after="0"/>
        <w:rPr>
          <w:rFonts w:ascii="Times New Roman" w:hAnsi="Times New Roman" w:cs="Times New Roman"/>
          <w:sz w:val="24"/>
          <w:szCs w:val="24"/>
        </w:rPr>
      </w:pPr>
    </w:p>
    <w:p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520617">
        <w:rPr>
          <w:rFonts w:ascii="Times New Roman" w:hAnsi="Times New Roman" w:cs="Times New Roman"/>
          <w:sz w:val="24"/>
          <w:szCs w:val="24"/>
        </w:rPr>
        <w:t>Final Rule</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0074195A" w:rsidRPr="00E636D7" w:rsidRDefault="0074195A" w:rsidP="0074195A">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RDefault="00A276F5" w:rsidP="00A276F5">
      <w:pPr>
        <w:spacing w:after="0"/>
        <w:rPr>
          <w:rFonts w:ascii="Times New Roman" w:hAnsi="Times New Roman" w:cs="Times New Roman"/>
          <w:sz w:val="24"/>
          <w:szCs w:val="24"/>
        </w:rPr>
      </w:pPr>
    </w:p>
    <w:p w:rsidR="002A41B5" w:rsidRDefault="002A41B5" w:rsidP="00A276F5">
      <w:pPr>
        <w:spacing w:after="0"/>
        <w:rPr>
          <w:rFonts w:ascii="Times New Roman" w:hAnsi="Times New Roman" w:cs="Times New Roman"/>
          <w:sz w:val="24"/>
          <w:szCs w:val="24"/>
        </w:rPr>
      </w:pPr>
      <w:r w:rsidRPr="00077FB9">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Pr>
          <w:rFonts w:ascii="Times New Roman" w:hAnsi="Times New Roman"/>
          <w:sz w:val="24"/>
          <w:szCs w:val="24"/>
        </w:rPr>
        <w:t xml:space="preserve">OMB Control No. </w:t>
      </w:r>
      <w:r w:rsidRPr="00077FB9">
        <w:rPr>
          <w:rFonts w:ascii="Times New Roman" w:hAnsi="Times New Roman"/>
          <w:sz w:val="24"/>
          <w:szCs w:val="24"/>
        </w:rPr>
        <w:t>1902-0225) and is not part of this request or package</w:t>
      </w:r>
      <w:r>
        <w:rPr>
          <w:rFonts w:ascii="Times New Roman" w:hAnsi="Times New Roman"/>
          <w:sz w:val="24"/>
          <w:szCs w:val="24"/>
        </w:rPr>
        <w:t>.</w:t>
      </w:r>
    </w:p>
    <w:p w:rsidR="002A41B5" w:rsidRDefault="002A41B5" w:rsidP="00A276F5">
      <w:pPr>
        <w:spacing w:after="0"/>
        <w:rPr>
          <w:rFonts w:ascii="Times New Roman" w:hAnsi="Times New Roman" w:cs="Times New Roman"/>
          <w:sz w:val="24"/>
          <w:szCs w:val="24"/>
        </w:rPr>
      </w:pPr>
    </w:p>
    <w:p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w:t>
      </w:r>
      <w:r w:rsidR="0045446A">
        <w:rPr>
          <w:rFonts w:ascii="Times New Roman" w:hAnsi="Times New Roman" w:cs="Times New Roman"/>
          <w:sz w:val="24"/>
          <w:szCs w:val="24"/>
        </w:rPr>
        <w:t>P</w:t>
      </w:r>
      <w:r w:rsidRPr="00630A34">
        <w:rPr>
          <w:rFonts w:ascii="Times New Roman" w:hAnsi="Times New Roman" w:cs="Times New Roman"/>
          <w:sz w:val="24"/>
          <w:szCs w:val="24"/>
        </w:rPr>
        <w:t xml:space="preserve"> as related to the requirements in the </w:t>
      </w:r>
      <w:r w:rsidR="00520617">
        <w:rPr>
          <w:rFonts w:ascii="Times New Roman" w:hAnsi="Times New Roman" w:cs="Times New Roman"/>
          <w:sz w:val="24"/>
          <w:szCs w:val="24"/>
        </w:rPr>
        <w:t>Final Rule</w:t>
      </w:r>
      <w:r w:rsidRPr="00630A34">
        <w:rPr>
          <w:rFonts w:ascii="Times New Roman" w:hAnsi="Times New Roman" w:cs="Times New Roman"/>
          <w:sz w:val="24"/>
          <w:szCs w:val="24"/>
        </w:rPr>
        <w:t xml:space="preserve"> in </w:t>
      </w:r>
      <w:r w:rsidR="00AD16A3">
        <w:rPr>
          <w:rFonts w:ascii="Times New Roman" w:hAnsi="Times New Roman" w:cs="Times New Roman"/>
          <w:sz w:val="24"/>
          <w:szCs w:val="24"/>
        </w:rPr>
        <w:t>RM14-</w:t>
      </w:r>
      <w:r w:rsidR="00520617">
        <w:rPr>
          <w:rFonts w:ascii="Times New Roman" w:hAnsi="Times New Roman" w:cs="Times New Roman"/>
          <w:sz w:val="24"/>
          <w:szCs w:val="24"/>
        </w:rPr>
        <w:t>8</w:t>
      </w:r>
      <w:r w:rsidR="00AD16A3">
        <w:rPr>
          <w:rFonts w:ascii="Times New Roman" w:hAnsi="Times New Roman" w:cs="Times New Roman"/>
          <w:sz w:val="24"/>
          <w:szCs w:val="24"/>
        </w:rPr>
        <w:t>-000</w:t>
      </w:r>
      <w:r w:rsidRPr="00630A34">
        <w:rPr>
          <w:rFonts w:ascii="Times New Roman" w:hAnsi="Times New Roman" w:cs="Times New Roman"/>
          <w:sz w:val="24"/>
          <w:szCs w:val="24"/>
        </w:rPr>
        <w:t xml:space="preserve"> follows:</w:t>
      </w:r>
    </w:p>
    <w:p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rsidTr="002C63E1">
        <w:tc>
          <w:tcPr>
            <w:tcW w:w="3182" w:type="dxa"/>
            <w:tcBorders>
              <w:top w:val="single" w:sz="4" w:space="0" w:color="auto"/>
              <w:left w:val="single" w:sz="4" w:space="0" w:color="auto"/>
              <w:bottom w:val="single" w:sz="4" w:space="0" w:color="auto"/>
              <w:right w:val="single" w:sz="4" w:space="0" w:color="auto"/>
            </w:tcBorders>
            <w:hideMark/>
          </w:tcPr>
          <w:p w:rsidR="00630A34" w:rsidRPr="00630A34" w:rsidRDefault="00AD16A3" w:rsidP="007E220F">
            <w:pPr>
              <w:spacing w:after="0"/>
              <w:rPr>
                <w:rFonts w:ascii="Times New Roman" w:hAnsi="Times New Roman" w:cs="Times New Roman"/>
                <w:sz w:val="24"/>
                <w:szCs w:val="24"/>
              </w:rPr>
            </w:pPr>
            <w:r>
              <w:rPr>
                <w:rFonts w:ascii="Times New Roman" w:hAnsi="Times New Roman" w:cs="Times New Roman"/>
                <w:sz w:val="24"/>
                <w:szCs w:val="24"/>
              </w:rPr>
              <w:t>FERC-725</w:t>
            </w:r>
            <w:r w:rsidR="0045446A">
              <w:rPr>
                <w:rFonts w:ascii="Times New Roman" w:hAnsi="Times New Roman" w:cs="Times New Roman"/>
                <w:sz w:val="24"/>
                <w:szCs w:val="24"/>
              </w:rPr>
              <w:t>P</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rsidTr="002C63E1">
        <w:tc>
          <w:tcPr>
            <w:tcW w:w="3182" w:type="dxa"/>
            <w:tcBorders>
              <w:top w:val="single" w:sz="4" w:space="0" w:color="auto"/>
              <w:left w:val="single" w:sz="4" w:space="0" w:color="auto"/>
              <w:bottom w:val="single" w:sz="4" w:space="0" w:color="auto"/>
              <w:right w:val="single" w:sz="4" w:space="0" w:color="auto"/>
            </w:tcBorders>
          </w:tcPr>
          <w:p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9"/>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20"/>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$5,092</w:t>
            </w:r>
          </w:p>
        </w:tc>
      </w:tr>
      <w:tr w:rsidR="00AD16A3" w:rsidRPr="00630A34" w:rsidTr="002C63E1">
        <w:tc>
          <w:tcPr>
            <w:tcW w:w="3182" w:type="dxa"/>
            <w:tcBorders>
              <w:top w:val="single" w:sz="4" w:space="0" w:color="auto"/>
              <w:left w:val="single" w:sz="4" w:space="0" w:color="auto"/>
              <w:bottom w:val="single" w:sz="4" w:space="0" w:color="auto"/>
              <w:right w:val="single" w:sz="4" w:space="0" w:color="auto"/>
            </w:tcBorders>
            <w:hideMark/>
          </w:tcPr>
          <w:p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5,092</w:t>
            </w:r>
          </w:p>
        </w:tc>
      </w:tr>
    </w:tbl>
    <w:p w:rsidR="006B437C" w:rsidRDefault="006B437C" w:rsidP="006B437C">
      <w:pPr>
        <w:spacing w:after="0"/>
        <w:rPr>
          <w:rFonts w:ascii="Times New Roman" w:hAnsi="Times New Roman" w:cs="Times New Roman"/>
          <w:sz w:val="24"/>
          <w:szCs w:val="24"/>
        </w:rPr>
      </w:pPr>
    </w:p>
    <w:p w:rsidR="00AC4C0B" w:rsidRPr="00A276F5" w:rsidRDefault="00AC4C0B" w:rsidP="006B437C">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3316E0" w:rsidRPr="003316E0" w:rsidRDefault="003316E0" w:rsidP="003316E0">
      <w:pPr>
        <w:spacing w:after="0"/>
        <w:rPr>
          <w:rFonts w:ascii="Times New Roman" w:hAnsi="Times New Roman" w:cs="Times New Roman"/>
          <w:sz w:val="24"/>
          <w:szCs w:val="24"/>
        </w:rPr>
      </w:pPr>
    </w:p>
    <w:p w:rsidR="00684049" w:rsidRDefault="00684049" w:rsidP="00CE1CC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E85D85">
        <w:rPr>
          <w:rFonts w:ascii="Times New Roman" w:hAnsi="Times New Roman" w:cs="Times New Roman"/>
          <w:sz w:val="24"/>
          <w:szCs w:val="24"/>
        </w:rPr>
        <w:t xml:space="preserve">one- time </w:t>
      </w:r>
      <w:r>
        <w:rPr>
          <w:rFonts w:ascii="Times New Roman" w:hAnsi="Times New Roman" w:cs="Times New Roman"/>
          <w:sz w:val="24"/>
          <w:szCs w:val="24"/>
        </w:rPr>
        <w:t xml:space="preserve">change in burden is the result of new provisions related to reclosing relays in the approved PRC-005-3 Reliability Standard.  The burden is necessary so that respondents review and update their </w:t>
      </w:r>
      <w:r w:rsidRPr="00B62DC2">
        <w:rPr>
          <w:rFonts w:ascii="Times New Roman" w:hAnsi="Times New Roman" w:cs="Times New Roman"/>
          <w:sz w:val="24"/>
          <w:szCs w:val="24"/>
        </w:rPr>
        <w:t>protection system maintenance programs</w:t>
      </w:r>
      <w:r>
        <w:rPr>
          <w:rFonts w:ascii="Times New Roman" w:hAnsi="Times New Roman" w:cs="Times New Roman"/>
          <w:sz w:val="24"/>
          <w:szCs w:val="24"/>
        </w:rPr>
        <w:t xml:space="preserve"> according to the new standard. </w:t>
      </w:r>
    </w:p>
    <w:p w:rsidR="00684049" w:rsidRDefault="00684049" w:rsidP="00CE1CCD">
      <w:pPr>
        <w:spacing w:after="0"/>
        <w:rPr>
          <w:rFonts w:ascii="Times New Roman" w:hAnsi="Times New Roman" w:cs="Times New Roman"/>
          <w:sz w:val="24"/>
          <w:szCs w:val="24"/>
        </w:rPr>
      </w:pPr>
    </w:p>
    <w:p w:rsidR="00684049" w:rsidRPr="002704C5" w:rsidRDefault="00684049" w:rsidP="00CE1CCD">
      <w:pPr>
        <w:spacing w:after="0"/>
        <w:rPr>
          <w:rFonts w:ascii="Times New Roman" w:hAnsi="Times New Roman" w:cs="Times New Roman"/>
          <w:sz w:val="24"/>
          <w:szCs w:val="24"/>
        </w:rPr>
      </w:pPr>
      <w:r w:rsidRPr="002704C5">
        <w:rPr>
          <w:rFonts w:ascii="Times New Roman" w:hAnsi="Times New Roman" w:cs="Times New Roman"/>
          <w:sz w:val="24"/>
          <w:szCs w:val="24"/>
        </w:rPr>
        <w:t>Our estimate below regarding the number of respondents is based on an analysis of the generating plants within the footprint of the PJM Interconnection, LLC (PJM) that meet the in</w:t>
      </w:r>
      <w:r w:rsidR="0045446A">
        <w:rPr>
          <w:rFonts w:ascii="Times New Roman" w:hAnsi="Times New Roman" w:cs="Times New Roman"/>
          <w:sz w:val="24"/>
          <w:szCs w:val="24"/>
        </w:rPr>
        <w:t>clusion criteria of the reliability</w:t>
      </w:r>
      <w:r w:rsidRPr="002704C5">
        <w:rPr>
          <w:rFonts w:ascii="Times New Roman" w:hAnsi="Times New Roman" w:cs="Times New Roman"/>
          <w:sz w:val="24"/>
          <w:szCs w:val="24"/>
        </w:rPr>
        <w:t xml:space="preserve"> standard.  There are an estimated 23 generating plants in PJM that meet these criteria.  These generating plants represent approximately 47,000 MWs of the approximately 184,000 MWs within PJM.  Based on 2012 data, total installed capacity in the continental United States is 1,153,000 MWs.</w:t>
      </w:r>
      <w:r w:rsidRPr="002704C5">
        <w:rPr>
          <w:rFonts w:ascii="Times New Roman" w:hAnsi="Times New Roman" w:cs="Times New Roman"/>
          <w:b/>
          <w:sz w:val="24"/>
          <w:szCs w:val="24"/>
          <w:vertAlign w:val="superscript"/>
        </w:rPr>
        <w:footnoteReference w:id="21"/>
      </w:r>
      <w:r w:rsidRPr="002704C5">
        <w:rPr>
          <w:rFonts w:ascii="Times New Roman" w:hAnsi="Times New Roman" w:cs="Times New Roman"/>
          <w:sz w:val="24"/>
          <w:szCs w:val="24"/>
        </w:rPr>
        <w:t xml:space="preserve">  Applying the PJM ratio to this total results in 144 plant sites nationwide to which PRC-005-3 would be applicable.  We also assume that a substation will be located within 10 miles of each plant site, resulting in an estimated total number of entities that meet the inclusion criteria of 288.</w:t>
      </w:r>
      <w:r w:rsidRPr="002704C5">
        <w:rPr>
          <w:rFonts w:ascii="Times New Roman" w:hAnsi="Times New Roman" w:cs="Times New Roman"/>
          <w:b/>
          <w:sz w:val="24"/>
          <w:szCs w:val="24"/>
          <w:vertAlign w:val="superscript"/>
        </w:rPr>
        <w:footnoteReference w:id="22"/>
      </w:r>
      <w:r w:rsidRPr="002704C5">
        <w:rPr>
          <w:rFonts w:ascii="Times New Roman" w:hAnsi="Times New Roman" w:cs="Times New Roman"/>
          <w:sz w:val="24"/>
          <w:szCs w:val="24"/>
        </w:rPr>
        <w:t xml:space="preserve">  Finally, we assume that all GOs and TOs must review their existing plant and substation sites to determine </w:t>
      </w:r>
      <w:r w:rsidR="0045446A">
        <w:rPr>
          <w:rFonts w:ascii="Times New Roman" w:hAnsi="Times New Roman" w:cs="Times New Roman"/>
          <w:sz w:val="24"/>
          <w:szCs w:val="24"/>
        </w:rPr>
        <w:t>applicability under the approved</w:t>
      </w:r>
      <w:r w:rsidRPr="002704C5">
        <w:rPr>
          <w:rFonts w:ascii="Times New Roman" w:hAnsi="Times New Roman" w:cs="Times New Roman"/>
          <w:sz w:val="24"/>
          <w:szCs w:val="24"/>
        </w:rPr>
        <w:t xml:space="preserve"> standard.</w:t>
      </w:r>
      <w:r>
        <w:rPr>
          <w:rFonts w:ascii="Times New Roman" w:hAnsi="Times New Roman" w:cs="Times New Roman"/>
          <w:sz w:val="24"/>
          <w:szCs w:val="24"/>
        </w:rPr>
        <w:t xml:space="preserve">  We estimate that the burden on GOs and TOs to review their existing plant and substation sites is two hours.  We assume that a portion of the two hours are spent by an engineer examining facility data to determine if specific sites meet the applicability of the standard.  We assume that the remaining portion of the burden is for a manager to review and sign off on the engineer’s analysis.</w:t>
      </w:r>
    </w:p>
    <w:p w:rsidR="00684049" w:rsidRDefault="00684049" w:rsidP="00CE1CCD">
      <w:pPr>
        <w:spacing w:after="0"/>
        <w:rPr>
          <w:rFonts w:ascii="Times New Roman" w:hAnsi="Times New Roman" w:cs="Times New Roman"/>
          <w:sz w:val="24"/>
          <w:szCs w:val="24"/>
        </w:rPr>
      </w:pPr>
    </w:p>
    <w:p w:rsidR="00DA06F4" w:rsidRDefault="00684049" w:rsidP="00CE1CCD">
      <w:pPr>
        <w:spacing w:after="0"/>
        <w:rPr>
          <w:rFonts w:ascii="Times New Roman" w:hAnsi="Times New Roman" w:cs="Times New Roman"/>
          <w:sz w:val="24"/>
          <w:szCs w:val="24"/>
        </w:rPr>
      </w:pPr>
      <w:r>
        <w:rPr>
          <w:rFonts w:ascii="Times New Roman" w:hAnsi="Times New Roman" w:cs="Times New Roman"/>
          <w:sz w:val="24"/>
          <w:szCs w:val="24"/>
        </w:rPr>
        <w:t>Entities that do have facilities that meet the applicability of the standard</w:t>
      </w:r>
      <w:r w:rsidRPr="002704C5">
        <w:rPr>
          <w:rFonts w:ascii="Times New Roman" w:hAnsi="Times New Roman" w:cs="Times New Roman"/>
          <w:sz w:val="24"/>
          <w:szCs w:val="24"/>
        </w:rPr>
        <w:t xml:space="preserve"> must perform a one-time review of their existing reclosing scheme maintenance program to ensure that it contains at a minimum the activities listed in Table 4 in Reliability Standard PRC-005-3, and that the activities are performed within the applicable maximum interval listed in Table 4.  If the existing reclosing scheme maintenance program does not meet the criteria in Reliability Standard PRC-005-3, the entity will have to make certain adjustments to the program.</w:t>
      </w:r>
      <w:r>
        <w:rPr>
          <w:rFonts w:ascii="Times New Roman" w:hAnsi="Times New Roman" w:cs="Times New Roman"/>
          <w:sz w:val="24"/>
          <w:szCs w:val="24"/>
        </w:rPr>
        <w:t xml:space="preserve">  We assume that the work to examine, adjust and get approval for program documentation will require an engineer and a manager a total of eight hours or one whole work day.  This estimate is based on Commission staff experience.  The record retention requirements are considered usual and customary for this industry.</w:t>
      </w:r>
    </w:p>
    <w:p w:rsidR="00CB04FF" w:rsidRDefault="00CB04FF" w:rsidP="00CE1CCD">
      <w:pPr>
        <w:spacing w:after="0"/>
        <w:rPr>
          <w:rFonts w:ascii="Times New Roman" w:hAnsi="Times New Roman" w:cs="Times New Roman"/>
          <w:sz w:val="24"/>
          <w:szCs w:val="24"/>
        </w:rPr>
      </w:pPr>
    </w:p>
    <w:p w:rsidR="0045446A" w:rsidRDefault="00CB04FF" w:rsidP="00CE1CCD">
      <w:pPr>
        <w:spacing w:after="0"/>
        <w:rPr>
          <w:rFonts w:ascii="Times New Roman" w:hAnsi="Times New Roman" w:cs="Times New Roman"/>
          <w:sz w:val="24"/>
          <w:szCs w:val="24"/>
        </w:rPr>
      </w:pPr>
      <w:r>
        <w:rPr>
          <w:rFonts w:ascii="Times New Roman" w:hAnsi="Times New Roman" w:cs="Times New Roman"/>
          <w:sz w:val="24"/>
          <w:szCs w:val="24"/>
        </w:rPr>
        <w:t>The estimate one-time public burden due to the revisions in RM14-8-000 Final Rule ( and the FERC-725P information collection) are included in the following table:</w:t>
      </w:r>
    </w:p>
    <w:p w:rsidR="00E85D85" w:rsidRDefault="00E85D85" w:rsidP="00CE1CCD">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35"/>
        <w:gridCol w:w="1350"/>
        <w:gridCol w:w="1348"/>
        <w:gridCol w:w="1264"/>
      </w:tblGrid>
      <w:tr w:rsidR="00E85D85" w:rsidRPr="00E817F8" w:rsidTr="001062AD">
        <w:trPr>
          <w:cantSplit/>
        </w:trPr>
        <w:tc>
          <w:tcPr>
            <w:tcW w:w="5000" w:type="pct"/>
            <w:gridSpan w:val="7"/>
            <w:tcBorders>
              <w:bottom w:val="single" w:sz="4" w:space="0" w:color="auto"/>
            </w:tcBorders>
            <w:shd w:val="clear" w:color="auto" w:fill="D9D9D9"/>
          </w:tcPr>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RM14-8-000 (Mandatory Reliability Standards: Reliability Standard PRC-005-3)</w:t>
            </w:r>
          </w:p>
        </w:tc>
      </w:tr>
      <w:tr w:rsidR="00E85D85" w:rsidRPr="00E817F8" w:rsidTr="001062AD">
        <w:trPr>
          <w:cantSplit/>
        </w:trPr>
        <w:tc>
          <w:tcPr>
            <w:tcW w:w="878" w:type="pct"/>
            <w:shd w:val="clear" w:color="auto" w:fill="D9D9D9"/>
          </w:tcPr>
          <w:p w:rsidR="00E85D85" w:rsidRPr="00E817F8" w:rsidRDefault="00E85D85" w:rsidP="001062AD">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Number of Respondents</w:t>
            </w:r>
            <w:r w:rsidRPr="00E817F8">
              <w:rPr>
                <w:rFonts w:ascii="Times New Roman" w:eastAsia="Calibri" w:hAnsi="Times New Roman" w:cs="Times New Roman"/>
                <w:b/>
                <w:sz w:val="20"/>
                <w:szCs w:val="20"/>
              </w:rPr>
              <w:br/>
              <w:t>(1)</w:t>
            </w:r>
          </w:p>
        </w:tc>
        <w:tc>
          <w:tcPr>
            <w:tcW w:w="746" w:type="pct"/>
            <w:shd w:val="clear" w:color="auto" w:fill="D9D9D9"/>
            <w:vAlign w:val="bottom"/>
          </w:tcPr>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Annual Number of Responses per Respondent</w:t>
            </w:r>
          </w:p>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(2)</w:t>
            </w:r>
          </w:p>
        </w:tc>
        <w:tc>
          <w:tcPr>
            <w:tcW w:w="699" w:type="pct"/>
            <w:shd w:val="clear" w:color="auto" w:fill="D9D9D9"/>
            <w:vAlign w:val="bottom"/>
          </w:tcPr>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Total Number of Responses (1)*(2)=(3)</w:t>
            </w:r>
          </w:p>
        </w:tc>
        <w:tc>
          <w:tcPr>
            <w:tcW w:w="658" w:type="pct"/>
            <w:shd w:val="clear" w:color="auto" w:fill="D9D9D9"/>
            <w:vAlign w:val="bottom"/>
          </w:tcPr>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Average Burden &amp; Cost Per Response</w:t>
            </w:r>
            <w:r w:rsidRPr="00E817F8">
              <w:rPr>
                <w:rFonts w:ascii="Times New Roman" w:eastAsia="Calibri" w:hAnsi="Times New Roman" w:cs="Times New Roman"/>
                <w:b/>
                <w:sz w:val="20"/>
                <w:szCs w:val="20"/>
                <w:vertAlign w:val="superscript"/>
              </w:rPr>
              <w:footnoteReference w:id="23"/>
            </w:r>
          </w:p>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(4)</w:t>
            </w:r>
          </w:p>
        </w:tc>
        <w:tc>
          <w:tcPr>
            <w:tcW w:w="657" w:type="pct"/>
            <w:shd w:val="clear" w:color="auto" w:fill="D9D9D9"/>
            <w:vAlign w:val="bottom"/>
          </w:tcPr>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Total Annual Burden Hours &amp; Total Annual Cost</w:t>
            </w:r>
          </w:p>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(3)*(4)=(5)</w:t>
            </w:r>
          </w:p>
        </w:tc>
        <w:tc>
          <w:tcPr>
            <w:tcW w:w="616" w:type="pct"/>
            <w:shd w:val="clear" w:color="auto" w:fill="D9D9D9"/>
            <w:vAlign w:val="bottom"/>
          </w:tcPr>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Cost per Respondent</w:t>
            </w:r>
          </w:p>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 xml:space="preserve"> ($)</w:t>
            </w:r>
          </w:p>
          <w:p w:rsidR="00E85D85" w:rsidRPr="00E817F8" w:rsidRDefault="00E85D85" w:rsidP="001062AD">
            <w:pPr>
              <w:spacing w:after="0" w:line="240" w:lineRule="auto"/>
              <w:jc w:val="center"/>
              <w:rPr>
                <w:rFonts w:ascii="Times New Roman" w:eastAsia="Calibri" w:hAnsi="Times New Roman" w:cs="Times New Roman"/>
                <w:b/>
                <w:sz w:val="20"/>
                <w:szCs w:val="20"/>
              </w:rPr>
            </w:pPr>
            <w:r w:rsidRPr="00E817F8">
              <w:rPr>
                <w:rFonts w:ascii="Times New Roman" w:eastAsia="Calibri" w:hAnsi="Times New Roman" w:cs="Times New Roman"/>
                <w:b/>
                <w:sz w:val="20"/>
                <w:szCs w:val="20"/>
              </w:rPr>
              <w:t>(5)÷(1)</w:t>
            </w:r>
          </w:p>
        </w:tc>
      </w:tr>
      <w:tr w:rsidR="00E85D85" w:rsidRPr="00E817F8" w:rsidTr="001062AD">
        <w:trPr>
          <w:cantSplit/>
        </w:trPr>
        <w:tc>
          <w:tcPr>
            <w:tcW w:w="878" w:type="pct"/>
          </w:tcPr>
          <w:p w:rsidR="00E85D85" w:rsidRPr="00E817F8" w:rsidRDefault="00E85D85" w:rsidP="001062AD">
            <w:pPr>
              <w:spacing w:after="0" w:line="240" w:lineRule="auto"/>
              <w:rPr>
                <w:rFonts w:ascii="Times New Roman" w:eastAsia="Calibri" w:hAnsi="Times New Roman" w:cs="Times New Roman"/>
                <w:sz w:val="20"/>
                <w:szCs w:val="20"/>
              </w:rPr>
            </w:pPr>
            <w:r w:rsidRPr="00E817F8">
              <w:rPr>
                <w:rFonts w:ascii="Times New Roman" w:eastAsia="Calibri" w:hAnsi="Times New Roman" w:cs="Times New Roman"/>
                <w:sz w:val="20"/>
                <w:szCs w:val="20"/>
              </w:rPr>
              <w:t>One-time review of existing plant and substation sites to determine which ones fall under PRC-005-3</w:t>
            </w:r>
          </w:p>
        </w:tc>
        <w:tc>
          <w:tcPr>
            <w:tcW w:w="746"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937</w:t>
            </w:r>
            <w:r w:rsidRPr="00E817F8">
              <w:rPr>
                <w:rFonts w:ascii="Times New Roman" w:eastAsia="Calibri" w:hAnsi="Times New Roman" w:cs="Times New Roman"/>
                <w:b/>
                <w:sz w:val="26"/>
                <w:szCs w:val="26"/>
                <w:vertAlign w:val="superscript"/>
              </w:rPr>
              <w:footnoteReference w:id="24"/>
            </w:r>
          </w:p>
          <w:p w:rsidR="00E85D85" w:rsidRPr="00E817F8" w:rsidRDefault="00E85D85" w:rsidP="001062AD">
            <w:pPr>
              <w:spacing w:after="0" w:line="240" w:lineRule="auto"/>
              <w:jc w:val="right"/>
              <w:rPr>
                <w:rFonts w:ascii="Times New Roman" w:eastAsia="Calibri" w:hAnsi="Times New Roman" w:cs="Times New Roman"/>
                <w:sz w:val="20"/>
                <w:szCs w:val="20"/>
              </w:rPr>
            </w:pPr>
          </w:p>
        </w:tc>
        <w:tc>
          <w:tcPr>
            <w:tcW w:w="746"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1</w:t>
            </w:r>
          </w:p>
        </w:tc>
        <w:tc>
          <w:tcPr>
            <w:tcW w:w="699"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937</w:t>
            </w:r>
          </w:p>
        </w:tc>
        <w:tc>
          <w:tcPr>
            <w:tcW w:w="658"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2</w:t>
            </w:r>
          </w:p>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$146</w:t>
            </w:r>
          </w:p>
        </w:tc>
        <w:tc>
          <w:tcPr>
            <w:tcW w:w="657"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 xml:space="preserve"> 1,874</w:t>
            </w:r>
          </w:p>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 xml:space="preserve">$136,802 </w:t>
            </w:r>
          </w:p>
        </w:tc>
        <w:tc>
          <w:tcPr>
            <w:tcW w:w="616"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 xml:space="preserve">$146 </w:t>
            </w:r>
          </w:p>
          <w:p w:rsidR="00E85D85" w:rsidRPr="00E817F8" w:rsidRDefault="00E85D85" w:rsidP="001062AD">
            <w:pPr>
              <w:spacing w:after="0" w:line="240" w:lineRule="auto"/>
              <w:jc w:val="right"/>
              <w:rPr>
                <w:rFonts w:ascii="Times New Roman" w:eastAsia="Calibri" w:hAnsi="Times New Roman" w:cs="Times New Roman"/>
                <w:sz w:val="20"/>
                <w:szCs w:val="20"/>
              </w:rPr>
            </w:pPr>
          </w:p>
        </w:tc>
      </w:tr>
      <w:tr w:rsidR="00E85D85" w:rsidRPr="00E817F8" w:rsidTr="001062AD">
        <w:trPr>
          <w:cantSplit/>
        </w:trPr>
        <w:tc>
          <w:tcPr>
            <w:tcW w:w="878" w:type="pct"/>
          </w:tcPr>
          <w:p w:rsidR="00E85D85" w:rsidRPr="00E817F8" w:rsidRDefault="00E85D85" w:rsidP="001062AD">
            <w:pPr>
              <w:spacing w:after="0" w:line="240" w:lineRule="auto"/>
              <w:rPr>
                <w:rFonts w:ascii="Times New Roman" w:eastAsia="Calibri" w:hAnsi="Times New Roman" w:cs="Times New Roman"/>
                <w:sz w:val="20"/>
                <w:szCs w:val="20"/>
              </w:rPr>
            </w:pPr>
            <w:r w:rsidRPr="00E817F8">
              <w:rPr>
                <w:rFonts w:ascii="Times New Roman" w:eastAsia="Calibri" w:hAnsi="Times New Roman" w:cs="Times New Roman"/>
                <w:sz w:val="20"/>
                <w:szCs w:val="20"/>
              </w:rPr>
              <w:t>One-time review and adjustment of existing program</w:t>
            </w:r>
          </w:p>
        </w:tc>
        <w:tc>
          <w:tcPr>
            <w:tcW w:w="746"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288</w:t>
            </w:r>
            <w:r w:rsidRPr="00E817F8">
              <w:rPr>
                <w:rFonts w:ascii="Times New Roman" w:eastAsia="Calibri" w:hAnsi="Times New Roman" w:cs="Times New Roman"/>
                <w:b/>
                <w:sz w:val="26"/>
                <w:szCs w:val="26"/>
                <w:vertAlign w:val="superscript"/>
              </w:rPr>
              <w:footnoteReference w:id="25"/>
            </w:r>
          </w:p>
        </w:tc>
        <w:tc>
          <w:tcPr>
            <w:tcW w:w="746"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1</w:t>
            </w:r>
          </w:p>
        </w:tc>
        <w:tc>
          <w:tcPr>
            <w:tcW w:w="699"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288</w:t>
            </w:r>
          </w:p>
        </w:tc>
        <w:tc>
          <w:tcPr>
            <w:tcW w:w="658"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8</w:t>
            </w:r>
          </w:p>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$584</w:t>
            </w:r>
          </w:p>
        </w:tc>
        <w:tc>
          <w:tcPr>
            <w:tcW w:w="657"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2,304</w:t>
            </w:r>
          </w:p>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$168,192</w:t>
            </w:r>
          </w:p>
        </w:tc>
        <w:tc>
          <w:tcPr>
            <w:tcW w:w="616" w:type="pct"/>
          </w:tcPr>
          <w:p w:rsidR="00E85D85" w:rsidRPr="00E817F8" w:rsidRDefault="00E85D85" w:rsidP="001062AD">
            <w:pPr>
              <w:spacing w:after="0" w:line="240" w:lineRule="auto"/>
              <w:jc w:val="right"/>
              <w:rPr>
                <w:rFonts w:ascii="Times New Roman" w:eastAsia="Calibri" w:hAnsi="Times New Roman" w:cs="Times New Roman"/>
                <w:sz w:val="20"/>
                <w:szCs w:val="20"/>
              </w:rPr>
            </w:pPr>
            <w:r w:rsidRPr="00E817F8">
              <w:rPr>
                <w:rFonts w:ascii="Times New Roman" w:eastAsia="Calibri" w:hAnsi="Times New Roman" w:cs="Times New Roman"/>
                <w:sz w:val="20"/>
                <w:szCs w:val="20"/>
              </w:rPr>
              <w:t>$584</w:t>
            </w:r>
          </w:p>
        </w:tc>
      </w:tr>
      <w:tr w:rsidR="00E85D85" w:rsidRPr="00E817F8" w:rsidTr="001062AD">
        <w:trPr>
          <w:cantSplit/>
          <w:trHeight w:val="485"/>
        </w:trPr>
        <w:tc>
          <w:tcPr>
            <w:tcW w:w="878" w:type="pct"/>
            <w:tcBorders>
              <w:bottom w:val="single" w:sz="4" w:space="0" w:color="auto"/>
            </w:tcBorders>
          </w:tcPr>
          <w:p w:rsidR="00E85D85" w:rsidRPr="00E817F8" w:rsidRDefault="00E85D85" w:rsidP="001062AD">
            <w:pPr>
              <w:spacing w:after="0" w:line="240" w:lineRule="auto"/>
              <w:rPr>
                <w:rFonts w:ascii="Times New Roman" w:eastAsia="Calibri" w:hAnsi="Times New Roman" w:cs="Times New Roman"/>
                <w:b/>
                <w:sz w:val="20"/>
                <w:szCs w:val="20"/>
              </w:rPr>
            </w:pPr>
            <w:r w:rsidRPr="00E817F8">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rsidR="00E85D85" w:rsidRPr="00E817F8" w:rsidRDefault="00E85D85" w:rsidP="001062AD">
            <w:pPr>
              <w:spacing w:after="0" w:line="240" w:lineRule="auto"/>
              <w:jc w:val="right"/>
              <w:rPr>
                <w:rFonts w:ascii="Times New Roman" w:eastAsia="Calibri" w:hAnsi="Times New Roman" w:cs="Times New Roman"/>
                <w:sz w:val="20"/>
                <w:szCs w:val="20"/>
              </w:rPr>
            </w:pPr>
          </w:p>
        </w:tc>
        <w:tc>
          <w:tcPr>
            <w:tcW w:w="699" w:type="pct"/>
            <w:tcBorders>
              <w:bottom w:val="single" w:sz="4" w:space="0" w:color="auto"/>
            </w:tcBorders>
            <w:shd w:val="clear" w:color="auto" w:fill="auto"/>
          </w:tcPr>
          <w:p w:rsidR="00E85D85" w:rsidRPr="00E817F8" w:rsidRDefault="00E85D85" w:rsidP="001062AD">
            <w:pPr>
              <w:spacing w:after="0" w:line="240" w:lineRule="auto"/>
              <w:jc w:val="right"/>
              <w:rPr>
                <w:rFonts w:ascii="Times New Roman" w:eastAsia="Calibri" w:hAnsi="Times New Roman" w:cs="Times New Roman"/>
                <w:b/>
                <w:sz w:val="20"/>
                <w:szCs w:val="20"/>
              </w:rPr>
            </w:pPr>
            <w:r w:rsidRPr="00E817F8">
              <w:rPr>
                <w:rFonts w:ascii="Times New Roman" w:eastAsia="Calibri" w:hAnsi="Times New Roman" w:cs="Times New Roman"/>
                <w:b/>
                <w:sz w:val="20"/>
                <w:szCs w:val="20"/>
              </w:rPr>
              <w:t>1,225</w:t>
            </w:r>
          </w:p>
        </w:tc>
        <w:tc>
          <w:tcPr>
            <w:tcW w:w="658" w:type="pct"/>
            <w:tcBorders>
              <w:bottom w:val="single" w:sz="4" w:space="0" w:color="auto"/>
            </w:tcBorders>
            <w:shd w:val="clear" w:color="auto" w:fill="D9D9D9"/>
          </w:tcPr>
          <w:p w:rsidR="00E85D85" w:rsidRPr="00E817F8" w:rsidRDefault="00E85D85" w:rsidP="001062AD">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rsidR="00E85D85" w:rsidRPr="00E817F8" w:rsidRDefault="00E85D85" w:rsidP="001062AD">
            <w:pPr>
              <w:spacing w:after="0" w:line="240" w:lineRule="auto"/>
              <w:jc w:val="right"/>
              <w:rPr>
                <w:rFonts w:ascii="Times New Roman" w:eastAsia="Calibri" w:hAnsi="Times New Roman" w:cs="Times New Roman"/>
                <w:b/>
                <w:sz w:val="20"/>
                <w:szCs w:val="20"/>
              </w:rPr>
            </w:pPr>
            <w:r w:rsidRPr="00E817F8">
              <w:rPr>
                <w:rFonts w:ascii="Times New Roman" w:eastAsia="Calibri" w:hAnsi="Times New Roman" w:cs="Times New Roman"/>
                <w:b/>
                <w:sz w:val="20"/>
                <w:szCs w:val="20"/>
              </w:rPr>
              <w:t>4,178</w:t>
            </w:r>
          </w:p>
          <w:p w:rsidR="00E85D85" w:rsidRPr="00E817F8" w:rsidRDefault="00E85D85" w:rsidP="001062AD">
            <w:pPr>
              <w:spacing w:after="0" w:line="240" w:lineRule="auto"/>
              <w:jc w:val="right"/>
              <w:rPr>
                <w:rFonts w:ascii="Times New Roman" w:eastAsia="Calibri" w:hAnsi="Times New Roman" w:cs="Times New Roman"/>
                <w:b/>
                <w:sz w:val="20"/>
                <w:szCs w:val="20"/>
              </w:rPr>
            </w:pPr>
            <w:r w:rsidRPr="00E817F8">
              <w:rPr>
                <w:rFonts w:ascii="Times New Roman" w:eastAsia="Calibri" w:hAnsi="Times New Roman" w:cs="Times New Roman"/>
                <w:b/>
                <w:sz w:val="20"/>
                <w:szCs w:val="20"/>
              </w:rPr>
              <w:t>$304,994</w:t>
            </w:r>
          </w:p>
        </w:tc>
        <w:tc>
          <w:tcPr>
            <w:tcW w:w="616" w:type="pct"/>
            <w:tcBorders>
              <w:bottom w:val="single" w:sz="4" w:space="0" w:color="auto"/>
            </w:tcBorders>
            <w:shd w:val="clear" w:color="auto" w:fill="D9D9D9" w:themeFill="background1" w:themeFillShade="D9"/>
          </w:tcPr>
          <w:p w:rsidR="00E85D85" w:rsidRPr="00E817F8" w:rsidRDefault="00E85D85" w:rsidP="001062AD">
            <w:pPr>
              <w:spacing w:after="0" w:line="240" w:lineRule="auto"/>
              <w:jc w:val="right"/>
              <w:rPr>
                <w:rFonts w:ascii="Times New Roman" w:eastAsia="Calibri" w:hAnsi="Times New Roman" w:cs="Times New Roman"/>
                <w:b/>
                <w:sz w:val="20"/>
                <w:szCs w:val="20"/>
              </w:rPr>
            </w:pPr>
          </w:p>
        </w:tc>
      </w:tr>
    </w:tbl>
    <w:p w:rsidR="00E85D85" w:rsidRDefault="00E85D85" w:rsidP="00CE1CCD">
      <w:pPr>
        <w:spacing w:after="0"/>
        <w:rPr>
          <w:rFonts w:ascii="Times New Roman" w:hAnsi="Times New Roman" w:cs="Times New Roman"/>
          <w:sz w:val="24"/>
          <w:szCs w:val="24"/>
        </w:rPr>
      </w:pPr>
    </w:p>
    <w:p w:rsidR="00D31413" w:rsidRDefault="005457EC" w:rsidP="00CE1CCD">
      <w:pPr>
        <w:spacing w:after="0"/>
        <w:rPr>
          <w:rFonts w:ascii="Times New Roman" w:hAnsi="Times New Roman" w:cs="Times New Roman"/>
          <w:sz w:val="24"/>
          <w:szCs w:val="24"/>
        </w:rPr>
      </w:pPr>
      <w:r>
        <w:rPr>
          <w:rFonts w:ascii="Times New Roman" w:hAnsi="Times New Roman" w:cs="Times New Roman"/>
          <w:sz w:val="24"/>
          <w:szCs w:val="24"/>
        </w:rPr>
        <w:t xml:space="preserve">Please note that the </w:t>
      </w:r>
      <w:r w:rsidR="00D31413">
        <w:rPr>
          <w:rFonts w:ascii="Times New Roman" w:hAnsi="Times New Roman" w:cs="Times New Roman"/>
          <w:sz w:val="24"/>
          <w:szCs w:val="24"/>
        </w:rPr>
        <w:t xml:space="preserve">response and </w:t>
      </w:r>
      <w:r>
        <w:rPr>
          <w:rFonts w:ascii="Times New Roman" w:hAnsi="Times New Roman" w:cs="Times New Roman"/>
          <w:sz w:val="24"/>
          <w:szCs w:val="24"/>
        </w:rPr>
        <w:t>burden amounts</w:t>
      </w:r>
      <w:r w:rsidR="00D31413">
        <w:rPr>
          <w:rFonts w:ascii="Times New Roman" w:hAnsi="Times New Roman" w:cs="Times New Roman"/>
          <w:sz w:val="24"/>
          <w:szCs w:val="24"/>
        </w:rPr>
        <w:t xml:space="preserve"> (1,225 responses and 4,178 burden hours respectively)</w:t>
      </w:r>
      <w:r>
        <w:rPr>
          <w:rFonts w:ascii="Times New Roman" w:hAnsi="Times New Roman" w:cs="Times New Roman"/>
          <w:sz w:val="24"/>
          <w:szCs w:val="24"/>
        </w:rPr>
        <w:t xml:space="preserve"> stated in the previous table are one-time burdens imposed by the Final Rule in RM14-8-000.  However, the previously approved burden in FERC-725P (due to RM13-7-000; ICR No. </w:t>
      </w:r>
      <w:r w:rsidRPr="005457EC">
        <w:rPr>
          <w:rFonts w:ascii="Times New Roman" w:hAnsi="Times New Roman" w:cs="Times New Roman"/>
          <w:sz w:val="24"/>
          <w:szCs w:val="24"/>
        </w:rPr>
        <w:t>201312-1902-004</w:t>
      </w:r>
      <w:r>
        <w:rPr>
          <w:rFonts w:ascii="Times New Roman" w:hAnsi="Times New Roman" w:cs="Times New Roman"/>
          <w:sz w:val="24"/>
          <w:szCs w:val="24"/>
        </w:rPr>
        <w:t xml:space="preserve">) </w:t>
      </w:r>
      <w:r w:rsidR="00D31413">
        <w:rPr>
          <w:rFonts w:ascii="Times New Roman" w:hAnsi="Times New Roman" w:cs="Times New Roman"/>
          <w:sz w:val="24"/>
          <w:szCs w:val="24"/>
        </w:rPr>
        <w:t>was a one-time burden as well due to the implementation of a previous version of this reliability standard, PRC-005-2.</w:t>
      </w:r>
      <w:r w:rsidR="008A6B3F">
        <w:rPr>
          <w:rFonts w:ascii="Times New Roman" w:hAnsi="Times New Roman" w:cs="Times New Roman"/>
          <w:sz w:val="24"/>
          <w:szCs w:val="24"/>
        </w:rPr>
        <w:t xml:space="preserve">  The response and burden amounts of PRC-005-2 (867 responses and 6,936 burden hours respectively) no longer apply </w:t>
      </w:r>
      <w:r w:rsidR="00D31413">
        <w:rPr>
          <w:rFonts w:ascii="Times New Roman" w:hAnsi="Times New Roman" w:cs="Times New Roman"/>
          <w:sz w:val="24"/>
          <w:szCs w:val="24"/>
        </w:rPr>
        <w:t>since all entities have complied with the provision</w:t>
      </w:r>
      <w:r w:rsidR="008A6B3F">
        <w:rPr>
          <w:rFonts w:ascii="Times New Roman" w:hAnsi="Times New Roman" w:cs="Times New Roman"/>
          <w:sz w:val="24"/>
          <w:szCs w:val="24"/>
        </w:rPr>
        <w:t>s of the standard</w:t>
      </w:r>
      <w:r w:rsidR="00D31413">
        <w:rPr>
          <w:rFonts w:ascii="Times New Roman" w:hAnsi="Times New Roman" w:cs="Times New Roman"/>
          <w:sz w:val="24"/>
          <w:szCs w:val="24"/>
        </w:rPr>
        <w:t xml:space="preserve"> and, thus, are no longer burdened by its requirements.  In the following table, the column labeled “Change due to Agency Discretion” are figures representing differences between the response and hourly burden amounts due to RM13-7-000 (Reliability Standard PRC-005-2) and RM14-8-000 (Reliability Standard PRC-005-3). Effectively, the one-time responses and burden due to PRC-005-2 has been removed and is replaced by the one-time responses and burden due to PRC-005-3.  </w:t>
      </w:r>
    </w:p>
    <w:p w:rsidR="00D31413" w:rsidRDefault="00D31413" w:rsidP="00CE1CCD">
      <w:pPr>
        <w:spacing w:after="0"/>
        <w:rPr>
          <w:rFonts w:ascii="Times New Roman" w:hAnsi="Times New Roman" w:cs="Times New Roman"/>
          <w:sz w:val="24"/>
          <w:szCs w:val="24"/>
        </w:rPr>
      </w:pPr>
    </w:p>
    <w:p w:rsidR="00D31413" w:rsidRDefault="00D31413" w:rsidP="00CE1CCD">
      <w:pPr>
        <w:spacing w:after="0"/>
        <w:rPr>
          <w:rFonts w:ascii="Times New Roman" w:hAnsi="Times New Roman" w:cs="Times New Roman"/>
          <w:sz w:val="24"/>
          <w:szCs w:val="24"/>
        </w:rPr>
      </w:pPr>
      <w:r>
        <w:rPr>
          <w:rFonts w:ascii="Times New Roman" w:hAnsi="Times New Roman" w:cs="Times New Roman"/>
          <w:sz w:val="24"/>
          <w:szCs w:val="24"/>
        </w:rPr>
        <w:t>More simply stated, in the following table, the following</w:t>
      </w:r>
      <w:r w:rsidR="00101C17">
        <w:rPr>
          <w:rFonts w:ascii="Times New Roman" w:hAnsi="Times New Roman" w:cs="Times New Roman"/>
          <w:sz w:val="24"/>
          <w:szCs w:val="24"/>
        </w:rPr>
        <w:t xml:space="preserve"> points apply</w:t>
      </w:r>
      <w:r>
        <w:rPr>
          <w:rFonts w:ascii="Times New Roman" w:hAnsi="Times New Roman" w:cs="Times New Roman"/>
          <w:sz w:val="24"/>
          <w:szCs w:val="24"/>
        </w:rPr>
        <w:t>:</w:t>
      </w:r>
    </w:p>
    <w:p w:rsidR="00101C17" w:rsidRDefault="00D31413" w:rsidP="00D31413">
      <w:pPr>
        <w:pStyle w:val="ListParagraph"/>
        <w:numPr>
          <w:ilvl w:val="0"/>
          <w:numId w:val="10"/>
        </w:numPr>
        <w:spacing w:after="0"/>
        <w:rPr>
          <w:rFonts w:ascii="Times New Roman" w:hAnsi="Times New Roman" w:cs="Times New Roman"/>
          <w:sz w:val="24"/>
          <w:szCs w:val="24"/>
        </w:rPr>
      </w:pPr>
      <w:r w:rsidRPr="00D31413">
        <w:rPr>
          <w:rFonts w:ascii="Times New Roman" w:hAnsi="Times New Roman" w:cs="Times New Roman"/>
          <w:sz w:val="24"/>
          <w:szCs w:val="24"/>
        </w:rPr>
        <w:t xml:space="preserve">the column labeled “Total Request” contains figures representing the </w:t>
      </w:r>
      <w:r w:rsidR="00101C17">
        <w:rPr>
          <w:rFonts w:ascii="Times New Roman" w:hAnsi="Times New Roman" w:cs="Times New Roman"/>
          <w:sz w:val="24"/>
          <w:szCs w:val="24"/>
        </w:rPr>
        <w:t xml:space="preserve">one-time </w:t>
      </w:r>
      <w:r w:rsidRPr="00D31413">
        <w:rPr>
          <w:rFonts w:ascii="Times New Roman" w:hAnsi="Times New Roman" w:cs="Times New Roman"/>
          <w:sz w:val="24"/>
          <w:szCs w:val="24"/>
        </w:rPr>
        <w:t xml:space="preserve">responses, time burden, and cost for RM14-8-000 (Reliability Standard PRC-005-3); </w:t>
      </w:r>
    </w:p>
    <w:p w:rsidR="005457EC" w:rsidRDefault="00D31413" w:rsidP="00D31413">
      <w:pPr>
        <w:pStyle w:val="ListParagraph"/>
        <w:numPr>
          <w:ilvl w:val="0"/>
          <w:numId w:val="10"/>
        </w:numPr>
        <w:spacing w:after="0"/>
        <w:rPr>
          <w:rFonts w:ascii="Times New Roman" w:hAnsi="Times New Roman" w:cs="Times New Roman"/>
          <w:sz w:val="24"/>
          <w:szCs w:val="24"/>
        </w:rPr>
      </w:pPr>
      <w:r w:rsidRPr="00D31413">
        <w:rPr>
          <w:rFonts w:ascii="Times New Roman" w:hAnsi="Times New Roman" w:cs="Times New Roman"/>
          <w:sz w:val="24"/>
          <w:szCs w:val="24"/>
        </w:rPr>
        <w:t xml:space="preserve">the column labeled </w:t>
      </w:r>
      <w:r w:rsidR="00101C17">
        <w:rPr>
          <w:rFonts w:ascii="Times New Roman" w:hAnsi="Times New Roman" w:cs="Times New Roman"/>
          <w:sz w:val="24"/>
          <w:szCs w:val="24"/>
        </w:rPr>
        <w:t>“Previously Approved” contains figures representing the one-time responses, time burden, and cost for RM13-7-000 (Reliability Standard PRC-005-2); and</w:t>
      </w:r>
    </w:p>
    <w:p w:rsidR="00101C17" w:rsidRPr="00D31413" w:rsidRDefault="00101C17" w:rsidP="00D31413">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column labeled “Change due to Agency Discretion” contains </w:t>
      </w:r>
      <w:r w:rsidR="00F075B6">
        <w:rPr>
          <w:rFonts w:ascii="Times New Roman" w:hAnsi="Times New Roman" w:cs="Times New Roman"/>
          <w:sz w:val="24"/>
          <w:szCs w:val="24"/>
        </w:rPr>
        <w:t xml:space="preserve">net </w:t>
      </w:r>
      <w:r>
        <w:rPr>
          <w:rFonts w:ascii="Times New Roman" w:hAnsi="Times New Roman" w:cs="Times New Roman"/>
          <w:sz w:val="24"/>
          <w:szCs w:val="24"/>
        </w:rPr>
        <w:t>differences between the responses, time burden, and cost of both previous (PRC-005-2) and current (PRC-005-3) one-time burdens.</w:t>
      </w:r>
    </w:p>
    <w:p w:rsidR="005457EC" w:rsidRDefault="005457EC" w:rsidP="00CE1CCD">
      <w:pPr>
        <w:spacing w:after="0"/>
        <w:rPr>
          <w:rFonts w:ascii="Times New Roman" w:hAnsi="Times New Roman" w:cs="Times New Roman"/>
          <w:sz w:val="24"/>
          <w:szCs w:val="24"/>
        </w:rPr>
      </w:pPr>
    </w:p>
    <w:p w:rsidR="00D76508" w:rsidRDefault="00E85D85" w:rsidP="003316E0">
      <w:pPr>
        <w:spacing w:after="0"/>
        <w:rPr>
          <w:rFonts w:ascii="Times New Roman" w:hAnsi="Times New Roman" w:cs="Times New Roman"/>
          <w:sz w:val="24"/>
          <w:szCs w:val="24"/>
        </w:rPr>
      </w:pPr>
      <w:r>
        <w:rPr>
          <w:rFonts w:ascii="Times New Roman" w:hAnsi="Times New Roman" w:cs="Times New Roman"/>
          <w:sz w:val="24"/>
          <w:szCs w:val="24"/>
        </w:rPr>
        <w:t xml:space="preserve">The estimated revised totals after the one-time changes in </w:t>
      </w:r>
      <w:r w:rsidR="00CB04FF">
        <w:rPr>
          <w:rFonts w:ascii="Times New Roman" w:hAnsi="Times New Roman" w:cs="Times New Roman"/>
          <w:sz w:val="24"/>
          <w:szCs w:val="24"/>
        </w:rPr>
        <w:t>FERC-725P (</w:t>
      </w:r>
      <w:r>
        <w:rPr>
          <w:rFonts w:ascii="Times New Roman" w:hAnsi="Times New Roman" w:cs="Times New Roman"/>
          <w:sz w:val="24"/>
          <w:szCs w:val="24"/>
        </w:rPr>
        <w:t>RM14-8-000</w:t>
      </w:r>
      <w:r w:rsidR="00CB04FF">
        <w:rPr>
          <w:rFonts w:ascii="Times New Roman" w:hAnsi="Times New Roman" w:cs="Times New Roman"/>
          <w:sz w:val="24"/>
          <w:szCs w:val="24"/>
        </w:rPr>
        <w:t>)</w:t>
      </w:r>
      <w:r>
        <w:rPr>
          <w:rFonts w:ascii="Times New Roman" w:hAnsi="Times New Roman" w:cs="Times New Roman"/>
          <w:sz w:val="24"/>
          <w:szCs w:val="24"/>
        </w:rPr>
        <w:t xml:space="preserve"> follow:</w:t>
      </w:r>
    </w:p>
    <w:p w:rsidR="00E85D85" w:rsidRDefault="00E85D85"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rsidTr="002C63E1">
        <w:trPr>
          <w:trHeight w:val="870"/>
        </w:trPr>
        <w:tc>
          <w:tcPr>
            <w:tcW w:w="2589" w:type="dxa"/>
            <w:shd w:val="clear" w:color="auto" w:fill="D9D9D9"/>
            <w:vAlign w:val="bottom"/>
          </w:tcPr>
          <w:p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w:t>
            </w:r>
            <w:r w:rsidR="00CE1CCD">
              <w:rPr>
                <w:rFonts w:ascii="Times New Roman" w:hAnsi="Times New Roman" w:cs="Times New Roman"/>
                <w:b/>
                <w:sz w:val="24"/>
                <w:szCs w:val="24"/>
              </w:rPr>
              <w:t>P</w:t>
            </w:r>
          </w:p>
        </w:tc>
        <w:tc>
          <w:tcPr>
            <w:tcW w:w="1779" w:type="dxa"/>
            <w:shd w:val="clear" w:color="auto" w:fill="D9D9D9"/>
            <w:vAlign w:val="bottom"/>
          </w:tcPr>
          <w:p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rsidTr="002C63E1">
        <w:trPr>
          <w:trHeight w:val="591"/>
        </w:trPr>
        <w:tc>
          <w:tcPr>
            <w:tcW w:w="2589" w:type="dxa"/>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rsidR="003316E0" w:rsidRPr="003316E0" w:rsidRDefault="00C15DF2" w:rsidP="003316E0">
            <w:pPr>
              <w:spacing w:after="0"/>
              <w:rPr>
                <w:rFonts w:ascii="Times New Roman" w:hAnsi="Times New Roman" w:cs="Times New Roman"/>
                <w:sz w:val="24"/>
                <w:szCs w:val="24"/>
              </w:rPr>
            </w:pPr>
            <w:r>
              <w:rPr>
                <w:rFonts w:ascii="Times New Roman" w:hAnsi="Times New Roman" w:cs="Times New Roman"/>
                <w:sz w:val="24"/>
                <w:szCs w:val="24"/>
              </w:rPr>
              <w:t>1,225</w:t>
            </w:r>
          </w:p>
        </w:tc>
        <w:tc>
          <w:tcPr>
            <w:tcW w:w="1959" w:type="dxa"/>
            <w:vAlign w:val="center"/>
          </w:tcPr>
          <w:p w:rsidR="003316E0" w:rsidRPr="003316E0" w:rsidRDefault="00243F92" w:rsidP="003316E0">
            <w:pPr>
              <w:spacing w:after="0"/>
              <w:rPr>
                <w:rFonts w:ascii="Times New Roman" w:hAnsi="Times New Roman" w:cs="Times New Roman"/>
                <w:sz w:val="24"/>
                <w:szCs w:val="24"/>
              </w:rPr>
            </w:pPr>
            <w:r>
              <w:rPr>
                <w:rFonts w:ascii="Times New Roman" w:hAnsi="Times New Roman" w:cs="Times New Roman"/>
                <w:sz w:val="24"/>
                <w:szCs w:val="24"/>
              </w:rPr>
              <w:t>867</w:t>
            </w:r>
          </w:p>
        </w:tc>
        <w:tc>
          <w:tcPr>
            <w:tcW w:w="1683" w:type="dxa"/>
            <w:vAlign w:val="center"/>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003316E0" w:rsidRPr="003316E0" w:rsidRDefault="00243F92" w:rsidP="003316E0">
            <w:pPr>
              <w:spacing w:after="0"/>
              <w:rPr>
                <w:rFonts w:ascii="Times New Roman" w:hAnsi="Times New Roman" w:cs="Times New Roman"/>
                <w:sz w:val="24"/>
                <w:szCs w:val="24"/>
              </w:rPr>
            </w:pPr>
            <w:r>
              <w:rPr>
                <w:rFonts w:ascii="Times New Roman" w:hAnsi="Times New Roman" w:cs="Times New Roman"/>
                <w:sz w:val="24"/>
                <w:szCs w:val="24"/>
              </w:rPr>
              <w:t>358</w:t>
            </w:r>
          </w:p>
        </w:tc>
      </w:tr>
      <w:tr w:rsidR="003316E0" w:rsidRPr="003316E0" w:rsidTr="002C63E1">
        <w:trPr>
          <w:trHeight w:val="575"/>
        </w:trPr>
        <w:tc>
          <w:tcPr>
            <w:tcW w:w="2589" w:type="dxa"/>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w:t>
            </w:r>
            <w:proofErr w:type="spellStart"/>
            <w:r w:rsidRPr="003316E0">
              <w:rPr>
                <w:rFonts w:ascii="Times New Roman" w:hAnsi="Times New Roman" w:cs="Times New Roman"/>
                <w:sz w:val="24"/>
                <w:szCs w:val="24"/>
              </w:rPr>
              <w:t>Hr</w:t>
            </w:r>
            <w:proofErr w:type="spellEnd"/>
            <w:r w:rsidRPr="003316E0">
              <w:rPr>
                <w:rFonts w:ascii="Times New Roman" w:hAnsi="Times New Roman" w:cs="Times New Roman"/>
                <w:sz w:val="24"/>
                <w:szCs w:val="24"/>
              </w:rPr>
              <w:t>)</w:t>
            </w:r>
            <w:r w:rsidR="00125F57">
              <w:rPr>
                <w:rFonts w:ascii="Times New Roman" w:hAnsi="Times New Roman" w:cs="Times New Roman"/>
                <w:sz w:val="24"/>
                <w:szCs w:val="24"/>
              </w:rPr>
              <w:t xml:space="preserve"> </w:t>
            </w:r>
            <w:r w:rsidR="00125F57" w:rsidRPr="00932C2D">
              <w:rPr>
                <w:rStyle w:val="FootnoteReference"/>
                <w:rFonts w:ascii="Times New Roman" w:hAnsi="Times New Roman" w:cs="Times New Roman"/>
                <w:sz w:val="24"/>
                <w:szCs w:val="24"/>
                <w:vertAlign w:val="superscript"/>
              </w:rPr>
              <w:footnoteReference w:id="26"/>
            </w:r>
          </w:p>
        </w:tc>
        <w:tc>
          <w:tcPr>
            <w:tcW w:w="1779" w:type="dxa"/>
            <w:vAlign w:val="center"/>
          </w:tcPr>
          <w:p w:rsidR="003316E0" w:rsidRPr="003316E0" w:rsidRDefault="00C15DF2" w:rsidP="003316E0">
            <w:pPr>
              <w:spacing w:after="0"/>
              <w:rPr>
                <w:rFonts w:ascii="Times New Roman" w:hAnsi="Times New Roman" w:cs="Times New Roman"/>
                <w:sz w:val="24"/>
                <w:szCs w:val="24"/>
              </w:rPr>
            </w:pPr>
            <w:r>
              <w:rPr>
                <w:rFonts w:ascii="Times New Roman" w:hAnsi="Times New Roman" w:cs="Times New Roman"/>
                <w:sz w:val="24"/>
                <w:szCs w:val="24"/>
              </w:rPr>
              <w:t>4,178</w:t>
            </w:r>
          </w:p>
        </w:tc>
        <w:tc>
          <w:tcPr>
            <w:tcW w:w="1959" w:type="dxa"/>
            <w:vAlign w:val="center"/>
          </w:tcPr>
          <w:p w:rsidR="003316E0" w:rsidRPr="003316E0" w:rsidRDefault="00243F92" w:rsidP="003316E0">
            <w:pPr>
              <w:spacing w:after="0"/>
              <w:rPr>
                <w:rFonts w:ascii="Times New Roman" w:hAnsi="Times New Roman" w:cs="Times New Roman"/>
                <w:sz w:val="24"/>
                <w:szCs w:val="24"/>
              </w:rPr>
            </w:pPr>
            <w:r>
              <w:rPr>
                <w:rFonts w:ascii="Times New Roman" w:hAnsi="Times New Roman" w:cs="Times New Roman"/>
                <w:sz w:val="24"/>
                <w:szCs w:val="24"/>
              </w:rPr>
              <w:t>6,936</w:t>
            </w:r>
          </w:p>
        </w:tc>
        <w:tc>
          <w:tcPr>
            <w:tcW w:w="1683" w:type="dxa"/>
            <w:vAlign w:val="center"/>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003316E0" w:rsidRPr="003316E0" w:rsidRDefault="00243F92" w:rsidP="003316E0">
            <w:pPr>
              <w:spacing w:after="0"/>
              <w:rPr>
                <w:rFonts w:ascii="Times New Roman" w:hAnsi="Times New Roman" w:cs="Times New Roman"/>
                <w:sz w:val="24"/>
                <w:szCs w:val="24"/>
              </w:rPr>
            </w:pPr>
            <w:r>
              <w:rPr>
                <w:rFonts w:ascii="Times New Roman" w:hAnsi="Times New Roman" w:cs="Times New Roman"/>
                <w:sz w:val="24"/>
                <w:szCs w:val="24"/>
              </w:rPr>
              <w:t>-2,758</w:t>
            </w:r>
          </w:p>
        </w:tc>
      </w:tr>
      <w:tr w:rsidR="003316E0" w:rsidRPr="003316E0" w:rsidTr="002C63E1">
        <w:trPr>
          <w:trHeight w:val="295"/>
        </w:trPr>
        <w:tc>
          <w:tcPr>
            <w:tcW w:w="2589" w:type="dxa"/>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rsidR="003316E0" w:rsidRDefault="003316E0" w:rsidP="003316E0">
      <w:pPr>
        <w:spacing w:after="0"/>
        <w:rPr>
          <w:rFonts w:ascii="Times New Roman" w:hAnsi="Times New Roman" w:cs="Times New Roman"/>
          <w:sz w:val="24"/>
          <w:szCs w:val="24"/>
        </w:rPr>
      </w:pPr>
    </w:p>
    <w:p w:rsidR="008A6B3F" w:rsidRDefault="008A6B3F" w:rsidP="003316E0">
      <w:pPr>
        <w:spacing w:after="0"/>
        <w:rPr>
          <w:rFonts w:ascii="Times New Roman" w:hAnsi="Times New Roman" w:cs="Times New Roman"/>
          <w:sz w:val="24"/>
          <w:szCs w:val="24"/>
        </w:rPr>
      </w:pPr>
      <w:r>
        <w:rPr>
          <w:rFonts w:ascii="Times New Roman" w:hAnsi="Times New Roman" w:cs="Times New Roman"/>
          <w:sz w:val="24"/>
          <w:szCs w:val="24"/>
        </w:rPr>
        <w:t>The one-time burden due to the RM14-8-000 Final Rule will be removed once Commission staff has ensured that all entities have complied.</w:t>
      </w:r>
    </w:p>
    <w:p w:rsidR="003316E0" w:rsidRPr="00A276F5" w:rsidRDefault="003316E0" w:rsidP="003316E0">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 xml:space="preserve">FERC does not publish any data associated with </w:t>
      </w:r>
      <w:r w:rsidR="0039318D">
        <w:rPr>
          <w:rFonts w:ascii="Times New Roman" w:hAnsi="Times New Roman" w:cs="Times New Roman"/>
          <w:sz w:val="24"/>
          <w:szCs w:val="24"/>
        </w:rPr>
        <w:t xml:space="preserve">this </w:t>
      </w:r>
      <w:r>
        <w:rPr>
          <w:rFonts w:ascii="Times New Roman" w:hAnsi="Times New Roman" w:cs="Times New Roman"/>
          <w:sz w:val="24"/>
          <w:szCs w:val="24"/>
        </w:rPr>
        <w:t>collection.</w:t>
      </w:r>
    </w:p>
    <w:p w:rsidR="00197A36" w:rsidRPr="00414F32" w:rsidRDefault="00197A36"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w:t>
      </w:r>
      <w:r w:rsidR="00461AD2">
        <w:rPr>
          <w:rFonts w:ascii="Times New Roman" w:hAnsi="Times New Roman" w:cs="Times New Roman"/>
          <w:sz w:val="24"/>
          <w:szCs w:val="24"/>
        </w:rPr>
        <w:t>P</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rsidR="00C27D56" w:rsidRDefault="00C27D56" w:rsidP="00414F32">
      <w:pPr>
        <w:spacing w:after="0"/>
        <w:rPr>
          <w:rFonts w:ascii="Times New Roman" w:hAnsi="Times New Roman" w:cs="Times New Roman"/>
          <w:sz w:val="24"/>
          <w:szCs w:val="24"/>
        </w:rPr>
      </w:pPr>
    </w:p>
    <w:p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rsidR="00197A36" w:rsidRPr="00414F32" w:rsidRDefault="00197A36"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RDefault="00970FE4" w:rsidP="0057700F">
      <w:pPr>
        <w:spacing w:after="0"/>
        <w:rPr>
          <w:rFonts w:ascii="Times New Roman" w:hAnsi="Times New Roman" w:cs="Times New Roman"/>
          <w:sz w:val="24"/>
          <w:szCs w:val="24"/>
        </w:rPr>
      </w:pPr>
    </w:p>
    <w:p w:rsidR="00414F32" w:rsidRPr="007A2F92" w:rsidRDefault="000F24CD" w:rsidP="007A2F92">
      <w:pPr>
        <w:spacing w:after="0"/>
        <w:rPr>
          <w:rFonts w:ascii="Times New Roman" w:hAnsi="Times New Roman" w:cs="Times New Roman"/>
          <w:sz w:val="24"/>
          <w:szCs w:val="24"/>
        </w:rPr>
      </w:pPr>
      <w:r>
        <w:rPr>
          <w:rFonts w:ascii="Times New Roman" w:hAnsi="Times New Roman" w:cs="Times New Roman"/>
          <w:sz w:val="24"/>
          <w:szCs w:val="24"/>
        </w:rPr>
        <w:t>T</w:t>
      </w:r>
      <w:r w:rsidR="00197A36" w:rsidRPr="00197A36">
        <w:rPr>
          <w:rFonts w:ascii="Times New Roman" w:hAnsi="Times New Roman" w:cs="Times New Roman"/>
          <w:sz w:val="24"/>
          <w:szCs w:val="24"/>
        </w:rPr>
        <w:t>he data collected for this reporting requirement are not used for stat</w:t>
      </w:r>
      <w:r w:rsidR="00197A36">
        <w:rPr>
          <w:rFonts w:ascii="Times New Roman" w:hAnsi="Times New Roman" w:cs="Times New Roman"/>
          <w:sz w:val="24"/>
          <w:szCs w:val="24"/>
        </w:rPr>
        <w:t>istical purposes.</w:t>
      </w:r>
    </w:p>
    <w:sectPr w:rsidR="00414F32" w:rsidRPr="007A2F92" w:rsidSect="007861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D10" w:rsidRDefault="00E90D10" w:rsidP="00FD66F1">
      <w:pPr>
        <w:spacing w:after="0" w:line="240" w:lineRule="auto"/>
      </w:pPr>
      <w:r>
        <w:separator/>
      </w:r>
    </w:p>
  </w:endnote>
  <w:endnote w:type="continuationSeparator" w:id="0">
    <w:p w:rsidR="00E90D10" w:rsidRDefault="00E90D10"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CB26E8" w:rsidRPr="00DD79FB" w:rsidRDefault="00CB26E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932C2D">
          <w:rPr>
            <w:rFonts w:ascii="Times New Roman" w:hAnsi="Times New Roman" w:cs="Times New Roman"/>
            <w:noProof/>
          </w:rPr>
          <w:t>1</w:t>
        </w:r>
        <w:r w:rsidRPr="00DD79FB">
          <w:rPr>
            <w:rFonts w:ascii="Times New Roman" w:hAnsi="Times New Roman" w:cs="Times New Roman"/>
            <w:noProof/>
          </w:rPr>
          <w:fldChar w:fldCharType="end"/>
        </w:r>
      </w:p>
    </w:sdtContent>
  </w:sdt>
  <w:p w:rsidR="00CB26E8" w:rsidRDefault="00CB2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D10" w:rsidRDefault="00E90D10" w:rsidP="00FD66F1">
      <w:pPr>
        <w:spacing w:after="0" w:line="240" w:lineRule="auto"/>
      </w:pPr>
      <w:r>
        <w:separator/>
      </w:r>
    </w:p>
  </w:footnote>
  <w:footnote w:type="continuationSeparator" w:id="0">
    <w:p w:rsidR="00E90D10" w:rsidRDefault="00E90D10" w:rsidP="00FD66F1">
      <w:pPr>
        <w:spacing w:after="0" w:line="240" w:lineRule="auto"/>
      </w:pPr>
      <w:r>
        <w:continuationSeparator/>
      </w:r>
    </w:p>
  </w:footnote>
  <w:footnote w:id="1">
    <w:p w:rsidR="008D6E39" w:rsidRPr="00E85D85" w:rsidRDefault="008D6E39" w:rsidP="00E85D85">
      <w:pPr>
        <w:pStyle w:val="FootnoteText"/>
      </w:pPr>
      <w:r w:rsidRPr="00E85D85">
        <w:rPr>
          <w:rStyle w:val="FootnoteReference"/>
        </w:rPr>
        <w:footnoteRef/>
      </w:r>
      <w:r w:rsidRPr="00E85D85">
        <w:t xml:space="preserve"> </w:t>
      </w:r>
      <w:r w:rsidR="009F3297" w:rsidRPr="00E85D85">
        <w:t>PRC</w:t>
      </w:r>
      <w:r w:rsidRPr="00E85D85">
        <w:t xml:space="preserve"> is not an acronym. Rather, it is a prefix that denotes reliability standards related to “</w:t>
      </w:r>
      <w:r w:rsidR="009F3297" w:rsidRPr="00E85D85">
        <w:t>Protection and Control</w:t>
      </w:r>
      <w:r w:rsidRPr="00E85D85">
        <w:t>”.</w:t>
      </w:r>
    </w:p>
  </w:footnote>
  <w:footnote w:id="2">
    <w:p w:rsidR="00047471" w:rsidRPr="00E85D85" w:rsidRDefault="00047471" w:rsidP="00E85D85">
      <w:pPr>
        <w:pStyle w:val="FootnoteText"/>
      </w:pPr>
      <w:r w:rsidRPr="00E85D85">
        <w:rPr>
          <w:rStyle w:val="FootnoteReference"/>
        </w:rPr>
        <w:footnoteRef/>
      </w:r>
      <w:r w:rsidRPr="00E85D85">
        <w:t xml:space="preserve"> Protection System and Automatic Reclosing Maintenance</w:t>
      </w:r>
    </w:p>
  </w:footnote>
  <w:footnote w:id="3">
    <w:p w:rsidR="00C233E7" w:rsidRPr="00E85D85" w:rsidRDefault="00C233E7" w:rsidP="00E85D85">
      <w:pPr>
        <w:pStyle w:val="FootnoteText"/>
      </w:pPr>
      <w:r w:rsidRPr="00E85D85">
        <w:rPr>
          <w:rStyle w:val="FootnoteReference"/>
          <w:b/>
          <w:vertAlign w:val="superscript"/>
        </w:rPr>
        <w:footnoteRef/>
      </w:r>
      <w:r w:rsidRPr="00E85D85">
        <w:rPr>
          <w:b/>
        </w:rPr>
        <w:t xml:space="preserve"> </w:t>
      </w:r>
      <w:r w:rsidRPr="00E85D85">
        <w:t>In Order No 763, the Commission approved Reliability Standard PRC-006-1 pertaining to “</w:t>
      </w:r>
      <w:proofErr w:type="spellStart"/>
      <w:r w:rsidRPr="00E85D85">
        <w:t>underfrequency</w:t>
      </w:r>
      <w:proofErr w:type="spellEnd"/>
      <w:r w:rsidRPr="00E85D85">
        <w:t xml:space="preserve"> load shedding” which also encompasses “</w:t>
      </w:r>
      <w:proofErr w:type="spellStart"/>
      <w:r w:rsidRPr="00E85D85">
        <w:t>undervoltage</w:t>
      </w:r>
      <w:proofErr w:type="spellEnd"/>
      <w:r w:rsidRPr="00E85D85">
        <w:t xml:space="preserve"> load shedding.”  </w:t>
      </w:r>
      <w:r w:rsidRPr="00E85D85">
        <w:rPr>
          <w:i/>
        </w:rPr>
        <w:t xml:space="preserve">Automatic </w:t>
      </w:r>
      <w:proofErr w:type="spellStart"/>
      <w:r w:rsidRPr="00E85D85">
        <w:rPr>
          <w:i/>
        </w:rPr>
        <w:t>Underfrequency</w:t>
      </w:r>
      <w:proofErr w:type="spellEnd"/>
      <w:r w:rsidRPr="00E85D85">
        <w:rPr>
          <w:i/>
        </w:rPr>
        <w:t xml:space="preserve"> Load Shedding and Load Shedding Plans Reliability Standards</w:t>
      </w:r>
      <w:r w:rsidRPr="00E85D85">
        <w:t xml:space="preserve">, Order No. 763, 139 FERC ¶ 61, 098 (2012).   </w:t>
      </w:r>
    </w:p>
  </w:footnote>
  <w:footnote w:id="4">
    <w:p w:rsidR="00C233E7" w:rsidRPr="00E85D85" w:rsidRDefault="00C233E7" w:rsidP="00E85D85">
      <w:pPr>
        <w:pStyle w:val="FootnoteText"/>
      </w:pPr>
      <w:r w:rsidRPr="00E85D85">
        <w:rPr>
          <w:rStyle w:val="FootnoteReference"/>
          <w:b/>
          <w:vertAlign w:val="superscript"/>
        </w:rPr>
        <w:footnoteRef/>
      </w:r>
      <w:r w:rsidRPr="00E85D85">
        <w:t xml:space="preserve"> NERC’s petition (at 9) states, “Reclosing relays are utilized on transmission systems to restore transmission elements to service following automatic circuit breaker tripping”.  </w:t>
      </w:r>
    </w:p>
  </w:footnote>
  <w:footnote w:id="5">
    <w:p w:rsidR="00C233E7" w:rsidRPr="00E85D85" w:rsidRDefault="00C233E7" w:rsidP="00E85D85">
      <w:pPr>
        <w:pStyle w:val="FootnoteText"/>
      </w:pPr>
      <w:r w:rsidRPr="00E85D85">
        <w:rPr>
          <w:rStyle w:val="FootnoteReference"/>
          <w:b/>
          <w:vertAlign w:val="superscript"/>
        </w:rPr>
        <w:footnoteRef/>
      </w:r>
      <w:r w:rsidRPr="00E85D85">
        <w:rPr>
          <w:b/>
          <w:vertAlign w:val="superscript"/>
        </w:rPr>
        <w:t xml:space="preserve"> </w:t>
      </w:r>
      <w:r w:rsidRPr="00E85D85">
        <w:t xml:space="preserve">The approved interpretation stated: </w:t>
      </w:r>
    </w:p>
    <w:p w:rsidR="00C233E7" w:rsidRPr="00E85D85" w:rsidRDefault="00C233E7" w:rsidP="00E85D85">
      <w:pPr>
        <w:pStyle w:val="FootnoteText"/>
        <w:rPr>
          <w:i/>
          <w:iCs/>
        </w:rPr>
      </w:pPr>
      <w:r w:rsidRPr="00E85D85">
        <w:t xml:space="preserve"> </w:t>
      </w:r>
      <w:r w:rsidRPr="00E85D85">
        <w:rPr>
          <w:i/>
          <w:iCs/>
        </w:rPr>
        <w:t>Request R3: Does R1 require maintenance and testing of transmission line re-closing relays?</w:t>
      </w:r>
    </w:p>
    <w:p w:rsidR="00C233E7" w:rsidRPr="00E85D85" w:rsidRDefault="00C233E7" w:rsidP="00E85D85">
      <w:pPr>
        <w:pStyle w:val="FootnoteText"/>
      </w:pPr>
      <w:r w:rsidRPr="00E85D85">
        <w:t>Response: No.  ‘Protective Relays’ refer to devices that detect and take action for abnormal conditions.  Automatic restoration of transmission lines is not a ‘protective’ function.</w:t>
      </w:r>
    </w:p>
    <w:p w:rsidR="00C233E7" w:rsidRPr="00E85D85" w:rsidRDefault="00C233E7" w:rsidP="00E85D85">
      <w:pPr>
        <w:pStyle w:val="FootnoteText"/>
      </w:pPr>
      <w:r w:rsidRPr="00E85D85">
        <w:t>Order No. 758, 138 FERC ¶ 61,094 at P 7.</w:t>
      </w:r>
    </w:p>
  </w:footnote>
  <w:footnote w:id="6">
    <w:p w:rsidR="00C233E7" w:rsidRPr="00E85D85" w:rsidRDefault="00C233E7" w:rsidP="00E85D85">
      <w:pPr>
        <w:pStyle w:val="FootnoteText"/>
      </w:pPr>
      <w:r w:rsidRPr="00E85D85">
        <w:rPr>
          <w:rStyle w:val="FootnoteReference"/>
          <w:b/>
          <w:vertAlign w:val="superscript"/>
        </w:rPr>
        <w:footnoteRef/>
      </w:r>
      <w:r w:rsidRPr="00E85D85">
        <w:t xml:space="preserve"> The Commission referred to one incident involving the </w:t>
      </w:r>
      <w:proofErr w:type="spellStart"/>
      <w:r w:rsidRPr="00E85D85">
        <w:t>misoperation</w:t>
      </w:r>
      <w:proofErr w:type="spellEnd"/>
      <w:r w:rsidRPr="00E85D85">
        <w:t xml:space="preserve"> or poor coordination of reclosing relays that ultimately resulted in the loss of over 4,000 MW of generation and multiple 765 kV lines, to illustrate the effect reclosing relays can have on the reliability of the Bulk-Power System.  </w:t>
      </w:r>
      <w:r w:rsidRPr="00E85D85">
        <w:rPr>
          <w:i/>
        </w:rPr>
        <w:t xml:space="preserve">See </w:t>
      </w:r>
      <w:r w:rsidRPr="00E85D85">
        <w:t xml:space="preserve">Order No. 758, 138 FERC ¶ 61,094 at P 23 and n.32. </w:t>
      </w:r>
    </w:p>
  </w:footnote>
  <w:footnote w:id="7">
    <w:p w:rsidR="00C233E7" w:rsidRPr="00E85D85" w:rsidRDefault="00C233E7" w:rsidP="00E85D85">
      <w:pPr>
        <w:pStyle w:val="FootnoteText"/>
      </w:pPr>
      <w:r w:rsidRPr="00E85D85">
        <w:rPr>
          <w:rStyle w:val="FootnoteReference"/>
          <w:b/>
          <w:vertAlign w:val="superscript"/>
        </w:rPr>
        <w:footnoteRef/>
      </w:r>
      <w:r w:rsidRPr="00E85D85">
        <w:rPr>
          <w:b/>
          <w:vertAlign w:val="superscript"/>
        </w:rPr>
        <w:t xml:space="preserve"> </w:t>
      </w:r>
      <w:r w:rsidRPr="00E85D85">
        <w:rPr>
          <w:i/>
        </w:rPr>
        <w:t xml:space="preserve">Id. </w:t>
      </w:r>
      <w:r w:rsidRPr="00E85D85">
        <w:t xml:space="preserve">PP 23-24 (footnotes excluded).  </w:t>
      </w:r>
    </w:p>
  </w:footnote>
  <w:footnote w:id="8">
    <w:p w:rsidR="00C233E7" w:rsidRPr="00E85D85" w:rsidRDefault="00C233E7" w:rsidP="00E85D85">
      <w:pPr>
        <w:pStyle w:val="FootnoteText"/>
      </w:pPr>
      <w:r w:rsidRPr="00E85D85">
        <w:rPr>
          <w:rStyle w:val="FootnoteReference"/>
          <w:b/>
          <w:vertAlign w:val="superscript"/>
        </w:rPr>
        <w:footnoteRef/>
      </w:r>
      <w:r w:rsidRPr="00E85D85">
        <w:t xml:space="preserve"> </w:t>
      </w:r>
      <w:r w:rsidRPr="00E85D85">
        <w:rPr>
          <w:i/>
        </w:rPr>
        <w:t xml:space="preserve">Protection System Maintenance Reliability Standard, </w:t>
      </w:r>
      <w:r w:rsidRPr="00E85D85">
        <w:t xml:space="preserve">Order No. 793, 145 FERC ¶ 61,253 (2013).  </w:t>
      </w:r>
    </w:p>
  </w:footnote>
  <w:footnote w:id="9">
    <w:p w:rsidR="00C233E7" w:rsidRPr="00E85D85" w:rsidRDefault="00C233E7" w:rsidP="00E85D85">
      <w:pPr>
        <w:pStyle w:val="FootnoteText"/>
      </w:pPr>
      <w:r w:rsidRPr="00E85D85">
        <w:rPr>
          <w:rStyle w:val="FootnoteReference"/>
          <w:b/>
          <w:vertAlign w:val="superscript"/>
        </w:rPr>
        <w:footnoteRef/>
      </w:r>
      <w:r w:rsidRPr="00E85D85">
        <w:t xml:space="preserve"> </w:t>
      </w:r>
      <w:r w:rsidRPr="00E85D85">
        <w:rPr>
          <w:i/>
        </w:rPr>
        <w:t xml:space="preserve">Id. </w:t>
      </w:r>
      <w:r w:rsidRPr="00E85D85">
        <w:t xml:space="preserve">P 2. </w:t>
      </w:r>
    </w:p>
  </w:footnote>
  <w:footnote w:id="10">
    <w:p w:rsidR="00C233E7" w:rsidRPr="00E85D85" w:rsidRDefault="00C233E7" w:rsidP="00E85D85">
      <w:pPr>
        <w:pStyle w:val="FootnoteText"/>
      </w:pPr>
      <w:r w:rsidRPr="00E85D85">
        <w:rPr>
          <w:rStyle w:val="FootnoteReference"/>
          <w:b/>
          <w:vertAlign w:val="superscript"/>
        </w:rPr>
        <w:footnoteRef/>
      </w:r>
      <w:r w:rsidRPr="00E85D85">
        <w:t xml:space="preserve"> </w:t>
      </w:r>
      <w:r w:rsidRPr="00E85D85">
        <w:rPr>
          <w:i/>
        </w:rPr>
        <w:t xml:space="preserve">See </w:t>
      </w:r>
      <w:r w:rsidRPr="00E85D85">
        <w:t xml:space="preserve">NERC Petition at 2, 7.  </w:t>
      </w:r>
    </w:p>
  </w:footnote>
  <w:footnote w:id="11">
    <w:p w:rsidR="00C233E7" w:rsidRPr="00E85D85" w:rsidRDefault="00C233E7" w:rsidP="00E85D85">
      <w:pPr>
        <w:pStyle w:val="FootnoteText"/>
      </w:pPr>
      <w:r w:rsidRPr="00E85D85">
        <w:rPr>
          <w:rStyle w:val="FootnoteReference"/>
          <w:b/>
          <w:vertAlign w:val="superscript"/>
        </w:rPr>
        <w:footnoteRef/>
      </w:r>
      <w:r w:rsidRPr="00E85D85">
        <w:t xml:space="preserve"> </w:t>
      </w:r>
      <w:proofErr w:type="gramStart"/>
      <w:r w:rsidRPr="00E85D85">
        <w:rPr>
          <w:i/>
        </w:rPr>
        <w:t xml:space="preserve">Id. </w:t>
      </w:r>
      <w:r w:rsidRPr="00E85D85">
        <w:t>at 8.</w:t>
      </w:r>
      <w:proofErr w:type="gramEnd"/>
      <w:r w:rsidRPr="00E85D85">
        <w:t xml:space="preserve"> </w:t>
      </w:r>
    </w:p>
  </w:footnote>
  <w:footnote w:id="12">
    <w:p w:rsidR="00CB26E8" w:rsidRPr="00E85D85" w:rsidRDefault="00CB26E8" w:rsidP="00E85D85">
      <w:pPr>
        <w:pStyle w:val="FootnoteText"/>
      </w:pPr>
      <w:r w:rsidRPr="00E85D85">
        <w:rPr>
          <w:rStyle w:val="FootnoteReference"/>
        </w:rPr>
        <w:footnoteRef/>
      </w:r>
      <w:r w:rsidRPr="00E85D85">
        <w:t xml:space="preserve"> </w:t>
      </w:r>
      <w:r w:rsidR="00CB04FF">
        <w:t>68.2</w:t>
      </w:r>
      <w:r w:rsidRPr="00E85D85">
        <w:t>% of affected entities</w:t>
      </w:r>
    </w:p>
  </w:footnote>
  <w:footnote w:id="13">
    <w:p w:rsidR="00CB26E8" w:rsidRPr="00E85D85" w:rsidRDefault="00CB26E8" w:rsidP="00E85D85">
      <w:pPr>
        <w:pStyle w:val="FootnoteText"/>
      </w:pPr>
      <w:r w:rsidRPr="00E85D85">
        <w:rPr>
          <w:rStyle w:val="FootnoteReference"/>
        </w:rPr>
        <w:footnoteRef/>
      </w:r>
      <w:r w:rsidRPr="00E85D85">
        <w:t xml:space="preserve"> </w:t>
      </w:r>
      <w:hyperlink r:id="rId1" w:history="1">
        <w:r w:rsidRPr="00E85D85">
          <w:rPr>
            <w:rStyle w:val="Hyperlink"/>
          </w:rPr>
          <w:t>http://www.nerc.com/FilingsOrders/us/RuleOfProcedureDL/NERC_ROP_Effective_20140701_updated_20140602%20(updated).pdf</w:t>
        </w:r>
      </w:hyperlink>
    </w:p>
  </w:footnote>
  <w:footnote w:id="14">
    <w:p w:rsidR="00E817F8" w:rsidRPr="00E85D85" w:rsidRDefault="00E817F8" w:rsidP="00E85D85">
      <w:pPr>
        <w:pStyle w:val="FootnoteText"/>
      </w:pPr>
      <w:r w:rsidRPr="00E85D85">
        <w:rPr>
          <w:rStyle w:val="FootnoteReference"/>
          <w:b/>
          <w:vertAlign w:val="superscript"/>
        </w:rPr>
        <w:footnoteRef/>
      </w:r>
      <w:r w:rsidRPr="00E85D85">
        <w:t xml:space="preserve"> </w:t>
      </w:r>
      <w:r w:rsidRPr="00E85D85">
        <w:rPr>
          <w:i/>
        </w:rPr>
        <w:t xml:space="preserve">See </w:t>
      </w:r>
      <w:r w:rsidRPr="00E85D85">
        <w:t>the proposed rule document at P 36.</w:t>
      </w:r>
    </w:p>
  </w:footnote>
  <w:footnote w:id="15">
    <w:p w:rsidR="00CB26E8" w:rsidRPr="00E85D85" w:rsidRDefault="00CB26E8" w:rsidP="00E85D85">
      <w:pPr>
        <w:pStyle w:val="FootnoteText"/>
      </w:pPr>
      <w:r w:rsidRPr="00E85D85">
        <w:rPr>
          <w:rStyle w:val="FootnoteReference"/>
          <w:vertAlign w:val="superscript"/>
        </w:rPr>
        <w:footnoteRef/>
      </w:r>
      <w:r w:rsidRPr="00E85D85">
        <w:t xml:space="preserve"> </w:t>
      </w:r>
      <w:proofErr w:type="gramStart"/>
      <w:r w:rsidRPr="00E85D85">
        <w:t>Section 1502, Paragraph 2, available at NERCs website.</w:t>
      </w:r>
      <w:proofErr w:type="gramEnd"/>
    </w:p>
  </w:footnote>
  <w:footnote w:id="16">
    <w:p w:rsidR="00720C5A" w:rsidRPr="00E85D85" w:rsidRDefault="00720C5A" w:rsidP="00E85D85">
      <w:pPr>
        <w:pStyle w:val="FootnoteText"/>
      </w:pPr>
      <w:r w:rsidRPr="00E85D85">
        <w:rPr>
          <w:rStyle w:val="FootnoteReference"/>
          <w:vertAlign w:val="superscript"/>
        </w:rPr>
        <w:footnoteRef/>
      </w:r>
      <w:r w:rsidR="005A409F" w:rsidRPr="00E85D85">
        <w:t xml:space="preserve"> 78 FR 44475</w:t>
      </w:r>
    </w:p>
  </w:footnote>
  <w:footnote w:id="17">
    <w:p w:rsidR="00E85D85" w:rsidRPr="00E85D85" w:rsidRDefault="00E85D85" w:rsidP="00E85D85">
      <w:pPr>
        <w:pStyle w:val="FootnoteText"/>
      </w:pPr>
      <w:r w:rsidRPr="00E85D85">
        <w:rPr>
          <w:rStyle w:val="FootnoteReference"/>
          <w:vertAlign w:val="superscript"/>
        </w:rPr>
        <w:footnoteRef/>
      </w:r>
      <w:r w:rsidRPr="00E85D85">
        <w:t xml:space="preserve"> PSMP = Protection System Maintenance Program</w:t>
      </w:r>
    </w:p>
  </w:footnote>
  <w:footnote w:id="18">
    <w:p w:rsidR="00E85D85" w:rsidRPr="009B43F8" w:rsidRDefault="00E85D85" w:rsidP="00E85D85">
      <w:pPr>
        <w:pStyle w:val="FootnoteText"/>
      </w:pPr>
      <w:r w:rsidRPr="00E85D85">
        <w:rPr>
          <w:rStyle w:val="FootnoteReference"/>
          <w:vertAlign w:val="superscript"/>
        </w:rPr>
        <w:footnoteRef/>
      </w:r>
      <w:r w:rsidRPr="00E85D85">
        <w:t xml:space="preserve"> This figure is the average of the salary plus benefits </w:t>
      </w:r>
      <w:r w:rsidR="009B43F8">
        <w:t>for a manager and an engineer.</w:t>
      </w:r>
    </w:p>
  </w:footnote>
  <w:footnote w:id="19">
    <w:p w:rsidR="00CB26E8" w:rsidRPr="00E85D85" w:rsidRDefault="00CB26E8" w:rsidP="00E85D85">
      <w:pPr>
        <w:pStyle w:val="FootnoteText"/>
      </w:pPr>
      <w:r w:rsidRPr="00E85D85">
        <w:rPr>
          <w:rStyle w:val="FootnoteReference"/>
          <w:vertAlign w:val="superscript"/>
        </w:rPr>
        <w:footnoteRef/>
      </w:r>
      <w:r w:rsidRPr="00E85D85">
        <w:rPr>
          <w:vertAlign w:val="superscript"/>
        </w:rPr>
        <w:t xml:space="preserve"> </w:t>
      </w:r>
      <w:r w:rsidRPr="00E85D85">
        <w:t>Paperwork Reduction Act of 1995 (PRA)</w:t>
      </w:r>
    </w:p>
  </w:footnote>
  <w:footnote w:id="20">
    <w:p w:rsidR="00CB26E8" w:rsidRPr="00E85D85" w:rsidRDefault="00CB26E8" w:rsidP="00E85D85">
      <w:pPr>
        <w:pStyle w:val="FootnoteText"/>
      </w:pPr>
      <w:r w:rsidRPr="00E85D85">
        <w:rPr>
          <w:rStyle w:val="FootnoteReference"/>
          <w:vertAlign w:val="superscript"/>
        </w:rPr>
        <w:footnoteRef/>
      </w:r>
      <w:r w:rsidRPr="00E85D85">
        <w:rPr>
          <w:vertAlign w:val="superscript"/>
        </w:rPr>
        <w:t xml:space="preserve"> </w:t>
      </w:r>
      <w:r w:rsidRPr="00E85D85">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w:t>
      </w:r>
      <w:r w:rsidR="0045446A">
        <w:t>d rulemakings (not just the Final Rule</w:t>
      </w:r>
      <w:r w:rsidRPr="00E85D85">
        <w:t xml:space="preserve"> in</w:t>
      </w:r>
      <w:r w:rsidR="0045446A">
        <w:t xml:space="preserve"> Docket No. RM14-</w:t>
      </w:r>
      <w:proofErr w:type="gramStart"/>
      <w:r w:rsidR="0045446A">
        <w:t>8</w:t>
      </w:r>
      <w:r w:rsidRPr="00E85D85">
        <w:t>),</w:t>
      </w:r>
      <w:proofErr w:type="gramEnd"/>
      <w:r w:rsidRPr="00E85D85">
        <w:t xml:space="preserve"> and ot</w:t>
      </w:r>
      <w:r w:rsidR="0045446A">
        <w:t>her changes to the collection.</w:t>
      </w:r>
    </w:p>
  </w:footnote>
  <w:footnote w:id="21">
    <w:p w:rsidR="00684049" w:rsidRPr="00E85D85" w:rsidRDefault="00684049" w:rsidP="00E85D85">
      <w:pPr>
        <w:pStyle w:val="FootnoteText"/>
      </w:pPr>
      <w:r w:rsidRPr="00E85D85">
        <w:rPr>
          <w:rStyle w:val="FootnoteReference"/>
          <w:b/>
          <w:vertAlign w:val="superscript"/>
        </w:rPr>
        <w:footnoteRef/>
      </w:r>
      <w:r w:rsidRPr="00E85D85">
        <w:t xml:space="preserve"> </w:t>
      </w:r>
      <w:r w:rsidR="00E85D85">
        <w:rPr>
          <w:i/>
        </w:rPr>
        <w:t xml:space="preserve">See </w:t>
      </w:r>
      <w:hyperlink r:id="rId2" w:history="1">
        <w:r w:rsidR="00E85D85" w:rsidRPr="00727CDF">
          <w:rPr>
            <w:rStyle w:val="Hyperlink"/>
          </w:rPr>
          <w:t>http://www.eia.gov/electricity/annual/html/epa_08_07_a.html</w:t>
        </w:r>
      </w:hyperlink>
      <w:r w:rsidRPr="00E85D85">
        <w:rPr>
          <w:color w:val="000000"/>
        </w:rPr>
        <w:t>.</w:t>
      </w:r>
    </w:p>
  </w:footnote>
  <w:footnote w:id="22">
    <w:p w:rsidR="00684049" w:rsidRPr="00E85D85" w:rsidRDefault="00684049" w:rsidP="00E85D85">
      <w:pPr>
        <w:pStyle w:val="FootnoteText"/>
      </w:pPr>
      <w:r w:rsidRPr="00E85D85">
        <w:rPr>
          <w:rStyle w:val="FootnoteReference"/>
          <w:b/>
          <w:vertAlign w:val="superscript"/>
        </w:rPr>
        <w:footnoteRef/>
      </w:r>
      <w:r w:rsidRPr="00E85D85">
        <w:rPr>
          <w:b/>
        </w:rPr>
        <w:t xml:space="preserve"> </w:t>
      </w:r>
      <w:r w:rsidRPr="00E85D85">
        <w:t xml:space="preserve">This estimate conservatively assumes that the proximate substation would be owned by a different entity than the generating plant.  </w:t>
      </w:r>
    </w:p>
  </w:footnote>
  <w:footnote w:id="23">
    <w:p w:rsidR="00E85D85" w:rsidRPr="00E85D85" w:rsidRDefault="00E85D85" w:rsidP="00E85D85">
      <w:pPr>
        <w:pStyle w:val="FootnoteText"/>
      </w:pPr>
      <w:r w:rsidRPr="00E85D85">
        <w:rPr>
          <w:rStyle w:val="FootnoteReference"/>
          <w:vertAlign w:val="superscript"/>
        </w:rPr>
        <w:footnoteRef/>
      </w:r>
      <w:r w:rsidRPr="00E85D85">
        <w:rPr>
          <w:vertAlign w:val="superscript"/>
        </w:rPr>
        <w:t xml:space="preserve"> </w:t>
      </w:r>
      <w:r w:rsidRPr="00E85D85">
        <w:t xml:space="preserve">The estimates for cost per response are derived using the following formula: Average Burden Hours per Response * $73 per Hour = Average Cost per Response.  The hourly cost figure comes from the average of the salary plus benefits for a manager and an engineer (rounded to the nearest dollar).  The figures are taken from the Bureau of Labor Statistics at (http://bls.gov/oes/current/naics3_221000.htm).  </w:t>
      </w:r>
    </w:p>
  </w:footnote>
  <w:footnote w:id="24">
    <w:p w:rsidR="00E85D85" w:rsidRPr="00E85D85" w:rsidRDefault="00E85D85" w:rsidP="00E85D85">
      <w:pPr>
        <w:pStyle w:val="FootnoteText"/>
      </w:pPr>
      <w:r w:rsidRPr="00E85D85">
        <w:rPr>
          <w:rStyle w:val="FootnoteReference"/>
          <w:vertAlign w:val="superscript"/>
        </w:rPr>
        <w:footnoteRef/>
      </w:r>
      <w:r w:rsidRPr="00E85D85">
        <w:t xml:space="preserve"> This figure reflects the generator owners and transmission owners identified in the NERC Compliance Registry as of May 28, 2014.  </w:t>
      </w:r>
    </w:p>
  </w:footnote>
  <w:footnote w:id="25">
    <w:p w:rsidR="00E85D85" w:rsidRPr="00E85D85" w:rsidRDefault="00E85D85" w:rsidP="00E85D85">
      <w:pPr>
        <w:pStyle w:val="FootnoteText"/>
      </w:pPr>
      <w:r w:rsidRPr="00E85D85">
        <w:rPr>
          <w:rStyle w:val="FootnoteReference"/>
          <w:vertAlign w:val="superscript"/>
        </w:rPr>
        <w:footnoteRef/>
      </w:r>
      <w:r w:rsidRPr="00E85D85">
        <w:rPr>
          <w:vertAlign w:val="superscript"/>
        </w:rPr>
        <w:t xml:space="preserve"> </w:t>
      </w:r>
      <w:r w:rsidRPr="00E85D85">
        <w:t xml:space="preserve">This figure is a subset of GOs and TOs, as discussed in P 41 and n. 44. </w:t>
      </w:r>
    </w:p>
  </w:footnote>
  <w:footnote w:id="26">
    <w:p w:rsidR="00125F57" w:rsidRDefault="00125F57">
      <w:pPr>
        <w:pStyle w:val="FootnoteText"/>
      </w:pPr>
      <w:r w:rsidRPr="00932C2D">
        <w:rPr>
          <w:rStyle w:val="FootnoteReference"/>
          <w:vertAlign w:val="superscript"/>
        </w:rPr>
        <w:footnoteRef/>
      </w:r>
      <w:r w:rsidRPr="00932C2D">
        <w:rPr>
          <w:vertAlign w:val="superscript"/>
        </w:rPr>
        <w:t xml:space="preserve"> </w:t>
      </w:r>
      <w:r>
        <w:t xml:space="preserve">The new, additional, one-time burden </w:t>
      </w:r>
      <w:r w:rsidR="00364674">
        <w:t xml:space="preserve">discussed in this supporting statement and </w:t>
      </w:r>
      <w:r>
        <w:t xml:space="preserve">imposed by </w:t>
      </w:r>
      <w:r w:rsidRPr="00125F57">
        <w:t>Reliability Standard PRC-005-3</w:t>
      </w:r>
      <w:r>
        <w:t xml:space="preserve"> (in Docket No. </w:t>
      </w:r>
      <w:r w:rsidRPr="00125F57">
        <w:t>RM14-8-000</w:t>
      </w:r>
      <w:r>
        <w:t>)</w:t>
      </w:r>
      <w:r w:rsidRPr="00125F57">
        <w:t xml:space="preserve"> </w:t>
      </w:r>
      <w:r>
        <w:t xml:space="preserve">is </w:t>
      </w:r>
      <w:r w:rsidRPr="00125F57">
        <w:t>4,178</w:t>
      </w:r>
      <w:r>
        <w:t xml:space="preserve"> hours.  </w:t>
      </w:r>
    </w:p>
    <w:p w:rsidR="00125F57" w:rsidRDefault="00125F57">
      <w:pPr>
        <w:pStyle w:val="FootnoteText"/>
      </w:pPr>
    </w:p>
    <w:p w:rsidR="00125F57" w:rsidRDefault="00125F57">
      <w:pPr>
        <w:pStyle w:val="FootnoteText"/>
      </w:pPr>
      <w:r>
        <w:t xml:space="preserve">In reginfo.gov and ROCIS, the previous </w:t>
      </w:r>
      <w:r w:rsidR="00107705">
        <w:t xml:space="preserve">annual </w:t>
      </w:r>
      <w:r>
        <w:t>burden inventory show</w:t>
      </w:r>
      <w:r w:rsidR="006C5826">
        <w:t>s</w:t>
      </w:r>
      <w:r>
        <w:t xml:space="preserve"> </w:t>
      </w:r>
      <w:r w:rsidRPr="00125F57">
        <w:t>6,936</w:t>
      </w:r>
      <w:r>
        <w:t xml:space="preserve"> hours (attributable to the one-time burden imposed by the previous version of the standard, </w:t>
      </w:r>
      <w:r w:rsidRPr="00125F57">
        <w:t>Reliability Standard PRC-005-2</w:t>
      </w:r>
      <w:r>
        <w:t>,</w:t>
      </w:r>
      <w:r w:rsidRPr="00125F57">
        <w:t xml:space="preserve"> </w:t>
      </w:r>
      <w:r>
        <w:t xml:space="preserve">in Docket No. </w:t>
      </w:r>
      <w:proofErr w:type="gramStart"/>
      <w:r w:rsidRPr="00125F57">
        <w:t>RM13-7-000</w:t>
      </w:r>
      <w:r>
        <w:t>).</w:t>
      </w:r>
      <w:proofErr w:type="gramEnd"/>
      <w:r>
        <w:t xml:space="preserve">  That one-time requirement under </w:t>
      </w:r>
      <w:r w:rsidRPr="00125F57">
        <w:t>PRC-005-2</w:t>
      </w:r>
      <w:r>
        <w:t xml:space="preserve"> has been completed and is being removed from the inventory as part of this </w:t>
      </w:r>
      <w:r w:rsidR="00364674">
        <w:t>supporting statement.</w:t>
      </w:r>
    </w:p>
    <w:p w:rsidR="00364674" w:rsidRDefault="00364674">
      <w:pPr>
        <w:pStyle w:val="FootnoteText"/>
      </w:pPr>
    </w:p>
    <w:p w:rsidR="00364674" w:rsidRDefault="00364674">
      <w:pPr>
        <w:pStyle w:val="FootnoteText"/>
      </w:pPr>
      <w:r>
        <w:t xml:space="preserve">Therefore, the net change to </w:t>
      </w:r>
      <w:r w:rsidR="00107705">
        <w:t xml:space="preserve">annual burden </w:t>
      </w:r>
      <w:r>
        <w:t xml:space="preserve">inventory is shown as </w:t>
      </w:r>
      <w:r w:rsidRPr="00364674">
        <w:t>-2,758</w:t>
      </w:r>
      <w:r>
        <w:t xml:space="preserve"> hours [or +4,178 hrs. </w:t>
      </w:r>
      <w:proofErr w:type="gramStart"/>
      <w:r>
        <w:t>-6,936 hrs.].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6E8" w:rsidRDefault="00CB26E8" w:rsidP="00963609">
    <w:pPr>
      <w:pStyle w:val="Header"/>
      <w:rPr>
        <w:rFonts w:ascii="Times New Roman" w:hAnsi="Times New Roman" w:cs="Times New Roman"/>
        <w:sz w:val="24"/>
        <w:szCs w:val="24"/>
      </w:rPr>
    </w:pPr>
    <w:r>
      <w:rPr>
        <w:rFonts w:ascii="Times New Roman" w:hAnsi="Times New Roman" w:cs="Times New Roman"/>
        <w:sz w:val="24"/>
        <w:szCs w:val="24"/>
      </w:rPr>
      <w:t>OMB Control Number: 1902-026</w:t>
    </w:r>
    <w:r w:rsidR="00EF2D36">
      <w:rPr>
        <w:rFonts w:ascii="Times New Roman" w:hAnsi="Times New Roman" w:cs="Times New Roman"/>
        <w:sz w:val="24"/>
        <w:szCs w:val="24"/>
      </w:rPr>
      <w:t>9</w:t>
    </w:r>
    <w:r w:rsidR="00E864B3">
      <w:rPr>
        <w:rFonts w:ascii="Times New Roman" w:hAnsi="Times New Roman" w:cs="Times New Roman"/>
        <w:sz w:val="24"/>
        <w:szCs w:val="24"/>
      </w:rPr>
      <w:t xml:space="preserve"> (FERC-725</w:t>
    </w:r>
    <w:r w:rsidR="00EF2D36">
      <w:rPr>
        <w:rFonts w:ascii="Times New Roman" w:hAnsi="Times New Roman" w:cs="Times New Roman"/>
        <w:sz w:val="24"/>
        <w:szCs w:val="24"/>
      </w:rPr>
      <w:t>P</w:t>
    </w:r>
    <w:r>
      <w:rPr>
        <w:rFonts w:ascii="Times New Roman" w:hAnsi="Times New Roman" w:cs="Times New Roman"/>
        <w:sz w:val="24"/>
        <w:szCs w:val="24"/>
      </w:rPr>
      <w:t>)</w:t>
    </w:r>
  </w:p>
  <w:p w:rsidR="00CB26E8" w:rsidRDefault="00E864B3" w:rsidP="00AD3DE5">
    <w:pPr>
      <w:pStyle w:val="Header"/>
      <w:rPr>
        <w:rFonts w:ascii="Times New Roman" w:hAnsi="Times New Roman" w:cs="Times New Roman"/>
        <w:sz w:val="24"/>
        <w:szCs w:val="24"/>
      </w:rPr>
    </w:pPr>
    <w:r>
      <w:rPr>
        <w:rFonts w:ascii="Times New Roman" w:hAnsi="Times New Roman" w:cs="Times New Roman"/>
        <w:sz w:val="24"/>
        <w:szCs w:val="24"/>
      </w:rPr>
      <w:t>RM14-</w:t>
    </w:r>
    <w:r w:rsidR="00EF2D36">
      <w:rPr>
        <w:rFonts w:ascii="Times New Roman" w:hAnsi="Times New Roman" w:cs="Times New Roman"/>
        <w:sz w:val="24"/>
        <w:szCs w:val="24"/>
      </w:rPr>
      <w:t>8</w:t>
    </w:r>
    <w:r w:rsidR="00CB26E8" w:rsidRPr="00CE2CDA">
      <w:rPr>
        <w:rFonts w:ascii="Times New Roman" w:hAnsi="Times New Roman" w:cs="Times New Roman"/>
        <w:sz w:val="24"/>
        <w:szCs w:val="24"/>
      </w:rPr>
      <w:t xml:space="preserve">-000, </w:t>
    </w:r>
    <w:r w:rsidR="00EF2D36">
      <w:rPr>
        <w:rFonts w:ascii="Times New Roman" w:hAnsi="Times New Roman" w:cs="Times New Roman"/>
        <w:sz w:val="24"/>
        <w:szCs w:val="24"/>
      </w:rPr>
      <w:t>Final Rule</w:t>
    </w:r>
  </w:p>
  <w:p w:rsidR="00CB26E8" w:rsidRDefault="00CB26E8" w:rsidP="00AD3DE5">
    <w:pPr>
      <w:pStyle w:val="Header"/>
      <w:rPr>
        <w:rFonts w:ascii="Times New Roman" w:hAnsi="Times New Roman" w:cs="Times New Roman"/>
        <w:sz w:val="24"/>
        <w:szCs w:val="24"/>
      </w:rPr>
    </w:pPr>
    <w:r w:rsidRPr="00AC274E">
      <w:rPr>
        <w:rFonts w:ascii="Times New Roman" w:hAnsi="Times New Roman" w:cs="Times New Roman"/>
        <w:sz w:val="24"/>
        <w:szCs w:val="24"/>
      </w:rPr>
      <w:t xml:space="preserve">RIN: </w:t>
    </w:r>
    <w:r w:rsidR="00AC274E" w:rsidRPr="00AC274E">
      <w:rPr>
        <w:rFonts w:ascii="Times New Roman" w:hAnsi="Times New Roman" w:cs="Times New Roman"/>
        <w:sz w:val="24"/>
        <w:szCs w:val="24"/>
      </w:rPr>
      <w:t>1902-AE</w:t>
    </w:r>
    <w:r w:rsidR="00EF2D36">
      <w:rPr>
        <w:rFonts w:ascii="Times New Roman" w:hAnsi="Times New Roman" w:cs="Times New Roman"/>
        <w:sz w:val="24"/>
        <w:szCs w:val="24"/>
      </w:rPr>
      <w:t>88</w:t>
    </w:r>
    <w:r w:rsidR="00125F57">
      <w:rPr>
        <w:rFonts w:ascii="Times New Roman" w:hAnsi="Times New Roman" w:cs="Times New Roman"/>
        <w:sz w:val="24"/>
        <w:szCs w:val="24"/>
      </w:rPr>
      <w:t xml:space="preserve"> [updated 3/26/2015]</w:t>
    </w:r>
  </w:p>
  <w:p w:rsidR="00CB26E8" w:rsidRDefault="00CB2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6110F"/>
    <w:multiLevelType w:val="hybridMultilevel"/>
    <w:tmpl w:val="647446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E07376D"/>
    <w:multiLevelType w:val="hybridMultilevel"/>
    <w:tmpl w:val="1EE0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7"/>
  </w:num>
  <w:num w:numId="6">
    <w:abstractNumId w:val="0"/>
  </w:num>
  <w:num w:numId="7">
    <w:abstractNumId w:val="3"/>
  </w:num>
  <w:num w:numId="8">
    <w:abstractNumId w:val="5"/>
  </w:num>
  <w:num w:numId="9">
    <w:abstractNumId w:val="2"/>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ck, Richard">
    <w15:presenceInfo w15:providerId="AD" w15:userId="S-1-5-21-1454471165-117609710-725345543-412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2DA4"/>
    <w:rsid w:val="00004742"/>
    <w:rsid w:val="0002242D"/>
    <w:rsid w:val="0002567F"/>
    <w:rsid w:val="000259B7"/>
    <w:rsid w:val="00035845"/>
    <w:rsid w:val="00041041"/>
    <w:rsid w:val="000431EF"/>
    <w:rsid w:val="00047471"/>
    <w:rsid w:val="00053BD8"/>
    <w:rsid w:val="00074DC8"/>
    <w:rsid w:val="0007636B"/>
    <w:rsid w:val="0008710E"/>
    <w:rsid w:val="000B0C37"/>
    <w:rsid w:val="000C4988"/>
    <w:rsid w:val="000D58F6"/>
    <w:rsid w:val="000E5772"/>
    <w:rsid w:val="000E5F6B"/>
    <w:rsid w:val="000F24CD"/>
    <w:rsid w:val="000F34E5"/>
    <w:rsid w:val="000F4112"/>
    <w:rsid w:val="000F41C9"/>
    <w:rsid w:val="00101C17"/>
    <w:rsid w:val="001063A3"/>
    <w:rsid w:val="00107705"/>
    <w:rsid w:val="00125F57"/>
    <w:rsid w:val="00133334"/>
    <w:rsid w:val="001348AC"/>
    <w:rsid w:val="00137DB4"/>
    <w:rsid w:val="00140903"/>
    <w:rsid w:val="00143103"/>
    <w:rsid w:val="0015129F"/>
    <w:rsid w:val="001700DE"/>
    <w:rsid w:val="00172386"/>
    <w:rsid w:val="0017533A"/>
    <w:rsid w:val="00177B9B"/>
    <w:rsid w:val="00177BBE"/>
    <w:rsid w:val="001800C1"/>
    <w:rsid w:val="00181727"/>
    <w:rsid w:val="00185730"/>
    <w:rsid w:val="00193ADB"/>
    <w:rsid w:val="00197A36"/>
    <w:rsid w:val="001A05A0"/>
    <w:rsid w:val="001A4B2D"/>
    <w:rsid w:val="001A4FC2"/>
    <w:rsid w:val="001B3BF0"/>
    <w:rsid w:val="001C1170"/>
    <w:rsid w:val="001C1E51"/>
    <w:rsid w:val="001C5284"/>
    <w:rsid w:val="001F1AD9"/>
    <w:rsid w:val="001F7BC2"/>
    <w:rsid w:val="00215F2D"/>
    <w:rsid w:val="00221269"/>
    <w:rsid w:val="00235E83"/>
    <w:rsid w:val="00236674"/>
    <w:rsid w:val="00243F92"/>
    <w:rsid w:val="00247B75"/>
    <w:rsid w:val="00251D43"/>
    <w:rsid w:val="00255F1F"/>
    <w:rsid w:val="00256836"/>
    <w:rsid w:val="0026674D"/>
    <w:rsid w:val="00272108"/>
    <w:rsid w:val="002779D9"/>
    <w:rsid w:val="00283F78"/>
    <w:rsid w:val="00296233"/>
    <w:rsid w:val="00297631"/>
    <w:rsid w:val="002A0D26"/>
    <w:rsid w:val="002A1294"/>
    <w:rsid w:val="002A40A7"/>
    <w:rsid w:val="002A41B5"/>
    <w:rsid w:val="002B13E2"/>
    <w:rsid w:val="002C1BFB"/>
    <w:rsid w:val="002C63E1"/>
    <w:rsid w:val="002E1085"/>
    <w:rsid w:val="002E3C5B"/>
    <w:rsid w:val="002E3DCD"/>
    <w:rsid w:val="00316C42"/>
    <w:rsid w:val="003316E0"/>
    <w:rsid w:val="00331EB7"/>
    <w:rsid w:val="003410FA"/>
    <w:rsid w:val="00362710"/>
    <w:rsid w:val="00363B01"/>
    <w:rsid w:val="00364674"/>
    <w:rsid w:val="003800E6"/>
    <w:rsid w:val="0039318D"/>
    <w:rsid w:val="003967A4"/>
    <w:rsid w:val="003A17AE"/>
    <w:rsid w:val="003B0249"/>
    <w:rsid w:val="003B3B61"/>
    <w:rsid w:val="003D5A4D"/>
    <w:rsid w:val="003E465C"/>
    <w:rsid w:val="00414F32"/>
    <w:rsid w:val="00417400"/>
    <w:rsid w:val="00423651"/>
    <w:rsid w:val="004276A5"/>
    <w:rsid w:val="0044163A"/>
    <w:rsid w:val="00443588"/>
    <w:rsid w:val="0045446A"/>
    <w:rsid w:val="0045480C"/>
    <w:rsid w:val="0045680D"/>
    <w:rsid w:val="00461AD2"/>
    <w:rsid w:val="00466C57"/>
    <w:rsid w:val="004A3AE2"/>
    <w:rsid w:val="004B286D"/>
    <w:rsid w:val="004C4C89"/>
    <w:rsid w:val="004C5E0E"/>
    <w:rsid w:val="004E651C"/>
    <w:rsid w:val="004F459B"/>
    <w:rsid w:val="004F6977"/>
    <w:rsid w:val="00520617"/>
    <w:rsid w:val="00522F69"/>
    <w:rsid w:val="0053287C"/>
    <w:rsid w:val="00535D48"/>
    <w:rsid w:val="00540572"/>
    <w:rsid w:val="00541B4E"/>
    <w:rsid w:val="00541FBD"/>
    <w:rsid w:val="005457EC"/>
    <w:rsid w:val="005462B6"/>
    <w:rsid w:val="00565307"/>
    <w:rsid w:val="00565CB1"/>
    <w:rsid w:val="00566CB0"/>
    <w:rsid w:val="0057031F"/>
    <w:rsid w:val="00570861"/>
    <w:rsid w:val="00571C5E"/>
    <w:rsid w:val="00576FDE"/>
    <w:rsid w:val="0057700F"/>
    <w:rsid w:val="00582E7E"/>
    <w:rsid w:val="00591BAD"/>
    <w:rsid w:val="005A2792"/>
    <w:rsid w:val="005A29F9"/>
    <w:rsid w:val="005A409F"/>
    <w:rsid w:val="005B77CE"/>
    <w:rsid w:val="005C18F6"/>
    <w:rsid w:val="005E2146"/>
    <w:rsid w:val="005F0306"/>
    <w:rsid w:val="005F1C3C"/>
    <w:rsid w:val="006132D8"/>
    <w:rsid w:val="006166FA"/>
    <w:rsid w:val="00630A34"/>
    <w:rsid w:val="00634566"/>
    <w:rsid w:val="00637CE1"/>
    <w:rsid w:val="00657790"/>
    <w:rsid w:val="00657A47"/>
    <w:rsid w:val="00664BC0"/>
    <w:rsid w:val="00674FD8"/>
    <w:rsid w:val="00684049"/>
    <w:rsid w:val="0068619C"/>
    <w:rsid w:val="0068681F"/>
    <w:rsid w:val="00690136"/>
    <w:rsid w:val="0069237F"/>
    <w:rsid w:val="0069693D"/>
    <w:rsid w:val="006A199A"/>
    <w:rsid w:val="006B437C"/>
    <w:rsid w:val="006B6D60"/>
    <w:rsid w:val="006C10F1"/>
    <w:rsid w:val="006C3598"/>
    <w:rsid w:val="006C5826"/>
    <w:rsid w:val="006C66D3"/>
    <w:rsid w:val="006E3CFD"/>
    <w:rsid w:val="006F750C"/>
    <w:rsid w:val="00711903"/>
    <w:rsid w:val="00716469"/>
    <w:rsid w:val="007175D4"/>
    <w:rsid w:val="00720C5A"/>
    <w:rsid w:val="00731C22"/>
    <w:rsid w:val="007353C5"/>
    <w:rsid w:val="00736047"/>
    <w:rsid w:val="0074195A"/>
    <w:rsid w:val="007439F7"/>
    <w:rsid w:val="00761A02"/>
    <w:rsid w:val="00773AEB"/>
    <w:rsid w:val="007849C5"/>
    <w:rsid w:val="0078612A"/>
    <w:rsid w:val="00787670"/>
    <w:rsid w:val="007A04A8"/>
    <w:rsid w:val="007A2F92"/>
    <w:rsid w:val="007A6142"/>
    <w:rsid w:val="007B193F"/>
    <w:rsid w:val="007D2A3B"/>
    <w:rsid w:val="007E1F0A"/>
    <w:rsid w:val="007E220F"/>
    <w:rsid w:val="007E3C37"/>
    <w:rsid w:val="007E7C0F"/>
    <w:rsid w:val="007F1A06"/>
    <w:rsid w:val="00834C7F"/>
    <w:rsid w:val="00855EC8"/>
    <w:rsid w:val="00856C0A"/>
    <w:rsid w:val="008619E1"/>
    <w:rsid w:val="00876F75"/>
    <w:rsid w:val="00896C01"/>
    <w:rsid w:val="008A21A4"/>
    <w:rsid w:val="008A52E9"/>
    <w:rsid w:val="008A6B3F"/>
    <w:rsid w:val="008A7624"/>
    <w:rsid w:val="008B5B66"/>
    <w:rsid w:val="008B703B"/>
    <w:rsid w:val="008B7610"/>
    <w:rsid w:val="008C1600"/>
    <w:rsid w:val="008C238C"/>
    <w:rsid w:val="008C288D"/>
    <w:rsid w:val="008C2F02"/>
    <w:rsid w:val="008D310F"/>
    <w:rsid w:val="008D6E39"/>
    <w:rsid w:val="008E62C3"/>
    <w:rsid w:val="008E70CD"/>
    <w:rsid w:val="00911FF4"/>
    <w:rsid w:val="00913A8B"/>
    <w:rsid w:val="00925502"/>
    <w:rsid w:val="00926EC5"/>
    <w:rsid w:val="0093102B"/>
    <w:rsid w:val="00932C2D"/>
    <w:rsid w:val="00935C6E"/>
    <w:rsid w:val="00937A89"/>
    <w:rsid w:val="009430EF"/>
    <w:rsid w:val="00943B95"/>
    <w:rsid w:val="00950ECA"/>
    <w:rsid w:val="00956A0B"/>
    <w:rsid w:val="00963609"/>
    <w:rsid w:val="00967D28"/>
    <w:rsid w:val="00970FE4"/>
    <w:rsid w:val="00971AB3"/>
    <w:rsid w:val="009771DA"/>
    <w:rsid w:val="00987269"/>
    <w:rsid w:val="0099336E"/>
    <w:rsid w:val="009942F8"/>
    <w:rsid w:val="009947BB"/>
    <w:rsid w:val="00995C70"/>
    <w:rsid w:val="009A19ED"/>
    <w:rsid w:val="009B43F8"/>
    <w:rsid w:val="009D1251"/>
    <w:rsid w:val="009D6BD3"/>
    <w:rsid w:val="009E1190"/>
    <w:rsid w:val="009E5E4D"/>
    <w:rsid w:val="009F3297"/>
    <w:rsid w:val="00A1360C"/>
    <w:rsid w:val="00A276F5"/>
    <w:rsid w:val="00A35926"/>
    <w:rsid w:val="00A5648B"/>
    <w:rsid w:val="00A61802"/>
    <w:rsid w:val="00A62953"/>
    <w:rsid w:val="00A72E7B"/>
    <w:rsid w:val="00A9186C"/>
    <w:rsid w:val="00A93F1B"/>
    <w:rsid w:val="00A96B65"/>
    <w:rsid w:val="00AB02E0"/>
    <w:rsid w:val="00AB791E"/>
    <w:rsid w:val="00AC274E"/>
    <w:rsid w:val="00AC4C0B"/>
    <w:rsid w:val="00AD16A3"/>
    <w:rsid w:val="00AD3DE5"/>
    <w:rsid w:val="00AD50EA"/>
    <w:rsid w:val="00AF19D9"/>
    <w:rsid w:val="00AF5F21"/>
    <w:rsid w:val="00B01AC9"/>
    <w:rsid w:val="00B169FF"/>
    <w:rsid w:val="00B27783"/>
    <w:rsid w:val="00B67D38"/>
    <w:rsid w:val="00B7200D"/>
    <w:rsid w:val="00B837BA"/>
    <w:rsid w:val="00B9413E"/>
    <w:rsid w:val="00BA1C7D"/>
    <w:rsid w:val="00BA7C56"/>
    <w:rsid w:val="00BB3B2C"/>
    <w:rsid w:val="00BC31A2"/>
    <w:rsid w:val="00BD7446"/>
    <w:rsid w:val="00BE2C9F"/>
    <w:rsid w:val="00BF2816"/>
    <w:rsid w:val="00C01698"/>
    <w:rsid w:val="00C15DF2"/>
    <w:rsid w:val="00C233E7"/>
    <w:rsid w:val="00C27D56"/>
    <w:rsid w:val="00C35DFC"/>
    <w:rsid w:val="00C47527"/>
    <w:rsid w:val="00C50ED1"/>
    <w:rsid w:val="00C510DD"/>
    <w:rsid w:val="00C61E8F"/>
    <w:rsid w:val="00C96C91"/>
    <w:rsid w:val="00CA495F"/>
    <w:rsid w:val="00CA59C3"/>
    <w:rsid w:val="00CB04FF"/>
    <w:rsid w:val="00CB26E8"/>
    <w:rsid w:val="00CC0D08"/>
    <w:rsid w:val="00CE1CCD"/>
    <w:rsid w:val="00CE2CDA"/>
    <w:rsid w:val="00CF759C"/>
    <w:rsid w:val="00D023D4"/>
    <w:rsid w:val="00D075A0"/>
    <w:rsid w:val="00D21D86"/>
    <w:rsid w:val="00D24BF7"/>
    <w:rsid w:val="00D269B1"/>
    <w:rsid w:val="00D26CCF"/>
    <w:rsid w:val="00D27336"/>
    <w:rsid w:val="00D27373"/>
    <w:rsid w:val="00D31413"/>
    <w:rsid w:val="00D32964"/>
    <w:rsid w:val="00D60147"/>
    <w:rsid w:val="00D63739"/>
    <w:rsid w:val="00D64890"/>
    <w:rsid w:val="00D750E8"/>
    <w:rsid w:val="00D76508"/>
    <w:rsid w:val="00D80FBD"/>
    <w:rsid w:val="00D83445"/>
    <w:rsid w:val="00D83746"/>
    <w:rsid w:val="00D86DD2"/>
    <w:rsid w:val="00D87A60"/>
    <w:rsid w:val="00D87A76"/>
    <w:rsid w:val="00D9209B"/>
    <w:rsid w:val="00DA06F4"/>
    <w:rsid w:val="00DB55F4"/>
    <w:rsid w:val="00DB58D2"/>
    <w:rsid w:val="00DB6DC8"/>
    <w:rsid w:val="00DC4E36"/>
    <w:rsid w:val="00DD54DC"/>
    <w:rsid w:val="00DD79FB"/>
    <w:rsid w:val="00E113EA"/>
    <w:rsid w:val="00E11CA6"/>
    <w:rsid w:val="00E12A4B"/>
    <w:rsid w:val="00E13D58"/>
    <w:rsid w:val="00E14565"/>
    <w:rsid w:val="00E20612"/>
    <w:rsid w:val="00E23E64"/>
    <w:rsid w:val="00E25243"/>
    <w:rsid w:val="00E36246"/>
    <w:rsid w:val="00E423CF"/>
    <w:rsid w:val="00E45F58"/>
    <w:rsid w:val="00E52D63"/>
    <w:rsid w:val="00E636D7"/>
    <w:rsid w:val="00E817F8"/>
    <w:rsid w:val="00E85D85"/>
    <w:rsid w:val="00E864B3"/>
    <w:rsid w:val="00E87A4F"/>
    <w:rsid w:val="00E90D10"/>
    <w:rsid w:val="00E954EE"/>
    <w:rsid w:val="00EA5C58"/>
    <w:rsid w:val="00EB3E6F"/>
    <w:rsid w:val="00ED5560"/>
    <w:rsid w:val="00EF2D36"/>
    <w:rsid w:val="00EF3400"/>
    <w:rsid w:val="00F05A6A"/>
    <w:rsid w:val="00F075B6"/>
    <w:rsid w:val="00F12DC2"/>
    <w:rsid w:val="00F14038"/>
    <w:rsid w:val="00F152DF"/>
    <w:rsid w:val="00F55699"/>
    <w:rsid w:val="00F62674"/>
    <w:rsid w:val="00F707CA"/>
    <w:rsid w:val="00F76B02"/>
    <w:rsid w:val="00F77257"/>
    <w:rsid w:val="00F81142"/>
    <w:rsid w:val="00F8440A"/>
    <w:rsid w:val="00F85870"/>
    <w:rsid w:val="00FA64E4"/>
    <w:rsid w:val="00FB1032"/>
    <w:rsid w:val="00FD66F1"/>
    <w:rsid w:val="00FE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E817F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E817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1430">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eia.gov/electricity/annual/html/epa_08_07_a.html" TargetMode="External"/><Relationship Id="rId1" Type="http://schemas.openxmlformats.org/officeDocument/2006/relationships/hyperlink" Target="http://www.nerc.com/FilingsOrders/us/RuleOfProcedureDL/NERC_ROP_Effective_20140701_updated_20140602%20(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p:properties xmlns:p="http://schemas.microsoft.com/office/2006/metadata/properties" xmlns:xsi="http://www.w3.org/2001/XMLSchema-instance">
  <documentManagement>
    <Date xmlns="d6eefc7d-9817-4fa6-84d5-3bc009be21b8">2015-01-26T05:00:00+00:00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725P</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RM14-8</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F9BA4-FEF8-4D62-8D5D-E1F9654CE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7E3F4928-4AA2-4F0F-93C9-DA8F9AE52375}">
  <ds:schemaRefs>
    <ds:schemaRef ds:uri="http://schemas.microsoft.com/office/2006/metadata/customXsn"/>
  </ds:schemaRefs>
</ds:datastoreItem>
</file>

<file path=customXml/itemProps4.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5.xml><?xml version="1.0" encoding="utf-8"?>
<ds:datastoreItem xmlns:ds="http://schemas.openxmlformats.org/officeDocument/2006/customXml" ds:itemID="{D685103D-3AB2-4EB7-BA53-D1180230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4365</Words>
  <Characters>24230</Characters>
  <Application>Microsoft Office Word</Application>
  <DocSecurity>0</DocSecurity>
  <Lines>494</Lines>
  <Paragraphs>173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3</cp:revision>
  <dcterms:created xsi:type="dcterms:W3CDTF">2015-03-27T16:06:00Z</dcterms:created>
  <dcterms:modified xsi:type="dcterms:W3CDTF">2015-03-27T16:06:00Z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