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B9F" w:rsidRPr="00F25FC3" w:rsidRDefault="00024B9F" w:rsidP="00024B9F">
      <w:pPr>
        <w:jc w:val="center"/>
        <w:rPr>
          <w:rFonts w:ascii="Calibri" w:hAnsi="Calibri"/>
          <w:b/>
          <w:sz w:val="32"/>
          <w:szCs w:val="32"/>
        </w:rPr>
      </w:pPr>
      <w:r w:rsidRPr="00F25FC3">
        <w:rPr>
          <w:rFonts w:ascii="Calibri" w:hAnsi="Calibri"/>
          <w:b/>
          <w:sz w:val="32"/>
          <w:szCs w:val="32"/>
        </w:rPr>
        <w:t>Supporting Statement</w:t>
      </w:r>
    </w:p>
    <w:p w:rsidR="00024B9F" w:rsidRPr="00471A0D" w:rsidRDefault="00024B9F" w:rsidP="00024B9F">
      <w:pPr>
        <w:jc w:val="center"/>
        <w:rPr>
          <w:rFonts w:ascii="Calibri" w:hAnsi="Calibri"/>
          <w:color w:val="000080"/>
        </w:rPr>
      </w:pPr>
      <w:r w:rsidRPr="00471A0D">
        <w:rPr>
          <w:rFonts w:ascii="Calibri" w:hAnsi="Calibri"/>
          <w:color w:val="000080"/>
        </w:rPr>
        <w:t>U.S. Import and Export Price Indexes</w:t>
      </w:r>
    </w:p>
    <w:p w:rsidR="00024B9F" w:rsidRDefault="00024B9F" w:rsidP="00024B9F">
      <w:pPr>
        <w:jc w:val="center"/>
        <w:rPr>
          <w:rFonts w:ascii="Verdana" w:hAnsi="Verdana"/>
          <w:color w:val="0000FF"/>
        </w:rPr>
      </w:pPr>
    </w:p>
    <w:p w:rsidR="00024B9F" w:rsidRDefault="00024B9F" w:rsidP="00024B9F">
      <w:pPr>
        <w:jc w:val="center"/>
        <w:rPr>
          <w:rFonts w:ascii="Verdana" w:hAnsi="Verdana"/>
          <w:color w:val="0000FF"/>
        </w:rPr>
      </w:pPr>
    </w:p>
    <w:p w:rsidR="00024B9F" w:rsidRPr="00F25FC3" w:rsidRDefault="00024B9F" w:rsidP="00024B9F">
      <w:pPr>
        <w:rPr>
          <w:rFonts w:ascii="Calibri" w:hAnsi="Calibri"/>
          <w:b/>
          <w:color w:val="000000"/>
          <w:sz w:val="22"/>
          <w:szCs w:val="22"/>
        </w:rPr>
      </w:pPr>
      <w:r w:rsidRPr="00F25FC3">
        <w:rPr>
          <w:rFonts w:ascii="Calibri" w:hAnsi="Calibri"/>
          <w:b/>
          <w:color w:val="000000"/>
          <w:sz w:val="22"/>
          <w:szCs w:val="22"/>
        </w:rPr>
        <w:t xml:space="preserve">A. </w:t>
      </w:r>
      <w:r>
        <w:rPr>
          <w:rFonts w:ascii="Calibri" w:hAnsi="Calibri"/>
          <w:b/>
          <w:color w:val="000000"/>
          <w:sz w:val="22"/>
          <w:szCs w:val="22"/>
        </w:rPr>
        <w:t xml:space="preserve"> </w:t>
      </w:r>
      <w:r w:rsidRPr="00F25FC3">
        <w:rPr>
          <w:rFonts w:ascii="Calibri" w:hAnsi="Calibri"/>
          <w:b/>
          <w:color w:val="000000"/>
          <w:sz w:val="22"/>
          <w:szCs w:val="22"/>
        </w:rPr>
        <w:t>JUSTIFICATION</w:t>
      </w:r>
    </w:p>
    <w:p w:rsidR="00024B9F" w:rsidRPr="00F25FC3" w:rsidRDefault="00024B9F" w:rsidP="00024B9F">
      <w:pPr>
        <w:rPr>
          <w:rFonts w:ascii="Calibri" w:hAnsi="Calibri"/>
          <w:b/>
          <w:color w:val="000000"/>
          <w:sz w:val="22"/>
          <w:szCs w:val="22"/>
        </w:rPr>
      </w:pPr>
    </w:p>
    <w:p w:rsidR="00024B9F" w:rsidRPr="00F25FC3" w:rsidRDefault="00024B9F" w:rsidP="00024B9F">
      <w:pPr>
        <w:rPr>
          <w:rFonts w:ascii="Calibri" w:hAnsi="Calibri"/>
          <w:b/>
          <w:color w:val="000000"/>
          <w:sz w:val="22"/>
          <w:szCs w:val="22"/>
        </w:rPr>
      </w:pPr>
      <w:r w:rsidRPr="00F25FC3">
        <w:rPr>
          <w:rFonts w:ascii="Calibri" w:hAnsi="Calibri"/>
          <w:b/>
          <w:color w:val="000000"/>
          <w:sz w:val="22"/>
          <w:szCs w:val="22"/>
        </w:rPr>
        <w:t>1.</w:t>
      </w:r>
      <w:r w:rsidRPr="00F25FC3">
        <w:rPr>
          <w:rFonts w:ascii="Calibri" w:hAnsi="Calibri"/>
          <w:b/>
          <w:color w:val="000000"/>
          <w:sz w:val="22"/>
          <w:szCs w:val="22"/>
        </w:rPr>
        <w:tab/>
        <w:t xml:space="preserve">Necessity of the </w:t>
      </w:r>
      <w:smartTag w:uri="urn:schemas-microsoft-com:office:smarttags" w:element="place">
        <w:smartTag w:uri="urn:schemas-microsoft-com:office:smarttags" w:element="country-region">
          <w:r w:rsidRPr="00F25FC3">
            <w:rPr>
              <w:rFonts w:ascii="Calibri" w:hAnsi="Calibri"/>
              <w:b/>
              <w:color w:val="000000"/>
              <w:sz w:val="22"/>
              <w:szCs w:val="22"/>
            </w:rPr>
            <w:t>U.S.</w:t>
          </w:r>
        </w:smartTag>
      </w:smartTag>
      <w:r w:rsidRPr="00F25FC3">
        <w:rPr>
          <w:rFonts w:ascii="Calibri" w:hAnsi="Calibri"/>
          <w:b/>
          <w:color w:val="000000"/>
          <w:sz w:val="22"/>
          <w:szCs w:val="22"/>
        </w:rPr>
        <w:t xml:space="preserve"> Import and Export Price Indexes</w:t>
      </w:r>
    </w:p>
    <w:p w:rsidR="00024B9F" w:rsidRDefault="00024B9F" w:rsidP="00024B9F">
      <w:pPr>
        <w:rPr>
          <w:rFonts w:ascii="Verdana" w:hAnsi="Verdana"/>
          <w:b/>
          <w:color w:val="000000"/>
        </w:rPr>
      </w:pPr>
    </w:p>
    <w:p w:rsidR="00024B9F" w:rsidRPr="00B161C6" w:rsidRDefault="00024B9F" w:rsidP="00024B9F">
      <w:pPr>
        <w:rPr>
          <w:rFonts w:ascii="Calibri" w:hAnsi="Calibri"/>
          <w:b/>
          <w:color w:val="000000"/>
          <w:sz w:val="22"/>
          <w:szCs w:val="22"/>
        </w:rPr>
      </w:pPr>
      <w:r w:rsidRPr="00B161C6">
        <w:rPr>
          <w:rFonts w:ascii="Calibri" w:hAnsi="Calibri"/>
          <w:sz w:val="22"/>
          <w:szCs w:val="22"/>
        </w:rPr>
        <w:t xml:space="preserve">The U. S. Import and Export Price Indexes, together with the Consumer Price Index and the Producer Price Index, constitute the major outputs of the price programs of the Bureau of Labor Statistics.  Although the International Price Program (IPP), which produces the </w:t>
      </w:r>
      <w:smartTag w:uri="urn:schemas-microsoft-com:office:smarttags" w:element="place">
        <w:smartTag w:uri="urn:schemas-microsoft-com:office:smarttags" w:element="country-region">
          <w:r w:rsidRPr="00B161C6">
            <w:rPr>
              <w:rFonts w:ascii="Calibri" w:hAnsi="Calibri"/>
              <w:sz w:val="22"/>
              <w:szCs w:val="22"/>
            </w:rPr>
            <w:t>U. S.</w:t>
          </w:r>
        </w:smartTag>
      </w:smartTag>
      <w:r w:rsidRPr="00B161C6">
        <w:rPr>
          <w:rFonts w:ascii="Calibri" w:hAnsi="Calibri"/>
          <w:sz w:val="22"/>
          <w:szCs w:val="22"/>
        </w:rPr>
        <w:t xml:space="preserve"> </w:t>
      </w:r>
      <w:r>
        <w:rPr>
          <w:rFonts w:ascii="Calibri" w:hAnsi="Calibri"/>
          <w:sz w:val="22"/>
          <w:szCs w:val="22"/>
        </w:rPr>
        <w:t>Im</w:t>
      </w:r>
      <w:r w:rsidRPr="00B161C6">
        <w:rPr>
          <w:rFonts w:ascii="Calibri" w:hAnsi="Calibri"/>
          <w:sz w:val="22"/>
          <w:szCs w:val="22"/>
        </w:rPr>
        <w:t xml:space="preserve">port and </w:t>
      </w:r>
      <w:r>
        <w:rPr>
          <w:rFonts w:ascii="Calibri" w:hAnsi="Calibri"/>
          <w:sz w:val="22"/>
          <w:szCs w:val="22"/>
        </w:rPr>
        <w:t>Ex</w:t>
      </w:r>
      <w:r w:rsidRPr="00B161C6">
        <w:rPr>
          <w:rFonts w:ascii="Calibri" w:hAnsi="Calibri"/>
          <w:sz w:val="22"/>
          <w:szCs w:val="22"/>
        </w:rPr>
        <w:t>port Price Indexes, is the Bureau of Labor Statistics' newest price program, it can trace its origins to the late 19th Century.  In 1886</w:t>
      </w:r>
      <w:r>
        <w:rPr>
          <w:rFonts w:ascii="Calibri" w:hAnsi="Calibri"/>
          <w:sz w:val="22"/>
          <w:szCs w:val="22"/>
        </w:rPr>
        <w:t>,</w:t>
      </w:r>
      <w:r w:rsidRPr="00B161C6">
        <w:rPr>
          <w:rFonts w:ascii="Calibri" w:hAnsi="Calibri"/>
          <w:sz w:val="22"/>
          <w:szCs w:val="22"/>
        </w:rPr>
        <w:t xml:space="preserve"> the Aldrich Committee of the U.S. Senate recommended the establishment of a Bureau of Labor to provide statistics on the condition of </w:t>
      </w:r>
      <w:smartTag w:uri="urn:schemas-microsoft-com:office:smarttags" w:element="country-region">
        <w:r w:rsidRPr="00B161C6">
          <w:rPr>
            <w:rFonts w:ascii="Calibri" w:hAnsi="Calibri"/>
            <w:sz w:val="22"/>
            <w:szCs w:val="22"/>
          </w:rPr>
          <w:t>U.S.</w:t>
        </w:r>
      </w:smartTag>
      <w:r w:rsidRPr="00B161C6">
        <w:rPr>
          <w:rFonts w:ascii="Calibri" w:hAnsi="Calibri"/>
          <w:sz w:val="22"/>
          <w:szCs w:val="22"/>
        </w:rPr>
        <w:t xml:space="preserve"> workers and the prices of imported goods in the </w:t>
      </w:r>
      <w:smartTag w:uri="urn:schemas-microsoft-com:office:smarttags" w:element="place">
        <w:smartTag w:uri="urn:schemas-microsoft-com:office:smarttags" w:element="country-region">
          <w:r w:rsidRPr="00B161C6">
            <w:rPr>
              <w:rFonts w:ascii="Calibri" w:hAnsi="Calibri"/>
              <w:sz w:val="22"/>
              <w:szCs w:val="22"/>
            </w:rPr>
            <w:t>U.S.</w:t>
          </w:r>
        </w:smartTag>
      </w:smartTag>
      <w:r w:rsidRPr="00B161C6">
        <w:rPr>
          <w:rFonts w:ascii="Calibri" w:hAnsi="Calibri"/>
          <w:sz w:val="22"/>
          <w:szCs w:val="22"/>
        </w:rPr>
        <w:t xml:space="preserve"> and other countries.  The committee sent staff members to other countries, principally in Western Europe, to collect prices and in 1889 published a report comparing prices in the </w:t>
      </w:r>
      <w:smartTag w:uri="urn:schemas-microsoft-com:office:smarttags" w:element="country-region">
        <w:r w:rsidRPr="00B161C6">
          <w:rPr>
            <w:rFonts w:ascii="Calibri" w:hAnsi="Calibri"/>
            <w:sz w:val="22"/>
            <w:szCs w:val="22"/>
          </w:rPr>
          <w:t>U.S.</w:t>
        </w:r>
      </w:smartTag>
      <w:r w:rsidRPr="00B161C6">
        <w:rPr>
          <w:rFonts w:ascii="Calibri" w:hAnsi="Calibri"/>
          <w:sz w:val="22"/>
          <w:szCs w:val="22"/>
        </w:rPr>
        <w:t xml:space="preserve"> with those of </w:t>
      </w:r>
      <w:smartTag w:uri="urn:schemas-microsoft-com:office:smarttags" w:element="place">
        <w:r w:rsidRPr="00B161C6">
          <w:rPr>
            <w:rFonts w:ascii="Calibri" w:hAnsi="Calibri"/>
            <w:sz w:val="22"/>
            <w:szCs w:val="22"/>
          </w:rPr>
          <w:t>Western Europe</w:t>
        </w:r>
      </w:smartTag>
      <w:r w:rsidRPr="00B161C6">
        <w:rPr>
          <w:rFonts w:ascii="Calibri" w:hAnsi="Calibri"/>
          <w:sz w:val="22"/>
          <w:szCs w:val="22"/>
        </w:rPr>
        <w:t xml:space="preserve">.  This report, which focused on prices for </w:t>
      </w:r>
      <w:r>
        <w:rPr>
          <w:rFonts w:ascii="Calibri" w:hAnsi="Calibri"/>
          <w:sz w:val="22"/>
          <w:szCs w:val="22"/>
        </w:rPr>
        <w:t>goods</w:t>
      </w:r>
      <w:r w:rsidRPr="00B161C6">
        <w:rPr>
          <w:rFonts w:ascii="Calibri" w:hAnsi="Calibri"/>
          <w:sz w:val="22"/>
          <w:szCs w:val="22"/>
        </w:rPr>
        <w:t xml:space="preserve"> imported into the </w:t>
      </w:r>
      <w:smartTag w:uri="urn:schemas-microsoft-com:office:smarttags" w:element="place">
        <w:smartTag w:uri="urn:schemas-microsoft-com:office:smarttags" w:element="country-region">
          <w:r w:rsidRPr="00B161C6">
            <w:rPr>
              <w:rFonts w:ascii="Calibri" w:hAnsi="Calibri"/>
              <w:sz w:val="22"/>
              <w:szCs w:val="22"/>
            </w:rPr>
            <w:t>U.S.</w:t>
          </w:r>
        </w:smartTag>
      </w:smartTag>
      <w:r w:rsidRPr="00B161C6">
        <w:rPr>
          <w:rFonts w:ascii="Calibri" w:hAnsi="Calibri"/>
          <w:sz w:val="22"/>
          <w:szCs w:val="22"/>
        </w:rPr>
        <w:t xml:space="preserve">, was the precursor of the Wholesale Price Index.  Following World War II, the BLS </w:t>
      </w:r>
      <w:r w:rsidRPr="005F174B">
        <w:rPr>
          <w:rFonts w:ascii="Calibri" w:hAnsi="Calibri"/>
          <w:sz w:val="22"/>
          <w:szCs w:val="22"/>
        </w:rPr>
        <w:t>again</w:t>
      </w:r>
      <w:r w:rsidRPr="00B161C6">
        <w:rPr>
          <w:rFonts w:ascii="Calibri" w:hAnsi="Calibri"/>
          <w:sz w:val="22"/>
          <w:szCs w:val="22"/>
        </w:rPr>
        <w:t xml:space="preserve"> began a program to develop import and export price indexes.  The program advanced to the point where hundreds of prices had been collected from importers and exporters and test indexes had been calculated.  Because of a Bureau</w:t>
      </w:r>
      <w:r w:rsidRPr="00B161C6">
        <w:rPr>
          <w:rFonts w:ascii="Calibri" w:hAnsi="Calibri"/>
          <w:sz w:val="22"/>
          <w:szCs w:val="22"/>
        </w:rPr>
        <w:noBreakHyphen/>
        <w:t>wide 50 percent budget reduction, however, the program was terminated in 1948.</w:t>
      </w:r>
    </w:p>
    <w:p w:rsidR="00024B9F" w:rsidRDefault="00024B9F" w:rsidP="00024B9F">
      <w:pPr>
        <w:tabs>
          <w:tab w:val="left" w:pos="480"/>
          <w:tab w:val="left" w:pos="960"/>
          <w:tab w:val="left" w:pos="2760"/>
        </w:tabs>
        <w:spacing w:line="240" w:lineRule="exact"/>
        <w:rPr>
          <w:rFonts w:ascii="Verdana" w:hAnsi="Verdana"/>
          <w:b/>
          <w:color w:val="000000"/>
        </w:rPr>
      </w:pPr>
    </w:p>
    <w:p w:rsidR="00024B9F" w:rsidRPr="00F25FC3" w:rsidRDefault="00024B9F" w:rsidP="00024B9F">
      <w:pPr>
        <w:tabs>
          <w:tab w:val="left" w:pos="480"/>
          <w:tab w:val="left" w:pos="960"/>
          <w:tab w:val="left" w:pos="2760"/>
        </w:tabs>
        <w:rPr>
          <w:rFonts w:ascii="Calibri" w:hAnsi="Calibri"/>
          <w:sz w:val="22"/>
          <w:szCs w:val="22"/>
        </w:rPr>
      </w:pPr>
      <w:r w:rsidRPr="00F25FC3">
        <w:rPr>
          <w:rFonts w:ascii="Calibri" w:hAnsi="Calibri"/>
          <w:sz w:val="22"/>
          <w:szCs w:val="22"/>
        </w:rPr>
        <w:t xml:space="preserve">In 1961, a report on Federal Price Statistics prepared by the National Bureau of Economic Research (NBER) for Congress' Joint Economic Committee suggested that responsibility for compilation of import and export price indexes be assigned to a federal statistical agency "to obtain the attention and resources for these indexes that we believe are essential."  A further study undertaken for the NBER by Irving Kravis and Robert Lipsey gave greater impetus to the project.  In their study, eventually published as </w:t>
      </w:r>
      <w:r w:rsidRPr="00F25FC3">
        <w:rPr>
          <w:rFonts w:ascii="Calibri" w:hAnsi="Calibri"/>
          <w:sz w:val="22"/>
          <w:szCs w:val="22"/>
          <w:u w:val="single"/>
        </w:rPr>
        <w:t>Price Competitiveness in World Trade</w:t>
      </w:r>
      <w:r w:rsidRPr="00F25FC3">
        <w:rPr>
          <w:rFonts w:ascii="Calibri" w:hAnsi="Calibri"/>
          <w:sz w:val="22"/>
          <w:szCs w:val="22"/>
        </w:rPr>
        <w:t xml:space="preserve">, Kravis and Lipsey outlined both the need for such measures and the feasibility of producing them.  In the meantime the BLS, largely because of its expertise in the development of other price measures, had also begun research on the feasibility of producing import and export price indexes.  In 1970, Congress provided funds for the construction of import and export price indexes.  The legal authority for the collection of import and export data is contained in Title 29, </w:t>
      </w:r>
      <w:r>
        <w:rPr>
          <w:rFonts w:ascii="Calibri" w:hAnsi="Calibri"/>
          <w:sz w:val="22"/>
          <w:szCs w:val="22"/>
        </w:rPr>
        <w:t>Section</w:t>
      </w:r>
      <w:r w:rsidRPr="00F25FC3">
        <w:rPr>
          <w:rFonts w:ascii="Calibri" w:hAnsi="Calibri"/>
          <w:sz w:val="22"/>
          <w:szCs w:val="22"/>
        </w:rPr>
        <w:t xml:space="preserve"> 2 of the United States Code (Attachment 1).</w:t>
      </w:r>
    </w:p>
    <w:p w:rsidR="00024B9F" w:rsidRPr="00AB6B8B" w:rsidRDefault="00024B9F" w:rsidP="00024B9F">
      <w:pPr>
        <w:tabs>
          <w:tab w:val="left" w:pos="480"/>
          <w:tab w:val="left" w:pos="960"/>
          <w:tab w:val="left" w:pos="2760"/>
        </w:tabs>
        <w:rPr>
          <w:rFonts w:ascii="Verdana" w:hAnsi="Verdana"/>
          <w:b/>
          <w:color w:val="000000"/>
          <w:sz w:val="20"/>
          <w:szCs w:val="20"/>
        </w:rPr>
      </w:pPr>
    </w:p>
    <w:p w:rsidR="00024B9F" w:rsidRDefault="00024B9F" w:rsidP="00024B9F">
      <w:pPr>
        <w:tabs>
          <w:tab w:val="left" w:pos="480"/>
          <w:tab w:val="left" w:pos="960"/>
          <w:tab w:val="left" w:pos="2760"/>
        </w:tabs>
        <w:rPr>
          <w:rFonts w:ascii="Calibri" w:hAnsi="Calibri"/>
          <w:b/>
          <w:color w:val="000000"/>
          <w:sz w:val="22"/>
          <w:szCs w:val="22"/>
        </w:rPr>
      </w:pPr>
      <w:r w:rsidRPr="00F25FC3">
        <w:rPr>
          <w:rFonts w:ascii="Calibri" w:hAnsi="Calibri"/>
          <w:sz w:val="22"/>
          <w:szCs w:val="22"/>
        </w:rPr>
        <w:t>The first export price indexes, published in 1971, showed annual price changes for selected categories of goods, primarily machinery and transportation equipment for the period 1964</w:t>
      </w:r>
      <w:r w:rsidRPr="00F25FC3">
        <w:rPr>
          <w:rFonts w:ascii="Calibri" w:hAnsi="Calibri"/>
          <w:sz w:val="22"/>
          <w:szCs w:val="22"/>
        </w:rPr>
        <w:noBreakHyphen/>
        <w:t>71</w:t>
      </w:r>
      <w:r>
        <w:rPr>
          <w:rFonts w:ascii="Calibri" w:hAnsi="Calibri"/>
          <w:sz w:val="22"/>
          <w:szCs w:val="22"/>
        </w:rPr>
        <w:t xml:space="preserve">.  The first annual import price indexes were produced in 1973.  </w:t>
      </w:r>
      <w:r w:rsidRPr="00F25FC3">
        <w:rPr>
          <w:rFonts w:ascii="Calibri" w:hAnsi="Calibri"/>
          <w:sz w:val="22"/>
          <w:szCs w:val="22"/>
        </w:rPr>
        <w:t xml:space="preserve">Largely as a response to changing international economic conditions and the need on the part of both the government and the private sector to obtain these data on a more timely basis, collection and publication of the international price indexes were begun on a quarterly basis in 1974.  A general index for all-import </w:t>
      </w:r>
      <w:r>
        <w:rPr>
          <w:rFonts w:ascii="Calibri" w:hAnsi="Calibri"/>
          <w:sz w:val="22"/>
          <w:szCs w:val="22"/>
        </w:rPr>
        <w:t>goods</w:t>
      </w:r>
      <w:r w:rsidRPr="00F25FC3">
        <w:rPr>
          <w:rFonts w:ascii="Calibri" w:hAnsi="Calibri"/>
          <w:sz w:val="22"/>
          <w:szCs w:val="22"/>
        </w:rPr>
        <w:t xml:space="preserve"> was published for the first time in the fourth quarter of 1982</w:t>
      </w:r>
      <w:r>
        <w:rPr>
          <w:rFonts w:ascii="Calibri" w:hAnsi="Calibri"/>
          <w:sz w:val="22"/>
          <w:szCs w:val="22"/>
        </w:rPr>
        <w:t xml:space="preserve"> and an index for all-exports was first available at the end of 1983</w:t>
      </w:r>
      <w:r w:rsidRPr="00F25FC3">
        <w:rPr>
          <w:rFonts w:ascii="Calibri" w:hAnsi="Calibri"/>
          <w:sz w:val="22"/>
          <w:szCs w:val="22"/>
        </w:rPr>
        <w:t xml:space="preserve">.  </w:t>
      </w:r>
      <w:r>
        <w:rPr>
          <w:rFonts w:ascii="Calibri" w:hAnsi="Calibri"/>
          <w:sz w:val="22"/>
          <w:szCs w:val="22"/>
        </w:rPr>
        <w:t xml:space="preserve"> </w:t>
      </w:r>
    </w:p>
    <w:p w:rsidR="00024B9F" w:rsidRPr="00F25FC3" w:rsidRDefault="00024B9F" w:rsidP="00024B9F">
      <w:pPr>
        <w:tabs>
          <w:tab w:val="left" w:pos="480"/>
          <w:tab w:val="left" w:pos="960"/>
          <w:tab w:val="left" w:pos="2760"/>
        </w:tabs>
        <w:rPr>
          <w:rFonts w:ascii="Calibri" w:hAnsi="Calibri"/>
          <w:b/>
          <w:color w:val="000000"/>
          <w:sz w:val="22"/>
          <w:szCs w:val="22"/>
        </w:rPr>
      </w:pPr>
    </w:p>
    <w:p w:rsidR="00024B9F" w:rsidRPr="00F25FC3" w:rsidRDefault="00024B9F" w:rsidP="00024B9F">
      <w:pPr>
        <w:tabs>
          <w:tab w:val="left" w:pos="480"/>
          <w:tab w:val="left" w:pos="960"/>
          <w:tab w:val="left" w:pos="2760"/>
        </w:tabs>
        <w:rPr>
          <w:rFonts w:ascii="Calibri" w:hAnsi="Calibri"/>
          <w:sz w:val="22"/>
          <w:szCs w:val="22"/>
        </w:rPr>
      </w:pPr>
      <w:r w:rsidRPr="00F25FC3">
        <w:rPr>
          <w:rFonts w:ascii="Calibri" w:hAnsi="Calibri"/>
          <w:sz w:val="22"/>
          <w:szCs w:val="22"/>
        </w:rPr>
        <w:t>The expansion of international trade and improvements in the design of the IPP survey led the Office of Management and Budget (OMB) in 1982 to place the IPP indexes on its list of Principal Federal Economic Indicators alongside the Consumer Price Index (CPI) and the Producer Price Index (PPI).  Economic indicators placed on this list must be released on schedule and are recommended for use in public and private sector economic analysis.</w:t>
      </w:r>
    </w:p>
    <w:p w:rsidR="00024B9F" w:rsidRPr="00F25FC3" w:rsidRDefault="00024B9F" w:rsidP="00024B9F">
      <w:pPr>
        <w:tabs>
          <w:tab w:val="left" w:pos="480"/>
          <w:tab w:val="left" w:pos="960"/>
          <w:tab w:val="left" w:pos="2760"/>
        </w:tabs>
        <w:rPr>
          <w:rFonts w:ascii="Calibri" w:hAnsi="Calibri"/>
          <w:sz w:val="22"/>
          <w:szCs w:val="22"/>
        </w:rPr>
      </w:pPr>
    </w:p>
    <w:p w:rsidR="00024B9F" w:rsidRPr="00F25FC3" w:rsidRDefault="00024B9F" w:rsidP="00024B9F">
      <w:pPr>
        <w:tabs>
          <w:tab w:val="left" w:pos="480"/>
          <w:tab w:val="left" w:pos="960"/>
          <w:tab w:val="left" w:pos="2760"/>
        </w:tabs>
        <w:rPr>
          <w:rFonts w:ascii="Calibri" w:hAnsi="Calibri"/>
          <w:sz w:val="22"/>
          <w:szCs w:val="22"/>
        </w:rPr>
      </w:pPr>
      <w:r w:rsidRPr="00F25FC3">
        <w:rPr>
          <w:rFonts w:ascii="Calibri" w:hAnsi="Calibri"/>
          <w:sz w:val="22"/>
          <w:szCs w:val="22"/>
        </w:rPr>
        <w:t xml:space="preserve">The increasing importance and value of the IPP's indexes led to requests in 1988 from OMB and several other policy-making government agencies for monthly indexes.  To fill this need, the IPP initiated an effort in late 1988 to provide these agencies with monthly indexes for all-imports, all-exports, and certain highly-aggregated import and export product groupings.  Using a subset of data from the regular quarterly sample, the IPP began publishing these indexes in February 1989.  Because of continuing interest from OMB and other government agencies and because of the need to deflate monthly GDP figures using IPP indexes, the IPP now collects all of its data for </w:t>
      </w:r>
      <w:r>
        <w:rPr>
          <w:rFonts w:ascii="Calibri" w:hAnsi="Calibri"/>
          <w:sz w:val="22"/>
          <w:szCs w:val="22"/>
        </w:rPr>
        <w:t>goods</w:t>
      </w:r>
      <w:r w:rsidRPr="00F25FC3">
        <w:rPr>
          <w:rFonts w:ascii="Calibri" w:hAnsi="Calibri"/>
          <w:sz w:val="22"/>
          <w:szCs w:val="22"/>
        </w:rPr>
        <w:t xml:space="preserve"> on a monthly basis.</w:t>
      </w:r>
    </w:p>
    <w:p w:rsidR="00C37BC8" w:rsidRDefault="00C37BC8" w:rsidP="00024B9F">
      <w:pPr>
        <w:tabs>
          <w:tab w:val="left" w:pos="480"/>
          <w:tab w:val="left" w:pos="960"/>
          <w:tab w:val="left" w:pos="2760"/>
        </w:tabs>
        <w:rPr>
          <w:rFonts w:ascii="Calibri" w:hAnsi="Calibri"/>
          <w:color w:val="000000"/>
          <w:sz w:val="22"/>
          <w:szCs w:val="22"/>
        </w:rPr>
      </w:pPr>
    </w:p>
    <w:p w:rsidR="00A66106" w:rsidRPr="00A66106" w:rsidRDefault="00A66106" w:rsidP="00024B9F">
      <w:pPr>
        <w:tabs>
          <w:tab w:val="left" w:pos="480"/>
          <w:tab w:val="left" w:pos="960"/>
          <w:tab w:val="left" w:pos="2760"/>
        </w:tabs>
        <w:rPr>
          <w:rFonts w:ascii="Calibri" w:hAnsi="Calibri"/>
          <w:color w:val="000000"/>
          <w:sz w:val="22"/>
          <w:szCs w:val="22"/>
        </w:rPr>
      </w:pPr>
      <w:r>
        <w:rPr>
          <w:rFonts w:ascii="Calibri" w:hAnsi="Calibri"/>
          <w:color w:val="000000"/>
          <w:sz w:val="22"/>
          <w:szCs w:val="22"/>
        </w:rPr>
        <w:t xml:space="preserve">In </w:t>
      </w:r>
      <w:r w:rsidR="006E05E8">
        <w:rPr>
          <w:rFonts w:ascii="Calibri" w:hAnsi="Calibri"/>
          <w:color w:val="000000"/>
          <w:sz w:val="22"/>
          <w:szCs w:val="22"/>
        </w:rPr>
        <w:t>1992,</w:t>
      </w:r>
      <w:r w:rsidR="00E72972">
        <w:rPr>
          <w:rFonts w:ascii="Calibri" w:hAnsi="Calibri"/>
          <w:color w:val="000000"/>
          <w:sz w:val="22"/>
          <w:szCs w:val="22"/>
        </w:rPr>
        <w:t xml:space="preserve"> I</w:t>
      </w:r>
      <w:r>
        <w:rPr>
          <w:rFonts w:ascii="Calibri" w:hAnsi="Calibri"/>
          <w:color w:val="000000"/>
          <w:sz w:val="22"/>
          <w:szCs w:val="22"/>
        </w:rPr>
        <w:t>PP began publishing import price indexes delineated by locality of origin</w:t>
      </w:r>
      <w:r w:rsidR="00E72972">
        <w:rPr>
          <w:rFonts w:ascii="Calibri" w:hAnsi="Calibri"/>
          <w:color w:val="000000"/>
          <w:sz w:val="22"/>
          <w:szCs w:val="22"/>
        </w:rPr>
        <w:t xml:space="preserve"> </w:t>
      </w:r>
      <w:r w:rsidR="006E05E8">
        <w:rPr>
          <w:rFonts w:ascii="Calibri" w:hAnsi="Calibri"/>
          <w:color w:val="000000"/>
          <w:sz w:val="22"/>
          <w:szCs w:val="22"/>
        </w:rPr>
        <w:t xml:space="preserve">(LOO) </w:t>
      </w:r>
      <w:r w:rsidR="00A26EF9">
        <w:rPr>
          <w:rFonts w:ascii="Calibri" w:hAnsi="Calibri"/>
          <w:color w:val="000000"/>
          <w:sz w:val="22"/>
          <w:szCs w:val="22"/>
        </w:rPr>
        <w:t xml:space="preserve">and has substantially expanded this set of data from </w:t>
      </w:r>
      <w:r w:rsidR="00DB11E3">
        <w:rPr>
          <w:rFonts w:ascii="Calibri" w:hAnsi="Calibri"/>
          <w:color w:val="000000"/>
          <w:sz w:val="22"/>
          <w:szCs w:val="22"/>
        </w:rPr>
        <w:t xml:space="preserve">two country breakouts (Canada and Japan) and three regional breakouts (European Union, Latin America, and Asian Newly Industrialized Countries). </w:t>
      </w:r>
      <w:r w:rsidR="006E05E8">
        <w:rPr>
          <w:rFonts w:ascii="Calibri" w:hAnsi="Calibri"/>
          <w:color w:val="000000"/>
          <w:sz w:val="22"/>
          <w:szCs w:val="22"/>
        </w:rPr>
        <w:t xml:space="preserve"> </w:t>
      </w:r>
      <w:r w:rsidR="00A26EF9">
        <w:rPr>
          <w:rFonts w:ascii="Calibri" w:hAnsi="Calibri"/>
          <w:color w:val="000000"/>
          <w:sz w:val="22"/>
          <w:szCs w:val="22"/>
        </w:rPr>
        <w:t>In 2005, o</w:t>
      </w:r>
      <w:r w:rsidR="006E05E8">
        <w:rPr>
          <w:rFonts w:ascii="Calibri" w:hAnsi="Calibri"/>
          <w:color w:val="000000"/>
          <w:sz w:val="22"/>
          <w:szCs w:val="22"/>
        </w:rPr>
        <w:t xml:space="preserve">ngoing customer interest prompted the </w:t>
      </w:r>
      <w:r w:rsidR="00E72972">
        <w:rPr>
          <w:rFonts w:ascii="Calibri" w:hAnsi="Calibri"/>
          <w:color w:val="000000"/>
          <w:sz w:val="22"/>
          <w:szCs w:val="22"/>
        </w:rPr>
        <w:t xml:space="preserve">IPP </w:t>
      </w:r>
      <w:r w:rsidR="006E05E8">
        <w:rPr>
          <w:rFonts w:ascii="Calibri" w:hAnsi="Calibri"/>
          <w:color w:val="000000"/>
          <w:sz w:val="22"/>
          <w:szCs w:val="22"/>
        </w:rPr>
        <w:t>to expand</w:t>
      </w:r>
      <w:r w:rsidR="00E72972">
        <w:rPr>
          <w:rFonts w:ascii="Calibri" w:hAnsi="Calibri"/>
          <w:color w:val="000000"/>
          <w:sz w:val="22"/>
          <w:szCs w:val="22"/>
        </w:rPr>
        <w:t xml:space="preserve"> </w:t>
      </w:r>
      <w:r w:rsidR="00A26EF9">
        <w:rPr>
          <w:rFonts w:ascii="Calibri" w:hAnsi="Calibri"/>
          <w:color w:val="000000"/>
          <w:sz w:val="22"/>
          <w:szCs w:val="22"/>
        </w:rPr>
        <w:t>this list</w:t>
      </w:r>
      <w:r w:rsidR="006E05E8">
        <w:rPr>
          <w:rFonts w:ascii="Calibri" w:hAnsi="Calibri"/>
          <w:color w:val="000000"/>
          <w:sz w:val="22"/>
          <w:szCs w:val="22"/>
        </w:rPr>
        <w:t xml:space="preserve">, </w:t>
      </w:r>
      <w:r w:rsidR="00925F1B">
        <w:rPr>
          <w:rFonts w:ascii="Calibri" w:hAnsi="Calibri"/>
          <w:color w:val="000000"/>
          <w:sz w:val="22"/>
          <w:szCs w:val="22"/>
        </w:rPr>
        <w:t>adding</w:t>
      </w:r>
      <w:r w:rsidR="006E05E8">
        <w:rPr>
          <w:rFonts w:ascii="Calibri" w:hAnsi="Calibri"/>
          <w:color w:val="000000"/>
          <w:sz w:val="22"/>
          <w:szCs w:val="22"/>
        </w:rPr>
        <w:t xml:space="preserve"> LOO price indexes for </w:t>
      </w:r>
      <w:r w:rsidR="00DB11E3">
        <w:rPr>
          <w:rFonts w:ascii="Calibri" w:hAnsi="Calibri"/>
          <w:color w:val="000000"/>
          <w:sz w:val="22"/>
          <w:szCs w:val="22"/>
        </w:rPr>
        <w:t>France, Germany, the United Kingdom, Mexico, the Pacific Rim, China, the Association of Southeast Asian Nations, and Asia Near East countries.</w:t>
      </w:r>
      <w:r w:rsidR="00E72972">
        <w:rPr>
          <w:rFonts w:ascii="Calibri" w:hAnsi="Calibri"/>
          <w:color w:val="000000"/>
          <w:sz w:val="22"/>
          <w:szCs w:val="22"/>
        </w:rPr>
        <w:t xml:space="preserve">  </w:t>
      </w:r>
      <w:r w:rsidR="006E05E8">
        <w:rPr>
          <w:rFonts w:ascii="Calibri" w:hAnsi="Calibri"/>
          <w:color w:val="000000"/>
          <w:sz w:val="22"/>
          <w:szCs w:val="22"/>
        </w:rPr>
        <w:t>In</w:t>
      </w:r>
      <w:r w:rsidR="00E72972">
        <w:rPr>
          <w:rFonts w:ascii="Calibri" w:hAnsi="Calibri"/>
          <w:color w:val="000000"/>
          <w:sz w:val="22"/>
          <w:szCs w:val="22"/>
        </w:rPr>
        <w:t xml:space="preserve"> 2009, the IPP began publishing data on commodities from Mexico in more detail, adding </w:t>
      </w:r>
      <w:r w:rsidR="006E05E8">
        <w:rPr>
          <w:rFonts w:ascii="Calibri" w:hAnsi="Calibri"/>
          <w:color w:val="000000"/>
          <w:sz w:val="22"/>
          <w:szCs w:val="22"/>
        </w:rPr>
        <w:t xml:space="preserve">LOO price </w:t>
      </w:r>
      <w:r w:rsidR="00E72972">
        <w:rPr>
          <w:rFonts w:ascii="Calibri" w:hAnsi="Calibri"/>
          <w:color w:val="000000"/>
          <w:sz w:val="22"/>
          <w:szCs w:val="22"/>
        </w:rPr>
        <w:t>indexes for both nonmanufactured and manufactured articles.</w:t>
      </w:r>
    </w:p>
    <w:p w:rsidR="00A66106" w:rsidRPr="00A66106" w:rsidRDefault="00A66106" w:rsidP="00024B9F">
      <w:pPr>
        <w:tabs>
          <w:tab w:val="left" w:pos="480"/>
          <w:tab w:val="left" w:pos="960"/>
          <w:tab w:val="left" w:pos="2760"/>
        </w:tabs>
        <w:rPr>
          <w:rFonts w:ascii="Calibri" w:hAnsi="Calibri"/>
          <w:b/>
          <w:color w:val="000000"/>
          <w:sz w:val="22"/>
          <w:szCs w:val="22"/>
        </w:rPr>
      </w:pPr>
    </w:p>
    <w:p w:rsidR="00024B9F" w:rsidRPr="00F25FC3" w:rsidRDefault="003D3766" w:rsidP="00024B9F">
      <w:pPr>
        <w:tabs>
          <w:tab w:val="left" w:pos="480"/>
          <w:tab w:val="left" w:pos="960"/>
          <w:tab w:val="left" w:pos="2760"/>
        </w:tabs>
        <w:rPr>
          <w:rFonts w:ascii="Calibri" w:hAnsi="Calibri"/>
          <w:b/>
          <w:i/>
          <w:sz w:val="22"/>
          <w:szCs w:val="22"/>
        </w:rPr>
      </w:pPr>
      <w:r>
        <w:rPr>
          <w:rFonts w:ascii="Calibri" w:hAnsi="Calibri"/>
          <w:sz w:val="22"/>
          <w:szCs w:val="22"/>
        </w:rPr>
        <w:t xml:space="preserve">In the realm of services, </w:t>
      </w:r>
      <w:r w:rsidRPr="00F25FC3">
        <w:rPr>
          <w:rFonts w:ascii="Calibri" w:hAnsi="Calibri"/>
          <w:sz w:val="22"/>
          <w:szCs w:val="22"/>
        </w:rPr>
        <w:t>IPP publishes indexes on import and export air passenger fares and air freight rates as well as indexes for inbound and outbound air freight rates</w:t>
      </w:r>
      <w:r>
        <w:rPr>
          <w:rFonts w:ascii="Calibri" w:hAnsi="Calibri"/>
          <w:sz w:val="22"/>
          <w:szCs w:val="22"/>
        </w:rPr>
        <w:t xml:space="preserve">.  The tremendous growth of the </w:t>
      </w:r>
      <w:r w:rsidR="00024B9F" w:rsidRPr="00F25FC3">
        <w:rPr>
          <w:rFonts w:ascii="Calibri" w:hAnsi="Calibri"/>
          <w:sz w:val="22"/>
          <w:szCs w:val="22"/>
        </w:rPr>
        <w:t xml:space="preserve">international services sector over the last 20 years, </w:t>
      </w:r>
      <w:r>
        <w:rPr>
          <w:rFonts w:ascii="Calibri" w:hAnsi="Calibri"/>
          <w:sz w:val="22"/>
          <w:szCs w:val="22"/>
        </w:rPr>
        <w:t xml:space="preserve">has </w:t>
      </w:r>
      <w:r w:rsidR="00024B9F" w:rsidRPr="00F25FC3">
        <w:rPr>
          <w:rFonts w:ascii="Calibri" w:hAnsi="Calibri"/>
          <w:sz w:val="22"/>
          <w:szCs w:val="22"/>
        </w:rPr>
        <w:t>creat</w:t>
      </w:r>
      <w:r>
        <w:rPr>
          <w:rFonts w:ascii="Calibri" w:hAnsi="Calibri"/>
          <w:sz w:val="22"/>
          <w:szCs w:val="22"/>
        </w:rPr>
        <w:t>ed</w:t>
      </w:r>
      <w:r w:rsidR="00024B9F" w:rsidRPr="00F25FC3">
        <w:rPr>
          <w:rFonts w:ascii="Calibri" w:hAnsi="Calibri"/>
          <w:sz w:val="22"/>
          <w:szCs w:val="22"/>
        </w:rPr>
        <w:t xml:space="preserve"> the need for more comprehensive, reliable, and timely information on price trends of international prices.  </w:t>
      </w:r>
      <w:r>
        <w:rPr>
          <w:rFonts w:ascii="Calibri" w:hAnsi="Calibri"/>
          <w:sz w:val="22"/>
          <w:szCs w:val="22"/>
        </w:rPr>
        <w:t>(</w:t>
      </w:r>
      <w:r w:rsidR="00024B9F">
        <w:rPr>
          <w:rFonts w:ascii="Calibri" w:hAnsi="Calibri"/>
          <w:sz w:val="22"/>
          <w:szCs w:val="22"/>
        </w:rPr>
        <w:t>In 2011</w:t>
      </w:r>
      <w:r w:rsidR="00024B9F" w:rsidRPr="00F25FC3">
        <w:rPr>
          <w:rFonts w:ascii="Calibri" w:hAnsi="Calibri"/>
          <w:sz w:val="22"/>
          <w:szCs w:val="22"/>
        </w:rPr>
        <w:t>, services comprised approximately 15 percent of cross-border imports and approximately 30 percent of cross-border exports.</w:t>
      </w:r>
      <w:r w:rsidR="00024B9F">
        <w:rPr>
          <w:rStyle w:val="FootnoteReference"/>
          <w:rFonts w:ascii="Calibri" w:hAnsi="Calibri"/>
          <w:sz w:val="22"/>
          <w:szCs w:val="22"/>
        </w:rPr>
        <w:footnoteReference w:id="1"/>
      </w:r>
      <w:r>
        <w:rPr>
          <w:rFonts w:ascii="Calibri" w:hAnsi="Calibri"/>
          <w:sz w:val="22"/>
          <w:szCs w:val="22"/>
        </w:rPr>
        <w:t>)</w:t>
      </w:r>
      <w:r w:rsidR="00024B9F" w:rsidRPr="00F25FC3">
        <w:rPr>
          <w:rFonts w:ascii="Calibri" w:hAnsi="Calibri"/>
          <w:sz w:val="22"/>
          <w:szCs w:val="22"/>
        </w:rPr>
        <w:t xml:space="preserve"> .  In </w:t>
      </w:r>
      <w:r>
        <w:rPr>
          <w:rFonts w:ascii="Calibri" w:hAnsi="Calibri"/>
          <w:sz w:val="22"/>
          <w:szCs w:val="22"/>
        </w:rPr>
        <w:t xml:space="preserve">an effort to further fulfill this need, </w:t>
      </w:r>
      <w:r w:rsidR="00024B9F" w:rsidRPr="00F25FC3">
        <w:rPr>
          <w:rFonts w:ascii="Calibri" w:hAnsi="Calibri"/>
          <w:sz w:val="22"/>
          <w:szCs w:val="22"/>
        </w:rPr>
        <w:t>the IPP began publishing two new indexes covering Export Travel and Tourism and Export Education</w:t>
      </w:r>
      <w:r>
        <w:rPr>
          <w:rFonts w:ascii="Calibri" w:hAnsi="Calibri"/>
          <w:sz w:val="22"/>
          <w:szCs w:val="22"/>
        </w:rPr>
        <w:t xml:space="preserve"> in 2007</w:t>
      </w:r>
      <w:r w:rsidR="00024B9F" w:rsidRPr="00F25FC3">
        <w:rPr>
          <w:rFonts w:ascii="Calibri" w:hAnsi="Calibri"/>
          <w:sz w:val="22"/>
          <w:szCs w:val="22"/>
        </w:rPr>
        <w:t xml:space="preserve">.  </w:t>
      </w:r>
      <w:r w:rsidR="00A66106">
        <w:rPr>
          <w:rFonts w:ascii="Calibri" w:hAnsi="Calibri"/>
          <w:sz w:val="22"/>
          <w:szCs w:val="22"/>
        </w:rPr>
        <w:t>However, t</w:t>
      </w:r>
      <w:r w:rsidR="00024B9F" w:rsidRPr="00F25FC3">
        <w:rPr>
          <w:rFonts w:ascii="Calibri" w:hAnsi="Calibri"/>
          <w:sz w:val="22"/>
          <w:szCs w:val="22"/>
        </w:rPr>
        <w:t xml:space="preserve">hese new series, along with the Inbound Crude Oil Tanker Freight, Inbound Ocean Liner Freight, and Inbound/Outbound Air Passenger Fares indexes can no longer be supported due to budget constraints.  Consequently, these indexes were discontinued effective January 2008. </w:t>
      </w:r>
    </w:p>
    <w:p w:rsidR="00024B9F" w:rsidRPr="00DB11E3" w:rsidRDefault="00024B9F" w:rsidP="00024B9F">
      <w:pPr>
        <w:rPr>
          <w:rFonts w:ascii="Calibri" w:hAnsi="Calibri"/>
          <w:color w:val="000000"/>
          <w:sz w:val="22"/>
          <w:szCs w:val="22"/>
        </w:rPr>
      </w:pPr>
    </w:p>
    <w:p w:rsidR="00A66106" w:rsidRPr="00DB11E3" w:rsidRDefault="00A26EF9" w:rsidP="00024B9F">
      <w:pPr>
        <w:rPr>
          <w:rFonts w:ascii="Calibri" w:hAnsi="Calibri"/>
          <w:color w:val="000000"/>
          <w:sz w:val="22"/>
          <w:szCs w:val="22"/>
        </w:rPr>
      </w:pPr>
      <w:r>
        <w:rPr>
          <w:rFonts w:ascii="Calibri" w:hAnsi="Calibri"/>
          <w:color w:val="000000"/>
          <w:sz w:val="22"/>
          <w:szCs w:val="22"/>
        </w:rPr>
        <w:t>In producing monthly price indexes on goods and services traded between the U.S. and the rest of the world, the International Price Program remains</w:t>
      </w:r>
      <w:r w:rsidR="00925F1B">
        <w:rPr>
          <w:rFonts w:ascii="Calibri" w:hAnsi="Calibri"/>
          <w:color w:val="000000"/>
          <w:sz w:val="22"/>
          <w:szCs w:val="22"/>
        </w:rPr>
        <w:t xml:space="preserve"> the primary source of data on price changes in the foreign sector</w:t>
      </w:r>
      <w:r>
        <w:rPr>
          <w:rFonts w:ascii="Calibri" w:hAnsi="Calibri"/>
          <w:color w:val="000000"/>
          <w:sz w:val="22"/>
          <w:szCs w:val="22"/>
        </w:rPr>
        <w:t>.</w:t>
      </w:r>
      <w:r w:rsidR="00925F1B">
        <w:rPr>
          <w:rFonts w:ascii="Calibri" w:hAnsi="Calibri"/>
          <w:color w:val="000000"/>
          <w:sz w:val="22"/>
          <w:szCs w:val="22"/>
        </w:rPr>
        <w:t xml:space="preserve"> </w:t>
      </w:r>
    </w:p>
    <w:p w:rsidR="00A66106" w:rsidRPr="00DB11E3" w:rsidRDefault="00A66106" w:rsidP="00024B9F">
      <w:pPr>
        <w:rPr>
          <w:rFonts w:ascii="Calibri" w:hAnsi="Calibri"/>
          <w:color w:val="000000"/>
          <w:sz w:val="22"/>
          <w:szCs w:val="22"/>
        </w:rPr>
      </w:pPr>
    </w:p>
    <w:p w:rsidR="00024B9F" w:rsidRPr="00F25FC3" w:rsidRDefault="00024B9F" w:rsidP="00024B9F">
      <w:pPr>
        <w:rPr>
          <w:rFonts w:ascii="Calibri" w:hAnsi="Calibri"/>
          <w:b/>
          <w:color w:val="000000"/>
          <w:sz w:val="22"/>
          <w:szCs w:val="22"/>
        </w:rPr>
      </w:pPr>
      <w:r w:rsidRPr="00F25FC3">
        <w:rPr>
          <w:rFonts w:ascii="Calibri" w:hAnsi="Calibri"/>
          <w:b/>
          <w:color w:val="000000"/>
          <w:sz w:val="22"/>
          <w:szCs w:val="22"/>
        </w:rPr>
        <w:t>2.</w:t>
      </w:r>
      <w:r w:rsidRPr="00F25FC3">
        <w:rPr>
          <w:rFonts w:ascii="Calibri" w:hAnsi="Calibri"/>
          <w:b/>
          <w:color w:val="000000"/>
          <w:sz w:val="22"/>
          <w:szCs w:val="22"/>
        </w:rPr>
        <w:tab/>
        <w:t xml:space="preserve">Uses of the </w:t>
      </w:r>
      <w:smartTag w:uri="urn:schemas-microsoft-com:office:smarttags" w:element="place">
        <w:smartTag w:uri="urn:schemas-microsoft-com:office:smarttags" w:element="country-region">
          <w:r w:rsidRPr="00F25FC3">
            <w:rPr>
              <w:rFonts w:ascii="Calibri" w:hAnsi="Calibri"/>
              <w:b/>
              <w:color w:val="000000"/>
              <w:sz w:val="22"/>
              <w:szCs w:val="22"/>
            </w:rPr>
            <w:t>U.S.</w:t>
          </w:r>
        </w:smartTag>
      </w:smartTag>
      <w:r w:rsidRPr="00F25FC3">
        <w:rPr>
          <w:rFonts w:ascii="Calibri" w:hAnsi="Calibri"/>
          <w:b/>
          <w:color w:val="000000"/>
          <w:sz w:val="22"/>
          <w:szCs w:val="22"/>
        </w:rPr>
        <w:t xml:space="preserve"> Import and Export Price Indexes</w:t>
      </w:r>
    </w:p>
    <w:p w:rsidR="00024B9F" w:rsidRPr="00F25FC3" w:rsidRDefault="00024B9F" w:rsidP="00024B9F">
      <w:pPr>
        <w:tabs>
          <w:tab w:val="left" w:pos="480"/>
          <w:tab w:val="left" w:pos="960"/>
          <w:tab w:val="left" w:pos="1320"/>
          <w:tab w:val="left" w:pos="1800"/>
          <w:tab w:val="left" w:pos="2760"/>
        </w:tabs>
        <w:rPr>
          <w:rFonts w:ascii="Calibri" w:hAnsi="Calibri"/>
          <w:b/>
          <w:color w:val="000000"/>
          <w:sz w:val="22"/>
          <w:szCs w:val="22"/>
        </w:rPr>
      </w:pPr>
    </w:p>
    <w:p w:rsidR="00024B9F" w:rsidRDefault="00024B9F" w:rsidP="00024B9F">
      <w:pPr>
        <w:tabs>
          <w:tab w:val="left" w:pos="480"/>
          <w:tab w:val="left" w:pos="960"/>
          <w:tab w:val="left" w:pos="1320"/>
          <w:tab w:val="left" w:pos="1800"/>
          <w:tab w:val="left" w:pos="2760"/>
        </w:tabs>
        <w:rPr>
          <w:rFonts w:ascii="Calibri" w:hAnsi="Calibri"/>
          <w:sz w:val="22"/>
          <w:szCs w:val="22"/>
        </w:rPr>
      </w:pPr>
      <w:r w:rsidRPr="00F25FC3">
        <w:rPr>
          <w:rFonts w:ascii="Calibri" w:hAnsi="Calibri"/>
          <w:sz w:val="22"/>
          <w:szCs w:val="22"/>
        </w:rPr>
        <w:t xml:space="preserve">The most critical uses of the IPP indexes are found in the public sector.  Major public-sector uses of the IPP indexes include </w:t>
      </w:r>
      <w:r>
        <w:rPr>
          <w:rFonts w:ascii="Calibri" w:hAnsi="Calibri"/>
          <w:sz w:val="22"/>
          <w:szCs w:val="22"/>
        </w:rPr>
        <w:t>d</w:t>
      </w:r>
      <w:r w:rsidRPr="00F25FC3">
        <w:rPr>
          <w:rFonts w:ascii="Calibri" w:hAnsi="Calibri"/>
          <w:sz w:val="22"/>
          <w:szCs w:val="22"/>
        </w:rPr>
        <w:t xml:space="preserve">eflating </w:t>
      </w:r>
      <w:r>
        <w:rPr>
          <w:rFonts w:ascii="Calibri" w:hAnsi="Calibri"/>
          <w:sz w:val="22"/>
          <w:szCs w:val="22"/>
        </w:rPr>
        <w:t>m</w:t>
      </w:r>
      <w:r w:rsidRPr="00F25FC3">
        <w:rPr>
          <w:rFonts w:ascii="Calibri" w:hAnsi="Calibri"/>
          <w:sz w:val="22"/>
          <w:szCs w:val="22"/>
        </w:rPr>
        <w:t xml:space="preserve">onthly </w:t>
      </w:r>
      <w:r>
        <w:rPr>
          <w:rFonts w:ascii="Calibri" w:hAnsi="Calibri"/>
          <w:sz w:val="22"/>
          <w:szCs w:val="22"/>
        </w:rPr>
        <w:t>i</w:t>
      </w:r>
      <w:r w:rsidRPr="00F25FC3">
        <w:rPr>
          <w:rFonts w:ascii="Calibri" w:hAnsi="Calibri"/>
          <w:sz w:val="22"/>
          <w:szCs w:val="22"/>
        </w:rPr>
        <w:t xml:space="preserve">mport and </w:t>
      </w:r>
      <w:r>
        <w:rPr>
          <w:rFonts w:ascii="Calibri" w:hAnsi="Calibri"/>
          <w:sz w:val="22"/>
          <w:szCs w:val="22"/>
        </w:rPr>
        <w:t>e</w:t>
      </w:r>
      <w:r w:rsidRPr="00F25FC3">
        <w:rPr>
          <w:rFonts w:ascii="Calibri" w:hAnsi="Calibri"/>
          <w:sz w:val="22"/>
          <w:szCs w:val="22"/>
        </w:rPr>
        <w:t xml:space="preserve">xport </w:t>
      </w:r>
      <w:r>
        <w:rPr>
          <w:rFonts w:ascii="Calibri" w:hAnsi="Calibri"/>
          <w:sz w:val="22"/>
          <w:szCs w:val="22"/>
        </w:rPr>
        <w:t>t</w:t>
      </w:r>
      <w:r w:rsidRPr="00F25FC3">
        <w:rPr>
          <w:rFonts w:ascii="Calibri" w:hAnsi="Calibri"/>
          <w:sz w:val="22"/>
          <w:szCs w:val="22"/>
        </w:rPr>
        <w:t xml:space="preserve">rade </w:t>
      </w:r>
      <w:r>
        <w:rPr>
          <w:rFonts w:ascii="Calibri" w:hAnsi="Calibri"/>
          <w:sz w:val="22"/>
          <w:szCs w:val="22"/>
        </w:rPr>
        <w:t>s</w:t>
      </w:r>
      <w:r w:rsidRPr="00F25FC3">
        <w:rPr>
          <w:rFonts w:ascii="Calibri" w:hAnsi="Calibri"/>
          <w:sz w:val="22"/>
          <w:szCs w:val="22"/>
        </w:rPr>
        <w:t>tatistics, deflating the foreign trade component of Gross Domestic Product, determining monetary and fiscal policy, determining trade and commercial policy, neg</w:t>
      </w:r>
      <w:r>
        <w:rPr>
          <w:rFonts w:ascii="Calibri" w:hAnsi="Calibri"/>
          <w:sz w:val="22"/>
          <w:szCs w:val="22"/>
        </w:rPr>
        <w:t xml:space="preserve">otiating trade agreements, and </w:t>
      </w:r>
      <w:r w:rsidRPr="00F25FC3">
        <w:rPr>
          <w:rFonts w:ascii="Calibri" w:hAnsi="Calibri"/>
          <w:sz w:val="22"/>
          <w:szCs w:val="22"/>
        </w:rPr>
        <w:t xml:space="preserve">escalating government contracts. The prices provided by </w:t>
      </w:r>
      <w:r>
        <w:rPr>
          <w:rFonts w:ascii="Calibri" w:hAnsi="Calibri"/>
          <w:sz w:val="22"/>
          <w:szCs w:val="22"/>
        </w:rPr>
        <w:t>respondent</w:t>
      </w:r>
      <w:r w:rsidRPr="00F25FC3">
        <w:rPr>
          <w:rFonts w:ascii="Calibri" w:hAnsi="Calibri"/>
          <w:sz w:val="22"/>
          <w:szCs w:val="22"/>
        </w:rPr>
        <w:t xml:space="preserve">s form the foundation of information necessary to assure that the IPP indexes accurately reflect conditions in the international marketplace.  </w:t>
      </w:r>
      <w:smartTag w:uri="urn:schemas-microsoft-com:office:smarttags" w:element="place">
        <w:smartTag w:uri="urn:schemas-microsoft-com:office:smarttags" w:element="country-region">
          <w:r w:rsidRPr="00F25FC3">
            <w:rPr>
              <w:rFonts w:ascii="Calibri" w:hAnsi="Calibri"/>
              <w:sz w:val="22"/>
              <w:szCs w:val="22"/>
            </w:rPr>
            <w:t>U.S.</w:t>
          </w:r>
        </w:smartTag>
      </w:smartTag>
      <w:r w:rsidRPr="00F25FC3">
        <w:rPr>
          <w:rFonts w:ascii="Calibri" w:hAnsi="Calibri"/>
          <w:sz w:val="22"/>
          <w:szCs w:val="22"/>
        </w:rPr>
        <w:t xml:space="preserve"> policy makers must have reliable, accurate statistics to insure that appropriate actions are taken, especially during periods of economic difficulty.  When public policy makers have reliable statistics on international trade, they are in a better position to make sound decisions on the regulation and promotion of international trade.  These decisions can benefit all internationally active companies</w:t>
      </w:r>
      <w:r w:rsidR="001C0DCC">
        <w:rPr>
          <w:rFonts w:ascii="Calibri" w:hAnsi="Calibri"/>
          <w:sz w:val="22"/>
          <w:szCs w:val="22"/>
        </w:rPr>
        <w:t>.</w:t>
      </w:r>
    </w:p>
    <w:p w:rsidR="00024B9F" w:rsidRPr="00320DA5" w:rsidRDefault="00024B9F" w:rsidP="00024B9F">
      <w:pPr>
        <w:tabs>
          <w:tab w:val="left" w:pos="480"/>
          <w:tab w:val="left" w:pos="960"/>
          <w:tab w:val="left" w:pos="1320"/>
          <w:tab w:val="left" w:pos="1800"/>
          <w:tab w:val="left" w:pos="2760"/>
        </w:tabs>
        <w:rPr>
          <w:rFonts w:ascii="Calibri" w:hAnsi="Calibri"/>
          <w:sz w:val="22"/>
          <w:szCs w:val="22"/>
        </w:rPr>
      </w:pPr>
    </w:p>
    <w:p w:rsidR="00024B9F" w:rsidRPr="00644CC0" w:rsidRDefault="00024B9F" w:rsidP="00024B9F">
      <w:pPr>
        <w:tabs>
          <w:tab w:val="left" w:pos="480"/>
          <w:tab w:val="left" w:pos="960"/>
          <w:tab w:val="left" w:pos="2760"/>
        </w:tabs>
        <w:rPr>
          <w:rFonts w:ascii="Calibri" w:hAnsi="Calibri"/>
          <w:sz w:val="22"/>
          <w:szCs w:val="22"/>
        </w:rPr>
      </w:pPr>
      <w:r w:rsidRPr="00644CC0">
        <w:rPr>
          <w:rFonts w:ascii="Calibri" w:hAnsi="Calibri"/>
          <w:sz w:val="22"/>
          <w:szCs w:val="22"/>
        </w:rPr>
        <w:lastRenderedPageBreak/>
        <w:t>IPP produces monthly indexes in order to provide information with which to deflate the monthly merchandise trade data issued by the Department of Commerce.  (Attachments 3 and 4 are examples of trade balances issued monthly in "United States Department of Commerce News:  U.S. Merchandise Trade".)  The resulting real trade flows, obtained by using monthly international price indexes as deflators, enable measurement of real output and provide a more comprehensive understanding of the underlying dynamics of international trade.</w:t>
      </w:r>
    </w:p>
    <w:p w:rsidR="00024B9F" w:rsidRPr="00644CC0" w:rsidRDefault="00024B9F" w:rsidP="00024B9F">
      <w:pPr>
        <w:tabs>
          <w:tab w:val="left" w:pos="480"/>
          <w:tab w:val="left" w:pos="960"/>
          <w:tab w:val="left" w:pos="2760"/>
        </w:tabs>
        <w:rPr>
          <w:rFonts w:ascii="Calibri" w:hAnsi="Calibri"/>
          <w:sz w:val="22"/>
          <w:szCs w:val="22"/>
        </w:rPr>
      </w:pPr>
    </w:p>
    <w:p w:rsidR="00024B9F" w:rsidRDefault="00024B9F" w:rsidP="00024B9F">
      <w:pPr>
        <w:tabs>
          <w:tab w:val="left" w:pos="480"/>
          <w:tab w:val="left" w:pos="960"/>
          <w:tab w:val="left" w:pos="2760"/>
        </w:tabs>
        <w:rPr>
          <w:rFonts w:ascii="Calibri" w:hAnsi="Calibri"/>
          <w:sz w:val="22"/>
          <w:szCs w:val="22"/>
        </w:rPr>
      </w:pPr>
      <w:r w:rsidRPr="00644CC0">
        <w:rPr>
          <w:rFonts w:ascii="Calibri" w:hAnsi="Calibri"/>
          <w:sz w:val="22"/>
          <w:szCs w:val="22"/>
        </w:rPr>
        <w:t xml:space="preserve">The Commerce Department also uses international price indexes to adjust for inflation in the foreign trade sector of its quarterly National Income and Product Account (NIPA).  (Attachments 5 and 6 show the constant dollar tabulation of imports and exports from the U.S. Department of Commerce, </w:t>
      </w:r>
      <w:r w:rsidRPr="00644CC0">
        <w:rPr>
          <w:rFonts w:ascii="Calibri" w:hAnsi="Calibri"/>
          <w:sz w:val="22"/>
          <w:szCs w:val="22"/>
          <w:u w:val="single"/>
        </w:rPr>
        <w:t>Survey of Current Business</w:t>
      </w:r>
      <w:r>
        <w:rPr>
          <w:rFonts w:ascii="Calibri" w:hAnsi="Calibri"/>
          <w:sz w:val="22"/>
          <w:szCs w:val="22"/>
        </w:rPr>
        <w:t>.)</w:t>
      </w:r>
    </w:p>
    <w:p w:rsidR="00024B9F" w:rsidRDefault="00024B9F" w:rsidP="00024B9F">
      <w:pPr>
        <w:tabs>
          <w:tab w:val="left" w:pos="480"/>
          <w:tab w:val="left" w:pos="960"/>
          <w:tab w:val="left" w:pos="2760"/>
        </w:tabs>
        <w:rPr>
          <w:rFonts w:ascii="Calibri" w:hAnsi="Calibri"/>
          <w:sz w:val="22"/>
          <w:szCs w:val="22"/>
        </w:rPr>
      </w:pPr>
    </w:p>
    <w:p w:rsidR="00024B9F" w:rsidRPr="00644CC0" w:rsidRDefault="00024B9F" w:rsidP="00024B9F">
      <w:pPr>
        <w:tabs>
          <w:tab w:val="left" w:pos="480"/>
          <w:tab w:val="left" w:pos="960"/>
          <w:tab w:val="left" w:pos="1320"/>
          <w:tab w:val="left" w:pos="1800"/>
          <w:tab w:val="left" w:pos="2760"/>
        </w:tabs>
        <w:spacing w:after="120"/>
        <w:rPr>
          <w:rFonts w:ascii="Calibri" w:hAnsi="Calibri"/>
          <w:sz w:val="22"/>
          <w:szCs w:val="22"/>
        </w:rPr>
      </w:pPr>
      <w:r w:rsidRPr="00644CC0">
        <w:rPr>
          <w:rFonts w:ascii="Calibri" w:hAnsi="Calibri"/>
          <w:sz w:val="22"/>
          <w:szCs w:val="22"/>
        </w:rPr>
        <w:t xml:space="preserve">In addition to serving as a tool for the public sector, the Import and Export Price Indexes have a variety of other private sector uses by the media, bankers, financial analysts, academic researchers, and corporate managers.  These uses include market analysis, forecasting future price trends, estimating for contract escalation and replacement cost accounting, measuring import price and income elasticity, and estimating exchange rate pass-through values and the effect of currency fluctuations on prices by specific countries or regions. </w:t>
      </w:r>
    </w:p>
    <w:p w:rsidR="00024B9F" w:rsidRPr="00644CC0" w:rsidRDefault="00024B9F" w:rsidP="00024B9F">
      <w:pPr>
        <w:tabs>
          <w:tab w:val="left" w:pos="480"/>
          <w:tab w:val="left" w:pos="960"/>
          <w:tab w:val="left" w:pos="1320"/>
          <w:tab w:val="left" w:pos="1800"/>
          <w:tab w:val="left" w:pos="2760"/>
        </w:tabs>
        <w:spacing w:after="120"/>
        <w:rPr>
          <w:rFonts w:ascii="Calibri" w:hAnsi="Calibri"/>
          <w:sz w:val="22"/>
          <w:szCs w:val="22"/>
        </w:rPr>
      </w:pPr>
      <w:r w:rsidRPr="00644CC0">
        <w:rPr>
          <w:rFonts w:ascii="Calibri" w:hAnsi="Calibri"/>
          <w:sz w:val="22"/>
          <w:szCs w:val="22"/>
        </w:rPr>
        <w:t xml:space="preserve">The Import and Export Price Indexes can also be used in various ways to measure a country’s international competitiveness.  One method for indicating international competitiveness is through the use of terms of trade indexes.  A terms of trade index is defined as an export price index divided by the respective import price index.  Because demand for imports and exports are tied to import and export prices, a change in the terms of trade will lead to a change in the trade balance.  International competitiveness can also be studied by creating export price comparison indexes that compare one country’s export prices against another country’s export prices.  A third way to look at international competitiveness is by expressing Import and Export Price Indexes in foreign currency terms.  Foreign currency import price indexes measure fluctuations in the revenue for foreign sellers in the </w:t>
      </w:r>
      <w:smartTag w:uri="urn:schemas-microsoft-com:office:smarttags" w:element="country-region">
        <w:r w:rsidRPr="00644CC0">
          <w:rPr>
            <w:rFonts w:ascii="Calibri" w:hAnsi="Calibri"/>
            <w:sz w:val="22"/>
            <w:szCs w:val="22"/>
          </w:rPr>
          <w:t>U.S.</w:t>
        </w:r>
      </w:smartTag>
      <w:r w:rsidRPr="00644CC0">
        <w:rPr>
          <w:rFonts w:ascii="Calibri" w:hAnsi="Calibri"/>
          <w:sz w:val="22"/>
          <w:szCs w:val="22"/>
        </w:rPr>
        <w:t xml:space="preserve">, and foreign currency export price indexes illustrate how </w:t>
      </w:r>
      <w:smartTag w:uri="urn:schemas-microsoft-com:office:smarttags" w:element="country-region">
        <w:r w:rsidRPr="00644CC0">
          <w:rPr>
            <w:rFonts w:ascii="Calibri" w:hAnsi="Calibri"/>
            <w:sz w:val="22"/>
            <w:szCs w:val="22"/>
          </w:rPr>
          <w:t>U.S.</w:t>
        </w:r>
      </w:smartTag>
      <w:r w:rsidRPr="00644CC0">
        <w:rPr>
          <w:rFonts w:ascii="Calibri" w:hAnsi="Calibri"/>
          <w:sz w:val="22"/>
          <w:szCs w:val="22"/>
        </w:rPr>
        <w:t xml:space="preserve"> export prices vary from the perspective of buyers of </w:t>
      </w:r>
      <w:smartTag w:uri="urn:schemas-microsoft-com:office:smarttags" w:element="place">
        <w:smartTag w:uri="urn:schemas-microsoft-com:office:smarttags" w:element="country-region">
          <w:r w:rsidRPr="00644CC0">
            <w:rPr>
              <w:rFonts w:ascii="Calibri" w:hAnsi="Calibri"/>
              <w:sz w:val="22"/>
              <w:szCs w:val="22"/>
            </w:rPr>
            <w:t>U.S.</w:t>
          </w:r>
        </w:smartTag>
      </w:smartTag>
      <w:r w:rsidRPr="00644CC0">
        <w:rPr>
          <w:rFonts w:ascii="Calibri" w:hAnsi="Calibri"/>
          <w:sz w:val="22"/>
          <w:szCs w:val="22"/>
        </w:rPr>
        <w:t xml:space="preserve"> </w:t>
      </w:r>
      <w:r>
        <w:rPr>
          <w:rFonts w:ascii="Calibri" w:hAnsi="Calibri"/>
          <w:sz w:val="22"/>
          <w:szCs w:val="22"/>
        </w:rPr>
        <w:t>goods</w:t>
      </w:r>
      <w:r w:rsidRPr="00644CC0">
        <w:rPr>
          <w:rFonts w:ascii="Calibri" w:hAnsi="Calibri"/>
          <w:sz w:val="22"/>
          <w:szCs w:val="22"/>
        </w:rPr>
        <w:t xml:space="preserve">. </w:t>
      </w:r>
    </w:p>
    <w:p w:rsidR="00024B9F" w:rsidRPr="00AB6683" w:rsidRDefault="00024B9F" w:rsidP="00024B9F">
      <w:pPr>
        <w:rPr>
          <w:rFonts w:ascii="Microsoft Sans Serif" w:hAnsi="Microsoft Sans Serif" w:cs="Microsoft Sans Serif"/>
          <w:b/>
          <w:color w:val="000000"/>
          <w:sz w:val="20"/>
          <w:szCs w:val="20"/>
        </w:rPr>
      </w:pPr>
    </w:p>
    <w:p w:rsidR="00024B9F" w:rsidRPr="00AB6683" w:rsidRDefault="00024B9F" w:rsidP="00024B9F">
      <w:pPr>
        <w:rPr>
          <w:rFonts w:ascii="Microsoft Sans Serif" w:hAnsi="Microsoft Sans Serif" w:cs="Microsoft Sans Serif"/>
          <w:b/>
          <w:color w:val="000000"/>
          <w:sz w:val="20"/>
          <w:szCs w:val="20"/>
        </w:rPr>
      </w:pPr>
      <w:r w:rsidRPr="00AB6683">
        <w:rPr>
          <w:rFonts w:ascii="Microsoft Sans Serif" w:hAnsi="Microsoft Sans Serif" w:cs="Microsoft Sans Serif"/>
          <w:b/>
          <w:color w:val="000000"/>
          <w:sz w:val="20"/>
          <w:szCs w:val="20"/>
        </w:rPr>
        <w:t>3.</w:t>
      </w:r>
      <w:r w:rsidRPr="00AB6683">
        <w:rPr>
          <w:rFonts w:ascii="Microsoft Sans Serif" w:hAnsi="Microsoft Sans Serif" w:cs="Microsoft Sans Serif"/>
          <w:b/>
          <w:color w:val="000000"/>
          <w:sz w:val="20"/>
          <w:szCs w:val="20"/>
        </w:rPr>
        <w:tab/>
      </w:r>
      <w:r>
        <w:rPr>
          <w:rFonts w:ascii="Calibri" w:hAnsi="Calibri" w:cs="Microsoft Sans Serif"/>
          <w:b/>
          <w:color w:val="000000"/>
          <w:sz w:val="22"/>
          <w:szCs w:val="22"/>
        </w:rPr>
        <w:t>Use of Electronic Collection Methods</w:t>
      </w:r>
    </w:p>
    <w:p w:rsidR="00EA0AAD" w:rsidRDefault="00024B9F" w:rsidP="00024B9F">
      <w:pPr>
        <w:tabs>
          <w:tab w:val="left" w:pos="1080"/>
        </w:tabs>
        <w:autoSpaceDE w:val="0"/>
        <w:autoSpaceDN w:val="0"/>
        <w:adjustRightInd w:val="0"/>
        <w:rPr>
          <w:rFonts w:ascii="Calibri" w:hAnsi="Calibri" w:cs="Courier New"/>
          <w:sz w:val="22"/>
          <w:szCs w:val="22"/>
        </w:rPr>
      </w:pPr>
      <w:r w:rsidRPr="00644CC0">
        <w:rPr>
          <w:rFonts w:ascii="Calibri" w:hAnsi="Calibri" w:cs="Courier New"/>
          <w:sz w:val="22"/>
          <w:szCs w:val="22"/>
        </w:rPr>
        <w:t xml:space="preserve">Historically, the primary interaction between the Bureau and the </w:t>
      </w:r>
      <w:r>
        <w:rPr>
          <w:rFonts w:ascii="Calibri" w:hAnsi="Calibri" w:cs="Courier New"/>
          <w:sz w:val="22"/>
          <w:szCs w:val="22"/>
        </w:rPr>
        <w:t>respondent</w:t>
      </w:r>
      <w:r w:rsidRPr="00644CC0">
        <w:rPr>
          <w:rFonts w:ascii="Calibri" w:hAnsi="Calibri" w:cs="Courier New"/>
          <w:sz w:val="22"/>
          <w:szCs w:val="22"/>
        </w:rPr>
        <w:t>s is through the re</w:t>
      </w:r>
      <w:r>
        <w:rPr>
          <w:rFonts w:ascii="Calibri" w:hAnsi="Calibri" w:cs="Courier New"/>
          <w:sz w:val="22"/>
          <w:szCs w:val="22"/>
        </w:rPr>
        <w:t>pricing form</w:t>
      </w:r>
      <w:r w:rsidR="00EA0AAD">
        <w:rPr>
          <w:rFonts w:ascii="Calibri" w:hAnsi="Calibri" w:cs="Courier New"/>
          <w:sz w:val="22"/>
          <w:szCs w:val="22"/>
        </w:rPr>
        <w:t>:</w:t>
      </w:r>
      <w:r>
        <w:rPr>
          <w:rFonts w:ascii="Calibri" w:hAnsi="Calibri" w:cs="Courier New"/>
          <w:sz w:val="22"/>
          <w:szCs w:val="22"/>
        </w:rPr>
        <w:t xml:space="preserve">  </w:t>
      </w:r>
    </w:p>
    <w:p w:rsidR="00EA0AAD" w:rsidRDefault="005F174B" w:rsidP="00024B9F">
      <w:pPr>
        <w:tabs>
          <w:tab w:val="left" w:pos="1080"/>
        </w:tabs>
        <w:autoSpaceDE w:val="0"/>
        <w:autoSpaceDN w:val="0"/>
        <w:adjustRightInd w:val="0"/>
        <w:rPr>
          <w:rFonts w:ascii="Calibri" w:hAnsi="Calibri" w:cs="Courier New"/>
          <w:sz w:val="22"/>
          <w:szCs w:val="22"/>
        </w:rPr>
      </w:pPr>
      <w:r>
        <w:rPr>
          <w:rFonts w:ascii="Calibri" w:hAnsi="Calibri" w:cs="Courier New"/>
          <w:sz w:val="22"/>
          <w:szCs w:val="22"/>
        </w:rPr>
        <w:t xml:space="preserve">             </w:t>
      </w:r>
      <w:r w:rsidR="00024B9F">
        <w:rPr>
          <w:rFonts w:ascii="Calibri" w:hAnsi="Calibri" w:cs="Courier New"/>
          <w:sz w:val="22"/>
          <w:szCs w:val="22"/>
        </w:rPr>
        <w:t>Attachment 7A</w:t>
      </w:r>
      <w:r w:rsidR="00EA0AAD">
        <w:rPr>
          <w:rFonts w:ascii="Calibri" w:hAnsi="Calibri" w:cs="Courier New"/>
          <w:sz w:val="22"/>
          <w:szCs w:val="22"/>
        </w:rPr>
        <w:t>:</w:t>
      </w:r>
      <w:r w:rsidR="00024B9F">
        <w:rPr>
          <w:rFonts w:ascii="Calibri" w:hAnsi="Calibri" w:cs="Courier New"/>
          <w:sz w:val="22"/>
          <w:szCs w:val="22"/>
        </w:rPr>
        <w:t xml:space="preserve"> </w:t>
      </w:r>
      <w:r w:rsidR="001F799B">
        <w:rPr>
          <w:rFonts w:ascii="Calibri" w:hAnsi="Calibri" w:cs="Courier New"/>
          <w:sz w:val="22"/>
          <w:szCs w:val="22"/>
        </w:rPr>
        <w:t xml:space="preserve"> </w:t>
      </w:r>
      <w:r w:rsidR="00024B9F">
        <w:rPr>
          <w:rFonts w:ascii="Calibri" w:hAnsi="Calibri" w:cs="Courier New"/>
          <w:sz w:val="22"/>
          <w:szCs w:val="22"/>
        </w:rPr>
        <w:t xml:space="preserve">a sample repricing form for exports </w:t>
      </w:r>
    </w:p>
    <w:p w:rsidR="00EA0AAD" w:rsidRDefault="005F174B" w:rsidP="00024B9F">
      <w:pPr>
        <w:tabs>
          <w:tab w:val="left" w:pos="1080"/>
        </w:tabs>
        <w:autoSpaceDE w:val="0"/>
        <w:autoSpaceDN w:val="0"/>
        <w:adjustRightInd w:val="0"/>
        <w:rPr>
          <w:rFonts w:ascii="Calibri" w:hAnsi="Calibri" w:cs="Courier New"/>
          <w:sz w:val="22"/>
          <w:szCs w:val="22"/>
        </w:rPr>
      </w:pPr>
      <w:r>
        <w:rPr>
          <w:rFonts w:ascii="Calibri" w:hAnsi="Calibri" w:cs="Courier New"/>
          <w:sz w:val="22"/>
          <w:szCs w:val="22"/>
        </w:rPr>
        <w:t xml:space="preserve">             </w:t>
      </w:r>
      <w:r w:rsidR="00024B9F">
        <w:rPr>
          <w:rFonts w:ascii="Calibri" w:hAnsi="Calibri" w:cs="Courier New"/>
          <w:sz w:val="22"/>
          <w:szCs w:val="22"/>
        </w:rPr>
        <w:t>Attachment 7B</w:t>
      </w:r>
      <w:r w:rsidR="00EA0AAD">
        <w:rPr>
          <w:rFonts w:ascii="Calibri" w:hAnsi="Calibri" w:cs="Courier New"/>
          <w:sz w:val="22"/>
          <w:szCs w:val="22"/>
        </w:rPr>
        <w:t>:</w:t>
      </w:r>
      <w:r w:rsidR="00024B9F">
        <w:rPr>
          <w:rFonts w:ascii="Calibri" w:hAnsi="Calibri" w:cs="Courier New"/>
          <w:sz w:val="22"/>
          <w:szCs w:val="22"/>
        </w:rPr>
        <w:t xml:space="preserve"> </w:t>
      </w:r>
      <w:r w:rsidR="001F799B">
        <w:rPr>
          <w:rFonts w:ascii="Calibri" w:hAnsi="Calibri" w:cs="Courier New"/>
          <w:sz w:val="22"/>
          <w:szCs w:val="22"/>
        </w:rPr>
        <w:t xml:space="preserve"> </w:t>
      </w:r>
      <w:r w:rsidR="00024B9F">
        <w:rPr>
          <w:rFonts w:ascii="Calibri" w:hAnsi="Calibri" w:cs="Courier New"/>
          <w:sz w:val="22"/>
          <w:szCs w:val="22"/>
        </w:rPr>
        <w:t xml:space="preserve">a sample repricing form for imports.  </w:t>
      </w:r>
    </w:p>
    <w:p w:rsidR="00EA0AAD" w:rsidRDefault="005F174B" w:rsidP="00024B9F">
      <w:pPr>
        <w:tabs>
          <w:tab w:val="left" w:pos="1080"/>
        </w:tabs>
        <w:autoSpaceDE w:val="0"/>
        <w:autoSpaceDN w:val="0"/>
        <w:adjustRightInd w:val="0"/>
        <w:rPr>
          <w:rFonts w:ascii="Calibri" w:hAnsi="Calibri" w:cs="Courier New"/>
          <w:sz w:val="22"/>
          <w:szCs w:val="22"/>
        </w:rPr>
      </w:pPr>
      <w:r>
        <w:rPr>
          <w:rFonts w:ascii="Calibri" w:hAnsi="Calibri" w:cs="Courier New"/>
          <w:sz w:val="22"/>
          <w:szCs w:val="22"/>
        </w:rPr>
        <w:t xml:space="preserve">             </w:t>
      </w:r>
      <w:r w:rsidR="00024B9F">
        <w:rPr>
          <w:rFonts w:ascii="Calibri" w:hAnsi="Calibri" w:cs="Courier New"/>
          <w:sz w:val="22"/>
          <w:szCs w:val="22"/>
        </w:rPr>
        <w:t>Attachment 7C</w:t>
      </w:r>
      <w:r w:rsidR="00EA0AAD">
        <w:rPr>
          <w:rFonts w:ascii="Calibri" w:hAnsi="Calibri" w:cs="Courier New"/>
          <w:sz w:val="22"/>
          <w:szCs w:val="22"/>
        </w:rPr>
        <w:t>:</w:t>
      </w:r>
      <w:r w:rsidR="00024B9F">
        <w:rPr>
          <w:rFonts w:ascii="Calibri" w:hAnsi="Calibri" w:cs="Courier New"/>
          <w:sz w:val="22"/>
          <w:szCs w:val="22"/>
        </w:rPr>
        <w:t xml:space="preserve"> </w:t>
      </w:r>
      <w:r w:rsidR="001F799B">
        <w:rPr>
          <w:rFonts w:ascii="Calibri" w:hAnsi="Calibri" w:cs="Courier New"/>
          <w:sz w:val="22"/>
          <w:szCs w:val="22"/>
        </w:rPr>
        <w:t xml:space="preserve"> </w:t>
      </w:r>
      <w:r w:rsidR="00024B9F">
        <w:rPr>
          <w:rFonts w:ascii="Calibri" w:hAnsi="Calibri" w:cs="Courier New"/>
          <w:sz w:val="22"/>
          <w:szCs w:val="22"/>
        </w:rPr>
        <w:t xml:space="preserve">the mail insert included with all repricing forms mailed to respondents.  </w:t>
      </w:r>
    </w:p>
    <w:p w:rsidR="00EA0AAD" w:rsidRDefault="005F174B" w:rsidP="00024B9F">
      <w:pPr>
        <w:tabs>
          <w:tab w:val="left" w:pos="1080"/>
        </w:tabs>
        <w:autoSpaceDE w:val="0"/>
        <w:autoSpaceDN w:val="0"/>
        <w:adjustRightInd w:val="0"/>
        <w:rPr>
          <w:rFonts w:ascii="Calibri" w:hAnsi="Calibri" w:cs="Courier New"/>
          <w:sz w:val="22"/>
          <w:szCs w:val="22"/>
        </w:rPr>
      </w:pPr>
      <w:r>
        <w:rPr>
          <w:rFonts w:ascii="Calibri" w:hAnsi="Calibri" w:cs="Courier New"/>
          <w:sz w:val="22"/>
          <w:szCs w:val="22"/>
        </w:rPr>
        <w:t xml:space="preserve">             </w:t>
      </w:r>
      <w:r w:rsidR="00024B9F">
        <w:rPr>
          <w:rFonts w:ascii="Calibri" w:hAnsi="Calibri" w:cs="Courier New"/>
          <w:sz w:val="22"/>
          <w:szCs w:val="22"/>
        </w:rPr>
        <w:t>Attachment 7D</w:t>
      </w:r>
      <w:r w:rsidR="00EA0AAD">
        <w:rPr>
          <w:rFonts w:ascii="Calibri" w:hAnsi="Calibri" w:cs="Courier New"/>
          <w:sz w:val="22"/>
          <w:szCs w:val="22"/>
        </w:rPr>
        <w:t>:</w:t>
      </w:r>
      <w:r w:rsidR="00024B9F">
        <w:rPr>
          <w:rFonts w:ascii="Calibri" w:hAnsi="Calibri" w:cs="Courier New"/>
          <w:sz w:val="22"/>
          <w:szCs w:val="22"/>
        </w:rPr>
        <w:t xml:space="preserve"> </w:t>
      </w:r>
      <w:r w:rsidR="001F799B">
        <w:rPr>
          <w:rFonts w:ascii="Calibri" w:hAnsi="Calibri" w:cs="Courier New"/>
          <w:sz w:val="22"/>
          <w:szCs w:val="22"/>
        </w:rPr>
        <w:t xml:space="preserve"> </w:t>
      </w:r>
      <w:r w:rsidR="00024B9F">
        <w:rPr>
          <w:rFonts w:ascii="Calibri" w:hAnsi="Calibri" w:cs="Courier New"/>
          <w:sz w:val="22"/>
          <w:szCs w:val="22"/>
        </w:rPr>
        <w:t>the ‘reminder to reprice’ delivered to respondents via e</w:t>
      </w:r>
      <w:r w:rsidR="00424E98">
        <w:rPr>
          <w:rFonts w:ascii="Calibri" w:hAnsi="Calibri" w:cs="Courier New"/>
          <w:sz w:val="22"/>
          <w:szCs w:val="22"/>
        </w:rPr>
        <w:t>-</w:t>
      </w:r>
      <w:r w:rsidR="00024B9F">
        <w:rPr>
          <w:rFonts w:ascii="Calibri" w:hAnsi="Calibri" w:cs="Courier New"/>
          <w:sz w:val="22"/>
          <w:szCs w:val="22"/>
        </w:rPr>
        <w:t>mail</w:t>
      </w:r>
      <w:r>
        <w:rPr>
          <w:rFonts w:ascii="Calibri" w:hAnsi="Calibri" w:cs="Courier New"/>
          <w:sz w:val="22"/>
          <w:szCs w:val="22"/>
        </w:rPr>
        <w:t>.</w:t>
      </w:r>
      <w:r w:rsidR="00EA0AAD">
        <w:rPr>
          <w:rFonts w:ascii="Calibri" w:hAnsi="Calibri" w:cs="Courier New"/>
          <w:sz w:val="22"/>
          <w:szCs w:val="22"/>
        </w:rPr>
        <w:t xml:space="preserve"> </w:t>
      </w:r>
      <w:r w:rsidR="00024B9F">
        <w:rPr>
          <w:rFonts w:ascii="Calibri" w:hAnsi="Calibri" w:cs="Courier New"/>
          <w:sz w:val="22"/>
          <w:szCs w:val="22"/>
        </w:rPr>
        <w:t xml:space="preserve"> </w:t>
      </w:r>
    </w:p>
    <w:p w:rsidR="00EA0AAD" w:rsidRDefault="005F174B" w:rsidP="00024B9F">
      <w:pPr>
        <w:tabs>
          <w:tab w:val="left" w:pos="1080"/>
        </w:tabs>
        <w:autoSpaceDE w:val="0"/>
        <w:autoSpaceDN w:val="0"/>
        <w:adjustRightInd w:val="0"/>
        <w:rPr>
          <w:rFonts w:ascii="Calibri" w:hAnsi="Calibri" w:cs="Courier New"/>
          <w:sz w:val="22"/>
          <w:szCs w:val="22"/>
        </w:rPr>
      </w:pPr>
      <w:r>
        <w:rPr>
          <w:rFonts w:ascii="Calibri" w:hAnsi="Calibri" w:cs="Courier New"/>
          <w:sz w:val="22"/>
          <w:szCs w:val="22"/>
        </w:rPr>
        <w:t xml:space="preserve">             Attachment </w:t>
      </w:r>
      <w:r w:rsidR="00024B9F">
        <w:rPr>
          <w:rFonts w:ascii="Calibri" w:hAnsi="Calibri" w:cs="Courier New"/>
          <w:sz w:val="22"/>
          <w:szCs w:val="22"/>
        </w:rPr>
        <w:t>7E</w:t>
      </w:r>
      <w:r w:rsidR="00EA0AAD">
        <w:rPr>
          <w:rFonts w:ascii="Calibri" w:hAnsi="Calibri" w:cs="Courier New"/>
          <w:sz w:val="22"/>
          <w:szCs w:val="22"/>
        </w:rPr>
        <w:t>:</w:t>
      </w:r>
      <w:r w:rsidR="00024B9F">
        <w:rPr>
          <w:rFonts w:ascii="Calibri" w:hAnsi="Calibri" w:cs="Courier New"/>
          <w:sz w:val="22"/>
          <w:szCs w:val="22"/>
        </w:rPr>
        <w:t xml:space="preserve"> </w:t>
      </w:r>
      <w:r w:rsidR="001F799B">
        <w:rPr>
          <w:rFonts w:ascii="Calibri" w:hAnsi="Calibri" w:cs="Courier New"/>
          <w:sz w:val="22"/>
          <w:szCs w:val="22"/>
        </w:rPr>
        <w:t xml:space="preserve"> </w:t>
      </w:r>
      <w:r w:rsidR="00024B9F">
        <w:rPr>
          <w:rFonts w:ascii="Calibri" w:hAnsi="Calibri" w:cs="Courier New"/>
          <w:sz w:val="22"/>
          <w:szCs w:val="22"/>
        </w:rPr>
        <w:t xml:space="preserve">a ‘thank-you’ </w:t>
      </w:r>
      <w:r w:rsidR="00424E98">
        <w:rPr>
          <w:rFonts w:ascii="Calibri" w:hAnsi="Calibri" w:cs="Courier New"/>
          <w:sz w:val="22"/>
          <w:szCs w:val="22"/>
        </w:rPr>
        <w:t>e-mail</w:t>
      </w:r>
      <w:r w:rsidR="00024B9F">
        <w:rPr>
          <w:rFonts w:ascii="Calibri" w:hAnsi="Calibri" w:cs="Courier New"/>
          <w:sz w:val="22"/>
          <w:szCs w:val="22"/>
        </w:rPr>
        <w:t xml:space="preserve"> sent to respondents each year.  </w:t>
      </w:r>
    </w:p>
    <w:p w:rsidR="005F174B" w:rsidRDefault="00024B9F" w:rsidP="00024B9F">
      <w:pPr>
        <w:tabs>
          <w:tab w:val="left" w:pos="1080"/>
        </w:tabs>
        <w:autoSpaceDE w:val="0"/>
        <w:autoSpaceDN w:val="0"/>
        <w:adjustRightInd w:val="0"/>
        <w:rPr>
          <w:rFonts w:ascii="Calibri" w:hAnsi="Calibri" w:cs="Courier New"/>
          <w:sz w:val="22"/>
          <w:szCs w:val="22"/>
        </w:rPr>
      </w:pPr>
      <w:r>
        <w:rPr>
          <w:rFonts w:ascii="Calibri" w:hAnsi="Calibri" w:cs="Courier New"/>
          <w:sz w:val="22"/>
          <w:szCs w:val="22"/>
        </w:rPr>
        <w:t>Attachment</w:t>
      </w:r>
      <w:r w:rsidR="005F174B">
        <w:rPr>
          <w:rFonts w:ascii="Calibri" w:hAnsi="Calibri" w:cs="Courier New"/>
          <w:sz w:val="22"/>
          <w:szCs w:val="22"/>
        </w:rPr>
        <w:t>s</w:t>
      </w:r>
      <w:r>
        <w:rPr>
          <w:rFonts w:ascii="Calibri" w:hAnsi="Calibri" w:cs="Courier New"/>
          <w:sz w:val="22"/>
          <w:szCs w:val="22"/>
        </w:rPr>
        <w:t xml:space="preserve"> 10A/10B</w:t>
      </w:r>
      <w:r w:rsidR="00EA0AAD">
        <w:rPr>
          <w:rFonts w:ascii="Calibri" w:hAnsi="Calibri" w:cs="Courier New"/>
          <w:sz w:val="22"/>
          <w:szCs w:val="22"/>
        </w:rPr>
        <w:t>:</w:t>
      </w:r>
      <w:r>
        <w:rPr>
          <w:rFonts w:ascii="Calibri" w:hAnsi="Calibri" w:cs="Courier New"/>
          <w:sz w:val="22"/>
          <w:szCs w:val="22"/>
        </w:rPr>
        <w:t xml:space="preserve"> </w:t>
      </w:r>
      <w:r w:rsidR="001F799B">
        <w:rPr>
          <w:rFonts w:ascii="Calibri" w:hAnsi="Calibri" w:cs="Courier New"/>
          <w:sz w:val="22"/>
          <w:szCs w:val="22"/>
        </w:rPr>
        <w:t xml:space="preserve"> </w:t>
      </w:r>
      <w:r>
        <w:rPr>
          <w:rFonts w:ascii="Calibri" w:hAnsi="Calibri" w:cs="Courier New"/>
          <w:sz w:val="22"/>
          <w:szCs w:val="22"/>
        </w:rPr>
        <w:t>the letter delivered to respondents when their items are scheduled to be phased</w:t>
      </w:r>
    </w:p>
    <w:p w:rsidR="00EA0AAD" w:rsidRDefault="00024B9F" w:rsidP="00024B9F">
      <w:pPr>
        <w:tabs>
          <w:tab w:val="left" w:pos="1080"/>
        </w:tabs>
        <w:autoSpaceDE w:val="0"/>
        <w:autoSpaceDN w:val="0"/>
        <w:adjustRightInd w:val="0"/>
        <w:rPr>
          <w:rFonts w:ascii="Calibri" w:hAnsi="Calibri" w:cs="Courier New"/>
          <w:sz w:val="22"/>
          <w:szCs w:val="22"/>
        </w:rPr>
      </w:pPr>
      <w:r>
        <w:rPr>
          <w:rFonts w:ascii="Calibri" w:hAnsi="Calibri" w:cs="Courier New"/>
          <w:sz w:val="22"/>
          <w:szCs w:val="22"/>
        </w:rPr>
        <w:t xml:space="preserve"> </w:t>
      </w:r>
      <w:r w:rsidR="005F174B">
        <w:rPr>
          <w:rFonts w:ascii="Calibri" w:hAnsi="Calibri" w:cs="Courier New"/>
          <w:sz w:val="22"/>
          <w:szCs w:val="22"/>
        </w:rPr>
        <w:t xml:space="preserve">                                         </w:t>
      </w:r>
      <w:r w:rsidR="001F799B">
        <w:rPr>
          <w:rFonts w:ascii="Calibri" w:hAnsi="Calibri" w:cs="Courier New"/>
          <w:sz w:val="22"/>
          <w:szCs w:val="22"/>
        </w:rPr>
        <w:t xml:space="preserve"> </w:t>
      </w:r>
      <w:r>
        <w:rPr>
          <w:rFonts w:ascii="Calibri" w:hAnsi="Calibri" w:cs="Courier New"/>
          <w:sz w:val="22"/>
          <w:szCs w:val="22"/>
        </w:rPr>
        <w:t xml:space="preserve">out of the IPP survey.  </w:t>
      </w:r>
    </w:p>
    <w:p w:rsidR="001F799B" w:rsidRDefault="00024B9F" w:rsidP="00024B9F">
      <w:pPr>
        <w:tabs>
          <w:tab w:val="left" w:pos="1080"/>
        </w:tabs>
        <w:autoSpaceDE w:val="0"/>
        <w:autoSpaceDN w:val="0"/>
        <w:adjustRightInd w:val="0"/>
        <w:rPr>
          <w:rFonts w:ascii="Calibri" w:hAnsi="Calibri" w:cs="Courier New"/>
          <w:sz w:val="22"/>
          <w:szCs w:val="22"/>
        </w:rPr>
      </w:pPr>
      <w:r>
        <w:rPr>
          <w:rFonts w:ascii="Calibri" w:hAnsi="Calibri" w:cs="Courier New"/>
          <w:sz w:val="22"/>
          <w:szCs w:val="22"/>
        </w:rPr>
        <w:t>Attachments 11A-11C</w:t>
      </w:r>
      <w:r w:rsidR="00EA0AAD">
        <w:rPr>
          <w:rFonts w:ascii="Calibri" w:hAnsi="Calibri" w:cs="Courier New"/>
          <w:sz w:val="22"/>
          <w:szCs w:val="22"/>
        </w:rPr>
        <w:t>:</w:t>
      </w:r>
      <w:r>
        <w:rPr>
          <w:rFonts w:ascii="Calibri" w:hAnsi="Calibri" w:cs="Courier New"/>
          <w:sz w:val="22"/>
          <w:szCs w:val="22"/>
        </w:rPr>
        <w:t xml:space="preserve"> </w:t>
      </w:r>
      <w:r w:rsidR="001F799B">
        <w:rPr>
          <w:rFonts w:ascii="Calibri" w:hAnsi="Calibri" w:cs="Courier New"/>
          <w:sz w:val="22"/>
          <w:szCs w:val="22"/>
        </w:rPr>
        <w:t xml:space="preserve"> </w:t>
      </w:r>
      <w:r>
        <w:rPr>
          <w:rFonts w:ascii="Calibri" w:hAnsi="Calibri" w:cs="Courier New"/>
          <w:sz w:val="22"/>
          <w:szCs w:val="22"/>
        </w:rPr>
        <w:t>brochures detailing how to complete the repricing form</w:t>
      </w:r>
      <w:r w:rsidR="005F174B">
        <w:rPr>
          <w:rFonts w:ascii="Calibri" w:hAnsi="Calibri" w:cs="Courier New"/>
          <w:sz w:val="22"/>
          <w:szCs w:val="22"/>
        </w:rPr>
        <w:t xml:space="preserve">, which </w:t>
      </w:r>
      <w:r>
        <w:rPr>
          <w:rFonts w:ascii="Calibri" w:hAnsi="Calibri" w:cs="Courier New"/>
          <w:sz w:val="22"/>
          <w:szCs w:val="22"/>
        </w:rPr>
        <w:t>are included</w:t>
      </w:r>
    </w:p>
    <w:p w:rsidR="001F799B" w:rsidRDefault="00024B9F" w:rsidP="00024B9F">
      <w:pPr>
        <w:tabs>
          <w:tab w:val="left" w:pos="1080"/>
        </w:tabs>
        <w:autoSpaceDE w:val="0"/>
        <w:autoSpaceDN w:val="0"/>
        <w:adjustRightInd w:val="0"/>
        <w:rPr>
          <w:rFonts w:ascii="Calibri" w:hAnsi="Calibri" w:cs="Courier New"/>
          <w:sz w:val="22"/>
          <w:szCs w:val="22"/>
        </w:rPr>
      </w:pPr>
      <w:r>
        <w:rPr>
          <w:rFonts w:ascii="Calibri" w:hAnsi="Calibri" w:cs="Courier New"/>
          <w:sz w:val="22"/>
          <w:szCs w:val="22"/>
        </w:rPr>
        <w:t xml:space="preserve"> </w:t>
      </w:r>
      <w:r w:rsidR="001F799B">
        <w:rPr>
          <w:rFonts w:ascii="Calibri" w:hAnsi="Calibri" w:cs="Courier New"/>
          <w:sz w:val="22"/>
          <w:szCs w:val="22"/>
        </w:rPr>
        <w:t xml:space="preserve">                                          w</w:t>
      </w:r>
      <w:r>
        <w:rPr>
          <w:rFonts w:ascii="Calibri" w:hAnsi="Calibri" w:cs="Courier New"/>
          <w:sz w:val="22"/>
          <w:szCs w:val="22"/>
        </w:rPr>
        <w:t>ith</w:t>
      </w:r>
      <w:r w:rsidR="001F799B">
        <w:rPr>
          <w:rFonts w:ascii="Calibri" w:hAnsi="Calibri" w:cs="Courier New"/>
          <w:sz w:val="22"/>
          <w:szCs w:val="22"/>
        </w:rPr>
        <w:t xml:space="preserve"> </w:t>
      </w:r>
      <w:r>
        <w:rPr>
          <w:rFonts w:ascii="Calibri" w:hAnsi="Calibri" w:cs="Courier New"/>
          <w:sz w:val="22"/>
          <w:szCs w:val="22"/>
        </w:rPr>
        <w:t>mailed repricing forms</w:t>
      </w:r>
      <w:r w:rsidR="001F799B">
        <w:rPr>
          <w:rFonts w:ascii="Calibri" w:hAnsi="Calibri" w:cs="Courier New"/>
          <w:sz w:val="22"/>
          <w:szCs w:val="22"/>
        </w:rPr>
        <w:t xml:space="preserve">. </w:t>
      </w:r>
      <w:r w:rsidRPr="00644CC0">
        <w:rPr>
          <w:rFonts w:ascii="Calibri" w:hAnsi="Calibri" w:cs="Courier New"/>
          <w:sz w:val="22"/>
          <w:szCs w:val="22"/>
        </w:rPr>
        <w:t xml:space="preserve"> Prior to the anthrax problems, which curtailed the</w:t>
      </w:r>
    </w:p>
    <w:p w:rsidR="001F799B" w:rsidRDefault="00024B9F" w:rsidP="00024B9F">
      <w:pPr>
        <w:tabs>
          <w:tab w:val="left" w:pos="1080"/>
        </w:tabs>
        <w:autoSpaceDE w:val="0"/>
        <w:autoSpaceDN w:val="0"/>
        <w:adjustRightInd w:val="0"/>
        <w:rPr>
          <w:rFonts w:ascii="Calibri" w:hAnsi="Calibri" w:cs="Courier New"/>
          <w:sz w:val="22"/>
          <w:szCs w:val="22"/>
        </w:rPr>
      </w:pPr>
      <w:r w:rsidRPr="00644CC0">
        <w:rPr>
          <w:rFonts w:ascii="Calibri" w:hAnsi="Calibri" w:cs="Courier New"/>
          <w:sz w:val="22"/>
          <w:szCs w:val="22"/>
        </w:rPr>
        <w:t xml:space="preserve"> </w:t>
      </w:r>
      <w:r w:rsidR="001F799B">
        <w:rPr>
          <w:rFonts w:ascii="Calibri" w:hAnsi="Calibri" w:cs="Courier New"/>
          <w:sz w:val="22"/>
          <w:szCs w:val="22"/>
        </w:rPr>
        <w:t xml:space="preserve">                                          </w:t>
      </w:r>
      <w:r w:rsidRPr="00644CC0">
        <w:rPr>
          <w:rFonts w:ascii="Calibri" w:hAnsi="Calibri" w:cs="Courier New"/>
          <w:sz w:val="22"/>
          <w:szCs w:val="22"/>
        </w:rPr>
        <w:t>mail</w:t>
      </w:r>
      <w:r w:rsidR="001F799B">
        <w:rPr>
          <w:rFonts w:ascii="Calibri" w:hAnsi="Calibri" w:cs="Courier New"/>
          <w:sz w:val="22"/>
          <w:szCs w:val="22"/>
        </w:rPr>
        <w:t xml:space="preserve"> </w:t>
      </w:r>
      <w:r w:rsidRPr="00644CC0">
        <w:rPr>
          <w:rFonts w:ascii="Calibri" w:hAnsi="Calibri" w:cs="Courier New"/>
          <w:sz w:val="22"/>
          <w:szCs w:val="22"/>
        </w:rPr>
        <w:t>service in October 2001, nearly all IPP repricing data were collected via the</w:t>
      </w:r>
    </w:p>
    <w:p w:rsidR="001F799B" w:rsidRDefault="00024B9F" w:rsidP="00024B9F">
      <w:pPr>
        <w:tabs>
          <w:tab w:val="left" w:pos="1080"/>
        </w:tabs>
        <w:autoSpaceDE w:val="0"/>
        <w:autoSpaceDN w:val="0"/>
        <w:adjustRightInd w:val="0"/>
        <w:rPr>
          <w:rFonts w:ascii="Calibri" w:hAnsi="Calibri" w:cs="Courier New"/>
          <w:sz w:val="22"/>
          <w:szCs w:val="22"/>
        </w:rPr>
      </w:pPr>
      <w:r w:rsidRPr="00644CC0">
        <w:rPr>
          <w:rFonts w:ascii="Calibri" w:hAnsi="Calibri" w:cs="Courier New"/>
          <w:sz w:val="22"/>
          <w:szCs w:val="22"/>
        </w:rPr>
        <w:t xml:space="preserve"> </w:t>
      </w:r>
      <w:r w:rsidR="001F799B">
        <w:rPr>
          <w:rFonts w:ascii="Calibri" w:hAnsi="Calibri" w:cs="Courier New"/>
          <w:sz w:val="22"/>
          <w:szCs w:val="22"/>
        </w:rPr>
        <w:t xml:space="preserve">                                          </w:t>
      </w:r>
      <w:r w:rsidRPr="00644CC0">
        <w:rPr>
          <w:rFonts w:ascii="Calibri" w:hAnsi="Calibri" w:cs="Courier New"/>
          <w:sz w:val="22"/>
          <w:szCs w:val="22"/>
        </w:rPr>
        <w:t>mail.</w:t>
      </w:r>
      <w:r w:rsidR="001F799B">
        <w:rPr>
          <w:rFonts w:ascii="Calibri" w:hAnsi="Calibri" w:cs="Courier New"/>
          <w:sz w:val="22"/>
          <w:szCs w:val="22"/>
        </w:rPr>
        <w:t xml:space="preserve"> </w:t>
      </w:r>
      <w:r w:rsidRPr="00644CC0">
        <w:rPr>
          <w:rFonts w:ascii="Calibri" w:hAnsi="Calibri" w:cs="Courier New"/>
          <w:sz w:val="22"/>
          <w:szCs w:val="22"/>
        </w:rPr>
        <w:t xml:space="preserve">Forms were mailed out to </w:t>
      </w:r>
      <w:r>
        <w:rPr>
          <w:rFonts w:ascii="Calibri" w:hAnsi="Calibri" w:cs="Courier New"/>
          <w:sz w:val="22"/>
          <w:szCs w:val="22"/>
        </w:rPr>
        <w:t>respondent</w:t>
      </w:r>
      <w:r w:rsidRPr="00644CC0">
        <w:rPr>
          <w:rFonts w:ascii="Calibri" w:hAnsi="Calibri" w:cs="Courier New"/>
          <w:sz w:val="22"/>
          <w:szCs w:val="22"/>
        </w:rPr>
        <w:t>s and they were returned in BLS-</w:t>
      </w:r>
    </w:p>
    <w:p w:rsidR="001F799B" w:rsidRDefault="001F799B" w:rsidP="00024B9F">
      <w:pPr>
        <w:tabs>
          <w:tab w:val="left" w:pos="1080"/>
        </w:tabs>
        <w:autoSpaceDE w:val="0"/>
        <w:autoSpaceDN w:val="0"/>
        <w:adjustRightInd w:val="0"/>
        <w:rPr>
          <w:rFonts w:ascii="Calibri" w:hAnsi="Calibri" w:cs="Courier New"/>
          <w:sz w:val="22"/>
          <w:szCs w:val="22"/>
        </w:rPr>
      </w:pPr>
      <w:r>
        <w:rPr>
          <w:rFonts w:ascii="Calibri" w:hAnsi="Calibri" w:cs="Courier New"/>
          <w:sz w:val="22"/>
          <w:szCs w:val="22"/>
        </w:rPr>
        <w:t xml:space="preserve">                                           </w:t>
      </w:r>
      <w:r w:rsidR="00024B9F" w:rsidRPr="00644CC0">
        <w:rPr>
          <w:rFonts w:ascii="Calibri" w:hAnsi="Calibri" w:cs="Courier New"/>
          <w:sz w:val="22"/>
          <w:szCs w:val="22"/>
        </w:rPr>
        <w:t>suppli</w:t>
      </w:r>
      <w:r>
        <w:rPr>
          <w:rFonts w:ascii="Calibri" w:hAnsi="Calibri" w:cs="Courier New"/>
          <w:sz w:val="22"/>
          <w:szCs w:val="22"/>
        </w:rPr>
        <w:t xml:space="preserve">ed </w:t>
      </w:r>
      <w:r w:rsidR="00024B9F" w:rsidRPr="00644CC0">
        <w:rPr>
          <w:rFonts w:ascii="Calibri" w:hAnsi="Calibri" w:cs="Courier New"/>
          <w:sz w:val="22"/>
          <w:szCs w:val="22"/>
        </w:rPr>
        <w:t>envelopes.  As a result of the curtailment of incoming mail, the</w:t>
      </w:r>
    </w:p>
    <w:p w:rsidR="001F799B" w:rsidRDefault="00024B9F" w:rsidP="00024B9F">
      <w:pPr>
        <w:tabs>
          <w:tab w:val="left" w:pos="1080"/>
        </w:tabs>
        <w:autoSpaceDE w:val="0"/>
        <w:autoSpaceDN w:val="0"/>
        <w:adjustRightInd w:val="0"/>
        <w:rPr>
          <w:rFonts w:ascii="Calibri" w:hAnsi="Calibri" w:cs="Courier New"/>
          <w:sz w:val="22"/>
          <w:szCs w:val="22"/>
        </w:rPr>
      </w:pPr>
      <w:r w:rsidRPr="00644CC0">
        <w:rPr>
          <w:rFonts w:ascii="Calibri" w:hAnsi="Calibri" w:cs="Courier New"/>
          <w:sz w:val="22"/>
          <w:szCs w:val="22"/>
        </w:rPr>
        <w:t xml:space="preserve"> </w:t>
      </w:r>
      <w:r w:rsidR="001F799B">
        <w:rPr>
          <w:rFonts w:ascii="Calibri" w:hAnsi="Calibri" w:cs="Courier New"/>
          <w:sz w:val="22"/>
          <w:szCs w:val="22"/>
        </w:rPr>
        <w:t xml:space="preserve">                                          </w:t>
      </w:r>
      <w:r w:rsidRPr="00644CC0">
        <w:rPr>
          <w:rFonts w:ascii="Calibri" w:hAnsi="Calibri" w:cs="Courier New"/>
          <w:sz w:val="22"/>
          <w:szCs w:val="22"/>
        </w:rPr>
        <w:t>progra</w:t>
      </w:r>
      <w:r w:rsidR="001F799B">
        <w:rPr>
          <w:rFonts w:ascii="Calibri" w:hAnsi="Calibri" w:cs="Courier New"/>
          <w:sz w:val="22"/>
          <w:szCs w:val="22"/>
        </w:rPr>
        <w:t xml:space="preserve">m </w:t>
      </w:r>
      <w:r w:rsidRPr="005F174B">
        <w:rPr>
          <w:rFonts w:ascii="Calibri" w:hAnsi="Calibri" w:cs="Courier New"/>
          <w:sz w:val="22"/>
          <w:szCs w:val="22"/>
        </w:rPr>
        <w:t xml:space="preserve">discontinued this method of data collection and switched </w:t>
      </w:r>
      <w:r w:rsidR="00CA73A3" w:rsidRPr="005F174B">
        <w:rPr>
          <w:rFonts w:ascii="Calibri" w:hAnsi="Calibri" w:cs="Courier New"/>
          <w:sz w:val="22"/>
          <w:szCs w:val="22"/>
        </w:rPr>
        <w:t>entirely</w:t>
      </w:r>
      <w:r w:rsidRPr="005F174B">
        <w:rPr>
          <w:rFonts w:ascii="Calibri" w:hAnsi="Calibri" w:cs="Courier New"/>
          <w:sz w:val="22"/>
          <w:szCs w:val="22"/>
        </w:rPr>
        <w:t xml:space="preserve"> to</w:t>
      </w:r>
    </w:p>
    <w:p w:rsidR="00024B9F" w:rsidRPr="00644CC0" w:rsidRDefault="00024B9F" w:rsidP="00024B9F">
      <w:pPr>
        <w:tabs>
          <w:tab w:val="left" w:pos="1080"/>
        </w:tabs>
        <w:autoSpaceDE w:val="0"/>
        <w:autoSpaceDN w:val="0"/>
        <w:adjustRightInd w:val="0"/>
        <w:rPr>
          <w:rFonts w:ascii="Calibri" w:hAnsi="Calibri" w:cs="Courier New"/>
          <w:sz w:val="22"/>
          <w:szCs w:val="22"/>
        </w:rPr>
      </w:pPr>
      <w:r w:rsidRPr="005F174B">
        <w:rPr>
          <w:rFonts w:ascii="Calibri" w:hAnsi="Calibri" w:cs="Courier New"/>
          <w:sz w:val="22"/>
          <w:szCs w:val="22"/>
        </w:rPr>
        <w:t xml:space="preserve"> </w:t>
      </w:r>
      <w:r w:rsidR="001F799B">
        <w:rPr>
          <w:rFonts w:ascii="Calibri" w:hAnsi="Calibri" w:cs="Courier New"/>
          <w:sz w:val="22"/>
          <w:szCs w:val="22"/>
        </w:rPr>
        <w:t xml:space="preserve">                                          </w:t>
      </w:r>
      <w:r w:rsidRPr="005F174B">
        <w:rPr>
          <w:rFonts w:ascii="Calibri" w:hAnsi="Calibri" w:cs="Courier New"/>
          <w:sz w:val="22"/>
          <w:szCs w:val="22"/>
        </w:rPr>
        <w:t>mailout/fax</w:t>
      </w:r>
      <w:r w:rsidR="001F799B">
        <w:rPr>
          <w:rFonts w:ascii="Calibri" w:hAnsi="Calibri" w:cs="Courier New"/>
          <w:sz w:val="22"/>
          <w:szCs w:val="22"/>
        </w:rPr>
        <w:t>-</w:t>
      </w:r>
      <w:r w:rsidRPr="005F174B">
        <w:rPr>
          <w:rFonts w:ascii="Calibri" w:hAnsi="Calibri" w:cs="Courier New"/>
          <w:sz w:val="22"/>
          <w:szCs w:val="22"/>
        </w:rPr>
        <w:t xml:space="preserve">back of </w:t>
      </w:r>
      <w:r w:rsidR="00CA73A3" w:rsidRPr="005F174B">
        <w:rPr>
          <w:rFonts w:ascii="Calibri" w:hAnsi="Calibri" w:cs="Courier New"/>
          <w:sz w:val="22"/>
          <w:szCs w:val="22"/>
        </w:rPr>
        <w:t>nearly</w:t>
      </w:r>
      <w:r w:rsidRPr="00644CC0">
        <w:rPr>
          <w:rFonts w:ascii="Calibri" w:hAnsi="Calibri" w:cs="Courier New"/>
          <w:sz w:val="22"/>
          <w:szCs w:val="22"/>
        </w:rPr>
        <w:t xml:space="preserve"> all forms.</w:t>
      </w:r>
    </w:p>
    <w:p w:rsidR="00024B9F" w:rsidRPr="00644CC0" w:rsidRDefault="00024B9F" w:rsidP="00024B9F">
      <w:pPr>
        <w:autoSpaceDE w:val="0"/>
        <w:autoSpaceDN w:val="0"/>
        <w:adjustRightInd w:val="0"/>
        <w:rPr>
          <w:rFonts w:ascii="Calibri" w:hAnsi="Calibri" w:cs="Courier New"/>
          <w:sz w:val="22"/>
          <w:szCs w:val="22"/>
        </w:rPr>
      </w:pPr>
    </w:p>
    <w:p w:rsidR="00024B9F" w:rsidRPr="00644CC0" w:rsidRDefault="00024B9F" w:rsidP="00024B9F">
      <w:pPr>
        <w:autoSpaceDE w:val="0"/>
        <w:autoSpaceDN w:val="0"/>
        <w:adjustRightInd w:val="0"/>
        <w:rPr>
          <w:rFonts w:ascii="Calibri" w:hAnsi="Calibri" w:cs="Courier New"/>
          <w:sz w:val="22"/>
          <w:szCs w:val="22"/>
        </w:rPr>
      </w:pPr>
      <w:r w:rsidRPr="00644CC0">
        <w:rPr>
          <w:rFonts w:ascii="Calibri" w:hAnsi="Calibri" w:cs="Courier New"/>
          <w:sz w:val="22"/>
          <w:szCs w:val="22"/>
        </w:rPr>
        <w:t>In 2003, IPP introduced a web application for monthly data collection</w:t>
      </w:r>
      <w:r>
        <w:rPr>
          <w:rFonts w:ascii="Calibri" w:hAnsi="Calibri" w:cs="Courier New"/>
          <w:sz w:val="22"/>
          <w:szCs w:val="22"/>
        </w:rPr>
        <w:t xml:space="preserve">.  (Attachments 8A-8D contain instructions and temporary account/password </w:t>
      </w:r>
      <w:r w:rsidR="00424E98">
        <w:rPr>
          <w:rFonts w:ascii="Calibri" w:hAnsi="Calibri" w:cs="Courier New"/>
          <w:sz w:val="22"/>
          <w:szCs w:val="22"/>
        </w:rPr>
        <w:t>e-mail</w:t>
      </w:r>
      <w:r>
        <w:rPr>
          <w:rFonts w:ascii="Calibri" w:hAnsi="Calibri" w:cs="Courier New"/>
          <w:sz w:val="22"/>
          <w:szCs w:val="22"/>
        </w:rPr>
        <w:t xml:space="preserve">s for providing prices via the web.  Attachment 8E is the ‘time to reprice’ </w:t>
      </w:r>
      <w:r w:rsidR="00424E98">
        <w:rPr>
          <w:rFonts w:ascii="Calibri" w:hAnsi="Calibri" w:cs="Courier New"/>
          <w:sz w:val="22"/>
          <w:szCs w:val="22"/>
        </w:rPr>
        <w:t>e-mail</w:t>
      </w:r>
      <w:r>
        <w:rPr>
          <w:rFonts w:ascii="Calibri" w:hAnsi="Calibri" w:cs="Courier New"/>
          <w:sz w:val="22"/>
          <w:szCs w:val="22"/>
        </w:rPr>
        <w:t xml:space="preserve"> sent to web respondents and Attachment 8F is the reminder </w:t>
      </w:r>
      <w:r w:rsidR="00424E98">
        <w:rPr>
          <w:rFonts w:ascii="Calibri" w:hAnsi="Calibri" w:cs="Courier New"/>
          <w:sz w:val="22"/>
          <w:szCs w:val="22"/>
        </w:rPr>
        <w:t>e-mail</w:t>
      </w:r>
      <w:r>
        <w:rPr>
          <w:rFonts w:ascii="Calibri" w:hAnsi="Calibri" w:cs="Courier New"/>
          <w:sz w:val="22"/>
          <w:szCs w:val="22"/>
        </w:rPr>
        <w:t xml:space="preserve"> for web respondents who have not yet provided data.  Attachments 8G-8K show screen shots of the web application.)  </w:t>
      </w:r>
      <w:r w:rsidRPr="00644CC0">
        <w:rPr>
          <w:rFonts w:ascii="Calibri" w:hAnsi="Calibri" w:cs="Courier New"/>
          <w:sz w:val="22"/>
          <w:szCs w:val="22"/>
        </w:rPr>
        <w:t xml:space="preserve">This tool permits </w:t>
      </w:r>
      <w:r>
        <w:rPr>
          <w:rFonts w:ascii="Calibri" w:hAnsi="Calibri" w:cs="Courier New"/>
          <w:sz w:val="22"/>
          <w:szCs w:val="22"/>
        </w:rPr>
        <w:t>respondent</w:t>
      </w:r>
      <w:r w:rsidRPr="00644CC0">
        <w:rPr>
          <w:rFonts w:ascii="Calibri" w:hAnsi="Calibri" w:cs="Courier New"/>
          <w:sz w:val="22"/>
          <w:szCs w:val="22"/>
        </w:rPr>
        <w:t>s to directly update their data online via the internet</w:t>
      </w:r>
      <w:r>
        <w:rPr>
          <w:rFonts w:ascii="Calibri" w:hAnsi="Calibri" w:cs="Courier New"/>
          <w:sz w:val="22"/>
          <w:szCs w:val="22"/>
        </w:rPr>
        <w:t xml:space="preserve">.  </w:t>
      </w:r>
      <w:r w:rsidRPr="00644CC0">
        <w:rPr>
          <w:rFonts w:ascii="Calibri" w:hAnsi="Calibri" w:cs="Courier New"/>
          <w:sz w:val="22"/>
          <w:szCs w:val="22"/>
        </w:rPr>
        <w:t>Web collection has expanded rapidly since the IPP started soli</w:t>
      </w:r>
      <w:r w:rsidRPr="00A64EED">
        <w:rPr>
          <w:rFonts w:ascii="Calibri" w:hAnsi="Calibri" w:cs="Courier New"/>
          <w:sz w:val="22"/>
          <w:szCs w:val="22"/>
        </w:rPr>
        <w:t>citing respondents in 2003 and is now the primary repricing method.  As of February 2012, 82</w:t>
      </w:r>
      <w:r w:rsidRPr="00A64EED">
        <w:rPr>
          <w:rFonts w:ascii="Calibri" w:hAnsi="Calibri" w:cs="Courier New"/>
          <w:color w:val="000000"/>
          <w:sz w:val="22"/>
          <w:szCs w:val="22"/>
        </w:rPr>
        <w:t xml:space="preserve"> percent of IPP respondents were actually providing prices via the web application or had agreed to start using this method.</w:t>
      </w:r>
      <w:r w:rsidRPr="00644CC0">
        <w:rPr>
          <w:rFonts w:ascii="Calibri" w:hAnsi="Calibri" w:cs="Courier New"/>
          <w:color w:val="FF0000"/>
          <w:sz w:val="22"/>
          <w:szCs w:val="22"/>
        </w:rPr>
        <w:t xml:space="preserve">  </w:t>
      </w:r>
      <w:r w:rsidRPr="00644CC0">
        <w:rPr>
          <w:rFonts w:ascii="Calibri" w:hAnsi="Calibri" w:cs="Courier New"/>
          <w:sz w:val="22"/>
          <w:szCs w:val="22"/>
        </w:rPr>
        <w:t xml:space="preserve">Currently, </w:t>
      </w:r>
      <w:r>
        <w:rPr>
          <w:rFonts w:ascii="Calibri" w:hAnsi="Calibri" w:cs="Courier New"/>
          <w:sz w:val="22"/>
          <w:szCs w:val="22"/>
        </w:rPr>
        <w:t>Field Economist</w:t>
      </w:r>
      <w:r w:rsidRPr="00644CC0">
        <w:rPr>
          <w:rFonts w:ascii="Calibri" w:hAnsi="Calibri" w:cs="Courier New"/>
          <w:sz w:val="22"/>
          <w:szCs w:val="22"/>
        </w:rPr>
        <w:t xml:space="preserve">s offer this option to all new </w:t>
      </w:r>
      <w:r>
        <w:rPr>
          <w:rFonts w:ascii="Calibri" w:hAnsi="Calibri" w:cs="Courier New"/>
          <w:sz w:val="22"/>
          <w:szCs w:val="22"/>
        </w:rPr>
        <w:t>respondent</w:t>
      </w:r>
      <w:r w:rsidRPr="00644CC0">
        <w:rPr>
          <w:rFonts w:ascii="Calibri" w:hAnsi="Calibri" w:cs="Courier New"/>
          <w:sz w:val="22"/>
          <w:szCs w:val="22"/>
        </w:rPr>
        <w:t xml:space="preserve">s, and at initiation, it is the preferred method of collection offered to companies.  </w:t>
      </w:r>
    </w:p>
    <w:p w:rsidR="00024B9F" w:rsidRPr="00767CDB" w:rsidRDefault="00024B9F" w:rsidP="00024B9F">
      <w:pPr>
        <w:rPr>
          <w:rFonts w:ascii="Verdana" w:hAnsi="Verdana"/>
          <w:b/>
          <w:color w:val="000000"/>
          <w:sz w:val="20"/>
          <w:szCs w:val="20"/>
        </w:rPr>
      </w:pPr>
    </w:p>
    <w:p w:rsidR="00024B9F" w:rsidRPr="00644CC0" w:rsidRDefault="00024B9F" w:rsidP="00024B9F">
      <w:pPr>
        <w:autoSpaceDE w:val="0"/>
        <w:autoSpaceDN w:val="0"/>
        <w:adjustRightInd w:val="0"/>
        <w:rPr>
          <w:rFonts w:ascii="Calibri" w:hAnsi="Calibri" w:cs="Courier New"/>
          <w:sz w:val="22"/>
          <w:szCs w:val="22"/>
        </w:rPr>
      </w:pPr>
      <w:r w:rsidRPr="00644CC0">
        <w:rPr>
          <w:rFonts w:ascii="Calibri" w:hAnsi="Calibri" w:cs="Courier New"/>
          <w:color w:val="000000"/>
          <w:sz w:val="22"/>
          <w:szCs w:val="22"/>
        </w:rPr>
        <w:t xml:space="preserve">Of the remaining </w:t>
      </w:r>
      <w:r>
        <w:rPr>
          <w:rFonts w:ascii="Calibri" w:hAnsi="Calibri" w:cs="Courier New"/>
          <w:color w:val="000000"/>
          <w:sz w:val="22"/>
          <w:szCs w:val="22"/>
        </w:rPr>
        <w:t>respondent</w:t>
      </w:r>
      <w:r w:rsidRPr="00644CC0">
        <w:rPr>
          <w:rFonts w:ascii="Calibri" w:hAnsi="Calibri" w:cs="Courier New"/>
          <w:color w:val="000000"/>
          <w:sz w:val="22"/>
          <w:szCs w:val="22"/>
        </w:rPr>
        <w:t xml:space="preserve">s, the majority reprice using the mailout/fax back process while a small percentage provide data via non-automated phone, special arrangements between the analysts and the </w:t>
      </w:r>
      <w:r>
        <w:rPr>
          <w:rFonts w:ascii="Calibri" w:hAnsi="Calibri" w:cs="Courier New"/>
          <w:color w:val="000000"/>
          <w:sz w:val="22"/>
          <w:szCs w:val="22"/>
        </w:rPr>
        <w:t>respondent</w:t>
      </w:r>
      <w:r w:rsidR="00424E98">
        <w:rPr>
          <w:rFonts w:ascii="Calibri" w:hAnsi="Calibri" w:cs="Courier New"/>
          <w:color w:val="000000"/>
          <w:sz w:val="22"/>
          <w:szCs w:val="22"/>
        </w:rPr>
        <w:t>s, or e-mail</w:t>
      </w:r>
      <w:r w:rsidRPr="00644CC0">
        <w:rPr>
          <w:rFonts w:ascii="Calibri" w:hAnsi="Calibri" w:cs="Courier New"/>
          <w:color w:val="000000"/>
          <w:sz w:val="22"/>
          <w:szCs w:val="22"/>
        </w:rPr>
        <w:t xml:space="preserve">.  The </w:t>
      </w:r>
      <w:r w:rsidR="006F1110">
        <w:rPr>
          <w:rFonts w:ascii="Calibri" w:hAnsi="Calibri" w:cs="Courier New"/>
          <w:color w:val="000000"/>
          <w:sz w:val="22"/>
          <w:szCs w:val="22"/>
        </w:rPr>
        <w:t>e-mail</w:t>
      </w:r>
      <w:r w:rsidR="006F1110" w:rsidRPr="00644CC0">
        <w:rPr>
          <w:rFonts w:ascii="Calibri" w:hAnsi="Calibri" w:cs="Courier New"/>
          <w:color w:val="000000"/>
          <w:sz w:val="22"/>
          <w:szCs w:val="22"/>
        </w:rPr>
        <w:t xml:space="preserve"> </w:t>
      </w:r>
      <w:r w:rsidRPr="00644CC0">
        <w:rPr>
          <w:rFonts w:ascii="Calibri" w:hAnsi="Calibri" w:cs="Courier New"/>
          <w:color w:val="000000"/>
          <w:sz w:val="22"/>
          <w:szCs w:val="22"/>
        </w:rPr>
        <w:t>option was broadened in 2008 with the introduction of an e-mail r</w:t>
      </w:r>
      <w:r>
        <w:rPr>
          <w:rFonts w:ascii="Calibri" w:hAnsi="Calibri" w:cs="Courier New"/>
          <w:color w:val="000000"/>
          <w:sz w:val="22"/>
          <w:szCs w:val="22"/>
        </w:rPr>
        <w:t>epricing application</w:t>
      </w:r>
      <w:r w:rsidRPr="00644CC0">
        <w:rPr>
          <w:rFonts w:ascii="Calibri" w:hAnsi="Calibri" w:cs="Courier New"/>
          <w:color w:val="000000"/>
          <w:sz w:val="22"/>
          <w:szCs w:val="22"/>
        </w:rPr>
        <w:t xml:space="preserve"> which generates the repricing form in an Excel spreadsheet as an attachment in a corresponding e-mail prompting the </w:t>
      </w:r>
      <w:r>
        <w:rPr>
          <w:rFonts w:ascii="Calibri" w:hAnsi="Calibri" w:cs="Courier New"/>
          <w:color w:val="000000"/>
          <w:sz w:val="22"/>
          <w:szCs w:val="22"/>
        </w:rPr>
        <w:t>respondent</w:t>
      </w:r>
      <w:r w:rsidRPr="00644CC0">
        <w:rPr>
          <w:rFonts w:ascii="Calibri" w:hAnsi="Calibri" w:cs="Courier New"/>
          <w:color w:val="000000"/>
          <w:sz w:val="22"/>
          <w:szCs w:val="22"/>
        </w:rPr>
        <w:t xml:space="preserve"> to provide prices. </w:t>
      </w:r>
      <w:r>
        <w:rPr>
          <w:rFonts w:ascii="Calibri" w:hAnsi="Calibri" w:cs="Courier New"/>
          <w:color w:val="000000"/>
          <w:sz w:val="22"/>
          <w:szCs w:val="22"/>
        </w:rPr>
        <w:t xml:space="preserve"> (Attachment 9A is the “notification to reprice” e-mail sent to respondents using this repricing method and Attachment 9B is a sample Excel spreadsheet containing repricing data.)  Respondent</w:t>
      </w:r>
      <w:r w:rsidRPr="00644CC0">
        <w:rPr>
          <w:rFonts w:ascii="Calibri" w:hAnsi="Calibri" w:cs="Courier New"/>
          <w:color w:val="000000"/>
          <w:sz w:val="22"/>
          <w:szCs w:val="22"/>
        </w:rPr>
        <w:t xml:space="preserve">s using this repricing method include their price information in the Excel document and return it via e-mail.  This collection method is not offered to </w:t>
      </w:r>
      <w:r>
        <w:rPr>
          <w:rFonts w:ascii="Calibri" w:hAnsi="Calibri" w:cs="Courier New"/>
          <w:color w:val="000000"/>
          <w:sz w:val="22"/>
          <w:szCs w:val="22"/>
        </w:rPr>
        <w:t>respondent</w:t>
      </w:r>
      <w:r w:rsidRPr="00644CC0">
        <w:rPr>
          <w:rFonts w:ascii="Calibri" w:hAnsi="Calibri" w:cs="Courier New"/>
          <w:color w:val="000000"/>
          <w:sz w:val="22"/>
          <w:szCs w:val="22"/>
        </w:rPr>
        <w:t xml:space="preserve">s by </w:t>
      </w:r>
      <w:r>
        <w:rPr>
          <w:rFonts w:ascii="Calibri" w:hAnsi="Calibri" w:cs="Courier New"/>
          <w:color w:val="000000"/>
          <w:sz w:val="22"/>
          <w:szCs w:val="22"/>
        </w:rPr>
        <w:t>Field Economist</w:t>
      </w:r>
      <w:r w:rsidRPr="00644CC0">
        <w:rPr>
          <w:rFonts w:ascii="Calibri" w:hAnsi="Calibri" w:cs="Courier New"/>
          <w:color w:val="000000"/>
          <w:sz w:val="22"/>
          <w:szCs w:val="22"/>
        </w:rPr>
        <w:t xml:space="preserve">s during initiation </w:t>
      </w:r>
      <w:r w:rsidR="006F1110">
        <w:rPr>
          <w:rFonts w:ascii="Calibri" w:hAnsi="Calibri" w:cs="Courier New"/>
          <w:color w:val="000000"/>
          <w:sz w:val="22"/>
          <w:szCs w:val="22"/>
        </w:rPr>
        <w:t>but</w:t>
      </w:r>
      <w:r w:rsidR="006F1110" w:rsidRPr="00644CC0">
        <w:rPr>
          <w:rFonts w:ascii="Calibri" w:hAnsi="Calibri" w:cs="Courier New"/>
          <w:color w:val="000000"/>
          <w:sz w:val="22"/>
          <w:szCs w:val="22"/>
        </w:rPr>
        <w:t xml:space="preserve"> </w:t>
      </w:r>
      <w:r w:rsidRPr="00644CC0">
        <w:rPr>
          <w:rFonts w:ascii="Calibri" w:hAnsi="Calibri" w:cs="Courier New"/>
          <w:color w:val="000000"/>
          <w:sz w:val="22"/>
          <w:szCs w:val="22"/>
        </w:rPr>
        <w:t xml:space="preserve">is used by Industry Analysts at the National Office only as a last resort for securing </w:t>
      </w:r>
      <w:r>
        <w:rPr>
          <w:rFonts w:ascii="Calibri" w:hAnsi="Calibri" w:cs="Courier New"/>
          <w:color w:val="000000"/>
          <w:sz w:val="22"/>
          <w:szCs w:val="22"/>
        </w:rPr>
        <w:t>respondent</w:t>
      </w:r>
      <w:r w:rsidRPr="00644CC0">
        <w:rPr>
          <w:rFonts w:ascii="Calibri" w:hAnsi="Calibri" w:cs="Courier New"/>
          <w:color w:val="000000"/>
          <w:sz w:val="22"/>
          <w:szCs w:val="22"/>
        </w:rPr>
        <w:t xml:space="preserve"> cooperation. </w:t>
      </w:r>
      <w:r w:rsidRPr="00644CC0">
        <w:rPr>
          <w:rFonts w:ascii="Calibri" w:hAnsi="Calibri" w:cs="Courier New"/>
          <w:sz w:val="22"/>
          <w:szCs w:val="22"/>
        </w:rPr>
        <w:t xml:space="preserve"> However, e-mail repricing has the possibility of expanding, depending upon how data security issues are handled in the Bureau.</w:t>
      </w:r>
    </w:p>
    <w:p w:rsidR="00024B9F" w:rsidRPr="00644CC0" w:rsidRDefault="00024B9F" w:rsidP="00024B9F">
      <w:pPr>
        <w:rPr>
          <w:rFonts w:ascii="Calibri" w:hAnsi="Calibri"/>
          <w:b/>
          <w:color w:val="000000"/>
          <w:sz w:val="22"/>
          <w:szCs w:val="22"/>
        </w:rPr>
      </w:pPr>
    </w:p>
    <w:p w:rsidR="00024B9F" w:rsidRPr="00644CC0" w:rsidRDefault="00024B9F" w:rsidP="00024B9F">
      <w:pPr>
        <w:autoSpaceDE w:val="0"/>
        <w:autoSpaceDN w:val="0"/>
        <w:adjustRightInd w:val="0"/>
        <w:rPr>
          <w:rFonts w:ascii="Calibri" w:hAnsi="Calibri" w:cs="Courier New"/>
          <w:sz w:val="22"/>
          <w:szCs w:val="22"/>
        </w:rPr>
      </w:pPr>
      <w:r w:rsidRPr="00644CC0">
        <w:rPr>
          <w:rFonts w:ascii="Calibri" w:hAnsi="Calibri" w:cs="Courier New"/>
          <w:sz w:val="22"/>
          <w:szCs w:val="22"/>
        </w:rPr>
        <w:t>Over time, these various electronic data collection methods for repricing have permitted the Program to collect and publish monthly information</w:t>
      </w:r>
      <w:r w:rsidR="00791741">
        <w:rPr>
          <w:rFonts w:ascii="Calibri" w:hAnsi="Calibri" w:cs="Courier New"/>
          <w:sz w:val="22"/>
          <w:szCs w:val="22"/>
        </w:rPr>
        <w:t xml:space="preserve"> </w:t>
      </w:r>
      <w:r w:rsidR="00791741" w:rsidRPr="00644CC0">
        <w:rPr>
          <w:rFonts w:ascii="Calibri" w:hAnsi="Calibri" w:cs="Courier New"/>
          <w:sz w:val="22"/>
          <w:szCs w:val="22"/>
        </w:rPr>
        <w:t>more rapidly</w:t>
      </w:r>
      <w:r w:rsidRPr="00644CC0">
        <w:rPr>
          <w:rFonts w:ascii="Calibri" w:hAnsi="Calibri" w:cs="Courier New"/>
          <w:sz w:val="22"/>
          <w:szCs w:val="22"/>
        </w:rPr>
        <w:t>.  Each month the IPP is the first BLS price series to be published.</w:t>
      </w:r>
    </w:p>
    <w:p w:rsidR="00024B9F" w:rsidRPr="00767CDB" w:rsidRDefault="00024B9F" w:rsidP="00024B9F">
      <w:pPr>
        <w:autoSpaceDE w:val="0"/>
        <w:autoSpaceDN w:val="0"/>
        <w:adjustRightInd w:val="0"/>
        <w:rPr>
          <w:rFonts w:ascii="Verdana" w:hAnsi="Verdana" w:cs="Courier New"/>
          <w:sz w:val="20"/>
          <w:szCs w:val="20"/>
        </w:rPr>
      </w:pPr>
    </w:p>
    <w:p w:rsidR="00024B9F" w:rsidRPr="00301295" w:rsidRDefault="00024B9F" w:rsidP="00024B9F">
      <w:pPr>
        <w:tabs>
          <w:tab w:val="left" w:pos="480"/>
          <w:tab w:val="left" w:pos="960"/>
          <w:tab w:val="left" w:pos="1320"/>
          <w:tab w:val="left" w:pos="1800"/>
          <w:tab w:val="left" w:pos="2760"/>
        </w:tabs>
        <w:spacing w:before="120"/>
        <w:rPr>
          <w:rFonts w:ascii="Calibri" w:hAnsi="Calibri" w:cs="Courier New"/>
          <w:sz w:val="22"/>
          <w:szCs w:val="22"/>
          <w:u w:val="single"/>
        </w:rPr>
      </w:pPr>
      <w:r>
        <w:rPr>
          <w:rFonts w:ascii="Calibri" w:hAnsi="Calibri" w:cs="Courier New"/>
          <w:sz w:val="22"/>
          <w:szCs w:val="22"/>
          <w:u w:val="single"/>
        </w:rPr>
        <w:t>Respondent Burden</w:t>
      </w:r>
    </w:p>
    <w:p w:rsidR="00024B9F" w:rsidRPr="00A64EED" w:rsidRDefault="00024B9F" w:rsidP="00024B9F">
      <w:pPr>
        <w:tabs>
          <w:tab w:val="left" w:pos="480"/>
          <w:tab w:val="left" w:pos="960"/>
          <w:tab w:val="left" w:pos="1320"/>
          <w:tab w:val="left" w:pos="1800"/>
          <w:tab w:val="left" w:pos="2760"/>
        </w:tabs>
        <w:spacing w:before="120"/>
        <w:rPr>
          <w:rFonts w:ascii="Calibri" w:hAnsi="Calibri" w:cs="Courier New"/>
          <w:sz w:val="22"/>
          <w:szCs w:val="22"/>
        </w:rPr>
      </w:pPr>
      <w:r w:rsidRPr="00644CC0">
        <w:rPr>
          <w:rFonts w:ascii="Calibri" w:hAnsi="Calibri" w:cs="Courier New"/>
          <w:sz w:val="22"/>
          <w:szCs w:val="22"/>
        </w:rPr>
        <w:t xml:space="preserve">The IPP has implemented several changes over the years to reduce burden on IPP </w:t>
      </w:r>
      <w:r>
        <w:rPr>
          <w:rFonts w:ascii="Calibri" w:hAnsi="Calibri" w:cs="Courier New"/>
          <w:sz w:val="22"/>
          <w:szCs w:val="22"/>
        </w:rPr>
        <w:t>respondent</w:t>
      </w:r>
      <w:r w:rsidRPr="00644CC0">
        <w:rPr>
          <w:rFonts w:ascii="Calibri" w:hAnsi="Calibri" w:cs="Courier New"/>
          <w:sz w:val="22"/>
          <w:szCs w:val="22"/>
        </w:rPr>
        <w:t xml:space="preserve">s, especially those companies which are major traders and account for a significant portion of international trade.  In 2003, we implemented an enhanced refinement process that provides Industry Analysts the ability to reduce the burden for a </w:t>
      </w:r>
      <w:r>
        <w:rPr>
          <w:rFonts w:ascii="Calibri" w:hAnsi="Calibri" w:cs="Courier New"/>
          <w:sz w:val="22"/>
          <w:szCs w:val="22"/>
        </w:rPr>
        <w:t>respondent</w:t>
      </w:r>
      <w:r w:rsidRPr="00644CC0">
        <w:rPr>
          <w:rFonts w:ascii="Calibri" w:hAnsi="Calibri" w:cs="Courier New"/>
          <w:sz w:val="22"/>
          <w:szCs w:val="22"/>
        </w:rPr>
        <w:t xml:space="preserve"> when it is needed, and in 2004, we began providing </w:t>
      </w:r>
      <w:r>
        <w:rPr>
          <w:rFonts w:ascii="Calibri" w:hAnsi="Calibri" w:cs="Courier New"/>
          <w:sz w:val="22"/>
          <w:szCs w:val="22"/>
        </w:rPr>
        <w:t>Field Economist</w:t>
      </w:r>
      <w:r w:rsidRPr="00644CC0">
        <w:rPr>
          <w:rFonts w:ascii="Calibri" w:hAnsi="Calibri" w:cs="Courier New"/>
          <w:sz w:val="22"/>
          <w:szCs w:val="22"/>
        </w:rPr>
        <w:t xml:space="preserve">s with more accurate information about the potential overlap between establishments that are in both the IPP and the Producer Price Index.  This information allows the </w:t>
      </w:r>
      <w:r>
        <w:rPr>
          <w:rFonts w:ascii="Calibri" w:hAnsi="Calibri" w:cs="Courier New"/>
          <w:sz w:val="22"/>
          <w:szCs w:val="22"/>
        </w:rPr>
        <w:t>Field Economist</w:t>
      </w:r>
      <w:r w:rsidRPr="00644CC0">
        <w:rPr>
          <w:rFonts w:ascii="Calibri" w:hAnsi="Calibri" w:cs="Courier New"/>
          <w:sz w:val="22"/>
          <w:szCs w:val="22"/>
        </w:rPr>
        <w:t xml:space="preserve">s to better coordinate visits to establishments to obtain new items for repricing, ensuring that we are adhering to requests from establishments about the timing of our visits. Also in 2004, we modified our second stage selection algorithm to lower the </w:t>
      </w:r>
      <w:r w:rsidR="00791741">
        <w:rPr>
          <w:rFonts w:ascii="Calibri" w:hAnsi="Calibri" w:cs="Courier New"/>
          <w:sz w:val="22"/>
          <w:szCs w:val="22"/>
        </w:rPr>
        <w:t xml:space="preserve">selection probability </w:t>
      </w:r>
      <w:r w:rsidRPr="00644CC0">
        <w:rPr>
          <w:rFonts w:ascii="Calibri" w:hAnsi="Calibri" w:cs="Courier New"/>
          <w:sz w:val="22"/>
          <w:szCs w:val="22"/>
        </w:rPr>
        <w:t xml:space="preserve">of infrequently traded </w:t>
      </w:r>
      <w:r w:rsidR="006B462C">
        <w:rPr>
          <w:rFonts w:ascii="Calibri" w:hAnsi="Calibri" w:cs="Courier New"/>
          <w:sz w:val="22"/>
          <w:szCs w:val="22"/>
        </w:rPr>
        <w:t>Sampling Classifications Groups (SCG</w:t>
      </w:r>
      <w:r w:rsidR="00523944">
        <w:rPr>
          <w:rFonts w:ascii="Calibri" w:hAnsi="Calibri" w:cs="Courier New"/>
          <w:sz w:val="22"/>
          <w:szCs w:val="22"/>
        </w:rPr>
        <w:t>s</w:t>
      </w:r>
      <w:r w:rsidR="006B462C">
        <w:rPr>
          <w:rFonts w:ascii="Calibri" w:hAnsi="Calibri" w:cs="Courier New"/>
          <w:sz w:val="22"/>
          <w:szCs w:val="22"/>
        </w:rPr>
        <w:t xml:space="preserve">) </w:t>
      </w:r>
      <w:r w:rsidRPr="00644CC0">
        <w:rPr>
          <w:rFonts w:ascii="Calibri" w:hAnsi="Calibri" w:cs="Courier New"/>
          <w:sz w:val="22"/>
          <w:szCs w:val="22"/>
        </w:rPr>
        <w:t xml:space="preserve">(since they are more likely to be out-of-scope for the IPP).  </w:t>
      </w:r>
      <w:r>
        <w:rPr>
          <w:rFonts w:ascii="Calibri" w:hAnsi="Calibri" w:cs="Courier New"/>
          <w:sz w:val="22"/>
          <w:szCs w:val="22"/>
        </w:rPr>
        <w:t xml:space="preserve"> </w:t>
      </w:r>
      <w:r w:rsidR="0072504F">
        <w:rPr>
          <w:rFonts w:ascii="Calibri" w:hAnsi="Calibri" w:cs="Courier New"/>
          <w:sz w:val="22"/>
          <w:szCs w:val="22"/>
        </w:rPr>
        <w:t xml:space="preserve">SCGs which are frequently traded are easier for respondents to identify during initiation. </w:t>
      </w:r>
      <w:r w:rsidR="00776B8A">
        <w:rPr>
          <w:rFonts w:ascii="Calibri" w:hAnsi="Calibri" w:cs="Courier New"/>
          <w:sz w:val="22"/>
          <w:szCs w:val="22"/>
        </w:rPr>
        <w:t xml:space="preserve"> </w:t>
      </w:r>
      <w:r w:rsidRPr="00A64EED">
        <w:rPr>
          <w:rFonts w:ascii="Calibri" w:hAnsi="Calibri" w:cs="Courier New"/>
          <w:sz w:val="22"/>
          <w:szCs w:val="22"/>
        </w:rPr>
        <w:t>In 200</w:t>
      </w:r>
      <w:r>
        <w:rPr>
          <w:rFonts w:ascii="Calibri" w:hAnsi="Calibri" w:cs="Courier New"/>
          <w:sz w:val="22"/>
          <w:szCs w:val="22"/>
        </w:rPr>
        <w:t>7</w:t>
      </w:r>
      <w:r w:rsidRPr="00A64EED">
        <w:rPr>
          <w:rFonts w:ascii="Calibri" w:hAnsi="Calibri" w:cs="Courier New"/>
          <w:sz w:val="22"/>
          <w:szCs w:val="22"/>
        </w:rPr>
        <w:t xml:space="preserve">, the IPP completed a study aimed at reducing Out Of Scope rates, which upon implementation of the various proposals </w:t>
      </w:r>
      <w:r>
        <w:rPr>
          <w:rFonts w:ascii="Calibri" w:hAnsi="Calibri" w:cs="Courier New"/>
          <w:sz w:val="22"/>
          <w:szCs w:val="22"/>
        </w:rPr>
        <w:t xml:space="preserve">have also helped to </w:t>
      </w:r>
      <w:r w:rsidRPr="00A64EED">
        <w:rPr>
          <w:rFonts w:ascii="Calibri" w:hAnsi="Calibri" w:cs="Courier New"/>
          <w:sz w:val="22"/>
          <w:szCs w:val="22"/>
        </w:rPr>
        <w:t xml:space="preserve">reduce respondent burden. </w:t>
      </w:r>
    </w:p>
    <w:p w:rsidR="00024B9F" w:rsidRPr="00A64EED" w:rsidRDefault="00024B9F" w:rsidP="00024B9F">
      <w:pPr>
        <w:tabs>
          <w:tab w:val="left" w:pos="480"/>
          <w:tab w:val="left" w:pos="960"/>
          <w:tab w:val="left" w:pos="1320"/>
          <w:tab w:val="left" w:pos="1800"/>
          <w:tab w:val="left" w:pos="2760"/>
        </w:tabs>
        <w:spacing w:before="120"/>
        <w:rPr>
          <w:rFonts w:ascii="Calibri" w:hAnsi="Calibri" w:cs="Courier New"/>
          <w:sz w:val="22"/>
          <w:szCs w:val="22"/>
        </w:rPr>
      </w:pPr>
      <w:r w:rsidRPr="00A64EED">
        <w:rPr>
          <w:rFonts w:ascii="Calibri" w:hAnsi="Calibri" w:cs="Courier New"/>
          <w:sz w:val="22"/>
          <w:szCs w:val="22"/>
        </w:rPr>
        <w:t>In 2009, the Program implemented changes to the web repricing application to reduce burden on IPP respondents providing prices via the internet.  Rather than requiring the respondent to type in the account number on the logon screen, the system now displays this information automatically when the respondent accesses the web repricing application by clicking the link in the ‘time to reprice’ e-mail.  (Attachment 8</w:t>
      </w:r>
      <w:r>
        <w:rPr>
          <w:rFonts w:ascii="Calibri" w:hAnsi="Calibri" w:cs="Courier New"/>
          <w:sz w:val="22"/>
          <w:szCs w:val="22"/>
        </w:rPr>
        <w:t>G</w:t>
      </w:r>
      <w:r w:rsidRPr="00A64EED">
        <w:rPr>
          <w:rFonts w:ascii="Calibri" w:hAnsi="Calibri" w:cs="Courier New"/>
          <w:sz w:val="22"/>
          <w:szCs w:val="22"/>
        </w:rPr>
        <w:t xml:space="preserve"> shows the logon screen in the web reprici</w:t>
      </w:r>
      <w:r>
        <w:rPr>
          <w:rFonts w:ascii="Calibri" w:hAnsi="Calibri" w:cs="Courier New"/>
          <w:sz w:val="22"/>
          <w:szCs w:val="22"/>
        </w:rPr>
        <w:t>ng application and Attachment 8E</w:t>
      </w:r>
      <w:r w:rsidRPr="00A64EED">
        <w:rPr>
          <w:rFonts w:ascii="Calibri" w:hAnsi="Calibri" w:cs="Courier New"/>
          <w:sz w:val="22"/>
          <w:szCs w:val="22"/>
        </w:rPr>
        <w:t xml:space="preserve"> is the ‘time </w:t>
      </w:r>
      <w:r w:rsidRPr="00A64EED">
        <w:rPr>
          <w:rFonts w:ascii="Calibri" w:hAnsi="Calibri" w:cs="Courier New"/>
          <w:sz w:val="22"/>
          <w:szCs w:val="22"/>
        </w:rPr>
        <w:lastRenderedPageBreak/>
        <w:t>to reprice’ e-mail sent to web respondents.)   Also, the application now allows respondents to provide general comments which apply to all items rather than directing them to retype the comment for all applicable items</w:t>
      </w:r>
      <w:r w:rsidRPr="001C0DCC">
        <w:rPr>
          <w:rFonts w:ascii="Calibri" w:hAnsi="Calibri" w:cs="Courier New"/>
          <w:sz w:val="22"/>
          <w:szCs w:val="22"/>
        </w:rPr>
        <w:t xml:space="preserve">.  </w:t>
      </w:r>
      <w:r w:rsidR="00CA73A3" w:rsidRPr="001C0DCC">
        <w:rPr>
          <w:rFonts w:ascii="Calibri" w:hAnsi="Calibri" w:cs="Courier New"/>
          <w:sz w:val="22"/>
          <w:szCs w:val="22"/>
        </w:rPr>
        <w:t xml:space="preserve">Lastly, one </w:t>
      </w:r>
      <w:r w:rsidR="006B462C" w:rsidRPr="001C0DCC">
        <w:rPr>
          <w:rFonts w:ascii="Calibri" w:hAnsi="Calibri" w:cs="Courier New"/>
          <w:sz w:val="22"/>
          <w:szCs w:val="22"/>
        </w:rPr>
        <w:t>related party</w:t>
      </w:r>
      <w:r w:rsidR="00CA73A3" w:rsidRPr="001C0DCC">
        <w:rPr>
          <w:rFonts w:ascii="Calibri" w:hAnsi="Calibri" w:cs="Courier New"/>
          <w:sz w:val="22"/>
          <w:szCs w:val="22"/>
        </w:rPr>
        <w:t xml:space="preserve"> can now be copied on all e-mails sent to respondents using web repricing</w:t>
      </w:r>
      <w:r w:rsidRPr="001C0DCC">
        <w:rPr>
          <w:rFonts w:ascii="Calibri" w:hAnsi="Calibri" w:cs="Courier New"/>
          <w:sz w:val="22"/>
          <w:szCs w:val="22"/>
        </w:rPr>
        <w:t>.</w:t>
      </w:r>
      <w:r w:rsidR="000C58F0">
        <w:rPr>
          <w:rFonts w:ascii="Calibri" w:hAnsi="Calibri" w:cs="Courier New"/>
          <w:sz w:val="22"/>
          <w:szCs w:val="22"/>
        </w:rPr>
        <w:t xml:space="preserve">  This enhancement prevents the respondent from having to forward </w:t>
      </w:r>
      <w:r w:rsidR="000101DF">
        <w:rPr>
          <w:rFonts w:ascii="Calibri" w:hAnsi="Calibri" w:cs="Courier New"/>
          <w:sz w:val="22"/>
          <w:szCs w:val="22"/>
        </w:rPr>
        <w:t xml:space="preserve">Repricing-related </w:t>
      </w:r>
      <w:r w:rsidR="00424E98">
        <w:rPr>
          <w:rFonts w:ascii="Calibri" w:hAnsi="Calibri" w:cs="Courier New"/>
          <w:sz w:val="22"/>
          <w:szCs w:val="22"/>
        </w:rPr>
        <w:t>e-mail</w:t>
      </w:r>
      <w:r w:rsidR="000C58F0">
        <w:rPr>
          <w:rFonts w:ascii="Calibri" w:hAnsi="Calibri" w:cs="Courier New"/>
          <w:sz w:val="22"/>
          <w:szCs w:val="22"/>
        </w:rPr>
        <w:t>s to other contacts within the company.</w:t>
      </w:r>
    </w:p>
    <w:p w:rsidR="00024B9F" w:rsidRPr="00A64EED" w:rsidRDefault="00024B9F" w:rsidP="00024B9F">
      <w:pPr>
        <w:tabs>
          <w:tab w:val="left" w:pos="480"/>
          <w:tab w:val="left" w:pos="960"/>
          <w:tab w:val="left" w:pos="1320"/>
          <w:tab w:val="left" w:pos="1800"/>
          <w:tab w:val="left" w:pos="2760"/>
        </w:tabs>
        <w:spacing w:before="120"/>
        <w:rPr>
          <w:rFonts w:ascii="Calibri" w:hAnsi="Calibri" w:cs="Courier New"/>
          <w:sz w:val="22"/>
          <w:szCs w:val="22"/>
        </w:rPr>
      </w:pPr>
      <w:r w:rsidRPr="00A64EED">
        <w:rPr>
          <w:rFonts w:ascii="Calibri" w:hAnsi="Calibri" w:cs="Courier New"/>
          <w:sz w:val="22"/>
          <w:szCs w:val="22"/>
        </w:rPr>
        <w:t xml:space="preserve">More recently, we implemented two new downtime messages for web repricing.  One appears during 6:30-7AM daily and notifies the web respondents that the web survey is down for maintenance between 6:30-7AM and to return to the site in 30 minutes.  </w:t>
      </w:r>
      <w:r>
        <w:rPr>
          <w:rFonts w:ascii="Calibri" w:hAnsi="Calibri" w:cs="Courier New"/>
          <w:sz w:val="22"/>
          <w:szCs w:val="22"/>
        </w:rPr>
        <w:t>(Attachment 8K</w:t>
      </w:r>
      <w:r w:rsidRPr="00A64EED">
        <w:rPr>
          <w:rFonts w:ascii="Calibri" w:hAnsi="Calibri" w:cs="Courier New"/>
          <w:sz w:val="22"/>
          <w:szCs w:val="22"/>
        </w:rPr>
        <w:t xml:space="preserve">)  The other is for web respondents that are in the survey when the downtime occurs and notifies them that any data entered up until that point in the session has not been saved.  </w:t>
      </w:r>
      <w:r>
        <w:rPr>
          <w:rFonts w:ascii="Calibri" w:hAnsi="Calibri" w:cs="Courier New"/>
          <w:sz w:val="22"/>
          <w:szCs w:val="22"/>
        </w:rPr>
        <w:t>(Attachment 8K</w:t>
      </w:r>
      <w:r w:rsidRPr="00A64EED">
        <w:rPr>
          <w:rFonts w:ascii="Calibri" w:hAnsi="Calibri" w:cs="Courier New"/>
          <w:sz w:val="22"/>
          <w:szCs w:val="22"/>
        </w:rPr>
        <w:t>)  They are also asked to return to the site in 30 minutes.</w:t>
      </w:r>
    </w:p>
    <w:p w:rsidR="00024B9F" w:rsidRDefault="00024B9F" w:rsidP="00024B9F">
      <w:pPr>
        <w:rPr>
          <w:rFonts w:ascii="Verdana" w:hAnsi="Verdana"/>
          <w:b/>
          <w:color w:val="000000"/>
          <w:sz w:val="20"/>
          <w:szCs w:val="20"/>
        </w:rPr>
      </w:pPr>
    </w:p>
    <w:p w:rsidR="00024B9F" w:rsidRDefault="00024B9F" w:rsidP="00024B9F">
      <w:pPr>
        <w:rPr>
          <w:rFonts w:ascii="Verdana" w:hAnsi="Verdana"/>
          <w:b/>
          <w:color w:val="000000"/>
          <w:sz w:val="20"/>
          <w:szCs w:val="20"/>
        </w:rPr>
      </w:pPr>
    </w:p>
    <w:p w:rsidR="00024B9F" w:rsidRPr="00644CC0" w:rsidRDefault="00024B9F" w:rsidP="00024B9F">
      <w:pPr>
        <w:rPr>
          <w:rFonts w:ascii="Calibri" w:hAnsi="Calibri"/>
          <w:b/>
          <w:color w:val="000000"/>
          <w:sz w:val="22"/>
          <w:szCs w:val="22"/>
        </w:rPr>
      </w:pPr>
      <w:r w:rsidRPr="00644CC0">
        <w:rPr>
          <w:rFonts w:ascii="Calibri" w:hAnsi="Calibri"/>
          <w:b/>
          <w:color w:val="000000"/>
          <w:sz w:val="22"/>
          <w:szCs w:val="22"/>
        </w:rPr>
        <w:t>4.</w:t>
      </w:r>
      <w:r w:rsidRPr="00644CC0">
        <w:rPr>
          <w:rFonts w:ascii="Calibri" w:hAnsi="Calibri"/>
          <w:b/>
          <w:color w:val="000000"/>
          <w:sz w:val="22"/>
          <w:szCs w:val="22"/>
        </w:rPr>
        <w:tab/>
        <w:t>Efforts to Identify Duplication</w:t>
      </w:r>
    </w:p>
    <w:p w:rsidR="00024B9F" w:rsidRPr="00644CC0" w:rsidRDefault="00024B9F" w:rsidP="00024B9F">
      <w:pPr>
        <w:tabs>
          <w:tab w:val="left" w:pos="480"/>
          <w:tab w:val="left" w:pos="960"/>
          <w:tab w:val="left" w:pos="1320"/>
          <w:tab w:val="left" w:pos="1800"/>
          <w:tab w:val="left" w:pos="2760"/>
        </w:tabs>
        <w:spacing w:before="120"/>
        <w:rPr>
          <w:rFonts w:ascii="Calibri" w:hAnsi="Calibri"/>
          <w:sz w:val="22"/>
          <w:szCs w:val="22"/>
        </w:rPr>
      </w:pPr>
      <w:r w:rsidRPr="00644CC0">
        <w:rPr>
          <w:rFonts w:ascii="Calibri" w:hAnsi="Calibri"/>
          <w:sz w:val="22"/>
          <w:szCs w:val="22"/>
        </w:rPr>
        <w:t xml:space="preserve">The U.S. Customs </w:t>
      </w:r>
      <w:r>
        <w:rPr>
          <w:rFonts w:ascii="Calibri" w:hAnsi="Calibri"/>
          <w:sz w:val="22"/>
          <w:szCs w:val="22"/>
        </w:rPr>
        <w:t>and Border Protection</w:t>
      </w:r>
      <w:r w:rsidRPr="00644CC0">
        <w:rPr>
          <w:rFonts w:ascii="Calibri" w:hAnsi="Calibri"/>
          <w:sz w:val="22"/>
          <w:szCs w:val="22"/>
        </w:rPr>
        <w:t xml:space="preserve"> collects data on the value of all U.S. import</w:t>
      </w:r>
      <w:r>
        <w:rPr>
          <w:rFonts w:ascii="Calibri" w:hAnsi="Calibri"/>
          <w:sz w:val="22"/>
          <w:szCs w:val="22"/>
        </w:rPr>
        <w:t>ed goods</w:t>
      </w:r>
      <w:r w:rsidRPr="00644CC0">
        <w:rPr>
          <w:rFonts w:ascii="Calibri" w:hAnsi="Calibri"/>
          <w:sz w:val="22"/>
          <w:szCs w:val="22"/>
        </w:rPr>
        <w:t xml:space="preserve"> and </w:t>
      </w:r>
      <w:r>
        <w:rPr>
          <w:rFonts w:ascii="Calibri" w:hAnsi="Calibri"/>
          <w:sz w:val="22"/>
          <w:szCs w:val="22"/>
        </w:rPr>
        <w:t xml:space="preserve">the U.S. Census Bureau collects data on the value of all U.S. </w:t>
      </w:r>
      <w:r w:rsidRPr="00644CC0">
        <w:rPr>
          <w:rFonts w:ascii="Calibri" w:hAnsi="Calibri"/>
          <w:sz w:val="22"/>
          <w:szCs w:val="22"/>
        </w:rPr>
        <w:t>export</w:t>
      </w:r>
      <w:r>
        <w:rPr>
          <w:rFonts w:ascii="Calibri" w:hAnsi="Calibri"/>
          <w:sz w:val="22"/>
          <w:szCs w:val="22"/>
        </w:rPr>
        <w:t>ed goods</w:t>
      </w:r>
      <w:r w:rsidRPr="00644CC0">
        <w:rPr>
          <w:rFonts w:ascii="Calibri" w:hAnsi="Calibri"/>
          <w:sz w:val="22"/>
          <w:szCs w:val="22"/>
        </w:rPr>
        <w:t xml:space="preserve">.  Until 1989, the Department of Commerce used these data to construct unit value indexes.  These indexes have been shown to be inadequate and were discontinued in October 1989.  Since then, the IPP Indexes are the sole comprehensive price indexes for imports and exports.  </w:t>
      </w:r>
    </w:p>
    <w:p w:rsidR="00024B9F" w:rsidRPr="00644CC0" w:rsidRDefault="00713784" w:rsidP="00024B9F">
      <w:pPr>
        <w:tabs>
          <w:tab w:val="left" w:pos="480"/>
          <w:tab w:val="left" w:pos="960"/>
          <w:tab w:val="left" w:pos="1320"/>
          <w:tab w:val="left" w:pos="1800"/>
          <w:tab w:val="left" w:pos="2760"/>
        </w:tabs>
        <w:spacing w:before="120"/>
        <w:rPr>
          <w:rFonts w:ascii="Calibri" w:hAnsi="Calibri"/>
          <w:sz w:val="22"/>
          <w:szCs w:val="22"/>
        </w:rPr>
      </w:pPr>
      <w:r>
        <w:rPr>
          <w:rFonts w:ascii="Calibri" w:hAnsi="Calibri"/>
          <w:sz w:val="22"/>
          <w:szCs w:val="22"/>
        </w:rPr>
        <w:t>I</w:t>
      </w:r>
      <w:r w:rsidR="00024B9F" w:rsidRPr="00644CC0">
        <w:rPr>
          <w:rFonts w:ascii="Calibri" w:hAnsi="Calibri"/>
          <w:sz w:val="22"/>
          <w:szCs w:val="22"/>
        </w:rPr>
        <w:t>n order to reduce costs and duplication, the Program use secondary source data</w:t>
      </w:r>
      <w:r>
        <w:rPr>
          <w:rFonts w:ascii="Calibri" w:hAnsi="Calibri"/>
          <w:sz w:val="22"/>
          <w:szCs w:val="22"/>
        </w:rPr>
        <w:t>,</w:t>
      </w:r>
      <w:r w:rsidR="00024B9F" w:rsidRPr="00644CC0">
        <w:rPr>
          <w:rFonts w:ascii="Calibri" w:hAnsi="Calibri"/>
          <w:sz w:val="22"/>
          <w:szCs w:val="22"/>
        </w:rPr>
        <w:t xml:space="preserve"> </w:t>
      </w:r>
      <w:r>
        <w:rPr>
          <w:rFonts w:ascii="Calibri" w:hAnsi="Calibri"/>
          <w:sz w:val="22"/>
          <w:szCs w:val="22"/>
        </w:rPr>
        <w:t>f</w:t>
      </w:r>
      <w:r w:rsidR="00024B9F" w:rsidRPr="00644CC0">
        <w:rPr>
          <w:rFonts w:ascii="Calibri" w:hAnsi="Calibri"/>
          <w:sz w:val="22"/>
          <w:szCs w:val="22"/>
        </w:rPr>
        <w:t xml:space="preserve">or example, the IPP survey does incorporate Department of Agriculture, Department of Energy, and certain other published market data in selected </w:t>
      </w:r>
      <w:r w:rsidR="00024B9F">
        <w:rPr>
          <w:rFonts w:ascii="Calibri" w:hAnsi="Calibri"/>
          <w:sz w:val="22"/>
          <w:szCs w:val="22"/>
        </w:rPr>
        <w:t>areas of goods</w:t>
      </w:r>
      <w:r w:rsidR="00024B9F" w:rsidRPr="00644CC0">
        <w:rPr>
          <w:rFonts w:ascii="Calibri" w:hAnsi="Calibri"/>
          <w:sz w:val="22"/>
          <w:szCs w:val="22"/>
        </w:rPr>
        <w:t xml:space="preserve"> and service</w:t>
      </w:r>
      <w:r w:rsidR="00024B9F">
        <w:rPr>
          <w:rFonts w:ascii="Calibri" w:hAnsi="Calibri"/>
          <w:sz w:val="22"/>
          <w:szCs w:val="22"/>
        </w:rPr>
        <w:t>s</w:t>
      </w:r>
      <w:r w:rsidR="00024B9F" w:rsidRPr="00644CC0">
        <w:rPr>
          <w:rFonts w:ascii="Calibri" w:hAnsi="Calibri"/>
          <w:sz w:val="22"/>
          <w:szCs w:val="22"/>
        </w:rPr>
        <w:t>.</w:t>
      </w:r>
      <w:r w:rsidRPr="00713784">
        <w:rPr>
          <w:rFonts w:ascii="Calibri" w:hAnsi="Calibri"/>
          <w:sz w:val="22"/>
          <w:szCs w:val="22"/>
        </w:rPr>
        <w:t xml:space="preserve"> </w:t>
      </w:r>
      <w:r w:rsidRPr="00644CC0">
        <w:rPr>
          <w:rFonts w:ascii="Calibri" w:hAnsi="Calibri"/>
          <w:sz w:val="22"/>
          <w:szCs w:val="22"/>
        </w:rPr>
        <w:t xml:space="preserve">Generally, similar data which exist in the field of international prices cannot be used in lieu of the data collected by the IPP survey because the only "similar" data (trade journal prices and the former Department of Commerce unit value indexes) are the same data whose deficiencies prompted the creation of the IPP survey.  </w:t>
      </w:r>
    </w:p>
    <w:p w:rsidR="00024B9F" w:rsidRPr="00644CC0" w:rsidRDefault="00024B9F" w:rsidP="00024B9F">
      <w:pPr>
        <w:tabs>
          <w:tab w:val="left" w:pos="480"/>
          <w:tab w:val="left" w:pos="960"/>
          <w:tab w:val="left" w:pos="1320"/>
          <w:tab w:val="left" w:pos="1800"/>
          <w:tab w:val="left" w:pos="2760"/>
        </w:tabs>
        <w:spacing w:before="120"/>
        <w:rPr>
          <w:rFonts w:ascii="Calibri" w:hAnsi="Calibri"/>
          <w:sz w:val="22"/>
          <w:szCs w:val="22"/>
        </w:rPr>
      </w:pPr>
    </w:p>
    <w:p w:rsidR="00024B9F" w:rsidRPr="00644CC0" w:rsidRDefault="00024B9F" w:rsidP="00024B9F">
      <w:pPr>
        <w:rPr>
          <w:rFonts w:ascii="Calibri" w:hAnsi="Calibri"/>
          <w:b/>
          <w:color w:val="000000"/>
          <w:sz w:val="22"/>
          <w:szCs w:val="22"/>
        </w:rPr>
      </w:pPr>
      <w:r w:rsidRPr="00644CC0">
        <w:rPr>
          <w:rFonts w:ascii="Calibri" w:hAnsi="Calibri"/>
          <w:b/>
          <w:color w:val="000000"/>
          <w:sz w:val="22"/>
          <w:szCs w:val="22"/>
        </w:rPr>
        <w:t>5.</w:t>
      </w:r>
      <w:r w:rsidRPr="00644CC0">
        <w:rPr>
          <w:rFonts w:ascii="Calibri" w:hAnsi="Calibri"/>
          <w:b/>
          <w:color w:val="000000"/>
          <w:sz w:val="22"/>
          <w:szCs w:val="22"/>
        </w:rPr>
        <w:tab/>
        <w:t>Impact on Small Businesses</w:t>
      </w:r>
    </w:p>
    <w:p w:rsidR="00024B9F" w:rsidRPr="00644CC0" w:rsidRDefault="00024B9F" w:rsidP="00024B9F">
      <w:pPr>
        <w:rPr>
          <w:rFonts w:ascii="Calibri" w:hAnsi="Calibri"/>
          <w:b/>
          <w:color w:val="000000"/>
          <w:sz w:val="22"/>
          <w:szCs w:val="22"/>
        </w:rPr>
      </w:pPr>
    </w:p>
    <w:p w:rsidR="00024B9F" w:rsidRPr="00644CC0" w:rsidRDefault="00024B9F" w:rsidP="00024B9F">
      <w:pPr>
        <w:rPr>
          <w:rFonts w:ascii="Calibri" w:hAnsi="Calibri"/>
          <w:b/>
          <w:color w:val="000000"/>
          <w:sz w:val="22"/>
          <w:szCs w:val="22"/>
        </w:rPr>
      </w:pPr>
      <w:r w:rsidRPr="00644CC0">
        <w:rPr>
          <w:rFonts w:ascii="Calibri" w:hAnsi="Calibri"/>
          <w:sz w:val="22"/>
          <w:szCs w:val="22"/>
        </w:rPr>
        <w:t>The sampling procedures used by the IPP tend to select firms that are high</w:t>
      </w:r>
      <w:r w:rsidRPr="00644CC0">
        <w:rPr>
          <w:rFonts w:ascii="Calibri" w:hAnsi="Calibri"/>
          <w:sz w:val="22"/>
          <w:szCs w:val="22"/>
        </w:rPr>
        <w:noBreakHyphen/>
        <w:t>volume, regular traders in a product or service area.  This technique minimizes the chances of small organizations being selected to report data for more than one or two items.</w:t>
      </w:r>
    </w:p>
    <w:p w:rsidR="00024B9F" w:rsidRPr="00644CC0" w:rsidRDefault="00024B9F" w:rsidP="00024B9F">
      <w:pPr>
        <w:rPr>
          <w:rFonts w:ascii="Calibri" w:hAnsi="Calibri"/>
          <w:b/>
          <w:color w:val="000000"/>
          <w:sz w:val="22"/>
          <w:szCs w:val="22"/>
        </w:rPr>
      </w:pPr>
    </w:p>
    <w:p w:rsidR="00024B9F" w:rsidRPr="00644CC0" w:rsidRDefault="00024B9F" w:rsidP="00024B9F">
      <w:pPr>
        <w:rPr>
          <w:rFonts w:ascii="Calibri" w:hAnsi="Calibri"/>
          <w:b/>
          <w:color w:val="000000"/>
          <w:sz w:val="22"/>
          <w:szCs w:val="22"/>
        </w:rPr>
      </w:pPr>
      <w:r w:rsidRPr="00644CC0">
        <w:rPr>
          <w:rFonts w:ascii="Calibri" w:hAnsi="Calibri"/>
          <w:b/>
          <w:color w:val="000000"/>
          <w:sz w:val="22"/>
          <w:szCs w:val="22"/>
        </w:rPr>
        <w:t>6.</w:t>
      </w:r>
      <w:r w:rsidRPr="00644CC0">
        <w:rPr>
          <w:rFonts w:ascii="Calibri" w:hAnsi="Calibri"/>
          <w:b/>
          <w:color w:val="000000"/>
          <w:sz w:val="22"/>
          <w:szCs w:val="22"/>
        </w:rPr>
        <w:tab/>
        <w:t xml:space="preserve">Consequences of </w:t>
      </w:r>
      <w:r>
        <w:rPr>
          <w:rFonts w:ascii="Calibri" w:hAnsi="Calibri"/>
          <w:b/>
          <w:color w:val="000000"/>
          <w:sz w:val="22"/>
          <w:szCs w:val="22"/>
        </w:rPr>
        <w:t xml:space="preserve">Less Frequent Collection of </w:t>
      </w:r>
      <w:r w:rsidRPr="00644CC0">
        <w:rPr>
          <w:rFonts w:ascii="Calibri" w:hAnsi="Calibri"/>
          <w:b/>
          <w:color w:val="000000"/>
          <w:sz w:val="22"/>
          <w:szCs w:val="22"/>
        </w:rPr>
        <w:t>the U.S. Import and Expor</w:t>
      </w:r>
      <w:r>
        <w:rPr>
          <w:rFonts w:ascii="Calibri" w:hAnsi="Calibri"/>
          <w:b/>
          <w:color w:val="000000"/>
          <w:sz w:val="22"/>
          <w:szCs w:val="22"/>
        </w:rPr>
        <w:t xml:space="preserve">t </w:t>
      </w:r>
      <w:r w:rsidRPr="00644CC0">
        <w:rPr>
          <w:rFonts w:ascii="Calibri" w:hAnsi="Calibri"/>
          <w:b/>
          <w:color w:val="000000"/>
          <w:sz w:val="22"/>
          <w:szCs w:val="22"/>
        </w:rPr>
        <w:t>Price Indexes</w:t>
      </w:r>
    </w:p>
    <w:p w:rsidR="00024B9F" w:rsidRPr="00644CC0" w:rsidRDefault="00024B9F" w:rsidP="00024B9F">
      <w:pPr>
        <w:rPr>
          <w:rFonts w:ascii="Calibri" w:hAnsi="Calibri"/>
          <w:b/>
          <w:color w:val="000000"/>
          <w:sz w:val="22"/>
          <w:szCs w:val="22"/>
        </w:rPr>
      </w:pPr>
    </w:p>
    <w:p w:rsidR="00024B9F" w:rsidRPr="00644CC0" w:rsidRDefault="00024B9F" w:rsidP="00024B9F">
      <w:pPr>
        <w:rPr>
          <w:rFonts w:ascii="Calibri" w:hAnsi="Calibri"/>
          <w:color w:val="000000"/>
          <w:sz w:val="22"/>
          <w:szCs w:val="22"/>
        </w:rPr>
      </w:pPr>
      <w:r w:rsidRPr="00644CC0">
        <w:rPr>
          <w:rFonts w:ascii="Calibri" w:hAnsi="Calibri"/>
          <w:sz w:val="22"/>
          <w:szCs w:val="22"/>
        </w:rPr>
        <w:t>The International Price Program indexes are closely followed statistics which are viewed as a sensitive indicator of the economic environment.  Federal policy</w:t>
      </w:r>
      <w:r w:rsidRPr="00644CC0">
        <w:rPr>
          <w:rFonts w:ascii="Calibri" w:hAnsi="Calibri"/>
          <w:sz w:val="22"/>
          <w:szCs w:val="22"/>
        </w:rPr>
        <w:noBreakHyphen/>
        <w:t>makers in the Department of Treasury, the Council of Economic Advisors, the Bureau of the Census, the Bureau of Economic Analysis, and the Federal Reserve Board utilize these statistics to form and evaluate monetary and fiscal policy and the general business environment.  These agencies use the monthly data to deflate trade statistics to produce real, as opposed to the current nominal, trade flows.  These real figures help to improve the agencies' formulation and evaluation of monetary and fiscal policy and the general business environment.  Failure to provide current data would tend to extend recognition and adaptation time to economic events.</w:t>
      </w:r>
    </w:p>
    <w:p w:rsidR="00024B9F" w:rsidRDefault="00024B9F" w:rsidP="00024B9F">
      <w:pPr>
        <w:rPr>
          <w:rFonts w:ascii="Calibri" w:hAnsi="Calibri"/>
          <w:b/>
          <w:color w:val="000000"/>
          <w:sz w:val="22"/>
          <w:szCs w:val="22"/>
        </w:rPr>
      </w:pPr>
    </w:p>
    <w:p w:rsidR="001C0DCC" w:rsidRDefault="001C0DCC" w:rsidP="00024B9F">
      <w:pPr>
        <w:rPr>
          <w:rFonts w:ascii="Calibri" w:hAnsi="Calibri"/>
          <w:b/>
          <w:color w:val="000000"/>
          <w:sz w:val="22"/>
          <w:szCs w:val="22"/>
        </w:rPr>
      </w:pPr>
    </w:p>
    <w:p w:rsidR="001C0DCC" w:rsidRPr="00644CC0" w:rsidRDefault="001C0DCC" w:rsidP="00024B9F">
      <w:pPr>
        <w:rPr>
          <w:rFonts w:ascii="Calibri" w:hAnsi="Calibri"/>
          <w:b/>
          <w:color w:val="000000"/>
          <w:sz w:val="22"/>
          <w:szCs w:val="22"/>
        </w:rPr>
      </w:pPr>
    </w:p>
    <w:p w:rsidR="00024B9F" w:rsidRPr="00644CC0" w:rsidRDefault="00024B9F" w:rsidP="00024B9F">
      <w:pPr>
        <w:rPr>
          <w:rFonts w:ascii="Calibri" w:hAnsi="Calibri"/>
          <w:b/>
          <w:color w:val="000000"/>
          <w:sz w:val="22"/>
          <w:szCs w:val="22"/>
        </w:rPr>
      </w:pPr>
      <w:r w:rsidRPr="00644CC0">
        <w:rPr>
          <w:rFonts w:ascii="Calibri" w:hAnsi="Calibri"/>
          <w:b/>
          <w:color w:val="000000"/>
          <w:sz w:val="22"/>
          <w:szCs w:val="22"/>
        </w:rPr>
        <w:lastRenderedPageBreak/>
        <w:t>7.</w:t>
      </w:r>
      <w:r w:rsidRPr="00644CC0">
        <w:rPr>
          <w:rFonts w:ascii="Calibri" w:hAnsi="Calibri"/>
          <w:b/>
          <w:color w:val="000000"/>
          <w:sz w:val="22"/>
          <w:szCs w:val="22"/>
        </w:rPr>
        <w:tab/>
      </w:r>
      <w:r>
        <w:rPr>
          <w:rFonts w:ascii="Calibri" w:hAnsi="Calibri"/>
          <w:b/>
          <w:color w:val="000000"/>
          <w:sz w:val="22"/>
          <w:szCs w:val="22"/>
        </w:rPr>
        <w:t>Special Circumstances</w:t>
      </w:r>
      <w:r w:rsidRPr="00644CC0">
        <w:rPr>
          <w:rFonts w:ascii="Calibri" w:hAnsi="Calibri"/>
          <w:b/>
          <w:color w:val="000000"/>
          <w:sz w:val="22"/>
          <w:szCs w:val="22"/>
        </w:rPr>
        <w:tab/>
      </w:r>
    </w:p>
    <w:p w:rsidR="00024B9F" w:rsidRPr="00644CC0" w:rsidRDefault="00024B9F" w:rsidP="00024B9F">
      <w:pPr>
        <w:tabs>
          <w:tab w:val="left" w:pos="480"/>
          <w:tab w:val="left" w:pos="960"/>
          <w:tab w:val="left" w:pos="1320"/>
          <w:tab w:val="left" w:pos="1800"/>
          <w:tab w:val="left" w:pos="2760"/>
        </w:tabs>
        <w:rPr>
          <w:rFonts w:ascii="Calibri" w:hAnsi="Calibri"/>
          <w:b/>
          <w:color w:val="000000"/>
          <w:sz w:val="22"/>
          <w:szCs w:val="22"/>
        </w:rPr>
      </w:pPr>
    </w:p>
    <w:p w:rsidR="00024B9F" w:rsidRPr="00644CC0" w:rsidRDefault="00024B9F" w:rsidP="00024B9F">
      <w:pPr>
        <w:tabs>
          <w:tab w:val="left" w:pos="480"/>
          <w:tab w:val="left" w:pos="960"/>
          <w:tab w:val="left" w:pos="1320"/>
          <w:tab w:val="left" w:pos="1800"/>
          <w:tab w:val="left" w:pos="2760"/>
        </w:tabs>
        <w:rPr>
          <w:rFonts w:ascii="Calibri" w:hAnsi="Calibri"/>
          <w:sz w:val="22"/>
          <w:szCs w:val="22"/>
        </w:rPr>
      </w:pPr>
      <w:r w:rsidRPr="00644CC0">
        <w:rPr>
          <w:rFonts w:ascii="Calibri" w:hAnsi="Calibri"/>
          <w:sz w:val="22"/>
          <w:szCs w:val="22"/>
        </w:rPr>
        <w:t xml:space="preserve">All IPP data for </w:t>
      </w:r>
      <w:r>
        <w:rPr>
          <w:rFonts w:ascii="Calibri" w:hAnsi="Calibri"/>
          <w:sz w:val="22"/>
          <w:szCs w:val="22"/>
        </w:rPr>
        <w:t>goods</w:t>
      </w:r>
      <w:r w:rsidRPr="00644CC0">
        <w:rPr>
          <w:rFonts w:ascii="Calibri" w:hAnsi="Calibri"/>
          <w:sz w:val="22"/>
          <w:szCs w:val="22"/>
        </w:rPr>
        <w:t xml:space="preserve"> and services are collected and published on a monthly basis.  This monthly collection and publication of price data enables the Department of Commerce to produce monthly merchandise trade flow figures adjusted for inflation.</w:t>
      </w:r>
    </w:p>
    <w:p w:rsidR="00024B9F" w:rsidRPr="00644CC0" w:rsidRDefault="00024B9F" w:rsidP="00024B9F">
      <w:pPr>
        <w:tabs>
          <w:tab w:val="left" w:pos="480"/>
          <w:tab w:val="left" w:pos="960"/>
          <w:tab w:val="left" w:pos="1320"/>
          <w:tab w:val="left" w:pos="1800"/>
          <w:tab w:val="left" w:pos="2760"/>
        </w:tabs>
        <w:spacing w:before="120"/>
        <w:rPr>
          <w:rFonts w:ascii="Calibri" w:hAnsi="Calibri"/>
          <w:sz w:val="22"/>
          <w:szCs w:val="22"/>
        </w:rPr>
      </w:pPr>
      <w:r>
        <w:rPr>
          <w:rFonts w:ascii="Calibri" w:hAnsi="Calibri"/>
          <w:sz w:val="22"/>
          <w:szCs w:val="22"/>
        </w:rPr>
        <w:t xml:space="preserve">In order to meet our </w:t>
      </w:r>
      <w:r w:rsidRPr="00644CC0">
        <w:rPr>
          <w:rFonts w:ascii="Calibri" w:hAnsi="Calibri"/>
          <w:sz w:val="22"/>
          <w:szCs w:val="22"/>
        </w:rPr>
        <w:t xml:space="preserve">publication deadlines, the IPP requests that its </w:t>
      </w:r>
      <w:r>
        <w:rPr>
          <w:rFonts w:ascii="Calibri" w:hAnsi="Calibri"/>
          <w:sz w:val="22"/>
          <w:szCs w:val="22"/>
        </w:rPr>
        <w:t>respondent</w:t>
      </w:r>
      <w:r w:rsidRPr="00644CC0">
        <w:rPr>
          <w:rFonts w:ascii="Calibri" w:hAnsi="Calibri"/>
          <w:sz w:val="22"/>
          <w:szCs w:val="22"/>
        </w:rPr>
        <w:t>s return the monthly price information forms within a week after receipt.  Currently, the IPP Press Release is typically during the second week of the month following the reference period.</w:t>
      </w:r>
    </w:p>
    <w:p w:rsidR="00024B9F" w:rsidRPr="00644CC0" w:rsidRDefault="00024B9F" w:rsidP="00024B9F">
      <w:pPr>
        <w:tabs>
          <w:tab w:val="left" w:pos="480"/>
          <w:tab w:val="left" w:pos="960"/>
          <w:tab w:val="left" w:pos="1320"/>
          <w:tab w:val="left" w:pos="1800"/>
          <w:tab w:val="left" w:pos="2760"/>
        </w:tabs>
        <w:spacing w:before="120"/>
        <w:rPr>
          <w:rFonts w:ascii="Calibri" w:hAnsi="Calibri"/>
          <w:sz w:val="22"/>
          <w:szCs w:val="22"/>
        </w:rPr>
      </w:pPr>
      <w:r w:rsidRPr="00644CC0">
        <w:rPr>
          <w:rFonts w:ascii="Calibri" w:hAnsi="Calibri"/>
          <w:sz w:val="22"/>
          <w:szCs w:val="22"/>
        </w:rPr>
        <w:t>The International Price Program does not request duplicates of any document.</w:t>
      </w:r>
    </w:p>
    <w:p w:rsidR="00024B9F" w:rsidRPr="00644CC0" w:rsidRDefault="00024B9F" w:rsidP="00024B9F">
      <w:pPr>
        <w:tabs>
          <w:tab w:val="left" w:pos="480"/>
          <w:tab w:val="left" w:pos="960"/>
          <w:tab w:val="left" w:pos="1320"/>
          <w:tab w:val="left" w:pos="1800"/>
          <w:tab w:val="left" w:pos="2760"/>
        </w:tabs>
        <w:spacing w:before="120"/>
        <w:rPr>
          <w:rFonts w:ascii="Calibri" w:hAnsi="Calibri"/>
          <w:sz w:val="22"/>
          <w:szCs w:val="22"/>
        </w:rPr>
      </w:pPr>
      <w:r w:rsidRPr="00644CC0">
        <w:rPr>
          <w:rFonts w:ascii="Calibri" w:hAnsi="Calibri"/>
          <w:sz w:val="22"/>
          <w:szCs w:val="22"/>
        </w:rPr>
        <w:t xml:space="preserve">The IPP does not require </w:t>
      </w:r>
      <w:r>
        <w:rPr>
          <w:rFonts w:ascii="Calibri" w:hAnsi="Calibri"/>
          <w:sz w:val="22"/>
          <w:szCs w:val="22"/>
        </w:rPr>
        <w:t>respondent</w:t>
      </w:r>
      <w:r w:rsidRPr="00644CC0">
        <w:rPr>
          <w:rFonts w:ascii="Calibri" w:hAnsi="Calibri"/>
          <w:sz w:val="22"/>
          <w:szCs w:val="22"/>
        </w:rPr>
        <w:t>s to retain records of any kind, for a period of any duration.</w:t>
      </w:r>
    </w:p>
    <w:p w:rsidR="00024B9F" w:rsidRPr="00644CC0" w:rsidRDefault="00024B9F" w:rsidP="00024B9F">
      <w:pPr>
        <w:tabs>
          <w:tab w:val="left" w:pos="480"/>
          <w:tab w:val="left" w:pos="960"/>
          <w:tab w:val="left" w:pos="1320"/>
          <w:tab w:val="left" w:pos="1800"/>
          <w:tab w:val="left" w:pos="2760"/>
        </w:tabs>
        <w:spacing w:before="120"/>
        <w:rPr>
          <w:rFonts w:ascii="Calibri" w:hAnsi="Calibri"/>
          <w:sz w:val="22"/>
          <w:szCs w:val="22"/>
        </w:rPr>
      </w:pPr>
      <w:r w:rsidRPr="00644CC0">
        <w:rPr>
          <w:rFonts w:ascii="Calibri" w:hAnsi="Calibri"/>
          <w:sz w:val="22"/>
          <w:szCs w:val="22"/>
        </w:rPr>
        <w:t>The IPP is designed to produce valid and reliable results that can be generalized to the universe of study.</w:t>
      </w:r>
    </w:p>
    <w:p w:rsidR="00024B9F" w:rsidRPr="00644CC0" w:rsidRDefault="00024B9F" w:rsidP="00024B9F">
      <w:pPr>
        <w:tabs>
          <w:tab w:val="left" w:pos="480"/>
          <w:tab w:val="left" w:pos="960"/>
          <w:tab w:val="left" w:pos="1320"/>
          <w:tab w:val="left" w:pos="1800"/>
          <w:tab w:val="left" w:pos="2760"/>
        </w:tabs>
        <w:spacing w:before="120"/>
        <w:rPr>
          <w:rFonts w:ascii="Calibri" w:hAnsi="Calibri"/>
          <w:sz w:val="22"/>
          <w:szCs w:val="22"/>
        </w:rPr>
      </w:pPr>
      <w:r w:rsidRPr="00644CC0">
        <w:rPr>
          <w:rFonts w:ascii="Calibri" w:hAnsi="Calibri"/>
          <w:sz w:val="22"/>
          <w:szCs w:val="22"/>
        </w:rPr>
        <w:t xml:space="preserve">The IPP indexes are based on established classification systems.  </w:t>
      </w:r>
    </w:p>
    <w:p w:rsidR="00024B9F" w:rsidRPr="00644CC0" w:rsidRDefault="00024B9F" w:rsidP="00024B9F">
      <w:pPr>
        <w:tabs>
          <w:tab w:val="left" w:pos="480"/>
          <w:tab w:val="left" w:pos="960"/>
          <w:tab w:val="left" w:pos="1320"/>
          <w:tab w:val="left" w:pos="1800"/>
          <w:tab w:val="left" w:pos="2760"/>
        </w:tabs>
        <w:spacing w:before="120"/>
        <w:rPr>
          <w:rFonts w:ascii="Calibri" w:hAnsi="Calibri"/>
          <w:sz w:val="22"/>
          <w:szCs w:val="22"/>
        </w:rPr>
      </w:pPr>
      <w:r w:rsidRPr="00644CC0">
        <w:rPr>
          <w:rFonts w:ascii="Calibri" w:hAnsi="Calibri"/>
          <w:sz w:val="22"/>
          <w:szCs w:val="22"/>
        </w:rPr>
        <w:t>The IPP collects confidential price data.  These data are for internal BLS use only, to construct price indexes.</w:t>
      </w:r>
    </w:p>
    <w:p w:rsidR="00024B9F" w:rsidRPr="00644CC0" w:rsidRDefault="00024B9F" w:rsidP="00024B9F">
      <w:pPr>
        <w:rPr>
          <w:rFonts w:ascii="Calibri" w:hAnsi="Calibri"/>
          <w:b/>
          <w:color w:val="000000"/>
          <w:sz w:val="22"/>
          <w:szCs w:val="22"/>
        </w:rPr>
      </w:pPr>
    </w:p>
    <w:p w:rsidR="00024B9F" w:rsidRPr="00644CC0" w:rsidRDefault="00024B9F" w:rsidP="00024B9F">
      <w:pPr>
        <w:rPr>
          <w:rFonts w:ascii="Calibri" w:hAnsi="Calibri"/>
          <w:b/>
          <w:color w:val="000000"/>
          <w:sz w:val="22"/>
          <w:szCs w:val="22"/>
        </w:rPr>
      </w:pPr>
      <w:r w:rsidRPr="00644CC0">
        <w:rPr>
          <w:rFonts w:ascii="Calibri" w:hAnsi="Calibri"/>
          <w:b/>
          <w:color w:val="000000"/>
          <w:sz w:val="22"/>
          <w:szCs w:val="22"/>
        </w:rPr>
        <w:t>8.</w:t>
      </w:r>
      <w:r w:rsidRPr="00644CC0">
        <w:rPr>
          <w:rFonts w:ascii="Calibri" w:hAnsi="Calibri"/>
          <w:b/>
          <w:color w:val="000000"/>
          <w:sz w:val="22"/>
          <w:szCs w:val="22"/>
        </w:rPr>
        <w:tab/>
        <w:t>Efforts to Address Comments on Data Collection</w:t>
      </w:r>
      <w:r w:rsidRPr="00644CC0">
        <w:rPr>
          <w:rFonts w:ascii="Calibri" w:hAnsi="Calibri"/>
          <w:b/>
          <w:color w:val="000000"/>
          <w:sz w:val="22"/>
          <w:szCs w:val="22"/>
        </w:rPr>
        <w:tab/>
      </w:r>
    </w:p>
    <w:p w:rsidR="001C0DCC" w:rsidRDefault="001C0DCC" w:rsidP="00024B9F">
      <w:pPr>
        <w:tabs>
          <w:tab w:val="left" w:pos="480"/>
          <w:tab w:val="left" w:pos="1170"/>
          <w:tab w:val="left" w:pos="1800"/>
          <w:tab w:val="left" w:pos="2760"/>
        </w:tabs>
        <w:spacing w:after="120"/>
        <w:rPr>
          <w:rFonts w:ascii="Calibri" w:hAnsi="Calibri"/>
          <w:sz w:val="22"/>
          <w:szCs w:val="22"/>
        </w:rPr>
      </w:pPr>
    </w:p>
    <w:p w:rsidR="001C0DCC" w:rsidRDefault="001C0DCC" w:rsidP="001C0DCC">
      <w:pPr>
        <w:tabs>
          <w:tab w:val="left" w:pos="480"/>
          <w:tab w:val="left" w:pos="1170"/>
          <w:tab w:val="left" w:pos="1800"/>
          <w:tab w:val="left" w:pos="2760"/>
        </w:tabs>
        <w:spacing w:after="240" w:line="240" w:lineRule="exact"/>
        <w:rPr>
          <w:rFonts w:ascii="Calibri" w:hAnsi="Calibri"/>
          <w:sz w:val="22"/>
          <w:szCs w:val="22"/>
        </w:rPr>
      </w:pPr>
      <w:r>
        <w:rPr>
          <w:rFonts w:ascii="Calibri" w:hAnsi="Calibri"/>
          <w:sz w:val="22"/>
          <w:szCs w:val="22"/>
        </w:rPr>
        <w:t>One comment was</w:t>
      </w:r>
      <w:r w:rsidR="00024B9F" w:rsidRPr="0075499C">
        <w:rPr>
          <w:rFonts w:ascii="Calibri" w:hAnsi="Calibri"/>
          <w:sz w:val="22"/>
          <w:szCs w:val="22"/>
        </w:rPr>
        <w:t xml:space="preserve"> received as a result of the Federal Register Notice published in </w:t>
      </w:r>
      <w:r>
        <w:rPr>
          <w:rFonts w:ascii="Calibri" w:hAnsi="Calibri"/>
          <w:sz w:val="22"/>
          <w:szCs w:val="22"/>
        </w:rPr>
        <w:t xml:space="preserve">77 FR 27799 on </w:t>
      </w:r>
      <w:r w:rsidR="00024B9F">
        <w:rPr>
          <w:rFonts w:ascii="Calibri" w:hAnsi="Calibri"/>
          <w:sz w:val="22"/>
          <w:szCs w:val="22"/>
        </w:rPr>
        <w:t>May</w:t>
      </w:r>
      <w:r w:rsidR="00024B9F" w:rsidRPr="0075499C">
        <w:rPr>
          <w:rFonts w:ascii="Calibri" w:hAnsi="Calibri"/>
          <w:sz w:val="22"/>
          <w:szCs w:val="22"/>
        </w:rPr>
        <w:t xml:space="preserve"> </w:t>
      </w:r>
      <w:r>
        <w:rPr>
          <w:rFonts w:ascii="Calibri" w:hAnsi="Calibri"/>
          <w:sz w:val="22"/>
          <w:szCs w:val="22"/>
        </w:rPr>
        <w:t>11</w:t>
      </w:r>
      <w:r w:rsidR="00024B9F" w:rsidRPr="0075499C">
        <w:rPr>
          <w:rFonts w:ascii="Calibri" w:hAnsi="Calibri"/>
          <w:sz w:val="22"/>
          <w:szCs w:val="22"/>
        </w:rPr>
        <w:t>, 2012.</w:t>
      </w:r>
      <w:r w:rsidR="00024B9F" w:rsidRPr="00644CC0">
        <w:rPr>
          <w:rFonts w:ascii="Calibri" w:hAnsi="Calibri"/>
          <w:sz w:val="22"/>
          <w:szCs w:val="22"/>
        </w:rPr>
        <w:br/>
      </w:r>
    </w:p>
    <w:p w:rsidR="001C0DCC" w:rsidRDefault="001C0DCC" w:rsidP="001C0DCC">
      <w:pPr>
        <w:tabs>
          <w:tab w:val="left" w:pos="480"/>
          <w:tab w:val="left" w:pos="1170"/>
          <w:tab w:val="left" w:pos="1800"/>
          <w:tab w:val="left" w:pos="2760"/>
        </w:tabs>
        <w:spacing w:after="240" w:line="240" w:lineRule="exact"/>
        <w:rPr>
          <w:rFonts w:ascii="Calibri" w:hAnsi="Calibri"/>
          <w:sz w:val="22"/>
          <w:szCs w:val="22"/>
        </w:rPr>
      </w:pPr>
      <w:r w:rsidRPr="00E55F2A">
        <w:rPr>
          <w:rFonts w:ascii="Calibri" w:hAnsi="Calibri"/>
          <w:sz w:val="22"/>
          <w:szCs w:val="22"/>
        </w:rPr>
        <w:t>The Bureau of Economic Analysis (BEA) commented that it supports the continuation of the International Price Program since it is the only data source for several key components of BEA’s economic statistics.  BEA uses information from the IPP indexes in preparing “real” estimates of most components of exports and imports of goods, imports of equipment and software, and imports in inventories in the national income and product accounts.  The indexes available for services are used to prepare estimates of real exports and imports of services.  Also, the end-use import price indexes are used to prepare annual estimates of real gross domestic product by industry.</w:t>
      </w:r>
    </w:p>
    <w:p w:rsidR="00024B9F" w:rsidRPr="00644CC0" w:rsidRDefault="00024B9F" w:rsidP="001C0DCC">
      <w:pPr>
        <w:tabs>
          <w:tab w:val="left" w:pos="480"/>
          <w:tab w:val="left" w:pos="1170"/>
          <w:tab w:val="left" w:pos="1800"/>
          <w:tab w:val="left" w:pos="2760"/>
        </w:tabs>
        <w:spacing w:after="240" w:line="240" w:lineRule="exact"/>
        <w:rPr>
          <w:rFonts w:ascii="Calibri" w:hAnsi="Calibri"/>
          <w:sz w:val="22"/>
          <w:szCs w:val="22"/>
        </w:rPr>
      </w:pPr>
      <w:r w:rsidRPr="00644CC0">
        <w:rPr>
          <w:rFonts w:ascii="Calibri" w:hAnsi="Calibri"/>
          <w:sz w:val="22"/>
          <w:szCs w:val="22"/>
        </w:rPr>
        <w:t xml:space="preserve">The IPP survey reflects inputs that have been provided by a wide range of organizations and individuals over the years.  The original recommendations for the IPP survey grew out of the 1961 report sponsored by the Joint Economic Committee of the Congress.  This information has been updated and maintained via regular contact with BLS's Business and Labor Research Advisory Councils, Federal Statistical Users Conferences, numerous international conferences, and ongoing meetings with the various Federal Agencies which use the IPP data for analysis.  Users include offices of the Departments of Labor, Commerce, Treasury, and Energy, as well as the Congressional Budget Office and the Federal Reserve Board.  </w:t>
      </w:r>
    </w:p>
    <w:p w:rsidR="00024B9F" w:rsidRDefault="00024B9F" w:rsidP="00024B9F">
      <w:pPr>
        <w:tabs>
          <w:tab w:val="left" w:pos="480"/>
          <w:tab w:val="left" w:pos="605"/>
          <w:tab w:val="left" w:pos="1530"/>
          <w:tab w:val="left" w:pos="1800"/>
          <w:tab w:val="left" w:pos="2760"/>
        </w:tabs>
        <w:spacing w:after="120"/>
        <w:rPr>
          <w:rFonts w:ascii="Calibri" w:hAnsi="Calibri"/>
          <w:b/>
          <w:sz w:val="22"/>
          <w:szCs w:val="22"/>
        </w:rPr>
      </w:pPr>
      <w:r w:rsidRPr="00644CC0">
        <w:rPr>
          <w:rFonts w:ascii="Calibri" w:hAnsi="Calibri"/>
          <w:sz w:val="22"/>
          <w:szCs w:val="22"/>
        </w:rPr>
        <w:t xml:space="preserve">Since the Program involves a continuing rotation of industries and sampling units, contacts are conducted in person with trade groups and a number of individual businessmen.  The fact that the IPP survey is voluntary requires that the ideas on survey design, </w:t>
      </w:r>
      <w:r>
        <w:rPr>
          <w:rFonts w:ascii="Calibri" w:hAnsi="Calibri"/>
          <w:sz w:val="22"/>
          <w:szCs w:val="22"/>
        </w:rPr>
        <w:t xml:space="preserve">survey </w:t>
      </w:r>
      <w:r w:rsidRPr="00644CC0">
        <w:rPr>
          <w:rFonts w:ascii="Calibri" w:hAnsi="Calibri"/>
          <w:sz w:val="22"/>
          <w:szCs w:val="22"/>
        </w:rPr>
        <w:t>operations and data presentation offered by these sources be studied carefully and instituted when possible.</w:t>
      </w:r>
      <w:r w:rsidRPr="00644CC0">
        <w:rPr>
          <w:rFonts w:ascii="Calibri" w:hAnsi="Calibri"/>
          <w:b/>
          <w:sz w:val="22"/>
          <w:szCs w:val="22"/>
        </w:rPr>
        <w:tab/>
      </w:r>
    </w:p>
    <w:p w:rsidR="00024B9F" w:rsidRDefault="00024B9F" w:rsidP="00024B9F">
      <w:pPr>
        <w:tabs>
          <w:tab w:val="left" w:pos="480"/>
          <w:tab w:val="left" w:pos="605"/>
          <w:tab w:val="left" w:pos="1530"/>
          <w:tab w:val="left" w:pos="1800"/>
          <w:tab w:val="left" w:pos="2760"/>
        </w:tabs>
        <w:spacing w:after="120"/>
        <w:rPr>
          <w:rFonts w:ascii="Calibri" w:hAnsi="Calibri"/>
          <w:b/>
          <w:sz w:val="22"/>
          <w:szCs w:val="22"/>
        </w:rPr>
      </w:pPr>
    </w:p>
    <w:p w:rsidR="00024B9F" w:rsidRPr="00644CC0" w:rsidRDefault="00024B9F" w:rsidP="00024B9F">
      <w:pPr>
        <w:rPr>
          <w:rFonts w:ascii="Calibri" w:hAnsi="Calibri"/>
          <w:b/>
          <w:color w:val="000000"/>
          <w:sz w:val="22"/>
          <w:szCs w:val="22"/>
        </w:rPr>
      </w:pPr>
      <w:r w:rsidRPr="00644CC0">
        <w:rPr>
          <w:rFonts w:ascii="Calibri" w:hAnsi="Calibri"/>
          <w:b/>
          <w:color w:val="000000"/>
          <w:sz w:val="22"/>
          <w:szCs w:val="22"/>
        </w:rPr>
        <w:t>9.</w:t>
      </w:r>
      <w:r w:rsidRPr="00644CC0">
        <w:rPr>
          <w:rFonts w:ascii="Calibri" w:hAnsi="Calibri"/>
          <w:b/>
          <w:color w:val="000000"/>
          <w:sz w:val="22"/>
          <w:szCs w:val="22"/>
        </w:rPr>
        <w:tab/>
        <w:t xml:space="preserve">Payment to </w:t>
      </w:r>
      <w:r>
        <w:rPr>
          <w:rFonts w:ascii="Calibri" w:hAnsi="Calibri"/>
          <w:b/>
          <w:color w:val="000000"/>
          <w:sz w:val="22"/>
          <w:szCs w:val="22"/>
        </w:rPr>
        <w:t>Respondent</w:t>
      </w:r>
      <w:r w:rsidRPr="00644CC0">
        <w:rPr>
          <w:rFonts w:ascii="Calibri" w:hAnsi="Calibri"/>
          <w:b/>
          <w:color w:val="000000"/>
          <w:sz w:val="22"/>
          <w:szCs w:val="22"/>
        </w:rPr>
        <w:t>s</w:t>
      </w:r>
    </w:p>
    <w:p w:rsidR="00024B9F" w:rsidRPr="00644CC0" w:rsidRDefault="00024B9F" w:rsidP="00024B9F">
      <w:pPr>
        <w:rPr>
          <w:rFonts w:ascii="Calibri" w:hAnsi="Calibri"/>
          <w:color w:val="000000"/>
          <w:sz w:val="22"/>
          <w:szCs w:val="22"/>
        </w:rPr>
      </w:pPr>
    </w:p>
    <w:p w:rsidR="00024B9F" w:rsidRPr="00644CC0" w:rsidRDefault="00024B9F" w:rsidP="00024B9F">
      <w:pPr>
        <w:rPr>
          <w:rFonts w:ascii="Calibri" w:hAnsi="Calibri"/>
          <w:color w:val="000000"/>
          <w:sz w:val="22"/>
          <w:szCs w:val="22"/>
        </w:rPr>
      </w:pPr>
      <w:r w:rsidRPr="00644CC0">
        <w:rPr>
          <w:rFonts w:ascii="Calibri" w:hAnsi="Calibri"/>
          <w:color w:val="000000"/>
          <w:sz w:val="22"/>
          <w:szCs w:val="22"/>
        </w:rPr>
        <w:t xml:space="preserve">The IPP does not provide any payment or gift to its </w:t>
      </w:r>
      <w:r>
        <w:rPr>
          <w:rFonts w:ascii="Calibri" w:hAnsi="Calibri"/>
          <w:color w:val="000000"/>
          <w:sz w:val="22"/>
          <w:szCs w:val="22"/>
        </w:rPr>
        <w:t>respondent</w:t>
      </w:r>
      <w:r w:rsidRPr="00644CC0">
        <w:rPr>
          <w:rFonts w:ascii="Calibri" w:hAnsi="Calibri"/>
          <w:color w:val="000000"/>
          <w:sz w:val="22"/>
          <w:szCs w:val="22"/>
        </w:rPr>
        <w:t>s.</w:t>
      </w:r>
    </w:p>
    <w:p w:rsidR="00024B9F" w:rsidRPr="00644CC0" w:rsidRDefault="00024B9F" w:rsidP="00024B9F">
      <w:pPr>
        <w:rPr>
          <w:rFonts w:ascii="Calibri" w:hAnsi="Calibri"/>
          <w:color w:val="000000"/>
          <w:sz w:val="22"/>
          <w:szCs w:val="22"/>
        </w:rPr>
      </w:pPr>
    </w:p>
    <w:p w:rsidR="00024B9F" w:rsidRPr="00644CC0" w:rsidRDefault="00024B9F" w:rsidP="00024B9F">
      <w:pPr>
        <w:rPr>
          <w:rFonts w:ascii="Calibri" w:hAnsi="Calibri"/>
          <w:b/>
          <w:color w:val="000000"/>
          <w:sz w:val="22"/>
          <w:szCs w:val="22"/>
        </w:rPr>
      </w:pPr>
      <w:r w:rsidRPr="00644CC0">
        <w:rPr>
          <w:rFonts w:ascii="Calibri" w:hAnsi="Calibri"/>
          <w:b/>
          <w:color w:val="000000"/>
          <w:sz w:val="22"/>
          <w:szCs w:val="22"/>
        </w:rPr>
        <w:t>10.</w:t>
      </w:r>
      <w:r w:rsidRPr="00644CC0">
        <w:rPr>
          <w:rFonts w:ascii="Calibri" w:hAnsi="Calibri"/>
          <w:b/>
          <w:color w:val="000000"/>
          <w:sz w:val="22"/>
          <w:szCs w:val="22"/>
        </w:rPr>
        <w:tab/>
        <w:t>Assurance of Confidentiality</w:t>
      </w:r>
    </w:p>
    <w:p w:rsidR="00024B9F" w:rsidRPr="00644CC0" w:rsidRDefault="00024B9F" w:rsidP="00024B9F">
      <w:pPr>
        <w:tabs>
          <w:tab w:val="left" w:pos="1170"/>
        </w:tabs>
        <w:rPr>
          <w:rFonts w:ascii="Calibri" w:hAnsi="Calibri"/>
          <w:color w:val="000000"/>
          <w:sz w:val="22"/>
          <w:szCs w:val="22"/>
        </w:rPr>
      </w:pPr>
    </w:p>
    <w:p w:rsidR="00024B9F" w:rsidRPr="00753BAF" w:rsidRDefault="00024B9F" w:rsidP="00024B9F">
      <w:pPr>
        <w:rPr>
          <w:rFonts w:ascii="Calibri" w:hAnsi="Calibri"/>
          <w:sz w:val="22"/>
          <w:szCs w:val="22"/>
        </w:rPr>
      </w:pPr>
      <w:r w:rsidRPr="00753BAF">
        <w:rPr>
          <w:rFonts w:ascii="Calibri" w:hAnsi="Calibri"/>
          <w:sz w:val="22"/>
          <w:szCs w:val="22"/>
        </w:rPr>
        <w:t>The Confidential Information Protection and Statistical Efficiency Act of 2002 (CIPSEA)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rsidR="00024B9F" w:rsidRPr="00753BAF" w:rsidRDefault="00024B9F" w:rsidP="00024B9F">
      <w:pPr>
        <w:rPr>
          <w:rFonts w:ascii="Calibri" w:hAnsi="Calibri"/>
          <w:sz w:val="22"/>
          <w:szCs w:val="22"/>
        </w:rPr>
      </w:pPr>
      <w:r w:rsidRPr="00753BAF">
        <w:rPr>
          <w:rFonts w:ascii="Calibri" w:hAnsi="Calibri"/>
          <w:sz w:val="22"/>
          <w:szCs w:val="22"/>
        </w:rPr>
        <w:t> </w:t>
      </w:r>
    </w:p>
    <w:p w:rsidR="00024B9F" w:rsidRPr="00753BAF" w:rsidRDefault="00024B9F" w:rsidP="00024B9F">
      <w:pPr>
        <w:rPr>
          <w:rFonts w:ascii="Calibri" w:hAnsi="Calibri"/>
          <w:sz w:val="22"/>
          <w:szCs w:val="22"/>
        </w:rPr>
      </w:pPr>
      <w:r w:rsidRPr="00753BAF">
        <w:rPr>
          <w:rFonts w:ascii="Calibri" w:hAnsi="Calibri"/>
          <w:sz w:val="22"/>
          <w:szCs w:val="22"/>
        </w:rPr>
        <w:t>Based on this law, the BLS provides respondents with the following confidentiality pledge/informed consent statement:</w:t>
      </w:r>
    </w:p>
    <w:p w:rsidR="00024B9F" w:rsidRPr="00753BAF" w:rsidRDefault="00024B9F" w:rsidP="00024B9F">
      <w:pPr>
        <w:rPr>
          <w:rFonts w:ascii="Calibri" w:hAnsi="Calibri"/>
          <w:sz w:val="22"/>
          <w:szCs w:val="22"/>
        </w:rPr>
      </w:pPr>
      <w:r w:rsidRPr="00753BAF">
        <w:rPr>
          <w:rFonts w:ascii="Calibri" w:hAnsi="Calibri"/>
          <w:sz w:val="22"/>
          <w:szCs w:val="22"/>
        </w:rPr>
        <w:t> </w:t>
      </w:r>
    </w:p>
    <w:p w:rsidR="00024B9F" w:rsidRPr="00753BAF" w:rsidRDefault="00024B9F" w:rsidP="00024B9F">
      <w:pPr>
        <w:rPr>
          <w:rFonts w:ascii="Calibri" w:hAnsi="Calibri"/>
          <w:sz w:val="22"/>
          <w:szCs w:val="22"/>
        </w:rPr>
      </w:pPr>
      <w:r w:rsidRPr="00753BAF">
        <w:rPr>
          <w:rFonts w:ascii="Calibri" w:hAnsi="Calibri"/>
          <w:i/>
          <w:iCs/>
          <w:sz w:val="22"/>
          <w:szCs w:val="22"/>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024B9F" w:rsidRPr="00753BAF" w:rsidRDefault="00024B9F" w:rsidP="00024B9F">
      <w:pPr>
        <w:rPr>
          <w:rFonts w:ascii="Calibri" w:hAnsi="Calibri"/>
          <w:sz w:val="22"/>
          <w:szCs w:val="22"/>
        </w:rPr>
      </w:pPr>
      <w:r w:rsidRPr="00753BAF">
        <w:rPr>
          <w:rFonts w:ascii="Calibri" w:hAnsi="Calibri"/>
          <w:sz w:val="22"/>
          <w:szCs w:val="22"/>
        </w:rPr>
        <w:t> </w:t>
      </w:r>
    </w:p>
    <w:p w:rsidR="00024B9F" w:rsidRPr="00753BAF" w:rsidRDefault="00024B9F" w:rsidP="00024B9F">
      <w:pPr>
        <w:rPr>
          <w:rFonts w:ascii="Calibri" w:hAnsi="Calibri"/>
          <w:sz w:val="22"/>
          <w:szCs w:val="22"/>
        </w:rPr>
      </w:pPr>
      <w:r w:rsidRPr="00753BAF">
        <w:rPr>
          <w:rFonts w:ascii="Calibri" w:hAnsi="Calibri"/>
          <w:sz w:val="22"/>
          <w:szCs w:val="22"/>
        </w:rPr>
        <w:t>BLS policy on the confidential nature of respondent identifiable information (RII) states that “RII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p>
    <w:p w:rsidR="00024B9F" w:rsidRDefault="00024B9F" w:rsidP="00024B9F">
      <w:pPr>
        <w:rPr>
          <w:rFonts w:ascii="Calibri" w:hAnsi="Calibri"/>
          <w:sz w:val="20"/>
          <w:szCs w:val="20"/>
        </w:rPr>
      </w:pPr>
    </w:p>
    <w:p w:rsidR="00024B9F" w:rsidRDefault="00024B9F" w:rsidP="00024B9F">
      <w:pPr>
        <w:rPr>
          <w:rFonts w:ascii="Calibri" w:hAnsi="Calibri"/>
          <w:sz w:val="22"/>
          <w:szCs w:val="22"/>
        </w:rPr>
      </w:pPr>
    </w:p>
    <w:p w:rsidR="00024B9F" w:rsidRPr="00644CC0" w:rsidRDefault="00024B9F" w:rsidP="00024B9F">
      <w:pPr>
        <w:rPr>
          <w:rFonts w:ascii="Calibri" w:hAnsi="Calibri"/>
          <w:b/>
          <w:color w:val="000000"/>
          <w:sz w:val="22"/>
          <w:szCs w:val="22"/>
        </w:rPr>
      </w:pPr>
      <w:r w:rsidRPr="00644CC0">
        <w:rPr>
          <w:rFonts w:ascii="Calibri" w:hAnsi="Calibri"/>
          <w:b/>
          <w:color w:val="000000"/>
          <w:sz w:val="22"/>
          <w:szCs w:val="22"/>
        </w:rPr>
        <w:t>11.</w:t>
      </w:r>
      <w:r w:rsidRPr="00644CC0">
        <w:rPr>
          <w:rFonts w:ascii="Calibri" w:hAnsi="Calibri"/>
          <w:b/>
          <w:color w:val="000000"/>
          <w:sz w:val="22"/>
          <w:szCs w:val="22"/>
        </w:rPr>
        <w:tab/>
        <w:t>Justification for Collection of Sensitive Data</w:t>
      </w:r>
    </w:p>
    <w:p w:rsidR="00024B9F" w:rsidRPr="00644CC0" w:rsidRDefault="001E5031" w:rsidP="00024B9F">
      <w:pPr>
        <w:tabs>
          <w:tab w:val="left" w:pos="360"/>
          <w:tab w:val="left" w:pos="480"/>
          <w:tab w:val="left" w:pos="960"/>
          <w:tab w:val="left" w:pos="1320"/>
          <w:tab w:val="left" w:pos="1800"/>
          <w:tab w:val="left" w:pos="2760"/>
        </w:tabs>
        <w:spacing w:before="240" w:line="240" w:lineRule="exact"/>
        <w:rPr>
          <w:rFonts w:ascii="Calibri" w:hAnsi="Calibri"/>
          <w:sz w:val="22"/>
          <w:szCs w:val="22"/>
        </w:rPr>
      </w:pPr>
      <w:r>
        <w:rPr>
          <w:rFonts w:ascii="Calibri" w:hAnsi="Calibri"/>
          <w:sz w:val="22"/>
          <w:szCs w:val="22"/>
        </w:rPr>
        <w:t xml:space="preserve">As part of the disaggregation process (conducted during initiation), Field Economists request </w:t>
      </w:r>
      <w:r w:rsidR="00024B9F" w:rsidRPr="00644CC0">
        <w:rPr>
          <w:rFonts w:ascii="Calibri" w:hAnsi="Calibri"/>
          <w:sz w:val="22"/>
          <w:szCs w:val="22"/>
        </w:rPr>
        <w:t xml:space="preserve">company trade data </w:t>
      </w:r>
      <w:r>
        <w:rPr>
          <w:rFonts w:ascii="Calibri" w:hAnsi="Calibri"/>
          <w:sz w:val="22"/>
          <w:szCs w:val="22"/>
        </w:rPr>
        <w:t>(</w:t>
      </w:r>
      <w:r w:rsidR="00024B9F" w:rsidRPr="00644CC0">
        <w:rPr>
          <w:rFonts w:ascii="Calibri" w:hAnsi="Calibri"/>
          <w:sz w:val="22"/>
          <w:szCs w:val="22"/>
        </w:rPr>
        <w:t>required to assign measures of size for disaggregation</w:t>
      </w:r>
      <w:r>
        <w:rPr>
          <w:rFonts w:ascii="Calibri" w:hAnsi="Calibri"/>
          <w:sz w:val="22"/>
          <w:szCs w:val="22"/>
        </w:rPr>
        <w:t xml:space="preserve">) which some respondents consider sensitive information.  </w:t>
      </w:r>
      <w:r w:rsidR="00D00293">
        <w:rPr>
          <w:rFonts w:ascii="Calibri" w:hAnsi="Calibri"/>
          <w:sz w:val="22"/>
          <w:szCs w:val="22"/>
        </w:rPr>
        <w:t xml:space="preserve">To alleviate </w:t>
      </w:r>
      <w:r>
        <w:rPr>
          <w:rFonts w:ascii="Calibri" w:hAnsi="Calibri"/>
          <w:sz w:val="22"/>
          <w:szCs w:val="22"/>
        </w:rPr>
        <w:t>their</w:t>
      </w:r>
      <w:r w:rsidR="00D00293">
        <w:rPr>
          <w:rFonts w:ascii="Calibri" w:hAnsi="Calibri"/>
          <w:sz w:val="22"/>
          <w:szCs w:val="22"/>
        </w:rPr>
        <w:t xml:space="preserve"> concerns, Field Economists explain that the purpose of the </w:t>
      </w:r>
      <w:r w:rsidR="00024B9F" w:rsidRPr="00644CC0">
        <w:rPr>
          <w:rFonts w:ascii="Calibri" w:hAnsi="Calibri"/>
          <w:sz w:val="22"/>
          <w:szCs w:val="22"/>
        </w:rPr>
        <w:t xml:space="preserve">disaggregation process is to identify a single (or very few) specific </w:t>
      </w:r>
      <w:r w:rsidR="00024B9F">
        <w:rPr>
          <w:rFonts w:ascii="Calibri" w:hAnsi="Calibri"/>
          <w:sz w:val="22"/>
          <w:szCs w:val="22"/>
        </w:rPr>
        <w:t>goods</w:t>
      </w:r>
      <w:r w:rsidR="00024B9F" w:rsidRPr="00644CC0">
        <w:rPr>
          <w:rFonts w:ascii="Calibri" w:hAnsi="Calibri"/>
          <w:sz w:val="22"/>
          <w:szCs w:val="22"/>
        </w:rPr>
        <w:t xml:space="preserve"> or services for pricing</w:t>
      </w:r>
      <w:r>
        <w:rPr>
          <w:rFonts w:ascii="Calibri" w:hAnsi="Calibri"/>
          <w:sz w:val="22"/>
          <w:szCs w:val="22"/>
        </w:rPr>
        <w:t xml:space="preserve"> and inform them of </w:t>
      </w:r>
      <w:r w:rsidR="00D00293">
        <w:rPr>
          <w:rFonts w:ascii="Calibri" w:hAnsi="Calibri"/>
          <w:sz w:val="22"/>
          <w:szCs w:val="22"/>
        </w:rPr>
        <w:t xml:space="preserve">BLS’ </w:t>
      </w:r>
      <w:r w:rsidR="00B32529">
        <w:rPr>
          <w:rFonts w:ascii="Calibri" w:hAnsi="Calibri"/>
          <w:sz w:val="22"/>
          <w:szCs w:val="22"/>
        </w:rPr>
        <w:t>policies</w:t>
      </w:r>
      <w:r w:rsidR="00D00293">
        <w:rPr>
          <w:rFonts w:ascii="Calibri" w:hAnsi="Calibri"/>
          <w:sz w:val="22"/>
          <w:szCs w:val="22"/>
        </w:rPr>
        <w:t xml:space="preserve"> concerning confidentiality.  In IPP’s experience, these records and discussions with the Field Economists alleviate any serious concerns.</w:t>
      </w:r>
      <w:r w:rsidR="00024B9F" w:rsidRPr="00644CC0">
        <w:rPr>
          <w:rFonts w:ascii="Calibri" w:hAnsi="Calibri"/>
          <w:sz w:val="22"/>
          <w:szCs w:val="22"/>
        </w:rPr>
        <w:t xml:space="preserve"> </w:t>
      </w:r>
    </w:p>
    <w:p w:rsidR="00024B9F" w:rsidRPr="00644CC0" w:rsidRDefault="00024B9F" w:rsidP="00024B9F">
      <w:pPr>
        <w:tabs>
          <w:tab w:val="left" w:pos="360"/>
          <w:tab w:val="left" w:pos="480"/>
          <w:tab w:val="left" w:pos="960"/>
          <w:tab w:val="left" w:pos="1320"/>
          <w:tab w:val="left" w:pos="1800"/>
          <w:tab w:val="left" w:pos="2760"/>
        </w:tabs>
        <w:spacing w:line="240" w:lineRule="exact"/>
        <w:rPr>
          <w:rFonts w:ascii="Calibri" w:hAnsi="Calibri"/>
          <w:sz w:val="22"/>
          <w:szCs w:val="22"/>
        </w:rPr>
      </w:pPr>
    </w:p>
    <w:p w:rsidR="00024B9F" w:rsidRPr="00644CC0" w:rsidRDefault="00B32529" w:rsidP="00024B9F">
      <w:pPr>
        <w:tabs>
          <w:tab w:val="left" w:pos="360"/>
          <w:tab w:val="left" w:pos="480"/>
          <w:tab w:val="left" w:pos="960"/>
          <w:tab w:val="left" w:pos="1320"/>
          <w:tab w:val="left" w:pos="1800"/>
          <w:tab w:val="left" w:pos="2760"/>
        </w:tabs>
        <w:spacing w:line="240" w:lineRule="exact"/>
        <w:rPr>
          <w:rFonts w:ascii="Calibri" w:hAnsi="Calibri"/>
          <w:sz w:val="22"/>
          <w:szCs w:val="22"/>
        </w:rPr>
      </w:pPr>
      <w:r>
        <w:rPr>
          <w:rFonts w:ascii="Calibri" w:hAnsi="Calibri"/>
          <w:sz w:val="22"/>
          <w:szCs w:val="22"/>
        </w:rPr>
        <w:t xml:space="preserve">Additionally, price information and whether prices are representative of intracompany transfers (both requested during initiation and on form 3007D in repricing) are also considered sensitive information by some respondents.  Again, Field Economists (during initiation) and Industry Analysts (during repricing) inform them of BLS’ policies on confidentiality to alleviate any concerns.   (Note </w:t>
      </w:r>
      <w:r w:rsidR="00306014">
        <w:rPr>
          <w:rFonts w:ascii="Calibri" w:hAnsi="Calibri"/>
          <w:sz w:val="22"/>
          <w:szCs w:val="22"/>
        </w:rPr>
        <w:t xml:space="preserve">also </w:t>
      </w:r>
      <w:r>
        <w:rPr>
          <w:rFonts w:ascii="Calibri" w:hAnsi="Calibri"/>
          <w:sz w:val="22"/>
          <w:szCs w:val="22"/>
        </w:rPr>
        <w:t xml:space="preserve">that </w:t>
      </w:r>
      <w:r w:rsidR="00306014">
        <w:rPr>
          <w:rFonts w:ascii="Calibri" w:hAnsi="Calibri"/>
          <w:sz w:val="22"/>
          <w:szCs w:val="22"/>
        </w:rPr>
        <w:t xml:space="preserve">IPP conducted a study which found no significant difference in the trends for non-market based transfer prices and those at arm’s length.  This conclusion prompted IPP to begin including all transfer prices in index calculation beginning with the February 1998 indexes.)  </w:t>
      </w:r>
    </w:p>
    <w:p w:rsidR="00024B9F" w:rsidRPr="00644CC0" w:rsidRDefault="00024B9F" w:rsidP="00024B9F">
      <w:pPr>
        <w:rPr>
          <w:rFonts w:ascii="Calibri" w:hAnsi="Calibri"/>
          <w:b/>
          <w:color w:val="000000"/>
          <w:sz w:val="22"/>
          <w:szCs w:val="22"/>
        </w:rPr>
      </w:pPr>
    </w:p>
    <w:p w:rsidR="00024B9F" w:rsidRPr="00644CC0" w:rsidRDefault="00024B9F" w:rsidP="00024B9F">
      <w:pPr>
        <w:rPr>
          <w:rFonts w:ascii="Calibri" w:hAnsi="Calibri"/>
          <w:b/>
          <w:color w:val="000000"/>
          <w:sz w:val="22"/>
          <w:szCs w:val="22"/>
        </w:rPr>
      </w:pPr>
      <w:r w:rsidRPr="00644CC0">
        <w:rPr>
          <w:rFonts w:ascii="Calibri" w:hAnsi="Calibri"/>
          <w:b/>
          <w:color w:val="000000"/>
          <w:sz w:val="22"/>
          <w:szCs w:val="22"/>
        </w:rPr>
        <w:t>12.</w:t>
      </w:r>
      <w:r w:rsidRPr="00644CC0">
        <w:rPr>
          <w:rFonts w:ascii="Calibri" w:hAnsi="Calibri"/>
          <w:b/>
          <w:color w:val="000000"/>
          <w:sz w:val="22"/>
          <w:szCs w:val="22"/>
        </w:rPr>
        <w:tab/>
      </w:r>
      <w:r>
        <w:rPr>
          <w:rFonts w:ascii="Calibri" w:hAnsi="Calibri"/>
          <w:b/>
          <w:color w:val="000000"/>
          <w:sz w:val="22"/>
          <w:szCs w:val="22"/>
        </w:rPr>
        <w:t>Estimate of Respondent Burden</w:t>
      </w:r>
    </w:p>
    <w:p w:rsidR="00024B9F" w:rsidRPr="00E134EB" w:rsidRDefault="00024B9F" w:rsidP="00024B9F">
      <w:pPr>
        <w:tabs>
          <w:tab w:val="left" w:pos="360"/>
          <w:tab w:val="left" w:pos="480"/>
          <w:tab w:val="left" w:pos="960"/>
          <w:tab w:val="left" w:pos="1320"/>
          <w:tab w:val="left" w:pos="1800"/>
          <w:tab w:val="left" w:pos="2760"/>
        </w:tabs>
        <w:spacing w:before="120"/>
        <w:rPr>
          <w:rFonts w:ascii="Calibri" w:hAnsi="Calibri"/>
          <w:sz w:val="22"/>
          <w:szCs w:val="22"/>
        </w:rPr>
      </w:pPr>
      <w:r w:rsidRPr="00E134EB">
        <w:rPr>
          <w:rFonts w:ascii="Calibri" w:hAnsi="Calibri"/>
          <w:sz w:val="22"/>
          <w:szCs w:val="22"/>
        </w:rPr>
        <w:t>Average person</w:t>
      </w:r>
      <w:r w:rsidRPr="00E134EB">
        <w:rPr>
          <w:rFonts w:ascii="Calibri" w:hAnsi="Calibri"/>
          <w:sz w:val="22"/>
          <w:szCs w:val="22"/>
        </w:rPr>
        <w:noBreakHyphen/>
        <w:t xml:space="preserve">hours per response is estimated separately for initiation and for repricing.  For initiation, which requires an interview with a BLS data collector, the information is entered directly into a laptop </w:t>
      </w:r>
      <w:r>
        <w:rPr>
          <w:rFonts w:ascii="Calibri" w:hAnsi="Calibri"/>
          <w:sz w:val="22"/>
          <w:szCs w:val="22"/>
        </w:rPr>
        <w:t>computer.  (Attachment 12 contains screenshots from this application.)</w:t>
      </w:r>
      <w:r w:rsidRPr="00E134EB">
        <w:rPr>
          <w:rFonts w:ascii="Calibri" w:hAnsi="Calibri"/>
          <w:sz w:val="22"/>
          <w:szCs w:val="22"/>
        </w:rPr>
        <w:t xml:space="preserve">  Form 3008</w:t>
      </w:r>
      <w:r>
        <w:rPr>
          <w:rFonts w:ascii="Calibri" w:hAnsi="Calibri"/>
          <w:sz w:val="22"/>
          <w:szCs w:val="22"/>
        </w:rPr>
        <w:t xml:space="preserve"> (Attachment 13), the B form (Attachment 14), and checklists based on the Harmonized manual are all</w:t>
      </w:r>
      <w:r w:rsidRPr="00E134EB">
        <w:rPr>
          <w:rFonts w:ascii="Calibri" w:hAnsi="Calibri"/>
          <w:sz w:val="22"/>
          <w:szCs w:val="22"/>
        </w:rPr>
        <w:t xml:space="preserve"> used by BLS data collectors</w:t>
      </w:r>
      <w:r>
        <w:rPr>
          <w:rFonts w:ascii="Calibri" w:hAnsi="Calibri"/>
          <w:sz w:val="22"/>
          <w:szCs w:val="22"/>
        </w:rPr>
        <w:t xml:space="preserve"> during initiation.</w:t>
      </w:r>
      <w:r w:rsidRPr="00E134EB">
        <w:rPr>
          <w:rFonts w:ascii="Calibri" w:hAnsi="Calibri"/>
          <w:sz w:val="22"/>
          <w:szCs w:val="22"/>
        </w:rPr>
        <w:t xml:space="preserve">  </w:t>
      </w:r>
      <w:r>
        <w:rPr>
          <w:rFonts w:ascii="Calibri" w:hAnsi="Calibri"/>
          <w:sz w:val="22"/>
          <w:szCs w:val="22"/>
        </w:rPr>
        <w:t xml:space="preserve">(Attachment 15 is a sample checklist.  IPP has checklists </w:t>
      </w:r>
      <w:r>
        <w:rPr>
          <w:rFonts w:ascii="Calibri" w:hAnsi="Calibri"/>
          <w:sz w:val="22"/>
          <w:szCs w:val="22"/>
        </w:rPr>
        <w:lastRenderedPageBreak/>
        <w:t>covering all Harmonized and Schedule B product areas excluding chapters</w:t>
      </w:r>
      <w:r w:rsidR="00645AED">
        <w:rPr>
          <w:rStyle w:val="FootnoteReference"/>
          <w:rFonts w:ascii="Calibri" w:hAnsi="Calibri"/>
          <w:sz w:val="22"/>
          <w:szCs w:val="22"/>
        </w:rPr>
        <w:footnoteReference w:id="2"/>
      </w:r>
      <w:r>
        <w:rPr>
          <w:rFonts w:ascii="Calibri" w:hAnsi="Calibri"/>
          <w:sz w:val="22"/>
          <w:szCs w:val="22"/>
        </w:rPr>
        <w:t xml:space="preserve"> 86, 97, 98, and 99.  For import chapters and descriptions, go to </w:t>
      </w:r>
      <w:hyperlink r:id="rId7" w:history="1">
        <w:r w:rsidRPr="00895B56">
          <w:rPr>
            <w:rStyle w:val="Hyperlink"/>
            <w:rFonts w:ascii="Calibri" w:hAnsi="Calibri"/>
            <w:sz w:val="22"/>
            <w:szCs w:val="22"/>
          </w:rPr>
          <w:t>http://www.usitc.gov/tata/hts/bychapter/_1200.htm</w:t>
        </w:r>
      </w:hyperlink>
      <w:r>
        <w:rPr>
          <w:rFonts w:ascii="Calibri" w:hAnsi="Calibri"/>
          <w:sz w:val="22"/>
          <w:szCs w:val="22"/>
        </w:rPr>
        <w:t xml:space="preserve">.  For export chapters and descriptions, go to </w:t>
      </w:r>
      <w:hyperlink r:id="rId8" w:history="1">
        <w:r w:rsidRPr="00895B56">
          <w:rPr>
            <w:rStyle w:val="Hyperlink"/>
            <w:rFonts w:ascii="Calibri" w:hAnsi="Calibri"/>
            <w:sz w:val="22"/>
            <w:szCs w:val="22"/>
          </w:rPr>
          <w:t>http://www.census.gov/foreign-trade/schedules/b/2012/index.html</w:t>
        </w:r>
      </w:hyperlink>
      <w:r>
        <w:rPr>
          <w:rFonts w:ascii="Calibri" w:hAnsi="Calibri"/>
          <w:sz w:val="22"/>
          <w:szCs w:val="22"/>
        </w:rPr>
        <w:t xml:space="preserve">.) </w:t>
      </w:r>
      <w:r w:rsidRPr="00E134EB">
        <w:rPr>
          <w:rFonts w:ascii="Calibri" w:hAnsi="Calibri"/>
          <w:sz w:val="22"/>
          <w:szCs w:val="22"/>
        </w:rPr>
        <w:t xml:space="preserve">The response burden estimate is based on field collection experience.  Response burden varies depending on the size of the company, the number and variety of </w:t>
      </w:r>
      <w:r>
        <w:rPr>
          <w:rFonts w:ascii="Calibri" w:hAnsi="Calibri"/>
          <w:sz w:val="22"/>
          <w:szCs w:val="22"/>
        </w:rPr>
        <w:t>goods</w:t>
      </w:r>
      <w:r w:rsidRPr="00E134EB">
        <w:rPr>
          <w:rFonts w:ascii="Calibri" w:hAnsi="Calibri"/>
          <w:sz w:val="22"/>
          <w:szCs w:val="22"/>
        </w:rPr>
        <w:t xml:space="preserve"> or services produced in the establishment, and the types of records kept.  Thus far in the survey, which has been carried out at small, medium, and large size establishments, the </w:t>
      </w:r>
      <w:r>
        <w:rPr>
          <w:rFonts w:ascii="Calibri" w:hAnsi="Calibri"/>
          <w:sz w:val="22"/>
          <w:szCs w:val="22"/>
        </w:rPr>
        <w:t>respondent</w:t>
      </w:r>
      <w:r w:rsidRPr="00E134EB">
        <w:rPr>
          <w:rFonts w:ascii="Calibri" w:hAnsi="Calibri"/>
          <w:sz w:val="22"/>
          <w:szCs w:val="22"/>
        </w:rPr>
        <w:t xml:space="preserve"> burden for initiation averaged approximately one hour.</w:t>
      </w:r>
    </w:p>
    <w:p w:rsidR="00024B9F" w:rsidRPr="00E134EB" w:rsidRDefault="00024B9F" w:rsidP="00024B9F">
      <w:pPr>
        <w:tabs>
          <w:tab w:val="left" w:pos="360"/>
          <w:tab w:val="left" w:pos="480"/>
          <w:tab w:val="left" w:pos="960"/>
          <w:tab w:val="left" w:pos="1320"/>
          <w:tab w:val="left" w:pos="1800"/>
          <w:tab w:val="left" w:pos="2760"/>
        </w:tabs>
        <w:spacing w:before="120" w:line="240" w:lineRule="exact"/>
        <w:rPr>
          <w:rFonts w:ascii="Calibri" w:hAnsi="Calibri"/>
          <w:sz w:val="22"/>
          <w:szCs w:val="22"/>
        </w:rPr>
      </w:pPr>
      <w:r w:rsidRPr="00E134EB">
        <w:rPr>
          <w:rFonts w:ascii="Calibri" w:hAnsi="Calibri"/>
          <w:sz w:val="22"/>
          <w:szCs w:val="22"/>
        </w:rPr>
        <w:t xml:space="preserve">For repricing, which is an update to price data previously provided by the </w:t>
      </w:r>
      <w:r>
        <w:rPr>
          <w:rFonts w:ascii="Calibri" w:hAnsi="Calibri"/>
          <w:sz w:val="22"/>
          <w:szCs w:val="22"/>
        </w:rPr>
        <w:t xml:space="preserve">respondent (using either the </w:t>
      </w:r>
      <w:r w:rsidRPr="00E134EB">
        <w:rPr>
          <w:rFonts w:ascii="Calibri" w:hAnsi="Calibri"/>
          <w:sz w:val="22"/>
          <w:szCs w:val="22"/>
        </w:rPr>
        <w:t>online data collect</w:t>
      </w:r>
      <w:r>
        <w:rPr>
          <w:rFonts w:ascii="Calibri" w:hAnsi="Calibri"/>
          <w:sz w:val="22"/>
          <w:szCs w:val="22"/>
        </w:rPr>
        <w:t>ion application or completing the mailed form)</w:t>
      </w:r>
      <w:r w:rsidRPr="00E134EB">
        <w:rPr>
          <w:rFonts w:ascii="Calibri" w:hAnsi="Calibri"/>
          <w:sz w:val="22"/>
          <w:szCs w:val="22"/>
        </w:rPr>
        <w:t xml:space="preserve">, the burden estimate is based on </w:t>
      </w:r>
      <w:r>
        <w:rPr>
          <w:rFonts w:ascii="Calibri" w:hAnsi="Calibri"/>
          <w:sz w:val="22"/>
          <w:szCs w:val="22"/>
        </w:rPr>
        <w:t xml:space="preserve">internal testing and </w:t>
      </w:r>
      <w:r w:rsidRPr="00E134EB">
        <w:rPr>
          <w:rFonts w:ascii="Calibri" w:hAnsi="Calibri"/>
          <w:sz w:val="22"/>
          <w:szCs w:val="22"/>
        </w:rPr>
        <w:t xml:space="preserve">BLS experience in earlier samples.  </w:t>
      </w:r>
      <w:r>
        <w:rPr>
          <w:rFonts w:ascii="Calibri" w:hAnsi="Calibri"/>
          <w:sz w:val="22"/>
          <w:szCs w:val="22"/>
        </w:rPr>
        <w:t xml:space="preserve">(Attachment 7A is a sample repricing form and Attachments 8G-8J show screenshots from the web repricing application.)  </w:t>
      </w:r>
      <w:r w:rsidRPr="00E134EB">
        <w:rPr>
          <w:rFonts w:ascii="Calibri" w:hAnsi="Calibri"/>
          <w:sz w:val="22"/>
          <w:szCs w:val="22"/>
        </w:rPr>
        <w:t xml:space="preserve">The burden varies from one minute for routine updates of prices for unaltered </w:t>
      </w:r>
      <w:r>
        <w:rPr>
          <w:rFonts w:ascii="Calibri" w:hAnsi="Calibri"/>
          <w:sz w:val="22"/>
          <w:szCs w:val="22"/>
        </w:rPr>
        <w:t>goods</w:t>
      </w:r>
      <w:r w:rsidRPr="00E134EB">
        <w:rPr>
          <w:rFonts w:ascii="Calibri" w:hAnsi="Calibri"/>
          <w:sz w:val="22"/>
          <w:szCs w:val="22"/>
        </w:rPr>
        <w:t xml:space="preserve"> or services, to thirty minutes for reporting changes in product or service specifications or substitution of models within a product or service line.  </w:t>
      </w:r>
      <w:r>
        <w:rPr>
          <w:rFonts w:ascii="Calibri" w:hAnsi="Calibri"/>
          <w:sz w:val="22"/>
          <w:szCs w:val="22"/>
        </w:rPr>
        <w:t>We estimate that it takes approximately 5 minutes, on average, to reprice one item.</w:t>
      </w:r>
    </w:p>
    <w:p w:rsidR="00024B9F" w:rsidRPr="00E134EB" w:rsidRDefault="00024B9F" w:rsidP="00024B9F">
      <w:pPr>
        <w:tabs>
          <w:tab w:val="left" w:pos="360"/>
          <w:tab w:val="left" w:pos="480"/>
          <w:tab w:val="left" w:pos="960"/>
          <w:tab w:val="left" w:pos="1320"/>
          <w:tab w:val="left" w:pos="1800"/>
          <w:tab w:val="left" w:pos="2760"/>
        </w:tabs>
        <w:spacing w:before="120" w:line="240" w:lineRule="exact"/>
        <w:rPr>
          <w:rFonts w:ascii="Calibri" w:hAnsi="Calibri"/>
          <w:sz w:val="22"/>
          <w:szCs w:val="22"/>
        </w:rPr>
      </w:pPr>
      <w:r w:rsidRPr="00E134EB">
        <w:rPr>
          <w:rFonts w:ascii="Calibri" w:hAnsi="Calibri"/>
          <w:sz w:val="22"/>
          <w:szCs w:val="22"/>
        </w:rPr>
        <w:t>Companies and establishments of all employment sizes, including those with fewer than 100 employees, are covered in the samples.  This comprehensive coverage is necessary to avoid bias and assure that the sample is representative of the universe of exporters</w:t>
      </w:r>
      <w:r w:rsidR="00BE0C59">
        <w:rPr>
          <w:rFonts w:ascii="Calibri" w:hAnsi="Calibri"/>
          <w:sz w:val="22"/>
          <w:szCs w:val="22"/>
        </w:rPr>
        <w:t>/importers</w:t>
      </w:r>
      <w:r w:rsidRPr="00E134EB">
        <w:rPr>
          <w:rFonts w:ascii="Calibri" w:hAnsi="Calibri"/>
          <w:sz w:val="22"/>
          <w:szCs w:val="22"/>
        </w:rPr>
        <w:t>.  Small companies, collectively, have substantial weight in the price</w:t>
      </w:r>
      <w:r w:rsidRPr="00E134EB">
        <w:rPr>
          <w:rFonts w:ascii="Calibri" w:hAnsi="Calibri"/>
          <w:sz w:val="22"/>
          <w:szCs w:val="22"/>
        </w:rPr>
        <w:noBreakHyphen/>
        <w:t xml:space="preserve">forming universe, and the evidence suggests that the pricing behavior of small companies is different from that of large companies.  Therefore, the smaller units must be directly surveyed.  </w:t>
      </w:r>
    </w:p>
    <w:p w:rsidR="00024B9F" w:rsidRPr="00E134EB" w:rsidRDefault="00024B9F" w:rsidP="00024B9F">
      <w:pPr>
        <w:tabs>
          <w:tab w:val="left" w:pos="360"/>
          <w:tab w:val="left" w:pos="480"/>
          <w:tab w:val="left" w:pos="960"/>
          <w:tab w:val="left" w:pos="1320"/>
          <w:tab w:val="left" w:pos="1800"/>
          <w:tab w:val="left" w:pos="2760"/>
        </w:tabs>
        <w:spacing w:before="120" w:line="240" w:lineRule="exact"/>
        <w:rPr>
          <w:rFonts w:ascii="Calibri" w:hAnsi="Calibri"/>
          <w:sz w:val="22"/>
          <w:szCs w:val="22"/>
        </w:rPr>
      </w:pPr>
      <w:r w:rsidRPr="00E134EB">
        <w:rPr>
          <w:rFonts w:ascii="Calibri" w:hAnsi="Calibri"/>
          <w:sz w:val="22"/>
          <w:szCs w:val="22"/>
        </w:rPr>
        <w:t xml:space="preserve">The sample sizes and estimated annual </w:t>
      </w:r>
      <w:r>
        <w:rPr>
          <w:rFonts w:ascii="Calibri" w:hAnsi="Calibri"/>
          <w:sz w:val="22"/>
          <w:szCs w:val="22"/>
        </w:rPr>
        <w:t>respondent</w:t>
      </w:r>
      <w:r w:rsidRPr="00E134EB">
        <w:rPr>
          <w:rFonts w:ascii="Calibri" w:hAnsi="Calibri"/>
          <w:sz w:val="22"/>
          <w:szCs w:val="22"/>
        </w:rPr>
        <w:t xml:space="preserve"> burden for FY 201</w:t>
      </w:r>
      <w:r>
        <w:rPr>
          <w:rFonts w:ascii="Calibri" w:hAnsi="Calibri"/>
          <w:sz w:val="22"/>
          <w:szCs w:val="22"/>
        </w:rPr>
        <w:t>3</w:t>
      </w:r>
      <w:r w:rsidRPr="00E134EB">
        <w:rPr>
          <w:rFonts w:ascii="Calibri" w:hAnsi="Calibri"/>
          <w:sz w:val="22"/>
          <w:szCs w:val="22"/>
        </w:rPr>
        <w:t>, FY 201</w:t>
      </w:r>
      <w:r>
        <w:rPr>
          <w:rFonts w:ascii="Calibri" w:hAnsi="Calibri"/>
          <w:sz w:val="22"/>
          <w:szCs w:val="22"/>
        </w:rPr>
        <w:t>4</w:t>
      </w:r>
      <w:r w:rsidRPr="00E134EB">
        <w:rPr>
          <w:rFonts w:ascii="Calibri" w:hAnsi="Calibri"/>
          <w:sz w:val="22"/>
          <w:szCs w:val="22"/>
        </w:rPr>
        <w:t>, and FY 201</w:t>
      </w:r>
      <w:r>
        <w:rPr>
          <w:rFonts w:ascii="Calibri" w:hAnsi="Calibri"/>
          <w:sz w:val="22"/>
          <w:szCs w:val="22"/>
        </w:rPr>
        <w:t>5</w:t>
      </w:r>
      <w:r w:rsidRPr="00E134EB">
        <w:rPr>
          <w:rFonts w:ascii="Calibri" w:hAnsi="Calibri"/>
          <w:sz w:val="22"/>
          <w:szCs w:val="22"/>
        </w:rPr>
        <w:t xml:space="preserve"> are shown on the following pages.  Data on exports and imports are calculated separately for analysis purposes.</w:t>
      </w:r>
    </w:p>
    <w:p w:rsidR="00024B9F" w:rsidRPr="006239ED" w:rsidRDefault="00024B9F" w:rsidP="00024B9F">
      <w:pPr>
        <w:tabs>
          <w:tab w:val="left" w:pos="360"/>
          <w:tab w:val="left" w:pos="480"/>
          <w:tab w:val="left" w:pos="960"/>
          <w:tab w:val="left" w:pos="1320"/>
          <w:tab w:val="left" w:pos="1800"/>
          <w:tab w:val="left" w:pos="2760"/>
        </w:tabs>
        <w:spacing w:before="120"/>
        <w:jc w:val="center"/>
        <w:rPr>
          <w:rFonts w:ascii="Calibri" w:hAnsi="Calibri"/>
          <w:b/>
          <w:color w:val="000000"/>
          <w:sz w:val="22"/>
          <w:szCs w:val="22"/>
        </w:rPr>
      </w:pPr>
      <w:r>
        <w:rPr>
          <w:rFonts w:ascii="Calibri" w:hAnsi="Calibri"/>
          <w:b/>
          <w:sz w:val="22"/>
          <w:szCs w:val="22"/>
        </w:rPr>
        <w:br w:type="page"/>
      </w:r>
      <w:r w:rsidRPr="006239ED">
        <w:rPr>
          <w:rFonts w:ascii="Calibri" w:hAnsi="Calibri"/>
          <w:b/>
          <w:sz w:val="22"/>
          <w:szCs w:val="22"/>
        </w:rPr>
        <w:lastRenderedPageBreak/>
        <w:t>EXPORTS</w:t>
      </w:r>
    </w:p>
    <w:p w:rsidR="00024B9F" w:rsidRDefault="00024B9F" w:rsidP="00024B9F">
      <w:pPr>
        <w:tabs>
          <w:tab w:val="left" w:pos="360"/>
          <w:tab w:val="left" w:pos="480"/>
          <w:tab w:val="left" w:pos="960"/>
          <w:tab w:val="left" w:pos="1320"/>
          <w:tab w:val="left" w:pos="1800"/>
          <w:tab w:val="left" w:pos="2760"/>
        </w:tabs>
        <w:spacing w:before="120"/>
        <w:rPr>
          <w:rFonts w:ascii="Verdana" w:hAnsi="Verdana"/>
          <w:b/>
          <w:color w:val="000000"/>
          <w:sz w:val="22"/>
          <w:szCs w:val="22"/>
        </w:rPr>
      </w:pPr>
    </w:p>
    <w:tbl>
      <w:tblPr>
        <w:tblW w:w="5274" w:type="pct"/>
        <w:tblBorders>
          <w:top w:val="single" w:sz="18" w:space="0" w:color="auto"/>
          <w:left w:val="single" w:sz="18" w:space="0" w:color="auto"/>
          <w:bottom w:val="single" w:sz="18" w:space="0" w:color="auto"/>
          <w:right w:val="single" w:sz="18" w:space="0" w:color="auto"/>
        </w:tblBorders>
        <w:tblLook w:val="01E0"/>
      </w:tblPr>
      <w:tblGrid>
        <w:gridCol w:w="1186"/>
        <w:gridCol w:w="1404"/>
        <w:gridCol w:w="316"/>
        <w:gridCol w:w="1190"/>
        <w:gridCol w:w="328"/>
        <w:gridCol w:w="1200"/>
        <w:gridCol w:w="307"/>
        <w:gridCol w:w="1200"/>
        <w:gridCol w:w="316"/>
        <w:gridCol w:w="1163"/>
        <w:gridCol w:w="328"/>
        <w:gridCol w:w="1163"/>
      </w:tblGrid>
      <w:tr w:rsidR="00024B9F" w:rsidRPr="00840142" w:rsidTr="00791741">
        <w:tc>
          <w:tcPr>
            <w:tcW w:w="1495" w:type="dxa"/>
            <w:tcBorders>
              <w:bottom w:val="nil"/>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bookmarkStart w:id="0" w:name="OLE_LINK3"/>
            <w:bookmarkStart w:id="1" w:name="OLE_LINK4"/>
          </w:p>
        </w:tc>
        <w:tc>
          <w:tcPr>
            <w:tcW w:w="4565" w:type="dxa"/>
            <w:gridSpan w:val="5"/>
            <w:tcBorders>
              <w:top w:val="single" w:sz="18" w:space="0" w:color="auto"/>
              <w:left w:val="single" w:sz="18" w:space="0" w:color="auto"/>
              <w:bottom w:val="nil"/>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u w:val="single"/>
              </w:rPr>
            </w:pPr>
            <w:r w:rsidRPr="00840142">
              <w:rPr>
                <w:rFonts w:ascii="Calibri" w:hAnsi="Calibri" w:cs="Courier New"/>
                <w:sz w:val="22"/>
                <w:szCs w:val="22"/>
                <w:u w:val="single"/>
              </w:rPr>
              <w:t>Total Annual Responses</w:t>
            </w:r>
          </w:p>
        </w:tc>
        <w:tc>
          <w:tcPr>
            <w:tcW w:w="720" w:type="dxa"/>
            <w:tcBorders>
              <w:top w:val="nil"/>
              <w:left w:val="single" w:sz="18" w:space="0" w:color="auto"/>
              <w:bottom w:val="nil"/>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p>
        </w:tc>
        <w:tc>
          <w:tcPr>
            <w:tcW w:w="4565" w:type="dxa"/>
            <w:gridSpan w:val="5"/>
            <w:tcBorders>
              <w:top w:val="single" w:sz="18" w:space="0" w:color="auto"/>
              <w:left w:val="single" w:sz="18" w:space="0" w:color="auto"/>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u w:val="single"/>
              </w:rPr>
            </w:pPr>
            <w:r w:rsidRPr="00840142">
              <w:rPr>
                <w:rFonts w:ascii="Calibri" w:hAnsi="Calibri" w:cs="Courier New"/>
                <w:sz w:val="22"/>
                <w:szCs w:val="22"/>
                <w:u w:val="single"/>
              </w:rPr>
              <w:t>Estimated Total Hrs of Annual Burden</w:t>
            </w:r>
          </w:p>
        </w:tc>
      </w:tr>
      <w:tr w:rsidR="00024B9F" w:rsidRPr="00840142" w:rsidTr="00791741">
        <w:tc>
          <w:tcPr>
            <w:tcW w:w="1495" w:type="dxa"/>
            <w:tcBorders>
              <w:top w:val="nil"/>
              <w:bottom w:val="nil"/>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p>
        </w:tc>
        <w:tc>
          <w:tcPr>
            <w:tcW w:w="1297" w:type="dxa"/>
            <w:tcBorders>
              <w:top w:val="nil"/>
              <w:left w:val="single" w:sz="18" w:space="0" w:color="auto"/>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Number of Respondents (end of FY)</w:t>
            </w:r>
            <w:r w:rsidRPr="00840142">
              <w:rPr>
                <w:rStyle w:val="FootnoteReference"/>
                <w:rFonts w:ascii="Calibri" w:hAnsi="Calibri" w:cs="Courier New"/>
                <w:b/>
                <w:sz w:val="22"/>
                <w:szCs w:val="22"/>
              </w:rPr>
              <w:footnoteReference w:id="3"/>
            </w:r>
          </w:p>
        </w:tc>
        <w:tc>
          <w:tcPr>
            <w:tcW w:w="33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p>
        </w:tc>
        <w:tc>
          <w:tcPr>
            <w:tcW w:w="129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Frequency of Response Per Year</w:t>
            </w:r>
          </w:p>
        </w:tc>
        <w:tc>
          <w:tcPr>
            <w:tcW w:w="33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p>
        </w:tc>
        <w:tc>
          <w:tcPr>
            <w:tcW w:w="1297" w:type="dxa"/>
            <w:tcBorders>
              <w:top w:val="nil"/>
              <w:bottom w:val="nil"/>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Total Annual Responses</w:t>
            </w:r>
          </w:p>
        </w:tc>
        <w:tc>
          <w:tcPr>
            <w:tcW w:w="720" w:type="dxa"/>
            <w:tcBorders>
              <w:top w:val="nil"/>
              <w:left w:val="single" w:sz="18" w:space="0" w:color="auto"/>
              <w:bottom w:val="nil"/>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p>
        </w:tc>
        <w:tc>
          <w:tcPr>
            <w:tcW w:w="1297" w:type="dxa"/>
            <w:tcBorders>
              <w:top w:val="nil"/>
              <w:left w:val="single" w:sz="18" w:space="0" w:color="auto"/>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Total Annual Responses</w:t>
            </w:r>
          </w:p>
        </w:tc>
        <w:tc>
          <w:tcPr>
            <w:tcW w:w="33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p>
        </w:tc>
        <w:tc>
          <w:tcPr>
            <w:tcW w:w="129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Estimated Avg # of Hrs Per Response</w:t>
            </w:r>
          </w:p>
        </w:tc>
        <w:tc>
          <w:tcPr>
            <w:tcW w:w="33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p>
        </w:tc>
        <w:tc>
          <w:tcPr>
            <w:tcW w:w="129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Estimated Total Hrs of Annual Burden</w:t>
            </w:r>
          </w:p>
        </w:tc>
      </w:tr>
      <w:tr w:rsidR="00024B9F" w:rsidRPr="00840142" w:rsidTr="00791741">
        <w:tc>
          <w:tcPr>
            <w:tcW w:w="1495" w:type="dxa"/>
            <w:tcBorders>
              <w:top w:val="nil"/>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Fiscal Year 2013</w:t>
            </w:r>
          </w:p>
        </w:tc>
        <w:tc>
          <w:tcPr>
            <w:tcW w:w="1297" w:type="dxa"/>
            <w:tcBorders>
              <w:top w:val="nil"/>
              <w:left w:val="single" w:sz="18" w:space="0" w:color="auto"/>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3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3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bottom w:val="nil"/>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720" w:type="dxa"/>
            <w:tcBorders>
              <w:top w:val="nil"/>
              <w:left w:val="single" w:sz="18" w:space="0" w:color="auto"/>
              <w:bottom w:val="nil"/>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left w:val="single" w:sz="18" w:space="0" w:color="auto"/>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3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3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r>
      <w:tr w:rsidR="00024B9F" w:rsidRPr="00840142" w:rsidTr="00791741">
        <w:tc>
          <w:tcPr>
            <w:tcW w:w="1495" w:type="dxa"/>
            <w:tcBorders>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r w:rsidRPr="00840142">
              <w:rPr>
                <w:rFonts w:ascii="Calibri" w:hAnsi="Calibri" w:cs="Courier New"/>
                <w:sz w:val="22"/>
                <w:szCs w:val="22"/>
              </w:rPr>
              <w:t>Initiation</w:t>
            </w:r>
            <w:r w:rsidRPr="00840142">
              <w:rPr>
                <w:rStyle w:val="FootnoteReference"/>
                <w:rFonts w:ascii="Calibri" w:hAnsi="Calibri" w:cs="Courier New"/>
                <w:sz w:val="22"/>
                <w:szCs w:val="22"/>
              </w:rPr>
              <w:footnoteReference w:id="4"/>
            </w:r>
          </w:p>
        </w:tc>
        <w:tc>
          <w:tcPr>
            <w:tcW w:w="1297" w:type="dxa"/>
            <w:tcBorders>
              <w:top w:val="nil"/>
              <w:left w:val="single" w:sz="18" w:space="0" w:color="auto"/>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 xml:space="preserve">1200  </w:t>
            </w:r>
          </w:p>
        </w:tc>
        <w:tc>
          <w:tcPr>
            <w:tcW w:w="33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r w:rsidRPr="00840142">
              <w:rPr>
                <w:rFonts w:ascii="Calibri" w:hAnsi="Calibri" w:cs="Courier New"/>
                <w:sz w:val="22"/>
                <w:szCs w:val="22"/>
              </w:rPr>
              <w:t>x</w:t>
            </w:r>
          </w:p>
        </w:tc>
        <w:tc>
          <w:tcPr>
            <w:tcW w:w="129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w:t>
            </w:r>
          </w:p>
        </w:tc>
        <w:tc>
          <w:tcPr>
            <w:tcW w:w="33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297" w:type="dxa"/>
            <w:tcBorders>
              <w:top w:val="nil"/>
              <w:bottom w:val="nil"/>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 xml:space="preserve"> 1200</w:t>
            </w:r>
          </w:p>
        </w:tc>
        <w:tc>
          <w:tcPr>
            <w:tcW w:w="720" w:type="dxa"/>
            <w:tcBorders>
              <w:top w:val="nil"/>
              <w:left w:val="single" w:sz="18" w:space="0" w:color="auto"/>
              <w:bottom w:val="nil"/>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r w:rsidRPr="00840142">
              <w:rPr>
                <w:rFonts w:ascii="Calibri" w:hAnsi="Calibri" w:cs="Courier New"/>
                <w:sz w:val="22"/>
                <w:szCs w:val="22"/>
              </w:rPr>
              <w:t xml:space="preserve"> </w:t>
            </w:r>
          </w:p>
        </w:tc>
        <w:tc>
          <w:tcPr>
            <w:tcW w:w="1297" w:type="dxa"/>
            <w:tcBorders>
              <w:top w:val="nil"/>
              <w:left w:val="single" w:sz="18" w:space="0" w:color="auto"/>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1200</w:t>
            </w:r>
          </w:p>
        </w:tc>
        <w:tc>
          <w:tcPr>
            <w:tcW w:w="33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x</w:t>
            </w:r>
          </w:p>
        </w:tc>
        <w:tc>
          <w:tcPr>
            <w:tcW w:w="129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w:t>
            </w:r>
          </w:p>
        </w:tc>
        <w:tc>
          <w:tcPr>
            <w:tcW w:w="33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29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 xml:space="preserve">   1200</w:t>
            </w:r>
          </w:p>
        </w:tc>
      </w:tr>
      <w:tr w:rsidR="00024B9F" w:rsidRPr="00840142" w:rsidTr="00791741">
        <w:tc>
          <w:tcPr>
            <w:tcW w:w="1495" w:type="dxa"/>
            <w:tcBorders>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r w:rsidRPr="00840142">
              <w:rPr>
                <w:rFonts w:ascii="Calibri" w:hAnsi="Calibri" w:cs="Courier New"/>
                <w:sz w:val="22"/>
                <w:szCs w:val="22"/>
              </w:rPr>
              <w:t>Repricing</w:t>
            </w:r>
            <w:r w:rsidRPr="00840142">
              <w:rPr>
                <w:rStyle w:val="FootnoteReference"/>
                <w:rFonts w:ascii="Calibri" w:hAnsi="Calibri" w:cs="Courier New"/>
                <w:sz w:val="22"/>
                <w:szCs w:val="22"/>
              </w:rPr>
              <w:footnoteReference w:id="5"/>
            </w:r>
          </w:p>
        </w:tc>
        <w:tc>
          <w:tcPr>
            <w:tcW w:w="1297" w:type="dxa"/>
            <w:tcBorders>
              <w:top w:val="nil"/>
              <w:left w:val="single" w:sz="18" w:space="0" w:color="auto"/>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2</w:t>
            </w:r>
            <w:r>
              <w:rPr>
                <w:rFonts w:ascii="Calibri" w:hAnsi="Calibri" w:cs="Courier New"/>
                <w:sz w:val="22"/>
                <w:szCs w:val="22"/>
              </w:rPr>
              <w:t>2</w:t>
            </w:r>
            <w:r w:rsidRPr="00840142">
              <w:rPr>
                <w:rFonts w:ascii="Calibri" w:hAnsi="Calibri" w:cs="Courier New"/>
                <w:sz w:val="22"/>
                <w:szCs w:val="22"/>
              </w:rPr>
              <w:t>00</w:t>
            </w:r>
          </w:p>
        </w:tc>
        <w:tc>
          <w:tcPr>
            <w:tcW w:w="33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r w:rsidRPr="00840142">
              <w:rPr>
                <w:rFonts w:ascii="Calibri" w:hAnsi="Calibri" w:cs="Courier New"/>
                <w:sz w:val="22"/>
                <w:szCs w:val="22"/>
              </w:rPr>
              <w:t>x</w:t>
            </w:r>
          </w:p>
        </w:tc>
        <w:tc>
          <w:tcPr>
            <w:tcW w:w="129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8.0</w:t>
            </w:r>
            <w:r w:rsidRPr="00840142">
              <w:rPr>
                <w:rStyle w:val="FootnoteReference"/>
                <w:rFonts w:ascii="Calibri" w:hAnsi="Calibri" w:cs="Courier New"/>
                <w:sz w:val="22"/>
                <w:szCs w:val="22"/>
              </w:rPr>
              <w:footnoteReference w:id="6"/>
            </w:r>
          </w:p>
        </w:tc>
        <w:tc>
          <w:tcPr>
            <w:tcW w:w="33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297" w:type="dxa"/>
            <w:tcBorders>
              <w:top w:val="nil"/>
              <w:bottom w:val="nil"/>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w:t>
            </w:r>
            <w:r>
              <w:rPr>
                <w:rFonts w:ascii="Calibri" w:hAnsi="Calibri" w:cs="Courier New"/>
                <w:sz w:val="22"/>
                <w:szCs w:val="22"/>
              </w:rPr>
              <w:t>7600</w:t>
            </w:r>
          </w:p>
        </w:tc>
        <w:tc>
          <w:tcPr>
            <w:tcW w:w="720" w:type="dxa"/>
            <w:tcBorders>
              <w:top w:val="nil"/>
              <w:left w:val="single" w:sz="18" w:space="0" w:color="auto"/>
              <w:bottom w:val="nil"/>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97" w:type="dxa"/>
            <w:tcBorders>
              <w:top w:val="nil"/>
              <w:left w:val="single" w:sz="18" w:space="0" w:color="auto"/>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w:t>
            </w:r>
            <w:r>
              <w:rPr>
                <w:rFonts w:ascii="Calibri" w:hAnsi="Calibri" w:cs="Courier New"/>
                <w:sz w:val="22"/>
                <w:szCs w:val="22"/>
              </w:rPr>
              <w:t>7600</w:t>
            </w:r>
          </w:p>
        </w:tc>
        <w:tc>
          <w:tcPr>
            <w:tcW w:w="33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x</w:t>
            </w:r>
          </w:p>
        </w:tc>
        <w:tc>
          <w:tcPr>
            <w:tcW w:w="129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0.</w:t>
            </w:r>
            <w:r>
              <w:rPr>
                <w:rFonts w:ascii="Calibri" w:hAnsi="Calibri" w:cs="Courier New"/>
                <w:sz w:val="22"/>
                <w:szCs w:val="22"/>
              </w:rPr>
              <w:t>3771</w:t>
            </w:r>
            <w:r w:rsidRPr="00840142">
              <w:rPr>
                <w:rStyle w:val="FootnoteReference"/>
                <w:rFonts w:ascii="Calibri" w:hAnsi="Calibri" w:cs="Courier New"/>
                <w:sz w:val="22"/>
                <w:szCs w:val="22"/>
              </w:rPr>
              <w:footnoteReference w:id="7"/>
            </w:r>
          </w:p>
        </w:tc>
        <w:tc>
          <w:tcPr>
            <w:tcW w:w="33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29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 xml:space="preserve"> </w:t>
            </w:r>
            <w:r>
              <w:rPr>
                <w:rFonts w:ascii="Calibri" w:hAnsi="Calibri" w:cs="Courier New"/>
                <w:sz w:val="22"/>
                <w:szCs w:val="22"/>
              </w:rPr>
              <w:t>6637</w:t>
            </w:r>
          </w:p>
        </w:tc>
      </w:tr>
      <w:tr w:rsidR="00024B9F" w:rsidRPr="00840142" w:rsidTr="00791741">
        <w:tc>
          <w:tcPr>
            <w:tcW w:w="1495" w:type="dxa"/>
            <w:tcBorders>
              <w:right w:val="single" w:sz="18" w:space="0" w:color="auto"/>
            </w:tcBorders>
            <w:shd w:val="clear" w:color="auto" w:fill="E6E6E6"/>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Total Burden</w:t>
            </w:r>
          </w:p>
        </w:tc>
        <w:tc>
          <w:tcPr>
            <w:tcW w:w="1297" w:type="dxa"/>
            <w:tcBorders>
              <w:top w:val="nil"/>
              <w:left w:val="single" w:sz="18" w:space="0" w:color="auto"/>
              <w:bottom w:val="nil"/>
            </w:tcBorders>
            <w:shd w:val="clear" w:color="auto" w:fill="E6E6E6"/>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3</w:t>
            </w:r>
            <w:r>
              <w:rPr>
                <w:rFonts w:ascii="Calibri" w:hAnsi="Calibri" w:cs="Courier New"/>
                <w:sz w:val="22"/>
                <w:szCs w:val="22"/>
              </w:rPr>
              <w:t>4</w:t>
            </w:r>
            <w:r w:rsidRPr="00840142">
              <w:rPr>
                <w:rFonts w:ascii="Calibri" w:hAnsi="Calibri" w:cs="Courier New"/>
                <w:sz w:val="22"/>
                <w:szCs w:val="22"/>
              </w:rPr>
              <w:t>00</w:t>
            </w:r>
          </w:p>
        </w:tc>
        <w:tc>
          <w:tcPr>
            <w:tcW w:w="337" w:type="dxa"/>
            <w:tcBorders>
              <w:top w:val="nil"/>
              <w:bottom w:val="nil"/>
            </w:tcBorders>
            <w:shd w:val="clear" w:color="auto" w:fill="E6E6E6"/>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bottom w:val="nil"/>
            </w:tcBorders>
            <w:shd w:val="clear" w:color="auto" w:fill="E6E6E6"/>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337" w:type="dxa"/>
            <w:tcBorders>
              <w:top w:val="nil"/>
              <w:bottom w:val="nil"/>
            </w:tcBorders>
            <w:shd w:val="clear" w:color="auto" w:fill="E6E6E6"/>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97" w:type="dxa"/>
            <w:tcBorders>
              <w:top w:val="nil"/>
              <w:bottom w:val="nil"/>
              <w:right w:val="single" w:sz="18" w:space="0" w:color="auto"/>
            </w:tcBorders>
            <w:shd w:val="clear" w:color="auto" w:fill="E6E6E6"/>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w:t>
            </w:r>
            <w:r>
              <w:rPr>
                <w:rFonts w:ascii="Calibri" w:hAnsi="Calibri" w:cs="Courier New"/>
                <w:sz w:val="22"/>
                <w:szCs w:val="22"/>
              </w:rPr>
              <w:t>8800</w:t>
            </w:r>
          </w:p>
        </w:tc>
        <w:tc>
          <w:tcPr>
            <w:tcW w:w="720" w:type="dxa"/>
            <w:tcBorders>
              <w:top w:val="nil"/>
              <w:left w:val="single" w:sz="18" w:space="0" w:color="auto"/>
              <w:bottom w:val="nil"/>
              <w:right w:val="single" w:sz="18" w:space="0" w:color="auto"/>
            </w:tcBorders>
            <w:shd w:val="clear" w:color="auto" w:fill="E6E6E6"/>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97" w:type="dxa"/>
            <w:tcBorders>
              <w:top w:val="nil"/>
              <w:left w:val="single" w:sz="18" w:space="0" w:color="auto"/>
              <w:bottom w:val="nil"/>
            </w:tcBorders>
            <w:shd w:val="clear" w:color="auto" w:fill="E6E6E6"/>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w:t>
            </w:r>
            <w:r>
              <w:rPr>
                <w:rFonts w:ascii="Calibri" w:hAnsi="Calibri" w:cs="Courier New"/>
                <w:sz w:val="22"/>
                <w:szCs w:val="22"/>
              </w:rPr>
              <w:t>8800</w:t>
            </w:r>
          </w:p>
        </w:tc>
        <w:tc>
          <w:tcPr>
            <w:tcW w:w="337" w:type="dxa"/>
            <w:tcBorders>
              <w:top w:val="nil"/>
              <w:bottom w:val="nil"/>
            </w:tcBorders>
            <w:shd w:val="clear" w:color="auto" w:fill="E6E6E6"/>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97" w:type="dxa"/>
            <w:tcBorders>
              <w:top w:val="nil"/>
              <w:bottom w:val="nil"/>
            </w:tcBorders>
            <w:shd w:val="clear" w:color="auto" w:fill="E6E6E6"/>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337" w:type="dxa"/>
            <w:tcBorders>
              <w:top w:val="nil"/>
              <w:bottom w:val="nil"/>
            </w:tcBorders>
            <w:shd w:val="clear" w:color="auto" w:fill="E6E6E6"/>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97" w:type="dxa"/>
            <w:tcBorders>
              <w:top w:val="nil"/>
              <w:bottom w:val="nil"/>
            </w:tcBorders>
            <w:shd w:val="clear" w:color="auto" w:fill="E6E6E6"/>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 xml:space="preserve">  </w:t>
            </w:r>
            <w:r>
              <w:rPr>
                <w:rFonts w:ascii="Calibri" w:hAnsi="Calibri" w:cs="Courier New"/>
                <w:sz w:val="22"/>
                <w:szCs w:val="22"/>
              </w:rPr>
              <w:t>7837</w:t>
            </w:r>
            <w:r w:rsidRPr="00840142">
              <w:rPr>
                <w:rStyle w:val="FootnoteReference"/>
                <w:rFonts w:ascii="Calibri" w:hAnsi="Calibri" w:cs="Courier New"/>
                <w:sz w:val="22"/>
                <w:szCs w:val="22"/>
              </w:rPr>
              <w:footnoteReference w:id="8"/>
            </w:r>
          </w:p>
        </w:tc>
      </w:tr>
      <w:tr w:rsidR="00024B9F" w:rsidRPr="00840142" w:rsidTr="00791741">
        <w:tc>
          <w:tcPr>
            <w:tcW w:w="1495" w:type="dxa"/>
            <w:tcBorders>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left w:val="single" w:sz="18" w:space="0" w:color="auto"/>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3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3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bottom w:val="nil"/>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720" w:type="dxa"/>
            <w:tcBorders>
              <w:top w:val="nil"/>
              <w:left w:val="single" w:sz="18" w:space="0" w:color="auto"/>
              <w:bottom w:val="nil"/>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left w:val="single" w:sz="18" w:space="0" w:color="auto"/>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3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3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r>
      <w:tr w:rsidR="00024B9F" w:rsidRPr="00840142" w:rsidTr="00791741">
        <w:tc>
          <w:tcPr>
            <w:tcW w:w="1495" w:type="dxa"/>
            <w:tcBorders>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Fiscal Year 2014</w:t>
            </w:r>
          </w:p>
        </w:tc>
        <w:tc>
          <w:tcPr>
            <w:tcW w:w="1297" w:type="dxa"/>
            <w:tcBorders>
              <w:top w:val="nil"/>
              <w:left w:val="single" w:sz="18" w:space="0" w:color="auto"/>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3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3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bottom w:val="nil"/>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720" w:type="dxa"/>
            <w:tcBorders>
              <w:top w:val="nil"/>
              <w:left w:val="single" w:sz="18" w:space="0" w:color="auto"/>
              <w:bottom w:val="nil"/>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left w:val="single" w:sz="18" w:space="0" w:color="auto"/>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3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3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r>
      <w:tr w:rsidR="00024B9F" w:rsidRPr="00840142" w:rsidTr="00791741">
        <w:tc>
          <w:tcPr>
            <w:tcW w:w="1495" w:type="dxa"/>
            <w:tcBorders>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r w:rsidRPr="00840142">
              <w:rPr>
                <w:rFonts w:ascii="Calibri" w:hAnsi="Calibri" w:cs="Courier New"/>
                <w:sz w:val="22"/>
                <w:szCs w:val="22"/>
              </w:rPr>
              <w:t>Initiation</w:t>
            </w:r>
          </w:p>
        </w:tc>
        <w:tc>
          <w:tcPr>
            <w:tcW w:w="1297" w:type="dxa"/>
            <w:tcBorders>
              <w:top w:val="nil"/>
              <w:left w:val="single" w:sz="18" w:space="0" w:color="auto"/>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1200</w:t>
            </w:r>
          </w:p>
        </w:tc>
        <w:tc>
          <w:tcPr>
            <w:tcW w:w="33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x</w:t>
            </w:r>
          </w:p>
        </w:tc>
        <w:tc>
          <w:tcPr>
            <w:tcW w:w="129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w:t>
            </w:r>
          </w:p>
        </w:tc>
        <w:tc>
          <w:tcPr>
            <w:tcW w:w="33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297" w:type="dxa"/>
            <w:tcBorders>
              <w:top w:val="nil"/>
              <w:bottom w:val="nil"/>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 xml:space="preserve">  1200</w:t>
            </w:r>
          </w:p>
        </w:tc>
        <w:tc>
          <w:tcPr>
            <w:tcW w:w="720" w:type="dxa"/>
            <w:tcBorders>
              <w:top w:val="nil"/>
              <w:left w:val="single" w:sz="18" w:space="0" w:color="auto"/>
              <w:bottom w:val="nil"/>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97" w:type="dxa"/>
            <w:tcBorders>
              <w:top w:val="nil"/>
              <w:left w:val="single" w:sz="18" w:space="0" w:color="auto"/>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1200</w:t>
            </w:r>
          </w:p>
        </w:tc>
        <w:tc>
          <w:tcPr>
            <w:tcW w:w="33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x</w:t>
            </w:r>
          </w:p>
        </w:tc>
        <w:tc>
          <w:tcPr>
            <w:tcW w:w="129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w:t>
            </w:r>
          </w:p>
        </w:tc>
        <w:tc>
          <w:tcPr>
            <w:tcW w:w="33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29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 xml:space="preserve"> 1200</w:t>
            </w:r>
          </w:p>
        </w:tc>
      </w:tr>
      <w:tr w:rsidR="00024B9F" w:rsidRPr="00840142" w:rsidTr="00791741">
        <w:tc>
          <w:tcPr>
            <w:tcW w:w="1495" w:type="dxa"/>
            <w:tcBorders>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r w:rsidRPr="00840142">
              <w:rPr>
                <w:rFonts w:ascii="Calibri" w:hAnsi="Calibri" w:cs="Courier New"/>
                <w:sz w:val="22"/>
                <w:szCs w:val="22"/>
              </w:rPr>
              <w:t>Repricing</w:t>
            </w:r>
          </w:p>
        </w:tc>
        <w:tc>
          <w:tcPr>
            <w:tcW w:w="1297" w:type="dxa"/>
            <w:tcBorders>
              <w:top w:val="nil"/>
              <w:left w:val="single" w:sz="18" w:space="0" w:color="auto"/>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2</w:t>
            </w:r>
            <w:r>
              <w:rPr>
                <w:rFonts w:ascii="Calibri" w:hAnsi="Calibri" w:cs="Courier New"/>
                <w:sz w:val="22"/>
                <w:szCs w:val="22"/>
              </w:rPr>
              <w:t>2</w:t>
            </w:r>
            <w:r w:rsidRPr="00840142">
              <w:rPr>
                <w:rFonts w:ascii="Calibri" w:hAnsi="Calibri" w:cs="Courier New"/>
                <w:sz w:val="22"/>
                <w:szCs w:val="22"/>
              </w:rPr>
              <w:t>00</w:t>
            </w:r>
          </w:p>
        </w:tc>
        <w:tc>
          <w:tcPr>
            <w:tcW w:w="33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x</w:t>
            </w:r>
          </w:p>
        </w:tc>
        <w:tc>
          <w:tcPr>
            <w:tcW w:w="129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8.0</w:t>
            </w:r>
          </w:p>
        </w:tc>
        <w:tc>
          <w:tcPr>
            <w:tcW w:w="33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297" w:type="dxa"/>
            <w:tcBorders>
              <w:top w:val="nil"/>
              <w:bottom w:val="nil"/>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w:t>
            </w:r>
            <w:r>
              <w:rPr>
                <w:rFonts w:ascii="Calibri" w:hAnsi="Calibri" w:cs="Courier New"/>
                <w:sz w:val="22"/>
                <w:szCs w:val="22"/>
              </w:rPr>
              <w:t>7600</w:t>
            </w:r>
          </w:p>
        </w:tc>
        <w:tc>
          <w:tcPr>
            <w:tcW w:w="720" w:type="dxa"/>
            <w:tcBorders>
              <w:top w:val="nil"/>
              <w:left w:val="single" w:sz="18" w:space="0" w:color="auto"/>
              <w:bottom w:val="nil"/>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97" w:type="dxa"/>
            <w:tcBorders>
              <w:top w:val="nil"/>
              <w:left w:val="single" w:sz="18" w:space="0" w:color="auto"/>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w:t>
            </w:r>
            <w:r>
              <w:rPr>
                <w:rFonts w:ascii="Calibri" w:hAnsi="Calibri" w:cs="Courier New"/>
                <w:sz w:val="22"/>
                <w:szCs w:val="22"/>
              </w:rPr>
              <w:t>7600</w:t>
            </w:r>
          </w:p>
        </w:tc>
        <w:tc>
          <w:tcPr>
            <w:tcW w:w="33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x</w:t>
            </w:r>
          </w:p>
        </w:tc>
        <w:tc>
          <w:tcPr>
            <w:tcW w:w="129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0.</w:t>
            </w:r>
            <w:r>
              <w:rPr>
                <w:rFonts w:ascii="Calibri" w:hAnsi="Calibri" w:cs="Courier New"/>
                <w:sz w:val="22"/>
                <w:szCs w:val="22"/>
              </w:rPr>
              <w:t>3771</w:t>
            </w:r>
          </w:p>
        </w:tc>
        <w:tc>
          <w:tcPr>
            <w:tcW w:w="33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29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6637</w:t>
            </w:r>
          </w:p>
        </w:tc>
      </w:tr>
      <w:tr w:rsidR="00024B9F" w:rsidRPr="00840142" w:rsidTr="00791741">
        <w:tc>
          <w:tcPr>
            <w:tcW w:w="1495" w:type="dxa"/>
            <w:tcBorders>
              <w:right w:val="single" w:sz="18" w:space="0" w:color="auto"/>
            </w:tcBorders>
            <w:shd w:val="clear" w:color="auto" w:fill="E6E6E6"/>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Total Burden</w:t>
            </w:r>
          </w:p>
        </w:tc>
        <w:tc>
          <w:tcPr>
            <w:tcW w:w="1297" w:type="dxa"/>
            <w:tcBorders>
              <w:top w:val="nil"/>
              <w:left w:val="single" w:sz="18" w:space="0" w:color="auto"/>
              <w:bottom w:val="nil"/>
            </w:tcBorders>
            <w:shd w:val="clear" w:color="auto" w:fill="E6E6E6"/>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3</w:t>
            </w:r>
            <w:r>
              <w:rPr>
                <w:rFonts w:ascii="Calibri" w:hAnsi="Calibri" w:cs="Courier New"/>
                <w:sz w:val="22"/>
                <w:szCs w:val="22"/>
              </w:rPr>
              <w:t>4</w:t>
            </w:r>
            <w:r w:rsidRPr="00840142">
              <w:rPr>
                <w:rFonts w:ascii="Calibri" w:hAnsi="Calibri" w:cs="Courier New"/>
                <w:sz w:val="22"/>
                <w:szCs w:val="22"/>
              </w:rPr>
              <w:t>00</w:t>
            </w:r>
          </w:p>
        </w:tc>
        <w:tc>
          <w:tcPr>
            <w:tcW w:w="337" w:type="dxa"/>
            <w:tcBorders>
              <w:top w:val="nil"/>
              <w:bottom w:val="nil"/>
            </w:tcBorders>
            <w:shd w:val="clear" w:color="auto" w:fill="E6E6E6"/>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97" w:type="dxa"/>
            <w:tcBorders>
              <w:top w:val="nil"/>
              <w:bottom w:val="nil"/>
            </w:tcBorders>
            <w:shd w:val="clear" w:color="auto" w:fill="E6E6E6"/>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337" w:type="dxa"/>
            <w:tcBorders>
              <w:top w:val="nil"/>
              <w:bottom w:val="nil"/>
            </w:tcBorders>
            <w:shd w:val="clear" w:color="auto" w:fill="E6E6E6"/>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97" w:type="dxa"/>
            <w:tcBorders>
              <w:top w:val="nil"/>
              <w:bottom w:val="nil"/>
              <w:right w:val="single" w:sz="18" w:space="0" w:color="auto"/>
            </w:tcBorders>
            <w:shd w:val="clear" w:color="auto" w:fill="E6E6E6"/>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w:t>
            </w:r>
            <w:r>
              <w:rPr>
                <w:rFonts w:ascii="Calibri" w:hAnsi="Calibri" w:cs="Courier New"/>
                <w:sz w:val="22"/>
                <w:szCs w:val="22"/>
              </w:rPr>
              <w:t>8800</w:t>
            </w:r>
          </w:p>
        </w:tc>
        <w:tc>
          <w:tcPr>
            <w:tcW w:w="720" w:type="dxa"/>
            <w:tcBorders>
              <w:top w:val="nil"/>
              <w:left w:val="single" w:sz="18" w:space="0" w:color="auto"/>
              <w:bottom w:val="nil"/>
              <w:right w:val="single" w:sz="18" w:space="0" w:color="auto"/>
            </w:tcBorders>
            <w:shd w:val="clear" w:color="auto" w:fill="E6E6E6"/>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97" w:type="dxa"/>
            <w:tcBorders>
              <w:top w:val="nil"/>
              <w:left w:val="single" w:sz="18" w:space="0" w:color="auto"/>
              <w:bottom w:val="nil"/>
            </w:tcBorders>
            <w:shd w:val="clear" w:color="auto" w:fill="E6E6E6"/>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w:t>
            </w:r>
            <w:r>
              <w:rPr>
                <w:rFonts w:ascii="Calibri" w:hAnsi="Calibri" w:cs="Courier New"/>
                <w:sz w:val="22"/>
                <w:szCs w:val="22"/>
              </w:rPr>
              <w:t>8800</w:t>
            </w:r>
          </w:p>
        </w:tc>
        <w:tc>
          <w:tcPr>
            <w:tcW w:w="337" w:type="dxa"/>
            <w:tcBorders>
              <w:top w:val="nil"/>
              <w:bottom w:val="nil"/>
            </w:tcBorders>
            <w:shd w:val="clear" w:color="auto" w:fill="E6E6E6"/>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97" w:type="dxa"/>
            <w:tcBorders>
              <w:top w:val="nil"/>
              <w:bottom w:val="nil"/>
            </w:tcBorders>
            <w:shd w:val="clear" w:color="auto" w:fill="E6E6E6"/>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337" w:type="dxa"/>
            <w:tcBorders>
              <w:top w:val="nil"/>
              <w:bottom w:val="nil"/>
            </w:tcBorders>
            <w:shd w:val="clear" w:color="auto" w:fill="E6E6E6"/>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97" w:type="dxa"/>
            <w:tcBorders>
              <w:top w:val="nil"/>
              <w:bottom w:val="nil"/>
            </w:tcBorders>
            <w:shd w:val="clear" w:color="auto" w:fill="E6E6E6"/>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7837</w:t>
            </w:r>
          </w:p>
        </w:tc>
      </w:tr>
      <w:tr w:rsidR="00024B9F" w:rsidRPr="00840142" w:rsidTr="00791741">
        <w:tc>
          <w:tcPr>
            <w:tcW w:w="1495" w:type="dxa"/>
            <w:tcBorders>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left w:val="single" w:sz="18" w:space="0" w:color="auto"/>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3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3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bottom w:val="nil"/>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720" w:type="dxa"/>
            <w:tcBorders>
              <w:top w:val="nil"/>
              <w:left w:val="single" w:sz="18" w:space="0" w:color="auto"/>
              <w:bottom w:val="nil"/>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left w:val="single" w:sz="18" w:space="0" w:color="auto"/>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3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3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r>
      <w:tr w:rsidR="00024B9F" w:rsidRPr="00840142" w:rsidTr="00791741">
        <w:tc>
          <w:tcPr>
            <w:tcW w:w="1495" w:type="dxa"/>
            <w:tcBorders>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Fiscal Year 2015</w:t>
            </w:r>
          </w:p>
        </w:tc>
        <w:tc>
          <w:tcPr>
            <w:tcW w:w="1297" w:type="dxa"/>
            <w:tcBorders>
              <w:top w:val="nil"/>
              <w:left w:val="single" w:sz="18" w:space="0" w:color="auto"/>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3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3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bottom w:val="nil"/>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720" w:type="dxa"/>
            <w:tcBorders>
              <w:top w:val="nil"/>
              <w:left w:val="single" w:sz="18" w:space="0" w:color="auto"/>
              <w:bottom w:val="nil"/>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left w:val="single" w:sz="18" w:space="0" w:color="auto"/>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3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3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r>
      <w:tr w:rsidR="00024B9F" w:rsidRPr="00840142" w:rsidTr="00791741">
        <w:tc>
          <w:tcPr>
            <w:tcW w:w="1495" w:type="dxa"/>
            <w:tcBorders>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r w:rsidRPr="00840142">
              <w:rPr>
                <w:rFonts w:ascii="Calibri" w:hAnsi="Calibri" w:cs="Courier New"/>
                <w:sz w:val="22"/>
                <w:szCs w:val="22"/>
              </w:rPr>
              <w:t>Initiation</w:t>
            </w:r>
          </w:p>
        </w:tc>
        <w:tc>
          <w:tcPr>
            <w:tcW w:w="1297" w:type="dxa"/>
            <w:tcBorders>
              <w:top w:val="nil"/>
              <w:left w:val="single" w:sz="18" w:space="0" w:color="auto"/>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1200</w:t>
            </w:r>
          </w:p>
        </w:tc>
        <w:tc>
          <w:tcPr>
            <w:tcW w:w="33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x</w:t>
            </w:r>
          </w:p>
        </w:tc>
        <w:tc>
          <w:tcPr>
            <w:tcW w:w="129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w:t>
            </w:r>
          </w:p>
        </w:tc>
        <w:tc>
          <w:tcPr>
            <w:tcW w:w="33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297" w:type="dxa"/>
            <w:tcBorders>
              <w:top w:val="nil"/>
              <w:bottom w:val="nil"/>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 xml:space="preserve">  1200</w:t>
            </w:r>
          </w:p>
        </w:tc>
        <w:tc>
          <w:tcPr>
            <w:tcW w:w="720" w:type="dxa"/>
            <w:tcBorders>
              <w:top w:val="nil"/>
              <w:left w:val="single" w:sz="18" w:space="0" w:color="auto"/>
              <w:bottom w:val="nil"/>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97" w:type="dxa"/>
            <w:tcBorders>
              <w:top w:val="nil"/>
              <w:left w:val="single" w:sz="18" w:space="0" w:color="auto"/>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1200</w:t>
            </w:r>
          </w:p>
        </w:tc>
        <w:tc>
          <w:tcPr>
            <w:tcW w:w="33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x</w:t>
            </w:r>
          </w:p>
        </w:tc>
        <w:tc>
          <w:tcPr>
            <w:tcW w:w="129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w:t>
            </w:r>
          </w:p>
        </w:tc>
        <w:tc>
          <w:tcPr>
            <w:tcW w:w="33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29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 xml:space="preserve"> 1200</w:t>
            </w:r>
          </w:p>
        </w:tc>
      </w:tr>
      <w:tr w:rsidR="00024B9F" w:rsidRPr="00840142" w:rsidTr="00791741">
        <w:tc>
          <w:tcPr>
            <w:tcW w:w="1495" w:type="dxa"/>
            <w:tcBorders>
              <w:bottom w:val="nil"/>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r w:rsidRPr="00840142">
              <w:rPr>
                <w:rFonts w:ascii="Calibri" w:hAnsi="Calibri" w:cs="Courier New"/>
                <w:sz w:val="22"/>
                <w:szCs w:val="22"/>
              </w:rPr>
              <w:t>Repricing</w:t>
            </w:r>
          </w:p>
        </w:tc>
        <w:tc>
          <w:tcPr>
            <w:tcW w:w="1297" w:type="dxa"/>
            <w:tcBorders>
              <w:top w:val="nil"/>
              <w:left w:val="single" w:sz="18" w:space="0" w:color="auto"/>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2</w:t>
            </w:r>
            <w:r>
              <w:rPr>
                <w:rFonts w:ascii="Calibri" w:hAnsi="Calibri" w:cs="Courier New"/>
                <w:sz w:val="22"/>
                <w:szCs w:val="22"/>
              </w:rPr>
              <w:t>2</w:t>
            </w:r>
            <w:r w:rsidRPr="00840142">
              <w:rPr>
                <w:rFonts w:ascii="Calibri" w:hAnsi="Calibri" w:cs="Courier New"/>
                <w:sz w:val="22"/>
                <w:szCs w:val="22"/>
              </w:rPr>
              <w:t>00</w:t>
            </w:r>
          </w:p>
        </w:tc>
        <w:tc>
          <w:tcPr>
            <w:tcW w:w="33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x</w:t>
            </w:r>
          </w:p>
        </w:tc>
        <w:tc>
          <w:tcPr>
            <w:tcW w:w="129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8.0</w:t>
            </w:r>
          </w:p>
        </w:tc>
        <w:tc>
          <w:tcPr>
            <w:tcW w:w="33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297" w:type="dxa"/>
            <w:tcBorders>
              <w:top w:val="nil"/>
              <w:bottom w:val="nil"/>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w:t>
            </w:r>
            <w:r>
              <w:rPr>
                <w:rFonts w:ascii="Calibri" w:hAnsi="Calibri" w:cs="Courier New"/>
                <w:sz w:val="22"/>
                <w:szCs w:val="22"/>
              </w:rPr>
              <w:t>7600</w:t>
            </w:r>
          </w:p>
        </w:tc>
        <w:tc>
          <w:tcPr>
            <w:tcW w:w="720" w:type="dxa"/>
            <w:tcBorders>
              <w:top w:val="nil"/>
              <w:left w:val="single" w:sz="18" w:space="0" w:color="auto"/>
              <w:bottom w:val="nil"/>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97" w:type="dxa"/>
            <w:tcBorders>
              <w:top w:val="nil"/>
              <w:left w:val="single" w:sz="18" w:space="0" w:color="auto"/>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w:t>
            </w:r>
            <w:r>
              <w:rPr>
                <w:rFonts w:ascii="Calibri" w:hAnsi="Calibri" w:cs="Courier New"/>
                <w:sz w:val="22"/>
                <w:szCs w:val="22"/>
              </w:rPr>
              <w:t>7600</w:t>
            </w:r>
          </w:p>
        </w:tc>
        <w:tc>
          <w:tcPr>
            <w:tcW w:w="33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x</w:t>
            </w:r>
          </w:p>
        </w:tc>
        <w:tc>
          <w:tcPr>
            <w:tcW w:w="129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0.</w:t>
            </w:r>
            <w:r>
              <w:rPr>
                <w:rFonts w:ascii="Calibri" w:hAnsi="Calibri" w:cs="Courier New"/>
                <w:sz w:val="22"/>
                <w:szCs w:val="22"/>
              </w:rPr>
              <w:t>3771</w:t>
            </w:r>
          </w:p>
        </w:tc>
        <w:tc>
          <w:tcPr>
            <w:tcW w:w="33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297"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6637</w:t>
            </w:r>
          </w:p>
        </w:tc>
      </w:tr>
      <w:tr w:rsidR="00024B9F" w:rsidRPr="00840142" w:rsidTr="00791741">
        <w:tc>
          <w:tcPr>
            <w:tcW w:w="1495" w:type="dxa"/>
            <w:tcBorders>
              <w:top w:val="nil"/>
              <w:right w:val="single" w:sz="18" w:space="0" w:color="auto"/>
            </w:tcBorders>
            <w:shd w:val="clear" w:color="auto" w:fill="D9D9D9"/>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Total Burden</w:t>
            </w:r>
          </w:p>
        </w:tc>
        <w:tc>
          <w:tcPr>
            <w:tcW w:w="1297" w:type="dxa"/>
            <w:tcBorders>
              <w:top w:val="nil"/>
              <w:left w:val="single" w:sz="18" w:space="0" w:color="auto"/>
              <w:bottom w:val="single" w:sz="18" w:space="0" w:color="auto"/>
            </w:tcBorders>
            <w:shd w:val="clear" w:color="auto" w:fill="D9D9D9"/>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3</w:t>
            </w:r>
            <w:r>
              <w:rPr>
                <w:rFonts w:ascii="Calibri" w:hAnsi="Calibri" w:cs="Courier New"/>
                <w:sz w:val="22"/>
                <w:szCs w:val="22"/>
              </w:rPr>
              <w:t>4</w:t>
            </w:r>
            <w:r w:rsidRPr="00840142">
              <w:rPr>
                <w:rFonts w:ascii="Calibri" w:hAnsi="Calibri" w:cs="Courier New"/>
                <w:sz w:val="22"/>
                <w:szCs w:val="22"/>
              </w:rPr>
              <w:t>00</w:t>
            </w:r>
          </w:p>
        </w:tc>
        <w:tc>
          <w:tcPr>
            <w:tcW w:w="337" w:type="dxa"/>
            <w:tcBorders>
              <w:top w:val="nil"/>
              <w:bottom w:val="single" w:sz="18" w:space="0" w:color="auto"/>
            </w:tcBorders>
            <w:shd w:val="clear" w:color="auto" w:fill="D9D9D9"/>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97" w:type="dxa"/>
            <w:tcBorders>
              <w:top w:val="nil"/>
              <w:bottom w:val="single" w:sz="18" w:space="0" w:color="auto"/>
            </w:tcBorders>
            <w:shd w:val="clear" w:color="auto" w:fill="D9D9D9"/>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337" w:type="dxa"/>
            <w:tcBorders>
              <w:top w:val="nil"/>
              <w:bottom w:val="single" w:sz="18" w:space="0" w:color="auto"/>
            </w:tcBorders>
            <w:shd w:val="clear" w:color="auto" w:fill="D9D9D9"/>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97" w:type="dxa"/>
            <w:tcBorders>
              <w:top w:val="nil"/>
              <w:bottom w:val="single" w:sz="18" w:space="0" w:color="auto"/>
              <w:right w:val="single" w:sz="18" w:space="0" w:color="auto"/>
            </w:tcBorders>
            <w:shd w:val="clear" w:color="auto" w:fill="D9D9D9"/>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w:t>
            </w:r>
            <w:r>
              <w:rPr>
                <w:rFonts w:ascii="Calibri" w:hAnsi="Calibri" w:cs="Courier New"/>
                <w:sz w:val="22"/>
                <w:szCs w:val="22"/>
              </w:rPr>
              <w:t>8800</w:t>
            </w:r>
          </w:p>
        </w:tc>
        <w:tc>
          <w:tcPr>
            <w:tcW w:w="720" w:type="dxa"/>
            <w:tcBorders>
              <w:top w:val="nil"/>
              <w:left w:val="single" w:sz="18" w:space="0" w:color="auto"/>
              <w:bottom w:val="nil"/>
              <w:right w:val="single" w:sz="18" w:space="0" w:color="auto"/>
            </w:tcBorders>
            <w:shd w:val="clear" w:color="auto" w:fill="D9D9D9"/>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97" w:type="dxa"/>
            <w:tcBorders>
              <w:top w:val="nil"/>
              <w:left w:val="single" w:sz="18" w:space="0" w:color="auto"/>
              <w:bottom w:val="single" w:sz="18" w:space="0" w:color="auto"/>
            </w:tcBorders>
            <w:shd w:val="clear" w:color="auto" w:fill="D9D9D9"/>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w:t>
            </w:r>
            <w:r>
              <w:rPr>
                <w:rFonts w:ascii="Calibri" w:hAnsi="Calibri" w:cs="Courier New"/>
                <w:sz w:val="22"/>
                <w:szCs w:val="22"/>
              </w:rPr>
              <w:t>8800</w:t>
            </w:r>
          </w:p>
        </w:tc>
        <w:tc>
          <w:tcPr>
            <w:tcW w:w="337" w:type="dxa"/>
            <w:tcBorders>
              <w:top w:val="nil"/>
              <w:bottom w:val="single" w:sz="18" w:space="0" w:color="auto"/>
            </w:tcBorders>
            <w:shd w:val="clear" w:color="auto" w:fill="D9D9D9"/>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97" w:type="dxa"/>
            <w:tcBorders>
              <w:top w:val="nil"/>
              <w:bottom w:val="single" w:sz="18" w:space="0" w:color="auto"/>
            </w:tcBorders>
            <w:shd w:val="clear" w:color="auto" w:fill="D9D9D9"/>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337" w:type="dxa"/>
            <w:tcBorders>
              <w:top w:val="nil"/>
              <w:bottom w:val="single" w:sz="18" w:space="0" w:color="auto"/>
            </w:tcBorders>
            <w:shd w:val="clear" w:color="auto" w:fill="D9D9D9"/>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97" w:type="dxa"/>
            <w:tcBorders>
              <w:top w:val="nil"/>
              <w:bottom w:val="single" w:sz="18" w:space="0" w:color="auto"/>
            </w:tcBorders>
            <w:shd w:val="clear" w:color="auto" w:fill="D9D9D9"/>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7837</w:t>
            </w:r>
          </w:p>
        </w:tc>
      </w:tr>
      <w:bookmarkEnd w:id="0"/>
      <w:bookmarkEnd w:id="1"/>
    </w:tbl>
    <w:p w:rsidR="00024B9F" w:rsidRDefault="00024B9F" w:rsidP="00024B9F">
      <w:pPr>
        <w:rPr>
          <w:rFonts w:ascii="Verdana" w:hAnsi="Verdana"/>
          <w:sz w:val="18"/>
          <w:szCs w:val="18"/>
        </w:rPr>
      </w:pPr>
    </w:p>
    <w:p w:rsidR="00EA0AAD" w:rsidRDefault="00797A35">
      <w:pPr>
        <w:spacing w:after="200" w:line="276" w:lineRule="auto"/>
        <w:rPr>
          <w:rFonts w:ascii="Calibri" w:hAnsi="Calibri"/>
          <w:b/>
          <w:sz w:val="22"/>
          <w:szCs w:val="22"/>
        </w:rPr>
      </w:pPr>
      <w:r>
        <w:rPr>
          <w:rFonts w:ascii="Calibri" w:hAnsi="Calibri"/>
          <w:b/>
          <w:sz w:val="22"/>
          <w:szCs w:val="22"/>
        </w:rPr>
        <w:br w:type="page"/>
      </w:r>
    </w:p>
    <w:p w:rsidR="00024B9F" w:rsidRPr="000406F9" w:rsidRDefault="00024B9F" w:rsidP="00024B9F">
      <w:pPr>
        <w:jc w:val="center"/>
        <w:rPr>
          <w:rFonts w:ascii="Calibri" w:hAnsi="Calibri"/>
          <w:b/>
          <w:sz w:val="22"/>
          <w:szCs w:val="22"/>
        </w:rPr>
      </w:pPr>
      <w:r>
        <w:rPr>
          <w:rFonts w:ascii="Calibri" w:hAnsi="Calibri"/>
          <w:b/>
          <w:sz w:val="22"/>
          <w:szCs w:val="22"/>
        </w:rPr>
        <w:lastRenderedPageBreak/>
        <w:t>IMPORTS</w:t>
      </w:r>
    </w:p>
    <w:p w:rsidR="00024B9F" w:rsidRDefault="00024B9F" w:rsidP="00024B9F">
      <w:pPr>
        <w:rPr>
          <w:rFonts w:ascii="Verdana" w:hAnsi="Verdana"/>
          <w:sz w:val="18"/>
          <w:szCs w:val="18"/>
        </w:rPr>
      </w:pPr>
    </w:p>
    <w:tbl>
      <w:tblPr>
        <w:tblW w:w="5392" w:type="pct"/>
        <w:tblBorders>
          <w:top w:val="single" w:sz="18" w:space="0" w:color="auto"/>
          <w:left w:val="single" w:sz="18" w:space="0" w:color="auto"/>
          <w:bottom w:val="single" w:sz="18" w:space="0" w:color="auto"/>
          <w:right w:val="single" w:sz="18" w:space="0" w:color="auto"/>
        </w:tblBorders>
        <w:tblLook w:val="01E0"/>
      </w:tblPr>
      <w:tblGrid>
        <w:gridCol w:w="1155"/>
        <w:gridCol w:w="433"/>
        <w:gridCol w:w="1012"/>
        <w:gridCol w:w="321"/>
        <w:gridCol w:w="352"/>
        <w:gridCol w:w="850"/>
        <w:gridCol w:w="335"/>
        <w:gridCol w:w="358"/>
        <w:gridCol w:w="856"/>
        <w:gridCol w:w="243"/>
        <w:gridCol w:w="478"/>
        <w:gridCol w:w="736"/>
        <w:gridCol w:w="321"/>
        <w:gridCol w:w="453"/>
        <w:gridCol w:w="715"/>
        <w:gridCol w:w="335"/>
        <w:gridCol w:w="454"/>
        <w:gridCol w:w="920"/>
      </w:tblGrid>
      <w:tr w:rsidR="00024B9F" w:rsidRPr="00840142" w:rsidTr="00791741">
        <w:tc>
          <w:tcPr>
            <w:tcW w:w="1122" w:type="dxa"/>
            <w:tcBorders>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p>
        </w:tc>
        <w:tc>
          <w:tcPr>
            <w:tcW w:w="4105" w:type="dxa"/>
            <w:gridSpan w:val="8"/>
            <w:tcBorders>
              <w:top w:val="single" w:sz="18" w:space="0" w:color="auto"/>
              <w:left w:val="single" w:sz="18" w:space="0" w:color="auto"/>
              <w:bottom w:val="nil"/>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u w:val="single"/>
              </w:rPr>
            </w:pPr>
            <w:r w:rsidRPr="00840142">
              <w:rPr>
                <w:rFonts w:ascii="Calibri" w:hAnsi="Calibri" w:cs="Courier New"/>
                <w:sz w:val="22"/>
                <w:szCs w:val="22"/>
                <w:u w:val="single"/>
              </w:rPr>
              <w:t>Total Annual Responses</w:t>
            </w:r>
          </w:p>
        </w:tc>
        <w:tc>
          <w:tcPr>
            <w:tcW w:w="236" w:type="dxa"/>
            <w:tcBorders>
              <w:top w:val="nil"/>
              <w:left w:val="single" w:sz="18" w:space="0" w:color="auto"/>
              <w:bottom w:val="nil"/>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p>
        </w:tc>
        <w:tc>
          <w:tcPr>
            <w:tcW w:w="4088" w:type="dxa"/>
            <w:gridSpan w:val="8"/>
            <w:tcBorders>
              <w:top w:val="single" w:sz="18" w:space="0" w:color="auto"/>
              <w:left w:val="single" w:sz="18" w:space="0" w:color="auto"/>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u w:val="single"/>
              </w:rPr>
            </w:pPr>
            <w:r w:rsidRPr="00840142">
              <w:rPr>
                <w:rFonts w:ascii="Calibri" w:hAnsi="Calibri" w:cs="Courier New"/>
                <w:sz w:val="22"/>
                <w:szCs w:val="22"/>
                <w:u w:val="single"/>
              </w:rPr>
              <w:t>Estimated Total Hrs of Annual Burden</w:t>
            </w:r>
          </w:p>
        </w:tc>
      </w:tr>
      <w:tr w:rsidR="00024B9F" w:rsidRPr="00840142" w:rsidTr="00791741">
        <w:tc>
          <w:tcPr>
            <w:tcW w:w="1122" w:type="dxa"/>
            <w:tcBorders>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p>
        </w:tc>
        <w:tc>
          <w:tcPr>
            <w:tcW w:w="1119" w:type="dxa"/>
            <w:gridSpan w:val="2"/>
            <w:tcBorders>
              <w:top w:val="nil"/>
              <w:left w:val="single" w:sz="18" w:space="0" w:color="auto"/>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Number of Respondents (end of FY)</w:t>
            </w:r>
          </w:p>
        </w:tc>
        <w:tc>
          <w:tcPr>
            <w:tcW w:w="312"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p>
        </w:tc>
        <w:tc>
          <w:tcPr>
            <w:tcW w:w="1168" w:type="dxa"/>
            <w:gridSpan w:val="2"/>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Frequency of Response Per Year</w:t>
            </w:r>
          </w:p>
        </w:tc>
        <w:tc>
          <w:tcPr>
            <w:tcW w:w="326"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p>
        </w:tc>
        <w:tc>
          <w:tcPr>
            <w:tcW w:w="1180" w:type="dxa"/>
            <w:gridSpan w:val="2"/>
            <w:tcBorders>
              <w:top w:val="nil"/>
              <w:bottom w:val="nil"/>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Total Annual Responses</w:t>
            </w:r>
          </w:p>
        </w:tc>
        <w:tc>
          <w:tcPr>
            <w:tcW w:w="236" w:type="dxa"/>
            <w:tcBorders>
              <w:top w:val="nil"/>
              <w:left w:val="single" w:sz="18" w:space="0" w:color="auto"/>
              <w:bottom w:val="nil"/>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p>
        </w:tc>
        <w:tc>
          <w:tcPr>
            <w:tcW w:w="1180" w:type="dxa"/>
            <w:gridSpan w:val="2"/>
            <w:tcBorders>
              <w:top w:val="nil"/>
              <w:left w:val="single" w:sz="18" w:space="0" w:color="auto"/>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Total Annual Responses</w:t>
            </w:r>
          </w:p>
        </w:tc>
        <w:tc>
          <w:tcPr>
            <w:tcW w:w="312"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p>
        </w:tc>
        <w:tc>
          <w:tcPr>
            <w:tcW w:w="1135" w:type="dxa"/>
            <w:gridSpan w:val="2"/>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Estimated Avg # of Hrs Per Response</w:t>
            </w:r>
          </w:p>
        </w:tc>
        <w:tc>
          <w:tcPr>
            <w:tcW w:w="326"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p>
        </w:tc>
        <w:tc>
          <w:tcPr>
            <w:tcW w:w="1135" w:type="dxa"/>
            <w:gridSpan w:val="2"/>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Estimated Total Hrs of Annual Burden</w:t>
            </w:r>
          </w:p>
        </w:tc>
      </w:tr>
      <w:tr w:rsidR="00024B9F" w:rsidRPr="00840142" w:rsidTr="00791741">
        <w:tc>
          <w:tcPr>
            <w:tcW w:w="1122" w:type="dxa"/>
            <w:tcBorders>
              <w:right w:val="single" w:sz="18" w:space="0" w:color="auto"/>
            </w:tcBorders>
          </w:tcPr>
          <w:p w:rsidR="00024B9F" w:rsidRPr="00840142" w:rsidRDefault="00024B9F" w:rsidP="00BE0C59">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 xml:space="preserve">Fiscal Year </w:t>
            </w:r>
            <w:r w:rsidR="00BE0C59" w:rsidRPr="00840142">
              <w:rPr>
                <w:rFonts w:ascii="Calibri" w:hAnsi="Calibri" w:cs="Courier New"/>
                <w:b/>
                <w:sz w:val="22"/>
                <w:szCs w:val="22"/>
              </w:rPr>
              <w:t>20</w:t>
            </w:r>
            <w:r w:rsidR="00BE0C59">
              <w:rPr>
                <w:rFonts w:ascii="Calibri" w:hAnsi="Calibri" w:cs="Courier New"/>
                <w:b/>
                <w:sz w:val="22"/>
                <w:szCs w:val="22"/>
              </w:rPr>
              <w:t>13</w:t>
            </w:r>
          </w:p>
        </w:tc>
        <w:tc>
          <w:tcPr>
            <w:tcW w:w="1119" w:type="dxa"/>
            <w:gridSpan w:val="2"/>
            <w:tcBorders>
              <w:top w:val="nil"/>
              <w:left w:val="single" w:sz="18" w:space="0" w:color="auto"/>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12"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68" w:type="dxa"/>
            <w:gridSpan w:val="2"/>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26"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80" w:type="dxa"/>
            <w:gridSpan w:val="2"/>
            <w:tcBorders>
              <w:top w:val="nil"/>
              <w:bottom w:val="nil"/>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236" w:type="dxa"/>
            <w:tcBorders>
              <w:top w:val="nil"/>
              <w:left w:val="single" w:sz="18" w:space="0" w:color="auto"/>
              <w:bottom w:val="nil"/>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80" w:type="dxa"/>
            <w:gridSpan w:val="2"/>
            <w:tcBorders>
              <w:top w:val="nil"/>
              <w:left w:val="single" w:sz="18" w:space="0" w:color="auto"/>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12"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35" w:type="dxa"/>
            <w:gridSpan w:val="2"/>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26"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35" w:type="dxa"/>
            <w:gridSpan w:val="2"/>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r>
      <w:tr w:rsidR="00024B9F" w:rsidRPr="00840142" w:rsidTr="00791741">
        <w:tc>
          <w:tcPr>
            <w:tcW w:w="1122" w:type="dxa"/>
            <w:tcBorders>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r w:rsidRPr="00840142">
              <w:rPr>
                <w:rFonts w:ascii="Calibri" w:hAnsi="Calibri" w:cs="Courier New"/>
                <w:sz w:val="22"/>
                <w:szCs w:val="22"/>
              </w:rPr>
              <w:t>Initiation</w:t>
            </w:r>
          </w:p>
        </w:tc>
        <w:tc>
          <w:tcPr>
            <w:tcW w:w="1119" w:type="dxa"/>
            <w:gridSpan w:val="2"/>
            <w:tcBorders>
              <w:top w:val="nil"/>
              <w:left w:val="single" w:sz="18" w:space="0" w:color="auto"/>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 xml:space="preserve">1800  </w:t>
            </w:r>
          </w:p>
        </w:tc>
        <w:tc>
          <w:tcPr>
            <w:tcW w:w="312"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r w:rsidRPr="00840142">
              <w:rPr>
                <w:rFonts w:ascii="Calibri" w:hAnsi="Calibri" w:cs="Courier New"/>
                <w:sz w:val="22"/>
                <w:szCs w:val="22"/>
              </w:rPr>
              <w:t>x</w:t>
            </w:r>
          </w:p>
        </w:tc>
        <w:tc>
          <w:tcPr>
            <w:tcW w:w="1168" w:type="dxa"/>
            <w:gridSpan w:val="2"/>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w:t>
            </w:r>
          </w:p>
        </w:tc>
        <w:tc>
          <w:tcPr>
            <w:tcW w:w="326"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180" w:type="dxa"/>
            <w:gridSpan w:val="2"/>
            <w:tcBorders>
              <w:top w:val="nil"/>
              <w:bottom w:val="nil"/>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 xml:space="preserve">  1800</w:t>
            </w:r>
          </w:p>
        </w:tc>
        <w:tc>
          <w:tcPr>
            <w:tcW w:w="236" w:type="dxa"/>
            <w:tcBorders>
              <w:top w:val="nil"/>
              <w:left w:val="single" w:sz="18" w:space="0" w:color="auto"/>
              <w:bottom w:val="nil"/>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r w:rsidRPr="00840142">
              <w:rPr>
                <w:rFonts w:ascii="Calibri" w:hAnsi="Calibri" w:cs="Courier New"/>
                <w:sz w:val="22"/>
                <w:szCs w:val="22"/>
              </w:rPr>
              <w:t xml:space="preserve"> </w:t>
            </w:r>
          </w:p>
        </w:tc>
        <w:tc>
          <w:tcPr>
            <w:tcW w:w="1180" w:type="dxa"/>
            <w:gridSpan w:val="2"/>
            <w:tcBorders>
              <w:top w:val="nil"/>
              <w:left w:val="single" w:sz="18" w:space="0" w:color="auto"/>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1800</w:t>
            </w:r>
          </w:p>
        </w:tc>
        <w:tc>
          <w:tcPr>
            <w:tcW w:w="312"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x</w:t>
            </w:r>
          </w:p>
        </w:tc>
        <w:tc>
          <w:tcPr>
            <w:tcW w:w="1135" w:type="dxa"/>
            <w:gridSpan w:val="2"/>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w:t>
            </w:r>
          </w:p>
        </w:tc>
        <w:tc>
          <w:tcPr>
            <w:tcW w:w="326"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135" w:type="dxa"/>
            <w:gridSpan w:val="2"/>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 xml:space="preserve">  1800</w:t>
            </w:r>
          </w:p>
        </w:tc>
      </w:tr>
      <w:tr w:rsidR="00024B9F" w:rsidRPr="00840142" w:rsidTr="00791741">
        <w:tc>
          <w:tcPr>
            <w:tcW w:w="1122" w:type="dxa"/>
            <w:tcBorders>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r w:rsidRPr="00840142">
              <w:rPr>
                <w:rFonts w:ascii="Calibri" w:hAnsi="Calibri" w:cs="Courier New"/>
                <w:sz w:val="22"/>
                <w:szCs w:val="22"/>
              </w:rPr>
              <w:t>Repricing</w:t>
            </w:r>
          </w:p>
        </w:tc>
        <w:tc>
          <w:tcPr>
            <w:tcW w:w="1119" w:type="dxa"/>
            <w:gridSpan w:val="2"/>
            <w:tcBorders>
              <w:top w:val="nil"/>
              <w:left w:val="single" w:sz="18" w:space="0" w:color="auto"/>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3</w:t>
            </w:r>
            <w:r>
              <w:rPr>
                <w:rFonts w:ascii="Calibri" w:hAnsi="Calibri" w:cs="Courier New"/>
                <w:sz w:val="22"/>
                <w:szCs w:val="22"/>
              </w:rPr>
              <w:t>3</w:t>
            </w:r>
            <w:r w:rsidRPr="00840142">
              <w:rPr>
                <w:rFonts w:ascii="Calibri" w:hAnsi="Calibri" w:cs="Courier New"/>
                <w:sz w:val="22"/>
                <w:szCs w:val="22"/>
              </w:rPr>
              <w:t>00</w:t>
            </w:r>
          </w:p>
        </w:tc>
        <w:tc>
          <w:tcPr>
            <w:tcW w:w="312"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r w:rsidRPr="00840142">
              <w:rPr>
                <w:rFonts w:ascii="Calibri" w:hAnsi="Calibri" w:cs="Courier New"/>
                <w:sz w:val="22"/>
                <w:szCs w:val="22"/>
              </w:rPr>
              <w:t>x</w:t>
            </w:r>
          </w:p>
        </w:tc>
        <w:tc>
          <w:tcPr>
            <w:tcW w:w="1168" w:type="dxa"/>
            <w:gridSpan w:val="2"/>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8.2</w:t>
            </w:r>
          </w:p>
        </w:tc>
        <w:tc>
          <w:tcPr>
            <w:tcW w:w="326"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180" w:type="dxa"/>
            <w:gridSpan w:val="2"/>
            <w:tcBorders>
              <w:top w:val="nil"/>
              <w:bottom w:val="nil"/>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2</w:t>
            </w:r>
            <w:r>
              <w:rPr>
                <w:rFonts w:ascii="Calibri" w:hAnsi="Calibri" w:cs="Courier New"/>
                <w:sz w:val="22"/>
                <w:szCs w:val="22"/>
              </w:rPr>
              <w:t>7060</w:t>
            </w:r>
          </w:p>
        </w:tc>
        <w:tc>
          <w:tcPr>
            <w:tcW w:w="236" w:type="dxa"/>
            <w:tcBorders>
              <w:top w:val="nil"/>
              <w:left w:val="single" w:sz="18" w:space="0" w:color="auto"/>
              <w:bottom w:val="nil"/>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180" w:type="dxa"/>
            <w:gridSpan w:val="2"/>
            <w:tcBorders>
              <w:top w:val="nil"/>
              <w:left w:val="single" w:sz="18" w:space="0" w:color="auto"/>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2</w:t>
            </w:r>
            <w:r>
              <w:rPr>
                <w:rFonts w:ascii="Calibri" w:hAnsi="Calibri" w:cs="Courier New"/>
                <w:sz w:val="22"/>
                <w:szCs w:val="22"/>
              </w:rPr>
              <w:t>7060</w:t>
            </w:r>
          </w:p>
        </w:tc>
        <w:tc>
          <w:tcPr>
            <w:tcW w:w="312"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x</w:t>
            </w:r>
          </w:p>
        </w:tc>
        <w:tc>
          <w:tcPr>
            <w:tcW w:w="1135" w:type="dxa"/>
            <w:gridSpan w:val="2"/>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0.</w:t>
            </w:r>
            <w:r>
              <w:rPr>
                <w:rFonts w:ascii="Calibri" w:hAnsi="Calibri" w:cs="Courier New"/>
                <w:sz w:val="22"/>
                <w:szCs w:val="22"/>
              </w:rPr>
              <w:t>4106</w:t>
            </w:r>
            <w:r w:rsidRPr="00840142">
              <w:rPr>
                <w:rStyle w:val="FootnoteReference"/>
                <w:rFonts w:ascii="Calibri" w:hAnsi="Calibri" w:cs="Courier New"/>
                <w:sz w:val="22"/>
                <w:szCs w:val="22"/>
              </w:rPr>
              <w:footnoteReference w:id="9"/>
            </w:r>
          </w:p>
        </w:tc>
        <w:tc>
          <w:tcPr>
            <w:tcW w:w="326"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135" w:type="dxa"/>
            <w:gridSpan w:val="2"/>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11111</w:t>
            </w:r>
          </w:p>
        </w:tc>
      </w:tr>
      <w:tr w:rsidR="00024B9F" w:rsidRPr="00840142" w:rsidTr="00791741">
        <w:tc>
          <w:tcPr>
            <w:tcW w:w="1122" w:type="dxa"/>
            <w:tcBorders>
              <w:right w:val="single" w:sz="18" w:space="0" w:color="auto"/>
            </w:tcBorders>
            <w:shd w:val="clear" w:color="auto" w:fill="E6E6E6"/>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Total Burden</w:t>
            </w:r>
          </w:p>
        </w:tc>
        <w:tc>
          <w:tcPr>
            <w:tcW w:w="1119" w:type="dxa"/>
            <w:gridSpan w:val="2"/>
            <w:tcBorders>
              <w:top w:val="nil"/>
              <w:left w:val="single" w:sz="18" w:space="0" w:color="auto"/>
              <w:bottom w:val="nil"/>
            </w:tcBorders>
            <w:shd w:val="clear" w:color="auto" w:fill="E6E6E6"/>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5</w:t>
            </w:r>
            <w:r>
              <w:rPr>
                <w:rFonts w:ascii="Calibri" w:hAnsi="Calibri" w:cs="Courier New"/>
                <w:sz w:val="22"/>
                <w:szCs w:val="22"/>
              </w:rPr>
              <w:t>1</w:t>
            </w:r>
            <w:r w:rsidRPr="00840142">
              <w:rPr>
                <w:rFonts w:ascii="Calibri" w:hAnsi="Calibri" w:cs="Courier New"/>
                <w:sz w:val="22"/>
                <w:szCs w:val="22"/>
              </w:rPr>
              <w:t>00</w:t>
            </w:r>
          </w:p>
        </w:tc>
        <w:tc>
          <w:tcPr>
            <w:tcW w:w="312" w:type="dxa"/>
            <w:tcBorders>
              <w:top w:val="nil"/>
              <w:bottom w:val="nil"/>
            </w:tcBorders>
            <w:shd w:val="clear" w:color="auto" w:fill="E6E6E6"/>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68" w:type="dxa"/>
            <w:gridSpan w:val="2"/>
            <w:tcBorders>
              <w:top w:val="nil"/>
              <w:bottom w:val="nil"/>
            </w:tcBorders>
            <w:shd w:val="clear" w:color="auto" w:fill="E6E6E6"/>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326" w:type="dxa"/>
            <w:tcBorders>
              <w:top w:val="nil"/>
              <w:bottom w:val="nil"/>
            </w:tcBorders>
            <w:shd w:val="clear" w:color="auto" w:fill="E6E6E6"/>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180" w:type="dxa"/>
            <w:gridSpan w:val="2"/>
            <w:tcBorders>
              <w:top w:val="nil"/>
              <w:bottom w:val="nil"/>
              <w:right w:val="single" w:sz="18" w:space="0" w:color="auto"/>
            </w:tcBorders>
            <w:shd w:val="clear" w:color="auto" w:fill="E6E6E6"/>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2</w:t>
            </w:r>
            <w:r>
              <w:rPr>
                <w:rFonts w:ascii="Calibri" w:hAnsi="Calibri" w:cs="Courier New"/>
                <w:sz w:val="22"/>
                <w:szCs w:val="22"/>
              </w:rPr>
              <w:t>8860</w:t>
            </w:r>
          </w:p>
        </w:tc>
        <w:tc>
          <w:tcPr>
            <w:tcW w:w="236" w:type="dxa"/>
            <w:tcBorders>
              <w:top w:val="nil"/>
              <w:left w:val="single" w:sz="18" w:space="0" w:color="auto"/>
              <w:bottom w:val="nil"/>
              <w:right w:val="single" w:sz="18" w:space="0" w:color="auto"/>
            </w:tcBorders>
            <w:shd w:val="clear" w:color="auto" w:fill="E6E6E6"/>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180" w:type="dxa"/>
            <w:gridSpan w:val="2"/>
            <w:tcBorders>
              <w:top w:val="nil"/>
              <w:left w:val="single" w:sz="18" w:space="0" w:color="auto"/>
              <w:bottom w:val="nil"/>
            </w:tcBorders>
            <w:shd w:val="clear" w:color="auto" w:fill="E6E6E6"/>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2</w:t>
            </w:r>
            <w:r>
              <w:rPr>
                <w:rFonts w:ascii="Calibri" w:hAnsi="Calibri" w:cs="Courier New"/>
                <w:sz w:val="22"/>
                <w:szCs w:val="22"/>
              </w:rPr>
              <w:t>8860</w:t>
            </w:r>
          </w:p>
        </w:tc>
        <w:tc>
          <w:tcPr>
            <w:tcW w:w="312" w:type="dxa"/>
            <w:tcBorders>
              <w:top w:val="nil"/>
              <w:bottom w:val="nil"/>
            </w:tcBorders>
            <w:shd w:val="clear" w:color="auto" w:fill="E6E6E6"/>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135" w:type="dxa"/>
            <w:gridSpan w:val="2"/>
            <w:tcBorders>
              <w:top w:val="nil"/>
              <w:bottom w:val="nil"/>
            </w:tcBorders>
            <w:shd w:val="clear" w:color="auto" w:fill="E6E6E6"/>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326" w:type="dxa"/>
            <w:tcBorders>
              <w:top w:val="nil"/>
              <w:bottom w:val="nil"/>
            </w:tcBorders>
            <w:shd w:val="clear" w:color="auto" w:fill="E6E6E6"/>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135" w:type="dxa"/>
            <w:gridSpan w:val="2"/>
            <w:tcBorders>
              <w:top w:val="nil"/>
              <w:bottom w:val="nil"/>
            </w:tcBorders>
            <w:shd w:val="clear" w:color="auto" w:fill="E6E6E6"/>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 xml:space="preserve">  </w:t>
            </w:r>
            <w:r>
              <w:rPr>
                <w:rFonts w:ascii="Calibri" w:hAnsi="Calibri" w:cs="Courier New"/>
                <w:sz w:val="22"/>
                <w:szCs w:val="22"/>
              </w:rPr>
              <w:t>12911</w:t>
            </w:r>
            <w:r w:rsidRPr="00840142">
              <w:rPr>
                <w:rStyle w:val="FootnoteReference"/>
                <w:rFonts w:ascii="Calibri" w:hAnsi="Calibri" w:cs="Courier New"/>
                <w:sz w:val="22"/>
                <w:szCs w:val="22"/>
              </w:rPr>
              <w:footnoteReference w:id="10"/>
            </w:r>
          </w:p>
        </w:tc>
      </w:tr>
      <w:tr w:rsidR="00024B9F" w:rsidRPr="00840142" w:rsidTr="00791741">
        <w:tc>
          <w:tcPr>
            <w:tcW w:w="1122" w:type="dxa"/>
            <w:tcBorders>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19" w:type="dxa"/>
            <w:gridSpan w:val="2"/>
            <w:tcBorders>
              <w:top w:val="nil"/>
              <w:left w:val="single" w:sz="18" w:space="0" w:color="auto"/>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12"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68" w:type="dxa"/>
            <w:gridSpan w:val="2"/>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26"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80" w:type="dxa"/>
            <w:gridSpan w:val="2"/>
            <w:tcBorders>
              <w:top w:val="nil"/>
              <w:bottom w:val="nil"/>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236" w:type="dxa"/>
            <w:tcBorders>
              <w:top w:val="nil"/>
              <w:left w:val="single" w:sz="18" w:space="0" w:color="auto"/>
              <w:bottom w:val="nil"/>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80" w:type="dxa"/>
            <w:gridSpan w:val="2"/>
            <w:tcBorders>
              <w:top w:val="nil"/>
              <w:left w:val="single" w:sz="18" w:space="0" w:color="auto"/>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12"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35" w:type="dxa"/>
            <w:gridSpan w:val="2"/>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26"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35" w:type="dxa"/>
            <w:gridSpan w:val="2"/>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r>
      <w:tr w:rsidR="00024B9F" w:rsidRPr="00840142" w:rsidTr="00791741">
        <w:tc>
          <w:tcPr>
            <w:tcW w:w="1122" w:type="dxa"/>
            <w:tcBorders>
              <w:right w:val="single" w:sz="18" w:space="0" w:color="auto"/>
            </w:tcBorders>
          </w:tcPr>
          <w:p w:rsidR="00024B9F" w:rsidRPr="00840142" w:rsidRDefault="00024B9F" w:rsidP="00BE0C59">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 xml:space="preserve">Fiscal Year </w:t>
            </w:r>
            <w:r w:rsidR="00BE0C59" w:rsidRPr="00840142">
              <w:rPr>
                <w:rFonts w:ascii="Calibri" w:hAnsi="Calibri" w:cs="Courier New"/>
                <w:b/>
                <w:sz w:val="22"/>
                <w:szCs w:val="22"/>
              </w:rPr>
              <w:t>20</w:t>
            </w:r>
            <w:r w:rsidR="00BE0C59">
              <w:rPr>
                <w:rFonts w:ascii="Calibri" w:hAnsi="Calibri" w:cs="Courier New"/>
                <w:b/>
                <w:sz w:val="22"/>
                <w:szCs w:val="22"/>
              </w:rPr>
              <w:t>14</w:t>
            </w:r>
          </w:p>
        </w:tc>
        <w:tc>
          <w:tcPr>
            <w:tcW w:w="1119" w:type="dxa"/>
            <w:gridSpan w:val="2"/>
            <w:tcBorders>
              <w:top w:val="nil"/>
              <w:left w:val="single" w:sz="18" w:space="0" w:color="auto"/>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12"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68" w:type="dxa"/>
            <w:gridSpan w:val="2"/>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26"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80" w:type="dxa"/>
            <w:gridSpan w:val="2"/>
            <w:tcBorders>
              <w:top w:val="nil"/>
              <w:bottom w:val="nil"/>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236" w:type="dxa"/>
            <w:tcBorders>
              <w:top w:val="nil"/>
              <w:left w:val="single" w:sz="18" w:space="0" w:color="auto"/>
              <w:bottom w:val="nil"/>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80" w:type="dxa"/>
            <w:gridSpan w:val="2"/>
            <w:tcBorders>
              <w:top w:val="nil"/>
              <w:left w:val="single" w:sz="18" w:space="0" w:color="auto"/>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12"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35" w:type="dxa"/>
            <w:gridSpan w:val="2"/>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26"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35" w:type="dxa"/>
            <w:gridSpan w:val="2"/>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r>
      <w:tr w:rsidR="00024B9F" w:rsidRPr="00840142" w:rsidTr="00791741">
        <w:tc>
          <w:tcPr>
            <w:tcW w:w="1122" w:type="dxa"/>
            <w:tcBorders>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r w:rsidRPr="00840142">
              <w:rPr>
                <w:rFonts w:ascii="Calibri" w:hAnsi="Calibri" w:cs="Courier New"/>
                <w:sz w:val="22"/>
                <w:szCs w:val="22"/>
              </w:rPr>
              <w:t>Initiation</w:t>
            </w:r>
          </w:p>
        </w:tc>
        <w:tc>
          <w:tcPr>
            <w:tcW w:w="1119" w:type="dxa"/>
            <w:gridSpan w:val="2"/>
            <w:tcBorders>
              <w:top w:val="nil"/>
              <w:left w:val="single" w:sz="18" w:space="0" w:color="auto"/>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1800</w:t>
            </w:r>
          </w:p>
        </w:tc>
        <w:tc>
          <w:tcPr>
            <w:tcW w:w="312"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x</w:t>
            </w:r>
          </w:p>
        </w:tc>
        <w:tc>
          <w:tcPr>
            <w:tcW w:w="1168" w:type="dxa"/>
            <w:gridSpan w:val="2"/>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w:t>
            </w:r>
          </w:p>
        </w:tc>
        <w:tc>
          <w:tcPr>
            <w:tcW w:w="326"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180" w:type="dxa"/>
            <w:gridSpan w:val="2"/>
            <w:tcBorders>
              <w:top w:val="nil"/>
              <w:bottom w:val="nil"/>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 xml:space="preserve">  1800</w:t>
            </w:r>
          </w:p>
        </w:tc>
        <w:tc>
          <w:tcPr>
            <w:tcW w:w="236" w:type="dxa"/>
            <w:tcBorders>
              <w:top w:val="nil"/>
              <w:left w:val="single" w:sz="18" w:space="0" w:color="auto"/>
              <w:bottom w:val="nil"/>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180" w:type="dxa"/>
            <w:gridSpan w:val="2"/>
            <w:tcBorders>
              <w:top w:val="nil"/>
              <w:left w:val="single" w:sz="18" w:space="0" w:color="auto"/>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1800</w:t>
            </w:r>
          </w:p>
        </w:tc>
        <w:tc>
          <w:tcPr>
            <w:tcW w:w="312"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x</w:t>
            </w:r>
          </w:p>
        </w:tc>
        <w:tc>
          <w:tcPr>
            <w:tcW w:w="1135" w:type="dxa"/>
            <w:gridSpan w:val="2"/>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w:t>
            </w:r>
          </w:p>
        </w:tc>
        <w:tc>
          <w:tcPr>
            <w:tcW w:w="326"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135" w:type="dxa"/>
            <w:gridSpan w:val="2"/>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 xml:space="preserve"> 1800</w:t>
            </w:r>
          </w:p>
        </w:tc>
      </w:tr>
      <w:tr w:rsidR="00024B9F" w:rsidRPr="00840142" w:rsidTr="00791741">
        <w:tc>
          <w:tcPr>
            <w:tcW w:w="1122" w:type="dxa"/>
            <w:tcBorders>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r w:rsidRPr="00840142">
              <w:rPr>
                <w:rFonts w:ascii="Calibri" w:hAnsi="Calibri" w:cs="Courier New"/>
                <w:sz w:val="22"/>
                <w:szCs w:val="22"/>
              </w:rPr>
              <w:t>Repricing</w:t>
            </w:r>
          </w:p>
        </w:tc>
        <w:tc>
          <w:tcPr>
            <w:tcW w:w="1119" w:type="dxa"/>
            <w:gridSpan w:val="2"/>
            <w:tcBorders>
              <w:top w:val="nil"/>
              <w:left w:val="single" w:sz="18" w:space="0" w:color="auto"/>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3</w:t>
            </w:r>
            <w:r>
              <w:rPr>
                <w:rFonts w:ascii="Calibri" w:hAnsi="Calibri" w:cs="Courier New"/>
                <w:sz w:val="22"/>
                <w:szCs w:val="22"/>
              </w:rPr>
              <w:t>3</w:t>
            </w:r>
            <w:r w:rsidRPr="00840142">
              <w:rPr>
                <w:rFonts w:ascii="Calibri" w:hAnsi="Calibri" w:cs="Courier New"/>
                <w:sz w:val="22"/>
                <w:szCs w:val="22"/>
              </w:rPr>
              <w:t>00</w:t>
            </w:r>
          </w:p>
        </w:tc>
        <w:tc>
          <w:tcPr>
            <w:tcW w:w="312"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x</w:t>
            </w:r>
          </w:p>
        </w:tc>
        <w:tc>
          <w:tcPr>
            <w:tcW w:w="1168" w:type="dxa"/>
            <w:gridSpan w:val="2"/>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8.2</w:t>
            </w:r>
          </w:p>
        </w:tc>
        <w:tc>
          <w:tcPr>
            <w:tcW w:w="326"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180" w:type="dxa"/>
            <w:gridSpan w:val="2"/>
            <w:tcBorders>
              <w:top w:val="nil"/>
              <w:bottom w:val="nil"/>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2</w:t>
            </w:r>
            <w:r>
              <w:rPr>
                <w:rFonts w:ascii="Calibri" w:hAnsi="Calibri" w:cs="Courier New"/>
                <w:sz w:val="22"/>
                <w:szCs w:val="22"/>
              </w:rPr>
              <w:t>7060</w:t>
            </w:r>
          </w:p>
        </w:tc>
        <w:tc>
          <w:tcPr>
            <w:tcW w:w="236" w:type="dxa"/>
            <w:tcBorders>
              <w:top w:val="nil"/>
              <w:left w:val="single" w:sz="18" w:space="0" w:color="auto"/>
              <w:bottom w:val="nil"/>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180" w:type="dxa"/>
            <w:gridSpan w:val="2"/>
            <w:tcBorders>
              <w:top w:val="nil"/>
              <w:left w:val="single" w:sz="18" w:space="0" w:color="auto"/>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2</w:t>
            </w:r>
            <w:r>
              <w:rPr>
                <w:rFonts w:ascii="Calibri" w:hAnsi="Calibri" w:cs="Courier New"/>
                <w:sz w:val="22"/>
                <w:szCs w:val="22"/>
              </w:rPr>
              <w:t>7060</w:t>
            </w:r>
          </w:p>
        </w:tc>
        <w:tc>
          <w:tcPr>
            <w:tcW w:w="312"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x</w:t>
            </w:r>
          </w:p>
        </w:tc>
        <w:tc>
          <w:tcPr>
            <w:tcW w:w="1135" w:type="dxa"/>
            <w:gridSpan w:val="2"/>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0.</w:t>
            </w:r>
            <w:r>
              <w:rPr>
                <w:rFonts w:ascii="Calibri" w:hAnsi="Calibri" w:cs="Courier New"/>
                <w:sz w:val="22"/>
                <w:szCs w:val="22"/>
              </w:rPr>
              <w:t>4106</w:t>
            </w:r>
          </w:p>
        </w:tc>
        <w:tc>
          <w:tcPr>
            <w:tcW w:w="326"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135" w:type="dxa"/>
            <w:gridSpan w:val="2"/>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11111</w:t>
            </w:r>
          </w:p>
        </w:tc>
      </w:tr>
      <w:tr w:rsidR="00024B9F" w:rsidRPr="00840142" w:rsidTr="00791741">
        <w:tc>
          <w:tcPr>
            <w:tcW w:w="1122" w:type="dxa"/>
            <w:tcBorders>
              <w:right w:val="single" w:sz="18" w:space="0" w:color="auto"/>
            </w:tcBorders>
            <w:shd w:val="clear" w:color="auto" w:fill="E6E6E6"/>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Total Burden</w:t>
            </w:r>
          </w:p>
        </w:tc>
        <w:tc>
          <w:tcPr>
            <w:tcW w:w="1119" w:type="dxa"/>
            <w:gridSpan w:val="2"/>
            <w:tcBorders>
              <w:top w:val="nil"/>
              <w:left w:val="single" w:sz="18" w:space="0" w:color="auto"/>
              <w:bottom w:val="nil"/>
            </w:tcBorders>
            <w:shd w:val="clear" w:color="auto" w:fill="E6E6E6"/>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5</w:t>
            </w:r>
            <w:r>
              <w:rPr>
                <w:rFonts w:ascii="Calibri" w:hAnsi="Calibri" w:cs="Courier New"/>
                <w:sz w:val="22"/>
                <w:szCs w:val="22"/>
              </w:rPr>
              <w:t>1</w:t>
            </w:r>
            <w:r w:rsidRPr="00840142">
              <w:rPr>
                <w:rFonts w:ascii="Calibri" w:hAnsi="Calibri" w:cs="Courier New"/>
                <w:sz w:val="22"/>
                <w:szCs w:val="22"/>
              </w:rPr>
              <w:t>00</w:t>
            </w:r>
          </w:p>
        </w:tc>
        <w:tc>
          <w:tcPr>
            <w:tcW w:w="312" w:type="dxa"/>
            <w:tcBorders>
              <w:top w:val="nil"/>
              <w:bottom w:val="nil"/>
            </w:tcBorders>
            <w:shd w:val="clear" w:color="auto" w:fill="E6E6E6"/>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168" w:type="dxa"/>
            <w:gridSpan w:val="2"/>
            <w:tcBorders>
              <w:top w:val="nil"/>
              <w:bottom w:val="nil"/>
            </w:tcBorders>
            <w:shd w:val="clear" w:color="auto" w:fill="E6E6E6"/>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326" w:type="dxa"/>
            <w:tcBorders>
              <w:top w:val="nil"/>
              <w:bottom w:val="nil"/>
            </w:tcBorders>
            <w:shd w:val="clear" w:color="auto" w:fill="E6E6E6"/>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180" w:type="dxa"/>
            <w:gridSpan w:val="2"/>
            <w:tcBorders>
              <w:top w:val="nil"/>
              <w:bottom w:val="nil"/>
              <w:right w:val="single" w:sz="18" w:space="0" w:color="auto"/>
            </w:tcBorders>
            <w:shd w:val="clear" w:color="auto" w:fill="E6E6E6"/>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2</w:t>
            </w:r>
            <w:r>
              <w:rPr>
                <w:rFonts w:ascii="Calibri" w:hAnsi="Calibri" w:cs="Courier New"/>
                <w:sz w:val="22"/>
                <w:szCs w:val="22"/>
              </w:rPr>
              <w:t>8860</w:t>
            </w:r>
          </w:p>
        </w:tc>
        <w:tc>
          <w:tcPr>
            <w:tcW w:w="236" w:type="dxa"/>
            <w:tcBorders>
              <w:top w:val="nil"/>
              <w:left w:val="single" w:sz="18" w:space="0" w:color="auto"/>
              <w:bottom w:val="nil"/>
              <w:right w:val="single" w:sz="18" w:space="0" w:color="auto"/>
            </w:tcBorders>
            <w:shd w:val="clear" w:color="auto" w:fill="E6E6E6"/>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180" w:type="dxa"/>
            <w:gridSpan w:val="2"/>
            <w:tcBorders>
              <w:top w:val="nil"/>
              <w:left w:val="single" w:sz="18" w:space="0" w:color="auto"/>
              <w:bottom w:val="nil"/>
            </w:tcBorders>
            <w:shd w:val="clear" w:color="auto" w:fill="E6E6E6"/>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2</w:t>
            </w:r>
            <w:r>
              <w:rPr>
                <w:rFonts w:ascii="Calibri" w:hAnsi="Calibri" w:cs="Courier New"/>
                <w:sz w:val="22"/>
                <w:szCs w:val="22"/>
              </w:rPr>
              <w:t>8860</w:t>
            </w:r>
          </w:p>
        </w:tc>
        <w:tc>
          <w:tcPr>
            <w:tcW w:w="312" w:type="dxa"/>
            <w:tcBorders>
              <w:top w:val="nil"/>
              <w:bottom w:val="nil"/>
            </w:tcBorders>
            <w:shd w:val="clear" w:color="auto" w:fill="E6E6E6"/>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135" w:type="dxa"/>
            <w:gridSpan w:val="2"/>
            <w:tcBorders>
              <w:top w:val="nil"/>
              <w:bottom w:val="nil"/>
            </w:tcBorders>
            <w:shd w:val="clear" w:color="auto" w:fill="E6E6E6"/>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326" w:type="dxa"/>
            <w:tcBorders>
              <w:top w:val="nil"/>
              <w:bottom w:val="nil"/>
            </w:tcBorders>
            <w:shd w:val="clear" w:color="auto" w:fill="E6E6E6"/>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135" w:type="dxa"/>
            <w:gridSpan w:val="2"/>
            <w:tcBorders>
              <w:top w:val="nil"/>
              <w:bottom w:val="nil"/>
            </w:tcBorders>
            <w:shd w:val="clear" w:color="auto" w:fill="E6E6E6"/>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12911</w:t>
            </w:r>
          </w:p>
        </w:tc>
      </w:tr>
      <w:tr w:rsidR="00024B9F" w:rsidRPr="00840142" w:rsidTr="00791741">
        <w:tc>
          <w:tcPr>
            <w:tcW w:w="1122" w:type="dxa"/>
            <w:tcBorders>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19" w:type="dxa"/>
            <w:gridSpan w:val="2"/>
            <w:tcBorders>
              <w:top w:val="nil"/>
              <w:left w:val="single" w:sz="18" w:space="0" w:color="auto"/>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12"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68" w:type="dxa"/>
            <w:gridSpan w:val="2"/>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26"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80" w:type="dxa"/>
            <w:gridSpan w:val="2"/>
            <w:tcBorders>
              <w:top w:val="nil"/>
              <w:bottom w:val="nil"/>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236" w:type="dxa"/>
            <w:tcBorders>
              <w:top w:val="nil"/>
              <w:left w:val="single" w:sz="18" w:space="0" w:color="auto"/>
              <w:bottom w:val="nil"/>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80" w:type="dxa"/>
            <w:gridSpan w:val="2"/>
            <w:tcBorders>
              <w:top w:val="nil"/>
              <w:left w:val="single" w:sz="18" w:space="0" w:color="auto"/>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12"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35" w:type="dxa"/>
            <w:gridSpan w:val="2"/>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26"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35" w:type="dxa"/>
            <w:gridSpan w:val="2"/>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r>
      <w:tr w:rsidR="00024B9F" w:rsidRPr="00840142" w:rsidTr="00791741">
        <w:tc>
          <w:tcPr>
            <w:tcW w:w="1122" w:type="dxa"/>
            <w:tcBorders>
              <w:right w:val="single" w:sz="18" w:space="0" w:color="auto"/>
            </w:tcBorders>
          </w:tcPr>
          <w:p w:rsidR="00024B9F" w:rsidRPr="00840142" w:rsidRDefault="00024B9F" w:rsidP="00BE0C59">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 xml:space="preserve">Fiscal Year </w:t>
            </w:r>
            <w:r w:rsidR="00BE0C59" w:rsidRPr="00840142">
              <w:rPr>
                <w:rFonts w:ascii="Calibri" w:hAnsi="Calibri" w:cs="Courier New"/>
                <w:b/>
                <w:sz w:val="22"/>
                <w:szCs w:val="22"/>
              </w:rPr>
              <w:t>20</w:t>
            </w:r>
            <w:r w:rsidR="00BE0C59">
              <w:rPr>
                <w:rFonts w:ascii="Calibri" w:hAnsi="Calibri" w:cs="Courier New"/>
                <w:b/>
                <w:sz w:val="22"/>
                <w:szCs w:val="22"/>
              </w:rPr>
              <w:t>15</w:t>
            </w:r>
          </w:p>
        </w:tc>
        <w:tc>
          <w:tcPr>
            <w:tcW w:w="1119" w:type="dxa"/>
            <w:gridSpan w:val="2"/>
            <w:tcBorders>
              <w:top w:val="nil"/>
              <w:left w:val="single" w:sz="18" w:space="0" w:color="auto"/>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12"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68" w:type="dxa"/>
            <w:gridSpan w:val="2"/>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26"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80" w:type="dxa"/>
            <w:gridSpan w:val="2"/>
            <w:tcBorders>
              <w:top w:val="nil"/>
              <w:bottom w:val="nil"/>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236" w:type="dxa"/>
            <w:tcBorders>
              <w:top w:val="nil"/>
              <w:left w:val="single" w:sz="18" w:space="0" w:color="auto"/>
              <w:bottom w:val="nil"/>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80" w:type="dxa"/>
            <w:gridSpan w:val="2"/>
            <w:tcBorders>
              <w:top w:val="nil"/>
              <w:left w:val="single" w:sz="18" w:space="0" w:color="auto"/>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12"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35" w:type="dxa"/>
            <w:gridSpan w:val="2"/>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26"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35" w:type="dxa"/>
            <w:gridSpan w:val="2"/>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r>
      <w:tr w:rsidR="00024B9F" w:rsidRPr="00840142" w:rsidTr="00791741">
        <w:tc>
          <w:tcPr>
            <w:tcW w:w="1122" w:type="dxa"/>
            <w:tcBorders>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r w:rsidRPr="00840142">
              <w:rPr>
                <w:rFonts w:ascii="Calibri" w:hAnsi="Calibri" w:cs="Courier New"/>
                <w:sz w:val="22"/>
                <w:szCs w:val="22"/>
              </w:rPr>
              <w:t>Initiation</w:t>
            </w:r>
          </w:p>
        </w:tc>
        <w:tc>
          <w:tcPr>
            <w:tcW w:w="1119" w:type="dxa"/>
            <w:gridSpan w:val="2"/>
            <w:tcBorders>
              <w:top w:val="nil"/>
              <w:left w:val="single" w:sz="18" w:space="0" w:color="auto"/>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1800</w:t>
            </w:r>
          </w:p>
        </w:tc>
        <w:tc>
          <w:tcPr>
            <w:tcW w:w="312"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x</w:t>
            </w:r>
          </w:p>
        </w:tc>
        <w:tc>
          <w:tcPr>
            <w:tcW w:w="1168" w:type="dxa"/>
            <w:gridSpan w:val="2"/>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w:t>
            </w:r>
          </w:p>
        </w:tc>
        <w:tc>
          <w:tcPr>
            <w:tcW w:w="326"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180" w:type="dxa"/>
            <w:gridSpan w:val="2"/>
            <w:tcBorders>
              <w:top w:val="nil"/>
              <w:bottom w:val="nil"/>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 xml:space="preserve">  1800</w:t>
            </w:r>
          </w:p>
        </w:tc>
        <w:tc>
          <w:tcPr>
            <w:tcW w:w="236" w:type="dxa"/>
            <w:tcBorders>
              <w:top w:val="nil"/>
              <w:left w:val="single" w:sz="18" w:space="0" w:color="auto"/>
              <w:bottom w:val="nil"/>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180" w:type="dxa"/>
            <w:gridSpan w:val="2"/>
            <w:tcBorders>
              <w:top w:val="nil"/>
              <w:left w:val="single" w:sz="18" w:space="0" w:color="auto"/>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1800</w:t>
            </w:r>
          </w:p>
        </w:tc>
        <w:tc>
          <w:tcPr>
            <w:tcW w:w="312"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x</w:t>
            </w:r>
          </w:p>
        </w:tc>
        <w:tc>
          <w:tcPr>
            <w:tcW w:w="1135" w:type="dxa"/>
            <w:gridSpan w:val="2"/>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w:t>
            </w:r>
          </w:p>
        </w:tc>
        <w:tc>
          <w:tcPr>
            <w:tcW w:w="326"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135" w:type="dxa"/>
            <w:gridSpan w:val="2"/>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 xml:space="preserve">  1800</w:t>
            </w:r>
          </w:p>
        </w:tc>
      </w:tr>
      <w:tr w:rsidR="00024B9F" w:rsidRPr="00840142" w:rsidTr="001C0DCC">
        <w:tc>
          <w:tcPr>
            <w:tcW w:w="1122" w:type="dxa"/>
            <w:tcBorders>
              <w:bottom w:val="nil"/>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r w:rsidRPr="00840142">
              <w:rPr>
                <w:rFonts w:ascii="Calibri" w:hAnsi="Calibri" w:cs="Courier New"/>
                <w:sz w:val="22"/>
                <w:szCs w:val="22"/>
              </w:rPr>
              <w:t>Repricing</w:t>
            </w:r>
          </w:p>
        </w:tc>
        <w:tc>
          <w:tcPr>
            <w:tcW w:w="1119" w:type="dxa"/>
            <w:gridSpan w:val="2"/>
            <w:tcBorders>
              <w:top w:val="nil"/>
              <w:left w:val="single" w:sz="18" w:space="0" w:color="auto"/>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3</w:t>
            </w:r>
            <w:r>
              <w:rPr>
                <w:rFonts w:ascii="Calibri" w:hAnsi="Calibri" w:cs="Courier New"/>
                <w:sz w:val="22"/>
                <w:szCs w:val="22"/>
              </w:rPr>
              <w:t>3</w:t>
            </w:r>
            <w:r w:rsidRPr="00840142">
              <w:rPr>
                <w:rFonts w:ascii="Calibri" w:hAnsi="Calibri" w:cs="Courier New"/>
                <w:sz w:val="22"/>
                <w:szCs w:val="22"/>
              </w:rPr>
              <w:t>00</w:t>
            </w:r>
          </w:p>
        </w:tc>
        <w:tc>
          <w:tcPr>
            <w:tcW w:w="312"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x</w:t>
            </w:r>
          </w:p>
        </w:tc>
        <w:tc>
          <w:tcPr>
            <w:tcW w:w="1168" w:type="dxa"/>
            <w:gridSpan w:val="2"/>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8.2</w:t>
            </w:r>
          </w:p>
        </w:tc>
        <w:tc>
          <w:tcPr>
            <w:tcW w:w="326"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180" w:type="dxa"/>
            <w:gridSpan w:val="2"/>
            <w:tcBorders>
              <w:top w:val="nil"/>
              <w:bottom w:val="nil"/>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2</w:t>
            </w:r>
            <w:r>
              <w:rPr>
                <w:rFonts w:ascii="Calibri" w:hAnsi="Calibri" w:cs="Courier New"/>
                <w:sz w:val="22"/>
                <w:szCs w:val="22"/>
              </w:rPr>
              <w:t>7060</w:t>
            </w:r>
          </w:p>
        </w:tc>
        <w:tc>
          <w:tcPr>
            <w:tcW w:w="236" w:type="dxa"/>
            <w:tcBorders>
              <w:top w:val="nil"/>
              <w:left w:val="single" w:sz="18" w:space="0" w:color="auto"/>
              <w:bottom w:val="nil"/>
              <w:right w:val="single" w:sz="18" w:space="0" w:color="auto"/>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180" w:type="dxa"/>
            <w:gridSpan w:val="2"/>
            <w:tcBorders>
              <w:top w:val="nil"/>
              <w:left w:val="single" w:sz="18" w:space="0" w:color="auto"/>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2</w:t>
            </w:r>
            <w:r>
              <w:rPr>
                <w:rFonts w:ascii="Calibri" w:hAnsi="Calibri" w:cs="Courier New"/>
                <w:sz w:val="22"/>
                <w:szCs w:val="22"/>
              </w:rPr>
              <w:t>7060</w:t>
            </w:r>
          </w:p>
        </w:tc>
        <w:tc>
          <w:tcPr>
            <w:tcW w:w="312"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x</w:t>
            </w:r>
          </w:p>
        </w:tc>
        <w:tc>
          <w:tcPr>
            <w:tcW w:w="1135" w:type="dxa"/>
            <w:gridSpan w:val="2"/>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0.</w:t>
            </w:r>
            <w:r>
              <w:rPr>
                <w:rFonts w:ascii="Calibri" w:hAnsi="Calibri" w:cs="Courier New"/>
                <w:sz w:val="22"/>
                <w:szCs w:val="22"/>
              </w:rPr>
              <w:t>4106</w:t>
            </w:r>
          </w:p>
        </w:tc>
        <w:tc>
          <w:tcPr>
            <w:tcW w:w="326" w:type="dxa"/>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135" w:type="dxa"/>
            <w:gridSpan w:val="2"/>
            <w:tcBorders>
              <w:top w:val="nil"/>
              <w:bottom w:val="nil"/>
            </w:tcBorders>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11111</w:t>
            </w:r>
          </w:p>
        </w:tc>
      </w:tr>
      <w:tr w:rsidR="00024B9F" w:rsidRPr="00840142" w:rsidTr="001C0DCC">
        <w:tc>
          <w:tcPr>
            <w:tcW w:w="1122" w:type="dxa"/>
            <w:tcBorders>
              <w:top w:val="nil"/>
              <w:left w:val="single" w:sz="18" w:space="0" w:color="auto"/>
              <w:bottom w:val="single" w:sz="18" w:space="0" w:color="auto"/>
              <w:right w:val="nil"/>
            </w:tcBorders>
            <w:shd w:val="clear" w:color="auto" w:fill="D9D9D9"/>
          </w:tcPr>
          <w:p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Total Burden</w:t>
            </w:r>
          </w:p>
        </w:tc>
        <w:tc>
          <w:tcPr>
            <w:tcW w:w="1119" w:type="dxa"/>
            <w:gridSpan w:val="2"/>
            <w:tcBorders>
              <w:top w:val="nil"/>
              <w:left w:val="nil"/>
              <w:bottom w:val="single" w:sz="18" w:space="0" w:color="auto"/>
            </w:tcBorders>
            <w:shd w:val="clear" w:color="auto" w:fill="D9D9D9"/>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5</w:t>
            </w:r>
            <w:r>
              <w:rPr>
                <w:rFonts w:ascii="Calibri" w:hAnsi="Calibri" w:cs="Courier New"/>
                <w:sz w:val="22"/>
                <w:szCs w:val="22"/>
              </w:rPr>
              <w:t>1</w:t>
            </w:r>
            <w:r w:rsidRPr="00840142">
              <w:rPr>
                <w:rFonts w:ascii="Calibri" w:hAnsi="Calibri" w:cs="Courier New"/>
                <w:sz w:val="22"/>
                <w:szCs w:val="22"/>
              </w:rPr>
              <w:t>00</w:t>
            </w:r>
          </w:p>
        </w:tc>
        <w:tc>
          <w:tcPr>
            <w:tcW w:w="312" w:type="dxa"/>
            <w:tcBorders>
              <w:top w:val="nil"/>
              <w:bottom w:val="single" w:sz="18" w:space="0" w:color="auto"/>
            </w:tcBorders>
            <w:shd w:val="clear" w:color="auto" w:fill="D9D9D9"/>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168" w:type="dxa"/>
            <w:gridSpan w:val="2"/>
            <w:tcBorders>
              <w:top w:val="nil"/>
              <w:bottom w:val="single" w:sz="18" w:space="0" w:color="auto"/>
            </w:tcBorders>
            <w:shd w:val="clear" w:color="auto" w:fill="D9D9D9"/>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326" w:type="dxa"/>
            <w:tcBorders>
              <w:top w:val="nil"/>
              <w:bottom w:val="single" w:sz="18" w:space="0" w:color="auto"/>
            </w:tcBorders>
            <w:shd w:val="clear" w:color="auto" w:fill="D9D9D9"/>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180" w:type="dxa"/>
            <w:gridSpan w:val="2"/>
            <w:tcBorders>
              <w:top w:val="nil"/>
              <w:bottom w:val="single" w:sz="18" w:space="0" w:color="auto"/>
              <w:right w:val="single" w:sz="18" w:space="0" w:color="auto"/>
            </w:tcBorders>
            <w:shd w:val="clear" w:color="auto" w:fill="D9D9D9"/>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2</w:t>
            </w:r>
            <w:r>
              <w:rPr>
                <w:rFonts w:ascii="Calibri" w:hAnsi="Calibri" w:cs="Courier New"/>
                <w:sz w:val="22"/>
                <w:szCs w:val="22"/>
              </w:rPr>
              <w:t>8860</w:t>
            </w:r>
          </w:p>
        </w:tc>
        <w:tc>
          <w:tcPr>
            <w:tcW w:w="236" w:type="dxa"/>
            <w:tcBorders>
              <w:top w:val="nil"/>
              <w:left w:val="single" w:sz="18" w:space="0" w:color="auto"/>
              <w:bottom w:val="nil"/>
              <w:right w:val="single" w:sz="18" w:space="0" w:color="auto"/>
            </w:tcBorders>
            <w:shd w:val="clear" w:color="auto" w:fill="D9D9D9"/>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180" w:type="dxa"/>
            <w:gridSpan w:val="2"/>
            <w:tcBorders>
              <w:top w:val="nil"/>
              <w:left w:val="single" w:sz="18" w:space="0" w:color="auto"/>
              <w:bottom w:val="single" w:sz="18" w:space="0" w:color="auto"/>
            </w:tcBorders>
            <w:shd w:val="clear" w:color="auto" w:fill="D9D9D9"/>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2</w:t>
            </w:r>
            <w:r>
              <w:rPr>
                <w:rFonts w:ascii="Calibri" w:hAnsi="Calibri" w:cs="Courier New"/>
                <w:sz w:val="22"/>
                <w:szCs w:val="22"/>
              </w:rPr>
              <w:t>8860</w:t>
            </w:r>
          </w:p>
        </w:tc>
        <w:tc>
          <w:tcPr>
            <w:tcW w:w="312" w:type="dxa"/>
            <w:tcBorders>
              <w:top w:val="nil"/>
              <w:bottom w:val="single" w:sz="18" w:space="0" w:color="auto"/>
            </w:tcBorders>
            <w:shd w:val="clear" w:color="auto" w:fill="D9D9D9"/>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135" w:type="dxa"/>
            <w:gridSpan w:val="2"/>
            <w:tcBorders>
              <w:top w:val="nil"/>
              <w:bottom w:val="single" w:sz="18" w:space="0" w:color="auto"/>
            </w:tcBorders>
            <w:shd w:val="clear" w:color="auto" w:fill="D9D9D9"/>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326" w:type="dxa"/>
            <w:tcBorders>
              <w:top w:val="nil"/>
              <w:bottom w:val="single" w:sz="18" w:space="0" w:color="auto"/>
            </w:tcBorders>
            <w:shd w:val="clear" w:color="auto" w:fill="D9D9D9"/>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135" w:type="dxa"/>
            <w:gridSpan w:val="2"/>
            <w:tcBorders>
              <w:top w:val="nil"/>
              <w:bottom w:val="single" w:sz="18" w:space="0" w:color="auto"/>
            </w:tcBorders>
            <w:shd w:val="clear" w:color="auto" w:fill="D9D9D9"/>
          </w:tcPr>
          <w:p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12911</w:t>
            </w:r>
          </w:p>
        </w:tc>
      </w:tr>
      <w:tr w:rsidR="00024B9F" w:rsidRPr="00840142" w:rsidTr="007917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94" w:type="dxa"/>
        </w:trPr>
        <w:tc>
          <w:tcPr>
            <w:tcW w:w="8857" w:type="dxa"/>
            <w:gridSpan w:val="17"/>
            <w:tcBorders>
              <w:top w:val="nil"/>
              <w:left w:val="nil"/>
              <w:bottom w:val="nil"/>
              <w:right w:val="nil"/>
            </w:tcBorders>
          </w:tcPr>
          <w:p w:rsidR="00024B9F" w:rsidRPr="00840142" w:rsidRDefault="00024B9F" w:rsidP="00791741">
            <w:pPr>
              <w:rPr>
                <w:rFonts w:ascii="Calibri" w:hAnsi="Calibri"/>
                <w:u w:val="single"/>
              </w:rPr>
            </w:pPr>
          </w:p>
        </w:tc>
      </w:tr>
      <w:tr w:rsidR="00024B9F" w:rsidRPr="00840142" w:rsidTr="007917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94" w:type="dxa"/>
        </w:trPr>
        <w:tc>
          <w:tcPr>
            <w:tcW w:w="1443" w:type="dxa"/>
            <w:gridSpan w:val="2"/>
            <w:tcBorders>
              <w:top w:val="nil"/>
              <w:left w:val="nil"/>
              <w:bottom w:val="nil"/>
              <w:right w:val="nil"/>
            </w:tcBorders>
          </w:tcPr>
          <w:p w:rsidR="00024B9F" w:rsidRPr="00840142" w:rsidRDefault="00024B9F" w:rsidP="00791741">
            <w:pPr>
              <w:rPr>
                <w:rFonts w:ascii="Calibri" w:hAnsi="Calibri"/>
              </w:rPr>
            </w:pPr>
          </w:p>
        </w:tc>
        <w:tc>
          <w:tcPr>
            <w:tcW w:w="1452" w:type="dxa"/>
            <w:gridSpan w:val="3"/>
            <w:tcBorders>
              <w:top w:val="nil"/>
              <w:left w:val="nil"/>
              <w:bottom w:val="nil"/>
              <w:right w:val="nil"/>
            </w:tcBorders>
          </w:tcPr>
          <w:p w:rsidR="00024B9F" w:rsidRPr="00840142" w:rsidRDefault="00024B9F" w:rsidP="00791741">
            <w:pPr>
              <w:rPr>
                <w:rFonts w:ascii="Calibri" w:hAnsi="Calibri"/>
                <w:b/>
              </w:rPr>
            </w:pPr>
          </w:p>
        </w:tc>
        <w:tc>
          <w:tcPr>
            <w:tcW w:w="1500" w:type="dxa"/>
            <w:gridSpan w:val="3"/>
            <w:tcBorders>
              <w:top w:val="nil"/>
              <w:left w:val="nil"/>
              <w:bottom w:val="nil"/>
              <w:right w:val="nil"/>
            </w:tcBorders>
          </w:tcPr>
          <w:p w:rsidR="00024B9F" w:rsidRPr="00840142" w:rsidRDefault="00024B9F" w:rsidP="00791741">
            <w:pPr>
              <w:rPr>
                <w:rFonts w:ascii="Calibri" w:hAnsi="Calibri"/>
                <w:b/>
              </w:rPr>
            </w:pPr>
          </w:p>
        </w:tc>
        <w:tc>
          <w:tcPr>
            <w:tcW w:w="1533" w:type="dxa"/>
            <w:gridSpan w:val="3"/>
            <w:tcBorders>
              <w:top w:val="nil"/>
              <w:left w:val="nil"/>
              <w:bottom w:val="nil"/>
              <w:right w:val="nil"/>
            </w:tcBorders>
          </w:tcPr>
          <w:p w:rsidR="00024B9F" w:rsidRPr="00840142" w:rsidRDefault="00024B9F" w:rsidP="00791741">
            <w:pPr>
              <w:rPr>
                <w:rFonts w:ascii="Calibri" w:hAnsi="Calibri"/>
                <w:b/>
              </w:rPr>
            </w:pPr>
          </w:p>
        </w:tc>
        <w:tc>
          <w:tcPr>
            <w:tcW w:w="1467" w:type="dxa"/>
            <w:gridSpan w:val="3"/>
            <w:tcBorders>
              <w:top w:val="nil"/>
              <w:left w:val="nil"/>
              <w:bottom w:val="nil"/>
              <w:right w:val="nil"/>
            </w:tcBorders>
          </w:tcPr>
          <w:p w:rsidR="00024B9F" w:rsidRPr="00840142" w:rsidRDefault="00024B9F" w:rsidP="00791741">
            <w:pPr>
              <w:rPr>
                <w:rFonts w:ascii="Calibri" w:hAnsi="Calibri"/>
                <w:b/>
              </w:rPr>
            </w:pPr>
          </w:p>
        </w:tc>
        <w:tc>
          <w:tcPr>
            <w:tcW w:w="1462" w:type="dxa"/>
            <w:gridSpan w:val="3"/>
            <w:tcBorders>
              <w:top w:val="nil"/>
              <w:left w:val="nil"/>
              <w:bottom w:val="nil"/>
              <w:right w:val="nil"/>
            </w:tcBorders>
          </w:tcPr>
          <w:p w:rsidR="00024B9F" w:rsidRPr="00840142" w:rsidRDefault="00024B9F" w:rsidP="00791741">
            <w:pPr>
              <w:rPr>
                <w:rFonts w:ascii="Calibri" w:hAnsi="Calibri"/>
                <w:b/>
              </w:rPr>
            </w:pPr>
          </w:p>
        </w:tc>
      </w:tr>
      <w:tr w:rsidR="00024B9F" w:rsidRPr="00840142" w:rsidTr="007917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94" w:type="dxa"/>
        </w:trPr>
        <w:tc>
          <w:tcPr>
            <w:tcW w:w="1443" w:type="dxa"/>
            <w:gridSpan w:val="2"/>
            <w:tcBorders>
              <w:top w:val="nil"/>
              <w:left w:val="nil"/>
              <w:bottom w:val="nil"/>
              <w:right w:val="nil"/>
            </w:tcBorders>
          </w:tcPr>
          <w:p w:rsidR="00024B9F" w:rsidRPr="00840142" w:rsidRDefault="00024B9F" w:rsidP="00791741">
            <w:pPr>
              <w:rPr>
                <w:rFonts w:ascii="Calibri" w:hAnsi="Calibri"/>
              </w:rPr>
            </w:pPr>
          </w:p>
        </w:tc>
        <w:tc>
          <w:tcPr>
            <w:tcW w:w="1452" w:type="dxa"/>
            <w:gridSpan w:val="3"/>
            <w:tcBorders>
              <w:top w:val="nil"/>
              <w:left w:val="nil"/>
              <w:bottom w:val="nil"/>
              <w:right w:val="nil"/>
            </w:tcBorders>
          </w:tcPr>
          <w:p w:rsidR="00024B9F" w:rsidRPr="00840142" w:rsidRDefault="00024B9F" w:rsidP="00791741">
            <w:pPr>
              <w:rPr>
                <w:rFonts w:ascii="Calibri" w:hAnsi="Calibri"/>
                <w:b/>
              </w:rPr>
            </w:pPr>
          </w:p>
        </w:tc>
        <w:tc>
          <w:tcPr>
            <w:tcW w:w="1500" w:type="dxa"/>
            <w:gridSpan w:val="3"/>
            <w:tcBorders>
              <w:top w:val="nil"/>
              <w:left w:val="nil"/>
              <w:bottom w:val="nil"/>
              <w:right w:val="nil"/>
            </w:tcBorders>
          </w:tcPr>
          <w:p w:rsidR="00024B9F" w:rsidRPr="00840142" w:rsidRDefault="00024B9F" w:rsidP="00791741">
            <w:pPr>
              <w:rPr>
                <w:rFonts w:ascii="Calibri" w:hAnsi="Calibri"/>
                <w:b/>
              </w:rPr>
            </w:pPr>
          </w:p>
        </w:tc>
        <w:tc>
          <w:tcPr>
            <w:tcW w:w="1533" w:type="dxa"/>
            <w:gridSpan w:val="3"/>
            <w:tcBorders>
              <w:top w:val="nil"/>
              <w:left w:val="nil"/>
              <w:bottom w:val="nil"/>
              <w:right w:val="nil"/>
            </w:tcBorders>
          </w:tcPr>
          <w:p w:rsidR="00024B9F" w:rsidRPr="00840142" w:rsidRDefault="00024B9F" w:rsidP="00791741">
            <w:pPr>
              <w:rPr>
                <w:rFonts w:ascii="Calibri" w:hAnsi="Calibri"/>
                <w:b/>
              </w:rPr>
            </w:pPr>
          </w:p>
        </w:tc>
        <w:tc>
          <w:tcPr>
            <w:tcW w:w="1467" w:type="dxa"/>
            <w:gridSpan w:val="3"/>
            <w:tcBorders>
              <w:top w:val="nil"/>
              <w:left w:val="nil"/>
              <w:bottom w:val="nil"/>
              <w:right w:val="nil"/>
            </w:tcBorders>
          </w:tcPr>
          <w:p w:rsidR="00024B9F" w:rsidRPr="00840142" w:rsidRDefault="00024B9F" w:rsidP="00791741">
            <w:pPr>
              <w:rPr>
                <w:rFonts w:ascii="Calibri" w:hAnsi="Calibri"/>
                <w:b/>
              </w:rPr>
            </w:pPr>
          </w:p>
        </w:tc>
        <w:tc>
          <w:tcPr>
            <w:tcW w:w="1462" w:type="dxa"/>
            <w:gridSpan w:val="3"/>
            <w:tcBorders>
              <w:top w:val="nil"/>
              <w:left w:val="nil"/>
              <w:bottom w:val="nil"/>
              <w:right w:val="nil"/>
            </w:tcBorders>
          </w:tcPr>
          <w:p w:rsidR="00024B9F" w:rsidRPr="00840142" w:rsidRDefault="00024B9F" w:rsidP="00791741">
            <w:pPr>
              <w:rPr>
                <w:rFonts w:ascii="Calibri" w:hAnsi="Calibri"/>
                <w:b/>
              </w:rPr>
            </w:pPr>
          </w:p>
        </w:tc>
      </w:tr>
      <w:tr w:rsidR="00024B9F" w:rsidRPr="00840142" w:rsidTr="007917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94" w:type="dxa"/>
        </w:trPr>
        <w:tc>
          <w:tcPr>
            <w:tcW w:w="1443" w:type="dxa"/>
            <w:gridSpan w:val="2"/>
            <w:tcBorders>
              <w:top w:val="nil"/>
              <w:left w:val="nil"/>
              <w:bottom w:val="nil"/>
              <w:right w:val="nil"/>
            </w:tcBorders>
          </w:tcPr>
          <w:p w:rsidR="00024B9F" w:rsidRPr="00840142" w:rsidRDefault="00024B9F" w:rsidP="00791741">
            <w:pPr>
              <w:rPr>
                <w:rFonts w:ascii="Calibri" w:hAnsi="Calibri"/>
              </w:rPr>
            </w:pPr>
          </w:p>
        </w:tc>
        <w:tc>
          <w:tcPr>
            <w:tcW w:w="1452" w:type="dxa"/>
            <w:gridSpan w:val="3"/>
            <w:tcBorders>
              <w:top w:val="nil"/>
              <w:left w:val="nil"/>
              <w:bottom w:val="nil"/>
              <w:right w:val="nil"/>
            </w:tcBorders>
          </w:tcPr>
          <w:p w:rsidR="00024B9F" w:rsidRPr="00840142" w:rsidRDefault="00024B9F" w:rsidP="00791741">
            <w:pPr>
              <w:rPr>
                <w:rFonts w:ascii="Calibri" w:hAnsi="Calibri"/>
                <w:b/>
              </w:rPr>
            </w:pPr>
          </w:p>
        </w:tc>
        <w:tc>
          <w:tcPr>
            <w:tcW w:w="1500" w:type="dxa"/>
            <w:gridSpan w:val="3"/>
            <w:tcBorders>
              <w:top w:val="nil"/>
              <w:left w:val="nil"/>
              <w:bottom w:val="nil"/>
              <w:right w:val="nil"/>
            </w:tcBorders>
          </w:tcPr>
          <w:p w:rsidR="00024B9F" w:rsidRPr="00840142" w:rsidRDefault="00024B9F" w:rsidP="00791741">
            <w:pPr>
              <w:rPr>
                <w:rFonts w:ascii="Calibri" w:hAnsi="Calibri"/>
                <w:b/>
              </w:rPr>
            </w:pPr>
          </w:p>
        </w:tc>
        <w:tc>
          <w:tcPr>
            <w:tcW w:w="1533" w:type="dxa"/>
            <w:gridSpan w:val="3"/>
            <w:tcBorders>
              <w:top w:val="nil"/>
              <w:left w:val="nil"/>
              <w:bottom w:val="nil"/>
              <w:right w:val="nil"/>
            </w:tcBorders>
          </w:tcPr>
          <w:p w:rsidR="00024B9F" w:rsidRPr="00840142" w:rsidRDefault="00024B9F" w:rsidP="00791741">
            <w:pPr>
              <w:rPr>
                <w:rFonts w:ascii="Calibri" w:hAnsi="Calibri"/>
                <w:b/>
              </w:rPr>
            </w:pPr>
          </w:p>
        </w:tc>
        <w:tc>
          <w:tcPr>
            <w:tcW w:w="1467" w:type="dxa"/>
            <w:gridSpan w:val="3"/>
            <w:tcBorders>
              <w:top w:val="nil"/>
              <w:left w:val="nil"/>
              <w:bottom w:val="nil"/>
              <w:right w:val="nil"/>
            </w:tcBorders>
          </w:tcPr>
          <w:p w:rsidR="00024B9F" w:rsidRPr="00840142" w:rsidRDefault="00024B9F" w:rsidP="00791741">
            <w:pPr>
              <w:rPr>
                <w:rFonts w:ascii="Calibri" w:hAnsi="Calibri"/>
                <w:b/>
              </w:rPr>
            </w:pPr>
          </w:p>
        </w:tc>
        <w:tc>
          <w:tcPr>
            <w:tcW w:w="1462" w:type="dxa"/>
            <w:gridSpan w:val="3"/>
            <w:tcBorders>
              <w:top w:val="nil"/>
              <w:left w:val="nil"/>
              <w:bottom w:val="nil"/>
              <w:right w:val="nil"/>
            </w:tcBorders>
          </w:tcPr>
          <w:p w:rsidR="00024B9F" w:rsidRPr="00840142" w:rsidRDefault="00024B9F" w:rsidP="00791741">
            <w:pPr>
              <w:rPr>
                <w:rFonts w:ascii="Calibri" w:hAnsi="Calibri"/>
                <w:b/>
              </w:rPr>
            </w:pPr>
          </w:p>
        </w:tc>
      </w:tr>
      <w:tr w:rsidR="00024B9F" w:rsidRPr="00840142" w:rsidTr="007917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94" w:type="dxa"/>
        </w:trPr>
        <w:tc>
          <w:tcPr>
            <w:tcW w:w="1443" w:type="dxa"/>
            <w:gridSpan w:val="2"/>
            <w:tcBorders>
              <w:top w:val="nil"/>
              <w:left w:val="nil"/>
              <w:bottom w:val="nil"/>
              <w:right w:val="nil"/>
            </w:tcBorders>
          </w:tcPr>
          <w:p w:rsidR="00024B9F" w:rsidRPr="00840142" w:rsidRDefault="00024B9F" w:rsidP="00791741">
            <w:pPr>
              <w:rPr>
                <w:rFonts w:ascii="Calibri" w:hAnsi="Calibri"/>
              </w:rPr>
            </w:pPr>
          </w:p>
        </w:tc>
        <w:tc>
          <w:tcPr>
            <w:tcW w:w="1452" w:type="dxa"/>
            <w:gridSpan w:val="3"/>
            <w:tcBorders>
              <w:top w:val="nil"/>
              <w:left w:val="nil"/>
              <w:bottom w:val="nil"/>
              <w:right w:val="nil"/>
            </w:tcBorders>
          </w:tcPr>
          <w:p w:rsidR="00024B9F" w:rsidRPr="00840142" w:rsidRDefault="00024B9F" w:rsidP="00791741">
            <w:pPr>
              <w:rPr>
                <w:rFonts w:ascii="Calibri" w:hAnsi="Calibri"/>
                <w:b/>
              </w:rPr>
            </w:pPr>
          </w:p>
        </w:tc>
        <w:tc>
          <w:tcPr>
            <w:tcW w:w="1500" w:type="dxa"/>
            <w:gridSpan w:val="3"/>
            <w:tcBorders>
              <w:top w:val="nil"/>
              <w:left w:val="nil"/>
              <w:bottom w:val="nil"/>
              <w:right w:val="nil"/>
            </w:tcBorders>
          </w:tcPr>
          <w:p w:rsidR="00024B9F" w:rsidRPr="00840142" w:rsidRDefault="00024B9F" w:rsidP="00791741">
            <w:pPr>
              <w:rPr>
                <w:rFonts w:ascii="Calibri" w:hAnsi="Calibri"/>
                <w:b/>
              </w:rPr>
            </w:pPr>
          </w:p>
        </w:tc>
        <w:tc>
          <w:tcPr>
            <w:tcW w:w="1533" w:type="dxa"/>
            <w:gridSpan w:val="3"/>
            <w:tcBorders>
              <w:top w:val="nil"/>
              <w:left w:val="nil"/>
              <w:bottom w:val="nil"/>
              <w:right w:val="nil"/>
            </w:tcBorders>
          </w:tcPr>
          <w:p w:rsidR="00024B9F" w:rsidRPr="00840142" w:rsidRDefault="00024B9F" w:rsidP="00791741">
            <w:pPr>
              <w:rPr>
                <w:rFonts w:ascii="Calibri" w:hAnsi="Calibri"/>
                <w:b/>
              </w:rPr>
            </w:pPr>
          </w:p>
        </w:tc>
        <w:tc>
          <w:tcPr>
            <w:tcW w:w="1467" w:type="dxa"/>
            <w:gridSpan w:val="3"/>
            <w:tcBorders>
              <w:top w:val="nil"/>
              <w:left w:val="nil"/>
              <w:bottom w:val="nil"/>
              <w:right w:val="nil"/>
            </w:tcBorders>
          </w:tcPr>
          <w:p w:rsidR="00024B9F" w:rsidRPr="00840142" w:rsidRDefault="00024B9F" w:rsidP="00791741">
            <w:pPr>
              <w:rPr>
                <w:rFonts w:ascii="Calibri" w:hAnsi="Calibri"/>
                <w:b/>
              </w:rPr>
            </w:pPr>
          </w:p>
        </w:tc>
        <w:tc>
          <w:tcPr>
            <w:tcW w:w="1462" w:type="dxa"/>
            <w:gridSpan w:val="3"/>
            <w:tcBorders>
              <w:top w:val="nil"/>
              <w:left w:val="nil"/>
              <w:bottom w:val="nil"/>
              <w:right w:val="nil"/>
            </w:tcBorders>
          </w:tcPr>
          <w:p w:rsidR="00024B9F" w:rsidRPr="00840142" w:rsidRDefault="00024B9F" w:rsidP="00791741">
            <w:pPr>
              <w:rPr>
                <w:rFonts w:ascii="Calibri" w:hAnsi="Calibri"/>
                <w:b/>
              </w:rPr>
            </w:pPr>
          </w:p>
        </w:tc>
      </w:tr>
      <w:tr w:rsidR="00024B9F" w:rsidRPr="00840142" w:rsidTr="007917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94" w:type="dxa"/>
        </w:trPr>
        <w:tc>
          <w:tcPr>
            <w:tcW w:w="1443" w:type="dxa"/>
            <w:gridSpan w:val="2"/>
            <w:tcBorders>
              <w:top w:val="nil"/>
              <w:left w:val="nil"/>
              <w:bottom w:val="nil"/>
              <w:right w:val="nil"/>
            </w:tcBorders>
          </w:tcPr>
          <w:p w:rsidR="00024B9F" w:rsidRPr="00840142" w:rsidRDefault="00024B9F" w:rsidP="00791741">
            <w:pPr>
              <w:rPr>
                <w:rFonts w:ascii="Calibri" w:hAnsi="Calibri"/>
              </w:rPr>
            </w:pPr>
          </w:p>
        </w:tc>
        <w:tc>
          <w:tcPr>
            <w:tcW w:w="1452" w:type="dxa"/>
            <w:gridSpan w:val="3"/>
            <w:tcBorders>
              <w:top w:val="nil"/>
              <w:left w:val="nil"/>
              <w:bottom w:val="nil"/>
              <w:right w:val="nil"/>
            </w:tcBorders>
          </w:tcPr>
          <w:p w:rsidR="00024B9F" w:rsidRPr="00840142" w:rsidRDefault="00024B9F" w:rsidP="00791741">
            <w:pPr>
              <w:rPr>
                <w:rFonts w:ascii="Calibri" w:hAnsi="Calibri"/>
                <w:b/>
              </w:rPr>
            </w:pPr>
          </w:p>
        </w:tc>
        <w:tc>
          <w:tcPr>
            <w:tcW w:w="1500" w:type="dxa"/>
            <w:gridSpan w:val="3"/>
            <w:tcBorders>
              <w:top w:val="nil"/>
              <w:left w:val="nil"/>
              <w:bottom w:val="nil"/>
              <w:right w:val="nil"/>
            </w:tcBorders>
          </w:tcPr>
          <w:p w:rsidR="00024B9F" w:rsidRPr="00840142" w:rsidRDefault="00024B9F" w:rsidP="00791741">
            <w:pPr>
              <w:rPr>
                <w:rFonts w:ascii="Calibri" w:hAnsi="Calibri"/>
                <w:b/>
              </w:rPr>
            </w:pPr>
          </w:p>
        </w:tc>
        <w:tc>
          <w:tcPr>
            <w:tcW w:w="1533" w:type="dxa"/>
            <w:gridSpan w:val="3"/>
            <w:tcBorders>
              <w:top w:val="nil"/>
              <w:left w:val="nil"/>
              <w:bottom w:val="nil"/>
              <w:right w:val="nil"/>
            </w:tcBorders>
          </w:tcPr>
          <w:p w:rsidR="00024B9F" w:rsidRPr="00840142" w:rsidRDefault="00024B9F" w:rsidP="00791741">
            <w:pPr>
              <w:rPr>
                <w:rFonts w:ascii="Calibri" w:hAnsi="Calibri"/>
                <w:b/>
              </w:rPr>
            </w:pPr>
          </w:p>
        </w:tc>
        <w:tc>
          <w:tcPr>
            <w:tcW w:w="1467" w:type="dxa"/>
            <w:gridSpan w:val="3"/>
            <w:tcBorders>
              <w:top w:val="nil"/>
              <w:left w:val="nil"/>
              <w:bottom w:val="nil"/>
              <w:right w:val="nil"/>
            </w:tcBorders>
          </w:tcPr>
          <w:p w:rsidR="00024B9F" w:rsidRPr="00840142" w:rsidRDefault="00024B9F" w:rsidP="00791741">
            <w:pPr>
              <w:rPr>
                <w:rFonts w:ascii="Calibri" w:hAnsi="Calibri"/>
                <w:b/>
              </w:rPr>
            </w:pPr>
          </w:p>
        </w:tc>
        <w:tc>
          <w:tcPr>
            <w:tcW w:w="1462" w:type="dxa"/>
            <w:gridSpan w:val="3"/>
            <w:tcBorders>
              <w:top w:val="nil"/>
              <w:left w:val="nil"/>
              <w:bottom w:val="nil"/>
              <w:right w:val="nil"/>
            </w:tcBorders>
          </w:tcPr>
          <w:p w:rsidR="00024B9F" w:rsidRPr="00840142" w:rsidRDefault="00024B9F" w:rsidP="00791741">
            <w:pPr>
              <w:rPr>
                <w:rFonts w:ascii="Calibri" w:hAnsi="Calibri"/>
                <w:b/>
              </w:rPr>
            </w:pPr>
          </w:p>
        </w:tc>
      </w:tr>
      <w:tr w:rsidR="00024B9F" w:rsidRPr="00840142" w:rsidTr="007917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94" w:type="dxa"/>
        </w:trPr>
        <w:tc>
          <w:tcPr>
            <w:tcW w:w="1443" w:type="dxa"/>
            <w:gridSpan w:val="2"/>
            <w:tcBorders>
              <w:top w:val="nil"/>
              <w:left w:val="nil"/>
              <w:bottom w:val="nil"/>
              <w:right w:val="nil"/>
            </w:tcBorders>
          </w:tcPr>
          <w:p w:rsidR="00024B9F" w:rsidRPr="00840142" w:rsidRDefault="00024B9F" w:rsidP="00791741">
            <w:pPr>
              <w:rPr>
                <w:rFonts w:ascii="Calibri" w:hAnsi="Calibri"/>
              </w:rPr>
            </w:pPr>
          </w:p>
        </w:tc>
        <w:tc>
          <w:tcPr>
            <w:tcW w:w="1452" w:type="dxa"/>
            <w:gridSpan w:val="3"/>
            <w:tcBorders>
              <w:top w:val="nil"/>
              <w:left w:val="nil"/>
              <w:bottom w:val="nil"/>
              <w:right w:val="nil"/>
            </w:tcBorders>
          </w:tcPr>
          <w:p w:rsidR="00024B9F" w:rsidRPr="00840142" w:rsidRDefault="00024B9F" w:rsidP="00791741">
            <w:pPr>
              <w:rPr>
                <w:rFonts w:ascii="Calibri" w:hAnsi="Calibri"/>
                <w:b/>
              </w:rPr>
            </w:pPr>
          </w:p>
        </w:tc>
        <w:tc>
          <w:tcPr>
            <w:tcW w:w="1500" w:type="dxa"/>
            <w:gridSpan w:val="3"/>
            <w:tcBorders>
              <w:top w:val="nil"/>
              <w:left w:val="nil"/>
              <w:bottom w:val="nil"/>
              <w:right w:val="nil"/>
            </w:tcBorders>
          </w:tcPr>
          <w:p w:rsidR="00024B9F" w:rsidRPr="00840142" w:rsidRDefault="00024B9F" w:rsidP="00791741">
            <w:pPr>
              <w:rPr>
                <w:rFonts w:ascii="Calibri" w:hAnsi="Calibri"/>
                <w:b/>
              </w:rPr>
            </w:pPr>
          </w:p>
        </w:tc>
        <w:tc>
          <w:tcPr>
            <w:tcW w:w="1533" w:type="dxa"/>
            <w:gridSpan w:val="3"/>
            <w:tcBorders>
              <w:top w:val="nil"/>
              <w:left w:val="nil"/>
              <w:bottom w:val="nil"/>
              <w:right w:val="nil"/>
            </w:tcBorders>
          </w:tcPr>
          <w:p w:rsidR="00024B9F" w:rsidRPr="00840142" w:rsidRDefault="00024B9F" w:rsidP="00791741">
            <w:pPr>
              <w:rPr>
                <w:rFonts w:ascii="Calibri" w:hAnsi="Calibri"/>
                <w:b/>
              </w:rPr>
            </w:pPr>
          </w:p>
        </w:tc>
        <w:tc>
          <w:tcPr>
            <w:tcW w:w="1467" w:type="dxa"/>
            <w:gridSpan w:val="3"/>
            <w:tcBorders>
              <w:top w:val="nil"/>
              <w:left w:val="nil"/>
              <w:bottom w:val="nil"/>
              <w:right w:val="nil"/>
            </w:tcBorders>
          </w:tcPr>
          <w:p w:rsidR="00024B9F" w:rsidRPr="00840142" w:rsidRDefault="00024B9F" w:rsidP="00791741">
            <w:pPr>
              <w:rPr>
                <w:rFonts w:ascii="Calibri" w:hAnsi="Calibri"/>
                <w:b/>
              </w:rPr>
            </w:pPr>
          </w:p>
        </w:tc>
        <w:tc>
          <w:tcPr>
            <w:tcW w:w="1462" w:type="dxa"/>
            <w:gridSpan w:val="3"/>
            <w:tcBorders>
              <w:top w:val="nil"/>
              <w:left w:val="nil"/>
              <w:bottom w:val="nil"/>
              <w:right w:val="nil"/>
            </w:tcBorders>
          </w:tcPr>
          <w:p w:rsidR="00024B9F" w:rsidRPr="00840142" w:rsidRDefault="00024B9F" w:rsidP="00791741">
            <w:pPr>
              <w:rPr>
                <w:rFonts w:ascii="Calibri" w:hAnsi="Calibri"/>
                <w:b/>
              </w:rPr>
            </w:pPr>
          </w:p>
        </w:tc>
      </w:tr>
      <w:tr w:rsidR="00024B9F" w:rsidRPr="00840142" w:rsidTr="007917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94" w:type="dxa"/>
        </w:trPr>
        <w:tc>
          <w:tcPr>
            <w:tcW w:w="1443" w:type="dxa"/>
            <w:gridSpan w:val="2"/>
            <w:tcBorders>
              <w:top w:val="nil"/>
              <w:left w:val="nil"/>
              <w:bottom w:val="nil"/>
              <w:right w:val="nil"/>
            </w:tcBorders>
          </w:tcPr>
          <w:p w:rsidR="00024B9F" w:rsidRPr="00840142" w:rsidRDefault="00024B9F" w:rsidP="00791741">
            <w:pPr>
              <w:rPr>
                <w:rFonts w:ascii="Calibri" w:hAnsi="Calibri"/>
              </w:rPr>
            </w:pPr>
          </w:p>
        </w:tc>
        <w:tc>
          <w:tcPr>
            <w:tcW w:w="1452" w:type="dxa"/>
            <w:gridSpan w:val="3"/>
            <w:tcBorders>
              <w:top w:val="nil"/>
              <w:left w:val="nil"/>
              <w:bottom w:val="nil"/>
              <w:right w:val="nil"/>
            </w:tcBorders>
          </w:tcPr>
          <w:p w:rsidR="00024B9F" w:rsidRPr="00840142" w:rsidRDefault="00024B9F" w:rsidP="00791741">
            <w:pPr>
              <w:rPr>
                <w:rFonts w:ascii="Calibri" w:hAnsi="Calibri"/>
                <w:b/>
              </w:rPr>
            </w:pPr>
          </w:p>
        </w:tc>
        <w:tc>
          <w:tcPr>
            <w:tcW w:w="1500" w:type="dxa"/>
            <w:gridSpan w:val="3"/>
            <w:tcBorders>
              <w:top w:val="nil"/>
              <w:left w:val="nil"/>
              <w:bottom w:val="nil"/>
              <w:right w:val="nil"/>
            </w:tcBorders>
          </w:tcPr>
          <w:p w:rsidR="00024B9F" w:rsidRPr="00840142" w:rsidRDefault="00024B9F" w:rsidP="00791741">
            <w:pPr>
              <w:rPr>
                <w:rFonts w:ascii="Calibri" w:hAnsi="Calibri"/>
                <w:b/>
              </w:rPr>
            </w:pPr>
          </w:p>
        </w:tc>
        <w:tc>
          <w:tcPr>
            <w:tcW w:w="1533" w:type="dxa"/>
            <w:gridSpan w:val="3"/>
            <w:tcBorders>
              <w:top w:val="nil"/>
              <w:left w:val="nil"/>
              <w:bottom w:val="nil"/>
              <w:right w:val="nil"/>
            </w:tcBorders>
          </w:tcPr>
          <w:p w:rsidR="00024B9F" w:rsidRPr="00840142" w:rsidRDefault="00024B9F" w:rsidP="00791741">
            <w:pPr>
              <w:rPr>
                <w:rFonts w:ascii="Calibri" w:hAnsi="Calibri"/>
                <w:b/>
              </w:rPr>
            </w:pPr>
          </w:p>
        </w:tc>
        <w:tc>
          <w:tcPr>
            <w:tcW w:w="1467" w:type="dxa"/>
            <w:gridSpan w:val="3"/>
            <w:tcBorders>
              <w:top w:val="nil"/>
              <w:left w:val="nil"/>
              <w:bottom w:val="nil"/>
              <w:right w:val="nil"/>
            </w:tcBorders>
          </w:tcPr>
          <w:p w:rsidR="00024B9F" w:rsidRPr="00840142" w:rsidRDefault="00024B9F" w:rsidP="00791741">
            <w:pPr>
              <w:rPr>
                <w:rFonts w:ascii="Calibri" w:hAnsi="Calibri"/>
                <w:b/>
              </w:rPr>
            </w:pPr>
          </w:p>
        </w:tc>
        <w:tc>
          <w:tcPr>
            <w:tcW w:w="1462" w:type="dxa"/>
            <w:gridSpan w:val="3"/>
            <w:tcBorders>
              <w:top w:val="nil"/>
              <w:left w:val="nil"/>
              <w:bottom w:val="nil"/>
              <w:right w:val="nil"/>
            </w:tcBorders>
          </w:tcPr>
          <w:p w:rsidR="00024B9F" w:rsidRPr="00840142" w:rsidRDefault="00024B9F" w:rsidP="00791741">
            <w:pPr>
              <w:rPr>
                <w:rFonts w:ascii="Calibri" w:hAnsi="Calibri"/>
                <w:b/>
              </w:rPr>
            </w:pPr>
          </w:p>
        </w:tc>
      </w:tr>
      <w:tr w:rsidR="00024B9F" w:rsidRPr="00840142" w:rsidTr="007917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94" w:type="dxa"/>
        </w:trPr>
        <w:tc>
          <w:tcPr>
            <w:tcW w:w="1443" w:type="dxa"/>
            <w:gridSpan w:val="2"/>
            <w:tcBorders>
              <w:top w:val="nil"/>
              <w:left w:val="nil"/>
              <w:bottom w:val="nil"/>
              <w:right w:val="nil"/>
            </w:tcBorders>
          </w:tcPr>
          <w:p w:rsidR="00024B9F" w:rsidRPr="00840142" w:rsidRDefault="00024B9F" w:rsidP="00791741">
            <w:pPr>
              <w:rPr>
                <w:rFonts w:ascii="Calibri" w:hAnsi="Calibri"/>
              </w:rPr>
            </w:pPr>
          </w:p>
        </w:tc>
        <w:tc>
          <w:tcPr>
            <w:tcW w:w="1452" w:type="dxa"/>
            <w:gridSpan w:val="3"/>
            <w:tcBorders>
              <w:top w:val="nil"/>
              <w:left w:val="nil"/>
              <w:bottom w:val="nil"/>
              <w:right w:val="nil"/>
            </w:tcBorders>
          </w:tcPr>
          <w:p w:rsidR="00024B9F" w:rsidRPr="00840142" w:rsidRDefault="00024B9F" w:rsidP="00791741">
            <w:pPr>
              <w:rPr>
                <w:rFonts w:ascii="Calibri" w:hAnsi="Calibri"/>
                <w:b/>
              </w:rPr>
            </w:pPr>
          </w:p>
        </w:tc>
        <w:tc>
          <w:tcPr>
            <w:tcW w:w="1500" w:type="dxa"/>
            <w:gridSpan w:val="3"/>
            <w:tcBorders>
              <w:top w:val="nil"/>
              <w:left w:val="nil"/>
              <w:bottom w:val="nil"/>
              <w:right w:val="nil"/>
            </w:tcBorders>
          </w:tcPr>
          <w:p w:rsidR="00024B9F" w:rsidRPr="00840142" w:rsidRDefault="00024B9F" w:rsidP="00791741">
            <w:pPr>
              <w:rPr>
                <w:rFonts w:ascii="Calibri" w:hAnsi="Calibri"/>
                <w:b/>
              </w:rPr>
            </w:pPr>
          </w:p>
        </w:tc>
        <w:tc>
          <w:tcPr>
            <w:tcW w:w="1533" w:type="dxa"/>
            <w:gridSpan w:val="3"/>
            <w:tcBorders>
              <w:top w:val="nil"/>
              <w:left w:val="nil"/>
              <w:bottom w:val="nil"/>
              <w:right w:val="nil"/>
            </w:tcBorders>
          </w:tcPr>
          <w:p w:rsidR="00024B9F" w:rsidRPr="00840142" w:rsidRDefault="00024B9F" w:rsidP="00791741">
            <w:pPr>
              <w:rPr>
                <w:rFonts w:ascii="Calibri" w:hAnsi="Calibri"/>
                <w:b/>
              </w:rPr>
            </w:pPr>
          </w:p>
        </w:tc>
        <w:tc>
          <w:tcPr>
            <w:tcW w:w="1467" w:type="dxa"/>
            <w:gridSpan w:val="3"/>
            <w:tcBorders>
              <w:top w:val="nil"/>
              <w:left w:val="nil"/>
              <w:bottom w:val="nil"/>
              <w:right w:val="nil"/>
            </w:tcBorders>
          </w:tcPr>
          <w:p w:rsidR="00024B9F" w:rsidRPr="00840142" w:rsidRDefault="00024B9F" w:rsidP="00791741">
            <w:pPr>
              <w:rPr>
                <w:rFonts w:ascii="Calibri" w:hAnsi="Calibri"/>
                <w:b/>
              </w:rPr>
            </w:pPr>
          </w:p>
        </w:tc>
        <w:tc>
          <w:tcPr>
            <w:tcW w:w="1462" w:type="dxa"/>
            <w:gridSpan w:val="3"/>
            <w:tcBorders>
              <w:top w:val="nil"/>
              <w:left w:val="nil"/>
              <w:bottom w:val="nil"/>
              <w:right w:val="nil"/>
            </w:tcBorders>
          </w:tcPr>
          <w:p w:rsidR="00024B9F" w:rsidRPr="00840142" w:rsidRDefault="00024B9F" w:rsidP="00791741">
            <w:pPr>
              <w:rPr>
                <w:rFonts w:ascii="Calibri" w:hAnsi="Calibri"/>
                <w:b/>
              </w:rPr>
            </w:pPr>
          </w:p>
        </w:tc>
      </w:tr>
    </w:tbl>
    <w:p w:rsidR="001C0DCC" w:rsidRDefault="001C0DCC" w:rsidP="00024B9F">
      <w:pPr>
        <w:rPr>
          <w:rFonts w:ascii="Calibri" w:hAnsi="Calibri"/>
          <w:sz w:val="22"/>
          <w:szCs w:val="22"/>
        </w:rPr>
      </w:pPr>
    </w:p>
    <w:p w:rsidR="001C0DCC" w:rsidRDefault="001C0DCC" w:rsidP="00024B9F">
      <w:pPr>
        <w:rPr>
          <w:rFonts w:ascii="Calibri" w:hAnsi="Calibri"/>
          <w:sz w:val="22"/>
          <w:szCs w:val="22"/>
        </w:rPr>
      </w:pPr>
    </w:p>
    <w:p w:rsidR="001C0DCC" w:rsidRDefault="001C0DCC" w:rsidP="00024B9F">
      <w:pPr>
        <w:rPr>
          <w:rFonts w:ascii="Calibri" w:hAnsi="Calibri"/>
          <w:sz w:val="22"/>
          <w:szCs w:val="22"/>
        </w:rPr>
      </w:pPr>
    </w:p>
    <w:p w:rsidR="001C0DCC" w:rsidRDefault="001C0DCC" w:rsidP="001C0DCC">
      <w:pPr>
        <w:rPr>
          <w:rFonts w:ascii="Calibri" w:hAnsi="Calibri"/>
          <w:sz w:val="22"/>
          <w:szCs w:val="22"/>
        </w:rPr>
      </w:pPr>
      <w:r>
        <w:rPr>
          <w:rFonts w:ascii="Calibri" w:hAnsi="Calibri"/>
          <w:sz w:val="22"/>
          <w:szCs w:val="22"/>
        </w:rPr>
        <w:lastRenderedPageBreak/>
        <w:t>Respondent</w:t>
      </w:r>
      <w:r w:rsidRPr="008037D6">
        <w:rPr>
          <w:rFonts w:ascii="Calibri" w:hAnsi="Calibri"/>
          <w:sz w:val="22"/>
          <w:szCs w:val="22"/>
        </w:rPr>
        <w:t xml:space="preserve"> burden cost for monthly data collection for the periods covered by this clearance package are as follows:</w:t>
      </w:r>
    </w:p>
    <w:p w:rsidR="00024B9F" w:rsidRDefault="00024B9F" w:rsidP="00024B9F">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28"/>
        <w:gridCol w:w="1990"/>
        <w:gridCol w:w="2007"/>
        <w:gridCol w:w="2639"/>
      </w:tblGrid>
      <w:tr w:rsidR="00024B9F" w:rsidRPr="008037D6" w:rsidTr="00791741">
        <w:tc>
          <w:tcPr>
            <w:tcW w:w="0" w:type="auto"/>
            <w:gridSpan w:val="4"/>
            <w:tcBorders>
              <w:bottom w:val="single" w:sz="4" w:space="0" w:color="auto"/>
            </w:tcBorders>
            <w:shd w:val="clear" w:color="auto" w:fill="D9D9D9"/>
          </w:tcPr>
          <w:p w:rsidR="00024B9F" w:rsidRPr="008037D6" w:rsidRDefault="00024B9F" w:rsidP="00791741">
            <w:pPr>
              <w:tabs>
                <w:tab w:val="left" w:pos="360"/>
                <w:tab w:val="left" w:pos="480"/>
                <w:tab w:val="left" w:pos="960"/>
                <w:tab w:val="left" w:pos="1320"/>
                <w:tab w:val="left" w:pos="1800"/>
                <w:tab w:val="left" w:pos="2760"/>
              </w:tabs>
              <w:spacing w:after="120" w:line="240" w:lineRule="exact"/>
              <w:jc w:val="center"/>
              <w:rPr>
                <w:rFonts w:ascii="Calibri" w:hAnsi="Calibri"/>
                <w:b/>
              </w:rPr>
            </w:pPr>
            <w:r w:rsidRPr="008037D6">
              <w:rPr>
                <w:rFonts w:ascii="Calibri" w:hAnsi="Calibri"/>
                <w:b/>
                <w:sz w:val="22"/>
                <w:szCs w:val="22"/>
              </w:rPr>
              <w:t>E</w:t>
            </w:r>
            <w:r>
              <w:rPr>
                <w:rFonts w:ascii="Calibri" w:hAnsi="Calibri"/>
                <w:b/>
                <w:sz w:val="22"/>
                <w:szCs w:val="22"/>
              </w:rPr>
              <w:t>XPORTS</w:t>
            </w:r>
          </w:p>
        </w:tc>
      </w:tr>
      <w:tr w:rsidR="00024B9F" w:rsidRPr="008037D6" w:rsidTr="00791741">
        <w:tc>
          <w:tcPr>
            <w:tcW w:w="0" w:type="auto"/>
            <w:shd w:val="clear" w:color="auto" w:fill="DBE5F1"/>
          </w:tcPr>
          <w:p w:rsidR="00024B9F" w:rsidRPr="008037D6" w:rsidRDefault="00024B9F" w:rsidP="00791741">
            <w:pPr>
              <w:tabs>
                <w:tab w:val="left" w:pos="360"/>
                <w:tab w:val="left" w:pos="480"/>
                <w:tab w:val="left" w:pos="960"/>
                <w:tab w:val="left" w:pos="1320"/>
                <w:tab w:val="left" w:pos="1800"/>
                <w:tab w:val="left" w:pos="2760"/>
              </w:tabs>
              <w:spacing w:after="120" w:line="240" w:lineRule="exact"/>
              <w:ind w:left="1152"/>
              <w:rPr>
                <w:rFonts w:ascii="Calibri" w:hAnsi="Calibri"/>
                <w:b/>
              </w:rPr>
            </w:pPr>
            <w:r w:rsidRPr="008037D6">
              <w:rPr>
                <w:rFonts w:ascii="Calibri" w:hAnsi="Calibri"/>
                <w:b/>
                <w:sz w:val="22"/>
                <w:szCs w:val="22"/>
              </w:rPr>
              <w:t>Fiscal Year</w:t>
            </w:r>
          </w:p>
        </w:tc>
        <w:tc>
          <w:tcPr>
            <w:tcW w:w="0" w:type="auto"/>
            <w:shd w:val="clear" w:color="auto" w:fill="DBE5F1"/>
          </w:tcPr>
          <w:p w:rsidR="00024B9F" w:rsidRPr="008037D6" w:rsidRDefault="00024B9F" w:rsidP="00791741">
            <w:pPr>
              <w:tabs>
                <w:tab w:val="left" w:pos="360"/>
                <w:tab w:val="left" w:pos="480"/>
                <w:tab w:val="left" w:pos="960"/>
                <w:tab w:val="left" w:pos="1320"/>
                <w:tab w:val="left" w:pos="1800"/>
                <w:tab w:val="left" w:pos="2760"/>
              </w:tabs>
              <w:spacing w:after="120" w:line="240" w:lineRule="exact"/>
              <w:rPr>
                <w:rFonts w:ascii="Calibri" w:hAnsi="Calibri"/>
                <w:b/>
              </w:rPr>
            </w:pPr>
            <w:r w:rsidRPr="008037D6">
              <w:rPr>
                <w:rFonts w:ascii="Calibri" w:hAnsi="Calibri"/>
                <w:b/>
                <w:sz w:val="22"/>
                <w:szCs w:val="22"/>
              </w:rPr>
              <w:t>Total Hours Burden</w:t>
            </w:r>
          </w:p>
        </w:tc>
        <w:tc>
          <w:tcPr>
            <w:tcW w:w="0" w:type="auto"/>
            <w:shd w:val="clear" w:color="auto" w:fill="DBE5F1"/>
          </w:tcPr>
          <w:p w:rsidR="00024B9F" w:rsidRPr="008037D6" w:rsidRDefault="00024B9F" w:rsidP="00791741">
            <w:pPr>
              <w:tabs>
                <w:tab w:val="left" w:pos="360"/>
                <w:tab w:val="left" w:pos="480"/>
                <w:tab w:val="left" w:pos="960"/>
                <w:tab w:val="left" w:pos="1320"/>
                <w:tab w:val="left" w:pos="1800"/>
                <w:tab w:val="left" w:pos="2760"/>
              </w:tabs>
              <w:spacing w:after="120" w:line="240" w:lineRule="exact"/>
              <w:rPr>
                <w:rFonts w:ascii="Calibri" w:hAnsi="Calibri"/>
                <w:b/>
              </w:rPr>
            </w:pPr>
            <w:r w:rsidRPr="008037D6">
              <w:rPr>
                <w:rFonts w:ascii="Calibri" w:hAnsi="Calibri"/>
                <w:b/>
                <w:sz w:val="22"/>
                <w:szCs w:val="22"/>
              </w:rPr>
              <w:t>Average Hourly Pay</w:t>
            </w:r>
          </w:p>
        </w:tc>
        <w:tc>
          <w:tcPr>
            <w:tcW w:w="0" w:type="auto"/>
            <w:shd w:val="clear" w:color="auto" w:fill="DBE5F1"/>
          </w:tcPr>
          <w:p w:rsidR="00024B9F" w:rsidRPr="008037D6" w:rsidRDefault="00024B9F" w:rsidP="00791741">
            <w:pPr>
              <w:tabs>
                <w:tab w:val="left" w:pos="360"/>
                <w:tab w:val="left" w:pos="480"/>
                <w:tab w:val="left" w:pos="960"/>
                <w:tab w:val="left" w:pos="1320"/>
                <w:tab w:val="left" w:pos="1800"/>
                <w:tab w:val="left" w:pos="2760"/>
              </w:tabs>
              <w:spacing w:after="120" w:line="240" w:lineRule="exact"/>
              <w:rPr>
                <w:rFonts w:ascii="Calibri" w:hAnsi="Calibri"/>
                <w:b/>
              </w:rPr>
            </w:pPr>
            <w:r w:rsidRPr="008037D6">
              <w:rPr>
                <w:rFonts w:ascii="Calibri" w:hAnsi="Calibri"/>
                <w:b/>
                <w:sz w:val="22"/>
                <w:szCs w:val="22"/>
              </w:rPr>
              <w:t>Annualized Cost of Burden</w:t>
            </w:r>
          </w:p>
        </w:tc>
      </w:tr>
      <w:tr w:rsidR="00024B9F" w:rsidRPr="008037D6" w:rsidTr="00791741">
        <w:tc>
          <w:tcPr>
            <w:tcW w:w="0" w:type="auto"/>
          </w:tcPr>
          <w:p w:rsidR="00024B9F" w:rsidRPr="008037D6" w:rsidRDefault="00024B9F" w:rsidP="00791741">
            <w:pPr>
              <w:tabs>
                <w:tab w:val="left" w:pos="360"/>
                <w:tab w:val="left" w:pos="480"/>
                <w:tab w:val="left" w:pos="960"/>
                <w:tab w:val="left" w:pos="1320"/>
                <w:tab w:val="left" w:pos="1800"/>
                <w:tab w:val="left" w:pos="2760"/>
              </w:tabs>
              <w:ind w:left="1152"/>
              <w:rPr>
                <w:rFonts w:ascii="Calibri" w:hAnsi="Calibri"/>
                <w:b/>
              </w:rPr>
            </w:pPr>
            <w:r w:rsidRPr="008037D6">
              <w:rPr>
                <w:rFonts w:ascii="Calibri" w:hAnsi="Calibri"/>
                <w:b/>
                <w:sz w:val="22"/>
                <w:szCs w:val="22"/>
              </w:rPr>
              <w:t>201</w:t>
            </w:r>
            <w:r>
              <w:rPr>
                <w:rFonts w:ascii="Calibri" w:hAnsi="Calibri"/>
                <w:b/>
                <w:sz w:val="22"/>
                <w:szCs w:val="22"/>
              </w:rPr>
              <w:t>3</w:t>
            </w:r>
          </w:p>
        </w:tc>
        <w:tc>
          <w:tcPr>
            <w:tcW w:w="0" w:type="auto"/>
          </w:tcPr>
          <w:p w:rsidR="00024B9F" w:rsidRPr="008037D6" w:rsidRDefault="00024B9F" w:rsidP="00791741">
            <w:pPr>
              <w:tabs>
                <w:tab w:val="left" w:pos="360"/>
                <w:tab w:val="left" w:pos="480"/>
                <w:tab w:val="left" w:pos="960"/>
                <w:tab w:val="left" w:pos="1320"/>
                <w:tab w:val="left" w:pos="1800"/>
                <w:tab w:val="left" w:pos="2760"/>
              </w:tabs>
              <w:spacing w:after="120" w:line="240" w:lineRule="exact"/>
              <w:rPr>
                <w:rFonts w:ascii="Calibri" w:hAnsi="Calibri"/>
              </w:rPr>
            </w:pPr>
            <w:r>
              <w:rPr>
                <w:rFonts w:ascii="Calibri" w:hAnsi="Calibri"/>
                <w:sz w:val="22"/>
                <w:szCs w:val="22"/>
              </w:rPr>
              <w:t>7,837</w:t>
            </w:r>
          </w:p>
        </w:tc>
        <w:tc>
          <w:tcPr>
            <w:tcW w:w="0" w:type="auto"/>
          </w:tcPr>
          <w:p w:rsidR="00024B9F" w:rsidRPr="008037D6" w:rsidRDefault="00024B9F" w:rsidP="00EC6E11">
            <w:pPr>
              <w:tabs>
                <w:tab w:val="left" w:pos="360"/>
                <w:tab w:val="left" w:pos="480"/>
                <w:tab w:val="left" w:pos="960"/>
                <w:tab w:val="left" w:pos="1320"/>
                <w:tab w:val="left" w:pos="1800"/>
                <w:tab w:val="left" w:pos="2760"/>
              </w:tabs>
              <w:spacing w:after="120" w:line="240" w:lineRule="exact"/>
              <w:rPr>
                <w:rFonts w:ascii="Calibri" w:hAnsi="Calibri"/>
              </w:rPr>
            </w:pPr>
            <w:r w:rsidRPr="008037D6">
              <w:rPr>
                <w:rFonts w:ascii="Calibri" w:hAnsi="Calibri"/>
                <w:sz w:val="22"/>
                <w:szCs w:val="22"/>
              </w:rPr>
              <w:t>$</w:t>
            </w:r>
            <w:r w:rsidR="00EC6E11">
              <w:rPr>
                <w:rFonts w:ascii="Calibri" w:hAnsi="Calibri"/>
                <w:sz w:val="22"/>
                <w:szCs w:val="22"/>
              </w:rPr>
              <w:t>48.54</w:t>
            </w:r>
          </w:p>
        </w:tc>
        <w:tc>
          <w:tcPr>
            <w:tcW w:w="0" w:type="auto"/>
          </w:tcPr>
          <w:p w:rsidR="00024B9F" w:rsidRPr="008037D6" w:rsidRDefault="00024B9F" w:rsidP="00EC6E11">
            <w:pPr>
              <w:tabs>
                <w:tab w:val="left" w:pos="360"/>
                <w:tab w:val="left" w:pos="480"/>
                <w:tab w:val="left" w:pos="960"/>
                <w:tab w:val="left" w:pos="1320"/>
                <w:tab w:val="left" w:pos="1800"/>
                <w:tab w:val="left" w:pos="2760"/>
              </w:tabs>
              <w:spacing w:after="120" w:line="240" w:lineRule="exact"/>
              <w:rPr>
                <w:rFonts w:ascii="Calibri" w:hAnsi="Calibri"/>
              </w:rPr>
            </w:pPr>
            <w:r w:rsidRPr="008037D6">
              <w:rPr>
                <w:rFonts w:ascii="Calibri" w:hAnsi="Calibri"/>
                <w:sz w:val="22"/>
                <w:szCs w:val="22"/>
              </w:rPr>
              <w:t>$</w:t>
            </w:r>
            <w:r w:rsidR="00EC6E11">
              <w:rPr>
                <w:rFonts w:ascii="Calibri" w:hAnsi="Calibri"/>
                <w:sz w:val="22"/>
                <w:szCs w:val="22"/>
              </w:rPr>
              <w:t>380,408</w:t>
            </w:r>
          </w:p>
        </w:tc>
      </w:tr>
      <w:tr w:rsidR="00024B9F" w:rsidRPr="008037D6" w:rsidTr="00791741">
        <w:tc>
          <w:tcPr>
            <w:tcW w:w="0" w:type="auto"/>
          </w:tcPr>
          <w:p w:rsidR="00024B9F" w:rsidRPr="008037D6" w:rsidRDefault="00024B9F" w:rsidP="00791741">
            <w:pPr>
              <w:tabs>
                <w:tab w:val="left" w:pos="360"/>
                <w:tab w:val="left" w:pos="480"/>
                <w:tab w:val="left" w:pos="960"/>
                <w:tab w:val="left" w:pos="1320"/>
                <w:tab w:val="left" w:pos="1800"/>
                <w:tab w:val="left" w:pos="2760"/>
              </w:tabs>
              <w:ind w:left="1152"/>
              <w:rPr>
                <w:rFonts w:ascii="Calibri" w:hAnsi="Calibri"/>
                <w:b/>
              </w:rPr>
            </w:pPr>
            <w:r w:rsidRPr="008037D6">
              <w:rPr>
                <w:rFonts w:ascii="Calibri" w:hAnsi="Calibri"/>
                <w:b/>
                <w:sz w:val="22"/>
                <w:szCs w:val="22"/>
              </w:rPr>
              <w:t>201</w:t>
            </w:r>
            <w:r>
              <w:rPr>
                <w:rFonts w:ascii="Calibri" w:hAnsi="Calibri"/>
                <w:b/>
                <w:sz w:val="22"/>
                <w:szCs w:val="22"/>
              </w:rPr>
              <w:t>4</w:t>
            </w:r>
          </w:p>
        </w:tc>
        <w:tc>
          <w:tcPr>
            <w:tcW w:w="0" w:type="auto"/>
          </w:tcPr>
          <w:p w:rsidR="00024B9F" w:rsidRPr="008037D6" w:rsidRDefault="00024B9F" w:rsidP="00791741">
            <w:pPr>
              <w:tabs>
                <w:tab w:val="left" w:pos="360"/>
                <w:tab w:val="left" w:pos="480"/>
                <w:tab w:val="left" w:pos="960"/>
                <w:tab w:val="left" w:pos="1320"/>
                <w:tab w:val="left" w:pos="1800"/>
                <w:tab w:val="left" w:pos="2760"/>
              </w:tabs>
              <w:spacing w:after="120" w:line="240" w:lineRule="exact"/>
              <w:rPr>
                <w:rFonts w:ascii="Calibri" w:hAnsi="Calibri"/>
              </w:rPr>
            </w:pPr>
            <w:r>
              <w:rPr>
                <w:rFonts w:ascii="Calibri" w:hAnsi="Calibri"/>
                <w:sz w:val="22"/>
                <w:szCs w:val="22"/>
              </w:rPr>
              <w:t>7,837</w:t>
            </w:r>
          </w:p>
        </w:tc>
        <w:tc>
          <w:tcPr>
            <w:tcW w:w="0" w:type="auto"/>
          </w:tcPr>
          <w:p w:rsidR="00024B9F" w:rsidRPr="008037D6" w:rsidRDefault="00024B9F" w:rsidP="00EC6E11">
            <w:pPr>
              <w:tabs>
                <w:tab w:val="left" w:pos="360"/>
                <w:tab w:val="left" w:pos="480"/>
                <w:tab w:val="left" w:pos="960"/>
                <w:tab w:val="left" w:pos="1320"/>
                <w:tab w:val="left" w:pos="1800"/>
                <w:tab w:val="left" w:pos="2760"/>
              </w:tabs>
              <w:spacing w:after="120" w:line="240" w:lineRule="exact"/>
              <w:rPr>
                <w:rFonts w:ascii="Calibri" w:hAnsi="Calibri"/>
              </w:rPr>
            </w:pPr>
            <w:r w:rsidRPr="008037D6">
              <w:rPr>
                <w:rFonts w:ascii="Calibri" w:hAnsi="Calibri"/>
                <w:sz w:val="22"/>
                <w:szCs w:val="22"/>
              </w:rPr>
              <w:t>$</w:t>
            </w:r>
            <w:r w:rsidR="00EC6E11">
              <w:rPr>
                <w:rFonts w:ascii="Calibri" w:hAnsi="Calibri"/>
                <w:sz w:val="22"/>
                <w:szCs w:val="22"/>
              </w:rPr>
              <w:t>49.57</w:t>
            </w:r>
          </w:p>
        </w:tc>
        <w:tc>
          <w:tcPr>
            <w:tcW w:w="0" w:type="auto"/>
          </w:tcPr>
          <w:p w:rsidR="00024B9F" w:rsidRPr="008037D6" w:rsidRDefault="00024B9F" w:rsidP="00EC6E11">
            <w:pPr>
              <w:tabs>
                <w:tab w:val="left" w:pos="360"/>
                <w:tab w:val="left" w:pos="480"/>
                <w:tab w:val="left" w:pos="960"/>
                <w:tab w:val="left" w:pos="1320"/>
                <w:tab w:val="left" w:pos="1800"/>
                <w:tab w:val="left" w:pos="2760"/>
              </w:tabs>
              <w:spacing w:after="120" w:line="240" w:lineRule="exact"/>
              <w:rPr>
                <w:rFonts w:ascii="Calibri" w:hAnsi="Calibri"/>
              </w:rPr>
            </w:pPr>
            <w:r w:rsidRPr="008037D6">
              <w:rPr>
                <w:rFonts w:ascii="Calibri" w:hAnsi="Calibri"/>
                <w:sz w:val="22"/>
                <w:szCs w:val="22"/>
              </w:rPr>
              <w:t>$</w:t>
            </w:r>
            <w:r w:rsidR="00EC6E11">
              <w:rPr>
                <w:rFonts w:ascii="Calibri" w:hAnsi="Calibri"/>
                <w:sz w:val="22"/>
                <w:szCs w:val="22"/>
              </w:rPr>
              <w:t>388,481</w:t>
            </w:r>
          </w:p>
        </w:tc>
      </w:tr>
      <w:tr w:rsidR="00024B9F" w:rsidRPr="008037D6" w:rsidTr="00791741">
        <w:trPr>
          <w:trHeight w:val="260"/>
        </w:trPr>
        <w:tc>
          <w:tcPr>
            <w:tcW w:w="0" w:type="auto"/>
          </w:tcPr>
          <w:p w:rsidR="00024B9F" w:rsidRPr="008037D6" w:rsidRDefault="00024B9F" w:rsidP="00791741">
            <w:pPr>
              <w:tabs>
                <w:tab w:val="left" w:pos="360"/>
                <w:tab w:val="left" w:pos="480"/>
                <w:tab w:val="left" w:pos="960"/>
                <w:tab w:val="left" w:pos="1320"/>
                <w:tab w:val="left" w:pos="1800"/>
                <w:tab w:val="left" w:pos="2760"/>
              </w:tabs>
              <w:ind w:left="1152"/>
              <w:rPr>
                <w:rFonts w:ascii="Calibri" w:hAnsi="Calibri"/>
                <w:b/>
              </w:rPr>
            </w:pPr>
            <w:r w:rsidRPr="008037D6">
              <w:rPr>
                <w:rFonts w:ascii="Calibri" w:hAnsi="Calibri"/>
                <w:b/>
                <w:sz w:val="22"/>
                <w:szCs w:val="22"/>
              </w:rPr>
              <w:t>201</w:t>
            </w:r>
            <w:r>
              <w:rPr>
                <w:rFonts w:ascii="Calibri" w:hAnsi="Calibri"/>
                <w:b/>
                <w:sz w:val="22"/>
                <w:szCs w:val="22"/>
              </w:rPr>
              <w:t>5</w:t>
            </w:r>
          </w:p>
        </w:tc>
        <w:tc>
          <w:tcPr>
            <w:tcW w:w="0" w:type="auto"/>
          </w:tcPr>
          <w:p w:rsidR="00024B9F" w:rsidRPr="008037D6" w:rsidRDefault="00024B9F" w:rsidP="00791741">
            <w:pPr>
              <w:tabs>
                <w:tab w:val="left" w:pos="360"/>
                <w:tab w:val="left" w:pos="480"/>
                <w:tab w:val="left" w:pos="960"/>
                <w:tab w:val="left" w:pos="1320"/>
                <w:tab w:val="left" w:pos="1800"/>
                <w:tab w:val="left" w:pos="2760"/>
              </w:tabs>
              <w:spacing w:after="120" w:line="240" w:lineRule="exact"/>
              <w:rPr>
                <w:rFonts w:ascii="Calibri" w:hAnsi="Calibri"/>
              </w:rPr>
            </w:pPr>
            <w:r>
              <w:rPr>
                <w:rFonts w:ascii="Calibri" w:hAnsi="Calibri"/>
                <w:sz w:val="22"/>
                <w:szCs w:val="22"/>
              </w:rPr>
              <w:t>7,837</w:t>
            </w:r>
          </w:p>
        </w:tc>
        <w:tc>
          <w:tcPr>
            <w:tcW w:w="0" w:type="auto"/>
          </w:tcPr>
          <w:p w:rsidR="00024B9F" w:rsidRPr="008037D6" w:rsidRDefault="00024B9F" w:rsidP="00EC6E11">
            <w:pPr>
              <w:tabs>
                <w:tab w:val="left" w:pos="360"/>
                <w:tab w:val="left" w:pos="480"/>
                <w:tab w:val="left" w:pos="960"/>
                <w:tab w:val="left" w:pos="1320"/>
                <w:tab w:val="left" w:pos="1800"/>
                <w:tab w:val="left" w:pos="2760"/>
              </w:tabs>
              <w:spacing w:after="120" w:line="240" w:lineRule="exact"/>
              <w:rPr>
                <w:rFonts w:ascii="Calibri" w:hAnsi="Calibri"/>
              </w:rPr>
            </w:pPr>
            <w:r w:rsidRPr="008037D6">
              <w:rPr>
                <w:rFonts w:ascii="Calibri" w:hAnsi="Calibri"/>
                <w:sz w:val="22"/>
                <w:szCs w:val="22"/>
              </w:rPr>
              <w:t>$</w:t>
            </w:r>
            <w:r w:rsidR="00EC6E11">
              <w:rPr>
                <w:rFonts w:ascii="Calibri" w:hAnsi="Calibri"/>
                <w:sz w:val="22"/>
                <w:szCs w:val="22"/>
              </w:rPr>
              <w:t>50.62</w:t>
            </w:r>
          </w:p>
        </w:tc>
        <w:tc>
          <w:tcPr>
            <w:tcW w:w="0" w:type="auto"/>
          </w:tcPr>
          <w:p w:rsidR="00024B9F" w:rsidRPr="008037D6" w:rsidRDefault="00024B9F" w:rsidP="00EC6E11">
            <w:pPr>
              <w:tabs>
                <w:tab w:val="left" w:pos="360"/>
                <w:tab w:val="left" w:pos="480"/>
                <w:tab w:val="left" w:pos="960"/>
                <w:tab w:val="left" w:pos="1320"/>
                <w:tab w:val="left" w:pos="1800"/>
                <w:tab w:val="left" w:pos="2760"/>
              </w:tabs>
              <w:spacing w:after="120" w:line="240" w:lineRule="exact"/>
              <w:rPr>
                <w:rFonts w:ascii="Calibri" w:hAnsi="Calibri"/>
              </w:rPr>
            </w:pPr>
            <w:r w:rsidRPr="008037D6">
              <w:rPr>
                <w:rFonts w:ascii="Calibri" w:hAnsi="Calibri"/>
                <w:sz w:val="22"/>
                <w:szCs w:val="22"/>
              </w:rPr>
              <w:t>$</w:t>
            </w:r>
            <w:r w:rsidR="00EC6E11">
              <w:rPr>
                <w:rFonts w:ascii="Calibri" w:hAnsi="Calibri"/>
                <w:sz w:val="22"/>
                <w:szCs w:val="22"/>
              </w:rPr>
              <w:t>396,709</w:t>
            </w:r>
          </w:p>
        </w:tc>
      </w:tr>
    </w:tbl>
    <w:p w:rsidR="00024B9F" w:rsidRDefault="00024B9F" w:rsidP="00024B9F">
      <w:pPr>
        <w:rPr>
          <w:rFonts w:ascii="Calibri" w:hAnsi="Calibri"/>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2328"/>
        <w:gridCol w:w="1990"/>
        <w:gridCol w:w="2007"/>
        <w:gridCol w:w="2639"/>
      </w:tblGrid>
      <w:tr w:rsidR="00024B9F" w:rsidRPr="008037D6" w:rsidTr="00791741">
        <w:tc>
          <w:tcPr>
            <w:tcW w:w="0" w:type="auto"/>
            <w:gridSpan w:val="4"/>
            <w:tcBorders>
              <w:bottom w:val="single" w:sz="4" w:space="0" w:color="auto"/>
            </w:tcBorders>
            <w:shd w:val="clear" w:color="auto" w:fill="D9D9D9"/>
          </w:tcPr>
          <w:p w:rsidR="00024B9F" w:rsidRPr="008037D6" w:rsidRDefault="00024B9F" w:rsidP="00791741">
            <w:pPr>
              <w:tabs>
                <w:tab w:val="left" w:pos="360"/>
                <w:tab w:val="left" w:pos="480"/>
                <w:tab w:val="left" w:pos="960"/>
                <w:tab w:val="left" w:pos="1320"/>
                <w:tab w:val="left" w:pos="1800"/>
                <w:tab w:val="left" w:pos="2760"/>
              </w:tabs>
              <w:spacing w:after="120" w:line="240" w:lineRule="exact"/>
              <w:jc w:val="center"/>
              <w:rPr>
                <w:rFonts w:ascii="Calibri" w:hAnsi="Calibri"/>
                <w:b/>
              </w:rPr>
            </w:pPr>
            <w:r w:rsidRPr="008037D6">
              <w:rPr>
                <w:rFonts w:ascii="Calibri" w:hAnsi="Calibri"/>
                <w:b/>
                <w:sz w:val="22"/>
                <w:szCs w:val="22"/>
              </w:rPr>
              <w:t>I</w:t>
            </w:r>
            <w:r>
              <w:rPr>
                <w:rFonts w:ascii="Calibri" w:hAnsi="Calibri"/>
                <w:b/>
                <w:sz w:val="22"/>
                <w:szCs w:val="22"/>
              </w:rPr>
              <w:t>MPORTS</w:t>
            </w:r>
          </w:p>
        </w:tc>
      </w:tr>
      <w:tr w:rsidR="00024B9F" w:rsidRPr="008037D6" w:rsidTr="00791741">
        <w:tc>
          <w:tcPr>
            <w:tcW w:w="0" w:type="auto"/>
            <w:shd w:val="clear" w:color="auto" w:fill="DBE5F1"/>
          </w:tcPr>
          <w:p w:rsidR="00024B9F" w:rsidRPr="008037D6" w:rsidRDefault="00024B9F" w:rsidP="00791741">
            <w:pPr>
              <w:tabs>
                <w:tab w:val="left" w:pos="360"/>
                <w:tab w:val="left" w:pos="480"/>
                <w:tab w:val="left" w:pos="960"/>
                <w:tab w:val="left" w:pos="1320"/>
                <w:tab w:val="left" w:pos="1800"/>
                <w:tab w:val="left" w:pos="2760"/>
              </w:tabs>
              <w:spacing w:after="120" w:line="240" w:lineRule="exact"/>
              <w:ind w:left="1152"/>
              <w:rPr>
                <w:rFonts w:ascii="Calibri" w:hAnsi="Calibri"/>
                <w:b/>
              </w:rPr>
            </w:pPr>
            <w:r w:rsidRPr="008037D6">
              <w:rPr>
                <w:rFonts w:ascii="Calibri" w:hAnsi="Calibri"/>
                <w:b/>
                <w:sz w:val="22"/>
                <w:szCs w:val="22"/>
              </w:rPr>
              <w:t>Fiscal Year</w:t>
            </w:r>
          </w:p>
        </w:tc>
        <w:tc>
          <w:tcPr>
            <w:tcW w:w="0" w:type="auto"/>
            <w:shd w:val="clear" w:color="auto" w:fill="DBE5F1"/>
          </w:tcPr>
          <w:p w:rsidR="00024B9F" w:rsidRPr="008037D6" w:rsidRDefault="00024B9F" w:rsidP="00791741">
            <w:pPr>
              <w:tabs>
                <w:tab w:val="left" w:pos="360"/>
                <w:tab w:val="left" w:pos="480"/>
                <w:tab w:val="left" w:pos="960"/>
                <w:tab w:val="left" w:pos="1320"/>
                <w:tab w:val="left" w:pos="1800"/>
                <w:tab w:val="left" w:pos="2760"/>
              </w:tabs>
              <w:spacing w:after="120" w:line="240" w:lineRule="exact"/>
              <w:rPr>
                <w:rFonts w:ascii="Calibri" w:hAnsi="Calibri"/>
                <w:b/>
              </w:rPr>
            </w:pPr>
            <w:r w:rsidRPr="008037D6">
              <w:rPr>
                <w:rFonts w:ascii="Calibri" w:hAnsi="Calibri"/>
                <w:b/>
                <w:sz w:val="22"/>
                <w:szCs w:val="22"/>
              </w:rPr>
              <w:t>Total Hours Burden</w:t>
            </w:r>
          </w:p>
        </w:tc>
        <w:tc>
          <w:tcPr>
            <w:tcW w:w="0" w:type="auto"/>
            <w:shd w:val="clear" w:color="auto" w:fill="DBE5F1"/>
          </w:tcPr>
          <w:p w:rsidR="00024B9F" w:rsidRPr="008037D6" w:rsidRDefault="00024B9F" w:rsidP="00791741">
            <w:pPr>
              <w:tabs>
                <w:tab w:val="left" w:pos="360"/>
                <w:tab w:val="left" w:pos="480"/>
                <w:tab w:val="left" w:pos="960"/>
                <w:tab w:val="left" w:pos="1320"/>
                <w:tab w:val="left" w:pos="1800"/>
                <w:tab w:val="left" w:pos="2760"/>
              </w:tabs>
              <w:spacing w:after="120" w:line="240" w:lineRule="exact"/>
              <w:rPr>
                <w:rFonts w:ascii="Calibri" w:hAnsi="Calibri"/>
                <w:b/>
              </w:rPr>
            </w:pPr>
            <w:r w:rsidRPr="008037D6">
              <w:rPr>
                <w:rFonts w:ascii="Calibri" w:hAnsi="Calibri"/>
                <w:b/>
                <w:sz w:val="22"/>
                <w:szCs w:val="22"/>
              </w:rPr>
              <w:t>Average Hourly Pay</w:t>
            </w:r>
          </w:p>
        </w:tc>
        <w:tc>
          <w:tcPr>
            <w:tcW w:w="0" w:type="auto"/>
            <w:shd w:val="clear" w:color="auto" w:fill="DBE5F1"/>
          </w:tcPr>
          <w:p w:rsidR="00024B9F" w:rsidRPr="008037D6" w:rsidRDefault="00024B9F" w:rsidP="00791741">
            <w:pPr>
              <w:tabs>
                <w:tab w:val="left" w:pos="360"/>
                <w:tab w:val="left" w:pos="480"/>
                <w:tab w:val="left" w:pos="960"/>
                <w:tab w:val="left" w:pos="1320"/>
                <w:tab w:val="left" w:pos="1800"/>
                <w:tab w:val="left" w:pos="2760"/>
              </w:tabs>
              <w:spacing w:after="120" w:line="240" w:lineRule="exact"/>
              <w:rPr>
                <w:rFonts w:ascii="Calibri" w:hAnsi="Calibri"/>
                <w:b/>
              </w:rPr>
            </w:pPr>
            <w:r w:rsidRPr="008037D6">
              <w:rPr>
                <w:rFonts w:ascii="Calibri" w:hAnsi="Calibri"/>
                <w:b/>
                <w:sz w:val="22"/>
                <w:szCs w:val="22"/>
              </w:rPr>
              <w:t>Annualized Cost of Burden</w:t>
            </w:r>
          </w:p>
        </w:tc>
      </w:tr>
      <w:tr w:rsidR="00024B9F" w:rsidRPr="008037D6" w:rsidTr="00791741">
        <w:tc>
          <w:tcPr>
            <w:tcW w:w="0" w:type="auto"/>
          </w:tcPr>
          <w:p w:rsidR="00024B9F" w:rsidRPr="008037D6" w:rsidRDefault="00024B9F" w:rsidP="00791741">
            <w:pPr>
              <w:tabs>
                <w:tab w:val="left" w:pos="360"/>
                <w:tab w:val="left" w:pos="480"/>
                <w:tab w:val="left" w:pos="960"/>
                <w:tab w:val="left" w:pos="1320"/>
                <w:tab w:val="left" w:pos="1800"/>
                <w:tab w:val="left" w:pos="2760"/>
              </w:tabs>
              <w:ind w:left="1152"/>
              <w:rPr>
                <w:rFonts w:ascii="Calibri" w:hAnsi="Calibri"/>
                <w:b/>
              </w:rPr>
            </w:pPr>
            <w:r w:rsidRPr="008037D6">
              <w:rPr>
                <w:rFonts w:ascii="Calibri" w:hAnsi="Calibri"/>
                <w:b/>
                <w:sz w:val="22"/>
                <w:szCs w:val="22"/>
              </w:rPr>
              <w:t>201</w:t>
            </w:r>
            <w:r>
              <w:rPr>
                <w:rFonts w:ascii="Calibri" w:hAnsi="Calibri"/>
                <w:b/>
                <w:sz w:val="22"/>
                <w:szCs w:val="22"/>
              </w:rPr>
              <w:t>3</w:t>
            </w:r>
          </w:p>
        </w:tc>
        <w:tc>
          <w:tcPr>
            <w:tcW w:w="0" w:type="auto"/>
          </w:tcPr>
          <w:p w:rsidR="00024B9F" w:rsidRPr="008037D6" w:rsidRDefault="00024B9F" w:rsidP="00791741">
            <w:pPr>
              <w:tabs>
                <w:tab w:val="left" w:pos="360"/>
                <w:tab w:val="left" w:pos="480"/>
                <w:tab w:val="left" w:pos="960"/>
                <w:tab w:val="left" w:pos="1320"/>
                <w:tab w:val="left" w:pos="1800"/>
                <w:tab w:val="left" w:pos="2760"/>
              </w:tabs>
              <w:spacing w:after="120" w:line="240" w:lineRule="exact"/>
              <w:rPr>
                <w:rFonts w:ascii="Calibri" w:hAnsi="Calibri"/>
              </w:rPr>
            </w:pPr>
            <w:r>
              <w:rPr>
                <w:rFonts w:ascii="Calibri" w:hAnsi="Calibri"/>
                <w:sz w:val="22"/>
                <w:szCs w:val="22"/>
              </w:rPr>
              <w:t>12911</w:t>
            </w:r>
          </w:p>
        </w:tc>
        <w:tc>
          <w:tcPr>
            <w:tcW w:w="0" w:type="auto"/>
          </w:tcPr>
          <w:p w:rsidR="00024B9F" w:rsidRPr="008037D6" w:rsidRDefault="00024B9F" w:rsidP="00EC6E11">
            <w:pPr>
              <w:tabs>
                <w:tab w:val="left" w:pos="360"/>
                <w:tab w:val="left" w:pos="480"/>
                <w:tab w:val="left" w:pos="960"/>
                <w:tab w:val="left" w:pos="1320"/>
                <w:tab w:val="left" w:pos="1800"/>
                <w:tab w:val="left" w:pos="2760"/>
              </w:tabs>
              <w:spacing w:after="120" w:line="240" w:lineRule="exact"/>
              <w:rPr>
                <w:rFonts w:ascii="Calibri" w:hAnsi="Calibri"/>
              </w:rPr>
            </w:pPr>
            <w:r w:rsidRPr="008037D6">
              <w:rPr>
                <w:rFonts w:ascii="Calibri" w:hAnsi="Calibri"/>
                <w:sz w:val="22"/>
                <w:szCs w:val="22"/>
              </w:rPr>
              <w:t>$</w:t>
            </w:r>
            <w:r w:rsidR="00EC6E11">
              <w:rPr>
                <w:rFonts w:ascii="Calibri" w:hAnsi="Calibri"/>
                <w:sz w:val="22"/>
                <w:szCs w:val="22"/>
              </w:rPr>
              <w:t>48.54</w:t>
            </w:r>
          </w:p>
        </w:tc>
        <w:tc>
          <w:tcPr>
            <w:tcW w:w="0" w:type="auto"/>
          </w:tcPr>
          <w:p w:rsidR="00024B9F" w:rsidRPr="008037D6" w:rsidRDefault="00024B9F" w:rsidP="00EC6E11">
            <w:pPr>
              <w:tabs>
                <w:tab w:val="left" w:pos="360"/>
                <w:tab w:val="left" w:pos="480"/>
                <w:tab w:val="left" w:pos="960"/>
                <w:tab w:val="left" w:pos="1320"/>
                <w:tab w:val="left" w:pos="1800"/>
                <w:tab w:val="left" w:pos="2760"/>
              </w:tabs>
              <w:spacing w:after="120" w:line="240" w:lineRule="exact"/>
              <w:rPr>
                <w:rFonts w:ascii="Calibri" w:hAnsi="Calibri"/>
              </w:rPr>
            </w:pPr>
            <w:r w:rsidRPr="008037D6">
              <w:rPr>
                <w:rFonts w:ascii="Calibri" w:hAnsi="Calibri"/>
                <w:sz w:val="22"/>
                <w:szCs w:val="22"/>
              </w:rPr>
              <w:t>$</w:t>
            </w:r>
            <w:r w:rsidR="00EC6E11">
              <w:rPr>
                <w:rFonts w:ascii="Calibri" w:hAnsi="Calibri"/>
                <w:sz w:val="22"/>
                <w:szCs w:val="22"/>
              </w:rPr>
              <w:t>626,700</w:t>
            </w:r>
          </w:p>
        </w:tc>
      </w:tr>
      <w:tr w:rsidR="00024B9F" w:rsidRPr="008037D6" w:rsidTr="00791741">
        <w:tc>
          <w:tcPr>
            <w:tcW w:w="0" w:type="auto"/>
          </w:tcPr>
          <w:p w:rsidR="00024B9F" w:rsidRPr="008037D6" w:rsidRDefault="00024B9F" w:rsidP="00791741">
            <w:pPr>
              <w:tabs>
                <w:tab w:val="left" w:pos="360"/>
                <w:tab w:val="left" w:pos="480"/>
                <w:tab w:val="left" w:pos="960"/>
                <w:tab w:val="left" w:pos="1320"/>
                <w:tab w:val="left" w:pos="1800"/>
                <w:tab w:val="left" w:pos="2760"/>
              </w:tabs>
              <w:ind w:left="1152"/>
              <w:rPr>
                <w:rFonts w:ascii="Calibri" w:hAnsi="Calibri"/>
                <w:b/>
              </w:rPr>
            </w:pPr>
            <w:r w:rsidRPr="008037D6">
              <w:rPr>
                <w:rFonts w:ascii="Calibri" w:hAnsi="Calibri"/>
                <w:b/>
                <w:sz w:val="22"/>
                <w:szCs w:val="22"/>
              </w:rPr>
              <w:t>201</w:t>
            </w:r>
            <w:r>
              <w:rPr>
                <w:rFonts w:ascii="Calibri" w:hAnsi="Calibri"/>
                <w:b/>
                <w:sz w:val="22"/>
                <w:szCs w:val="22"/>
              </w:rPr>
              <w:t>4</w:t>
            </w:r>
          </w:p>
        </w:tc>
        <w:tc>
          <w:tcPr>
            <w:tcW w:w="0" w:type="auto"/>
          </w:tcPr>
          <w:p w:rsidR="00024B9F" w:rsidRPr="008037D6" w:rsidRDefault="00024B9F" w:rsidP="00791741">
            <w:pPr>
              <w:tabs>
                <w:tab w:val="left" w:pos="360"/>
                <w:tab w:val="left" w:pos="480"/>
                <w:tab w:val="left" w:pos="960"/>
                <w:tab w:val="left" w:pos="1320"/>
                <w:tab w:val="left" w:pos="1800"/>
                <w:tab w:val="left" w:pos="2760"/>
              </w:tabs>
              <w:spacing w:after="120" w:line="240" w:lineRule="exact"/>
              <w:rPr>
                <w:rFonts w:ascii="Calibri" w:hAnsi="Calibri"/>
              </w:rPr>
            </w:pPr>
            <w:r>
              <w:rPr>
                <w:rFonts w:ascii="Calibri" w:hAnsi="Calibri"/>
                <w:sz w:val="22"/>
                <w:szCs w:val="22"/>
              </w:rPr>
              <w:t>12911</w:t>
            </w:r>
          </w:p>
        </w:tc>
        <w:tc>
          <w:tcPr>
            <w:tcW w:w="0" w:type="auto"/>
          </w:tcPr>
          <w:p w:rsidR="00024B9F" w:rsidRPr="008037D6" w:rsidRDefault="00024B9F" w:rsidP="00EC6E11">
            <w:pPr>
              <w:tabs>
                <w:tab w:val="left" w:pos="360"/>
                <w:tab w:val="left" w:pos="480"/>
                <w:tab w:val="left" w:pos="960"/>
                <w:tab w:val="left" w:pos="1320"/>
                <w:tab w:val="left" w:pos="1800"/>
                <w:tab w:val="left" w:pos="2760"/>
              </w:tabs>
              <w:spacing w:after="120" w:line="240" w:lineRule="exact"/>
              <w:rPr>
                <w:rFonts w:ascii="Calibri" w:hAnsi="Calibri"/>
              </w:rPr>
            </w:pPr>
            <w:r w:rsidRPr="008037D6">
              <w:rPr>
                <w:rFonts w:ascii="Calibri" w:hAnsi="Calibri"/>
                <w:sz w:val="22"/>
                <w:szCs w:val="22"/>
              </w:rPr>
              <w:t>$</w:t>
            </w:r>
            <w:r w:rsidR="00EC6E11">
              <w:rPr>
                <w:rFonts w:ascii="Calibri" w:hAnsi="Calibri"/>
                <w:sz w:val="22"/>
                <w:szCs w:val="22"/>
              </w:rPr>
              <w:t>49.57</w:t>
            </w:r>
          </w:p>
        </w:tc>
        <w:tc>
          <w:tcPr>
            <w:tcW w:w="0" w:type="auto"/>
          </w:tcPr>
          <w:p w:rsidR="00024B9F" w:rsidRPr="008037D6" w:rsidRDefault="00024B9F" w:rsidP="00EC6E11">
            <w:pPr>
              <w:tabs>
                <w:tab w:val="left" w:pos="360"/>
                <w:tab w:val="left" w:pos="480"/>
                <w:tab w:val="left" w:pos="960"/>
                <w:tab w:val="left" w:pos="1320"/>
                <w:tab w:val="left" w:pos="1800"/>
                <w:tab w:val="left" w:pos="2760"/>
              </w:tabs>
              <w:spacing w:after="120" w:line="240" w:lineRule="exact"/>
              <w:rPr>
                <w:rFonts w:ascii="Calibri" w:hAnsi="Calibri"/>
              </w:rPr>
            </w:pPr>
            <w:r w:rsidRPr="008037D6">
              <w:rPr>
                <w:rFonts w:ascii="Calibri" w:hAnsi="Calibri"/>
                <w:sz w:val="22"/>
                <w:szCs w:val="22"/>
              </w:rPr>
              <w:t>$</w:t>
            </w:r>
            <w:r w:rsidR="00EC6E11">
              <w:rPr>
                <w:rFonts w:ascii="Calibri" w:hAnsi="Calibri"/>
                <w:sz w:val="22"/>
                <w:szCs w:val="22"/>
              </w:rPr>
              <w:t>639,998</w:t>
            </w:r>
          </w:p>
        </w:tc>
      </w:tr>
      <w:tr w:rsidR="00024B9F" w:rsidRPr="008037D6" w:rsidTr="00791741">
        <w:tc>
          <w:tcPr>
            <w:tcW w:w="0" w:type="auto"/>
          </w:tcPr>
          <w:p w:rsidR="00024B9F" w:rsidRPr="008037D6" w:rsidRDefault="00024B9F" w:rsidP="00791741">
            <w:pPr>
              <w:tabs>
                <w:tab w:val="left" w:pos="360"/>
                <w:tab w:val="left" w:pos="480"/>
                <w:tab w:val="left" w:pos="960"/>
                <w:tab w:val="left" w:pos="1320"/>
                <w:tab w:val="left" w:pos="1800"/>
                <w:tab w:val="left" w:pos="2760"/>
              </w:tabs>
              <w:ind w:left="1152"/>
              <w:rPr>
                <w:rFonts w:ascii="Calibri" w:hAnsi="Calibri"/>
                <w:b/>
              </w:rPr>
            </w:pPr>
            <w:r w:rsidRPr="008037D6">
              <w:rPr>
                <w:rFonts w:ascii="Calibri" w:hAnsi="Calibri"/>
                <w:b/>
                <w:sz w:val="22"/>
                <w:szCs w:val="22"/>
              </w:rPr>
              <w:t>201</w:t>
            </w:r>
            <w:r>
              <w:rPr>
                <w:rFonts w:ascii="Calibri" w:hAnsi="Calibri"/>
                <w:b/>
                <w:sz w:val="22"/>
                <w:szCs w:val="22"/>
              </w:rPr>
              <w:t>5</w:t>
            </w:r>
          </w:p>
        </w:tc>
        <w:tc>
          <w:tcPr>
            <w:tcW w:w="0" w:type="auto"/>
          </w:tcPr>
          <w:p w:rsidR="00024B9F" w:rsidRPr="008037D6" w:rsidRDefault="00024B9F" w:rsidP="00791741">
            <w:pPr>
              <w:tabs>
                <w:tab w:val="left" w:pos="360"/>
                <w:tab w:val="left" w:pos="480"/>
                <w:tab w:val="left" w:pos="960"/>
                <w:tab w:val="left" w:pos="1320"/>
                <w:tab w:val="left" w:pos="1800"/>
                <w:tab w:val="left" w:pos="2760"/>
              </w:tabs>
              <w:spacing w:after="120" w:line="240" w:lineRule="exact"/>
              <w:rPr>
                <w:rFonts w:ascii="Calibri" w:hAnsi="Calibri"/>
              </w:rPr>
            </w:pPr>
            <w:r>
              <w:rPr>
                <w:rFonts w:ascii="Calibri" w:hAnsi="Calibri"/>
                <w:sz w:val="22"/>
                <w:szCs w:val="22"/>
              </w:rPr>
              <w:t>12911</w:t>
            </w:r>
          </w:p>
        </w:tc>
        <w:tc>
          <w:tcPr>
            <w:tcW w:w="0" w:type="auto"/>
          </w:tcPr>
          <w:p w:rsidR="00024B9F" w:rsidRPr="008037D6" w:rsidRDefault="00024B9F" w:rsidP="00EC6E11">
            <w:pPr>
              <w:tabs>
                <w:tab w:val="left" w:pos="360"/>
                <w:tab w:val="left" w:pos="480"/>
                <w:tab w:val="left" w:pos="960"/>
                <w:tab w:val="left" w:pos="1320"/>
                <w:tab w:val="left" w:pos="1800"/>
                <w:tab w:val="left" w:pos="2760"/>
              </w:tabs>
              <w:spacing w:after="120" w:line="240" w:lineRule="exact"/>
              <w:rPr>
                <w:rFonts w:ascii="Calibri" w:hAnsi="Calibri"/>
              </w:rPr>
            </w:pPr>
            <w:r w:rsidRPr="008037D6">
              <w:rPr>
                <w:rFonts w:ascii="Calibri" w:hAnsi="Calibri"/>
                <w:sz w:val="22"/>
                <w:szCs w:val="22"/>
              </w:rPr>
              <w:t>$</w:t>
            </w:r>
            <w:r w:rsidR="00EC6E11">
              <w:rPr>
                <w:rFonts w:ascii="Calibri" w:hAnsi="Calibri"/>
                <w:sz w:val="22"/>
                <w:szCs w:val="22"/>
              </w:rPr>
              <w:t>50.62</w:t>
            </w:r>
          </w:p>
        </w:tc>
        <w:tc>
          <w:tcPr>
            <w:tcW w:w="0" w:type="auto"/>
          </w:tcPr>
          <w:p w:rsidR="00024B9F" w:rsidRPr="008037D6" w:rsidRDefault="00024B9F" w:rsidP="00EC6E11">
            <w:pPr>
              <w:tabs>
                <w:tab w:val="left" w:pos="360"/>
                <w:tab w:val="left" w:pos="480"/>
                <w:tab w:val="left" w:pos="960"/>
                <w:tab w:val="left" w:pos="1320"/>
                <w:tab w:val="left" w:pos="1800"/>
                <w:tab w:val="left" w:pos="2760"/>
              </w:tabs>
              <w:spacing w:after="120" w:line="240" w:lineRule="exact"/>
              <w:rPr>
                <w:rFonts w:ascii="Calibri" w:hAnsi="Calibri"/>
              </w:rPr>
            </w:pPr>
            <w:r w:rsidRPr="008037D6">
              <w:rPr>
                <w:rFonts w:ascii="Calibri" w:hAnsi="Calibri"/>
                <w:sz w:val="22"/>
                <w:szCs w:val="22"/>
              </w:rPr>
              <w:t>$</w:t>
            </w:r>
            <w:r w:rsidR="00EC6E11">
              <w:rPr>
                <w:rFonts w:ascii="Calibri" w:hAnsi="Calibri"/>
                <w:sz w:val="22"/>
                <w:szCs w:val="22"/>
              </w:rPr>
              <w:t>653,555</w:t>
            </w:r>
          </w:p>
        </w:tc>
      </w:tr>
    </w:tbl>
    <w:p w:rsidR="00024B9F" w:rsidRDefault="00024B9F" w:rsidP="00024B9F">
      <w:pPr>
        <w:tabs>
          <w:tab w:val="left" w:pos="360"/>
          <w:tab w:val="left" w:pos="480"/>
          <w:tab w:val="left" w:pos="960"/>
          <w:tab w:val="left" w:pos="1320"/>
          <w:tab w:val="left" w:pos="1800"/>
          <w:tab w:val="left" w:pos="2760"/>
        </w:tabs>
        <w:spacing w:line="240" w:lineRule="exact"/>
        <w:rPr>
          <w:rFonts w:ascii="Courier" w:hAnsi="Courier"/>
        </w:rPr>
      </w:pPr>
    </w:p>
    <w:p w:rsidR="00024B9F" w:rsidRPr="002726C4" w:rsidRDefault="00024B9F" w:rsidP="00024B9F">
      <w:pPr>
        <w:rPr>
          <w:rFonts w:ascii="Calibri" w:hAnsi="Calibri"/>
          <w:color w:val="000000"/>
          <w:sz w:val="22"/>
          <w:szCs w:val="22"/>
        </w:rPr>
      </w:pPr>
      <w:r w:rsidRPr="001C0DCC">
        <w:rPr>
          <w:rFonts w:ascii="Calibri" w:hAnsi="Calibri"/>
          <w:sz w:val="22"/>
          <w:szCs w:val="22"/>
        </w:rPr>
        <w:t xml:space="preserve">In the fourth quarter of 2011, the average hourly total compensation for management, professional, and related employees in private industry was $50.48. </w:t>
      </w:r>
      <w:r w:rsidR="00CA73A3" w:rsidRPr="001C0DCC">
        <w:rPr>
          <w:rFonts w:ascii="Calibri" w:hAnsi="Calibri"/>
          <w:sz w:val="22"/>
          <w:szCs w:val="22"/>
        </w:rPr>
        <w:t>The average hourly total compensation for sales and office employees was $22.39. Thus, a weighted average hourly total compensation rate of $47.39 was derived</w:t>
      </w:r>
      <w:r w:rsidR="00E33E3E" w:rsidRPr="001C0DCC">
        <w:rPr>
          <w:rStyle w:val="FootnoteReference"/>
          <w:rFonts w:ascii="Calibri" w:hAnsi="Calibri"/>
          <w:sz w:val="22"/>
          <w:szCs w:val="22"/>
        </w:rPr>
        <w:footnoteReference w:id="11"/>
      </w:r>
      <w:r w:rsidR="00CA73A3" w:rsidRPr="001C0DCC">
        <w:rPr>
          <w:rFonts w:ascii="Calibri" w:hAnsi="Calibri"/>
          <w:sz w:val="22"/>
          <w:szCs w:val="22"/>
        </w:rPr>
        <w:t>. This weighted average was then updated for the first quarter of 201</w:t>
      </w:r>
      <w:r w:rsidR="00CE7720" w:rsidRPr="001C0DCC">
        <w:rPr>
          <w:rFonts w:ascii="Calibri" w:hAnsi="Calibri"/>
          <w:sz w:val="22"/>
          <w:szCs w:val="22"/>
        </w:rPr>
        <w:t>2</w:t>
      </w:r>
      <w:r w:rsidR="00CA73A3" w:rsidRPr="001C0DCC">
        <w:rPr>
          <w:rFonts w:ascii="Calibri" w:hAnsi="Calibri"/>
          <w:sz w:val="22"/>
          <w:szCs w:val="22"/>
        </w:rPr>
        <w:t xml:space="preserve"> using the percent change in the Employee Cost Index (ECI) of the BLS</w:t>
      </w:r>
      <w:r w:rsidR="00E00B32" w:rsidRPr="001C0DCC">
        <w:rPr>
          <w:rStyle w:val="FootnoteReference"/>
          <w:rFonts w:ascii="Calibri" w:hAnsi="Calibri"/>
          <w:sz w:val="22"/>
          <w:szCs w:val="22"/>
        </w:rPr>
        <w:t>12</w:t>
      </w:r>
      <w:r w:rsidR="00CA73A3" w:rsidRPr="001C0DCC">
        <w:rPr>
          <w:rFonts w:ascii="Calibri" w:hAnsi="Calibri"/>
          <w:sz w:val="22"/>
          <w:szCs w:val="22"/>
        </w:rPr>
        <w:t xml:space="preserve">. Estimates for </w:t>
      </w:r>
      <w:r w:rsidR="00CE7720" w:rsidRPr="001C0DCC">
        <w:rPr>
          <w:rFonts w:ascii="Calibri" w:hAnsi="Calibri"/>
          <w:sz w:val="22"/>
          <w:szCs w:val="22"/>
        </w:rPr>
        <w:t xml:space="preserve">2013, </w:t>
      </w:r>
      <w:r w:rsidR="00CA73A3" w:rsidRPr="001C0DCC">
        <w:rPr>
          <w:rFonts w:ascii="Calibri" w:hAnsi="Calibri"/>
          <w:sz w:val="22"/>
          <w:szCs w:val="22"/>
        </w:rPr>
        <w:t>201</w:t>
      </w:r>
      <w:r w:rsidR="006240A3" w:rsidRPr="001C0DCC">
        <w:rPr>
          <w:rFonts w:ascii="Calibri" w:hAnsi="Calibri"/>
          <w:sz w:val="22"/>
          <w:szCs w:val="22"/>
        </w:rPr>
        <w:t>4</w:t>
      </w:r>
      <w:r w:rsidR="00CE7720" w:rsidRPr="001C0DCC">
        <w:rPr>
          <w:rFonts w:ascii="Calibri" w:hAnsi="Calibri"/>
          <w:sz w:val="22"/>
          <w:szCs w:val="22"/>
        </w:rPr>
        <w:t>,</w:t>
      </w:r>
      <w:r w:rsidR="00CA73A3" w:rsidRPr="001C0DCC">
        <w:rPr>
          <w:rFonts w:ascii="Calibri" w:hAnsi="Calibri"/>
          <w:sz w:val="22"/>
          <w:szCs w:val="22"/>
        </w:rPr>
        <w:t xml:space="preserve"> and 201</w:t>
      </w:r>
      <w:r w:rsidR="006240A3" w:rsidRPr="001C0DCC">
        <w:rPr>
          <w:rFonts w:ascii="Calibri" w:hAnsi="Calibri"/>
          <w:sz w:val="22"/>
          <w:szCs w:val="22"/>
        </w:rPr>
        <w:t>5</w:t>
      </w:r>
      <w:r w:rsidR="00CA73A3" w:rsidRPr="001C0DCC">
        <w:rPr>
          <w:rFonts w:ascii="Calibri" w:hAnsi="Calibri"/>
          <w:sz w:val="22"/>
          <w:szCs w:val="22"/>
        </w:rPr>
        <w:t xml:space="preserve"> were derived by calculating the weighted average percent change in ECI for both categories and applying it to subsequent years</w:t>
      </w:r>
      <w:r w:rsidR="001C0DCC">
        <w:rPr>
          <w:rStyle w:val="FootnoteReference"/>
          <w:rFonts w:ascii="Calibri" w:hAnsi="Calibri"/>
          <w:sz w:val="22"/>
          <w:szCs w:val="22"/>
        </w:rPr>
        <w:footnoteReference w:customMarkFollows="1" w:id="12"/>
        <w:t>13</w:t>
      </w:r>
      <w:r w:rsidR="00CA73A3" w:rsidRPr="001C0DCC">
        <w:rPr>
          <w:rFonts w:ascii="Calibri" w:hAnsi="Calibri"/>
          <w:sz w:val="22"/>
          <w:szCs w:val="22"/>
        </w:rPr>
        <w:t>.</w:t>
      </w:r>
      <w:r w:rsidR="00CA73A3" w:rsidRPr="001C0DCC">
        <w:rPr>
          <w:rFonts w:ascii="Calibri" w:hAnsi="Calibri"/>
          <w:color w:val="000000"/>
          <w:sz w:val="22"/>
          <w:szCs w:val="22"/>
        </w:rPr>
        <w:t>  These numbers would make the hourly total $4</w:t>
      </w:r>
      <w:r w:rsidR="00CE7720" w:rsidRPr="001C0DCC">
        <w:rPr>
          <w:rFonts w:ascii="Calibri" w:hAnsi="Calibri"/>
          <w:color w:val="000000"/>
          <w:sz w:val="22"/>
          <w:szCs w:val="22"/>
        </w:rPr>
        <w:t>8</w:t>
      </w:r>
      <w:r w:rsidR="00CA73A3" w:rsidRPr="001C0DCC">
        <w:rPr>
          <w:rFonts w:ascii="Calibri" w:hAnsi="Calibri"/>
          <w:color w:val="000000"/>
          <w:sz w:val="22"/>
          <w:szCs w:val="22"/>
        </w:rPr>
        <w:t>.54 for 201</w:t>
      </w:r>
      <w:r w:rsidR="006240A3" w:rsidRPr="001C0DCC">
        <w:rPr>
          <w:rFonts w:ascii="Calibri" w:hAnsi="Calibri"/>
          <w:color w:val="000000"/>
          <w:sz w:val="22"/>
          <w:szCs w:val="22"/>
        </w:rPr>
        <w:t>3</w:t>
      </w:r>
      <w:r w:rsidR="00CA73A3" w:rsidRPr="001C0DCC">
        <w:rPr>
          <w:rFonts w:ascii="Calibri" w:hAnsi="Calibri"/>
          <w:color w:val="000000"/>
          <w:sz w:val="22"/>
          <w:szCs w:val="22"/>
        </w:rPr>
        <w:t>, $</w:t>
      </w:r>
      <w:r w:rsidR="00CE7720" w:rsidRPr="001C0DCC">
        <w:rPr>
          <w:rFonts w:ascii="Calibri" w:hAnsi="Calibri"/>
          <w:color w:val="000000"/>
          <w:sz w:val="22"/>
          <w:szCs w:val="22"/>
        </w:rPr>
        <w:t>49.57</w:t>
      </w:r>
      <w:r w:rsidR="00CA73A3" w:rsidRPr="001C0DCC">
        <w:rPr>
          <w:rFonts w:ascii="Calibri" w:hAnsi="Calibri"/>
          <w:color w:val="000000"/>
          <w:sz w:val="22"/>
          <w:szCs w:val="22"/>
        </w:rPr>
        <w:t xml:space="preserve"> for 201</w:t>
      </w:r>
      <w:r w:rsidR="006240A3" w:rsidRPr="001C0DCC">
        <w:rPr>
          <w:rFonts w:ascii="Calibri" w:hAnsi="Calibri"/>
          <w:color w:val="000000"/>
          <w:sz w:val="22"/>
          <w:szCs w:val="22"/>
        </w:rPr>
        <w:t>4</w:t>
      </w:r>
      <w:r w:rsidR="00CA73A3" w:rsidRPr="001C0DCC">
        <w:rPr>
          <w:rFonts w:ascii="Calibri" w:hAnsi="Calibri"/>
          <w:color w:val="000000"/>
          <w:sz w:val="22"/>
          <w:szCs w:val="22"/>
        </w:rPr>
        <w:t>, and $</w:t>
      </w:r>
      <w:r w:rsidR="00CE7720" w:rsidRPr="001C0DCC">
        <w:rPr>
          <w:rFonts w:ascii="Calibri" w:hAnsi="Calibri"/>
          <w:color w:val="000000"/>
          <w:sz w:val="22"/>
          <w:szCs w:val="22"/>
        </w:rPr>
        <w:t>50.62</w:t>
      </w:r>
      <w:r w:rsidR="00CA73A3" w:rsidRPr="001C0DCC">
        <w:rPr>
          <w:rFonts w:ascii="Calibri" w:hAnsi="Calibri"/>
          <w:color w:val="000000"/>
          <w:sz w:val="22"/>
          <w:szCs w:val="22"/>
        </w:rPr>
        <w:t xml:space="preserve"> for 201</w:t>
      </w:r>
      <w:r w:rsidR="006240A3" w:rsidRPr="001C0DCC">
        <w:rPr>
          <w:rFonts w:ascii="Calibri" w:hAnsi="Calibri"/>
          <w:color w:val="000000"/>
          <w:sz w:val="22"/>
          <w:szCs w:val="22"/>
        </w:rPr>
        <w:t>5</w:t>
      </w:r>
      <w:r w:rsidR="00CA73A3" w:rsidRPr="001C0DCC">
        <w:rPr>
          <w:rFonts w:ascii="Calibri" w:hAnsi="Calibri"/>
          <w:color w:val="000000"/>
          <w:sz w:val="22"/>
          <w:szCs w:val="22"/>
        </w:rPr>
        <w:t>.</w:t>
      </w:r>
    </w:p>
    <w:p w:rsidR="00024B9F" w:rsidRDefault="00024B9F" w:rsidP="00024B9F">
      <w:pPr>
        <w:rPr>
          <w:rFonts w:ascii="Calibri" w:hAnsi="Calibri"/>
          <w:b/>
          <w:color w:val="000000"/>
          <w:sz w:val="22"/>
          <w:szCs w:val="22"/>
        </w:rPr>
      </w:pPr>
    </w:p>
    <w:p w:rsidR="00024B9F" w:rsidRPr="00644CC0" w:rsidRDefault="00024B9F" w:rsidP="00024B9F">
      <w:pPr>
        <w:rPr>
          <w:rFonts w:ascii="Calibri" w:hAnsi="Calibri"/>
          <w:b/>
          <w:color w:val="000000"/>
          <w:sz w:val="22"/>
          <w:szCs w:val="22"/>
        </w:rPr>
      </w:pPr>
      <w:r w:rsidRPr="00644CC0">
        <w:rPr>
          <w:rFonts w:ascii="Calibri" w:hAnsi="Calibri"/>
          <w:b/>
          <w:color w:val="000000"/>
          <w:sz w:val="22"/>
          <w:szCs w:val="22"/>
        </w:rPr>
        <w:t>13.</w:t>
      </w:r>
      <w:r w:rsidRPr="00644CC0">
        <w:rPr>
          <w:rFonts w:ascii="Calibri" w:hAnsi="Calibri"/>
          <w:b/>
          <w:color w:val="000000"/>
          <w:sz w:val="22"/>
          <w:szCs w:val="22"/>
        </w:rPr>
        <w:tab/>
        <w:t xml:space="preserve">Total Annual Cost to </w:t>
      </w:r>
      <w:r>
        <w:rPr>
          <w:rFonts w:ascii="Calibri" w:hAnsi="Calibri"/>
          <w:b/>
          <w:color w:val="000000"/>
          <w:sz w:val="22"/>
          <w:szCs w:val="22"/>
        </w:rPr>
        <w:t>Respondent</w:t>
      </w:r>
      <w:r w:rsidRPr="00644CC0">
        <w:rPr>
          <w:rFonts w:ascii="Calibri" w:hAnsi="Calibri"/>
          <w:b/>
          <w:color w:val="000000"/>
          <w:sz w:val="22"/>
          <w:szCs w:val="22"/>
        </w:rPr>
        <w:t>s</w:t>
      </w:r>
    </w:p>
    <w:p w:rsidR="00024B9F" w:rsidRPr="00644CC0" w:rsidRDefault="00024B9F" w:rsidP="00024B9F">
      <w:pPr>
        <w:rPr>
          <w:rFonts w:ascii="Calibri" w:hAnsi="Calibri"/>
          <w:b/>
          <w:color w:val="000000"/>
          <w:sz w:val="22"/>
          <w:szCs w:val="22"/>
        </w:rPr>
      </w:pPr>
    </w:p>
    <w:p w:rsidR="00024B9F" w:rsidRDefault="00024B9F" w:rsidP="00024B9F">
      <w:pPr>
        <w:rPr>
          <w:rFonts w:ascii="Calibri" w:hAnsi="Calibri"/>
          <w:b/>
          <w:color w:val="000000"/>
          <w:sz w:val="22"/>
          <w:szCs w:val="22"/>
        </w:rPr>
      </w:pPr>
      <w:r w:rsidRPr="00644CC0">
        <w:rPr>
          <w:rFonts w:ascii="Calibri" w:hAnsi="Calibri"/>
          <w:sz w:val="22"/>
          <w:szCs w:val="22"/>
        </w:rPr>
        <w:t xml:space="preserve">Since the IPP offers mailout/fax-back collection, </w:t>
      </w:r>
      <w:r>
        <w:rPr>
          <w:rFonts w:ascii="Calibri" w:hAnsi="Calibri"/>
          <w:sz w:val="22"/>
          <w:szCs w:val="22"/>
        </w:rPr>
        <w:t>respondent</w:t>
      </w:r>
      <w:r w:rsidRPr="00644CC0">
        <w:rPr>
          <w:rFonts w:ascii="Calibri" w:hAnsi="Calibri"/>
          <w:sz w:val="22"/>
          <w:szCs w:val="22"/>
        </w:rPr>
        <w:t xml:space="preserve">s need no special equipment or technology for collection of this information; the company’s methods for maintaining its records are incidental to the IPP survey.  </w:t>
      </w:r>
      <w:r>
        <w:rPr>
          <w:rFonts w:ascii="Calibri" w:hAnsi="Calibri"/>
          <w:sz w:val="22"/>
          <w:szCs w:val="22"/>
        </w:rPr>
        <w:t>Respondent</w:t>
      </w:r>
      <w:r w:rsidRPr="00644CC0">
        <w:rPr>
          <w:rFonts w:ascii="Calibri" w:hAnsi="Calibri"/>
          <w:sz w:val="22"/>
          <w:szCs w:val="22"/>
        </w:rPr>
        <w:t>s’ total annual capital costs (both the total capital and start-up cost component and the total operation and maintenance and purchase of services component) relative to the IPP survey are $0.</w:t>
      </w:r>
    </w:p>
    <w:p w:rsidR="00024B9F" w:rsidRPr="00644CC0" w:rsidRDefault="00024B9F" w:rsidP="00024B9F">
      <w:pPr>
        <w:rPr>
          <w:rFonts w:ascii="Calibri" w:hAnsi="Calibri"/>
          <w:b/>
          <w:color w:val="000000"/>
          <w:sz w:val="22"/>
          <w:szCs w:val="22"/>
        </w:rPr>
      </w:pPr>
    </w:p>
    <w:p w:rsidR="00024B9F" w:rsidRPr="00644CC0" w:rsidRDefault="00024B9F" w:rsidP="00024B9F">
      <w:pPr>
        <w:rPr>
          <w:rFonts w:ascii="Calibri" w:hAnsi="Calibri"/>
          <w:b/>
          <w:color w:val="000000"/>
          <w:sz w:val="22"/>
          <w:szCs w:val="22"/>
        </w:rPr>
      </w:pPr>
      <w:r w:rsidRPr="00644CC0">
        <w:rPr>
          <w:rFonts w:ascii="Calibri" w:hAnsi="Calibri"/>
          <w:b/>
          <w:color w:val="000000"/>
          <w:sz w:val="22"/>
          <w:szCs w:val="22"/>
        </w:rPr>
        <w:t>14.</w:t>
      </w:r>
      <w:r w:rsidRPr="00644CC0">
        <w:rPr>
          <w:rFonts w:ascii="Calibri" w:hAnsi="Calibri"/>
          <w:b/>
          <w:color w:val="000000"/>
          <w:sz w:val="22"/>
          <w:szCs w:val="22"/>
        </w:rPr>
        <w:tab/>
        <w:t>Total Annual Cost to Federal Government</w:t>
      </w:r>
    </w:p>
    <w:p w:rsidR="00024B9F" w:rsidRPr="00644CC0" w:rsidRDefault="00024B9F" w:rsidP="00024B9F">
      <w:pPr>
        <w:rPr>
          <w:rFonts w:ascii="Calibri" w:hAnsi="Calibri"/>
          <w:b/>
          <w:color w:val="000000"/>
          <w:sz w:val="22"/>
          <w:szCs w:val="22"/>
        </w:rPr>
      </w:pPr>
    </w:p>
    <w:p w:rsidR="00024B9F" w:rsidRPr="00644CC0" w:rsidRDefault="00024B9F" w:rsidP="00024B9F">
      <w:pPr>
        <w:rPr>
          <w:rFonts w:ascii="Calibri" w:hAnsi="Calibri"/>
          <w:b/>
          <w:color w:val="000000"/>
          <w:sz w:val="22"/>
          <w:szCs w:val="22"/>
        </w:rPr>
      </w:pPr>
      <w:r w:rsidRPr="00644CC0">
        <w:rPr>
          <w:rFonts w:ascii="Calibri" w:hAnsi="Calibri"/>
          <w:sz w:val="22"/>
          <w:szCs w:val="22"/>
        </w:rPr>
        <w:t>For FY 20</w:t>
      </w:r>
      <w:r>
        <w:rPr>
          <w:rFonts w:ascii="Calibri" w:hAnsi="Calibri"/>
          <w:sz w:val="22"/>
          <w:szCs w:val="22"/>
        </w:rPr>
        <w:t>12</w:t>
      </w:r>
      <w:r w:rsidRPr="00644CC0">
        <w:rPr>
          <w:rFonts w:ascii="Calibri" w:hAnsi="Calibri"/>
          <w:sz w:val="22"/>
          <w:szCs w:val="22"/>
        </w:rPr>
        <w:t xml:space="preserve">, the collection and publication of data for the IPP Survey (both imports and exports) will cost approximately </w:t>
      </w:r>
      <w:r>
        <w:rPr>
          <w:rFonts w:ascii="Calibri" w:hAnsi="Calibri"/>
          <w:color w:val="000000"/>
          <w:sz w:val="22"/>
          <w:szCs w:val="22"/>
        </w:rPr>
        <w:t>20</w:t>
      </w:r>
      <w:r w:rsidRPr="00644CC0">
        <w:rPr>
          <w:rFonts w:ascii="Calibri" w:hAnsi="Calibri"/>
          <w:color w:val="000000"/>
          <w:sz w:val="22"/>
          <w:szCs w:val="22"/>
        </w:rPr>
        <w:t xml:space="preserve"> million.</w:t>
      </w:r>
      <w:r w:rsidRPr="00644CC0">
        <w:rPr>
          <w:rFonts w:ascii="Calibri" w:hAnsi="Calibri"/>
          <w:sz w:val="22"/>
          <w:szCs w:val="22"/>
        </w:rPr>
        <w:t xml:space="preserve">  </w:t>
      </w:r>
    </w:p>
    <w:p w:rsidR="00024B9F" w:rsidRPr="00644CC0" w:rsidRDefault="00024B9F" w:rsidP="00024B9F">
      <w:pPr>
        <w:rPr>
          <w:rFonts w:ascii="Calibri" w:hAnsi="Calibri"/>
          <w:b/>
          <w:color w:val="000000"/>
          <w:sz w:val="22"/>
          <w:szCs w:val="22"/>
        </w:rPr>
      </w:pPr>
    </w:p>
    <w:p w:rsidR="00024B9F" w:rsidRPr="00644CC0" w:rsidRDefault="00024B9F" w:rsidP="00024B9F">
      <w:pPr>
        <w:rPr>
          <w:rFonts w:ascii="Calibri" w:hAnsi="Calibri"/>
          <w:b/>
          <w:color w:val="000000"/>
          <w:sz w:val="22"/>
          <w:szCs w:val="22"/>
        </w:rPr>
      </w:pPr>
      <w:r w:rsidRPr="00644CC0">
        <w:rPr>
          <w:rFonts w:ascii="Calibri" w:hAnsi="Calibri"/>
          <w:b/>
          <w:color w:val="000000"/>
          <w:sz w:val="22"/>
          <w:szCs w:val="22"/>
        </w:rPr>
        <w:lastRenderedPageBreak/>
        <w:t>15.</w:t>
      </w:r>
      <w:r w:rsidRPr="00644CC0">
        <w:rPr>
          <w:rFonts w:ascii="Calibri" w:hAnsi="Calibri"/>
          <w:b/>
          <w:color w:val="000000"/>
          <w:sz w:val="22"/>
          <w:szCs w:val="22"/>
        </w:rPr>
        <w:tab/>
        <w:t xml:space="preserve">Explanation of Changes in </w:t>
      </w:r>
      <w:r>
        <w:rPr>
          <w:rFonts w:ascii="Calibri" w:hAnsi="Calibri"/>
          <w:b/>
          <w:color w:val="000000"/>
          <w:sz w:val="22"/>
          <w:szCs w:val="22"/>
        </w:rPr>
        <w:t>Respondent</w:t>
      </w:r>
      <w:r w:rsidRPr="00644CC0">
        <w:rPr>
          <w:rFonts w:ascii="Calibri" w:hAnsi="Calibri"/>
          <w:b/>
          <w:color w:val="000000"/>
          <w:sz w:val="22"/>
          <w:szCs w:val="22"/>
        </w:rPr>
        <w:t xml:space="preserve"> Burden</w:t>
      </w:r>
    </w:p>
    <w:p w:rsidR="00024B9F" w:rsidRPr="00644CC0" w:rsidRDefault="00024B9F" w:rsidP="00024B9F">
      <w:pPr>
        <w:rPr>
          <w:rFonts w:ascii="Calibri" w:hAnsi="Calibri"/>
          <w:b/>
          <w:color w:val="000000"/>
          <w:sz w:val="22"/>
          <w:szCs w:val="22"/>
        </w:rPr>
      </w:pPr>
    </w:p>
    <w:p w:rsidR="00024B9F" w:rsidRPr="00644CC0" w:rsidRDefault="00024B9F" w:rsidP="00024B9F">
      <w:pPr>
        <w:rPr>
          <w:rFonts w:ascii="Calibri" w:hAnsi="Calibri"/>
          <w:b/>
          <w:color w:val="000000"/>
          <w:sz w:val="22"/>
          <w:szCs w:val="22"/>
        </w:rPr>
      </w:pPr>
      <w:r>
        <w:rPr>
          <w:rFonts w:ascii="Calibri" w:hAnsi="Calibri"/>
          <w:sz w:val="22"/>
          <w:szCs w:val="22"/>
        </w:rPr>
        <w:t xml:space="preserve">Respondent burden has declined due to a decrease in the estimated average repricing response time per item.  The lower estimate is the result of the increased use of web repricing (82% of IPP respondents now reprice via the web) and is based upon internal testing.  This estimate may be revised as IPP plans to conduct further testing.  Web repricing in general, results in less follow-up from the National Office since the application prompts for explanatory comments for large price changes and replacements for discontinued items.  Many respondents have also found web repricing to be an easier and more convenient method for providing price information (as has been reported to Industry Analysts).  </w:t>
      </w:r>
    </w:p>
    <w:p w:rsidR="00024B9F" w:rsidRPr="00767CDB" w:rsidRDefault="00024B9F" w:rsidP="00024B9F">
      <w:pPr>
        <w:rPr>
          <w:rFonts w:ascii="Verdana" w:hAnsi="Verdana"/>
          <w:b/>
          <w:color w:val="000000"/>
          <w:sz w:val="20"/>
          <w:szCs w:val="20"/>
        </w:rPr>
      </w:pPr>
    </w:p>
    <w:p w:rsidR="00024B9F" w:rsidRPr="00644CC0" w:rsidRDefault="00024B9F" w:rsidP="00024B9F">
      <w:pPr>
        <w:rPr>
          <w:rFonts w:ascii="Calibri" w:hAnsi="Calibri"/>
          <w:b/>
          <w:color w:val="000000"/>
          <w:sz w:val="22"/>
          <w:szCs w:val="22"/>
        </w:rPr>
      </w:pPr>
      <w:r w:rsidRPr="00644CC0">
        <w:rPr>
          <w:rFonts w:ascii="Calibri" w:hAnsi="Calibri"/>
          <w:b/>
          <w:color w:val="000000"/>
          <w:sz w:val="22"/>
          <w:szCs w:val="22"/>
        </w:rPr>
        <w:t>16.</w:t>
      </w:r>
      <w:r w:rsidRPr="00644CC0">
        <w:rPr>
          <w:rFonts w:ascii="Calibri" w:hAnsi="Calibri"/>
          <w:b/>
          <w:color w:val="000000"/>
          <w:sz w:val="22"/>
          <w:szCs w:val="22"/>
        </w:rPr>
        <w:tab/>
        <w:t xml:space="preserve">Publication of </w:t>
      </w:r>
      <w:smartTag w:uri="urn:schemas-microsoft-com:office:smarttags" w:element="place">
        <w:smartTag w:uri="urn:schemas-microsoft-com:office:smarttags" w:element="country-region">
          <w:r w:rsidRPr="00644CC0">
            <w:rPr>
              <w:rFonts w:ascii="Calibri" w:hAnsi="Calibri"/>
              <w:b/>
              <w:color w:val="000000"/>
              <w:sz w:val="22"/>
              <w:szCs w:val="22"/>
            </w:rPr>
            <w:t>U.S.</w:t>
          </w:r>
        </w:smartTag>
      </w:smartTag>
      <w:r w:rsidRPr="00644CC0">
        <w:rPr>
          <w:rFonts w:ascii="Calibri" w:hAnsi="Calibri"/>
          <w:b/>
          <w:color w:val="000000"/>
          <w:sz w:val="22"/>
          <w:szCs w:val="22"/>
        </w:rPr>
        <w:t xml:space="preserve"> Import and Export Price Indexes</w:t>
      </w:r>
    </w:p>
    <w:p w:rsidR="00024B9F" w:rsidRPr="00644CC0" w:rsidRDefault="00024B9F" w:rsidP="00024B9F">
      <w:pPr>
        <w:tabs>
          <w:tab w:val="left" w:pos="360"/>
          <w:tab w:val="left" w:pos="480"/>
          <w:tab w:val="left" w:pos="960"/>
          <w:tab w:val="left" w:pos="1170"/>
          <w:tab w:val="left" w:pos="1320"/>
          <w:tab w:val="left" w:pos="1800"/>
          <w:tab w:val="left" w:pos="2760"/>
        </w:tabs>
        <w:rPr>
          <w:rFonts w:ascii="Calibri" w:hAnsi="Calibri"/>
          <w:b/>
          <w:color w:val="000000"/>
          <w:sz w:val="22"/>
          <w:szCs w:val="22"/>
        </w:rPr>
      </w:pPr>
    </w:p>
    <w:p w:rsidR="00024B9F" w:rsidRPr="00644CC0" w:rsidRDefault="00024B9F" w:rsidP="00024B9F">
      <w:pPr>
        <w:tabs>
          <w:tab w:val="left" w:pos="360"/>
          <w:tab w:val="left" w:pos="480"/>
          <w:tab w:val="left" w:pos="960"/>
          <w:tab w:val="left" w:pos="1170"/>
          <w:tab w:val="left" w:pos="1320"/>
          <w:tab w:val="left" w:pos="1800"/>
          <w:tab w:val="left" w:pos="2760"/>
        </w:tabs>
        <w:rPr>
          <w:rFonts w:ascii="Calibri" w:hAnsi="Calibri"/>
          <w:sz w:val="22"/>
          <w:szCs w:val="22"/>
        </w:rPr>
      </w:pPr>
      <w:r w:rsidRPr="00644CC0">
        <w:rPr>
          <w:rFonts w:ascii="Calibri" w:hAnsi="Calibri"/>
          <w:sz w:val="22"/>
          <w:szCs w:val="22"/>
        </w:rPr>
        <w:t xml:space="preserve">The merchandise price indexes are published using three different classification systems:  the Harmonized System (HS), the Bureau of Economic Analysis End Use System (End Use), and the Foreign Trade North American Industry Classification System (NAICS).  </w:t>
      </w:r>
      <w:r w:rsidR="00BE0C59">
        <w:rPr>
          <w:rFonts w:ascii="Calibri" w:hAnsi="Calibri"/>
          <w:sz w:val="22"/>
          <w:szCs w:val="22"/>
        </w:rPr>
        <w:t>S</w:t>
      </w:r>
      <w:r w:rsidR="00BE0C59" w:rsidRPr="00644CC0">
        <w:rPr>
          <w:rFonts w:ascii="Calibri" w:hAnsi="Calibri"/>
          <w:sz w:val="22"/>
          <w:szCs w:val="22"/>
        </w:rPr>
        <w:t>ince services are not covered in the published classification systems used for merchandise trade</w:t>
      </w:r>
      <w:r w:rsidR="00BE0C59">
        <w:rPr>
          <w:rFonts w:ascii="Calibri" w:hAnsi="Calibri"/>
          <w:sz w:val="22"/>
          <w:szCs w:val="22"/>
        </w:rPr>
        <w:t>,</w:t>
      </w:r>
      <w:r w:rsidR="00BE0C59" w:rsidRPr="00644CC0">
        <w:rPr>
          <w:rFonts w:ascii="Calibri" w:hAnsi="Calibri"/>
          <w:sz w:val="22"/>
          <w:szCs w:val="22"/>
        </w:rPr>
        <w:t xml:space="preserve"> </w:t>
      </w:r>
      <w:r w:rsidRPr="00644CC0">
        <w:rPr>
          <w:rFonts w:ascii="Calibri" w:hAnsi="Calibri"/>
          <w:sz w:val="22"/>
          <w:szCs w:val="22"/>
        </w:rPr>
        <w:t>Price indexes for internationally traded services are published using two other definitions</w:t>
      </w:r>
      <w:r w:rsidR="00BE0C59">
        <w:rPr>
          <w:rFonts w:ascii="Calibri" w:hAnsi="Calibri"/>
          <w:sz w:val="22"/>
          <w:szCs w:val="22"/>
        </w:rPr>
        <w:t>:</w:t>
      </w:r>
      <w:r w:rsidRPr="00644CC0">
        <w:rPr>
          <w:rFonts w:ascii="Calibri" w:hAnsi="Calibri"/>
          <w:sz w:val="22"/>
          <w:szCs w:val="22"/>
        </w:rPr>
        <w:t xml:space="preserve"> the Balance of Payments (BOP), which represents transactions between U.S. and foreign residents; and International services indexes, which represent transactions “inbound to” and “outbound from” the U.S.</w:t>
      </w:r>
    </w:p>
    <w:p w:rsidR="00024B9F" w:rsidRPr="00767CDB" w:rsidRDefault="00024B9F" w:rsidP="00024B9F">
      <w:pPr>
        <w:tabs>
          <w:tab w:val="left" w:pos="360"/>
          <w:tab w:val="left" w:pos="480"/>
          <w:tab w:val="left" w:pos="960"/>
          <w:tab w:val="left" w:pos="1320"/>
          <w:tab w:val="left" w:pos="1800"/>
          <w:tab w:val="left" w:pos="2760"/>
        </w:tabs>
        <w:rPr>
          <w:rFonts w:ascii="Verdana" w:hAnsi="Verdana"/>
          <w:sz w:val="20"/>
          <w:szCs w:val="20"/>
        </w:rPr>
      </w:pPr>
    </w:p>
    <w:p w:rsidR="00024B9F" w:rsidRPr="00644CC0" w:rsidRDefault="00024B9F" w:rsidP="00024B9F">
      <w:pPr>
        <w:tabs>
          <w:tab w:val="left" w:pos="360"/>
          <w:tab w:val="left" w:pos="480"/>
          <w:tab w:val="left" w:pos="960"/>
          <w:tab w:val="left" w:pos="1320"/>
          <w:tab w:val="left" w:pos="1800"/>
          <w:tab w:val="left" w:pos="2760"/>
        </w:tabs>
        <w:rPr>
          <w:rFonts w:ascii="Calibri" w:hAnsi="Calibri"/>
          <w:sz w:val="22"/>
          <w:szCs w:val="22"/>
        </w:rPr>
      </w:pPr>
      <w:r w:rsidRPr="00644CC0">
        <w:rPr>
          <w:rFonts w:ascii="Calibri" w:hAnsi="Calibri"/>
          <w:sz w:val="22"/>
          <w:szCs w:val="22"/>
        </w:rPr>
        <w:t>The HS system is also used for sampling, weighting, and the collection of data. Each published product group is composed of classification groups, constructed from homogeneous or related product categories in the Harmonized TSUSA or Schedule B classifications. Index aggregation weights are now revised on a yearly basis which reflects the constantly changing patterns of international trade</w:t>
      </w:r>
      <w:r w:rsidR="00BE0C59">
        <w:rPr>
          <w:rFonts w:ascii="Calibri" w:hAnsi="Calibri"/>
          <w:sz w:val="22"/>
          <w:szCs w:val="22"/>
        </w:rPr>
        <w:t xml:space="preserve"> </w:t>
      </w:r>
      <w:r w:rsidR="00BE0C59" w:rsidRPr="00644CC0">
        <w:rPr>
          <w:rFonts w:ascii="Calibri" w:hAnsi="Calibri"/>
          <w:sz w:val="22"/>
          <w:szCs w:val="22"/>
        </w:rPr>
        <w:t>more accurately</w:t>
      </w:r>
      <w:r w:rsidRPr="00644CC0">
        <w:rPr>
          <w:rFonts w:ascii="Calibri" w:hAnsi="Calibri"/>
          <w:sz w:val="22"/>
          <w:szCs w:val="22"/>
        </w:rPr>
        <w:t>.  For the IPP’s goods indexes, the aggregation weights at the stratum</w:t>
      </w:r>
      <w:r w:rsidR="00CB3D01">
        <w:rPr>
          <w:rStyle w:val="FootnoteReference"/>
          <w:rFonts w:ascii="Calibri" w:hAnsi="Calibri"/>
          <w:sz w:val="22"/>
          <w:szCs w:val="22"/>
        </w:rPr>
        <w:footnoteReference w:customMarkFollows="1" w:id="13"/>
        <w:t>14</w:t>
      </w:r>
      <w:r w:rsidRPr="00644CC0">
        <w:rPr>
          <w:rFonts w:ascii="Calibri" w:hAnsi="Calibri"/>
          <w:sz w:val="22"/>
          <w:szCs w:val="22"/>
        </w:rPr>
        <w:t xml:space="preserve">and detailed classification group levels consist of the universe trade dollar value totals that are published by the Bureau of the Census.  Changes affecting the weights of </w:t>
      </w:r>
      <w:r>
        <w:rPr>
          <w:rFonts w:ascii="Calibri" w:hAnsi="Calibri"/>
          <w:sz w:val="22"/>
          <w:szCs w:val="22"/>
        </w:rPr>
        <w:t>products</w:t>
      </w:r>
      <w:r w:rsidRPr="00644CC0">
        <w:rPr>
          <w:rFonts w:ascii="Calibri" w:hAnsi="Calibri"/>
          <w:sz w:val="22"/>
          <w:szCs w:val="22"/>
        </w:rPr>
        <w:t xml:space="preserve"> in the basket of goods bought and sold in foreign markets are now made every January, beginning in 2004, and reflect shifts in trade patterns from two years earlier.  All  Services indexes are now also reweighted each January and reflect shifts in trade patterns from two years earlier.  The IPP began annual reweighting of Air Passenger Indexes in January 2007 and of Air Freight Indexes in January 2009.</w:t>
      </w:r>
    </w:p>
    <w:p w:rsidR="00024B9F" w:rsidRPr="00644CC0" w:rsidRDefault="00024B9F" w:rsidP="00024B9F">
      <w:pPr>
        <w:tabs>
          <w:tab w:val="left" w:pos="360"/>
          <w:tab w:val="left" w:pos="480"/>
          <w:tab w:val="left" w:pos="960"/>
          <w:tab w:val="left" w:pos="1320"/>
          <w:tab w:val="left" w:pos="1800"/>
          <w:tab w:val="left" w:pos="2760"/>
        </w:tabs>
        <w:spacing w:before="120"/>
        <w:rPr>
          <w:rFonts w:ascii="Calibri" w:hAnsi="Calibri"/>
          <w:sz w:val="22"/>
          <w:szCs w:val="22"/>
        </w:rPr>
      </w:pPr>
      <w:r>
        <w:rPr>
          <w:rFonts w:ascii="Calibri" w:hAnsi="Calibri"/>
          <w:sz w:val="22"/>
          <w:szCs w:val="22"/>
        </w:rPr>
        <w:t>Repricing forms</w:t>
      </w:r>
      <w:r w:rsidRPr="00644CC0">
        <w:rPr>
          <w:rFonts w:ascii="Calibri" w:hAnsi="Calibri"/>
          <w:sz w:val="22"/>
          <w:szCs w:val="22"/>
        </w:rPr>
        <w:t xml:space="preserve"> can be mailed to </w:t>
      </w:r>
      <w:r>
        <w:rPr>
          <w:rFonts w:ascii="Calibri" w:hAnsi="Calibri"/>
          <w:sz w:val="22"/>
          <w:szCs w:val="22"/>
        </w:rPr>
        <w:t>respondent</w:t>
      </w:r>
      <w:r w:rsidRPr="00644CC0">
        <w:rPr>
          <w:rFonts w:ascii="Calibri" w:hAnsi="Calibri"/>
          <w:sz w:val="22"/>
          <w:szCs w:val="22"/>
        </w:rPr>
        <w:t>s who are using the mailout/fax-back collection as early as one business day prior to the first day of the pricing month but no later than the first week of the pricing</w:t>
      </w:r>
      <w:r>
        <w:rPr>
          <w:rFonts w:ascii="Calibri" w:hAnsi="Calibri"/>
          <w:sz w:val="22"/>
          <w:szCs w:val="22"/>
        </w:rPr>
        <w:t xml:space="preserve"> month</w:t>
      </w:r>
      <w:r w:rsidRPr="00644CC0">
        <w:rPr>
          <w:rFonts w:ascii="Calibri" w:hAnsi="Calibri"/>
          <w:sz w:val="22"/>
          <w:szCs w:val="22"/>
        </w:rPr>
        <w:t>.</w:t>
      </w:r>
      <w:r>
        <w:rPr>
          <w:rFonts w:ascii="Calibri" w:hAnsi="Calibri"/>
          <w:sz w:val="22"/>
          <w:szCs w:val="22"/>
        </w:rPr>
        <w:t xml:space="preserve">  (Attachment 7A is a sample repricing form and Attachment 7B is the insert included with all mailed repricing forms.) </w:t>
      </w:r>
      <w:r w:rsidRPr="00644CC0">
        <w:rPr>
          <w:rFonts w:ascii="Calibri" w:hAnsi="Calibri"/>
          <w:sz w:val="22"/>
          <w:szCs w:val="22"/>
        </w:rPr>
        <w:t xml:space="preserve">  </w:t>
      </w:r>
      <w:r>
        <w:rPr>
          <w:rFonts w:ascii="Calibri" w:hAnsi="Calibri"/>
          <w:sz w:val="22"/>
          <w:szCs w:val="22"/>
        </w:rPr>
        <w:t>Respondent</w:t>
      </w:r>
      <w:r w:rsidRPr="00644CC0">
        <w:rPr>
          <w:rFonts w:ascii="Calibri" w:hAnsi="Calibri"/>
          <w:sz w:val="22"/>
          <w:szCs w:val="22"/>
        </w:rPr>
        <w:t xml:space="preserve">s providing data via the web receive a notification to reprice on the second business </w:t>
      </w:r>
      <w:r>
        <w:rPr>
          <w:rFonts w:ascii="Calibri" w:hAnsi="Calibri"/>
          <w:sz w:val="22"/>
          <w:szCs w:val="22"/>
        </w:rPr>
        <w:t>day of the reference month (</w:t>
      </w:r>
      <w:r w:rsidRPr="00644CC0">
        <w:rPr>
          <w:rFonts w:ascii="Calibri" w:hAnsi="Calibri"/>
          <w:sz w:val="22"/>
          <w:szCs w:val="22"/>
        </w:rPr>
        <w:t>Attachment 8B).  Data collection continues for five weeks; the indexes are released approximately one week later.  Schedules which are sent to the Regional Offices for initiation may remain in the Regional Offices for up to a year.</w:t>
      </w:r>
    </w:p>
    <w:p w:rsidR="00024B9F" w:rsidRDefault="00024B9F" w:rsidP="00024B9F">
      <w:pPr>
        <w:tabs>
          <w:tab w:val="left" w:pos="360"/>
          <w:tab w:val="left" w:pos="480"/>
          <w:tab w:val="left" w:pos="960"/>
          <w:tab w:val="left" w:pos="1320"/>
          <w:tab w:val="left" w:pos="1800"/>
          <w:tab w:val="left" w:pos="2760"/>
        </w:tabs>
        <w:spacing w:before="120"/>
        <w:rPr>
          <w:rFonts w:ascii="Calibri" w:hAnsi="Calibri"/>
          <w:sz w:val="22"/>
          <w:szCs w:val="22"/>
        </w:rPr>
      </w:pPr>
      <w:r w:rsidRPr="00644CC0">
        <w:rPr>
          <w:rFonts w:ascii="Calibri" w:hAnsi="Calibri"/>
          <w:sz w:val="22"/>
          <w:szCs w:val="22"/>
        </w:rPr>
        <w:t>The IPP data are published in a monthly news release that inc</w:t>
      </w:r>
      <w:r>
        <w:rPr>
          <w:rFonts w:ascii="Calibri" w:hAnsi="Calibri"/>
          <w:sz w:val="22"/>
          <w:szCs w:val="22"/>
        </w:rPr>
        <w:t>l</w:t>
      </w:r>
      <w:r w:rsidRPr="00644CC0">
        <w:rPr>
          <w:rFonts w:ascii="Calibri" w:hAnsi="Calibri"/>
          <w:sz w:val="22"/>
          <w:szCs w:val="22"/>
        </w:rPr>
        <w:t>udes a description of some of the highlights of import and export price movements over the past month</w:t>
      </w:r>
      <w:r>
        <w:rPr>
          <w:rFonts w:ascii="Calibri" w:hAnsi="Calibri"/>
          <w:sz w:val="22"/>
          <w:szCs w:val="22"/>
        </w:rPr>
        <w:t xml:space="preserve">.  </w:t>
      </w:r>
      <w:r w:rsidRPr="00644CC0">
        <w:rPr>
          <w:rFonts w:ascii="Calibri" w:hAnsi="Calibri"/>
          <w:sz w:val="22"/>
          <w:szCs w:val="22"/>
        </w:rPr>
        <w:t>The release also includes tables that detail aggregate price indexes for each of the published classification systems.</w:t>
      </w:r>
      <w:r>
        <w:rPr>
          <w:rFonts w:ascii="Calibri" w:hAnsi="Calibri"/>
          <w:sz w:val="22"/>
          <w:szCs w:val="22"/>
        </w:rPr>
        <w:t xml:space="preserve">  (An IPP news release is included as Attachment 16.)</w:t>
      </w:r>
      <w:r w:rsidRPr="00644CC0">
        <w:rPr>
          <w:rFonts w:ascii="Calibri" w:hAnsi="Calibri"/>
          <w:sz w:val="22"/>
          <w:szCs w:val="22"/>
        </w:rPr>
        <w:t xml:space="preserve">  </w:t>
      </w:r>
      <w:r>
        <w:rPr>
          <w:rFonts w:ascii="Calibri" w:hAnsi="Calibri"/>
          <w:sz w:val="22"/>
          <w:szCs w:val="22"/>
        </w:rPr>
        <w:t xml:space="preserve">The release dates are announced in July of the previous year and are available online at </w:t>
      </w:r>
      <w:hyperlink r:id="rId9" w:history="1">
        <w:r w:rsidRPr="00AC1E9F">
          <w:rPr>
            <w:rStyle w:val="Hyperlink"/>
            <w:rFonts w:ascii="Calibri" w:hAnsi="Calibri"/>
            <w:sz w:val="22"/>
            <w:szCs w:val="22"/>
          </w:rPr>
          <w:t>http://www.bls.gov/schedule/news_release/ximpim.htm</w:t>
        </w:r>
      </w:hyperlink>
      <w:r>
        <w:rPr>
          <w:rFonts w:ascii="Calibri" w:hAnsi="Calibri"/>
          <w:sz w:val="22"/>
          <w:szCs w:val="22"/>
        </w:rPr>
        <w:t xml:space="preserve">.   </w:t>
      </w:r>
      <w:r w:rsidRPr="00644CC0">
        <w:rPr>
          <w:rFonts w:ascii="Calibri" w:hAnsi="Calibri"/>
          <w:sz w:val="22"/>
          <w:szCs w:val="22"/>
        </w:rPr>
        <w:t xml:space="preserve">In addition to the news release, the IPP publishes more detailed tables that contain indexes and percent changes over the past </w:t>
      </w:r>
      <w:r w:rsidRPr="00644CC0">
        <w:rPr>
          <w:rFonts w:ascii="Calibri" w:hAnsi="Calibri"/>
          <w:sz w:val="22"/>
          <w:szCs w:val="22"/>
        </w:rPr>
        <w:lastRenderedPageBreak/>
        <w:t xml:space="preserve">four months for each of the program’s published indexes.  The IPP also offers full historical tables that show the index values for each published stratum dating back to when the series was first published.  IPP outputs are available to the public by e-mail (using the BLS News Service) or on the internet. Detailed analyses using international prices are also published periodically in the </w:t>
      </w:r>
      <w:r w:rsidRPr="00644CC0">
        <w:rPr>
          <w:rFonts w:ascii="Calibri" w:hAnsi="Calibri"/>
          <w:sz w:val="22"/>
          <w:szCs w:val="22"/>
          <w:u w:val="single"/>
        </w:rPr>
        <w:t>Monthly Labor Review</w:t>
      </w:r>
      <w:r>
        <w:rPr>
          <w:rFonts w:ascii="Calibri" w:hAnsi="Calibri"/>
          <w:sz w:val="22"/>
          <w:szCs w:val="22"/>
        </w:rPr>
        <w:t xml:space="preserve">.  (Attachments 17-19 are articles which reference IPP data and which have been published in the </w:t>
      </w:r>
      <w:r w:rsidRPr="00801D8F">
        <w:rPr>
          <w:rFonts w:ascii="Calibri" w:hAnsi="Calibri"/>
          <w:sz w:val="22"/>
          <w:szCs w:val="22"/>
          <w:u w:val="single"/>
        </w:rPr>
        <w:t>Monthly Labor Review</w:t>
      </w:r>
      <w:r>
        <w:rPr>
          <w:rFonts w:ascii="Calibri" w:hAnsi="Calibri"/>
          <w:sz w:val="22"/>
          <w:szCs w:val="22"/>
        </w:rPr>
        <w:t>.)</w:t>
      </w:r>
    </w:p>
    <w:p w:rsidR="00024B9F" w:rsidRDefault="00024B9F" w:rsidP="00024B9F">
      <w:pPr>
        <w:tabs>
          <w:tab w:val="left" w:pos="360"/>
          <w:tab w:val="left" w:pos="480"/>
          <w:tab w:val="left" w:pos="960"/>
          <w:tab w:val="left" w:pos="1320"/>
          <w:tab w:val="left" w:pos="1800"/>
          <w:tab w:val="left" w:pos="2760"/>
        </w:tabs>
        <w:spacing w:before="120"/>
        <w:rPr>
          <w:rFonts w:ascii="Calibri" w:hAnsi="Calibri"/>
          <w:sz w:val="22"/>
          <w:szCs w:val="22"/>
        </w:rPr>
      </w:pPr>
    </w:p>
    <w:p w:rsidR="00024B9F" w:rsidRPr="0042719D" w:rsidRDefault="00024B9F" w:rsidP="00024B9F">
      <w:pPr>
        <w:tabs>
          <w:tab w:val="left" w:pos="360"/>
          <w:tab w:val="left" w:pos="480"/>
          <w:tab w:val="left" w:pos="960"/>
          <w:tab w:val="left" w:pos="1320"/>
          <w:tab w:val="left" w:pos="1800"/>
          <w:tab w:val="left" w:pos="2760"/>
        </w:tabs>
        <w:spacing w:before="120"/>
        <w:rPr>
          <w:rFonts w:ascii="Calibri" w:hAnsi="Calibri"/>
          <w:b/>
          <w:sz w:val="22"/>
          <w:szCs w:val="22"/>
        </w:rPr>
      </w:pPr>
      <w:r w:rsidRPr="0042719D">
        <w:rPr>
          <w:rFonts w:ascii="Calibri" w:hAnsi="Calibri"/>
          <w:b/>
          <w:sz w:val="22"/>
          <w:szCs w:val="22"/>
        </w:rPr>
        <w:t xml:space="preserve">17.  </w:t>
      </w:r>
      <w:r w:rsidRPr="0042719D">
        <w:rPr>
          <w:rFonts w:ascii="Calibri" w:hAnsi="Calibri"/>
          <w:b/>
          <w:sz w:val="22"/>
          <w:szCs w:val="22"/>
        </w:rPr>
        <w:tab/>
        <w:t xml:space="preserve">     Request to Not Display Expiration Date</w:t>
      </w:r>
    </w:p>
    <w:p w:rsidR="00024B9F" w:rsidRPr="00644CC0" w:rsidRDefault="00024B9F" w:rsidP="00024B9F">
      <w:pPr>
        <w:tabs>
          <w:tab w:val="left" w:pos="360"/>
          <w:tab w:val="left" w:pos="480"/>
          <w:tab w:val="left" w:pos="960"/>
          <w:tab w:val="left" w:pos="1320"/>
          <w:tab w:val="left" w:pos="1800"/>
          <w:tab w:val="left" w:pos="2760"/>
        </w:tabs>
        <w:spacing w:before="120"/>
        <w:rPr>
          <w:rFonts w:ascii="Calibri" w:hAnsi="Calibri"/>
          <w:sz w:val="22"/>
          <w:szCs w:val="22"/>
        </w:rPr>
      </w:pPr>
    </w:p>
    <w:p w:rsidR="00024B9F" w:rsidRPr="0042719D" w:rsidRDefault="00024B9F" w:rsidP="00024B9F">
      <w:pPr>
        <w:rPr>
          <w:rFonts w:ascii="Calibri" w:hAnsi="Calibri"/>
          <w:sz w:val="22"/>
          <w:szCs w:val="22"/>
        </w:rPr>
      </w:pPr>
      <w:r w:rsidRPr="0042719D">
        <w:rPr>
          <w:rFonts w:ascii="Calibri" w:hAnsi="Calibri"/>
          <w:sz w:val="22"/>
          <w:szCs w:val="22"/>
        </w:rPr>
        <w:t>Approval to not display the expiration date for OMB approval is not being sought.</w:t>
      </w:r>
    </w:p>
    <w:p w:rsidR="00024B9F" w:rsidRPr="00767CDB" w:rsidRDefault="00024B9F" w:rsidP="00024B9F">
      <w:pPr>
        <w:tabs>
          <w:tab w:val="left" w:pos="480"/>
          <w:tab w:val="left" w:pos="960"/>
          <w:tab w:val="left" w:pos="1320"/>
          <w:tab w:val="left" w:pos="1800"/>
          <w:tab w:val="left" w:pos="2760"/>
        </w:tabs>
        <w:spacing w:before="120"/>
        <w:ind w:left="1440"/>
        <w:rPr>
          <w:rFonts w:ascii="Verdana" w:hAnsi="Verdana"/>
          <w:b/>
          <w:color w:val="000000"/>
          <w:sz w:val="20"/>
          <w:szCs w:val="20"/>
        </w:rPr>
      </w:pPr>
    </w:p>
    <w:p w:rsidR="00024B9F" w:rsidRPr="00483611" w:rsidRDefault="00024B9F" w:rsidP="00024B9F">
      <w:pPr>
        <w:rPr>
          <w:rFonts w:ascii="Calibri" w:hAnsi="Calibri"/>
          <w:b/>
          <w:color w:val="000000"/>
          <w:sz w:val="22"/>
          <w:szCs w:val="22"/>
        </w:rPr>
      </w:pPr>
      <w:r w:rsidRPr="00483611">
        <w:rPr>
          <w:rFonts w:ascii="Calibri" w:hAnsi="Calibri"/>
          <w:b/>
          <w:color w:val="000000"/>
          <w:sz w:val="22"/>
          <w:szCs w:val="22"/>
        </w:rPr>
        <w:t>18.</w:t>
      </w:r>
      <w:r w:rsidRPr="00483611">
        <w:rPr>
          <w:rFonts w:ascii="Calibri" w:hAnsi="Calibri"/>
          <w:b/>
          <w:color w:val="000000"/>
          <w:sz w:val="22"/>
          <w:szCs w:val="22"/>
        </w:rPr>
        <w:tab/>
      </w:r>
      <w:r>
        <w:rPr>
          <w:rFonts w:ascii="Calibri" w:hAnsi="Calibri"/>
          <w:b/>
          <w:color w:val="000000"/>
          <w:sz w:val="22"/>
          <w:szCs w:val="22"/>
        </w:rPr>
        <w:t xml:space="preserve">Exception to Certification Statement </w:t>
      </w:r>
    </w:p>
    <w:p w:rsidR="00024B9F" w:rsidRDefault="00024B9F" w:rsidP="00024B9F">
      <w:pPr>
        <w:spacing w:before="120"/>
        <w:rPr>
          <w:rFonts w:ascii="Calibri" w:hAnsi="Calibri"/>
          <w:sz w:val="22"/>
          <w:szCs w:val="22"/>
        </w:rPr>
      </w:pPr>
      <w:r w:rsidRPr="00483611">
        <w:rPr>
          <w:rFonts w:ascii="Calibri" w:hAnsi="Calibri"/>
          <w:sz w:val="22"/>
          <w:szCs w:val="22"/>
        </w:rPr>
        <w:t xml:space="preserve">Because it is a voluntary </w:t>
      </w:r>
      <w:r w:rsidRPr="001F799B">
        <w:rPr>
          <w:rFonts w:ascii="Calibri" w:hAnsi="Calibri"/>
          <w:sz w:val="22"/>
          <w:szCs w:val="22"/>
        </w:rPr>
        <w:t>survey and it imposes</w:t>
      </w:r>
      <w:r w:rsidRPr="00483611">
        <w:rPr>
          <w:rFonts w:ascii="Calibri" w:hAnsi="Calibri"/>
          <w:sz w:val="22"/>
          <w:szCs w:val="22"/>
        </w:rPr>
        <w:t xml:space="preserve"> no recordkeeping requirement for </w:t>
      </w:r>
      <w:r>
        <w:rPr>
          <w:rFonts w:ascii="Calibri" w:hAnsi="Calibri"/>
          <w:sz w:val="22"/>
          <w:szCs w:val="22"/>
        </w:rPr>
        <w:t>respondent</w:t>
      </w:r>
      <w:r w:rsidRPr="00483611">
        <w:rPr>
          <w:rFonts w:ascii="Calibri" w:hAnsi="Calibri"/>
          <w:sz w:val="22"/>
          <w:szCs w:val="22"/>
        </w:rPr>
        <w:t>s, the IPP does not indicate a retention period for recordkeeping requirements.</w:t>
      </w:r>
    </w:p>
    <w:p w:rsidR="009B5FFC" w:rsidRDefault="009B5FFC"/>
    <w:sectPr w:rsidR="009B5FFC" w:rsidSect="001D53A7">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6301" w:rsidRDefault="00C76301" w:rsidP="00024B9F">
      <w:r>
        <w:separator/>
      </w:r>
    </w:p>
  </w:endnote>
  <w:endnote w:type="continuationSeparator" w:id="0">
    <w:p w:rsidR="00C76301" w:rsidRDefault="00C76301" w:rsidP="00024B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Microsoft Sans Serif">
    <w:panose1 w:val="020B0604020202020204"/>
    <w:charset w:val="00"/>
    <w:family w:val="swiss"/>
    <w:pitch w:val="variable"/>
    <w:sig w:usb0="61002BDF"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812644"/>
      <w:docPartObj>
        <w:docPartGallery w:val="Page Numbers (Bottom of Page)"/>
        <w:docPartUnique/>
      </w:docPartObj>
    </w:sdtPr>
    <w:sdtEndPr>
      <w:rPr>
        <w:sz w:val="20"/>
        <w:szCs w:val="20"/>
      </w:rPr>
    </w:sdtEndPr>
    <w:sdtContent>
      <w:p w:rsidR="001D53A7" w:rsidRDefault="00324B4D">
        <w:pPr>
          <w:pStyle w:val="Footer"/>
          <w:jc w:val="center"/>
        </w:pPr>
        <w:r w:rsidRPr="001D53A7">
          <w:rPr>
            <w:sz w:val="20"/>
            <w:szCs w:val="20"/>
          </w:rPr>
          <w:fldChar w:fldCharType="begin"/>
        </w:r>
        <w:r w:rsidR="001D53A7" w:rsidRPr="001D53A7">
          <w:rPr>
            <w:sz w:val="20"/>
            <w:szCs w:val="20"/>
          </w:rPr>
          <w:instrText xml:space="preserve"> PAGE   \* MERGEFORMAT </w:instrText>
        </w:r>
        <w:r w:rsidRPr="001D53A7">
          <w:rPr>
            <w:sz w:val="20"/>
            <w:szCs w:val="20"/>
          </w:rPr>
          <w:fldChar w:fldCharType="separate"/>
        </w:r>
        <w:r w:rsidR="009B5268">
          <w:rPr>
            <w:noProof/>
            <w:sz w:val="20"/>
            <w:szCs w:val="20"/>
          </w:rPr>
          <w:t>13</w:t>
        </w:r>
        <w:r w:rsidRPr="001D53A7">
          <w:rPr>
            <w:sz w:val="20"/>
            <w:szCs w:val="20"/>
          </w:rPr>
          <w:fldChar w:fldCharType="end"/>
        </w:r>
      </w:p>
    </w:sdtContent>
  </w:sdt>
  <w:p w:rsidR="001D53A7" w:rsidRDefault="001D53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6301" w:rsidRDefault="00C76301" w:rsidP="00024B9F">
      <w:r>
        <w:separator/>
      </w:r>
    </w:p>
  </w:footnote>
  <w:footnote w:type="continuationSeparator" w:id="0">
    <w:p w:rsidR="00C76301" w:rsidRDefault="00C76301" w:rsidP="00024B9F">
      <w:r>
        <w:continuationSeparator/>
      </w:r>
    </w:p>
  </w:footnote>
  <w:footnote w:id="1">
    <w:p w:rsidR="001C0DCC" w:rsidRPr="00963FDF" w:rsidRDefault="001C0DCC" w:rsidP="00024B9F">
      <w:pPr>
        <w:pStyle w:val="FootnoteText"/>
        <w:rPr>
          <w:rFonts w:ascii="Calibri" w:hAnsi="Calibri"/>
          <w:sz w:val="16"/>
          <w:szCs w:val="16"/>
        </w:rPr>
      </w:pPr>
      <w:r w:rsidRPr="00963FDF">
        <w:rPr>
          <w:rStyle w:val="FootnoteReference"/>
          <w:rFonts w:ascii="Calibri" w:hAnsi="Calibri"/>
          <w:sz w:val="16"/>
          <w:szCs w:val="16"/>
        </w:rPr>
        <w:footnoteRef/>
      </w:r>
      <w:r w:rsidRPr="00963FDF">
        <w:rPr>
          <w:rFonts w:ascii="Calibri" w:hAnsi="Calibri"/>
          <w:sz w:val="16"/>
          <w:szCs w:val="16"/>
        </w:rPr>
        <w:t xml:space="preserve">  Excludes “Transfers under U.S. military agency sales contracts,” “U.S. Government miscellaneous services,” and</w:t>
      </w:r>
    </w:p>
    <w:p w:rsidR="001C0DCC" w:rsidRPr="00D83B25" w:rsidRDefault="001C0DCC" w:rsidP="00024B9F">
      <w:pPr>
        <w:pStyle w:val="FootnoteText"/>
        <w:rPr>
          <w:rFonts w:ascii="Calibri" w:hAnsi="Calibri"/>
          <w:sz w:val="18"/>
          <w:szCs w:val="18"/>
        </w:rPr>
      </w:pPr>
      <w:r w:rsidRPr="00963FDF">
        <w:rPr>
          <w:rFonts w:ascii="Calibri" w:hAnsi="Calibri"/>
          <w:sz w:val="16"/>
          <w:szCs w:val="16"/>
        </w:rPr>
        <w:t xml:space="preserve">  “Direct defense expenditures.” (Attachment 2)</w:t>
      </w:r>
    </w:p>
  </w:footnote>
  <w:footnote w:id="2">
    <w:p w:rsidR="001C0DCC" w:rsidRPr="00963FDF" w:rsidRDefault="001C0DCC">
      <w:pPr>
        <w:pStyle w:val="FootnoteText"/>
        <w:rPr>
          <w:rFonts w:ascii="Calibri" w:hAnsi="Calibri"/>
          <w:sz w:val="16"/>
          <w:szCs w:val="16"/>
        </w:rPr>
      </w:pPr>
      <w:r w:rsidRPr="00963FDF">
        <w:rPr>
          <w:rStyle w:val="FootnoteReference"/>
          <w:rFonts w:ascii="Calibri" w:hAnsi="Calibri"/>
          <w:sz w:val="16"/>
          <w:szCs w:val="16"/>
        </w:rPr>
        <w:footnoteRef/>
      </w:r>
      <w:r w:rsidRPr="00963FDF">
        <w:rPr>
          <w:rFonts w:ascii="Calibri" w:hAnsi="Calibri"/>
          <w:sz w:val="16"/>
          <w:szCs w:val="16"/>
        </w:rPr>
        <w:t xml:space="preserve"> The Harmonized Tariff Schedule and Schedule B are organized into sections and chapters.  A chapter is a collection of similar</w:t>
      </w:r>
    </w:p>
    <w:p w:rsidR="001C0DCC" w:rsidRPr="00963FDF" w:rsidRDefault="001C0DCC">
      <w:pPr>
        <w:pStyle w:val="FootnoteText"/>
        <w:rPr>
          <w:rFonts w:ascii="Calibri" w:hAnsi="Calibri"/>
          <w:sz w:val="16"/>
          <w:szCs w:val="16"/>
        </w:rPr>
      </w:pPr>
      <w:r w:rsidRPr="00963FDF">
        <w:rPr>
          <w:rFonts w:ascii="Calibri" w:hAnsi="Calibri"/>
          <w:sz w:val="16"/>
          <w:szCs w:val="16"/>
        </w:rPr>
        <w:t xml:space="preserve">  products, aggregated at the two-digit level.  For example, chapter 26 is reserved for ‘Ores, slag and ash,’ and chapters 25-27</w:t>
      </w:r>
    </w:p>
    <w:p w:rsidR="001C0DCC" w:rsidRPr="002A4329" w:rsidRDefault="001C0DCC">
      <w:pPr>
        <w:pStyle w:val="FootnoteText"/>
        <w:rPr>
          <w:rFonts w:ascii="Calibri" w:hAnsi="Calibri"/>
          <w:sz w:val="18"/>
          <w:szCs w:val="18"/>
        </w:rPr>
      </w:pPr>
      <w:r w:rsidRPr="00963FDF">
        <w:rPr>
          <w:rFonts w:ascii="Calibri" w:hAnsi="Calibri"/>
          <w:sz w:val="16"/>
          <w:szCs w:val="16"/>
        </w:rPr>
        <w:t xml:space="preserve">  make up section V (“Mineral Products”).</w:t>
      </w:r>
    </w:p>
  </w:footnote>
  <w:footnote w:id="3">
    <w:p w:rsidR="001C0DCC" w:rsidRPr="007B684F" w:rsidRDefault="001C0DCC" w:rsidP="00024B9F">
      <w:pPr>
        <w:pStyle w:val="FootnoteText"/>
        <w:rPr>
          <w:rFonts w:ascii="Calibri" w:hAnsi="Calibri"/>
          <w:sz w:val="16"/>
          <w:szCs w:val="16"/>
        </w:rPr>
      </w:pPr>
      <w:r w:rsidRPr="007B684F">
        <w:rPr>
          <w:rStyle w:val="FootnoteReference"/>
          <w:rFonts w:ascii="Calibri" w:hAnsi="Calibri"/>
          <w:sz w:val="18"/>
          <w:szCs w:val="18"/>
        </w:rPr>
        <w:footnoteRef/>
      </w:r>
      <w:r w:rsidRPr="007B684F">
        <w:rPr>
          <w:rFonts w:ascii="Calibri" w:hAnsi="Calibri"/>
          <w:sz w:val="18"/>
          <w:szCs w:val="18"/>
        </w:rPr>
        <w:t xml:space="preserve"> </w:t>
      </w:r>
      <w:r w:rsidRPr="007B684F">
        <w:rPr>
          <w:rFonts w:ascii="Calibri" w:hAnsi="Calibri"/>
          <w:sz w:val="16"/>
          <w:szCs w:val="16"/>
        </w:rPr>
        <w:t>These numbers are estimates subject to change due to differing relative values of U.S. imports and exports and to</w:t>
      </w:r>
      <w:r>
        <w:rPr>
          <w:rFonts w:ascii="Calibri" w:hAnsi="Calibri"/>
          <w:sz w:val="16"/>
          <w:szCs w:val="16"/>
        </w:rPr>
        <w:t xml:space="preserve"> </w:t>
      </w:r>
      <w:r w:rsidRPr="007B684F">
        <w:rPr>
          <w:rFonts w:ascii="Calibri" w:hAnsi="Calibri"/>
          <w:sz w:val="16"/>
          <w:szCs w:val="16"/>
        </w:rPr>
        <w:t>variations in response rates.</w:t>
      </w:r>
    </w:p>
  </w:footnote>
  <w:footnote w:id="4">
    <w:p w:rsidR="001C0DCC" w:rsidRDefault="001C0DCC" w:rsidP="00024B9F">
      <w:pPr>
        <w:pStyle w:val="FootnoteText"/>
        <w:rPr>
          <w:rFonts w:ascii="Calibri" w:hAnsi="Calibri"/>
          <w:sz w:val="16"/>
          <w:szCs w:val="16"/>
        </w:rPr>
      </w:pPr>
      <w:r>
        <w:rPr>
          <w:rFonts w:ascii="Calibri" w:hAnsi="Calibri"/>
          <w:sz w:val="18"/>
          <w:szCs w:val="18"/>
          <w:vertAlign w:val="superscript"/>
        </w:rPr>
        <w:t>4</w:t>
      </w:r>
      <w:r w:rsidRPr="007B684F">
        <w:rPr>
          <w:rFonts w:ascii="Calibri" w:hAnsi="Calibri"/>
          <w:sz w:val="16"/>
          <w:szCs w:val="16"/>
          <w:vertAlign w:val="superscript"/>
        </w:rPr>
        <w:t xml:space="preserve"> </w:t>
      </w:r>
      <w:r w:rsidRPr="007B684F">
        <w:rPr>
          <w:rFonts w:ascii="Calibri" w:hAnsi="Calibri"/>
          <w:sz w:val="16"/>
          <w:szCs w:val="16"/>
        </w:rPr>
        <w:t>Initiation refers to the initial collection of data to be used in repricing.  Totals include the Field Economist’s visit to</w:t>
      </w:r>
      <w:r>
        <w:rPr>
          <w:rFonts w:ascii="Calibri" w:hAnsi="Calibri"/>
          <w:sz w:val="16"/>
          <w:szCs w:val="16"/>
        </w:rPr>
        <w:t xml:space="preserve"> </w:t>
      </w:r>
      <w:r w:rsidRPr="007B684F">
        <w:rPr>
          <w:rFonts w:ascii="Calibri" w:hAnsi="Calibri"/>
          <w:sz w:val="16"/>
          <w:szCs w:val="16"/>
        </w:rPr>
        <w:t>the company as well as the</w:t>
      </w:r>
    </w:p>
    <w:p w:rsidR="001C0DCC" w:rsidRPr="007B684F" w:rsidRDefault="001C0DCC" w:rsidP="00024B9F">
      <w:pPr>
        <w:pStyle w:val="FootnoteText"/>
        <w:rPr>
          <w:rFonts w:ascii="Calibri" w:hAnsi="Calibri"/>
          <w:sz w:val="16"/>
          <w:szCs w:val="16"/>
        </w:rPr>
      </w:pPr>
      <w:r w:rsidRPr="007B684F">
        <w:rPr>
          <w:rFonts w:ascii="Calibri" w:hAnsi="Calibri"/>
          <w:sz w:val="16"/>
          <w:szCs w:val="16"/>
        </w:rPr>
        <w:t xml:space="preserve"> </w:t>
      </w:r>
      <w:r>
        <w:rPr>
          <w:rFonts w:ascii="Calibri" w:hAnsi="Calibri"/>
          <w:sz w:val="16"/>
          <w:szCs w:val="16"/>
        </w:rPr>
        <w:t xml:space="preserve">  </w:t>
      </w:r>
      <w:r w:rsidRPr="007B684F">
        <w:rPr>
          <w:rFonts w:ascii="Calibri" w:hAnsi="Calibri"/>
          <w:sz w:val="16"/>
          <w:szCs w:val="16"/>
        </w:rPr>
        <w:t>time spent to select items for repricing using the disaggregation sheet (form 3008,  Attachment 1</w:t>
      </w:r>
      <w:r>
        <w:rPr>
          <w:rFonts w:ascii="Calibri" w:hAnsi="Calibri"/>
          <w:sz w:val="16"/>
          <w:szCs w:val="16"/>
        </w:rPr>
        <w:t>3</w:t>
      </w:r>
      <w:r w:rsidRPr="007B684F">
        <w:rPr>
          <w:rFonts w:ascii="Calibri" w:hAnsi="Calibri"/>
          <w:sz w:val="16"/>
          <w:szCs w:val="16"/>
        </w:rPr>
        <w:t>) .</w:t>
      </w:r>
    </w:p>
  </w:footnote>
  <w:footnote w:id="5">
    <w:p w:rsidR="001C0DCC" w:rsidRDefault="001C0DCC" w:rsidP="00024B9F">
      <w:pPr>
        <w:autoSpaceDE w:val="0"/>
        <w:autoSpaceDN w:val="0"/>
        <w:adjustRightInd w:val="0"/>
        <w:rPr>
          <w:rFonts w:ascii="Calibri" w:hAnsi="Calibri"/>
          <w:sz w:val="16"/>
          <w:szCs w:val="16"/>
        </w:rPr>
      </w:pPr>
      <w:r w:rsidRPr="001C3604">
        <w:rPr>
          <w:rFonts w:ascii="Calibri" w:hAnsi="Calibri"/>
          <w:sz w:val="18"/>
          <w:szCs w:val="18"/>
          <w:vertAlign w:val="superscript"/>
        </w:rPr>
        <w:t>5</w:t>
      </w:r>
      <w:r w:rsidRPr="001C3604">
        <w:rPr>
          <w:rFonts w:ascii="Calibri" w:hAnsi="Calibri"/>
          <w:sz w:val="18"/>
          <w:szCs w:val="18"/>
        </w:rPr>
        <w:t xml:space="preserve"> </w:t>
      </w:r>
      <w:r w:rsidRPr="007B684F">
        <w:rPr>
          <w:rFonts w:ascii="Calibri" w:hAnsi="Calibri"/>
          <w:sz w:val="16"/>
          <w:szCs w:val="16"/>
        </w:rPr>
        <w:t xml:space="preserve">Repricing refers to the update of price information previously provided by the respondent.  </w:t>
      </w:r>
      <w:r>
        <w:rPr>
          <w:rFonts w:ascii="Calibri" w:hAnsi="Calibri"/>
          <w:sz w:val="16"/>
          <w:szCs w:val="16"/>
        </w:rPr>
        <w:t>The</w:t>
      </w:r>
      <w:r w:rsidRPr="007B684F">
        <w:rPr>
          <w:rFonts w:ascii="Calibri" w:hAnsi="Calibri"/>
          <w:sz w:val="16"/>
          <w:szCs w:val="16"/>
        </w:rPr>
        <w:t xml:space="preserve"> web application (Attachment</w:t>
      </w:r>
      <w:r>
        <w:rPr>
          <w:rFonts w:ascii="Calibri" w:hAnsi="Calibri"/>
          <w:sz w:val="16"/>
          <w:szCs w:val="16"/>
        </w:rPr>
        <w:t>s</w:t>
      </w:r>
      <w:r w:rsidRPr="007B684F">
        <w:rPr>
          <w:rFonts w:ascii="Calibri" w:hAnsi="Calibri"/>
          <w:sz w:val="16"/>
          <w:szCs w:val="16"/>
        </w:rPr>
        <w:t xml:space="preserve"> 8</w:t>
      </w:r>
      <w:r>
        <w:rPr>
          <w:rFonts w:ascii="Calibri" w:hAnsi="Calibri"/>
          <w:sz w:val="16"/>
          <w:szCs w:val="16"/>
        </w:rPr>
        <w:t>G-</w:t>
      </w:r>
    </w:p>
    <w:p w:rsidR="001C0DCC" w:rsidRPr="007B684F" w:rsidRDefault="001C0DCC" w:rsidP="00024B9F">
      <w:pPr>
        <w:autoSpaceDE w:val="0"/>
        <w:autoSpaceDN w:val="0"/>
        <w:adjustRightInd w:val="0"/>
        <w:rPr>
          <w:rFonts w:ascii="Calibri" w:hAnsi="Calibri"/>
          <w:sz w:val="16"/>
          <w:szCs w:val="16"/>
        </w:rPr>
      </w:pPr>
      <w:r>
        <w:rPr>
          <w:rFonts w:ascii="Calibri" w:hAnsi="Calibri"/>
          <w:sz w:val="16"/>
          <w:szCs w:val="16"/>
        </w:rPr>
        <w:t xml:space="preserve">   8K) is</w:t>
      </w:r>
      <w:r w:rsidRPr="007B684F">
        <w:rPr>
          <w:rFonts w:ascii="Calibri" w:hAnsi="Calibri"/>
          <w:sz w:val="16"/>
          <w:szCs w:val="16"/>
        </w:rPr>
        <w:t xml:space="preserve"> the primary means of repricing but all collection types</w:t>
      </w:r>
      <w:r>
        <w:rPr>
          <w:rFonts w:ascii="Calibri" w:hAnsi="Calibri"/>
          <w:sz w:val="16"/>
          <w:szCs w:val="16"/>
        </w:rPr>
        <w:t xml:space="preserve"> </w:t>
      </w:r>
      <w:r w:rsidRPr="007B684F">
        <w:rPr>
          <w:rFonts w:ascii="Calibri" w:hAnsi="Calibri"/>
          <w:sz w:val="16"/>
          <w:szCs w:val="16"/>
        </w:rPr>
        <w:t>(</w:t>
      </w:r>
      <w:r>
        <w:rPr>
          <w:rFonts w:ascii="Calibri" w:hAnsi="Calibri"/>
          <w:sz w:val="16"/>
          <w:szCs w:val="16"/>
        </w:rPr>
        <w:t xml:space="preserve">mail out/fax back, </w:t>
      </w:r>
      <w:r w:rsidRPr="007B684F">
        <w:rPr>
          <w:rFonts w:ascii="Calibri" w:hAnsi="Calibri"/>
          <w:sz w:val="16"/>
          <w:szCs w:val="16"/>
        </w:rPr>
        <w:t>telephone, e-mail, etc.) are included in these</w:t>
      </w:r>
      <w:r>
        <w:rPr>
          <w:rFonts w:ascii="Calibri" w:hAnsi="Calibri"/>
          <w:sz w:val="16"/>
          <w:szCs w:val="16"/>
        </w:rPr>
        <w:t xml:space="preserve"> </w:t>
      </w:r>
      <w:r w:rsidRPr="007B684F">
        <w:rPr>
          <w:rFonts w:ascii="Calibri" w:hAnsi="Calibri"/>
          <w:sz w:val="16"/>
          <w:szCs w:val="16"/>
        </w:rPr>
        <w:t xml:space="preserve">totals.  </w:t>
      </w:r>
    </w:p>
  </w:footnote>
  <w:footnote w:id="6">
    <w:p w:rsidR="001C0DCC" w:rsidRDefault="001C0DCC" w:rsidP="00024B9F">
      <w:pPr>
        <w:pStyle w:val="FootnoteText"/>
        <w:rPr>
          <w:rFonts w:ascii="Calibri" w:hAnsi="Calibri"/>
          <w:sz w:val="16"/>
          <w:szCs w:val="16"/>
        </w:rPr>
      </w:pPr>
      <w:r>
        <w:rPr>
          <w:rFonts w:ascii="Calibri" w:hAnsi="Calibri"/>
          <w:sz w:val="18"/>
          <w:szCs w:val="18"/>
          <w:vertAlign w:val="superscript"/>
        </w:rPr>
        <w:t xml:space="preserve">6 </w:t>
      </w:r>
      <w:r w:rsidRPr="007B684F">
        <w:rPr>
          <w:rFonts w:ascii="Calibri" w:hAnsi="Calibri"/>
          <w:sz w:val="16"/>
          <w:szCs w:val="16"/>
        </w:rPr>
        <w:t xml:space="preserve">During initiation, the respondent determines how many months </w:t>
      </w:r>
      <w:r>
        <w:rPr>
          <w:rFonts w:ascii="Calibri" w:hAnsi="Calibri"/>
          <w:sz w:val="16"/>
          <w:szCs w:val="16"/>
        </w:rPr>
        <w:t>data will need to be supplied</w:t>
      </w:r>
      <w:r w:rsidRPr="007B684F">
        <w:rPr>
          <w:rFonts w:ascii="Calibri" w:hAnsi="Calibri"/>
          <w:sz w:val="16"/>
          <w:szCs w:val="16"/>
        </w:rPr>
        <w:t xml:space="preserve"> in a given</w:t>
      </w:r>
      <w:r>
        <w:rPr>
          <w:rFonts w:ascii="Calibri" w:hAnsi="Calibri"/>
          <w:sz w:val="16"/>
          <w:szCs w:val="16"/>
        </w:rPr>
        <w:t xml:space="preserve"> year </w:t>
      </w:r>
      <w:r w:rsidRPr="007B684F">
        <w:rPr>
          <w:rFonts w:ascii="Calibri" w:hAnsi="Calibri"/>
          <w:sz w:val="16"/>
          <w:szCs w:val="16"/>
        </w:rPr>
        <w:t>based upon how</w:t>
      </w:r>
      <w:r>
        <w:rPr>
          <w:rFonts w:ascii="Calibri" w:hAnsi="Calibri"/>
          <w:sz w:val="16"/>
          <w:szCs w:val="16"/>
        </w:rPr>
        <w:t xml:space="preserve"> </w:t>
      </w:r>
      <w:r w:rsidRPr="007B684F">
        <w:rPr>
          <w:rFonts w:ascii="Calibri" w:hAnsi="Calibri"/>
          <w:sz w:val="16"/>
          <w:szCs w:val="16"/>
        </w:rPr>
        <w:t xml:space="preserve">often </w:t>
      </w:r>
      <w:r>
        <w:rPr>
          <w:rFonts w:ascii="Calibri" w:hAnsi="Calibri"/>
          <w:sz w:val="16"/>
          <w:szCs w:val="16"/>
        </w:rPr>
        <w:t>prices</w:t>
      </w:r>
    </w:p>
    <w:p w:rsidR="001C0DCC" w:rsidRPr="007B684F" w:rsidRDefault="001C0DCC" w:rsidP="00024B9F">
      <w:pPr>
        <w:pStyle w:val="FootnoteText"/>
        <w:rPr>
          <w:rFonts w:ascii="Calibri" w:hAnsi="Calibri"/>
          <w:sz w:val="16"/>
          <w:szCs w:val="16"/>
        </w:rPr>
      </w:pPr>
      <w:r>
        <w:rPr>
          <w:rFonts w:ascii="Calibri" w:hAnsi="Calibri"/>
          <w:sz w:val="16"/>
          <w:szCs w:val="16"/>
        </w:rPr>
        <w:t xml:space="preserve">   change</w:t>
      </w:r>
      <w:r w:rsidRPr="007B684F">
        <w:rPr>
          <w:rFonts w:ascii="Calibri" w:hAnsi="Calibri"/>
          <w:sz w:val="16"/>
          <w:szCs w:val="16"/>
        </w:rPr>
        <w:t xml:space="preserve">.  </w:t>
      </w:r>
      <w:r>
        <w:rPr>
          <w:rFonts w:ascii="Calibri" w:hAnsi="Calibri"/>
          <w:sz w:val="16"/>
          <w:szCs w:val="16"/>
        </w:rPr>
        <w:t xml:space="preserve">On average, export and import companies are </w:t>
      </w:r>
      <w:r w:rsidRPr="007B684F">
        <w:rPr>
          <w:rFonts w:ascii="Calibri" w:hAnsi="Calibri"/>
          <w:sz w:val="16"/>
          <w:szCs w:val="16"/>
        </w:rPr>
        <w:t>requested to supply inf</w:t>
      </w:r>
      <w:r>
        <w:rPr>
          <w:rFonts w:ascii="Calibri" w:hAnsi="Calibri"/>
          <w:sz w:val="16"/>
          <w:szCs w:val="16"/>
        </w:rPr>
        <w:t xml:space="preserve">ormation 8.0 months/year and 8.2 months/year, respectively.  </w:t>
      </w:r>
    </w:p>
  </w:footnote>
  <w:footnote w:id="7">
    <w:p w:rsidR="001C0DCC" w:rsidRDefault="001C0DCC" w:rsidP="00024B9F">
      <w:pPr>
        <w:pStyle w:val="FootnoteText"/>
        <w:rPr>
          <w:rFonts w:ascii="Calibri" w:hAnsi="Calibri"/>
          <w:sz w:val="16"/>
          <w:szCs w:val="16"/>
        </w:rPr>
      </w:pPr>
      <w:r w:rsidRPr="001C3604">
        <w:rPr>
          <w:rFonts w:ascii="Calibri" w:hAnsi="Calibri"/>
          <w:sz w:val="18"/>
          <w:szCs w:val="18"/>
          <w:vertAlign w:val="superscript"/>
        </w:rPr>
        <w:t>7</w:t>
      </w:r>
      <w:r w:rsidRPr="007B684F">
        <w:rPr>
          <w:rFonts w:ascii="Calibri" w:hAnsi="Calibri"/>
          <w:sz w:val="16"/>
          <w:szCs w:val="16"/>
        </w:rPr>
        <w:t xml:space="preserve"> </w:t>
      </w:r>
      <w:r>
        <w:rPr>
          <w:rFonts w:ascii="Calibri" w:hAnsi="Calibri"/>
          <w:sz w:val="16"/>
          <w:szCs w:val="16"/>
        </w:rPr>
        <w:t>The average burden to reprice is currently estimated at</w:t>
      </w:r>
      <w:r w:rsidRPr="007B684F">
        <w:rPr>
          <w:rFonts w:ascii="Calibri" w:hAnsi="Calibri"/>
          <w:sz w:val="16"/>
          <w:szCs w:val="16"/>
        </w:rPr>
        <w:t xml:space="preserve"> </w:t>
      </w:r>
      <w:r>
        <w:rPr>
          <w:rFonts w:ascii="Calibri" w:hAnsi="Calibri"/>
          <w:sz w:val="16"/>
          <w:szCs w:val="16"/>
        </w:rPr>
        <w:t>5</w:t>
      </w:r>
      <w:r w:rsidRPr="007B684F">
        <w:rPr>
          <w:rFonts w:ascii="Calibri" w:hAnsi="Calibri"/>
          <w:sz w:val="16"/>
          <w:szCs w:val="16"/>
        </w:rPr>
        <w:t xml:space="preserve"> minutes per item</w:t>
      </w:r>
      <w:r>
        <w:rPr>
          <w:rFonts w:ascii="Calibri" w:hAnsi="Calibri"/>
          <w:sz w:val="16"/>
          <w:szCs w:val="16"/>
        </w:rPr>
        <w:t>, based upon internal testing</w:t>
      </w:r>
      <w:r w:rsidRPr="007B684F">
        <w:rPr>
          <w:rFonts w:ascii="Calibri" w:hAnsi="Calibri"/>
          <w:sz w:val="16"/>
          <w:szCs w:val="16"/>
        </w:rPr>
        <w:t xml:space="preserve">. </w:t>
      </w:r>
      <w:r>
        <w:rPr>
          <w:rFonts w:ascii="Calibri" w:hAnsi="Calibri"/>
          <w:sz w:val="16"/>
          <w:szCs w:val="16"/>
        </w:rPr>
        <w:t xml:space="preserve"> On average, an</w:t>
      </w:r>
      <w:r w:rsidRPr="007B684F">
        <w:rPr>
          <w:rFonts w:ascii="Calibri" w:hAnsi="Calibri"/>
          <w:sz w:val="16"/>
          <w:szCs w:val="16"/>
        </w:rPr>
        <w:t xml:space="preserve"> export respondent</w:t>
      </w:r>
    </w:p>
    <w:p w:rsidR="001C0DCC" w:rsidRPr="007B684F" w:rsidRDefault="001C0DCC" w:rsidP="00024B9F">
      <w:pPr>
        <w:pStyle w:val="FootnoteText"/>
        <w:rPr>
          <w:rFonts w:ascii="Calibri" w:hAnsi="Calibri"/>
          <w:sz w:val="16"/>
          <w:szCs w:val="16"/>
        </w:rPr>
      </w:pPr>
      <w:r w:rsidRPr="007B684F">
        <w:rPr>
          <w:rFonts w:ascii="Calibri" w:hAnsi="Calibri"/>
          <w:sz w:val="16"/>
          <w:szCs w:val="16"/>
        </w:rPr>
        <w:t xml:space="preserve"> </w:t>
      </w:r>
      <w:r>
        <w:rPr>
          <w:rFonts w:ascii="Calibri" w:hAnsi="Calibri"/>
          <w:sz w:val="16"/>
          <w:szCs w:val="16"/>
        </w:rPr>
        <w:t xml:space="preserve">  </w:t>
      </w:r>
      <w:r w:rsidRPr="007B684F">
        <w:rPr>
          <w:rFonts w:ascii="Calibri" w:hAnsi="Calibri"/>
          <w:sz w:val="16"/>
          <w:szCs w:val="16"/>
        </w:rPr>
        <w:t xml:space="preserve">submits price data on 4.525 </w:t>
      </w:r>
      <w:r>
        <w:rPr>
          <w:rFonts w:ascii="Calibri" w:hAnsi="Calibri"/>
          <w:sz w:val="16"/>
          <w:szCs w:val="16"/>
        </w:rPr>
        <w:t>items. Thus, the average response time is 5 minutes x 4.525 items = 22.625</w:t>
      </w:r>
      <w:r w:rsidRPr="007B684F">
        <w:rPr>
          <w:rFonts w:ascii="Calibri" w:hAnsi="Calibri"/>
          <w:sz w:val="16"/>
          <w:szCs w:val="16"/>
        </w:rPr>
        <w:t xml:space="preserve"> minutes</w:t>
      </w:r>
      <w:r>
        <w:rPr>
          <w:rFonts w:ascii="Calibri" w:hAnsi="Calibri"/>
          <w:sz w:val="16"/>
          <w:szCs w:val="16"/>
        </w:rPr>
        <w:t xml:space="preserve"> </w:t>
      </w:r>
      <w:r w:rsidRPr="007B684F">
        <w:rPr>
          <w:rFonts w:ascii="Calibri" w:hAnsi="Calibri"/>
          <w:sz w:val="16"/>
          <w:szCs w:val="16"/>
        </w:rPr>
        <w:t>= 0.</w:t>
      </w:r>
      <w:r>
        <w:rPr>
          <w:rFonts w:ascii="Calibri" w:hAnsi="Calibri"/>
          <w:sz w:val="16"/>
          <w:szCs w:val="16"/>
        </w:rPr>
        <w:t>3771</w:t>
      </w:r>
      <w:r w:rsidRPr="007B684F">
        <w:rPr>
          <w:rFonts w:ascii="Calibri" w:hAnsi="Calibri"/>
          <w:sz w:val="16"/>
          <w:szCs w:val="16"/>
        </w:rPr>
        <w:t>hours.</w:t>
      </w:r>
    </w:p>
  </w:footnote>
  <w:footnote w:id="8">
    <w:p w:rsidR="001C0DCC" w:rsidRDefault="001C0DCC" w:rsidP="00024B9F">
      <w:pPr>
        <w:pStyle w:val="FootnoteText"/>
      </w:pPr>
      <w:r w:rsidRPr="001C3604">
        <w:rPr>
          <w:rFonts w:ascii="Calibri" w:hAnsi="Calibri"/>
          <w:sz w:val="18"/>
          <w:szCs w:val="18"/>
          <w:vertAlign w:val="superscript"/>
        </w:rPr>
        <w:t xml:space="preserve">8 </w:t>
      </w:r>
      <w:r w:rsidRPr="007B684F">
        <w:rPr>
          <w:rFonts w:ascii="Calibri" w:hAnsi="Calibri"/>
          <w:sz w:val="16"/>
          <w:szCs w:val="16"/>
        </w:rPr>
        <w:t>Rounded to the nearest hour.</w:t>
      </w:r>
    </w:p>
  </w:footnote>
  <w:footnote w:id="9">
    <w:p w:rsidR="001C0DCC" w:rsidRDefault="001C0DCC" w:rsidP="00024B9F">
      <w:pPr>
        <w:pStyle w:val="FootnoteText"/>
        <w:rPr>
          <w:rFonts w:ascii="Calibri" w:hAnsi="Calibri"/>
          <w:sz w:val="16"/>
          <w:szCs w:val="16"/>
        </w:rPr>
      </w:pPr>
      <w:r w:rsidRPr="00963FDF">
        <w:rPr>
          <w:rStyle w:val="FootnoteReference"/>
          <w:rFonts w:ascii="Calibri" w:hAnsi="Calibri"/>
          <w:sz w:val="16"/>
          <w:szCs w:val="16"/>
        </w:rPr>
        <w:footnoteRef/>
      </w:r>
      <w:r w:rsidRPr="00963FDF">
        <w:rPr>
          <w:rFonts w:ascii="Calibri" w:hAnsi="Calibri"/>
          <w:sz w:val="16"/>
          <w:szCs w:val="16"/>
        </w:rPr>
        <w:t xml:space="preserve">   </w:t>
      </w:r>
      <w:r>
        <w:rPr>
          <w:rFonts w:ascii="Calibri" w:hAnsi="Calibri"/>
          <w:sz w:val="16"/>
          <w:szCs w:val="16"/>
        </w:rPr>
        <w:t>T</w:t>
      </w:r>
      <w:r w:rsidRPr="00963FDF">
        <w:rPr>
          <w:rFonts w:ascii="Calibri" w:hAnsi="Calibri"/>
          <w:sz w:val="16"/>
          <w:szCs w:val="16"/>
        </w:rPr>
        <w:t>he average burden to reprice is</w:t>
      </w:r>
      <w:r>
        <w:rPr>
          <w:rFonts w:ascii="Calibri" w:hAnsi="Calibri"/>
          <w:sz w:val="16"/>
          <w:szCs w:val="16"/>
        </w:rPr>
        <w:t xml:space="preserve"> </w:t>
      </w:r>
      <w:r w:rsidRPr="00963FDF">
        <w:rPr>
          <w:rFonts w:ascii="Calibri" w:hAnsi="Calibri"/>
          <w:sz w:val="16"/>
          <w:szCs w:val="16"/>
        </w:rPr>
        <w:t xml:space="preserve">currently estimated at 5 minutes per item, based upon internal testing. On average, an import respondent </w:t>
      </w:r>
    </w:p>
    <w:p w:rsidR="001C0DCC" w:rsidRPr="00963FDF" w:rsidRDefault="001C0DCC" w:rsidP="00024B9F">
      <w:pPr>
        <w:pStyle w:val="FootnoteText"/>
        <w:rPr>
          <w:rFonts w:ascii="Calibri" w:hAnsi="Calibri"/>
          <w:sz w:val="16"/>
          <w:szCs w:val="16"/>
        </w:rPr>
      </w:pPr>
      <w:r>
        <w:rPr>
          <w:rFonts w:ascii="Calibri" w:hAnsi="Calibri"/>
          <w:sz w:val="16"/>
          <w:szCs w:val="16"/>
        </w:rPr>
        <w:t xml:space="preserve">    s</w:t>
      </w:r>
      <w:r w:rsidRPr="00963FDF">
        <w:rPr>
          <w:rFonts w:ascii="Calibri" w:hAnsi="Calibri"/>
          <w:sz w:val="16"/>
          <w:szCs w:val="16"/>
        </w:rPr>
        <w:t>ubmits price data</w:t>
      </w:r>
      <w:r>
        <w:rPr>
          <w:rFonts w:ascii="Calibri" w:hAnsi="Calibri"/>
          <w:sz w:val="16"/>
          <w:szCs w:val="16"/>
        </w:rPr>
        <w:t xml:space="preserve"> </w:t>
      </w:r>
      <w:r w:rsidRPr="00963FDF">
        <w:rPr>
          <w:rFonts w:ascii="Calibri" w:hAnsi="Calibri"/>
          <w:sz w:val="16"/>
          <w:szCs w:val="16"/>
        </w:rPr>
        <w:t>on 4.927 items. Thus, the average response time is 5 minutes x 4.927 items = 24.635 minutes</w:t>
      </w:r>
      <w:r>
        <w:rPr>
          <w:rFonts w:ascii="Calibri" w:hAnsi="Calibri"/>
          <w:sz w:val="16"/>
          <w:szCs w:val="16"/>
        </w:rPr>
        <w:t xml:space="preserve"> </w:t>
      </w:r>
      <w:r w:rsidRPr="00963FDF">
        <w:rPr>
          <w:rFonts w:ascii="Calibri" w:hAnsi="Calibri"/>
          <w:sz w:val="16"/>
          <w:szCs w:val="16"/>
        </w:rPr>
        <w:t xml:space="preserve">= 0.4106 hours. </w:t>
      </w:r>
    </w:p>
  </w:footnote>
  <w:footnote w:id="10">
    <w:p w:rsidR="001C0DCC" w:rsidRPr="004E3424" w:rsidRDefault="001C0DCC" w:rsidP="00024B9F">
      <w:pPr>
        <w:pStyle w:val="FootnoteText"/>
        <w:rPr>
          <w:rFonts w:ascii="Calibri" w:hAnsi="Calibri"/>
          <w:sz w:val="18"/>
          <w:szCs w:val="18"/>
        </w:rPr>
      </w:pPr>
      <w:r w:rsidRPr="00963FDF">
        <w:rPr>
          <w:rStyle w:val="FootnoteReference"/>
          <w:rFonts w:ascii="Calibri" w:hAnsi="Calibri"/>
          <w:sz w:val="16"/>
          <w:szCs w:val="16"/>
        </w:rPr>
        <w:footnoteRef/>
      </w:r>
      <w:r w:rsidRPr="00963FDF">
        <w:rPr>
          <w:rFonts w:ascii="Calibri" w:hAnsi="Calibri"/>
          <w:sz w:val="16"/>
          <w:szCs w:val="16"/>
        </w:rPr>
        <w:t xml:space="preserve"> Rounded to the nearest hour.</w:t>
      </w:r>
    </w:p>
  </w:footnote>
  <w:footnote w:id="11">
    <w:p w:rsidR="001C0DCC" w:rsidRPr="001C0DCC" w:rsidRDefault="001C0DCC" w:rsidP="00E33E3E">
      <w:pPr>
        <w:pStyle w:val="FootnoteText"/>
        <w:rPr>
          <w:rFonts w:ascii="Calibri" w:hAnsi="Calibri"/>
          <w:sz w:val="16"/>
          <w:szCs w:val="16"/>
        </w:rPr>
      </w:pPr>
      <w:r w:rsidRPr="001C0DCC">
        <w:rPr>
          <w:rStyle w:val="FootnoteReference"/>
          <w:rFonts w:ascii="Calibri" w:hAnsi="Calibri"/>
          <w:sz w:val="16"/>
          <w:szCs w:val="16"/>
        </w:rPr>
        <w:footnoteRef/>
      </w:r>
      <w:r w:rsidRPr="001C0DCC">
        <w:rPr>
          <w:rFonts w:ascii="Calibri" w:hAnsi="Calibri"/>
          <w:sz w:val="16"/>
          <w:szCs w:val="16"/>
          <w:vertAlign w:val="superscript"/>
        </w:rPr>
        <w:t xml:space="preserve">  </w:t>
      </w:r>
      <w:r>
        <w:rPr>
          <w:rFonts w:ascii="Calibri" w:hAnsi="Calibri"/>
          <w:sz w:val="16"/>
          <w:szCs w:val="16"/>
          <w:vertAlign w:val="superscript"/>
        </w:rPr>
        <w:t xml:space="preserve"> </w:t>
      </w:r>
      <w:r w:rsidRPr="001C0DCC">
        <w:rPr>
          <w:rFonts w:ascii="Calibri" w:hAnsi="Calibri"/>
          <w:sz w:val="16"/>
          <w:szCs w:val="16"/>
        </w:rPr>
        <w:t>Approximately 89 percent of IPP respondents can be categorized as a management, professional or related employee in private industry</w:t>
      </w:r>
    </w:p>
    <w:p w:rsidR="001C0DCC" w:rsidRPr="001C0DCC" w:rsidRDefault="001C0DCC">
      <w:pPr>
        <w:pStyle w:val="FootnoteText"/>
        <w:rPr>
          <w:rFonts w:ascii="Calibri" w:hAnsi="Calibri"/>
          <w:sz w:val="16"/>
          <w:szCs w:val="16"/>
        </w:rPr>
      </w:pPr>
      <w:r w:rsidRPr="001C0DCC">
        <w:rPr>
          <w:rFonts w:ascii="Calibri" w:hAnsi="Calibri"/>
          <w:sz w:val="16"/>
          <w:szCs w:val="16"/>
        </w:rPr>
        <w:t xml:space="preserve">     while about 11 percent can be categorized as a sales or office employee.</w:t>
      </w:r>
    </w:p>
  </w:footnote>
  <w:footnote w:id="12">
    <w:p w:rsidR="001C0DCC" w:rsidRDefault="001C0DCC" w:rsidP="00024B9F">
      <w:pPr>
        <w:pStyle w:val="FootnoteText"/>
        <w:rPr>
          <w:rFonts w:ascii="Calibri" w:hAnsi="Calibri"/>
          <w:sz w:val="16"/>
          <w:szCs w:val="16"/>
        </w:rPr>
      </w:pPr>
      <w:r w:rsidRPr="001C0DCC">
        <w:rPr>
          <w:rStyle w:val="FootnoteReference"/>
          <w:rFonts w:ascii="Calibri" w:hAnsi="Calibri"/>
          <w:sz w:val="16"/>
          <w:szCs w:val="16"/>
        </w:rPr>
        <w:t>12</w:t>
      </w:r>
      <w:r w:rsidRPr="001C0DCC">
        <w:rPr>
          <w:rFonts w:ascii="Calibri" w:hAnsi="Calibri"/>
          <w:sz w:val="16"/>
          <w:szCs w:val="16"/>
        </w:rPr>
        <w:t xml:space="preserve"> </w:t>
      </w:r>
      <w:r>
        <w:rPr>
          <w:rFonts w:ascii="Calibri" w:hAnsi="Calibri"/>
          <w:sz w:val="16"/>
          <w:szCs w:val="16"/>
        </w:rPr>
        <w:t xml:space="preserve"> </w:t>
      </w:r>
      <w:r w:rsidRPr="001C0DCC">
        <w:rPr>
          <w:rFonts w:ascii="Calibri" w:hAnsi="Calibri"/>
          <w:sz w:val="16"/>
          <w:szCs w:val="16"/>
        </w:rPr>
        <w:t>The three</w:t>
      </w:r>
      <w:r w:rsidR="00D86947">
        <w:rPr>
          <w:rFonts w:ascii="Calibri" w:hAnsi="Calibri"/>
          <w:sz w:val="16"/>
          <w:szCs w:val="16"/>
        </w:rPr>
        <w:t>-</w:t>
      </w:r>
      <w:r w:rsidRPr="001C0DCC">
        <w:rPr>
          <w:rFonts w:ascii="Calibri" w:hAnsi="Calibri"/>
          <w:sz w:val="16"/>
          <w:szCs w:val="16"/>
        </w:rPr>
        <w:t>month ECI for management, professional, and related employees in private industry was 0.3 and sales</w:t>
      </w:r>
      <w:r>
        <w:rPr>
          <w:rFonts w:ascii="Calibri" w:hAnsi="Calibri"/>
          <w:sz w:val="16"/>
          <w:szCs w:val="16"/>
        </w:rPr>
        <w:t xml:space="preserve"> </w:t>
      </w:r>
      <w:r w:rsidRPr="001C0DCC">
        <w:rPr>
          <w:rFonts w:ascii="Calibri" w:hAnsi="Calibri"/>
          <w:sz w:val="16"/>
          <w:szCs w:val="16"/>
        </w:rPr>
        <w:t>and office employees in</w:t>
      </w:r>
    </w:p>
    <w:p w:rsidR="001C0DCC" w:rsidRDefault="001C0DCC" w:rsidP="00024B9F">
      <w:pPr>
        <w:pStyle w:val="FootnoteText"/>
        <w:rPr>
          <w:rFonts w:ascii="Calibri" w:hAnsi="Calibri"/>
          <w:sz w:val="16"/>
          <w:szCs w:val="16"/>
        </w:rPr>
      </w:pPr>
      <w:r w:rsidRPr="001C0DCC">
        <w:rPr>
          <w:rFonts w:ascii="Calibri" w:hAnsi="Calibri"/>
          <w:sz w:val="16"/>
          <w:szCs w:val="16"/>
        </w:rPr>
        <w:t xml:space="preserve"> </w:t>
      </w:r>
      <w:r>
        <w:rPr>
          <w:rFonts w:ascii="Calibri" w:hAnsi="Calibri"/>
          <w:sz w:val="16"/>
          <w:szCs w:val="16"/>
        </w:rPr>
        <w:t xml:space="preserve">    </w:t>
      </w:r>
      <w:r w:rsidRPr="001C0DCC">
        <w:rPr>
          <w:rFonts w:ascii="Calibri" w:hAnsi="Calibri"/>
          <w:sz w:val="16"/>
          <w:szCs w:val="16"/>
        </w:rPr>
        <w:t>private industry was 0.4 percent. See above footnote for additional info related to the following</w:t>
      </w:r>
      <w:r>
        <w:rPr>
          <w:rFonts w:ascii="Calibri" w:hAnsi="Calibri"/>
          <w:sz w:val="16"/>
          <w:szCs w:val="16"/>
        </w:rPr>
        <w:t xml:space="preserve"> </w:t>
      </w:r>
      <w:r w:rsidRPr="001C0DCC">
        <w:rPr>
          <w:rFonts w:ascii="Calibri" w:hAnsi="Calibri"/>
          <w:sz w:val="16"/>
          <w:szCs w:val="16"/>
        </w:rPr>
        <w:t>calculation:  (0.3 x .89) + (0.4 x .11) = 0.31</w:t>
      </w:r>
    </w:p>
    <w:p w:rsidR="001C0DCC" w:rsidRPr="001C0DCC" w:rsidRDefault="001C0DCC" w:rsidP="00024B9F">
      <w:pPr>
        <w:pStyle w:val="FootnoteText"/>
        <w:rPr>
          <w:rFonts w:ascii="Calibri" w:hAnsi="Calibri"/>
          <w:sz w:val="16"/>
          <w:szCs w:val="16"/>
        </w:rPr>
      </w:pPr>
      <w:r w:rsidRPr="001C0DCC">
        <w:rPr>
          <w:rFonts w:ascii="Calibri" w:hAnsi="Calibri"/>
          <w:sz w:val="16"/>
          <w:szCs w:val="16"/>
        </w:rPr>
        <w:t xml:space="preserve"> </w:t>
      </w:r>
      <w:r>
        <w:rPr>
          <w:rFonts w:ascii="Calibri" w:hAnsi="Calibri"/>
          <w:sz w:val="16"/>
          <w:szCs w:val="16"/>
        </w:rPr>
        <w:t xml:space="preserve">    </w:t>
      </w:r>
      <w:r w:rsidRPr="001C0DCC">
        <w:rPr>
          <w:rFonts w:ascii="Calibri" w:hAnsi="Calibri"/>
          <w:sz w:val="16"/>
          <w:szCs w:val="16"/>
        </w:rPr>
        <w:t xml:space="preserve">percent change in ECI of the BLS. </w:t>
      </w:r>
    </w:p>
    <w:p w:rsidR="001C0DCC" w:rsidRDefault="001C0DCC" w:rsidP="00024B9F">
      <w:pPr>
        <w:pStyle w:val="FootnoteText"/>
        <w:rPr>
          <w:rFonts w:ascii="Calibri" w:hAnsi="Calibri"/>
          <w:sz w:val="16"/>
          <w:szCs w:val="16"/>
        </w:rPr>
      </w:pPr>
      <w:r w:rsidRPr="001C0DCC">
        <w:rPr>
          <w:rFonts w:ascii="Calibri" w:hAnsi="Calibri"/>
          <w:sz w:val="16"/>
          <w:szCs w:val="16"/>
          <w:vertAlign w:val="superscript"/>
        </w:rPr>
        <w:t xml:space="preserve">13 </w:t>
      </w:r>
      <w:r w:rsidRPr="001C0DCC">
        <w:rPr>
          <w:rFonts w:ascii="Calibri" w:hAnsi="Calibri"/>
          <w:sz w:val="16"/>
          <w:szCs w:val="16"/>
        </w:rPr>
        <w:t xml:space="preserve"> </w:t>
      </w:r>
      <w:r>
        <w:rPr>
          <w:rFonts w:ascii="Calibri" w:hAnsi="Calibri"/>
          <w:sz w:val="16"/>
          <w:szCs w:val="16"/>
        </w:rPr>
        <w:t>The 12-</w:t>
      </w:r>
      <w:r w:rsidRPr="001C0DCC">
        <w:rPr>
          <w:rFonts w:ascii="Calibri" w:hAnsi="Calibri"/>
          <w:sz w:val="16"/>
          <w:szCs w:val="16"/>
        </w:rPr>
        <w:t>month ECI for management, professional, and related employees in private industry in the last quarter of</w:t>
      </w:r>
      <w:r>
        <w:rPr>
          <w:rFonts w:ascii="Calibri" w:hAnsi="Calibri"/>
          <w:sz w:val="16"/>
          <w:szCs w:val="16"/>
        </w:rPr>
        <w:t xml:space="preserve"> </w:t>
      </w:r>
      <w:r w:rsidRPr="001C0DCC">
        <w:rPr>
          <w:rFonts w:ascii="Calibri" w:hAnsi="Calibri"/>
          <w:sz w:val="16"/>
          <w:szCs w:val="16"/>
        </w:rPr>
        <w:t>2011 was 2.1 percent; the</w:t>
      </w:r>
    </w:p>
    <w:p w:rsidR="001C0DCC" w:rsidRDefault="001C0DCC" w:rsidP="00024B9F">
      <w:pPr>
        <w:pStyle w:val="FootnoteText"/>
        <w:rPr>
          <w:rFonts w:ascii="Calibri" w:hAnsi="Calibri"/>
          <w:sz w:val="16"/>
          <w:szCs w:val="16"/>
        </w:rPr>
      </w:pPr>
      <w:r w:rsidRPr="001C0DCC">
        <w:rPr>
          <w:rFonts w:ascii="Calibri" w:hAnsi="Calibri"/>
          <w:sz w:val="16"/>
          <w:szCs w:val="16"/>
        </w:rPr>
        <w:t xml:space="preserve"> </w:t>
      </w:r>
      <w:r>
        <w:rPr>
          <w:rFonts w:ascii="Calibri" w:hAnsi="Calibri"/>
          <w:sz w:val="16"/>
          <w:szCs w:val="16"/>
        </w:rPr>
        <w:t xml:space="preserve">    12-</w:t>
      </w:r>
      <w:r w:rsidRPr="001C0DCC">
        <w:rPr>
          <w:rFonts w:ascii="Calibri" w:hAnsi="Calibri"/>
          <w:sz w:val="16"/>
          <w:szCs w:val="16"/>
        </w:rPr>
        <w:t>month ECI for sales and office employees in private industry was 2.3 percent.  See footnote 11 for additional</w:t>
      </w:r>
      <w:r>
        <w:rPr>
          <w:rFonts w:ascii="Calibri" w:hAnsi="Calibri"/>
          <w:sz w:val="16"/>
          <w:szCs w:val="16"/>
        </w:rPr>
        <w:t xml:space="preserve"> </w:t>
      </w:r>
      <w:r w:rsidRPr="001C0DCC">
        <w:rPr>
          <w:rFonts w:ascii="Calibri" w:hAnsi="Calibri"/>
          <w:sz w:val="16"/>
          <w:szCs w:val="16"/>
        </w:rPr>
        <w:t>info related to the following</w:t>
      </w:r>
    </w:p>
    <w:p w:rsidR="001C0DCC" w:rsidRPr="001C3604" w:rsidRDefault="001C0DCC" w:rsidP="00024B9F">
      <w:pPr>
        <w:pStyle w:val="FootnoteText"/>
        <w:rPr>
          <w:rFonts w:ascii="Calibri" w:hAnsi="Calibri"/>
          <w:sz w:val="16"/>
          <w:szCs w:val="16"/>
        </w:rPr>
      </w:pPr>
      <w:r w:rsidRPr="001C0DCC">
        <w:rPr>
          <w:rFonts w:ascii="Calibri" w:hAnsi="Calibri"/>
          <w:sz w:val="16"/>
          <w:szCs w:val="16"/>
        </w:rPr>
        <w:t xml:space="preserve"> </w:t>
      </w:r>
      <w:r>
        <w:rPr>
          <w:rFonts w:ascii="Calibri" w:hAnsi="Calibri"/>
          <w:sz w:val="16"/>
          <w:szCs w:val="16"/>
        </w:rPr>
        <w:t xml:space="preserve">    </w:t>
      </w:r>
      <w:r w:rsidRPr="001C0DCC">
        <w:rPr>
          <w:rFonts w:ascii="Calibri" w:hAnsi="Calibri"/>
          <w:sz w:val="16"/>
          <w:szCs w:val="16"/>
        </w:rPr>
        <w:t>calculation: (2.1 x 0.89) + (2.3 x 0.11) = 2.12 (weighted avg percent change in ECI per year, for both categories).</w:t>
      </w:r>
    </w:p>
  </w:footnote>
  <w:footnote w:id="13">
    <w:p w:rsidR="001C0DCC" w:rsidRDefault="001C0DCC" w:rsidP="00D33C14">
      <w:pPr>
        <w:pStyle w:val="FootnoteText"/>
        <w:rPr>
          <w:rFonts w:ascii="Calibri" w:hAnsi="Calibri"/>
          <w:sz w:val="16"/>
          <w:szCs w:val="16"/>
        </w:rPr>
      </w:pPr>
      <w:r w:rsidRPr="00CB3D01">
        <w:rPr>
          <w:rStyle w:val="FootnoteReference"/>
          <w:rFonts w:ascii="Calibri" w:hAnsi="Calibri"/>
          <w:sz w:val="16"/>
          <w:szCs w:val="16"/>
        </w:rPr>
        <w:t>14</w:t>
      </w:r>
      <w:r w:rsidRPr="00CB3D01">
        <w:rPr>
          <w:rFonts w:ascii="Calibri" w:hAnsi="Calibri"/>
          <w:sz w:val="16"/>
          <w:szCs w:val="16"/>
        </w:rPr>
        <w:t xml:space="preserve"> IPP uses the term “stratum” (pl. “strata”) to refer to a grouping of one or more classification groups which</w:t>
      </w:r>
      <w:r>
        <w:rPr>
          <w:rFonts w:ascii="Calibri" w:hAnsi="Calibri"/>
          <w:sz w:val="16"/>
          <w:szCs w:val="16"/>
        </w:rPr>
        <w:t xml:space="preserve"> </w:t>
      </w:r>
      <w:r w:rsidRPr="00CB3D01">
        <w:rPr>
          <w:rFonts w:ascii="Calibri" w:hAnsi="Calibri"/>
          <w:sz w:val="16"/>
          <w:szCs w:val="16"/>
        </w:rPr>
        <w:t>are homogenous with respect to</w:t>
      </w:r>
    </w:p>
    <w:p w:rsidR="001C0DCC" w:rsidRPr="00CB3D01" w:rsidRDefault="001C0DCC" w:rsidP="00D33C14">
      <w:pPr>
        <w:pStyle w:val="FootnoteText"/>
        <w:rPr>
          <w:rFonts w:ascii="Calibri" w:hAnsi="Calibri"/>
          <w:sz w:val="16"/>
          <w:szCs w:val="16"/>
        </w:rPr>
      </w:pPr>
      <w:r>
        <w:rPr>
          <w:rFonts w:ascii="Calibri" w:hAnsi="Calibri"/>
          <w:sz w:val="16"/>
          <w:szCs w:val="16"/>
        </w:rPr>
        <w:t xml:space="preserve">   </w:t>
      </w:r>
      <w:r w:rsidRPr="00CB3D01">
        <w:rPr>
          <w:rFonts w:ascii="Calibri" w:hAnsi="Calibri"/>
          <w:sz w:val="16"/>
          <w:szCs w:val="16"/>
        </w:rPr>
        <w:t xml:space="preserve">some characteristic and may experience similar price trends.  </w:t>
      </w:r>
    </w:p>
    <w:p w:rsidR="001C0DCC" w:rsidRDefault="001C0DCC">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24B9F"/>
    <w:rsid w:val="000101DF"/>
    <w:rsid w:val="00024B9F"/>
    <w:rsid w:val="00034C41"/>
    <w:rsid w:val="00067B44"/>
    <w:rsid w:val="00097D6E"/>
    <w:rsid w:val="000C2652"/>
    <w:rsid w:val="000C58F0"/>
    <w:rsid w:val="000E64EA"/>
    <w:rsid w:val="000F1183"/>
    <w:rsid w:val="001744A6"/>
    <w:rsid w:val="001A4CE8"/>
    <w:rsid w:val="001C0DCC"/>
    <w:rsid w:val="001C3604"/>
    <w:rsid w:val="001D53A7"/>
    <w:rsid w:val="001E5031"/>
    <w:rsid w:val="001F799B"/>
    <w:rsid w:val="002A4329"/>
    <w:rsid w:val="002D28DA"/>
    <w:rsid w:val="002E0E1F"/>
    <w:rsid w:val="00306014"/>
    <w:rsid w:val="00324B4D"/>
    <w:rsid w:val="003C4A9C"/>
    <w:rsid w:val="003D1C59"/>
    <w:rsid w:val="003D3766"/>
    <w:rsid w:val="00424E98"/>
    <w:rsid w:val="004C6B51"/>
    <w:rsid w:val="004D6EC5"/>
    <w:rsid w:val="00523944"/>
    <w:rsid w:val="005B4436"/>
    <w:rsid w:val="005F174B"/>
    <w:rsid w:val="006240A3"/>
    <w:rsid w:val="00645AED"/>
    <w:rsid w:val="00646784"/>
    <w:rsid w:val="00652F8F"/>
    <w:rsid w:val="006B462C"/>
    <w:rsid w:val="006E05E8"/>
    <w:rsid w:val="006F1110"/>
    <w:rsid w:val="00713784"/>
    <w:rsid w:val="00724F3E"/>
    <w:rsid w:val="0072504F"/>
    <w:rsid w:val="00776B8A"/>
    <w:rsid w:val="00791741"/>
    <w:rsid w:val="00797A35"/>
    <w:rsid w:val="008F5D07"/>
    <w:rsid w:val="00925F1B"/>
    <w:rsid w:val="00931329"/>
    <w:rsid w:val="00963FDF"/>
    <w:rsid w:val="009B5268"/>
    <w:rsid w:val="009B5FFC"/>
    <w:rsid w:val="00A04D8D"/>
    <w:rsid w:val="00A25DD1"/>
    <w:rsid w:val="00A26EF9"/>
    <w:rsid w:val="00A66106"/>
    <w:rsid w:val="00A8287D"/>
    <w:rsid w:val="00AA2CE5"/>
    <w:rsid w:val="00AD0718"/>
    <w:rsid w:val="00AE3F42"/>
    <w:rsid w:val="00B32529"/>
    <w:rsid w:val="00B42D18"/>
    <w:rsid w:val="00BE0C59"/>
    <w:rsid w:val="00C113C9"/>
    <w:rsid w:val="00C37BC8"/>
    <w:rsid w:val="00C76301"/>
    <w:rsid w:val="00C9769F"/>
    <w:rsid w:val="00CA34A1"/>
    <w:rsid w:val="00CA73A3"/>
    <w:rsid w:val="00CB3D01"/>
    <w:rsid w:val="00CB7A86"/>
    <w:rsid w:val="00CE7720"/>
    <w:rsid w:val="00D00293"/>
    <w:rsid w:val="00D33C14"/>
    <w:rsid w:val="00D86947"/>
    <w:rsid w:val="00DB11E3"/>
    <w:rsid w:val="00DE3C3F"/>
    <w:rsid w:val="00E00B32"/>
    <w:rsid w:val="00E33E3E"/>
    <w:rsid w:val="00E72972"/>
    <w:rsid w:val="00EA0AAD"/>
    <w:rsid w:val="00EC6E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B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024B9F"/>
    <w:rPr>
      <w:sz w:val="20"/>
      <w:szCs w:val="20"/>
    </w:rPr>
  </w:style>
  <w:style w:type="character" w:customStyle="1" w:styleId="FootnoteTextChar">
    <w:name w:val="Footnote Text Char"/>
    <w:basedOn w:val="DefaultParagraphFont"/>
    <w:link w:val="FootnoteText"/>
    <w:uiPriority w:val="99"/>
    <w:semiHidden/>
    <w:rsid w:val="00024B9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024B9F"/>
    <w:rPr>
      <w:vertAlign w:val="superscript"/>
    </w:rPr>
  </w:style>
  <w:style w:type="character" w:styleId="Hyperlink">
    <w:name w:val="Hyperlink"/>
    <w:basedOn w:val="DefaultParagraphFont"/>
    <w:rsid w:val="00024B9F"/>
    <w:rPr>
      <w:color w:val="0000FF"/>
      <w:u w:val="single"/>
    </w:rPr>
  </w:style>
  <w:style w:type="character" w:styleId="CommentReference">
    <w:name w:val="annotation reference"/>
    <w:basedOn w:val="DefaultParagraphFont"/>
    <w:uiPriority w:val="99"/>
    <w:semiHidden/>
    <w:unhideWhenUsed/>
    <w:rsid w:val="00EA0AAD"/>
    <w:rPr>
      <w:sz w:val="16"/>
      <w:szCs w:val="16"/>
    </w:rPr>
  </w:style>
  <w:style w:type="paragraph" w:styleId="CommentText">
    <w:name w:val="annotation text"/>
    <w:basedOn w:val="Normal"/>
    <w:link w:val="CommentTextChar"/>
    <w:uiPriority w:val="99"/>
    <w:semiHidden/>
    <w:unhideWhenUsed/>
    <w:rsid w:val="00EA0AAD"/>
    <w:rPr>
      <w:sz w:val="20"/>
      <w:szCs w:val="20"/>
    </w:rPr>
  </w:style>
  <w:style w:type="character" w:customStyle="1" w:styleId="CommentTextChar">
    <w:name w:val="Comment Text Char"/>
    <w:basedOn w:val="DefaultParagraphFont"/>
    <w:link w:val="CommentText"/>
    <w:uiPriority w:val="99"/>
    <w:semiHidden/>
    <w:rsid w:val="00EA0A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0AAD"/>
    <w:rPr>
      <w:b/>
      <w:bCs/>
    </w:rPr>
  </w:style>
  <w:style w:type="character" w:customStyle="1" w:styleId="CommentSubjectChar">
    <w:name w:val="Comment Subject Char"/>
    <w:basedOn w:val="CommentTextChar"/>
    <w:link w:val="CommentSubject"/>
    <w:uiPriority w:val="99"/>
    <w:semiHidden/>
    <w:rsid w:val="00EA0AAD"/>
    <w:rPr>
      <w:b/>
      <w:bCs/>
    </w:rPr>
  </w:style>
  <w:style w:type="paragraph" w:styleId="BalloonText">
    <w:name w:val="Balloon Text"/>
    <w:basedOn w:val="Normal"/>
    <w:link w:val="BalloonTextChar"/>
    <w:uiPriority w:val="99"/>
    <w:semiHidden/>
    <w:unhideWhenUsed/>
    <w:rsid w:val="00EA0AAD"/>
    <w:rPr>
      <w:rFonts w:ascii="Tahoma" w:hAnsi="Tahoma" w:cs="Tahoma"/>
      <w:sz w:val="16"/>
      <w:szCs w:val="16"/>
    </w:rPr>
  </w:style>
  <w:style w:type="character" w:customStyle="1" w:styleId="BalloonTextChar">
    <w:name w:val="Balloon Text Char"/>
    <w:basedOn w:val="DefaultParagraphFont"/>
    <w:link w:val="BalloonText"/>
    <w:uiPriority w:val="99"/>
    <w:semiHidden/>
    <w:rsid w:val="00EA0AAD"/>
    <w:rPr>
      <w:rFonts w:ascii="Tahoma" w:eastAsia="Times New Roman" w:hAnsi="Tahoma" w:cs="Tahoma"/>
      <w:sz w:val="16"/>
      <w:szCs w:val="16"/>
    </w:rPr>
  </w:style>
  <w:style w:type="paragraph" w:styleId="Header">
    <w:name w:val="header"/>
    <w:basedOn w:val="Normal"/>
    <w:link w:val="HeaderChar"/>
    <w:uiPriority w:val="99"/>
    <w:semiHidden/>
    <w:unhideWhenUsed/>
    <w:rsid w:val="001D53A7"/>
    <w:pPr>
      <w:tabs>
        <w:tab w:val="center" w:pos="4680"/>
        <w:tab w:val="right" w:pos="9360"/>
      </w:tabs>
    </w:pPr>
  </w:style>
  <w:style w:type="character" w:customStyle="1" w:styleId="HeaderChar">
    <w:name w:val="Header Char"/>
    <w:basedOn w:val="DefaultParagraphFont"/>
    <w:link w:val="Header"/>
    <w:uiPriority w:val="99"/>
    <w:semiHidden/>
    <w:rsid w:val="001D53A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D53A7"/>
    <w:pPr>
      <w:tabs>
        <w:tab w:val="center" w:pos="4680"/>
        <w:tab w:val="right" w:pos="9360"/>
      </w:tabs>
    </w:pPr>
  </w:style>
  <w:style w:type="character" w:customStyle="1" w:styleId="FooterChar">
    <w:name w:val="Footer Char"/>
    <w:basedOn w:val="DefaultParagraphFont"/>
    <w:link w:val="Footer"/>
    <w:uiPriority w:val="99"/>
    <w:rsid w:val="001D53A7"/>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sus.gov/foreign-trade/schedules/b/2012/index.html" TargetMode="External"/><Relationship Id="rId3" Type="http://schemas.openxmlformats.org/officeDocument/2006/relationships/settings" Target="settings.xml"/><Relationship Id="rId7" Type="http://schemas.openxmlformats.org/officeDocument/2006/relationships/hyperlink" Target="http://www.usitc.gov/tata/hts/bychapter/_1200.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ls.gov/schedule/news_release/ximpim.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AD585-553A-4207-A5FA-5DCBBC64B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5286</Words>
  <Characters>30131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35347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kincaid_n</dc:creator>
  <cp:keywords/>
  <dc:description/>
  <cp:lastModifiedBy>lam_c</cp:lastModifiedBy>
  <cp:revision>4</cp:revision>
  <cp:lastPrinted>2012-07-10T22:21:00Z</cp:lastPrinted>
  <dcterms:created xsi:type="dcterms:W3CDTF">2012-07-12T14:03:00Z</dcterms:created>
  <dcterms:modified xsi:type="dcterms:W3CDTF">2012-07-20T15:17:00Z</dcterms:modified>
</cp:coreProperties>
</file>