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94" w:rsidRP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 xml:space="preserve">Supporting Statement </w:t>
      </w:r>
      <w:r w:rsidR="004003BD">
        <w:rPr>
          <w:b/>
          <w:bCs/>
          <w:sz w:val="32"/>
          <w:szCs w:val="32"/>
        </w:rPr>
        <w:t>A</w:t>
      </w:r>
    </w:p>
    <w:p w:rsidR="00902694" w:rsidRDefault="00902694" w:rsidP="00902694">
      <w:pPr>
        <w:jc w:val="center"/>
        <w:rPr>
          <w:b/>
          <w:sz w:val="32"/>
          <w:szCs w:val="32"/>
        </w:rPr>
      </w:pPr>
      <w:r w:rsidRPr="00902694">
        <w:rPr>
          <w:b/>
          <w:sz w:val="32"/>
          <w:szCs w:val="32"/>
        </w:rPr>
        <w:t xml:space="preserve"> 30 CFR Parts 735</w:t>
      </w:r>
      <w:r w:rsidR="004373FA">
        <w:rPr>
          <w:b/>
          <w:sz w:val="32"/>
          <w:szCs w:val="32"/>
        </w:rPr>
        <w:t>, 885</w:t>
      </w:r>
      <w:r w:rsidRPr="00902694">
        <w:rPr>
          <w:b/>
          <w:sz w:val="32"/>
          <w:szCs w:val="32"/>
        </w:rPr>
        <w:t xml:space="preserve"> and 886, </w:t>
      </w:r>
    </w:p>
    <w:p w:rsidR="00902694" w:rsidRDefault="009E4E75" w:rsidP="00902694">
      <w:pPr>
        <w:jc w:val="center"/>
        <w:rPr>
          <w:b/>
          <w:sz w:val="32"/>
          <w:szCs w:val="32"/>
        </w:rPr>
      </w:pPr>
      <w:r w:rsidRPr="00902694">
        <w:rPr>
          <w:b/>
          <w:sz w:val="32"/>
          <w:szCs w:val="32"/>
        </w:rPr>
        <w:t>And</w:t>
      </w:r>
      <w:r w:rsidR="00902694" w:rsidRPr="00902694">
        <w:rPr>
          <w:b/>
          <w:sz w:val="32"/>
          <w:szCs w:val="32"/>
        </w:rPr>
        <w:t xml:space="preserve"> Forms OSM-47, OSM-49 and OSM-51</w:t>
      </w:r>
    </w:p>
    <w:p w:rsidR="004003BD" w:rsidRPr="00902694" w:rsidRDefault="004003BD" w:rsidP="00902694">
      <w:pPr>
        <w:jc w:val="center"/>
        <w:rPr>
          <w:b/>
          <w:sz w:val="32"/>
          <w:szCs w:val="32"/>
        </w:rPr>
      </w:pPr>
    </w:p>
    <w:p w:rsidR="00902694" w:rsidRP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OMB Control Number 1029-00</w:t>
      </w:r>
      <w:r>
        <w:rPr>
          <w:b/>
          <w:bCs/>
          <w:sz w:val="32"/>
          <w:szCs w:val="32"/>
        </w:rPr>
        <w:t>59</w:t>
      </w:r>
    </w:p>
    <w:p w:rsid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574B42" w:rsidRPr="00574B42" w:rsidRDefault="00574B42"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4B42">
        <w:rPr>
          <w:sz w:val="24"/>
          <w:szCs w:val="24"/>
        </w:rPr>
        <w:t>Terms of Clearance:  None</w:t>
      </w:r>
    </w:p>
    <w:p w:rsidR="00574B42" w:rsidRDefault="00574B42"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043285" w:rsidRPr="00072AA0" w:rsidRDefault="00043285" w:rsidP="00043285">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50DF5" w:rsidRDefault="00A50DF5">
      <w:pPr>
        <w:rPr>
          <w:sz w:val="24"/>
          <w:szCs w:val="24"/>
        </w:rPr>
      </w:pPr>
    </w:p>
    <w:p w:rsidR="00A50DF5" w:rsidRPr="00657CD0" w:rsidRDefault="00A50DF5" w:rsidP="00657CD0">
      <w:pPr>
        <w:pStyle w:val="Heading1"/>
        <w:rPr>
          <w:b/>
          <w:u w:val="none"/>
        </w:rPr>
      </w:pPr>
      <w:r w:rsidRPr="00657CD0">
        <w:rPr>
          <w:b/>
          <w:u w:val="none"/>
        </w:rPr>
        <w:t>Introduction</w:t>
      </w:r>
    </w:p>
    <w:p w:rsidR="00A50DF5" w:rsidRPr="00657CD0" w:rsidRDefault="00A50DF5" w:rsidP="00657CD0">
      <w:pPr>
        <w:rPr>
          <w:sz w:val="24"/>
          <w:szCs w:val="24"/>
        </w:rPr>
      </w:pPr>
    </w:p>
    <w:p w:rsidR="007D766E" w:rsidRDefault="00D352A2" w:rsidP="00657CD0">
      <w:pPr>
        <w:rPr>
          <w:sz w:val="24"/>
          <w:szCs w:val="24"/>
        </w:rPr>
      </w:pPr>
      <w:r>
        <w:rPr>
          <w:sz w:val="24"/>
          <w:szCs w:val="24"/>
        </w:rPr>
        <w:t xml:space="preserve">The </w:t>
      </w:r>
      <w:r w:rsidR="00F22AE6" w:rsidRPr="00657CD0">
        <w:rPr>
          <w:sz w:val="24"/>
          <w:szCs w:val="24"/>
        </w:rPr>
        <w:t>Office of Surface Mining Reclamation and Enforcement (OSM</w:t>
      </w:r>
      <w:r w:rsidR="00C52DB8">
        <w:rPr>
          <w:sz w:val="24"/>
          <w:szCs w:val="24"/>
        </w:rPr>
        <w:t>RE</w:t>
      </w:r>
      <w:r w:rsidR="00F22AE6" w:rsidRPr="00657CD0">
        <w:rPr>
          <w:sz w:val="24"/>
          <w:szCs w:val="24"/>
        </w:rPr>
        <w:t>)</w:t>
      </w:r>
      <w:r w:rsidR="00F22AE6">
        <w:rPr>
          <w:sz w:val="24"/>
          <w:szCs w:val="24"/>
        </w:rPr>
        <w:t xml:space="preserve"> is submitting t</w:t>
      </w:r>
      <w:r w:rsidR="00A50DF5" w:rsidRPr="00657CD0">
        <w:rPr>
          <w:sz w:val="24"/>
          <w:szCs w:val="24"/>
        </w:rPr>
        <w:t xml:space="preserve">his information collection clearance package to request </w:t>
      </w:r>
      <w:r w:rsidR="00C50FB9" w:rsidRPr="00657CD0">
        <w:rPr>
          <w:sz w:val="24"/>
          <w:szCs w:val="24"/>
        </w:rPr>
        <w:t xml:space="preserve">renewal authority </w:t>
      </w:r>
      <w:r w:rsidR="00A50DF5" w:rsidRPr="00657CD0">
        <w:rPr>
          <w:sz w:val="24"/>
          <w:szCs w:val="24"/>
        </w:rPr>
        <w:t xml:space="preserve">to collect information </w:t>
      </w:r>
      <w:r w:rsidR="006C23E5">
        <w:rPr>
          <w:sz w:val="24"/>
          <w:szCs w:val="24"/>
        </w:rPr>
        <w:t>under the following:</w:t>
      </w:r>
      <w:r w:rsidR="00A50DF5" w:rsidRPr="00657CD0">
        <w:rPr>
          <w:sz w:val="24"/>
          <w:szCs w:val="24"/>
        </w:rPr>
        <w:t xml:space="preserve"> </w:t>
      </w:r>
    </w:p>
    <w:p w:rsidR="00F720C9" w:rsidRDefault="00F720C9">
      <w:pPr>
        <w:pStyle w:val="ListParagraph"/>
        <w:rPr>
          <w:sz w:val="24"/>
          <w:szCs w:val="24"/>
        </w:rPr>
      </w:pPr>
    </w:p>
    <w:p w:rsidR="00F720C9" w:rsidRDefault="004167F6">
      <w:pPr>
        <w:pStyle w:val="ListParagraph"/>
        <w:numPr>
          <w:ilvl w:val="0"/>
          <w:numId w:val="4"/>
        </w:numPr>
        <w:rPr>
          <w:sz w:val="24"/>
          <w:szCs w:val="24"/>
        </w:rPr>
      </w:pPr>
      <w:r w:rsidRPr="004167F6">
        <w:rPr>
          <w:sz w:val="24"/>
          <w:szCs w:val="24"/>
        </w:rPr>
        <w:t xml:space="preserve">30 CFR 735 - Grants for Program Development and Administration and Enforcement, </w:t>
      </w:r>
    </w:p>
    <w:p w:rsidR="00F720C9" w:rsidRDefault="004167F6">
      <w:pPr>
        <w:pStyle w:val="ListParagraph"/>
        <w:numPr>
          <w:ilvl w:val="0"/>
          <w:numId w:val="4"/>
        </w:numPr>
        <w:rPr>
          <w:sz w:val="24"/>
          <w:szCs w:val="24"/>
        </w:rPr>
      </w:pPr>
      <w:r w:rsidRPr="004167F6">
        <w:rPr>
          <w:sz w:val="24"/>
          <w:szCs w:val="24"/>
        </w:rPr>
        <w:t xml:space="preserve">30 CFR 885 - Grants for Certified States and Indian Tribes, </w:t>
      </w:r>
    </w:p>
    <w:p w:rsidR="00F720C9" w:rsidRDefault="004167F6">
      <w:pPr>
        <w:pStyle w:val="ListParagraph"/>
        <w:numPr>
          <w:ilvl w:val="0"/>
          <w:numId w:val="4"/>
        </w:numPr>
        <w:rPr>
          <w:sz w:val="24"/>
          <w:szCs w:val="24"/>
        </w:rPr>
      </w:pPr>
      <w:r w:rsidRPr="004167F6">
        <w:rPr>
          <w:sz w:val="24"/>
          <w:szCs w:val="24"/>
        </w:rPr>
        <w:t xml:space="preserve">30 CFR 886 - State and Tribal Reclamation Grants.  </w:t>
      </w:r>
    </w:p>
    <w:p w:rsidR="006C23E5" w:rsidRDefault="006C23E5" w:rsidP="006C23E5">
      <w:pPr>
        <w:rPr>
          <w:sz w:val="24"/>
          <w:szCs w:val="24"/>
        </w:rPr>
      </w:pPr>
    </w:p>
    <w:p w:rsidR="00A50DF5" w:rsidRPr="00657CD0" w:rsidRDefault="004167F6" w:rsidP="00657CD0">
      <w:pPr>
        <w:rPr>
          <w:sz w:val="24"/>
          <w:szCs w:val="24"/>
        </w:rPr>
      </w:pPr>
      <w:r w:rsidRPr="004167F6">
        <w:rPr>
          <w:sz w:val="24"/>
          <w:szCs w:val="24"/>
        </w:rPr>
        <w:t>OSM</w:t>
      </w:r>
      <w:r w:rsidR="00C52DB8">
        <w:rPr>
          <w:sz w:val="24"/>
          <w:szCs w:val="24"/>
        </w:rPr>
        <w:t>RE</w:t>
      </w:r>
      <w:r w:rsidRPr="004167F6">
        <w:rPr>
          <w:sz w:val="24"/>
          <w:szCs w:val="24"/>
        </w:rPr>
        <w:t xml:space="preserve"> collects much  of the information required in these parts  through the use of forms OSM-47, “Budget Information Report”, OSM-49, “Budget Information and Financial Reporting Form”, and form OSM-51, “Program Narrative/Performance Report Statement.” </w:t>
      </w:r>
      <w:r w:rsidR="006C23E5">
        <w:rPr>
          <w:sz w:val="24"/>
          <w:szCs w:val="24"/>
        </w:rPr>
        <w:t xml:space="preserve"> The </w:t>
      </w:r>
      <w:r w:rsidR="001F7E4B" w:rsidRPr="00657CD0">
        <w:rPr>
          <w:sz w:val="24"/>
          <w:szCs w:val="24"/>
        </w:rPr>
        <w:t>Office of Management and Budget (OMB</w:t>
      </w:r>
      <w:r w:rsidR="007D766E">
        <w:rPr>
          <w:sz w:val="24"/>
          <w:szCs w:val="24"/>
        </w:rPr>
        <w:t>)</w:t>
      </w:r>
      <w:r w:rsidR="001F7E4B" w:rsidRPr="00657CD0">
        <w:rPr>
          <w:sz w:val="24"/>
          <w:szCs w:val="24"/>
        </w:rPr>
        <w:t xml:space="preserve"> approved </w:t>
      </w:r>
      <w:r w:rsidR="001F7E4B">
        <w:rPr>
          <w:sz w:val="24"/>
          <w:szCs w:val="24"/>
        </w:rPr>
        <w:t>t</w:t>
      </w:r>
      <w:r w:rsidR="00C50FB9" w:rsidRPr="00657CD0">
        <w:rPr>
          <w:sz w:val="24"/>
          <w:szCs w:val="24"/>
        </w:rPr>
        <w:t xml:space="preserve">his information collection </w:t>
      </w:r>
      <w:r w:rsidR="007D766E">
        <w:rPr>
          <w:sz w:val="24"/>
          <w:szCs w:val="24"/>
        </w:rPr>
        <w:t>t</w:t>
      </w:r>
      <w:r w:rsidR="00A50DF5" w:rsidRPr="00657CD0">
        <w:rPr>
          <w:sz w:val="24"/>
          <w:szCs w:val="24"/>
        </w:rPr>
        <w:t>he under control number 1029-0059</w:t>
      </w:r>
      <w:r w:rsidR="00C50FB9" w:rsidRPr="00657CD0">
        <w:rPr>
          <w:sz w:val="24"/>
          <w:szCs w:val="24"/>
        </w:rPr>
        <w:t xml:space="preserve">, which </w:t>
      </w:r>
      <w:r w:rsidR="00A50DF5" w:rsidRPr="00657CD0">
        <w:rPr>
          <w:sz w:val="24"/>
          <w:szCs w:val="24"/>
        </w:rPr>
        <w:t>relate</w:t>
      </w:r>
      <w:r w:rsidR="007D766E">
        <w:rPr>
          <w:sz w:val="24"/>
          <w:szCs w:val="24"/>
        </w:rPr>
        <w:t>s</w:t>
      </w:r>
      <w:r w:rsidR="00A50DF5" w:rsidRPr="00657CD0">
        <w:rPr>
          <w:sz w:val="24"/>
          <w:szCs w:val="24"/>
        </w:rPr>
        <w:t xml:space="preserve"> to </w:t>
      </w:r>
      <w:r w:rsidR="001F7E4B">
        <w:rPr>
          <w:sz w:val="24"/>
          <w:szCs w:val="24"/>
        </w:rPr>
        <w:t>the bureau</w:t>
      </w:r>
      <w:r w:rsidR="00A50DF5" w:rsidRPr="00657CD0">
        <w:rPr>
          <w:sz w:val="24"/>
          <w:szCs w:val="24"/>
        </w:rPr>
        <w:t xml:space="preserve">’s </w:t>
      </w:r>
      <w:r w:rsidR="00B406E0">
        <w:rPr>
          <w:sz w:val="24"/>
          <w:szCs w:val="24"/>
        </w:rPr>
        <w:t>administrative and enforcement</w:t>
      </w:r>
      <w:r w:rsidR="00E30123">
        <w:rPr>
          <w:sz w:val="24"/>
          <w:szCs w:val="24"/>
        </w:rPr>
        <w:t>, program development</w:t>
      </w:r>
      <w:r w:rsidR="006C23E5">
        <w:rPr>
          <w:sz w:val="24"/>
          <w:szCs w:val="24"/>
        </w:rPr>
        <w:t>,</w:t>
      </w:r>
      <w:r w:rsidR="00A50DF5" w:rsidRPr="00657CD0">
        <w:rPr>
          <w:sz w:val="24"/>
          <w:szCs w:val="24"/>
        </w:rPr>
        <w:t xml:space="preserve"> and </w:t>
      </w:r>
      <w:r w:rsidR="00E30123">
        <w:rPr>
          <w:sz w:val="24"/>
          <w:szCs w:val="24"/>
        </w:rPr>
        <w:t>a</w:t>
      </w:r>
      <w:r w:rsidR="00A50DF5" w:rsidRPr="00657CD0">
        <w:rPr>
          <w:sz w:val="24"/>
          <w:szCs w:val="24"/>
        </w:rPr>
        <w:t xml:space="preserve">bandoned </w:t>
      </w:r>
      <w:r w:rsidR="00E30123">
        <w:rPr>
          <w:sz w:val="24"/>
          <w:szCs w:val="24"/>
        </w:rPr>
        <w:t>m</w:t>
      </w:r>
      <w:r w:rsidR="00A50DF5" w:rsidRPr="00657CD0">
        <w:rPr>
          <w:sz w:val="24"/>
          <w:szCs w:val="24"/>
        </w:rPr>
        <w:t xml:space="preserve">ine </w:t>
      </w:r>
      <w:r w:rsidR="00E30123">
        <w:rPr>
          <w:sz w:val="24"/>
          <w:szCs w:val="24"/>
        </w:rPr>
        <w:t>l</w:t>
      </w:r>
      <w:r w:rsidR="00A50DF5" w:rsidRPr="00657CD0">
        <w:rPr>
          <w:sz w:val="24"/>
          <w:szCs w:val="24"/>
        </w:rPr>
        <w:t xml:space="preserve">and </w:t>
      </w:r>
      <w:r w:rsidR="00E30123">
        <w:rPr>
          <w:sz w:val="24"/>
          <w:szCs w:val="24"/>
        </w:rPr>
        <w:t>r</w:t>
      </w:r>
      <w:r w:rsidR="00A50DF5" w:rsidRPr="00657CD0">
        <w:rPr>
          <w:sz w:val="24"/>
          <w:szCs w:val="24"/>
        </w:rPr>
        <w:t xml:space="preserve">eclamation (AMLR) </w:t>
      </w:r>
      <w:r w:rsidR="00FC72E1">
        <w:rPr>
          <w:sz w:val="24"/>
          <w:szCs w:val="24"/>
        </w:rPr>
        <w:t>program</w:t>
      </w:r>
      <w:r w:rsidR="00A50DF5" w:rsidRPr="00657CD0">
        <w:rPr>
          <w:sz w:val="24"/>
          <w:szCs w:val="24"/>
        </w:rPr>
        <w:t xml:space="preserve"> requirements.</w:t>
      </w:r>
    </w:p>
    <w:p w:rsidR="00657CD0" w:rsidRDefault="00657CD0" w:rsidP="00657CD0">
      <w:pPr>
        <w:rPr>
          <w:sz w:val="24"/>
          <w:szCs w:val="24"/>
        </w:rPr>
      </w:pPr>
    </w:p>
    <w:p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E7035C" w:rsidRDefault="00E7035C" w:rsidP="00E70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A50DF5" w:rsidRDefault="00A50DF5">
      <w:pPr>
        <w:rPr>
          <w:sz w:val="24"/>
          <w:szCs w:val="24"/>
        </w:rPr>
      </w:pPr>
    </w:p>
    <w:p w:rsidR="00A50DF5" w:rsidRDefault="00A50DF5" w:rsidP="000C1D1D">
      <w:pPr>
        <w:tabs>
          <w:tab w:val="left" w:pos="720"/>
        </w:tabs>
        <w:ind w:left="720" w:hanging="720"/>
        <w:rPr>
          <w:sz w:val="24"/>
          <w:szCs w:val="24"/>
        </w:rPr>
      </w:pPr>
      <w:r>
        <w:rPr>
          <w:sz w:val="24"/>
          <w:szCs w:val="24"/>
        </w:rPr>
        <w:tab/>
        <w:t xml:space="preserve">Statutory authority for the collection of information </w:t>
      </w:r>
      <w:r w:rsidR="007D766E">
        <w:rPr>
          <w:sz w:val="24"/>
          <w:szCs w:val="24"/>
        </w:rPr>
        <w:t>in</w:t>
      </w:r>
      <w:r>
        <w:rPr>
          <w:sz w:val="24"/>
          <w:szCs w:val="24"/>
        </w:rPr>
        <w:t xml:space="preserve"> 30 CFR 735 is found in Section 705 of the Surface Mining Control and Reclamation Act.  The reporting requirement </w:t>
      </w:r>
      <w:r>
        <w:rPr>
          <w:sz w:val="24"/>
          <w:szCs w:val="24"/>
        </w:rPr>
        <w:lastRenderedPageBreak/>
        <w:t xml:space="preserve">authorizes </w:t>
      </w:r>
      <w:r w:rsidR="001F7E4B">
        <w:rPr>
          <w:sz w:val="24"/>
          <w:szCs w:val="24"/>
        </w:rPr>
        <w:t xml:space="preserve">recipients </w:t>
      </w:r>
      <w:r>
        <w:rPr>
          <w:sz w:val="24"/>
          <w:szCs w:val="24"/>
        </w:rPr>
        <w:t xml:space="preserve">to be accountable for funds </w:t>
      </w:r>
      <w:r w:rsidR="001F7E4B">
        <w:rPr>
          <w:sz w:val="24"/>
          <w:szCs w:val="24"/>
        </w:rPr>
        <w:t>received</w:t>
      </w:r>
      <w:r>
        <w:rPr>
          <w:sz w:val="24"/>
          <w:szCs w:val="24"/>
        </w:rPr>
        <w:t xml:space="preserve">.  Therefore, the </w:t>
      </w:r>
      <w:r w:rsidR="001F7E4B">
        <w:rPr>
          <w:sz w:val="24"/>
          <w:szCs w:val="24"/>
        </w:rPr>
        <w:t>s</w:t>
      </w:r>
      <w:r>
        <w:rPr>
          <w:sz w:val="24"/>
          <w:szCs w:val="24"/>
        </w:rPr>
        <w:t xml:space="preserve">tates and </w:t>
      </w:r>
      <w:r w:rsidR="001F7E4B">
        <w:rPr>
          <w:sz w:val="24"/>
          <w:szCs w:val="24"/>
        </w:rPr>
        <w:t>t</w:t>
      </w:r>
      <w:r>
        <w:rPr>
          <w:sz w:val="24"/>
          <w:szCs w:val="24"/>
        </w:rPr>
        <w:t>rib</w:t>
      </w:r>
      <w:r w:rsidR="00E64789">
        <w:rPr>
          <w:sz w:val="24"/>
          <w:szCs w:val="24"/>
        </w:rPr>
        <w:t>al</w:t>
      </w:r>
      <w:r>
        <w:rPr>
          <w:sz w:val="24"/>
          <w:szCs w:val="24"/>
        </w:rPr>
        <w:t xml:space="preserve"> </w:t>
      </w:r>
      <w:r w:rsidR="001F7E4B">
        <w:rPr>
          <w:sz w:val="24"/>
          <w:szCs w:val="24"/>
        </w:rPr>
        <w:t xml:space="preserve">entities </w:t>
      </w:r>
      <w:r>
        <w:rPr>
          <w:sz w:val="24"/>
          <w:szCs w:val="24"/>
        </w:rPr>
        <w:t xml:space="preserve">must </w:t>
      </w:r>
      <w:r w:rsidR="001F7E4B">
        <w:rPr>
          <w:sz w:val="24"/>
          <w:szCs w:val="24"/>
        </w:rPr>
        <w:t>provide</w:t>
      </w:r>
      <w:r>
        <w:rPr>
          <w:sz w:val="24"/>
          <w:szCs w:val="24"/>
        </w:rPr>
        <w:t xml:space="preserve"> estimates of the funds they believe </w:t>
      </w:r>
      <w:r w:rsidR="001F7E4B">
        <w:rPr>
          <w:sz w:val="24"/>
          <w:szCs w:val="24"/>
        </w:rPr>
        <w:t xml:space="preserve">will be </w:t>
      </w:r>
      <w:r>
        <w:rPr>
          <w:sz w:val="24"/>
          <w:szCs w:val="24"/>
        </w:rPr>
        <w:t>necessary to develop</w:t>
      </w:r>
      <w:r w:rsidR="007D766E">
        <w:rPr>
          <w:sz w:val="24"/>
          <w:szCs w:val="24"/>
        </w:rPr>
        <w:t xml:space="preserve"> and</w:t>
      </w:r>
      <w:r>
        <w:rPr>
          <w:sz w:val="24"/>
          <w:szCs w:val="24"/>
        </w:rPr>
        <w:t xml:space="preserve"> administer </w:t>
      </w:r>
      <w:r w:rsidR="007D766E">
        <w:rPr>
          <w:sz w:val="24"/>
          <w:szCs w:val="24"/>
        </w:rPr>
        <w:t xml:space="preserve">their </w:t>
      </w:r>
      <w:r>
        <w:rPr>
          <w:sz w:val="24"/>
          <w:szCs w:val="24"/>
        </w:rPr>
        <w:t>regulatory program.</w:t>
      </w:r>
    </w:p>
    <w:p w:rsidR="00A50DF5" w:rsidRDefault="00A50DF5">
      <w:pPr>
        <w:rPr>
          <w:sz w:val="24"/>
          <w:szCs w:val="24"/>
        </w:rPr>
      </w:pPr>
    </w:p>
    <w:p w:rsidR="00A50DF5" w:rsidRDefault="00A50DF5" w:rsidP="000C1D1D">
      <w:pPr>
        <w:ind w:left="720"/>
        <w:rPr>
          <w:sz w:val="24"/>
          <w:szCs w:val="24"/>
        </w:rPr>
      </w:pPr>
      <w:r>
        <w:rPr>
          <w:sz w:val="24"/>
          <w:szCs w:val="24"/>
        </w:rPr>
        <w:t xml:space="preserve">Statutory authority for 30 CFR </w:t>
      </w:r>
      <w:r w:rsidR="004373FA">
        <w:rPr>
          <w:sz w:val="24"/>
          <w:szCs w:val="24"/>
        </w:rPr>
        <w:t xml:space="preserve">885 and </w:t>
      </w:r>
      <w:r>
        <w:rPr>
          <w:sz w:val="24"/>
          <w:szCs w:val="24"/>
        </w:rPr>
        <w:t xml:space="preserve">886 </w:t>
      </w:r>
      <w:r w:rsidR="004373FA">
        <w:rPr>
          <w:sz w:val="24"/>
          <w:szCs w:val="24"/>
        </w:rPr>
        <w:t>are</w:t>
      </w:r>
      <w:r>
        <w:rPr>
          <w:sz w:val="24"/>
          <w:szCs w:val="24"/>
        </w:rPr>
        <w:t xml:space="preserve"> found in Sections 402(g)</w:t>
      </w:r>
      <w:r w:rsidR="00A1216A">
        <w:rPr>
          <w:sz w:val="24"/>
          <w:szCs w:val="24"/>
        </w:rPr>
        <w:t>,</w:t>
      </w:r>
      <w:r>
        <w:rPr>
          <w:sz w:val="24"/>
          <w:szCs w:val="24"/>
        </w:rPr>
        <w:t xml:space="preserve"> 405(h)</w:t>
      </w:r>
      <w:r w:rsidR="00A1216A">
        <w:rPr>
          <w:sz w:val="24"/>
          <w:szCs w:val="24"/>
        </w:rPr>
        <w:t>, and 411(h)</w:t>
      </w:r>
      <w:r>
        <w:rPr>
          <w:sz w:val="24"/>
          <w:szCs w:val="24"/>
        </w:rPr>
        <w:t xml:space="preserve"> of the Surface Mining Control and Reclamation Act.  </w:t>
      </w:r>
      <w:r w:rsidR="00A1216A">
        <w:rPr>
          <w:sz w:val="24"/>
          <w:szCs w:val="24"/>
        </w:rPr>
        <w:t xml:space="preserve">States and tribal entities are required to estimate funding needs separated by cost category.  Additionally, recipients are required to report on the use of funds received.  </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rsidP="000C1D1D">
      <w:pPr>
        <w:ind w:left="720" w:hanging="720"/>
        <w:rPr>
          <w:sz w:val="24"/>
          <w:szCs w:val="24"/>
        </w:rPr>
      </w:pPr>
      <w:r>
        <w:rPr>
          <w:sz w:val="24"/>
          <w:szCs w:val="24"/>
        </w:rPr>
        <w:tab/>
      </w:r>
      <w:r w:rsidR="003B2895">
        <w:rPr>
          <w:sz w:val="24"/>
          <w:szCs w:val="24"/>
        </w:rPr>
        <w:t>State/tribal</w:t>
      </w:r>
      <w:r w:rsidR="00A37D4C">
        <w:rPr>
          <w:sz w:val="24"/>
          <w:szCs w:val="24"/>
        </w:rPr>
        <w:t xml:space="preserve"> regulatory programs use the </w:t>
      </w:r>
      <w:r>
        <w:rPr>
          <w:sz w:val="24"/>
          <w:szCs w:val="24"/>
        </w:rPr>
        <w:t>OSM-47</w:t>
      </w:r>
      <w:r w:rsidR="00A37D4C">
        <w:rPr>
          <w:sz w:val="24"/>
          <w:szCs w:val="24"/>
        </w:rPr>
        <w:t xml:space="preserve"> form</w:t>
      </w:r>
      <w:r>
        <w:rPr>
          <w:sz w:val="24"/>
          <w:szCs w:val="24"/>
        </w:rPr>
        <w:t xml:space="preserve"> to estimate annual budget</w:t>
      </w:r>
      <w:r w:rsidR="00242597">
        <w:rPr>
          <w:sz w:val="24"/>
          <w:szCs w:val="24"/>
        </w:rPr>
        <w:t>s</w:t>
      </w:r>
      <w:r>
        <w:rPr>
          <w:sz w:val="24"/>
          <w:szCs w:val="24"/>
        </w:rPr>
        <w:t xml:space="preserve"> need</w:t>
      </w:r>
      <w:r w:rsidR="006C23E5">
        <w:rPr>
          <w:sz w:val="24"/>
          <w:szCs w:val="24"/>
        </w:rPr>
        <w:t>ed</w:t>
      </w:r>
      <w:r>
        <w:rPr>
          <w:sz w:val="24"/>
          <w:szCs w:val="24"/>
        </w:rPr>
        <w:t xml:space="preserve"> </w:t>
      </w:r>
      <w:r w:rsidR="00A37D4C">
        <w:rPr>
          <w:sz w:val="24"/>
          <w:szCs w:val="24"/>
        </w:rPr>
        <w:t xml:space="preserve">to operate its regulatory </w:t>
      </w:r>
      <w:r>
        <w:rPr>
          <w:sz w:val="24"/>
          <w:szCs w:val="24"/>
        </w:rPr>
        <w:t>program</w:t>
      </w:r>
      <w:r w:rsidR="007E13DA">
        <w:rPr>
          <w:sz w:val="24"/>
          <w:szCs w:val="24"/>
        </w:rPr>
        <w:t xml:space="preserve"> </w:t>
      </w:r>
      <w:r>
        <w:rPr>
          <w:sz w:val="24"/>
          <w:szCs w:val="24"/>
        </w:rPr>
        <w:t xml:space="preserve">under 30 CFR 735.13.  The information is being collected in accordance with the guidance </w:t>
      </w:r>
      <w:r w:rsidR="00A33F64">
        <w:rPr>
          <w:sz w:val="24"/>
          <w:szCs w:val="24"/>
        </w:rPr>
        <w:t>of the</w:t>
      </w:r>
      <w:r w:rsidR="003E4273">
        <w:rPr>
          <w:sz w:val="24"/>
          <w:szCs w:val="24"/>
        </w:rPr>
        <w:t xml:space="preserv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rsidR="001D6D3C" w:rsidRDefault="001D6D3C" w:rsidP="000C1D1D">
      <w:pPr>
        <w:ind w:left="720" w:hanging="720"/>
        <w:rPr>
          <w:sz w:val="24"/>
          <w:szCs w:val="24"/>
        </w:rPr>
      </w:pPr>
    </w:p>
    <w:p w:rsidR="003E4273" w:rsidRDefault="00981C67" w:rsidP="00B217E2">
      <w:pPr>
        <w:ind w:left="720"/>
        <w:rPr>
          <w:sz w:val="24"/>
          <w:szCs w:val="24"/>
        </w:rPr>
      </w:pPr>
      <w:r>
        <w:rPr>
          <w:sz w:val="24"/>
          <w:szCs w:val="24"/>
        </w:rPr>
        <w:t>States and Indian t</w:t>
      </w:r>
      <w:r w:rsidR="00A37D4C">
        <w:rPr>
          <w:sz w:val="24"/>
          <w:szCs w:val="24"/>
        </w:rPr>
        <w:t xml:space="preserve">ribes participating in the AMLR Program use the </w:t>
      </w:r>
      <w:r w:rsidR="00A50DF5">
        <w:rPr>
          <w:sz w:val="24"/>
          <w:szCs w:val="24"/>
        </w:rPr>
        <w:t xml:space="preserve">OSM-49 </w:t>
      </w:r>
      <w:r w:rsidR="00242597">
        <w:rPr>
          <w:sz w:val="24"/>
          <w:szCs w:val="24"/>
        </w:rPr>
        <w:t xml:space="preserve">form </w:t>
      </w:r>
      <w:r w:rsidR="00A50DF5">
        <w:rPr>
          <w:sz w:val="24"/>
          <w:szCs w:val="24"/>
        </w:rPr>
        <w:t xml:space="preserve">to develop </w:t>
      </w:r>
      <w:r w:rsidR="00FC72E1">
        <w:rPr>
          <w:sz w:val="24"/>
          <w:szCs w:val="24"/>
        </w:rPr>
        <w:t xml:space="preserve">estimated </w:t>
      </w:r>
      <w:r w:rsidR="00A50DF5">
        <w:rPr>
          <w:sz w:val="24"/>
          <w:szCs w:val="24"/>
        </w:rPr>
        <w:t>budget</w:t>
      </w:r>
      <w:r w:rsidR="00FC72E1">
        <w:rPr>
          <w:sz w:val="24"/>
          <w:szCs w:val="24"/>
        </w:rPr>
        <w:t>s</w:t>
      </w:r>
      <w:r w:rsidR="00A50DF5">
        <w:rPr>
          <w:sz w:val="24"/>
          <w:szCs w:val="24"/>
        </w:rPr>
        <w:t xml:space="preserve"> </w:t>
      </w:r>
      <w:r w:rsidR="00FC72E1">
        <w:rPr>
          <w:sz w:val="24"/>
          <w:szCs w:val="24"/>
        </w:rPr>
        <w:t>for grant application</w:t>
      </w:r>
      <w:r w:rsidR="00242597">
        <w:rPr>
          <w:sz w:val="24"/>
          <w:szCs w:val="24"/>
        </w:rPr>
        <w:t>s</w:t>
      </w:r>
      <w:r w:rsidR="00B217E2">
        <w:rPr>
          <w:sz w:val="24"/>
          <w:szCs w:val="24"/>
        </w:rPr>
        <w:t>.</w:t>
      </w:r>
      <w:r w:rsidR="00A50DF5">
        <w:rPr>
          <w:sz w:val="24"/>
          <w:szCs w:val="24"/>
        </w:rPr>
        <w:t xml:space="preserve">  This form is used to meet the requirements of </w:t>
      </w:r>
      <w:r w:rsidR="00A50DF5" w:rsidRPr="000E724F">
        <w:rPr>
          <w:sz w:val="24"/>
          <w:szCs w:val="24"/>
        </w:rPr>
        <w:t xml:space="preserve">30 CFR </w:t>
      </w:r>
      <w:r w:rsidR="000E724F" w:rsidRPr="000E724F">
        <w:rPr>
          <w:sz w:val="24"/>
          <w:szCs w:val="24"/>
        </w:rPr>
        <w:t>885.20</w:t>
      </w:r>
      <w:r w:rsidR="000E724F">
        <w:rPr>
          <w:sz w:val="24"/>
          <w:szCs w:val="24"/>
        </w:rPr>
        <w:t xml:space="preserve"> and </w:t>
      </w:r>
      <w:r w:rsidR="00A50DF5">
        <w:rPr>
          <w:sz w:val="24"/>
          <w:szCs w:val="24"/>
        </w:rPr>
        <w:t>886.14.  The estimates</w:t>
      </w:r>
      <w:r w:rsidR="00B406E0">
        <w:rPr>
          <w:sz w:val="24"/>
          <w:szCs w:val="24"/>
        </w:rPr>
        <w:t xml:space="preserve"> provide a breakdown by cost category and </w:t>
      </w:r>
      <w:r w:rsidR="00A50DF5">
        <w:rPr>
          <w:sz w:val="24"/>
          <w:szCs w:val="24"/>
        </w:rPr>
        <w:t xml:space="preserve">are </w:t>
      </w:r>
      <w:r w:rsidR="006C23E5">
        <w:rPr>
          <w:sz w:val="24"/>
          <w:szCs w:val="24"/>
        </w:rPr>
        <w:t xml:space="preserve">used </w:t>
      </w:r>
      <w:r w:rsidR="00B406E0">
        <w:rPr>
          <w:sz w:val="24"/>
          <w:szCs w:val="24"/>
        </w:rPr>
        <w:t xml:space="preserve">in conjunction with </w:t>
      </w:r>
      <w:r w:rsidR="006C23E5">
        <w:rPr>
          <w:sz w:val="24"/>
          <w:szCs w:val="24"/>
        </w:rPr>
        <w:t>the SF</w:t>
      </w:r>
      <w:r w:rsidR="00A50DF5">
        <w:rPr>
          <w:sz w:val="24"/>
          <w:szCs w:val="24"/>
        </w:rPr>
        <w:t>-424</w:t>
      </w:r>
      <w:r w:rsidR="00B406E0">
        <w:rPr>
          <w:sz w:val="24"/>
          <w:szCs w:val="24"/>
        </w:rPr>
        <w:t xml:space="preserve">, Application </w:t>
      </w:r>
      <w:r w:rsidR="006C23E5">
        <w:rPr>
          <w:sz w:val="24"/>
          <w:szCs w:val="24"/>
        </w:rPr>
        <w:t>for Federal Assistance.</w:t>
      </w:r>
      <w:r w:rsidR="00A50DF5">
        <w:rPr>
          <w:sz w:val="24"/>
          <w:szCs w:val="24"/>
        </w:rPr>
        <w:t xml:space="preserve"> </w:t>
      </w:r>
      <w:r w:rsidR="00242597">
        <w:rPr>
          <w:sz w:val="24"/>
          <w:szCs w:val="24"/>
        </w:rPr>
        <w:t xml:space="preserve"> </w:t>
      </w:r>
      <w:r w:rsidR="006C23E5">
        <w:rPr>
          <w:sz w:val="24"/>
          <w:szCs w:val="24"/>
        </w:rPr>
        <w:t xml:space="preserve">The estimates are also used </w:t>
      </w:r>
      <w:r w:rsidR="00A33F64">
        <w:rPr>
          <w:sz w:val="24"/>
          <w:szCs w:val="24"/>
        </w:rPr>
        <w:t xml:space="preserve">in conjunction </w:t>
      </w:r>
      <w:r w:rsidR="006C23E5">
        <w:rPr>
          <w:sz w:val="24"/>
          <w:szCs w:val="24"/>
        </w:rPr>
        <w:t xml:space="preserve">with </w:t>
      </w:r>
      <w:r w:rsidR="00B406E0">
        <w:rPr>
          <w:sz w:val="24"/>
          <w:szCs w:val="24"/>
        </w:rPr>
        <w:t>the SF-425, Federal Financial Report</w:t>
      </w:r>
      <w:r w:rsidR="00B217E2">
        <w:rPr>
          <w:sz w:val="24"/>
          <w:szCs w:val="24"/>
        </w:rPr>
        <w:t>,</w:t>
      </w:r>
      <w:r w:rsidR="00B406E0">
        <w:rPr>
          <w:sz w:val="24"/>
          <w:szCs w:val="24"/>
        </w:rPr>
        <w:t xml:space="preserve"> </w:t>
      </w:r>
      <w:r w:rsidR="00A50DF5">
        <w:rPr>
          <w:sz w:val="24"/>
          <w:szCs w:val="24"/>
        </w:rPr>
        <w:t xml:space="preserve">to meet </w:t>
      </w:r>
      <w:r w:rsidR="00B406E0">
        <w:rPr>
          <w:sz w:val="24"/>
          <w:szCs w:val="24"/>
        </w:rPr>
        <w:t>bureau</w:t>
      </w:r>
      <w:r w:rsidR="00A50DF5">
        <w:rPr>
          <w:sz w:val="24"/>
          <w:szCs w:val="24"/>
        </w:rPr>
        <w:t xml:space="preserve"> specific needs</w:t>
      </w:r>
      <w:r w:rsidR="006C23E5">
        <w:rPr>
          <w:sz w:val="24"/>
          <w:szCs w:val="24"/>
        </w:rPr>
        <w:t>.</w:t>
      </w:r>
      <w:r w:rsidR="00A50DF5">
        <w:rPr>
          <w:sz w:val="24"/>
          <w:szCs w:val="24"/>
        </w:rPr>
        <w:t xml:space="preserve"> </w:t>
      </w:r>
      <w:r w:rsidR="00B217E2">
        <w:rPr>
          <w:sz w:val="24"/>
          <w:szCs w:val="24"/>
        </w:rPr>
        <w:t xml:space="preserve"> </w:t>
      </w:r>
      <w:r w:rsidR="006C23E5">
        <w:rPr>
          <w:sz w:val="24"/>
          <w:szCs w:val="24"/>
        </w:rPr>
        <w:t>This information</w:t>
      </w:r>
      <w:r w:rsidR="00A50DF5">
        <w:rPr>
          <w:sz w:val="24"/>
          <w:szCs w:val="24"/>
        </w:rPr>
        <w:t xml:space="preserve"> is being collected in accordance with the guidance of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rsidR="00B217E2" w:rsidRDefault="00B217E2" w:rsidP="00B217E2">
      <w:pPr>
        <w:ind w:left="720"/>
        <w:rPr>
          <w:sz w:val="24"/>
          <w:szCs w:val="24"/>
        </w:rPr>
      </w:pPr>
    </w:p>
    <w:p w:rsidR="003E4273" w:rsidRDefault="000C1D1D" w:rsidP="003E4273">
      <w:pPr>
        <w:ind w:left="720" w:hanging="720"/>
        <w:rPr>
          <w:sz w:val="24"/>
          <w:szCs w:val="24"/>
        </w:rPr>
      </w:pPr>
      <w:r>
        <w:rPr>
          <w:sz w:val="24"/>
          <w:szCs w:val="24"/>
        </w:rPr>
        <w:tab/>
      </w:r>
      <w:r w:rsidR="00B406E0">
        <w:rPr>
          <w:sz w:val="24"/>
          <w:szCs w:val="24"/>
        </w:rPr>
        <w:t xml:space="preserve">States and tribes can use the </w:t>
      </w:r>
      <w:r w:rsidR="00A50DF5">
        <w:rPr>
          <w:sz w:val="24"/>
          <w:szCs w:val="24"/>
        </w:rPr>
        <w:t xml:space="preserve">OSM-51 </w:t>
      </w:r>
      <w:r w:rsidR="00D3718B">
        <w:rPr>
          <w:sz w:val="24"/>
          <w:szCs w:val="24"/>
        </w:rPr>
        <w:t>to report</w:t>
      </w:r>
      <w:r w:rsidR="00A50DF5">
        <w:rPr>
          <w:sz w:val="24"/>
          <w:szCs w:val="24"/>
        </w:rPr>
        <w:t xml:space="preserve"> program </w:t>
      </w:r>
      <w:r w:rsidR="00B406E0">
        <w:rPr>
          <w:sz w:val="24"/>
          <w:szCs w:val="24"/>
        </w:rPr>
        <w:t xml:space="preserve">narrative </w:t>
      </w:r>
      <w:r w:rsidR="00A50DF5">
        <w:rPr>
          <w:sz w:val="24"/>
          <w:szCs w:val="24"/>
        </w:rPr>
        <w:t>information as part of the</w:t>
      </w:r>
      <w:r w:rsidR="00B406E0">
        <w:rPr>
          <w:sz w:val="24"/>
          <w:szCs w:val="24"/>
        </w:rPr>
        <w:t>ir</w:t>
      </w:r>
      <w:r w:rsidR="00A50DF5">
        <w:rPr>
          <w:sz w:val="24"/>
          <w:szCs w:val="24"/>
        </w:rPr>
        <w:t xml:space="preserve"> grant application</w:t>
      </w:r>
      <w:r w:rsidR="001579A4">
        <w:rPr>
          <w:sz w:val="24"/>
          <w:szCs w:val="24"/>
        </w:rPr>
        <w:t>s</w:t>
      </w:r>
      <w:r w:rsidR="00A50DF5">
        <w:rPr>
          <w:sz w:val="24"/>
          <w:szCs w:val="24"/>
        </w:rPr>
        <w:t xml:space="preserve"> and </w:t>
      </w:r>
      <w:r w:rsidR="00D3718B">
        <w:rPr>
          <w:sz w:val="24"/>
          <w:szCs w:val="24"/>
        </w:rPr>
        <w:t xml:space="preserve">also </w:t>
      </w:r>
      <w:r w:rsidR="00B406E0">
        <w:rPr>
          <w:sz w:val="24"/>
          <w:szCs w:val="24"/>
        </w:rPr>
        <w:t xml:space="preserve">to meet their annual post-award </w:t>
      </w:r>
      <w:r w:rsidR="00A50DF5">
        <w:rPr>
          <w:sz w:val="24"/>
          <w:szCs w:val="24"/>
        </w:rPr>
        <w:t xml:space="preserve">reporting </w:t>
      </w:r>
      <w:r w:rsidR="00B406E0">
        <w:rPr>
          <w:sz w:val="24"/>
          <w:szCs w:val="24"/>
        </w:rPr>
        <w:t>requirement</w:t>
      </w:r>
      <w:r w:rsidR="00A50DF5">
        <w:rPr>
          <w:sz w:val="24"/>
          <w:szCs w:val="24"/>
        </w:rPr>
        <w:t xml:space="preserve">.  </w:t>
      </w:r>
      <w:r w:rsidR="006C23E5">
        <w:rPr>
          <w:sz w:val="24"/>
          <w:szCs w:val="24"/>
        </w:rPr>
        <w:t>However</w:t>
      </w:r>
      <w:r w:rsidR="001579A4">
        <w:rPr>
          <w:sz w:val="24"/>
          <w:szCs w:val="24"/>
        </w:rPr>
        <w:t>,</w:t>
      </w:r>
      <w:r w:rsidR="006C23E5">
        <w:rPr>
          <w:sz w:val="24"/>
          <w:szCs w:val="24"/>
        </w:rPr>
        <w:t xml:space="preserve"> they may</w:t>
      </w:r>
      <w:r w:rsidR="00E30123">
        <w:rPr>
          <w:sz w:val="24"/>
          <w:szCs w:val="24"/>
        </w:rPr>
        <w:t xml:space="preserve"> submit program narrative information in a more compatible format in lieu of </w:t>
      </w:r>
      <w:r w:rsidR="00D3718B">
        <w:rPr>
          <w:sz w:val="24"/>
          <w:szCs w:val="24"/>
        </w:rPr>
        <w:t xml:space="preserve">using </w:t>
      </w:r>
      <w:r w:rsidR="00E30123">
        <w:rPr>
          <w:sz w:val="24"/>
          <w:szCs w:val="24"/>
        </w:rPr>
        <w:t xml:space="preserve">the OSM-51.  </w:t>
      </w:r>
      <w:r w:rsidR="00A50DF5">
        <w:rPr>
          <w:sz w:val="24"/>
          <w:szCs w:val="24"/>
        </w:rPr>
        <w:t>This form is used to meet the requirements f</w:t>
      </w:r>
      <w:r w:rsidR="003248C6">
        <w:rPr>
          <w:sz w:val="24"/>
          <w:szCs w:val="24"/>
        </w:rPr>
        <w:t>or</w:t>
      </w:r>
      <w:r w:rsidR="00A50DF5">
        <w:rPr>
          <w:sz w:val="24"/>
          <w:szCs w:val="24"/>
        </w:rPr>
        <w:t xml:space="preserve"> </w:t>
      </w:r>
      <w:r w:rsidR="00E64789">
        <w:rPr>
          <w:sz w:val="24"/>
          <w:szCs w:val="24"/>
        </w:rPr>
        <w:t>administration</w:t>
      </w:r>
      <w:r w:rsidR="00E30123">
        <w:rPr>
          <w:sz w:val="24"/>
          <w:szCs w:val="24"/>
        </w:rPr>
        <w:t xml:space="preserve"> and enforcement, </w:t>
      </w:r>
      <w:r w:rsidR="00A50DF5">
        <w:rPr>
          <w:sz w:val="24"/>
          <w:szCs w:val="24"/>
        </w:rPr>
        <w:t>program development</w:t>
      </w:r>
      <w:r w:rsidR="00E30123">
        <w:rPr>
          <w:sz w:val="24"/>
          <w:szCs w:val="24"/>
        </w:rPr>
        <w:t>,</w:t>
      </w:r>
      <w:r w:rsidR="00A50DF5">
        <w:rPr>
          <w:sz w:val="24"/>
          <w:szCs w:val="24"/>
        </w:rPr>
        <w:t xml:space="preserve"> and AMLR activities required by 30 CFR Part</w:t>
      </w:r>
      <w:r w:rsidR="000E724F">
        <w:rPr>
          <w:sz w:val="24"/>
          <w:szCs w:val="24"/>
        </w:rPr>
        <w:t>s</w:t>
      </w:r>
      <w:r w:rsidR="00A50DF5">
        <w:rPr>
          <w:sz w:val="24"/>
          <w:szCs w:val="24"/>
        </w:rPr>
        <w:t xml:space="preserve"> 735, </w:t>
      </w:r>
      <w:r w:rsidR="000E724F">
        <w:rPr>
          <w:sz w:val="24"/>
          <w:szCs w:val="24"/>
        </w:rPr>
        <w:t xml:space="preserve">885 </w:t>
      </w:r>
      <w:r w:rsidR="00A50DF5">
        <w:rPr>
          <w:sz w:val="24"/>
          <w:szCs w:val="24"/>
        </w:rPr>
        <w:t>and 886.  The information collected is in accordance with</w:t>
      </w:r>
      <w:r w:rsidR="003E4273" w:rsidRPr="003E4273">
        <w:rPr>
          <w:sz w:val="24"/>
          <w:szCs w:val="24"/>
        </w:rPr>
        <w:t xml:space="preserve">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 </w:t>
      </w:r>
    </w:p>
    <w:p w:rsidR="00A50DF5" w:rsidRDefault="00A50DF5">
      <w:pPr>
        <w:rPr>
          <w:sz w:val="24"/>
          <w:szCs w:val="24"/>
        </w:rPr>
      </w:pPr>
    </w:p>
    <w:p w:rsidR="00F720C9" w:rsidRDefault="00E30123">
      <w:pPr>
        <w:pStyle w:val="BodyTextIndent"/>
        <w:ind w:left="720" w:firstLine="0"/>
      </w:pPr>
      <w:r>
        <w:t>T</w:t>
      </w:r>
      <w:r w:rsidR="00A50DF5">
        <w:t xml:space="preserve">his information collection </w:t>
      </w:r>
      <w:r w:rsidR="007745CE">
        <w:t xml:space="preserve">also </w:t>
      </w:r>
      <w:r w:rsidR="00C50FB9">
        <w:t xml:space="preserve">seeks renewed authority to collect information found in </w:t>
      </w:r>
      <w:r w:rsidR="00A50DF5">
        <w:t>30 CFR 735.11</w:t>
      </w:r>
      <w:r w:rsidR="00C50FB9">
        <w:t xml:space="preserve">.  This section </w:t>
      </w:r>
      <w:r w:rsidR="00A50DF5">
        <w:t xml:space="preserve">requires that the </w:t>
      </w:r>
      <w:r w:rsidR="00AE2DC2">
        <w:t>G</w:t>
      </w:r>
      <w:r w:rsidR="00A50DF5">
        <w:t xml:space="preserve">overnor of a </w:t>
      </w:r>
      <w:r w:rsidR="00D3718B">
        <w:t>s</w:t>
      </w:r>
      <w:r w:rsidR="00A50DF5">
        <w:t>tate shall</w:t>
      </w:r>
      <w:r w:rsidR="00D3718B">
        <w:t>, in writing,</w:t>
      </w:r>
      <w:r w:rsidR="00A50DF5">
        <w:t xml:space="preserve"> designate an agency to submit the grant applications to OSM</w:t>
      </w:r>
      <w:r w:rsidR="00C52DB8">
        <w:t>RE and to receive and administer grants</w:t>
      </w:r>
      <w:r w:rsidR="00A50DF5">
        <w:t>.  OSM</w:t>
      </w:r>
      <w:r w:rsidR="00C52DB8">
        <w:t>RE</w:t>
      </w:r>
      <w:r w:rsidR="00A50DF5">
        <w:t xml:space="preserve"> has not received these written notices </w:t>
      </w:r>
      <w:r w:rsidR="00D3718B">
        <w:t xml:space="preserve">for a number of </w:t>
      </w:r>
      <w:r w:rsidR="00A50DF5">
        <w:t>years, and does not anticipate any activity for this section</w:t>
      </w:r>
      <w:r w:rsidR="00D3718B">
        <w:t>.</w:t>
      </w:r>
      <w:r w:rsidR="00A50DF5">
        <w:t xml:space="preserve"> </w:t>
      </w:r>
      <w:r w:rsidR="001579A4">
        <w:t xml:space="preserve"> </w:t>
      </w:r>
      <w:r w:rsidR="00D3718B">
        <w:t xml:space="preserve">However, </w:t>
      </w:r>
      <w:r w:rsidR="00A50DF5">
        <w:t>OSM</w:t>
      </w:r>
      <w:r w:rsidR="00C52DB8">
        <w:t>RE</w:t>
      </w:r>
      <w:r w:rsidR="00A50DF5">
        <w:t xml:space="preserve"> </w:t>
      </w:r>
      <w:r w:rsidR="00C50FB9">
        <w:t xml:space="preserve">has </w:t>
      </w:r>
      <w:r w:rsidR="00A50DF5">
        <w:t>assign</w:t>
      </w:r>
      <w:r w:rsidR="00C50FB9">
        <w:t xml:space="preserve">ed </w:t>
      </w:r>
      <w:r w:rsidR="00DE1AD3">
        <w:t>a</w:t>
      </w:r>
      <w:r w:rsidR="00A50DF5">
        <w:t xml:space="preserve"> burden value </w:t>
      </w:r>
      <w:r w:rsidR="00D3718B">
        <w:t xml:space="preserve">if </w:t>
      </w:r>
      <w:r w:rsidR="00C50FB9">
        <w:t>such a written designation is prepared and submitted</w:t>
      </w:r>
      <w:r w:rsidR="00A50DF5">
        <w:t>.</w:t>
      </w:r>
      <w:r w:rsidR="00C50FB9">
        <w:t xml:space="preserve">  </w:t>
      </w:r>
    </w:p>
    <w:p w:rsidR="00F720C9" w:rsidRDefault="00F720C9">
      <w:pPr>
        <w:pStyle w:val="BodyTextIndent"/>
        <w:ind w:left="0" w:firstLine="0"/>
      </w:pPr>
    </w:p>
    <w:p w:rsidR="00A50DF5" w:rsidRDefault="000C1D1D" w:rsidP="000C1D1D">
      <w:pPr>
        <w:pStyle w:val="BodyTextIndent2"/>
        <w:ind w:left="720" w:hanging="720"/>
      </w:pPr>
      <w:r>
        <w:tab/>
      </w:r>
      <w:r w:rsidR="006C23E5">
        <w:t>OSM</w:t>
      </w:r>
      <w:r w:rsidR="00C52DB8">
        <w:t>RE</w:t>
      </w:r>
      <w:r w:rsidR="006C23E5">
        <w:t xml:space="preserve"> no longer uses s</w:t>
      </w:r>
      <w:r w:rsidR="00A50DF5">
        <w:t>everal of the forms identified in 30 CFR 735.10</w:t>
      </w:r>
      <w:r w:rsidR="006C23E5">
        <w:t xml:space="preserve"> and have been discontinued</w:t>
      </w:r>
      <w:r w:rsidR="00A50DF5">
        <w:t xml:space="preserve">.  These forms </w:t>
      </w:r>
      <w:r w:rsidR="006C23E5">
        <w:t>are</w:t>
      </w:r>
      <w:r w:rsidR="00A50DF5">
        <w:t xml:space="preserve"> OSM-48, OSM-50, OSM-50A and B, OSM-51A, B, C, OSM-60, OSM-62 and OSM-63.  </w:t>
      </w:r>
      <w:r w:rsidR="006C23E5">
        <w:t xml:space="preserve">They are either </w:t>
      </w:r>
      <w:r w:rsidR="00A50DF5">
        <w:t xml:space="preserve">unnecessary, or </w:t>
      </w:r>
      <w:r w:rsidR="006C23E5">
        <w:t xml:space="preserve">have been </w:t>
      </w:r>
      <w:r w:rsidR="00A50DF5">
        <w:t xml:space="preserve">incorporated </w:t>
      </w:r>
      <w:r w:rsidR="00A50DF5">
        <w:lastRenderedPageBreak/>
        <w:t>into other forms (</w:t>
      </w:r>
      <w:r w:rsidR="006C23E5">
        <w:t xml:space="preserve">for example, the </w:t>
      </w:r>
      <w:r w:rsidR="00A50DF5">
        <w:t>OSM-48 was absorbed into OSM-50 and discontinued several years ago).</w:t>
      </w:r>
    </w:p>
    <w:p w:rsidR="00A50DF5" w:rsidRDefault="00A50DF5" w:rsidP="000C1D1D">
      <w:pPr>
        <w:ind w:left="720" w:hanging="720"/>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rsidP="00AF5E98">
      <w:pPr>
        <w:tabs>
          <w:tab w:val="left" w:pos="720"/>
        </w:tabs>
        <w:ind w:left="720" w:hanging="720"/>
        <w:rPr>
          <w:sz w:val="24"/>
          <w:szCs w:val="24"/>
        </w:rPr>
      </w:pPr>
      <w:r>
        <w:rPr>
          <w:sz w:val="24"/>
          <w:szCs w:val="24"/>
        </w:rPr>
        <w:tab/>
        <w:t>OSM</w:t>
      </w:r>
      <w:r w:rsidR="00C52DB8">
        <w:rPr>
          <w:sz w:val="24"/>
          <w:szCs w:val="24"/>
        </w:rPr>
        <w:t>RE</w:t>
      </w:r>
      <w:r>
        <w:rPr>
          <w:sz w:val="24"/>
          <w:szCs w:val="24"/>
        </w:rPr>
        <w:t xml:space="preserve"> </w:t>
      </w:r>
      <w:r w:rsidR="001247B0">
        <w:rPr>
          <w:sz w:val="24"/>
          <w:szCs w:val="24"/>
        </w:rPr>
        <w:t xml:space="preserve">continues to </w:t>
      </w:r>
      <w:r>
        <w:rPr>
          <w:sz w:val="24"/>
          <w:szCs w:val="24"/>
        </w:rPr>
        <w:t>encourag</w:t>
      </w:r>
      <w:r w:rsidR="001247B0">
        <w:rPr>
          <w:sz w:val="24"/>
          <w:szCs w:val="24"/>
        </w:rPr>
        <w:t>e</w:t>
      </w:r>
      <w:r>
        <w:rPr>
          <w:sz w:val="24"/>
          <w:szCs w:val="24"/>
        </w:rPr>
        <w:t xml:space="preserve"> the </w:t>
      </w:r>
      <w:r w:rsidR="007745CE">
        <w:rPr>
          <w:sz w:val="24"/>
          <w:szCs w:val="24"/>
        </w:rPr>
        <w:t>s</w:t>
      </w:r>
      <w:r>
        <w:rPr>
          <w:sz w:val="24"/>
          <w:szCs w:val="24"/>
        </w:rPr>
        <w:t xml:space="preserve">tates and Indian </w:t>
      </w:r>
      <w:r w:rsidR="007745CE">
        <w:rPr>
          <w:sz w:val="24"/>
          <w:szCs w:val="24"/>
        </w:rPr>
        <w:t>t</w:t>
      </w:r>
      <w:r>
        <w:rPr>
          <w:sz w:val="24"/>
          <w:szCs w:val="24"/>
        </w:rPr>
        <w:t xml:space="preserve">ribes to transfer information by electronic means.  </w:t>
      </w:r>
      <w:r w:rsidR="00B415E8">
        <w:rPr>
          <w:sz w:val="24"/>
          <w:szCs w:val="24"/>
        </w:rPr>
        <w:t xml:space="preserve"> </w:t>
      </w:r>
      <w:r w:rsidR="00C809DC">
        <w:rPr>
          <w:sz w:val="24"/>
          <w:szCs w:val="24"/>
        </w:rPr>
        <w:t xml:space="preserve"> </w:t>
      </w:r>
      <w:r>
        <w:rPr>
          <w:sz w:val="24"/>
          <w:szCs w:val="24"/>
        </w:rPr>
        <w:t xml:space="preserve">Currently, approximately </w:t>
      </w:r>
      <w:r w:rsidR="001E5B6E" w:rsidRPr="007E1345">
        <w:rPr>
          <w:sz w:val="24"/>
          <w:szCs w:val="24"/>
        </w:rPr>
        <w:t>75</w:t>
      </w:r>
      <w:r w:rsidRPr="007E1345">
        <w:rPr>
          <w:sz w:val="24"/>
          <w:szCs w:val="24"/>
        </w:rPr>
        <w:t>%</w:t>
      </w:r>
      <w:r>
        <w:rPr>
          <w:sz w:val="24"/>
          <w:szCs w:val="24"/>
        </w:rPr>
        <w:t xml:space="preserve"> of </w:t>
      </w:r>
      <w:r w:rsidR="001247B0">
        <w:rPr>
          <w:sz w:val="24"/>
          <w:szCs w:val="24"/>
        </w:rPr>
        <w:t xml:space="preserve">the </w:t>
      </w:r>
      <w:r>
        <w:rPr>
          <w:sz w:val="24"/>
          <w:szCs w:val="24"/>
        </w:rPr>
        <w:t>respondents submit the three grant forms electronically.</w:t>
      </w:r>
      <w:r w:rsidR="00AF5E98">
        <w:rPr>
          <w:sz w:val="24"/>
          <w:szCs w:val="24"/>
        </w:rPr>
        <w:t xml:space="preserve">  States and </w:t>
      </w:r>
      <w:r w:rsidR="00E64789">
        <w:rPr>
          <w:sz w:val="24"/>
          <w:szCs w:val="24"/>
        </w:rPr>
        <w:t>t</w:t>
      </w:r>
      <w:r w:rsidR="00AF5E98">
        <w:rPr>
          <w:sz w:val="24"/>
          <w:szCs w:val="24"/>
        </w:rPr>
        <w:t xml:space="preserve">ribes have </w:t>
      </w:r>
      <w:r w:rsidR="00AF5E98" w:rsidRPr="00AF5E98">
        <w:rPr>
          <w:sz w:val="24"/>
          <w:szCs w:val="24"/>
        </w:rPr>
        <w:t>Microsoft Word</w:t>
      </w:r>
      <w:r w:rsidR="00AF5E98">
        <w:rPr>
          <w:sz w:val="24"/>
          <w:szCs w:val="24"/>
        </w:rPr>
        <w:t xml:space="preserve"> copies of the forms which they complete on computer and e-mail to OSM</w:t>
      </w:r>
      <w:r w:rsidR="00C52DB8">
        <w:rPr>
          <w:sz w:val="24"/>
          <w:szCs w:val="24"/>
        </w:rPr>
        <w:t>RE</w:t>
      </w:r>
      <w:r w:rsidR="00AF5E98">
        <w:rPr>
          <w:sz w:val="24"/>
          <w:szCs w:val="24"/>
        </w:rPr>
        <w:t xml:space="preserve"> for convenience.  </w:t>
      </w:r>
    </w:p>
    <w:p w:rsidR="00AF5E98" w:rsidRDefault="00AF5E98">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0C1D1D" w:rsidRDefault="000C1D1D">
      <w:pPr>
        <w:tabs>
          <w:tab w:val="left" w:pos="720"/>
          <w:tab w:val="left" w:pos="1440"/>
        </w:tabs>
        <w:ind w:left="1440" w:hanging="1440"/>
        <w:rPr>
          <w:sz w:val="24"/>
          <w:szCs w:val="24"/>
        </w:rPr>
      </w:pPr>
    </w:p>
    <w:p w:rsidR="00A50DF5" w:rsidRDefault="00A50DF5" w:rsidP="000C1D1D">
      <w:pPr>
        <w:tabs>
          <w:tab w:val="left" w:pos="720"/>
        </w:tabs>
        <w:ind w:left="720" w:hanging="720"/>
        <w:rPr>
          <w:sz w:val="24"/>
          <w:szCs w:val="24"/>
        </w:rPr>
      </w:pPr>
      <w:r>
        <w:rPr>
          <w:sz w:val="24"/>
          <w:szCs w:val="24"/>
        </w:rPr>
        <w:tab/>
        <w:t>No similar information is collected by other Federal agencies.</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rsidP="000C1D1D">
      <w:pPr>
        <w:tabs>
          <w:tab w:val="left" w:pos="720"/>
        </w:tabs>
        <w:ind w:left="720" w:hanging="720"/>
        <w:rPr>
          <w:sz w:val="24"/>
          <w:szCs w:val="24"/>
        </w:rPr>
      </w:pPr>
      <w:r>
        <w:rPr>
          <w:sz w:val="24"/>
          <w:szCs w:val="24"/>
        </w:rPr>
        <w:tab/>
      </w:r>
      <w:r w:rsidR="001B0F4C">
        <w:rPr>
          <w:sz w:val="24"/>
          <w:szCs w:val="24"/>
        </w:rPr>
        <w:t>OSM</w:t>
      </w:r>
      <w:r w:rsidR="00C52DB8">
        <w:rPr>
          <w:sz w:val="24"/>
          <w:szCs w:val="24"/>
        </w:rPr>
        <w:t>RE</w:t>
      </w:r>
      <w:r w:rsidR="001B0F4C">
        <w:rPr>
          <w:sz w:val="24"/>
          <w:szCs w:val="24"/>
        </w:rPr>
        <w:t xml:space="preserve"> </w:t>
      </w:r>
      <w:r>
        <w:rPr>
          <w:sz w:val="24"/>
          <w:szCs w:val="24"/>
        </w:rPr>
        <w:t>collect</w:t>
      </w:r>
      <w:r w:rsidR="001B0F4C">
        <w:rPr>
          <w:sz w:val="24"/>
          <w:szCs w:val="24"/>
        </w:rPr>
        <w:t xml:space="preserve">s </w:t>
      </w:r>
      <w:r w:rsidR="00F76F91">
        <w:rPr>
          <w:sz w:val="24"/>
          <w:szCs w:val="24"/>
        </w:rPr>
        <w:t>information</w:t>
      </w:r>
      <w:r>
        <w:rPr>
          <w:sz w:val="24"/>
          <w:szCs w:val="24"/>
        </w:rPr>
        <w:t xml:space="preserve"> only from </w:t>
      </w:r>
      <w:r w:rsidR="001B0F4C">
        <w:rPr>
          <w:sz w:val="24"/>
          <w:szCs w:val="24"/>
        </w:rPr>
        <w:t>s</w:t>
      </w:r>
      <w:r>
        <w:rPr>
          <w:sz w:val="24"/>
          <w:szCs w:val="24"/>
        </w:rPr>
        <w:t xml:space="preserve">tates and Indian </w:t>
      </w:r>
      <w:r w:rsidR="001B0F4C">
        <w:rPr>
          <w:sz w:val="24"/>
          <w:szCs w:val="24"/>
        </w:rPr>
        <w:t>t</w:t>
      </w:r>
      <w:r>
        <w:rPr>
          <w:sz w:val="24"/>
          <w:szCs w:val="24"/>
        </w:rPr>
        <w:t xml:space="preserve">ribes </w:t>
      </w:r>
      <w:r w:rsidR="001B0F4C">
        <w:rPr>
          <w:sz w:val="24"/>
          <w:szCs w:val="24"/>
        </w:rPr>
        <w:t xml:space="preserve">who are </w:t>
      </w:r>
      <w:r>
        <w:rPr>
          <w:sz w:val="24"/>
          <w:szCs w:val="24"/>
        </w:rPr>
        <w:t>eligible to receive program and reclamation grants.</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0C1D1D" w:rsidRDefault="000C1D1D" w:rsidP="000C1D1D">
      <w:pPr>
        <w:tabs>
          <w:tab w:val="left" w:pos="720"/>
        </w:tabs>
        <w:ind w:left="720" w:hanging="720"/>
        <w:rPr>
          <w:sz w:val="24"/>
          <w:szCs w:val="24"/>
        </w:rPr>
      </w:pPr>
    </w:p>
    <w:p w:rsidR="00A50DF5" w:rsidRDefault="00A50DF5" w:rsidP="00B217E2">
      <w:pPr>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collects this</w:t>
      </w:r>
      <w:r>
        <w:rPr>
          <w:sz w:val="24"/>
          <w:szCs w:val="24"/>
        </w:rPr>
        <w:t xml:space="preserve"> information to coincide with the budget planning process as required in 30 CFR Parts 735</w:t>
      </w:r>
      <w:r w:rsidR="004373FA">
        <w:rPr>
          <w:sz w:val="24"/>
          <w:szCs w:val="24"/>
        </w:rPr>
        <w:t>, 885,</w:t>
      </w:r>
      <w:r>
        <w:rPr>
          <w:sz w:val="24"/>
          <w:szCs w:val="24"/>
        </w:rPr>
        <w:t xml:space="preserve"> and 886</w:t>
      </w:r>
      <w:r w:rsidR="001579A4">
        <w:rPr>
          <w:sz w:val="24"/>
          <w:szCs w:val="24"/>
        </w:rPr>
        <w:t>,</w:t>
      </w:r>
      <w:r>
        <w:rPr>
          <w:sz w:val="24"/>
          <w:szCs w:val="24"/>
        </w:rPr>
        <w:t xml:space="preserve"> and </w:t>
      </w:r>
      <w:r w:rsidR="00C52DB8">
        <w:rPr>
          <w:sz w:val="24"/>
          <w:szCs w:val="24"/>
        </w:rPr>
        <w:t xml:space="preserve">the Code of Federal Regulations Title </w:t>
      </w:r>
      <w:r w:rsidR="00A33F64">
        <w:rPr>
          <w:sz w:val="24"/>
          <w:szCs w:val="24"/>
        </w:rPr>
        <w:t>2,</w:t>
      </w:r>
      <w:r w:rsidR="00C52DB8">
        <w:rPr>
          <w:sz w:val="24"/>
          <w:szCs w:val="24"/>
        </w:rPr>
        <w:t xml:space="preserve"> Chapter I, Chapter II, Part </w:t>
      </w:r>
      <w:r w:rsidR="00A33F64">
        <w:rPr>
          <w:sz w:val="24"/>
          <w:szCs w:val="24"/>
        </w:rPr>
        <w:t>200,</w:t>
      </w:r>
      <w:r w:rsidR="00EB41B3">
        <w:rPr>
          <w:sz w:val="24"/>
          <w:szCs w:val="24"/>
        </w:rPr>
        <w:t xml:space="preserve"> and cannot </w:t>
      </w:r>
      <w:r w:rsidR="00667C97">
        <w:rPr>
          <w:sz w:val="24"/>
          <w:szCs w:val="24"/>
        </w:rPr>
        <w:t xml:space="preserve">reduce </w:t>
      </w:r>
      <w:r w:rsidR="00EB41B3">
        <w:rPr>
          <w:sz w:val="24"/>
          <w:szCs w:val="24"/>
        </w:rPr>
        <w:t>t</w:t>
      </w:r>
      <w:r>
        <w:rPr>
          <w:sz w:val="24"/>
          <w:szCs w:val="24"/>
        </w:rPr>
        <w:t xml:space="preserve">he frequency.  </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in connection with a statistical survey that is not designed to produce valid and </w:t>
      </w:r>
      <w:r w:rsidRPr="00104D90">
        <w:rPr>
          <w:b/>
          <w:i/>
          <w:sz w:val="24"/>
          <w:szCs w:val="24"/>
        </w:rPr>
        <w:lastRenderedPageBreak/>
        <w:t>reliable results that can be generalized to the universe of study;</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C1D1D" w:rsidRPr="00F82FBA"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rsidRDefault="00A50DF5" w:rsidP="000C1D1D">
      <w:pPr>
        <w:tabs>
          <w:tab w:val="left" w:pos="720"/>
        </w:tabs>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has not exceeded the g</w:t>
      </w:r>
      <w:r>
        <w:rPr>
          <w:sz w:val="24"/>
          <w:szCs w:val="24"/>
        </w:rPr>
        <w:t xml:space="preserve">uidelines </w:t>
      </w:r>
      <w:r w:rsidR="00EB41B3">
        <w:rPr>
          <w:sz w:val="24"/>
          <w:szCs w:val="24"/>
        </w:rPr>
        <w:t xml:space="preserve">found </w:t>
      </w:r>
      <w:r>
        <w:rPr>
          <w:sz w:val="24"/>
          <w:szCs w:val="24"/>
        </w:rPr>
        <w:t>in 5 CFR 1320.5(d)(2).</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981C67" w:rsidP="000C1D1D">
      <w:pPr>
        <w:ind w:left="720" w:hanging="720"/>
        <w:rPr>
          <w:sz w:val="24"/>
          <w:szCs w:val="24"/>
        </w:rPr>
      </w:pPr>
      <w:r>
        <w:rPr>
          <w:sz w:val="24"/>
          <w:szCs w:val="24"/>
        </w:rPr>
        <w:tab/>
        <w:t>Consultations were held with s</w:t>
      </w:r>
      <w:r w:rsidR="00A50DF5">
        <w:rPr>
          <w:sz w:val="24"/>
          <w:szCs w:val="24"/>
        </w:rPr>
        <w:t>tate officials as follows:</w:t>
      </w:r>
    </w:p>
    <w:p w:rsidR="00A50DF5" w:rsidRDefault="00A50DF5">
      <w:pPr>
        <w:rPr>
          <w:sz w:val="24"/>
          <w:szCs w:val="24"/>
        </w:rPr>
      </w:pPr>
    </w:p>
    <w:p w:rsidR="00A50DF5" w:rsidRDefault="00A50DF5">
      <w:pPr>
        <w:tabs>
          <w:tab w:val="left" w:pos="720"/>
          <w:tab w:val="left" w:pos="1440"/>
          <w:tab w:val="left" w:pos="2160"/>
        </w:tabs>
        <w:ind w:left="2160" w:hanging="2160"/>
        <w:rPr>
          <w:sz w:val="24"/>
          <w:szCs w:val="24"/>
        </w:rPr>
      </w:pPr>
      <w:r>
        <w:rPr>
          <w:sz w:val="24"/>
          <w:szCs w:val="24"/>
        </w:rPr>
        <w:tab/>
        <w:t>a.</w:t>
      </w:r>
      <w:r>
        <w:rPr>
          <w:sz w:val="24"/>
          <w:szCs w:val="24"/>
        </w:rPr>
        <w:tab/>
        <w:t xml:space="preserve">Date of consultation: </w:t>
      </w:r>
      <w:r w:rsidR="0051111D">
        <w:rPr>
          <w:sz w:val="24"/>
          <w:szCs w:val="24"/>
        </w:rPr>
        <w:t>January 13, 2015</w:t>
      </w:r>
    </w:p>
    <w:p w:rsidR="00A50DF5" w:rsidRDefault="00A50DF5">
      <w:pPr>
        <w:rPr>
          <w:sz w:val="24"/>
          <w:szCs w:val="24"/>
        </w:rPr>
      </w:pPr>
    </w:p>
    <w:p w:rsidR="005C2A23" w:rsidRPr="005815ED" w:rsidRDefault="00A50DF5">
      <w:pPr>
        <w:rPr>
          <w:sz w:val="24"/>
          <w:szCs w:val="24"/>
        </w:rPr>
      </w:pPr>
      <w:r>
        <w:rPr>
          <w:sz w:val="24"/>
          <w:szCs w:val="24"/>
        </w:rPr>
        <w:tab/>
      </w:r>
      <w:r>
        <w:rPr>
          <w:sz w:val="24"/>
          <w:szCs w:val="24"/>
        </w:rPr>
        <w:tab/>
      </w:r>
      <w:r>
        <w:rPr>
          <w:b/>
          <w:bCs/>
          <w:sz w:val="24"/>
          <w:szCs w:val="24"/>
        </w:rPr>
        <w:t>Name:</w:t>
      </w:r>
      <w:r>
        <w:rPr>
          <w:sz w:val="24"/>
          <w:szCs w:val="24"/>
        </w:rPr>
        <w:tab/>
      </w:r>
      <w:r>
        <w:rPr>
          <w:sz w:val="24"/>
          <w:szCs w:val="24"/>
        </w:rPr>
        <w:tab/>
      </w:r>
      <w:r w:rsidR="00686E04" w:rsidRPr="005815ED">
        <w:rPr>
          <w:sz w:val="24"/>
          <w:szCs w:val="24"/>
        </w:rPr>
        <w:t xml:space="preserve">Ms. </w:t>
      </w:r>
      <w:r w:rsidR="00F53DFB">
        <w:rPr>
          <w:sz w:val="24"/>
          <w:szCs w:val="24"/>
        </w:rPr>
        <w:t>Michelle Baker</w:t>
      </w:r>
      <w:r w:rsidR="005C2A23">
        <w:rPr>
          <w:sz w:val="24"/>
          <w:szCs w:val="24"/>
        </w:rPr>
        <w:tab/>
      </w:r>
      <w:r w:rsidR="005C2A23">
        <w:rPr>
          <w:sz w:val="24"/>
          <w:szCs w:val="24"/>
        </w:rPr>
        <w:tab/>
      </w:r>
    </w:p>
    <w:p w:rsidR="00A50DF5" w:rsidRPr="005815ED" w:rsidRDefault="00A50DF5">
      <w:pPr>
        <w:rPr>
          <w:sz w:val="24"/>
          <w:szCs w:val="24"/>
        </w:rPr>
      </w:pPr>
      <w:r w:rsidRPr="005815ED">
        <w:rPr>
          <w:sz w:val="24"/>
          <w:szCs w:val="24"/>
        </w:rPr>
        <w:tab/>
      </w:r>
      <w:r w:rsidRPr="005815ED">
        <w:rPr>
          <w:sz w:val="24"/>
          <w:szCs w:val="24"/>
        </w:rPr>
        <w:tab/>
      </w:r>
      <w:r w:rsidRPr="005815ED">
        <w:rPr>
          <w:b/>
          <w:bCs/>
          <w:sz w:val="24"/>
          <w:szCs w:val="24"/>
        </w:rPr>
        <w:t>State:</w:t>
      </w:r>
      <w:r w:rsidRPr="005815ED">
        <w:rPr>
          <w:sz w:val="24"/>
          <w:szCs w:val="24"/>
        </w:rPr>
        <w:tab/>
      </w:r>
      <w:r w:rsidRPr="005815ED">
        <w:rPr>
          <w:sz w:val="24"/>
          <w:szCs w:val="24"/>
        </w:rPr>
        <w:tab/>
      </w:r>
      <w:r w:rsidR="00F53DFB">
        <w:rPr>
          <w:sz w:val="24"/>
          <w:szCs w:val="24"/>
        </w:rPr>
        <w:t xml:space="preserve">Indiana </w:t>
      </w:r>
    </w:p>
    <w:p w:rsidR="0049234D" w:rsidRPr="005815ED" w:rsidRDefault="00A50DF5">
      <w:pPr>
        <w:rPr>
          <w:sz w:val="24"/>
          <w:szCs w:val="24"/>
        </w:rPr>
      </w:pPr>
      <w:r w:rsidRPr="005815ED">
        <w:rPr>
          <w:sz w:val="24"/>
          <w:szCs w:val="24"/>
        </w:rPr>
        <w:tab/>
      </w:r>
      <w:r w:rsidRPr="005815ED">
        <w:rPr>
          <w:sz w:val="24"/>
          <w:szCs w:val="24"/>
        </w:rPr>
        <w:tab/>
      </w:r>
      <w:r w:rsidRPr="005815ED">
        <w:rPr>
          <w:sz w:val="24"/>
          <w:szCs w:val="24"/>
        </w:rPr>
        <w:tab/>
      </w:r>
      <w:r w:rsidR="001A59DD">
        <w:rPr>
          <w:sz w:val="24"/>
          <w:szCs w:val="24"/>
        </w:rPr>
        <w:tab/>
      </w:r>
      <w:r w:rsidR="0093101B" w:rsidRPr="005815ED">
        <w:rPr>
          <w:sz w:val="24"/>
          <w:szCs w:val="24"/>
        </w:rPr>
        <w:t xml:space="preserve">Department </w:t>
      </w:r>
      <w:r w:rsidR="00F53DFB">
        <w:rPr>
          <w:sz w:val="24"/>
          <w:szCs w:val="24"/>
        </w:rPr>
        <w:t>of Natural Resour</w:t>
      </w:r>
      <w:r w:rsidR="006E308A">
        <w:rPr>
          <w:sz w:val="24"/>
          <w:szCs w:val="24"/>
        </w:rPr>
        <w:t>ces</w:t>
      </w:r>
      <w:r w:rsidR="005C2A23">
        <w:rPr>
          <w:sz w:val="24"/>
          <w:szCs w:val="24"/>
        </w:rPr>
        <w:t xml:space="preserve"> (IDNR)</w:t>
      </w:r>
    </w:p>
    <w:p w:rsidR="0045607C" w:rsidRPr="005815ED" w:rsidRDefault="00A50DF5">
      <w:pPr>
        <w:rPr>
          <w:rFonts w:ascii="Arial" w:hAnsi="Arial" w:cs="Arial"/>
        </w:rPr>
      </w:pPr>
      <w:r w:rsidRPr="005815ED">
        <w:rPr>
          <w:sz w:val="24"/>
          <w:szCs w:val="24"/>
        </w:rPr>
        <w:tab/>
      </w:r>
      <w:r w:rsidRPr="005815ED">
        <w:rPr>
          <w:sz w:val="24"/>
          <w:szCs w:val="24"/>
        </w:rPr>
        <w:tab/>
      </w:r>
      <w:r w:rsidR="004167F6" w:rsidRPr="004167F6">
        <w:rPr>
          <w:b/>
          <w:sz w:val="24"/>
          <w:szCs w:val="24"/>
        </w:rPr>
        <w:t>Address:</w:t>
      </w:r>
      <w:r w:rsidRPr="005815ED">
        <w:rPr>
          <w:sz w:val="24"/>
          <w:szCs w:val="24"/>
        </w:rPr>
        <w:tab/>
      </w:r>
      <w:r w:rsidR="005C2A23">
        <w:rPr>
          <w:sz w:val="24"/>
          <w:szCs w:val="24"/>
        </w:rPr>
        <w:t>402 W. Washington</w:t>
      </w:r>
      <w:r w:rsidR="0045607C" w:rsidRPr="005815ED">
        <w:rPr>
          <w:rFonts w:ascii="Arial" w:hAnsi="Arial" w:cs="Arial"/>
        </w:rPr>
        <w:t xml:space="preserve"> </w:t>
      </w:r>
    </w:p>
    <w:p w:rsidR="00A50DF5" w:rsidRPr="005815ED" w:rsidRDefault="001A59DD" w:rsidP="0045607C">
      <w:pPr>
        <w:ind w:left="2160" w:firstLine="720"/>
        <w:rPr>
          <w:rFonts w:cs="Arial"/>
          <w:sz w:val="24"/>
          <w:szCs w:val="24"/>
        </w:rPr>
      </w:pPr>
      <w:r>
        <w:rPr>
          <w:rFonts w:cs="Arial"/>
          <w:sz w:val="24"/>
          <w:szCs w:val="24"/>
        </w:rPr>
        <w:t>Indianapolis IN</w:t>
      </w:r>
      <w:r w:rsidR="005C2A23">
        <w:rPr>
          <w:rFonts w:cs="Arial"/>
          <w:sz w:val="24"/>
          <w:szCs w:val="24"/>
        </w:rPr>
        <w:t xml:space="preserve"> 46204</w:t>
      </w:r>
    </w:p>
    <w:p w:rsidR="00F139A2" w:rsidRDefault="00F139A2">
      <w:pPr>
        <w:rPr>
          <w:sz w:val="24"/>
          <w:szCs w:val="24"/>
        </w:rPr>
      </w:pPr>
    </w:p>
    <w:p w:rsidR="00393732" w:rsidRDefault="00A50DF5" w:rsidP="00FF7D29">
      <w:pPr>
        <w:tabs>
          <w:tab w:val="left" w:pos="720"/>
          <w:tab w:val="left" w:pos="1440"/>
        </w:tabs>
        <w:ind w:left="1440" w:hanging="1440"/>
        <w:rPr>
          <w:sz w:val="24"/>
          <w:szCs w:val="24"/>
        </w:rPr>
      </w:pPr>
      <w:r>
        <w:rPr>
          <w:sz w:val="24"/>
          <w:szCs w:val="24"/>
        </w:rPr>
        <w:tab/>
      </w:r>
      <w:r>
        <w:rPr>
          <w:sz w:val="24"/>
          <w:szCs w:val="24"/>
        </w:rPr>
        <w:tab/>
      </w:r>
      <w:r>
        <w:rPr>
          <w:b/>
          <w:bCs/>
          <w:sz w:val="24"/>
          <w:szCs w:val="24"/>
        </w:rPr>
        <w:t>Summary:</w:t>
      </w:r>
      <w:r>
        <w:rPr>
          <w:sz w:val="24"/>
          <w:szCs w:val="24"/>
        </w:rPr>
        <w:tab/>
      </w:r>
      <w:r w:rsidR="00B50E2E" w:rsidRPr="00B50E2E">
        <w:rPr>
          <w:b/>
          <w:sz w:val="24"/>
          <w:szCs w:val="24"/>
        </w:rPr>
        <w:t>OSM -51</w:t>
      </w:r>
      <w:r w:rsidR="00B50E2E">
        <w:rPr>
          <w:sz w:val="24"/>
          <w:szCs w:val="24"/>
        </w:rPr>
        <w:t xml:space="preserve"> -- </w:t>
      </w:r>
      <w:r w:rsidR="005418E4" w:rsidRPr="00366679">
        <w:rPr>
          <w:sz w:val="24"/>
          <w:szCs w:val="24"/>
        </w:rPr>
        <w:t xml:space="preserve">The State of </w:t>
      </w:r>
      <w:r w:rsidR="005C2A23">
        <w:rPr>
          <w:sz w:val="24"/>
          <w:szCs w:val="24"/>
        </w:rPr>
        <w:t>Indiana</w:t>
      </w:r>
      <w:r w:rsidR="005815ED" w:rsidRPr="00366679">
        <w:rPr>
          <w:sz w:val="24"/>
          <w:szCs w:val="24"/>
        </w:rPr>
        <w:t xml:space="preserve"> submits</w:t>
      </w:r>
      <w:r w:rsidR="005418E4" w:rsidRPr="00366679">
        <w:rPr>
          <w:sz w:val="24"/>
          <w:szCs w:val="24"/>
        </w:rPr>
        <w:t xml:space="preserve"> electronically.</w:t>
      </w:r>
      <w:r w:rsidR="005418E4" w:rsidRPr="005815ED">
        <w:rPr>
          <w:sz w:val="24"/>
          <w:szCs w:val="24"/>
        </w:rPr>
        <w:t xml:space="preserve"> </w:t>
      </w:r>
      <w:r w:rsidR="00305C7D" w:rsidRPr="005815ED">
        <w:rPr>
          <w:sz w:val="24"/>
          <w:szCs w:val="24"/>
        </w:rPr>
        <w:t xml:space="preserve"> Ms.</w:t>
      </w:r>
      <w:r w:rsidR="005C2A23">
        <w:rPr>
          <w:sz w:val="24"/>
          <w:szCs w:val="24"/>
        </w:rPr>
        <w:t xml:space="preserve"> </w:t>
      </w:r>
      <w:r w:rsidR="00586DF9">
        <w:rPr>
          <w:sz w:val="24"/>
          <w:szCs w:val="24"/>
        </w:rPr>
        <w:t xml:space="preserve">Baker </w:t>
      </w:r>
      <w:r w:rsidR="0051111D">
        <w:rPr>
          <w:sz w:val="24"/>
          <w:szCs w:val="24"/>
        </w:rPr>
        <w:t xml:space="preserve">uses the </w:t>
      </w:r>
      <w:r w:rsidR="006644C6">
        <w:rPr>
          <w:sz w:val="24"/>
          <w:szCs w:val="24"/>
        </w:rPr>
        <w:t>form</w:t>
      </w:r>
      <w:r w:rsidR="0051111D">
        <w:rPr>
          <w:sz w:val="24"/>
          <w:szCs w:val="24"/>
        </w:rPr>
        <w:t xml:space="preserve"> </w:t>
      </w:r>
      <w:r w:rsidR="00043285">
        <w:rPr>
          <w:sz w:val="24"/>
          <w:szCs w:val="24"/>
        </w:rPr>
        <w:t xml:space="preserve">to briefly describe </w:t>
      </w:r>
      <w:r w:rsidR="0051111D">
        <w:rPr>
          <w:sz w:val="24"/>
          <w:szCs w:val="24"/>
        </w:rPr>
        <w:t xml:space="preserve">budget information.  A more complete narrative is sent as an attachment.  This is due to the fact that the form itself does not provide enough space for a detailed narrative.   The amount of time is </w:t>
      </w:r>
      <w:r w:rsidR="0051111D">
        <w:rPr>
          <w:sz w:val="24"/>
          <w:szCs w:val="24"/>
        </w:rPr>
        <w:lastRenderedPageBreak/>
        <w:t>minimal, probably less than an hour.</w:t>
      </w:r>
      <w:r w:rsidR="005C2A23">
        <w:rPr>
          <w:sz w:val="24"/>
          <w:szCs w:val="24"/>
        </w:rPr>
        <w:t xml:space="preserve"> </w:t>
      </w:r>
      <w:r w:rsidR="00B217E2">
        <w:rPr>
          <w:sz w:val="24"/>
          <w:szCs w:val="24"/>
        </w:rPr>
        <w:t xml:space="preserve"> </w:t>
      </w:r>
      <w:r w:rsidR="005C2A23">
        <w:rPr>
          <w:sz w:val="24"/>
          <w:szCs w:val="24"/>
        </w:rPr>
        <w:t>This is an annual requirement for each grant application</w:t>
      </w:r>
      <w:r w:rsidR="0051111D">
        <w:rPr>
          <w:sz w:val="24"/>
          <w:szCs w:val="24"/>
        </w:rPr>
        <w:t xml:space="preserve"> and amendment</w:t>
      </w:r>
      <w:r w:rsidR="005C2A23">
        <w:rPr>
          <w:sz w:val="24"/>
          <w:szCs w:val="24"/>
        </w:rPr>
        <w:t>.   Additionally</w:t>
      </w:r>
      <w:r w:rsidR="00586DF9">
        <w:rPr>
          <w:sz w:val="24"/>
          <w:szCs w:val="24"/>
        </w:rPr>
        <w:t>,</w:t>
      </w:r>
      <w:r w:rsidR="005C2A23">
        <w:rPr>
          <w:sz w:val="24"/>
          <w:szCs w:val="24"/>
        </w:rPr>
        <w:t xml:space="preserve"> IDNR submits </w:t>
      </w:r>
      <w:r w:rsidR="00586DF9">
        <w:rPr>
          <w:sz w:val="24"/>
          <w:szCs w:val="24"/>
        </w:rPr>
        <w:t xml:space="preserve">a </w:t>
      </w:r>
      <w:r w:rsidR="005C2A23">
        <w:rPr>
          <w:sz w:val="24"/>
          <w:szCs w:val="24"/>
        </w:rPr>
        <w:t>program narrative annually and/or when the grant is closed.</w:t>
      </w:r>
    </w:p>
    <w:p w:rsidR="00586DF9" w:rsidRDefault="00586DF9" w:rsidP="00FF7D29">
      <w:pPr>
        <w:tabs>
          <w:tab w:val="left" w:pos="720"/>
          <w:tab w:val="left" w:pos="1440"/>
        </w:tabs>
        <w:ind w:left="1440" w:hanging="1440"/>
        <w:rPr>
          <w:sz w:val="24"/>
          <w:szCs w:val="24"/>
        </w:rPr>
      </w:pPr>
    </w:p>
    <w:p w:rsidR="001949B6" w:rsidRDefault="00A84346" w:rsidP="00366679">
      <w:pPr>
        <w:tabs>
          <w:tab w:val="left" w:pos="720"/>
          <w:tab w:val="left" w:pos="1440"/>
        </w:tabs>
        <w:ind w:left="1440" w:hanging="1440"/>
        <w:rPr>
          <w:sz w:val="24"/>
          <w:szCs w:val="24"/>
        </w:rPr>
      </w:pPr>
      <w:r>
        <w:rPr>
          <w:sz w:val="24"/>
          <w:szCs w:val="24"/>
        </w:rPr>
        <w:tab/>
      </w:r>
      <w:r>
        <w:rPr>
          <w:sz w:val="24"/>
          <w:szCs w:val="24"/>
        </w:rPr>
        <w:tab/>
      </w:r>
      <w:r w:rsidR="00A85701" w:rsidRPr="00B50E2E">
        <w:rPr>
          <w:b/>
          <w:sz w:val="24"/>
          <w:szCs w:val="24"/>
        </w:rPr>
        <w:t>OSM</w:t>
      </w:r>
      <w:r w:rsidR="00B50E2E" w:rsidRPr="00B50E2E">
        <w:rPr>
          <w:b/>
          <w:sz w:val="24"/>
          <w:szCs w:val="24"/>
        </w:rPr>
        <w:t>-</w:t>
      </w:r>
      <w:r w:rsidR="00A85701" w:rsidRPr="00B50E2E">
        <w:rPr>
          <w:b/>
          <w:sz w:val="24"/>
          <w:szCs w:val="24"/>
        </w:rPr>
        <w:t>49</w:t>
      </w:r>
      <w:r w:rsidR="00A85701">
        <w:rPr>
          <w:sz w:val="24"/>
          <w:szCs w:val="24"/>
        </w:rPr>
        <w:t xml:space="preserve"> </w:t>
      </w:r>
      <w:r w:rsidR="00B50E2E">
        <w:rPr>
          <w:sz w:val="24"/>
          <w:szCs w:val="24"/>
        </w:rPr>
        <w:t xml:space="preserve">– </w:t>
      </w:r>
      <w:r w:rsidR="005C2A23">
        <w:rPr>
          <w:sz w:val="24"/>
          <w:szCs w:val="24"/>
        </w:rPr>
        <w:t>IDNR</w:t>
      </w:r>
      <w:r w:rsidR="00B50E2E">
        <w:rPr>
          <w:sz w:val="24"/>
          <w:szCs w:val="24"/>
        </w:rPr>
        <w:t xml:space="preserve"> submits</w:t>
      </w:r>
      <w:r w:rsidR="009B37C6">
        <w:rPr>
          <w:sz w:val="24"/>
          <w:szCs w:val="24"/>
        </w:rPr>
        <w:t xml:space="preserve"> the OSM-49 to prov</w:t>
      </w:r>
      <w:r w:rsidR="00043285">
        <w:rPr>
          <w:sz w:val="24"/>
          <w:szCs w:val="24"/>
        </w:rPr>
        <w:t xml:space="preserve">ide cost category budget details </w:t>
      </w:r>
      <w:r w:rsidR="009B37C6">
        <w:rPr>
          <w:sz w:val="24"/>
          <w:szCs w:val="24"/>
        </w:rPr>
        <w:t xml:space="preserve">when they apply for </w:t>
      </w:r>
      <w:r w:rsidR="00667C97">
        <w:rPr>
          <w:sz w:val="24"/>
          <w:szCs w:val="24"/>
        </w:rPr>
        <w:t>their</w:t>
      </w:r>
      <w:r w:rsidR="009B37C6">
        <w:rPr>
          <w:sz w:val="24"/>
          <w:szCs w:val="24"/>
        </w:rPr>
        <w:t xml:space="preserve"> AML grant.  </w:t>
      </w:r>
      <w:r w:rsidR="000E4F7A">
        <w:rPr>
          <w:sz w:val="24"/>
          <w:szCs w:val="24"/>
        </w:rPr>
        <w:t>Initially</w:t>
      </w:r>
      <w:r w:rsidR="00043285">
        <w:rPr>
          <w:sz w:val="24"/>
          <w:szCs w:val="24"/>
        </w:rPr>
        <w:t>,</w:t>
      </w:r>
      <w:r w:rsidR="000E4F7A">
        <w:rPr>
          <w:sz w:val="24"/>
          <w:szCs w:val="24"/>
        </w:rPr>
        <w:t xml:space="preserve"> the burden is in developing salary estimates to form the basis of their project costs.  </w:t>
      </w:r>
      <w:r w:rsidR="00667C97">
        <w:rPr>
          <w:sz w:val="24"/>
          <w:szCs w:val="24"/>
        </w:rPr>
        <w:t>Additionally</w:t>
      </w:r>
      <w:r w:rsidR="009B37C6">
        <w:rPr>
          <w:sz w:val="24"/>
          <w:szCs w:val="24"/>
        </w:rPr>
        <w:t xml:space="preserve">, IDNR submits the OSM-49 to provide </w:t>
      </w:r>
      <w:r w:rsidR="000E4F7A">
        <w:rPr>
          <w:sz w:val="24"/>
          <w:szCs w:val="24"/>
        </w:rPr>
        <w:t xml:space="preserve">expenditure data by </w:t>
      </w:r>
      <w:r w:rsidR="009B37C6">
        <w:rPr>
          <w:sz w:val="24"/>
          <w:szCs w:val="24"/>
        </w:rPr>
        <w:t>cost category detail in conjunction with summary information pr</w:t>
      </w:r>
      <w:r w:rsidR="000E4F7A">
        <w:rPr>
          <w:sz w:val="24"/>
          <w:szCs w:val="24"/>
        </w:rPr>
        <w:t>ovided on the SF-425.</w:t>
      </w:r>
      <w:r w:rsidR="009B37C6">
        <w:rPr>
          <w:sz w:val="24"/>
          <w:szCs w:val="24"/>
        </w:rPr>
        <w:t xml:space="preserve"> </w:t>
      </w:r>
      <w:r w:rsidR="00586DF9">
        <w:rPr>
          <w:sz w:val="24"/>
          <w:szCs w:val="24"/>
        </w:rPr>
        <w:t xml:space="preserve"> </w:t>
      </w:r>
      <w:r w:rsidR="000E4F7A">
        <w:rPr>
          <w:sz w:val="24"/>
          <w:szCs w:val="24"/>
        </w:rPr>
        <w:t>IDNR submits this information annually as required</w:t>
      </w:r>
      <w:r w:rsidR="0026270E">
        <w:rPr>
          <w:sz w:val="24"/>
          <w:szCs w:val="24"/>
        </w:rPr>
        <w:t>.</w:t>
      </w:r>
      <w:r w:rsidR="007555B4" w:rsidRPr="007555B4">
        <w:rPr>
          <w:sz w:val="24"/>
          <w:szCs w:val="24"/>
        </w:rPr>
        <w:t xml:space="preserve">  </w:t>
      </w:r>
      <w:r w:rsidR="009F5420">
        <w:rPr>
          <w:sz w:val="24"/>
          <w:szCs w:val="24"/>
        </w:rPr>
        <w:t>O</w:t>
      </w:r>
      <w:r w:rsidR="009F5420" w:rsidRPr="007555B4">
        <w:rPr>
          <w:sz w:val="24"/>
          <w:szCs w:val="24"/>
        </w:rPr>
        <w:t xml:space="preserve">riginals </w:t>
      </w:r>
      <w:r w:rsidR="009F5420">
        <w:rPr>
          <w:sz w:val="24"/>
          <w:szCs w:val="24"/>
        </w:rPr>
        <w:t xml:space="preserve">are </w:t>
      </w:r>
      <w:r w:rsidR="007555B4" w:rsidRPr="007555B4">
        <w:rPr>
          <w:sz w:val="24"/>
          <w:szCs w:val="24"/>
        </w:rPr>
        <w:t>maintain</w:t>
      </w:r>
      <w:r w:rsidR="009F5420">
        <w:rPr>
          <w:sz w:val="24"/>
          <w:szCs w:val="24"/>
        </w:rPr>
        <w:t>ed</w:t>
      </w:r>
      <w:r w:rsidR="007555B4" w:rsidRPr="007555B4">
        <w:rPr>
          <w:sz w:val="24"/>
          <w:szCs w:val="24"/>
        </w:rPr>
        <w:t xml:space="preserve"> in </w:t>
      </w:r>
      <w:r w:rsidR="009F5420">
        <w:rPr>
          <w:sz w:val="24"/>
          <w:szCs w:val="24"/>
        </w:rPr>
        <w:t xml:space="preserve">the </w:t>
      </w:r>
      <w:r w:rsidR="00586DF9">
        <w:rPr>
          <w:sz w:val="24"/>
          <w:szCs w:val="24"/>
        </w:rPr>
        <w:t>s</w:t>
      </w:r>
      <w:r w:rsidR="00687A15">
        <w:rPr>
          <w:sz w:val="24"/>
          <w:szCs w:val="24"/>
        </w:rPr>
        <w:t xml:space="preserve">tate </w:t>
      </w:r>
      <w:r w:rsidR="007555B4" w:rsidRPr="007555B4">
        <w:rPr>
          <w:sz w:val="24"/>
          <w:szCs w:val="24"/>
        </w:rPr>
        <w:t xml:space="preserve">office for review upon request.  </w:t>
      </w:r>
      <w:r w:rsidR="000E4F7A">
        <w:rPr>
          <w:sz w:val="24"/>
          <w:szCs w:val="24"/>
        </w:rPr>
        <w:t>IDNR monitors expenditures bi-mo</w:t>
      </w:r>
      <w:r w:rsidR="00586DF9">
        <w:rPr>
          <w:sz w:val="24"/>
          <w:szCs w:val="24"/>
        </w:rPr>
        <w:t>nthly and draws funds quarterly on a reimbursable basis.</w:t>
      </w:r>
    </w:p>
    <w:p w:rsidR="001949B6" w:rsidRDefault="001949B6" w:rsidP="00FF7D29">
      <w:pPr>
        <w:ind w:left="1440"/>
        <w:rPr>
          <w:sz w:val="24"/>
          <w:szCs w:val="24"/>
        </w:rPr>
      </w:pPr>
    </w:p>
    <w:p w:rsidR="000E4F7A" w:rsidRDefault="000E4F7A" w:rsidP="00B217E2">
      <w:pPr>
        <w:ind w:left="1440"/>
        <w:rPr>
          <w:sz w:val="24"/>
          <w:szCs w:val="24"/>
        </w:rPr>
      </w:pPr>
      <w:r w:rsidRPr="00B50E2E">
        <w:rPr>
          <w:b/>
          <w:sz w:val="24"/>
          <w:szCs w:val="24"/>
        </w:rPr>
        <w:t>OSM-4</w:t>
      </w:r>
      <w:r>
        <w:rPr>
          <w:b/>
          <w:sz w:val="24"/>
          <w:szCs w:val="24"/>
        </w:rPr>
        <w:t xml:space="preserve">7 - </w:t>
      </w:r>
      <w:r>
        <w:rPr>
          <w:sz w:val="24"/>
          <w:szCs w:val="24"/>
        </w:rPr>
        <w:t>IDNR maintains an internal program where costs are maintained both by object class and by activity.</w:t>
      </w:r>
      <w:r w:rsidR="001D2522">
        <w:rPr>
          <w:sz w:val="24"/>
          <w:szCs w:val="24"/>
        </w:rPr>
        <w:t xml:space="preserve">  Data is transferred to this form for submittal</w:t>
      </w:r>
      <w:r w:rsidR="00B217E2">
        <w:rPr>
          <w:sz w:val="24"/>
          <w:szCs w:val="24"/>
        </w:rPr>
        <w:t>.</w:t>
      </w:r>
    </w:p>
    <w:p w:rsidR="001D2522" w:rsidRDefault="001D2522" w:rsidP="002537B5">
      <w:pPr>
        <w:tabs>
          <w:tab w:val="left" w:pos="720"/>
          <w:tab w:val="left" w:pos="1440"/>
        </w:tabs>
        <w:ind w:left="1440" w:hanging="1440"/>
        <w:rPr>
          <w:sz w:val="24"/>
          <w:szCs w:val="24"/>
        </w:rPr>
      </w:pPr>
    </w:p>
    <w:p w:rsidR="001D2522" w:rsidRPr="000E4F7A" w:rsidRDefault="001D2522" w:rsidP="002537B5">
      <w:pPr>
        <w:tabs>
          <w:tab w:val="left" w:pos="720"/>
          <w:tab w:val="left" w:pos="1440"/>
        </w:tabs>
        <w:ind w:left="1440" w:hanging="1440"/>
        <w:rPr>
          <w:sz w:val="24"/>
          <w:szCs w:val="24"/>
        </w:rPr>
      </w:pPr>
      <w:r>
        <w:rPr>
          <w:sz w:val="24"/>
          <w:szCs w:val="24"/>
        </w:rPr>
        <w:tab/>
      </w:r>
      <w:r>
        <w:rPr>
          <w:sz w:val="24"/>
          <w:szCs w:val="24"/>
        </w:rPr>
        <w:tab/>
        <w:t>The estimate for budget development (OSM-51 form) is one hour.  The estimate for expenditure reporting (OSM-49 and OSM-47 forms) is four hours</w:t>
      </w:r>
      <w:r w:rsidR="00AE2DC2">
        <w:rPr>
          <w:sz w:val="24"/>
          <w:szCs w:val="24"/>
        </w:rPr>
        <w:t>.</w:t>
      </w:r>
    </w:p>
    <w:p w:rsidR="00802F46" w:rsidRDefault="00802F46" w:rsidP="002537B5">
      <w:pPr>
        <w:tabs>
          <w:tab w:val="left" w:pos="720"/>
          <w:tab w:val="left" w:pos="1440"/>
        </w:tabs>
        <w:ind w:left="1440" w:hanging="1440"/>
        <w:rPr>
          <w:sz w:val="24"/>
          <w:szCs w:val="24"/>
        </w:rPr>
      </w:pPr>
    </w:p>
    <w:p w:rsidR="00802F46" w:rsidRDefault="0078798A" w:rsidP="0078798A">
      <w:pPr>
        <w:tabs>
          <w:tab w:val="left" w:pos="720"/>
          <w:tab w:val="left" w:pos="2160"/>
        </w:tabs>
        <w:ind w:left="1440" w:hanging="1440"/>
        <w:rPr>
          <w:sz w:val="24"/>
          <w:szCs w:val="24"/>
        </w:rPr>
      </w:pPr>
      <w:r>
        <w:rPr>
          <w:sz w:val="24"/>
          <w:szCs w:val="24"/>
        </w:rPr>
        <w:tab/>
      </w:r>
      <w:r w:rsidR="00D425E0">
        <w:rPr>
          <w:sz w:val="24"/>
          <w:szCs w:val="24"/>
        </w:rPr>
        <w:t>b</w:t>
      </w:r>
      <w:r>
        <w:rPr>
          <w:sz w:val="24"/>
          <w:szCs w:val="24"/>
        </w:rPr>
        <w:t>.</w:t>
      </w:r>
      <w:r>
        <w:rPr>
          <w:sz w:val="24"/>
          <w:szCs w:val="24"/>
        </w:rPr>
        <w:tab/>
      </w:r>
      <w:r w:rsidR="00802F46">
        <w:rPr>
          <w:sz w:val="24"/>
          <w:szCs w:val="24"/>
        </w:rPr>
        <w:t xml:space="preserve">Date of Consultation:  </w:t>
      </w:r>
      <w:r w:rsidR="001D2522">
        <w:rPr>
          <w:sz w:val="24"/>
          <w:szCs w:val="24"/>
        </w:rPr>
        <w:t>January 8, 2015</w:t>
      </w:r>
    </w:p>
    <w:p w:rsidR="00802F46" w:rsidRDefault="00802F46" w:rsidP="002537B5">
      <w:pPr>
        <w:tabs>
          <w:tab w:val="left" w:pos="720"/>
          <w:tab w:val="left" w:pos="1440"/>
        </w:tabs>
        <w:ind w:left="1440" w:hanging="1440"/>
        <w:rPr>
          <w:sz w:val="24"/>
          <w:szCs w:val="24"/>
        </w:rPr>
      </w:pPr>
    </w:p>
    <w:p w:rsidR="00802F46" w:rsidRDefault="0078798A" w:rsidP="002537B5">
      <w:pPr>
        <w:tabs>
          <w:tab w:val="left" w:pos="720"/>
          <w:tab w:val="left" w:pos="1440"/>
        </w:tabs>
        <w:ind w:left="1440" w:hanging="1440"/>
        <w:rPr>
          <w:sz w:val="24"/>
          <w:szCs w:val="24"/>
        </w:rPr>
      </w:pPr>
      <w:r>
        <w:rPr>
          <w:b/>
          <w:sz w:val="24"/>
          <w:szCs w:val="24"/>
        </w:rPr>
        <w:tab/>
      </w:r>
      <w:r>
        <w:rPr>
          <w:b/>
          <w:sz w:val="24"/>
          <w:szCs w:val="24"/>
        </w:rPr>
        <w:tab/>
      </w:r>
      <w:r w:rsidR="00802F46">
        <w:rPr>
          <w:b/>
          <w:sz w:val="24"/>
          <w:szCs w:val="24"/>
        </w:rPr>
        <w:t>Name:</w:t>
      </w:r>
      <w:r w:rsidR="00802F46">
        <w:rPr>
          <w:b/>
          <w:sz w:val="24"/>
          <w:szCs w:val="24"/>
        </w:rPr>
        <w:tab/>
      </w:r>
      <w:r w:rsidR="00802F46" w:rsidRPr="00802F46">
        <w:rPr>
          <w:sz w:val="24"/>
          <w:szCs w:val="24"/>
        </w:rPr>
        <w:tab/>
        <w:t xml:space="preserve">Ms. </w:t>
      </w:r>
      <w:r w:rsidR="001770AE">
        <w:rPr>
          <w:sz w:val="24"/>
          <w:szCs w:val="24"/>
        </w:rPr>
        <w:t>J</w:t>
      </w:r>
      <w:r w:rsidR="001D2522">
        <w:rPr>
          <w:sz w:val="24"/>
          <w:szCs w:val="24"/>
        </w:rPr>
        <w:t>an</w:t>
      </w:r>
      <w:r w:rsidR="001770AE">
        <w:rPr>
          <w:sz w:val="24"/>
          <w:szCs w:val="24"/>
        </w:rPr>
        <w:t xml:space="preserve"> </w:t>
      </w:r>
      <w:r w:rsidR="001D2522">
        <w:rPr>
          <w:sz w:val="24"/>
          <w:szCs w:val="24"/>
        </w:rPr>
        <w:t>Zentmeyer</w:t>
      </w:r>
      <w:r w:rsidR="001770AE">
        <w:rPr>
          <w:sz w:val="24"/>
          <w:szCs w:val="24"/>
        </w:rPr>
        <w:t xml:space="preserve"> </w:t>
      </w:r>
    </w:p>
    <w:p w:rsidR="00802F46" w:rsidRDefault="0078798A" w:rsidP="002537B5">
      <w:pPr>
        <w:tabs>
          <w:tab w:val="left" w:pos="720"/>
          <w:tab w:val="left" w:pos="1440"/>
        </w:tabs>
        <w:ind w:left="1440" w:hanging="1440"/>
        <w:rPr>
          <w:sz w:val="24"/>
          <w:szCs w:val="24"/>
        </w:rPr>
      </w:pPr>
      <w:r>
        <w:rPr>
          <w:b/>
          <w:sz w:val="24"/>
          <w:szCs w:val="24"/>
        </w:rPr>
        <w:tab/>
      </w:r>
      <w:r>
        <w:rPr>
          <w:b/>
          <w:sz w:val="24"/>
          <w:szCs w:val="24"/>
        </w:rPr>
        <w:tab/>
      </w:r>
      <w:r w:rsidR="00802F46">
        <w:rPr>
          <w:b/>
          <w:sz w:val="24"/>
          <w:szCs w:val="24"/>
        </w:rPr>
        <w:t>State:</w:t>
      </w:r>
      <w:r w:rsidR="00802F46">
        <w:rPr>
          <w:sz w:val="24"/>
          <w:szCs w:val="24"/>
        </w:rPr>
        <w:tab/>
      </w:r>
      <w:r w:rsidR="00802F46">
        <w:rPr>
          <w:sz w:val="24"/>
          <w:szCs w:val="24"/>
        </w:rPr>
        <w:tab/>
      </w:r>
      <w:r w:rsidR="001D2522">
        <w:rPr>
          <w:sz w:val="24"/>
          <w:szCs w:val="24"/>
        </w:rPr>
        <w:t>Virginia</w:t>
      </w:r>
    </w:p>
    <w:p w:rsidR="00802F46" w:rsidRDefault="0078798A" w:rsidP="002537B5">
      <w:pPr>
        <w:tabs>
          <w:tab w:val="left" w:pos="720"/>
          <w:tab w:val="left" w:pos="1440"/>
        </w:tabs>
        <w:ind w:left="1440" w:hanging="1440"/>
        <w:rPr>
          <w:sz w:val="24"/>
          <w:szCs w:val="24"/>
        </w:rPr>
      </w:pPr>
      <w:r>
        <w:rPr>
          <w:b/>
          <w:sz w:val="24"/>
          <w:szCs w:val="24"/>
        </w:rPr>
        <w:tab/>
      </w:r>
      <w:r>
        <w:rPr>
          <w:b/>
          <w:sz w:val="24"/>
          <w:szCs w:val="24"/>
        </w:rPr>
        <w:tab/>
      </w:r>
      <w:r w:rsidR="00802F46">
        <w:rPr>
          <w:b/>
          <w:sz w:val="24"/>
          <w:szCs w:val="24"/>
        </w:rPr>
        <w:t>Address:</w:t>
      </w:r>
      <w:r w:rsidR="00802F46">
        <w:rPr>
          <w:sz w:val="24"/>
          <w:szCs w:val="24"/>
        </w:rPr>
        <w:tab/>
      </w:r>
      <w:r w:rsidR="001770AE">
        <w:rPr>
          <w:sz w:val="24"/>
          <w:szCs w:val="24"/>
        </w:rPr>
        <w:t>D</w:t>
      </w:r>
      <w:r w:rsidR="001D2522">
        <w:rPr>
          <w:sz w:val="24"/>
          <w:szCs w:val="24"/>
        </w:rPr>
        <w:t>epartment of Mines, Minerals, and Energy</w:t>
      </w:r>
      <w:r w:rsidR="006C7697">
        <w:rPr>
          <w:sz w:val="24"/>
          <w:szCs w:val="24"/>
        </w:rPr>
        <w:t xml:space="preserve"> (DMME)</w:t>
      </w:r>
    </w:p>
    <w:p w:rsidR="00F720C9" w:rsidRDefault="00802F46">
      <w:pPr>
        <w:tabs>
          <w:tab w:val="left" w:pos="720"/>
          <w:tab w:val="left" w:pos="1440"/>
        </w:tabs>
        <w:rPr>
          <w:sz w:val="24"/>
          <w:szCs w:val="24"/>
        </w:rPr>
      </w:pPr>
      <w:r w:rsidRPr="00802F46">
        <w:rPr>
          <w:sz w:val="24"/>
          <w:szCs w:val="24"/>
        </w:rPr>
        <w:tab/>
      </w:r>
      <w:r w:rsidRPr="00802F46">
        <w:rPr>
          <w:sz w:val="24"/>
          <w:szCs w:val="24"/>
        </w:rPr>
        <w:tab/>
      </w:r>
      <w:r w:rsidR="0078798A">
        <w:rPr>
          <w:sz w:val="24"/>
          <w:szCs w:val="24"/>
        </w:rPr>
        <w:tab/>
      </w:r>
      <w:r w:rsidR="0078798A">
        <w:rPr>
          <w:sz w:val="24"/>
          <w:szCs w:val="24"/>
        </w:rPr>
        <w:tab/>
      </w:r>
      <w:r w:rsidR="001D2522">
        <w:rPr>
          <w:sz w:val="24"/>
          <w:szCs w:val="24"/>
        </w:rPr>
        <w:t>PO Drawer 900</w:t>
      </w:r>
      <w:r w:rsidR="00D816FC">
        <w:rPr>
          <w:sz w:val="24"/>
          <w:szCs w:val="24"/>
        </w:rPr>
        <w:t xml:space="preserve"> </w:t>
      </w:r>
      <w:r w:rsidR="001A59DD">
        <w:rPr>
          <w:sz w:val="24"/>
          <w:szCs w:val="24"/>
        </w:rPr>
        <w:tab/>
      </w:r>
    </w:p>
    <w:p w:rsidR="00802F46" w:rsidRDefault="001A59DD" w:rsidP="001A59DD">
      <w:pPr>
        <w:tabs>
          <w:tab w:val="left" w:pos="720"/>
          <w:tab w:val="left" w:pos="1440"/>
        </w:tabs>
        <w:ind w:left="1440" w:hanging="1440"/>
        <w:rPr>
          <w:sz w:val="24"/>
          <w:szCs w:val="24"/>
        </w:rPr>
      </w:pPr>
      <w:r>
        <w:rPr>
          <w:sz w:val="24"/>
          <w:szCs w:val="24"/>
        </w:rPr>
        <w:tab/>
      </w:r>
      <w:r>
        <w:rPr>
          <w:sz w:val="24"/>
          <w:szCs w:val="24"/>
        </w:rPr>
        <w:tab/>
      </w:r>
      <w:r>
        <w:rPr>
          <w:sz w:val="24"/>
          <w:szCs w:val="24"/>
        </w:rPr>
        <w:tab/>
      </w:r>
      <w:r>
        <w:rPr>
          <w:sz w:val="24"/>
          <w:szCs w:val="24"/>
        </w:rPr>
        <w:tab/>
      </w:r>
      <w:r w:rsidR="001D2522">
        <w:rPr>
          <w:sz w:val="24"/>
          <w:szCs w:val="24"/>
        </w:rPr>
        <w:t>Big Stone Gap, VA 24219</w:t>
      </w:r>
    </w:p>
    <w:p w:rsidR="00F27FD7" w:rsidRDefault="00F27FD7" w:rsidP="002537B5">
      <w:pPr>
        <w:tabs>
          <w:tab w:val="left" w:pos="720"/>
          <w:tab w:val="left" w:pos="1440"/>
        </w:tabs>
        <w:ind w:left="1440" w:hanging="1440"/>
        <w:rPr>
          <w:sz w:val="24"/>
          <w:szCs w:val="24"/>
        </w:rPr>
      </w:pPr>
    </w:p>
    <w:p w:rsidR="00F27FD7" w:rsidRDefault="002F584C" w:rsidP="002537B5">
      <w:pPr>
        <w:tabs>
          <w:tab w:val="left" w:pos="720"/>
          <w:tab w:val="left" w:pos="1440"/>
        </w:tabs>
        <w:ind w:left="1440" w:hanging="1440"/>
        <w:rPr>
          <w:sz w:val="24"/>
          <w:szCs w:val="24"/>
        </w:rPr>
      </w:pPr>
      <w:r>
        <w:rPr>
          <w:b/>
          <w:sz w:val="24"/>
          <w:szCs w:val="24"/>
        </w:rPr>
        <w:tab/>
      </w:r>
      <w:r>
        <w:rPr>
          <w:b/>
          <w:sz w:val="24"/>
          <w:szCs w:val="24"/>
        </w:rPr>
        <w:tab/>
      </w:r>
      <w:r w:rsidR="00F27FD7" w:rsidRPr="00F27FD7">
        <w:rPr>
          <w:b/>
          <w:sz w:val="24"/>
          <w:szCs w:val="24"/>
        </w:rPr>
        <w:t>Summary:</w:t>
      </w:r>
      <w:r w:rsidR="00F27FD7">
        <w:rPr>
          <w:b/>
          <w:sz w:val="24"/>
          <w:szCs w:val="24"/>
        </w:rPr>
        <w:tab/>
        <w:t>OSM-51</w:t>
      </w:r>
      <w:r w:rsidR="000F1FDA">
        <w:rPr>
          <w:b/>
          <w:sz w:val="24"/>
          <w:szCs w:val="24"/>
        </w:rPr>
        <w:t xml:space="preserve"> -- </w:t>
      </w:r>
      <w:r w:rsidR="008A16D2">
        <w:rPr>
          <w:sz w:val="24"/>
          <w:szCs w:val="24"/>
        </w:rPr>
        <w:t xml:space="preserve">Updating the OSM-51 takes an average </w:t>
      </w:r>
      <w:r w:rsidR="00A33F64">
        <w:rPr>
          <w:sz w:val="24"/>
          <w:szCs w:val="24"/>
        </w:rPr>
        <w:t>of</w:t>
      </w:r>
      <w:r w:rsidR="001770AE">
        <w:rPr>
          <w:sz w:val="24"/>
          <w:szCs w:val="24"/>
        </w:rPr>
        <w:t xml:space="preserve"> three hours </w:t>
      </w:r>
      <w:r w:rsidR="008A16D2">
        <w:rPr>
          <w:sz w:val="24"/>
          <w:szCs w:val="24"/>
        </w:rPr>
        <w:t xml:space="preserve">to complete.  </w:t>
      </w:r>
      <w:r w:rsidR="001D2522">
        <w:rPr>
          <w:sz w:val="24"/>
          <w:szCs w:val="24"/>
        </w:rPr>
        <w:t>Transferring the information is fairly easy but it takes several hours to collect and organize the needed information.  T</w:t>
      </w:r>
      <w:r w:rsidR="00E2596F">
        <w:rPr>
          <w:sz w:val="24"/>
          <w:szCs w:val="24"/>
        </w:rPr>
        <w:t xml:space="preserve">he form is </w:t>
      </w:r>
      <w:r w:rsidR="001D2522">
        <w:rPr>
          <w:sz w:val="24"/>
          <w:szCs w:val="24"/>
        </w:rPr>
        <w:t xml:space="preserve">prepared and submitted </w:t>
      </w:r>
      <w:r w:rsidR="00E2596F">
        <w:rPr>
          <w:sz w:val="24"/>
          <w:szCs w:val="24"/>
        </w:rPr>
        <w:t xml:space="preserve"> electronically</w:t>
      </w:r>
      <w:r w:rsidR="006C7697">
        <w:rPr>
          <w:sz w:val="24"/>
          <w:szCs w:val="24"/>
        </w:rPr>
        <w:t>.</w:t>
      </w:r>
    </w:p>
    <w:p w:rsidR="00E2596F" w:rsidRDefault="00E2596F" w:rsidP="002537B5">
      <w:pPr>
        <w:tabs>
          <w:tab w:val="left" w:pos="720"/>
          <w:tab w:val="left" w:pos="1440"/>
        </w:tabs>
        <w:ind w:left="1440" w:hanging="1440"/>
        <w:rPr>
          <w:sz w:val="24"/>
          <w:szCs w:val="24"/>
        </w:rPr>
      </w:pPr>
    </w:p>
    <w:p w:rsidR="00E2596F" w:rsidRDefault="002F584C" w:rsidP="002537B5">
      <w:pPr>
        <w:tabs>
          <w:tab w:val="left" w:pos="720"/>
          <w:tab w:val="left" w:pos="1440"/>
        </w:tabs>
        <w:ind w:left="1440" w:hanging="1440"/>
        <w:rPr>
          <w:sz w:val="24"/>
          <w:szCs w:val="24"/>
        </w:rPr>
      </w:pPr>
      <w:r>
        <w:rPr>
          <w:sz w:val="24"/>
          <w:szCs w:val="24"/>
        </w:rPr>
        <w:tab/>
      </w:r>
      <w:r>
        <w:rPr>
          <w:sz w:val="24"/>
          <w:szCs w:val="24"/>
        </w:rPr>
        <w:tab/>
      </w:r>
      <w:r w:rsidR="00E2596F" w:rsidRPr="002F584C">
        <w:rPr>
          <w:b/>
          <w:sz w:val="24"/>
          <w:szCs w:val="24"/>
        </w:rPr>
        <w:t>OSM-49</w:t>
      </w:r>
      <w:r w:rsidR="00E2596F">
        <w:rPr>
          <w:sz w:val="24"/>
          <w:szCs w:val="24"/>
        </w:rPr>
        <w:t xml:space="preserve"> – The division </w:t>
      </w:r>
      <w:r w:rsidR="001D4205">
        <w:rPr>
          <w:sz w:val="24"/>
          <w:szCs w:val="24"/>
        </w:rPr>
        <w:t xml:space="preserve">submits this form </w:t>
      </w:r>
      <w:r w:rsidR="009E37C1">
        <w:rPr>
          <w:sz w:val="24"/>
          <w:szCs w:val="24"/>
        </w:rPr>
        <w:t xml:space="preserve">for applications, amendments and post award reporting, and closeouts. </w:t>
      </w:r>
      <w:r w:rsidR="00043285">
        <w:rPr>
          <w:sz w:val="24"/>
          <w:szCs w:val="24"/>
        </w:rPr>
        <w:t xml:space="preserve"> </w:t>
      </w:r>
      <w:r w:rsidR="009E37C1">
        <w:rPr>
          <w:sz w:val="24"/>
          <w:szCs w:val="24"/>
        </w:rPr>
        <w:t xml:space="preserve">DMME </w:t>
      </w:r>
      <w:r w:rsidR="00A33F64">
        <w:rPr>
          <w:sz w:val="24"/>
          <w:szCs w:val="24"/>
        </w:rPr>
        <w:t>gathers</w:t>
      </w:r>
      <w:r w:rsidR="009E37C1">
        <w:rPr>
          <w:sz w:val="24"/>
          <w:szCs w:val="24"/>
        </w:rPr>
        <w:t xml:space="preserve"> the data and then</w:t>
      </w:r>
      <w:r>
        <w:rPr>
          <w:sz w:val="24"/>
          <w:szCs w:val="24"/>
        </w:rPr>
        <w:t xml:space="preserve"> transfer</w:t>
      </w:r>
      <w:r w:rsidR="009E37C1">
        <w:rPr>
          <w:sz w:val="24"/>
          <w:szCs w:val="24"/>
        </w:rPr>
        <w:t>s budgets or</w:t>
      </w:r>
      <w:r>
        <w:rPr>
          <w:sz w:val="24"/>
          <w:szCs w:val="24"/>
        </w:rPr>
        <w:t xml:space="preserve"> expenditures incurred to the OSM-49.  </w:t>
      </w:r>
      <w:r w:rsidR="00817721">
        <w:rPr>
          <w:sz w:val="24"/>
          <w:szCs w:val="24"/>
        </w:rPr>
        <w:t xml:space="preserve">Completing the OSM-49 </w:t>
      </w:r>
      <w:r>
        <w:rPr>
          <w:sz w:val="24"/>
          <w:szCs w:val="24"/>
        </w:rPr>
        <w:t xml:space="preserve">takes </w:t>
      </w:r>
      <w:r w:rsidR="00817721">
        <w:rPr>
          <w:sz w:val="24"/>
          <w:szCs w:val="24"/>
        </w:rPr>
        <w:t>at least</w:t>
      </w:r>
      <w:r w:rsidR="002C34C5">
        <w:rPr>
          <w:sz w:val="24"/>
          <w:szCs w:val="24"/>
        </w:rPr>
        <w:t xml:space="preserve"> </w:t>
      </w:r>
      <w:r w:rsidR="009E37C1">
        <w:rPr>
          <w:sz w:val="24"/>
          <w:szCs w:val="24"/>
        </w:rPr>
        <w:t xml:space="preserve">one </w:t>
      </w:r>
      <w:r w:rsidR="00984CCD">
        <w:rPr>
          <w:sz w:val="24"/>
          <w:szCs w:val="24"/>
        </w:rPr>
        <w:t>to t</w:t>
      </w:r>
      <w:r w:rsidR="009E37C1">
        <w:rPr>
          <w:sz w:val="24"/>
          <w:szCs w:val="24"/>
        </w:rPr>
        <w:t>wo</w:t>
      </w:r>
      <w:r>
        <w:rPr>
          <w:sz w:val="24"/>
          <w:szCs w:val="24"/>
        </w:rPr>
        <w:t xml:space="preserve"> hour</w:t>
      </w:r>
      <w:r w:rsidR="00984CCD">
        <w:rPr>
          <w:sz w:val="24"/>
          <w:szCs w:val="24"/>
        </w:rPr>
        <w:t>s</w:t>
      </w:r>
      <w:r>
        <w:rPr>
          <w:sz w:val="24"/>
          <w:szCs w:val="24"/>
        </w:rPr>
        <w:t>.</w:t>
      </w:r>
    </w:p>
    <w:p w:rsidR="000F1FDA" w:rsidRDefault="000F1FDA" w:rsidP="002537B5">
      <w:pPr>
        <w:tabs>
          <w:tab w:val="left" w:pos="720"/>
          <w:tab w:val="left" w:pos="1440"/>
        </w:tabs>
        <w:ind w:left="1440" w:hanging="1440"/>
        <w:rPr>
          <w:sz w:val="24"/>
          <w:szCs w:val="24"/>
        </w:rPr>
      </w:pPr>
    </w:p>
    <w:p w:rsidR="000F1FDA" w:rsidRDefault="000F1FDA" w:rsidP="002537B5">
      <w:pPr>
        <w:tabs>
          <w:tab w:val="left" w:pos="720"/>
          <w:tab w:val="left" w:pos="1440"/>
        </w:tabs>
        <w:ind w:left="1440" w:hanging="1440"/>
        <w:rPr>
          <w:sz w:val="24"/>
          <w:szCs w:val="24"/>
        </w:rPr>
      </w:pPr>
      <w:r>
        <w:rPr>
          <w:sz w:val="24"/>
          <w:szCs w:val="24"/>
        </w:rPr>
        <w:tab/>
      </w:r>
      <w:r>
        <w:rPr>
          <w:sz w:val="24"/>
          <w:szCs w:val="24"/>
        </w:rPr>
        <w:tab/>
      </w:r>
      <w:r>
        <w:rPr>
          <w:b/>
          <w:sz w:val="24"/>
          <w:szCs w:val="24"/>
        </w:rPr>
        <w:t xml:space="preserve">OSM-47 </w:t>
      </w:r>
      <w:r w:rsidR="00D92966">
        <w:rPr>
          <w:b/>
          <w:sz w:val="24"/>
          <w:szCs w:val="24"/>
        </w:rPr>
        <w:t>--</w:t>
      </w:r>
      <w:r w:rsidR="00D92966">
        <w:rPr>
          <w:sz w:val="24"/>
          <w:szCs w:val="24"/>
        </w:rPr>
        <w:t xml:space="preserve"> </w:t>
      </w:r>
      <w:r w:rsidR="00FF359F">
        <w:rPr>
          <w:sz w:val="24"/>
          <w:szCs w:val="24"/>
        </w:rPr>
        <w:t xml:space="preserve"> </w:t>
      </w:r>
      <w:r w:rsidR="00984CCD">
        <w:rPr>
          <w:sz w:val="24"/>
          <w:szCs w:val="24"/>
        </w:rPr>
        <w:t>D</w:t>
      </w:r>
      <w:r w:rsidR="00A33F64">
        <w:rPr>
          <w:sz w:val="24"/>
          <w:szCs w:val="24"/>
        </w:rPr>
        <w:t>MME have developed spreadsheets to accumulate d</w:t>
      </w:r>
      <w:r w:rsidR="00984CCD">
        <w:rPr>
          <w:sz w:val="24"/>
          <w:szCs w:val="24"/>
        </w:rPr>
        <w:t>ata</w:t>
      </w:r>
      <w:r w:rsidR="00A33F64">
        <w:rPr>
          <w:sz w:val="24"/>
          <w:szCs w:val="24"/>
        </w:rPr>
        <w:t xml:space="preserve"> needed for the OSM-47 form.</w:t>
      </w:r>
      <w:r w:rsidR="00984CCD">
        <w:rPr>
          <w:sz w:val="24"/>
          <w:szCs w:val="24"/>
        </w:rPr>
        <w:t xml:space="preserve">  </w:t>
      </w:r>
      <w:r w:rsidR="00A33F64">
        <w:rPr>
          <w:sz w:val="24"/>
          <w:szCs w:val="24"/>
        </w:rPr>
        <w:t xml:space="preserve">As a result, it </w:t>
      </w:r>
      <w:r w:rsidR="00984CCD">
        <w:rPr>
          <w:sz w:val="24"/>
          <w:szCs w:val="24"/>
        </w:rPr>
        <w:t xml:space="preserve">takes </w:t>
      </w:r>
      <w:r w:rsidR="00A33F64">
        <w:rPr>
          <w:sz w:val="24"/>
          <w:szCs w:val="24"/>
        </w:rPr>
        <w:t>about</w:t>
      </w:r>
      <w:r w:rsidR="00984CCD">
        <w:rPr>
          <w:sz w:val="24"/>
          <w:szCs w:val="24"/>
        </w:rPr>
        <w:t xml:space="preserve"> an hour to complete. </w:t>
      </w:r>
      <w:r w:rsidR="003F71ED">
        <w:rPr>
          <w:sz w:val="24"/>
          <w:szCs w:val="24"/>
        </w:rPr>
        <w:t xml:space="preserve"> </w:t>
      </w:r>
      <w:r w:rsidR="00A33F64">
        <w:rPr>
          <w:sz w:val="24"/>
          <w:szCs w:val="24"/>
        </w:rPr>
        <w:t xml:space="preserve">Without their internal spreadsheet, the estimate changes to several hours. </w:t>
      </w:r>
      <w:r w:rsidR="00984CCD">
        <w:rPr>
          <w:sz w:val="24"/>
          <w:szCs w:val="24"/>
        </w:rPr>
        <w:t xml:space="preserve"> </w:t>
      </w:r>
    </w:p>
    <w:p w:rsidR="00043285" w:rsidRDefault="00043285" w:rsidP="002537B5">
      <w:pPr>
        <w:tabs>
          <w:tab w:val="left" w:pos="720"/>
          <w:tab w:val="left" w:pos="1440"/>
        </w:tabs>
        <w:ind w:left="1440" w:hanging="1440"/>
        <w:rPr>
          <w:sz w:val="24"/>
          <w:szCs w:val="24"/>
        </w:rPr>
      </w:pPr>
    </w:p>
    <w:p w:rsidR="006644C6" w:rsidRPr="00F81A08" w:rsidRDefault="006644C6" w:rsidP="006644C6">
      <w:pPr>
        <w:ind w:left="720"/>
        <w:rPr>
          <w:sz w:val="24"/>
          <w:szCs w:val="24"/>
        </w:rPr>
      </w:pPr>
      <w:r>
        <w:rPr>
          <w:sz w:val="24"/>
          <w:szCs w:val="24"/>
        </w:rPr>
        <w:t xml:space="preserve">Neither </w:t>
      </w:r>
      <w:r w:rsidRPr="00F81A08">
        <w:rPr>
          <w:sz w:val="24"/>
          <w:szCs w:val="24"/>
        </w:rPr>
        <w:t>person contacted expressed concerns with the availability of data, frequency of collection, clarity of instructions, or data elements reported.</w:t>
      </w:r>
      <w:r w:rsidR="00957980">
        <w:rPr>
          <w:sz w:val="24"/>
          <w:szCs w:val="24"/>
        </w:rPr>
        <w:t xml:space="preserve">  These individuals provide</w:t>
      </w:r>
      <w:r w:rsidR="00554DCB">
        <w:rPr>
          <w:sz w:val="24"/>
          <w:szCs w:val="24"/>
        </w:rPr>
        <w:t>d</w:t>
      </w:r>
      <w:bookmarkStart w:id="0" w:name="_GoBack"/>
      <w:bookmarkEnd w:id="0"/>
      <w:r w:rsidR="00957980">
        <w:rPr>
          <w:sz w:val="24"/>
          <w:szCs w:val="24"/>
        </w:rPr>
        <w:t xml:space="preserve"> burden estimates which we have used in estimating burden in item 12 below.</w:t>
      </w:r>
    </w:p>
    <w:p w:rsidR="003F71ED" w:rsidRDefault="003F71ED" w:rsidP="006644C6">
      <w:pPr>
        <w:tabs>
          <w:tab w:val="left" w:pos="720"/>
        </w:tabs>
        <w:ind w:left="720" w:hanging="720"/>
        <w:rPr>
          <w:sz w:val="24"/>
          <w:szCs w:val="24"/>
        </w:rPr>
      </w:pPr>
    </w:p>
    <w:p w:rsidR="003F71ED" w:rsidRPr="00FD465C" w:rsidRDefault="003F71ED" w:rsidP="003F71ED">
      <w:pPr>
        <w:ind w:left="720"/>
        <w:rPr>
          <w:sz w:val="24"/>
        </w:rPr>
      </w:pPr>
      <w:r w:rsidRPr="00FD465C">
        <w:rPr>
          <w:sz w:val="24"/>
        </w:rPr>
        <w:t xml:space="preserve">On </w:t>
      </w:r>
      <w:r w:rsidR="00D34557">
        <w:rPr>
          <w:sz w:val="24"/>
        </w:rPr>
        <w:t>February 19</w:t>
      </w:r>
      <w:r w:rsidRPr="00FD465C">
        <w:rPr>
          <w:sz w:val="24"/>
        </w:rPr>
        <w:t>,</w:t>
      </w:r>
      <w:r w:rsidR="00D34557">
        <w:rPr>
          <w:sz w:val="24"/>
        </w:rPr>
        <w:t xml:space="preserve"> </w:t>
      </w:r>
      <w:r w:rsidR="00ED483D">
        <w:rPr>
          <w:sz w:val="24"/>
        </w:rPr>
        <w:t>201</w:t>
      </w:r>
      <w:r w:rsidR="00D34557">
        <w:rPr>
          <w:sz w:val="24"/>
        </w:rPr>
        <w:t>5</w:t>
      </w:r>
      <w:r w:rsidRPr="00FD465C">
        <w:rPr>
          <w:sz w:val="24"/>
        </w:rPr>
        <w:t>, OSM</w:t>
      </w:r>
      <w:r w:rsidR="00C351B2">
        <w:rPr>
          <w:sz w:val="24"/>
        </w:rPr>
        <w:t>RE</w:t>
      </w:r>
      <w:r w:rsidRPr="00FD465C">
        <w:rPr>
          <w:sz w:val="24"/>
        </w:rPr>
        <w:t xml:space="preserve"> published in the </w:t>
      </w:r>
      <w:r w:rsidRPr="00FD465C">
        <w:rPr>
          <w:sz w:val="24"/>
          <w:u w:val="single"/>
        </w:rPr>
        <w:t>Federal</w:t>
      </w:r>
      <w:r w:rsidRPr="00FD465C">
        <w:rPr>
          <w:sz w:val="24"/>
        </w:rPr>
        <w:t xml:space="preserve"> </w:t>
      </w:r>
      <w:r w:rsidRPr="00FD465C">
        <w:rPr>
          <w:sz w:val="24"/>
          <w:u w:val="single"/>
        </w:rPr>
        <w:t>Register</w:t>
      </w:r>
      <w:r w:rsidRPr="00FD465C">
        <w:rPr>
          <w:sz w:val="24"/>
        </w:rPr>
        <w:t xml:space="preserve"> (</w:t>
      </w:r>
      <w:r w:rsidR="00D34557">
        <w:rPr>
          <w:sz w:val="24"/>
        </w:rPr>
        <w:t>80</w:t>
      </w:r>
      <w:r w:rsidRPr="00FD465C">
        <w:rPr>
          <w:sz w:val="24"/>
        </w:rPr>
        <w:t xml:space="preserve"> FR </w:t>
      </w:r>
      <w:r w:rsidR="00D34557">
        <w:rPr>
          <w:sz w:val="24"/>
        </w:rPr>
        <w:t>8899</w:t>
      </w:r>
      <w:r w:rsidRPr="00FD465C">
        <w:rPr>
          <w:sz w:val="24"/>
        </w:rPr>
        <w:t xml:space="preserve">) a notice </w:t>
      </w:r>
      <w:r w:rsidRPr="00FD465C">
        <w:rPr>
          <w:sz w:val="24"/>
        </w:rPr>
        <w:lastRenderedPageBreak/>
        <w:t>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A59DD" w:rsidRPr="00FD465C" w:rsidRDefault="001A59DD" w:rsidP="00D425E0">
      <w:pPr>
        <w:rPr>
          <w:sz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835361" w:rsidRDefault="00A50DF5" w:rsidP="00835361">
      <w:pPr>
        <w:tabs>
          <w:tab w:val="left" w:pos="720"/>
        </w:tabs>
        <w:ind w:left="720" w:hanging="720"/>
        <w:rPr>
          <w:sz w:val="24"/>
          <w:szCs w:val="24"/>
        </w:rPr>
      </w:pPr>
      <w:r>
        <w:rPr>
          <w:sz w:val="24"/>
          <w:szCs w:val="24"/>
        </w:rPr>
        <w:tab/>
      </w:r>
    </w:p>
    <w:p w:rsidR="004162E2" w:rsidRDefault="00A50DF5" w:rsidP="004162E2">
      <w:pPr>
        <w:tabs>
          <w:tab w:val="left" w:pos="720"/>
        </w:tabs>
        <w:ind w:left="720" w:hanging="720"/>
        <w:rPr>
          <w:sz w:val="24"/>
          <w:szCs w:val="24"/>
        </w:rPr>
      </w:pPr>
      <w:r>
        <w:rPr>
          <w:sz w:val="24"/>
          <w:szCs w:val="24"/>
        </w:rPr>
        <w:tab/>
        <w:t xml:space="preserve">Not applicable.  </w:t>
      </w:r>
      <w:r w:rsidR="004162E2">
        <w:rPr>
          <w:sz w:val="24"/>
          <w:szCs w:val="24"/>
        </w:rPr>
        <w:t>No payment or gifts are provided to respondents beyond that authorized through grant programs.</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835361" w:rsidRDefault="00835361" w:rsidP="00835361">
      <w:pPr>
        <w:tabs>
          <w:tab w:val="left" w:pos="720"/>
        </w:tabs>
        <w:ind w:left="720" w:hanging="720"/>
        <w:rPr>
          <w:sz w:val="24"/>
          <w:szCs w:val="24"/>
        </w:rPr>
      </w:pPr>
    </w:p>
    <w:p w:rsidR="004162E2" w:rsidRDefault="004162E2" w:rsidP="004162E2">
      <w:pPr>
        <w:tabs>
          <w:tab w:val="left" w:pos="720"/>
        </w:tabs>
        <w:ind w:left="720" w:hanging="720"/>
        <w:rPr>
          <w:sz w:val="24"/>
          <w:szCs w:val="24"/>
        </w:rPr>
      </w:pPr>
      <w:r>
        <w:rPr>
          <w:sz w:val="24"/>
          <w:szCs w:val="24"/>
        </w:rPr>
        <w:tab/>
        <w:t>Not applicable.</w:t>
      </w:r>
      <w:r w:rsidRPr="004162E2">
        <w:rPr>
          <w:sz w:val="24"/>
          <w:szCs w:val="24"/>
        </w:rPr>
        <w:t xml:space="preserve"> </w:t>
      </w:r>
      <w:r>
        <w:rPr>
          <w:sz w:val="24"/>
          <w:szCs w:val="24"/>
        </w:rPr>
        <w:t xml:space="preserve"> No assurance of confidentiality is provided. </w:t>
      </w:r>
    </w:p>
    <w:p w:rsidR="00A50DF5" w:rsidRDefault="00A50DF5">
      <w:pPr>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5361" w:rsidRDefault="00835361">
      <w:pPr>
        <w:tabs>
          <w:tab w:val="left" w:pos="720"/>
          <w:tab w:val="left" w:pos="1440"/>
        </w:tabs>
        <w:ind w:left="1440" w:hanging="1440"/>
        <w:rPr>
          <w:sz w:val="24"/>
          <w:szCs w:val="24"/>
        </w:rPr>
      </w:pPr>
    </w:p>
    <w:p w:rsidR="004162E2" w:rsidRDefault="00A50DF5" w:rsidP="004162E2">
      <w:pPr>
        <w:tabs>
          <w:tab w:val="left" w:pos="720"/>
          <w:tab w:val="left" w:pos="1440"/>
        </w:tabs>
        <w:ind w:left="1440" w:hanging="1440"/>
        <w:rPr>
          <w:sz w:val="24"/>
          <w:szCs w:val="24"/>
        </w:rPr>
      </w:pPr>
      <w:r>
        <w:rPr>
          <w:sz w:val="24"/>
          <w:szCs w:val="24"/>
        </w:rPr>
        <w:tab/>
        <w:t xml:space="preserve">Not applicable.  </w:t>
      </w:r>
      <w:r w:rsidR="004162E2">
        <w:rPr>
          <w:sz w:val="24"/>
          <w:szCs w:val="24"/>
        </w:rPr>
        <w:t>Sensitive questions are not asked.</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A59DD" w:rsidRDefault="001A59DD">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E7035C" w:rsidRDefault="00E7035C">
      <w:pPr>
        <w:tabs>
          <w:tab w:val="left" w:pos="720"/>
          <w:tab w:val="left" w:pos="1440"/>
        </w:tabs>
        <w:ind w:left="1440" w:hanging="1440"/>
        <w:rPr>
          <w:sz w:val="24"/>
          <w:szCs w:val="24"/>
        </w:rPr>
      </w:pPr>
    </w:p>
    <w:p w:rsidR="00574B42" w:rsidRDefault="00A50DF5" w:rsidP="00E7035C">
      <w:pPr>
        <w:tabs>
          <w:tab w:val="left" w:pos="720"/>
          <w:tab w:val="left" w:pos="1440"/>
        </w:tabs>
        <w:ind w:left="1440" w:hanging="1440"/>
        <w:jc w:val="center"/>
        <w:rPr>
          <w:sz w:val="24"/>
          <w:szCs w:val="24"/>
        </w:rPr>
      </w:pPr>
      <w:r w:rsidRPr="003E48D9">
        <w:rPr>
          <w:b/>
          <w:bCs/>
          <w:sz w:val="24"/>
          <w:szCs w:val="24"/>
        </w:rPr>
        <w:t>Estimated Burden Hours</w:t>
      </w:r>
    </w:p>
    <w:tbl>
      <w:tblPr>
        <w:tblW w:w="8910" w:type="dxa"/>
        <w:tblInd w:w="100" w:type="dxa"/>
        <w:tblLayout w:type="fixed"/>
        <w:tblCellMar>
          <w:left w:w="100" w:type="dxa"/>
          <w:right w:w="100" w:type="dxa"/>
        </w:tblCellMar>
        <w:tblLook w:val="0000" w:firstRow="0" w:lastRow="0" w:firstColumn="0" w:lastColumn="0" w:noHBand="0" w:noVBand="0"/>
      </w:tblPr>
      <w:tblGrid>
        <w:gridCol w:w="1530"/>
        <w:gridCol w:w="1890"/>
        <w:gridCol w:w="1440"/>
        <w:gridCol w:w="1980"/>
        <w:gridCol w:w="2070"/>
      </w:tblGrid>
      <w:tr w:rsidR="00EC598A" w:rsidTr="00AE2DC2">
        <w:trPr>
          <w:cantSplit/>
          <w:trHeight w:val="403"/>
        </w:trPr>
        <w:tc>
          <w:tcPr>
            <w:tcW w:w="1530" w:type="dxa"/>
            <w:tcBorders>
              <w:top w:val="single" w:sz="6" w:space="0" w:color="auto"/>
              <w:left w:val="single" w:sz="6" w:space="0" w:color="auto"/>
              <w:bottom w:val="nil"/>
              <w:right w:val="nil"/>
            </w:tcBorders>
          </w:tcPr>
          <w:p w:rsidR="00EC598A" w:rsidRPr="00EC598A" w:rsidRDefault="00EC598A" w:rsidP="00EC598A">
            <w:pPr>
              <w:pStyle w:val="BodyTextIndent"/>
              <w:ind w:left="0" w:firstLine="0"/>
              <w:jc w:val="center"/>
              <w:rPr>
                <w:b/>
              </w:rPr>
            </w:pPr>
            <w:r w:rsidRPr="00EC598A">
              <w:rPr>
                <w:b/>
              </w:rPr>
              <w:t>OSM Form or Section</w:t>
            </w:r>
          </w:p>
        </w:tc>
        <w:tc>
          <w:tcPr>
            <w:tcW w:w="1890" w:type="dxa"/>
            <w:tcBorders>
              <w:top w:val="single" w:sz="6" w:space="0" w:color="auto"/>
              <w:left w:val="single" w:sz="6" w:space="0" w:color="auto"/>
              <w:bottom w:val="nil"/>
              <w:right w:val="nil"/>
            </w:tcBorders>
          </w:tcPr>
          <w:p w:rsidR="00EC598A" w:rsidRPr="00EC598A" w:rsidRDefault="00EC598A" w:rsidP="00EC598A">
            <w:pPr>
              <w:jc w:val="center"/>
              <w:rPr>
                <w:b/>
                <w:sz w:val="24"/>
                <w:szCs w:val="24"/>
              </w:rPr>
            </w:pPr>
            <w:r w:rsidRPr="00EC598A">
              <w:rPr>
                <w:b/>
                <w:sz w:val="24"/>
                <w:szCs w:val="24"/>
              </w:rPr>
              <w:t>Submission</w:t>
            </w:r>
          </w:p>
        </w:tc>
        <w:tc>
          <w:tcPr>
            <w:tcW w:w="1440" w:type="dxa"/>
            <w:tcBorders>
              <w:top w:val="single" w:sz="6" w:space="0" w:color="auto"/>
              <w:left w:val="single" w:sz="6" w:space="0" w:color="auto"/>
              <w:bottom w:val="nil"/>
              <w:right w:val="single" w:sz="6" w:space="0" w:color="auto"/>
            </w:tcBorders>
          </w:tcPr>
          <w:p w:rsidR="00EC598A" w:rsidRPr="00EC598A" w:rsidRDefault="00EC598A" w:rsidP="00EC598A">
            <w:pPr>
              <w:jc w:val="center"/>
              <w:rPr>
                <w:b/>
                <w:sz w:val="24"/>
                <w:szCs w:val="24"/>
              </w:rPr>
            </w:pPr>
            <w:r w:rsidRPr="00EC598A">
              <w:rPr>
                <w:b/>
                <w:sz w:val="24"/>
                <w:szCs w:val="24"/>
              </w:rPr>
              <w:t>Responses</w:t>
            </w:r>
          </w:p>
        </w:tc>
        <w:tc>
          <w:tcPr>
            <w:tcW w:w="1980" w:type="dxa"/>
            <w:tcBorders>
              <w:top w:val="single" w:sz="6" w:space="0" w:color="auto"/>
              <w:left w:val="single" w:sz="6" w:space="0" w:color="auto"/>
              <w:bottom w:val="nil"/>
              <w:right w:val="nil"/>
            </w:tcBorders>
          </w:tcPr>
          <w:p w:rsidR="00EC598A" w:rsidRPr="00EC598A" w:rsidRDefault="00EC598A" w:rsidP="00EC598A">
            <w:pPr>
              <w:jc w:val="center"/>
              <w:rPr>
                <w:b/>
                <w:sz w:val="24"/>
                <w:szCs w:val="24"/>
              </w:rPr>
            </w:pPr>
            <w:r w:rsidRPr="00EC598A">
              <w:rPr>
                <w:b/>
                <w:sz w:val="24"/>
                <w:szCs w:val="24"/>
              </w:rPr>
              <w:t>Burden Hours</w:t>
            </w:r>
          </w:p>
        </w:tc>
        <w:tc>
          <w:tcPr>
            <w:tcW w:w="2070" w:type="dxa"/>
            <w:tcBorders>
              <w:top w:val="single" w:sz="6" w:space="0" w:color="auto"/>
              <w:left w:val="single" w:sz="6" w:space="0" w:color="auto"/>
              <w:bottom w:val="single" w:sz="6" w:space="0" w:color="auto"/>
              <w:right w:val="single" w:sz="4" w:space="0" w:color="auto"/>
            </w:tcBorders>
          </w:tcPr>
          <w:p w:rsidR="00EC598A" w:rsidRPr="00EC598A" w:rsidRDefault="00EC598A" w:rsidP="00EC598A">
            <w:pPr>
              <w:jc w:val="center"/>
              <w:rPr>
                <w:b/>
                <w:sz w:val="24"/>
                <w:szCs w:val="24"/>
              </w:rPr>
            </w:pPr>
            <w:r w:rsidRPr="00EC598A">
              <w:rPr>
                <w:b/>
                <w:sz w:val="24"/>
                <w:szCs w:val="24"/>
              </w:rPr>
              <w:t>Total Hours Per Response</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pStyle w:val="BodyTextIndent"/>
              <w:ind w:left="720" w:hanging="720"/>
            </w:pPr>
            <w:r>
              <w:t>OSM-47</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rsidR="00574B42" w:rsidRDefault="00574B42" w:rsidP="00DC4172">
            <w:pPr>
              <w:jc w:val="center"/>
              <w:rPr>
                <w:sz w:val="24"/>
                <w:szCs w:val="24"/>
              </w:rPr>
            </w:pPr>
            <w:r>
              <w:rPr>
                <w:sz w:val="24"/>
                <w:szCs w:val="24"/>
              </w:rPr>
              <w:t>2</w:t>
            </w:r>
            <w:r w:rsidR="00DC4172">
              <w:rPr>
                <w:sz w:val="24"/>
                <w:szCs w:val="24"/>
              </w:rPr>
              <w:t>7</w:t>
            </w:r>
          </w:p>
        </w:tc>
        <w:tc>
          <w:tcPr>
            <w:tcW w:w="1980" w:type="dxa"/>
            <w:tcBorders>
              <w:top w:val="single" w:sz="6" w:space="0" w:color="auto"/>
              <w:left w:val="single" w:sz="6" w:space="0" w:color="auto"/>
              <w:bottom w:val="nil"/>
              <w:right w:val="nil"/>
            </w:tcBorders>
          </w:tcPr>
          <w:p w:rsidR="00574B42" w:rsidRDefault="00D816FC" w:rsidP="00DC4172">
            <w:pPr>
              <w:jc w:val="center"/>
              <w:rPr>
                <w:sz w:val="24"/>
                <w:szCs w:val="24"/>
              </w:rPr>
            </w:pPr>
            <w:r>
              <w:rPr>
                <w:sz w:val="24"/>
                <w:szCs w:val="24"/>
              </w:rPr>
              <w:t>7</w:t>
            </w:r>
          </w:p>
        </w:tc>
        <w:tc>
          <w:tcPr>
            <w:tcW w:w="2070" w:type="dxa"/>
            <w:tcBorders>
              <w:top w:val="single" w:sz="6" w:space="0" w:color="auto"/>
              <w:left w:val="single" w:sz="6" w:space="0" w:color="auto"/>
              <w:bottom w:val="single" w:sz="6" w:space="0" w:color="auto"/>
              <w:right w:val="single" w:sz="4" w:space="0" w:color="auto"/>
            </w:tcBorders>
          </w:tcPr>
          <w:p w:rsidR="00574B42" w:rsidRPr="00A201CA" w:rsidRDefault="00D816FC" w:rsidP="00DC4172">
            <w:pPr>
              <w:jc w:val="center"/>
              <w:rPr>
                <w:sz w:val="24"/>
                <w:szCs w:val="24"/>
              </w:rPr>
            </w:pPr>
            <w:r>
              <w:rPr>
                <w:sz w:val="24"/>
                <w:szCs w:val="24"/>
              </w:rPr>
              <w:t>189</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rPr>
                <w:sz w:val="24"/>
                <w:szCs w:val="24"/>
              </w:rPr>
            </w:pPr>
            <w:r>
              <w:rPr>
                <w:sz w:val="24"/>
                <w:szCs w:val="24"/>
              </w:rPr>
              <w:t>OSM-49</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rsidR="00574B42" w:rsidRDefault="00574B42"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rsidR="00574B42" w:rsidRDefault="0057724E" w:rsidP="00DC4172">
            <w:pPr>
              <w:jc w:val="center"/>
              <w:rPr>
                <w:sz w:val="24"/>
                <w:szCs w:val="24"/>
              </w:rPr>
            </w:pPr>
            <w:r>
              <w:rPr>
                <w:sz w:val="24"/>
                <w:szCs w:val="24"/>
              </w:rPr>
              <w:t>3</w:t>
            </w:r>
          </w:p>
        </w:tc>
        <w:tc>
          <w:tcPr>
            <w:tcW w:w="2070" w:type="dxa"/>
            <w:tcBorders>
              <w:top w:val="single" w:sz="6" w:space="0" w:color="auto"/>
              <w:left w:val="single" w:sz="6" w:space="0" w:color="auto"/>
              <w:bottom w:val="single" w:sz="6" w:space="0" w:color="auto"/>
              <w:right w:val="single" w:sz="4" w:space="0" w:color="auto"/>
            </w:tcBorders>
          </w:tcPr>
          <w:p w:rsidR="00574B42" w:rsidRDefault="00D816FC" w:rsidP="0057724E">
            <w:pPr>
              <w:jc w:val="center"/>
              <w:rPr>
                <w:sz w:val="24"/>
                <w:szCs w:val="24"/>
              </w:rPr>
            </w:pPr>
            <w:r>
              <w:rPr>
                <w:sz w:val="24"/>
                <w:szCs w:val="24"/>
              </w:rPr>
              <w:t>8</w:t>
            </w:r>
            <w:r w:rsidR="006C7697">
              <w:rPr>
                <w:sz w:val="24"/>
                <w:szCs w:val="24"/>
              </w:rPr>
              <w:t>4</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rPr>
                <w:sz w:val="24"/>
                <w:szCs w:val="24"/>
              </w:rPr>
            </w:pPr>
            <w:r>
              <w:rPr>
                <w:sz w:val="24"/>
                <w:szCs w:val="24"/>
              </w:rPr>
              <w:t>OSM-49</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Annually</w:t>
            </w:r>
          </w:p>
        </w:tc>
        <w:tc>
          <w:tcPr>
            <w:tcW w:w="1440" w:type="dxa"/>
            <w:tcBorders>
              <w:top w:val="single" w:sz="6" w:space="0" w:color="auto"/>
              <w:left w:val="single" w:sz="6" w:space="0" w:color="auto"/>
              <w:bottom w:val="nil"/>
              <w:right w:val="single" w:sz="6" w:space="0" w:color="auto"/>
            </w:tcBorders>
          </w:tcPr>
          <w:p w:rsidR="00574B42" w:rsidRDefault="00574B42"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rsidR="00574B42" w:rsidRDefault="0057724E" w:rsidP="00DC4172">
            <w:pPr>
              <w:jc w:val="center"/>
              <w:rPr>
                <w:sz w:val="24"/>
                <w:szCs w:val="24"/>
              </w:rPr>
            </w:pPr>
            <w:r>
              <w:rPr>
                <w:sz w:val="24"/>
                <w:szCs w:val="24"/>
              </w:rPr>
              <w:t>3</w:t>
            </w:r>
          </w:p>
        </w:tc>
        <w:tc>
          <w:tcPr>
            <w:tcW w:w="2070" w:type="dxa"/>
            <w:tcBorders>
              <w:top w:val="single" w:sz="6" w:space="0" w:color="auto"/>
              <w:left w:val="single" w:sz="6" w:space="0" w:color="auto"/>
              <w:bottom w:val="single" w:sz="6" w:space="0" w:color="auto"/>
              <w:right w:val="single" w:sz="4" w:space="0" w:color="auto"/>
            </w:tcBorders>
          </w:tcPr>
          <w:p w:rsidR="00574B42" w:rsidRDefault="00D816FC" w:rsidP="0057724E">
            <w:pPr>
              <w:jc w:val="center"/>
              <w:rPr>
                <w:sz w:val="24"/>
                <w:szCs w:val="24"/>
              </w:rPr>
            </w:pPr>
            <w:r>
              <w:rPr>
                <w:sz w:val="24"/>
                <w:szCs w:val="24"/>
              </w:rPr>
              <w:t>8</w:t>
            </w:r>
            <w:r w:rsidR="006C7697">
              <w:rPr>
                <w:sz w:val="24"/>
                <w:szCs w:val="24"/>
              </w:rPr>
              <w:t>4</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rPr>
                <w:sz w:val="24"/>
                <w:szCs w:val="24"/>
              </w:rPr>
            </w:pPr>
            <w:r>
              <w:rPr>
                <w:sz w:val="24"/>
                <w:szCs w:val="24"/>
              </w:rPr>
              <w:t>OSM-51</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rsidR="00574B42" w:rsidRDefault="0057724E"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rsidR="00574B42" w:rsidRDefault="0057724E" w:rsidP="00DC4172">
            <w:pPr>
              <w:jc w:val="center"/>
              <w:rPr>
                <w:sz w:val="24"/>
                <w:szCs w:val="24"/>
              </w:rPr>
            </w:pPr>
            <w:r>
              <w:rPr>
                <w:sz w:val="24"/>
                <w:szCs w:val="24"/>
              </w:rPr>
              <w:t>10</w:t>
            </w:r>
          </w:p>
        </w:tc>
        <w:tc>
          <w:tcPr>
            <w:tcW w:w="2070" w:type="dxa"/>
            <w:tcBorders>
              <w:top w:val="single" w:sz="6" w:space="0" w:color="auto"/>
              <w:left w:val="single" w:sz="6" w:space="0" w:color="auto"/>
              <w:bottom w:val="single" w:sz="6" w:space="0" w:color="auto"/>
              <w:right w:val="single" w:sz="4" w:space="0" w:color="auto"/>
            </w:tcBorders>
          </w:tcPr>
          <w:p w:rsidR="00574B42" w:rsidRDefault="0057724E" w:rsidP="00EC598A">
            <w:pPr>
              <w:jc w:val="center"/>
              <w:rPr>
                <w:sz w:val="24"/>
                <w:szCs w:val="24"/>
              </w:rPr>
            </w:pPr>
            <w:r>
              <w:rPr>
                <w:sz w:val="24"/>
                <w:szCs w:val="24"/>
              </w:rPr>
              <w:t>2</w:t>
            </w:r>
            <w:r w:rsidR="006C7697">
              <w:rPr>
                <w:sz w:val="24"/>
                <w:szCs w:val="24"/>
              </w:rPr>
              <w:t>8</w:t>
            </w:r>
            <w:r>
              <w:rPr>
                <w:sz w:val="24"/>
                <w:szCs w:val="24"/>
              </w:rPr>
              <w:t>0</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rPr>
                <w:sz w:val="24"/>
                <w:szCs w:val="24"/>
              </w:rPr>
            </w:pPr>
            <w:r>
              <w:rPr>
                <w:sz w:val="24"/>
                <w:szCs w:val="24"/>
              </w:rPr>
              <w:t>OSM-51</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Annually</w:t>
            </w:r>
          </w:p>
        </w:tc>
        <w:tc>
          <w:tcPr>
            <w:tcW w:w="1440" w:type="dxa"/>
            <w:tcBorders>
              <w:top w:val="single" w:sz="6" w:space="0" w:color="auto"/>
              <w:left w:val="single" w:sz="6" w:space="0" w:color="auto"/>
              <w:bottom w:val="nil"/>
              <w:right w:val="single" w:sz="6" w:space="0" w:color="auto"/>
            </w:tcBorders>
          </w:tcPr>
          <w:p w:rsidR="00574B42" w:rsidRDefault="00574B42"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rsidR="00574B42" w:rsidRDefault="0057724E" w:rsidP="00DC4172">
            <w:pPr>
              <w:jc w:val="center"/>
              <w:rPr>
                <w:sz w:val="24"/>
                <w:szCs w:val="24"/>
              </w:rPr>
            </w:pPr>
            <w:r>
              <w:rPr>
                <w:sz w:val="24"/>
                <w:szCs w:val="24"/>
              </w:rPr>
              <w:t>10</w:t>
            </w:r>
          </w:p>
        </w:tc>
        <w:tc>
          <w:tcPr>
            <w:tcW w:w="2070" w:type="dxa"/>
            <w:tcBorders>
              <w:top w:val="single" w:sz="6" w:space="0" w:color="auto"/>
              <w:left w:val="single" w:sz="6" w:space="0" w:color="auto"/>
              <w:bottom w:val="single" w:sz="6" w:space="0" w:color="auto"/>
              <w:right w:val="single" w:sz="4" w:space="0" w:color="auto"/>
            </w:tcBorders>
          </w:tcPr>
          <w:p w:rsidR="00574B42" w:rsidRDefault="0057724E" w:rsidP="008C27BF">
            <w:pPr>
              <w:jc w:val="center"/>
              <w:rPr>
                <w:sz w:val="24"/>
                <w:szCs w:val="24"/>
              </w:rPr>
            </w:pPr>
            <w:r>
              <w:rPr>
                <w:sz w:val="24"/>
                <w:szCs w:val="24"/>
              </w:rPr>
              <w:t>2</w:t>
            </w:r>
            <w:r w:rsidR="006C7697">
              <w:rPr>
                <w:sz w:val="24"/>
                <w:szCs w:val="24"/>
              </w:rPr>
              <w:t>8</w:t>
            </w:r>
            <w:r w:rsidR="00574B42">
              <w:rPr>
                <w:sz w:val="24"/>
                <w:szCs w:val="24"/>
              </w:rPr>
              <w:t>0</w:t>
            </w:r>
          </w:p>
        </w:tc>
      </w:tr>
      <w:tr w:rsidR="00574B42" w:rsidTr="00AE2DC2">
        <w:trPr>
          <w:cantSplit/>
          <w:trHeight w:val="403"/>
        </w:trPr>
        <w:tc>
          <w:tcPr>
            <w:tcW w:w="1530" w:type="dxa"/>
            <w:tcBorders>
              <w:top w:val="single" w:sz="6" w:space="0" w:color="auto"/>
              <w:left w:val="single" w:sz="6" w:space="0" w:color="auto"/>
              <w:bottom w:val="nil"/>
              <w:right w:val="nil"/>
            </w:tcBorders>
          </w:tcPr>
          <w:p w:rsidR="00574B42" w:rsidRDefault="00574B42" w:rsidP="00DC4172">
            <w:pPr>
              <w:rPr>
                <w:sz w:val="24"/>
                <w:szCs w:val="24"/>
              </w:rPr>
            </w:pPr>
            <w:r>
              <w:rPr>
                <w:sz w:val="24"/>
                <w:szCs w:val="24"/>
              </w:rPr>
              <w:t>735.11</w:t>
            </w:r>
          </w:p>
        </w:tc>
        <w:tc>
          <w:tcPr>
            <w:tcW w:w="189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Once</w:t>
            </w:r>
          </w:p>
        </w:tc>
        <w:tc>
          <w:tcPr>
            <w:tcW w:w="1440" w:type="dxa"/>
            <w:tcBorders>
              <w:top w:val="single" w:sz="6" w:space="0" w:color="auto"/>
              <w:left w:val="single" w:sz="6" w:space="0" w:color="auto"/>
              <w:bottom w:val="nil"/>
              <w:right w:val="single" w:sz="6" w:space="0" w:color="auto"/>
            </w:tcBorders>
          </w:tcPr>
          <w:p w:rsidR="00574B42" w:rsidRDefault="00574B42" w:rsidP="00DC4172">
            <w:pPr>
              <w:jc w:val="center"/>
              <w:rPr>
                <w:sz w:val="24"/>
                <w:szCs w:val="24"/>
              </w:rPr>
            </w:pPr>
            <w:r>
              <w:rPr>
                <w:sz w:val="24"/>
                <w:szCs w:val="24"/>
              </w:rPr>
              <w:t>1</w:t>
            </w:r>
          </w:p>
        </w:tc>
        <w:tc>
          <w:tcPr>
            <w:tcW w:w="1980" w:type="dxa"/>
            <w:tcBorders>
              <w:top w:val="single" w:sz="6" w:space="0" w:color="auto"/>
              <w:left w:val="single" w:sz="6" w:space="0" w:color="auto"/>
              <w:bottom w:val="nil"/>
              <w:right w:val="nil"/>
            </w:tcBorders>
          </w:tcPr>
          <w:p w:rsidR="00574B42" w:rsidRDefault="00574B42" w:rsidP="00DC4172">
            <w:pPr>
              <w:jc w:val="center"/>
              <w:rPr>
                <w:sz w:val="24"/>
                <w:szCs w:val="24"/>
              </w:rPr>
            </w:pPr>
            <w:r>
              <w:rPr>
                <w:sz w:val="24"/>
                <w:szCs w:val="24"/>
              </w:rPr>
              <w:t>1</w:t>
            </w:r>
          </w:p>
        </w:tc>
        <w:tc>
          <w:tcPr>
            <w:tcW w:w="2070" w:type="dxa"/>
            <w:tcBorders>
              <w:top w:val="single" w:sz="6" w:space="0" w:color="auto"/>
              <w:left w:val="single" w:sz="6" w:space="0" w:color="auto"/>
              <w:bottom w:val="single" w:sz="6" w:space="0" w:color="auto"/>
              <w:right w:val="single" w:sz="4" w:space="0" w:color="auto"/>
            </w:tcBorders>
          </w:tcPr>
          <w:p w:rsidR="00574B42" w:rsidRDefault="00574B42" w:rsidP="00DC4172">
            <w:pPr>
              <w:jc w:val="center"/>
              <w:rPr>
                <w:sz w:val="24"/>
                <w:szCs w:val="24"/>
              </w:rPr>
            </w:pPr>
            <w:r>
              <w:rPr>
                <w:sz w:val="24"/>
                <w:szCs w:val="24"/>
              </w:rPr>
              <w:t>1</w:t>
            </w:r>
          </w:p>
        </w:tc>
      </w:tr>
      <w:tr w:rsidR="00574B42" w:rsidTr="00AE2DC2">
        <w:trPr>
          <w:cantSplit/>
          <w:trHeight w:val="403"/>
        </w:trPr>
        <w:tc>
          <w:tcPr>
            <w:tcW w:w="1530" w:type="dxa"/>
            <w:tcBorders>
              <w:top w:val="single" w:sz="6" w:space="0" w:color="auto"/>
              <w:left w:val="single" w:sz="6" w:space="0" w:color="auto"/>
              <w:bottom w:val="single" w:sz="6" w:space="0" w:color="auto"/>
              <w:right w:val="nil"/>
            </w:tcBorders>
          </w:tcPr>
          <w:p w:rsidR="00574B42" w:rsidRDefault="00574B42" w:rsidP="00DC4172">
            <w:pPr>
              <w:rPr>
                <w:sz w:val="24"/>
                <w:szCs w:val="24"/>
              </w:rPr>
            </w:pPr>
            <w:r>
              <w:rPr>
                <w:sz w:val="24"/>
                <w:szCs w:val="24"/>
              </w:rPr>
              <w:t>Total</w:t>
            </w:r>
          </w:p>
        </w:tc>
        <w:tc>
          <w:tcPr>
            <w:tcW w:w="1890" w:type="dxa"/>
            <w:tcBorders>
              <w:top w:val="single" w:sz="6" w:space="0" w:color="auto"/>
              <w:left w:val="single" w:sz="6" w:space="0" w:color="auto"/>
              <w:bottom w:val="single" w:sz="6" w:space="0" w:color="auto"/>
              <w:right w:val="nil"/>
            </w:tcBorders>
          </w:tcPr>
          <w:p w:rsidR="00574B42" w:rsidRDefault="00574B42" w:rsidP="00DC4172">
            <w:pPr>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tcPr>
          <w:p w:rsidR="00574B42" w:rsidRDefault="00AE2DC2" w:rsidP="00DC4172">
            <w:p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140</w:t>
            </w:r>
            <w:r>
              <w:rPr>
                <w:sz w:val="24"/>
                <w:szCs w:val="24"/>
              </w:rPr>
              <w:fldChar w:fldCharType="end"/>
            </w:r>
          </w:p>
        </w:tc>
        <w:tc>
          <w:tcPr>
            <w:tcW w:w="1980" w:type="dxa"/>
            <w:tcBorders>
              <w:top w:val="single" w:sz="6" w:space="0" w:color="auto"/>
              <w:left w:val="single" w:sz="6" w:space="0" w:color="auto"/>
              <w:bottom w:val="single" w:sz="6" w:space="0" w:color="auto"/>
              <w:right w:val="nil"/>
            </w:tcBorders>
          </w:tcPr>
          <w:p w:rsidR="00574B42" w:rsidRDefault="00890DBF" w:rsidP="00DC4172">
            <w:pPr>
              <w:jc w:val="center"/>
              <w:rPr>
                <w:sz w:val="24"/>
                <w:szCs w:val="24"/>
              </w:rPr>
            </w:pPr>
            <w:r>
              <w:rPr>
                <w:sz w:val="24"/>
                <w:szCs w:val="24"/>
              </w:rPr>
              <w:t>5.6</w:t>
            </w:r>
          </w:p>
        </w:tc>
        <w:tc>
          <w:tcPr>
            <w:tcW w:w="2070" w:type="dxa"/>
            <w:tcBorders>
              <w:top w:val="single" w:sz="6" w:space="0" w:color="auto"/>
              <w:left w:val="single" w:sz="6" w:space="0" w:color="auto"/>
              <w:bottom w:val="single" w:sz="6" w:space="0" w:color="auto"/>
              <w:right w:val="single" w:sz="4" w:space="0" w:color="auto"/>
            </w:tcBorders>
          </w:tcPr>
          <w:p w:rsidR="00574B42" w:rsidRDefault="00AE2DC2" w:rsidP="0057724E">
            <w:p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918</w:t>
            </w:r>
            <w:r>
              <w:rPr>
                <w:sz w:val="24"/>
                <w:szCs w:val="24"/>
              </w:rPr>
              <w:fldChar w:fldCharType="end"/>
            </w:r>
          </w:p>
        </w:tc>
      </w:tr>
    </w:tbl>
    <w:p w:rsidR="00574B42" w:rsidRDefault="00574B42" w:rsidP="00574B42">
      <w:pPr>
        <w:rPr>
          <w:sz w:val="24"/>
          <w:szCs w:val="24"/>
        </w:rPr>
      </w:pPr>
    </w:p>
    <w:p w:rsidR="00A50DF5" w:rsidRPr="003E48D9" w:rsidRDefault="00A50DF5" w:rsidP="00574B42">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 xml:space="preserve">These estimates are based upon consultation with staff contacts listed in item #8.  (Please note that these forms are submitted by </w:t>
      </w:r>
      <w:r w:rsidRPr="00BD5A6A">
        <w:rPr>
          <w:sz w:val="24"/>
          <w:szCs w:val="24"/>
        </w:rPr>
        <w:t xml:space="preserve">either </w:t>
      </w:r>
      <w:r w:rsidRPr="00BD5A6A">
        <w:rPr>
          <w:bCs/>
          <w:sz w:val="24"/>
          <w:szCs w:val="24"/>
        </w:rPr>
        <w:t>regulatory</w:t>
      </w:r>
      <w:r w:rsidRPr="00BD5A6A">
        <w:rPr>
          <w:sz w:val="24"/>
          <w:szCs w:val="24"/>
        </w:rPr>
        <w:t xml:space="preserve"> authorities or by </w:t>
      </w:r>
      <w:r w:rsidRPr="00BD5A6A">
        <w:rPr>
          <w:bCs/>
          <w:sz w:val="24"/>
          <w:szCs w:val="24"/>
        </w:rPr>
        <w:t>reclamation</w:t>
      </w:r>
      <w:r w:rsidRPr="003E48D9">
        <w:rPr>
          <w:sz w:val="24"/>
          <w:szCs w:val="24"/>
        </w:rPr>
        <w:t xml:space="preserve"> authorities, or both, causing differences in total number of respondents). </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41E42" w:rsidRPr="00D143E3" w:rsidRDefault="00A50DF5" w:rsidP="00CB7517">
      <w:pPr>
        <w:pStyle w:val="ListParagraph"/>
        <w:numPr>
          <w:ilvl w:val="0"/>
          <w:numId w:val="3"/>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0"/>
        <w:rPr>
          <w:sz w:val="24"/>
          <w:szCs w:val="24"/>
        </w:rPr>
      </w:pPr>
      <w:r w:rsidRPr="00D143E3">
        <w:rPr>
          <w:sz w:val="24"/>
          <w:szCs w:val="24"/>
        </w:rPr>
        <w:t>OSM-47 — The OSM-47 is submitted with each grant application.</w:t>
      </w:r>
      <w:r w:rsidR="007E13DA" w:rsidRPr="00D143E3">
        <w:rPr>
          <w:sz w:val="24"/>
          <w:szCs w:val="24"/>
        </w:rPr>
        <w:t xml:space="preserve">  This form is used for coal </w:t>
      </w:r>
      <w:r w:rsidR="00EE42DB">
        <w:rPr>
          <w:sz w:val="24"/>
          <w:szCs w:val="24"/>
        </w:rPr>
        <w:t xml:space="preserve">regulatory </w:t>
      </w:r>
      <w:r w:rsidR="007E13DA" w:rsidRPr="00D143E3">
        <w:rPr>
          <w:sz w:val="24"/>
          <w:szCs w:val="24"/>
        </w:rPr>
        <w:t>grants.</w:t>
      </w:r>
      <w:r w:rsidRPr="00D143E3">
        <w:rPr>
          <w:sz w:val="24"/>
          <w:szCs w:val="24"/>
        </w:rPr>
        <w:t xml:space="preserve">  There are 24 </w:t>
      </w:r>
      <w:r w:rsidR="00EE42DB">
        <w:rPr>
          <w:sz w:val="24"/>
          <w:szCs w:val="24"/>
        </w:rPr>
        <w:t>s</w:t>
      </w:r>
      <w:r w:rsidRPr="00D143E3">
        <w:rPr>
          <w:sz w:val="24"/>
          <w:szCs w:val="24"/>
        </w:rPr>
        <w:t>tate re</w:t>
      </w:r>
      <w:r w:rsidR="00EE42DB">
        <w:rPr>
          <w:sz w:val="24"/>
          <w:szCs w:val="24"/>
        </w:rPr>
        <w:t>gulatory</w:t>
      </w:r>
      <w:r w:rsidR="0084075A">
        <w:rPr>
          <w:sz w:val="24"/>
          <w:szCs w:val="24"/>
        </w:rPr>
        <w:t xml:space="preserve"> </w:t>
      </w:r>
      <w:r w:rsidRPr="00D143E3">
        <w:rPr>
          <w:sz w:val="24"/>
          <w:szCs w:val="24"/>
        </w:rPr>
        <w:t xml:space="preserve">authorities and </w:t>
      </w:r>
      <w:r w:rsidR="00574B42">
        <w:rPr>
          <w:sz w:val="24"/>
          <w:szCs w:val="24"/>
        </w:rPr>
        <w:t>3</w:t>
      </w:r>
      <w:r w:rsidRPr="00D143E3">
        <w:rPr>
          <w:sz w:val="24"/>
          <w:szCs w:val="24"/>
        </w:rPr>
        <w:t xml:space="preserve"> Indian tribes </w:t>
      </w:r>
      <w:r w:rsidR="00EE42DB">
        <w:rPr>
          <w:sz w:val="24"/>
          <w:szCs w:val="24"/>
        </w:rPr>
        <w:t>totaling</w:t>
      </w:r>
      <w:r w:rsidRPr="00D143E3">
        <w:rPr>
          <w:sz w:val="24"/>
          <w:szCs w:val="24"/>
        </w:rPr>
        <w:t xml:space="preserve"> 2</w:t>
      </w:r>
      <w:r w:rsidR="00574B42">
        <w:rPr>
          <w:sz w:val="24"/>
          <w:szCs w:val="24"/>
        </w:rPr>
        <w:t>7</w:t>
      </w:r>
      <w:r w:rsidRPr="00D143E3">
        <w:rPr>
          <w:sz w:val="24"/>
          <w:szCs w:val="24"/>
        </w:rPr>
        <w:t xml:space="preserve"> potential respondents.  It is estimated that </w:t>
      </w:r>
      <w:r w:rsidR="00ED61D8" w:rsidRPr="00D143E3">
        <w:rPr>
          <w:sz w:val="24"/>
          <w:szCs w:val="24"/>
        </w:rPr>
        <w:t xml:space="preserve">it will take each respondent </w:t>
      </w:r>
      <w:r w:rsidR="00DC4172">
        <w:rPr>
          <w:sz w:val="24"/>
          <w:szCs w:val="24"/>
        </w:rPr>
        <w:t xml:space="preserve">anywhere from </w:t>
      </w:r>
      <w:r w:rsidRPr="00D143E3">
        <w:rPr>
          <w:sz w:val="24"/>
          <w:szCs w:val="24"/>
        </w:rPr>
        <w:t>5 hours</w:t>
      </w:r>
      <w:r w:rsidR="00EE42DB">
        <w:rPr>
          <w:sz w:val="24"/>
          <w:szCs w:val="24"/>
        </w:rPr>
        <w:t xml:space="preserve"> per </w:t>
      </w:r>
      <w:r w:rsidRPr="00D143E3">
        <w:rPr>
          <w:sz w:val="24"/>
          <w:szCs w:val="24"/>
        </w:rPr>
        <w:t>grant information request</w:t>
      </w:r>
      <w:r w:rsidR="00DC4172">
        <w:rPr>
          <w:sz w:val="24"/>
          <w:szCs w:val="24"/>
        </w:rPr>
        <w:t xml:space="preserve"> in </w:t>
      </w:r>
      <w:r w:rsidR="00EE42DB">
        <w:rPr>
          <w:sz w:val="24"/>
          <w:szCs w:val="24"/>
        </w:rPr>
        <w:t>those s</w:t>
      </w:r>
      <w:r w:rsidR="00DC4172">
        <w:rPr>
          <w:sz w:val="24"/>
          <w:szCs w:val="24"/>
        </w:rPr>
        <w:t xml:space="preserve">tates </w:t>
      </w:r>
      <w:r w:rsidR="00EE42DB">
        <w:rPr>
          <w:sz w:val="24"/>
          <w:szCs w:val="24"/>
        </w:rPr>
        <w:t xml:space="preserve">that </w:t>
      </w:r>
      <w:r w:rsidR="00DC4172">
        <w:rPr>
          <w:sz w:val="24"/>
          <w:szCs w:val="24"/>
        </w:rPr>
        <w:t xml:space="preserve"> receive less funding, to 16 hours</w:t>
      </w:r>
      <w:r w:rsidR="00EE42DB">
        <w:rPr>
          <w:sz w:val="24"/>
          <w:szCs w:val="24"/>
        </w:rPr>
        <w:t xml:space="preserve"> per </w:t>
      </w:r>
      <w:r w:rsidR="00DC4172">
        <w:rPr>
          <w:sz w:val="24"/>
          <w:szCs w:val="24"/>
        </w:rPr>
        <w:t>grant</w:t>
      </w:r>
      <w:r w:rsidR="00EE42DB">
        <w:rPr>
          <w:sz w:val="24"/>
          <w:szCs w:val="24"/>
        </w:rPr>
        <w:t xml:space="preserve"> information request</w:t>
      </w:r>
      <w:r w:rsidR="00DC4172">
        <w:rPr>
          <w:sz w:val="24"/>
          <w:szCs w:val="24"/>
        </w:rPr>
        <w:t xml:space="preserve"> in</w:t>
      </w:r>
      <w:r w:rsidR="00EE42DB">
        <w:rPr>
          <w:sz w:val="24"/>
          <w:szCs w:val="24"/>
        </w:rPr>
        <w:t xml:space="preserve"> s</w:t>
      </w:r>
      <w:r w:rsidR="00DC4172">
        <w:rPr>
          <w:sz w:val="24"/>
          <w:szCs w:val="24"/>
        </w:rPr>
        <w:t xml:space="preserve">tates that receive </w:t>
      </w:r>
      <w:r w:rsidR="00EE42DB">
        <w:rPr>
          <w:sz w:val="24"/>
          <w:szCs w:val="24"/>
        </w:rPr>
        <w:t>greater</w:t>
      </w:r>
      <w:r w:rsidR="00DC4172">
        <w:rPr>
          <w:sz w:val="24"/>
          <w:szCs w:val="24"/>
        </w:rPr>
        <w:t xml:space="preserve"> funding</w:t>
      </w:r>
      <w:r w:rsidRPr="00D143E3">
        <w:rPr>
          <w:sz w:val="24"/>
          <w:szCs w:val="24"/>
        </w:rPr>
        <w:t>.</w:t>
      </w:r>
      <w:r w:rsidR="00DC4172">
        <w:rPr>
          <w:sz w:val="24"/>
          <w:szCs w:val="24"/>
        </w:rPr>
        <w:t xml:space="preserve">  </w:t>
      </w:r>
      <w:r w:rsidR="00EE42DB">
        <w:rPr>
          <w:sz w:val="24"/>
          <w:szCs w:val="24"/>
        </w:rPr>
        <w:t>Using a funding level of $3 million to distinguish those that receive less funding</w:t>
      </w:r>
      <w:r w:rsidR="008F3F1E">
        <w:rPr>
          <w:sz w:val="24"/>
          <w:szCs w:val="24"/>
        </w:rPr>
        <w:t xml:space="preserve"> from those that receive more, </w:t>
      </w:r>
      <w:r w:rsidR="00EE42DB">
        <w:rPr>
          <w:sz w:val="24"/>
          <w:szCs w:val="24"/>
        </w:rPr>
        <w:t>the average is 7 hours per response.</w:t>
      </w:r>
      <w:r w:rsidR="00AE2DC2">
        <w:rPr>
          <w:sz w:val="24"/>
          <w:szCs w:val="24"/>
        </w:rPr>
        <w:t xml:space="preserve"> </w:t>
      </w:r>
      <w:r w:rsidR="00EE42DB">
        <w:rPr>
          <w:sz w:val="24"/>
          <w:szCs w:val="24"/>
        </w:rPr>
        <w:t xml:space="preserve"> </w:t>
      </w:r>
      <w:r w:rsidR="008F3F1E">
        <w:rPr>
          <w:sz w:val="24"/>
          <w:szCs w:val="24"/>
        </w:rPr>
        <w:t xml:space="preserve">As a result, </w:t>
      </w:r>
      <w:r w:rsidR="00EE42DB">
        <w:rPr>
          <w:sz w:val="24"/>
          <w:szCs w:val="24"/>
        </w:rPr>
        <w:t>OSM</w:t>
      </w:r>
      <w:r w:rsidR="00C351B2">
        <w:rPr>
          <w:sz w:val="24"/>
          <w:szCs w:val="24"/>
        </w:rPr>
        <w:t>RE</w:t>
      </w:r>
      <w:r w:rsidR="00DC4172">
        <w:rPr>
          <w:sz w:val="24"/>
          <w:szCs w:val="24"/>
        </w:rPr>
        <w:t xml:space="preserve"> estimate</w:t>
      </w:r>
      <w:r w:rsidR="00EE42DB">
        <w:rPr>
          <w:sz w:val="24"/>
          <w:szCs w:val="24"/>
        </w:rPr>
        <w:t>s</w:t>
      </w:r>
      <w:r w:rsidR="00DC4172">
        <w:rPr>
          <w:sz w:val="24"/>
          <w:szCs w:val="24"/>
        </w:rPr>
        <w:t xml:space="preserve"> the burden to </w:t>
      </w:r>
      <w:r w:rsidR="00EE42DB">
        <w:rPr>
          <w:sz w:val="24"/>
          <w:szCs w:val="24"/>
        </w:rPr>
        <w:t>be</w:t>
      </w:r>
      <w:r w:rsidR="00142C7C" w:rsidRPr="00D143E3">
        <w:rPr>
          <w:sz w:val="24"/>
          <w:szCs w:val="24"/>
        </w:rPr>
        <w:t xml:space="preserve"> </w:t>
      </w:r>
      <w:r w:rsidR="004167F6" w:rsidRPr="004167F6">
        <w:rPr>
          <w:sz w:val="24"/>
          <w:szCs w:val="24"/>
        </w:rPr>
        <w:t>189 burden hours</w:t>
      </w:r>
      <w:r w:rsidRPr="00D143E3">
        <w:rPr>
          <w:sz w:val="24"/>
          <w:szCs w:val="24"/>
        </w:rPr>
        <w:t xml:space="preserve">. </w:t>
      </w:r>
    </w:p>
    <w:p w:rsidR="000908D6" w:rsidRPr="003E48D9" w:rsidRDefault="000908D6"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F720C9" w:rsidRDefault="00A50DF5" w:rsidP="00CB7517">
      <w:pPr>
        <w:pStyle w:val="ListParagraph"/>
        <w:numPr>
          <w:ilvl w:val="0"/>
          <w:numId w:val="3"/>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0"/>
        <w:rPr>
          <w:sz w:val="24"/>
          <w:szCs w:val="24"/>
        </w:rPr>
      </w:pPr>
      <w:r w:rsidRPr="00D143E3">
        <w:rPr>
          <w:sz w:val="24"/>
          <w:szCs w:val="24"/>
        </w:rPr>
        <w:t>OSM-49 — The OSM-49 is submitted with each grant application and at the end of the reporting period.  There are 2</w:t>
      </w:r>
      <w:r w:rsidR="006C7697">
        <w:rPr>
          <w:sz w:val="24"/>
          <w:szCs w:val="24"/>
        </w:rPr>
        <w:t>5</w:t>
      </w:r>
      <w:r w:rsidRPr="00D143E3">
        <w:rPr>
          <w:sz w:val="24"/>
          <w:szCs w:val="24"/>
        </w:rPr>
        <w:t xml:space="preserve"> </w:t>
      </w:r>
      <w:r w:rsidR="008F3F1E">
        <w:rPr>
          <w:sz w:val="24"/>
          <w:szCs w:val="24"/>
        </w:rPr>
        <w:t>s</w:t>
      </w:r>
      <w:r w:rsidRPr="00D143E3">
        <w:rPr>
          <w:sz w:val="24"/>
          <w:szCs w:val="24"/>
        </w:rPr>
        <w:t xml:space="preserve">tate reclamation authorities and 3 Indian tribes </w:t>
      </w:r>
      <w:r w:rsidR="008F3F1E">
        <w:rPr>
          <w:sz w:val="24"/>
          <w:szCs w:val="24"/>
        </w:rPr>
        <w:t>w</w:t>
      </w:r>
      <w:r w:rsidRPr="00D143E3">
        <w:rPr>
          <w:sz w:val="24"/>
          <w:szCs w:val="24"/>
        </w:rPr>
        <w:t>ho respond, or 2</w:t>
      </w:r>
      <w:r w:rsidR="006C7697">
        <w:rPr>
          <w:sz w:val="24"/>
          <w:szCs w:val="24"/>
        </w:rPr>
        <w:t>8</w:t>
      </w:r>
      <w:r w:rsidRPr="00D143E3">
        <w:rPr>
          <w:sz w:val="24"/>
          <w:szCs w:val="24"/>
        </w:rPr>
        <w:t xml:space="preserve"> potential respondents.  It is estimated that it will take each respondent </w:t>
      </w:r>
      <w:r w:rsidR="00DC4172">
        <w:rPr>
          <w:sz w:val="24"/>
          <w:szCs w:val="24"/>
        </w:rPr>
        <w:t xml:space="preserve">from 1 to </w:t>
      </w:r>
      <w:r w:rsidRPr="00D143E3">
        <w:rPr>
          <w:sz w:val="24"/>
          <w:szCs w:val="24"/>
        </w:rPr>
        <w:t>5 hours per information request</w:t>
      </w:r>
      <w:r w:rsidR="00DC4172">
        <w:rPr>
          <w:sz w:val="24"/>
          <w:szCs w:val="24"/>
        </w:rPr>
        <w:t>, or an average of 3 hours</w:t>
      </w:r>
      <w:r w:rsidR="00A73688" w:rsidRPr="00D143E3">
        <w:rPr>
          <w:sz w:val="24"/>
          <w:szCs w:val="24"/>
        </w:rPr>
        <w:t>.</w:t>
      </w:r>
      <w:r w:rsidRPr="00D143E3">
        <w:rPr>
          <w:sz w:val="24"/>
          <w:szCs w:val="24"/>
        </w:rPr>
        <w:t xml:space="preserve"> </w:t>
      </w:r>
      <w:r w:rsidR="00CE539C" w:rsidRPr="00D143E3">
        <w:rPr>
          <w:sz w:val="24"/>
          <w:szCs w:val="24"/>
        </w:rPr>
        <w:t xml:space="preserve"> </w:t>
      </w:r>
      <w:r w:rsidR="008F3F1E">
        <w:rPr>
          <w:sz w:val="24"/>
          <w:szCs w:val="24"/>
        </w:rPr>
        <w:t>As a result, OSM</w:t>
      </w:r>
      <w:r w:rsidR="00C351B2">
        <w:rPr>
          <w:sz w:val="24"/>
          <w:szCs w:val="24"/>
        </w:rPr>
        <w:t>RE</w:t>
      </w:r>
      <w:r w:rsidR="008F3F1E">
        <w:rPr>
          <w:sz w:val="24"/>
          <w:szCs w:val="24"/>
        </w:rPr>
        <w:t xml:space="preserve"> estimates the burden to be</w:t>
      </w:r>
      <w:r w:rsidR="008F3F1E" w:rsidRPr="00D143E3">
        <w:rPr>
          <w:sz w:val="24"/>
          <w:szCs w:val="24"/>
        </w:rPr>
        <w:t xml:space="preserve"> </w:t>
      </w:r>
      <w:r w:rsidR="008F3F1E">
        <w:rPr>
          <w:sz w:val="24"/>
          <w:szCs w:val="24"/>
        </w:rPr>
        <w:t>8</w:t>
      </w:r>
      <w:r w:rsidR="00B22B0E">
        <w:rPr>
          <w:sz w:val="24"/>
          <w:szCs w:val="24"/>
        </w:rPr>
        <w:t>4</w:t>
      </w:r>
      <w:r w:rsidR="008F3F1E" w:rsidRPr="008F3F1E">
        <w:rPr>
          <w:sz w:val="24"/>
          <w:szCs w:val="24"/>
        </w:rPr>
        <w:t xml:space="preserve"> burden hours</w:t>
      </w:r>
      <w:r w:rsidR="008F3F1E" w:rsidRPr="00D143E3">
        <w:rPr>
          <w:sz w:val="24"/>
          <w:szCs w:val="24"/>
        </w:rPr>
        <w:t xml:space="preserve">. </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rPr>
          <w:sz w:val="24"/>
          <w:szCs w:val="24"/>
        </w:rPr>
      </w:pPr>
    </w:p>
    <w:p w:rsidR="00A50DF5" w:rsidRPr="00D143E3" w:rsidRDefault="008F3F1E" w:rsidP="00CB7517">
      <w:pPr>
        <w:tabs>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A</w:t>
      </w:r>
      <w:r w:rsidR="00A50DF5" w:rsidRPr="00D143E3">
        <w:rPr>
          <w:sz w:val="24"/>
          <w:szCs w:val="24"/>
        </w:rPr>
        <w:t>ddition</w:t>
      </w:r>
      <w:r>
        <w:rPr>
          <w:sz w:val="24"/>
          <w:szCs w:val="24"/>
        </w:rPr>
        <w:t>ally</w:t>
      </w:r>
      <w:r w:rsidR="00A50DF5" w:rsidRPr="00D143E3">
        <w:rPr>
          <w:sz w:val="24"/>
          <w:szCs w:val="24"/>
        </w:rPr>
        <w:t xml:space="preserve">, </w:t>
      </w:r>
      <w:r>
        <w:rPr>
          <w:sz w:val="24"/>
          <w:szCs w:val="24"/>
        </w:rPr>
        <w:t xml:space="preserve">recipients may use </w:t>
      </w:r>
      <w:r w:rsidR="00A50DF5" w:rsidRPr="00D143E3">
        <w:rPr>
          <w:sz w:val="24"/>
          <w:szCs w:val="24"/>
        </w:rPr>
        <w:t xml:space="preserve">the OSM-49 </w:t>
      </w:r>
      <w:r>
        <w:rPr>
          <w:sz w:val="24"/>
          <w:szCs w:val="24"/>
        </w:rPr>
        <w:t>annually to report financial expenditures.</w:t>
      </w:r>
      <w:r w:rsidR="00A50DF5" w:rsidRPr="00D143E3">
        <w:rPr>
          <w:sz w:val="24"/>
          <w:szCs w:val="24"/>
        </w:rPr>
        <w:t xml:space="preserve">  Reporting using the OSM-49 is required by 2</w:t>
      </w:r>
      <w:r w:rsidR="006C7697">
        <w:rPr>
          <w:sz w:val="24"/>
          <w:szCs w:val="24"/>
        </w:rPr>
        <w:t>5</w:t>
      </w:r>
      <w:r w:rsidR="00A50DF5" w:rsidRPr="00D143E3">
        <w:rPr>
          <w:sz w:val="24"/>
          <w:szCs w:val="24"/>
        </w:rPr>
        <w:t xml:space="preserve"> reclamation authorities</w:t>
      </w:r>
      <w:r w:rsidR="003E476F" w:rsidRPr="00D143E3">
        <w:rPr>
          <w:sz w:val="24"/>
          <w:szCs w:val="24"/>
        </w:rPr>
        <w:t xml:space="preserve"> and 3 Indian tribes</w:t>
      </w:r>
      <w:r w:rsidR="00A50DF5" w:rsidRPr="00D143E3">
        <w:rPr>
          <w:sz w:val="24"/>
          <w:szCs w:val="24"/>
        </w:rPr>
        <w:t>.  It is estimated that it will take each respondent</w:t>
      </w:r>
      <w:r w:rsidR="00A959F4" w:rsidRPr="00D143E3">
        <w:rPr>
          <w:sz w:val="24"/>
          <w:szCs w:val="24"/>
        </w:rPr>
        <w:t>s</w:t>
      </w:r>
      <w:r w:rsidR="00A50DF5" w:rsidRPr="00D143E3">
        <w:rPr>
          <w:sz w:val="24"/>
          <w:szCs w:val="24"/>
        </w:rPr>
        <w:t xml:space="preserve"> </w:t>
      </w:r>
      <w:r w:rsidR="00DC4172">
        <w:rPr>
          <w:sz w:val="24"/>
          <w:szCs w:val="24"/>
        </w:rPr>
        <w:t>3</w:t>
      </w:r>
      <w:r w:rsidR="00A50DF5" w:rsidRPr="00D143E3">
        <w:rPr>
          <w:sz w:val="24"/>
          <w:szCs w:val="24"/>
        </w:rPr>
        <w:t xml:space="preserve"> hours per information request.  </w:t>
      </w:r>
      <w:r w:rsidR="00C32D00" w:rsidRPr="00C32D00">
        <w:rPr>
          <w:sz w:val="24"/>
          <w:szCs w:val="24"/>
        </w:rPr>
        <w:t xml:space="preserve"> </w:t>
      </w:r>
      <w:r w:rsidR="00C32D00">
        <w:rPr>
          <w:sz w:val="24"/>
          <w:szCs w:val="24"/>
        </w:rPr>
        <w:t>As a result, OSM</w:t>
      </w:r>
      <w:r w:rsidR="00C351B2">
        <w:rPr>
          <w:sz w:val="24"/>
          <w:szCs w:val="24"/>
        </w:rPr>
        <w:t>RE</w:t>
      </w:r>
      <w:r w:rsidR="00C32D00">
        <w:rPr>
          <w:sz w:val="24"/>
          <w:szCs w:val="24"/>
        </w:rPr>
        <w:t xml:space="preserve"> estimates the burden to be</w:t>
      </w:r>
      <w:r w:rsidR="00C32D00" w:rsidRPr="00D143E3">
        <w:rPr>
          <w:sz w:val="24"/>
          <w:szCs w:val="24"/>
        </w:rPr>
        <w:t xml:space="preserve"> </w:t>
      </w:r>
      <w:r w:rsidR="00C32D00">
        <w:rPr>
          <w:sz w:val="24"/>
          <w:szCs w:val="24"/>
        </w:rPr>
        <w:t>8</w:t>
      </w:r>
      <w:r w:rsidR="00B22B0E">
        <w:rPr>
          <w:sz w:val="24"/>
          <w:szCs w:val="24"/>
        </w:rPr>
        <w:t>4</w:t>
      </w:r>
      <w:r w:rsidR="00C32D00" w:rsidRPr="008F3F1E">
        <w:rPr>
          <w:sz w:val="24"/>
          <w:szCs w:val="24"/>
        </w:rPr>
        <w:t xml:space="preserve"> burden hours</w:t>
      </w:r>
      <w:r w:rsidR="00C32D00" w:rsidRPr="00D143E3">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rPr>
          <w:sz w:val="24"/>
          <w:szCs w:val="24"/>
        </w:rPr>
      </w:pPr>
    </w:p>
    <w:p w:rsidR="00A50DF5" w:rsidRPr="003E48D9" w:rsidRDefault="00A50DF5" w:rsidP="00CB7517">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sidRPr="003E48D9">
        <w:rPr>
          <w:sz w:val="24"/>
          <w:szCs w:val="24"/>
        </w:rPr>
        <w:tab/>
        <w:t>Therefore</w:t>
      </w:r>
      <w:r w:rsidR="001A59DD">
        <w:rPr>
          <w:sz w:val="24"/>
          <w:szCs w:val="24"/>
        </w:rPr>
        <w:t xml:space="preserve"> </w:t>
      </w:r>
      <w:r w:rsidRPr="003E48D9">
        <w:rPr>
          <w:sz w:val="24"/>
          <w:szCs w:val="24"/>
        </w:rPr>
        <w:t>the total report</w:t>
      </w:r>
      <w:r w:rsidR="00A959F4" w:rsidRPr="003E48D9">
        <w:rPr>
          <w:sz w:val="24"/>
          <w:szCs w:val="24"/>
        </w:rPr>
        <w:t xml:space="preserve">ing burden for the OSM-49 is </w:t>
      </w:r>
      <w:r w:rsidR="00C32D00">
        <w:rPr>
          <w:bCs/>
          <w:sz w:val="24"/>
          <w:szCs w:val="24"/>
        </w:rPr>
        <w:t>16</w:t>
      </w:r>
      <w:r w:rsidR="00B22B0E">
        <w:rPr>
          <w:bCs/>
          <w:sz w:val="24"/>
          <w:szCs w:val="24"/>
        </w:rPr>
        <w:t>8</w:t>
      </w:r>
      <w:r w:rsidR="00C32D00">
        <w:rPr>
          <w:bCs/>
          <w:sz w:val="24"/>
          <w:szCs w:val="24"/>
        </w:rPr>
        <w:t xml:space="preserve"> burden hours</w:t>
      </w:r>
      <w:r w:rsidRPr="003E48D9">
        <w:rPr>
          <w:sz w:val="24"/>
          <w:szCs w:val="24"/>
        </w:rPr>
        <w:t xml:space="preserve">. </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34793" w:rsidRPr="00D143E3" w:rsidRDefault="00A50DF5" w:rsidP="00CB7517">
      <w:pPr>
        <w:pStyle w:val="ListParagraph"/>
        <w:numPr>
          <w:ilvl w:val="0"/>
          <w:numId w:val="1"/>
        </w:num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0"/>
        <w:rPr>
          <w:sz w:val="24"/>
          <w:szCs w:val="24"/>
        </w:rPr>
      </w:pPr>
      <w:r w:rsidRPr="00D143E3">
        <w:rPr>
          <w:sz w:val="24"/>
          <w:szCs w:val="24"/>
        </w:rPr>
        <w:t xml:space="preserve">OSM-51 — </w:t>
      </w:r>
      <w:r w:rsidR="00D816FC">
        <w:rPr>
          <w:sz w:val="24"/>
          <w:szCs w:val="24"/>
        </w:rPr>
        <w:t>OSM</w:t>
      </w:r>
      <w:r w:rsidR="00C351B2">
        <w:rPr>
          <w:sz w:val="24"/>
          <w:szCs w:val="24"/>
        </w:rPr>
        <w:t>RE</w:t>
      </w:r>
      <w:r w:rsidR="00D816FC">
        <w:rPr>
          <w:sz w:val="24"/>
          <w:szCs w:val="24"/>
        </w:rPr>
        <w:t xml:space="preserve"> requires </w:t>
      </w:r>
      <w:r w:rsidR="008C27BF">
        <w:rPr>
          <w:sz w:val="24"/>
          <w:szCs w:val="24"/>
        </w:rPr>
        <w:t xml:space="preserve">24 </w:t>
      </w:r>
      <w:r w:rsidR="00D816FC">
        <w:rPr>
          <w:sz w:val="24"/>
          <w:szCs w:val="24"/>
        </w:rPr>
        <w:t>stat</w:t>
      </w:r>
      <w:r w:rsidR="008C27BF">
        <w:rPr>
          <w:sz w:val="24"/>
          <w:szCs w:val="24"/>
        </w:rPr>
        <w:t>e and 3 tribal agencies to submit</w:t>
      </w:r>
      <w:r w:rsidR="00BD5A6A">
        <w:rPr>
          <w:sz w:val="24"/>
          <w:szCs w:val="24"/>
        </w:rPr>
        <w:t xml:space="preserve"> </w:t>
      </w:r>
      <w:r w:rsidRPr="00D143E3">
        <w:rPr>
          <w:sz w:val="24"/>
          <w:szCs w:val="24"/>
        </w:rPr>
        <w:t xml:space="preserve">the OSM-51 </w:t>
      </w:r>
      <w:r w:rsidR="008C27BF">
        <w:rPr>
          <w:sz w:val="24"/>
          <w:szCs w:val="24"/>
        </w:rPr>
        <w:t xml:space="preserve">or an acceptable substitute program or progress narrative </w:t>
      </w:r>
      <w:r w:rsidRPr="00D143E3">
        <w:rPr>
          <w:sz w:val="24"/>
          <w:szCs w:val="24"/>
        </w:rPr>
        <w:t>with each application</w:t>
      </w:r>
      <w:r w:rsidR="008C27BF">
        <w:rPr>
          <w:sz w:val="24"/>
          <w:szCs w:val="24"/>
        </w:rPr>
        <w:t>.</w:t>
      </w:r>
      <w:r w:rsidRPr="00D143E3">
        <w:rPr>
          <w:sz w:val="24"/>
          <w:szCs w:val="24"/>
        </w:rPr>
        <w:t xml:space="preserve">  </w:t>
      </w:r>
      <w:r w:rsidR="008C27BF">
        <w:rPr>
          <w:sz w:val="24"/>
          <w:szCs w:val="24"/>
        </w:rPr>
        <w:t xml:space="preserve"> Data </w:t>
      </w:r>
      <w:r w:rsidR="008C27BF">
        <w:rPr>
          <w:sz w:val="24"/>
          <w:szCs w:val="24"/>
        </w:rPr>
        <w:lastRenderedPageBreak/>
        <w:t xml:space="preserve">gathering could take up to 30 days to collect. </w:t>
      </w:r>
      <w:r w:rsidR="00AE2DC2">
        <w:rPr>
          <w:sz w:val="24"/>
          <w:szCs w:val="24"/>
        </w:rPr>
        <w:t xml:space="preserve"> </w:t>
      </w:r>
      <w:r w:rsidR="008C27BF">
        <w:rPr>
          <w:sz w:val="24"/>
          <w:szCs w:val="24"/>
        </w:rPr>
        <w:t xml:space="preserve">Document preparation and compilation is normally 2-3 hours.  </w:t>
      </w:r>
      <w:r w:rsidRPr="00D143E3">
        <w:rPr>
          <w:sz w:val="24"/>
          <w:szCs w:val="24"/>
        </w:rPr>
        <w:t>It is estimated that it will take each of the respondents 5</w:t>
      </w:r>
      <w:r w:rsidR="0057724E">
        <w:rPr>
          <w:sz w:val="24"/>
          <w:szCs w:val="24"/>
        </w:rPr>
        <w:t xml:space="preserve"> to 16</w:t>
      </w:r>
      <w:r w:rsidRPr="00D143E3">
        <w:rPr>
          <w:sz w:val="24"/>
          <w:szCs w:val="24"/>
        </w:rPr>
        <w:t xml:space="preserve"> hours</w:t>
      </w:r>
      <w:r w:rsidR="0057724E">
        <w:rPr>
          <w:sz w:val="24"/>
          <w:szCs w:val="24"/>
        </w:rPr>
        <w:t>, or an average of 10 hours</w:t>
      </w:r>
      <w:r w:rsidRPr="00D143E3">
        <w:rPr>
          <w:sz w:val="24"/>
          <w:szCs w:val="24"/>
        </w:rPr>
        <w:t xml:space="preserve"> per information request</w:t>
      </w:r>
      <w:r w:rsidR="00A959F4" w:rsidRPr="00D143E3">
        <w:rPr>
          <w:sz w:val="24"/>
          <w:szCs w:val="24"/>
        </w:rPr>
        <w:t xml:space="preserve">. </w:t>
      </w:r>
      <w:r w:rsidR="00E7035C">
        <w:rPr>
          <w:sz w:val="24"/>
          <w:szCs w:val="24"/>
        </w:rPr>
        <w:t xml:space="preserve"> </w:t>
      </w:r>
      <w:r w:rsidRPr="00D143E3">
        <w:rPr>
          <w:sz w:val="24"/>
          <w:szCs w:val="24"/>
        </w:rPr>
        <w:t>2</w:t>
      </w:r>
      <w:r w:rsidR="0057724E">
        <w:rPr>
          <w:sz w:val="24"/>
          <w:szCs w:val="24"/>
        </w:rPr>
        <w:t>7</w:t>
      </w:r>
      <w:r w:rsidRPr="00D143E3">
        <w:rPr>
          <w:sz w:val="24"/>
          <w:szCs w:val="24"/>
        </w:rPr>
        <w:t xml:space="preserve"> respondents x </w:t>
      </w:r>
      <w:r w:rsidR="0057724E">
        <w:rPr>
          <w:sz w:val="24"/>
          <w:szCs w:val="24"/>
        </w:rPr>
        <w:t>10</w:t>
      </w:r>
      <w:r w:rsidRPr="00D143E3">
        <w:rPr>
          <w:sz w:val="24"/>
          <w:szCs w:val="24"/>
        </w:rPr>
        <w:t xml:space="preserve"> hours/grants </w:t>
      </w:r>
      <w:r w:rsidR="00667C97">
        <w:rPr>
          <w:sz w:val="24"/>
          <w:szCs w:val="24"/>
        </w:rPr>
        <w:t>are</w:t>
      </w:r>
      <w:r w:rsidR="008C27BF">
        <w:rPr>
          <w:sz w:val="24"/>
          <w:szCs w:val="24"/>
        </w:rPr>
        <w:t xml:space="preserve"> </w:t>
      </w:r>
      <w:r w:rsidR="0057724E">
        <w:rPr>
          <w:sz w:val="24"/>
          <w:szCs w:val="24"/>
        </w:rPr>
        <w:t>2</w:t>
      </w:r>
      <w:r w:rsidR="00B22B0E">
        <w:rPr>
          <w:sz w:val="24"/>
          <w:szCs w:val="24"/>
        </w:rPr>
        <w:t>8</w:t>
      </w:r>
      <w:r w:rsidRPr="00D143E3">
        <w:rPr>
          <w:sz w:val="24"/>
          <w:szCs w:val="24"/>
        </w:rPr>
        <w:t>0 burden hours</w:t>
      </w:r>
      <w:r w:rsidR="00A959F4" w:rsidRPr="00D143E3">
        <w:rPr>
          <w:sz w:val="24"/>
          <w:szCs w:val="24"/>
        </w:rPr>
        <w:t>.</w:t>
      </w:r>
      <w:r w:rsidRPr="00D143E3">
        <w:rPr>
          <w:sz w:val="24"/>
          <w:szCs w:val="24"/>
        </w:rPr>
        <w:t xml:space="preserve">  </w:t>
      </w:r>
    </w:p>
    <w:p w:rsidR="00334793" w:rsidRPr="003E48D9" w:rsidRDefault="00334793"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A50DF5" w:rsidRPr="003E48D9" w:rsidRDefault="00334793" w:rsidP="00CB7517">
      <w:pPr>
        <w:tabs>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sidRPr="003E48D9">
        <w:rPr>
          <w:sz w:val="24"/>
          <w:szCs w:val="24"/>
        </w:rPr>
        <w:tab/>
      </w:r>
      <w:r w:rsidR="00A50DF5" w:rsidRPr="003E48D9">
        <w:rPr>
          <w:sz w:val="24"/>
          <w:szCs w:val="24"/>
        </w:rPr>
        <w:t>In addition, the OSM-51 is required by 2</w:t>
      </w:r>
      <w:r w:rsidR="00BD5A6A">
        <w:rPr>
          <w:sz w:val="24"/>
          <w:szCs w:val="24"/>
        </w:rPr>
        <w:t>4</w:t>
      </w:r>
      <w:r w:rsidR="00981C67">
        <w:rPr>
          <w:sz w:val="24"/>
          <w:szCs w:val="24"/>
        </w:rPr>
        <w:t xml:space="preserve"> s</w:t>
      </w:r>
      <w:r w:rsidR="00A50DF5" w:rsidRPr="003E48D9">
        <w:rPr>
          <w:sz w:val="24"/>
          <w:szCs w:val="24"/>
        </w:rPr>
        <w:t xml:space="preserve">tate reclamation authorities and 3 Indian tribes for end-of-year reporting.  It will take each respondent </w:t>
      </w:r>
      <w:r w:rsidR="0057724E">
        <w:rPr>
          <w:sz w:val="24"/>
          <w:szCs w:val="24"/>
        </w:rPr>
        <w:t>10</w:t>
      </w:r>
      <w:r w:rsidR="00A50DF5" w:rsidRPr="003E48D9">
        <w:rPr>
          <w:sz w:val="24"/>
          <w:szCs w:val="24"/>
        </w:rPr>
        <w:t xml:space="preserve"> hours per information request</w:t>
      </w:r>
      <w:r w:rsidR="00A959F4" w:rsidRPr="003E48D9">
        <w:rPr>
          <w:sz w:val="24"/>
          <w:szCs w:val="24"/>
        </w:rPr>
        <w:t>.</w:t>
      </w:r>
      <w:r w:rsidR="00A50DF5" w:rsidRPr="003E48D9">
        <w:rPr>
          <w:sz w:val="24"/>
          <w:szCs w:val="24"/>
        </w:rPr>
        <w:t xml:space="preserve"> </w:t>
      </w:r>
      <w:r w:rsidR="0057724E">
        <w:rPr>
          <w:sz w:val="24"/>
          <w:szCs w:val="24"/>
        </w:rPr>
        <w:t xml:space="preserve"> </w:t>
      </w:r>
      <w:r w:rsidR="00A50DF5" w:rsidRPr="003E48D9">
        <w:rPr>
          <w:sz w:val="24"/>
          <w:szCs w:val="24"/>
        </w:rPr>
        <w:t>2</w:t>
      </w:r>
      <w:r w:rsidR="00B22B0E">
        <w:rPr>
          <w:sz w:val="24"/>
          <w:szCs w:val="24"/>
        </w:rPr>
        <w:t>8</w:t>
      </w:r>
      <w:r w:rsidR="00A50DF5" w:rsidRPr="003E48D9">
        <w:rPr>
          <w:sz w:val="24"/>
          <w:szCs w:val="24"/>
        </w:rPr>
        <w:t xml:space="preserve"> respondents x </w:t>
      </w:r>
      <w:r w:rsidR="0057724E">
        <w:rPr>
          <w:sz w:val="24"/>
          <w:szCs w:val="24"/>
        </w:rPr>
        <w:t xml:space="preserve">10 </w:t>
      </w:r>
      <w:r w:rsidR="00A50DF5" w:rsidRPr="003E48D9">
        <w:rPr>
          <w:sz w:val="24"/>
          <w:szCs w:val="24"/>
        </w:rPr>
        <w:t xml:space="preserve">hours/grant = </w:t>
      </w:r>
      <w:r w:rsidR="0057724E">
        <w:rPr>
          <w:sz w:val="24"/>
          <w:szCs w:val="24"/>
        </w:rPr>
        <w:t>2</w:t>
      </w:r>
      <w:r w:rsidR="00B22B0E">
        <w:rPr>
          <w:sz w:val="24"/>
          <w:szCs w:val="24"/>
        </w:rPr>
        <w:t>8</w:t>
      </w:r>
      <w:r w:rsidR="0057724E">
        <w:rPr>
          <w:sz w:val="24"/>
          <w:szCs w:val="24"/>
        </w:rPr>
        <w:t>0</w:t>
      </w:r>
      <w:r w:rsidR="00A50DF5" w:rsidRPr="003E48D9">
        <w:rPr>
          <w:sz w:val="24"/>
          <w:szCs w:val="24"/>
        </w:rPr>
        <w:t xml:space="preserve"> burden hours</w:t>
      </w:r>
      <w:r w:rsidR="00A959F4" w:rsidRPr="003E48D9">
        <w:rPr>
          <w:sz w:val="24"/>
          <w:szCs w:val="24"/>
        </w:rPr>
        <w:t>.</w:t>
      </w:r>
      <w:r w:rsidR="00A50DF5" w:rsidRPr="003E48D9">
        <w:rPr>
          <w:sz w:val="24"/>
          <w:szCs w:val="24"/>
        </w:rPr>
        <w:t xml:space="preserve"> </w:t>
      </w:r>
      <w:r w:rsidR="00BD5A6A">
        <w:rPr>
          <w:sz w:val="24"/>
          <w:szCs w:val="24"/>
        </w:rPr>
        <w:t xml:space="preserve"> </w:t>
      </w:r>
      <w:r w:rsidR="00A50DF5" w:rsidRPr="003E48D9">
        <w:rPr>
          <w:sz w:val="24"/>
          <w:szCs w:val="24"/>
        </w:rPr>
        <w:t xml:space="preserve">Therefore, </w:t>
      </w:r>
      <w:r w:rsidR="0057724E">
        <w:rPr>
          <w:sz w:val="24"/>
          <w:szCs w:val="24"/>
        </w:rPr>
        <w:t>2</w:t>
      </w:r>
      <w:r w:rsidR="00B22B0E">
        <w:rPr>
          <w:sz w:val="24"/>
          <w:szCs w:val="24"/>
        </w:rPr>
        <w:t>8</w:t>
      </w:r>
      <w:r w:rsidR="0057724E">
        <w:rPr>
          <w:sz w:val="24"/>
          <w:szCs w:val="24"/>
        </w:rPr>
        <w:t>0</w:t>
      </w:r>
      <w:r w:rsidR="00A50DF5" w:rsidRPr="003E48D9">
        <w:rPr>
          <w:sz w:val="24"/>
          <w:szCs w:val="24"/>
        </w:rPr>
        <w:t xml:space="preserve"> burden hours + </w:t>
      </w:r>
      <w:r w:rsidR="0057724E">
        <w:rPr>
          <w:sz w:val="24"/>
          <w:szCs w:val="24"/>
        </w:rPr>
        <w:t>2</w:t>
      </w:r>
      <w:r w:rsidR="00B22B0E">
        <w:rPr>
          <w:sz w:val="24"/>
          <w:szCs w:val="24"/>
        </w:rPr>
        <w:t>8</w:t>
      </w:r>
      <w:r w:rsidR="0057724E">
        <w:rPr>
          <w:sz w:val="24"/>
          <w:szCs w:val="24"/>
        </w:rPr>
        <w:t>0</w:t>
      </w:r>
      <w:r w:rsidR="00A50DF5" w:rsidRPr="003E48D9">
        <w:rPr>
          <w:sz w:val="24"/>
          <w:szCs w:val="24"/>
        </w:rPr>
        <w:t xml:space="preserve"> burden hours </w:t>
      </w:r>
      <w:r w:rsidR="001A59DD">
        <w:rPr>
          <w:sz w:val="24"/>
          <w:szCs w:val="24"/>
        </w:rPr>
        <w:t>is</w:t>
      </w:r>
      <w:r w:rsidR="00A50DF5" w:rsidRPr="003E48D9">
        <w:rPr>
          <w:sz w:val="24"/>
          <w:szCs w:val="24"/>
        </w:rPr>
        <w:t xml:space="preserve"> </w:t>
      </w:r>
      <w:r w:rsidR="004167F6" w:rsidRPr="004167F6">
        <w:rPr>
          <w:bCs/>
          <w:sz w:val="24"/>
          <w:szCs w:val="24"/>
        </w:rPr>
        <w:t>5</w:t>
      </w:r>
      <w:r w:rsidR="00B22B0E">
        <w:rPr>
          <w:bCs/>
          <w:sz w:val="24"/>
          <w:szCs w:val="24"/>
        </w:rPr>
        <w:t>6</w:t>
      </w:r>
      <w:r w:rsidR="004167F6" w:rsidRPr="004167F6">
        <w:rPr>
          <w:bCs/>
          <w:sz w:val="24"/>
          <w:szCs w:val="24"/>
        </w:rPr>
        <w:t>0 burden hours</w:t>
      </w:r>
      <w:r w:rsidR="00A50DF5" w:rsidRPr="003E48D9">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CB7517">
      <w:pPr>
        <w:pStyle w:val="BodyTextIndent3"/>
        <w:numPr>
          <w:ilvl w:val="0"/>
          <w:numId w:val="1"/>
        </w:numPr>
        <w:tabs>
          <w:tab w:val="left" w:pos="720"/>
        </w:tabs>
        <w:ind w:left="720" w:firstLine="0"/>
      </w:pPr>
      <w:r w:rsidRPr="003E48D9">
        <w:t>735.11 — This</w:t>
      </w:r>
      <w:r w:rsidR="00B74C3D" w:rsidRPr="003E48D9">
        <w:t xml:space="preserve"> </w:t>
      </w:r>
      <w:r w:rsidRPr="003E48D9">
        <w:t xml:space="preserve">section requires the Governor of a </w:t>
      </w:r>
      <w:r w:rsidR="00890DBF">
        <w:t>s</w:t>
      </w:r>
      <w:r w:rsidRPr="003E48D9">
        <w:t xml:space="preserve">tate to identify an agency within the </w:t>
      </w:r>
      <w:r w:rsidR="00890DBF">
        <w:t>s</w:t>
      </w:r>
      <w:r w:rsidRPr="003E48D9">
        <w:t>tate which will have authority to request and receive grants from OSM</w:t>
      </w:r>
      <w:r w:rsidR="00C351B2">
        <w:t>RE</w:t>
      </w:r>
      <w:r w:rsidRPr="003E48D9">
        <w:t xml:space="preserve">.  This collection activity has not been used since the approval of the last </w:t>
      </w:r>
      <w:r w:rsidR="00890DBF">
        <w:t>s</w:t>
      </w:r>
      <w:r w:rsidRPr="003E48D9">
        <w:t xml:space="preserve">tate regulatory program.  OSM does not anticipate any further activity under this section.  However, assuming that OSM does receive a notice from a State Governor every year requiring </w:t>
      </w:r>
      <w:r w:rsidR="00667C97">
        <w:t>one</w:t>
      </w:r>
      <w:r w:rsidR="000908D6">
        <w:t xml:space="preserve"> hour</w:t>
      </w:r>
      <w:r w:rsidRPr="003E48D9">
        <w:t xml:space="preserve"> to prepare, the annual burden under this section will be </w:t>
      </w:r>
      <w:r w:rsidR="00667C97">
        <w:t>one</w:t>
      </w:r>
      <w:r w:rsidR="000908D6">
        <w:t xml:space="preserve"> hour</w:t>
      </w:r>
      <w:r w:rsidRPr="003E48D9">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The total estimated burden for respondents to complete these three forms and comply with the requirements of 30 CFR P</w:t>
      </w:r>
      <w:r w:rsidR="0057724E">
        <w:rPr>
          <w:sz w:val="24"/>
          <w:szCs w:val="24"/>
        </w:rPr>
        <w:t>art</w:t>
      </w:r>
      <w:r w:rsidRPr="003E48D9">
        <w:rPr>
          <w:sz w:val="24"/>
          <w:szCs w:val="24"/>
        </w:rPr>
        <w:t xml:space="preserve"> 735 is approximately </w:t>
      </w:r>
      <w:r w:rsidR="00B22B0E">
        <w:rPr>
          <w:sz w:val="24"/>
          <w:szCs w:val="24"/>
        </w:rPr>
        <w:t>918</w:t>
      </w:r>
      <w:r w:rsidR="004167F6" w:rsidRPr="004167F6">
        <w:rPr>
          <w:sz w:val="24"/>
          <w:szCs w:val="24"/>
        </w:rPr>
        <w:t xml:space="preserve"> </w:t>
      </w:r>
      <w:r w:rsidR="004167F6" w:rsidRPr="004167F6">
        <w:rPr>
          <w:bCs/>
          <w:sz w:val="24"/>
          <w:szCs w:val="24"/>
        </w:rPr>
        <w:t>hours</w:t>
      </w:r>
      <w:r w:rsidRPr="003E48D9">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3E48D9">
        <w:rPr>
          <w:sz w:val="24"/>
          <w:szCs w:val="24"/>
        </w:rPr>
        <w:tab/>
      </w:r>
      <w:r w:rsidRPr="003E48D9">
        <w:rPr>
          <w:b/>
          <w:bCs/>
          <w:sz w:val="24"/>
          <w:szCs w:val="24"/>
        </w:rPr>
        <w:t>Estimated Annualized Cost</w:t>
      </w:r>
    </w:p>
    <w:p w:rsidR="003617FA" w:rsidRPr="003617FA" w:rsidRDefault="003617FA">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617FA" w:rsidRPr="003E6027" w:rsidRDefault="003617FA" w:rsidP="00094AB8">
      <w:pPr>
        <w:pStyle w:val="BodyTextIndent"/>
        <w:ind w:left="720" w:firstLine="0"/>
        <w:rPr>
          <w:rFonts w:cs="Arial"/>
        </w:rPr>
      </w:pPr>
      <w:r w:rsidRPr="003617FA">
        <w:t>Using U.S. Department of Labor’s Bureau o</w:t>
      </w:r>
      <w:r w:rsidR="003737F3">
        <w:t>f Labor statistics figures for s</w:t>
      </w:r>
      <w:r w:rsidRPr="003617FA">
        <w:t xml:space="preserve">tate employee </w:t>
      </w:r>
      <w:r w:rsidR="00094AB8">
        <w:t>auditors</w:t>
      </w:r>
      <w:r w:rsidRPr="003617FA">
        <w:t xml:space="preserve"> at </w:t>
      </w:r>
      <w:hyperlink r:id="rId9" w:anchor="13-0000" w:history="1">
        <w:r w:rsidR="00FD5052" w:rsidRPr="00610A84">
          <w:rPr>
            <w:rStyle w:val="Hyperlink"/>
          </w:rPr>
          <w:t>http://www.bls.gov/oes/current/naics4_999200.htm#13-0000</w:t>
        </w:r>
      </w:hyperlink>
      <w:r w:rsidRPr="003617FA">
        <w:t>, we estimate that the wage cost is $2</w:t>
      </w:r>
      <w:r w:rsidR="00BD5A6A">
        <w:t>7</w:t>
      </w:r>
      <w:r w:rsidRPr="003617FA">
        <w:t>.</w:t>
      </w:r>
      <w:r w:rsidR="00FD5052">
        <w:t>83</w:t>
      </w:r>
      <w:r w:rsidRPr="003617FA">
        <w:t xml:space="preserve"> per hour, or $</w:t>
      </w:r>
      <w:r w:rsidR="00BD5A6A">
        <w:t>4</w:t>
      </w:r>
      <w:r w:rsidR="00FD5052">
        <w:t>2</w:t>
      </w:r>
      <w:r w:rsidRPr="003617FA">
        <w:t xml:space="preserve"> per hour (rounded) when including benefits</w:t>
      </w:r>
      <w:r w:rsidR="001A59DD">
        <w:t xml:space="preserve"> (estimated at</w:t>
      </w:r>
      <w:r w:rsidRPr="003617FA">
        <w:t xml:space="preserve"> 1.5 of hourly wages</w:t>
      </w:r>
      <w:r w:rsidR="001A59DD">
        <w:t>.</w:t>
      </w:r>
      <w:r w:rsidRPr="003617FA">
        <w:t xml:space="preserve"> </w:t>
      </w:r>
      <w:r w:rsidR="00BD5A6A">
        <w:t xml:space="preserve"> </w:t>
      </w:r>
      <w:r w:rsidRPr="003617FA">
        <w:t>OSM</w:t>
      </w:r>
      <w:r w:rsidR="00FD5052">
        <w:t>RE</w:t>
      </w:r>
      <w:r w:rsidRPr="003617FA">
        <w:t xml:space="preserve"> derived the 1.5 multiplier f</w:t>
      </w:r>
      <w:r w:rsidR="00BD5A6A">
        <w:t xml:space="preserve">or </w:t>
      </w:r>
      <w:r w:rsidRPr="003617FA">
        <w:t xml:space="preserve">benefits for state and local government workers in the U.S. Bureau of Labor </w:t>
      </w:r>
      <w:r w:rsidRPr="003617FA">
        <w:rPr>
          <w:rFonts w:cs="Arial"/>
        </w:rPr>
        <w:t xml:space="preserve">Statistics </w:t>
      </w:r>
      <w:r w:rsidR="00BD5A6A">
        <w:rPr>
          <w:rFonts w:cs="Arial"/>
        </w:rPr>
        <w:t>news release USDL-1</w:t>
      </w:r>
      <w:r w:rsidR="00FD5052">
        <w:rPr>
          <w:rFonts w:cs="Arial"/>
        </w:rPr>
        <w:t>4</w:t>
      </w:r>
      <w:r w:rsidR="00BD5A6A">
        <w:rPr>
          <w:rFonts w:cs="Arial"/>
        </w:rPr>
        <w:t>-</w:t>
      </w:r>
      <w:r w:rsidR="00FD5052">
        <w:rPr>
          <w:rFonts w:cs="Arial"/>
        </w:rPr>
        <w:t>2208</w:t>
      </w:r>
      <w:r w:rsidR="00BD5A6A">
        <w:rPr>
          <w:rFonts w:cs="Arial"/>
        </w:rPr>
        <w:t>,</w:t>
      </w:r>
      <w:r w:rsidR="00EA7D62">
        <w:rPr>
          <w:rFonts w:cs="Arial"/>
        </w:rPr>
        <w:t xml:space="preserve"> dated December 10, 2014, </w:t>
      </w:r>
      <w:r w:rsidRPr="003617FA">
        <w:t>EMPLOYER COSTS FOR EMPLOYEE COMPENSATION—</w:t>
      </w:r>
      <w:r w:rsidR="00FD5052">
        <w:t>September 2014</w:t>
      </w:r>
      <w:r w:rsidR="00BD5A6A">
        <w:t xml:space="preserve">: </w:t>
      </w:r>
      <w:hyperlink r:id="rId10" w:history="1">
        <w:r w:rsidR="00FD5052" w:rsidRPr="00610A84">
          <w:rPr>
            <w:rStyle w:val="Hyperlink"/>
          </w:rPr>
          <w:t>http://www.bls.gov/news.release/pdf/ecec.pdf</w:t>
        </w:r>
      </w:hyperlink>
      <w:r w:rsidR="00FD5052">
        <w:t>.</w:t>
      </w:r>
      <w:r w:rsidRPr="003617FA">
        <w:t xml:space="preserve">)  Therefore, the estimated total annual wage cost for </w:t>
      </w:r>
      <w:r w:rsidR="00BD5A6A">
        <w:t>s</w:t>
      </w:r>
      <w:r w:rsidRPr="003617FA">
        <w:t xml:space="preserve">tate </w:t>
      </w:r>
      <w:r w:rsidR="00BD5A6A">
        <w:t xml:space="preserve">and tribal </w:t>
      </w:r>
      <w:r w:rsidRPr="003617FA">
        <w:t xml:space="preserve">authorities </w:t>
      </w:r>
      <w:r w:rsidR="00094AB8">
        <w:t>is as follows:</w:t>
      </w:r>
      <w:r w:rsidRPr="003E6027">
        <w:rPr>
          <w:rFonts w:cs="Arial"/>
        </w:rPr>
        <w:t xml:space="preserve"> </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OSM-47 — At $</w:t>
      </w:r>
      <w:r w:rsidR="00BD5A6A">
        <w:rPr>
          <w:sz w:val="24"/>
          <w:szCs w:val="24"/>
        </w:rPr>
        <w:t>4</w:t>
      </w:r>
      <w:r w:rsidR="00FD5052">
        <w:rPr>
          <w:sz w:val="24"/>
          <w:szCs w:val="24"/>
        </w:rPr>
        <w:t>2</w:t>
      </w:r>
      <w:r w:rsidRPr="003E48D9">
        <w:rPr>
          <w:sz w:val="24"/>
          <w:szCs w:val="24"/>
        </w:rPr>
        <w:t xml:space="preserve">/hour, the annual cost for each respondent would be </w:t>
      </w:r>
      <w:r w:rsidR="005E6E99">
        <w:rPr>
          <w:sz w:val="24"/>
          <w:szCs w:val="24"/>
        </w:rPr>
        <w:t>7</w:t>
      </w:r>
      <w:r w:rsidRPr="003E48D9">
        <w:rPr>
          <w:sz w:val="24"/>
          <w:szCs w:val="24"/>
        </w:rPr>
        <w:t xml:space="preserve"> hours x $</w:t>
      </w:r>
      <w:r w:rsidR="00BD5A6A">
        <w:rPr>
          <w:sz w:val="24"/>
          <w:szCs w:val="24"/>
        </w:rPr>
        <w:t>4</w:t>
      </w:r>
      <w:r w:rsidR="00FD5052">
        <w:rPr>
          <w:sz w:val="24"/>
          <w:szCs w:val="24"/>
        </w:rPr>
        <w:t>2</w:t>
      </w:r>
      <w:r w:rsidRPr="003E48D9">
        <w:rPr>
          <w:sz w:val="24"/>
          <w:szCs w:val="24"/>
        </w:rPr>
        <w:t xml:space="preserve"> = $</w:t>
      </w:r>
      <w:r w:rsidR="005E6E99">
        <w:rPr>
          <w:sz w:val="24"/>
          <w:szCs w:val="24"/>
        </w:rPr>
        <w:t>2</w:t>
      </w:r>
      <w:r w:rsidR="00FD5052">
        <w:rPr>
          <w:sz w:val="24"/>
          <w:szCs w:val="24"/>
        </w:rPr>
        <w:t>94</w:t>
      </w:r>
      <w:r w:rsidR="00514D5E" w:rsidRPr="003E48D9">
        <w:rPr>
          <w:sz w:val="24"/>
          <w:szCs w:val="24"/>
        </w:rPr>
        <w:t>.</w:t>
      </w:r>
      <w:r w:rsidRPr="003E48D9">
        <w:rPr>
          <w:sz w:val="24"/>
          <w:szCs w:val="24"/>
        </w:rPr>
        <w:t xml:space="preserve">  The total cos</w:t>
      </w:r>
      <w:r w:rsidR="00F81A9D">
        <w:rPr>
          <w:sz w:val="24"/>
          <w:szCs w:val="24"/>
        </w:rPr>
        <w:t xml:space="preserve">t for all respondents would be </w:t>
      </w:r>
      <w:r w:rsidR="005E6E99">
        <w:rPr>
          <w:sz w:val="24"/>
          <w:szCs w:val="24"/>
        </w:rPr>
        <w:t>189</w:t>
      </w:r>
      <w:r w:rsidRPr="003E48D9">
        <w:rPr>
          <w:sz w:val="24"/>
          <w:szCs w:val="24"/>
        </w:rPr>
        <w:t xml:space="preserve"> hours x $</w:t>
      </w:r>
      <w:r w:rsidR="00BD5A6A">
        <w:rPr>
          <w:sz w:val="24"/>
          <w:szCs w:val="24"/>
        </w:rPr>
        <w:t>4</w:t>
      </w:r>
      <w:r w:rsidR="00FD5052">
        <w:rPr>
          <w:sz w:val="24"/>
          <w:szCs w:val="24"/>
        </w:rPr>
        <w:t>2</w:t>
      </w:r>
      <w:r w:rsidRPr="003E48D9">
        <w:rPr>
          <w:sz w:val="24"/>
          <w:szCs w:val="24"/>
        </w:rPr>
        <w:t>/hour = $</w:t>
      </w:r>
      <w:r w:rsidR="005E6E99">
        <w:rPr>
          <w:sz w:val="24"/>
          <w:szCs w:val="24"/>
        </w:rPr>
        <w:t>7</w:t>
      </w:r>
      <w:r w:rsidR="001A59DD">
        <w:rPr>
          <w:sz w:val="24"/>
          <w:szCs w:val="24"/>
        </w:rPr>
        <w:t>,</w:t>
      </w:r>
      <w:r w:rsidR="00FD5052">
        <w:rPr>
          <w:sz w:val="24"/>
          <w:szCs w:val="24"/>
        </w:rPr>
        <w:t>938</w:t>
      </w:r>
      <w:r w:rsidRPr="003E48D9">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5E6E99">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OSM-49 — At $</w:t>
      </w:r>
      <w:r w:rsidR="00BD5A6A">
        <w:rPr>
          <w:sz w:val="24"/>
          <w:szCs w:val="24"/>
        </w:rPr>
        <w:t>4</w:t>
      </w:r>
      <w:r w:rsidR="00FD5052">
        <w:rPr>
          <w:sz w:val="24"/>
          <w:szCs w:val="24"/>
        </w:rPr>
        <w:t>2</w:t>
      </w:r>
      <w:r w:rsidRPr="003E48D9">
        <w:rPr>
          <w:sz w:val="24"/>
          <w:szCs w:val="24"/>
        </w:rPr>
        <w:t xml:space="preserve">/hour, the annual cost for each respondent would be </w:t>
      </w:r>
      <w:r w:rsidR="00F81A9D">
        <w:rPr>
          <w:sz w:val="24"/>
          <w:szCs w:val="24"/>
        </w:rPr>
        <w:t>3</w:t>
      </w:r>
      <w:r w:rsidR="005F06B5" w:rsidRPr="003E48D9">
        <w:rPr>
          <w:sz w:val="24"/>
          <w:szCs w:val="24"/>
        </w:rPr>
        <w:t xml:space="preserve"> </w:t>
      </w:r>
      <w:r w:rsidRPr="003E48D9">
        <w:rPr>
          <w:sz w:val="24"/>
          <w:szCs w:val="24"/>
        </w:rPr>
        <w:t>hours x $</w:t>
      </w:r>
      <w:r w:rsidR="00BD5A6A">
        <w:rPr>
          <w:sz w:val="24"/>
          <w:szCs w:val="24"/>
        </w:rPr>
        <w:t>4</w:t>
      </w:r>
      <w:r w:rsidR="00FD5052">
        <w:rPr>
          <w:sz w:val="24"/>
          <w:szCs w:val="24"/>
        </w:rPr>
        <w:t>2</w:t>
      </w:r>
      <w:r w:rsidRPr="003E48D9">
        <w:rPr>
          <w:sz w:val="24"/>
          <w:szCs w:val="24"/>
        </w:rPr>
        <w:t xml:space="preserve"> = $</w:t>
      </w:r>
      <w:r w:rsidR="00094AB8">
        <w:rPr>
          <w:sz w:val="24"/>
          <w:szCs w:val="24"/>
        </w:rPr>
        <w:t>1</w:t>
      </w:r>
      <w:r w:rsidR="00BD5A6A">
        <w:rPr>
          <w:sz w:val="24"/>
          <w:szCs w:val="24"/>
        </w:rPr>
        <w:t>2</w:t>
      </w:r>
      <w:r w:rsidR="00FD5052">
        <w:rPr>
          <w:sz w:val="24"/>
          <w:szCs w:val="24"/>
        </w:rPr>
        <w:t>6</w:t>
      </w:r>
      <w:r w:rsidR="00B75823" w:rsidRPr="003E48D9">
        <w:rPr>
          <w:sz w:val="24"/>
          <w:szCs w:val="24"/>
        </w:rPr>
        <w:t>.  The to</w:t>
      </w:r>
      <w:r w:rsidRPr="003E48D9">
        <w:rPr>
          <w:sz w:val="24"/>
          <w:szCs w:val="24"/>
        </w:rPr>
        <w:t xml:space="preserve">tal cost for all respondents would be </w:t>
      </w:r>
      <w:r w:rsidR="00F81A9D">
        <w:rPr>
          <w:sz w:val="24"/>
          <w:szCs w:val="24"/>
        </w:rPr>
        <w:t>1</w:t>
      </w:r>
      <w:r w:rsidR="005E6E99">
        <w:rPr>
          <w:sz w:val="24"/>
          <w:szCs w:val="24"/>
        </w:rPr>
        <w:t>6</w:t>
      </w:r>
      <w:r w:rsidR="00FD5052">
        <w:rPr>
          <w:sz w:val="24"/>
          <w:szCs w:val="24"/>
        </w:rPr>
        <w:t>8</w:t>
      </w:r>
      <w:r w:rsidRPr="003E48D9">
        <w:rPr>
          <w:sz w:val="24"/>
          <w:szCs w:val="24"/>
        </w:rPr>
        <w:t xml:space="preserve"> hours x $</w:t>
      </w:r>
      <w:r w:rsidR="00BD5A6A">
        <w:rPr>
          <w:sz w:val="24"/>
          <w:szCs w:val="24"/>
        </w:rPr>
        <w:t>4</w:t>
      </w:r>
      <w:r w:rsidR="00FD5052">
        <w:rPr>
          <w:sz w:val="24"/>
          <w:szCs w:val="24"/>
        </w:rPr>
        <w:t>2</w:t>
      </w:r>
      <w:r w:rsidRPr="003E48D9">
        <w:rPr>
          <w:sz w:val="24"/>
          <w:szCs w:val="24"/>
        </w:rPr>
        <w:t>/hour = $</w:t>
      </w:r>
      <w:r w:rsidR="00FD5052">
        <w:rPr>
          <w:sz w:val="24"/>
          <w:szCs w:val="24"/>
        </w:rPr>
        <w:t>7</w:t>
      </w:r>
      <w:r w:rsidR="001A59DD">
        <w:rPr>
          <w:sz w:val="24"/>
          <w:szCs w:val="24"/>
        </w:rPr>
        <w:t>,</w:t>
      </w:r>
      <w:r w:rsidR="00FD5052">
        <w:rPr>
          <w:sz w:val="24"/>
          <w:szCs w:val="24"/>
        </w:rPr>
        <w:t>056</w:t>
      </w:r>
      <w:r w:rsidR="00484CA1" w:rsidRPr="003E48D9">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OSM-51 — At $</w:t>
      </w:r>
      <w:r w:rsidR="00BD5A6A">
        <w:rPr>
          <w:sz w:val="24"/>
          <w:szCs w:val="24"/>
        </w:rPr>
        <w:t>4</w:t>
      </w:r>
      <w:r w:rsidR="00FD5052">
        <w:rPr>
          <w:sz w:val="24"/>
          <w:szCs w:val="24"/>
        </w:rPr>
        <w:t>2</w:t>
      </w:r>
      <w:r w:rsidRPr="003E48D9">
        <w:rPr>
          <w:sz w:val="24"/>
          <w:szCs w:val="24"/>
        </w:rPr>
        <w:t xml:space="preserve">/hour, the annual cost for each respondent would be </w:t>
      </w:r>
      <w:r w:rsidR="00F81A9D">
        <w:rPr>
          <w:sz w:val="24"/>
          <w:szCs w:val="24"/>
        </w:rPr>
        <w:t>10</w:t>
      </w:r>
      <w:r w:rsidRPr="003E48D9">
        <w:rPr>
          <w:sz w:val="24"/>
          <w:szCs w:val="24"/>
        </w:rPr>
        <w:t xml:space="preserve"> hours x $</w:t>
      </w:r>
      <w:r w:rsidR="00BD5A6A">
        <w:rPr>
          <w:sz w:val="24"/>
          <w:szCs w:val="24"/>
        </w:rPr>
        <w:t>4</w:t>
      </w:r>
      <w:r w:rsidR="00FD5052">
        <w:rPr>
          <w:sz w:val="24"/>
          <w:szCs w:val="24"/>
        </w:rPr>
        <w:t>2</w:t>
      </w:r>
      <w:r w:rsidRPr="003E48D9">
        <w:rPr>
          <w:sz w:val="24"/>
          <w:szCs w:val="24"/>
        </w:rPr>
        <w:t xml:space="preserve"> = $</w:t>
      </w:r>
      <w:r w:rsidR="00BD5A6A">
        <w:rPr>
          <w:sz w:val="24"/>
          <w:szCs w:val="24"/>
        </w:rPr>
        <w:t>4</w:t>
      </w:r>
      <w:r w:rsidR="00FD5052">
        <w:rPr>
          <w:sz w:val="24"/>
          <w:szCs w:val="24"/>
        </w:rPr>
        <w:t>2</w:t>
      </w:r>
      <w:r w:rsidR="00BD5A6A">
        <w:rPr>
          <w:sz w:val="24"/>
          <w:szCs w:val="24"/>
        </w:rPr>
        <w:t>0</w:t>
      </w:r>
      <w:r w:rsidR="00B75823" w:rsidRPr="003E48D9">
        <w:rPr>
          <w:sz w:val="24"/>
          <w:szCs w:val="24"/>
        </w:rPr>
        <w:t xml:space="preserve">. </w:t>
      </w:r>
      <w:r w:rsidRPr="003E48D9">
        <w:rPr>
          <w:sz w:val="24"/>
          <w:szCs w:val="24"/>
        </w:rPr>
        <w:t xml:space="preserve"> The total cost for all respondents would be </w:t>
      </w:r>
      <w:r w:rsidR="00F81A9D">
        <w:rPr>
          <w:sz w:val="24"/>
          <w:szCs w:val="24"/>
        </w:rPr>
        <w:t>5</w:t>
      </w:r>
      <w:r w:rsidR="00FD5052">
        <w:rPr>
          <w:sz w:val="24"/>
          <w:szCs w:val="24"/>
        </w:rPr>
        <w:t>6</w:t>
      </w:r>
      <w:r w:rsidR="00F81A9D">
        <w:rPr>
          <w:sz w:val="24"/>
          <w:szCs w:val="24"/>
        </w:rPr>
        <w:t>0</w:t>
      </w:r>
      <w:r w:rsidR="00094AB8">
        <w:rPr>
          <w:sz w:val="24"/>
          <w:szCs w:val="24"/>
        </w:rPr>
        <w:t xml:space="preserve"> hours x $</w:t>
      </w:r>
      <w:r w:rsidR="00BD5A6A">
        <w:rPr>
          <w:sz w:val="24"/>
          <w:szCs w:val="24"/>
        </w:rPr>
        <w:t>4</w:t>
      </w:r>
      <w:r w:rsidR="00FD5052">
        <w:rPr>
          <w:sz w:val="24"/>
          <w:szCs w:val="24"/>
        </w:rPr>
        <w:t>2</w:t>
      </w:r>
      <w:r w:rsidR="00094AB8">
        <w:rPr>
          <w:sz w:val="24"/>
          <w:szCs w:val="24"/>
        </w:rPr>
        <w:t>/hour</w:t>
      </w:r>
      <w:r w:rsidRPr="003E48D9">
        <w:rPr>
          <w:sz w:val="24"/>
          <w:szCs w:val="24"/>
        </w:rPr>
        <w:t xml:space="preserve"> = $</w:t>
      </w:r>
      <w:r w:rsidR="005E6E99">
        <w:rPr>
          <w:sz w:val="24"/>
          <w:szCs w:val="24"/>
        </w:rPr>
        <w:t>2</w:t>
      </w:r>
      <w:r w:rsidR="00FD5052">
        <w:rPr>
          <w:sz w:val="24"/>
          <w:szCs w:val="24"/>
        </w:rPr>
        <w:t>3</w:t>
      </w:r>
      <w:r w:rsidR="001A59DD">
        <w:rPr>
          <w:sz w:val="24"/>
          <w:szCs w:val="24"/>
        </w:rPr>
        <w:t>,</w:t>
      </w:r>
      <w:r w:rsidR="00FD5052">
        <w:rPr>
          <w:sz w:val="24"/>
          <w:szCs w:val="24"/>
        </w:rPr>
        <w:t>520</w:t>
      </w:r>
      <w:r w:rsidRPr="003E48D9">
        <w:rPr>
          <w:sz w:val="24"/>
          <w:szCs w:val="24"/>
        </w:rPr>
        <w:t>.</w:t>
      </w:r>
    </w:p>
    <w:p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rPr>
      </w:pPr>
      <w:r w:rsidRPr="003E48D9">
        <w:rPr>
          <w:sz w:val="24"/>
          <w:szCs w:val="24"/>
        </w:rPr>
        <w:t xml:space="preserve"> </w:t>
      </w:r>
      <w:r w:rsidRPr="003E48D9">
        <w:rPr>
          <w:sz w:val="24"/>
          <w:szCs w:val="24"/>
        </w:rPr>
        <w:tab/>
      </w:r>
      <w:r w:rsidRPr="003E48D9">
        <w:rPr>
          <w:sz w:val="24"/>
        </w:rPr>
        <w:t>•</w:t>
      </w:r>
      <w:r w:rsidRPr="003E48D9">
        <w:rPr>
          <w:sz w:val="24"/>
        </w:rPr>
        <w:tab/>
        <w:t xml:space="preserve">735.11 — </w:t>
      </w:r>
      <w:r w:rsidR="002E6799">
        <w:rPr>
          <w:sz w:val="24"/>
        </w:rPr>
        <w:t>At $</w:t>
      </w:r>
      <w:r w:rsidR="00FD5052">
        <w:rPr>
          <w:sz w:val="24"/>
        </w:rPr>
        <w:t>82</w:t>
      </w:r>
      <w:r w:rsidR="002E6799">
        <w:rPr>
          <w:sz w:val="24"/>
        </w:rPr>
        <w:t xml:space="preserve">/hour for a chief executive to prepare and submit </w:t>
      </w:r>
      <w:r w:rsidRPr="003E48D9">
        <w:rPr>
          <w:sz w:val="24"/>
        </w:rPr>
        <w:t xml:space="preserve">a notice from the Governor of a </w:t>
      </w:r>
      <w:r w:rsidR="00FD5052">
        <w:rPr>
          <w:sz w:val="24"/>
        </w:rPr>
        <w:t>s</w:t>
      </w:r>
      <w:r w:rsidRPr="003E48D9">
        <w:rPr>
          <w:sz w:val="24"/>
        </w:rPr>
        <w:t xml:space="preserve">tate identifying the agency responsible for grant funds will </w:t>
      </w:r>
      <w:r w:rsidRPr="003E48D9">
        <w:rPr>
          <w:sz w:val="24"/>
        </w:rPr>
        <w:lastRenderedPageBreak/>
        <w:t>require 1</w:t>
      </w:r>
      <w:r w:rsidR="00DA662C">
        <w:rPr>
          <w:sz w:val="24"/>
        </w:rPr>
        <w:t xml:space="preserve"> hour</w:t>
      </w:r>
      <w:r w:rsidRPr="003E48D9">
        <w:rPr>
          <w:sz w:val="24"/>
        </w:rPr>
        <w:t xml:space="preserve"> annually x $</w:t>
      </w:r>
      <w:r w:rsidR="00FD5052">
        <w:rPr>
          <w:sz w:val="24"/>
        </w:rPr>
        <w:t>82</w:t>
      </w:r>
      <w:r w:rsidRPr="003E48D9">
        <w:rPr>
          <w:sz w:val="24"/>
        </w:rPr>
        <w:t xml:space="preserve"> per hour or $</w:t>
      </w:r>
      <w:r w:rsidR="00FD5052">
        <w:rPr>
          <w:sz w:val="24"/>
        </w:rPr>
        <w:t>82</w:t>
      </w:r>
      <w:r w:rsidRPr="003E48D9">
        <w:rPr>
          <w:sz w:val="24"/>
        </w:rPr>
        <w:t>.</w:t>
      </w:r>
    </w:p>
    <w:p w:rsidR="00A50DF5" w:rsidRPr="003E48D9" w:rsidRDefault="00A50DF5">
      <w:pPr>
        <w:tabs>
          <w:tab w:val="left" w:pos="-1080"/>
          <w:tab w:val="left" w:pos="-72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The total estimated annualized cost for th</w:t>
      </w:r>
      <w:r w:rsidR="005F06B5" w:rsidRPr="003E48D9">
        <w:rPr>
          <w:sz w:val="24"/>
          <w:szCs w:val="24"/>
        </w:rPr>
        <w:t xml:space="preserve">is collection request </w:t>
      </w:r>
      <w:r w:rsidRPr="003E48D9">
        <w:rPr>
          <w:sz w:val="24"/>
          <w:szCs w:val="24"/>
        </w:rPr>
        <w:t xml:space="preserve">is </w:t>
      </w:r>
      <w:r w:rsidR="005F06B5" w:rsidRPr="003E48D9">
        <w:rPr>
          <w:sz w:val="24"/>
          <w:szCs w:val="24"/>
        </w:rPr>
        <w:t>$</w:t>
      </w:r>
      <w:r w:rsidR="00FD5052">
        <w:rPr>
          <w:sz w:val="24"/>
          <w:szCs w:val="24"/>
        </w:rPr>
        <w:t>46</w:t>
      </w:r>
      <w:r w:rsidR="001A59DD" w:rsidRPr="003E48D9">
        <w:rPr>
          <w:sz w:val="24"/>
          <w:szCs w:val="24"/>
        </w:rPr>
        <w:t>,</w:t>
      </w:r>
      <w:r w:rsidR="00FD5052">
        <w:rPr>
          <w:sz w:val="24"/>
          <w:szCs w:val="24"/>
        </w:rPr>
        <w:t>534</w:t>
      </w:r>
      <w:r w:rsidR="001E5B6E" w:rsidRPr="003E48D9">
        <w:rPr>
          <w:sz w:val="24"/>
          <w:szCs w:val="24"/>
        </w:rPr>
        <w:t>.</w:t>
      </w:r>
    </w:p>
    <w:p w:rsidR="003E476F" w:rsidRDefault="003E476F">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13.</w:t>
      </w:r>
      <w:r w:rsidRPr="00104D90">
        <w:rPr>
          <w:b/>
          <w:i/>
          <w:sz w:val="24"/>
          <w:szCs w:val="24"/>
        </w:rPr>
        <w:tab/>
        <w:t>Provide an estimate of the total annual non-hour cost burden to respondents or recordkeepers resulting from the collection of information.  (Do not include the cost of any hour burden already reflected in item 12.)</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5361" w:rsidRDefault="00835361">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720C9" w:rsidRDefault="00A50DF5">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 xml:space="preserve">Not applicable.  </w:t>
      </w:r>
      <w:r w:rsidR="00BD5A6A">
        <w:rPr>
          <w:sz w:val="24"/>
          <w:szCs w:val="24"/>
        </w:rPr>
        <w:t>There are no costs incurred beyond the hourly wage costs and grants provided to the states and tribes authorized by law.</w:t>
      </w:r>
    </w:p>
    <w:p w:rsidR="00BD5A6A" w:rsidRDefault="00BD5A6A">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35361" w:rsidRPr="009518E0" w:rsidRDefault="00835361" w:rsidP="0083536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Pr>
          <w:b/>
          <w:bCs/>
          <w:sz w:val="24"/>
          <w:szCs w:val="24"/>
        </w:rPr>
        <w:t>Estimate of Cost to the Federal Government</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00BD5A6A" w:rsidRPr="00BD5A6A">
        <w:rPr>
          <w:sz w:val="24"/>
          <w:szCs w:val="24"/>
          <w:u w:val="single"/>
        </w:rPr>
        <w:t>Oversight</w:t>
      </w:r>
      <w:r w:rsidR="00BD5A6A">
        <w:rPr>
          <w:sz w:val="24"/>
          <w:szCs w:val="24"/>
        </w:rPr>
        <w:t xml:space="preserve">:  </w:t>
      </w:r>
      <w:r>
        <w:rPr>
          <w:sz w:val="24"/>
          <w:szCs w:val="24"/>
        </w:rPr>
        <w:t>OSM</w:t>
      </w:r>
      <w:r w:rsidR="00C351B2">
        <w:rPr>
          <w:sz w:val="24"/>
          <w:szCs w:val="24"/>
        </w:rPr>
        <w:t>RE</w:t>
      </w:r>
      <w:r>
        <w:rPr>
          <w:sz w:val="24"/>
          <w:szCs w:val="24"/>
        </w:rPr>
        <w:t xml:space="preserve"> will review all budgetary information submitted by participating </w:t>
      </w:r>
      <w:r w:rsidR="00981C67">
        <w:rPr>
          <w:sz w:val="24"/>
          <w:szCs w:val="24"/>
        </w:rPr>
        <w:t>states and Indian t</w:t>
      </w:r>
      <w:r>
        <w:rPr>
          <w:sz w:val="24"/>
          <w:szCs w:val="24"/>
        </w:rPr>
        <w:t>ribes.  This review will assure OSM</w:t>
      </w:r>
      <w:r w:rsidR="00FD5052">
        <w:rPr>
          <w:sz w:val="24"/>
          <w:szCs w:val="24"/>
        </w:rPr>
        <w:t>RE</w:t>
      </w:r>
      <w:r>
        <w:rPr>
          <w:sz w:val="24"/>
          <w:szCs w:val="24"/>
        </w:rPr>
        <w:t xml:space="preserve"> that adequate information is available to formulate its request to Congress for appropriation of monies for reclamation grants.</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5A0B43" w:rsidRPr="00EA7D62" w:rsidRDefault="00A50DF5"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0E5B8C">
        <w:rPr>
          <w:sz w:val="24"/>
          <w:szCs w:val="24"/>
        </w:rPr>
        <w:t>OSM</w:t>
      </w:r>
      <w:r w:rsidR="00C351B2">
        <w:rPr>
          <w:sz w:val="24"/>
          <w:szCs w:val="24"/>
        </w:rPr>
        <w:t>RE</w:t>
      </w:r>
      <w:r w:rsidRPr="000E5B8C">
        <w:rPr>
          <w:sz w:val="24"/>
          <w:szCs w:val="24"/>
        </w:rPr>
        <w:t xml:space="preserve"> estimates that it will take approximately </w:t>
      </w:r>
      <w:r w:rsidR="00667C97">
        <w:rPr>
          <w:sz w:val="24"/>
          <w:szCs w:val="24"/>
        </w:rPr>
        <w:t>one</w:t>
      </w:r>
      <w:r w:rsidRPr="000E5B8C">
        <w:rPr>
          <w:sz w:val="24"/>
          <w:szCs w:val="24"/>
        </w:rPr>
        <w:t xml:space="preserve"> hour to review each </w:t>
      </w:r>
      <w:r w:rsidR="00E03D70">
        <w:rPr>
          <w:sz w:val="24"/>
          <w:szCs w:val="24"/>
        </w:rPr>
        <w:t xml:space="preserve">document by </w:t>
      </w:r>
      <w:r w:rsidR="000E5B8C" w:rsidRPr="000E5B8C">
        <w:rPr>
          <w:rFonts w:cs="Arial"/>
          <w:sz w:val="24"/>
          <w:szCs w:val="24"/>
        </w:rPr>
        <w:t>a</w:t>
      </w:r>
      <w:r w:rsidR="00E03D70">
        <w:rPr>
          <w:rFonts w:cs="Arial"/>
          <w:sz w:val="24"/>
          <w:szCs w:val="24"/>
        </w:rPr>
        <w:t xml:space="preserve"> G</w:t>
      </w:r>
      <w:r w:rsidR="000E5B8C" w:rsidRPr="000E5B8C">
        <w:rPr>
          <w:rFonts w:cs="Arial"/>
          <w:sz w:val="24"/>
          <w:szCs w:val="24"/>
        </w:rPr>
        <w:t>S 1</w:t>
      </w:r>
      <w:r w:rsidR="00667C97">
        <w:rPr>
          <w:rFonts w:cs="Arial"/>
          <w:sz w:val="24"/>
          <w:szCs w:val="24"/>
        </w:rPr>
        <w:t>3</w:t>
      </w:r>
      <w:r w:rsidR="000E5B8C" w:rsidRPr="000E5B8C">
        <w:rPr>
          <w:rFonts w:cs="Arial"/>
          <w:sz w:val="24"/>
          <w:szCs w:val="24"/>
        </w:rPr>
        <w:t xml:space="preserve">/5 </w:t>
      </w:r>
      <w:r w:rsidR="000E5B8C">
        <w:rPr>
          <w:rFonts w:cs="Arial"/>
          <w:sz w:val="24"/>
          <w:szCs w:val="24"/>
        </w:rPr>
        <w:t xml:space="preserve">grant specialist </w:t>
      </w:r>
      <w:r w:rsidR="000E5B8C" w:rsidRPr="000E5B8C">
        <w:rPr>
          <w:rFonts w:cs="Arial"/>
          <w:sz w:val="24"/>
          <w:szCs w:val="24"/>
        </w:rPr>
        <w:t>at $</w:t>
      </w:r>
      <w:r w:rsidR="005A0B43">
        <w:rPr>
          <w:rFonts w:cs="Arial"/>
          <w:sz w:val="24"/>
          <w:szCs w:val="24"/>
        </w:rPr>
        <w:t>7</w:t>
      </w:r>
      <w:r w:rsidR="00FD5052">
        <w:rPr>
          <w:rFonts w:cs="Arial"/>
          <w:sz w:val="24"/>
          <w:szCs w:val="24"/>
        </w:rPr>
        <w:t>4</w:t>
      </w:r>
      <w:r w:rsidR="000E5B8C" w:rsidRPr="000E5B8C">
        <w:rPr>
          <w:rFonts w:cs="Arial"/>
          <w:sz w:val="24"/>
          <w:szCs w:val="24"/>
        </w:rPr>
        <w:t xml:space="preserve"> per hour (</w:t>
      </w:r>
      <w:r w:rsidR="005A0B43">
        <w:rPr>
          <w:rFonts w:cs="Arial"/>
          <w:sz w:val="24"/>
          <w:szCs w:val="24"/>
        </w:rPr>
        <w:t xml:space="preserve">OSM used hourly burden estimates based on OPM salary tables at </w:t>
      </w:r>
      <w:hyperlink r:id="rId11" w:history="1">
        <w:r w:rsidR="00EA7D62" w:rsidRPr="00610A84">
          <w:rPr>
            <w:rStyle w:val="Hyperlink"/>
            <w:rFonts w:cs="Arial"/>
            <w:sz w:val="24"/>
            <w:szCs w:val="24"/>
          </w:rPr>
          <w:t>http://www.opm.gov/oca/15tables/indexGS.asp</w:t>
        </w:r>
      </w:hyperlink>
      <w:r w:rsidR="005A0B43">
        <w:t xml:space="preserve"> </w:t>
      </w:r>
      <w:r w:rsidR="005A0B43" w:rsidRPr="005A0B43">
        <w:rPr>
          <w:sz w:val="24"/>
          <w:szCs w:val="24"/>
        </w:rPr>
        <w:t xml:space="preserve">for </w:t>
      </w:r>
      <w:r w:rsidR="00EA7D62">
        <w:rPr>
          <w:sz w:val="24"/>
          <w:szCs w:val="24"/>
        </w:rPr>
        <w:t xml:space="preserve">the Washington, DC </w:t>
      </w:r>
      <w:r w:rsidR="00EA7D62" w:rsidRPr="00EA7D62">
        <w:rPr>
          <w:sz w:val="24"/>
          <w:szCs w:val="24"/>
        </w:rPr>
        <w:t>metropolitan area</w:t>
      </w:r>
      <w:r w:rsidR="005A0B43" w:rsidRPr="00EA7D62">
        <w:rPr>
          <w:sz w:val="24"/>
          <w:szCs w:val="24"/>
        </w:rPr>
        <w:t xml:space="preserve">, and included benefits of 1.5 as implied by BLS news release </w:t>
      </w:r>
      <w:r w:rsidR="00EA7D62" w:rsidRPr="00EA7D62">
        <w:rPr>
          <w:rFonts w:cs="Arial"/>
          <w:sz w:val="24"/>
          <w:szCs w:val="24"/>
        </w:rPr>
        <w:t xml:space="preserve">USDL-14-2208, </w:t>
      </w:r>
      <w:r w:rsidR="00EA7D62">
        <w:rPr>
          <w:rFonts w:cs="Arial"/>
          <w:sz w:val="24"/>
          <w:szCs w:val="24"/>
        </w:rPr>
        <w:t>dated December 10, 2015</w:t>
      </w:r>
      <w:r w:rsidR="005A0B43" w:rsidRPr="00EA7D62">
        <w:rPr>
          <w:sz w:val="24"/>
          <w:szCs w:val="24"/>
        </w:rPr>
        <w:t>).</w:t>
      </w:r>
    </w:p>
    <w:p w:rsidR="005A0B43" w:rsidRPr="00EA7D62"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RDefault="005A0B43" w:rsidP="000E5B8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r w:rsidRPr="00EA7D62">
        <w:rPr>
          <w:rFonts w:cs="Arial"/>
          <w:sz w:val="24"/>
          <w:szCs w:val="24"/>
        </w:rPr>
        <w:t>At $7</w:t>
      </w:r>
      <w:r w:rsidR="00EA7D62">
        <w:rPr>
          <w:rFonts w:cs="Arial"/>
          <w:sz w:val="24"/>
          <w:szCs w:val="24"/>
        </w:rPr>
        <w:t>4</w:t>
      </w:r>
      <w:r w:rsidRPr="00EA7D62">
        <w:rPr>
          <w:rFonts w:cs="Arial"/>
          <w:sz w:val="24"/>
          <w:szCs w:val="24"/>
        </w:rPr>
        <w:t xml:space="preserve"> per hour x 1</w:t>
      </w:r>
      <w:r w:rsidR="00EA7D62">
        <w:rPr>
          <w:rFonts w:cs="Arial"/>
          <w:sz w:val="24"/>
          <w:szCs w:val="24"/>
        </w:rPr>
        <w:t>40</w:t>
      </w:r>
      <w:r w:rsidRPr="00EA7D62">
        <w:rPr>
          <w:rFonts w:cs="Arial"/>
          <w:sz w:val="24"/>
          <w:szCs w:val="24"/>
        </w:rPr>
        <w:t xml:space="preserve"> hours to conduct</w:t>
      </w:r>
      <w:r>
        <w:rPr>
          <w:rFonts w:cs="Arial"/>
          <w:sz w:val="24"/>
          <w:szCs w:val="24"/>
        </w:rPr>
        <w:t xml:space="preserve"> oversight = $</w:t>
      </w:r>
      <w:r w:rsidR="00EA7D62">
        <w:rPr>
          <w:rFonts w:cs="Arial"/>
          <w:sz w:val="24"/>
          <w:szCs w:val="24"/>
        </w:rPr>
        <w:t>10</w:t>
      </w:r>
      <w:r>
        <w:rPr>
          <w:rFonts w:cs="Arial"/>
          <w:sz w:val="24"/>
          <w:szCs w:val="24"/>
        </w:rPr>
        <w:t>,</w:t>
      </w:r>
      <w:r w:rsidR="00EA7D62">
        <w:rPr>
          <w:rFonts w:cs="Arial"/>
          <w:sz w:val="24"/>
          <w:szCs w:val="24"/>
        </w:rPr>
        <w:t>360</w:t>
      </w:r>
      <w:r>
        <w:rPr>
          <w:rFonts w:cs="Arial"/>
          <w:sz w:val="24"/>
          <w:szCs w:val="24"/>
        </w:rPr>
        <w:t>.</w:t>
      </w:r>
    </w:p>
    <w:p w:rsidR="005A0B43" w:rsidRDefault="005A0B43" w:rsidP="000E5B8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p>
    <w:p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rFonts w:cs="Arial"/>
          <w:sz w:val="24"/>
          <w:szCs w:val="24"/>
          <w:u w:val="single"/>
        </w:rPr>
        <w:t>Federal Programs:</w:t>
      </w:r>
      <w:r w:rsidR="000E5B8C" w:rsidRPr="000E5B8C">
        <w:rPr>
          <w:rFonts w:cs="Arial"/>
          <w:sz w:val="24"/>
          <w:szCs w:val="24"/>
        </w:rPr>
        <w:t xml:space="preserve"> </w:t>
      </w:r>
      <w:r>
        <w:rPr>
          <w:rFonts w:cs="Arial"/>
          <w:sz w:val="24"/>
          <w:szCs w:val="24"/>
        </w:rPr>
        <w:t xml:space="preserve"> In Tennessee where OSM</w:t>
      </w:r>
      <w:r w:rsidR="00C351B2">
        <w:rPr>
          <w:rFonts w:cs="Arial"/>
          <w:sz w:val="24"/>
          <w:szCs w:val="24"/>
        </w:rPr>
        <w:t>RE</w:t>
      </w:r>
      <w:r>
        <w:rPr>
          <w:rFonts w:cs="Arial"/>
          <w:sz w:val="24"/>
          <w:szCs w:val="24"/>
        </w:rPr>
        <w:t xml:space="preserve"> is the regulatory authority, we also complete forms O</w:t>
      </w:r>
      <w:r w:rsidR="00A50DF5">
        <w:rPr>
          <w:sz w:val="24"/>
          <w:szCs w:val="24"/>
        </w:rPr>
        <w:t>SM</w:t>
      </w:r>
      <w:r>
        <w:rPr>
          <w:sz w:val="24"/>
          <w:szCs w:val="24"/>
        </w:rPr>
        <w:t>-</w:t>
      </w:r>
      <w:r w:rsidR="00A50DF5">
        <w:rPr>
          <w:sz w:val="24"/>
          <w:szCs w:val="24"/>
        </w:rPr>
        <w:t>49</w:t>
      </w:r>
      <w:r>
        <w:rPr>
          <w:sz w:val="24"/>
          <w:szCs w:val="24"/>
        </w:rPr>
        <w:t xml:space="preserve"> and </w:t>
      </w:r>
      <w:r w:rsidR="00A50DF5">
        <w:rPr>
          <w:sz w:val="24"/>
          <w:szCs w:val="24"/>
        </w:rPr>
        <w:t>OSM-51</w:t>
      </w:r>
      <w:r>
        <w:rPr>
          <w:sz w:val="24"/>
          <w:szCs w:val="24"/>
        </w:rPr>
        <w:t xml:space="preserve"> to report and receive AML grant funding.</w:t>
      </w:r>
    </w:p>
    <w:p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w:t>
      </w:r>
      <w:r w:rsidR="00C351B2">
        <w:rPr>
          <w:sz w:val="24"/>
          <w:szCs w:val="24"/>
        </w:rPr>
        <w:t>RE</w:t>
      </w:r>
      <w:r>
        <w:rPr>
          <w:sz w:val="24"/>
          <w:szCs w:val="24"/>
        </w:rPr>
        <w:t xml:space="preserve"> staff requires 3 hours to complete the OSM-49 per grant and for the annual submission, and 10 hours to complete the OSM-51 per grant and annual submission.</w:t>
      </w:r>
    </w:p>
    <w:p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Therefore, OSM</w:t>
      </w:r>
      <w:r w:rsidR="00C351B2">
        <w:rPr>
          <w:sz w:val="24"/>
          <w:szCs w:val="24"/>
        </w:rPr>
        <w:t>RE</w:t>
      </w:r>
      <w:r>
        <w:rPr>
          <w:sz w:val="24"/>
          <w:szCs w:val="24"/>
        </w:rPr>
        <w:t xml:space="preserve"> requires 6 hours for the OSM-49 + 20 hours for the OSM-51 = 26 hours in Federal program states, or $</w:t>
      </w:r>
      <w:r w:rsidR="00EA7D62">
        <w:rPr>
          <w:sz w:val="24"/>
          <w:szCs w:val="24"/>
        </w:rPr>
        <w:t>74</w:t>
      </w:r>
      <w:r>
        <w:rPr>
          <w:sz w:val="24"/>
          <w:szCs w:val="24"/>
        </w:rPr>
        <w:t xml:space="preserve"> per hour x 26 hours = $1,</w:t>
      </w:r>
      <w:r w:rsidR="00EA7D62">
        <w:rPr>
          <w:sz w:val="24"/>
          <w:szCs w:val="24"/>
        </w:rPr>
        <w:t>924</w:t>
      </w:r>
      <w:r>
        <w:rPr>
          <w:sz w:val="24"/>
          <w:szCs w:val="24"/>
        </w:rPr>
        <w:t>.</w:t>
      </w:r>
    </w:p>
    <w:p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A50DF5" w:rsidRDefault="00A50DF5"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 xml:space="preserve">Total cost to the Federal </w:t>
      </w:r>
      <w:r w:rsidR="005A0B43">
        <w:rPr>
          <w:sz w:val="24"/>
          <w:szCs w:val="24"/>
        </w:rPr>
        <w:t>g</w:t>
      </w:r>
      <w:r>
        <w:rPr>
          <w:sz w:val="24"/>
          <w:szCs w:val="24"/>
        </w:rPr>
        <w:t xml:space="preserve">overnment </w:t>
      </w:r>
      <w:r w:rsidR="005A0B43">
        <w:rPr>
          <w:sz w:val="24"/>
          <w:szCs w:val="24"/>
        </w:rPr>
        <w:t xml:space="preserve">for oversight and in Federal program states is </w:t>
      </w:r>
      <w:r>
        <w:rPr>
          <w:sz w:val="24"/>
          <w:szCs w:val="24"/>
        </w:rPr>
        <w:t>$</w:t>
      </w:r>
      <w:r w:rsidR="005A0B43">
        <w:rPr>
          <w:sz w:val="24"/>
          <w:szCs w:val="24"/>
        </w:rPr>
        <w:t>1</w:t>
      </w:r>
      <w:r w:rsidR="00EA7D62">
        <w:rPr>
          <w:sz w:val="24"/>
          <w:szCs w:val="24"/>
        </w:rPr>
        <w:t>2</w:t>
      </w:r>
      <w:r w:rsidR="005A0B43">
        <w:rPr>
          <w:sz w:val="24"/>
          <w:szCs w:val="24"/>
        </w:rPr>
        <w:t>,</w:t>
      </w:r>
      <w:r w:rsidR="00EA7D62">
        <w:rPr>
          <w:sz w:val="24"/>
          <w:szCs w:val="24"/>
        </w:rPr>
        <w:t>284</w:t>
      </w:r>
      <w:r>
        <w:rPr>
          <w:sz w:val="24"/>
          <w:szCs w:val="24"/>
        </w:rPr>
        <w:t>.</w:t>
      </w:r>
    </w:p>
    <w:p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835361" w:rsidRDefault="00835361"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The estimate below is based on OSM</w:t>
      </w:r>
      <w:r w:rsidR="00C351B2">
        <w:rPr>
          <w:sz w:val="24"/>
          <w:szCs w:val="24"/>
        </w:rPr>
        <w:t>RE</w:t>
      </w:r>
      <w:r>
        <w:rPr>
          <w:sz w:val="24"/>
          <w:szCs w:val="24"/>
        </w:rPr>
        <w:t xml:space="preserve"> staff expertise and consultation with </w:t>
      </w:r>
      <w:r w:rsidR="00981C67">
        <w:rPr>
          <w:sz w:val="24"/>
          <w:szCs w:val="24"/>
        </w:rPr>
        <w:t>s</w:t>
      </w:r>
      <w:r>
        <w:rPr>
          <w:sz w:val="24"/>
          <w:szCs w:val="24"/>
        </w:rPr>
        <w:t>tate reclamation authorities.</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OSM-47 (per grant)— approximately </w:t>
      </w:r>
      <w:r w:rsidR="0093439A">
        <w:rPr>
          <w:sz w:val="24"/>
          <w:szCs w:val="24"/>
        </w:rPr>
        <w:t>189</w:t>
      </w:r>
      <w:r>
        <w:rPr>
          <w:sz w:val="24"/>
          <w:szCs w:val="24"/>
        </w:rPr>
        <w:t xml:space="preserve"> burden hours.</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OSM-4</w:t>
      </w:r>
      <w:r w:rsidR="00E91CAD">
        <w:rPr>
          <w:sz w:val="24"/>
          <w:szCs w:val="24"/>
        </w:rPr>
        <w:t xml:space="preserve">9 (per grant)— approximately </w:t>
      </w:r>
      <w:r w:rsidR="0093439A">
        <w:rPr>
          <w:sz w:val="24"/>
          <w:szCs w:val="24"/>
        </w:rPr>
        <w:t>8</w:t>
      </w:r>
      <w:r w:rsidR="00B22B0E">
        <w:rPr>
          <w:sz w:val="24"/>
          <w:szCs w:val="24"/>
        </w:rPr>
        <w:t>4</w:t>
      </w:r>
      <w:r w:rsidR="0093439A">
        <w:rPr>
          <w:sz w:val="24"/>
          <w:szCs w:val="24"/>
        </w:rPr>
        <w:t xml:space="preserve"> </w:t>
      </w:r>
      <w:r>
        <w:rPr>
          <w:sz w:val="24"/>
          <w:szCs w:val="24"/>
        </w:rPr>
        <w:t>burden hours.</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OSM-49 (annually)— approximately </w:t>
      </w:r>
      <w:r w:rsidR="000B28C3">
        <w:rPr>
          <w:sz w:val="24"/>
          <w:szCs w:val="24"/>
        </w:rPr>
        <w:t>8</w:t>
      </w:r>
      <w:r w:rsidR="00B22B0E">
        <w:rPr>
          <w:sz w:val="24"/>
          <w:szCs w:val="24"/>
        </w:rPr>
        <w:t>4</w:t>
      </w:r>
      <w:r w:rsidR="0093439A">
        <w:rPr>
          <w:sz w:val="24"/>
          <w:szCs w:val="24"/>
        </w:rPr>
        <w:t xml:space="preserve"> </w:t>
      </w:r>
      <w:r>
        <w:rPr>
          <w:sz w:val="24"/>
          <w:szCs w:val="24"/>
        </w:rPr>
        <w:t>burden hours.</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OSM-51 (per grant)— approximately </w:t>
      </w:r>
      <w:r w:rsidR="00C91D66">
        <w:rPr>
          <w:sz w:val="24"/>
          <w:szCs w:val="24"/>
        </w:rPr>
        <w:t>2</w:t>
      </w:r>
      <w:r w:rsidR="00B22B0E">
        <w:rPr>
          <w:sz w:val="24"/>
          <w:szCs w:val="24"/>
        </w:rPr>
        <w:t>8</w:t>
      </w:r>
      <w:r w:rsidR="00C91D66">
        <w:rPr>
          <w:sz w:val="24"/>
          <w:szCs w:val="24"/>
        </w:rPr>
        <w:t>0</w:t>
      </w:r>
      <w:r>
        <w:rPr>
          <w:sz w:val="24"/>
          <w:szCs w:val="24"/>
        </w:rPr>
        <w:t xml:space="preserve"> burden hours.</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OSM-51 (annually</w:t>
      </w:r>
      <w:r w:rsidR="00667C97">
        <w:rPr>
          <w:sz w:val="24"/>
          <w:szCs w:val="24"/>
        </w:rPr>
        <w:t>) —</w:t>
      </w:r>
      <w:r>
        <w:rPr>
          <w:sz w:val="24"/>
          <w:szCs w:val="24"/>
        </w:rPr>
        <w:t xml:space="preserve"> approximately </w:t>
      </w:r>
      <w:r w:rsidR="00C91D66">
        <w:rPr>
          <w:sz w:val="24"/>
          <w:szCs w:val="24"/>
        </w:rPr>
        <w:t>2</w:t>
      </w:r>
      <w:r w:rsidR="00B22B0E">
        <w:rPr>
          <w:sz w:val="24"/>
          <w:szCs w:val="24"/>
        </w:rPr>
        <w:t>8</w:t>
      </w:r>
      <w:r w:rsidR="00C91D66">
        <w:rPr>
          <w:sz w:val="24"/>
          <w:szCs w:val="24"/>
        </w:rPr>
        <w:t>0</w:t>
      </w:r>
      <w:r>
        <w:rPr>
          <w:sz w:val="24"/>
          <w:szCs w:val="24"/>
        </w:rPr>
        <w:t xml:space="preserve"> burden hours.</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rPr>
        <w:t xml:space="preserve">735.11— 1 notice </w:t>
      </w:r>
      <w:r w:rsidR="00D143E3">
        <w:rPr>
          <w:sz w:val="24"/>
        </w:rPr>
        <w:t>requiring 1 hour</w:t>
      </w:r>
      <w:r>
        <w:rPr>
          <w:sz w:val="24"/>
        </w:rPr>
        <w:t xml:space="preserve"> = 1</w:t>
      </w:r>
      <w:r w:rsidR="00D143E3">
        <w:rPr>
          <w:sz w:val="24"/>
        </w:rPr>
        <w:t xml:space="preserve"> hour</w:t>
      </w:r>
      <w:r>
        <w:rPr>
          <w:sz w:val="24"/>
        </w:rPr>
        <w:t>.</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9B0D7C" w:rsidRPr="009B0D7C" w:rsidRDefault="009B0D7C" w:rsidP="009B0D7C">
      <w:pPr>
        <w:tabs>
          <w:tab w:val="left" w:pos="-1440"/>
        </w:tabs>
        <w:ind w:left="720" w:hanging="720"/>
        <w:rPr>
          <w:sz w:val="24"/>
          <w:szCs w:val="24"/>
        </w:rPr>
      </w:pPr>
      <w:r>
        <w:rPr>
          <w:sz w:val="24"/>
          <w:szCs w:val="24"/>
        </w:rPr>
        <w:tab/>
      </w:r>
      <w:r w:rsidR="00A50DF5">
        <w:rPr>
          <w:sz w:val="24"/>
          <w:szCs w:val="24"/>
        </w:rPr>
        <w:t>OSM</w:t>
      </w:r>
      <w:r w:rsidR="00C351B2">
        <w:rPr>
          <w:sz w:val="24"/>
          <w:szCs w:val="24"/>
        </w:rPr>
        <w:t>RE</w:t>
      </w:r>
      <w:r w:rsidR="00A50DF5">
        <w:rPr>
          <w:sz w:val="24"/>
          <w:szCs w:val="24"/>
        </w:rPr>
        <w:t xml:space="preserve"> is requesting </w:t>
      </w:r>
      <w:r w:rsidR="00B22B0E">
        <w:rPr>
          <w:sz w:val="24"/>
          <w:szCs w:val="24"/>
        </w:rPr>
        <w:t>918</w:t>
      </w:r>
      <w:r w:rsidR="00A50DF5">
        <w:rPr>
          <w:sz w:val="24"/>
          <w:szCs w:val="24"/>
        </w:rPr>
        <w:t xml:space="preserve"> burden hours for OMB control number 1029-0059 for forms OSM-47, OSM-49, OSM-51 and their corresponding regulations at 30 CFR </w:t>
      </w:r>
      <w:r w:rsidR="00A40E94">
        <w:rPr>
          <w:sz w:val="24"/>
          <w:szCs w:val="24"/>
        </w:rPr>
        <w:t xml:space="preserve">Parts </w:t>
      </w:r>
      <w:r w:rsidR="00A50DF5">
        <w:rPr>
          <w:sz w:val="24"/>
          <w:szCs w:val="24"/>
        </w:rPr>
        <w:t>735</w:t>
      </w:r>
      <w:r w:rsidR="00A40E94">
        <w:rPr>
          <w:sz w:val="24"/>
          <w:szCs w:val="24"/>
        </w:rPr>
        <w:t>, 885</w:t>
      </w:r>
      <w:r w:rsidR="00A50DF5">
        <w:rPr>
          <w:sz w:val="24"/>
          <w:szCs w:val="24"/>
        </w:rPr>
        <w:t xml:space="preserve"> and 886.  </w:t>
      </w:r>
      <w:r w:rsidR="00E26FE9">
        <w:rPr>
          <w:sz w:val="24"/>
          <w:szCs w:val="24"/>
        </w:rPr>
        <w:t xml:space="preserve">The currently approved burden </w:t>
      </w:r>
      <w:r w:rsidR="009E4E75">
        <w:rPr>
          <w:sz w:val="24"/>
          <w:szCs w:val="24"/>
        </w:rPr>
        <w:t xml:space="preserve">hours for OMB </w:t>
      </w:r>
      <w:r w:rsidR="00035C45">
        <w:rPr>
          <w:sz w:val="24"/>
          <w:szCs w:val="24"/>
        </w:rPr>
        <w:t>c</w:t>
      </w:r>
      <w:r w:rsidR="009E4E75">
        <w:rPr>
          <w:sz w:val="24"/>
          <w:szCs w:val="24"/>
        </w:rPr>
        <w:t xml:space="preserve">ontrol </w:t>
      </w:r>
      <w:r w:rsidR="00035C45">
        <w:rPr>
          <w:sz w:val="24"/>
          <w:szCs w:val="24"/>
        </w:rPr>
        <w:t>n</w:t>
      </w:r>
      <w:r w:rsidR="009E4E75">
        <w:rPr>
          <w:sz w:val="24"/>
          <w:szCs w:val="24"/>
        </w:rPr>
        <w:t>umber 1029-0059</w:t>
      </w:r>
      <w:r w:rsidR="00E84E4D">
        <w:rPr>
          <w:sz w:val="24"/>
          <w:szCs w:val="24"/>
        </w:rPr>
        <w:t>,</w:t>
      </w:r>
      <w:r w:rsidR="009E4E75">
        <w:rPr>
          <w:sz w:val="24"/>
          <w:szCs w:val="24"/>
        </w:rPr>
        <w:t xml:space="preserve"> </w:t>
      </w:r>
      <w:r w:rsidR="004E0EAA">
        <w:rPr>
          <w:sz w:val="24"/>
          <w:szCs w:val="24"/>
        </w:rPr>
        <w:t xml:space="preserve">is </w:t>
      </w:r>
      <w:r w:rsidR="00B22B0E">
        <w:rPr>
          <w:sz w:val="24"/>
          <w:szCs w:val="24"/>
        </w:rPr>
        <w:t>872</w:t>
      </w:r>
      <w:r w:rsidR="00E26FE9">
        <w:rPr>
          <w:sz w:val="24"/>
          <w:szCs w:val="24"/>
        </w:rPr>
        <w:t xml:space="preserve"> hours.  </w:t>
      </w:r>
      <w:r w:rsidRPr="009B0D7C">
        <w:rPr>
          <w:sz w:val="24"/>
          <w:szCs w:val="24"/>
        </w:rPr>
        <w:t>Therefore, the burden will change as follows:</w:t>
      </w:r>
    </w:p>
    <w:p w:rsidR="009B0D7C" w:rsidRPr="009B0D7C" w:rsidRDefault="009B0D7C" w:rsidP="009B0D7C">
      <w:pPr>
        <w:widowControl/>
        <w:tabs>
          <w:tab w:val="left" w:pos="1080"/>
        </w:tabs>
        <w:ind w:left="720" w:hanging="720"/>
        <w:rPr>
          <w:sz w:val="24"/>
          <w:szCs w:val="24"/>
        </w:rPr>
      </w:pPr>
      <w:r w:rsidRPr="009B0D7C">
        <w:rPr>
          <w:sz w:val="24"/>
          <w:szCs w:val="24"/>
        </w:rPr>
        <w:t xml:space="preserve">  </w:t>
      </w:r>
      <w:r w:rsidRPr="009B0D7C">
        <w:rPr>
          <w:sz w:val="24"/>
          <w:szCs w:val="24"/>
        </w:rPr>
        <w:tab/>
      </w:r>
      <w:r w:rsidRPr="009B0D7C">
        <w:rPr>
          <w:sz w:val="24"/>
          <w:szCs w:val="24"/>
        </w:rPr>
        <w:tab/>
      </w:r>
    </w:p>
    <w:p w:rsidR="009B0D7C" w:rsidRPr="009B0D7C" w:rsidRDefault="009B0D7C" w:rsidP="009B0D7C">
      <w:pPr>
        <w:widowControl/>
        <w:tabs>
          <w:tab w:val="left" w:pos="1080"/>
        </w:tabs>
        <w:ind w:left="720" w:hanging="720"/>
        <w:rPr>
          <w:rFonts w:cs="Shruti"/>
          <w:sz w:val="24"/>
          <w:szCs w:val="24"/>
        </w:rPr>
      </w:pPr>
      <w:r w:rsidRPr="009B0D7C">
        <w:rPr>
          <w:sz w:val="24"/>
          <w:szCs w:val="24"/>
        </w:rPr>
        <w:tab/>
      </w:r>
      <w:r w:rsidRPr="009B0D7C">
        <w:rPr>
          <w:sz w:val="24"/>
          <w:szCs w:val="24"/>
        </w:rPr>
        <w:tab/>
      </w:r>
      <w:r>
        <w:rPr>
          <w:sz w:val="24"/>
          <w:szCs w:val="24"/>
        </w:rPr>
        <w:t>872</w:t>
      </w:r>
      <w:r w:rsidRPr="009B0D7C">
        <w:rPr>
          <w:sz w:val="24"/>
          <w:szCs w:val="24"/>
        </w:rPr>
        <w:t xml:space="preserve"> hours</w:t>
      </w:r>
      <w:r w:rsidRPr="009B0D7C">
        <w:rPr>
          <w:rFonts w:cs="Shruti"/>
          <w:sz w:val="24"/>
          <w:szCs w:val="24"/>
        </w:rPr>
        <w:t xml:space="preserve"> currently approved by OMB</w:t>
      </w:r>
    </w:p>
    <w:p w:rsidR="009B0D7C" w:rsidRPr="009B0D7C" w:rsidRDefault="009B0D7C" w:rsidP="009B0D7C">
      <w:pPr>
        <w:widowControl/>
        <w:tabs>
          <w:tab w:val="left" w:pos="1080"/>
        </w:tabs>
        <w:ind w:left="720"/>
        <w:rPr>
          <w:rFonts w:cs="Shruti"/>
          <w:sz w:val="24"/>
          <w:szCs w:val="24"/>
        </w:rPr>
      </w:pPr>
      <w:r>
        <w:rPr>
          <w:rFonts w:cs="Shruti"/>
          <w:sz w:val="24"/>
          <w:szCs w:val="24"/>
          <w:u w:val="single"/>
        </w:rPr>
        <w:t>+</w:t>
      </w:r>
      <w:r w:rsidRPr="009B0D7C">
        <w:rPr>
          <w:rFonts w:cs="Shruti"/>
          <w:sz w:val="24"/>
          <w:szCs w:val="24"/>
          <w:u w:val="single"/>
        </w:rPr>
        <w:tab/>
      </w:r>
      <w:r>
        <w:rPr>
          <w:rFonts w:cs="Shruti"/>
          <w:sz w:val="24"/>
          <w:szCs w:val="24"/>
          <w:u w:val="single"/>
        </w:rPr>
        <w:t xml:space="preserve">  46</w:t>
      </w:r>
      <w:r w:rsidRPr="009B0D7C">
        <w:rPr>
          <w:sz w:val="24"/>
          <w:szCs w:val="24"/>
        </w:rPr>
        <w:t xml:space="preserve"> hours</w:t>
      </w:r>
      <w:r w:rsidRPr="009B0D7C">
        <w:rPr>
          <w:rFonts w:cs="Shruti"/>
          <w:sz w:val="24"/>
          <w:szCs w:val="24"/>
        </w:rPr>
        <w:t xml:space="preserve"> due to an </w:t>
      </w:r>
      <w:r w:rsidR="00DB5963">
        <w:rPr>
          <w:rFonts w:cs="Shruti"/>
          <w:sz w:val="24"/>
          <w:szCs w:val="24"/>
        </w:rPr>
        <w:t xml:space="preserve">increase in responses as an </w:t>
      </w:r>
      <w:r w:rsidRPr="009B0D7C">
        <w:rPr>
          <w:rFonts w:cs="Shruti"/>
          <w:sz w:val="24"/>
          <w:szCs w:val="24"/>
        </w:rPr>
        <w:t>adjustment</w:t>
      </w:r>
    </w:p>
    <w:p w:rsidR="009B0D7C" w:rsidRPr="009B0D7C" w:rsidRDefault="009B0D7C" w:rsidP="009B0D7C">
      <w:pPr>
        <w:widowControl/>
        <w:tabs>
          <w:tab w:val="left" w:pos="1080"/>
        </w:tabs>
        <w:ind w:left="720" w:hanging="720"/>
        <w:rPr>
          <w:rFonts w:cs="Shruti"/>
          <w:sz w:val="24"/>
          <w:szCs w:val="24"/>
        </w:rPr>
      </w:pPr>
      <w:r w:rsidRPr="009B0D7C">
        <w:rPr>
          <w:rFonts w:cs="Shruti"/>
          <w:sz w:val="24"/>
          <w:szCs w:val="24"/>
        </w:rPr>
        <w:tab/>
      </w:r>
      <w:r w:rsidRPr="009B0D7C">
        <w:rPr>
          <w:rFonts w:cs="Shruti"/>
          <w:sz w:val="24"/>
          <w:szCs w:val="24"/>
        </w:rPr>
        <w:tab/>
      </w:r>
      <w:r>
        <w:rPr>
          <w:rFonts w:cs="Shruti"/>
          <w:sz w:val="24"/>
          <w:szCs w:val="24"/>
        </w:rPr>
        <w:t>918</w:t>
      </w:r>
      <w:r w:rsidRPr="009B0D7C">
        <w:rPr>
          <w:rFonts w:cs="Shruti"/>
          <w:sz w:val="24"/>
          <w:szCs w:val="24"/>
        </w:rPr>
        <w:t xml:space="preserve"> hours requested</w:t>
      </w:r>
    </w:p>
    <w:p w:rsidR="00EA7D62" w:rsidRDefault="00EA7D62"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EA7D62" w:rsidRDefault="00EA7D62"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 is no non-wage cost associated with this collection activity.</w:t>
      </w:r>
    </w:p>
    <w:p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 xml:space="preserve">For collections of information whose results will be published, outline plans for tabulation and publication.  Address any complex analytical techniques that will be </w:t>
      </w:r>
      <w:r w:rsidRPr="00104D90">
        <w:rPr>
          <w:b/>
          <w:i/>
          <w:sz w:val="24"/>
          <w:szCs w:val="24"/>
        </w:rPr>
        <w:lastRenderedPageBreak/>
        <w:t>used.  Provide the time schedule for the entire project, including beginning and ending dates of the collection of information, completion of report, publication dates, and other actions.</w:t>
      </w:r>
    </w:p>
    <w:p w:rsidR="0042145C" w:rsidRPr="009518E0"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There are no plans for publication of this information.</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0042145C" w:rsidRPr="00F82FBA"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t xml:space="preserve">Not applicable. </w:t>
      </w:r>
      <w:r w:rsidR="000B28C3">
        <w:rPr>
          <w:sz w:val="24"/>
          <w:szCs w:val="24"/>
        </w:rPr>
        <w:t xml:space="preserve"> Each form </w:t>
      </w:r>
      <w:r w:rsidR="00035C45">
        <w:rPr>
          <w:sz w:val="24"/>
          <w:szCs w:val="24"/>
        </w:rPr>
        <w:t xml:space="preserve">lists the </w:t>
      </w:r>
      <w:r w:rsidR="000B28C3">
        <w:rPr>
          <w:sz w:val="24"/>
          <w:szCs w:val="24"/>
        </w:rPr>
        <w:t>OMB</w:t>
      </w:r>
      <w:r w:rsidR="00035C45">
        <w:rPr>
          <w:sz w:val="24"/>
          <w:szCs w:val="24"/>
        </w:rPr>
        <w:t xml:space="preserve"> control number and expiration date.</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42145C"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348B8" w:rsidRPr="00FD465C" w:rsidRDefault="004348B8" w:rsidP="004348B8">
      <w:pPr>
        <w:tabs>
          <w:tab w:val="left" w:pos="-1080"/>
          <w:tab w:val="left" w:pos="-720"/>
          <w:tab w:val="left" w:pos="360"/>
          <w:tab w:val="left" w:pos="810"/>
        </w:tabs>
        <w:ind w:left="720"/>
        <w:rPr>
          <w:sz w:val="24"/>
        </w:rPr>
      </w:pPr>
      <w:r w:rsidRPr="00FD465C">
        <w:rPr>
          <w:sz w:val="24"/>
        </w:rPr>
        <w:t xml:space="preserve">Not applicable.  </w:t>
      </w:r>
      <w:r w:rsidR="00035C45">
        <w:rPr>
          <w:sz w:val="24"/>
        </w:rPr>
        <w:t>There are no exceptions to the “Certification for Paperwork Reduction Act Submissions.”</w:t>
      </w:r>
    </w:p>
    <w:p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sectPr w:rsidR="00A50DF5" w:rsidSect="00D4236F">
      <w:footerReference w:type="default" r:id="rId12"/>
      <w:footnotePr>
        <w:numRestart w:val="eachSect"/>
      </w:footnotePr>
      <w:endnotePr>
        <w:numFmt w:val="decimal"/>
      </w:end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66" w:rsidRDefault="00481666">
      <w:r>
        <w:separator/>
      </w:r>
    </w:p>
  </w:endnote>
  <w:endnote w:type="continuationSeparator" w:id="0">
    <w:p w:rsidR="00481666" w:rsidRDefault="004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C3" w:rsidRDefault="000B28C3">
    <w:pPr>
      <w:pStyle w:val="Footer"/>
      <w:jc w:val="center"/>
    </w:pPr>
    <w:r>
      <w:fldChar w:fldCharType="begin"/>
    </w:r>
    <w:r>
      <w:instrText xml:space="preserve"> PAGE   \* MERGEFORMAT </w:instrText>
    </w:r>
    <w:r>
      <w:fldChar w:fldCharType="separate"/>
    </w:r>
    <w:r w:rsidR="00554DCB">
      <w:rPr>
        <w:noProof/>
      </w:rPr>
      <w:t>5</w:t>
    </w:r>
    <w:r>
      <w:fldChar w:fldCharType="end"/>
    </w:r>
  </w:p>
  <w:p w:rsidR="000B28C3" w:rsidRDefault="000B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66" w:rsidRDefault="00481666">
      <w:r>
        <w:separator/>
      </w:r>
    </w:p>
  </w:footnote>
  <w:footnote w:type="continuationSeparator" w:id="0">
    <w:p w:rsidR="00481666" w:rsidRDefault="00481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191"/>
    <w:multiLevelType w:val="hybridMultilevel"/>
    <w:tmpl w:val="30F2F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5361C1"/>
    <w:multiLevelType w:val="hybridMultilevel"/>
    <w:tmpl w:val="FB5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60B8"/>
    <w:multiLevelType w:val="hybridMultilevel"/>
    <w:tmpl w:val="58540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D11D52"/>
    <w:multiLevelType w:val="hybridMultilevel"/>
    <w:tmpl w:val="528AD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09"/>
    <w:rsid w:val="00016234"/>
    <w:rsid w:val="00021092"/>
    <w:rsid w:val="00021567"/>
    <w:rsid w:val="000311CB"/>
    <w:rsid w:val="00035C45"/>
    <w:rsid w:val="00043285"/>
    <w:rsid w:val="000908D6"/>
    <w:rsid w:val="0009181A"/>
    <w:rsid w:val="00094AB8"/>
    <w:rsid w:val="000A6E22"/>
    <w:rsid w:val="000B28C3"/>
    <w:rsid w:val="000C1D1D"/>
    <w:rsid w:val="000E4F7A"/>
    <w:rsid w:val="000E5B8C"/>
    <w:rsid w:val="000E724F"/>
    <w:rsid w:val="000F1FDA"/>
    <w:rsid w:val="000F6DB1"/>
    <w:rsid w:val="001045F6"/>
    <w:rsid w:val="00117531"/>
    <w:rsid w:val="00121649"/>
    <w:rsid w:val="001247B0"/>
    <w:rsid w:val="001338D6"/>
    <w:rsid w:val="00136914"/>
    <w:rsid w:val="00142C7C"/>
    <w:rsid w:val="00143446"/>
    <w:rsid w:val="00151A3F"/>
    <w:rsid w:val="00151F84"/>
    <w:rsid w:val="0015281A"/>
    <w:rsid w:val="001579A4"/>
    <w:rsid w:val="0016433B"/>
    <w:rsid w:val="00165303"/>
    <w:rsid w:val="001762C2"/>
    <w:rsid w:val="001770AE"/>
    <w:rsid w:val="001949B6"/>
    <w:rsid w:val="001A59DD"/>
    <w:rsid w:val="001B0C09"/>
    <w:rsid w:val="001B0F4C"/>
    <w:rsid w:val="001D2522"/>
    <w:rsid w:val="001D4205"/>
    <w:rsid w:val="001D6570"/>
    <w:rsid w:val="001D6D3C"/>
    <w:rsid w:val="001D7330"/>
    <w:rsid w:val="001D7709"/>
    <w:rsid w:val="001E3F83"/>
    <w:rsid w:val="001E5B6E"/>
    <w:rsid w:val="001E6F91"/>
    <w:rsid w:val="001F005D"/>
    <w:rsid w:val="001F5388"/>
    <w:rsid w:val="001F6C85"/>
    <w:rsid w:val="001F7E4B"/>
    <w:rsid w:val="002030D8"/>
    <w:rsid w:val="00242597"/>
    <w:rsid w:val="002537B5"/>
    <w:rsid w:val="00260A1B"/>
    <w:rsid w:val="0026270E"/>
    <w:rsid w:val="002843D4"/>
    <w:rsid w:val="0029710E"/>
    <w:rsid w:val="002A7C1F"/>
    <w:rsid w:val="002A7FE3"/>
    <w:rsid w:val="002C04DD"/>
    <w:rsid w:val="002C34C5"/>
    <w:rsid w:val="002D6EDC"/>
    <w:rsid w:val="002E6799"/>
    <w:rsid w:val="002E789A"/>
    <w:rsid w:val="002F584C"/>
    <w:rsid w:val="002F6E15"/>
    <w:rsid w:val="00305C7D"/>
    <w:rsid w:val="00306248"/>
    <w:rsid w:val="0031200E"/>
    <w:rsid w:val="0032290E"/>
    <w:rsid w:val="00323D28"/>
    <w:rsid w:val="003248C6"/>
    <w:rsid w:val="00334793"/>
    <w:rsid w:val="003562AF"/>
    <w:rsid w:val="003617FA"/>
    <w:rsid w:val="00366679"/>
    <w:rsid w:val="003737F3"/>
    <w:rsid w:val="00393732"/>
    <w:rsid w:val="003B2895"/>
    <w:rsid w:val="003B7B1B"/>
    <w:rsid w:val="003C69AB"/>
    <w:rsid w:val="003D79F1"/>
    <w:rsid w:val="003E4273"/>
    <w:rsid w:val="003E476F"/>
    <w:rsid w:val="003E48D9"/>
    <w:rsid w:val="003F27DD"/>
    <w:rsid w:val="003F71ED"/>
    <w:rsid w:val="004003BD"/>
    <w:rsid w:val="0041427C"/>
    <w:rsid w:val="004162E2"/>
    <w:rsid w:val="004167F6"/>
    <w:rsid w:val="00416CA6"/>
    <w:rsid w:val="00420DA4"/>
    <w:rsid w:val="0042145C"/>
    <w:rsid w:val="00434085"/>
    <w:rsid w:val="004348B8"/>
    <w:rsid w:val="004373FA"/>
    <w:rsid w:val="00442D46"/>
    <w:rsid w:val="00454C99"/>
    <w:rsid w:val="0045607C"/>
    <w:rsid w:val="00456272"/>
    <w:rsid w:val="00464C56"/>
    <w:rsid w:val="00475039"/>
    <w:rsid w:val="00481666"/>
    <w:rsid w:val="00484CA1"/>
    <w:rsid w:val="00485D0B"/>
    <w:rsid w:val="004902AF"/>
    <w:rsid w:val="0049234D"/>
    <w:rsid w:val="004A15D2"/>
    <w:rsid w:val="004B1699"/>
    <w:rsid w:val="004D03B7"/>
    <w:rsid w:val="004D06AD"/>
    <w:rsid w:val="004E0EAA"/>
    <w:rsid w:val="004E4CAB"/>
    <w:rsid w:val="004F04B4"/>
    <w:rsid w:val="00501A24"/>
    <w:rsid w:val="00503F03"/>
    <w:rsid w:val="0051111D"/>
    <w:rsid w:val="00514D5E"/>
    <w:rsid w:val="005418E4"/>
    <w:rsid w:val="005445B9"/>
    <w:rsid w:val="00554DCB"/>
    <w:rsid w:val="00561969"/>
    <w:rsid w:val="00571739"/>
    <w:rsid w:val="00574B42"/>
    <w:rsid w:val="0057724E"/>
    <w:rsid w:val="00580550"/>
    <w:rsid w:val="005815ED"/>
    <w:rsid w:val="00586DF9"/>
    <w:rsid w:val="00596C91"/>
    <w:rsid w:val="005A0B43"/>
    <w:rsid w:val="005A401D"/>
    <w:rsid w:val="005C2A23"/>
    <w:rsid w:val="005D242C"/>
    <w:rsid w:val="005E6E99"/>
    <w:rsid w:val="005F06B5"/>
    <w:rsid w:val="005F234C"/>
    <w:rsid w:val="00610530"/>
    <w:rsid w:val="0063452B"/>
    <w:rsid w:val="0063753E"/>
    <w:rsid w:val="00652CF9"/>
    <w:rsid w:val="00657CD0"/>
    <w:rsid w:val="006644C6"/>
    <w:rsid w:val="00667C97"/>
    <w:rsid w:val="00686E04"/>
    <w:rsid w:val="00687A15"/>
    <w:rsid w:val="0069352D"/>
    <w:rsid w:val="00693E0B"/>
    <w:rsid w:val="006945C3"/>
    <w:rsid w:val="006A4582"/>
    <w:rsid w:val="006A517F"/>
    <w:rsid w:val="006B145E"/>
    <w:rsid w:val="006C23E5"/>
    <w:rsid w:val="006C550C"/>
    <w:rsid w:val="006C7697"/>
    <w:rsid w:val="006D547E"/>
    <w:rsid w:val="006E2A50"/>
    <w:rsid w:val="006E308A"/>
    <w:rsid w:val="006F5D32"/>
    <w:rsid w:val="007555B4"/>
    <w:rsid w:val="007745CE"/>
    <w:rsid w:val="00774698"/>
    <w:rsid w:val="007768F7"/>
    <w:rsid w:val="00782B65"/>
    <w:rsid w:val="0078798A"/>
    <w:rsid w:val="00796235"/>
    <w:rsid w:val="00797D38"/>
    <w:rsid w:val="007A2F87"/>
    <w:rsid w:val="007A402F"/>
    <w:rsid w:val="007C0F53"/>
    <w:rsid w:val="007D766E"/>
    <w:rsid w:val="007E1345"/>
    <w:rsid w:val="007E13DA"/>
    <w:rsid w:val="007F76D1"/>
    <w:rsid w:val="00802F46"/>
    <w:rsid w:val="00807FC5"/>
    <w:rsid w:val="00811B48"/>
    <w:rsid w:val="0081602A"/>
    <w:rsid w:val="00817170"/>
    <w:rsid w:val="00817721"/>
    <w:rsid w:val="0082132F"/>
    <w:rsid w:val="0082378F"/>
    <w:rsid w:val="00835361"/>
    <w:rsid w:val="0083608C"/>
    <w:rsid w:val="0084075A"/>
    <w:rsid w:val="00853866"/>
    <w:rsid w:val="00881DEF"/>
    <w:rsid w:val="008827AF"/>
    <w:rsid w:val="00890DBF"/>
    <w:rsid w:val="008A16D2"/>
    <w:rsid w:val="008C2323"/>
    <w:rsid w:val="008C27BF"/>
    <w:rsid w:val="008C7DE5"/>
    <w:rsid w:val="008D1B0D"/>
    <w:rsid w:val="008D55C2"/>
    <w:rsid w:val="008F3F1E"/>
    <w:rsid w:val="00902694"/>
    <w:rsid w:val="00907463"/>
    <w:rsid w:val="00911324"/>
    <w:rsid w:val="00912534"/>
    <w:rsid w:val="00922B16"/>
    <w:rsid w:val="0093101B"/>
    <w:rsid w:val="0093439A"/>
    <w:rsid w:val="00941E42"/>
    <w:rsid w:val="009434A2"/>
    <w:rsid w:val="00954F81"/>
    <w:rsid w:val="00957980"/>
    <w:rsid w:val="009659E7"/>
    <w:rsid w:val="00965C28"/>
    <w:rsid w:val="00977289"/>
    <w:rsid w:val="00981C67"/>
    <w:rsid w:val="00984CCD"/>
    <w:rsid w:val="009B0D7C"/>
    <w:rsid w:val="009B1161"/>
    <w:rsid w:val="009B37C6"/>
    <w:rsid w:val="009D349E"/>
    <w:rsid w:val="009E37C1"/>
    <w:rsid w:val="009E4E75"/>
    <w:rsid w:val="009E6132"/>
    <w:rsid w:val="009E72A0"/>
    <w:rsid w:val="009F23E6"/>
    <w:rsid w:val="009F5420"/>
    <w:rsid w:val="009F76E9"/>
    <w:rsid w:val="00A01555"/>
    <w:rsid w:val="00A05034"/>
    <w:rsid w:val="00A1216A"/>
    <w:rsid w:val="00A201CA"/>
    <w:rsid w:val="00A22F7B"/>
    <w:rsid w:val="00A33F64"/>
    <w:rsid w:val="00A35288"/>
    <w:rsid w:val="00A37D4C"/>
    <w:rsid w:val="00A40E94"/>
    <w:rsid w:val="00A41C62"/>
    <w:rsid w:val="00A4516A"/>
    <w:rsid w:val="00A50DF5"/>
    <w:rsid w:val="00A6487B"/>
    <w:rsid w:val="00A73688"/>
    <w:rsid w:val="00A77326"/>
    <w:rsid w:val="00A83807"/>
    <w:rsid w:val="00A84346"/>
    <w:rsid w:val="00A85701"/>
    <w:rsid w:val="00A959F4"/>
    <w:rsid w:val="00AD26C6"/>
    <w:rsid w:val="00AD6944"/>
    <w:rsid w:val="00AD7E39"/>
    <w:rsid w:val="00AE2DC2"/>
    <w:rsid w:val="00AF5E98"/>
    <w:rsid w:val="00AF760F"/>
    <w:rsid w:val="00AF7ABD"/>
    <w:rsid w:val="00B217E2"/>
    <w:rsid w:val="00B225BE"/>
    <w:rsid w:val="00B22B0E"/>
    <w:rsid w:val="00B368DE"/>
    <w:rsid w:val="00B406E0"/>
    <w:rsid w:val="00B415E8"/>
    <w:rsid w:val="00B50E2E"/>
    <w:rsid w:val="00B601F1"/>
    <w:rsid w:val="00B63AB2"/>
    <w:rsid w:val="00B70EE6"/>
    <w:rsid w:val="00B72FD1"/>
    <w:rsid w:val="00B74C3D"/>
    <w:rsid w:val="00B75823"/>
    <w:rsid w:val="00B80B3D"/>
    <w:rsid w:val="00BA6098"/>
    <w:rsid w:val="00BD1655"/>
    <w:rsid w:val="00BD5A6A"/>
    <w:rsid w:val="00BF1163"/>
    <w:rsid w:val="00BF1E6B"/>
    <w:rsid w:val="00C0680A"/>
    <w:rsid w:val="00C07B16"/>
    <w:rsid w:val="00C12D76"/>
    <w:rsid w:val="00C13E57"/>
    <w:rsid w:val="00C26120"/>
    <w:rsid w:val="00C32D00"/>
    <w:rsid w:val="00C351B2"/>
    <w:rsid w:val="00C50FB9"/>
    <w:rsid w:val="00C52DB8"/>
    <w:rsid w:val="00C55D24"/>
    <w:rsid w:val="00C57B41"/>
    <w:rsid w:val="00C809DC"/>
    <w:rsid w:val="00C83E50"/>
    <w:rsid w:val="00C86C59"/>
    <w:rsid w:val="00C91D66"/>
    <w:rsid w:val="00C95783"/>
    <w:rsid w:val="00C957F7"/>
    <w:rsid w:val="00CA49F5"/>
    <w:rsid w:val="00CB2FAD"/>
    <w:rsid w:val="00CB7517"/>
    <w:rsid w:val="00CC67A4"/>
    <w:rsid w:val="00CE2676"/>
    <w:rsid w:val="00CE2697"/>
    <w:rsid w:val="00CE539C"/>
    <w:rsid w:val="00CF279B"/>
    <w:rsid w:val="00CF44CB"/>
    <w:rsid w:val="00D143E3"/>
    <w:rsid w:val="00D310C3"/>
    <w:rsid w:val="00D31A58"/>
    <w:rsid w:val="00D34557"/>
    <w:rsid w:val="00D352A2"/>
    <w:rsid w:val="00D36F8C"/>
    <w:rsid w:val="00D3718B"/>
    <w:rsid w:val="00D4236F"/>
    <w:rsid w:val="00D425E0"/>
    <w:rsid w:val="00D4419C"/>
    <w:rsid w:val="00D51A89"/>
    <w:rsid w:val="00D53A33"/>
    <w:rsid w:val="00D55AC8"/>
    <w:rsid w:val="00D816FC"/>
    <w:rsid w:val="00D92966"/>
    <w:rsid w:val="00DA662C"/>
    <w:rsid w:val="00DB5963"/>
    <w:rsid w:val="00DC4172"/>
    <w:rsid w:val="00DE0025"/>
    <w:rsid w:val="00DE1AD3"/>
    <w:rsid w:val="00DE2DE7"/>
    <w:rsid w:val="00DF6361"/>
    <w:rsid w:val="00E007D1"/>
    <w:rsid w:val="00E03D70"/>
    <w:rsid w:val="00E12495"/>
    <w:rsid w:val="00E12EB3"/>
    <w:rsid w:val="00E16757"/>
    <w:rsid w:val="00E2596F"/>
    <w:rsid w:val="00E26FE9"/>
    <w:rsid w:val="00E30123"/>
    <w:rsid w:val="00E64789"/>
    <w:rsid w:val="00E650CC"/>
    <w:rsid w:val="00E7035C"/>
    <w:rsid w:val="00E70D19"/>
    <w:rsid w:val="00E71D1F"/>
    <w:rsid w:val="00E83A0A"/>
    <w:rsid w:val="00E84E4D"/>
    <w:rsid w:val="00E91CAD"/>
    <w:rsid w:val="00EA3A14"/>
    <w:rsid w:val="00EA7D62"/>
    <w:rsid w:val="00EB41B3"/>
    <w:rsid w:val="00EC598A"/>
    <w:rsid w:val="00ED483D"/>
    <w:rsid w:val="00ED61D8"/>
    <w:rsid w:val="00EE42DB"/>
    <w:rsid w:val="00EF6EA6"/>
    <w:rsid w:val="00F06DF7"/>
    <w:rsid w:val="00F07B62"/>
    <w:rsid w:val="00F139A2"/>
    <w:rsid w:val="00F16FC2"/>
    <w:rsid w:val="00F22AE6"/>
    <w:rsid w:val="00F24247"/>
    <w:rsid w:val="00F26773"/>
    <w:rsid w:val="00F279A2"/>
    <w:rsid w:val="00F27FD7"/>
    <w:rsid w:val="00F34388"/>
    <w:rsid w:val="00F53DFB"/>
    <w:rsid w:val="00F720C9"/>
    <w:rsid w:val="00F76F91"/>
    <w:rsid w:val="00F81A9D"/>
    <w:rsid w:val="00FA349B"/>
    <w:rsid w:val="00FA73FD"/>
    <w:rsid w:val="00FB207B"/>
    <w:rsid w:val="00FC72B3"/>
    <w:rsid w:val="00FC72E1"/>
    <w:rsid w:val="00FC7313"/>
    <w:rsid w:val="00FD2249"/>
    <w:rsid w:val="00FD5052"/>
    <w:rsid w:val="00FE2E11"/>
    <w:rsid w:val="00FE69D7"/>
    <w:rsid w:val="00FE6DCF"/>
    <w:rsid w:val="00FF2B4F"/>
    <w:rsid w:val="00FF359F"/>
    <w:rsid w:val="00FF3C8C"/>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5tables/indexGS.asp" TargetMode="Externa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38DCF-A9C1-440F-9C24-EEE8F0BB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3949</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25988</CharactersWithSpaces>
  <SharedDoc>false</SharedDoc>
  <HLinks>
    <vt:vector size="12" baseType="variant">
      <vt:variant>
        <vt:i4>6946858</vt:i4>
      </vt:variant>
      <vt:variant>
        <vt:i4>9</vt:i4>
      </vt:variant>
      <vt:variant>
        <vt:i4>0</vt:i4>
      </vt:variant>
      <vt:variant>
        <vt:i4>5</vt:i4>
      </vt:variant>
      <vt:variant>
        <vt:lpwstr>http://www.opm.gov/oca/11tables/indexGS.asp</vt:lpwstr>
      </vt:variant>
      <vt:variant>
        <vt:lpwstr/>
      </vt:variant>
      <vt:variant>
        <vt:i4>1441845</vt:i4>
      </vt:variant>
      <vt:variant>
        <vt:i4>6</vt:i4>
      </vt:variant>
      <vt:variant>
        <vt:i4>0</vt:i4>
      </vt:variant>
      <vt:variant>
        <vt:i4>5</vt:i4>
      </vt:variant>
      <vt:variant>
        <vt:lpwstr>http://www.bls.gov/news.release/archives/ecec_.pdf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RGarris</dc:creator>
  <cp:lastModifiedBy>Trelease, John A</cp:lastModifiedBy>
  <cp:revision>13</cp:revision>
  <cp:lastPrinted>2015-02-06T12:35:00Z</cp:lastPrinted>
  <dcterms:created xsi:type="dcterms:W3CDTF">2015-01-27T13:54:00Z</dcterms:created>
  <dcterms:modified xsi:type="dcterms:W3CDTF">2015-04-24T13:31:00Z</dcterms:modified>
</cp:coreProperties>
</file>