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C3043" w14:textId="0CC8C6C2" w:rsidR="000E61AD" w:rsidRDefault="000E61AD" w:rsidP="000E61AD">
      <w:pPr>
        <w:pStyle w:val="Heading1"/>
        <w:spacing w:before="240" w:after="240"/>
        <w:rPr>
          <w:rFonts w:ascii="Lucida Sans" w:hAnsi="Lucida Sans"/>
          <w:caps w:val="0"/>
        </w:rPr>
      </w:pPr>
      <w:bookmarkStart w:id="0" w:name="_Toc297280137"/>
      <w:r>
        <w:rPr>
          <w:rFonts w:ascii="Lucida Sans" w:hAnsi="Lucida Sans"/>
          <w:caps w:val="0"/>
        </w:rPr>
        <w:t xml:space="preserve">Supporting Justification </w:t>
      </w:r>
      <w:r w:rsidR="00A25F22">
        <w:rPr>
          <w:rFonts w:ascii="Lucida Sans" w:hAnsi="Lucida Sans"/>
          <w:caps w:val="0"/>
        </w:rPr>
        <w:t>for</w:t>
      </w:r>
      <w:r>
        <w:rPr>
          <w:rFonts w:ascii="Lucida Sans" w:hAnsi="Lucida Sans"/>
          <w:caps w:val="0"/>
        </w:rPr>
        <w:t xml:space="preserve"> </w:t>
      </w:r>
      <w:r w:rsidR="00147957">
        <w:rPr>
          <w:rFonts w:ascii="Lucida Sans" w:hAnsi="Lucida Sans"/>
          <w:caps w:val="0"/>
        </w:rPr>
        <w:t>t</w:t>
      </w:r>
      <w:bookmarkStart w:id="1" w:name="_GoBack"/>
      <w:bookmarkEnd w:id="1"/>
      <w:r w:rsidR="00147957">
        <w:rPr>
          <w:rFonts w:ascii="Lucida Sans" w:hAnsi="Lucida Sans"/>
          <w:caps w:val="0"/>
        </w:rPr>
        <w:t>he Extension of OMB Clearance of the Evaluation of Adolescent Pregnancy Prevention Approaches</w:t>
      </w:r>
    </w:p>
    <w:p w14:paraId="39146B55" w14:textId="77777777" w:rsidR="000E61AD" w:rsidRDefault="000E61AD" w:rsidP="000E61AD"/>
    <w:p w14:paraId="5F66726B" w14:textId="77777777" w:rsidR="000E61AD" w:rsidRDefault="000E61AD" w:rsidP="000E61AD">
      <w:pPr>
        <w:pStyle w:val="Heading1"/>
        <w:spacing w:before="240" w:after="240"/>
        <w:rPr>
          <w:rFonts w:ascii="Lucida Sans" w:hAnsi="Lucida Sans"/>
          <w:caps w:val="0"/>
        </w:rPr>
      </w:pPr>
      <w:r>
        <w:rPr>
          <w:rFonts w:ascii="Lucida Sans" w:hAnsi="Lucida Sans"/>
          <w:caps w:val="0"/>
        </w:rPr>
        <w:t>Part A: Justification for the Collection of the Data</w:t>
      </w:r>
    </w:p>
    <w:p w14:paraId="78406B34" w14:textId="77777777" w:rsidR="000E61AD" w:rsidRDefault="000E61AD" w:rsidP="000E61AD"/>
    <w:p w14:paraId="5A5D9F27" w14:textId="16EDF7E3" w:rsidR="000E61AD" w:rsidRPr="00480DF6" w:rsidRDefault="00147957" w:rsidP="000E61AD">
      <w:pPr>
        <w:jc w:val="center"/>
      </w:pPr>
      <w:r>
        <w:t>January 2015</w:t>
      </w:r>
    </w:p>
    <w:p w14:paraId="54AF7F59" w14:textId="77777777" w:rsidR="000E61AD" w:rsidRDefault="000E61AD" w:rsidP="000E61AD"/>
    <w:p w14:paraId="6BB54D8D" w14:textId="77777777" w:rsidR="000E61AD" w:rsidRDefault="000E61AD" w:rsidP="000E61AD"/>
    <w:p w14:paraId="256CFA5C" w14:textId="77777777" w:rsidR="000E61AD" w:rsidRDefault="000E61AD" w:rsidP="000E61AD">
      <w:pPr>
        <w:spacing w:line="240" w:lineRule="auto"/>
        <w:jc w:val="center"/>
      </w:pPr>
      <w:r>
        <w:t>Submitted by:</w:t>
      </w:r>
    </w:p>
    <w:p w14:paraId="60CD50B2" w14:textId="77777777" w:rsidR="000E61AD" w:rsidRDefault="000E61AD" w:rsidP="000E61AD">
      <w:pPr>
        <w:spacing w:line="240" w:lineRule="auto"/>
        <w:jc w:val="center"/>
      </w:pPr>
      <w:r>
        <w:t>Office of Adolescent Health</w:t>
      </w:r>
    </w:p>
    <w:p w14:paraId="3F9D9C20" w14:textId="77777777" w:rsidR="000E61AD" w:rsidRDefault="000E61AD" w:rsidP="000E61AD">
      <w:pPr>
        <w:spacing w:line="240" w:lineRule="auto"/>
        <w:jc w:val="center"/>
      </w:pPr>
      <w:r>
        <w:t>U.S. Department of Health and Human Services</w:t>
      </w:r>
    </w:p>
    <w:p w14:paraId="1C7B3AD7" w14:textId="77777777" w:rsidR="000E61AD" w:rsidRDefault="000E61AD" w:rsidP="000E61AD">
      <w:pPr>
        <w:spacing w:line="240" w:lineRule="auto"/>
        <w:jc w:val="center"/>
      </w:pPr>
      <w:r>
        <w:t>1101 Wootton Parkway, Suite 700</w:t>
      </w:r>
    </w:p>
    <w:p w14:paraId="3E8CFAF6" w14:textId="77777777" w:rsidR="000E61AD" w:rsidRDefault="000E61AD" w:rsidP="000E61AD">
      <w:pPr>
        <w:spacing w:line="240" w:lineRule="auto"/>
        <w:jc w:val="center"/>
      </w:pPr>
      <w:r>
        <w:t>Rockville, MD 20852</w:t>
      </w:r>
    </w:p>
    <w:p w14:paraId="41847354" w14:textId="77777777" w:rsidR="000E61AD" w:rsidRDefault="000E61AD" w:rsidP="000E61AD">
      <w:pPr>
        <w:jc w:val="center"/>
      </w:pPr>
    </w:p>
    <w:p w14:paraId="11492DB1" w14:textId="77777777" w:rsidR="000E61AD" w:rsidRPr="00BA3E23" w:rsidRDefault="000E61AD" w:rsidP="000E61AD">
      <w:pPr>
        <w:jc w:val="center"/>
      </w:pPr>
      <w:r>
        <w:t>Project Officer: Amy Farb</w:t>
      </w:r>
    </w:p>
    <w:p w14:paraId="7E4BA116" w14:textId="77777777" w:rsidR="00FF2B36" w:rsidRDefault="00FF2B36" w:rsidP="00561BF5">
      <w:pPr>
        <w:spacing w:after="120" w:line="240" w:lineRule="auto"/>
        <w:ind w:firstLine="0"/>
        <w:rPr>
          <w:rFonts w:ascii="Lucida Sans" w:hAnsi="Lucida Sans"/>
          <w:sz w:val="22"/>
          <w:szCs w:val="22"/>
        </w:rPr>
      </w:pPr>
    </w:p>
    <w:p w14:paraId="366FBE68" w14:textId="77777777" w:rsidR="00561BF5" w:rsidRDefault="00561BF5" w:rsidP="00561BF5">
      <w:pPr>
        <w:spacing w:after="480" w:line="240" w:lineRule="auto"/>
        <w:ind w:firstLine="0"/>
        <w:rPr>
          <w:rFonts w:ascii="Lucida Sans" w:hAnsi="Lucida Sans"/>
          <w:sz w:val="22"/>
          <w:szCs w:val="22"/>
        </w:rPr>
      </w:pPr>
    </w:p>
    <w:p w14:paraId="77E86788" w14:textId="77777777" w:rsidR="002050B7" w:rsidRDefault="002050B7" w:rsidP="00424CA6">
      <w:pPr>
        <w:tabs>
          <w:tab w:val="right" w:leader="dot" w:pos="9360"/>
        </w:tabs>
        <w:ind w:right="-90"/>
        <w:rPr>
          <w:rFonts w:ascii="Lucida Sans" w:hAnsi="Lucida Sans"/>
          <w:sz w:val="22"/>
          <w:szCs w:val="22"/>
        </w:rPr>
        <w:sectPr w:rsidR="002050B7" w:rsidSect="00426F0B">
          <w:footerReference w:type="default" r:id="rId11"/>
          <w:endnotePr>
            <w:numFmt w:val="decimal"/>
          </w:endnotePr>
          <w:pgSz w:w="12240" w:h="15840" w:code="1"/>
          <w:pgMar w:top="1440" w:right="1440" w:bottom="576" w:left="1440" w:header="720" w:footer="576" w:gutter="0"/>
          <w:pgNumType w:fmt="lowerRoman"/>
          <w:cols w:space="720"/>
          <w:docGrid w:linePitch="326"/>
        </w:sectPr>
      </w:pPr>
    </w:p>
    <w:bookmarkEnd w:id="0"/>
    <w:p w14:paraId="29D8BEC0" w14:textId="0891E623" w:rsidR="00B452F7" w:rsidRPr="00CF1EE8" w:rsidRDefault="00147957" w:rsidP="00B452F7">
      <w:pPr>
        <w:pStyle w:val="Heading1"/>
        <w:spacing w:before="240" w:after="240"/>
        <w:rPr>
          <w:rFonts w:ascii="Lucida Sans" w:hAnsi="Lucida Sans"/>
          <w:caps w:val="0"/>
        </w:rPr>
      </w:pPr>
      <w:r>
        <w:rPr>
          <w:rFonts w:ascii="Lucida Sans" w:hAnsi="Lucida Sans"/>
        </w:rPr>
        <w:lastRenderedPageBreak/>
        <w:t>INTRODUCTION</w:t>
      </w:r>
    </w:p>
    <w:p w14:paraId="6F8A5ACB" w14:textId="135A6B6B" w:rsidR="00FC4D67" w:rsidRDefault="00147957" w:rsidP="00FC4D67">
      <w:pPr>
        <w:pStyle w:val="NormalSS"/>
      </w:pPr>
      <w:r>
        <w:t>The Office of Adolescent Health (OAH)</w:t>
      </w:r>
      <w:r w:rsidR="009F749F">
        <w:t xml:space="preserve"> is requesting an extension through September </w:t>
      </w:r>
      <w:r>
        <w:t>14</w:t>
      </w:r>
      <w:r w:rsidR="009F749F">
        <w:t>, 2016</w:t>
      </w:r>
      <w:r w:rsidR="00941925">
        <w:t xml:space="preserve"> </w:t>
      </w:r>
      <w:r>
        <w:t>of</w:t>
      </w:r>
      <w:r w:rsidR="00E641E1">
        <w:t xml:space="preserve"> the OMB No. 0990-0382</w:t>
      </w:r>
      <w:r>
        <w:t xml:space="preserve">, </w:t>
      </w:r>
      <w:r w:rsidR="00941925" w:rsidRPr="002239A8">
        <w:t>Evaluation of Adolescent Pregnancy Prevention Approaches (PPA)</w:t>
      </w:r>
      <w:r w:rsidR="00941925">
        <w:t xml:space="preserve"> Follow-up Data Collection, currently approved through May 31, 2015.</w:t>
      </w:r>
      <w:r w:rsidR="00B452F7" w:rsidRPr="002239A8">
        <w:t xml:space="preserve"> </w:t>
      </w:r>
      <w:r w:rsidR="00941925">
        <w:t xml:space="preserve">The PPA study is </w:t>
      </w:r>
      <w:r w:rsidR="00B452F7" w:rsidRPr="002239A8">
        <w:t>an eight-year</w:t>
      </w:r>
      <w:r>
        <w:t xml:space="preserve"> multi-site</w:t>
      </w:r>
      <w:r w:rsidR="00B452F7" w:rsidRPr="002239A8">
        <w:t xml:space="preserve"> </w:t>
      </w:r>
      <w:r>
        <w:t>random assignment evaluation</w:t>
      </w:r>
      <w:r w:rsidR="00B452F7" w:rsidRPr="002239A8">
        <w:t xml:space="preserve"> designed</w:t>
      </w:r>
      <w:r w:rsidR="00FC4D67">
        <w:t xml:space="preserve"> to study the effectiveness of promising approaches to teen pregnancy prevention</w:t>
      </w:r>
      <w:r w:rsidR="00093ECC" w:rsidRPr="002239A8">
        <w:t>.</w:t>
      </w:r>
      <w:r w:rsidR="00093ECC">
        <w:t xml:space="preserve"> </w:t>
      </w:r>
      <w:r w:rsidR="00FC4D67">
        <w:t>OAH is requesting this extension</w:t>
      </w:r>
      <w:r w:rsidR="002F47BF">
        <w:t xml:space="preserve"> in order to accommodate the </w:t>
      </w:r>
      <w:r w:rsidR="0025276E">
        <w:t xml:space="preserve">ongoing follow-up data collection, </w:t>
      </w:r>
      <w:r w:rsidR="002F47BF">
        <w:t xml:space="preserve">which will extend past the current OMB expiration date. </w:t>
      </w:r>
      <w:r w:rsidR="007561F0">
        <w:t>This exten</w:t>
      </w:r>
      <w:r w:rsidR="00FC4D67">
        <w:t>sion request does not involve changes to the data collection</w:t>
      </w:r>
      <w:r w:rsidR="007561F0">
        <w:t xml:space="preserve"> instruments previously approved by OMB, which are included in this submission for reference. The previously approved burden </w:t>
      </w:r>
      <w:r w:rsidR="0083149A">
        <w:t>estimates have</w:t>
      </w:r>
      <w:r w:rsidR="007561F0">
        <w:t xml:space="preserve"> been updated to reflect the current</w:t>
      </w:r>
      <w:r w:rsidR="0083149A">
        <w:t xml:space="preserve"> data co</w:t>
      </w:r>
      <w:r w:rsidR="0025276E">
        <w:t>llection progress. These updated</w:t>
      </w:r>
      <w:r w:rsidR="0083149A">
        <w:t xml:space="preserve"> estimates are</w:t>
      </w:r>
      <w:r w:rsidR="007561F0">
        <w:t xml:space="preserve"> presented in this submission.</w:t>
      </w:r>
    </w:p>
    <w:p w14:paraId="7BF106B5" w14:textId="77777777" w:rsidR="00FC4D67" w:rsidRPr="002A59C9" w:rsidRDefault="00FC4D67" w:rsidP="00FC4D67">
      <w:pPr>
        <w:pStyle w:val="Heading2Black"/>
        <w:tabs>
          <w:tab w:val="clear" w:pos="432"/>
          <w:tab w:val="left" w:pos="540"/>
        </w:tabs>
        <w:ind w:left="540" w:hanging="540"/>
      </w:pPr>
      <w:bookmarkStart w:id="2" w:name="_Toc378184768"/>
      <w:r w:rsidRPr="00EF07DC">
        <w:t>A1.</w:t>
      </w:r>
      <w:r w:rsidRPr="00EF07DC">
        <w:tab/>
        <w:t>Circumstances Making the Collection of Information Necessary</w:t>
      </w:r>
      <w:bookmarkEnd w:id="2"/>
    </w:p>
    <w:p w14:paraId="689B3FA5" w14:textId="77777777" w:rsidR="00FC4D67" w:rsidRPr="00987EB9" w:rsidRDefault="00FC4D67" w:rsidP="00FC4D67">
      <w:pPr>
        <w:pStyle w:val="Heading3"/>
      </w:pPr>
      <w:bookmarkStart w:id="3" w:name="_Toc378184769"/>
      <w:r>
        <w:t>a</w:t>
      </w:r>
      <w:r w:rsidRPr="00987EB9">
        <w:t>.</w:t>
      </w:r>
      <w:r>
        <w:tab/>
      </w:r>
      <w:r w:rsidRPr="00987EB9">
        <w:t>Back</w:t>
      </w:r>
      <w:r>
        <w:t>g</w:t>
      </w:r>
      <w:r w:rsidRPr="00987EB9">
        <w:t>round</w:t>
      </w:r>
    </w:p>
    <w:p w14:paraId="154CD0D1" w14:textId="3596A387" w:rsidR="009F1D74" w:rsidRDefault="00FC4D67" w:rsidP="009F1D74">
      <w:pPr>
        <w:pStyle w:val="NormalSScontinued"/>
      </w:pPr>
      <w:r w:rsidRPr="00987EB9">
        <w:tab/>
      </w:r>
      <w:r w:rsidRPr="00341B7B">
        <w:t>High rates of teen pregnancy, sexual</w:t>
      </w:r>
      <w:r>
        <w:t>ly transmitted infections</w:t>
      </w:r>
      <w:r w:rsidR="00A13A7E">
        <w:t xml:space="preserve"> (STIs)</w:t>
      </w:r>
      <w:r w:rsidRPr="00341B7B">
        <w:t xml:space="preserve">, and associated sexual risk behaviors remain a troubling issue in the United States. Nationwide, 24 percent </w:t>
      </w:r>
      <w:r>
        <w:t xml:space="preserve">of high school students </w:t>
      </w:r>
      <w:r w:rsidRPr="00341B7B">
        <w:t>report having had fou</w:t>
      </w:r>
      <w:r>
        <w:t>r or more partners by graduation, and</w:t>
      </w:r>
      <w:r w:rsidRPr="00341B7B">
        <w:t xml:space="preserve"> nearly 40 percent of sexu</w:t>
      </w:r>
      <w:r>
        <w:t>ally active students</w:t>
      </w:r>
      <w:r w:rsidRPr="00341B7B">
        <w:t xml:space="preserve"> had not used a condom during their last sexual intercourse. These behaviors increase the risks of pregnancy and STIs, including HIV. Pr</w:t>
      </w:r>
      <w:r>
        <w:t>eliminary national data for 2012</w:t>
      </w:r>
      <w:r w:rsidRPr="00341B7B">
        <w:t xml:space="preserve"> indica</w:t>
      </w:r>
      <w:r>
        <w:t>te there were approximately 29.4</w:t>
      </w:r>
      <w:r w:rsidRPr="00341B7B">
        <w:t xml:space="preserve"> births per 1,000 females</w:t>
      </w:r>
      <w:r>
        <w:t xml:space="preserve"> 15 to 19 years of age</w:t>
      </w:r>
      <w:r w:rsidRPr="00341B7B">
        <w:t>, a rate higher than in most other industrialized</w:t>
      </w:r>
      <w:r>
        <w:t xml:space="preserve"> countries</w:t>
      </w:r>
      <w:r w:rsidRPr="00341B7B">
        <w:t>. In addition, estimates suggest that adolescents and young adults account for half of all new S</w:t>
      </w:r>
      <w:r w:rsidR="009F1D74">
        <w:t>TI cases in the United States every year.</w:t>
      </w:r>
    </w:p>
    <w:p w14:paraId="0F8F4F98" w14:textId="61E97911" w:rsidR="009F1D74" w:rsidRPr="009F1D74" w:rsidRDefault="009F1D74" w:rsidP="009F1D74">
      <w:pPr>
        <w:pStyle w:val="NormalSS"/>
      </w:pPr>
      <w:r>
        <w:t>Policymakers and practitioners have had a long-standing interest in identifying programs effective in reducing these risks. To date, researchers have identified more than two dozen teen pregnancy prevention programs with evidence of effectiveness of reducing teen pregnancy, STIs, and associated sexual behaviors. However, there is still need to identify a broader range of effective progr</w:t>
      </w:r>
      <w:r w:rsidR="00137673">
        <w:t>ams and approaches, especially those targeting high-risk populations. As a result, researchers and practitioners continue to develop and test innovative new approaches to teen pregnancy prevention.</w:t>
      </w:r>
    </w:p>
    <w:p w14:paraId="7D1C52A7" w14:textId="77777777" w:rsidR="00FC4D67" w:rsidRDefault="00FC4D67" w:rsidP="00FC4D67">
      <w:pPr>
        <w:pStyle w:val="Heading3"/>
      </w:pPr>
      <w:r>
        <w:t>b.</w:t>
      </w:r>
      <w:r>
        <w:tab/>
      </w:r>
      <w:r w:rsidRPr="006F460A">
        <w:t>Legal or Administrative Requirements that Necessitate the Collection</w:t>
      </w:r>
      <w:bookmarkEnd w:id="3"/>
    </w:p>
    <w:p w14:paraId="233A7FA8" w14:textId="73E567CD" w:rsidR="00BB6357" w:rsidRDefault="00BB6357" w:rsidP="00BB6357">
      <w:pPr>
        <w:pStyle w:val="NormalSS"/>
      </w:pPr>
      <w:r w:rsidRPr="00B17503">
        <w:t>Public Law 110-161, which set fiscal year (FY) 2008 appropriations levels, included the following language: “$4,500,000 shall be available from amounts available under section 241 of the Public Health Service Act to carry out evaluations (including longitudinal evaluations) of adolescent pregnancy prevention approac</w:t>
      </w:r>
      <w:r>
        <w:t xml:space="preserve">hes.” The same language appropriated </w:t>
      </w:r>
      <w:r w:rsidRPr="00B17503">
        <w:t xml:space="preserve">$4,450,000 </w:t>
      </w:r>
      <w:r>
        <w:t>in each of FYs 2009, 2010, and 2011</w:t>
      </w:r>
      <w:r w:rsidR="001F1DF7">
        <w:t xml:space="preserve"> and $8,455,000 in each of FYs 2012, 2013, and 2014</w:t>
      </w:r>
      <w:r w:rsidRPr="00B17503">
        <w:t>.</w:t>
      </w:r>
      <w:r>
        <w:t xml:space="preserve"> These funds have been used for the PPA evaluation.</w:t>
      </w:r>
    </w:p>
    <w:p w14:paraId="6F9D21B0" w14:textId="77777777" w:rsidR="00FC4D67" w:rsidRDefault="00FC4D67" w:rsidP="00FC4D67">
      <w:pPr>
        <w:pStyle w:val="Heading3"/>
      </w:pPr>
      <w:bookmarkStart w:id="4" w:name="_Toc378184770"/>
      <w:r>
        <w:t>c</w:t>
      </w:r>
      <w:r w:rsidRPr="002307EB">
        <w:t>.</w:t>
      </w:r>
      <w:bookmarkEnd w:id="4"/>
      <w:r>
        <w:tab/>
        <w:t>Study Objectives</w:t>
      </w:r>
    </w:p>
    <w:p w14:paraId="0043EEAB" w14:textId="4554ED79" w:rsidR="00BB6357" w:rsidRDefault="0037324B" w:rsidP="00BB6357">
      <w:pPr>
        <w:pStyle w:val="NormalSS"/>
        <w:ind w:firstLine="0"/>
      </w:pPr>
      <w:r>
        <w:tab/>
        <w:t>The PPA study is designed to</w:t>
      </w:r>
      <w:r w:rsidR="00BB6357" w:rsidRPr="00BB6357">
        <w:t xml:space="preserve"> expand available evidence on effective ways to prevent and reduce pregnancy and related sexual risk behaviors among teens in the United States. The eight-year (2008-2016) evaluation is documenting and testing promising pregnancy prevention approaches in seven sites across the U</w:t>
      </w:r>
      <w:r w:rsidR="0083149A">
        <w:t>nited States, each of which has been</w:t>
      </w:r>
      <w:r w:rsidR="00BB6357" w:rsidRPr="00BB6357">
        <w:t xml:space="preserve"> implement</w:t>
      </w:r>
      <w:r w:rsidR="0083149A">
        <w:t>ing</w:t>
      </w:r>
      <w:r w:rsidR="00BB6357" w:rsidRPr="00BB6357">
        <w:t xml:space="preserve"> a different program. The PPA </w:t>
      </w:r>
      <w:r w:rsidR="00BB6357" w:rsidRPr="00BB6357">
        <w:lastRenderedPageBreak/>
        <w:t>evaluation has two components: (1) a rigorously designed impact study of the selected programs and (2) an in-depth implement</w:t>
      </w:r>
      <w:r>
        <w:t xml:space="preserve">ation analysis of each program. </w:t>
      </w:r>
      <w:r w:rsidR="00BB6357" w:rsidRPr="00BB6357">
        <w:t>The impact studies use experimental designs and longitudinal su</w:t>
      </w:r>
      <w:r w:rsidR="00A13A7E">
        <w:t>rvey data to</w:t>
      </w:r>
      <w:r w:rsidR="00BB6357" w:rsidRPr="00BB6357">
        <w:t xml:space="preserve"> </w:t>
      </w:r>
      <w:r w:rsidR="00A13A7E">
        <w:t xml:space="preserve">assess </w:t>
      </w:r>
      <w:r w:rsidR="00BB6357" w:rsidRPr="00BB6357">
        <w:t>the effectiveness of each selected program on its own, compared to a control group in the same s</w:t>
      </w:r>
      <w:r>
        <w:t>ite. The implementation analysis, which OAH completed in 2014,</w:t>
      </w:r>
      <w:r w:rsidR="00BB6357" w:rsidRPr="00BB6357">
        <w:t xml:space="preserve"> examine</w:t>
      </w:r>
      <w:r>
        <w:t>d</w:t>
      </w:r>
      <w:r w:rsidR="00BB6357" w:rsidRPr="00BB6357">
        <w:t xml:space="preserve"> the context a</w:t>
      </w:r>
      <w:r w:rsidR="0083149A">
        <w:t>nd delivery of each program and</w:t>
      </w:r>
      <w:r>
        <w:t xml:space="preserve"> </w:t>
      </w:r>
      <w:r w:rsidR="00BB6357" w:rsidRPr="00BB6357">
        <w:t>provide</w:t>
      </w:r>
      <w:r w:rsidR="0083149A">
        <w:t>s</w:t>
      </w:r>
      <w:r w:rsidR="00BB6357" w:rsidRPr="00BB6357">
        <w:t xml:space="preserve"> a basis for interpreting estimates of program impacts.</w:t>
      </w:r>
    </w:p>
    <w:p w14:paraId="0D70F7D4" w14:textId="1DB9D3D4" w:rsidR="00E66DB7" w:rsidRDefault="00A13A7E" w:rsidP="00344508">
      <w:pPr>
        <w:pStyle w:val="NormalSS"/>
        <w:ind w:firstLine="0"/>
      </w:pPr>
      <w:r>
        <w:tab/>
        <w:t xml:space="preserve">OMB </w:t>
      </w:r>
      <w:r w:rsidR="0037324B">
        <w:t xml:space="preserve">approved information </w:t>
      </w:r>
      <w:r w:rsidR="00E641E1">
        <w:t>collection request No. 0990-0382</w:t>
      </w:r>
      <w:r w:rsidR="0037324B">
        <w:t xml:space="preserve"> to support follow-up data colle</w:t>
      </w:r>
      <w:r w:rsidR="00E155C0">
        <w:t xml:space="preserve">ction for the PPA impact study. </w:t>
      </w:r>
      <w:r w:rsidR="002E4A8C">
        <w:t>This follow-up d</w:t>
      </w:r>
      <w:r w:rsidR="00350243">
        <w:t xml:space="preserve">ata collection involves </w:t>
      </w:r>
      <w:r w:rsidR="0083149A">
        <w:t xml:space="preserve">longitudinal </w:t>
      </w:r>
      <w:r w:rsidR="00350243">
        <w:t>surveys administered to</w:t>
      </w:r>
      <w:r w:rsidR="0083149A">
        <w:t xml:space="preserve"> the individual youth enrolled</w:t>
      </w:r>
      <w:r w:rsidR="00350243">
        <w:t xml:space="preserve"> in each study site. To date,</w:t>
      </w:r>
      <w:r w:rsidR="002E4A8C">
        <w:t xml:space="preserve"> </w:t>
      </w:r>
      <w:r w:rsidR="00E155C0">
        <w:t>follow-up data collection has been completed in one of the seven PPA study sites, Chicago Public S</w:t>
      </w:r>
      <w:r w:rsidR="004C5319">
        <w:t xml:space="preserve">chools (Table A.1). In a second site (Live the Life Ministries), the planned follow-up data collection was canceled because the site lost funding for the teen pregnancy prevention </w:t>
      </w:r>
      <w:r w:rsidR="002E4A8C">
        <w:t>program it had been implementing</w:t>
      </w:r>
      <w:r w:rsidR="004C5319">
        <w:t xml:space="preserve">. In the five remaining </w:t>
      </w:r>
      <w:r w:rsidR="0083149A">
        <w:t xml:space="preserve">PPA </w:t>
      </w:r>
      <w:r w:rsidR="004C5319">
        <w:t xml:space="preserve">sites, </w:t>
      </w:r>
      <w:r w:rsidR="00344508">
        <w:t>follow-up data collection is expected to continue beyond the current OMB expiration date of May 31, 2015. OAH is requesting an extension to the current expiration date to complete the data collection as planned.</w:t>
      </w:r>
    </w:p>
    <w:p w14:paraId="41E04AB8" w14:textId="77777777" w:rsidR="00E66DB7" w:rsidRDefault="00CD43ED" w:rsidP="00E66DB7">
      <w:pPr>
        <w:pStyle w:val="MarkforTableHeading"/>
      </w:pPr>
      <w:r>
        <w:t>Table A.1</w:t>
      </w:r>
      <w:r w:rsidR="00E66DB7">
        <w:t xml:space="preserve">. </w:t>
      </w:r>
      <w:r w:rsidR="000A4460">
        <w:t xml:space="preserve">Follow-up </w:t>
      </w:r>
      <w:r w:rsidR="00E66DB7">
        <w:t xml:space="preserve">Data Collection Progress and Response Rates to Date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1348"/>
        <w:gridCol w:w="358"/>
        <w:gridCol w:w="1529"/>
        <w:gridCol w:w="1352"/>
        <w:gridCol w:w="359"/>
        <w:gridCol w:w="1260"/>
        <w:gridCol w:w="1350"/>
      </w:tblGrid>
      <w:tr w:rsidR="00D51949" w14:paraId="3D62EB2D" w14:textId="77777777" w:rsidTr="00A13A7E">
        <w:trPr>
          <w:tblHeader/>
        </w:trPr>
        <w:tc>
          <w:tcPr>
            <w:tcW w:w="964" w:type="pct"/>
            <w:tcBorders>
              <w:top w:val="single" w:sz="4" w:space="0" w:color="auto"/>
            </w:tcBorders>
            <w:vAlign w:val="bottom"/>
          </w:tcPr>
          <w:p w14:paraId="20DCB6FC" w14:textId="77777777" w:rsidR="00D51949" w:rsidRDefault="00D51949" w:rsidP="00344508">
            <w:pPr>
              <w:pStyle w:val="TableHeaderLeft"/>
              <w:tabs>
                <w:tab w:val="clear" w:pos="432"/>
              </w:tabs>
            </w:pPr>
          </w:p>
        </w:tc>
        <w:tc>
          <w:tcPr>
            <w:tcW w:w="720" w:type="pct"/>
            <w:tcBorders>
              <w:top w:val="single" w:sz="4" w:space="0" w:color="auto"/>
            </w:tcBorders>
            <w:shd w:val="clear" w:color="auto" w:fill="auto"/>
            <w:vAlign w:val="bottom"/>
          </w:tcPr>
          <w:p w14:paraId="7008C133" w14:textId="77777777" w:rsidR="00D51949" w:rsidRDefault="00D51949">
            <w:pPr>
              <w:pStyle w:val="TableHeaderLeft"/>
              <w:tabs>
                <w:tab w:val="clear" w:pos="432"/>
              </w:tabs>
              <w:spacing w:after="0"/>
              <w:jc w:val="center"/>
            </w:pPr>
          </w:p>
        </w:tc>
        <w:tc>
          <w:tcPr>
            <w:tcW w:w="191" w:type="pct"/>
            <w:tcBorders>
              <w:top w:val="single" w:sz="4" w:space="0" w:color="auto"/>
            </w:tcBorders>
          </w:tcPr>
          <w:p w14:paraId="084C9E97" w14:textId="77777777" w:rsidR="00D51949" w:rsidRDefault="00D51949" w:rsidP="00E66DB7">
            <w:pPr>
              <w:pStyle w:val="TableText"/>
              <w:jc w:val="center"/>
            </w:pPr>
          </w:p>
        </w:tc>
        <w:tc>
          <w:tcPr>
            <w:tcW w:w="1539" w:type="pct"/>
            <w:gridSpan w:val="2"/>
            <w:tcBorders>
              <w:top w:val="single" w:sz="4" w:space="0" w:color="auto"/>
              <w:bottom w:val="single" w:sz="4" w:space="0" w:color="auto"/>
            </w:tcBorders>
            <w:shd w:val="clear" w:color="auto" w:fill="auto"/>
            <w:vAlign w:val="bottom"/>
          </w:tcPr>
          <w:p w14:paraId="6A0D2657" w14:textId="4AB57C36" w:rsidR="00D51949" w:rsidRDefault="00D51949" w:rsidP="00D51949">
            <w:pPr>
              <w:pStyle w:val="TableText"/>
              <w:spacing w:before="120" w:after="120"/>
              <w:jc w:val="center"/>
            </w:pPr>
            <w:r>
              <w:t>Data Collection</w:t>
            </w:r>
          </w:p>
        </w:tc>
        <w:tc>
          <w:tcPr>
            <w:tcW w:w="192" w:type="pct"/>
            <w:tcBorders>
              <w:top w:val="single" w:sz="4" w:space="0" w:color="auto"/>
            </w:tcBorders>
            <w:shd w:val="clear" w:color="auto" w:fill="auto"/>
            <w:vAlign w:val="bottom"/>
          </w:tcPr>
          <w:p w14:paraId="1584C18F" w14:textId="77777777" w:rsidR="00D51949" w:rsidRPr="00BC7DE6" w:rsidRDefault="00D51949" w:rsidP="00D51949">
            <w:pPr>
              <w:pStyle w:val="TableText"/>
              <w:spacing w:before="120" w:after="120"/>
              <w:jc w:val="center"/>
            </w:pPr>
          </w:p>
        </w:tc>
        <w:tc>
          <w:tcPr>
            <w:tcW w:w="1394" w:type="pct"/>
            <w:gridSpan w:val="2"/>
            <w:tcBorders>
              <w:top w:val="single" w:sz="4" w:space="0" w:color="auto"/>
              <w:bottom w:val="single" w:sz="4" w:space="0" w:color="auto"/>
            </w:tcBorders>
            <w:shd w:val="clear" w:color="auto" w:fill="auto"/>
            <w:vAlign w:val="bottom"/>
          </w:tcPr>
          <w:p w14:paraId="4A731E6C" w14:textId="4CAA9372" w:rsidR="00D51949" w:rsidRDefault="00D51949" w:rsidP="00D51949">
            <w:pPr>
              <w:pStyle w:val="TableText"/>
              <w:spacing w:before="120" w:after="120"/>
              <w:jc w:val="center"/>
            </w:pPr>
            <w:r w:rsidRPr="00632BE6">
              <w:t>Response Rates</w:t>
            </w:r>
            <w:r w:rsidR="00632BE6" w:rsidRPr="00632BE6">
              <w:t xml:space="preserve"> For Released Cases</w:t>
            </w:r>
          </w:p>
        </w:tc>
      </w:tr>
      <w:tr w:rsidR="00A13A7E" w14:paraId="61ADA566" w14:textId="77777777" w:rsidTr="00A13A7E">
        <w:trPr>
          <w:tblHeader/>
        </w:trPr>
        <w:tc>
          <w:tcPr>
            <w:tcW w:w="964" w:type="pct"/>
            <w:tcBorders>
              <w:bottom w:val="single" w:sz="4" w:space="0" w:color="auto"/>
            </w:tcBorders>
            <w:vAlign w:val="bottom"/>
          </w:tcPr>
          <w:p w14:paraId="49CC4F4F" w14:textId="4B882B11" w:rsidR="00344508" w:rsidRDefault="00344508" w:rsidP="00D51949">
            <w:pPr>
              <w:pStyle w:val="TableHeaderLeft"/>
              <w:tabs>
                <w:tab w:val="clear" w:pos="432"/>
              </w:tabs>
              <w:spacing w:after="120"/>
              <w:jc w:val="center"/>
            </w:pPr>
            <w:r>
              <w:t>Site</w:t>
            </w:r>
          </w:p>
        </w:tc>
        <w:tc>
          <w:tcPr>
            <w:tcW w:w="720" w:type="pct"/>
            <w:tcBorders>
              <w:bottom w:val="single" w:sz="4" w:space="0" w:color="auto"/>
            </w:tcBorders>
            <w:shd w:val="clear" w:color="auto" w:fill="auto"/>
            <w:vAlign w:val="bottom"/>
          </w:tcPr>
          <w:p w14:paraId="45A04BBB" w14:textId="77777777" w:rsidR="00344508" w:rsidRDefault="00344508" w:rsidP="00D51949">
            <w:pPr>
              <w:pStyle w:val="TableHeaderLeft"/>
              <w:tabs>
                <w:tab w:val="clear" w:pos="432"/>
              </w:tabs>
              <w:spacing w:after="120"/>
              <w:jc w:val="center"/>
            </w:pPr>
            <w:r>
              <w:t>Total Sample Enrolled</w:t>
            </w:r>
          </w:p>
        </w:tc>
        <w:tc>
          <w:tcPr>
            <w:tcW w:w="191" w:type="pct"/>
            <w:tcBorders>
              <w:bottom w:val="single" w:sz="4" w:space="0" w:color="auto"/>
            </w:tcBorders>
          </w:tcPr>
          <w:p w14:paraId="2EFB209C" w14:textId="77777777" w:rsidR="00344508" w:rsidRDefault="00344508" w:rsidP="00D51949">
            <w:pPr>
              <w:pStyle w:val="TableText"/>
              <w:spacing w:before="120" w:after="120"/>
              <w:jc w:val="center"/>
            </w:pPr>
          </w:p>
        </w:tc>
        <w:tc>
          <w:tcPr>
            <w:tcW w:w="817" w:type="pct"/>
            <w:tcBorders>
              <w:top w:val="single" w:sz="4" w:space="0" w:color="auto"/>
              <w:bottom w:val="single" w:sz="4" w:space="0" w:color="auto"/>
            </w:tcBorders>
            <w:shd w:val="clear" w:color="auto" w:fill="auto"/>
            <w:vAlign w:val="bottom"/>
          </w:tcPr>
          <w:p w14:paraId="318610C3" w14:textId="7E6CCCD6" w:rsidR="00344508" w:rsidRPr="00BC7DE6" w:rsidRDefault="00344508" w:rsidP="00D51949">
            <w:pPr>
              <w:pStyle w:val="TableText"/>
              <w:spacing w:before="120" w:after="120"/>
              <w:jc w:val="center"/>
            </w:pPr>
            <w:r>
              <w:t>Short-Term Follow-Up</w:t>
            </w:r>
          </w:p>
        </w:tc>
        <w:tc>
          <w:tcPr>
            <w:tcW w:w="722" w:type="pct"/>
            <w:tcBorders>
              <w:top w:val="single" w:sz="4" w:space="0" w:color="auto"/>
              <w:bottom w:val="single" w:sz="4" w:space="0" w:color="auto"/>
            </w:tcBorders>
            <w:vAlign w:val="bottom"/>
          </w:tcPr>
          <w:p w14:paraId="7F3DDBC8" w14:textId="142EC952" w:rsidR="00344508" w:rsidRDefault="00344508" w:rsidP="00D51949">
            <w:pPr>
              <w:pStyle w:val="TableText"/>
              <w:spacing w:before="120" w:after="120"/>
              <w:jc w:val="center"/>
            </w:pPr>
            <w:r>
              <w:t>Longer-Term Follow-Ups</w:t>
            </w:r>
          </w:p>
        </w:tc>
        <w:tc>
          <w:tcPr>
            <w:tcW w:w="192" w:type="pct"/>
            <w:tcBorders>
              <w:bottom w:val="single" w:sz="4" w:space="0" w:color="auto"/>
            </w:tcBorders>
            <w:shd w:val="clear" w:color="auto" w:fill="auto"/>
            <w:vAlign w:val="bottom"/>
          </w:tcPr>
          <w:p w14:paraId="03258AC9" w14:textId="77777777" w:rsidR="00344508" w:rsidRPr="00BC7DE6" w:rsidRDefault="00344508" w:rsidP="00D51949">
            <w:pPr>
              <w:pStyle w:val="TableText"/>
              <w:spacing w:before="120" w:after="120"/>
              <w:jc w:val="center"/>
            </w:pPr>
          </w:p>
        </w:tc>
        <w:tc>
          <w:tcPr>
            <w:tcW w:w="673" w:type="pct"/>
            <w:tcBorders>
              <w:top w:val="single" w:sz="4" w:space="0" w:color="auto"/>
              <w:bottom w:val="single" w:sz="4" w:space="0" w:color="auto"/>
            </w:tcBorders>
            <w:shd w:val="clear" w:color="auto" w:fill="auto"/>
            <w:vAlign w:val="bottom"/>
          </w:tcPr>
          <w:p w14:paraId="797D8616" w14:textId="13D40738" w:rsidR="00344508" w:rsidRPr="00BC7DE6" w:rsidRDefault="00A13A7E" w:rsidP="00D51949">
            <w:pPr>
              <w:pStyle w:val="TableText"/>
              <w:spacing w:before="120" w:after="120"/>
              <w:jc w:val="center"/>
            </w:pPr>
            <w:r>
              <w:t>Short-Term Follow-Up</w:t>
            </w:r>
          </w:p>
        </w:tc>
        <w:tc>
          <w:tcPr>
            <w:tcW w:w="721" w:type="pct"/>
            <w:tcBorders>
              <w:top w:val="single" w:sz="4" w:space="0" w:color="auto"/>
              <w:bottom w:val="single" w:sz="4" w:space="0" w:color="auto"/>
            </w:tcBorders>
            <w:shd w:val="clear" w:color="auto" w:fill="auto"/>
            <w:vAlign w:val="bottom"/>
          </w:tcPr>
          <w:p w14:paraId="5F8DE596" w14:textId="67AD5AE8" w:rsidR="00344508" w:rsidRPr="00BC7DE6" w:rsidRDefault="00A13A7E" w:rsidP="00D51949">
            <w:pPr>
              <w:pStyle w:val="TableText"/>
              <w:spacing w:before="120" w:after="120"/>
              <w:jc w:val="center"/>
            </w:pPr>
            <w:r>
              <w:t>Longer-Term Follow-Ups</w:t>
            </w:r>
          </w:p>
        </w:tc>
      </w:tr>
      <w:tr w:rsidR="00A13A7E" w14:paraId="05953314" w14:textId="77777777" w:rsidTr="00A13A7E">
        <w:tc>
          <w:tcPr>
            <w:tcW w:w="964" w:type="pct"/>
            <w:tcBorders>
              <w:top w:val="single" w:sz="4" w:space="0" w:color="auto"/>
            </w:tcBorders>
            <w:vAlign w:val="center"/>
          </w:tcPr>
          <w:p w14:paraId="5DAF2833" w14:textId="4DD52ABB" w:rsidR="00344508" w:rsidRPr="00BC7DE6" w:rsidRDefault="00344508" w:rsidP="000C05BD">
            <w:pPr>
              <w:pStyle w:val="TableText"/>
              <w:spacing w:before="120" w:after="120"/>
              <w:jc w:val="center"/>
            </w:pPr>
            <w:r w:rsidRPr="00BC7DE6">
              <w:t>Chicago Public Schools</w:t>
            </w:r>
          </w:p>
        </w:tc>
        <w:tc>
          <w:tcPr>
            <w:tcW w:w="720" w:type="pct"/>
            <w:tcBorders>
              <w:top w:val="single" w:sz="4" w:space="0" w:color="auto"/>
            </w:tcBorders>
            <w:shd w:val="clear" w:color="auto" w:fill="auto"/>
            <w:vAlign w:val="center"/>
          </w:tcPr>
          <w:p w14:paraId="11AB6E07" w14:textId="77777777" w:rsidR="00344508" w:rsidRDefault="00344508" w:rsidP="000C05BD">
            <w:pPr>
              <w:pStyle w:val="TableText"/>
              <w:spacing w:before="120" w:after="120"/>
              <w:jc w:val="center"/>
            </w:pPr>
            <w:r>
              <w:t>1535</w:t>
            </w:r>
          </w:p>
        </w:tc>
        <w:tc>
          <w:tcPr>
            <w:tcW w:w="191" w:type="pct"/>
            <w:tcBorders>
              <w:top w:val="single" w:sz="4" w:space="0" w:color="auto"/>
            </w:tcBorders>
            <w:vAlign w:val="center"/>
          </w:tcPr>
          <w:p w14:paraId="7E928936" w14:textId="77777777" w:rsidR="00344508" w:rsidRDefault="00344508" w:rsidP="000C05BD">
            <w:pPr>
              <w:pStyle w:val="TableText"/>
              <w:spacing w:before="120" w:after="120"/>
              <w:jc w:val="center"/>
            </w:pPr>
          </w:p>
        </w:tc>
        <w:tc>
          <w:tcPr>
            <w:tcW w:w="817" w:type="pct"/>
            <w:tcBorders>
              <w:top w:val="single" w:sz="4" w:space="0" w:color="auto"/>
            </w:tcBorders>
            <w:shd w:val="clear" w:color="auto" w:fill="auto"/>
            <w:vAlign w:val="center"/>
          </w:tcPr>
          <w:p w14:paraId="78A8ACA6" w14:textId="731EC5AE" w:rsidR="00344508" w:rsidRPr="00BC7DE6" w:rsidRDefault="00344508" w:rsidP="000C05BD">
            <w:pPr>
              <w:pStyle w:val="TableText"/>
              <w:spacing w:before="120" w:after="120"/>
              <w:jc w:val="center"/>
            </w:pPr>
            <w:r>
              <w:t>Completed</w:t>
            </w:r>
          </w:p>
        </w:tc>
        <w:tc>
          <w:tcPr>
            <w:tcW w:w="722" w:type="pct"/>
            <w:tcBorders>
              <w:top w:val="single" w:sz="4" w:space="0" w:color="auto"/>
            </w:tcBorders>
            <w:vAlign w:val="center"/>
          </w:tcPr>
          <w:p w14:paraId="79F45FA7" w14:textId="77777777" w:rsidR="00344508" w:rsidRPr="00BC7DE6" w:rsidRDefault="00344508" w:rsidP="000C05BD">
            <w:pPr>
              <w:pStyle w:val="TableText"/>
              <w:spacing w:before="120" w:after="120"/>
              <w:jc w:val="center"/>
            </w:pPr>
            <w:r>
              <w:t>Completed</w:t>
            </w:r>
          </w:p>
        </w:tc>
        <w:tc>
          <w:tcPr>
            <w:tcW w:w="192" w:type="pct"/>
            <w:tcBorders>
              <w:top w:val="single" w:sz="4" w:space="0" w:color="auto"/>
            </w:tcBorders>
            <w:shd w:val="clear" w:color="auto" w:fill="auto"/>
            <w:vAlign w:val="center"/>
          </w:tcPr>
          <w:p w14:paraId="2F06738B" w14:textId="77777777" w:rsidR="00344508" w:rsidRPr="00BC7DE6" w:rsidRDefault="00344508" w:rsidP="000C05BD">
            <w:pPr>
              <w:pStyle w:val="TableText"/>
              <w:spacing w:before="120" w:after="120"/>
              <w:jc w:val="center"/>
            </w:pPr>
          </w:p>
        </w:tc>
        <w:tc>
          <w:tcPr>
            <w:tcW w:w="673" w:type="pct"/>
            <w:tcBorders>
              <w:top w:val="single" w:sz="4" w:space="0" w:color="auto"/>
            </w:tcBorders>
            <w:shd w:val="clear" w:color="auto" w:fill="auto"/>
            <w:vAlign w:val="center"/>
          </w:tcPr>
          <w:p w14:paraId="702D0C6A" w14:textId="77777777" w:rsidR="00344508" w:rsidRPr="00BC7DE6" w:rsidRDefault="00344508" w:rsidP="000C05BD">
            <w:pPr>
              <w:pStyle w:val="TableText"/>
              <w:spacing w:before="120" w:after="120"/>
              <w:jc w:val="center"/>
            </w:pPr>
            <w:r>
              <w:t>94%</w:t>
            </w:r>
          </w:p>
        </w:tc>
        <w:tc>
          <w:tcPr>
            <w:tcW w:w="721" w:type="pct"/>
            <w:tcBorders>
              <w:top w:val="single" w:sz="4" w:space="0" w:color="auto"/>
            </w:tcBorders>
            <w:shd w:val="clear" w:color="auto" w:fill="auto"/>
            <w:vAlign w:val="center"/>
          </w:tcPr>
          <w:p w14:paraId="0B42326D" w14:textId="77777777" w:rsidR="00344508" w:rsidRPr="00BC7DE6" w:rsidRDefault="00344508" w:rsidP="000C05BD">
            <w:pPr>
              <w:pStyle w:val="TableText"/>
              <w:spacing w:before="120" w:after="120"/>
              <w:jc w:val="center"/>
            </w:pPr>
            <w:r>
              <w:t>90%</w:t>
            </w:r>
          </w:p>
        </w:tc>
      </w:tr>
      <w:tr w:rsidR="00A13A7E" w14:paraId="47158FAE" w14:textId="77777777" w:rsidTr="00A13A7E">
        <w:tc>
          <w:tcPr>
            <w:tcW w:w="964" w:type="pct"/>
            <w:vAlign w:val="center"/>
          </w:tcPr>
          <w:p w14:paraId="69699095" w14:textId="34CBBB4A" w:rsidR="00101AB3" w:rsidRPr="00BC7DE6" w:rsidRDefault="00101AB3" w:rsidP="00101AB3">
            <w:pPr>
              <w:pStyle w:val="TableText"/>
              <w:spacing w:before="120" w:after="120"/>
              <w:jc w:val="center"/>
            </w:pPr>
            <w:r w:rsidRPr="00BC7DE6">
              <w:t>Oklahoma Institute for Child Advocacy (OICA)</w:t>
            </w:r>
          </w:p>
        </w:tc>
        <w:tc>
          <w:tcPr>
            <w:tcW w:w="720" w:type="pct"/>
            <w:shd w:val="clear" w:color="auto" w:fill="auto"/>
            <w:vAlign w:val="center"/>
          </w:tcPr>
          <w:p w14:paraId="11DC908E" w14:textId="06DCE858" w:rsidR="00101AB3" w:rsidRDefault="00101AB3" w:rsidP="00101AB3">
            <w:pPr>
              <w:pStyle w:val="TableText"/>
              <w:spacing w:before="120" w:after="120"/>
              <w:jc w:val="center"/>
            </w:pPr>
            <w:r>
              <w:t>1039</w:t>
            </w:r>
          </w:p>
        </w:tc>
        <w:tc>
          <w:tcPr>
            <w:tcW w:w="191" w:type="pct"/>
            <w:vAlign w:val="center"/>
          </w:tcPr>
          <w:p w14:paraId="55A244B1" w14:textId="77777777" w:rsidR="00101AB3" w:rsidRDefault="00101AB3" w:rsidP="00101AB3">
            <w:pPr>
              <w:pStyle w:val="TableText"/>
              <w:spacing w:before="120" w:after="120"/>
              <w:jc w:val="center"/>
            </w:pPr>
          </w:p>
        </w:tc>
        <w:tc>
          <w:tcPr>
            <w:tcW w:w="817" w:type="pct"/>
            <w:shd w:val="clear" w:color="auto" w:fill="auto"/>
            <w:vAlign w:val="center"/>
          </w:tcPr>
          <w:p w14:paraId="4D32217A" w14:textId="63CA1F01" w:rsidR="00101AB3" w:rsidRDefault="00101AB3" w:rsidP="00101AB3">
            <w:pPr>
              <w:pStyle w:val="TableText"/>
              <w:spacing w:before="120" w:after="120"/>
              <w:jc w:val="center"/>
            </w:pPr>
            <w:r>
              <w:t>Completed</w:t>
            </w:r>
          </w:p>
        </w:tc>
        <w:tc>
          <w:tcPr>
            <w:tcW w:w="722" w:type="pct"/>
            <w:vAlign w:val="center"/>
          </w:tcPr>
          <w:p w14:paraId="173B23BC" w14:textId="5C145B8D" w:rsidR="00101AB3" w:rsidRDefault="00101AB3" w:rsidP="00101AB3">
            <w:pPr>
              <w:pStyle w:val="TableText"/>
              <w:spacing w:before="120" w:after="120"/>
              <w:jc w:val="center"/>
            </w:pPr>
            <w:r>
              <w:t>Continuing Through 9/2015</w:t>
            </w:r>
          </w:p>
        </w:tc>
        <w:tc>
          <w:tcPr>
            <w:tcW w:w="192" w:type="pct"/>
            <w:shd w:val="clear" w:color="auto" w:fill="auto"/>
            <w:vAlign w:val="center"/>
          </w:tcPr>
          <w:p w14:paraId="52D691AD" w14:textId="77777777" w:rsidR="00101AB3" w:rsidRPr="00BC7DE6" w:rsidRDefault="00101AB3" w:rsidP="00101AB3">
            <w:pPr>
              <w:pStyle w:val="TableText"/>
              <w:spacing w:before="120" w:after="120"/>
              <w:jc w:val="center"/>
            </w:pPr>
          </w:p>
        </w:tc>
        <w:tc>
          <w:tcPr>
            <w:tcW w:w="673" w:type="pct"/>
            <w:shd w:val="clear" w:color="auto" w:fill="auto"/>
            <w:vAlign w:val="center"/>
          </w:tcPr>
          <w:p w14:paraId="0C9F8466" w14:textId="14092989" w:rsidR="00101AB3" w:rsidRDefault="00101AB3" w:rsidP="00101AB3">
            <w:pPr>
              <w:pStyle w:val="TableText"/>
              <w:spacing w:before="120" w:after="120"/>
              <w:jc w:val="center"/>
            </w:pPr>
            <w:r>
              <w:t>84%</w:t>
            </w:r>
          </w:p>
        </w:tc>
        <w:tc>
          <w:tcPr>
            <w:tcW w:w="721" w:type="pct"/>
            <w:shd w:val="clear" w:color="auto" w:fill="auto"/>
            <w:vAlign w:val="center"/>
          </w:tcPr>
          <w:p w14:paraId="5EA6FBC5" w14:textId="3E8B232B" w:rsidR="00101AB3" w:rsidRDefault="00101AB3" w:rsidP="00101AB3">
            <w:pPr>
              <w:pStyle w:val="TableText"/>
              <w:spacing w:before="120" w:after="120"/>
              <w:jc w:val="center"/>
            </w:pPr>
            <w:r>
              <w:t>84%</w:t>
            </w:r>
          </w:p>
        </w:tc>
      </w:tr>
      <w:tr w:rsidR="00A13A7E" w14:paraId="1DEF2E41" w14:textId="77777777" w:rsidTr="00A13A7E">
        <w:tc>
          <w:tcPr>
            <w:tcW w:w="964" w:type="pct"/>
            <w:vAlign w:val="center"/>
          </w:tcPr>
          <w:p w14:paraId="47D53193" w14:textId="05D53615" w:rsidR="00101AB3" w:rsidRPr="00BC7DE6" w:rsidRDefault="00101AB3" w:rsidP="00101AB3">
            <w:pPr>
              <w:pStyle w:val="TableText"/>
              <w:spacing w:before="120" w:after="120"/>
              <w:jc w:val="center"/>
            </w:pPr>
            <w:r w:rsidRPr="00BC7DE6">
              <w:t>OhioHealth</w:t>
            </w:r>
          </w:p>
        </w:tc>
        <w:tc>
          <w:tcPr>
            <w:tcW w:w="720" w:type="pct"/>
            <w:shd w:val="clear" w:color="auto" w:fill="auto"/>
            <w:vAlign w:val="center"/>
          </w:tcPr>
          <w:p w14:paraId="6A8FA635" w14:textId="77777777" w:rsidR="00101AB3" w:rsidRDefault="00101AB3" w:rsidP="00101AB3">
            <w:pPr>
              <w:pStyle w:val="TableText"/>
              <w:spacing w:before="120" w:after="120"/>
              <w:jc w:val="center"/>
            </w:pPr>
            <w:r>
              <w:t>598</w:t>
            </w:r>
          </w:p>
        </w:tc>
        <w:tc>
          <w:tcPr>
            <w:tcW w:w="191" w:type="pct"/>
            <w:vAlign w:val="center"/>
          </w:tcPr>
          <w:p w14:paraId="5997BFDD" w14:textId="77777777" w:rsidR="00101AB3" w:rsidRDefault="00101AB3" w:rsidP="00101AB3">
            <w:pPr>
              <w:pStyle w:val="TableText"/>
              <w:spacing w:before="120" w:after="120"/>
              <w:jc w:val="center"/>
            </w:pPr>
          </w:p>
        </w:tc>
        <w:tc>
          <w:tcPr>
            <w:tcW w:w="817" w:type="pct"/>
            <w:shd w:val="clear" w:color="auto" w:fill="auto"/>
            <w:vAlign w:val="center"/>
          </w:tcPr>
          <w:p w14:paraId="23E831AC" w14:textId="56A6D720" w:rsidR="00101AB3" w:rsidRPr="00BC7DE6" w:rsidRDefault="00101AB3" w:rsidP="00101AB3">
            <w:pPr>
              <w:pStyle w:val="TableText"/>
              <w:spacing w:before="120" w:after="120"/>
              <w:jc w:val="center"/>
            </w:pPr>
            <w:r>
              <w:t>Completed</w:t>
            </w:r>
          </w:p>
        </w:tc>
        <w:tc>
          <w:tcPr>
            <w:tcW w:w="722" w:type="pct"/>
            <w:vAlign w:val="center"/>
          </w:tcPr>
          <w:p w14:paraId="1DC654F9" w14:textId="2E5AC637" w:rsidR="00101AB3" w:rsidRPr="00BC7DE6" w:rsidRDefault="00101AB3" w:rsidP="00101AB3">
            <w:pPr>
              <w:pStyle w:val="TableText"/>
              <w:spacing w:before="120" w:after="120"/>
              <w:jc w:val="center"/>
            </w:pPr>
            <w:r>
              <w:t>Continuing Through 9/2016</w:t>
            </w:r>
          </w:p>
        </w:tc>
        <w:tc>
          <w:tcPr>
            <w:tcW w:w="192" w:type="pct"/>
            <w:shd w:val="clear" w:color="auto" w:fill="auto"/>
            <w:vAlign w:val="center"/>
          </w:tcPr>
          <w:p w14:paraId="5CB6A4DB" w14:textId="77777777" w:rsidR="00101AB3" w:rsidRPr="00BC7DE6" w:rsidRDefault="00101AB3" w:rsidP="00101AB3">
            <w:pPr>
              <w:pStyle w:val="TableText"/>
              <w:spacing w:before="120" w:after="120"/>
              <w:jc w:val="center"/>
            </w:pPr>
          </w:p>
        </w:tc>
        <w:tc>
          <w:tcPr>
            <w:tcW w:w="673" w:type="pct"/>
            <w:shd w:val="clear" w:color="auto" w:fill="auto"/>
            <w:vAlign w:val="center"/>
          </w:tcPr>
          <w:p w14:paraId="3FFD6453" w14:textId="77777777" w:rsidR="00101AB3" w:rsidRPr="00BC7DE6" w:rsidRDefault="00101AB3" w:rsidP="00101AB3">
            <w:pPr>
              <w:pStyle w:val="TableText"/>
              <w:spacing w:before="120" w:after="120"/>
              <w:jc w:val="center"/>
            </w:pPr>
            <w:r>
              <w:t>82%</w:t>
            </w:r>
          </w:p>
        </w:tc>
        <w:tc>
          <w:tcPr>
            <w:tcW w:w="721" w:type="pct"/>
            <w:shd w:val="clear" w:color="auto" w:fill="auto"/>
            <w:vAlign w:val="center"/>
          </w:tcPr>
          <w:p w14:paraId="76FE8988" w14:textId="77777777" w:rsidR="00101AB3" w:rsidRPr="00BC7DE6" w:rsidRDefault="00101AB3" w:rsidP="00101AB3">
            <w:pPr>
              <w:pStyle w:val="TableText"/>
              <w:spacing w:before="120" w:after="120"/>
              <w:jc w:val="center"/>
            </w:pPr>
            <w:r>
              <w:t>75%</w:t>
            </w:r>
          </w:p>
        </w:tc>
      </w:tr>
      <w:tr w:rsidR="00A13A7E" w14:paraId="6AEFB412" w14:textId="77777777" w:rsidTr="00A13A7E">
        <w:tc>
          <w:tcPr>
            <w:tcW w:w="964" w:type="pct"/>
            <w:vAlign w:val="center"/>
          </w:tcPr>
          <w:p w14:paraId="7BCE3339" w14:textId="62FAED38" w:rsidR="00101AB3" w:rsidRPr="00BC7DE6" w:rsidRDefault="00101AB3" w:rsidP="00101AB3">
            <w:pPr>
              <w:pStyle w:val="TableText"/>
              <w:spacing w:before="120" w:after="120"/>
              <w:jc w:val="center"/>
            </w:pPr>
            <w:r>
              <w:t>Children’s Hospital Los Angeles</w:t>
            </w:r>
          </w:p>
        </w:tc>
        <w:tc>
          <w:tcPr>
            <w:tcW w:w="720" w:type="pct"/>
            <w:shd w:val="clear" w:color="auto" w:fill="auto"/>
            <w:vAlign w:val="center"/>
          </w:tcPr>
          <w:p w14:paraId="31FDB7E6" w14:textId="77777777" w:rsidR="00101AB3" w:rsidRDefault="00101AB3" w:rsidP="00101AB3">
            <w:pPr>
              <w:pStyle w:val="TableText"/>
              <w:spacing w:before="120" w:after="120"/>
              <w:jc w:val="center"/>
            </w:pPr>
            <w:r>
              <w:t>954</w:t>
            </w:r>
          </w:p>
        </w:tc>
        <w:tc>
          <w:tcPr>
            <w:tcW w:w="191" w:type="pct"/>
            <w:vAlign w:val="center"/>
          </w:tcPr>
          <w:p w14:paraId="30A8362F" w14:textId="77777777" w:rsidR="00101AB3" w:rsidRDefault="00101AB3" w:rsidP="00101AB3">
            <w:pPr>
              <w:pStyle w:val="TableText"/>
              <w:spacing w:before="120" w:after="120"/>
              <w:jc w:val="center"/>
            </w:pPr>
          </w:p>
        </w:tc>
        <w:tc>
          <w:tcPr>
            <w:tcW w:w="817" w:type="pct"/>
            <w:shd w:val="clear" w:color="auto" w:fill="auto"/>
            <w:vAlign w:val="center"/>
          </w:tcPr>
          <w:p w14:paraId="6D84C340" w14:textId="2DA867F0" w:rsidR="00101AB3" w:rsidRPr="00BC7DE6" w:rsidRDefault="00101AB3" w:rsidP="00101AB3">
            <w:pPr>
              <w:pStyle w:val="TableText"/>
              <w:spacing w:before="120" w:after="120"/>
              <w:jc w:val="center"/>
            </w:pPr>
            <w:r>
              <w:t>Completed</w:t>
            </w:r>
          </w:p>
        </w:tc>
        <w:tc>
          <w:tcPr>
            <w:tcW w:w="722" w:type="pct"/>
            <w:vAlign w:val="center"/>
          </w:tcPr>
          <w:p w14:paraId="48CC2283" w14:textId="1B012B66" w:rsidR="00101AB3" w:rsidRDefault="00101AB3" w:rsidP="00101AB3">
            <w:pPr>
              <w:pStyle w:val="TableText"/>
              <w:spacing w:before="120" w:after="120"/>
              <w:jc w:val="center"/>
            </w:pPr>
            <w:r>
              <w:t>Continuing Through 12/2015</w:t>
            </w:r>
          </w:p>
        </w:tc>
        <w:tc>
          <w:tcPr>
            <w:tcW w:w="192" w:type="pct"/>
            <w:shd w:val="clear" w:color="auto" w:fill="auto"/>
            <w:vAlign w:val="center"/>
          </w:tcPr>
          <w:p w14:paraId="5A54E8D6" w14:textId="77777777" w:rsidR="00101AB3" w:rsidRPr="00BC7DE6" w:rsidRDefault="00101AB3" w:rsidP="00101AB3">
            <w:pPr>
              <w:pStyle w:val="TableText"/>
              <w:spacing w:before="120" w:after="120"/>
              <w:jc w:val="center"/>
            </w:pPr>
          </w:p>
        </w:tc>
        <w:tc>
          <w:tcPr>
            <w:tcW w:w="673" w:type="pct"/>
            <w:shd w:val="clear" w:color="auto" w:fill="auto"/>
            <w:vAlign w:val="center"/>
          </w:tcPr>
          <w:p w14:paraId="585177EC" w14:textId="77777777" w:rsidR="00101AB3" w:rsidRPr="00BC7DE6" w:rsidRDefault="00101AB3" w:rsidP="00101AB3">
            <w:pPr>
              <w:pStyle w:val="TableText"/>
              <w:spacing w:before="120" w:after="120"/>
              <w:jc w:val="center"/>
            </w:pPr>
            <w:r>
              <w:t>83%</w:t>
            </w:r>
          </w:p>
        </w:tc>
        <w:tc>
          <w:tcPr>
            <w:tcW w:w="721" w:type="pct"/>
            <w:shd w:val="clear" w:color="auto" w:fill="auto"/>
            <w:vAlign w:val="center"/>
          </w:tcPr>
          <w:p w14:paraId="48727B44" w14:textId="77777777" w:rsidR="00101AB3" w:rsidRPr="00BC7DE6" w:rsidRDefault="00101AB3" w:rsidP="00101AB3">
            <w:pPr>
              <w:pStyle w:val="TableText"/>
              <w:spacing w:before="120" w:after="120"/>
              <w:jc w:val="center"/>
            </w:pPr>
            <w:r>
              <w:t>75%</w:t>
            </w:r>
          </w:p>
        </w:tc>
      </w:tr>
      <w:tr w:rsidR="00A13A7E" w14:paraId="42502FC6" w14:textId="77777777" w:rsidTr="00A13A7E">
        <w:tc>
          <w:tcPr>
            <w:tcW w:w="964" w:type="pct"/>
            <w:vAlign w:val="center"/>
          </w:tcPr>
          <w:p w14:paraId="4F3E57E6" w14:textId="77777777" w:rsidR="00101AB3" w:rsidRPr="00BC7DE6" w:rsidRDefault="00101AB3" w:rsidP="00101AB3">
            <w:pPr>
              <w:pStyle w:val="TableText"/>
              <w:spacing w:before="120" w:after="120"/>
              <w:jc w:val="center"/>
            </w:pPr>
            <w:proofErr w:type="spellStart"/>
            <w:r w:rsidRPr="00BC7DE6">
              <w:t>EngenderHealth</w:t>
            </w:r>
            <w:proofErr w:type="spellEnd"/>
          </w:p>
        </w:tc>
        <w:tc>
          <w:tcPr>
            <w:tcW w:w="720" w:type="pct"/>
            <w:shd w:val="clear" w:color="auto" w:fill="auto"/>
            <w:vAlign w:val="center"/>
          </w:tcPr>
          <w:p w14:paraId="78A55D39" w14:textId="77777777" w:rsidR="00101AB3" w:rsidRDefault="00101AB3" w:rsidP="00101AB3">
            <w:pPr>
              <w:pStyle w:val="TableText"/>
              <w:spacing w:before="120" w:after="120"/>
              <w:jc w:val="center"/>
            </w:pPr>
            <w:r>
              <w:t>823</w:t>
            </w:r>
          </w:p>
        </w:tc>
        <w:tc>
          <w:tcPr>
            <w:tcW w:w="191" w:type="pct"/>
            <w:vAlign w:val="center"/>
          </w:tcPr>
          <w:p w14:paraId="313282A2" w14:textId="77777777" w:rsidR="00101AB3" w:rsidRDefault="00101AB3" w:rsidP="00101AB3">
            <w:pPr>
              <w:pStyle w:val="TableText"/>
              <w:spacing w:before="120" w:after="120"/>
              <w:jc w:val="center"/>
            </w:pPr>
          </w:p>
        </w:tc>
        <w:tc>
          <w:tcPr>
            <w:tcW w:w="817" w:type="pct"/>
            <w:shd w:val="clear" w:color="auto" w:fill="auto"/>
            <w:vAlign w:val="center"/>
          </w:tcPr>
          <w:p w14:paraId="549C7ECF" w14:textId="6E7939C0" w:rsidR="00101AB3" w:rsidRPr="00BC7DE6" w:rsidRDefault="00101AB3" w:rsidP="00101AB3">
            <w:pPr>
              <w:pStyle w:val="TableText"/>
              <w:spacing w:before="120" w:after="120"/>
              <w:jc w:val="center"/>
            </w:pPr>
            <w:r>
              <w:t>Continuing Through 3/2015</w:t>
            </w:r>
          </w:p>
        </w:tc>
        <w:tc>
          <w:tcPr>
            <w:tcW w:w="722" w:type="pct"/>
            <w:vAlign w:val="center"/>
          </w:tcPr>
          <w:p w14:paraId="12B9A2F1" w14:textId="6942AC7B" w:rsidR="00101AB3" w:rsidRPr="00BC7DE6" w:rsidRDefault="00101AB3" w:rsidP="00101AB3">
            <w:pPr>
              <w:pStyle w:val="TableText"/>
              <w:spacing w:before="120" w:after="120"/>
              <w:jc w:val="center"/>
            </w:pPr>
            <w:r>
              <w:t>Continuing Through 3/2016</w:t>
            </w:r>
          </w:p>
        </w:tc>
        <w:tc>
          <w:tcPr>
            <w:tcW w:w="192" w:type="pct"/>
            <w:shd w:val="clear" w:color="auto" w:fill="auto"/>
            <w:vAlign w:val="center"/>
          </w:tcPr>
          <w:p w14:paraId="76ACC5EC" w14:textId="77777777" w:rsidR="00101AB3" w:rsidRPr="00BC7DE6" w:rsidRDefault="00101AB3" w:rsidP="00101AB3">
            <w:pPr>
              <w:pStyle w:val="TableText"/>
              <w:spacing w:before="120" w:after="120"/>
              <w:jc w:val="center"/>
            </w:pPr>
          </w:p>
        </w:tc>
        <w:tc>
          <w:tcPr>
            <w:tcW w:w="673" w:type="pct"/>
            <w:shd w:val="clear" w:color="auto" w:fill="auto"/>
            <w:vAlign w:val="center"/>
          </w:tcPr>
          <w:p w14:paraId="5FA27F31" w14:textId="58D2865A" w:rsidR="00101AB3" w:rsidRPr="00BC7DE6" w:rsidRDefault="00101AB3" w:rsidP="00101AB3">
            <w:pPr>
              <w:pStyle w:val="TableText"/>
              <w:spacing w:before="120" w:after="120"/>
              <w:jc w:val="center"/>
            </w:pPr>
            <w:r>
              <w:t>91%</w:t>
            </w:r>
          </w:p>
        </w:tc>
        <w:tc>
          <w:tcPr>
            <w:tcW w:w="721" w:type="pct"/>
            <w:shd w:val="clear" w:color="auto" w:fill="auto"/>
            <w:vAlign w:val="center"/>
          </w:tcPr>
          <w:p w14:paraId="77F66366" w14:textId="35DBD6A7" w:rsidR="00101AB3" w:rsidRPr="00BC7DE6" w:rsidRDefault="00101AB3" w:rsidP="00101AB3">
            <w:pPr>
              <w:pStyle w:val="TableText"/>
              <w:spacing w:before="120" w:after="120"/>
              <w:jc w:val="center"/>
            </w:pPr>
            <w:r>
              <w:t>85%</w:t>
            </w:r>
          </w:p>
        </w:tc>
      </w:tr>
      <w:tr w:rsidR="00A13A7E" w14:paraId="65C508D5" w14:textId="77777777" w:rsidTr="00A13A7E">
        <w:tc>
          <w:tcPr>
            <w:tcW w:w="964" w:type="pct"/>
            <w:vAlign w:val="center"/>
          </w:tcPr>
          <w:p w14:paraId="1945922D" w14:textId="77777777" w:rsidR="00101AB3" w:rsidRPr="00BC7DE6" w:rsidRDefault="00101AB3" w:rsidP="00101AB3">
            <w:pPr>
              <w:pStyle w:val="TableText"/>
              <w:spacing w:before="120" w:after="120"/>
              <w:jc w:val="center"/>
            </w:pPr>
            <w:r>
              <w:t>Live the Life Ministries</w:t>
            </w:r>
          </w:p>
        </w:tc>
        <w:tc>
          <w:tcPr>
            <w:tcW w:w="720" w:type="pct"/>
            <w:shd w:val="clear" w:color="auto" w:fill="auto"/>
            <w:vAlign w:val="center"/>
          </w:tcPr>
          <w:p w14:paraId="38068D9B" w14:textId="77777777" w:rsidR="00101AB3" w:rsidRDefault="00101AB3" w:rsidP="00101AB3">
            <w:pPr>
              <w:pStyle w:val="TableText"/>
              <w:spacing w:before="120" w:after="120"/>
              <w:jc w:val="center"/>
            </w:pPr>
            <w:r>
              <w:t>0</w:t>
            </w:r>
          </w:p>
        </w:tc>
        <w:tc>
          <w:tcPr>
            <w:tcW w:w="191" w:type="pct"/>
            <w:vAlign w:val="center"/>
          </w:tcPr>
          <w:p w14:paraId="605708E1" w14:textId="77777777" w:rsidR="00101AB3" w:rsidRDefault="00101AB3" w:rsidP="00101AB3">
            <w:pPr>
              <w:pStyle w:val="TableText"/>
              <w:spacing w:before="120" w:after="120"/>
              <w:jc w:val="center"/>
            </w:pPr>
          </w:p>
        </w:tc>
        <w:tc>
          <w:tcPr>
            <w:tcW w:w="817" w:type="pct"/>
            <w:shd w:val="clear" w:color="auto" w:fill="auto"/>
            <w:vAlign w:val="center"/>
          </w:tcPr>
          <w:p w14:paraId="6E73420E" w14:textId="79CA48C8" w:rsidR="00101AB3" w:rsidRPr="00BC7DE6" w:rsidRDefault="00101AB3" w:rsidP="00101AB3">
            <w:pPr>
              <w:pStyle w:val="TableText"/>
              <w:spacing w:before="120" w:after="120"/>
              <w:jc w:val="center"/>
            </w:pPr>
            <w:r>
              <w:t>Cancelled</w:t>
            </w:r>
          </w:p>
        </w:tc>
        <w:tc>
          <w:tcPr>
            <w:tcW w:w="722" w:type="pct"/>
            <w:vAlign w:val="center"/>
          </w:tcPr>
          <w:p w14:paraId="56BA0F9E" w14:textId="77777777" w:rsidR="00101AB3" w:rsidRPr="00BC7DE6" w:rsidRDefault="00101AB3" w:rsidP="00101AB3">
            <w:pPr>
              <w:pStyle w:val="TableText"/>
              <w:spacing w:before="120" w:after="120"/>
              <w:jc w:val="center"/>
            </w:pPr>
            <w:r>
              <w:t>Cancelled</w:t>
            </w:r>
          </w:p>
        </w:tc>
        <w:tc>
          <w:tcPr>
            <w:tcW w:w="192" w:type="pct"/>
            <w:shd w:val="clear" w:color="auto" w:fill="auto"/>
            <w:vAlign w:val="center"/>
          </w:tcPr>
          <w:p w14:paraId="3AF5F60B" w14:textId="77777777" w:rsidR="00101AB3" w:rsidRPr="00BC7DE6" w:rsidRDefault="00101AB3" w:rsidP="00101AB3">
            <w:pPr>
              <w:pStyle w:val="TableText"/>
              <w:spacing w:before="120" w:after="120"/>
              <w:jc w:val="center"/>
            </w:pPr>
          </w:p>
        </w:tc>
        <w:tc>
          <w:tcPr>
            <w:tcW w:w="673" w:type="pct"/>
            <w:shd w:val="clear" w:color="auto" w:fill="auto"/>
            <w:vAlign w:val="center"/>
          </w:tcPr>
          <w:p w14:paraId="7FD0E5E3" w14:textId="77777777" w:rsidR="00101AB3" w:rsidRPr="00BC7DE6" w:rsidRDefault="00101AB3" w:rsidP="00101AB3">
            <w:pPr>
              <w:pStyle w:val="TableText"/>
              <w:spacing w:before="120" w:after="120"/>
              <w:jc w:val="center"/>
            </w:pPr>
            <w:r>
              <w:t>NA</w:t>
            </w:r>
          </w:p>
        </w:tc>
        <w:tc>
          <w:tcPr>
            <w:tcW w:w="721" w:type="pct"/>
            <w:shd w:val="clear" w:color="auto" w:fill="auto"/>
            <w:vAlign w:val="center"/>
          </w:tcPr>
          <w:p w14:paraId="0C103B71" w14:textId="77777777" w:rsidR="00101AB3" w:rsidRPr="00BC7DE6" w:rsidRDefault="00101AB3" w:rsidP="00101AB3">
            <w:pPr>
              <w:pStyle w:val="TableText"/>
              <w:spacing w:before="120" w:after="120"/>
              <w:jc w:val="center"/>
            </w:pPr>
            <w:r>
              <w:t>NA</w:t>
            </w:r>
          </w:p>
        </w:tc>
      </w:tr>
      <w:tr w:rsidR="00A13A7E" w14:paraId="37E0C4C4" w14:textId="77777777" w:rsidTr="00A13A7E">
        <w:tc>
          <w:tcPr>
            <w:tcW w:w="964" w:type="pct"/>
            <w:tcBorders>
              <w:bottom w:val="single" w:sz="4" w:space="0" w:color="auto"/>
            </w:tcBorders>
            <w:vAlign w:val="center"/>
          </w:tcPr>
          <w:p w14:paraId="30DED7E2" w14:textId="3E3E3543" w:rsidR="00101AB3" w:rsidRPr="00BC7DE6" w:rsidRDefault="00101AB3" w:rsidP="00101AB3">
            <w:pPr>
              <w:pStyle w:val="TableText"/>
              <w:spacing w:before="120" w:after="120"/>
              <w:jc w:val="center"/>
            </w:pPr>
            <w:r>
              <w:t>Princeton Center for Leadership Training</w:t>
            </w:r>
          </w:p>
        </w:tc>
        <w:tc>
          <w:tcPr>
            <w:tcW w:w="720" w:type="pct"/>
            <w:tcBorders>
              <w:bottom w:val="single" w:sz="4" w:space="0" w:color="auto"/>
            </w:tcBorders>
            <w:shd w:val="clear" w:color="auto" w:fill="auto"/>
            <w:vAlign w:val="center"/>
          </w:tcPr>
          <w:p w14:paraId="7842B3F6" w14:textId="77777777" w:rsidR="00101AB3" w:rsidRDefault="00101AB3" w:rsidP="00101AB3">
            <w:pPr>
              <w:pStyle w:val="TableText"/>
              <w:spacing w:before="120" w:after="120"/>
              <w:jc w:val="center"/>
            </w:pPr>
            <w:r>
              <w:t>1934</w:t>
            </w:r>
          </w:p>
        </w:tc>
        <w:tc>
          <w:tcPr>
            <w:tcW w:w="191" w:type="pct"/>
            <w:tcBorders>
              <w:bottom w:val="single" w:sz="4" w:space="0" w:color="auto"/>
            </w:tcBorders>
            <w:vAlign w:val="center"/>
          </w:tcPr>
          <w:p w14:paraId="396DC06F" w14:textId="77777777" w:rsidR="00101AB3" w:rsidRDefault="00101AB3" w:rsidP="00101AB3">
            <w:pPr>
              <w:pStyle w:val="TableText"/>
              <w:spacing w:before="120" w:after="120"/>
              <w:jc w:val="center"/>
            </w:pPr>
          </w:p>
        </w:tc>
        <w:tc>
          <w:tcPr>
            <w:tcW w:w="817" w:type="pct"/>
            <w:tcBorders>
              <w:bottom w:val="single" w:sz="4" w:space="0" w:color="auto"/>
            </w:tcBorders>
            <w:shd w:val="clear" w:color="auto" w:fill="auto"/>
            <w:vAlign w:val="center"/>
          </w:tcPr>
          <w:p w14:paraId="190F782C" w14:textId="3E2FE0F0" w:rsidR="00101AB3" w:rsidRPr="00BC7DE6" w:rsidRDefault="00101AB3" w:rsidP="00101AB3">
            <w:pPr>
              <w:pStyle w:val="TableText"/>
              <w:spacing w:before="120" w:after="120"/>
              <w:jc w:val="center"/>
            </w:pPr>
            <w:r>
              <w:t>Continuing Through 2/2015</w:t>
            </w:r>
          </w:p>
        </w:tc>
        <w:tc>
          <w:tcPr>
            <w:tcW w:w="722" w:type="pct"/>
            <w:tcBorders>
              <w:bottom w:val="single" w:sz="4" w:space="0" w:color="auto"/>
            </w:tcBorders>
            <w:vAlign w:val="center"/>
          </w:tcPr>
          <w:p w14:paraId="71D17713" w14:textId="57B62A56" w:rsidR="00101AB3" w:rsidRPr="00BC7DE6" w:rsidRDefault="00101AB3" w:rsidP="00101AB3">
            <w:pPr>
              <w:pStyle w:val="TableText"/>
              <w:spacing w:before="120" w:after="120"/>
              <w:jc w:val="center"/>
            </w:pPr>
            <w:r>
              <w:t>Continuing Through 2/2016</w:t>
            </w:r>
          </w:p>
        </w:tc>
        <w:tc>
          <w:tcPr>
            <w:tcW w:w="192" w:type="pct"/>
            <w:tcBorders>
              <w:bottom w:val="single" w:sz="4" w:space="0" w:color="auto"/>
            </w:tcBorders>
            <w:shd w:val="clear" w:color="auto" w:fill="auto"/>
            <w:vAlign w:val="center"/>
          </w:tcPr>
          <w:p w14:paraId="0BD21515" w14:textId="77777777" w:rsidR="00101AB3" w:rsidRPr="00BC7DE6" w:rsidRDefault="00101AB3" w:rsidP="00101AB3">
            <w:pPr>
              <w:pStyle w:val="TableText"/>
              <w:spacing w:before="120" w:after="120"/>
              <w:jc w:val="center"/>
            </w:pPr>
          </w:p>
        </w:tc>
        <w:tc>
          <w:tcPr>
            <w:tcW w:w="673" w:type="pct"/>
            <w:tcBorders>
              <w:bottom w:val="single" w:sz="4" w:space="0" w:color="auto"/>
            </w:tcBorders>
            <w:shd w:val="clear" w:color="auto" w:fill="auto"/>
            <w:vAlign w:val="center"/>
          </w:tcPr>
          <w:p w14:paraId="591151BC" w14:textId="77777777" w:rsidR="00101AB3" w:rsidRPr="00BC7DE6" w:rsidRDefault="00101AB3" w:rsidP="00101AB3">
            <w:pPr>
              <w:pStyle w:val="TableText"/>
              <w:spacing w:before="120" w:after="120"/>
              <w:jc w:val="center"/>
            </w:pPr>
            <w:r>
              <w:t>87%</w:t>
            </w:r>
          </w:p>
        </w:tc>
        <w:tc>
          <w:tcPr>
            <w:tcW w:w="721" w:type="pct"/>
            <w:tcBorders>
              <w:bottom w:val="single" w:sz="4" w:space="0" w:color="auto"/>
            </w:tcBorders>
            <w:shd w:val="clear" w:color="auto" w:fill="auto"/>
            <w:vAlign w:val="center"/>
          </w:tcPr>
          <w:p w14:paraId="08797DEE" w14:textId="03F447D0" w:rsidR="00101AB3" w:rsidRPr="00BC7DE6" w:rsidRDefault="00101AB3" w:rsidP="00101AB3">
            <w:pPr>
              <w:pStyle w:val="TableText"/>
              <w:spacing w:before="120" w:after="120"/>
              <w:jc w:val="center"/>
            </w:pPr>
            <w:r>
              <w:t>75%</w:t>
            </w:r>
          </w:p>
        </w:tc>
      </w:tr>
    </w:tbl>
    <w:p w14:paraId="44E95A9C" w14:textId="77777777" w:rsidR="00E66DB7" w:rsidRPr="004A1FA8" w:rsidRDefault="00E66DB7" w:rsidP="00E66DB7">
      <w:pPr>
        <w:pStyle w:val="NormalSS"/>
      </w:pPr>
    </w:p>
    <w:p w14:paraId="7C17CE56" w14:textId="23FFDB8A" w:rsidR="00842980" w:rsidRDefault="00842980" w:rsidP="00842980">
      <w:pPr>
        <w:pStyle w:val="Heading2Black"/>
      </w:pPr>
      <w:bookmarkStart w:id="5" w:name="_Toc248719997"/>
      <w:bookmarkStart w:id="6" w:name="_Toc286757401"/>
      <w:bookmarkStart w:id="7" w:name="_Toc297280141"/>
      <w:bookmarkStart w:id="8" w:name="_Toc297282538"/>
      <w:bookmarkStart w:id="9" w:name="_Toc303683929"/>
      <w:bookmarkStart w:id="10" w:name="_Toc315954438"/>
      <w:bookmarkStart w:id="11" w:name="_Toc315958793"/>
      <w:bookmarkStart w:id="12" w:name="_Toc316394673"/>
      <w:r w:rsidRPr="00A526E7">
        <w:lastRenderedPageBreak/>
        <w:t>A2.</w:t>
      </w:r>
      <w:r w:rsidRPr="00A526E7">
        <w:tab/>
        <w:t>Purpose and Use of the Information</w:t>
      </w:r>
      <w:bookmarkEnd w:id="5"/>
      <w:bookmarkEnd w:id="6"/>
      <w:bookmarkEnd w:id="7"/>
      <w:bookmarkEnd w:id="8"/>
      <w:bookmarkEnd w:id="9"/>
      <w:bookmarkEnd w:id="10"/>
      <w:bookmarkEnd w:id="11"/>
      <w:bookmarkEnd w:id="12"/>
    </w:p>
    <w:p w14:paraId="31E93FC3" w14:textId="3E560367" w:rsidR="002E4A8C" w:rsidRDefault="002E4A8C" w:rsidP="00AE27E2">
      <w:pPr>
        <w:pStyle w:val="NormalSS"/>
      </w:pPr>
      <w:r>
        <w:t xml:space="preserve">OAH will use the </w:t>
      </w:r>
      <w:r w:rsidR="00920AB3">
        <w:t xml:space="preserve">PPA </w:t>
      </w:r>
      <w:r>
        <w:t>follow</w:t>
      </w:r>
      <w:r w:rsidR="00350243">
        <w:t xml:space="preserve">-up data to estimate the impacts of the selected programs on youth outcomes. The follow-up data encompass two types of outcomes. The first are sexual risk outcomes, including the extent and nature of sexual activity, use of contraception (if sexually active), pregnancy, and </w:t>
      </w:r>
      <w:r w:rsidR="00920AB3">
        <w:t>testing for and diagnoses of STI</w:t>
      </w:r>
      <w:r w:rsidR="00350243">
        <w:t>s. The second are a series of intermediate outcomes that may be associated with the sexual risk outcomes and therefore important to measure as potential pathways of any program effects on sexual risk behavior. Examples of these outcomes include participation in and exposure to pregnancy prevention programs and services, intentions and expectations of sexual activity, relationships with family and friends, knowledge of contraception and sexual risks, dating behavior and alcohol and drug use. OAH plans to assess the impacts of each program on both types of outcomes.</w:t>
      </w:r>
    </w:p>
    <w:p w14:paraId="48783589" w14:textId="00E34AAE" w:rsidR="00322476" w:rsidRPr="00A06270" w:rsidRDefault="00732EE6" w:rsidP="00322476">
      <w:pPr>
        <w:pStyle w:val="Heading2Black"/>
        <w:tabs>
          <w:tab w:val="clear" w:pos="432"/>
          <w:tab w:val="left" w:pos="540"/>
        </w:tabs>
        <w:ind w:left="540" w:hanging="540"/>
      </w:pPr>
      <w:bookmarkStart w:id="13" w:name="_Toc248719998"/>
      <w:bookmarkStart w:id="14" w:name="_Toc286757402"/>
      <w:bookmarkStart w:id="15" w:name="_Toc297280142"/>
      <w:bookmarkStart w:id="16" w:name="_Toc297282539"/>
      <w:bookmarkStart w:id="17" w:name="_Toc303683930"/>
      <w:bookmarkStart w:id="18" w:name="_Toc315954439"/>
      <w:bookmarkStart w:id="19" w:name="_Toc315958794"/>
      <w:bookmarkStart w:id="20" w:name="_Toc316394674"/>
      <w:r>
        <w:t>A3.</w:t>
      </w:r>
      <w:r>
        <w:tab/>
        <w:t>Use of Technology to Reduce</w:t>
      </w:r>
      <w:r w:rsidR="00322476" w:rsidRPr="00A526E7">
        <w:t xml:space="preserve"> Burden</w:t>
      </w:r>
      <w:bookmarkEnd w:id="13"/>
      <w:bookmarkEnd w:id="14"/>
      <w:bookmarkEnd w:id="15"/>
      <w:bookmarkEnd w:id="16"/>
      <w:bookmarkEnd w:id="17"/>
      <w:bookmarkEnd w:id="18"/>
      <w:bookmarkEnd w:id="19"/>
      <w:bookmarkEnd w:id="20"/>
    </w:p>
    <w:p w14:paraId="6C56653D" w14:textId="18955A5B" w:rsidR="003830CD" w:rsidRDefault="003830CD" w:rsidP="00AE27E2">
      <w:pPr>
        <w:pStyle w:val="NormalSS"/>
      </w:pPr>
      <w:r>
        <w:t>The PPA follow-up data collection methods have been customized to the unique circumstances of each participating site. In one site (Children’s Hospital Los Angeles)</w:t>
      </w:r>
      <w:r w:rsidR="00E15DEC">
        <w:t>, OAH is using a</w:t>
      </w:r>
      <w:r w:rsidR="00E15DEC" w:rsidRPr="00E15DEC">
        <w:t>udio computer-assisted self-administered interviewing</w:t>
      </w:r>
      <w:r w:rsidR="00E15DEC">
        <w:t xml:space="preserve"> (ACASI) to collect follow-up data from a high-risk sample of adolescent mothers. In two other sites (OhioHealth and </w:t>
      </w:r>
      <w:proofErr w:type="spellStart"/>
      <w:r w:rsidR="00E15DEC">
        <w:t>EngenderHealth</w:t>
      </w:r>
      <w:proofErr w:type="spellEnd"/>
      <w:r w:rsidR="00E15DEC">
        <w:t xml:space="preserve">), </w:t>
      </w:r>
      <w:proofErr w:type="spellStart"/>
      <w:r w:rsidR="00E15DEC">
        <w:t>OAH</w:t>
      </w:r>
      <w:proofErr w:type="spellEnd"/>
      <w:r w:rsidR="00E15DEC">
        <w:t xml:space="preserve"> is administering follow-up surveys individually by telephone.</w:t>
      </w:r>
      <w:r w:rsidR="00920AB3">
        <w:t xml:space="preserve"> In the remaining two sites (Princeton Center for Leadership Training</w:t>
      </w:r>
      <w:r w:rsidR="00E15DEC">
        <w:t xml:space="preserve"> and OICA), OAH is administering follow-up surveys primarily in group-based settings using paper and pencil interviewing (PAPI). OAH is not proposing any changes to follow-up data collection as part of this extension request.</w:t>
      </w:r>
    </w:p>
    <w:p w14:paraId="18DCE6FD" w14:textId="25DACA5C" w:rsidR="00B452F7" w:rsidRPr="00A06270" w:rsidRDefault="00B452F7" w:rsidP="00A526E7">
      <w:pPr>
        <w:pStyle w:val="Heading2Black"/>
        <w:tabs>
          <w:tab w:val="clear" w:pos="432"/>
          <w:tab w:val="left" w:pos="540"/>
        </w:tabs>
        <w:ind w:left="540" w:hanging="540"/>
      </w:pPr>
      <w:bookmarkStart w:id="21" w:name="_Toc248719999"/>
      <w:bookmarkStart w:id="22" w:name="_Toc286757403"/>
      <w:bookmarkStart w:id="23" w:name="_Toc297280143"/>
      <w:bookmarkStart w:id="24" w:name="_Toc297282540"/>
      <w:bookmarkStart w:id="25" w:name="_Toc303683931"/>
      <w:bookmarkStart w:id="26" w:name="_Toc315954440"/>
      <w:bookmarkStart w:id="27" w:name="_Toc315958795"/>
      <w:bookmarkStart w:id="28" w:name="_Toc316394675"/>
      <w:r w:rsidRPr="00A526E7">
        <w:t>A4.</w:t>
      </w:r>
      <w:r w:rsidRPr="00A526E7">
        <w:tab/>
        <w:t xml:space="preserve">Efforts to </w:t>
      </w:r>
      <w:bookmarkEnd w:id="21"/>
      <w:bookmarkEnd w:id="22"/>
      <w:bookmarkEnd w:id="23"/>
      <w:bookmarkEnd w:id="24"/>
      <w:bookmarkEnd w:id="25"/>
      <w:bookmarkEnd w:id="26"/>
      <w:bookmarkEnd w:id="27"/>
      <w:bookmarkEnd w:id="28"/>
      <w:r w:rsidR="00732EE6">
        <w:t>Avoid Duplication</w:t>
      </w:r>
    </w:p>
    <w:p w14:paraId="6D962FE1" w14:textId="701CE58C" w:rsidR="00B452F7" w:rsidRPr="00B17503" w:rsidRDefault="00732EE6" w:rsidP="001B2EA6">
      <w:pPr>
        <w:pStyle w:val="NormalSS"/>
      </w:pPr>
      <w:r>
        <w:t>The PPA follow-up data collection does not duplicate any other information collection by OAH.</w:t>
      </w:r>
    </w:p>
    <w:p w14:paraId="35B7BEE1" w14:textId="4ECCF8F5" w:rsidR="00B452F7" w:rsidRPr="00A06270" w:rsidRDefault="00732EE6" w:rsidP="00A526E7">
      <w:pPr>
        <w:pStyle w:val="Heading2Black"/>
        <w:tabs>
          <w:tab w:val="clear" w:pos="432"/>
          <w:tab w:val="left" w:pos="540"/>
        </w:tabs>
        <w:ind w:left="540" w:hanging="540"/>
      </w:pPr>
      <w:bookmarkStart w:id="29" w:name="_Toc248720000"/>
      <w:bookmarkStart w:id="30" w:name="_Toc286757404"/>
      <w:bookmarkStart w:id="31" w:name="_Toc297280144"/>
      <w:bookmarkStart w:id="32" w:name="_Toc297282541"/>
      <w:bookmarkStart w:id="33" w:name="_Toc303683932"/>
      <w:bookmarkStart w:id="34" w:name="_Toc315954441"/>
      <w:bookmarkStart w:id="35" w:name="_Toc315958796"/>
      <w:bookmarkStart w:id="36" w:name="_Toc316394676"/>
      <w:r>
        <w:t>A5.</w:t>
      </w:r>
      <w:r>
        <w:tab/>
        <w:t>Methods to Minimize Bur</w:t>
      </w:r>
      <w:r w:rsidR="007C0034">
        <w:t>d</w:t>
      </w:r>
      <w:r>
        <w:t>en on</w:t>
      </w:r>
      <w:r w:rsidR="00B452F7" w:rsidRPr="00A526E7">
        <w:t xml:space="preserve"> Small Entities</w:t>
      </w:r>
      <w:bookmarkEnd w:id="29"/>
      <w:bookmarkEnd w:id="30"/>
      <w:bookmarkEnd w:id="31"/>
      <w:bookmarkEnd w:id="32"/>
      <w:bookmarkEnd w:id="33"/>
      <w:bookmarkEnd w:id="34"/>
      <w:bookmarkEnd w:id="35"/>
      <w:bookmarkEnd w:id="36"/>
    </w:p>
    <w:p w14:paraId="65228631" w14:textId="687F24E4" w:rsidR="00B452F7" w:rsidRPr="00B17503" w:rsidRDefault="00732EE6" w:rsidP="001B2EA6">
      <w:pPr>
        <w:pStyle w:val="NormalSS"/>
      </w:pPr>
      <w:r>
        <w:t>No small entities will be impacted by this information collection.</w:t>
      </w:r>
    </w:p>
    <w:p w14:paraId="7882F870" w14:textId="143C8225" w:rsidR="00B452F7" w:rsidRPr="00A06270" w:rsidRDefault="00B452F7" w:rsidP="00A526E7">
      <w:pPr>
        <w:pStyle w:val="Heading2Black"/>
        <w:tabs>
          <w:tab w:val="clear" w:pos="432"/>
          <w:tab w:val="left" w:pos="540"/>
        </w:tabs>
        <w:ind w:left="540" w:hanging="540"/>
      </w:pPr>
      <w:bookmarkStart w:id="37" w:name="_Toc248720001"/>
      <w:bookmarkStart w:id="38" w:name="_Toc286757405"/>
      <w:bookmarkStart w:id="39" w:name="_Toc297280145"/>
      <w:bookmarkStart w:id="40" w:name="_Toc297282542"/>
      <w:bookmarkStart w:id="41" w:name="_Toc303683933"/>
      <w:bookmarkStart w:id="42" w:name="_Toc315954442"/>
      <w:bookmarkStart w:id="43" w:name="_Toc315958797"/>
      <w:bookmarkStart w:id="44" w:name="_Toc316394677"/>
      <w:r w:rsidRPr="00A526E7">
        <w:t>A6.</w:t>
      </w:r>
      <w:r w:rsidRPr="00A526E7">
        <w:tab/>
        <w:t>Consequences</w:t>
      </w:r>
      <w:bookmarkEnd w:id="37"/>
      <w:bookmarkEnd w:id="38"/>
      <w:bookmarkEnd w:id="39"/>
      <w:bookmarkEnd w:id="40"/>
      <w:bookmarkEnd w:id="41"/>
      <w:bookmarkEnd w:id="42"/>
      <w:bookmarkEnd w:id="43"/>
      <w:bookmarkEnd w:id="44"/>
      <w:r w:rsidR="00732EE6">
        <w:t xml:space="preserve"> of Not Collection Data</w:t>
      </w:r>
    </w:p>
    <w:p w14:paraId="5381DD71" w14:textId="1A9BBBB3" w:rsidR="00B452F7" w:rsidRPr="00B17503" w:rsidRDefault="00534433" w:rsidP="001B2EA6">
      <w:pPr>
        <w:pStyle w:val="NormalSS"/>
      </w:pPr>
      <w:r>
        <w:t>Completing the PPA follow-up data collection is necessary to answer the study’s primary research questions and determine the effectiveness of the selected programs.</w:t>
      </w:r>
    </w:p>
    <w:p w14:paraId="38192286" w14:textId="038D8EF3" w:rsidR="00B452F7" w:rsidRPr="00A06270" w:rsidRDefault="00B452F7" w:rsidP="00A526E7">
      <w:pPr>
        <w:pStyle w:val="Heading2Black"/>
        <w:tabs>
          <w:tab w:val="clear" w:pos="432"/>
          <w:tab w:val="left" w:pos="540"/>
        </w:tabs>
        <w:ind w:left="540" w:hanging="540"/>
      </w:pPr>
      <w:bookmarkStart w:id="45" w:name="_Toc248720002"/>
      <w:bookmarkStart w:id="46" w:name="_Toc286757406"/>
      <w:bookmarkStart w:id="47" w:name="_Toc297280146"/>
      <w:bookmarkStart w:id="48" w:name="_Toc297282543"/>
      <w:bookmarkStart w:id="49" w:name="_Toc303683934"/>
      <w:bookmarkStart w:id="50" w:name="_Toc315954443"/>
      <w:bookmarkStart w:id="51" w:name="_Toc315958798"/>
      <w:bookmarkStart w:id="52" w:name="_Toc316394678"/>
      <w:r w:rsidRPr="00A526E7">
        <w:t>A7.</w:t>
      </w:r>
      <w:r w:rsidRPr="00A526E7">
        <w:tab/>
        <w:t>Special Circumstances</w:t>
      </w:r>
      <w:bookmarkEnd w:id="45"/>
      <w:bookmarkEnd w:id="46"/>
      <w:bookmarkEnd w:id="47"/>
      <w:bookmarkEnd w:id="48"/>
      <w:bookmarkEnd w:id="49"/>
      <w:bookmarkEnd w:id="50"/>
      <w:bookmarkEnd w:id="51"/>
      <w:bookmarkEnd w:id="52"/>
    </w:p>
    <w:p w14:paraId="374E4CCA" w14:textId="38D7A659" w:rsidR="00B452F7" w:rsidRPr="00B17503" w:rsidRDefault="00B452F7" w:rsidP="00B452F7">
      <w:pPr>
        <w:pStyle w:val="NormalSS12"/>
      </w:pPr>
      <w:r w:rsidRPr="00B17503">
        <w:t>The</w:t>
      </w:r>
      <w:r w:rsidR="00534433">
        <w:t>re are no special circumstances associated with this information collection.</w:t>
      </w:r>
    </w:p>
    <w:p w14:paraId="51E4C09E" w14:textId="502D695E" w:rsidR="00B452F7" w:rsidRPr="00E36689" w:rsidRDefault="00B452F7" w:rsidP="00A526E7">
      <w:pPr>
        <w:pStyle w:val="Heading2Black"/>
        <w:tabs>
          <w:tab w:val="clear" w:pos="432"/>
          <w:tab w:val="left" w:pos="540"/>
        </w:tabs>
        <w:ind w:left="540" w:hanging="540"/>
      </w:pPr>
      <w:bookmarkStart w:id="53" w:name="_Toc248720003"/>
      <w:bookmarkStart w:id="54" w:name="_Toc286757407"/>
      <w:bookmarkStart w:id="55" w:name="_Toc297280147"/>
      <w:bookmarkStart w:id="56" w:name="_Toc297282544"/>
      <w:bookmarkStart w:id="57" w:name="_Toc303683935"/>
      <w:bookmarkStart w:id="58" w:name="_Toc315954444"/>
      <w:bookmarkStart w:id="59" w:name="_Toc315958799"/>
      <w:bookmarkStart w:id="60" w:name="_Toc316394679"/>
      <w:r w:rsidRPr="00A526E7">
        <w:t>A8.</w:t>
      </w:r>
      <w:r w:rsidR="00534433">
        <w:tab/>
        <w:t>Federal Register Announcement</w:t>
      </w:r>
      <w:r w:rsidRPr="00A526E7">
        <w:t xml:space="preserve"> and </w:t>
      </w:r>
      <w:bookmarkEnd w:id="53"/>
      <w:bookmarkEnd w:id="54"/>
      <w:bookmarkEnd w:id="55"/>
      <w:bookmarkEnd w:id="56"/>
      <w:bookmarkEnd w:id="57"/>
      <w:bookmarkEnd w:id="58"/>
      <w:bookmarkEnd w:id="59"/>
      <w:bookmarkEnd w:id="60"/>
      <w:r w:rsidR="00534433">
        <w:t>Consultation</w:t>
      </w:r>
    </w:p>
    <w:p w14:paraId="4FBE4211" w14:textId="3CAFE484" w:rsidR="00B452F7" w:rsidRPr="00B17503" w:rsidRDefault="00B452F7" w:rsidP="001B2EA6">
      <w:pPr>
        <w:pStyle w:val="NormalSS"/>
      </w:pPr>
      <w:r w:rsidRPr="00E36689">
        <w:t xml:space="preserve">The 60-day notice was published in the Federal Register on </w:t>
      </w:r>
      <w:r w:rsidR="00E765F2">
        <w:t xml:space="preserve">February 4, 2015 </w:t>
      </w:r>
      <w:r w:rsidR="005E66FB">
        <w:t>on page</w:t>
      </w:r>
      <w:r w:rsidR="00085ACA">
        <w:t xml:space="preserve"> 6090</w:t>
      </w:r>
      <w:r w:rsidR="005E66FB">
        <w:t>, with the document identifier</w:t>
      </w:r>
      <w:r w:rsidR="00E765F2">
        <w:t xml:space="preserve"> HHS-OS-0990-0382-60D</w:t>
      </w:r>
      <w:r w:rsidR="00093ECC">
        <w:t>.</w:t>
      </w:r>
      <w:r w:rsidR="00C3433F">
        <w:t xml:space="preserve"> No comments were received. </w:t>
      </w:r>
      <w:r w:rsidR="00DF2FE0">
        <w:t xml:space="preserve"> </w:t>
      </w:r>
    </w:p>
    <w:p w14:paraId="50F969C1" w14:textId="3B4AD8EA" w:rsidR="00B452F7" w:rsidRPr="00A526E7" w:rsidRDefault="00A526E7" w:rsidP="00A526E7">
      <w:pPr>
        <w:pStyle w:val="Heading2Black"/>
        <w:tabs>
          <w:tab w:val="clear" w:pos="432"/>
          <w:tab w:val="left" w:pos="540"/>
        </w:tabs>
        <w:ind w:left="540" w:hanging="540"/>
      </w:pPr>
      <w:bookmarkStart w:id="61" w:name="_Toc248720004"/>
      <w:bookmarkStart w:id="62" w:name="_Toc286757408"/>
      <w:bookmarkStart w:id="63" w:name="_Toc297280148"/>
      <w:bookmarkStart w:id="64" w:name="_Toc297282545"/>
      <w:bookmarkStart w:id="65" w:name="_Toc303683936"/>
      <w:bookmarkStart w:id="66" w:name="_Toc315954445"/>
      <w:bookmarkStart w:id="67" w:name="_Toc315958800"/>
      <w:bookmarkStart w:id="68" w:name="_Toc316394680"/>
      <w:r w:rsidRPr="00A526E7">
        <w:t>A9.</w:t>
      </w:r>
      <w:r w:rsidRPr="00A526E7">
        <w:tab/>
      </w:r>
      <w:r w:rsidR="00B452F7" w:rsidRPr="00A526E7">
        <w:t>Payment</w:t>
      </w:r>
      <w:r w:rsidR="00827A7A">
        <w:t>s</w:t>
      </w:r>
      <w:r w:rsidR="00B452F7" w:rsidRPr="00A526E7">
        <w:t xml:space="preserve"> or Gift</w:t>
      </w:r>
      <w:bookmarkEnd w:id="61"/>
      <w:bookmarkEnd w:id="62"/>
      <w:bookmarkEnd w:id="63"/>
      <w:bookmarkEnd w:id="64"/>
      <w:bookmarkEnd w:id="65"/>
      <w:bookmarkEnd w:id="66"/>
      <w:bookmarkEnd w:id="67"/>
      <w:bookmarkEnd w:id="68"/>
      <w:r w:rsidR="00827A7A">
        <w:t>s</w:t>
      </w:r>
    </w:p>
    <w:p w14:paraId="59CFF496" w14:textId="66CEA02D" w:rsidR="00495FA1" w:rsidRDefault="00920AB3" w:rsidP="00495FA1">
      <w:pPr>
        <w:pStyle w:val="NormalSS12"/>
        <w:spacing w:after="0"/>
        <w:ind w:firstLine="0"/>
      </w:pPr>
      <w:r>
        <w:tab/>
      </w:r>
      <w:r w:rsidR="00827A7A">
        <w:t xml:space="preserve">The incentive amounts </w:t>
      </w:r>
      <w:r w:rsidR="00A3768B">
        <w:t xml:space="preserve">for completing the surveys </w:t>
      </w:r>
      <w:r w:rsidR="00827A7A">
        <w:t xml:space="preserve">range from $10 to $50 based on the type of site, mode of survey administration, mobility of the target population, and length of follow-up. </w:t>
      </w:r>
      <w:r w:rsidR="000E04F5">
        <w:t xml:space="preserve">For </w:t>
      </w:r>
      <w:r w:rsidR="000E04F5">
        <w:lastRenderedPageBreak/>
        <w:t xml:space="preserve">sites serving general school-age populations, the incentive amounts are $10 for group administration and $25 for phone administration. For the OhioHealth site serving low-income teen mothers, the incentive amounts are $25 for the shorter-term follow up conducted 18 months after study enrollment and $50 for the longer-term follow up conducted 30 months after enrollment. For the </w:t>
      </w:r>
      <w:proofErr w:type="spellStart"/>
      <w:r w:rsidR="000E04F5">
        <w:t>CHLA</w:t>
      </w:r>
      <w:proofErr w:type="spellEnd"/>
      <w:r w:rsidR="000E04F5">
        <w:t xml:space="preserve"> site serving low-income mothers, the incentive amounts are $20 for the shorter-term follow-up conducted 12 months after study enrollment and $30 for the longer-term follow-up conducted 24 months after enrollment. For the </w:t>
      </w:r>
      <w:proofErr w:type="spellStart"/>
      <w:r w:rsidR="000E04F5">
        <w:t>OICA</w:t>
      </w:r>
      <w:proofErr w:type="spellEnd"/>
      <w:r w:rsidR="000E04F5">
        <w:t xml:space="preserve"> site serving youth in group foster care homes, the incentive amounts are $25 for the short-term follow-up and $50 for the longer-term follow-up. </w:t>
      </w:r>
      <w:r w:rsidR="00827A7A">
        <w:t>The incentives amounts have been successful in helping OAH achieve high survey response rates (see Table A.1 above).</w:t>
      </w:r>
    </w:p>
    <w:p w14:paraId="0A15D19D" w14:textId="77777777" w:rsidR="00632BE6" w:rsidRPr="00E03E1D" w:rsidRDefault="00632BE6" w:rsidP="00495FA1">
      <w:pPr>
        <w:pStyle w:val="NormalSS12"/>
        <w:spacing w:after="0"/>
        <w:ind w:firstLine="0"/>
        <w:rPr>
          <w:sz w:val="20"/>
          <w:szCs w:val="20"/>
        </w:rPr>
      </w:pPr>
    </w:p>
    <w:p w14:paraId="19E707D8" w14:textId="2E8F1D6A" w:rsidR="00B452F7" w:rsidRPr="00C12A99" w:rsidRDefault="00B452F7" w:rsidP="00C12A99">
      <w:pPr>
        <w:pStyle w:val="Heading2"/>
        <w:tabs>
          <w:tab w:val="clear" w:pos="432"/>
          <w:tab w:val="left" w:pos="720"/>
        </w:tabs>
        <w:rPr>
          <w:rFonts w:ascii="Lucida Sans" w:hAnsi="Lucida Sans"/>
          <w:caps w:val="0"/>
        </w:rPr>
      </w:pPr>
      <w:bookmarkStart w:id="69" w:name="_Toc248720005"/>
      <w:bookmarkStart w:id="70" w:name="_Toc286757409"/>
      <w:bookmarkStart w:id="71" w:name="_Toc297280149"/>
      <w:bookmarkStart w:id="72" w:name="_Toc297282546"/>
      <w:bookmarkStart w:id="73" w:name="_Toc303683937"/>
      <w:bookmarkStart w:id="74" w:name="_Toc315954446"/>
      <w:bookmarkStart w:id="75" w:name="_Toc315958801"/>
      <w:bookmarkStart w:id="76" w:name="_Toc316394681"/>
      <w:r w:rsidRPr="00C12A99">
        <w:rPr>
          <w:rFonts w:ascii="Lucida Sans" w:hAnsi="Lucida Sans"/>
          <w:caps w:val="0"/>
        </w:rPr>
        <w:t>A10.</w:t>
      </w:r>
      <w:r w:rsidRPr="00C12A99">
        <w:rPr>
          <w:rFonts w:ascii="Lucida Sans" w:hAnsi="Lucida Sans"/>
          <w:caps w:val="0"/>
        </w:rPr>
        <w:tab/>
        <w:t xml:space="preserve">Assurance of </w:t>
      </w:r>
      <w:bookmarkEnd w:id="69"/>
      <w:bookmarkEnd w:id="70"/>
      <w:bookmarkEnd w:id="71"/>
      <w:bookmarkEnd w:id="72"/>
      <w:bookmarkEnd w:id="73"/>
      <w:bookmarkEnd w:id="74"/>
      <w:bookmarkEnd w:id="75"/>
      <w:bookmarkEnd w:id="76"/>
      <w:r w:rsidR="00BF5E03">
        <w:rPr>
          <w:rFonts w:ascii="Lucida Sans" w:hAnsi="Lucida Sans"/>
          <w:caps w:val="0"/>
        </w:rPr>
        <w:t>Confidentiality</w:t>
      </w:r>
    </w:p>
    <w:p w14:paraId="32E7667D" w14:textId="70BC19E4" w:rsidR="00D02AFA" w:rsidRDefault="00D02AFA" w:rsidP="00D02AFA">
      <w:pPr>
        <w:pStyle w:val="NormalSS"/>
      </w:pPr>
      <w:r>
        <w:rPr>
          <w:color w:val="000000"/>
        </w:rPr>
        <w:t>OAH</w:t>
      </w:r>
      <w:r w:rsidR="00B452F7" w:rsidRPr="00B17503">
        <w:t xml:space="preserve"> has </w:t>
      </w:r>
      <w:r>
        <w:t>embedded protections for confidentiality</w:t>
      </w:r>
      <w:r w:rsidR="00B452F7" w:rsidRPr="00B17503">
        <w:t xml:space="preserve"> in the study design</w:t>
      </w:r>
      <w:r w:rsidR="00093ECC" w:rsidRPr="00B17503">
        <w:t>.</w:t>
      </w:r>
      <w:r w:rsidR="00093ECC">
        <w:t xml:space="preserve"> </w:t>
      </w:r>
      <w:r w:rsidR="00B452F7">
        <w:t>Data collection occur</w:t>
      </w:r>
      <w:r w:rsidR="006A7ED8">
        <w:t>s</w:t>
      </w:r>
      <w:r w:rsidR="00B452F7">
        <w:t xml:space="preserve"> only if </w:t>
      </w:r>
      <w:r w:rsidR="00B452F7" w:rsidRPr="00B17503">
        <w:t xml:space="preserve">informed consent </w:t>
      </w:r>
      <w:r w:rsidR="00CD0058">
        <w:t>was</w:t>
      </w:r>
      <w:r w:rsidR="00B452F7">
        <w:t xml:space="preserve"> provided </w:t>
      </w:r>
      <w:r w:rsidR="00B452F7" w:rsidRPr="00B17503">
        <w:t xml:space="preserve">by a parent or legal guardian if the respondent </w:t>
      </w:r>
      <w:r w:rsidR="00CD0058">
        <w:t>was</w:t>
      </w:r>
      <w:r w:rsidR="00B452F7" w:rsidRPr="00B17503">
        <w:t xml:space="preserve"> a minor, or by respondents themselves if they </w:t>
      </w:r>
      <w:r w:rsidR="00CD0058">
        <w:t>were</w:t>
      </w:r>
      <w:r w:rsidR="00B452F7" w:rsidRPr="00B17503">
        <w:t xml:space="preserve"> </w:t>
      </w:r>
      <w:r w:rsidR="00B452F7">
        <w:t>18 or older</w:t>
      </w:r>
      <w:r w:rsidR="00093ECC">
        <w:t xml:space="preserve">. </w:t>
      </w:r>
      <w:r w:rsidR="00B452F7" w:rsidRPr="00CF0D81">
        <w:t xml:space="preserve">Consent for the </w:t>
      </w:r>
      <w:r w:rsidR="00B452F7">
        <w:t xml:space="preserve">duration of the </w:t>
      </w:r>
      <w:r w:rsidR="00B452F7" w:rsidRPr="00CF0D81">
        <w:t xml:space="preserve">study </w:t>
      </w:r>
      <w:r w:rsidR="00982653">
        <w:t xml:space="preserve">was </w:t>
      </w:r>
      <w:r w:rsidR="00B452F7" w:rsidRPr="00CF0D81">
        <w:t>collected prior to baseline data collection</w:t>
      </w:r>
      <w:r w:rsidR="000A0108">
        <w:t>.</w:t>
      </w:r>
      <w:r w:rsidR="006F0138">
        <w:t xml:space="preserve"> </w:t>
      </w:r>
      <w:r w:rsidR="007D7CC3">
        <w:t xml:space="preserve">Youth </w:t>
      </w:r>
      <w:r w:rsidR="006F0138">
        <w:t xml:space="preserve">without </w:t>
      </w:r>
      <w:r w:rsidR="006F0138" w:rsidRPr="00842395">
        <w:t xml:space="preserve">consent </w:t>
      </w:r>
      <w:r w:rsidR="00982653">
        <w:t xml:space="preserve">were </w:t>
      </w:r>
      <w:r w:rsidR="006F0138" w:rsidRPr="00842395">
        <w:t xml:space="preserve">not included in the study sample and no data </w:t>
      </w:r>
      <w:r w:rsidR="00982653">
        <w:t xml:space="preserve">have been </w:t>
      </w:r>
      <w:r w:rsidR="006F0138" w:rsidRPr="00842395">
        <w:t>collected</w:t>
      </w:r>
      <w:r>
        <w:t xml:space="preserve">. </w:t>
      </w:r>
      <w:r w:rsidR="00B452F7">
        <w:t xml:space="preserve">The </w:t>
      </w:r>
      <w:r>
        <w:t>consent form</w:t>
      </w:r>
      <w:r w:rsidR="00B452F7">
        <w:t xml:space="preserve"> notes that the evaluation has obtained a Certificate of Confidentiality from the National Institutes of Health (NIH)</w:t>
      </w:r>
      <w:r>
        <w:t xml:space="preserve">. </w:t>
      </w:r>
      <w:r w:rsidR="00B452F7" w:rsidRPr="00B17503">
        <w:t xml:space="preserve">In addition, </w:t>
      </w:r>
      <w:r>
        <w:t>youth</w:t>
      </w:r>
      <w:r w:rsidR="00B452F7">
        <w:t xml:space="preserve"> assent </w:t>
      </w:r>
      <w:r w:rsidR="006A7ED8">
        <w:t>is</w:t>
      </w:r>
      <w:r w:rsidR="00B452F7">
        <w:t xml:space="preserve"> obtained prior to each survey administration</w:t>
      </w:r>
      <w:r>
        <w:t>.</w:t>
      </w:r>
      <w:r w:rsidR="00DF2FE0">
        <w:t xml:space="preserve"> Copies of the consent and assent forms for each site are found in Attachment</w:t>
      </w:r>
      <w:r w:rsidR="00832AE8">
        <w:t xml:space="preserve"> B</w:t>
      </w:r>
      <w:r w:rsidR="00DF2FE0">
        <w:t xml:space="preserve">.  </w:t>
      </w:r>
    </w:p>
    <w:p w14:paraId="4F24ABC8" w14:textId="61DBFA54" w:rsidR="00B452F7" w:rsidRDefault="00D02AFA" w:rsidP="00D02AFA">
      <w:pPr>
        <w:pStyle w:val="NormalSS"/>
      </w:pPr>
      <w:r>
        <w:t>For group-based PAPI data collection, the study</w:t>
      </w:r>
      <w:r w:rsidR="00B452F7" w:rsidRPr="00B17503">
        <w:t xml:space="preserve"> </w:t>
      </w:r>
      <w:r>
        <w:t>protocol helps reassure respondents of their privacy</w:t>
      </w:r>
      <w:r w:rsidR="00093ECC" w:rsidRPr="00B17503">
        <w:t>.</w:t>
      </w:r>
      <w:r w:rsidR="00093ECC">
        <w:t xml:space="preserve"> </w:t>
      </w:r>
      <w:r w:rsidR="00B452F7" w:rsidRPr="00B17503">
        <w:t xml:space="preserve">It </w:t>
      </w:r>
      <w:r w:rsidR="00A31D17">
        <w:t>is</w:t>
      </w:r>
      <w:r w:rsidR="00B452F7" w:rsidRPr="00B17503">
        <w:t xml:space="preserve"> made clear to respondents that identifying information will be kept separate from questionnaires</w:t>
      </w:r>
      <w:r w:rsidR="00093ECC" w:rsidRPr="00B17503">
        <w:t>.</w:t>
      </w:r>
      <w:r w:rsidR="00093ECC">
        <w:t xml:space="preserve"> </w:t>
      </w:r>
      <w:r w:rsidR="00B452F7" w:rsidRPr="00B17503">
        <w:t>The questionnaire and envelope have a label with a unique ID number; no identifying information appear</w:t>
      </w:r>
      <w:r w:rsidR="00A31D17">
        <w:t>s</w:t>
      </w:r>
      <w:r w:rsidR="00B452F7" w:rsidRPr="00B17503">
        <w:t xml:space="preserve"> on the questionnaire or return envelope</w:t>
      </w:r>
      <w:r w:rsidR="00093ECC" w:rsidRPr="00B17503">
        <w:t>.</w:t>
      </w:r>
      <w:r w:rsidR="00093ECC">
        <w:t xml:space="preserve"> </w:t>
      </w:r>
      <w:r w:rsidR="00B452F7" w:rsidRPr="00B17503">
        <w:t xml:space="preserve">Before turning completed questionnaires in to field staff, respondents place them in </w:t>
      </w:r>
      <w:r w:rsidR="00B452F7">
        <w:t xml:space="preserve">blank </w:t>
      </w:r>
      <w:r w:rsidR="00B452F7" w:rsidRPr="00B17503">
        <w:t>envelopes and seal them</w:t>
      </w:r>
      <w:r w:rsidR="00093ECC" w:rsidRPr="00B17503">
        <w:t>.</w:t>
      </w:r>
    </w:p>
    <w:p w14:paraId="4CDEE7FB" w14:textId="38D41586" w:rsidR="00B14DB4" w:rsidRDefault="009869F5" w:rsidP="001B2EA6">
      <w:pPr>
        <w:pStyle w:val="NormalSS"/>
      </w:pPr>
      <w:r>
        <w:t>Telep</w:t>
      </w:r>
      <w:r w:rsidR="00B14DB4">
        <w:t xml:space="preserve">hone surveys are completed </w:t>
      </w:r>
      <w:r w:rsidR="002C4249">
        <w:t xml:space="preserve">by </w:t>
      </w:r>
      <w:r>
        <w:t>interviewers recording resp</w:t>
      </w:r>
      <w:r w:rsidR="00D02AFA">
        <w:t xml:space="preserve">ondent’s answers on a hard copy </w:t>
      </w:r>
      <w:r w:rsidR="00B14DB4">
        <w:t>of the survey</w:t>
      </w:r>
      <w:r w:rsidR="00093ECC">
        <w:t xml:space="preserve">. </w:t>
      </w:r>
      <w:r w:rsidR="002C4249">
        <w:t xml:space="preserve">Prior to beginning the survey, a statement </w:t>
      </w:r>
      <w:r w:rsidR="00D416DB">
        <w:t xml:space="preserve">ensuring privacy </w:t>
      </w:r>
      <w:r w:rsidR="00D02AFA">
        <w:t>and the youth</w:t>
      </w:r>
      <w:r w:rsidR="002C4249">
        <w:t xml:space="preserve"> assent is read aloud and respondents are given a chance to verbally opt out of the survey</w:t>
      </w:r>
      <w:r w:rsidR="00093ECC">
        <w:t xml:space="preserve">. </w:t>
      </w:r>
      <w:r w:rsidR="00B14DB4">
        <w:t xml:space="preserve">As with the hard copy for the group administrations, no identifying information is </w:t>
      </w:r>
      <w:r w:rsidR="002C4249">
        <w:t xml:space="preserve">attached to the </w:t>
      </w:r>
      <w:r w:rsidR="00B14DB4">
        <w:t xml:space="preserve">questionnaire; only a unique </w:t>
      </w:r>
      <w:r>
        <w:t xml:space="preserve">study </w:t>
      </w:r>
      <w:r w:rsidR="00B14DB4">
        <w:t>ID will be included on the questionnaire</w:t>
      </w:r>
      <w:r w:rsidR="00093ECC">
        <w:t xml:space="preserve">. </w:t>
      </w:r>
    </w:p>
    <w:p w14:paraId="3CFD647A" w14:textId="77777777" w:rsidR="00B452F7" w:rsidRPr="00C12A99" w:rsidRDefault="00B452F7" w:rsidP="00C12A99">
      <w:pPr>
        <w:pStyle w:val="Heading2"/>
        <w:tabs>
          <w:tab w:val="clear" w:pos="432"/>
          <w:tab w:val="left" w:pos="720"/>
        </w:tabs>
        <w:rPr>
          <w:rFonts w:ascii="Lucida Sans" w:hAnsi="Lucida Sans"/>
          <w:caps w:val="0"/>
        </w:rPr>
      </w:pPr>
      <w:bookmarkStart w:id="77" w:name="_Toc286757410"/>
      <w:bookmarkStart w:id="78" w:name="_Toc297280150"/>
      <w:bookmarkStart w:id="79" w:name="_Toc297282547"/>
      <w:bookmarkStart w:id="80" w:name="_Toc303683938"/>
      <w:bookmarkStart w:id="81" w:name="_Toc315954447"/>
      <w:bookmarkStart w:id="82" w:name="_Toc315958802"/>
      <w:bookmarkStart w:id="83" w:name="_Toc316394682"/>
      <w:r w:rsidRPr="00C12A99">
        <w:rPr>
          <w:rFonts w:ascii="Lucida Sans" w:hAnsi="Lucida Sans"/>
          <w:caps w:val="0"/>
        </w:rPr>
        <w:t>A11.</w:t>
      </w:r>
      <w:r w:rsidRPr="00C12A99">
        <w:rPr>
          <w:rFonts w:ascii="Lucida Sans" w:hAnsi="Lucida Sans"/>
          <w:caps w:val="0"/>
        </w:rPr>
        <w:tab/>
        <w:t>Justification for Sensitive Questions</w:t>
      </w:r>
      <w:bookmarkEnd w:id="77"/>
      <w:bookmarkEnd w:id="78"/>
      <w:bookmarkEnd w:id="79"/>
      <w:bookmarkEnd w:id="80"/>
      <w:bookmarkEnd w:id="81"/>
      <w:bookmarkEnd w:id="82"/>
      <w:bookmarkEnd w:id="83"/>
    </w:p>
    <w:p w14:paraId="74203BD8" w14:textId="530B4F34" w:rsidR="009B5834" w:rsidRDefault="00444A90" w:rsidP="00BF5E03">
      <w:pPr>
        <w:pStyle w:val="NormalSS"/>
      </w:pPr>
      <w:proofErr w:type="spellStart"/>
      <w:r w:rsidRPr="00444A90">
        <w:t>OAH</w:t>
      </w:r>
      <w:proofErr w:type="spellEnd"/>
      <w:r w:rsidRPr="00444A90">
        <w:t xml:space="preserve"> is not proposing adding any new measures as part of this extension request.</w:t>
      </w:r>
      <w:r>
        <w:t xml:space="preserve"> </w:t>
      </w:r>
      <w:r w:rsidR="00BF5E03">
        <w:t xml:space="preserve">Because the programs being evaluated are designed to reduce teen pregnancy and associated sexual risk behaviors, the follow-up surveys must ask for information of a sensitive nature. The surveys include measures of the extent and nature of sexual activity, use of contraception, pregnancy, and </w:t>
      </w:r>
      <w:r w:rsidR="00920AB3">
        <w:t>testing for and diagnoses of STI</w:t>
      </w:r>
      <w:r w:rsidR="00BF5E03">
        <w:t xml:space="preserve">s. </w:t>
      </w:r>
      <w:r w:rsidRPr="00B17503">
        <w:t>Although these questions are sensitive, they are commonly and successfully asked of youth similar to those who will be in the study</w:t>
      </w:r>
      <w:r>
        <w:t xml:space="preserve">. Many of the sensitive items related to sexual activity will be asked only of sample members who report being sexually active. </w:t>
      </w:r>
    </w:p>
    <w:p w14:paraId="7E4AC28F" w14:textId="1339DF65" w:rsidR="00444A90" w:rsidRDefault="00444A90" w:rsidP="00444A90">
      <w:pPr>
        <w:pStyle w:val="MarkforTableHeading"/>
      </w:pPr>
      <w:r>
        <w:t>Table A.2: Summary of Sensitive Questions and their Justification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08"/>
        <w:gridCol w:w="6752"/>
      </w:tblGrid>
      <w:tr w:rsidR="00444A90" w14:paraId="6DFDE8A6" w14:textId="77777777" w:rsidTr="00E52CFC">
        <w:trPr>
          <w:cantSplit/>
          <w:tblHeader/>
        </w:trPr>
        <w:tc>
          <w:tcPr>
            <w:tcW w:w="2628" w:type="dxa"/>
            <w:tcBorders>
              <w:top w:val="single" w:sz="12" w:space="0" w:color="000000"/>
              <w:left w:val="nil"/>
              <w:bottom w:val="single" w:sz="4" w:space="0" w:color="000000"/>
            </w:tcBorders>
          </w:tcPr>
          <w:p w14:paraId="1516DC5A" w14:textId="77777777" w:rsidR="00444A90" w:rsidRDefault="00444A90" w:rsidP="00E52CFC">
            <w:pPr>
              <w:pStyle w:val="TableHeaderLeft"/>
              <w:tabs>
                <w:tab w:val="clear" w:pos="432"/>
              </w:tabs>
            </w:pPr>
            <w:r>
              <w:t>Topic</w:t>
            </w:r>
          </w:p>
        </w:tc>
        <w:tc>
          <w:tcPr>
            <w:tcW w:w="6840" w:type="dxa"/>
            <w:tcBorders>
              <w:top w:val="single" w:sz="12" w:space="0" w:color="000000"/>
              <w:bottom w:val="single" w:sz="4" w:space="0" w:color="000000"/>
              <w:right w:val="nil"/>
            </w:tcBorders>
          </w:tcPr>
          <w:p w14:paraId="2910363F" w14:textId="77777777" w:rsidR="00444A90" w:rsidRDefault="00444A90" w:rsidP="00E52CFC">
            <w:pPr>
              <w:pStyle w:val="TableHeaderCenter"/>
            </w:pPr>
            <w:r>
              <w:t>Justification</w:t>
            </w:r>
          </w:p>
        </w:tc>
      </w:tr>
      <w:tr w:rsidR="00444A90" w14:paraId="5FF8A6E6" w14:textId="77777777" w:rsidTr="00E52CFC">
        <w:trPr>
          <w:cantSplit/>
        </w:trPr>
        <w:tc>
          <w:tcPr>
            <w:tcW w:w="2628" w:type="dxa"/>
            <w:tcBorders>
              <w:left w:val="nil"/>
              <w:bottom w:val="single" w:sz="4" w:space="0" w:color="auto"/>
              <w:right w:val="single" w:sz="4" w:space="0" w:color="auto"/>
            </w:tcBorders>
          </w:tcPr>
          <w:p w14:paraId="40D3195F" w14:textId="77777777" w:rsidR="00444A90" w:rsidRDefault="00444A90" w:rsidP="00E52CFC">
            <w:pPr>
              <w:pStyle w:val="TableText"/>
              <w:spacing w:before="60" w:after="60"/>
            </w:pPr>
            <w:r w:rsidRPr="00F207EE">
              <w:t>Intentions regardin</w:t>
            </w:r>
            <w:r>
              <w:t>g sexual activity</w:t>
            </w:r>
          </w:p>
        </w:tc>
        <w:tc>
          <w:tcPr>
            <w:tcW w:w="6840" w:type="dxa"/>
            <w:tcBorders>
              <w:left w:val="single" w:sz="4" w:space="0" w:color="auto"/>
              <w:bottom w:val="single" w:sz="4" w:space="0" w:color="auto"/>
              <w:right w:val="nil"/>
            </w:tcBorders>
          </w:tcPr>
          <w:p w14:paraId="7D812F18" w14:textId="77777777" w:rsidR="00444A90" w:rsidRDefault="00444A90" w:rsidP="00E52CFC">
            <w:pPr>
              <w:pStyle w:val="TableText"/>
              <w:spacing w:before="60" w:after="60"/>
            </w:pPr>
            <w:r w:rsidRPr="00F207EE">
              <w:t>Intentions regarding engaging in sex and other risk-taking behaviors are extremely strong predictor</w:t>
            </w:r>
            <w:r>
              <w:t>s</w:t>
            </w:r>
            <w:r w:rsidRPr="00F207EE">
              <w:t xml:space="preserve"> of subsequent behavior (</w:t>
            </w:r>
            <w:proofErr w:type="spellStart"/>
            <w:r w:rsidRPr="00F207EE">
              <w:t>Buhi</w:t>
            </w:r>
            <w:proofErr w:type="spellEnd"/>
            <w:r w:rsidRPr="00F207EE">
              <w:t xml:space="preserve"> and Goodson, 2007).</w:t>
            </w:r>
            <w:r>
              <w:t xml:space="preserve"> </w:t>
            </w:r>
            <w:r w:rsidRPr="00F207EE">
              <w:t>Intentions are strongly related to behavior and will be an important mediator predicting behavior change.</w:t>
            </w:r>
          </w:p>
        </w:tc>
      </w:tr>
      <w:tr w:rsidR="00444A90" w14:paraId="62E3F99F" w14:textId="77777777" w:rsidTr="00E52CFC">
        <w:trPr>
          <w:cantSplit/>
        </w:trPr>
        <w:tc>
          <w:tcPr>
            <w:tcW w:w="2628" w:type="dxa"/>
            <w:tcBorders>
              <w:top w:val="single" w:sz="4" w:space="0" w:color="auto"/>
              <w:left w:val="nil"/>
              <w:bottom w:val="single" w:sz="4" w:space="0" w:color="auto"/>
              <w:right w:val="single" w:sz="4" w:space="0" w:color="auto"/>
            </w:tcBorders>
          </w:tcPr>
          <w:p w14:paraId="6127B712" w14:textId="77777777" w:rsidR="00444A90" w:rsidRDefault="00444A90" w:rsidP="00E52CFC">
            <w:pPr>
              <w:pStyle w:val="NormalSS12"/>
              <w:spacing w:before="60" w:after="60"/>
              <w:ind w:firstLine="0"/>
              <w:rPr>
                <w:rFonts w:ascii="Lucida Sans" w:hAnsi="Lucida Sans"/>
                <w:sz w:val="18"/>
                <w:szCs w:val="18"/>
              </w:rPr>
            </w:pPr>
            <w:r w:rsidRPr="00287900">
              <w:rPr>
                <w:rFonts w:ascii="Lucida Sans" w:hAnsi="Lucida Sans"/>
                <w:sz w:val="18"/>
                <w:szCs w:val="18"/>
              </w:rPr>
              <w:lastRenderedPageBreak/>
              <w:t>Drug an</w:t>
            </w:r>
            <w:r>
              <w:rPr>
                <w:rFonts w:ascii="Lucida Sans" w:hAnsi="Lucida Sans"/>
                <w:sz w:val="18"/>
                <w:szCs w:val="18"/>
              </w:rPr>
              <w:t>d alcohol use</w:t>
            </w:r>
          </w:p>
        </w:tc>
        <w:tc>
          <w:tcPr>
            <w:tcW w:w="6840" w:type="dxa"/>
            <w:tcBorders>
              <w:top w:val="single" w:sz="4" w:space="0" w:color="auto"/>
              <w:left w:val="single" w:sz="4" w:space="0" w:color="auto"/>
              <w:bottom w:val="single" w:sz="4" w:space="0" w:color="auto"/>
              <w:right w:val="nil"/>
            </w:tcBorders>
          </w:tcPr>
          <w:p w14:paraId="4BA70E7F" w14:textId="77777777" w:rsidR="00444A90" w:rsidRPr="00287900" w:rsidRDefault="00444A90" w:rsidP="00E52CFC">
            <w:pPr>
              <w:pStyle w:val="NormalSS12"/>
              <w:spacing w:before="60" w:after="60"/>
              <w:ind w:firstLine="0"/>
              <w:rPr>
                <w:rFonts w:ascii="Lucida Sans" w:hAnsi="Lucida Sans"/>
                <w:sz w:val="18"/>
                <w:szCs w:val="18"/>
              </w:rPr>
            </w:pPr>
            <w:r w:rsidRPr="00287900">
              <w:rPr>
                <w:rFonts w:ascii="Lucida Sans" w:hAnsi="Lucida Sans"/>
                <w:sz w:val="18"/>
                <w:szCs w:val="18"/>
              </w:rPr>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w:t>
            </w:r>
            <w:proofErr w:type="spellStart"/>
            <w:r w:rsidRPr="00287900">
              <w:rPr>
                <w:rFonts w:ascii="Lucida Sans" w:hAnsi="Lucida Sans"/>
                <w:sz w:val="18"/>
                <w:szCs w:val="18"/>
              </w:rPr>
              <w:t>Tapert</w:t>
            </w:r>
            <w:proofErr w:type="spellEnd"/>
            <w:r w:rsidRPr="00287900">
              <w:rPr>
                <w:rFonts w:ascii="Lucida Sans" w:hAnsi="Lucida Sans"/>
                <w:sz w:val="18"/>
                <w:szCs w:val="18"/>
              </w:rPr>
              <w:t xml:space="preserve"> et al., 2001; Li et al., 2001; Boyer et al., 1999; Fergusson and </w:t>
            </w:r>
            <w:proofErr w:type="spellStart"/>
            <w:r w:rsidRPr="00287900">
              <w:rPr>
                <w:rFonts w:ascii="Lucida Sans" w:hAnsi="Lucida Sans"/>
                <w:sz w:val="18"/>
                <w:szCs w:val="18"/>
              </w:rPr>
              <w:t>Lynskey</w:t>
            </w:r>
            <w:proofErr w:type="spellEnd"/>
            <w:r w:rsidRPr="00287900">
              <w:rPr>
                <w:rFonts w:ascii="Lucida Sans" w:hAnsi="Lucida Sans"/>
                <w:sz w:val="18"/>
                <w:szCs w:val="18"/>
              </w:rPr>
              <w:t xml:space="preserve">, 1996; Sen, 2002; </w:t>
            </w:r>
            <w:proofErr w:type="spellStart"/>
            <w:r w:rsidRPr="00287900">
              <w:rPr>
                <w:rFonts w:ascii="Lucida Sans" w:hAnsi="Lucida Sans"/>
                <w:sz w:val="18"/>
                <w:szCs w:val="18"/>
              </w:rPr>
              <w:t>Dermen</w:t>
            </w:r>
            <w:proofErr w:type="spellEnd"/>
            <w:r w:rsidRPr="00287900">
              <w:rPr>
                <w:rFonts w:ascii="Lucida Sans" w:hAnsi="Lucida Sans"/>
                <w:sz w:val="18"/>
                <w:szCs w:val="18"/>
              </w:rPr>
              <w:t xml:space="preserve"> et al., 1998; Santelli et al., 2001.)</w:t>
            </w:r>
          </w:p>
        </w:tc>
      </w:tr>
      <w:tr w:rsidR="00444A90" w14:paraId="41F947F2" w14:textId="77777777" w:rsidTr="00E52CFC">
        <w:trPr>
          <w:cantSplit/>
        </w:trPr>
        <w:tc>
          <w:tcPr>
            <w:tcW w:w="2628" w:type="dxa"/>
            <w:tcBorders>
              <w:top w:val="single" w:sz="4" w:space="0" w:color="auto"/>
              <w:left w:val="nil"/>
              <w:bottom w:val="nil"/>
              <w:right w:val="single" w:sz="4" w:space="0" w:color="auto"/>
            </w:tcBorders>
          </w:tcPr>
          <w:p w14:paraId="5EEC40A5" w14:textId="77777777" w:rsidR="00444A90" w:rsidRDefault="00444A90" w:rsidP="00E52CFC">
            <w:pPr>
              <w:pStyle w:val="TableText"/>
              <w:spacing w:before="60" w:after="60"/>
            </w:pPr>
            <w:r w:rsidRPr="00F207EE">
              <w:t>Sexual</w:t>
            </w:r>
            <w:r>
              <w:t xml:space="preserve"> activity, incidence of pregnancy and STDs, and contraceptive use </w:t>
            </w:r>
          </w:p>
        </w:tc>
        <w:tc>
          <w:tcPr>
            <w:tcW w:w="6840" w:type="dxa"/>
            <w:tcBorders>
              <w:top w:val="single" w:sz="4" w:space="0" w:color="auto"/>
              <w:left w:val="single" w:sz="4" w:space="0" w:color="auto"/>
              <w:bottom w:val="nil"/>
              <w:right w:val="nil"/>
            </w:tcBorders>
          </w:tcPr>
          <w:p w14:paraId="2878EBC2" w14:textId="77777777" w:rsidR="00444A90" w:rsidRDefault="00444A90" w:rsidP="00E52CFC">
            <w:pPr>
              <w:pStyle w:val="TableText"/>
              <w:spacing w:before="60" w:after="60"/>
            </w:pPr>
            <w:r>
              <w:t xml:space="preserve">Sexual activity, incidence of pregnancy and STDs, and contraceptive use are all key outcomes for the evaluation. The majority of these questions are asked only of youth who report being sexually active. </w:t>
            </w:r>
          </w:p>
        </w:tc>
      </w:tr>
    </w:tbl>
    <w:p w14:paraId="32A8517C" w14:textId="77777777" w:rsidR="00444A90" w:rsidRDefault="00444A90" w:rsidP="00BF5E03">
      <w:pPr>
        <w:pStyle w:val="NormalSS"/>
      </w:pPr>
    </w:p>
    <w:p w14:paraId="13A4CECC" w14:textId="77777777" w:rsidR="00322476" w:rsidRPr="00C12A99" w:rsidRDefault="00322476" w:rsidP="00322476">
      <w:pPr>
        <w:pStyle w:val="Heading2"/>
        <w:tabs>
          <w:tab w:val="clear" w:pos="432"/>
          <w:tab w:val="left" w:pos="720"/>
        </w:tabs>
        <w:rPr>
          <w:rFonts w:ascii="Lucida Sans" w:hAnsi="Lucida Sans"/>
          <w:caps w:val="0"/>
        </w:rPr>
      </w:pPr>
      <w:bookmarkStart w:id="84" w:name="_Toc303683939"/>
      <w:bookmarkStart w:id="85" w:name="_Toc315954448"/>
      <w:bookmarkStart w:id="86" w:name="_Toc315958803"/>
      <w:bookmarkStart w:id="87" w:name="_Toc316394683"/>
      <w:r w:rsidRPr="00A06270">
        <w:rPr>
          <w:rFonts w:ascii="Lucida Sans" w:hAnsi="Lucida Sans"/>
          <w:caps w:val="0"/>
        </w:rPr>
        <w:t>A12.</w:t>
      </w:r>
      <w:r w:rsidRPr="00A06270">
        <w:rPr>
          <w:rFonts w:ascii="Lucida Sans" w:hAnsi="Lucida Sans"/>
          <w:caps w:val="0"/>
        </w:rPr>
        <w:tab/>
        <w:t xml:space="preserve">Estimates </w:t>
      </w:r>
      <w:r>
        <w:rPr>
          <w:rFonts w:ascii="Lucida Sans" w:hAnsi="Lucida Sans"/>
          <w:caps w:val="0"/>
        </w:rPr>
        <w:t>o</w:t>
      </w:r>
      <w:r w:rsidRPr="00A06270">
        <w:rPr>
          <w:rFonts w:ascii="Lucida Sans" w:hAnsi="Lucida Sans"/>
          <w:caps w:val="0"/>
        </w:rPr>
        <w:t xml:space="preserve">f Annualized Burden Hours </w:t>
      </w:r>
      <w:r>
        <w:rPr>
          <w:rFonts w:ascii="Lucida Sans" w:hAnsi="Lucida Sans"/>
          <w:caps w:val="0"/>
        </w:rPr>
        <w:t>a</w:t>
      </w:r>
      <w:r w:rsidRPr="00A06270">
        <w:rPr>
          <w:rFonts w:ascii="Lucida Sans" w:hAnsi="Lucida Sans"/>
          <w:caps w:val="0"/>
        </w:rPr>
        <w:t>nd Costs</w:t>
      </w:r>
      <w:bookmarkEnd w:id="84"/>
      <w:bookmarkEnd w:id="85"/>
      <w:bookmarkEnd w:id="86"/>
      <w:bookmarkEnd w:id="87"/>
    </w:p>
    <w:p w14:paraId="7BF44465" w14:textId="2A943645" w:rsidR="007272C5" w:rsidRDefault="007272C5" w:rsidP="007272C5">
      <w:pPr>
        <w:pStyle w:val="Heading3NoTOC"/>
      </w:pPr>
      <w:r>
        <w:t>a.</w:t>
      </w:r>
      <w:r>
        <w:tab/>
        <w:t>Annualized Burden Estimates</w:t>
      </w:r>
    </w:p>
    <w:p w14:paraId="6E13CDD9" w14:textId="73EA53AE" w:rsidR="001F1DF7" w:rsidRPr="001F1DF7" w:rsidRDefault="007272C5" w:rsidP="001F1DF7">
      <w:pPr>
        <w:pStyle w:val="NormalSS"/>
        <w:rPr>
          <w:rFonts w:ascii="Lucida Sans" w:hAnsi="Lucida Sans"/>
          <w:caps/>
        </w:rPr>
      </w:pPr>
      <w:r>
        <w:t>OAH has updated the previously approved</w:t>
      </w:r>
      <w:r w:rsidR="00651117">
        <w:t xml:space="preserve"> </w:t>
      </w:r>
      <w:r>
        <w:t xml:space="preserve">burden estimates </w:t>
      </w:r>
      <w:r w:rsidR="00920AB3">
        <w:t>to reflect the achieved</w:t>
      </w:r>
      <w:r w:rsidR="00651117">
        <w:t xml:space="preserve"> study sample enrollment and current data collec</w:t>
      </w:r>
      <w:r w:rsidR="00A35885">
        <w:t>tion progress and response rates</w:t>
      </w:r>
      <w:r w:rsidR="00BF5E03">
        <w:t xml:space="preserve"> (</w:t>
      </w:r>
      <w:r>
        <w:t>Table A.</w:t>
      </w:r>
      <w:r w:rsidR="00444A90">
        <w:t>3</w:t>
      </w:r>
      <w:r>
        <w:t>)</w:t>
      </w:r>
      <w:r w:rsidR="00651117">
        <w:t>. Th</w:t>
      </w:r>
      <w:r>
        <w:t>is update</w:t>
      </w:r>
      <w:r w:rsidR="00651117">
        <w:t xml:space="preserve"> resulted </w:t>
      </w:r>
      <w:r>
        <w:t>in</w:t>
      </w:r>
      <w:r w:rsidR="00651117">
        <w:t xml:space="preserve"> a reduction in the annualized number of respon</w:t>
      </w:r>
      <w:r w:rsidR="00FE26B0">
        <w:t>ses</w:t>
      </w:r>
      <w:r w:rsidR="00F864B8">
        <w:t>,</w:t>
      </w:r>
      <w:r w:rsidR="00D6169B">
        <w:t xml:space="preserve"> from </w:t>
      </w:r>
      <w:r w:rsidR="00F864B8">
        <w:t>5,786</w:t>
      </w:r>
      <w:r w:rsidR="00D6169B">
        <w:t xml:space="preserve"> to </w:t>
      </w:r>
      <w:r w:rsidR="00432337">
        <w:t>3,117</w:t>
      </w:r>
      <w:r w:rsidR="00F864B8">
        <w:t xml:space="preserve">. </w:t>
      </w:r>
      <w:r w:rsidR="00D6169B">
        <w:t>The decrease</w:t>
      </w:r>
      <w:r w:rsidR="00F864B8">
        <w:t xml:space="preserve"> in </w:t>
      </w:r>
      <w:r w:rsidR="00E641E1">
        <w:t xml:space="preserve">the </w:t>
      </w:r>
      <w:r w:rsidR="00F864B8">
        <w:t>annualized number of respon</w:t>
      </w:r>
      <w:r w:rsidR="007860C8">
        <w:t>ses</w:t>
      </w:r>
      <w:r w:rsidR="001E6054">
        <w:t xml:space="preserve"> can be attributed primarily to the</w:t>
      </w:r>
      <w:r w:rsidR="00C01428">
        <w:t xml:space="preserve"> completion of follow-up data colle</w:t>
      </w:r>
      <w:r w:rsidR="001E6054">
        <w:t>ction in the Chicago site</w:t>
      </w:r>
      <w:r w:rsidR="00CF764A">
        <w:t xml:space="preserve"> and the canceling</w:t>
      </w:r>
      <w:r w:rsidR="00E641E1">
        <w:t xml:space="preserve"> of follow-up data collection</w:t>
      </w:r>
      <w:r w:rsidR="00D6169B">
        <w:t xml:space="preserve"> </w:t>
      </w:r>
      <w:r w:rsidR="00E641E1">
        <w:t xml:space="preserve">in the </w:t>
      </w:r>
      <w:r w:rsidR="00D6169B">
        <w:t>Live the Life site</w:t>
      </w:r>
      <w:r w:rsidR="00F864B8">
        <w:t>. This</w:t>
      </w:r>
      <w:r w:rsidR="00CF764A">
        <w:t xml:space="preserve"> decrease </w:t>
      </w:r>
      <w:r w:rsidR="00E641E1">
        <w:t xml:space="preserve">in the annualized number of </w:t>
      </w:r>
      <w:r w:rsidR="00432337">
        <w:t>respon</w:t>
      </w:r>
      <w:r w:rsidR="007860C8">
        <w:t>ses</w:t>
      </w:r>
      <w:r w:rsidR="00CF764A">
        <w:t xml:space="preserve"> </w:t>
      </w:r>
      <w:r w:rsidR="00F864B8">
        <w:t>in turn</w:t>
      </w:r>
      <w:r w:rsidR="00651117">
        <w:t xml:space="preserve"> resulted in a decrease in the estimate of annual burden hours</w:t>
      </w:r>
      <w:r w:rsidR="001E6054">
        <w:t>,</w:t>
      </w:r>
      <w:r w:rsidR="00D210A9">
        <w:t xml:space="preserve"> from 3,675 to 1,973</w:t>
      </w:r>
      <w:r w:rsidR="00F864B8">
        <w:t>.</w:t>
      </w:r>
      <w:bookmarkStart w:id="88" w:name="_Toc315954449"/>
    </w:p>
    <w:p w14:paraId="56204793" w14:textId="7F993996" w:rsidR="009B5834" w:rsidRPr="00EB7BBD" w:rsidRDefault="00CF764A" w:rsidP="00EB7BBD">
      <w:pPr>
        <w:pStyle w:val="MarkforExhibitHeading"/>
      </w:pPr>
      <w:bookmarkStart w:id="89" w:name="_Toc315954630"/>
      <w:bookmarkStart w:id="90" w:name="_Toc315956200"/>
      <w:bookmarkStart w:id="91" w:name="_Toc315958966"/>
      <w:bookmarkStart w:id="92" w:name="_Toc316394550"/>
      <w:r>
        <w:t>Table A.</w:t>
      </w:r>
      <w:r w:rsidR="00444A90">
        <w:t>3</w:t>
      </w:r>
      <w:r w:rsidR="009B5834">
        <w:t xml:space="preserve">. </w:t>
      </w:r>
      <w:bookmarkEnd w:id="89"/>
      <w:bookmarkEnd w:id="90"/>
      <w:bookmarkEnd w:id="91"/>
      <w:bookmarkEnd w:id="92"/>
      <w:r w:rsidR="001E6054">
        <w:t xml:space="preserve">Updated </w:t>
      </w:r>
      <w:r w:rsidR="00EB7BBD">
        <w:t>Estimates of Annualized Burden for the PPA Follow-Up Data Collection</w:t>
      </w:r>
    </w:p>
    <w:tbl>
      <w:tblPr>
        <w:tblW w:w="5000" w:type="pct"/>
        <w:tblBorders>
          <w:top w:val="single" w:sz="12" w:space="0" w:color="auto"/>
          <w:bottom w:val="single" w:sz="4" w:space="0" w:color="auto"/>
        </w:tblBorders>
        <w:tblLook w:val="04A0" w:firstRow="1" w:lastRow="0" w:firstColumn="1" w:lastColumn="0" w:noHBand="0" w:noVBand="1"/>
      </w:tblPr>
      <w:tblGrid>
        <w:gridCol w:w="2569"/>
        <w:gridCol w:w="1760"/>
        <w:gridCol w:w="1741"/>
        <w:gridCol w:w="1558"/>
        <w:gridCol w:w="1732"/>
      </w:tblGrid>
      <w:tr w:rsidR="009B5834" w14:paraId="0DAFC6FC" w14:textId="77777777" w:rsidTr="00D210A9">
        <w:trPr>
          <w:tblHeader/>
        </w:trPr>
        <w:tc>
          <w:tcPr>
            <w:tcW w:w="1372" w:type="pct"/>
            <w:tcBorders>
              <w:top w:val="single" w:sz="12" w:space="0" w:color="auto"/>
              <w:bottom w:val="single" w:sz="4" w:space="0" w:color="auto"/>
            </w:tcBorders>
            <w:shd w:val="clear" w:color="auto" w:fill="auto"/>
            <w:vAlign w:val="bottom"/>
          </w:tcPr>
          <w:p w14:paraId="2F66A62C" w14:textId="6066634A" w:rsidR="009B5834" w:rsidRPr="003F2DC6" w:rsidRDefault="009B5834" w:rsidP="00FC4DB7">
            <w:pPr>
              <w:pStyle w:val="TableHeaderLeft"/>
              <w:spacing w:beforeLines="60" w:before="144" w:after="0"/>
            </w:pPr>
            <w:r w:rsidRPr="003F2DC6">
              <w:t>S</w:t>
            </w:r>
            <w:r w:rsidR="00C01428">
              <w:t>ite</w:t>
            </w:r>
          </w:p>
        </w:tc>
        <w:tc>
          <w:tcPr>
            <w:tcW w:w="940" w:type="pct"/>
            <w:tcBorders>
              <w:top w:val="single" w:sz="12" w:space="0" w:color="auto"/>
              <w:bottom w:val="single" w:sz="4" w:space="0" w:color="auto"/>
            </w:tcBorders>
            <w:shd w:val="clear" w:color="auto" w:fill="auto"/>
            <w:vAlign w:val="bottom"/>
          </w:tcPr>
          <w:p w14:paraId="1001C2AD" w14:textId="1B2D0880" w:rsidR="00720F7F" w:rsidRDefault="009B5834">
            <w:pPr>
              <w:pStyle w:val="TableHeaderCenter"/>
              <w:spacing w:beforeLines="60" w:before="144" w:after="0"/>
            </w:pPr>
            <w:r w:rsidRPr="003F2DC6">
              <w:t>Annual</w:t>
            </w:r>
            <w:r>
              <w:t>ized</w:t>
            </w:r>
            <w:r w:rsidRPr="003F2DC6">
              <w:t xml:space="preserve"> Number </w:t>
            </w:r>
            <w:r>
              <w:t>o</w:t>
            </w:r>
            <w:r w:rsidRPr="003F2DC6">
              <w:t>f Respondents</w:t>
            </w:r>
          </w:p>
        </w:tc>
        <w:tc>
          <w:tcPr>
            <w:tcW w:w="930" w:type="pct"/>
            <w:tcBorders>
              <w:top w:val="single" w:sz="12" w:space="0" w:color="auto"/>
              <w:bottom w:val="single" w:sz="4" w:space="0" w:color="auto"/>
            </w:tcBorders>
            <w:shd w:val="clear" w:color="auto" w:fill="auto"/>
            <w:vAlign w:val="bottom"/>
          </w:tcPr>
          <w:p w14:paraId="2E960E69" w14:textId="77777777" w:rsidR="00720F7F" w:rsidRDefault="009B5834">
            <w:pPr>
              <w:pStyle w:val="TableHeaderCenter"/>
              <w:spacing w:beforeLines="60" w:before="144" w:after="0"/>
            </w:pPr>
            <w:r w:rsidRPr="003F2DC6">
              <w:t xml:space="preserve">Number </w:t>
            </w:r>
            <w:r>
              <w:t>o</w:t>
            </w:r>
            <w:r w:rsidRPr="003F2DC6">
              <w:t>f Responses Per Respondent</w:t>
            </w:r>
          </w:p>
        </w:tc>
        <w:tc>
          <w:tcPr>
            <w:tcW w:w="832" w:type="pct"/>
            <w:tcBorders>
              <w:top w:val="single" w:sz="12" w:space="0" w:color="auto"/>
              <w:bottom w:val="single" w:sz="4" w:space="0" w:color="auto"/>
            </w:tcBorders>
            <w:shd w:val="clear" w:color="auto" w:fill="auto"/>
            <w:vAlign w:val="bottom"/>
          </w:tcPr>
          <w:p w14:paraId="4DB3A863" w14:textId="77777777" w:rsidR="00857905" w:rsidRDefault="009B5834">
            <w:pPr>
              <w:pStyle w:val="TableHeaderCenter"/>
              <w:spacing w:beforeLines="60" w:before="144" w:after="0"/>
            </w:pPr>
            <w:r w:rsidRPr="003F2DC6">
              <w:t xml:space="preserve">Average Burden Hours </w:t>
            </w:r>
            <w:r>
              <w:t>p</w:t>
            </w:r>
            <w:r w:rsidRPr="003F2DC6">
              <w:t>er Response</w:t>
            </w:r>
          </w:p>
        </w:tc>
        <w:tc>
          <w:tcPr>
            <w:tcW w:w="925" w:type="pct"/>
            <w:tcBorders>
              <w:top w:val="single" w:sz="12" w:space="0" w:color="auto"/>
              <w:bottom w:val="single" w:sz="4" w:space="0" w:color="auto"/>
            </w:tcBorders>
            <w:shd w:val="clear" w:color="auto" w:fill="auto"/>
            <w:vAlign w:val="bottom"/>
          </w:tcPr>
          <w:p w14:paraId="004FBA6E" w14:textId="70941EB1" w:rsidR="00857905" w:rsidRDefault="00D210A9">
            <w:pPr>
              <w:pStyle w:val="TableHeaderCenter"/>
              <w:spacing w:beforeLines="60" w:before="144" w:after="0"/>
            </w:pPr>
            <w:r>
              <w:t xml:space="preserve">Annualized </w:t>
            </w:r>
            <w:r w:rsidR="009B5834" w:rsidRPr="003F2DC6">
              <w:t>Burden Hours</w:t>
            </w:r>
          </w:p>
        </w:tc>
      </w:tr>
      <w:tr w:rsidR="009852B1" w14:paraId="7A23DCBD" w14:textId="77777777" w:rsidTr="00D210A9">
        <w:trPr>
          <w:trHeight w:val="440"/>
        </w:trPr>
        <w:tc>
          <w:tcPr>
            <w:tcW w:w="1372" w:type="pct"/>
            <w:shd w:val="clear" w:color="auto" w:fill="auto"/>
            <w:vAlign w:val="center"/>
          </w:tcPr>
          <w:p w14:paraId="2B716DCB" w14:textId="17AA992E" w:rsidR="009852B1" w:rsidRPr="003F2DC6" w:rsidRDefault="009852B1" w:rsidP="00D210A9">
            <w:pPr>
              <w:pStyle w:val="TableText"/>
              <w:spacing w:beforeLines="60" w:before="144"/>
            </w:pPr>
            <w:r>
              <w:t>Chicago</w:t>
            </w:r>
            <w:r w:rsidR="00C01428">
              <w:t xml:space="preserve"> Public Schools</w:t>
            </w:r>
          </w:p>
        </w:tc>
        <w:tc>
          <w:tcPr>
            <w:tcW w:w="940" w:type="pct"/>
            <w:shd w:val="clear" w:color="auto" w:fill="auto"/>
            <w:vAlign w:val="center"/>
          </w:tcPr>
          <w:p w14:paraId="398DC817" w14:textId="40E8B10A" w:rsidR="00720F7F" w:rsidRDefault="00C01428" w:rsidP="00D210A9">
            <w:pPr>
              <w:pStyle w:val="TableText"/>
              <w:spacing w:beforeLines="60" w:before="144"/>
              <w:jc w:val="center"/>
            </w:pPr>
            <w:r>
              <w:rPr>
                <w:color w:val="000000"/>
                <w:szCs w:val="18"/>
              </w:rPr>
              <w:t>0</w:t>
            </w:r>
          </w:p>
        </w:tc>
        <w:tc>
          <w:tcPr>
            <w:tcW w:w="930" w:type="pct"/>
            <w:shd w:val="clear" w:color="auto" w:fill="auto"/>
            <w:vAlign w:val="center"/>
          </w:tcPr>
          <w:p w14:paraId="0F41E104" w14:textId="50D47FFF" w:rsidR="00720F7F" w:rsidRDefault="00C01428" w:rsidP="00D210A9">
            <w:pPr>
              <w:pStyle w:val="TableText"/>
              <w:spacing w:beforeLines="60" w:before="144"/>
              <w:jc w:val="center"/>
            </w:pPr>
            <w:r>
              <w:t>0</w:t>
            </w:r>
          </w:p>
        </w:tc>
        <w:tc>
          <w:tcPr>
            <w:tcW w:w="832" w:type="pct"/>
            <w:shd w:val="clear" w:color="auto" w:fill="auto"/>
            <w:vAlign w:val="center"/>
          </w:tcPr>
          <w:p w14:paraId="6D6214F1" w14:textId="2B0E1C57" w:rsidR="00857905" w:rsidRDefault="00C01428" w:rsidP="00D210A9">
            <w:pPr>
              <w:pStyle w:val="TableText"/>
              <w:spacing w:beforeLines="60" w:before="144"/>
              <w:jc w:val="center"/>
            </w:pPr>
            <w:r>
              <w:t>0</w:t>
            </w:r>
          </w:p>
        </w:tc>
        <w:tc>
          <w:tcPr>
            <w:tcW w:w="925" w:type="pct"/>
            <w:shd w:val="clear" w:color="auto" w:fill="auto"/>
            <w:vAlign w:val="center"/>
          </w:tcPr>
          <w:p w14:paraId="66CA4E1F" w14:textId="62E9EB49" w:rsidR="00857905" w:rsidRDefault="00C01428" w:rsidP="00D210A9">
            <w:pPr>
              <w:pStyle w:val="TableText"/>
              <w:spacing w:beforeLines="60" w:before="144"/>
              <w:jc w:val="center"/>
            </w:pPr>
            <w:r>
              <w:t>0</w:t>
            </w:r>
          </w:p>
        </w:tc>
      </w:tr>
      <w:tr w:rsidR="00101AB3" w14:paraId="78F898AA" w14:textId="77777777" w:rsidTr="00D210A9">
        <w:tc>
          <w:tcPr>
            <w:tcW w:w="1372" w:type="pct"/>
            <w:shd w:val="clear" w:color="auto" w:fill="auto"/>
            <w:vAlign w:val="center"/>
          </w:tcPr>
          <w:p w14:paraId="235EDE50" w14:textId="1AF60BC4" w:rsidR="00101AB3" w:rsidRDefault="00101AB3" w:rsidP="00101AB3">
            <w:pPr>
              <w:pStyle w:val="TableText"/>
              <w:spacing w:beforeLines="60" w:before="144"/>
            </w:pPr>
            <w:r>
              <w:t>Oklahoma Institute for Child Advocacy (OICA)</w:t>
            </w:r>
          </w:p>
        </w:tc>
        <w:tc>
          <w:tcPr>
            <w:tcW w:w="940" w:type="pct"/>
            <w:shd w:val="clear" w:color="auto" w:fill="auto"/>
            <w:vAlign w:val="center"/>
          </w:tcPr>
          <w:p w14:paraId="0983642E" w14:textId="129AD230" w:rsidR="00101AB3" w:rsidRDefault="00101AB3" w:rsidP="00101AB3">
            <w:pPr>
              <w:pStyle w:val="TableText"/>
              <w:jc w:val="center"/>
              <w:rPr>
                <w:color w:val="000000"/>
                <w:szCs w:val="18"/>
              </w:rPr>
            </w:pPr>
            <w:r>
              <w:rPr>
                <w:color w:val="000000"/>
                <w:szCs w:val="18"/>
              </w:rPr>
              <w:t>294</w:t>
            </w:r>
          </w:p>
        </w:tc>
        <w:tc>
          <w:tcPr>
            <w:tcW w:w="930" w:type="pct"/>
            <w:shd w:val="clear" w:color="auto" w:fill="auto"/>
            <w:vAlign w:val="center"/>
          </w:tcPr>
          <w:p w14:paraId="10A6E645" w14:textId="587E3BE0" w:rsidR="00101AB3" w:rsidRDefault="00101AB3" w:rsidP="00101AB3">
            <w:pPr>
              <w:pStyle w:val="TableText"/>
              <w:jc w:val="center"/>
            </w:pPr>
            <w:r>
              <w:t>2</w:t>
            </w:r>
          </w:p>
        </w:tc>
        <w:tc>
          <w:tcPr>
            <w:tcW w:w="832" w:type="pct"/>
            <w:shd w:val="clear" w:color="auto" w:fill="auto"/>
            <w:vAlign w:val="center"/>
          </w:tcPr>
          <w:p w14:paraId="6DDCA953" w14:textId="7DCBE24E" w:rsidR="00101AB3" w:rsidRDefault="00101AB3" w:rsidP="00101AB3">
            <w:pPr>
              <w:pStyle w:val="TableText"/>
              <w:jc w:val="center"/>
            </w:pPr>
            <w:r>
              <w:t>42/60</w:t>
            </w:r>
          </w:p>
        </w:tc>
        <w:tc>
          <w:tcPr>
            <w:tcW w:w="925" w:type="pct"/>
            <w:shd w:val="clear" w:color="auto" w:fill="auto"/>
            <w:vAlign w:val="center"/>
          </w:tcPr>
          <w:p w14:paraId="4558C133" w14:textId="11B5B3B0" w:rsidR="00101AB3" w:rsidRDefault="00101AB3" w:rsidP="00101AB3">
            <w:pPr>
              <w:pStyle w:val="TableText"/>
              <w:jc w:val="center"/>
            </w:pPr>
            <w:r>
              <w:t>412</w:t>
            </w:r>
          </w:p>
        </w:tc>
      </w:tr>
      <w:tr w:rsidR="00101AB3" w14:paraId="2F3E878A" w14:textId="77777777" w:rsidTr="00D210A9">
        <w:tc>
          <w:tcPr>
            <w:tcW w:w="1372" w:type="pct"/>
            <w:shd w:val="clear" w:color="auto" w:fill="auto"/>
            <w:vAlign w:val="center"/>
          </w:tcPr>
          <w:p w14:paraId="4CD84AED" w14:textId="16916D02" w:rsidR="00101AB3" w:rsidRPr="003F2DC6" w:rsidRDefault="00101AB3" w:rsidP="00101AB3">
            <w:pPr>
              <w:pStyle w:val="TableText"/>
              <w:spacing w:beforeLines="60" w:before="144"/>
            </w:pPr>
            <w:r>
              <w:t>Ohio Health</w:t>
            </w:r>
          </w:p>
        </w:tc>
        <w:tc>
          <w:tcPr>
            <w:tcW w:w="940" w:type="pct"/>
            <w:shd w:val="clear" w:color="auto" w:fill="auto"/>
            <w:vAlign w:val="center"/>
          </w:tcPr>
          <w:p w14:paraId="20BF4123" w14:textId="4FB7553E" w:rsidR="00101AB3" w:rsidRPr="003F2DC6" w:rsidRDefault="00101AB3" w:rsidP="00101AB3">
            <w:pPr>
              <w:pStyle w:val="TableText"/>
              <w:jc w:val="center"/>
            </w:pPr>
            <w:r>
              <w:rPr>
                <w:color w:val="000000"/>
                <w:szCs w:val="18"/>
              </w:rPr>
              <w:t>148</w:t>
            </w:r>
          </w:p>
        </w:tc>
        <w:tc>
          <w:tcPr>
            <w:tcW w:w="930" w:type="pct"/>
            <w:shd w:val="clear" w:color="auto" w:fill="auto"/>
            <w:vAlign w:val="center"/>
          </w:tcPr>
          <w:p w14:paraId="6432A9CA" w14:textId="77777777" w:rsidR="00101AB3" w:rsidRPr="003F2DC6" w:rsidRDefault="00101AB3" w:rsidP="00101AB3">
            <w:pPr>
              <w:pStyle w:val="TableText"/>
              <w:jc w:val="center"/>
            </w:pPr>
            <w:r>
              <w:t>3</w:t>
            </w:r>
          </w:p>
        </w:tc>
        <w:tc>
          <w:tcPr>
            <w:tcW w:w="832" w:type="pct"/>
            <w:shd w:val="clear" w:color="auto" w:fill="auto"/>
            <w:vAlign w:val="center"/>
          </w:tcPr>
          <w:p w14:paraId="06A88E91" w14:textId="77777777" w:rsidR="00101AB3" w:rsidRPr="00AF5560" w:rsidRDefault="00101AB3" w:rsidP="00101AB3">
            <w:pPr>
              <w:pStyle w:val="TableText"/>
              <w:jc w:val="center"/>
            </w:pPr>
            <w:r>
              <w:t>42/60</w:t>
            </w:r>
          </w:p>
        </w:tc>
        <w:tc>
          <w:tcPr>
            <w:tcW w:w="925" w:type="pct"/>
            <w:shd w:val="clear" w:color="auto" w:fill="auto"/>
            <w:vAlign w:val="center"/>
          </w:tcPr>
          <w:p w14:paraId="0B71FE89" w14:textId="474E09A2" w:rsidR="00101AB3" w:rsidRPr="003F2DC6" w:rsidRDefault="00101AB3" w:rsidP="00101AB3">
            <w:pPr>
              <w:pStyle w:val="TableText"/>
              <w:jc w:val="center"/>
            </w:pPr>
            <w:r>
              <w:t>310</w:t>
            </w:r>
          </w:p>
        </w:tc>
      </w:tr>
      <w:tr w:rsidR="00101AB3" w14:paraId="1F89DE6B" w14:textId="77777777" w:rsidTr="00D210A9">
        <w:tc>
          <w:tcPr>
            <w:tcW w:w="1372" w:type="pct"/>
            <w:shd w:val="clear" w:color="auto" w:fill="auto"/>
            <w:vAlign w:val="center"/>
          </w:tcPr>
          <w:p w14:paraId="5B97F61D" w14:textId="44D158EF" w:rsidR="00101AB3" w:rsidRPr="003F2DC6" w:rsidRDefault="00101AB3" w:rsidP="00101AB3">
            <w:pPr>
              <w:pStyle w:val="TableText"/>
              <w:spacing w:beforeLines="60" w:before="144"/>
            </w:pPr>
            <w:r w:rsidRPr="003F2DC6">
              <w:t>Children’s Hos</w:t>
            </w:r>
            <w:r>
              <w:t>pital Los Angeles</w:t>
            </w:r>
          </w:p>
        </w:tc>
        <w:tc>
          <w:tcPr>
            <w:tcW w:w="940" w:type="pct"/>
            <w:shd w:val="clear" w:color="auto" w:fill="auto"/>
            <w:vAlign w:val="center"/>
          </w:tcPr>
          <w:p w14:paraId="6FC99C0F" w14:textId="17D46B17" w:rsidR="00101AB3" w:rsidRDefault="00101AB3" w:rsidP="00101AB3">
            <w:pPr>
              <w:pStyle w:val="TableText"/>
              <w:spacing w:beforeLines="60" w:before="144"/>
              <w:jc w:val="center"/>
            </w:pPr>
            <w:r>
              <w:rPr>
                <w:color w:val="000000"/>
                <w:szCs w:val="18"/>
              </w:rPr>
              <w:t>254</w:t>
            </w:r>
          </w:p>
        </w:tc>
        <w:tc>
          <w:tcPr>
            <w:tcW w:w="930" w:type="pct"/>
            <w:shd w:val="clear" w:color="auto" w:fill="auto"/>
            <w:vAlign w:val="center"/>
          </w:tcPr>
          <w:p w14:paraId="2474F060" w14:textId="77777777" w:rsidR="00101AB3" w:rsidRDefault="00101AB3" w:rsidP="00101AB3">
            <w:pPr>
              <w:pStyle w:val="TableText"/>
              <w:spacing w:beforeLines="60" w:before="144"/>
              <w:jc w:val="center"/>
            </w:pPr>
            <w:r>
              <w:t>2</w:t>
            </w:r>
          </w:p>
        </w:tc>
        <w:tc>
          <w:tcPr>
            <w:tcW w:w="832" w:type="pct"/>
            <w:shd w:val="clear" w:color="auto" w:fill="auto"/>
            <w:vAlign w:val="center"/>
          </w:tcPr>
          <w:p w14:paraId="35364F58" w14:textId="77777777" w:rsidR="00101AB3" w:rsidRDefault="00101AB3" w:rsidP="00101AB3">
            <w:pPr>
              <w:pStyle w:val="TableText"/>
              <w:spacing w:beforeLines="60" w:before="144"/>
              <w:jc w:val="center"/>
            </w:pPr>
            <w:r>
              <w:t>36/60</w:t>
            </w:r>
          </w:p>
        </w:tc>
        <w:tc>
          <w:tcPr>
            <w:tcW w:w="925" w:type="pct"/>
            <w:shd w:val="clear" w:color="auto" w:fill="auto"/>
            <w:vAlign w:val="center"/>
          </w:tcPr>
          <w:p w14:paraId="7F8EACD8" w14:textId="4B1CFFA9" w:rsidR="00101AB3" w:rsidRDefault="00101AB3" w:rsidP="00101AB3">
            <w:pPr>
              <w:pStyle w:val="TableText"/>
              <w:spacing w:beforeLines="60" w:before="144"/>
              <w:jc w:val="center"/>
            </w:pPr>
            <w:r>
              <w:t>305</w:t>
            </w:r>
          </w:p>
        </w:tc>
      </w:tr>
      <w:tr w:rsidR="00101AB3" w14:paraId="5110C903" w14:textId="77777777" w:rsidTr="00D210A9">
        <w:tc>
          <w:tcPr>
            <w:tcW w:w="1372" w:type="pct"/>
            <w:shd w:val="clear" w:color="auto" w:fill="auto"/>
            <w:vAlign w:val="center"/>
          </w:tcPr>
          <w:p w14:paraId="40A1B495" w14:textId="77777777" w:rsidR="00101AB3" w:rsidRDefault="00101AB3" w:rsidP="00101AB3">
            <w:pPr>
              <w:pStyle w:val="TableText"/>
              <w:spacing w:beforeLines="60" w:before="144"/>
            </w:pPr>
            <w:proofErr w:type="spellStart"/>
            <w:r>
              <w:t>EngenderHealth</w:t>
            </w:r>
            <w:proofErr w:type="spellEnd"/>
          </w:p>
        </w:tc>
        <w:tc>
          <w:tcPr>
            <w:tcW w:w="940" w:type="pct"/>
            <w:shd w:val="clear" w:color="auto" w:fill="auto"/>
            <w:vAlign w:val="center"/>
          </w:tcPr>
          <w:p w14:paraId="1699A05B" w14:textId="10FBD1A8" w:rsidR="00101AB3" w:rsidRDefault="00101AB3" w:rsidP="00101AB3">
            <w:pPr>
              <w:pStyle w:val="TableText"/>
              <w:spacing w:beforeLines="60" w:before="144"/>
              <w:jc w:val="center"/>
            </w:pPr>
            <w:r>
              <w:rPr>
                <w:color w:val="000000"/>
                <w:szCs w:val="18"/>
              </w:rPr>
              <w:t>240</w:t>
            </w:r>
          </w:p>
        </w:tc>
        <w:tc>
          <w:tcPr>
            <w:tcW w:w="930" w:type="pct"/>
            <w:shd w:val="clear" w:color="auto" w:fill="auto"/>
            <w:vAlign w:val="center"/>
          </w:tcPr>
          <w:p w14:paraId="1EA98FF0" w14:textId="77777777" w:rsidR="00101AB3" w:rsidRDefault="00101AB3" w:rsidP="00101AB3">
            <w:pPr>
              <w:pStyle w:val="TableText"/>
              <w:spacing w:beforeLines="60" w:before="144"/>
              <w:jc w:val="center"/>
            </w:pPr>
            <w:r>
              <w:t>2</w:t>
            </w:r>
          </w:p>
        </w:tc>
        <w:tc>
          <w:tcPr>
            <w:tcW w:w="832" w:type="pct"/>
            <w:shd w:val="clear" w:color="auto" w:fill="auto"/>
            <w:vAlign w:val="center"/>
          </w:tcPr>
          <w:p w14:paraId="6A03AB99" w14:textId="77777777" w:rsidR="00101AB3" w:rsidRDefault="00101AB3" w:rsidP="00101AB3">
            <w:pPr>
              <w:pStyle w:val="TableText"/>
              <w:spacing w:beforeLines="60" w:before="144"/>
              <w:jc w:val="center"/>
            </w:pPr>
            <w:r>
              <w:t>36/60</w:t>
            </w:r>
          </w:p>
        </w:tc>
        <w:tc>
          <w:tcPr>
            <w:tcW w:w="925" w:type="pct"/>
            <w:shd w:val="clear" w:color="auto" w:fill="auto"/>
            <w:vAlign w:val="center"/>
          </w:tcPr>
          <w:p w14:paraId="29DAFC60" w14:textId="27A6C664" w:rsidR="00101AB3" w:rsidRDefault="00101AB3" w:rsidP="00101AB3">
            <w:pPr>
              <w:pStyle w:val="TableText"/>
              <w:spacing w:beforeLines="60" w:before="144"/>
              <w:jc w:val="center"/>
            </w:pPr>
            <w:r>
              <w:t>288</w:t>
            </w:r>
          </w:p>
        </w:tc>
      </w:tr>
      <w:tr w:rsidR="00101AB3" w14:paraId="40F152BC" w14:textId="77777777" w:rsidTr="00AC4C7E">
        <w:tc>
          <w:tcPr>
            <w:tcW w:w="1372" w:type="pct"/>
            <w:tcBorders>
              <w:bottom w:val="nil"/>
            </w:tcBorders>
            <w:shd w:val="clear" w:color="auto" w:fill="auto"/>
            <w:vAlign w:val="center"/>
          </w:tcPr>
          <w:p w14:paraId="0BFC65A3" w14:textId="2171AF52" w:rsidR="00101AB3" w:rsidRPr="003F2DC6" w:rsidRDefault="00101AB3" w:rsidP="00101AB3">
            <w:pPr>
              <w:pStyle w:val="TableText"/>
              <w:spacing w:beforeLines="60" w:before="144"/>
            </w:pPr>
            <w:r>
              <w:t>Live the Life Ministries</w:t>
            </w:r>
          </w:p>
        </w:tc>
        <w:tc>
          <w:tcPr>
            <w:tcW w:w="940" w:type="pct"/>
            <w:tcBorders>
              <w:bottom w:val="nil"/>
            </w:tcBorders>
            <w:shd w:val="clear" w:color="auto" w:fill="auto"/>
            <w:vAlign w:val="center"/>
          </w:tcPr>
          <w:p w14:paraId="6CD3E71E" w14:textId="4415B22F" w:rsidR="00101AB3" w:rsidRDefault="00101AB3" w:rsidP="00101AB3">
            <w:pPr>
              <w:pStyle w:val="TableText"/>
              <w:spacing w:beforeLines="60" w:before="144"/>
              <w:jc w:val="center"/>
            </w:pPr>
            <w:r>
              <w:rPr>
                <w:color w:val="000000"/>
                <w:szCs w:val="18"/>
              </w:rPr>
              <w:t>0</w:t>
            </w:r>
          </w:p>
        </w:tc>
        <w:tc>
          <w:tcPr>
            <w:tcW w:w="930" w:type="pct"/>
            <w:tcBorders>
              <w:bottom w:val="nil"/>
            </w:tcBorders>
            <w:shd w:val="clear" w:color="auto" w:fill="auto"/>
            <w:vAlign w:val="center"/>
          </w:tcPr>
          <w:p w14:paraId="18565FFD" w14:textId="62F66A17" w:rsidR="00101AB3" w:rsidRDefault="00101AB3" w:rsidP="00101AB3">
            <w:pPr>
              <w:pStyle w:val="TableText"/>
              <w:spacing w:beforeLines="60" w:before="144"/>
              <w:jc w:val="center"/>
            </w:pPr>
            <w:r>
              <w:t>0</w:t>
            </w:r>
          </w:p>
        </w:tc>
        <w:tc>
          <w:tcPr>
            <w:tcW w:w="832" w:type="pct"/>
            <w:tcBorders>
              <w:bottom w:val="nil"/>
            </w:tcBorders>
            <w:shd w:val="clear" w:color="auto" w:fill="auto"/>
            <w:vAlign w:val="center"/>
          </w:tcPr>
          <w:p w14:paraId="44AD2A94" w14:textId="138708DF" w:rsidR="00101AB3" w:rsidRDefault="00101AB3" w:rsidP="00101AB3">
            <w:pPr>
              <w:pStyle w:val="TableText"/>
              <w:spacing w:beforeLines="60" w:before="144"/>
              <w:jc w:val="center"/>
            </w:pPr>
            <w:r>
              <w:t>0</w:t>
            </w:r>
          </w:p>
        </w:tc>
        <w:tc>
          <w:tcPr>
            <w:tcW w:w="925" w:type="pct"/>
            <w:tcBorders>
              <w:bottom w:val="nil"/>
            </w:tcBorders>
            <w:shd w:val="clear" w:color="auto" w:fill="auto"/>
            <w:vAlign w:val="center"/>
          </w:tcPr>
          <w:p w14:paraId="4247360C" w14:textId="0F619656" w:rsidR="00101AB3" w:rsidRDefault="00101AB3" w:rsidP="00101AB3">
            <w:pPr>
              <w:pStyle w:val="TableText"/>
              <w:spacing w:beforeLines="60" w:before="144"/>
              <w:jc w:val="center"/>
            </w:pPr>
            <w:r>
              <w:t>0</w:t>
            </w:r>
          </w:p>
        </w:tc>
      </w:tr>
      <w:tr w:rsidR="00101AB3" w14:paraId="6304BF30" w14:textId="77777777" w:rsidTr="00AC4C7E">
        <w:trPr>
          <w:trHeight w:val="80"/>
        </w:trPr>
        <w:tc>
          <w:tcPr>
            <w:tcW w:w="1372" w:type="pct"/>
            <w:tcBorders>
              <w:top w:val="nil"/>
              <w:bottom w:val="single" w:sz="4" w:space="0" w:color="auto"/>
            </w:tcBorders>
            <w:shd w:val="clear" w:color="auto" w:fill="auto"/>
            <w:vAlign w:val="center"/>
          </w:tcPr>
          <w:p w14:paraId="04FFD11D" w14:textId="7409FE0E" w:rsidR="00101AB3" w:rsidRPr="003F2DC6" w:rsidRDefault="00101AB3" w:rsidP="00101AB3">
            <w:pPr>
              <w:pStyle w:val="TableText"/>
              <w:spacing w:beforeLines="60" w:before="144" w:after="120"/>
            </w:pPr>
            <w:r>
              <w:t>Princeton Center for Leadership Training</w:t>
            </w:r>
          </w:p>
        </w:tc>
        <w:tc>
          <w:tcPr>
            <w:tcW w:w="940" w:type="pct"/>
            <w:tcBorders>
              <w:top w:val="nil"/>
              <w:bottom w:val="single" w:sz="4" w:space="0" w:color="auto"/>
            </w:tcBorders>
            <w:shd w:val="clear" w:color="auto" w:fill="auto"/>
            <w:vAlign w:val="center"/>
          </w:tcPr>
          <w:p w14:paraId="6505FEB4" w14:textId="4C38FB60" w:rsidR="00101AB3" w:rsidRDefault="00101AB3" w:rsidP="00101AB3">
            <w:pPr>
              <w:pStyle w:val="TableText"/>
              <w:spacing w:beforeLines="60" w:before="144"/>
              <w:jc w:val="center"/>
            </w:pPr>
            <w:r>
              <w:rPr>
                <w:color w:val="000000"/>
                <w:szCs w:val="18"/>
              </w:rPr>
              <w:t>548</w:t>
            </w:r>
          </w:p>
        </w:tc>
        <w:tc>
          <w:tcPr>
            <w:tcW w:w="930" w:type="pct"/>
            <w:tcBorders>
              <w:top w:val="nil"/>
              <w:bottom w:val="single" w:sz="4" w:space="0" w:color="auto"/>
            </w:tcBorders>
            <w:shd w:val="clear" w:color="auto" w:fill="auto"/>
            <w:vAlign w:val="center"/>
          </w:tcPr>
          <w:p w14:paraId="32092FEF" w14:textId="77777777" w:rsidR="00101AB3" w:rsidRDefault="00101AB3" w:rsidP="00101AB3">
            <w:pPr>
              <w:pStyle w:val="TableText"/>
              <w:spacing w:beforeLines="60" w:before="144"/>
              <w:jc w:val="center"/>
            </w:pPr>
            <w:r>
              <w:t>2</w:t>
            </w:r>
          </w:p>
        </w:tc>
        <w:tc>
          <w:tcPr>
            <w:tcW w:w="832" w:type="pct"/>
            <w:tcBorders>
              <w:top w:val="nil"/>
              <w:bottom w:val="single" w:sz="4" w:space="0" w:color="auto"/>
            </w:tcBorders>
            <w:shd w:val="clear" w:color="auto" w:fill="auto"/>
            <w:vAlign w:val="center"/>
          </w:tcPr>
          <w:p w14:paraId="2580B6EC" w14:textId="77777777" w:rsidR="00101AB3" w:rsidRDefault="00101AB3" w:rsidP="00101AB3">
            <w:pPr>
              <w:pStyle w:val="TableText"/>
              <w:spacing w:beforeLines="60" w:before="144"/>
              <w:jc w:val="center"/>
            </w:pPr>
            <w:r>
              <w:t>36/60</w:t>
            </w:r>
          </w:p>
        </w:tc>
        <w:tc>
          <w:tcPr>
            <w:tcW w:w="925" w:type="pct"/>
            <w:tcBorders>
              <w:top w:val="nil"/>
              <w:bottom w:val="single" w:sz="4" w:space="0" w:color="auto"/>
            </w:tcBorders>
            <w:shd w:val="clear" w:color="auto" w:fill="auto"/>
            <w:vAlign w:val="center"/>
          </w:tcPr>
          <w:p w14:paraId="55F64011" w14:textId="41106C63" w:rsidR="00101AB3" w:rsidRDefault="00101AB3" w:rsidP="00101AB3">
            <w:pPr>
              <w:pStyle w:val="TableText"/>
              <w:spacing w:beforeLines="60" w:before="144"/>
              <w:jc w:val="center"/>
            </w:pPr>
            <w:r>
              <w:t>658</w:t>
            </w:r>
          </w:p>
        </w:tc>
      </w:tr>
      <w:tr w:rsidR="00101AB3" w14:paraId="56865CD4" w14:textId="77777777" w:rsidTr="00AC4C7E">
        <w:trPr>
          <w:trHeight w:val="80"/>
        </w:trPr>
        <w:tc>
          <w:tcPr>
            <w:tcW w:w="1372" w:type="pct"/>
            <w:tcBorders>
              <w:top w:val="single" w:sz="4" w:space="0" w:color="auto"/>
            </w:tcBorders>
            <w:shd w:val="clear" w:color="auto" w:fill="auto"/>
            <w:vAlign w:val="center"/>
          </w:tcPr>
          <w:p w14:paraId="0680A46D" w14:textId="7BA41976" w:rsidR="00101AB3" w:rsidRDefault="00101AB3" w:rsidP="00101AB3">
            <w:pPr>
              <w:pStyle w:val="TableText"/>
              <w:spacing w:beforeLines="60" w:before="144" w:after="120"/>
            </w:pPr>
            <w:r>
              <w:t>Total</w:t>
            </w:r>
          </w:p>
        </w:tc>
        <w:tc>
          <w:tcPr>
            <w:tcW w:w="940" w:type="pct"/>
            <w:tcBorders>
              <w:top w:val="single" w:sz="4" w:space="0" w:color="auto"/>
            </w:tcBorders>
            <w:shd w:val="clear" w:color="auto" w:fill="auto"/>
            <w:vAlign w:val="center"/>
          </w:tcPr>
          <w:p w14:paraId="10309B94" w14:textId="77777777" w:rsidR="00101AB3" w:rsidRDefault="00101AB3" w:rsidP="00101AB3">
            <w:pPr>
              <w:pStyle w:val="TableText"/>
              <w:spacing w:beforeLines="60" w:before="144"/>
              <w:jc w:val="center"/>
              <w:rPr>
                <w:color w:val="000000"/>
                <w:szCs w:val="18"/>
              </w:rPr>
            </w:pPr>
          </w:p>
        </w:tc>
        <w:tc>
          <w:tcPr>
            <w:tcW w:w="930" w:type="pct"/>
            <w:tcBorders>
              <w:top w:val="single" w:sz="4" w:space="0" w:color="auto"/>
            </w:tcBorders>
            <w:shd w:val="clear" w:color="auto" w:fill="auto"/>
            <w:vAlign w:val="center"/>
          </w:tcPr>
          <w:p w14:paraId="33CD3629" w14:textId="77777777" w:rsidR="00101AB3" w:rsidRDefault="00101AB3" w:rsidP="00101AB3">
            <w:pPr>
              <w:pStyle w:val="TableText"/>
              <w:spacing w:beforeLines="60" w:before="144"/>
              <w:jc w:val="center"/>
            </w:pPr>
          </w:p>
        </w:tc>
        <w:tc>
          <w:tcPr>
            <w:tcW w:w="832" w:type="pct"/>
            <w:tcBorders>
              <w:top w:val="single" w:sz="4" w:space="0" w:color="auto"/>
            </w:tcBorders>
            <w:shd w:val="clear" w:color="auto" w:fill="auto"/>
            <w:vAlign w:val="center"/>
          </w:tcPr>
          <w:p w14:paraId="62A3A1FA" w14:textId="77777777" w:rsidR="00101AB3" w:rsidRDefault="00101AB3" w:rsidP="00101AB3">
            <w:pPr>
              <w:pStyle w:val="TableText"/>
              <w:spacing w:beforeLines="60" w:before="144"/>
              <w:jc w:val="center"/>
            </w:pPr>
          </w:p>
        </w:tc>
        <w:tc>
          <w:tcPr>
            <w:tcW w:w="925" w:type="pct"/>
            <w:tcBorders>
              <w:top w:val="single" w:sz="4" w:space="0" w:color="auto"/>
            </w:tcBorders>
            <w:shd w:val="clear" w:color="auto" w:fill="auto"/>
            <w:vAlign w:val="center"/>
          </w:tcPr>
          <w:p w14:paraId="3A89E0EB" w14:textId="3A821A40" w:rsidR="00101AB3" w:rsidRDefault="00AC4C7E" w:rsidP="00101AB3">
            <w:pPr>
              <w:pStyle w:val="TableText"/>
              <w:spacing w:beforeLines="60" w:before="144"/>
              <w:jc w:val="center"/>
            </w:pPr>
            <w:r>
              <w:t>1,973</w:t>
            </w:r>
          </w:p>
        </w:tc>
      </w:tr>
    </w:tbl>
    <w:p w14:paraId="545694E5" w14:textId="77777777" w:rsidR="00D210A9" w:rsidRDefault="00D210A9" w:rsidP="00D210A9">
      <w:pPr>
        <w:pStyle w:val="Heading3NoTOC"/>
      </w:pPr>
      <w:bookmarkStart w:id="93" w:name="_Toc315958804"/>
      <w:bookmarkStart w:id="94" w:name="_Toc316394684"/>
    </w:p>
    <w:p w14:paraId="4D5C2903" w14:textId="083970E6" w:rsidR="009E37C1" w:rsidRPr="00D210A9" w:rsidRDefault="00D210A9" w:rsidP="00D210A9">
      <w:pPr>
        <w:pStyle w:val="Heading3NoTOC"/>
      </w:pPr>
      <w:r>
        <w:t>b</w:t>
      </w:r>
      <w:r w:rsidR="00B41E6F">
        <w:t>.</w:t>
      </w:r>
      <w:r w:rsidR="00B41E6F">
        <w:tab/>
      </w:r>
      <w:r>
        <w:t>Estimates</w:t>
      </w:r>
      <w:r w:rsidR="00B41E6F">
        <w:t xml:space="preserve"> of Annualized Costs</w:t>
      </w:r>
    </w:p>
    <w:p w14:paraId="639E245D" w14:textId="60944DDF" w:rsidR="009E37C1" w:rsidRDefault="001E6054" w:rsidP="009E37C1">
      <w:pPr>
        <w:pStyle w:val="NormalSS"/>
        <w:spacing w:after="0"/>
      </w:pPr>
      <w:r>
        <w:t>The PPA follow-up data</w:t>
      </w:r>
      <w:r w:rsidR="009E37C1" w:rsidRPr="00B17503">
        <w:t xml:space="preserve"> collection</w:t>
      </w:r>
      <w:r w:rsidR="009E37C1" w:rsidRPr="00B17503">
        <w:rPr>
          <w:bCs/>
        </w:rPr>
        <w:t xml:space="preserve"> </w:t>
      </w:r>
      <w:r w:rsidR="009E37C1" w:rsidRPr="00B17503">
        <w:t>does not impose a financial</w:t>
      </w:r>
      <w:r w:rsidR="007B3CA5">
        <w:t xml:space="preserve"> burden on youth respondents.</w:t>
      </w:r>
    </w:p>
    <w:p w14:paraId="44E6008A" w14:textId="77777777" w:rsidR="009E37C1" w:rsidRDefault="009E37C1" w:rsidP="009E37C1">
      <w:pPr>
        <w:pStyle w:val="NormalSS"/>
        <w:spacing w:after="0"/>
      </w:pPr>
    </w:p>
    <w:p w14:paraId="46AF9888" w14:textId="737C67A5" w:rsidR="009614C5" w:rsidRPr="00C12A99" w:rsidRDefault="009614C5" w:rsidP="009614C5">
      <w:pPr>
        <w:pStyle w:val="Heading2"/>
        <w:tabs>
          <w:tab w:val="clear" w:pos="432"/>
          <w:tab w:val="left" w:pos="720"/>
        </w:tabs>
        <w:rPr>
          <w:rFonts w:ascii="Lucida Sans" w:hAnsi="Lucida Sans"/>
          <w:caps w:val="0"/>
        </w:rPr>
      </w:pPr>
      <w:r>
        <w:rPr>
          <w:rFonts w:ascii="Lucida Sans" w:hAnsi="Lucida Sans"/>
          <w:caps w:val="0"/>
        </w:rPr>
        <w:lastRenderedPageBreak/>
        <w:t>A13.</w:t>
      </w:r>
      <w:r>
        <w:rPr>
          <w:rFonts w:ascii="Lucida Sans" w:hAnsi="Lucida Sans"/>
          <w:caps w:val="0"/>
        </w:rPr>
        <w:tab/>
      </w:r>
      <w:r w:rsidRPr="00A06270">
        <w:rPr>
          <w:rFonts w:ascii="Lucida Sans" w:hAnsi="Lucida Sans"/>
          <w:caps w:val="0"/>
        </w:rPr>
        <w:t xml:space="preserve">Estimates </w:t>
      </w:r>
      <w:r>
        <w:rPr>
          <w:rFonts w:ascii="Lucida Sans" w:hAnsi="Lucida Sans"/>
          <w:caps w:val="0"/>
        </w:rPr>
        <w:t>o</w:t>
      </w:r>
      <w:r w:rsidR="007B3CA5">
        <w:rPr>
          <w:rFonts w:ascii="Lucida Sans" w:hAnsi="Lucida Sans"/>
          <w:caps w:val="0"/>
        </w:rPr>
        <w:t>f Other</w:t>
      </w:r>
      <w:r w:rsidRPr="00A06270">
        <w:rPr>
          <w:rFonts w:ascii="Lucida Sans" w:hAnsi="Lucida Sans"/>
          <w:caps w:val="0"/>
        </w:rPr>
        <w:t xml:space="preserve"> </w:t>
      </w:r>
      <w:r w:rsidR="007B3CA5">
        <w:rPr>
          <w:rFonts w:ascii="Lucida Sans" w:hAnsi="Lucida Sans"/>
          <w:caps w:val="0"/>
        </w:rPr>
        <w:t xml:space="preserve">Total </w:t>
      </w:r>
      <w:r w:rsidRPr="00A06270">
        <w:rPr>
          <w:rFonts w:ascii="Lucida Sans" w:hAnsi="Lucida Sans"/>
          <w:caps w:val="0"/>
        </w:rPr>
        <w:t>Annual Cost</w:t>
      </w:r>
      <w:bookmarkEnd w:id="88"/>
      <w:bookmarkEnd w:id="93"/>
      <w:bookmarkEnd w:id="94"/>
      <w:r w:rsidR="007B3CA5">
        <w:rPr>
          <w:rFonts w:ascii="Lucida Sans" w:hAnsi="Lucida Sans"/>
          <w:caps w:val="0"/>
        </w:rPr>
        <w:t>s</w:t>
      </w:r>
    </w:p>
    <w:p w14:paraId="597B708C" w14:textId="21CD12C9" w:rsidR="00322476" w:rsidRDefault="007B3CA5" w:rsidP="009614C5">
      <w:pPr>
        <w:pStyle w:val="NormalSS"/>
      </w:pPr>
      <w:r>
        <w:t>The PPA</w:t>
      </w:r>
      <w:r w:rsidR="001E6054">
        <w:t xml:space="preserve"> follow-up data</w:t>
      </w:r>
      <w:r w:rsidR="009614C5" w:rsidRPr="00B17503">
        <w:t xml:space="preserve"> </w:t>
      </w:r>
      <w:r>
        <w:t>collection</w:t>
      </w:r>
      <w:r w:rsidR="009614C5" w:rsidRPr="00B17503">
        <w:t xml:space="preserve"> do</w:t>
      </w:r>
      <w:r>
        <w:t>es</w:t>
      </w:r>
      <w:r w:rsidR="009614C5" w:rsidRPr="00B17503">
        <w:t xml:space="preserve"> not place any additional cost on </w:t>
      </w:r>
      <w:r>
        <w:t xml:space="preserve">youth </w:t>
      </w:r>
      <w:r w:rsidR="009614C5" w:rsidRPr="00B17503">
        <w:t>respondents</w:t>
      </w:r>
      <w:r w:rsidR="00093ECC" w:rsidRPr="00B17503">
        <w:t>.</w:t>
      </w:r>
      <w:r w:rsidR="00093ECC">
        <w:t xml:space="preserve"> </w:t>
      </w:r>
    </w:p>
    <w:p w14:paraId="6F998E36" w14:textId="77777777" w:rsidR="00322476" w:rsidRPr="00C12A99" w:rsidRDefault="00322476" w:rsidP="00322476">
      <w:pPr>
        <w:pStyle w:val="Heading2"/>
        <w:tabs>
          <w:tab w:val="clear" w:pos="432"/>
          <w:tab w:val="left" w:pos="720"/>
        </w:tabs>
        <w:rPr>
          <w:rFonts w:ascii="Lucida Sans" w:hAnsi="Lucida Sans"/>
          <w:caps w:val="0"/>
        </w:rPr>
      </w:pPr>
      <w:bookmarkStart w:id="95" w:name="_Toc248720009"/>
      <w:bookmarkStart w:id="96" w:name="_Toc286757413"/>
      <w:bookmarkStart w:id="97" w:name="_Toc297280153"/>
      <w:bookmarkStart w:id="98" w:name="_Toc297282550"/>
      <w:bookmarkStart w:id="99" w:name="_Toc303683941"/>
      <w:bookmarkStart w:id="100" w:name="_Toc315954450"/>
      <w:bookmarkStart w:id="101" w:name="_Toc315958805"/>
      <w:bookmarkStart w:id="102" w:name="_Toc316394685"/>
      <w:r w:rsidRPr="00A06270">
        <w:rPr>
          <w:rFonts w:ascii="Lucida Sans" w:hAnsi="Lucida Sans"/>
          <w:caps w:val="0"/>
        </w:rPr>
        <w:t>A14.</w:t>
      </w:r>
      <w:r w:rsidRPr="00A06270">
        <w:rPr>
          <w:rFonts w:ascii="Lucida Sans" w:hAnsi="Lucida Sans"/>
          <w:caps w:val="0"/>
        </w:rPr>
        <w:tab/>
        <w:t xml:space="preserve">Annualized Cost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he Federal Government</w:t>
      </w:r>
      <w:bookmarkEnd w:id="95"/>
      <w:bookmarkEnd w:id="96"/>
      <w:bookmarkEnd w:id="97"/>
      <w:bookmarkEnd w:id="98"/>
      <w:bookmarkEnd w:id="99"/>
      <w:bookmarkEnd w:id="100"/>
      <w:bookmarkEnd w:id="101"/>
      <w:bookmarkEnd w:id="102"/>
    </w:p>
    <w:p w14:paraId="70F1A846" w14:textId="5464DCA3" w:rsidR="00495FA1" w:rsidRPr="00B17503" w:rsidRDefault="00322476" w:rsidP="00495FA1">
      <w:pPr>
        <w:pStyle w:val="NormalSS"/>
      </w:pPr>
      <w:r w:rsidRPr="00D869BA">
        <w:t>T</w:t>
      </w:r>
      <w:r w:rsidR="001E6054">
        <w:t>he t</w:t>
      </w:r>
      <w:r w:rsidRPr="00D869BA">
        <w:t>otal e</w:t>
      </w:r>
      <w:r w:rsidR="00FE26B0">
        <w:t xml:space="preserve">stimated cost to the government for </w:t>
      </w:r>
      <w:r w:rsidR="0069196B">
        <w:t xml:space="preserve">continuing to collect data for 16 months </w:t>
      </w:r>
      <w:r w:rsidRPr="00D869BA">
        <w:t>is</w:t>
      </w:r>
      <w:r>
        <w:t xml:space="preserve"> </w:t>
      </w:r>
      <w:r w:rsidR="00FC4DB7">
        <w:t>$</w:t>
      </w:r>
      <w:r w:rsidR="00D3381F">
        <w:t>1,326,986</w:t>
      </w:r>
      <w:r w:rsidR="0069196B">
        <w:t>.</w:t>
      </w:r>
      <w:r w:rsidR="00093ECC">
        <w:t xml:space="preserve"> </w:t>
      </w:r>
      <w:r w:rsidR="0069196B">
        <w:t>T</w:t>
      </w:r>
      <w:r w:rsidR="00495FA1" w:rsidRPr="00D869BA">
        <w:t>he estimated annualized cost to the government for follow-up data collection is</w:t>
      </w:r>
      <w:r w:rsidR="00495FA1">
        <w:t xml:space="preserve"> </w:t>
      </w:r>
      <w:r w:rsidR="00FE26B0">
        <w:t>$</w:t>
      </w:r>
      <w:r w:rsidR="00D3381F">
        <w:t>995,24</w:t>
      </w:r>
      <w:r w:rsidR="006033B3">
        <w:t>4</w:t>
      </w:r>
      <w:r w:rsidR="00D60980">
        <w:t xml:space="preserve"> ($1,</w:t>
      </w:r>
      <w:r w:rsidR="00D3381F">
        <w:t>326,986</w:t>
      </w:r>
      <w:r w:rsidR="00D60980">
        <w:t>/16 months = $</w:t>
      </w:r>
      <w:r w:rsidR="00D3381F">
        <w:t>82,937</w:t>
      </w:r>
      <w:r w:rsidR="00D60980">
        <w:t xml:space="preserve"> per month * 12 months = $</w:t>
      </w:r>
      <w:r w:rsidR="00D3381F">
        <w:t>995,24</w:t>
      </w:r>
      <w:r w:rsidR="006033B3">
        <w:t>4</w:t>
      </w:r>
      <w:r w:rsidR="00D60980">
        <w:t>).</w:t>
      </w:r>
    </w:p>
    <w:p w14:paraId="01D16C9C" w14:textId="77777777" w:rsidR="00495FA1" w:rsidRPr="00C12A99" w:rsidRDefault="00495FA1" w:rsidP="00495FA1">
      <w:pPr>
        <w:pStyle w:val="Heading2"/>
        <w:tabs>
          <w:tab w:val="clear" w:pos="432"/>
          <w:tab w:val="left" w:pos="720"/>
        </w:tabs>
        <w:rPr>
          <w:rFonts w:ascii="Lucida Sans" w:hAnsi="Lucida Sans"/>
          <w:caps w:val="0"/>
        </w:rPr>
      </w:pPr>
      <w:bookmarkStart w:id="103" w:name="_Toc248720010"/>
      <w:bookmarkStart w:id="104" w:name="_Toc286757414"/>
      <w:bookmarkStart w:id="105" w:name="_Toc297280154"/>
      <w:bookmarkStart w:id="106" w:name="_Toc297282551"/>
      <w:bookmarkStart w:id="107" w:name="_Toc303683942"/>
      <w:bookmarkStart w:id="108" w:name="_Toc315954451"/>
      <w:bookmarkStart w:id="109" w:name="_Toc315958806"/>
      <w:bookmarkStart w:id="110" w:name="_Toc316394686"/>
      <w:r w:rsidRPr="00A06270">
        <w:rPr>
          <w:rFonts w:ascii="Lucida Sans" w:hAnsi="Lucida Sans"/>
          <w:caps w:val="0"/>
        </w:rPr>
        <w:t>A15.</w:t>
      </w:r>
      <w:r w:rsidRPr="00A06270">
        <w:rPr>
          <w:rFonts w:ascii="Lucida Sans" w:hAnsi="Lucida Sans"/>
          <w:caps w:val="0"/>
        </w:rPr>
        <w:tab/>
        <w:t xml:space="preserve">Explanation </w:t>
      </w:r>
      <w:r>
        <w:rPr>
          <w:rFonts w:ascii="Lucida Sans" w:hAnsi="Lucida Sans"/>
          <w:caps w:val="0"/>
        </w:rPr>
        <w:t>f</w:t>
      </w:r>
      <w:r w:rsidRPr="00A06270">
        <w:rPr>
          <w:rFonts w:ascii="Lucida Sans" w:hAnsi="Lucida Sans"/>
          <w:caps w:val="0"/>
        </w:rPr>
        <w:t xml:space="preserve">or Program Changes </w:t>
      </w:r>
      <w:r>
        <w:rPr>
          <w:rFonts w:ascii="Lucida Sans" w:hAnsi="Lucida Sans"/>
          <w:caps w:val="0"/>
        </w:rPr>
        <w:t>o</w:t>
      </w:r>
      <w:r w:rsidRPr="00A06270">
        <w:rPr>
          <w:rFonts w:ascii="Lucida Sans" w:hAnsi="Lucida Sans"/>
          <w:caps w:val="0"/>
        </w:rPr>
        <w:t>r Adjustments</w:t>
      </w:r>
      <w:bookmarkEnd w:id="103"/>
      <w:bookmarkEnd w:id="104"/>
      <w:bookmarkEnd w:id="105"/>
      <w:bookmarkEnd w:id="106"/>
      <w:bookmarkEnd w:id="107"/>
      <w:bookmarkEnd w:id="108"/>
      <w:bookmarkEnd w:id="109"/>
      <w:bookmarkEnd w:id="110"/>
    </w:p>
    <w:p w14:paraId="6CE744EE" w14:textId="106B6AAB" w:rsidR="00857905" w:rsidRDefault="009C640E" w:rsidP="007860C8">
      <w:pPr>
        <w:pStyle w:val="NormalSS"/>
        <w:spacing w:after="0"/>
        <w:rPr>
          <w:bCs/>
        </w:rPr>
      </w:pPr>
      <w:r>
        <w:t>This request is an adjustment reducing the annual burden from 3,675 hours to 1,973 hours.</w:t>
      </w:r>
      <w:r w:rsidR="007860C8">
        <w:t xml:space="preserve"> This decline reflects a reduction</w:t>
      </w:r>
      <w:r w:rsidR="00FE26B0">
        <w:t xml:space="preserve"> in the annualized number of responses, </w:t>
      </w:r>
      <w:r w:rsidR="001E6054">
        <w:t xml:space="preserve">due primarily to </w:t>
      </w:r>
      <w:r w:rsidR="007860C8">
        <w:t>the completion of follow-up data co</w:t>
      </w:r>
      <w:r w:rsidR="001E6054">
        <w:t>llection in the Chicago site</w:t>
      </w:r>
      <w:r w:rsidR="007860C8">
        <w:t xml:space="preserve"> and the canceling of follow-up data collection in the Live the Life site.</w:t>
      </w:r>
    </w:p>
    <w:p w14:paraId="7F4C615B" w14:textId="067F228C" w:rsidR="00037998" w:rsidRDefault="00037998">
      <w:pPr>
        <w:tabs>
          <w:tab w:val="clear" w:pos="432"/>
        </w:tabs>
        <w:spacing w:line="240" w:lineRule="auto"/>
        <w:ind w:firstLine="0"/>
        <w:jc w:val="left"/>
        <w:rPr>
          <w:bCs/>
        </w:rPr>
      </w:pPr>
    </w:p>
    <w:p w14:paraId="1F6E265D" w14:textId="77777777" w:rsidR="00857905" w:rsidRDefault="00857905" w:rsidP="007860C8">
      <w:pPr>
        <w:pStyle w:val="NormalSS"/>
        <w:tabs>
          <w:tab w:val="clear" w:pos="432"/>
        </w:tabs>
        <w:spacing w:after="0"/>
        <w:ind w:firstLine="0"/>
        <w:rPr>
          <w:bCs/>
        </w:rPr>
      </w:pPr>
    </w:p>
    <w:p w14:paraId="5FC275FB" w14:textId="77777777" w:rsidR="00495FA1" w:rsidRPr="00A06270" w:rsidRDefault="00495FA1" w:rsidP="00495FA1">
      <w:pPr>
        <w:pStyle w:val="Heading2"/>
        <w:tabs>
          <w:tab w:val="clear" w:pos="432"/>
          <w:tab w:val="left" w:pos="720"/>
        </w:tabs>
        <w:rPr>
          <w:rFonts w:ascii="Lucida Sans" w:hAnsi="Lucida Sans"/>
        </w:rPr>
      </w:pPr>
      <w:bookmarkStart w:id="111" w:name="_Toc248720011"/>
      <w:bookmarkStart w:id="112" w:name="_Toc286757415"/>
      <w:bookmarkStart w:id="113" w:name="_Toc297280155"/>
      <w:bookmarkStart w:id="114" w:name="_Toc297282552"/>
      <w:bookmarkStart w:id="115" w:name="_Toc303683943"/>
      <w:bookmarkStart w:id="116" w:name="_Toc315954452"/>
      <w:bookmarkStart w:id="117" w:name="_Toc315958807"/>
      <w:bookmarkStart w:id="118" w:name="_Toc316394687"/>
      <w:r w:rsidRPr="00A06270">
        <w:rPr>
          <w:rFonts w:ascii="Lucida Sans" w:hAnsi="Lucida Sans"/>
          <w:caps w:val="0"/>
        </w:rPr>
        <w:t>A16.</w:t>
      </w:r>
      <w:r w:rsidRPr="00A06270">
        <w:rPr>
          <w:rFonts w:ascii="Lucida Sans" w:hAnsi="Lucida Sans"/>
          <w:caps w:val="0"/>
        </w:rPr>
        <w:tab/>
        <w:t xml:space="preserve">Plans </w:t>
      </w:r>
      <w:r>
        <w:rPr>
          <w:rFonts w:ascii="Lucida Sans" w:hAnsi="Lucida Sans"/>
          <w:caps w:val="0"/>
        </w:rPr>
        <w:t>f</w:t>
      </w:r>
      <w:r w:rsidRPr="00A06270">
        <w:rPr>
          <w:rFonts w:ascii="Lucida Sans" w:hAnsi="Lucida Sans"/>
          <w:caps w:val="0"/>
        </w:rPr>
        <w:t xml:space="preserve">or Tabulation </w:t>
      </w:r>
      <w:r>
        <w:rPr>
          <w:rFonts w:ascii="Lucida Sans" w:hAnsi="Lucida Sans"/>
          <w:caps w:val="0"/>
        </w:rPr>
        <w:t>a</w:t>
      </w:r>
      <w:r w:rsidRPr="00A06270">
        <w:rPr>
          <w:rFonts w:ascii="Lucida Sans" w:hAnsi="Lucida Sans"/>
          <w:caps w:val="0"/>
        </w:rPr>
        <w:t xml:space="preserve">nd Publication </w:t>
      </w:r>
      <w:r>
        <w:rPr>
          <w:rFonts w:ascii="Lucida Sans" w:hAnsi="Lucida Sans"/>
          <w:caps w:val="0"/>
        </w:rPr>
        <w:t>a</w:t>
      </w:r>
      <w:r w:rsidRPr="00A06270">
        <w:rPr>
          <w:rFonts w:ascii="Lucida Sans" w:hAnsi="Lucida Sans"/>
          <w:caps w:val="0"/>
        </w:rPr>
        <w:t>nd Project Time Schedule</w:t>
      </w:r>
      <w:bookmarkEnd w:id="111"/>
      <w:bookmarkEnd w:id="112"/>
      <w:bookmarkEnd w:id="113"/>
      <w:bookmarkEnd w:id="114"/>
      <w:bookmarkEnd w:id="115"/>
      <w:bookmarkEnd w:id="116"/>
      <w:bookmarkEnd w:id="117"/>
      <w:bookmarkEnd w:id="118"/>
      <w:r w:rsidRPr="00A06270">
        <w:rPr>
          <w:rFonts w:ascii="Lucida Sans" w:hAnsi="Lucida Sans"/>
          <w:caps w:val="0"/>
        </w:rPr>
        <w:t xml:space="preserve"> </w:t>
      </w:r>
    </w:p>
    <w:p w14:paraId="423500DD" w14:textId="77777777" w:rsidR="00495FA1" w:rsidRPr="00B17503" w:rsidRDefault="00495FA1" w:rsidP="00495FA1">
      <w:pPr>
        <w:pStyle w:val="Heading3"/>
      </w:pPr>
      <w:bookmarkStart w:id="119" w:name="_Toc248720012"/>
      <w:bookmarkStart w:id="120" w:name="_Toc286757416"/>
      <w:bookmarkStart w:id="121" w:name="_Toc297280156"/>
      <w:bookmarkStart w:id="122" w:name="_Toc297282553"/>
      <w:bookmarkStart w:id="123" w:name="_Toc303683944"/>
      <w:bookmarkStart w:id="124" w:name="_Toc315954453"/>
      <w:bookmarkStart w:id="125" w:name="_Toc315958808"/>
      <w:bookmarkStart w:id="126" w:name="_Toc316394688"/>
      <w:r w:rsidRPr="00B17503">
        <w:t>1.</w:t>
      </w:r>
      <w:r w:rsidRPr="00B17503">
        <w:tab/>
        <w:t>Analysis Plan</w:t>
      </w:r>
      <w:bookmarkEnd w:id="119"/>
      <w:bookmarkEnd w:id="120"/>
      <w:bookmarkEnd w:id="121"/>
      <w:bookmarkEnd w:id="122"/>
      <w:bookmarkEnd w:id="123"/>
      <w:bookmarkEnd w:id="124"/>
      <w:bookmarkEnd w:id="125"/>
      <w:bookmarkEnd w:id="126"/>
    </w:p>
    <w:p w14:paraId="07C69144" w14:textId="3D2A48BE" w:rsidR="00B452F7" w:rsidRPr="00B17503" w:rsidRDefault="00FD5118" w:rsidP="00495FA1">
      <w:pPr>
        <w:pStyle w:val="NormalSS"/>
      </w:pPr>
      <w:r>
        <w:t>OAH will use the PPA follow-up data to estimate the impacts of eac</w:t>
      </w:r>
      <w:r w:rsidR="00F527DD">
        <w:t>h program on youth outcomes. Program</w:t>
      </w:r>
      <w:r>
        <w:t xml:space="preserve"> impacts will be estimated separately for each site using a regression framework. </w:t>
      </w:r>
      <w:r w:rsidR="00B452F7" w:rsidRPr="00B17503">
        <w:t xml:space="preserve">The empirical specification for the </w:t>
      </w:r>
      <w:r w:rsidR="00F527DD">
        <w:t xml:space="preserve">regression </w:t>
      </w:r>
      <w:r w:rsidR="00B452F7" w:rsidRPr="00B17503">
        <w:t>model will depend on the unit of random assignment, which will depend on the type of pro</w:t>
      </w:r>
      <w:r w:rsidR="00F527DD">
        <w:t>gram provided at a specific site. Some sites randomly assign youth to research conditions in intact groups (</w:t>
      </w:r>
      <w:proofErr w:type="spellStart"/>
      <w:r w:rsidR="00F527DD">
        <w:t>e.g</w:t>
      </w:r>
      <w:proofErr w:type="spellEnd"/>
      <w:proofErr w:type="gramStart"/>
      <w:r w:rsidR="00F527DD">
        <w:t>,.</w:t>
      </w:r>
      <w:proofErr w:type="gramEnd"/>
      <w:r w:rsidR="00F527DD">
        <w:t xml:space="preserve"> schools), whereas some sites</w:t>
      </w:r>
      <w:r w:rsidR="00B452F7" w:rsidRPr="00B17503">
        <w:t xml:space="preserve"> employ random assignment of individuals within the site</w:t>
      </w:r>
      <w:r w:rsidR="00093ECC" w:rsidRPr="00B17503">
        <w:t>.</w:t>
      </w:r>
      <w:r w:rsidR="00093ECC">
        <w:t xml:space="preserve"> </w:t>
      </w:r>
      <w:r w:rsidR="00B452F7" w:rsidRPr="00B17503">
        <w:t>Wi</w:t>
      </w:r>
      <w:r w:rsidR="00F527DD">
        <w:t>th random assignment of individual youth, the regression</w:t>
      </w:r>
      <w:r w:rsidR="00B452F7" w:rsidRPr="00B17503">
        <w:t xml:space="preserve"> model can be expressed as:</w:t>
      </w:r>
    </w:p>
    <w:p w14:paraId="67BF86D6" w14:textId="77777777" w:rsidR="00B452F7" w:rsidRPr="00B17503" w:rsidRDefault="00B452F7" w:rsidP="00B452F7">
      <w:pPr>
        <w:spacing w:after="240" w:line="240" w:lineRule="auto"/>
        <w:ind w:firstLine="0"/>
        <w:jc w:val="center"/>
      </w:pPr>
      <w:r w:rsidRPr="00B17503">
        <w:t>(1)</w:t>
      </w:r>
      <w:r w:rsidRPr="00B17503">
        <w:tab/>
      </w:r>
      <w:r w:rsidRPr="00B17503">
        <w:tab/>
      </w:r>
      <w:r w:rsidRPr="00B17503">
        <w:object w:dxaOrig="1800" w:dyaOrig="360" w14:anchorId="67D57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6.3pt" o:ole="">
            <v:imagedata r:id="rId12" o:title=""/>
          </v:shape>
          <o:OLEObject Type="Embed" ProgID="Equation.DSMT4" ShapeID="_x0000_i1025" DrawAspect="Content" ObjectID="_1500460489" r:id="rId13"/>
        </w:object>
      </w:r>
      <w:r w:rsidRPr="00B17503">
        <w:t>,</w:t>
      </w:r>
    </w:p>
    <w:p w14:paraId="39A4B53B" w14:textId="214109F3" w:rsidR="00B452F7" w:rsidRDefault="00B452F7" w:rsidP="00F527DD">
      <w:pPr>
        <w:pStyle w:val="NormalSS"/>
        <w:ind w:firstLine="0"/>
      </w:pPr>
      <w:r w:rsidRPr="00B17503">
        <w:t xml:space="preserve">where </w:t>
      </w:r>
      <w:proofErr w:type="spellStart"/>
      <w:r w:rsidRPr="00B17503">
        <w:rPr>
          <w:i/>
        </w:rPr>
        <w:t>y</w:t>
      </w:r>
      <w:r w:rsidRPr="00B17503">
        <w:rPr>
          <w:i/>
          <w:vertAlign w:val="subscript"/>
        </w:rPr>
        <w:t>i</w:t>
      </w:r>
      <w:proofErr w:type="spellEnd"/>
      <w:r w:rsidRPr="00B17503">
        <w:t xml:space="preserve"> is the</w:t>
      </w:r>
      <w:r w:rsidR="00F527DD">
        <w:t xml:space="preserve"> outcome of interest for respondent</w:t>
      </w:r>
      <w:r w:rsidRPr="00B17503">
        <w:t xml:space="preserve"> </w:t>
      </w:r>
      <w:r w:rsidRPr="00B17503">
        <w:rPr>
          <w:i/>
        </w:rPr>
        <w:t>i</w:t>
      </w:r>
      <w:r w:rsidRPr="00B17503">
        <w:t xml:space="preserve">; </w:t>
      </w:r>
      <w:r w:rsidRPr="00B17503">
        <w:rPr>
          <w:i/>
        </w:rPr>
        <w:t>x</w:t>
      </w:r>
      <w:r w:rsidRPr="00B17503">
        <w:rPr>
          <w:i/>
          <w:vertAlign w:val="subscript"/>
        </w:rPr>
        <w:t>i</w:t>
      </w:r>
      <w:r w:rsidRPr="00B17503">
        <w:t xml:space="preserve"> is a vector of base</w:t>
      </w:r>
      <w:r w:rsidR="00F527DD">
        <w:t>line characteristics for respondent</w:t>
      </w:r>
      <w:r w:rsidRPr="00B17503">
        <w:t xml:space="preserve"> </w:t>
      </w:r>
      <w:r w:rsidRPr="00B17503">
        <w:rPr>
          <w:i/>
        </w:rPr>
        <w:t>i</w:t>
      </w:r>
      <w:r w:rsidRPr="00B17503">
        <w:t xml:space="preserve">, including baseline measures of the key outcomes; </w:t>
      </w:r>
      <w:r w:rsidRPr="00B17503">
        <w:rPr>
          <w:i/>
        </w:rPr>
        <w:t>T</w:t>
      </w:r>
      <w:r w:rsidRPr="00B17503">
        <w:rPr>
          <w:i/>
          <w:vertAlign w:val="subscript"/>
        </w:rPr>
        <w:t>i</w:t>
      </w:r>
      <w:r w:rsidRPr="00B17503">
        <w:t xml:space="preserve"> is an indic</w:t>
      </w:r>
      <w:r w:rsidR="00F527DD">
        <w:t>ator equal to one if the respondent</w:t>
      </w:r>
      <w:r w:rsidRPr="00B17503">
        <w:t xml:space="preserve"> is in the treatment group and zero if in the control group; and </w:t>
      </w:r>
      <w:r w:rsidRPr="00B17503">
        <w:rPr>
          <w:i/>
        </w:rPr>
        <w:sym w:font="Symbol" w:char="F065"/>
      </w:r>
      <w:r w:rsidRPr="00B17503">
        <w:rPr>
          <w:i/>
          <w:vertAlign w:val="subscript"/>
        </w:rPr>
        <w:t>i</w:t>
      </w:r>
      <w:r w:rsidRPr="00B17503">
        <w:t xml:space="preserve"> is</w:t>
      </w:r>
      <w:r w:rsidR="00F527DD">
        <w:t xml:space="preserve"> a random error term for respondent</w:t>
      </w:r>
      <w:r w:rsidRPr="00B17503">
        <w:t xml:space="preserve"> </w:t>
      </w:r>
      <w:r w:rsidRPr="00B17503">
        <w:rPr>
          <w:i/>
        </w:rPr>
        <w:t>i</w:t>
      </w:r>
      <w:r w:rsidR="00093ECC" w:rsidRPr="00B17503">
        <w:t>.</w:t>
      </w:r>
      <w:r w:rsidR="00093ECC">
        <w:t xml:space="preserve"> </w:t>
      </w:r>
      <w:r w:rsidRPr="00B17503">
        <w:t xml:space="preserve">The vector of baseline characteristics </w:t>
      </w:r>
      <w:r w:rsidRPr="00B17503">
        <w:rPr>
          <w:i/>
        </w:rPr>
        <w:t>x</w:t>
      </w:r>
      <w:r w:rsidRPr="00B17503">
        <w:rPr>
          <w:i/>
          <w:vertAlign w:val="subscript"/>
        </w:rPr>
        <w:t>i</w:t>
      </w:r>
      <w:r w:rsidRPr="00B17503">
        <w:t xml:space="preserve"> will include demographic characteristics such as age, gender, race/ethnicity, and baseline measures of key outcomes</w:t>
      </w:r>
      <w:r w:rsidR="00093ECC" w:rsidRPr="00B17503">
        <w:t>.</w:t>
      </w:r>
      <w:r w:rsidR="00093ECC">
        <w:t xml:space="preserve"> </w:t>
      </w:r>
      <w:r w:rsidRPr="00B17503">
        <w:t xml:space="preserve">The parameter estimate for </w:t>
      </w:r>
      <w:r w:rsidRPr="00B17503">
        <w:rPr>
          <w:i/>
        </w:rPr>
        <w:sym w:font="Symbol" w:char="F06C"/>
      </w:r>
      <w:r w:rsidRPr="00B17503">
        <w:t xml:space="preserve"> is the estimated impact of the program.</w:t>
      </w:r>
    </w:p>
    <w:p w14:paraId="7EC96B13" w14:textId="28D3E246" w:rsidR="00B452F7" w:rsidRPr="00B17503" w:rsidRDefault="00F527DD" w:rsidP="00495FA1">
      <w:pPr>
        <w:pStyle w:val="NormalSS"/>
      </w:pPr>
      <w:r>
        <w:t>In some sites, youth were</w:t>
      </w:r>
      <w:r w:rsidR="00B452F7" w:rsidRPr="00B17503">
        <w:t xml:space="preserve"> randomly assigned </w:t>
      </w:r>
      <w:r>
        <w:t xml:space="preserve">in intact groups (e.g., schools) </w:t>
      </w:r>
      <w:r w:rsidR="00B452F7" w:rsidRPr="00B17503">
        <w:t>and the estimation must account for the correlat</w:t>
      </w:r>
      <w:r>
        <w:t>ion of outcomes between respondents in the same group</w:t>
      </w:r>
      <w:r w:rsidR="00B452F7" w:rsidRPr="00B17503">
        <w:t>, as they may be exposed to similar influences not otherwise captured in the regression model</w:t>
      </w:r>
      <w:r w:rsidR="00093ECC" w:rsidRPr="00B17503">
        <w:t>.</w:t>
      </w:r>
      <w:r w:rsidR="00093ECC">
        <w:t xml:space="preserve"> </w:t>
      </w:r>
      <w:r>
        <w:t>Therefore, each respondent</w:t>
      </w:r>
      <w:r w:rsidR="00B452F7" w:rsidRPr="00B17503">
        <w:t xml:space="preserve"> cannot be considered statistically independent</w:t>
      </w:r>
      <w:r w:rsidR="00093ECC" w:rsidRPr="00B17503">
        <w:t>.</w:t>
      </w:r>
      <w:r w:rsidR="00093ECC">
        <w:t xml:space="preserve"> </w:t>
      </w:r>
      <w:r>
        <w:t>For these sites, the regression model will be modified as follows</w:t>
      </w:r>
      <w:r w:rsidR="00B452F7" w:rsidRPr="00B17503">
        <w:t>:</w:t>
      </w:r>
    </w:p>
    <w:p w14:paraId="101DC585" w14:textId="77777777" w:rsidR="00B452F7" w:rsidRPr="00B17503" w:rsidRDefault="00B452F7" w:rsidP="00B452F7">
      <w:pPr>
        <w:spacing w:after="240" w:line="240" w:lineRule="auto"/>
        <w:ind w:firstLine="0"/>
        <w:jc w:val="center"/>
      </w:pPr>
      <w:r w:rsidRPr="00B17503">
        <w:t>(2)</w:t>
      </w:r>
      <w:r w:rsidRPr="00B17503">
        <w:tab/>
      </w:r>
      <w:r w:rsidRPr="00B17503">
        <w:tab/>
      </w:r>
      <w:r w:rsidRPr="00B17503">
        <w:object w:dxaOrig="2420" w:dyaOrig="360" w14:anchorId="03C7757B">
          <v:shape id="_x0000_i1026" type="#_x0000_t75" style="width:113.45pt;height:16.3pt" o:ole="">
            <v:imagedata r:id="rId14" o:title=""/>
          </v:shape>
          <o:OLEObject Type="Embed" ProgID="Equation.DSMT4" ShapeID="_x0000_i1026" DrawAspect="Content" ObjectID="_1500460490" r:id="rId15"/>
        </w:object>
      </w:r>
      <w:r w:rsidRPr="00B17503">
        <w:t>.</w:t>
      </w:r>
    </w:p>
    <w:p w14:paraId="612F3E7B" w14:textId="62B2DCB1" w:rsidR="00B452F7" w:rsidRPr="00B17503" w:rsidRDefault="00B452F7" w:rsidP="00495FA1">
      <w:pPr>
        <w:pStyle w:val="NormalSS"/>
      </w:pPr>
      <w:r w:rsidRPr="00B17503">
        <w:lastRenderedPageBreak/>
        <w:t xml:space="preserve">The general structure of the model is the same, but now </w:t>
      </w:r>
      <w:proofErr w:type="spellStart"/>
      <w:r w:rsidRPr="00B17503">
        <w:rPr>
          <w:i/>
        </w:rPr>
        <w:t>y</w:t>
      </w:r>
      <w:r w:rsidRPr="00B17503">
        <w:rPr>
          <w:i/>
          <w:vertAlign w:val="subscript"/>
        </w:rPr>
        <w:t>is</w:t>
      </w:r>
      <w:proofErr w:type="spellEnd"/>
      <w:r w:rsidRPr="00B17503">
        <w:t xml:space="preserve"> is</w:t>
      </w:r>
      <w:r w:rsidR="00F527DD">
        <w:t xml:space="preserve"> the outcome measure for respondent</w:t>
      </w:r>
      <w:r w:rsidRPr="00B17503">
        <w:t xml:space="preserve"> </w:t>
      </w:r>
      <w:proofErr w:type="spellStart"/>
      <w:r w:rsidRPr="00B17503">
        <w:rPr>
          <w:i/>
        </w:rPr>
        <w:t>i</w:t>
      </w:r>
      <w:proofErr w:type="spellEnd"/>
      <w:r w:rsidR="00F527DD">
        <w:t xml:space="preserve"> in </w:t>
      </w:r>
      <w:proofErr w:type="spellStart"/>
      <w:r w:rsidR="00F527DD">
        <w:t>group</w:t>
      </w:r>
      <w:r w:rsidRPr="00B17503">
        <w:t xml:space="preserve"> </w:t>
      </w:r>
      <w:r w:rsidRPr="00B17503">
        <w:rPr>
          <w:i/>
        </w:rPr>
        <w:t>s</w:t>
      </w:r>
      <w:proofErr w:type="spellEnd"/>
      <w:r w:rsidRPr="00B17503">
        <w:t xml:space="preserve"> (and similarly for the vector of baseline characteristics </w:t>
      </w:r>
      <w:proofErr w:type="spellStart"/>
      <w:r w:rsidRPr="00B17503">
        <w:rPr>
          <w:i/>
        </w:rPr>
        <w:t>x</w:t>
      </w:r>
      <w:r w:rsidRPr="00B17503">
        <w:rPr>
          <w:i/>
          <w:vertAlign w:val="subscript"/>
        </w:rPr>
        <w:t>is</w:t>
      </w:r>
      <w:proofErr w:type="spellEnd"/>
      <w:r w:rsidRPr="00B17503">
        <w:t xml:space="preserve"> and the error term </w:t>
      </w:r>
      <w:r w:rsidRPr="00B17503">
        <w:rPr>
          <w:i/>
        </w:rPr>
        <w:sym w:font="Symbol" w:char="F065"/>
      </w:r>
      <w:r w:rsidRPr="00B17503">
        <w:rPr>
          <w:i/>
          <w:vertAlign w:val="subscript"/>
        </w:rPr>
        <w:t>is</w:t>
      </w:r>
      <w:r w:rsidRPr="00B17503">
        <w:t>)</w:t>
      </w:r>
      <w:r w:rsidR="00093ECC" w:rsidRPr="00B17503">
        <w:t>.</w:t>
      </w:r>
      <w:r w:rsidR="00093ECC">
        <w:t xml:space="preserve"> </w:t>
      </w:r>
      <w:r w:rsidRPr="00B17503">
        <w:t xml:space="preserve">The treatment status </w:t>
      </w:r>
      <w:proofErr w:type="spellStart"/>
      <w:r w:rsidRPr="00B17503">
        <w:rPr>
          <w:i/>
        </w:rPr>
        <w:t>T</w:t>
      </w:r>
      <w:r w:rsidRPr="00B17503">
        <w:rPr>
          <w:i/>
          <w:vertAlign w:val="subscript"/>
        </w:rPr>
        <w:t>s</w:t>
      </w:r>
      <w:proofErr w:type="spellEnd"/>
      <w:r w:rsidR="00F527DD">
        <w:t xml:space="preserve"> is now defined by group</w:t>
      </w:r>
      <w:r w:rsidRPr="00B17503">
        <w:t xml:space="preserve"> rather than by individual</w:t>
      </w:r>
      <w:r w:rsidR="00093ECC" w:rsidRPr="00B17503">
        <w:t>.</w:t>
      </w:r>
      <w:r w:rsidR="00093ECC">
        <w:t xml:space="preserve"> </w:t>
      </w:r>
      <w:r w:rsidRPr="00B17503">
        <w:t>Most importantly, the error term in Equation (2) account</w:t>
      </w:r>
      <w:r w:rsidR="00F527DD">
        <w:t>s for the clustering of respondents within groups</w:t>
      </w:r>
      <w:r w:rsidRPr="00B17503">
        <w:t xml:space="preserve"> because of the inclusion</w:t>
      </w:r>
      <w:r w:rsidR="00F527DD">
        <w:t xml:space="preserve"> of the group</w:t>
      </w:r>
      <w:r w:rsidRPr="00B17503">
        <w:t xml:space="preserve">-level error term </w:t>
      </w:r>
      <w:r w:rsidRPr="00B17503">
        <w:rPr>
          <w:i/>
        </w:rPr>
        <w:sym w:font="Symbol" w:char="F068"/>
      </w:r>
      <w:r w:rsidRPr="00B17503">
        <w:rPr>
          <w:i/>
          <w:vertAlign w:val="subscript"/>
        </w:rPr>
        <w:t>s</w:t>
      </w:r>
      <w:r w:rsidR="00F527DD">
        <w:t>.</w:t>
      </w:r>
      <w:r w:rsidRPr="00B17503">
        <w:t xml:space="preserve"> If this error term is excluded, the precision of the impa</w:t>
      </w:r>
      <w:r w:rsidR="00632BE6">
        <w:t xml:space="preserve">ct estimates could be </w:t>
      </w:r>
      <w:r w:rsidRPr="00B17503">
        <w:t>overstated</w:t>
      </w:r>
      <w:r w:rsidR="00093ECC" w:rsidRPr="00B17503">
        <w:t>.</w:t>
      </w:r>
      <w:r w:rsidR="00093ECC">
        <w:t xml:space="preserve"> </w:t>
      </w:r>
      <w:r w:rsidRPr="00B17503">
        <w:t xml:space="preserve">As in Equation (1), the estimated impact of the program </w:t>
      </w:r>
      <w:proofErr w:type="gramStart"/>
      <w:r w:rsidRPr="00B17503">
        <w:t xml:space="preserve">is </w:t>
      </w:r>
      <w:proofErr w:type="gramEnd"/>
      <w:r w:rsidRPr="00B17503">
        <w:rPr>
          <w:i/>
        </w:rPr>
        <w:sym w:font="Symbol" w:char="F06C"/>
      </w:r>
      <w:r w:rsidRPr="00B17503">
        <w:t>.</w:t>
      </w:r>
    </w:p>
    <w:p w14:paraId="6C7CD33E" w14:textId="77777777" w:rsidR="00B452F7" w:rsidRDefault="00B452F7" w:rsidP="00495FA1">
      <w:pPr>
        <w:pStyle w:val="NormalSS"/>
      </w:pPr>
      <w:r w:rsidRPr="00B17503">
        <w:t>The specific maximum-likelihood methods for estimating the parameters of the models will depend on the form of the dependent variable</w:t>
      </w:r>
      <w:r w:rsidR="00093ECC" w:rsidRPr="00B17503">
        <w:t>.</w:t>
      </w:r>
      <w:r w:rsidR="00093ECC">
        <w:t xml:space="preserve"> </w:t>
      </w:r>
      <w:r w:rsidRPr="00B17503">
        <w:t>Logistic regression procedures will be specified for binary outcomes (such as whether the student has an STD) and multinomial regression procedures will be specified for categorical outcomes (such as the number of sexual partners)</w:t>
      </w:r>
      <w:r w:rsidR="00093ECC" w:rsidRPr="00B17503">
        <w:t>.</w:t>
      </w:r>
      <w:r w:rsidR="00093ECC">
        <w:t xml:space="preserve"> </w:t>
      </w:r>
    </w:p>
    <w:p w14:paraId="1CEC3E3C" w14:textId="77777777" w:rsidR="00B452F7" w:rsidRPr="00B17503" w:rsidRDefault="00B452F7" w:rsidP="00B452F7">
      <w:pPr>
        <w:pStyle w:val="Heading3"/>
      </w:pPr>
      <w:bookmarkStart w:id="127" w:name="_Toc248720013"/>
      <w:bookmarkStart w:id="128" w:name="_Toc286757417"/>
      <w:bookmarkStart w:id="129" w:name="_Toc297280157"/>
      <w:bookmarkStart w:id="130" w:name="_Toc297282554"/>
      <w:bookmarkStart w:id="131" w:name="_Toc303683945"/>
      <w:bookmarkStart w:id="132" w:name="_Toc315954454"/>
      <w:bookmarkStart w:id="133" w:name="_Toc315958809"/>
      <w:bookmarkStart w:id="134" w:name="_Toc316394689"/>
      <w:r w:rsidRPr="00B17503">
        <w:t>2.</w:t>
      </w:r>
      <w:r w:rsidRPr="00B17503">
        <w:tab/>
        <w:t>Time Schedule and Publications</w:t>
      </w:r>
      <w:bookmarkEnd w:id="127"/>
      <w:bookmarkEnd w:id="128"/>
      <w:bookmarkEnd w:id="129"/>
      <w:bookmarkEnd w:id="130"/>
      <w:bookmarkEnd w:id="131"/>
      <w:bookmarkEnd w:id="132"/>
      <w:bookmarkEnd w:id="133"/>
      <w:bookmarkEnd w:id="134"/>
    </w:p>
    <w:p w14:paraId="2E1C565F" w14:textId="4ED616BB" w:rsidR="00B452F7" w:rsidRPr="00B17503" w:rsidRDefault="00FD5118" w:rsidP="00495FA1">
      <w:pPr>
        <w:pStyle w:val="NormalSS"/>
      </w:pPr>
      <w:r>
        <w:t xml:space="preserve">Program implementation reports </w:t>
      </w:r>
      <w:r w:rsidR="007860C8">
        <w:t>for all sites and an impact report for the</w:t>
      </w:r>
      <w:r w:rsidR="00353DED">
        <w:t xml:space="preserve"> Chicago</w:t>
      </w:r>
      <w:r w:rsidR="007860C8">
        <w:t xml:space="preserve"> site were released on a rolling basis beginning in summer 2013. These reports are available</w:t>
      </w:r>
      <w:r>
        <w:t xml:space="preserve"> on the OAH website at </w:t>
      </w:r>
      <w:hyperlink r:id="rId16" w:history="1">
        <w:r w:rsidRPr="00F77C4E">
          <w:rPr>
            <w:rStyle w:val="Hyperlink"/>
          </w:rPr>
          <w:t>http://www.hhs.gov/ash/oah/oah-initiatives/for-grantees/evaluation/index.html</w:t>
        </w:r>
      </w:hyperlink>
      <w:r>
        <w:t>. Site-specific interim and final impact reports for the remaining sites will be released on a rolling basis in 2015 and 2016.</w:t>
      </w:r>
    </w:p>
    <w:p w14:paraId="102A346F" w14:textId="026A8ECE" w:rsidR="00B452F7" w:rsidRPr="00246E98" w:rsidRDefault="00B452F7" w:rsidP="00B452F7">
      <w:pPr>
        <w:pStyle w:val="Heading2"/>
        <w:tabs>
          <w:tab w:val="clear" w:pos="432"/>
          <w:tab w:val="left" w:pos="720"/>
        </w:tabs>
        <w:rPr>
          <w:rFonts w:ascii="Lucida Sans" w:hAnsi="Lucida Sans"/>
        </w:rPr>
      </w:pPr>
      <w:bookmarkStart w:id="135" w:name="_Toc248720014"/>
      <w:bookmarkStart w:id="136" w:name="_Toc286757418"/>
      <w:bookmarkStart w:id="137" w:name="_Toc297280158"/>
      <w:bookmarkStart w:id="138" w:name="_Toc297282555"/>
      <w:bookmarkStart w:id="139" w:name="_Toc303683946"/>
      <w:bookmarkStart w:id="140" w:name="_Toc315954455"/>
      <w:bookmarkStart w:id="141" w:name="_Toc315958810"/>
      <w:bookmarkStart w:id="142" w:name="_Toc316394690"/>
      <w:r>
        <w:rPr>
          <w:rFonts w:ascii="Lucida Sans" w:hAnsi="Lucida Sans"/>
          <w:caps w:val="0"/>
        </w:rPr>
        <w:t>A17.</w:t>
      </w:r>
      <w:r>
        <w:rPr>
          <w:rFonts w:ascii="Lucida Sans" w:hAnsi="Lucida Sans"/>
          <w:caps w:val="0"/>
        </w:rPr>
        <w:tab/>
      </w:r>
      <w:r w:rsidRPr="00246E98">
        <w:rPr>
          <w:rFonts w:ascii="Lucida Sans" w:hAnsi="Lucida Sans"/>
          <w:caps w:val="0"/>
        </w:rPr>
        <w:t xml:space="preserve">Display </w:t>
      </w:r>
      <w:r>
        <w:rPr>
          <w:rFonts w:ascii="Lucida Sans" w:hAnsi="Lucida Sans"/>
          <w:caps w:val="0"/>
        </w:rPr>
        <w:t>o</w:t>
      </w:r>
      <w:r w:rsidR="00FD5118">
        <w:rPr>
          <w:rFonts w:ascii="Lucida Sans" w:hAnsi="Lucida Sans"/>
          <w:caps w:val="0"/>
        </w:rPr>
        <w:t xml:space="preserve">f </w:t>
      </w:r>
      <w:r w:rsidRPr="00246E98">
        <w:rPr>
          <w:rFonts w:ascii="Lucida Sans" w:hAnsi="Lucida Sans"/>
          <w:caps w:val="0"/>
        </w:rPr>
        <w:t xml:space="preserve">Expiration Date </w:t>
      </w:r>
      <w:bookmarkEnd w:id="135"/>
      <w:bookmarkEnd w:id="136"/>
      <w:bookmarkEnd w:id="137"/>
      <w:bookmarkEnd w:id="138"/>
      <w:bookmarkEnd w:id="139"/>
      <w:bookmarkEnd w:id="140"/>
      <w:bookmarkEnd w:id="141"/>
      <w:bookmarkEnd w:id="142"/>
      <w:r w:rsidR="00FD5118">
        <w:rPr>
          <w:rFonts w:ascii="Lucida Sans" w:hAnsi="Lucida Sans"/>
          <w:caps w:val="0"/>
        </w:rPr>
        <w:t>for OMB Approval</w:t>
      </w:r>
    </w:p>
    <w:p w14:paraId="3E2A4976" w14:textId="77777777" w:rsidR="00B452F7" w:rsidRPr="00B17503" w:rsidRDefault="00B452F7" w:rsidP="00495FA1">
      <w:pPr>
        <w:pStyle w:val="NormalSS"/>
      </w:pPr>
      <w:r w:rsidRPr="00B17503">
        <w:t>All instruments will display the OMB number and the expiration date.</w:t>
      </w:r>
    </w:p>
    <w:p w14:paraId="7751041D" w14:textId="7CBFCD13" w:rsidR="00B452F7" w:rsidRPr="00246E98" w:rsidRDefault="00B452F7" w:rsidP="00B452F7">
      <w:pPr>
        <w:pStyle w:val="Heading2"/>
        <w:tabs>
          <w:tab w:val="clear" w:pos="432"/>
          <w:tab w:val="left" w:pos="720"/>
        </w:tabs>
        <w:rPr>
          <w:rFonts w:ascii="Lucida Sans" w:hAnsi="Lucida Sans"/>
        </w:rPr>
      </w:pPr>
      <w:bookmarkStart w:id="143" w:name="_Toc248720015"/>
      <w:bookmarkStart w:id="144" w:name="_Toc286757419"/>
      <w:bookmarkStart w:id="145" w:name="_Toc297280159"/>
      <w:bookmarkStart w:id="146" w:name="_Toc297282556"/>
      <w:bookmarkStart w:id="147" w:name="_Toc303683947"/>
      <w:bookmarkStart w:id="148" w:name="_Toc315954456"/>
      <w:bookmarkStart w:id="149" w:name="_Toc315958811"/>
      <w:bookmarkStart w:id="150" w:name="_Toc316394691"/>
      <w:r>
        <w:rPr>
          <w:rFonts w:ascii="Lucida Sans" w:hAnsi="Lucida Sans"/>
          <w:caps w:val="0"/>
        </w:rPr>
        <w:t>A18.</w:t>
      </w:r>
      <w:r>
        <w:rPr>
          <w:rFonts w:ascii="Lucida Sans" w:hAnsi="Lucida Sans"/>
          <w:caps w:val="0"/>
        </w:rPr>
        <w:tab/>
      </w:r>
      <w:r w:rsidR="00FD5118">
        <w:rPr>
          <w:rFonts w:ascii="Lucida Sans" w:hAnsi="Lucida Sans"/>
          <w:caps w:val="0"/>
        </w:rPr>
        <w:t xml:space="preserve">Explanation of </w:t>
      </w:r>
      <w:r w:rsidRPr="00246E98">
        <w:rPr>
          <w:rFonts w:ascii="Lucida Sans" w:hAnsi="Lucida Sans"/>
          <w:caps w:val="0"/>
        </w:rPr>
        <w:t>Exceptions</w:t>
      </w:r>
      <w:bookmarkEnd w:id="143"/>
      <w:bookmarkEnd w:id="144"/>
      <w:bookmarkEnd w:id="145"/>
      <w:bookmarkEnd w:id="146"/>
      <w:bookmarkEnd w:id="147"/>
      <w:bookmarkEnd w:id="148"/>
      <w:bookmarkEnd w:id="149"/>
      <w:bookmarkEnd w:id="150"/>
    </w:p>
    <w:p w14:paraId="44BF593A" w14:textId="7E820DA1" w:rsidR="00E33FB4" w:rsidRPr="00CA1840" w:rsidRDefault="00B452F7" w:rsidP="00FD5118">
      <w:pPr>
        <w:pStyle w:val="NormalSS"/>
      </w:pPr>
      <w:r w:rsidRPr="00B17503">
        <w:t xml:space="preserve">No exceptions are necessary </w:t>
      </w:r>
      <w:r w:rsidR="00FD5118">
        <w:t>for this information collection.</w:t>
      </w:r>
      <w:r w:rsidR="00FD5118" w:rsidRPr="00CA1840">
        <w:t xml:space="preserve"> </w:t>
      </w:r>
    </w:p>
    <w:sectPr w:rsidR="00E33FB4" w:rsidRPr="00CA1840" w:rsidSect="003A1506">
      <w:footerReference w:type="default" r:id="rId1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45CC3" w14:textId="77777777" w:rsidR="003943BC" w:rsidRDefault="003943BC">
      <w:pPr>
        <w:spacing w:line="240" w:lineRule="auto"/>
        <w:ind w:firstLine="0"/>
      </w:pPr>
    </w:p>
  </w:endnote>
  <w:endnote w:type="continuationSeparator" w:id="0">
    <w:p w14:paraId="294D7F51" w14:textId="77777777" w:rsidR="003943BC" w:rsidRDefault="003943BC">
      <w:pPr>
        <w:spacing w:line="240" w:lineRule="auto"/>
        <w:ind w:firstLine="0"/>
      </w:pPr>
    </w:p>
  </w:endnote>
  <w:endnote w:type="continuationNotice" w:id="1">
    <w:p w14:paraId="0E1B24F7" w14:textId="77777777" w:rsidR="003943BC" w:rsidRDefault="003943BC">
      <w:pPr>
        <w:spacing w:line="240" w:lineRule="auto"/>
        <w:ind w:firstLine="0"/>
      </w:pPr>
    </w:p>
    <w:p w14:paraId="4265D074" w14:textId="77777777" w:rsidR="003943BC" w:rsidRDefault="003943BC"/>
    <w:p w14:paraId="56FAB8DF" w14:textId="77777777" w:rsidR="003943BC" w:rsidRDefault="003943B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T:\MThomas\PPA\OMB package_020212\Second submission_020712\PPA-Supporting Statement A_FU data collection_to OMB _020712bc.docx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13C73" w14:textId="77777777" w:rsidR="00147957" w:rsidRDefault="00147957" w:rsidP="00763DD2">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5C7375">
      <w:rPr>
        <w:rStyle w:val="PageNumber"/>
        <w:noProof/>
      </w:rPr>
      <w:t>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6F78B" w14:textId="77777777" w:rsidR="00147957" w:rsidRPr="00C818BB" w:rsidRDefault="00147957" w:rsidP="00C818B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79759" w14:textId="77777777" w:rsidR="003943BC" w:rsidRDefault="003943BC">
      <w:pPr>
        <w:spacing w:line="240" w:lineRule="auto"/>
        <w:ind w:firstLine="0"/>
      </w:pPr>
      <w:r>
        <w:separator/>
      </w:r>
    </w:p>
  </w:footnote>
  <w:footnote w:type="continuationSeparator" w:id="0">
    <w:p w14:paraId="79F20A56" w14:textId="77777777" w:rsidR="003943BC" w:rsidRDefault="003943BC">
      <w:pPr>
        <w:spacing w:line="240" w:lineRule="auto"/>
        <w:ind w:firstLine="0"/>
      </w:pPr>
      <w:r>
        <w:separator/>
      </w:r>
    </w:p>
    <w:p w14:paraId="55836DD8" w14:textId="77777777" w:rsidR="003943BC" w:rsidRDefault="003943BC">
      <w:pPr>
        <w:spacing w:line="240" w:lineRule="auto"/>
        <w:ind w:firstLine="0"/>
        <w:rPr>
          <w:i/>
        </w:rPr>
      </w:pPr>
      <w:r>
        <w:rPr>
          <w:i/>
        </w:rPr>
        <w:t>(</w:t>
      </w:r>
      <w:proofErr w:type="gramStart"/>
      <w:r>
        <w:rPr>
          <w:i/>
        </w:rPr>
        <w:t>continued</w:t>
      </w:r>
      <w:proofErr w:type="gramEnd"/>
      <w:r>
        <w:rPr>
          <w:i/>
        </w:rPr>
        <w:t>)</w:t>
      </w:r>
    </w:p>
  </w:footnote>
  <w:footnote w:type="continuationNotice" w:id="1">
    <w:p w14:paraId="2EC1DDE8" w14:textId="77777777" w:rsidR="003943BC" w:rsidRDefault="003943BC">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EC5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48D9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886E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D615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030FD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7EE7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FEA4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2883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96A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26F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E3669C6"/>
    <w:multiLevelType w:val="hybridMultilevel"/>
    <w:tmpl w:val="418C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202431"/>
    <w:multiLevelType w:val="hybridMultilevel"/>
    <w:tmpl w:val="319222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4327092"/>
    <w:multiLevelType w:val="hybridMultilevel"/>
    <w:tmpl w:val="D31C524C"/>
    <w:lvl w:ilvl="0" w:tplc="C0AE65F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52FF58E6"/>
    <w:multiLevelType w:val="hybridMultilevel"/>
    <w:tmpl w:val="8CCABD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5A762EE5"/>
    <w:multiLevelType w:val="hybridMultilevel"/>
    <w:tmpl w:val="B02C01CC"/>
    <w:lvl w:ilvl="0" w:tplc="27FA19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7946362"/>
    <w:multiLevelType w:val="hybridMultilevel"/>
    <w:tmpl w:val="94E49578"/>
    <w:lvl w:ilvl="0" w:tplc="C87236C0">
      <w:start w:val="1"/>
      <w:numFmt w:val="bullet"/>
      <w:lvlText w:val=""/>
      <w:lvlJc w:val="left"/>
      <w:pPr>
        <w:ind w:left="734" w:hanging="360"/>
      </w:pPr>
      <w:rPr>
        <w:rFonts w:ascii="Times New Roman" w:hAnsi="Times New Roman"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0" w15:restartNumberingAfterBreak="0">
    <w:nsid w:val="6C7C288E"/>
    <w:multiLevelType w:val="hybridMultilevel"/>
    <w:tmpl w:val="77E2B3C8"/>
    <w:lvl w:ilvl="0" w:tplc="81FC3B1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0408B"/>
    <w:multiLevelType w:val="hybridMultilevel"/>
    <w:tmpl w:val="F428412C"/>
    <w:lvl w:ilvl="0" w:tplc="C8144E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799170CE"/>
    <w:multiLevelType w:val="hybridMultilevel"/>
    <w:tmpl w:val="BB3C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2"/>
  </w:num>
  <w:num w:numId="3">
    <w:abstractNumId w:val="25"/>
  </w:num>
  <w:num w:numId="4">
    <w:abstractNumId w:val="12"/>
  </w:num>
  <w:num w:numId="5">
    <w:abstractNumId w:val="10"/>
  </w:num>
  <w:num w:numId="6">
    <w:abstractNumId w:val="34"/>
  </w:num>
  <w:num w:numId="7">
    <w:abstractNumId w:val="28"/>
  </w:num>
  <w:num w:numId="8">
    <w:abstractNumId w:val="15"/>
  </w:num>
  <w:num w:numId="9">
    <w:abstractNumId w:val="16"/>
  </w:num>
  <w:num w:numId="10">
    <w:abstractNumId w:val="19"/>
  </w:num>
  <w:num w:numId="11">
    <w:abstractNumId w:val="13"/>
  </w:num>
  <w:num w:numId="12">
    <w:abstractNumId w:val="26"/>
  </w:num>
  <w:num w:numId="13">
    <w:abstractNumId w:val="14"/>
  </w:num>
  <w:num w:numId="14">
    <w:abstractNumId w:val="24"/>
  </w:num>
  <w:num w:numId="15">
    <w:abstractNumId w:val="27"/>
  </w:num>
  <w:num w:numId="16">
    <w:abstractNumId w:val="18"/>
  </w:num>
  <w:num w:numId="17">
    <w:abstractNumId w:val="17"/>
  </w:num>
  <w:num w:numId="18">
    <w:abstractNumId w:val="16"/>
  </w:num>
  <w:num w:numId="19">
    <w:abstractNumId w:val="11"/>
  </w:num>
  <w:num w:numId="20">
    <w:abstractNumId w:val="29"/>
  </w:num>
  <w:num w:numId="21">
    <w:abstractNumId w:val="23"/>
  </w:num>
  <w:num w:numId="22">
    <w:abstractNumId w:val="30"/>
  </w:num>
  <w:num w:numId="23">
    <w:abstractNumId w:val="20"/>
  </w:num>
  <w:num w:numId="24">
    <w:abstractNumId w:val="31"/>
  </w:num>
  <w:num w:numId="25">
    <w:abstractNumId w:val="2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revisionView w:inkAnnotations="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97"/>
    <w:rsid w:val="000015FB"/>
    <w:rsid w:val="00005F28"/>
    <w:rsid w:val="00006E1F"/>
    <w:rsid w:val="00007CA0"/>
    <w:rsid w:val="0001119F"/>
    <w:rsid w:val="00012372"/>
    <w:rsid w:val="00012863"/>
    <w:rsid w:val="00017DD1"/>
    <w:rsid w:val="00021A62"/>
    <w:rsid w:val="0002515B"/>
    <w:rsid w:val="0002751B"/>
    <w:rsid w:val="000300AF"/>
    <w:rsid w:val="0003023E"/>
    <w:rsid w:val="00034260"/>
    <w:rsid w:val="00034F9D"/>
    <w:rsid w:val="00037098"/>
    <w:rsid w:val="00037998"/>
    <w:rsid w:val="000414C7"/>
    <w:rsid w:val="00043D7B"/>
    <w:rsid w:val="000457DD"/>
    <w:rsid w:val="00046CA3"/>
    <w:rsid w:val="00046E51"/>
    <w:rsid w:val="00047FDC"/>
    <w:rsid w:val="00050610"/>
    <w:rsid w:val="00052499"/>
    <w:rsid w:val="00053968"/>
    <w:rsid w:val="00055773"/>
    <w:rsid w:val="000626F1"/>
    <w:rsid w:val="00063123"/>
    <w:rsid w:val="00063FEF"/>
    <w:rsid w:val="00066AB9"/>
    <w:rsid w:val="00072477"/>
    <w:rsid w:val="0007306D"/>
    <w:rsid w:val="000769A1"/>
    <w:rsid w:val="00076CF0"/>
    <w:rsid w:val="000779BD"/>
    <w:rsid w:val="00080DFA"/>
    <w:rsid w:val="000812AE"/>
    <w:rsid w:val="00081D47"/>
    <w:rsid w:val="000824C2"/>
    <w:rsid w:val="00085ACA"/>
    <w:rsid w:val="00087469"/>
    <w:rsid w:val="00090529"/>
    <w:rsid w:val="000909AC"/>
    <w:rsid w:val="00093D97"/>
    <w:rsid w:val="00093ECC"/>
    <w:rsid w:val="000949E8"/>
    <w:rsid w:val="000A0108"/>
    <w:rsid w:val="000A3212"/>
    <w:rsid w:val="000A4439"/>
    <w:rsid w:val="000A4460"/>
    <w:rsid w:val="000A544F"/>
    <w:rsid w:val="000A6FC8"/>
    <w:rsid w:val="000B028F"/>
    <w:rsid w:val="000B2BD0"/>
    <w:rsid w:val="000B2D78"/>
    <w:rsid w:val="000B3A77"/>
    <w:rsid w:val="000B3DED"/>
    <w:rsid w:val="000B3E92"/>
    <w:rsid w:val="000B7E70"/>
    <w:rsid w:val="000C0118"/>
    <w:rsid w:val="000C05BD"/>
    <w:rsid w:val="000C15B4"/>
    <w:rsid w:val="000C21AF"/>
    <w:rsid w:val="000C70DC"/>
    <w:rsid w:val="000C72F8"/>
    <w:rsid w:val="000C7DCF"/>
    <w:rsid w:val="000D5B33"/>
    <w:rsid w:val="000D709F"/>
    <w:rsid w:val="000E04F5"/>
    <w:rsid w:val="000E1D9E"/>
    <w:rsid w:val="000E29AF"/>
    <w:rsid w:val="000E61AD"/>
    <w:rsid w:val="000E6D11"/>
    <w:rsid w:val="000F12B5"/>
    <w:rsid w:val="000F3AB1"/>
    <w:rsid w:val="000F79B9"/>
    <w:rsid w:val="001001FA"/>
    <w:rsid w:val="0010161A"/>
    <w:rsid w:val="00101AB3"/>
    <w:rsid w:val="00105D23"/>
    <w:rsid w:val="00105F7A"/>
    <w:rsid w:val="001073C9"/>
    <w:rsid w:val="00107C74"/>
    <w:rsid w:val="001110F1"/>
    <w:rsid w:val="00111366"/>
    <w:rsid w:val="001139E9"/>
    <w:rsid w:val="00114003"/>
    <w:rsid w:val="0011415B"/>
    <w:rsid w:val="00120978"/>
    <w:rsid w:val="00121CD9"/>
    <w:rsid w:val="00123EF4"/>
    <w:rsid w:val="00125C1D"/>
    <w:rsid w:val="00130424"/>
    <w:rsid w:val="0013282C"/>
    <w:rsid w:val="00132E2F"/>
    <w:rsid w:val="001332C0"/>
    <w:rsid w:val="00135AF5"/>
    <w:rsid w:val="00137673"/>
    <w:rsid w:val="00141646"/>
    <w:rsid w:val="00141705"/>
    <w:rsid w:val="00141A0B"/>
    <w:rsid w:val="00142191"/>
    <w:rsid w:val="001425AF"/>
    <w:rsid w:val="00142AE3"/>
    <w:rsid w:val="00144DA7"/>
    <w:rsid w:val="001453A5"/>
    <w:rsid w:val="00147957"/>
    <w:rsid w:val="001510AA"/>
    <w:rsid w:val="0015677A"/>
    <w:rsid w:val="00157181"/>
    <w:rsid w:val="00160306"/>
    <w:rsid w:val="00160E09"/>
    <w:rsid w:val="00162191"/>
    <w:rsid w:val="00162988"/>
    <w:rsid w:val="00171270"/>
    <w:rsid w:val="00181F53"/>
    <w:rsid w:val="0018564C"/>
    <w:rsid w:val="001927D5"/>
    <w:rsid w:val="001933B1"/>
    <w:rsid w:val="001935FB"/>
    <w:rsid w:val="0019361A"/>
    <w:rsid w:val="00193B9B"/>
    <w:rsid w:val="00194052"/>
    <w:rsid w:val="001968D0"/>
    <w:rsid w:val="001A07D4"/>
    <w:rsid w:val="001B17A5"/>
    <w:rsid w:val="001B2EA6"/>
    <w:rsid w:val="001B360E"/>
    <w:rsid w:val="001B57C4"/>
    <w:rsid w:val="001B7611"/>
    <w:rsid w:val="001B7C39"/>
    <w:rsid w:val="001C2881"/>
    <w:rsid w:val="001C6D08"/>
    <w:rsid w:val="001D11DE"/>
    <w:rsid w:val="001D247C"/>
    <w:rsid w:val="001D3C41"/>
    <w:rsid w:val="001D634E"/>
    <w:rsid w:val="001E045B"/>
    <w:rsid w:val="001E0AB2"/>
    <w:rsid w:val="001E28CA"/>
    <w:rsid w:val="001E2B33"/>
    <w:rsid w:val="001E466A"/>
    <w:rsid w:val="001E6054"/>
    <w:rsid w:val="001F0573"/>
    <w:rsid w:val="001F1DF7"/>
    <w:rsid w:val="001F3BFA"/>
    <w:rsid w:val="001F5410"/>
    <w:rsid w:val="00200B10"/>
    <w:rsid w:val="00200CC4"/>
    <w:rsid w:val="00204817"/>
    <w:rsid w:val="002050B7"/>
    <w:rsid w:val="002053F3"/>
    <w:rsid w:val="00215E5E"/>
    <w:rsid w:val="002170EB"/>
    <w:rsid w:val="00221838"/>
    <w:rsid w:val="00223617"/>
    <w:rsid w:val="00223990"/>
    <w:rsid w:val="0022402B"/>
    <w:rsid w:val="0023177F"/>
    <w:rsid w:val="00236122"/>
    <w:rsid w:val="00237F6F"/>
    <w:rsid w:val="00243909"/>
    <w:rsid w:val="00243DEE"/>
    <w:rsid w:val="00243F96"/>
    <w:rsid w:val="00244098"/>
    <w:rsid w:val="00244706"/>
    <w:rsid w:val="002469F7"/>
    <w:rsid w:val="00247414"/>
    <w:rsid w:val="0025104F"/>
    <w:rsid w:val="0025182E"/>
    <w:rsid w:val="0025276E"/>
    <w:rsid w:val="002529B7"/>
    <w:rsid w:val="00252D75"/>
    <w:rsid w:val="00256E80"/>
    <w:rsid w:val="00261326"/>
    <w:rsid w:val="002613D2"/>
    <w:rsid w:val="00263A3A"/>
    <w:rsid w:val="00264716"/>
    <w:rsid w:val="00267B9F"/>
    <w:rsid w:val="00267F6C"/>
    <w:rsid w:val="00270B91"/>
    <w:rsid w:val="00271B2B"/>
    <w:rsid w:val="00272628"/>
    <w:rsid w:val="00274C5E"/>
    <w:rsid w:val="00280AB2"/>
    <w:rsid w:val="002812A2"/>
    <w:rsid w:val="002814B8"/>
    <w:rsid w:val="002817C5"/>
    <w:rsid w:val="00281C08"/>
    <w:rsid w:val="00282FD0"/>
    <w:rsid w:val="00283765"/>
    <w:rsid w:val="00284557"/>
    <w:rsid w:val="002849EE"/>
    <w:rsid w:val="00287549"/>
    <w:rsid w:val="00287FD7"/>
    <w:rsid w:val="002921C5"/>
    <w:rsid w:val="0029382F"/>
    <w:rsid w:val="002942FB"/>
    <w:rsid w:val="00296F94"/>
    <w:rsid w:val="002A01E8"/>
    <w:rsid w:val="002A0847"/>
    <w:rsid w:val="002A0B67"/>
    <w:rsid w:val="002A1ADA"/>
    <w:rsid w:val="002A244B"/>
    <w:rsid w:val="002A28C9"/>
    <w:rsid w:val="002A5A13"/>
    <w:rsid w:val="002A69E1"/>
    <w:rsid w:val="002A70E7"/>
    <w:rsid w:val="002A7359"/>
    <w:rsid w:val="002B1593"/>
    <w:rsid w:val="002B336E"/>
    <w:rsid w:val="002B6493"/>
    <w:rsid w:val="002B68A5"/>
    <w:rsid w:val="002B6DA0"/>
    <w:rsid w:val="002C2648"/>
    <w:rsid w:val="002C3F80"/>
    <w:rsid w:val="002C413C"/>
    <w:rsid w:val="002C4249"/>
    <w:rsid w:val="002C53E2"/>
    <w:rsid w:val="002C64E8"/>
    <w:rsid w:val="002C7011"/>
    <w:rsid w:val="002C734A"/>
    <w:rsid w:val="002D0A34"/>
    <w:rsid w:val="002D279D"/>
    <w:rsid w:val="002D64EF"/>
    <w:rsid w:val="002D6999"/>
    <w:rsid w:val="002E4A8C"/>
    <w:rsid w:val="002E7205"/>
    <w:rsid w:val="002F1E71"/>
    <w:rsid w:val="002F440B"/>
    <w:rsid w:val="002F45B7"/>
    <w:rsid w:val="002F47BF"/>
    <w:rsid w:val="002F60A0"/>
    <w:rsid w:val="002F71D4"/>
    <w:rsid w:val="002F7599"/>
    <w:rsid w:val="002F7C83"/>
    <w:rsid w:val="00300CE3"/>
    <w:rsid w:val="00303CF8"/>
    <w:rsid w:val="00307036"/>
    <w:rsid w:val="003071A2"/>
    <w:rsid w:val="00310A3B"/>
    <w:rsid w:val="00310DE3"/>
    <w:rsid w:val="00313671"/>
    <w:rsid w:val="00313E69"/>
    <w:rsid w:val="003142E6"/>
    <w:rsid w:val="00316E03"/>
    <w:rsid w:val="00317D49"/>
    <w:rsid w:val="00317EDA"/>
    <w:rsid w:val="00320EB3"/>
    <w:rsid w:val="00322476"/>
    <w:rsid w:val="0032261E"/>
    <w:rsid w:val="003257AE"/>
    <w:rsid w:val="00336A60"/>
    <w:rsid w:val="00337D10"/>
    <w:rsid w:val="00342CD8"/>
    <w:rsid w:val="003438A5"/>
    <w:rsid w:val="00343A0C"/>
    <w:rsid w:val="00343DF9"/>
    <w:rsid w:val="00344132"/>
    <w:rsid w:val="00344508"/>
    <w:rsid w:val="003458F9"/>
    <w:rsid w:val="00350243"/>
    <w:rsid w:val="00350399"/>
    <w:rsid w:val="00350A79"/>
    <w:rsid w:val="00350E63"/>
    <w:rsid w:val="00351299"/>
    <w:rsid w:val="00353544"/>
    <w:rsid w:val="00353DED"/>
    <w:rsid w:val="00353E51"/>
    <w:rsid w:val="00354836"/>
    <w:rsid w:val="00354942"/>
    <w:rsid w:val="00354C34"/>
    <w:rsid w:val="0035620F"/>
    <w:rsid w:val="0035674B"/>
    <w:rsid w:val="003607F3"/>
    <w:rsid w:val="00361980"/>
    <w:rsid w:val="00362133"/>
    <w:rsid w:val="0036369D"/>
    <w:rsid w:val="00364224"/>
    <w:rsid w:val="00365710"/>
    <w:rsid w:val="00366F10"/>
    <w:rsid w:val="00367137"/>
    <w:rsid w:val="0037228B"/>
    <w:rsid w:val="00372AB1"/>
    <w:rsid w:val="0037324B"/>
    <w:rsid w:val="00374549"/>
    <w:rsid w:val="003759DE"/>
    <w:rsid w:val="00375D3D"/>
    <w:rsid w:val="003775FA"/>
    <w:rsid w:val="00380FCA"/>
    <w:rsid w:val="00381A96"/>
    <w:rsid w:val="00381B5C"/>
    <w:rsid w:val="003830CD"/>
    <w:rsid w:val="00386508"/>
    <w:rsid w:val="00386D77"/>
    <w:rsid w:val="00390115"/>
    <w:rsid w:val="00390394"/>
    <w:rsid w:val="003911B9"/>
    <w:rsid w:val="003913E9"/>
    <w:rsid w:val="003915E1"/>
    <w:rsid w:val="003921EF"/>
    <w:rsid w:val="00393022"/>
    <w:rsid w:val="003943BC"/>
    <w:rsid w:val="00394752"/>
    <w:rsid w:val="003A1506"/>
    <w:rsid w:val="003A1774"/>
    <w:rsid w:val="003A17E0"/>
    <w:rsid w:val="003A26BB"/>
    <w:rsid w:val="003A7629"/>
    <w:rsid w:val="003A78F2"/>
    <w:rsid w:val="003B1655"/>
    <w:rsid w:val="003B1FFC"/>
    <w:rsid w:val="003B303A"/>
    <w:rsid w:val="003B39E2"/>
    <w:rsid w:val="003B7865"/>
    <w:rsid w:val="003C0A5F"/>
    <w:rsid w:val="003C27A1"/>
    <w:rsid w:val="003C301D"/>
    <w:rsid w:val="003C57EB"/>
    <w:rsid w:val="003D77B2"/>
    <w:rsid w:val="003E0A97"/>
    <w:rsid w:val="003E0D48"/>
    <w:rsid w:val="003E10A4"/>
    <w:rsid w:val="003E4DE6"/>
    <w:rsid w:val="003E59FC"/>
    <w:rsid w:val="003E64B2"/>
    <w:rsid w:val="003F4726"/>
    <w:rsid w:val="003F68B9"/>
    <w:rsid w:val="00401627"/>
    <w:rsid w:val="00402878"/>
    <w:rsid w:val="0040780A"/>
    <w:rsid w:val="00407BBB"/>
    <w:rsid w:val="00410D8F"/>
    <w:rsid w:val="00410F60"/>
    <w:rsid w:val="004118E0"/>
    <w:rsid w:val="00412D08"/>
    <w:rsid w:val="00414FF6"/>
    <w:rsid w:val="0041757C"/>
    <w:rsid w:val="004178CB"/>
    <w:rsid w:val="00417B7A"/>
    <w:rsid w:val="0042039D"/>
    <w:rsid w:val="0042088D"/>
    <w:rsid w:val="0042391D"/>
    <w:rsid w:val="0042461E"/>
    <w:rsid w:val="00424CA6"/>
    <w:rsid w:val="004254A0"/>
    <w:rsid w:val="00425C62"/>
    <w:rsid w:val="00426F0B"/>
    <w:rsid w:val="00427BD3"/>
    <w:rsid w:val="00431A42"/>
    <w:rsid w:val="00432337"/>
    <w:rsid w:val="004327D3"/>
    <w:rsid w:val="00433671"/>
    <w:rsid w:val="004338D1"/>
    <w:rsid w:val="00435A23"/>
    <w:rsid w:val="00443FB4"/>
    <w:rsid w:val="00444A90"/>
    <w:rsid w:val="0044551C"/>
    <w:rsid w:val="00446472"/>
    <w:rsid w:val="00446CE2"/>
    <w:rsid w:val="00447C62"/>
    <w:rsid w:val="00450873"/>
    <w:rsid w:val="00455C7B"/>
    <w:rsid w:val="004602FA"/>
    <w:rsid w:val="00463045"/>
    <w:rsid w:val="00463304"/>
    <w:rsid w:val="00464147"/>
    <w:rsid w:val="00465AC4"/>
    <w:rsid w:val="00474405"/>
    <w:rsid w:val="0047478B"/>
    <w:rsid w:val="00474F9D"/>
    <w:rsid w:val="00475483"/>
    <w:rsid w:val="0047665A"/>
    <w:rsid w:val="00476CB1"/>
    <w:rsid w:val="00484CED"/>
    <w:rsid w:val="00485995"/>
    <w:rsid w:val="00490847"/>
    <w:rsid w:val="00491BB8"/>
    <w:rsid w:val="00492B73"/>
    <w:rsid w:val="00494DE9"/>
    <w:rsid w:val="00495FA1"/>
    <w:rsid w:val="004A0392"/>
    <w:rsid w:val="004A071B"/>
    <w:rsid w:val="004A1B2B"/>
    <w:rsid w:val="004A46CC"/>
    <w:rsid w:val="004A4FAA"/>
    <w:rsid w:val="004A7823"/>
    <w:rsid w:val="004B0D54"/>
    <w:rsid w:val="004B2EBD"/>
    <w:rsid w:val="004C0DC0"/>
    <w:rsid w:val="004C5319"/>
    <w:rsid w:val="004C62D3"/>
    <w:rsid w:val="004D62CD"/>
    <w:rsid w:val="004E7D79"/>
    <w:rsid w:val="004F02A3"/>
    <w:rsid w:val="004F0B74"/>
    <w:rsid w:val="004F3E29"/>
    <w:rsid w:val="004F493C"/>
    <w:rsid w:val="004F5E7D"/>
    <w:rsid w:val="004F75BF"/>
    <w:rsid w:val="004F7785"/>
    <w:rsid w:val="00500333"/>
    <w:rsid w:val="00510B68"/>
    <w:rsid w:val="005120C6"/>
    <w:rsid w:val="00514703"/>
    <w:rsid w:val="00517880"/>
    <w:rsid w:val="00522397"/>
    <w:rsid w:val="00525772"/>
    <w:rsid w:val="00527078"/>
    <w:rsid w:val="005300CB"/>
    <w:rsid w:val="00531424"/>
    <w:rsid w:val="005326C4"/>
    <w:rsid w:val="00534433"/>
    <w:rsid w:val="00535E94"/>
    <w:rsid w:val="00537F22"/>
    <w:rsid w:val="00542523"/>
    <w:rsid w:val="00551DCB"/>
    <w:rsid w:val="00552B70"/>
    <w:rsid w:val="00554B66"/>
    <w:rsid w:val="00556EC7"/>
    <w:rsid w:val="00557FE1"/>
    <w:rsid w:val="005604DC"/>
    <w:rsid w:val="00561A67"/>
    <w:rsid w:val="00561BF5"/>
    <w:rsid w:val="00563232"/>
    <w:rsid w:val="005635D3"/>
    <w:rsid w:val="00563636"/>
    <w:rsid w:val="005637D0"/>
    <w:rsid w:val="00563CB2"/>
    <w:rsid w:val="0056487B"/>
    <w:rsid w:val="00570642"/>
    <w:rsid w:val="0057680D"/>
    <w:rsid w:val="00576C4F"/>
    <w:rsid w:val="005811B3"/>
    <w:rsid w:val="00581870"/>
    <w:rsid w:val="00581EE2"/>
    <w:rsid w:val="00582CD2"/>
    <w:rsid w:val="00583141"/>
    <w:rsid w:val="00583850"/>
    <w:rsid w:val="00584664"/>
    <w:rsid w:val="0058753C"/>
    <w:rsid w:val="005910D9"/>
    <w:rsid w:val="00591AE6"/>
    <w:rsid w:val="00592986"/>
    <w:rsid w:val="00592CEF"/>
    <w:rsid w:val="00592E1A"/>
    <w:rsid w:val="005944EC"/>
    <w:rsid w:val="00597607"/>
    <w:rsid w:val="00597C9C"/>
    <w:rsid w:val="00597FEB"/>
    <w:rsid w:val="005A19C0"/>
    <w:rsid w:val="005A307A"/>
    <w:rsid w:val="005A3631"/>
    <w:rsid w:val="005A3D02"/>
    <w:rsid w:val="005A4E2C"/>
    <w:rsid w:val="005A52EB"/>
    <w:rsid w:val="005A66CB"/>
    <w:rsid w:val="005B0472"/>
    <w:rsid w:val="005B15CE"/>
    <w:rsid w:val="005B5CDB"/>
    <w:rsid w:val="005C1962"/>
    <w:rsid w:val="005C228F"/>
    <w:rsid w:val="005C272F"/>
    <w:rsid w:val="005C412B"/>
    <w:rsid w:val="005C4821"/>
    <w:rsid w:val="005C7375"/>
    <w:rsid w:val="005D01A8"/>
    <w:rsid w:val="005D0BE4"/>
    <w:rsid w:val="005D50BD"/>
    <w:rsid w:val="005D7798"/>
    <w:rsid w:val="005E1375"/>
    <w:rsid w:val="005E66FB"/>
    <w:rsid w:val="005E7695"/>
    <w:rsid w:val="005F138C"/>
    <w:rsid w:val="005F162C"/>
    <w:rsid w:val="005F430F"/>
    <w:rsid w:val="005F4706"/>
    <w:rsid w:val="005F53E1"/>
    <w:rsid w:val="005F6FDF"/>
    <w:rsid w:val="005F7128"/>
    <w:rsid w:val="00600494"/>
    <w:rsid w:val="006019FB"/>
    <w:rsid w:val="006033B3"/>
    <w:rsid w:val="00606C43"/>
    <w:rsid w:val="0060779A"/>
    <w:rsid w:val="00607DA4"/>
    <w:rsid w:val="00610848"/>
    <w:rsid w:val="006150A8"/>
    <w:rsid w:val="0062247C"/>
    <w:rsid w:val="00623C63"/>
    <w:rsid w:val="0062522C"/>
    <w:rsid w:val="00626C58"/>
    <w:rsid w:val="0063030A"/>
    <w:rsid w:val="00630712"/>
    <w:rsid w:val="00631F7C"/>
    <w:rsid w:val="00632BE6"/>
    <w:rsid w:val="00635EC3"/>
    <w:rsid w:val="00636860"/>
    <w:rsid w:val="00636D8E"/>
    <w:rsid w:val="00637A61"/>
    <w:rsid w:val="0064008B"/>
    <w:rsid w:val="00641AC0"/>
    <w:rsid w:val="006433B1"/>
    <w:rsid w:val="006447D1"/>
    <w:rsid w:val="006456D3"/>
    <w:rsid w:val="00645FA6"/>
    <w:rsid w:val="0064737F"/>
    <w:rsid w:val="00651117"/>
    <w:rsid w:val="00651DD2"/>
    <w:rsid w:val="00652174"/>
    <w:rsid w:val="00656171"/>
    <w:rsid w:val="006571CE"/>
    <w:rsid w:val="0066272F"/>
    <w:rsid w:val="00666769"/>
    <w:rsid w:val="00670448"/>
    <w:rsid w:val="006714AC"/>
    <w:rsid w:val="00671E2B"/>
    <w:rsid w:val="00672F90"/>
    <w:rsid w:val="00673026"/>
    <w:rsid w:val="0067684B"/>
    <w:rsid w:val="00677BF6"/>
    <w:rsid w:val="00682BCD"/>
    <w:rsid w:val="006848B3"/>
    <w:rsid w:val="0068692D"/>
    <w:rsid w:val="00687330"/>
    <w:rsid w:val="00687521"/>
    <w:rsid w:val="00690B57"/>
    <w:rsid w:val="0069196B"/>
    <w:rsid w:val="006955A6"/>
    <w:rsid w:val="00695769"/>
    <w:rsid w:val="006959AF"/>
    <w:rsid w:val="006A3DE8"/>
    <w:rsid w:val="006A5367"/>
    <w:rsid w:val="006A53E4"/>
    <w:rsid w:val="006A65E7"/>
    <w:rsid w:val="006A7614"/>
    <w:rsid w:val="006A7ED8"/>
    <w:rsid w:val="006B0652"/>
    <w:rsid w:val="006B237A"/>
    <w:rsid w:val="006B2B5D"/>
    <w:rsid w:val="006B371A"/>
    <w:rsid w:val="006B3853"/>
    <w:rsid w:val="006B43E8"/>
    <w:rsid w:val="006C1DE8"/>
    <w:rsid w:val="006C29D0"/>
    <w:rsid w:val="006C5B99"/>
    <w:rsid w:val="006C5F78"/>
    <w:rsid w:val="006D0DEA"/>
    <w:rsid w:val="006D1537"/>
    <w:rsid w:val="006D2DD1"/>
    <w:rsid w:val="006D378F"/>
    <w:rsid w:val="006D413F"/>
    <w:rsid w:val="006D4428"/>
    <w:rsid w:val="006D44FA"/>
    <w:rsid w:val="006D67B8"/>
    <w:rsid w:val="006D6B4E"/>
    <w:rsid w:val="006E124F"/>
    <w:rsid w:val="006E1453"/>
    <w:rsid w:val="006E2AEF"/>
    <w:rsid w:val="006E3DE1"/>
    <w:rsid w:val="006E5F91"/>
    <w:rsid w:val="006E6990"/>
    <w:rsid w:val="006F0138"/>
    <w:rsid w:val="006F053F"/>
    <w:rsid w:val="006F0832"/>
    <w:rsid w:val="006F168E"/>
    <w:rsid w:val="006F4151"/>
    <w:rsid w:val="00702D34"/>
    <w:rsid w:val="007059AE"/>
    <w:rsid w:val="00705E2C"/>
    <w:rsid w:val="00707664"/>
    <w:rsid w:val="00710220"/>
    <w:rsid w:val="00711CA6"/>
    <w:rsid w:val="0071244B"/>
    <w:rsid w:val="00712A21"/>
    <w:rsid w:val="007170B7"/>
    <w:rsid w:val="00717B10"/>
    <w:rsid w:val="00717C81"/>
    <w:rsid w:val="00720A3E"/>
    <w:rsid w:val="00720F11"/>
    <w:rsid w:val="00720F7F"/>
    <w:rsid w:val="007214EF"/>
    <w:rsid w:val="007239DA"/>
    <w:rsid w:val="00723C00"/>
    <w:rsid w:val="00726DD4"/>
    <w:rsid w:val="007272C5"/>
    <w:rsid w:val="00730583"/>
    <w:rsid w:val="00730892"/>
    <w:rsid w:val="00731A4C"/>
    <w:rsid w:val="00732EE6"/>
    <w:rsid w:val="007420CE"/>
    <w:rsid w:val="00742342"/>
    <w:rsid w:val="00742C8C"/>
    <w:rsid w:val="00744CFB"/>
    <w:rsid w:val="0074653C"/>
    <w:rsid w:val="00747001"/>
    <w:rsid w:val="0074778F"/>
    <w:rsid w:val="00747B99"/>
    <w:rsid w:val="007525FD"/>
    <w:rsid w:val="00754E03"/>
    <w:rsid w:val="007561F0"/>
    <w:rsid w:val="00763A57"/>
    <w:rsid w:val="00763DD2"/>
    <w:rsid w:val="00764608"/>
    <w:rsid w:val="0077000B"/>
    <w:rsid w:val="00773734"/>
    <w:rsid w:val="007761AF"/>
    <w:rsid w:val="0078127B"/>
    <w:rsid w:val="00783C08"/>
    <w:rsid w:val="00784BA2"/>
    <w:rsid w:val="007860C8"/>
    <w:rsid w:val="007863F7"/>
    <w:rsid w:val="007906CE"/>
    <w:rsid w:val="007949AA"/>
    <w:rsid w:val="007959C1"/>
    <w:rsid w:val="007A3B18"/>
    <w:rsid w:val="007A4EA2"/>
    <w:rsid w:val="007A5803"/>
    <w:rsid w:val="007B01E9"/>
    <w:rsid w:val="007B2015"/>
    <w:rsid w:val="007B2F7F"/>
    <w:rsid w:val="007B3B27"/>
    <w:rsid w:val="007B3CA5"/>
    <w:rsid w:val="007B4A42"/>
    <w:rsid w:val="007B55BB"/>
    <w:rsid w:val="007B5799"/>
    <w:rsid w:val="007B6D9E"/>
    <w:rsid w:val="007B705F"/>
    <w:rsid w:val="007C0034"/>
    <w:rsid w:val="007C0CD8"/>
    <w:rsid w:val="007C1E2F"/>
    <w:rsid w:val="007C20F7"/>
    <w:rsid w:val="007C21D9"/>
    <w:rsid w:val="007C3668"/>
    <w:rsid w:val="007C39E6"/>
    <w:rsid w:val="007C4167"/>
    <w:rsid w:val="007C49AA"/>
    <w:rsid w:val="007C5524"/>
    <w:rsid w:val="007D1991"/>
    <w:rsid w:val="007D4181"/>
    <w:rsid w:val="007D4918"/>
    <w:rsid w:val="007D4EE1"/>
    <w:rsid w:val="007D64C8"/>
    <w:rsid w:val="007D7689"/>
    <w:rsid w:val="007D7CC3"/>
    <w:rsid w:val="007E0B9E"/>
    <w:rsid w:val="007E1553"/>
    <w:rsid w:val="007E4637"/>
    <w:rsid w:val="007E4B90"/>
    <w:rsid w:val="007E5A52"/>
    <w:rsid w:val="007E6625"/>
    <w:rsid w:val="007E6DF3"/>
    <w:rsid w:val="007E778C"/>
    <w:rsid w:val="007F0DA1"/>
    <w:rsid w:val="007F1C0F"/>
    <w:rsid w:val="007F2742"/>
    <w:rsid w:val="007F3E0A"/>
    <w:rsid w:val="007F42E6"/>
    <w:rsid w:val="007F58E6"/>
    <w:rsid w:val="007F686C"/>
    <w:rsid w:val="007F76BA"/>
    <w:rsid w:val="0080445A"/>
    <w:rsid w:val="008044C5"/>
    <w:rsid w:val="008050B5"/>
    <w:rsid w:val="00805626"/>
    <w:rsid w:val="00806376"/>
    <w:rsid w:val="008131E2"/>
    <w:rsid w:val="00813568"/>
    <w:rsid w:val="00815170"/>
    <w:rsid w:val="00815445"/>
    <w:rsid w:val="00815ABB"/>
    <w:rsid w:val="008169DF"/>
    <w:rsid w:val="00816DF1"/>
    <w:rsid w:val="00821DD9"/>
    <w:rsid w:val="0082459D"/>
    <w:rsid w:val="0082563D"/>
    <w:rsid w:val="00827A7A"/>
    <w:rsid w:val="0083149A"/>
    <w:rsid w:val="00832AE8"/>
    <w:rsid w:val="00833128"/>
    <w:rsid w:val="0084082C"/>
    <w:rsid w:val="00840E7C"/>
    <w:rsid w:val="008421A1"/>
    <w:rsid w:val="00842395"/>
    <w:rsid w:val="00842980"/>
    <w:rsid w:val="008432EE"/>
    <w:rsid w:val="00846F25"/>
    <w:rsid w:val="008500AA"/>
    <w:rsid w:val="00850CF2"/>
    <w:rsid w:val="00851DFB"/>
    <w:rsid w:val="00854DF8"/>
    <w:rsid w:val="00855573"/>
    <w:rsid w:val="0085587C"/>
    <w:rsid w:val="008572C5"/>
    <w:rsid w:val="00857845"/>
    <w:rsid w:val="00857905"/>
    <w:rsid w:val="008609A2"/>
    <w:rsid w:val="0086314C"/>
    <w:rsid w:val="0086519F"/>
    <w:rsid w:val="00865D38"/>
    <w:rsid w:val="008663FA"/>
    <w:rsid w:val="008670AA"/>
    <w:rsid w:val="008714C0"/>
    <w:rsid w:val="00873713"/>
    <w:rsid w:val="00874265"/>
    <w:rsid w:val="00883BD4"/>
    <w:rsid w:val="008840EE"/>
    <w:rsid w:val="00885B5D"/>
    <w:rsid w:val="00887A63"/>
    <w:rsid w:val="00890519"/>
    <w:rsid w:val="00892C57"/>
    <w:rsid w:val="00893B1D"/>
    <w:rsid w:val="00894485"/>
    <w:rsid w:val="00895A2A"/>
    <w:rsid w:val="008972B7"/>
    <w:rsid w:val="008A0A4C"/>
    <w:rsid w:val="008A3B53"/>
    <w:rsid w:val="008B032B"/>
    <w:rsid w:val="008B1F5A"/>
    <w:rsid w:val="008B29CA"/>
    <w:rsid w:val="008B43D6"/>
    <w:rsid w:val="008B56AB"/>
    <w:rsid w:val="008C0EA3"/>
    <w:rsid w:val="008C1C20"/>
    <w:rsid w:val="008C4666"/>
    <w:rsid w:val="008D0DC0"/>
    <w:rsid w:val="008D129A"/>
    <w:rsid w:val="008D2B92"/>
    <w:rsid w:val="008D4A08"/>
    <w:rsid w:val="008D5B53"/>
    <w:rsid w:val="008D69D4"/>
    <w:rsid w:val="008D6A31"/>
    <w:rsid w:val="008D7D8B"/>
    <w:rsid w:val="008E12AE"/>
    <w:rsid w:val="008E27F1"/>
    <w:rsid w:val="008E3344"/>
    <w:rsid w:val="008E5D22"/>
    <w:rsid w:val="008E602B"/>
    <w:rsid w:val="008E6ADD"/>
    <w:rsid w:val="008E7CC2"/>
    <w:rsid w:val="008F0865"/>
    <w:rsid w:val="008F08F9"/>
    <w:rsid w:val="008F312B"/>
    <w:rsid w:val="008F5A8F"/>
    <w:rsid w:val="009009D0"/>
    <w:rsid w:val="00902B68"/>
    <w:rsid w:val="00903CAA"/>
    <w:rsid w:val="009122E0"/>
    <w:rsid w:val="00912344"/>
    <w:rsid w:val="00914642"/>
    <w:rsid w:val="009156D2"/>
    <w:rsid w:val="00917BF4"/>
    <w:rsid w:val="00920AB3"/>
    <w:rsid w:val="0092134D"/>
    <w:rsid w:val="00921995"/>
    <w:rsid w:val="00921E84"/>
    <w:rsid w:val="00922E4A"/>
    <w:rsid w:val="00931BDB"/>
    <w:rsid w:val="009328E9"/>
    <w:rsid w:val="00936037"/>
    <w:rsid w:val="009373F2"/>
    <w:rsid w:val="00941925"/>
    <w:rsid w:val="00941C6D"/>
    <w:rsid w:val="00943E70"/>
    <w:rsid w:val="00944D67"/>
    <w:rsid w:val="00945642"/>
    <w:rsid w:val="00945D20"/>
    <w:rsid w:val="00952494"/>
    <w:rsid w:val="009527CF"/>
    <w:rsid w:val="00952FE4"/>
    <w:rsid w:val="00955CD5"/>
    <w:rsid w:val="0095662D"/>
    <w:rsid w:val="009567A3"/>
    <w:rsid w:val="00956F27"/>
    <w:rsid w:val="0095754B"/>
    <w:rsid w:val="009603FE"/>
    <w:rsid w:val="009614C5"/>
    <w:rsid w:val="009672E4"/>
    <w:rsid w:val="00972701"/>
    <w:rsid w:val="009771B8"/>
    <w:rsid w:val="0097793B"/>
    <w:rsid w:val="00980DB0"/>
    <w:rsid w:val="00982653"/>
    <w:rsid w:val="00984B0B"/>
    <w:rsid w:val="009852B1"/>
    <w:rsid w:val="009869F5"/>
    <w:rsid w:val="0099086B"/>
    <w:rsid w:val="009947B7"/>
    <w:rsid w:val="00994D49"/>
    <w:rsid w:val="00994EDD"/>
    <w:rsid w:val="00997375"/>
    <w:rsid w:val="0099777A"/>
    <w:rsid w:val="009A1591"/>
    <w:rsid w:val="009A533D"/>
    <w:rsid w:val="009B0C3A"/>
    <w:rsid w:val="009B1422"/>
    <w:rsid w:val="009B1BB1"/>
    <w:rsid w:val="009B20BD"/>
    <w:rsid w:val="009B4174"/>
    <w:rsid w:val="009B5834"/>
    <w:rsid w:val="009B61A1"/>
    <w:rsid w:val="009C05FB"/>
    <w:rsid w:val="009C0EAF"/>
    <w:rsid w:val="009C1F87"/>
    <w:rsid w:val="009C4947"/>
    <w:rsid w:val="009C635D"/>
    <w:rsid w:val="009C640E"/>
    <w:rsid w:val="009C67C5"/>
    <w:rsid w:val="009D25D2"/>
    <w:rsid w:val="009D384A"/>
    <w:rsid w:val="009E0776"/>
    <w:rsid w:val="009E0A7C"/>
    <w:rsid w:val="009E12D5"/>
    <w:rsid w:val="009E2337"/>
    <w:rsid w:val="009E3661"/>
    <w:rsid w:val="009E37C1"/>
    <w:rsid w:val="009E7AC4"/>
    <w:rsid w:val="009E7E04"/>
    <w:rsid w:val="009E7EE8"/>
    <w:rsid w:val="009F0F58"/>
    <w:rsid w:val="009F1D74"/>
    <w:rsid w:val="009F2FF5"/>
    <w:rsid w:val="009F3745"/>
    <w:rsid w:val="009F749F"/>
    <w:rsid w:val="00A01202"/>
    <w:rsid w:val="00A0718C"/>
    <w:rsid w:val="00A10ACD"/>
    <w:rsid w:val="00A129F1"/>
    <w:rsid w:val="00A12CA0"/>
    <w:rsid w:val="00A13370"/>
    <w:rsid w:val="00A13A7E"/>
    <w:rsid w:val="00A15A4F"/>
    <w:rsid w:val="00A15CB1"/>
    <w:rsid w:val="00A2348D"/>
    <w:rsid w:val="00A24B36"/>
    <w:rsid w:val="00A25D78"/>
    <w:rsid w:val="00A25F22"/>
    <w:rsid w:val="00A26CF0"/>
    <w:rsid w:val="00A274D2"/>
    <w:rsid w:val="00A31BC3"/>
    <w:rsid w:val="00A31D17"/>
    <w:rsid w:val="00A3304F"/>
    <w:rsid w:val="00A35599"/>
    <w:rsid w:val="00A356E7"/>
    <w:rsid w:val="00A35885"/>
    <w:rsid w:val="00A36752"/>
    <w:rsid w:val="00A36A20"/>
    <w:rsid w:val="00A3768B"/>
    <w:rsid w:val="00A37976"/>
    <w:rsid w:val="00A41708"/>
    <w:rsid w:val="00A42745"/>
    <w:rsid w:val="00A43B1C"/>
    <w:rsid w:val="00A467CE"/>
    <w:rsid w:val="00A526E7"/>
    <w:rsid w:val="00A5366E"/>
    <w:rsid w:val="00A55276"/>
    <w:rsid w:val="00A553D5"/>
    <w:rsid w:val="00A56BB5"/>
    <w:rsid w:val="00A56C6B"/>
    <w:rsid w:val="00A60FFF"/>
    <w:rsid w:val="00A61A2C"/>
    <w:rsid w:val="00A6306A"/>
    <w:rsid w:val="00A63890"/>
    <w:rsid w:val="00A63C22"/>
    <w:rsid w:val="00A678FC"/>
    <w:rsid w:val="00A71192"/>
    <w:rsid w:val="00A71B7A"/>
    <w:rsid w:val="00A72CF0"/>
    <w:rsid w:val="00A80A4F"/>
    <w:rsid w:val="00A82430"/>
    <w:rsid w:val="00A83A04"/>
    <w:rsid w:val="00A861B4"/>
    <w:rsid w:val="00A90FED"/>
    <w:rsid w:val="00A91891"/>
    <w:rsid w:val="00A93305"/>
    <w:rsid w:val="00A955C4"/>
    <w:rsid w:val="00A95F45"/>
    <w:rsid w:val="00A9613A"/>
    <w:rsid w:val="00A973B2"/>
    <w:rsid w:val="00AA24F9"/>
    <w:rsid w:val="00AA5D4C"/>
    <w:rsid w:val="00AB045A"/>
    <w:rsid w:val="00AB0F92"/>
    <w:rsid w:val="00AB567E"/>
    <w:rsid w:val="00AB7F7E"/>
    <w:rsid w:val="00AC08A8"/>
    <w:rsid w:val="00AC3943"/>
    <w:rsid w:val="00AC4317"/>
    <w:rsid w:val="00AC4C7E"/>
    <w:rsid w:val="00AC5EBF"/>
    <w:rsid w:val="00AC6981"/>
    <w:rsid w:val="00AD4163"/>
    <w:rsid w:val="00AE27E2"/>
    <w:rsid w:val="00AE3A26"/>
    <w:rsid w:val="00AF1B2F"/>
    <w:rsid w:val="00AF2648"/>
    <w:rsid w:val="00AF4256"/>
    <w:rsid w:val="00AF5560"/>
    <w:rsid w:val="00B07C07"/>
    <w:rsid w:val="00B10ED8"/>
    <w:rsid w:val="00B13000"/>
    <w:rsid w:val="00B14B07"/>
    <w:rsid w:val="00B14DB4"/>
    <w:rsid w:val="00B15B19"/>
    <w:rsid w:val="00B20019"/>
    <w:rsid w:val="00B21550"/>
    <w:rsid w:val="00B24137"/>
    <w:rsid w:val="00B30FD2"/>
    <w:rsid w:val="00B31F6A"/>
    <w:rsid w:val="00B31FEF"/>
    <w:rsid w:val="00B325E1"/>
    <w:rsid w:val="00B3588C"/>
    <w:rsid w:val="00B41E6F"/>
    <w:rsid w:val="00B43736"/>
    <w:rsid w:val="00B452F7"/>
    <w:rsid w:val="00B4633F"/>
    <w:rsid w:val="00B46DBA"/>
    <w:rsid w:val="00B505F7"/>
    <w:rsid w:val="00B5102A"/>
    <w:rsid w:val="00B51F17"/>
    <w:rsid w:val="00B528FB"/>
    <w:rsid w:val="00B559AA"/>
    <w:rsid w:val="00B564BC"/>
    <w:rsid w:val="00B62E57"/>
    <w:rsid w:val="00B63270"/>
    <w:rsid w:val="00B6337A"/>
    <w:rsid w:val="00B64400"/>
    <w:rsid w:val="00B6478F"/>
    <w:rsid w:val="00B6506D"/>
    <w:rsid w:val="00B65228"/>
    <w:rsid w:val="00B653F8"/>
    <w:rsid w:val="00B70CD9"/>
    <w:rsid w:val="00B71319"/>
    <w:rsid w:val="00B714B7"/>
    <w:rsid w:val="00B76862"/>
    <w:rsid w:val="00B77F33"/>
    <w:rsid w:val="00B81ABA"/>
    <w:rsid w:val="00B82337"/>
    <w:rsid w:val="00B82E71"/>
    <w:rsid w:val="00B83493"/>
    <w:rsid w:val="00B83E0C"/>
    <w:rsid w:val="00B85A58"/>
    <w:rsid w:val="00B8685B"/>
    <w:rsid w:val="00B940DD"/>
    <w:rsid w:val="00B9441E"/>
    <w:rsid w:val="00B95847"/>
    <w:rsid w:val="00B958B9"/>
    <w:rsid w:val="00B966ED"/>
    <w:rsid w:val="00B96D09"/>
    <w:rsid w:val="00B96FD5"/>
    <w:rsid w:val="00BA06BE"/>
    <w:rsid w:val="00BA1D7C"/>
    <w:rsid w:val="00BA268A"/>
    <w:rsid w:val="00BA3D8F"/>
    <w:rsid w:val="00BA65A5"/>
    <w:rsid w:val="00BB6193"/>
    <w:rsid w:val="00BB6357"/>
    <w:rsid w:val="00BB6A0B"/>
    <w:rsid w:val="00BB71B5"/>
    <w:rsid w:val="00BB756B"/>
    <w:rsid w:val="00BC15E4"/>
    <w:rsid w:val="00BC2E43"/>
    <w:rsid w:val="00BC66E6"/>
    <w:rsid w:val="00BD01A4"/>
    <w:rsid w:val="00BD02D5"/>
    <w:rsid w:val="00BD1A05"/>
    <w:rsid w:val="00BD1B80"/>
    <w:rsid w:val="00BD4C22"/>
    <w:rsid w:val="00BD5FBC"/>
    <w:rsid w:val="00BE1707"/>
    <w:rsid w:val="00BE2B1C"/>
    <w:rsid w:val="00BE3214"/>
    <w:rsid w:val="00BE335A"/>
    <w:rsid w:val="00BE37BD"/>
    <w:rsid w:val="00BF187B"/>
    <w:rsid w:val="00BF4CFC"/>
    <w:rsid w:val="00BF5E03"/>
    <w:rsid w:val="00C01428"/>
    <w:rsid w:val="00C02961"/>
    <w:rsid w:val="00C02B5E"/>
    <w:rsid w:val="00C057EF"/>
    <w:rsid w:val="00C07274"/>
    <w:rsid w:val="00C11AED"/>
    <w:rsid w:val="00C12A99"/>
    <w:rsid w:val="00C14296"/>
    <w:rsid w:val="00C14D3E"/>
    <w:rsid w:val="00C16B6E"/>
    <w:rsid w:val="00C20FBC"/>
    <w:rsid w:val="00C2333D"/>
    <w:rsid w:val="00C2452C"/>
    <w:rsid w:val="00C2695D"/>
    <w:rsid w:val="00C304BA"/>
    <w:rsid w:val="00C32246"/>
    <w:rsid w:val="00C3433F"/>
    <w:rsid w:val="00C36A39"/>
    <w:rsid w:val="00C41693"/>
    <w:rsid w:val="00C41A36"/>
    <w:rsid w:val="00C4260B"/>
    <w:rsid w:val="00C4316C"/>
    <w:rsid w:val="00C43792"/>
    <w:rsid w:val="00C4386E"/>
    <w:rsid w:val="00C450AE"/>
    <w:rsid w:val="00C47AA1"/>
    <w:rsid w:val="00C510A3"/>
    <w:rsid w:val="00C526E2"/>
    <w:rsid w:val="00C53387"/>
    <w:rsid w:val="00C545BD"/>
    <w:rsid w:val="00C5467E"/>
    <w:rsid w:val="00C546B7"/>
    <w:rsid w:val="00C56ED2"/>
    <w:rsid w:val="00C64F11"/>
    <w:rsid w:val="00C6623A"/>
    <w:rsid w:val="00C673E2"/>
    <w:rsid w:val="00C70000"/>
    <w:rsid w:val="00C70B6C"/>
    <w:rsid w:val="00C70D8A"/>
    <w:rsid w:val="00C73034"/>
    <w:rsid w:val="00C74089"/>
    <w:rsid w:val="00C749F8"/>
    <w:rsid w:val="00C758F5"/>
    <w:rsid w:val="00C75ECC"/>
    <w:rsid w:val="00C818BB"/>
    <w:rsid w:val="00C90E85"/>
    <w:rsid w:val="00C92E5D"/>
    <w:rsid w:val="00C93509"/>
    <w:rsid w:val="00C93E75"/>
    <w:rsid w:val="00C94FE6"/>
    <w:rsid w:val="00C96BCC"/>
    <w:rsid w:val="00C9777C"/>
    <w:rsid w:val="00CA0455"/>
    <w:rsid w:val="00CA0979"/>
    <w:rsid w:val="00CA1840"/>
    <w:rsid w:val="00CA287D"/>
    <w:rsid w:val="00CA28E1"/>
    <w:rsid w:val="00CA4A39"/>
    <w:rsid w:val="00CA4C69"/>
    <w:rsid w:val="00CA58CB"/>
    <w:rsid w:val="00CA5BC7"/>
    <w:rsid w:val="00CB137C"/>
    <w:rsid w:val="00CB4E54"/>
    <w:rsid w:val="00CB5985"/>
    <w:rsid w:val="00CB6AA7"/>
    <w:rsid w:val="00CC215D"/>
    <w:rsid w:val="00CC3F2F"/>
    <w:rsid w:val="00CC41B6"/>
    <w:rsid w:val="00CC4A3E"/>
    <w:rsid w:val="00CC602E"/>
    <w:rsid w:val="00CC62E0"/>
    <w:rsid w:val="00CC63A2"/>
    <w:rsid w:val="00CD0058"/>
    <w:rsid w:val="00CD0EB5"/>
    <w:rsid w:val="00CD1933"/>
    <w:rsid w:val="00CD43ED"/>
    <w:rsid w:val="00CD47FC"/>
    <w:rsid w:val="00CD6D27"/>
    <w:rsid w:val="00CD6F65"/>
    <w:rsid w:val="00CE16E0"/>
    <w:rsid w:val="00CE41C9"/>
    <w:rsid w:val="00CE768D"/>
    <w:rsid w:val="00CE7F3B"/>
    <w:rsid w:val="00CF1131"/>
    <w:rsid w:val="00CF3E4E"/>
    <w:rsid w:val="00CF4625"/>
    <w:rsid w:val="00CF5581"/>
    <w:rsid w:val="00CF71AC"/>
    <w:rsid w:val="00CF764A"/>
    <w:rsid w:val="00D02AFA"/>
    <w:rsid w:val="00D03A88"/>
    <w:rsid w:val="00D0799D"/>
    <w:rsid w:val="00D11C16"/>
    <w:rsid w:val="00D1214E"/>
    <w:rsid w:val="00D14FDB"/>
    <w:rsid w:val="00D150CA"/>
    <w:rsid w:val="00D15D3F"/>
    <w:rsid w:val="00D16E85"/>
    <w:rsid w:val="00D20BD0"/>
    <w:rsid w:val="00D210A9"/>
    <w:rsid w:val="00D228C4"/>
    <w:rsid w:val="00D2311D"/>
    <w:rsid w:val="00D2341C"/>
    <w:rsid w:val="00D27605"/>
    <w:rsid w:val="00D309A8"/>
    <w:rsid w:val="00D3381F"/>
    <w:rsid w:val="00D352F3"/>
    <w:rsid w:val="00D3638A"/>
    <w:rsid w:val="00D36521"/>
    <w:rsid w:val="00D416DB"/>
    <w:rsid w:val="00D42C39"/>
    <w:rsid w:val="00D4325B"/>
    <w:rsid w:val="00D44F28"/>
    <w:rsid w:val="00D451FE"/>
    <w:rsid w:val="00D477FD"/>
    <w:rsid w:val="00D47AB2"/>
    <w:rsid w:val="00D50E23"/>
    <w:rsid w:val="00D51949"/>
    <w:rsid w:val="00D531A3"/>
    <w:rsid w:val="00D5403A"/>
    <w:rsid w:val="00D564DA"/>
    <w:rsid w:val="00D56ACE"/>
    <w:rsid w:val="00D60980"/>
    <w:rsid w:val="00D613C4"/>
    <w:rsid w:val="00D6169B"/>
    <w:rsid w:val="00D6183B"/>
    <w:rsid w:val="00D61BF4"/>
    <w:rsid w:val="00D6218B"/>
    <w:rsid w:val="00D627AE"/>
    <w:rsid w:val="00D62AA3"/>
    <w:rsid w:val="00D62DF9"/>
    <w:rsid w:val="00D67274"/>
    <w:rsid w:val="00D77566"/>
    <w:rsid w:val="00D7774E"/>
    <w:rsid w:val="00D90DB4"/>
    <w:rsid w:val="00D94283"/>
    <w:rsid w:val="00D94E19"/>
    <w:rsid w:val="00DA341A"/>
    <w:rsid w:val="00DA371A"/>
    <w:rsid w:val="00DA39C5"/>
    <w:rsid w:val="00DA621C"/>
    <w:rsid w:val="00DA70B4"/>
    <w:rsid w:val="00DB1017"/>
    <w:rsid w:val="00DB3842"/>
    <w:rsid w:val="00DB4896"/>
    <w:rsid w:val="00DB4CA9"/>
    <w:rsid w:val="00DB5458"/>
    <w:rsid w:val="00DB5A55"/>
    <w:rsid w:val="00DB6227"/>
    <w:rsid w:val="00DB625D"/>
    <w:rsid w:val="00DB730C"/>
    <w:rsid w:val="00DB74B7"/>
    <w:rsid w:val="00DB783D"/>
    <w:rsid w:val="00DC0081"/>
    <w:rsid w:val="00DC05C1"/>
    <w:rsid w:val="00DD31DA"/>
    <w:rsid w:val="00DE1B99"/>
    <w:rsid w:val="00DE1DED"/>
    <w:rsid w:val="00DE2506"/>
    <w:rsid w:val="00DE264C"/>
    <w:rsid w:val="00DE5628"/>
    <w:rsid w:val="00DE58B8"/>
    <w:rsid w:val="00DE5CA6"/>
    <w:rsid w:val="00DE6AD2"/>
    <w:rsid w:val="00DE6E1C"/>
    <w:rsid w:val="00DF2FE0"/>
    <w:rsid w:val="00DF3DD0"/>
    <w:rsid w:val="00DF4385"/>
    <w:rsid w:val="00E008D5"/>
    <w:rsid w:val="00E03491"/>
    <w:rsid w:val="00E03E1D"/>
    <w:rsid w:val="00E04753"/>
    <w:rsid w:val="00E0544B"/>
    <w:rsid w:val="00E0740D"/>
    <w:rsid w:val="00E1244E"/>
    <w:rsid w:val="00E12C39"/>
    <w:rsid w:val="00E13871"/>
    <w:rsid w:val="00E13C52"/>
    <w:rsid w:val="00E155C0"/>
    <w:rsid w:val="00E15DEC"/>
    <w:rsid w:val="00E16A37"/>
    <w:rsid w:val="00E16DB0"/>
    <w:rsid w:val="00E2086E"/>
    <w:rsid w:val="00E24A0B"/>
    <w:rsid w:val="00E24C73"/>
    <w:rsid w:val="00E25796"/>
    <w:rsid w:val="00E263D4"/>
    <w:rsid w:val="00E3155F"/>
    <w:rsid w:val="00E33FB4"/>
    <w:rsid w:val="00E35802"/>
    <w:rsid w:val="00E358CB"/>
    <w:rsid w:val="00E36FE2"/>
    <w:rsid w:val="00E40AD3"/>
    <w:rsid w:val="00E40C31"/>
    <w:rsid w:val="00E51C2D"/>
    <w:rsid w:val="00E51F41"/>
    <w:rsid w:val="00E54F9E"/>
    <w:rsid w:val="00E5691B"/>
    <w:rsid w:val="00E601F3"/>
    <w:rsid w:val="00E61505"/>
    <w:rsid w:val="00E6158B"/>
    <w:rsid w:val="00E63ACD"/>
    <w:rsid w:val="00E641E1"/>
    <w:rsid w:val="00E65C8A"/>
    <w:rsid w:val="00E66DB7"/>
    <w:rsid w:val="00E67378"/>
    <w:rsid w:val="00E673D2"/>
    <w:rsid w:val="00E70037"/>
    <w:rsid w:val="00E701E0"/>
    <w:rsid w:val="00E710F0"/>
    <w:rsid w:val="00E72220"/>
    <w:rsid w:val="00E74213"/>
    <w:rsid w:val="00E765F2"/>
    <w:rsid w:val="00E76CD9"/>
    <w:rsid w:val="00E77579"/>
    <w:rsid w:val="00E77F42"/>
    <w:rsid w:val="00E80549"/>
    <w:rsid w:val="00E85272"/>
    <w:rsid w:val="00E869EE"/>
    <w:rsid w:val="00E91E19"/>
    <w:rsid w:val="00E95106"/>
    <w:rsid w:val="00E95F26"/>
    <w:rsid w:val="00E96691"/>
    <w:rsid w:val="00EA023E"/>
    <w:rsid w:val="00EA0C7E"/>
    <w:rsid w:val="00EA0EBF"/>
    <w:rsid w:val="00EA3C91"/>
    <w:rsid w:val="00EA5ECF"/>
    <w:rsid w:val="00EB025E"/>
    <w:rsid w:val="00EB5FBA"/>
    <w:rsid w:val="00EB77FF"/>
    <w:rsid w:val="00EB7BBD"/>
    <w:rsid w:val="00EC072D"/>
    <w:rsid w:val="00EC0B2E"/>
    <w:rsid w:val="00EC6B51"/>
    <w:rsid w:val="00EC7FF3"/>
    <w:rsid w:val="00ED1CC5"/>
    <w:rsid w:val="00ED47C6"/>
    <w:rsid w:val="00ED74EC"/>
    <w:rsid w:val="00ED79BB"/>
    <w:rsid w:val="00ED7D65"/>
    <w:rsid w:val="00EE0957"/>
    <w:rsid w:val="00EE0E4E"/>
    <w:rsid w:val="00EE2B8D"/>
    <w:rsid w:val="00EE3CBB"/>
    <w:rsid w:val="00EE3D3C"/>
    <w:rsid w:val="00EF0715"/>
    <w:rsid w:val="00EF0B95"/>
    <w:rsid w:val="00EF143D"/>
    <w:rsid w:val="00EF1732"/>
    <w:rsid w:val="00EF3ABF"/>
    <w:rsid w:val="00EF5C3C"/>
    <w:rsid w:val="00EF636A"/>
    <w:rsid w:val="00EF6795"/>
    <w:rsid w:val="00EF6A56"/>
    <w:rsid w:val="00EF776D"/>
    <w:rsid w:val="00EF7F86"/>
    <w:rsid w:val="00F02B9E"/>
    <w:rsid w:val="00F03412"/>
    <w:rsid w:val="00F057EC"/>
    <w:rsid w:val="00F11AA3"/>
    <w:rsid w:val="00F11FE7"/>
    <w:rsid w:val="00F142BF"/>
    <w:rsid w:val="00F1508D"/>
    <w:rsid w:val="00F178A1"/>
    <w:rsid w:val="00F2547A"/>
    <w:rsid w:val="00F30518"/>
    <w:rsid w:val="00F30F6D"/>
    <w:rsid w:val="00F31F97"/>
    <w:rsid w:val="00F336F6"/>
    <w:rsid w:val="00F34533"/>
    <w:rsid w:val="00F35860"/>
    <w:rsid w:val="00F36C1D"/>
    <w:rsid w:val="00F40E54"/>
    <w:rsid w:val="00F42C01"/>
    <w:rsid w:val="00F45261"/>
    <w:rsid w:val="00F45E82"/>
    <w:rsid w:val="00F5243D"/>
    <w:rsid w:val="00F527DD"/>
    <w:rsid w:val="00F570F0"/>
    <w:rsid w:val="00F5755F"/>
    <w:rsid w:val="00F57765"/>
    <w:rsid w:val="00F62807"/>
    <w:rsid w:val="00F63F34"/>
    <w:rsid w:val="00F647CA"/>
    <w:rsid w:val="00F65414"/>
    <w:rsid w:val="00F65E64"/>
    <w:rsid w:val="00F678B0"/>
    <w:rsid w:val="00F7051A"/>
    <w:rsid w:val="00F70FCC"/>
    <w:rsid w:val="00F71276"/>
    <w:rsid w:val="00F731D3"/>
    <w:rsid w:val="00F760F5"/>
    <w:rsid w:val="00F77EDE"/>
    <w:rsid w:val="00F82081"/>
    <w:rsid w:val="00F82163"/>
    <w:rsid w:val="00F864B8"/>
    <w:rsid w:val="00F86BB2"/>
    <w:rsid w:val="00F87F69"/>
    <w:rsid w:val="00F96808"/>
    <w:rsid w:val="00F968DD"/>
    <w:rsid w:val="00FA2139"/>
    <w:rsid w:val="00FA289F"/>
    <w:rsid w:val="00FA6370"/>
    <w:rsid w:val="00FA63D5"/>
    <w:rsid w:val="00FA7F74"/>
    <w:rsid w:val="00FB0335"/>
    <w:rsid w:val="00FB2EFB"/>
    <w:rsid w:val="00FB38B9"/>
    <w:rsid w:val="00FB3929"/>
    <w:rsid w:val="00FB6B35"/>
    <w:rsid w:val="00FB6B9E"/>
    <w:rsid w:val="00FC0EF5"/>
    <w:rsid w:val="00FC24A7"/>
    <w:rsid w:val="00FC2F53"/>
    <w:rsid w:val="00FC4D67"/>
    <w:rsid w:val="00FC4DB7"/>
    <w:rsid w:val="00FC5611"/>
    <w:rsid w:val="00FC5F8C"/>
    <w:rsid w:val="00FC79B6"/>
    <w:rsid w:val="00FD1CCB"/>
    <w:rsid w:val="00FD1F90"/>
    <w:rsid w:val="00FD4842"/>
    <w:rsid w:val="00FD5118"/>
    <w:rsid w:val="00FD7B8F"/>
    <w:rsid w:val="00FE01C1"/>
    <w:rsid w:val="00FE130F"/>
    <w:rsid w:val="00FE26B0"/>
    <w:rsid w:val="00FE2767"/>
    <w:rsid w:val="00FE3EA5"/>
    <w:rsid w:val="00FF0DCF"/>
    <w:rsid w:val="00FF2B36"/>
    <w:rsid w:val="00FF2F45"/>
    <w:rsid w:val="00FF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C62F5D5"/>
  <w15:docId w15:val="{3584759F-7296-4CD3-A32B-DA1C6043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FA1"/>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9E7E04"/>
    <w:pPr>
      <w:tabs>
        <w:tab w:val="left" w:pos="990"/>
        <w:tab w:val="left" w:pos="1620"/>
        <w:tab w:val="right" w:leader="dot" w:pos="9360"/>
      </w:tabs>
      <w:spacing w:after="240"/>
      <w:ind w:left="990" w:right="810" w:hanging="990"/>
    </w:pPr>
    <w:rPr>
      <w:rFonts w:ascii="Lucida Sans" w:hAnsi="Lucida Sans"/>
      <w:sz w:val="22"/>
    </w:rPr>
  </w:style>
  <w:style w:type="paragraph" w:styleId="TOC3">
    <w:name w:val="toc 3"/>
    <w:next w:val="Normal"/>
    <w:autoRedefine/>
    <w:uiPriority w:val="39"/>
    <w:qFormat/>
    <w:rsid w:val="00F86BB2"/>
    <w:pPr>
      <w:tabs>
        <w:tab w:val="left" w:pos="2070"/>
        <w:tab w:val="right" w:leader="dot" w:pos="9360"/>
      </w:tabs>
      <w:ind w:left="1628" w:right="1080" w:hanging="634"/>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uiPriority w:val="99"/>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uiPriority w:val="99"/>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uiPriority w:val="99"/>
    <w:locked/>
    <w:rsid w:val="00B452F7"/>
    <w:rPr>
      <w:b/>
      <w:caps/>
    </w:rPr>
  </w:style>
  <w:style w:type="character" w:customStyle="1" w:styleId="Heading2Char">
    <w:name w:val="Heading 2 Char"/>
    <w:basedOn w:val="DefaultParagraphFont"/>
    <w:link w:val="Heading2"/>
    <w:uiPriority w:val="99"/>
    <w:locked/>
    <w:rsid w:val="00B452F7"/>
    <w:rPr>
      <w:b/>
      <w:caps/>
    </w:rPr>
  </w:style>
  <w:style w:type="character" w:customStyle="1" w:styleId="Heading3Char">
    <w:name w:val="Heading 3 Char"/>
    <w:basedOn w:val="DefaultParagraphFont"/>
    <w:link w:val="Heading3"/>
    <w:uiPriority w:val="99"/>
    <w:locked/>
    <w:rsid w:val="00B452F7"/>
    <w:rPr>
      <w:b/>
    </w:rPr>
  </w:style>
  <w:style w:type="character" w:customStyle="1" w:styleId="FooterChar">
    <w:name w:val="Footer Char"/>
    <w:basedOn w:val="DefaultParagraphFont"/>
    <w:link w:val="Footer"/>
    <w:uiPriority w:val="99"/>
    <w:locked/>
    <w:rsid w:val="00B452F7"/>
  </w:style>
  <w:style w:type="character" w:customStyle="1" w:styleId="FootnoteTextChar">
    <w:name w:val="Footnote Text Char"/>
    <w:basedOn w:val="DefaultParagraphFont"/>
    <w:link w:val="FootnoteText"/>
    <w:uiPriority w:val="99"/>
    <w:locked/>
    <w:rsid w:val="00B452F7"/>
    <w:rPr>
      <w:sz w:val="20"/>
    </w:rPr>
  </w:style>
  <w:style w:type="paragraph" w:customStyle="1" w:styleId="NormalSS12">
    <w:name w:val="NormalSS 12"/>
    <w:basedOn w:val="NormalSS"/>
    <w:uiPriority w:val="99"/>
    <w:rsid w:val="00B452F7"/>
  </w:style>
  <w:style w:type="paragraph" w:styleId="NormalWeb">
    <w:name w:val="Normal (Web)"/>
    <w:basedOn w:val="Normal"/>
    <w:uiPriority w:val="99"/>
    <w:rsid w:val="00B452F7"/>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unhideWhenUsed/>
    <w:rsid w:val="006B3853"/>
    <w:rPr>
      <w:sz w:val="16"/>
      <w:szCs w:val="16"/>
    </w:rPr>
  </w:style>
  <w:style w:type="paragraph" w:styleId="CommentText">
    <w:name w:val="annotation text"/>
    <w:basedOn w:val="Normal"/>
    <w:link w:val="CommentTextChar"/>
    <w:uiPriority w:val="99"/>
    <w:unhideWhenUsed/>
    <w:rsid w:val="006B3853"/>
    <w:pPr>
      <w:spacing w:line="240" w:lineRule="auto"/>
    </w:pPr>
    <w:rPr>
      <w:sz w:val="20"/>
      <w:szCs w:val="20"/>
    </w:rPr>
  </w:style>
  <w:style w:type="character" w:customStyle="1" w:styleId="CommentTextChar">
    <w:name w:val="Comment Text Char"/>
    <w:basedOn w:val="DefaultParagraphFont"/>
    <w:link w:val="CommentText"/>
    <w:uiPriority w:val="99"/>
    <w:rsid w:val="006B3853"/>
    <w:rPr>
      <w:sz w:val="20"/>
      <w:szCs w:val="20"/>
    </w:rPr>
  </w:style>
  <w:style w:type="paragraph" w:styleId="CommentSubject">
    <w:name w:val="annotation subject"/>
    <w:basedOn w:val="CommentText"/>
    <w:next w:val="CommentText"/>
    <w:link w:val="CommentSubjectChar"/>
    <w:uiPriority w:val="99"/>
    <w:semiHidden/>
    <w:unhideWhenUsed/>
    <w:rsid w:val="006B3853"/>
    <w:rPr>
      <w:b/>
      <w:bCs/>
    </w:rPr>
  </w:style>
  <w:style w:type="character" w:customStyle="1" w:styleId="CommentSubjectChar">
    <w:name w:val="Comment Subject Char"/>
    <w:basedOn w:val="CommentTextChar"/>
    <w:link w:val="CommentSubject"/>
    <w:uiPriority w:val="99"/>
    <w:semiHidden/>
    <w:rsid w:val="006B3853"/>
    <w:rPr>
      <w:b/>
      <w:bCs/>
      <w:sz w:val="20"/>
      <w:szCs w:val="20"/>
    </w:rPr>
  </w:style>
  <w:style w:type="paragraph" w:customStyle="1" w:styleId="OMBHeading3">
    <w:name w:val="OMB Heading 3"/>
    <w:basedOn w:val="Heading3"/>
    <w:uiPriority w:val="99"/>
    <w:rsid w:val="009E37C1"/>
    <w:pPr>
      <w:tabs>
        <w:tab w:val="clear" w:pos="432"/>
      </w:tabs>
      <w:spacing w:before="240" w:after="120"/>
      <w:ind w:left="720" w:hanging="720"/>
      <w:jc w:val="left"/>
    </w:pPr>
    <w:rPr>
      <w:rFonts w:ascii="Times New Roman" w:hAnsi="Times New Roman"/>
      <w:i/>
      <w:szCs w:val="20"/>
      <w:lang w:val="en-CA"/>
    </w:rPr>
  </w:style>
  <w:style w:type="paragraph" w:styleId="Revision">
    <w:name w:val="Revision"/>
    <w:hidden/>
    <w:uiPriority w:val="99"/>
    <w:semiHidden/>
    <w:rsid w:val="00A63C22"/>
  </w:style>
  <w:style w:type="paragraph" w:customStyle="1" w:styleId="Bullet">
    <w:name w:val="Bullet"/>
    <w:uiPriority w:val="99"/>
    <w:qFormat/>
    <w:rsid w:val="00193B9B"/>
    <w:pPr>
      <w:tabs>
        <w:tab w:val="left" w:pos="360"/>
      </w:tabs>
      <w:spacing w:after="180"/>
      <w:ind w:left="792" w:right="360" w:hanging="360"/>
      <w:jc w:val="both"/>
    </w:pPr>
    <w:rPr>
      <w:rFonts w:ascii="Times New Roman" w:hAnsi="Times New Roman"/>
    </w:rPr>
  </w:style>
  <w:style w:type="character" w:styleId="Hyperlink">
    <w:name w:val="Hyperlink"/>
    <w:basedOn w:val="DefaultParagraphFont"/>
    <w:uiPriority w:val="99"/>
    <w:unhideWhenUsed/>
    <w:rsid w:val="00FD51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36222">
      <w:bodyDiv w:val="1"/>
      <w:marLeft w:val="0"/>
      <w:marRight w:val="0"/>
      <w:marTop w:val="0"/>
      <w:marBottom w:val="0"/>
      <w:divBdr>
        <w:top w:val="none" w:sz="0" w:space="0" w:color="auto"/>
        <w:left w:val="none" w:sz="0" w:space="0" w:color="auto"/>
        <w:bottom w:val="none" w:sz="0" w:space="0" w:color="auto"/>
        <w:right w:val="none" w:sz="0" w:space="0" w:color="auto"/>
      </w:divBdr>
    </w:div>
    <w:div w:id="1447849143">
      <w:bodyDiv w:val="1"/>
      <w:marLeft w:val="0"/>
      <w:marRight w:val="0"/>
      <w:marTop w:val="0"/>
      <w:marBottom w:val="0"/>
      <w:divBdr>
        <w:top w:val="none" w:sz="0" w:space="0" w:color="auto"/>
        <w:left w:val="none" w:sz="0" w:space="0" w:color="auto"/>
        <w:bottom w:val="none" w:sz="0" w:space="0" w:color="auto"/>
        <w:right w:val="none" w:sz="0" w:space="0" w:color="auto"/>
      </w:divBdr>
    </w:div>
    <w:div w:id="1551964857">
      <w:bodyDiv w:val="1"/>
      <w:marLeft w:val="0"/>
      <w:marRight w:val="0"/>
      <w:marTop w:val="0"/>
      <w:marBottom w:val="0"/>
      <w:divBdr>
        <w:top w:val="none" w:sz="0" w:space="0" w:color="auto"/>
        <w:left w:val="none" w:sz="0" w:space="0" w:color="auto"/>
        <w:bottom w:val="none" w:sz="0" w:space="0" w:color="auto"/>
        <w:right w:val="none" w:sz="0" w:space="0" w:color="auto"/>
      </w:divBdr>
    </w:div>
    <w:div w:id="1688288151">
      <w:bodyDiv w:val="1"/>
      <w:marLeft w:val="0"/>
      <w:marRight w:val="0"/>
      <w:marTop w:val="0"/>
      <w:marBottom w:val="0"/>
      <w:divBdr>
        <w:top w:val="none" w:sz="0" w:space="0" w:color="auto"/>
        <w:left w:val="none" w:sz="0" w:space="0" w:color="auto"/>
        <w:bottom w:val="none" w:sz="0" w:space="0" w:color="auto"/>
        <w:right w:val="none" w:sz="0" w:space="0" w:color="auto"/>
      </w:divBdr>
    </w:div>
    <w:div w:id="1892688475">
      <w:bodyDiv w:val="1"/>
      <w:marLeft w:val="0"/>
      <w:marRight w:val="0"/>
      <w:marTop w:val="0"/>
      <w:marBottom w:val="0"/>
      <w:divBdr>
        <w:top w:val="none" w:sz="0" w:space="0" w:color="auto"/>
        <w:left w:val="none" w:sz="0" w:space="0" w:color="auto"/>
        <w:bottom w:val="none" w:sz="0" w:space="0" w:color="auto"/>
        <w:right w:val="none" w:sz="0" w:space="0" w:color="auto"/>
      </w:divBdr>
    </w:div>
    <w:div w:id="194468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hs.gov/ash/oah/oah-initiatives/for-grantees/evaluation/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033941648F7840B40450A26AE2BDE9" ma:contentTypeVersion="0" ma:contentTypeDescription="Create a new document." ma:contentTypeScope="" ma:versionID="62392b69f5d8b6b9ecb11209566ea4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9472-6207-41D1-8EF9-ABCA8888B890}">
  <ds:schemaRef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EE99E85D-8077-4840-AB32-69AB02BF45B2}">
  <ds:schemaRefs>
    <ds:schemaRef ds:uri="http://schemas.microsoft.com/sharepoint/v3/contenttype/forms"/>
  </ds:schemaRefs>
</ds:datastoreItem>
</file>

<file path=customXml/itemProps3.xml><?xml version="1.0" encoding="utf-8"?>
<ds:datastoreItem xmlns:ds="http://schemas.openxmlformats.org/officeDocument/2006/customXml" ds:itemID="{58670C83-C5C8-412A-BFFE-49072A37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B222B3-38B0-48CD-AA5F-37A19893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2777</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 Part A: Justification for the Collection of Follow-up Data</vt:lpstr>
    </vt:vector>
  </TitlesOfParts>
  <Company>Mathematica, Inc</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A: Justification for the Collection of Follow-up Data</dc:title>
  <dc:creator>Barbara Collette</dc:creator>
  <cp:lastModifiedBy>BGoesling</cp:lastModifiedBy>
  <cp:revision>2</cp:revision>
  <cp:lastPrinted>2012-05-14T14:29:00Z</cp:lastPrinted>
  <dcterms:created xsi:type="dcterms:W3CDTF">2015-08-07T17:48:00Z</dcterms:created>
  <dcterms:modified xsi:type="dcterms:W3CDTF">2015-08-07T17:48:00Z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