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A9" w:rsidRPr="007C1943" w:rsidRDefault="00F727A9" w:rsidP="00F727A9">
      <w:pPr>
        <w:tabs>
          <w:tab w:val="center" w:pos="4680"/>
        </w:tabs>
        <w:suppressAutoHyphens/>
        <w:rPr>
          <w:rFonts w:cs="Courier New"/>
          <w:b/>
          <w:sz w:val="28"/>
          <w:szCs w:val="28"/>
        </w:rPr>
      </w:pPr>
      <w:r w:rsidRPr="007C1943">
        <w:rPr>
          <w:rFonts w:cs="Courier New"/>
          <w:b/>
          <w:sz w:val="28"/>
          <w:szCs w:val="28"/>
        </w:rPr>
        <w:t>THE SUPPORTING STATEMENT</w:t>
      </w:r>
    </w:p>
    <w:p w:rsidR="00F727A9" w:rsidRPr="007C1943" w:rsidRDefault="00F727A9" w:rsidP="00F727A9">
      <w:pPr>
        <w:tabs>
          <w:tab w:val="left" w:pos="-720"/>
        </w:tabs>
        <w:suppressAutoHyphens/>
        <w:rPr>
          <w:rFonts w:cs="Courier New"/>
          <w:b/>
          <w:sz w:val="24"/>
          <w:szCs w:val="24"/>
        </w:rPr>
      </w:pPr>
    </w:p>
    <w:p w:rsidR="00F727A9" w:rsidRPr="007C1943" w:rsidRDefault="00F727A9" w:rsidP="00F727A9">
      <w:pPr>
        <w:tabs>
          <w:tab w:val="left" w:pos="-720"/>
        </w:tabs>
        <w:suppressAutoHyphens/>
        <w:jc w:val="center"/>
        <w:rPr>
          <w:rFonts w:cs="Courier New"/>
          <w:b/>
          <w:sz w:val="24"/>
          <w:szCs w:val="24"/>
        </w:rPr>
      </w:pPr>
      <w:r w:rsidRPr="007C1943">
        <w:rPr>
          <w:rFonts w:cs="Courier New"/>
          <w:b/>
          <w:bCs/>
          <w:sz w:val="24"/>
          <w:szCs w:val="24"/>
        </w:rPr>
        <w:t>Cross-site Evaluation Survey 2012 Family Connection Grantees</w:t>
      </w:r>
    </w:p>
    <w:p w:rsidR="00F727A9" w:rsidRPr="007C1943" w:rsidRDefault="00F727A9" w:rsidP="00F727A9">
      <w:pPr>
        <w:tabs>
          <w:tab w:val="left" w:pos="-720"/>
        </w:tabs>
        <w:suppressAutoHyphens/>
        <w:rPr>
          <w:rFonts w:cs="Courier New"/>
          <w:b/>
          <w:sz w:val="24"/>
          <w:szCs w:val="24"/>
        </w:rPr>
      </w:pPr>
    </w:p>
    <w:p w:rsidR="00F727A9" w:rsidRPr="00761E38" w:rsidRDefault="00F727A9" w:rsidP="00F727A9">
      <w:pPr>
        <w:widowControl/>
        <w:rPr>
          <w:rFonts w:cs="Courier New"/>
          <w:b/>
          <w:bCs/>
          <w:snapToGrid/>
          <w:sz w:val="22"/>
          <w:szCs w:val="22"/>
        </w:rPr>
      </w:pPr>
      <w:r w:rsidRPr="00761E38">
        <w:rPr>
          <w:rFonts w:cs="Courier New"/>
          <w:b/>
          <w:bCs/>
          <w:snapToGrid/>
          <w:sz w:val="22"/>
          <w:szCs w:val="22"/>
        </w:rPr>
        <w:t>A. Justification</w:t>
      </w:r>
      <w:r>
        <w:rPr>
          <w:rFonts w:cs="Courier New"/>
          <w:b/>
          <w:bCs/>
          <w:snapToGrid/>
          <w:sz w:val="22"/>
          <w:szCs w:val="22"/>
        </w:rPr>
        <w:t xml:space="preserve">. </w:t>
      </w:r>
      <w:r>
        <w:rPr>
          <w:b/>
          <w:bCs/>
          <w:sz w:val="23"/>
          <w:szCs w:val="23"/>
        </w:rPr>
        <w:t>Requests for approval shall:</w:t>
      </w:r>
    </w:p>
    <w:p w:rsidR="00F727A9" w:rsidRPr="00761E38" w:rsidRDefault="00F727A9" w:rsidP="00F727A9">
      <w:pPr>
        <w:widowControl/>
        <w:rPr>
          <w:rFonts w:cs="Courier New"/>
          <w:b/>
          <w:snapToGrid/>
          <w:sz w:val="22"/>
          <w:szCs w:val="22"/>
        </w:rPr>
      </w:pPr>
    </w:p>
    <w:p w:rsidR="00F727A9" w:rsidRPr="00761E38" w:rsidRDefault="00F727A9" w:rsidP="00F727A9">
      <w:pPr>
        <w:widowControl/>
        <w:numPr>
          <w:ilvl w:val="0"/>
          <w:numId w:val="1"/>
        </w:numPr>
        <w:tabs>
          <w:tab w:val="clear" w:pos="720"/>
        </w:tabs>
        <w:ind w:left="360"/>
        <w:rPr>
          <w:rFonts w:cs="Courier New"/>
          <w:b/>
          <w:snapToGrid/>
          <w:sz w:val="22"/>
          <w:szCs w:val="22"/>
        </w:rPr>
      </w:pPr>
      <w:r w:rsidRPr="00761E38">
        <w:rPr>
          <w:rFonts w:cs="Courier New"/>
          <w:b/>
          <w:snapToGrid/>
          <w:sz w:val="22"/>
          <w:szCs w:val="22"/>
        </w:rPr>
        <w:t xml:space="preserve">Circumstances Making the Collection of Information Necessary </w:t>
      </w:r>
    </w:p>
    <w:p w:rsidR="00F727A9" w:rsidRPr="00761E38" w:rsidRDefault="00F727A9" w:rsidP="00F727A9">
      <w:pPr>
        <w:pStyle w:val="Default"/>
        <w:rPr>
          <w:b/>
          <w:sz w:val="22"/>
          <w:szCs w:val="22"/>
        </w:rPr>
      </w:pPr>
    </w:p>
    <w:p w:rsidR="00F727A9" w:rsidRPr="00761E38" w:rsidRDefault="00F727A9" w:rsidP="00F727A9">
      <w:pPr>
        <w:pStyle w:val="Default"/>
        <w:rPr>
          <w:sz w:val="22"/>
          <w:szCs w:val="22"/>
        </w:rPr>
      </w:pPr>
      <w:r w:rsidRPr="00761E38">
        <w:rPr>
          <w:sz w:val="22"/>
          <w:szCs w:val="22"/>
        </w:rPr>
        <w:t xml:space="preserve">The legislative authority for the Family Connection Grant Program </w:t>
      </w:r>
      <w:r w:rsidRPr="00761E38">
        <w:rPr>
          <w:i/>
          <w:iCs/>
          <w:sz w:val="22"/>
          <w:szCs w:val="22"/>
        </w:rPr>
        <w:t>(See Attachment A – Legislative Authority</w:t>
      </w:r>
      <w:r w:rsidRPr="00761E38">
        <w:rPr>
          <w:sz w:val="22"/>
          <w:szCs w:val="22"/>
        </w:rPr>
        <w:t>)</w:t>
      </w:r>
      <w:r>
        <w:rPr>
          <w:sz w:val="22"/>
          <w:szCs w:val="22"/>
        </w:rPr>
        <w:t xml:space="preserve"> </w:t>
      </w:r>
      <w:r w:rsidRPr="00761E38">
        <w:rPr>
          <w:sz w:val="22"/>
          <w:szCs w:val="22"/>
        </w:rPr>
        <w:t xml:space="preserve">requires the conduct of a rigorous evaluation of the activities funded with grants under this authority. The Children’s Bureau has contracted with James Bell Associates, Inc., (heretofore known as “the contractor”) to conduct the Cross-site Evaluation for 2012-funded Family Connection Discretionary Grants. </w:t>
      </w:r>
      <w:proofErr w:type="gramStart"/>
      <w:r w:rsidRPr="00761E38">
        <w:rPr>
          <w:i/>
          <w:iCs/>
          <w:sz w:val="22"/>
          <w:szCs w:val="22"/>
        </w:rPr>
        <w:t>(See Attachment B – Contract Statement of Work Excerpt)</w:t>
      </w:r>
      <w:r>
        <w:rPr>
          <w:i/>
          <w:iCs/>
          <w:sz w:val="22"/>
          <w:szCs w:val="22"/>
        </w:rPr>
        <w:t>.</w:t>
      </w:r>
      <w:proofErr w:type="gramEnd"/>
    </w:p>
    <w:p w:rsidR="00F727A9" w:rsidRPr="00761E38" w:rsidRDefault="00F727A9" w:rsidP="00F727A9">
      <w:pPr>
        <w:pStyle w:val="Default"/>
        <w:rPr>
          <w:sz w:val="22"/>
          <w:szCs w:val="22"/>
        </w:rPr>
      </w:pPr>
    </w:p>
    <w:p w:rsidR="00F727A9" w:rsidRPr="00761E38" w:rsidRDefault="00F727A9" w:rsidP="00F727A9">
      <w:pPr>
        <w:pStyle w:val="Default"/>
        <w:rPr>
          <w:b/>
          <w:iCs/>
          <w:sz w:val="22"/>
          <w:szCs w:val="22"/>
        </w:rPr>
      </w:pPr>
      <w:r w:rsidRPr="00761E38">
        <w:rPr>
          <w:sz w:val="22"/>
          <w:szCs w:val="22"/>
        </w:rPr>
        <w:t xml:space="preserve">The cross-site evaluation examines the effectiveness of 17, three-year grants awarded in September 2012 which support demonstration projects to test the effectiveness of Kinship Navigator-Child Welfare/TANF, combination Family-finding/Family Group Decision-Making, and comprehensive Residential Family Treatment projects. </w:t>
      </w:r>
      <w:proofErr w:type="gramStart"/>
      <w:r w:rsidRPr="00761E38">
        <w:rPr>
          <w:i/>
          <w:iCs/>
          <w:sz w:val="22"/>
          <w:szCs w:val="22"/>
        </w:rPr>
        <w:t>(See Attachment C – Description of Cross-Site Evaluation).</w:t>
      </w:r>
      <w:proofErr w:type="gramEnd"/>
      <w:r w:rsidRPr="00761E38">
        <w:rPr>
          <w:i/>
          <w:iCs/>
          <w:sz w:val="22"/>
          <w:szCs w:val="22"/>
        </w:rPr>
        <w:t xml:space="preserve"> </w:t>
      </w:r>
      <w:r>
        <w:rPr>
          <w:b/>
          <w:iCs/>
          <w:sz w:val="22"/>
          <w:szCs w:val="22"/>
        </w:rPr>
        <w:t>A</w:t>
      </w:r>
      <w:r w:rsidRPr="00761E38">
        <w:rPr>
          <w:b/>
          <w:iCs/>
          <w:sz w:val="22"/>
          <w:szCs w:val="22"/>
        </w:rPr>
        <w:t xml:space="preserve">ttachment </w:t>
      </w:r>
      <w:r>
        <w:rPr>
          <w:b/>
          <w:iCs/>
          <w:sz w:val="22"/>
          <w:szCs w:val="22"/>
        </w:rPr>
        <w:t xml:space="preserve">C – Description of Cross-Site Evaluation </w:t>
      </w:r>
      <w:r w:rsidRPr="00761E38">
        <w:rPr>
          <w:b/>
          <w:iCs/>
          <w:sz w:val="22"/>
          <w:szCs w:val="22"/>
        </w:rPr>
        <w:t>has been enhanced with additional information that describes each grantee cluster.</w:t>
      </w:r>
    </w:p>
    <w:p w:rsidR="00F727A9" w:rsidRDefault="00F727A9" w:rsidP="00F727A9">
      <w:pPr>
        <w:pStyle w:val="Default"/>
        <w:rPr>
          <w:i/>
          <w:iCs/>
          <w:sz w:val="22"/>
          <w:szCs w:val="22"/>
        </w:rPr>
      </w:pPr>
    </w:p>
    <w:p w:rsidR="00F727A9" w:rsidRPr="00761E38" w:rsidRDefault="00F727A9" w:rsidP="00F727A9">
      <w:pPr>
        <w:pStyle w:val="Default"/>
        <w:rPr>
          <w:iCs/>
          <w:sz w:val="22"/>
          <w:szCs w:val="22"/>
        </w:rPr>
      </w:pPr>
      <w:r w:rsidRPr="00761E38">
        <w:rPr>
          <w:sz w:val="22"/>
          <w:szCs w:val="22"/>
        </w:rPr>
        <w:t xml:space="preserve">In the interest of providing as complete an evaluation report as possible by the end of FY15, when the current contract for the cross-site evaluation ends, the Children’s Bureau has directed the contractor conducting the Cross-site Evaluation to adopt the most efficient means possible to collect process evaluation data from grantees. </w:t>
      </w:r>
    </w:p>
    <w:p w:rsidR="00F727A9" w:rsidRPr="00761E38" w:rsidRDefault="00F727A9" w:rsidP="00F727A9">
      <w:pPr>
        <w:widowControl/>
        <w:rPr>
          <w:rFonts w:cs="Courier New"/>
          <w:sz w:val="22"/>
          <w:szCs w:val="22"/>
        </w:rPr>
      </w:pPr>
    </w:p>
    <w:p w:rsidR="00F727A9" w:rsidRDefault="00F727A9" w:rsidP="00F727A9">
      <w:pPr>
        <w:widowControl/>
        <w:rPr>
          <w:rFonts w:cs="Courier New"/>
          <w:sz w:val="22"/>
          <w:szCs w:val="22"/>
        </w:rPr>
      </w:pPr>
      <w:r w:rsidRPr="00761E38">
        <w:rPr>
          <w:rFonts w:cs="Courier New"/>
          <w:sz w:val="22"/>
          <w:szCs w:val="22"/>
        </w:rPr>
        <w:t>A web-based electronic survey of a cross-section of grantee and project partner representatives will contribute critical data to the process evaluation, enabling the Children’s Bureau to more thoroughly understand the stages of project maturation from design and implementation to maintenance and sustainability. A web-based survey is the most efficient and timely means possible to collect process evaluation from grantees. Use of this survey will enable the contractor to have adequate time to prepare and submit a full and final report to the Children’s Bureau by the end of FY15.</w:t>
      </w:r>
    </w:p>
    <w:p w:rsidR="00F727A9" w:rsidRPr="00761E38" w:rsidRDefault="00F727A9" w:rsidP="00F727A9">
      <w:pPr>
        <w:widowControl/>
        <w:rPr>
          <w:rFonts w:cs="Courier New"/>
          <w:sz w:val="22"/>
          <w:szCs w:val="22"/>
        </w:rPr>
      </w:pPr>
    </w:p>
    <w:p w:rsidR="00F727A9" w:rsidRPr="00761E38" w:rsidRDefault="00F727A9" w:rsidP="00F727A9">
      <w:pPr>
        <w:widowControl/>
        <w:rPr>
          <w:rFonts w:cs="Courier New"/>
          <w:sz w:val="22"/>
          <w:szCs w:val="22"/>
        </w:rPr>
      </w:pPr>
      <w:r>
        <w:rPr>
          <w:sz w:val="22"/>
          <w:szCs w:val="22"/>
        </w:rPr>
        <w:t>Given the proximity to the end of FY15, t</w:t>
      </w:r>
      <w:r w:rsidRPr="00761E38">
        <w:rPr>
          <w:sz w:val="22"/>
          <w:szCs w:val="22"/>
        </w:rPr>
        <w:t xml:space="preserve">he Children’s Bureau is exploring the possibility of a no-cost extension so that the contractor may analyze quantitative and qualitative data. Should a no-cost extension be unavailable, the Children’s Bureau and the contractor will prioritize analysis and reporting needs in order to best meet contract requirements and produce a deliverable useful to the Children’s Bureau, grantees, and other audiences. Potential new </w:t>
      </w:r>
      <w:r w:rsidRPr="00761E38">
        <w:rPr>
          <w:sz w:val="22"/>
          <w:szCs w:val="22"/>
        </w:rPr>
        <w:lastRenderedPageBreak/>
        <w:t>timelines have been developed based on OMB approval prior to July 1, 2015 and a three-month, no-cost extension.</w:t>
      </w:r>
    </w:p>
    <w:p w:rsidR="00F727A9" w:rsidRPr="00761E38" w:rsidRDefault="00F727A9" w:rsidP="00F727A9">
      <w:pPr>
        <w:widowControl/>
        <w:rPr>
          <w:rFonts w:cs="Courier New"/>
          <w:b/>
          <w:snapToGrid/>
          <w:sz w:val="22"/>
          <w:szCs w:val="22"/>
        </w:rPr>
      </w:pPr>
    </w:p>
    <w:p w:rsidR="00F727A9" w:rsidRPr="00761E38" w:rsidRDefault="00F727A9" w:rsidP="00F727A9">
      <w:pPr>
        <w:widowControl/>
        <w:numPr>
          <w:ilvl w:val="0"/>
          <w:numId w:val="1"/>
        </w:numPr>
        <w:tabs>
          <w:tab w:val="clear" w:pos="720"/>
        </w:tabs>
        <w:ind w:left="360"/>
        <w:rPr>
          <w:rFonts w:cs="Courier New"/>
          <w:b/>
          <w:snapToGrid/>
          <w:sz w:val="22"/>
          <w:szCs w:val="22"/>
        </w:rPr>
      </w:pPr>
      <w:r w:rsidRPr="00761E38">
        <w:rPr>
          <w:rFonts w:cs="Courier New"/>
          <w:b/>
          <w:snapToGrid/>
          <w:sz w:val="22"/>
          <w:szCs w:val="22"/>
        </w:rPr>
        <w:t xml:space="preserve">Purpose and Use of the Information Collection </w:t>
      </w:r>
    </w:p>
    <w:p w:rsidR="00F727A9" w:rsidRPr="00761E38" w:rsidRDefault="00F727A9" w:rsidP="00F727A9">
      <w:pPr>
        <w:pStyle w:val="Default"/>
        <w:ind w:left="720"/>
        <w:rPr>
          <w:sz w:val="22"/>
          <w:szCs w:val="22"/>
        </w:rPr>
      </w:pPr>
    </w:p>
    <w:p w:rsidR="00F727A9" w:rsidRPr="00761E38" w:rsidRDefault="00F727A9" w:rsidP="00F727A9">
      <w:pPr>
        <w:widowControl/>
        <w:rPr>
          <w:rFonts w:cs="Courier New"/>
          <w:sz w:val="22"/>
          <w:szCs w:val="22"/>
        </w:rPr>
      </w:pPr>
      <w:r w:rsidRPr="00761E38">
        <w:rPr>
          <w:rFonts w:cs="Courier New"/>
          <w:sz w:val="22"/>
          <w:szCs w:val="22"/>
        </w:rPr>
        <w:t xml:space="preserve">The proposed electronic survey will be administered by the contractor. It will enable the Children’s Bureau to collect key information on project design, implementation, maintenance, and sustainability from key grantee representatives in a minimally burdensome way. The quantitative nature of the surveys will enable rapid data analysis and reporting. </w:t>
      </w:r>
    </w:p>
    <w:p w:rsidR="00F727A9" w:rsidRPr="00761E38" w:rsidRDefault="00F727A9" w:rsidP="00F727A9">
      <w:pPr>
        <w:widowControl/>
        <w:rPr>
          <w:rFonts w:cs="Courier New"/>
          <w:sz w:val="22"/>
          <w:szCs w:val="22"/>
        </w:rPr>
      </w:pPr>
    </w:p>
    <w:p w:rsidR="00F727A9" w:rsidRPr="00761E38" w:rsidRDefault="00F727A9" w:rsidP="00F727A9">
      <w:pPr>
        <w:widowControl/>
        <w:rPr>
          <w:rFonts w:cs="Courier New"/>
          <w:sz w:val="22"/>
          <w:szCs w:val="22"/>
        </w:rPr>
      </w:pPr>
      <w:r w:rsidRPr="00761E38">
        <w:rPr>
          <w:rFonts w:cs="Courier New"/>
          <w:sz w:val="22"/>
          <w:szCs w:val="22"/>
        </w:rPr>
        <w:t>The Children’s Bureau will benefit from the timely receipt of new knowledge developed by grant projects and produced from analysis of survey results. The new knowledge will be disseminated to the field in a timely manner and will inform technical assistance activities planned by the Bureau for grantees as well as Bureau recommendations for future research and grant funding.</w:t>
      </w:r>
    </w:p>
    <w:p w:rsidR="00F727A9" w:rsidRPr="00761E38" w:rsidRDefault="00F727A9" w:rsidP="00F727A9">
      <w:pPr>
        <w:widowControl/>
        <w:rPr>
          <w:rFonts w:cs="Courier New"/>
          <w:sz w:val="22"/>
          <w:szCs w:val="22"/>
        </w:rPr>
      </w:pPr>
    </w:p>
    <w:p w:rsidR="00F727A9" w:rsidRPr="00761E38" w:rsidRDefault="00F727A9" w:rsidP="00F727A9">
      <w:pPr>
        <w:widowControl/>
        <w:numPr>
          <w:ilvl w:val="0"/>
          <w:numId w:val="1"/>
        </w:numPr>
        <w:tabs>
          <w:tab w:val="clear" w:pos="720"/>
        </w:tabs>
        <w:ind w:left="360"/>
        <w:rPr>
          <w:rFonts w:cs="Courier New"/>
          <w:b/>
          <w:snapToGrid/>
          <w:sz w:val="22"/>
          <w:szCs w:val="22"/>
        </w:rPr>
      </w:pPr>
      <w:r w:rsidRPr="00761E38">
        <w:rPr>
          <w:rFonts w:cs="Courier New"/>
          <w:b/>
          <w:snapToGrid/>
          <w:sz w:val="22"/>
          <w:szCs w:val="22"/>
        </w:rPr>
        <w:t xml:space="preserve">Use of Improved Information Technology and Burden Reduction </w:t>
      </w:r>
    </w:p>
    <w:p w:rsidR="00F727A9" w:rsidRPr="00761E38" w:rsidRDefault="00F727A9" w:rsidP="00F727A9">
      <w:pPr>
        <w:widowControl/>
        <w:rPr>
          <w:rFonts w:cs="Courier New"/>
          <w:b/>
          <w:sz w:val="22"/>
          <w:szCs w:val="22"/>
        </w:rPr>
      </w:pPr>
    </w:p>
    <w:p w:rsidR="00F727A9" w:rsidRPr="00761E38" w:rsidRDefault="00F727A9" w:rsidP="00F727A9">
      <w:pPr>
        <w:widowControl/>
        <w:rPr>
          <w:rFonts w:cs="Courier New"/>
          <w:sz w:val="22"/>
          <w:szCs w:val="22"/>
        </w:rPr>
      </w:pPr>
      <w:r w:rsidRPr="00761E38">
        <w:rPr>
          <w:rFonts w:cs="Courier New"/>
          <w:sz w:val="22"/>
          <w:szCs w:val="22"/>
        </w:rPr>
        <w:t xml:space="preserve">Surveys will be one source of information to be used in the cross-site evaluation to address several process evaluation questions. Survey questions will be targeted to address information not provided via already-existing sources. </w:t>
      </w:r>
    </w:p>
    <w:p w:rsidR="00F727A9" w:rsidRPr="00B972F3" w:rsidRDefault="00F727A9" w:rsidP="00F727A9">
      <w:pPr>
        <w:widowControl/>
        <w:rPr>
          <w:rFonts w:cs="Courier New"/>
          <w:sz w:val="22"/>
          <w:szCs w:val="22"/>
        </w:rPr>
      </w:pPr>
    </w:p>
    <w:p w:rsidR="00F727A9" w:rsidRPr="00B972F3" w:rsidRDefault="00F727A9" w:rsidP="00F727A9">
      <w:pPr>
        <w:widowControl/>
        <w:rPr>
          <w:rFonts w:cs="Courier New"/>
          <w:sz w:val="22"/>
          <w:szCs w:val="22"/>
        </w:rPr>
      </w:pPr>
      <w:r w:rsidRPr="00B972F3">
        <w:rPr>
          <w:rFonts w:cs="Courier New"/>
          <w:sz w:val="22"/>
          <w:szCs w:val="22"/>
        </w:rPr>
        <w:t xml:space="preserve">The majority of response options to each survey question will be quantitative (e.g., choose one, choose the top three, rate the options, etc.) and the opportunity for open-ended responses will be provided as appropriate. </w:t>
      </w:r>
    </w:p>
    <w:p w:rsidR="00F727A9" w:rsidRPr="00B972F3" w:rsidRDefault="00F727A9" w:rsidP="00F727A9">
      <w:pPr>
        <w:widowControl/>
        <w:rPr>
          <w:rFonts w:cs="Courier New"/>
          <w:sz w:val="22"/>
          <w:szCs w:val="22"/>
        </w:rPr>
      </w:pPr>
    </w:p>
    <w:p w:rsidR="00F727A9" w:rsidRPr="003529DF" w:rsidRDefault="00F727A9" w:rsidP="00F727A9">
      <w:pPr>
        <w:rPr>
          <w:sz w:val="22"/>
          <w:szCs w:val="22"/>
        </w:rPr>
      </w:pPr>
      <w:r w:rsidRPr="00B972F3">
        <w:rPr>
          <w:rFonts w:cs="Courier New"/>
          <w:sz w:val="22"/>
          <w:szCs w:val="22"/>
        </w:rPr>
        <w:t xml:space="preserve">In regard to coding and analyzing qualitative data in time to complete a report by the end of FY15, </w:t>
      </w:r>
      <w:r w:rsidRPr="00B972F3">
        <w:rPr>
          <w:sz w:val="22"/>
          <w:szCs w:val="22"/>
        </w:rPr>
        <w:t>the Children’s Bureau is exploring the possibility of a no-cost extension so that the contractor may analyze quantitative and qualitative data. Should a no-cost extension be unavailable, the Children’s Bureau and the contractor will prioritize analysis and reporting needs in order to best meet contract requirements and produce a deliverable useful to the Children’s Bureau</w:t>
      </w:r>
      <w:r w:rsidRPr="003529DF">
        <w:rPr>
          <w:sz w:val="22"/>
          <w:szCs w:val="22"/>
        </w:rPr>
        <w:t>, grantees, and other audiences.</w:t>
      </w:r>
    </w:p>
    <w:p w:rsidR="00F727A9" w:rsidRPr="003529DF" w:rsidRDefault="00F727A9" w:rsidP="00F727A9">
      <w:pPr>
        <w:widowControl/>
        <w:rPr>
          <w:rFonts w:cs="Courier New"/>
          <w:sz w:val="22"/>
          <w:szCs w:val="22"/>
        </w:rPr>
      </w:pPr>
    </w:p>
    <w:p w:rsidR="00F727A9" w:rsidRPr="003529DF" w:rsidRDefault="00F727A9" w:rsidP="00F727A9">
      <w:pPr>
        <w:widowControl/>
        <w:rPr>
          <w:rFonts w:cs="Courier New"/>
          <w:sz w:val="22"/>
          <w:szCs w:val="22"/>
        </w:rPr>
      </w:pPr>
      <w:r w:rsidRPr="003529DF">
        <w:rPr>
          <w:rFonts w:cs="Courier New"/>
          <w:sz w:val="22"/>
          <w:szCs w:val="22"/>
        </w:rPr>
        <w:t>Items that may be obtained from other sources will be omitted in order to minimize the time survey respondents spend on the activity. Skip patterns will be used, so respondents will spend time only on the questions most applicable to them. The survey will be administered electronically so participants can respond easily and rapidly.</w:t>
      </w:r>
    </w:p>
    <w:p w:rsidR="00F727A9" w:rsidRPr="003529DF" w:rsidRDefault="00F727A9" w:rsidP="00F727A9">
      <w:pPr>
        <w:widowControl/>
        <w:rPr>
          <w:rFonts w:cs="Courier New"/>
          <w:sz w:val="22"/>
          <w:szCs w:val="22"/>
        </w:rPr>
      </w:pPr>
    </w:p>
    <w:p w:rsidR="00F727A9" w:rsidRPr="003529DF" w:rsidRDefault="00F727A9" w:rsidP="00F727A9">
      <w:pPr>
        <w:keepNext/>
        <w:rPr>
          <w:sz w:val="22"/>
          <w:szCs w:val="22"/>
        </w:rPr>
      </w:pPr>
      <w:r w:rsidRPr="003529DF">
        <w:rPr>
          <w:sz w:val="22"/>
          <w:szCs w:val="22"/>
        </w:rPr>
        <w:t xml:space="preserve">In regard to whether all respondents have internet access, the contractor has worked with grantee organization project leaders to develop dissemination lists and test the accuracy of e-mail addresses from dissemination lists. In doing so, the contractor identified a small group of Kinship Navigator-TANF service providers who do not have e-mail addresses. The contractor developed a process to </w:t>
      </w:r>
      <w:r w:rsidRPr="003529DF">
        <w:rPr>
          <w:sz w:val="22"/>
          <w:szCs w:val="22"/>
        </w:rPr>
        <w:lastRenderedPageBreak/>
        <w:t>administer paper-based surveys to these respondents.</w:t>
      </w:r>
    </w:p>
    <w:p w:rsidR="00F727A9" w:rsidRPr="003529DF" w:rsidRDefault="00F727A9" w:rsidP="00F727A9">
      <w:pPr>
        <w:widowControl/>
        <w:ind w:left="720"/>
        <w:rPr>
          <w:rFonts w:cs="Courier New"/>
          <w:b/>
          <w:snapToGrid/>
          <w:sz w:val="22"/>
          <w:szCs w:val="22"/>
        </w:rPr>
      </w:pPr>
    </w:p>
    <w:p w:rsidR="00F727A9" w:rsidRPr="003529DF" w:rsidRDefault="00F727A9" w:rsidP="00F727A9">
      <w:pPr>
        <w:widowControl/>
        <w:numPr>
          <w:ilvl w:val="0"/>
          <w:numId w:val="1"/>
        </w:numPr>
        <w:tabs>
          <w:tab w:val="clear" w:pos="720"/>
        </w:tabs>
        <w:ind w:left="360"/>
        <w:rPr>
          <w:rFonts w:cs="Courier New"/>
          <w:b/>
          <w:snapToGrid/>
          <w:sz w:val="22"/>
          <w:szCs w:val="22"/>
        </w:rPr>
      </w:pPr>
      <w:r w:rsidRPr="003529DF">
        <w:rPr>
          <w:rFonts w:cs="Courier New"/>
          <w:b/>
          <w:snapToGrid/>
          <w:sz w:val="22"/>
          <w:szCs w:val="22"/>
        </w:rPr>
        <w:t xml:space="preserve">Efforts to Identify Duplication and Use of Similar Information </w:t>
      </w:r>
    </w:p>
    <w:p w:rsidR="00F727A9" w:rsidRDefault="00F727A9" w:rsidP="00F727A9">
      <w:pPr>
        <w:widowControl/>
        <w:rPr>
          <w:rFonts w:cs="Courier New"/>
          <w:sz w:val="22"/>
          <w:szCs w:val="22"/>
        </w:rPr>
      </w:pPr>
    </w:p>
    <w:p w:rsidR="00F727A9" w:rsidRPr="00761E38" w:rsidRDefault="00F727A9" w:rsidP="00F727A9">
      <w:pPr>
        <w:widowControl/>
        <w:rPr>
          <w:rFonts w:cs="Courier New"/>
          <w:snapToGrid/>
          <w:sz w:val="22"/>
          <w:szCs w:val="22"/>
        </w:rPr>
      </w:pPr>
      <w:r w:rsidRPr="00761E38">
        <w:rPr>
          <w:rFonts w:cs="Courier New"/>
          <w:sz w:val="22"/>
          <w:szCs w:val="22"/>
        </w:rPr>
        <w:t>N/A. Similar information is not available.</w:t>
      </w:r>
    </w:p>
    <w:p w:rsidR="00F727A9" w:rsidRPr="003529DF" w:rsidRDefault="00F727A9" w:rsidP="00F727A9">
      <w:pPr>
        <w:widowControl/>
        <w:ind w:left="720"/>
        <w:rPr>
          <w:rFonts w:cs="Courier New"/>
          <w:b/>
          <w:snapToGrid/>
          <w:sz w:val="22"/>
          <w:szCs w:val="22"/>
        </w:rPr>
      </w:pPr>
    </w:p>
    <w:p w:rsidR="00F727A9" w:rsidRPr="003529DF" w:rsidRDefault="00F727A9" w:rsidP="00F727A9">
      <w:pPr>
        <w:widowControl/>
        <w:numPr>
          <w:ilvl w:val="0"/>
          <w:numId w:val="1"/>
        </w:numPr>
        <w:tabs>
          <w:tab w:val="clear" w:pos="720"/>
        </w:tabs>
        <w:ind w:left="360"/>
        <w:rPr>
          <w:rFonts w:cs="Courier New"/>
          <w:b/>
          <w:snapToGrid/>
          <w:sz w:val="22"/>
          <w:szCs w:val="22"/>
        </w:rPr>
      </w:pPr>
      <w:r w:rsidRPr="003529DF">
        <w:rPr>
          <w:rFonts w:cs="Courier New"/>
          <w:b/>
          <w:snapToGrid/>
          <w:sz w:val="22"/>
          <w:szCs w:val="22"/>
        </w:rPr>
        <w:t xml:space="preserve">Impact on Small Businesses or Other Small Entities </w:t>
      </w:r>
    </w:p>
    <w:p w:rsidR="00F727A9" w:rsidRDefault="00F727A9" w:rsidP="00F727A9">
      <w:pPr>
        <w:pStyle w:val="Default"/>
        <w:rPr>
          <w:snapToGrid w:val="0"/>
          <w:color w:val="auto"/>
          <w:sz w:val="22"/>
          <w:szCs w:val="22"/>
        </w:rPr>
      </w:pPr>
    </w:p>
    <w:p w:rsidR="00F727A9" w:rsidRPr="00761E38" w:rsidRDefault="00F727A9" w:rsidP="00F727A9">
      <w:pPr>
        <w:pStyle w:val="Default"/>
        <w:rPr>
          <w:sz w:val="22"/>
          <w:szCs w:val="22"/>
        </w:rPr>
      </w:pPr>
      <w:proofErr w:type="gramStart"/>
      <w:r w:rsidRPr="00761E38">
        <w:rPr>
          <w:snapToGrid w:val="0"/>
          <w:color w:val="auto"/>
          <w:sz w:val="22"/>
          <w:szCs w:val="22"/>
        </w:rPr>
        <w:t>N/A.</w:t>
      </w:r>
      <w:proofErr w:type="gramEnd"/>
      <w:r w:rsidRPr="00761E38">
        <w:rPr>
          <w:snapToGrid w:val="0"/>
          <w:color w:val="auto"/>
          <w:sz w:val="22"/>
          <w:szCs w:val="22"/>
        </w:rPr>
        <w:t xml:space="preserve"> The burden is minimal. There is no need to make any adjustments to accommodate small businesses or other small </w:t>
      </w:r>
      <w:r w:rsidRPr="00761E38">
        <w:rPr>
          <w:sz w:val="22"/>
          <w:szCs w:val="22"/>
        </w:rPr>
        <w:t>entities.</w:t>
      </w:r>
    </w:p>
    <w:p w:rsidR="00F727A9" w:rsidRDefault="00F727A9" w:rsidP="00F727A9">
      <w:pPr>
        <w:widowControl/>
        <w:ind w:left="720"/>
        <w:rPr>
          <w:rFonts w:cs="Courier New"/>
          <w:snapToGrid/>
          <w:sz w:val="22"/>
          <w:szCs w:val="22"/>
        </w:rPr>
      </w:pPr>
    </w:p>
    <w:p w:rsidR="00F727A9" w:rsidRPr="003529DF" w:rsidRDefault="00F727A9" w:rsidP="00F727A9">
      <w:pPr>
        <w:widowControl/>
        <w:numPr>
          <w:ilvl w:val="0"/>
          <w:numId w:val="1"/>
        </w:numPr>
        <w:tabs>
          <w:tab w:val="clear" w:pos="720"/>
        </w:tabs>
        <w:ind w:left="360"/>
        <w:rPr>
          <w:rFonts w:cs="Courier New"/>
          <w:b/>
          <w:snapToGrid/>
          <w:sz w:val="22"/>
          <w:szCs w:val="22"/>
        </w:rPr>
      </w:pPr>
      <w:r w:rsidRPr="003529DF">
        <w:rPr>
          <w:rFonts w:cs="Courier New"/>
          <w:b/>
          <w:snapToGrid/>
          <w:sz w:val="22"/>
          <w:szCs w:val="22"/>
        </w:rPr>
        <w:t xml:space="preserve">Consequences of Collecting the Information Less Frequently </w:t>
      </w:r>
    </w:p>
    <w:p w:rsidR="00F727A9" w:rsidRPr="003529DF" w:rsidRDefault="00F727A9" w:rsidP="00F727A9">
      <w:pPr>
        <w:widowControl/>
        <w:rPr>
          <w:rFonts w:cs="Courier New"/>
          <w:b/>
          <w:snapToGrid/>
          <w:color w:val="000000"/>
          <w:sz w:val="22"/>
          <w:szCs w:val="22"/>
        </w:rPr>
      </w:pPr>
    </w:p>
    <w:p w:rsidR="00F727A9" w:rsidRDefault="00F727A9" w:rsidP="00F727A9">
      <w:pPr>
        <w:widowControl/>
        <w:rPr>
          <w:rFonts w:cs="Courier New"/>
          <w:snapToGrid/>
          <w:color w:val="000000"/>
          <w:sz w:val="22"/>
          <w:szCs w:val="22"/>
        </w:rPr>
      </w:pPr>
      <w:r w:rsidRPr="00761E38">
        <w:rPr>
          <w:rFonts w:cs="Courier New"/>
          <w:snapToGrid/>
          <w:color w:val="000000"/>
          <w:sz w:val="22"/>
          <w:szCs w:val="22"/>
        </w:rPr>
        <w:t>This is a one-time project. If the collection is not conducted, the Children’s Bureau will not have access to information from the survey, which will be detrimental to any efforts to plan or conduct future Family Connection work or other research.</w:t>
      </w:r>
    </w:p>
    <w:p w:rsidR="00F727A9" w:rsidRPr="003529DF" w:rsidRDefault="00F727A9" w:rsidP="00F727A9">
      <w:pPr>
        <w:widowControl/>
        <w:rPr>
          <w:rFonts w:cs="Courier New"/>
          <w:b/>
          <w:snapToGrid/>
          <w:color w:val="000000"/>
          <w:sz w:val="22"/>
          <w:szCs w:val="22"/>
        </w:rPr>
      </w:pPr>
    </w:p>
    <w:p w:rsidR="00F727A9" w:rsidRPr="003529DF" w:rsidRDefault="00F727A9" w:rsidP="00F727A9">
      <w:pPr>
        <w:widowControl/>
        <w:numPr>
          <w:ilvl w:val="0"/>
          <w:numId w:val="1"/>
        </w:numPr>
        <w:tabs>
          <w:tab w:val="clear" w:pos="720"/>
        </w:tabs>
        <w:ind w:left="360"/>
        <w:rPr>
          <w:rFonts w:cs="Courier New"/>
          <w:b/>
          <w:snapToGrid/>
          <w:sz w:val="22"/>
          <w:szCs w:val="22"/>
        </w:rPr>
      </w:pPr>
      <w:r w:rsidRPr="003529DF">
        <w:rPr>
          <w:rFonts w:cs="Courier New"/>
          <w:b/>
          <w:snapToGrid/>
          <w:sz w:val="22"/>
          <w:szCs w:val="22"/>
        </w:rPr>
        <w:t xml:space="preserve">Special Circumstances Relating to the Guidelines of 5 CFR 1320.5 </w:t>
      </w:r>
    </w:p>
    <w:p w:rsidR="00F727A9" w:rsidRPr="003529DF" w:rsidRDefault="00F727A9" w:rsidP="00F727A9">
      <w:pPr>
        <w:widowControl/>
        <w:rPr>
          <w:rFonts w:cs="Courier New"/>
          <w:b/>
          <w:snapToGrid/>
          <w:color w:val="000000"/>
          <w:sz w:val="22"/>
          <w:szCs w:val="22"/>
        </w:rPr>
      </w:pPr>
    </w:p>
    <w:p w:rsidR="00F727A9" w:rsidRDefault="00F727A9" w:rsidP="00F727A9">
      <w:pPr>
        <w:widowControl/>
        <w:rPr>
          <w:rFonts w:cs="Courier New"/>
          <w:snapToGrid/>
          <w:color w:val="000000"/>
          <w:sz w:val="22"/>
          <w:szCs w:val="22"/>
        </w:rPr>
      </w:pPr>
      <w:proofErr w:type="gramStart"/>
      <w:r w:rsidRPr="00761E38">
        <w:rPr>
          <w:rFonts w:cs="Courier New"/>
          <w:snapToGrid/>
          <w:color w:val="000000"/>
          <w:sz w:val="22"/>
          <w:szCs w:val="22"/>
        </w:rPr>
        <w:t>N/A.</w:t>
      </w:r>
      <w:proofErr w:type="gramEnd"/>
      <w:r w:rsidRPr="00761E38">
        <w:rPr>
          <w:rFonts w:cs="Courier New"/>
          <w:snapToGrid/>
          <w:color w:val="000000"/>
          <w:sz w:val="22"/>
          <w:szCs w:val="22"/>
        </w:rPr>
        <w:t xml:space="preserve"> The special circumstances do not apply.</w:t>
      </w:r>
    </w:p>
    <w:p w:rsidR="00F727A9" w:rsidRPr="003529DF" w:rsidRDefault="00F727A9" w:rsidP="00F727A9">
      <w:pPr>
        <w:widowControl/>
        <w:rPr>
          <w:rFonts w:cs="Courier New"/>
          <w:b/>
          <w:snapToGrid/>
          <w:color w:val="000000"/>
          <w:sz w:val="22"/>
          <w:szCs w:val="22"/>
        </w:rPr>
      </w:pPr>
    </w:p>
    <w:p w:rsidR="00F727A9" w:rsidRPr="003529DF" w:rsidRDefault="00F727A9" w:rsidP="00F727A9">
      <w:pPr>
        <w:widowControl/>
        <w:numPr>
          <w:ilvl w:val="0"/>
          <w:numId w:val="1"/>
        </w:numPr>
        <w:tabs>
          <w:tab w:val="clear" w:pos="720"/>
        </w:tabs>
        <w:ind w:left="360"/>
        <w:rPr>
          <w:rFonts w:cs="Courier New"/>
          <w:b/>
          <w:snapToGrid/>
          <w:sz w:val="22"/>
          <w:szCs w:val="22"/>
        </w:rPr>
      </w:pPr>
      <w:r w:rsidRPr="003529DF">
        <w:rPr>
          <w:rFonts w:cs="Courier New"/>
          <w:b/>
          <w:snapToGrid/>
          <w:sz w:val="22"/>
          <w:szCs w:val="22"/>
        </w:rPr>
        <w:t xml:space="preserve">Comments in Response to the Federal Register Notice and Efforts to Consult Outside the Agency </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r w:rsidRPr="00761E38">
        <w:rPr>
          <w:rFonts w:cs="Courier New"/>
          <w:snapToGrid/>
          <w:color w:val="000000"/>
          <w:sz w:val="22"/>
          <w:szCs w:val="22"/>
        </w:rPr>
        <w:t xml:space="preserve">The first notice published in the Federal Register on 11/12/2014 (Vol. 79, No. 218, p. 67167). No comments were received. </w:t>
      </w:r>
    </w:p>
    <w:p w:rsidR="00F727A9" w:rsidRPr="00761E38" w:rsidRDefault="00F727A9" w:rsidP="00F727A9">
      <w:pPr>
        <w:widowControl/>
        <w:rPr>
          <w:rFonts w:cs="Courier New"/>
          <w:snapToGrid/>
          <w:color w:val="000000"/>
          <w:sz w:val="22"/>
          <w:szCs w:val="22"/>
        </w:rPr>
      </w:pPr>
    </w:p>
    <w:p w:rsidR="00F727A9" w:rsidRPr="00761E38" w:rsidRDefault="00F727A9" w:rsidP="00F727A9">
      <w:pPr>
        <w:widowControl/>
        <w:rPr>
          <w:rFonts w:cs="Courier New"/>
          <w:snapToGrid/>
          <w:color w:val="000000"/>
          <w:sz w:val="22"/>
          <w:szCs w:val="22"/>
        </w:rPr>
      </w:pPr>
      <w:r w:rsidRPr="00761E38">
        <w:rPr>
          <w:rFonts w:cs="Courier New"/>
          <w:snapToGrid/>
          <w:color w:val="000000"/>
          <w:sz w:val="22"/>
          <w:szCs w:val="22"/>
        </w:rPr>
        <w:t xml:space="preserve">The contractor was consulted to obtain their views on the availability of data, collection frequency, clarity of instructions and recordkeeping, disclosure, reporting format, and on data elements to be recorded, disclosed, or reported. </w:t>
      </w:r>
    </w:p>
    <w:p w:rsidR="00F727A9" w:rsidRDefault="00F727A9" w:rsidP="00F727A9">
      <w:pPr>
        <w:widowControl/>
        <w:rPr>
          <w:rFonts w:cs="Courier New"/>
          <w:snapToGrid/>
          <w:color w:val="000000"/>
          <w:sz w:val="22"/>
          <w:szCs w:val="22"/>
        </w:rPr>
      </w:pPr>
    </w:p>
    <w:p w:rsidR="00F727A9" w:rsidRPr="00B61298" w:rsidRDefault="00F727A9" w:rsidP="00F727A9">
      <w:pPr>
        <w:widowControl/>
        <w:rPr>
          <w:rFonts w:cs="Courier New"/>
          <w:i/>
          <w:snapToGrid/>
          <w:color w:val="000000"/>
          <w:sz w:val="22"/>
          <w:szCs w:val="22"/>
        </w:rPr>
      </w:pPr>
      <w:r w:rsidRPr="00761E38">
        <w:rPr>
          <w:rFonts w:cs="Courier New"/>
          <w:snapToGrid/>
          <w:color w:val="000000"/>
          <w:sz w:val="22"/>
          <w:szCs w:val="22"/>
        </w:rPr>
        <w:t>Representatives from Family Connection grantee organizations were consulted on survey content and clarity of instructions. (</w:t>
      </w:r>
      <w:r w:rsidRPr="00B61298">
        <w:rPr>
          <w:rFonts w:cs="Courier New"/>
          <w:i/>
          <w:snapToGrid/>
          <w:color w:val="000000"/>
          <w:sz w:val="22"/>
          <w:szCs w:val="22"/>
        </w:rPr>
        <w:t>See Attachment D - Consultants)</w:t>
      </w:r>
      <w:r>
        <w:rPr>
          <w:rFonts w:cs="Courier New"/>
          <w:i/>
          <w:snapToGrid/>
          <w:color w:val="000000"/>
          <w:sz w:val="22"/>
          <w:szCs w:val="22"/>
        </w:rPr>
        <w:t>.</w:t>
      </w:r>
    </w:p>
    <w:p w:rsidR="00F727A9" w:rsidRPr="00761E38" w:rsidRDefault="00F727A9" w:rsidP="00F727A9">
      <w:pPr>
        <w:widowControl/>
        <w:rPr>
          <w:rFonts w:cs="Courier New"/>
          <w:snapToGrid/>
          <w:color w:val="000000"/>
          <w:sz w:val="22"/>
          <w:szCs w:val="22"/>
        </w:rPr>
      </w:pPr>
    </w:p>
    <w:p w:rsidR="00F727A9" w:rsidRPr="00EE5DE8"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Explanation of Any Payment or Gift to Respondents </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proofErr w:type="gramStart"/>
      <w:r w:rsidRPr="00761E38">
        <w:rPr>
          <w:rFonts w:cs="Courier New"/>
          <w:snapToGrid/>
          <w:color w:val="000000"/>
          <w:sz w:val="22"/>
          <w:szCs w:val="22"/>
        </w:rPr>
        <w:t>N/A.</w:t>
      </w:r>
      <w:proofErr w:type="gramEnd"/>
      <w:r w:rsidRPr="00761E38">
        <w:rPr>
          <w:rFonts w:cs="Courier New"/>
          <w:snapToGrid/>
          <w:color w:val="000000"/>
          <w:sz w:val="22"/>
          <w:szCs w:val="22"/>
        </w:rPr>
        <w:t xml:space="preserve"> No payment or gift will be provided to respondents.</w:t>
      </w:r>
    </w:p>
    <w:p w:rsidR="00F727A9" w:rsidRPr="00761E38" w:rsidRDefault="00F727A9" w:rsidP="00F727A9">
      <w:pPr>
        <w:widowControl/>
        <w:rPr>
          <w:rFonts w:cs="Courier New"/>
          <w:snapToGrid/>
          <w:color w:val="000000"/>
          <w:sz w:val="22"/>
          <w:szCs w:val="22"/>
        </w:rPr>
      </w:pPr>
    </w:p>
    <w:p w:rsidR="00F727A9" w:rsidRPr="00EE5DE8"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Assurance of Confidentiality Provided to Respondents </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r w:rsidRPr="00761E38">
        <w:rPr>
          <w:rFonts w:cs="Courier New"/>
          <w:snapToGrid/>
          <w:color w:val="000000"/>
          <w:sz w:val="22"/>
          <w:szCs w:val="22"/>
        </w:rPr>
        <w:t xml:space="preserve">The contractor will not disclose any individual-level survey information to grantee organizations or the Children’s Bureau. Information will not be published that could be used to identify individual respondents. All survey results will be analyzed and reported in aggregate for all reports, presentations, and publications. The contractor will carefully evaluate all survey analyses to ensure that no individual may be identified in these documents. All contractor staff members sign an employee agreement on ideas, inventions, and confidential information as a condition of </w:t>
      </w:r>
      <w:r w:rsidRPr="00761E38">
        <w:rPr>
          <w:rFonts w:cs="Courier New"/>
          <w:snapToGrid/>
          <w:color w:val="000000"/>
          <w:sz w:val="22"/>
          <w:szCs w:val="22"/>
        </w:rPr>
        <w:lastRenderedPageBreak/>
        <w:t xml:space="preserve">employment, and all survey information collected will be limited to immediate project team members. The Children’s Bureau does not require access to any personally identifiable data. </w:t>
      </w:r>
    </w:p>
    <w:p w:rsidR="00F727A9" w:rsidRPr="00EE5DE8" w:rsidRDefault="00F727A9" w:rsidP="00F727A9">
      <w:pPr>
        <w:widowControl/>
        <w:rPr>
          <w:rFonts w:cs="Courier New"/>
          <w:snapToGrid/>
          <w:color w:val="000000"/>
          <w:sz w:val="22"/>
          <w:szCs w:val="22"/>
        </w:rPr>
      </w:pPr>
    </w:p>
    <w:p w:rsidR="00F727A9" w:rsidRPr="00EE5DE8" w:rsidRDefault="00F727A9" w:rsidP="00F727A9">
      <w:pPr>
        <w:rPr>
          <w:i/>
          <w:sz w:val="22"/>
          <w:szCs w:val="22"/>
        </w:rPr>
      </w:pPr>
      <w:r w:rsidRPr="00EE5DE8">
        <w:rPr>
          <w:sz w:val="22"/>
          <w:szCs w:val="22"/>
        </w:rPr>
        <w:t xml:space="preserve">The contractor submitted an exemption determination form to Western IRB on January 27, 2015 to request that the process for collecting web-based, electronic survey data from grantee project and evaluation staff members and project partners be exempt from an IRB review. Along with the form, the contractor included a description of research and protocols for the intended cross-section of grantee representatives (project leadership, service provider, child welfare partner, community partner, and evaluator/evaluation team). The contractor received a regulatory opinion approving the exemption from Western IRB on February 3, 2015. </w:t>
      </w:r>
      <w:r w:rsidRPr="00EE5DE8">
        <w:rPr>
          <w:i/>
          <w:sz w:val="22"/>
          <w:szCs w:val="22"/>
        </w:rPr>
        <w:t>(See Attachment E – WIRB Exemption Determination Letter 2-3-15).</w:t>
      </w:r>
    </w:p>
    <w:p w:rsidR="00F727A9" w:rsidRPr="00EE5DE8"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r w:rsidRPr="00761E38">
        <w:rPr>
          <w:rFonts w:cs="Courier New"/>
          <w:snapToGrid/>
          <w:color w:val="000000"/>
          <w:sz w:val="22"/>
          <w:szCs w:val="22"/>
        </w:rPr>
        <w:t>The contractor will protect respondent’s information to the extent allowed by Federal law. This protection is offered under Title V of the E-Government Act, Confidential Information Protection and Statistical Efficiency Act of 2002 (CIPSEA).</w:t>
      </w:r>
    </w:p>
    <w:p w:rsidR="00F727A9" w:rsidRPr="00EE5DE8" w:rsidRDefault="00F727A9" w:rsidP="00F727A9">
      <w:pPr>
        <w:widowControl/>
        <w:rPr>
          <w:rFonts w:cs="Courier New"/>
          <w:b/>
          <w:snapToGrid/>
          <w:color w:val="000000"/>
          <w:sz w:val="22"/>
          <w:szCs w:val="22"/>
        </w:rPr>
      </w:pPr>
    </w:p>
    <w:p w:rsidR="00F727A9" w:rsidRPr="00EE5DE8"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Justification for Sensitive Questions </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proofErr w:type="gramStart"/>
      <w:r w:rsidRPr="00761E38">
        <w:rPr>
          <w:rFonts w:cs="Courier New"/>
          <w:snapToGrid/>
          <w:color w:val="000000"/>
          <w:sz w:val="22"/>
          <w:szCs w:val="22"/>
        </w:rPr>
        <w:t>N/A.</w:t>
      </w:r>
      <w:proofErr w:type="gramEnd"/>
      <w:r w:rsidRPr="00761E38">
        <w:rPr>
          <w:rFonts w:cs="Courier New"/>
          <w:snapToGrid/>
          <w:color w:val="000000"/>
          <w:sz w:val="22"/>
          <w:szCs w:val="22"/>
        </w:rPr>
        <w:t xml:space="preserve"> No questions of a sensitive nature will be asked of survey respondents.</w:t>
      </w:r>
    </w:p>
    <w:p w:rsidR="00F727A9" w:rsidRPr="00761E38" w:rsidRDefault="00F727A9" w:rsidP="00F727A9">
      <w:pPr>
        <w:widowControl/>
        <w:rPr>
          <w:rFonts w:cs="Courier New"/>
          <w:snapToGrid/>
          <w:color w:val="000000"/>
          <w:sz w:val="22"/>
          <w:szCs w:val="22"/>
        </w:rPr>
      </w:pPr>
    </w:p>
    <w:p w:rsidR="00F727A9" w:rsidRPr="00EE5DE8"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Estimates of Annualized Burden Hours and Costs </w:t>
      </w:r>
    </w:p>
    <w:p w:rsidR="00F727A9" w:rsidRPr="00761E38" w:rsidRDefault="00F727A9" w:rsidP="00F727A9">
      <w:pPr>
        <w:widowControl/>
        <w:ind w:left="720"/>
        <w:rPr>
          <w:rFonts w:cs="Courier New"/>
          <w:snapToGrid/>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1701"/>
        <w:gridCol w:w="1701"/>
        <w:gridCol w:w="1701"/>
      </w:tblGrid>
      <w:tr w:rsidR="00F727A9" w:rsidRPr="00761E38" w:rsidTr="002B6477">
        <w:tblPrEx>
          <w:tblCellMar>
            <w:top w:w="0" w:type="dxa"/>
            <w:bottom w:w="0" w:type="dxa"/>
          </w:tblCellMar>
        </w:tblPrEx>
        <w:trPr>
          <w:trHeight w:val="278"/>
        </w:trPr>
        <w:tc>
          <w:tcPr>
            <w:tcW w:w="1701" w:type="dxa"/>
          </w:tcPr>
          <w:p w:rsidR="00F727A9" w:rsidRPr="00761E38" w:rsidRDefault="00F727A9" w:rsidP="002B6477">
            <w:pPr>
              <w:pStyle w:val="Default"/>
              <w:rPr>
                <w:sz w:val="22"/>
                <w:szCs w:val="22"/>
              </w:rPr>
            </w:pPr>
            <w:r w:rsidRPr="00761E38">
              <w:rPr>
                <w:sz w:val="22"/>
                <w:szCs w:val="22"/>
              </w:rPr>
              <w:t xml:space="preserve">ANNUAL BURDEN ESTIMATES Instrument </w:t>
            </w:r>
          </w:p>
        </w:tc>
        <w:tc>
          <w:tcPr>
            <w:tcW w:w="1701" w:type="dxa"/>
          </w:tcPr>
          <w:p w:rsidR="00F727A9" w:rsidRPr="00761E38" w:rsidRDefault="00F727A9" w:rsidP="002B6477">
            <w:pPr>
              <w:pStyle w:val="Default"/>
              <w:rPr>
                <w:sz w:val="22"/>
                <w:szCs w:val="22"/>
              </w:rPr>
            </w:pPr>
            <w:r w:rsidRPr="00761E38">
              <w:rPr>
                <w:sz w:val="22"/>
                <w:szCs w:val="22"/>
              </w:rPr>
              <w:t xml:space="preserve">Number of Respondents </w:t>
            </w:r>
          </w:p>
        </w:tc>
        <w:tc>
          <w:tcPr>
            <w:tcW w:w="1701" w:type="dxa"/>
          </w:tcPr>
          <w:p w:rsidR="00F727A9" w:rsidRPr="00761E38" w:rsidRDefault="00F727A9" w:rsidP="002B6477">
            <w:pPr>
              <w:pStyle w:val="Default"/>
              <w:rPr>
                <w:sz w:val="22"/>
                <w:szCs w:val="22"/>
              </w:rPr>
            </w:pPr>
            <w:r w:rsidRPr="00761E38">
              <w:rPr>
                <w:sz w:val="22"/>
                <w:szCs w:val="22"/>
              </w:rPr>
              <w:t xml:space="preserve">Number of Responses per Respondent </w:t>
            </w:r>
          </w:p>
        </w:tc>
        <w:tc>
          <w:tcPr>
            <w:tcW w:w="1701" w:type="dxa"/>
          </w:tcPr>
          <w:p w:rsidR="00F727A9" w:rsidRPr="00761E38" w:rsidRDefault="00F727A9" w:rsidP="002B6477">
            <w:pPr>
              <w:pStyle w:val="Default"/>
              <w:rPr>
                <w:sz w:val="22"/>
                <w:szCs w:val="22"/>
              </w:rPr>
            </w:pPr>
            <w:r w:rsidRPr="00761E38">
              <w:rPr>
                <w:sz w:val="22"/>
                <w:szCs w:val="22"/>
              </w:rPr>
              <w:t xml:space="preserve">Average Burden Hours per Response </w:t>
            </w:r>
          </w:p>
        </w:tc>
        <w:tc>
          <w:tcPr>
            <w:tcW w:w="1701" w:type="dxa"/>
          </w:tcPr>
          <w:p w:rsidR="00F727A9" w:rsidRPr="00761E38" w:rsidRDefault="00F727A9" w:rsidP="002B6477">
            <w:pPr>
              <w:pStyle w:val="Default"/>
              <w:rPr>
                <w:sz w:val="22"/>
                <w:szCs w:val="22"/>
              </w:rPr>
            </w:pPr>
            <w:r w:rsidRPr="00761E38">
              <w:rPr>
                <w:sz w:val="22"/>
                <w:szCs w:val="22"/>
              </w:rPr>
              <w:t xml:space="preserve">Total Burden Hours </w:t>
            </w:r>
          </w:p>
        </w:tc>
      </w:tr>
      <w:tr w:rsidR="00F727A9" w:rsidRPr="00761E38" w:rsidTr="002B6477">
        <w:tblPrEx>
          <w:tblCellMar>
            <w:top w:w="0" w:type="dxa"/>
            <w:bottom w:w="0" w:type="dxa"/>
          </w:tblCellMar>
        </w:tblPrEx>
        <w:trPr>
          <w:trHeight w:val="278"/>
        </w:trPr>
        <w:tc>
          <w:tcPr>
            <w:tcW w:w="1701" w:type="dxa"/>
          </w:tcPr>
          <w:p w:rsidR="00F727A9" w:rsidRPr="00761E38" w:rsidRDefault="00F727A9" w:rsidP="002B6477">
            <w:pPr>
              <w:pStyle w:val="Default"/>
              <w:rPr>
                <w:sz w:val="22"/>
                <w:szCs w:val="22"/>
              </w:rPr>
            </w:pPr>
            <w:r w:rsidRPr="00761E38">
              <w:rPr>
                <w:sz w:val="22"/>
                <w:szCs w:val="22"/>
              </w:rPr>
              <w:t xml:space="preserve">Project Leadership Protocol </w:t>
            </w:r>
          </w:p>
        </w:tc>
        <w:tc>
          <w:tcPr>
            <w:tcW w:w="1701" w:type="dxa"/>
          </w:tcPr>
          <w:p w:rsidR="00F727A9" w:rsidRPr="00761E38" w:rsidRDefault="00F727A9" w:rsidP="002B6477">
            <w:pPr>
              <w:pStyle w:val="Default"/>
              <w:rPr>
                <w:sz w:val="22"/>
                <w:szCs w:val="22"/>
              </w:rPr>
            </w:pPr>
            <w:r w:rsidRPr="00761E38">
              <w:rPr>
                <w:sz w:val="22"/>
                <w:szCs w:val="22"/>
              </w:rPr>
              <w:t xml:space="preserve">79 </w:t>
            </w:r>
          </w:p>
        </w:tc>
        <w:tc>
          <w:tcPr>
            <w:tcW w:w="1701" w:type="dxa"/>
          </w:tcPr>
          <w:p w:rsidR="00F727A9" w:rsidRPr="00761E38" w:rsidRDefault="00F727A9" w:rsidP="002B6477">
            <w:pPr>
              <w:pStyle w:val="Default"/>
              <w:rPr>
                <w:sz w:val="22"/>
                <w:szCs w:val="22"/>
              </w:rPr>
            </w:pPr>
            <w:r w:rsidRPr="00761E38">
              <w:rPr>
                <w:sz w:val="22"/>
                <w:szCs w:val="22"/>
              </w:rPr>
              <w:t xml:space="preserve">1 </w:t>
            </w:r>
          </w:p>
        </w:tc>
        <w:tc>
          <w:tcPr>
            <w:tcW w:w="1701" w:type="dxa"/>
          </w:tcPr>
          <w:p w:rsidR="00F727A9" w:rsidRPr="00761E38" w:rsidRDefault="00F727A9" w:rsidP="002B6477">
            <w:pPr>
              <w:pStyle w:val="Default"/>
              <w:rPr>
                <w:sz w:val="22"/>
                <w:szCs w:val="22"/>
              </w:rPr>
            </w:pPr>
            <w:r w:rsidRPr="00761E38">
              <w:rPr>
                <w:sz w:val="22"/>
                <w:szCs w:val="22"/>
              </w:rPr>
              <w:t xml:space="preserve">.75 </w:t>
            </w:r>
          </w:p>
        </w:tc>
        <w:tc>
          <w:tcPr>
            <w:tcW w:w="1701" w:type="dxa"/>
          </w:tcPr>
          <w:p w:rsidR="00F727A9" w:rsidRPr="00761E38" w:rsidRDefault="00F727A9" w:rsidP="002B6477">
            <w:pPr>
              <w:pStyle w:val="Default"/>
              <w:rPr>
                <w:sz w:val="22"/>
                <w:szCs w:val="22"/>
              </w:rPr>
            </w:pPr>
            <w:r w:rsidRPr="00761E38">
              <w:rPr>
                <w:sz w:val="22"/>
                <w:szCs w:val="22"/>
              </w:rPr>
              <w:t xml:space="preserve">59.25 </w:t>
            </w:r>
          </w:p>
        </w:tc>
      </w:tr>
      <w:tr w:rsidR="00F727A9" w:rsidRPr="00761E38" w:rsidTr="002B6477">
        <w:tblPrEx>
          <w:tblCellMar>
            <w:top w:w="0" w:type="dxa"/>
            <w:bottom w:w="0" w:type="dxa"/>
          </w:tblCellMar>
        </w:tblPrEx>
        <w:trPr>
          <w:trHeight w:val="179"/>
        </w:trPr>
        <w:tc>
          <w:tcPr>
            <w:tcW w:w="1701" w:type="dxa"/>
          </w:tcPr>
          <w:p w:rsidR="00F727A9" w:rsidRPr="00761E38" w:rsidRDefault="00F727A9" w:rsidP="002B6477">
            <w:pPr>
              <w:pStyle w:val="Default"/>
              <w:rPr>
                <w:sz w:val="22"/>
                <w:szCs w:val="22"/>
              </w:rPr>
            </w:pPr>
            <w:r w:rsidRPr="00761E38">
              <w:rPr>
                <w:sz w:val="22"/>
                <w:szCs w:val="22"/>
              </w:rPr>
              <w:t xml:space="preserve">Service Provider Protocol </w:t>
            </w:r>
          </w:p>
        </w:tc>
        <w:tc>
          <w:tcPr>
            <w:tcW w:w="1701" w:type="dxa"/>
          </w:tcPr>
          <w:p w:rsidR="00F727A9" w:rsidRPr="00761E38" w:rsidRDefault="00F727A9" w:rsidP="002B6477">
            <w:pPr>
              <w:pStyle w:val="Default"/>
              <w:rPr>
                <w:sz w:val="22"/>
                <w:szCs w:val="22"/>
              </w:rPr>
            </w:pPr>
            <w:r w:rsidRPr="00761E38">
              <w:rPr>
                <w:sz w:val="22"/>
                <w:szCs w:val="22"/>
              </w:rPr>
              <w:t xml:space="preserve">153 </w:t>
            </w:r>
          </w:p>
        </w:tc>
        <w:tc>
          <w:tcPr>
            <w:tcW w:w="1701" w:type="dxa"/>
          </w:tcPr>
          <w:p w:rsidR="00F727A9" w:rsidRPr="00761E38" w:rsidRDefault="00F727A9" w:rsidP="002B6477">
            <w:pPr>
              <w:pStyle w:val="Default"/>
              <w:rPr>
                <w:sz w:val="22"/>
                <w:szCs w:val="22"/>
              </w:rPr>
            </w:pPr>
            <w:r w:rsidRPr="00761E38">
              <w:rPr>
                <w:sz w:val="22"/>
                <w:szCs w:val="22"/>
              </w:rPr>
              <w:t xml:space="preserve">1 </w:t>
            </w:r>
          </w:p>
        </w:tc>
        <w:tc>
          <w:tcPr>
            <w:tcW w:w="1701" w:type="dxa"/>
          </w:tcPr>
          <w:p w:rsidR="00F727A9" w:rsidRPr="00761E38" w:rsidRDefault="00F727A9" w:rsidP="002B6477">
            <w:pPr>
              <w:pStyle w:val="Default"/>
              <w:rPr>
                <w:sz w:val="22"/>
                <w:szCs w:val="22"/>
              </w:rPr>
            </w:pPr>
            <w:r w:rsidRPr="00761E38">
              <w:rPr>
                <w:sz w:val="22"/>
                <w:szCs w:val="22"/>
              </w:rPr>
              <w:t xml:space="preserve">.5 </w:t>
            </w:r>
          </w:p>
        </w:tc>
        <w:tc>
          <w:tcPr>
            <w:tcW w:w="1701" w:type="dxa"/>
          </w:tcPr>
          <w:p w:rsidR="00F727A9" w:rsidRPr="00761E38" w:rsidRDefault="00F727A9" w:rsidP="002B6477">
            <w:pPr>
              <w:pStyle w:val="Default"/>
              <w:rPr>
                <w:sz w:val="22"/>
                <w:szCs w:val="22"/>
              </w:rPr>
            </w:pPr>
            <w:r w:rsidRPr="00761E38">
              <w:rPr>
                <w:sz w:val="22"/>
                <w:szCs w:val="22"/>
              </w:rPr>
              <w:t xml:space="preserve">76.5 </w:t>
            </w:r>
          </w:p>
        </w:tc>
      </w:tr>
      <w:tr w:rsidR="00F727A9" w:rsidRPr="00761E38" w:rsidTr="002B6477">
        <w:tblPrEx>
          <w:tblCellMar>
            <w:top w:w="0" w:type="dxa"/>
            <w:bottom w:w="0" w:type="dxa"/>
          </w:tblCellMar>
        </w:tblPrEx>
        <w:trPr>
          <w:trHeight w:val="278"/>
        </w:trPr>
        <w:tc>
          <w:tcPr>
            <w:tcW w:w="1701" w:type="dxa"/>
          </w:tcPr>
          <w:p w:rsidR="00F727A9" w:rsidRPr="00761E38" w:rsidRDefault="00F727A9" w:rsidP="002B6477">
            <w:pPr>
              <w:pStyle w:val="Default"/>
              <w:rPr>
                <w:sz w:val="22"/>
                <w:szCs w:val="22"/>
              </w:rPr>
            </w:pPr>
            <w:r w:rsidRPr="00761E38">
              <w:rPr>
                <w:sz w:val="22"/>
                <w:szCs w:val="22"/>
              </w:rPr>
              <w:t xml:space="preserve">Public Child Welfare Partner Protocol </w:t>
            </w:r>
          </w:p>
        </w:tc>
        <w:tc>
          <w:tcPr>
            <w:tcW w:w="1701" w:type="dxa"/>
          </w:tcPr>
          <w:p w:rsidR="00F727A9" w:rsidRPr="00761E38" w:rsidRDefault="00F727A9" w:rsidP="002B6477">
            <w:pPr>
              <w:pStyle w:val="Default"/>
              <w:rPr>
                <w:sz w:val="22"/>
                <w:szCs w:val="22"/>
              </w:rPr>
            </w:pPr>
            <w:r w:rsidRPr="00761E38">
              <w:rPr>
                <w:sz w:val="22"/>
                <w:szCs w:val="22"/>
              </w:rPr>
              <w:t xml:space="preserve">34 </w:t>
            </w:r>
          </w:p>
        </w:tc>
        <w:tc>
          <w:tcPr>
            <w:tcW w:w="1701" w:type="dxa"/>
          </w:tcPr>
          <w:p w:rsidR="00F727A9" w:rsidRPr="00761E38" w:rsidRDefault="00F727A9" w:rsidP="002B6477">
            <w:pPr>
              <w:pStyle w:val="Default"/>
              <w:rPr>
                <w:sz w:val="22"/>
                <w:szCs w:val="22"/>
              </w:rPr>
            </w:pPr>
            <w:r w:rsidRPr="00761E38">
              <w:rPr>
                <w:sz w:val="22"/>
                <w:szCs w:val="22"/>
              </w:rPr>
              <w:t xml:space="preserve">1 </w:t>
            </w:r>
          </w:p>
        </w:tc>
        <w:tc>
          <w:tcPr>
            <w:tcW w:w="1701" w:type="dxa"/>
          </w:tcPr>
          <w:p w:rsidR="00F727A9" w:rsidRPr="00761E38" w:rsidRDefault="00F727A9" w:rsidP="002B6477">
            <w:pPr>
              <w:pStyle w:val="Default"/>
              <w:rPr>
                <w:sz w:val="22"/>
                <w:szCs w:val="22"/>
              </w:rPr>
            </w:pPr>
            <w:r w:rsidRPr="00761E38">
              <w:rPr>
                <w:sz w:val="22"/>
                <w:szCs w:val="22"/>
              </w:rPr>
              <w:t xml:space="preserve">.25 </w:t>
            </w:r>
          </w:p>
        </w:tc>
        <w:tc>
          <w:tcPr>
            <w:tcW w:w="1701" w:type="dxa"/>
          </w:tcPr>
          <w:p w:rsidR="00F727A9" w:rsidRPr="00761E38" w:rsidRDefault="00F727A9" w:rsidP="002B6477">
            <w:pPr>
              <w:pStyle w:val="Default"/>
              <w:rPr>
                <w:sz w:val="22"/>
                <w:szCs w:val="22"/>
              </w:rPr>
            </w:pPr>
            <w:r w:rsidRPr="00761E38">
              <w:rPr>
                <w:sz w:val="22"/>
                <w:szCs w:val="22"/>
              </w:rPr>
              <w:t xml:space="preserve">8.5 </w:t>
            </w:r>
          </w:p>
        </w:tc>
      </w:tr>
      <w:tr w:rsidR="00F727A9" w:rsidRPr="00761E38" w:rsidTr="002B6477">
        <w:tblPrEx>
          <w:tblCellMar>
            <w:top w:w="0" w:type="dxa"/>
            <w:bottom w:w="0" w:type="dxa"/>
          </w:tblCellMar>
        </w:tblPrEx>
        <w:trPr>
          <w:trHeight w:val="179"/>
        </w:trPr>
        <w:tc>
          <w:tcPr>
            <w:tcW w:w="1701" w:type="dxa"/>
          </w:tcPr>
          <w:p w:rsidR="00F727A9" w:rsidRPr="00761E38" w:rsidRDefault="00F727A9" w:rsidP="002B6477">
            <w:pPr>
              <w:pStyle w:val="Default"/>
              <w:rPr>
                <w:sz w:val="22"/>
                <w:szCs w:val="22"/>
              </w:rPr>
            </w:pPr>
            <w:r w:rsidRPr="00761E38">
              <w:rPr>
                <w:sz w:val="22"/>
                <w:szCs w:val="22"/>
              </w:rPr>
              <w:t xml:space="preserve">Community Partner Protocol </w:t>
            </w:r>
          </w:p>
        </w:tc>
        <w:tc>
          <w:tcPr>
            <w:tcW w:w="1701" w:type="dxa"/>
          </w:tcPr>
          <w:p w:rsidR="00F727A9" w:rsidRPr="00761E38" w:rsidRDefault="00F727A9" w:rsidP="002B6477">
            <w:pPr>
              <w:pStyle w:val="Default"/>
              <w:rPr>
                <w:sz w:val="22"/>
                <w:szCs w:val="22"/>
              </w:rPr>
            </w:pPr>
            <w:r w:rsidRPr="00761E38">
              <w:rPr>
                <w:sz w:val="22"/>
                <w:szCs w:val="22"/>
              </w:rPr>
              <w:t xml:space="preserve">34 </w:t>
            </w:r>
          </w:p>
        </w:tc>
        <w:tc>
          <w:tcPr>
            <w:tcW w:w="1701" w:type="dxa"/>
          </w:tcPr>
          <w:p w:rsidR="00F727A9" w:rsidRPr="00761E38" w:rsidRDefault="00F727A9" w:rsidP="002B6477">
            <w:pPr>
              <w:pStyle w:val="Default"/>
              <w:rPr>
                <w:sz w:val="22"/>
                <w:szCs w:val="22"/>
              </w:rPr>
            </w:pPr>
            <w:r w:rsidRPr="00761E38">
              <w:rPr>
                <w:sz w:val="22"/>
                <w:szCs w:val="22"/>
              </w:rPr>
              <w:t xml:space="preserve">1 </w:t>
            </w:r>
          </w:p>
        </w:tc>
        <w:tc>
          <w:tcPr>
            <w:tcW w:w="1701" w:type="dxa"/>
          </w:tcPr>
          <w:p w:rsidR="00F727A9" w:rsidRPr="00761E38" w:rsidRDefault="00F727A9" w:rsidP="002B6477">
            <w:pPr>
              <w:pStyle w:val="Default"/>
              <w:rPr>
                <w:sz w:val="22"/>
                <w:szCs w:val="22"/>
              </w:rPr>
            </w:pPr>
            <w:r w:rsidRPr="00761E38">
              <w:rPr>
                <w:sz w:val="22"/>
                <w:szCs w:val="22"/>
              </w:rPr>
              <w:t xml:space="preserve">.25 </w:t>
            </w:r>
          </w:p>
        </w:tc>
        <w:tc>
          <w:tcPr>
            <w:tcW w:w="1701" w:type="dxa"/>
          </w:tcPr>
          <w:p w:rsidR="00F727A9" w:rsidRPr="00761E38" w:rsidRDefault="00F727A9" w:rsidP="002B6477">
            <w:pPr>
              <w:pStyle w:val="Default"/>
              <w:rPr>
                <w:sz w:val="22"/>
                <w:szCs w:val="22"/>
              </w:rPr>
            </w:pPr>
            <w:r w:rsidRPr="00761E38">
              <w:rPr>
                <w:sz w:val="22"/>
                <w:szCs w:val="22"/>
              </w:rPr>
              <w:t xml:space="preserve">8.5 </w:t>
            </w:r>
          </w:p>
        </w:tc>
      </w:tr>
      <w:tr w:rsidR="00F727A9" w:rsidRPr="00761E38" w:rsidTr="002B6477">
        <w:tblPrEx>
          <w:tblCellMar>
            <w:top w:w="0" w:type="dxa"/>
            <w:bottom w:w="0" w:type="dxa"/>
          </w:tblCellMar>
        </w:tblPrEx>
        <w:trPr>
          <w:trHeight w:val="179"/>
        </w:trPr>
        <w:tc>
          <w:tcPr>
            <w:tcW w:w="1701" w:type="dxa"/>
          </w:tcPr>
          <w:p w:rsidR="00F727A9" w:rsidRPr="00761E38" w:rsidRDefault="00F727A9" w:rsidP="002B6477">
            <w:pPr>
              <w:pStyle w:val="Default"/>
              <w:rPr>
                <w:sz w:val="22"/>
                <w:szCs w:val="22"/>
              </w:rPr>
            </w:pPr>
            <w:r w:rsidRPr="00761E38">
              <w:rPr>
                <w:sz w:val="22"/>
                <w:szCs w:val="22"/>
              </w:rPr>
              <w:t xml:space="preserve">Evaluator Protocol </w:t>
            </w:r>
          </w:p>
        </w:tc>
        <w:tc>
          <w:tcPr>
            <w:tcW w:w="1701" w:type="dxa"/>
          </w:tcPr>
          <w:p w:rsidR="00F727A9" w:rsidRPr="00761E38" w:rsidRDefault="00F727A9" w:rsidP="002B6477">
            <w:pPr>
              <w:pStyle w:val="Default"/>
              <w:rPr>
                <w:sz w:val="22"/>
                <w:szCs w:val="22"/>
              </w:rPr>
            </w:pPr>
            <w:r w:rsidRPr="00761E38">
              <w:rPr>
                <w:sz w:val="22"/>
                <w:szCs w:val="22"/>
              </w:rPr>
              <w:t xml:space="preserve">51 </w:t>
            </w:r>
          </w:p>
        </w:tc>
        <w:tc>
          <w:tcPr>
            <w:tcW w:w="1701" w:type="dxa"/>
          </w:tcPr>
          <w:p w:rsidR="00F727A9" w:rsidRPr="00761E38" w:rsidRDefault="00F727A9" w:rsidP="002B6477">
            <w:pPr>
              <w:pStyle w:val="Default"/>
              <w:rPr>
                <w:sz w:val="22"/>
                <w:szCs w:val="22"/>
              </w:rPr>
            </w:pPr>
            <w:r w:rsidRPr="00761E38">
              <w:rPr>
                <w:sz w:val="22"/>
                <w:szCs w:val="22"/>
              </w:rPr>
              <w:t xml:space="preserve">1 </w:t>
            </w:r>
          </w:p>
        </w:tc>
        <w:tc>
          <w:tcPr>
            <w:tcW w:w="1701" w:type="dxa"/>
          </w:tcPr>
          <w:p w:rsidR="00F727A9" w:rsidRPr="00761E38" w:rsidRDefault="00F727A9" w:rsidP="002B6477">
            <w:pPr>
              <w:pStyle w:val="Default"/>
              <w:rPr>
                <w:sz w:val="22"/>
                <w:szCs w:val="22"/>
              </w:rPr>
            </w:pPr>
            <w:r w:rsidRPr="00761E38">
              <w:rPr>
                <w:sz w:val="22"/>
                <w:szCs w:val="22"/>
              </w:rPr>
              <w:t xml:space="preserve">.75 </w:t>
            </w:r>
          </w:p>
        </w:tc>
        <w:tc>
          <w:tcPr>
            <w:tcW w:w="1701" w:type="dxa"/>
          </w:tcPr>
          <w:p w:rsidR="00F727A9" w:rsidRPr="00761E38" w:rsidRDefault="00F727A9" w:rsidP="002B6477">
            <w:pPr>
              <w:pStyle w:val="Default"/>
              <w:rPr>
                <w:sz w:val="22"/>
                <w:szCs w:val="22"/>
              </w:rPr>
            </w:pPr>
            <w:r w:rsidRPr="00761E38">
              <w:rPr>
                <w:sz w:val="22"/>
                <w:szCs w:val="22"/>
              </w:rPr>
              <w:t xml:space="preserve">38.25 </w:t>
            </w:r>
          </w:p>
        </w:tc>
      </w:tr>
    </w:tbl>
    <w:p w:rsidR="00F727A9" w:rsidRDefault="00F727A9" w:rsidP="00F727A9">
      <w:pPr>
        <w:widowControl/>
        <w:rPr>
          <w:rFonts w:cs="Courier New"/>
          <w:snapToGrid/>
          <w:sz w:val="22"/>
          <w:szCs w:val="22"/>
        </w:rPr>
      </w:pPr>
      <w:proofErr w:type="gramStart"/>
      <w:r w:rsidRPr="00761E38">
        <w:rPr>
          <w:rFonts w:cs="Courier New"/>
          <w:snapToGrid/>
          <w:sz w:val="22"/>
          <w:szCs w:val="22"/>
        </w:rPr>
        <w:t>Total burden hours is</w:t>
      </w:r>
      <w:proofErr w:type="gramEnd"/>
      <w:r w:rsidRPr="00761E38">
        <w:rPr>
          <w:rFonts w:cs="Courier New"/>
          <w:snapToGrid/>
          <w:sz w:val="22"/>
          <w:szCs w:val="22"/>
        </w:rPr>
        <w:t xml:space="preserve"> 191 hours.</w:t>
      </w:r>
    </w:p>
    <w:p w:rsidR="00F727A9" w:rsidRPr="00761E38" w:rsidRDefault="00F727A9" w:rsidP="00F727A9">
      <w:pPr>
        <w:widowControl/>
        <w:rPr>
          <w:rFonts w:cs="Courier New"/>
          <w:snapToGrid/>
          <w:sz w:val="22"/>
          <w:szCs w:val="22"/>
        </w:rPr>
      </w:pPr>
    </w:p>
    <w:p w:rsidR="00F727A9" w:rsidRPr="00EE5DE8" w:rsidRDefault="00F727A9" w:rsidP="00F727A9">
      <w:pPr>
        <w:widowControl/>
        <w:numPr>
          <w:ilvl w:val="0"/>
          <w:numId w:val="1"/>
        </w:numPr>
        <w:tabs>
          <w:tab w:val="clear" w:pos="720"/>
        </w:tabs>
        <w:ind w:hanging="720"/>
        <w:rPr>
          <w:rFonts w:cs="Courier New"/>
          <w:b/>
          <w:snapToGrid/>
          <w:sz w:val="22"/>
          <w:szCs w:val="22"/>
        </w:rPr>
      </w:pPr>
      <w:r w:rsidRPr="00EE5DE8">
        <w:rPr>
          <w:rFonts w:cs="Courier New"/>
          <w:b/>
          <w:snapToGrid/>
          <w:sz w:val="22"/>
          <w:szCs w:val="22"/>
        </w:rPr>
        <w:lastRenderedPageBreak/>
        <w:t>Estimates of Other Total Annual</w:t>
      </w:r>
      <w:r>
        <w:rPr>
          <w:rFonts w:cs="Courier New"/>
          <w:b/>
          <w:snapToGrid/>
          <w:sz w:val="22"/>
          <w:szCs w:val="22"/>
        </w:rPr>
        <w:t xml:space="preserve"> Cost Burden to Respondents and </w:t>
      </w:r>
      <w:r w:rsidRPr="00EE5DE8">
        <w:rPr>
          <w:rFonts w:cs="Courier New"/>
          <w:b/>
          <w:snapToGrid/>
          <w:sz w:val="22"/>
          <w:szCs w:val="22"/>
        </w:rPr>
        <w:t xml:space="preserve">Record Keepers </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r w:rsidRPr="00761E38">
        <w:rPr>
          <w:rFonts w:cs="Courier New"/>
          <w:snapToGrid/>
          <w:color w:val="000000"/>
          <w:sz w:val="22"/>
          <w:szCs w:val="22"/>
        </w:rPr>
        <w:t>There are no additional costs resulting from the collection of this information.</w:t>
      </w:r>
    </w:p>
    <w:p w:rsidR="00F727A9" w:rsidRPr="00EE5DE8" w:rsidRDefault="00F727A9" w:rsidP="00F727A9">
      <w:pPr>
        <w:widowControl/>
        <w:rPr>
          <w:rFonts w:cs="Courier New"/>
          <w:b/>
          <w:snapToGrid/>
          <w:color w:val="000000"/>
          <w:sz w:val="22"/>
          <w:szCs w:val="22"/>
        </w:rPr>
      </w:pPr>
    </w:p>
    <w:p w:rsidR="00F727A9"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Annualized Cost to the Federal Government </w:t>
      </w:r>
    </w:p>
    <w:p w:rsidR="00F727A9" w:rsidRPr="00EE5DE8" w:rsidRDefault="00F727A9" w:rsidP="00F727A9">
      <w:pPr>
        <w:widowControl/>
        <w:rPr>
          <w:rFonts w:cs="Courier New"/>
          <w:b/>
          <w:snapToGrid/>
          <w:sz w:val="22"/>
          <w:szCs w:val="22"/>
        </w:rPr>
      </w:pPr>
    </w:p>
    <w:p w:rsidR="00F727A9" w:rsidRDefault="00F727A9" w:rsidP="00F727A9">
      <w:pPr>
        <w:widowControl/>
        <w:rPr>
          <w:rFonts w:cs="Courier New"/>
          <w:snapToGrid/>
          <w:color w:val="000000"/>
          <w:sz w:val="22"/>
          <w:szCs w:val="22"/>
        </w:rPr>
      </w:pPr>
      <w:r w:rsidRPr="00761E38">
        <w:rPr>
          <w:rFonts w:cs="Courier New"/>
          <w:snapToGrid/>
          <w:color w:val="000000"/>
          <w:sz w:val="22"/>
          <w:szCs w:val="22"/>
        </w:rPr>
        <w:t>The evaluation contractor’s annual costs to conduct this activity are estimated at $105,000. This includes survey development and administration (communication with grantee organizations, survey dissemination and collection, data analysis). Evaluation contractor costs consist primarily of labor hours, with the number of hours for each staff member multiplied by hourly rates.</w:t>
      </w:r>
    </w:p>
    <w:p w:rsidR="00F727A9" w:rsidRPr="005F09F9" w:rsidRDefault="00F727A9" w:rsidP="00F727A9">
      <w:pPr>
        <w:widowControl/>
        <w:rPr>
          <w:rFonts w:cs="Courier New"/>
          <w:snapToGrid/>
          <w:color w:val="000000"/>
          <w:sz w:val="22"/>
          <w:szCs w:val="22"/>
        </w:rPr>
      </w:pPr>
    </w:p>
    <w:p w:rsidR="00F727A9" w:rsidRPr="005F09F9" w:rsidRDefault="00F727A9" w:rsidP="00F727A9">
      <w:pPr>
        <w:rPr>
          <w:rFonts w:cs="Courier New"/>
          <w:sz w:val="22"/>
          <w:szCs w:val="22"/>
        </w:rPr>
      </w:pPr>
      <w:r w:rsidRPr="005F09F9">
        <w:rPr>
          <w:rFonts w:cs="Courier New"/>
          <w:sz w:val="22"/>
          <w:szCs w:val="22"/>
        </w:rPr>
        <w:t>Survey costs can be broken down into four key categories:</w:t>
      </w:r>
    </w:p>
    <w:p w:rsidR="00F727A9" w:rsidRPr="005F09F9" w:rsidRDefault="00F727A9" w:rsidP="00F727A9">
      <w:pPr>
        <w:pStyle w:val="ListParagraph"/>
        <w:numPr>
          <w:ilvl w:val="0"/>
          <w:numId w:val="3"/>
        </w:numPr>
        <w:spacing w:after="0" w:line="240" w:lineRule="auto"/>
        <w:rPr>
          <w:rFonts w:ascii="Courier New" w:hAnsi="Courier New" w:cs="Courier New"/>
        </w:rPr>
      </w:pPr>
      <w:r w:rsidRPr="005F09F9">
        <w:rPr>
          <w:rFonts w:ascii="Courier New" w:hAnsi="Courier New" w:cs="Courier New"/>
        </w:rPr>
        <w:t>Survey Development – $11,500</w:t>
      </w:r>
    </w:p>
    <w:p w:rsidR="00F727A9" w:rsidRPr="005F09F9" w:rsidRDefault="00F727A9" w:rsidP="00F727A9">
      <w:pPr>
        <w:pStyle w:val="ListParagraph"/>
        <w:numPr>
          <w:ilvl w:val="0"/>
          <w:numId w:val="3"/>
        </w:numPr>
        <w:spacing w:after="0" w:line="240" w:lineRule="auto"/>
        <w:rPr>
          <w:rFonts w:ascii="Courier New" w:hAnsi="Courier New" w:cs="Courier New"/>
        </w:rPr>
      </w:pPr>
      <w:r w:rsidRPr="005F09F9">
        <w:rPr>
          <w:rFonts w:ascii="Courier New" w:hAnsi="Courier New" w:cs="Courier New"/>
        </w:rPr>
        <w:t>Survey Administration – $38,900</w:t>
      </w:r>
    </w:p>
    <w:p w:rsidR="00F727A9" w:rsidRPr="005F09F9" w:rsidRDefault="00F727A9" w:rsidP="00F727A9">
      <w:pPr>
        <w:pStyle w:val="ListParagraph"/>
        <w:numPr>
          <w:ilvl w:val="0"/>
          <w:numId w:val="3"/>
        </w:numPr>
        <w:spacing w:after="0" w:line="240" w:lineRule="auto"/>
        <w:rPr>
          <w:rFonts w:ascii="Courier New" w:hAnsi="Courier New" w:cs="Courier New"/>
        </w:rPr>
      </w:pPr>
      <w:r w:rsidRPr="005F09F9">
        <w:rPr>
          <w:rFonts w:ascii="Courier New" w:hAnsi="Courier New" w:cs="Courier New"/>
        </w:rPr>
        <w:t>IRB and OMB Package Submission – $4500</w:t>
      </w:r>
    </w:p>
    <w:p w:rsidR="00F727A9" w:rsidRPr="005F09F9" w:rsidRDefault="00F727A9" w:rsidP="00F727A9">
      <w:pPr>
        <w:pStyle w:val="ListParagraph"/>
        <w:numPr>
          <w:ilvl w:val="0"/>
          <w:numId w:val="3"/>
        </w:numPr>
        <w:spacing w:after="0" w:line="240" w:lineRule="auto"/>
        <w:rPr>
          <w:rFonts w:ascii="Courier New" w:hAnsi="Courier New" w:cs="Courier New"/>
        </w:rPr>
      </w:pPr>
      <w:r w:rsidRPr="005F09F9">
        <w:rPr>
          <w:rFonts w:ascii="Courier New" w:hAnsi="Courier New" w:cs="Courier New"/>
        </w:rPr>
        <w:t>Data Analysis and Reporting – $50,100</w:t>
      </w:r>
    </w:p>
    <w:p w:rsidR="00F727A9" w:rsidRPr="005F09F9" w:rsidRDefault="00F727A9" w:rsidP="00F727A9">
      <w:pPr>
        <w:rPr>
          <w:rFonts w:cs="Courier New"/>
          <w:sz w:val="22"/>
          <w:szCs w:val="22"/>
        </w:rPr>
      </w:pPr>
    </w:p>
    <w:p w:rsidR="00F727A9" w:rsidRPr="005F09F9" w:rsidRDefault="00F727A9" w:rsidP="00F727A9">
      <w:pPr>
        <w:rPr>
          <w:rFonts w:cs="Courier New"/>
          <w:sz w:val="22"/>
          <w:szCs w:val="22"/>
        </w:rPr>
      </w:pPr>
      <w:r w:rsidRPr="005F09F9">
        <w:rPr>
          <w:rFonts w:cs="Courier New"/>
          <w:b/>
          <w:sz w:val="22"/>
          <w:szCs w:val="22"/>
        </w:rPr>
        <w:t>Survey development</w:t>
      </w:r>
      <w:r w:rsidRPr="005F09F9">
        <w:rPr>
          <w:rFonts w:cs="Courier New"/>
          <w:sz w:val="22"/>
          <w:szCs w:val="22"/>
        </w:rPr>
        <w:t xml:space="preserve"> includes: Developing five surveys; coordinating survey review by grantee representatives; survey revisions; and survey formatting for paper surveys.</w:t>
      </w:r>
      <w:r>
        <w:rPr>
          <w:rFonts w:cs="Courier New"/>
          <w:sz w:val="22"/>
          <w:szCs w:val="22"/>
        </w:rPr>
        <w:t xml:space="preserve"> </w:t>
      </w:r>
      <w:r w:rsidRPr="005F09F9">
        <w:rPr>
          <w:rFonts w:cs="Courier New"/>
          <w:b/>
          <w:sz w:val="22"/>
          <w:szCs w:val="22"/>
        </w:rPr>
        <w:t>Survey administration</w:t>
      </w:r>
      <w:r w:rsidRPr="005F09F9">
        <w:rPr>
          <w:rFonts w:cs="Courier New"/>
          <w:sz w:val="22"/>
          <w:szCs w:val="22"/>
        </w:rPr>
        <w:t xml:space="preserve"> includes: Developing survey respondent e-mail list; grantee communications; </w:t>
      </w:r>
      <w:proofErr w:type="spellStart"/>
      <w:r w:rsidRPr="005F09F9">
        <w:rPr>
          <w:rFonts w:cs="Courier New"/>
          <w:sz w:val="22"/>
          <w:szCs w:val="22"/>
        </w:rPr>
        <w:t>Qualtrics</w:t>
      </w:r>
      <w:proofErr w:type="spellEnd"/>
      <w:r w:rsidRPr="005F09F9">
        <w:rPr>
          <w:rFonts w:cs="Courier New"/>
          <w:sz w:val="22"/>
          <w:szCs w:val="22"/>
        </w:rPr>
        <w:t xml:space="preserve"> programming, review, testing, and revisions; initial dissemination and reminders.</w:t>
      </w:r>
      <w:r>
        <w:rPr>
          <w:rFonts w:cs="Courier New"/>
          <w:sz w:val="22"/>
          <w:szCs w:val="22"/>
        </w:rPr>
        <w:t xml:space="preserve"> </w:t>
      </w:r>
      <w:r w:rsidRPr="005F09F9">
        <w:rPr>
          <w:rFonts w:cs="Courier New"/>
          <w:b/>
          <w:sz w:val="22"/>
          <w:szCs w:val="22"/>
        </w:rPr>
        <w:t>IRB and OMB package submission</w:t>
      </w:r>
      <w:r w:rsidRPr="005F09F9">
        <w:rPr>
          <w:rFonts w:cs="Courier New"/>
          <w:sz w:val="22"/>
          <w:szCs w:val="22"/>
        </w:rPr>
        <w:t xml:space="preserve"> includes: Developing IRB exemption determination submission form and supporting documents; and developing 60-day and 30-day OMB packages.</w:t>
      </w:r>
      <w:r>
        <w:rPr>
          <w:rFonts w:cs="Courier New"/>
          <w:sz w:val="22"/>
          <w:szCs w:val="22"/>
        </w:rPr>
        <w:t xml:space="preserve"> </w:t>
      </w:r>
      <w:r w:rsidRPr="005F09F9">
        <w:rPr>
          <w:rFonts w:cs="Courier New"/>
          <w:b/>
          <w:sz w:val="22"/>
          <w:szCs w:val="22"/>
        </w:rPr>
        <w:t xml:space="preserve">Data analysis and reporting </w:t>
      </w:r>
      <w:r w:rsidRPr="005F09F9">
        <w:rPr>
          <w:rFonts w:cs="Courier New"/>
          <w:sz w:val="22"/>
          <w:szCs w:val="22"/>
        </w:rPr>
        <w:t>includes: Developing plans for quantitative and qualitative analysis; data cleaning; actual quantitative and qualitative analysis; report drafts; report review by internal and external audiences; and report revisions.</w:t>
      </w:r>
    </w:p>
    <w:p w:rsidR="00F727A9" w:rsidRPr="005F09F9" w:rsidRDefault="00F727A9" w:rsidP="00F727A9">
      <w:pPr>
        <w:widowControl/>
        <w:rPr>
          <w:rFonts w:cs="Courier New"/>
          <w:snapToGrid/>
          <w:color w:val="000000"/>
          <w:sz w:val="22"/>
          <w:szCs w:val="22"/>
        </w:rPr>
      </w:pPr>
    </w:p>
    <w:p w:rsidR="00F727A9" w:rsidRPr="005F09F9" w:rsidRDefault="00F727A9" w:rsidP="00F727A9">
      <w:pPr>
        <w:rPr>
          <w:rFonts w:cs="Courier New"/>
          <w:sz w:val="22"/>
          <w:szCs w:val="22"/>
        </w:rPr>
      </w:pPr>
      <w:r w:rsidRPr="005F09F9">
        <w:rPr>
          <w:rFonts w:cs="Courier New"/>
          <w:sz w:val="22"/>
          <w:szCs w:val="22"/>
        </w:rPr>
        <w:t>Please note that the contractor has expended funds in regard to survey development, IRB and OMB package submission, and selected tasks in survey administration and data analysis and reporting.</w:t>
      </w:r>
    </w:p>
    <w:p w:rsidR="00F727A9" w:rsidRPr="005F09F9" w:rsidRDefault="00F727A9" w:rsidP="00F727A9">
      <w:pPr>
        <w:widowControl/>
        <w:rPr>
          <w:rFonts w:cs="Courier New"/>
          <w:snapToGrid/>
          <w:color w:val="000000"/>
          <w:sz w:val="22"/>
          <w:szCs w:val="22"/>
        </w:rPr>
      </w:pPr>
    </w:p>
    <w:p w:rsidR="00F727A9" w:rsidRPr="00EE5DE8"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Explanation for Program Changes or Adjustments </w:t>
      </w:r>
    </w:p>
    <w:p w:rsidR="00F727A9" w:rsidRPr="00EE5DE8" w:rsidRDefault="00F727A9" w:rsidP="00F727A9">
      <w:pPr>
        <w:widowControl/>
        <w:rPr>
          <w:rFonts w:cs="Courier New"/>
          <w:b/>
          <w:snapToGrid/>
          <w:color w:val="000000"/>
          <w:sz w:val="22"/>
          <w:szCs w:val="22"/>
        </w:rPr>
      </w:pPr>
    </w:p>
    <w:p w:rsidR="00F727A9" w:rsidRPr="00761E38" w:rsidRDefault="00F727A9" w:rsidP="00F727A9">
      <w:pPr>
        <w:widowControl/>
        <w:rPr>
          <w:rFonts w:cs="Courier New"/>
          <w:snapToGrid/>
          <w:color w:val="000000"/>
          <w:sz w:val="22"/>
          <w:szCs w:val="22"/>
        </w:rPr>
      </w:pPr>
      <w:r w:rsidRPr="00761E38">
        <w:rPr>
          <w:rFonts w:cs="Courier New"/>
          <w:snapToGrid/>
          <w:color w:val="000000"/>
          <w:sz w:val="22"/>
          <w:szCs w:val="22"/>
        </w:rPr>
        <w:t>This is a new project.</w:t>
      </w:r>
    </w:p>
    <w:p w:rsidR="00F727A9" w:rsidRPr="00EE5DE8" w:rsidRDefault="00F727A9" w:rsidP="00F727A9">
      <w:pPr>
        <w:widowControl/>
        <w:ind w:left="720"/>
        <w:rPr>
          <w:rFonts w:cs="Courier New"/>
          <w:b/>
          <w:snapToGrid/>
          <w:sz w:val="22"/>
          <w:szCs w:val="22"/>
        </w:rPr>
      </w:pPr>
    </w:p>
    <w:p w:rsidR="00F727A9" w:rsidRPr="00EE5DE8" w:rsidRDefault="00F727A9" w:rsidP="00F727A9">
      <w:pPr>
        <w:widowControl/>
        <w:numPr>
          <w:ilvl w:val="0"/>
          <w:numId w:val="1"/>
        </w:numPr>
        <w:tabs>
          <w:tab w:val="clear" w:pos="720"/>
        </w:tabs>
        <w:ind w:left="360"/>
        <w:rPr>
          <w:rFonts w:cs="Courier New"/>
          <w:b/>
          <w:snapToGrid/>
          <w:sz w:val="22"/>
          <w:szCs w:val="22"/>
        </w:rPr>
      </w:pPr>
      <w:r w:rsidRPr="00EE5DE8">
        <w:rPr>
          <w:rFonts w:cs="Courier New"/>
          <w:b/>
          <w:snapToGrid/>
          <w:sz w:val="22"/>
          <w:szCs w:val="22"/>
        </w:rPr>
        <w:t xml:space="preserve">Plans for Tabulation and Publication and Project Time Schedule </w:t>
      </w:r>
    </w:p>
    <w:p w:rsidR="00F727A9" w:rsidRPr="005F09F9" w:rsidRDefault="00F727A9" w:rsidP="00F727A9">
      <w:pPr>
        <w:widowControl/>
        <w:rPr>
          <w:rFonts w:cs="Courier New"/>
          <w:snapToGrid/>
          <w:color w:val="000000"/>
          <w:sz w:val="22"/>
          <w:szCs w:val="22"/>
        </w:rPr>
      </w:pPr>
    </w:p>
    <w:p w:rsidR="00F727A9" w:rsidRPr="005F09F9" w:rsidRDefault="00F727A9" w:rsidP="00F727A9">
      <w:pPr>
        <w:widowControl/>
        <w:rPr>
          <w:rFonts w:cs="Courier New"/>
          <w:snapToGrid/>
          <w:color w:val="000000"/>
          <w:sz w:val="22"/>
          <w:szCs w:val="22"/>
        </w:rPr>
      </w:pPr>
      <w:r w:rsidRPr="005F09F9">
        <w:rPr>
          <w:rFonts w:cs="Courier New"/>
          <w:snapToGrid/>
          <w:color w:val="000000"/>
          <w:sz w:val="22"/>
          <w:szCs w:val="22"/>
        </w:rPr>
        <w:t xml:space="preserve">The Cross-Site Evaluation Report, based partially on the results of this survey, will be delivered to the Children’s Bureau, and shared with 2012-funded grantees described in the report. As a means of disseminating the knowledge developed in these grant projects, the report may be posted in the fall of 2015 on websites of the Children’s Bureau and its services and on those of grantees included in the report. </w:t>
      </w:r>
    </w:p>
    <w:p w:rsidR="00F727A9" w:rsidRPr="005F09F9" w:rsidRDefault="00F727A9" w:rsidP="00F727A9">
      <w:pPr>
        <w:widowControl/>
        <w:rPr>
          <w:rFonts w:cs="Courier New"/>
          <w:snapToGrid/>
          <w:color w:val="000000"/>
          <w:sz w:val="22"/>
          <w:szCs w:val="22"/>
        </w:rPr>
      </w:pPr>
    </w:p>
    <w:p w:rsidR="00F727A9" w:rsidRPr="005F09F9" w:rsidRDefault="00F727A9" w:rsidP="00F727A9">
      <w:pPr>
        <w:widowControl/>
        <w:rPr>
          <w:rFonts w:cs="Courier New"/>
          <w:snapToGrid/>
          <w:color w:val="000000"/>
          <w:sz w:val="22"/>
          <w:szCs w:val="22"/>
        </w:rPr>
      </w:pPr>
      <w:r w:rsidRPr="005F09F9">
        <w:rPr>
          <w:rFonts w:cs="Courier New"/>
          <w:snapToGrid/>
          <w:color w:val="000000"/>
          <w:sz w:val="22"/>
          <w:szCs w:val="22"/>
        </w:rPr>
        <w:t xml:space="preserve">The timeline for this project is September 30, 2014 through September 29, 2015. Specific project activities were originally projected to take place during the following times: </w:t>
      </w:r>
    </w:p>
    <w:p w:rsidR="00F727A9" w:rsidRPr="005F09F9" w:rsidRDefault="00F727A9" w:rsidP="00F727A9">
      <w:pPr>
        <w:widowControl/>
        <w:numPr>
          <w:ilvl w:val="0"/>
          <w:numId w:val="2"/>
        </w:numPr>
        <w:rPr>
          <w:rFonts w:cs="Courier New"/>
          <w:snapToGrid/>
          <w:color w:val="000000"/>
          <w:sz w:val="22"/>
          <w:szCs w:val="22"/>
        </w:rPr>
      </w:pPr>
      <w:r w:rsidRPr="005F09F9">
        <w:rPr>
          <w:rFonts w:cs="Courier New"/>
          <w:snapToGrid/>
          <w:color w:val="000000"/>
          <w:sz w:val="22"/>
          <w:szCs w:val="22"/>
        </w:rPr>
        <w:t xml:space="preserve">September 30, 2014 to March 31, 2015: Planning for data collection. This includes developing data collection instruments, developing the list of survey respondents, and developing processes to administer data collection instruments. This also includes time to prepare OMB submissions and obtain approval. </w:t>
      </w:r>
    </w:p>
    <w:p w:rsidR="00F727A9" w:rsidRPr="005F09F9" w:rsidRDefault="00F727A9" w:rsidP="00F727A9">
      <w:pPr>
        <w:widowControl/>
        <w:numPr>
          <w:ilvl w:val="0"/>
          <w:numId w:val="2"/>
        </w:numPr>
        <w:rPr>
          <w:rFonts w:cs="Courier New"/>
          <w:snapToGrid/>
          <w:color w:val="000000"/>
          <w:sz w:val="22"/>
          <w:szCs w:val="22"/>
        </w:rPr>
      </w:pPr>
      <w:r w:rsidRPr="005F09F9">
        <w:rPr>
          <w:rFonts w:cs="Courier New"/>
          <w:snapToGrid/>
          <w:color w:val="000000"/>
          <w:sz w:val="22"/>
          <w:szCs w:val="22"/>
        </w:rPr>
        <w:t xml:space="preserve">April 1, 2015 to May 31, 2015: Data collection, including initial survey dissemination and two reminders. </w:t>
      </w:r>
    </w:p>
    <w:p w:rsidR="00F727A9" w:rsidRPr="005F09F9" w:rsidRDefault="00F727A9" w:rsidP="00F727A9">
      <w:pPr>
        <w:widowControl/>
        <w:numPr>
          <w:ilvl w:val="0"/>
          <w:numId w:val="2"/>
        </w:numPr>
        <w:rPr>
          <w:rFonts w:cs="Courier New"/>
          <w:snapToGrid/>
          <w:color w:val="000000"/>
          <w:sz w:val="22"/>
          <w:szCs w:val="22"/>
        </w:rPr>
      </w:pPr>
      <w:r w:rsidRPr="005F09F9">
        <w:rPr>
          <w:rFonts w:cs="Courier New"/>
          <w:snapToGrid/>
          <w:color w:val="000000"/>
          <w:sz w:val="22"/>
          <w:szCs w:val="22"/>
        </w:rPr>
        <w:t xml:space="preserve">June 1–30, 2015: Data analysis, per plans detailed below. </w:t>
      </w:r>
    </w:p>
    <w:p w:rsidR="00F727A9" w:rsidRPr="005F09F9" w:rsidRDefault="00F727A9" w:rsidP="00F727A9">
      <w:pPr>
        <w:widowControl/>
        <w:numPr>
          <w:ilvl w:val="0"/>
          <w:numId w:val="2"/>
        </w:numPr>
        <w:rPr>
          <w:rFonts w:cs="Courier New"/>
          <w:snapToGrid/>
          <w:color w:val="000000"/>
          <w:sz w:val="22"/>
          <w:szCs w:val="22"/>
        </w:rPr>
      </w:pPr>
      <w:r w:rsidRPr="005F09F9">
        <w:rPr>
          <w:rFonts w:cs="Courier New"/>
          <w:snapToGrid/>
          <w:color w:val="000000"/>
          <w:sz w:val="22"/>
          <w:szCs w:val="22"/>
        </w:rPr>
        <w:t xml:space="preserve">July 1-31, 2015: Draft data report. </w:t>
      </w:r>
    </w:p>
    <w:p w:rsidR="00F727A9" w:rsidRPr="005F09F9" w:rsidRDefault="00F727A9" w:rsidP="00F727A9">
      <w:pPr>
        <w:widowControl/>
        <w:numPr>
          <w:ilvl w:val="0"/>
          <w:numId w:val="2"/>
        </w:numPr>
        <w:rPr>
          <w:rFonts w:cs="Courier New"/>
          <w:snapToGrid/>
          <w:color w:val="000000"/>
          <w:sz w:val="22"/>
          <w:szCs w:val="22"/>
        </w:rPr>
      </w:pPr>
      <w:r w:rsidRPr="005F09F9">
        <w:rPr>
          <w:rFonts w:cs="Courier New"/>
          <w:snapToGrid/>
          <w:color w:val="000000"/>
          <w:sz w:val="22"/>
          <w:szCs w:val="22"/>
        </w:rPr>
        <w:t xml:space="preserve">August 1-31, 2015: Report review by Children’s Bureau. </w:t>
      </w:r>
    </w:p>
    <w:p w:rsidR="00F727A9" w:rsidRPr="005F09F9" w:rsidRDefault="00F727A9" w:rsidP="00F727A9">
      <w:pPr>
        <w:widowControl/>
        <w:numPr>
          <w:ilvl w:val="0"/>
          <w:numId w:val="2"/>
        </w:numPr>
        <w:rPr>
          <w:rFonts w:cs="Courier New"/>
          <w:snapToGrid/>
          <w:color w:val="000000"/>
          <w:sz w:val="22"/>
          <w:szCs w:val="22"/>
        </w:rPr>
      </w:pPr>
      <w:r w:rsidRPr="005F09F9">
        <w:rPr>
          <w:rFonts w:cs="Courier New"/>
          <w:snapToGrid/>
          <w:color w:val="000000"/>
          <w:sz w:val="22"/>
          <w:szCs w:val="22"/>
        </w:rPr>
        <w:t xml:space="preserve">September 1-29, 2015: Report revisions/finalizing report. </w:t>
      </w:r>
    </w:p>
    <w:p w:rsidR="00F727A9" w:rsidRPr="005F09F9" w:rsidRDefault="00F727A9" w:rsidP="00F727A9">
      <w:pPr>
        <w:widowControl/>
        <w:rPr>
          <w:rFonts w:cs="Courier New"/>
          <w:snapToGrid/>
          <w:color w:val="000000"/>
          <w:sz w:val="22"/>
          <w:szCs w:val="22"/>
        </w:rPr>
      </w:pPr>
    </w:p>
    <w:p w:rsidR="00F727A9" w:rsidRPr="005F09F9" w:rsidRDefault="00F727A9" w:rsidP="00F727A9">
      <w:pPr>
        <w:rPr>
          <w:rFonts w:cs="Courier New"/>
          <w:sz w:val="22"/>
          <w:szCs w:val="22"/>
        </w:rPr>
      </w:pPr>
      <w:r w:rsidRPr="005F09F9">
        <w:rPr>
          <w:rFonts w:cs="Courier New"/>
          <w:sz w:val="22"/>
          <w:szCs w:val="22"/>
        </w:rPr>
        <w:t>As noted earlier, the Children’s Bureau is exploring the possibility of a no-cost extension so that the contractor may analyze quantitative and qualitative data. Should a no-cost extension be unavailable, the Children’s Bureau and the contractor will prioritize analysis and reporting needs in order to best meet contract requirements and produce a deliverable useful to the Children’s Bureau, grantees, and other audiences. The following is a potential revised timeline based on OMB approval prior to July 1, 2015:</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July 1-31, 2015: Data collection, including initial survey dissemination and two reminders</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August 1-31, 2015: Data cleaning and analysis.</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September 1-15, 2015: Include detailed appendices of survey data in each cluster report with appropriate references.</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September 16-21, 2015: Limited review of survey data by Children’s Bureau.</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 xml:space="preserve">September 22-29, 2015: Report revisions/finalize report. </w:t>
      </w:r>
    </w:p>
    <w:p w:rsidR="00F727A9" w:rsidRPr="005F09F9" w:rsidRDefault="00F727A9" w:rsidP="00F727A9">
      <w:pPr>
        <w:rPr>
          <w:rFonts w:cs="Courier New"/>
          <w:sz w:val="22"/>
          <w:szCs w:val="22"/>
        </w:rPr>
      </w:pPr>
    </w:p>
    <w:p w:rsidR="00F727A9" w:rsidRPr="005F09F9" w:rsidRDefault="00F727A9" w:rsidP="00F727A9">
      <w:pPr>
        <w:rPr>
          <w:rFonts w:cs="Courier New"/>
          <w:sz w:val="22"/>
          <w:szCs w:val="22"/>
        </w:rPr>
      </w:pPr>
      <w:r w:rsidRPr="005F09F9">
        <w:rPr>
          <w:rFonts w:cs="Courier New"/>
          <w:sz w:val="22"/>
          <w:szCs w:val="22"/>
        </w:rPr>
        <w:t>A potential timeline with a three-month, no-cost extension is below:</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 xml:space="preserve">July 1 to August 31, 2015: Data collection, including initial survey dissemination and two reminders. </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 xml:space="preserve">September 1-29, 2015: Data cleaning and analysis. </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October 1-31, 2015: Draft data report. Revisions based on internal review.</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 xml:space="preserve">November 1-15, 2015: Report review by Children’s Bureau. </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November 16-30, 2015: Report revisions</w:t>
      </w:r>
    </w:p>
    <w:p w:rsidR="00F727A9" w:rsidRPr="005F09F9" w:rsidRDefault="00F727A9" w:rsidP="00F727A9">
      <w:pPr>
        <w:widowControl/>
        <w:numPr>
          <w:ilvl w:val="0"/>
          <w:numId w:val="2"/>
        </w:numPr>
        <w:rPr>
          <w:rFonts w:cs="Courier New"/>
          <w:color w:val="000000"/>
          <w:sz w:val="22"/>
          <w:szCs w:val="22"/>
        </w:rPr>
      </w:pPr>
      <w:r w:rsidRPr="005F09F9">
        <w:rPr>
          <w:rFonts w:cs="Courier New"/>
          <w:color w:val="000000"/>
          <w:sz w:val="22"/>
          <w:szCs w:val="22"/>
        </w:rPr>
        <w:t xml:space="preserve">December 1-15, 2015: Finalize and formal report. </w:t>
      </w:r>
    </w:p>
    <w:p w:rsidR="00F727A9" w:rsidRPr="005F09F9" w:rsidRDefault="00F727A9" w:rsidP="00F727A9">
      <w:pPr>
        <w:widowControl/>
        <w:rPr>
          <w:rFonts w:cs="Courier New"/>
          <w:snapToGrid/>
          <w:color w:val="000000"/>
          <w:sz w:val="22"/>
          <w:szCs w:val="22"/>
        </w:rPr>
      </w:pPr>
    </w:p>
    <w:p w:rsidR="00F727A9" w:rsidRPr="00B61298" w:rsidRDefault="00F727A9" w:rsidP="00F727A9">
      <w:pPr>
        <w:widowControl/>
        <w:rPr>
          <w:rFonts w:cs="Courier New"/>
          <w:i/>
          <w:snapToGrid/>
          <w:color w:val="000000"/>
          <w:sz w:val="22"/>
          <w:szCs w:val="22"/>
        </w:rPr>
      </w:pPr>
      <w:r w:rsidRPr="005F09F9">
        <w:rPr>
          <w:rFonts w:cs="Courier New"/>
          <w:snapToGrid/>
          <w:color w:val="000000"/>
          <w:sz w:val="22"/>
          <w:szCs w:val="22"/>
        </w:rPr>
        <w:t xml:space="preserve">Data collection consists of a one-time distribution of multiple versions of a survey to up to 351 respondents from 17 grantee organizations. The grantee organizations have been funded as demonstration sites to develop and implement three types of child welfare projects, with seven grantees operating Family-finding and Family Group Decision-Making projects, five grantees operating Kinship </w:t>
      </w:r>
      <w:r w:rsidRPr="005F09F9">
        <w:rPr>
          <w:rFonts w:cs="Courier New"/>
          <w:snapToGrid/>
          <w:color w:val="000000"/>
          <w:sz w:val="22"/>
          <w:szCs w:val="22"/>
        </w:rPr>
        <w:lastRenderedPageBreak/>
        <w:t xml:space="preserve">Navigator-TANF projects, and five grantees operating Residential Family Treatment projects. Survey respondents are a cross-section of project leaders, service providers, local evaluators, and public child welfare and community partners. Surveys have been developed for each of the five respondent groups. While there are many questions in common across surveys, each survey has been customized to ask appropriate questions of most importance from each of these key groups. </w:t>
      </w:r>
      <w:proofErr w:type="gramStart"/>
      <w:r w:rsidRPr="00B61298">
        <w:rPr>
          <w:rFonts w:cs="Courier New"/>
          <w:i/>
          <w:snapToGrid/>
          <w:color w:val="000000"/>
          <w:sz w:val="22"/>
          <w:szCs w:val="22"/>
        </w:rPr>
        <w:t>(See APPENDIX II - SURVEYS)</w:t>
      </w:r>
      <w:r>
        <w:rPr>
          <w:rFonts w:cs="Courier New"/>
          <w:i/>
          <w:snapToGrid/>
          <w:color w:val="000000"/>
          <w:sz w:val="22"/>
          <w:szCs w:val="22"/>
        </w:rPr>
        <w:t>.</w:t>
      </w:r>
      <w:proofErr w:type="gramEnd"/>
      <w:r w:rsidRPr="00B61298">
        <w:rPr>
          <w:rFonts w:cs="Courier New"/>
          <w:i/>
          <w:snapToGrid/>
          <w:color w:val="000000"/>
          <w:sz w:val="22"/>
          <w:szCs w:val="22"/>
        </w:rPr>
        <w:t xml:space="preserve"> </w:t>
      </w:r>
    </w:p>
    <w:p w:rsidR="00F727A9" w:rsidRPr="005F09F9" w:rsidRDefault="00F727A9" w:rsidP="00F727A9">
      <w:pPr>
        <w:widowControl/>
        <w:rPr>
          <w:rFonts w:cs="Courier New"/>
          <w:snapToGrid/>
          <w:color w:val="000000"/>
          <w:sz w:val="22"/>
          <w:szCs w:val="22"/>
        </w:rPr>
      </w:pPr>
    </w:p>
    <w:p w:rsidR="00F727A9" w:rsidRPr="005F09F9" w:rsidRDefault="00F727A9" w:rsidP="00F727A9">
      <w:pPr>
        <w:widowControl/>
        <w:tabs>
          <w:tab w:val="left" w:pos="-720"/>
        </w:tabs>
        <w:rPr>
          <w:b/>
          <w:sz w:val="22"/>
          <w:szCs w:val="22"/>
        </w:rPr>
      </w:pPr>
      <w:r w:rsidRPr="005F09F9">
        <w:rPr>
          <w:rFonts w:cs="Courier New"/>
          <w:snapToGrid/>
          <w:color w:val="000000"/>
          <w:sz w:val="22"/>
          <w:szCs w:val="22"/>
        </w:rPr>
        <w:t>Complex analytical techniques will be used to ana</w:t>
      </w:r>
      <w:r>
        <w:rPr>
          <w:rFonts w:cs="Courier New"/>
          <w:snapToGrid/>
          <w:color w:val="000000"/>
          <w:sz w:val="22"/>
          <w:szCs w:val="22"/>
        </w:rPr>
        <w:t xml:space="preserve">lyze the data. </w:t>
      </w:r>
      <w:proofErr w:type="gramStart"/>
      <w:r w:rsidRPr="00B61298">
        <w:rPr>
          <w:rFonts w:cs="Courier New"/>
          <w:i/>
          <w:snapToGrid/>
          <w:color w:val="000000"/>
          <w:sz w:val="22"/>
          <w:szCs w:val="22"/>
        </w:rPr>
        <w:t>(See Attachment F – Data Analysis).</w:t>
      </w:r>
      <w:proofErr w:type="gramEnd"/>
      <w:r>
        <w:rPr>
          <w:rFonts w:cs="Courier New"/>
          <w:snapToGrid/>
          <w:color w:val="000000"/>
          <w:sz w:val="22"/>
          <w:szCs w:val="22"/>
        </w:rPr>
        <w:t xml:space="preserve"> </w:t>
      </w:r>
      <w:r w:rsidRPr="0058771C">
        <w:rPr>
          <w:b/>
          <w:sz w:val="22"/>
          <w:szCs w:val="22"/>
        </w:rPr>
        <w:t xml:space="preserve">Additional details regarding qualitative </w:t>
      </w:r>
      <w:r>
        <w:rPr>
          <w:b/>
          <w:sz w:val="22"/>
          <w:szCs w:val="22"/>
        </w:rPr>
        <w:t>analysis techniques have been added to Attachment F – Data Analysis.</w:t>
      </w:r>
    </w:p>
    <w:p w:rsidR="00F727A9" w:rsidRPr="005F09F9" w:rsidRDefault="00F727A9" w:rsidP="00F727A9">
      <w:pPr>
        <w:widowControl/>
        <w:rPr>
          <w:rFonts w:cs="Courier New"/>
          <w:b/>
          <w:snapToGrid/>
          <w:color w:val="000000"/>
          <w:sz w:val="22"/>
          <w:szCs w:val="22"/>
        </w:rPr>
      </w:pPr>
    </w:p>
    <w:p w:rsidR="00F727A9" w:rsidRPr="005F09F9" w:rsidRDefault="00F727A9" w:rsidP="00F727A9">
      <w:pPr>
        <w:widowControl/>
        <w:numPr>
          <w:ilvl w:val="0"/>
          <w:numId w:val="1"/>
        </w:numPr>
        <w:tabs>
          <w:tab w:val="clear" w:pos="720"/>
        </w:tabs>
        <w:ind w:left="360"/>
        <w:rPr>
          <w:rFonts w:cs="Courier New"/>
          <w:b/>
          <w:snapToGrid/>
          <w:sz w:val="22"/>
          <w:szCs w:val="22"/>
        </w:rPr>
      </w:pPr>
      <w:r w:rsidRPr="005F09F9">
        <w:rPr>
          <w:rFonts w:cs="Courier New"/>
          <w:b/>
          <w:snapToGrid/>
          <w:sz w:val="22"/>
          <w:szCs w:val="22"/>
        </w:rPr>
        <w:t xml:space="preserve">Reason(s) Display of OMB Expiration Date is Inappropriate </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proofErr w:type="gramStart"/>
      <w:r w:rsidRPr="00761E38">
        <w:rPr>
          <w:rFonts w:cs="Courier New"/>
          <w:snapToGrid/>
          <w:color w:val="000000"/>
          <w:sz w:val="22"/>
          <w:szCs w:val="22"/>
        </w:rPr>
        <w:t>N/A.</w:t>
      </w:r>
      <w:proofErr w:type="gramEnd"/>
      <w:r w:rsidRPr="00761E38">
        <w:rPr>
          <w:rFonts w:cs="Courier New"/>
          <w:snapToGrid/>
          <w:color w:val="000000"/>
          <w:sz w:val="22"/>
          <w:szCs w:val="22"/>
        </w:rPr>
        <w:t xml:space="preserve"> This approval is not being sought.</w:t>
      </w:r>
    </w:p>
    <w:p w:rsidR="00F727A9" w:rsidRPr="00761E38" w:rsidRDefault="00F727A9" w:rsidP="00F727A9">
      <w:pPr>
        <w:widowControl/>
        <w:rPr>
          <w:rFonts w:cs="Courier New"/>
          <w:snapToGrid/>
          <w:color w:val="000000"/>
          <w:sz w:val="22"/>
          <w:szCs w:val="22"/>
        </w:rPr>
      </w:pPr>
    </w:p>
    <w:p w:rsidR="00F727A9" w:rsidRPr="005F09F9" w:rsidRDefault="00F727A9" w:rsidP="00F727A9">
      <w:pPr>
        <w:widowControl/>
        <w:numPr>
          <w:ilvl w:val="0"/>
          <w:numId w:val="1"/>
        </w:numPr>
        <w:tabs>
          <w:tab w:val="clear" w:pos="720"/>
        </w:tabs>
        <w:ind w:hanging="720"/>
        <w:rPr>
          <w:rFonts w:cs="Courier New"/>
          <w:b/>
          <w:snapToGrid/>
          <w:sz w:val="22"/>
          <w:szCs w:val="22"/>
        </w:rPr>
      </w:pPr>
      <w:r w:rsidRPr="005F09F9">
        <w:rPr>
          <w:rFonts w:cs="Courier New"/>
          <w:b/>
          <w:snapToGrid/>
          <w:sz w:val="22"/>
          <w:szCs w:val="22"/>
        </w:rPr>
        <w:t>Exceptions to Certification for Paperwork Reduction Act Submissions</w:t>
      </w:r>
    </w:p>
    <w:p w:rsidR="00F727A9" w:rsidRDefault="00F727A9" w:rsidP="00F727A9">
      <w:pPr>
        <w:widowControl/>
        <w:rPr>
          <w:rFonts w:cs="Courier New"/>
          <w:snapToGrid/>
          <w:color w:val="000000"/>
          <w:sz w:val="22"/>
          <w:szCs w:val="22"/>
        </w:rPr>
      </w:pPr>
    </w:p>
    <w:p w:rsidR="00F727A9" w:rsidRDefault="00F727A9" w:rsidP="00F727A9">
      <w:pPr>
        <w:widowControl/>
        <w:rPr>
          <w:rFonts w:cs="Courier New"/>
          <w:snapToGrid/>
          <w:color w:val="000000"/>
          <w:sz w:val="22"/>
          <w:szCs w:val="22"/>
        </w:rPr>
      </w:pPr>
      <w:proofErr w:type="gramStart"/>
      <w:r w:rsidRPr="00761E38">
        <w:rPr>
          <w:rFonts w:cs="Courier New"/>
          <w:snapToGrid/>
          <w:color w:val="000000"/>
          <w:sz w:val="22"/>
          <w:szCs w:val="22"/>
        </w:rPr>
        <w:t>N/A.</w:t>
      </w:r>
      <w:proofErr w:type="gramEnd"/>
      <w:r w:rsidRPr="00761E38">
        <w:rPr>
          <w:rFonts w:cs="Courier New"/>
          <w:snapToGrid/>
          <w:color w:val="000000"/>
          <w:sz w:val="22"/>
          <w:szCs w:val="22"/>
        </w:rPr>
        <w:t xml:space="preserve"> There are no exceptions.</w:t>
      </w:r>
    </w:p>
    <w:p w:rsidR="00CC57DF" w:rsidRDefault="00CC57DF">
      <w:bookmarkStart w:id="0" w:name="_GoBack"/>
      <w:bookmarkEnd w:id="0"/>
    </w:p>
    <w:sectPr w:rsidR="00CC5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B764D"/>
    <w:multiLevelType w:val="hybridMultilevel"/>
    <w:tmpl w:val="78BA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B2240D"/>
    <w:multiLevelType w:val="hybridMultilevel"/>
    <w:tmpl w:val="A4B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A9"/>
    <w:rsid w:val="00CC57DF"/>
    <w:rsid w:val="00F7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A9"/>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7A9"/>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F727A9"/>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A9"/>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7A9"/>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F727A9"/>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2015-06-18T15:08:00Z</dcterms:created>
  <dcterms:modified xsi:type="dcterms:W3CDTF">2015-06-18T15:09:00Z</dcterms:modified>
</cp:coreProperties>
</file>