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D2D96" w14:textId="77777777" w:rsidR="00A67DE5" w:rsidRDefault="00A67DE5" w:rsidP="00A67DE5">
      <w:pPr>
        <w:jc w:val="center"/>
        <w:sectPr w:rsidR="00A67DE5" w:rsidSect="000E38BB">
          <w:footerReference w:type="even" r:id="rId9"/>
          <w:footerReference w:type="default" r:id="rId10"/>
          <w:pgSz w:w="12240" w:h="15840"/>
          <w:pgMar w:top="1440" w:right="1440" w:bottom="1440" w:left="1440" w:header="720" w:footer="720" w:gutter="0"/>
          <w:pgNumType w:fmt="lowerRoman" w:start="3"/>
          <w:cols w:space="720"/>
          <w:titlePg/>
          <w:docGrid w:linePitch="360"/>
        </w:sectPr>
      </w:pPr>
      <w:r>
        <w:rPr>
          <w:noProof/>
        </w:rPr>
        <mc:AlternateContent>
          <mc:Choice Requires="wps">
            <w:drawing>
              <wp:anchor distT="0" distB="0" distL="114300" distR="114300" simplePos="0" relativeHeight="251659264" behindDoc="0" locked="0" layoutInCell="1" allowOverlap="1" wp14:anchorId="66DF31BB" wp14:editId="1B83C042">
                <wp:simplePos x="0" y="0"/>
                <wp:positionH relativeFrom="margin">
                  <wp:posOffset>2857500</wp:posOffset>
                </wp:positionH>
                <wp:positionV relativeFrom="margin">
                  <wp:posOffset>1143000</wp:posOffset>
                </wp:positionV>
                <wp:extent cx="3543300" cy="6743700"/>
                <wp:effectExtent l="0" t="0" r="12700" b="12700"/>
                <wp:wrapTopAndBottom/>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7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58BE" w14:textId="77777777" w:rsidR="00AC101B" w:rsidRPr="00D3148A" w:rsidRDefault="00AC101B" w:rsidP="001F7953">
                            <w:pPr>
                              <w:pStyle w:val="Title1"/>
                              <w:rPr>
                                <w:rFonts w:ascii="Times New Roman" w:eastAsia="Futura Book" w:hAnsi="Times New Roman"/>
                              </w:rPr>
                            </w:pPr>
                            <w:r w:rsidRPr="0027323A">
                              <w:rPr>
                                <w:rFonts w:ascii="Times New Roman" w:hAnsi="Times New Roman"/>
                              </w:rPr>
                              <w:t xml:space="preserve">Supporting Statement A for </w:t>
                            </w:r>
                            <w:r w:rsidR="001F7953" w:rsidRPr="0027323A">
                              <w:rPr>
                                <w:rFonts w:ascii="Times New Roman" w:hAnsi="Times New Roman"/>
                              </w:rPr>
                              <w:t xml:space="preserve">the Emergency Department Patient Experience of Care </w:t>
                            </w:r>
                            <w:r w:rsidR="00C17823">
                              <w:rPr>
                                <w:rFonts w:ascii="Times New Roman" w:hAnsi="Times New Roman"/>
                              </w:rPr>
                              <w:t xml:space="preserve">(EDPEC) </w:t>
                            </w:r>
                            <w:r w:rsidR="001F7953" w:rsidRPr="00D3148A">
                              <w:rPr>
                                <w:rFonts w:ascii="Times New Roman" w:hAnsi="Times New Roman"/>
                              </w:rPr>
                              <w:t>Survey</w:t>
                            </w:r>
                            <w:r w:rsidR="00A40912" w:rsidRPr="00D3148A">
                              <w:rPr>
                                <w:rFonts w:ascii="Times New Roman" w:hAnsi="Times New Roman"/>
                              </w:rPr>
                              <w:t xml:space="preserve"> Mode Experiments</w:t>
                            </w:r>
                          </w:p>
                          <w:p w14:paraId="23EC43F9" w14:textId="77777777" w:rsidR="00AC101B" w:rsidRPr="0027323A" w:rsidRDefault="005951C8" w:rsidP="00A67DE5">
                            <w:pPr>
                              <w:pStyle w:val="Header"/>
                              <w:rPr>
                                <w:sz w:val="22"/>
                                <w:szCs w:val="22"/>
                              </w:rPr>
                            </w:pPr>
                            <w:r w:rsidRPr="00D3148A">
                              <w:rPr>
                                <w:sz w:val="28"/>
                                <w:szCs w:val="28"/>
                              </w:rPr>
                              <w:t>(CMS-10543, OCN 0938-New)</w:t>
                            </w:r>
                          </w:p>
                          <w:p w14:paraId="39F874DC" w14:textId="77777777" w:rsidR="00AC101B" w:rsidRPr="0027323A" w:rsidRDefault="00AC101B" w:rsidP="006F4286">
                            <w:pPr>
                              <w:pStyle w:val="Header"/>
                              <w:rPr>
                                <w:rFonts w:eastAsia="Futura Book"/>
                                <w:color w:val="000000"/>
                              </w:rPr>
                            </w:pPr>
                            <w:r w:rsidRPr="005951C8">
                              <w:t xml:space="preserve">Contract Number: </w:t>
                            </w:r>
                            <w:r w:rsidR="00544534" w:rsidRPr="005951C8">
                              <w:rPr>
                                <w:rFonts w:eastAsiaTheme="minorEastAsia"/>
                              </w:rPr>
                              <w:t>HHSM-500-20</w:t>
                            </w:r>
                            <w:r w:rsidR="00544534" w:rsidRPr="0027323A">
                              <w:rPr>
                                <w:rFonts w:eastAsiaTheme="minorEastAsia"/>
                              </w:rPr>
                              <w:t>14-00421G</w:t>
                            </w:r>
                          </w:p>
                          <w:p w14:paraId="0BA7E7C1" w14:textId="77777777" w:rsidR="00AC101B" w:rsidRPr="005951C8" w:rsidRDefault="00AC101B" w:rsidP="006F4286">
                            <w:pPr>
                              <w:pStyle w:val="Header"/>
                              <w:rPr>
                                <w:rFonts w:eastAsia="Futura Book"/>
                              </w:rPr>
                            </w:pPr>
                          </w:p>
                          <w:p w14:paraId="437283B2" w14:textId="4B00A593" w:rsidR="00AC101B" w:rsidRPr="005951C8" w:rsidRDefault="0018633D" w:rsidP="00A67DE5">
                            <w:pPr>
                              <w:pStyle w:val="INFO"/>
                              <w:spacing w:before="120" w:line="240" w:lineRule="auto"/>
                              <w:rPr>
                                <w:rFonts w:ascii="Times New Roman" w:eastAsia="Futura Book" w:hAnsi="Times New Roman"/>
                                <w:sz w:val="24"/>
                                <w:szCs w:val="24"/>
                              </w:rPr>
                            </w:pPr>
                            <w:r>
                              <w:rPr>
                                <w:rFonts w:ascii="Times New Roman" w:eastAsia="Futura Book" w:hAnsi="Times New Roman"/>
                                <w:sz w:val="24"/>
                                <w:szCs w:val="24"/>
                              </w:rPr>
                              <w:t>April 29</w:t>
                            </w:r>
                            <w:r w:rsidR="002004A0" w:rsidRPr="005951C8">
                              <w:rPr>
                                <w:rFonts w:ascii="Times New Roman" w:eastAsia="Futura Book" w:hAnsi="Times New Roman"/>
                                <w:sz w:val="24"/>
                                <w:szCs w:val="24"/>
                              </w:rPr>
                              <w:t>, 2015</w:t>
                            </w:r>
                          </w:p>
                          <w:p w14:paraId="1B33206E" w14:textId="77777777" w:rsidR="00AC101B" w:rsidRPr="005951C8" w:rsidRDefault="00AC101B" w:rsidP="00A67DE5">
                            <w:pPr>
                              <w:pStyle w:val="INFO"/>
                              <w:rPr>
                                <w:rFonts w:ascii="Times New Roman" w:eastAsia="Futura Book" w:hAnsi="Times New Roman"/>
                                <w:sz w:val="24"/>
                                <w:szCs w:val="24"/>
                              </w:rPr>
                            </w:pPr>
                          </w:p>
                          <w:p w14:paraId="136FCA7F" w14:textId="77777777" w:rsidR="00AC101B" w:rsidRPr="005951C8" w:rsidRDefault="00AC101B" w:rsidP="00A67DE5">
                            <w:pPr>
                              <w:pStyle w:val="INFO"/>
                              <w:spacing w:before="120" w:line="240" w:lineRule="auto"/>
                              <w:rPr>
                                <w:rFonts w:ascii="Times New Roman" w:eastAsia="Futura Book" w:hAnsi="Times New Roman"/>
                                <w:sz w:val="24"/>
                                <w:szCs w:val="24"/>
                              </w:rPr>
                            </w:pPr>
                            <w:r w:rsidRPr="005951C8">
                              <w:rPr>
                                <w:rFonts w:ascii="Times New Roman" w:eastAsia="Futura Book" w:hAnsi="Times New Roman"/>
                                <w:sz w:val="24"/>
                                <w:szCs w:val="24"/>
                              </w:rPr>
                              <w:t>Prepared for CMS</w:t>
                            </w:r>
                          </w:p>
                          <w:p w14:paraId="42B815E5" w14:textId="77777777" w:rsidR="00AC101B" w:rsidRPr="005951C8" w:rsidRDefault="006B57DB" w:rsidP="00A67DE5">
                            <w:pPr>
                              <w:pStyle w:val="INFO"/>
                              <w:spacing w:before="120" w:line="240" w:lineRule="auto"/>
                              <w:rPr>
                                <w:rFonts w:ascii="Times New Roman" w:eastAsia="Futura Book" w:hAnsi="Times New Roman"/>
                                <w:sz w:val="24"/>
                                <w:szCs w:val="24"/>
                              </w:rPr>
                            </w:pPr>
                            <w:r w:rsidRPr="005951C8">
                              <w:rPr>
                                <w:rFonts w:ascii="Times New Roman" w:eastAsia="Futura Book" w:hAnsi="Times New Roman"/>
                                <w:sz w:val="24"/>
                                <w:szCs w:val="24"/>
                              </w:rPr>
                              <w:t>Elizabeth Flow-Delwiche</w:t>
                            </w:r>
                            <w:r w:rsidR="00AC101B" w:rsidRPr="005951C8">
                              <w:rPr>
                                <w:rFonts w:ascii="Times New Roman" w:eastAsia="Futura Book" w:hAnsi="Times New Roman"/>
                                <w:sz w:val="24"/>
                                <w:szCs w:val="24"/>
                              </w:rPr>
                              <w:t>, Project Officer</w:t>
                            </w:r>
                          </w:p>
                          <w:p w14:paraId="2B2CCF07" w14:textId="77777777" w:rsidR="00AC101B" w:rsidRPr="005951C8" w:rsidRDefault="00AC101B" w:rsidP="00A67DE5">
                            <w:pPr>
                              <w:pStyle w:val="INFO"/>
                              <w:spacing w:before="120" w:line="240" w:lineRule="auto"/>
                              <w:rPr>
                                <w:rFonts w:ascii="Times New Roman" w:eastAsia="Futura Book" w:hAnsi="Times New Roman"/>
                                <w:sz w:val="24"/>
                                <w:szCs w:val="24"/>
                              </w:rPr>
                            </w:pPr>
                          </w:p>
                          <w:p w14:paraId="710F1B67" w14:textId="77777777" w:rsidR="00AC101B" w:rsidRPr="005951C8" w:rsidRDefault="00AC101B" w:rsidP="00A67DE5">
                            <w:r w:rsidRPr="005951C8">
                              <w:t>RAND Corporation</w:t>
                            </w:r>
                          </w:p>
                          <w:p w14:paraId="6B9B32C7" w14:textId="77777777" w:rsidR="00AC101B" w:rsidRPr="005951C8" w:rsidRDefault="00AC101B" w:rsidP="00A67DE5">
                            <w:r w:rsidRPr="005951C8">
                              <w:t>1776 Main Street</w:t>
                            </w:r>
                          </w:p>
                          <w:p w14:paraId="3BF7FFF1" w14:textId="77777777" w:rsidR="00AC101B" w:rsidRPr="0027323A" w:rsidRDefault="00AC101B" w:rsidP="00A67DE5">
                            <w:r w:rsidRPr="005951C8">
                              <w:t>P.O. Box 2138</w:t>
                            </w:r>
                          </w:p>
                          <w:p w14:paraId="34229FEF" w14:textId="77777777" w:rsidR="00AC101B" w:rsidRPr="0027323A" w:rsidRDefault="00AC101B" w:rsidP="00A67DE5">
                            <w:pPr>
                              <w:rPr>
                                <w:rFonts w:eastAsia="Futura Book"/>
                                <w:sz w:val="28"/>
                                <w:szCs w:val="28"/>
                              </w:rPr>
                            </w:pPr>
                            <w:r w:rsidRPr="0027323A">
                              <w:t>Santa Monica, CA 90407-2138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5pt;margin-top:90pt;width:279pt;height:5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FyqwIAAKIFAAAOAAAAZHJzL2Uyb0RvYy54bWysVNtu2zAMfR+wfxD07voS52KjTtHG8TCg&#10;24p1+wDFlmNhsuRJSpxu2L+PkuM0aV+GbX4QKIk65CGPeX1zaDnaU6WZFBkOrwKMqChlxcQ2w1+/&#10;FN4CI22IqAiXgmb4iWp8s3z75rrvUhrJRvKKKgQgQqd9l+HGmC71fV02tCX6SnZUwGUtVUsMbNXW&#10;rxTpAb3lfhQEM7+XquqULKnWcJoPl3jp8OualuZTXWtqEM8w5Gbcqty6sau/vCbpVpGuYeUxDfIX&#10;WbSECQh6gsqJIWin2CuolpVKalmbq1K2vqxrVlLHAdiEwQs2jw3pqOMCxdHdqUz6/8GWH/cPCrEq&#10;w0mCkSAt9OgzVI2ILacosvXpO52C22P3oCxD3d3L8ptGQq4a8KK3Ssm+oaSCrELr7188sBsNT9Gm&#10;/yArQCc7I12pDrVqLSAUAR1cR55OHaEHg0o4nEzjySSAxpVwN5vHkzlsbAySjs87pc07KltkjQwr&#10;SN7Bk/29NoPr6GKjCVkwzuGcpFxcHADmcALB4am9s2m4Lv5MgmS9WC9iL45may8O8ty7LVaxNyvC&#10;+TSf5KtVHv6yccM4bVhVUWHDjIoK4z/r2FHbgxZOmtKSs8rC2ZS02m5WXKE9AUUX7jsW5MzNv0zD&#10;1Qu4vKAURnFwFyVeMVvMvbiIp14yDxZeECZ3ySyIkzgvLindM0H/nRLqQWzTaOq6dJb0C26B+15z&#10;I2nLDMwMztoML05OJLUaXIvKtdYQxgf7rBQ2/edSQLvHRjvFWpEOYjeHzQFQrHI3snoC7SoJygIV&#10;wqADo5HqB0Y9DI0M6+87oihG/L0A/dsJMxpqNDajQUQJTzNsMBrMlRkm0a5TbNsAcuhqIuQt/CM1&#10;c+p9zuL4Z8EgcCSOQ8tOmvO983oercvfAAAA//8DAFBLAwQUAAYACAAAACEAr46i6eAAAAANAQAA&#10;DwAAAGRycy9kb3ducmV2LnhtbEyPzU7DMBCE70i8g7VI3KhNVFAa4lQVPypHaJEKNzdekoh4HcVu&#10;E/r03Zzg9q1mNDuTL0fXiiP2ofGk4XamQCCV3jZUafjYvtykIEI0ZE3rCTX8YoBlcXmRm8z6gd7x&#10;uImV4BAKmdFQx9hlUoayRmfCzHdIrH373pnIZ19J25uBw10rE6XupTMN8YfadPhYY/mzOTgN67Rb&#10;fb7601C1z1/r3dtu8bRdRK2vr8bVA4iIY/wzw1Sfq0PBnfb+QDaIVsP8TvGWyEI6weRQKmXaMyXz&#10;RIEscvl/RXEGAAD//wMAUEsBAi0AFAAGAAgAAAAhALaDOJL+AAAA4QEAABMAAAAAAAAAAAAAAAAA&#10;AAAAAFtDb250ZW50X1R5cGVzXS54bWxQSwECLQAUAAYACAAAACEAOP0h/9YAAACUAQAACwAAAAAA&#10;AAAAAAAAAAAvAQAAX3JlbHMvLnJlbHNQSwECLQAUAAYACAAAACEARbiBcqsCAACiBQAADgAAAAAA&#10;AAAAAAAAAAAuAgAAZHJzL2Uyb0RvYy54bWxQSwECLQAUAAYACAAAACEAr46i6eAAAAANAQAADwAA&#10;AAAAAAAAAAAAAAAFBQAAZHJzL2Rvd25yZXYueG1sUEsFBgAAAAAEAAQA8wAAABIGAAAAAA==&#10;" filled="f" stroked="f">
                <v:textbox inset="0,0,0,0">
                  <w:txbxContent>
                    <w:p w14:paraId="2AAF58BE" w14:textId="77777777" w:rsidR="00AC101B" w:rsidRPr="00D3148A" w:rsidRDefault="00AC101B" w:rsidP="001F7953">
                      <w:pPr>
                        <w:pStyle w:val="Title1"/>
                        <w:rPr>
                          <w:rFonts w:ascii="Times New Roman" w:eastAsia="Futura Book" w:hAnsi="Times New Roman"/>
                        </w:rPr>
                      </w:pPr>
                      <w:r w:rsidRPr="0027323A">
                        <w:rPr>
                          <w:rFonts w:ascii="Times New Roman" w:hAnsi="Times New Roman"/>
                        </w:rPr>
                        <w:t xml:space="preserve">Supporting Statement A for </w:t>
                      </w:r>
                      <w:r w:rsidR="001F7953" w:rsidRPr="0027323A">
                        <w:rPr>
                          <w:rFonts w:ascii="Times New Roman" w:hAnsi="Times New Roman"/>
                        </w:rPr>
                        <w:t xml:space="preserve">the Emergency Department Patient Experience of Care </w:t>
                      </w:r>
                      <w:r w:rsidR="00C17823">
                        <w:rPr>
                          <w:rFonts w:ascii="Times New Roman" w:hAnsi="Times New Roman"/>
                        </w:rPr>
                        <w:t xml:space="preserve">(EDPEC) </w:t>
                      </w:r>
                      <w:r w:rsidR="001F7953" w:rsidRPr="00D3148A">
                        <w:rPr>
                          <w:rFonts w:ascii="Times New Roman" w:hAnsi="Times New Roman"/>
                        </w:rPr>
                        <w:t>Survey</w:t>
                      </w:r>
                      <w:r w:rsidR="00A40912" w:rsidRPr="00D3148A">
                        <w:rPr>
                          <w:rFonts w:ascii="Times New Roman" w:hAnsi="Times New Roman"/>
                        </w:rPr>
                        <w:t xml:space="preserve"> Mode Experiments</w:t>
                      </w:r>
                    </w:p>
                    <w:p w14:paraId="23EC43F9" w14:textId="77777777" w:rsidR="00AC101B" w:rsidRPr="0027323A" w:rsidRDefault="005951C8" w:rsidP="00A67DE5">
                      <w:pPr>
                        <w:pStyle w:val="Header"/>
                        <w:rPr>
                          <w:sz w:val="22"/>
                          <w:szCs w:val="22"/>
                        </w:rPr>
                      </w:pPr>
                      <w:r w:rsidRPr="00D3148A">
                        <w:rPr>
                          <w:sz w:val="28"/>
                          <w:szCs w:val="28"/>
                        </w:rPr>
                        <w:t>(CMS-10543, OCN 0938-New)</w:t>
                      </w:r>
                    </w:p>
                    <w:p w14:paraId="39F874DC" w14:textId="77777777" w:rsidR="00AC101B" w:rsidRPr="0027323A" w:rsidRDefault="00AC101B" w:rsidP="006F4286">
                      <w:pPr>
                        <w:pStyle w:val="Header"/>
                        <w:rPr>
                          <w:rFonts w:eastAsia="Futura Book"/>
                          <w:color w:val="000000"/>
                        </w:rPr>
                      </w:pPr>
                      <w:r w:rsidRPr="005951C8">
                        <w:t xml:space="preserve">Contract Number: </w:t>
                      </w:r>
                      <w:r w:rsidR="00544534" w:rsidRPr="005951C8">
                        <w:rPr>
                          <w:rFonts w:eastAsiaTheme="minorEastAsia"/>
                        </w:rPr>
                        <w:t>HHSM-500-20</w:t>
                      </w:r>
                      <w:r w:rsidR="00544534" w:rsidRPr="0027323A">
                        <w:rPr>
                          <w:rFonts w:eastAsiaTheme="minorEastAsia"/>
                        </w:rPr>
                        <w:t>14-00421G</w:t>
                      </w:r>
                    </w:p>
                    <w:p w14:paraId="0BA7E7C1" w14:textId="77777777" w:rsidR="00AC101B" w:rsidRPr="005951C8" w:rsidRDefault="00AC101B" w:rsidP="006F4286">
                      <w:pPr>
                        <w:pStyle w:val="Header"/>
                        <w:rPr>
                          <w:rFonts w:eastAsia="Futura Book"/>
                        </w:rPr>
                      </w:pPr>
                    </w:p>
                    <w:p w14:paraId="437283B2" w14:textId="4B00A593" w:rsidR="00AC101B" w:rsidRPr="005951C8" w:rsidRDefault="0018633D" w:rsidP="00A67DE5">
                      <w:pPr>
                        <w:pStyle w:val="INFO"/>
                        <w:spacing w:before="120" w:line="240" w:lineRule="auto"/>
                        <w:rPr>
                          <w:rFonts w:ascii="Times New Roman" w:eastAsia="Futura Book" w:hAnsi="Times New Roman"/>
                          <w:sz w:val="24"/>
                          <w:szCs w:val="24"/>
                        </w:rPr>
                      </w:pPr>
                      <w:r>
                        <w:rPr>
                          <w:rFonts w:ascii="Times New Roman" w:eastAsia="Futura Book" w:hAnsi="Times New Roman"/>
                          <w:sz w:val="24"/>
                          <w:szCs w:val="24"/>
                        </w:rPr>
                        <w:t>April 29</w:t>
                      </w:r>
                      <w:bookmarkStart w:id="1" w:name="_GoBack"/>
                      <w:bookmarkEnd w:id="1"/>
                      <w:r w:rsidR="002004A0" w:rsidRPr="005951C8">
                        <w:rPr>
                          <w:rFonts w:ascii="Times New Roman" w:eastAsia="Futura Book" w:hAnsi="Times New Roman"/>
                          <w:sz w:val="24"/>
                          <w:szCs w:val="24"/>
                        </w:rPr>
                        <w:t>, 2015</w:t>
                      </w:r>
                    </w:p>
                    <w:p w14:paraId="1B33206E" w14:textId="77777777" w:rsidR="00AC101B" w:rsidRPr="005951C8" w:rsidRDefault="00AC101B" w:rsidP="00A67DE5">
                      <w:pPr>
                        <w:pStyle w:val="INFO"/>
                        <w:rPr>
                          <w:rFonts w:ascii="Times New Roman" w:eastAsia="Futura Book" w:hAnsi="Times New Roman"/>
                          <w:sz w:val="24"/>
                          <w:szCs w:val="24"/>
                        </w:rPr>
                      </w:pPr>
                    </w:p>
                    <w:p w14:paraId="136FCA7F" w14:textId="77777777" w:rsidR="00AC101B" w:rsidRPr="005951C8" w:rsidRDefault="00AC101B" w:rsidP="00A67DE5">
                      <w:pPr>
                        <w:pStyle w:val="INFO"/>
                        <w:spacing w:before="120" w:line="240" w:lineRule="auto"/>
                        <w:rPr>
                          <w:rFonts w:ascii="Times New Roman" w:eastAsia="Futura Book" w:hAnsi="Times New Roman"/>
                          <w:sz w:val="24"/>
                          <w:szCs w:val="24"/>
                        </w:rPr>
                      </w:pPr>
                      <w:r w:rsidRPr="005951C8">
                        <w:rPr>
                          <w:rFonts w:ascii="Times New Roman" w:eastAsia="Futura Book" w:hAnsi="Times New Roman"/>
                          <w:sz w:val="24"/>
                          <w:szCs w:val="24"/>
                        </w:rPr>
                        <w:t>Prepared for CMS</w:t>
                      </w:r>
                    </w:p>
                    <w:p w14:paraId="42B815E5" w14:textId="77777777" w:rsidR="00AC101B" w:rsidRPr="005951C8" w:rsidRDefault="006B57DB" w:rsidP="00A67DE5">
                      <w:pPr>
                        <w:pStyle w:val="INFO"/>
                        <w:spacing w:before="120" w:line="240" w:lineRule="auto"/>
                        <w:rPr>
                          <w:rFonts w:ascii="Times New Roman" w:eastAsia="Futura Book" w:hAnsi="Times New Roman"/>
                          <w:sz w:val="24"/>
                          <w:szCs w:val="24"/>
                        </w:rPr>
                      </w:pPr>
                      <w:r w:rsidRPr="005951C8">
                        <w:rPr>
                          <w:rFonts w:ascii="Times New Roman" w:eastAsia="Futura Book" w:hAnsi="Times New Roman"/>
                          <w:sz w:val="24"/>
                          <w:szCs w:val="24"/>
                        </w:rPr>
                        <w:t>Elizabeth Flow-Delwiche</w:t>
                      </w:r>
                      <w:r w:rsidR="00AC101B" w:rsidRPr="005951C8">
                        <w:rPr>
                          <w:rFonts w:ascii="Times New Roman" w:eastAsia="Futura Book" w:hAnsi="Times New Roman"/>
                          <w:sz w:val="24"/>
                          <w:szCs w:val="24"/>
                        </w:rPr>
                        <w:t>, Project Officer</w:t>
                      </w:r>
                    </w:p>
                    <w:p w14:paraId="2B2CCF07" w14:textId="77777777" w:rsidR="00AC101B" w:rsidRPr="005951C8" w:rsidRDefault="00AC101B" w:rsidP="00A67DE5">
                      <w:pPr>
                        <w:pStyle w:val="INFO"/>
                        <w:spacing w:before="120" w:line="240" w:lineRule="auto"/>
                        <w:rPr>
                          <w:rFonts w:ascii="Times New Roman" w:eastAsia="Futura Book" w:hAnsi="Times New Roman"/>
                          <w:sz w:val="24"/>
                          <w:szCs w:val="24"/>
                        </w:rPr>
                      </w:pPr>
                    </w:p>
                    <w:p w14:paraId="710F1B67" w14:textId="77777777" w:rsidR="00AC101B" w:rsidRPr="005951C8" w:rsidRDefault="00AC101B" w:rsidP="00A67DE5">
                      <w:r w:rsidRPr="005951C8">
                        <w:t>RAND Corporation</w:t>
                      </w:r>
                    </w:p>
                    <w:p w14:paraId="6B9B32C7" w14:textId="77777777" w:rsidR="00AC101B" w:rsidRPr="005951C8" w:rsidRDefault="00AC101B" w:rsidP="00A67DE5">
                      <w:r w:rsidRPr="005951C8">
                        <w:t>1776 Main Street</w:t>
                      </w:r>
                    </w:p>
                    <w:p w14:paraId="3BF7FFF1" w14:textId="77777777" w:rsidR="00AC101B" w:rsidRPr="0027323A" w:rsidRDefault="00AC101B" w:rsidP="00A67DE5">
                      <w:r w:rsidRPr="005951C8">
                        <w:t>P.O. Box 2138</w:t>
                      </w:r>
                    </w:p>
                    <w:p w14:paraId="34229FEF" w14:textId="77777777" w:rsidR="00AC101B" w:rsidRPr="0027323A" w:rsidRDefault="00AC101B" w:rsidP="00A67DE5">
                      <w:pPr>
                        <w:rPr>
                          <w:rFonts w:eastAsia="Futura Book"/>
                          <w:sz w:val="28"/>
                          <w:szCs w:val="28"/>
                        </w:rPr>
                      </w:pPr>
                      <w:r w:rsidRPr="0027323A">
                        <w:t>Santa Monica, CA 90407-2138</w:t>
                      </w:r>
                    </w:p>
                  </w:txbxContent>
                </v:textbox>
                <w10:wrap type="topAndBottom" anchorx="margin" anchory="margin"/>
              </v:rect>
            </w:pict>
          </mc:Fallback>
        </mc:AlternateContent>
      </w:r>
      <w:r>
        <w:rPr>
          <w:noProof/>
        </w:rPr>
        <w:drawing>
          <wp:anchor distT="0" distB="0" distL="114300" distR="114300" simplePos="0" relativeHeight="251661312" behindDoc="0" locked="0" layoutInCell="1" allowOverlap="1" wp14:anchorId="28736371" wp14:editId="6DBABA1E">
            <wp:simplePos x="0" y="0"/>
            <wp:positionH relativeFrom="margin">
              <wp:posOffset>0</wp:posOffset>
            </wp:positionH>
            <wp:positionV relativeFrom="margin">
              <wp:posOffset>7886700</wp:posOffset>
            </wp:positionV>
            <wp:extent cx="1330325" cy="581660"/>
            <wp:effectExtent l="0" t="0" r="3175" b="8890"/>
            <wp:wrapTopAndBottom/>
            <wp:docPr id="92" name="Picture 4" descr="RAND Health Logo" title="RAN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nd health_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32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14:anchorId="2F830976" wp14:editId="510EB162">
                <wp:simplePos x="0" y="0"/>
                <wp:positionH relativeFrom="margin">
                  <wp:posOffset>0</wp:posOffset>
                </wp:positionH>
                <wp:positionV relativeFrom="margin">
                  <wp:posOffset>786130</wp:posOffset>
                </wp:positionV>
                <wp:extent cx="6510655" cy="0"/>
                <wp:effectExtent l="12700" t="11430" r="29845" b="26670"/>
                <wp:wrapNone/>
                <wp:docPr id="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2477AC"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1.9pt" to="512.6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VwGQIAADM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F5hpEi&#10;PczoSSiOHkJrBuNKiKjVxobi6FE9mydNvzmkdN0RteOR4svJQFoWMpJXKWHjDFywHT5qBjFk73Xs&#10;07G1PWqlMF9DYgCHXqBjHMzpNhh+9IjC4bTI0mlRYESvvoSUASIkGuv8B657FIwKS2AfAcnhyflA&#10;6VdICFd6LaSMc5cKDVB4MSligtNSsOAMYc7utrW06ECCcuIX6wPPfZjVe8UiWMcJW11sT4Q823C5&#10;VAEPSgE6F+ssje/zdL6arWb5KJ9MV6M8bZrR+3Wdj6br7F3RPDR13WQ/ArUsLzvBGFeB3VWmWf53&#10;Mrg8mLPAbkK9tSF5jR77BWSv/0g6TjUM8iyJrWanjb1OG5QZgy+vKEj/fg/2/Vtf/gQAAP//AwBQ&#10;SwMEFAAGAAgAAAAhAH28JPzaAAAACQEAAA8AAABkcnMvZG93bnJldi54bWxMj0FLxDAQhe+C/yGM&#10;4M1NbFG023RZRL0Igmv1nDazbTGZlCbbrf/eWRD0OO893ryv3CzeiRmnOATScL1SIJDaYAfqNNTv&#10;T1d3IGIyZI0LhBq+McKmOj8rTWHDkd5w3qVOcAnFwmjoUxoLKWPbozdxFUYk9vZh8ibxOXXSTubI&#10;5d7JTKlb6c1A/KE3Iz702H7tDl7D9vPlMX+dGx+cve/qD+tr9ZxpfXmxbNcgEi7pLwyn+TwdKt7U&#10;hAPZKJwGBkmsZjkDnGyV3eQgml9JVqX8T1D9AAAA//8DAFBLAQItABQABgAIAAAAIQC2gziS/gAA&#10;AOEBAAATAAAAAAAAAAAAAAAAAAAAAABbQ29udGVudF9UeXBlc10ueG1sUEsBAi0AFAAGAAgAAAAh&#10;ADj9If/WAAAAlAEAAAsAAAAAAAAAAAAAAAAALwEAAF9yZWxzLy5yZWxzUEsBAi0AFAAGAAgAAAAh&#10;ACvm9XAZAgAAMwQAAA4AAAAAAAAAAAAAAAAALgIAAGRycy9lMm9Eb2MueG1sUEsBAi0AFAAGAAgA&#10;AAAhAH28JPzaAAAACQEAAA8AAAAAAAAAAAAAAAAAcwQAAGRycy9kb3ducmV2LnhtbFBLBQYAAAAA&#10;BAAEAPMAAAB6BQAAAAA=&#10;" o:allowincell="f">
                <w10:wrap anchorx="margin" anchory="margin"/>
              </v:line>
            </w:pict>
          </mc:Fallback>
        </mc:AlternateContent>
      </w:r>
      <w:r>
        <w:br w:type="page"/>
      </w:r>
    </w:p>
    <w:p w14:paraId="066ACC0E" w14:textId="77777777" w:rsidR="00A67DE5" w:rsidRPr="008F3323" w:rsidRDefault="00A67DE5" w:rsidP="00A67DE5">
      <w:pPr>
        <w:jc w:val="center"/>
        <w:rPr>
          <w:b/>
          <w:caps/>
        </w:rPr>
      </w:pPr>
      <w:r w:rsidRPr="000D6327">
        <w:rPr>
          <w:b/>
        </w:rPr>
        <w:lastRenderedPageBreak/>
        <w:t>TABLE OF C</w:t>
      </w:r>
      <w:r w:rsidRPr="000D6327">
        <w:rPr>
          <w:b/>
          <w:caps/>
        </w:rPr>
        <w:t>ontentS</w:t>
      </w:r>
      <w:r w:rsidR="00620523" w:rsidRPr="000D6327">
        <w:rPr>
          <w:b/>
          <w:caps/>
        </w:rPr>
        <w:t xml:space="preserve"> </w:t>
      </w:r>
    </w:p>
    <w:p w14:paraId="4A22F29A" w14:textId="77777777" w:rsidR="00A67DE5" w:rsidRPr="00E67858" w:rsidRDefault="00A67DE5" w:rsidP="00A67DE5">
      <w:pPr>
        <w:rPr>
          <w:b/>
          <w:caps/>
        </w:rPr>
      </w:pPr>
    </w:p>
    <w:p w14:paraId="39C1DCA8" w14:textId="77777777" w:rsidR="00A67DE5" w:rsidRPr="002F7727" w:rsidRDefault="00A67DE5">
      <w:pPr>
        <w:pStyle w:val="TOC1"/>
        <w:rPr>
          <w:rFonts w:asciiTheme="minorHAnsi" w:eastAsiaTheme="minorEastAsia" w:hAnsiTheme="minorHAnsi" w:cstheme="minorBidi"/>
          <w:noProof/>
          <w:lang w:eastAsia="ja-JP"/>
        </w:rPr>
      </w:pPr>
      <w:r w:rsidRPr="002F7727">
        <w:rPr>
          <w:rFonts w:ascii="Times New Roman" w:hAnsi="Times New Roman"/>
        </w:rPr>
        <w:fldChar w:fldCharType="begin"/>
      </w:r>
      <w:r w:rsidRPr="002F7727">
        <w:rPr>
          <w:rFonts w:ascii="Times New Roman" w:hAnsi="Times New Roman"/>
        </w:rPr>
        <w:instrText xml:space="preserve"> TOC \o "1-3" \h \z \u </w:instrText>
      </w:r>
      <w:r w:rsidRPr="002F7727">
        <w:rPr>
          <w:rFonts w:ascii="Times New Roman" w:hAnsi="Times New Roman"/>
        </w:rPr>
        <w:fldChar w:fldCharType="separate"/>
      </w:r>
      <w:r w:rsidRPr="002F7727">
        <w:rPr>
          <w:noProof/>
        </w:rPr>
        <w:t>SUPPORTING STATEMENT</w:t>
      </w:r>
      <w:r w:rsidRPr="002F7727">
        <w:rPr>
          <w:noProof/>
        </w:rPr>
        <w:tab/>
      </w:r>
      <w:r w:rsidRPr="002F7727">
        <w:rPr>
          <w:noProof/>
        </w:rPr>
        <w:fldChar w:fldCharType="begin"/>
      </w:r>
      <w:r w:rsidRPr="002F7727">
        <w:rPr>
          <w:noProof/>
        </w:rPr>
        <w:instrText xml:space="preserve"> PAGEREF _Toc208372544 \h </w:instrText>
      </w:r>
      <w:r w:rsidRPr="002F7727">
        <w:rPr>
          <w:noProof/>
        </w:rPr>
      </w:r>
      <w:r w:rsidRPr="002F7727">
        <w:rPr>
          <w:noProof/>
        </w:rPr>
        <w:fldChar w:fldCharType="separate"/>
      </w:r>
      <w:r w:rsidR="00F10C29">
        <w:rPr>
          <w:noProof/>
        </w:rPr>
        <w:t>4</w:t>
      </w:r>
      <w:r w:rsidRPr="002F7727">
        <w:rPr>
          <w:noProof/>
        </w:rPr>
        <w:fldChar w:fldCharType="end"/>
      </w:r>
    </w:p>
    <w:p w14:paraId="5D3AE349" w14:textId="77777777" w:rsidR="00A67DE5" w:rsidRPr="002F7727" w:rsidRDefault="00A67DE5">
      <w:pPr>
        <w:pStyle w:val="TOC1"/>
        <w:rPr>
          <w:rFonts w:asciiTheme="minorHAnsi" w:eastAsiaTheme="minorEastAsia" w:hAnsiTheme="minorHAnsi" w:cstheme="minorBidi"/>
          <w:noProof/>
          <w:lang w:eastAsia="ja-JP"/>
        </w:rPr>
      </w:pPr>
      <w:r w:rsidRPr="002F7727">
        <w:rPr>
          <w:noProof/>
        </w:rPr>
        <w:t>Introduction</w:t>
      </w:r>
      <w:r w:rsidRPr="002F7727">
        <w:rPr>
          <w:noProof/>
        </w:rPr>
        <w:tab/>
      </w:r>
      <w:r w:rsidRPr="002F7727">
        <w:rPr>
          <w:noProof/>
        </w:rPr>
        <w:fldChar w:fldCharType="begin"/>
      </w:r>
      <w:r w:rsidRPr="002F7727">
        <w:rPr>
          <w:noProof/>
        </w:rPr>
        <w:instrText xml:space="preserve"> PAGEREF _Toc208372545 \h </w:instrText>
      </w:r>
      <w:r w:rsidRPr="002F7727">
        <w:rPr>
          <w:noProof/>
        </w:rPr>
      </w:r>
      <w:r w:rsidRPr="002F7727">
        <w:rPr>
          <w:noProof/>
        </w:rPr>
        <w:fldChar w:fldCharType="separate"/>
      </w:r>
      <w:r w:rsidR="00F10C29">
        <w:rPr>
          <w:noProof/>
        </w:rPr>
        <w:t>4</w:t>
      </w:r>
      <w:r w:rsidRPr="002F7727">
        <w:rPr>
          <w:noProof/>
        </w:rPr>
        <w:fldChar w:fldCharType="end"/>
      </w:r>
    </w:p>
    <w:p w14:paraId="372E4196" w14:textId="77777777" w:rsidR="00A67DE5" w:rsidRPr="002F7727" w:rsidRDefault="00A67DE5">
      <w:pPr>
        <w:pStyle w:val="TOC1"/>
        <w:tabs>
          <w:tab w:val="left" w:pos="467"/>
        </w:tabs>
        <w:rPr>
          <w:rFonts w:asciiTheme="minorHAnsi" w:eastAsiaTheme="minorEastAsia" w:hAnsiTheme="minorHAnsi" w:cstheme="minorBidi"/>
          <w:noProof/>
          <w:lang w:eastAsia="ja-JP"/>
        </w:rPr>
      </w:pPr>
      <w:r w:rsidRPr="002F7727">
        <w:rPr>
          <w:noProof/>
        </w:rPr>
        <w:t>A.</w:t>
      </w:r>
      <w:r w:rsidRPr="002F7727">
        <w:rPr>
          <w:rFonts w:asciiTheme="minorHAnsi" w:eastAsiaTheme="minorEastAsia" w:hAnsiTheme="minorHAnsi" w:cstheme="minorBidi"/>
          <w:noProof/>
          <w:lang w:eastAsia="ja-JP"/>
        </w:rPr>
        <w:tab/>
      </w:r>
      <w:r w:rsidRPr="002F7727">
        <w:rPr>
          <w:noProof/>
        </w:rPr>
        <w:t>Justification</w:t>
      </w:r>
      <w:r w:rsidRPr="002F7727">
        <w:rPr>
          <w:noProof/>
        </w:rPr>
        <w:tab/>
      </w:r>
      <w:r w:rsidRPr="002F7727">
        <w:rPr>
          <w:noProof/>
        </w:rPr>
        <w:fldChar w:fldCharType="begin"/>
      </w:r>
      <w:r w:rsidRPr="002F7727">
        <w:rPr>
          <w:noProof/>
        </w:rPr>
        <w:instrText xml:space="preserve"> PAGEREF _Toc208372546 \h </w:instrText>
      </w:r>
      <w:r w:rsidRPr="002F7727">
        <w:rPr>
          <w:noProof/>
        </w:rPr>
      </w:r>
      <w:r w:rsidRPr="002F7727">
        <w:rPr>
          <w:noProof/>
        </w:rPr>
        <w:fldChar w:fldCharType="separate"/>
      </w:r>
      <w:r w:rsidR="00F10C29">
        <w:rPr>
          <w:noProof/>
        </w:rPr>
        <w:t>4</w:t>
      </w:r>
      <w:r w:rsidRPr="002F7727">
        <w:rPr>
          <w:noProof/>
        </w:rPr>
        <w:fldChar w:fldCharType="end"/>
      </w:r>
    </w:p>
    <w:p w14:paraId="0496D7B6"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A1.</w:t>
      </w:r>
      <w:r w:rsidRPr="002F7727">
        <w:rPr>
          <w:rFonts w:asciiTheme="minorHAnsi" w:eastAsiaTheme="minorEastAsia" w:hAnsiTheme="minorHAnsi" w:cstheme="minorBidi"/>
          <w:noProof/>
          <w:lang w:eastAsia="ja-JP"/>
        </w:rPr>
        <w:tab/>
      </w:r>
      <w:r w:rsidRPr="002F7727">
        <w:rPr>
          <w:rFonts w:ascii="Times New Roman" w:hAnsi="Times New Roman"/>
          <w:noProof/>
        </w:rPr>
        <w:t>Necessity of Information Collection</w:t>
      </w:r>
      <w:r w:rsidRPr="002F7727">
        <w:rPr>
          <w:noProof/>
        </w:rPr>
        <w:tab/>
      </w:r>
      <w:r w:rsidRPr="002F7727">
        <w:rPr>
          <w:noProof/>
        </w:rPr>
        <w:fldChar w:fldCharType="begin"/>
      </w:r>
      <w:r w:rsidRPr="002F7727">
        <w:rPr>
          <w:noProof/>
        </w:rPr>
        <w:instrText xml:space="preserve"> PAGEREF _Toc208372547 \h </w:instrText>
      </w:r>
      <w:r w:rsidRPr="002F7727">
        <w:rPr>
          <w:noProof/>
        </w:rPr>
      </w:r>
      <w:r w:rsidRPr="002F7727">
        <w:rPr>
          <w:noProof/>
        </w:rPr>
        <w:fldChar w:fldCharType="separate"/>
      </w:r>
      <w:r w:rsidR="00F10C29">
        <w:rPr>
          <w:noProof/>
        </w:rPr>
        <w:t>4</w:t>
      </w:r>
      <w:r w:rsidRPr="002F7727">
        <w:rPr>
          <w:noProof/>
        </w:rPr>
        <w:fldChar w:fldCharType="end"/>
      </w:r>
    </w:p>
    <w:p w14:paraId="29DE07C8"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A2.</w:t>
      </w:r>
      <w:r w:rsidRPr="002F7727">
        <w:rPr>
          <w:rFonts w:asciiTheme="minorHAnsi" w:eastAsiaTheme="minorEastAsia" w:hAnsiTheme="minorHAnsi" w:cstheme="minorBidi"/>
          <w:noProof/>
          <w:lang w:eastAsia="ja-JP"/>
        </w:rPr>
        <w:tab/>
      </w:r>
      <w:r w:rsidRPr="002F7727">
        <w:rPr>
          <w:rFonts w:ascii="Times New Roman" w:hAnsi="Times New Roman"/>
          <w:noProof/>
        </w:rPr>
        <w:t>Purpose and Use of Information</w:t>
      </w:r>
      <w:r w:rsidRPr="002F7727">
        <w:rPr>
          <w:noProof/>
        </w:rPr>
        <w:tab/>
      </w:r>
      <w:r w:rsidRPr="002F7727">
        <w:rPr>
          <w:noProof/>
        </w:rPr>
        <w:fldChar w:fldCharType="begin"/>
      </w:r>
      <w:r w:rsidRPr="002F7727">
        <w:rPr>
          <w:noProof/>
        </w:rPr>
        <w:instrText xml:space="preserve"> PAGEREF _Toc208372548 \h </w:instrText>
      </w:r>
      <w:r w:rsidRPr="002F7727">
        <w:rPr>
          <w:noProof/>
        </w:rPr>
      </w:r>
      <w:r w:rsidRPr="002F7727">
        <w:rPr>
          <w:noProof/>
        </w:rPr>
        <w:fldChar w:fldCharType="separate"/>
      </w:r>
      <w:r w:rsidR="00F10C29">
        <w:rPr>
          <w:noProof/>
        </w:rPr>
        <w:t>5</w:t>
      </w:r>
      <w:r w:rsidRPr="002F7727">
        <w:rPr>
          <w:noProof/>
        </w:rPr>
        <w:fldChar w:fldCharType="end"/>
      </w:r>
    </w:p>
    <w:p w14:paraId="45DD5301"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A3.</w:t>
      </w:r>
      <w:r w:rsidRPr="002F7727">
        <w:rPr>
          <w:rFonts w:asciiTheme="minorHAnsi" w:eastAsiaTheme="minorEastAsia" w:hAnsiTheme="minorHAnsi" w:cstheme="minorBidi"/>
          <w:noProof/>
          <w:lang w:eastAsia="ja-JP"/>
        </w:rPr>
        <w:tab/>
      </w:r>
      <w:r w:rsidRPr="002F7727">
        <w:rPr>
          <w:rFonts w:ascii="Times New Roman" w:hAnsi="Times New Roman"/>
          <w:noProof/>
        </w:rPr>
        <w:t>Technological Collection Techniques</w:t>
      </w:r>
      <w:r w:rsidRPr="002F7727">
        <w:rPr>
          <w:noProof/>
        </w:rPr>
        <w:tab/>
      </w:r>
      <w:r w:rsidRPr="002F7727">
        <w:rPr>
          <w:noProof/>
        </w:rPr>
        <w:fldChar w:fldCharType="begin"/>
      </w:r>
      <w:r w:rsidRPr="002F7727">
        <w:rPr>
          <w:noProof/>
        </w:rPr>
        <w:instrText xml:space="preserve"> PAGEREF _Toc208372549 \h </w:instrText>
      </w:r>
      <w:r w:rsidRPr="002F7727">
        <w:rPr>
          <w:noProof/>
        </w:rPr>
      </w:r>
      <w:r w:rsidRPr="002F7727">
        <w:rPr>
          <w:noProof/>
        </w:rPr>
        <w:fldChar w:fldCharType="separate"/>
      </w:r>
      <w:r w:rsidR="00F10C29">
        <w:rPr>
          <w:noProof/>
        </w:rPr>
        <w:t>5</w:t>
      </w:r>
      <w:r w:rsidRPr="002F7727">
        <w:rPr>
          <w:noProof/>
        </w:rPr>
        <w:fldChar w:fldCharType="end"/>
      </w:r>
    </w:p>
    <w:p w14:paraId="56C634EA"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A4.</w:t>
      </w:r>
      <w:r w:rsidRPr="002F7727">
        <w:rPr>
          <w:rFonts w:asciiTheme="minorHAnsi" w:eastAsiaTheme="minorEastAsia" w:hAnsiTheme="minorHAnsi" w:cstheme="minorBidi"/>
          <w:noProof/>
          <w:lang w:eastAsia="ja-JP"/>
        </w:rPr>
        <w:tab/>
      </w:r>
      <w:r w:rsidRPr="002F7727">
        <w:rPr>
          <w:rFonts w:ascii="Times New Roman" w:hAnsi="Times New Roman"/>
          <w:noProof/>
        </w:rPr>
        <w:t>Identifying Duplication</w:t>
      </w:r>
      <w:r w:rsidRPr="002F7727">
        <w:rPr>
          <w:noProof/>
        </w:rPr>
        <w:tab/>
      </w:r>
      <w:r w:rsidR="001D1327">
        <w:rPr>
          <w:noProof/>
        </w:rPr>
        <w:t>6</w:t>
      </w:r>
    </w:p>
    <w:p w14:paraId="0CE8CFE6"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A5.</w:t>
      </w:r>
      <w:r w:rsidRPr="002F7727">
        <w:rPr>
          <w:rFonts w:asciiTheme="minorHAnsi" w:eastAsiaTheme="minorEastAsia" w:hAnsiTheme="minorHAnsi" w:cstheme="minorBidi"/>
          <w:noProof/>
          <w:lang w:eastAsia="ja-JP"/>
        </w:rPr>
        <w:tab/>
      </w:r>
      <w:r w:rsidRPr="002F7727">
        <w:rPr>
          <w:rFonts w:ascii="Times New Roman" w:hAnsi="Times New Roman"/>
          <w:noProof/>
        </w:rPr>
        <w:t>Impact on Small Businesses</w:t>
      </w:r>
      <w:r w:rsidRPr="002F7727">
        <w:rPr>
          <w:noProof/>
        </w:rPr>
        <w:tab/>
      </w:r>
      <w:r w:rsidRPr="002F7727">
        <w:rPr>
          <w:noProof/>
        </w:rPr>
        <w:fldChar w:fldCharType="begin"/>
      </w:r>
      <w:r w:rsidRPr="002F7727">
        <w:rPr>
          <w:noProof/>
        </w:rPr>
        <w:instrText xml:space="preserve"> PAGEREF _Toc208372551 \h </w:instrText>
      </w:r>
      <w:r w:rsidRPr="002F7727">
        <w:rPr>
          <w:noProof/>
        </w:rPr>
      </w:r>
      <w:r w:rsidRPr="002F7727">
        <w:rPr>
          <w:noProof/>
        </w:rPr>
        <w:fldChar w:fldCharType="separate"/>
      </w:r>
      <w:r w:rsidR="00F10C29">
        <w:rPr>
          <w:noProof/>
        </w:rPr>
        <w:t>6</w:t>
      </w:r>
      <w:r w:rsidRPr="002F7727">
        <w:rPr>
          <w:noProof/>
        </w:rPr>
        <w:fldChar w:fldCharType="end"/>
      </w:r>
    </w:p>
    <w:p w14:paraId="5A7C6AB1"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A6.</w:t>
      </w:r>
      <w:r w:rsidRPr="002F7727">
        <w:rPr>
          <w:rFonts w:asciiTheme="minorHAnsi" w:eastAsiaTheme="minorEastAsia" w:hAnsiTheme="minorHAnsi" w:cstheme="minorBidi"/>
          <w:noProof/>
          <w:lang w:eastAsia="ja-JP"/>
        </w:rPr>
        <w:tab/>
      </w:r>
      <w:r w:rsidRPr="002F7727">
        <w:rPr>
          <w:rFonts w:ascii="Times New Roman" w:hAnsi="Times New Roman"/>
          <w:noProof/>
        </w:rPr>
        <w:t>Consequences of Less Frequent Data Collection</w:t>
      </w:r>
      <w:r w:rsidRPr="002F7727">
        <w:rPr>
          <w:noProof/>
        </w:rPr>
        <w:tab/>
      </w:r>
      <w:r w:rsidRPr="002F7727">
        <w:rPr>
          <w:noProof/>
        </w:rPr>
        <w:fldChar w:fldCharType="begin"/>
      </w:r>
      <w:r w:rsidRPr="002F7727">
        <w:rPr>
          <w:noProof/>
        </w:rPr>
        <w:instrText xml:space="preserve"> PAGEREF _Toc208372552 \h </w:instrText>
      </w:r>
      <w:r w:rsidRPr="002F7727">
        <w:rPr>
          <w:noProof/>
        </w:rPr>
      </w:r>
      <w:r w:rsidRPr="002F7727">
        <w:rPr>
          <w:noProof/>
        </w:rPr>
        <w:fldChar w:fldCharType="separate"/>
      </w:r>
      <w:r w:rsidR="00F10C29">
        <w:rPr>
          <w:noProof/>
        </w:rPr>
        <w:t>7</w:t>
      </w:r>
      <w:r w:rsidRPr="002F7727">
        <w:rPr>
          <w:noProof/>
        </w:rPr>
        <w:fldChar w:fldCharType="end"/>
      </w:r>
    </w:p>
    <w:p w14:paraId="7215F4B8"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A7.</w:t>
      </w:r>
      <w:r w:rsidRPr="002F7727">
        <w:rPr>
          <w:rFonts w:asciiTheme="minorHAnsi" w:eastAsiaTheme="minorEastAsia" w:hAnsiTheme="minorHAnsi" w:cstheme="minorBidi"/>
          <w:noProof/>
          <w:lang w:eastAsia="ja-JP"/>
        </w:rPr>
        <w:tab/>
      </w:r>
      <w:r w:rsidRPr="002F7727">
        <w:rPr>
          <w:rFonts w:ascii="Times New Roman" w:hAnsi="Times New Roman"/>
          <w:noProof/>
        </w:rPr>
        <w:t>Special Circumstances</w:t>
      </w:r>
      <w:r w:rsidRPr="002F7727">
        <w:rPr>
          <w:noProof/>
        </w:rPr>
        <w:tab/>
      </w:r>
      <w:r w:rsidR="00DD3715">
        <w:rPr>
          <w:noProof/>
        </w:rPr>
        <w:t>7</w:t>
      </w:r>
    </w:p>
    <w:p w14:paraId="4F5A30AD"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A8.</w:t>
      </w:r>
      <w:r w:rsidRPr="002F7727">
        <w:rPr>
          <w:rFonts w:asciiTheme="minorHAnsi" w:eastAsiaTheme="minorEastAsia" w:hAnsiTheme="minorHAnsi" w:cstheme="minorBidi"/>
          <w:noProof/>
          <w:lang w:eastAsia="ja-JP"/>
        </w:rPr>
        <w:tab/>
      </w:r>
      <w:r w:rsidRPr="002F7727">
        <w:rPr>
          <w:rFonts w:ascii="Times New Roman" w:hAnsi="Times New Roman"/>
          <w:noProof/>
        </w:rPr>
        <w:t>CMS Federal Register Notice</w:t>
      </w:r>
      <w:r w:rsidRPr="002F7727">
        <w:rPr>
          <w:noProof/>
        </w:rPr>
        <w:tab/>
      </w:r>
      <w:r w:rsidR="00045414">
        <w:rPr>
          <w:noProof/>
        </w:rPr>
        <w:t>7</w:t>
      </w:r>
    </w:p>
    <w:p w14:paraId="520A442C" w14:textId="77777777" w:rsidR="00A67DE5" w:rsidRPr="002F7727" w:rsidRDefault="00A67DE5">
      <w:pPr>
        <w:pStyle w:val="TOC2"/>
        <w:tabs>
          <w:tab w:val="left" w:pos="1313"/>
        </w:tabs>
        <w:rPr>
          <w:rFonts w:asciiTheme="minorHAnsi" w:eastAsiaTheme="minorEastAsia" w:hAnsiTheme="minorHAnsi" w:cstheme="minorBidi"/>
          <w:noProof/>
          <w:lang w:eastAsia="ja-JP"/>
        </w:rPr>
      </w:pPr>
      <w:r w:rsidRPr="002F7727">
        <w:rPr>
          <w:rFonts w:ascii="Times New Roman" w:hAnsi="Times New Roman"/>
          <w:noProof/>
        </w:rPr>
        <w:t>A9.</w:t>
      </w:r>
      <w:r w:rsidRPr="002F7727">
        <w:rPr>
          <w:rFonts w:asciiTheme="minorHAnsi" w:eastAsiaTheme="minorEastAsia" w:hAnsiTheme="minorHAnsi" w:cstheme="minorBidi"/>
          <w:noProof/>
          <w:lang w:eastAsia="ja-JP"/>
        </w:rPr>
        <w:tab/>
      </w:r>
      <w:r w:rsidRPr="002F7727">
        <w:rPr>
          <w:rFonts w:ascii="Times New Roman" w:hAnsi="Times New Roman"/>
          <w:noProof/>
        </w:rPr>
        <w:t>Respondent Payments or Gifts</w:t>
      </w:r>
      <w:r w:rsidRPr="002F7727">
        <w:rPr>
          <w:noProof/>
        </w:rPr>
        <w:tab/>
      </w:r>
      <w:r w:rsidR="00045414">
        <w:rPr>
          <w:noProof/>
        </w:rPr>
        <w:t>7</w:t>
      </w:r>
    </w:p>
    <w:p w14:paraId="6EE63854"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A10.</w:t>
      </w:r>
      <w:r w:rsidRPr="002F7727">
        <w:rPr>
          <w:rFonts w:asciiTheme="minorHAnsi" w:eastAsiaTheme="minorEastAsia" w:hAnsiTheme="minorHAnsi" w:cstheme="minorBidi"/>
          <w:noProof/>
          <w:lang w:eastAsia="ja-JP"/>
        </w:rPr>
        <w:tab/>
      </w:r>
      <w:r w:rsidRPr="002F7727">
        <w:rPr>
          <w:rFonts w:ascii="Times New Roman" w:hAnsi="Times New Roman"/>
          <w:noProof/>
        </w:rPr>
        <w:t>Assurance of Confidentiality</w:t>
      </w:r>
      <w:r w:rsidRPr="002F7727">
        <w:rPr>
          <w:noProof/>
        </w:rPr>
        <w:tab/>
      </w:r>
      <w:r w:rsidR="001D1327">
        <w:rPr>
          <w:noProof/>
        </w:rPr>
        <w:t>7</w:t>
      </w:r>
    </w:p>
    <w:p w14:paraId="110BE162"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A11.</w:t>
      </w:r>
      <w:r w:rsidRPr="002F7727">
        <w:rPr>
          <w:rFonts w:asciiTheme="minorHAnsi" w:eastAsiaTheme="minorEastAsia" w:hAnsiTheme="minorHAnsi" w:cstheme="minorBidi"/>
          <w:noProof/>
          <w:lang w:eastAsia="ja-JP"/>
        </w:rPr>
        <w:tab/>
      </w:r>
      <w:r w:rsidRPr="002F7727">
        <w:rPr>
          <w:rFonts w:ascii="Times New Roman" w:hAnsi="Times New Roman"/>
          <w:noProof/>
        </w:rPr>
        <w:t>Sensitive Questions</w:t>
      </w:r>
      <w:r w:rsidRPr="002F7727">
        <w:rPr>
          <w:noProof/>
        </w:rPr>
        <w:tab/>
      </w:r>
      <w:r w:rsidR="001D1327">
        <w:rPr>
          <w:noProof/>
        </w:rPr>
        <w:t>7</w:t>
      </w:r>
    </w:p>
    <w:p w14:paraId="0FD2319D"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A12.</w:t>
      </w:r>
      <w:r w:rsidRPr="002F7727">
        <w:rPr>
          <w:rFonts w:asciiTheme="minorHAnsi" w:eastAsiaTheme="minorEastAsia" w:hAnsiTheme="minorHAnsi" w:cstheme="minorBidi"/>
          <w:noProof/>
          <w:lang w:eastAsia="ja-JP"/>
        </w:rPr>
        <w:tab/>
      </w:r>
      <w:r w:rsidRPr="002F7727">
        <w:rPr>
          <w:rFonts w:ascii="Times New Roman" w:hAnsi="Times New Roman"/>
          <w:noProof/>
        </w:rPr>
        <w:t>Burden of Information Collection</w:t>
      </w:r>
      <w:r w:rsidRPr="002F7727">
        <w:rPr>
          <w:noProof/>
        </w:rPr>
        <w:tab/>
      </w:r>
      <w:r w:rsidRPr="002F7727">
        <w:rPr>
          <w:noProof/>
        </w:rPr>
        <w:fldChar w:fldCharType="begin"/>
      </w:r>
      <w:r w:rsidRPr="002F7727">
        <w:rPr>
          <w:noProof/>
        </w:rPr>
        <w:instrText xml:space="preserve"> PAGEREF _Toc208372558 \h </w:instrText>
      </w:r>
      <w:r w:rsidRPr="002F7727">
        <w:rPr>
          <w:noProof/>
        </w:rPr>
      </w:r>
      <w:r w:rsidRPr="002F7727">
        <w:rPr>
          <w:noProof/>
        </w:rPr>
        <w:fldChar w:fldCharType="separate"/>
      </w:r>
      <w:r w:rsidR="00F10C29">
        <w:rPr>
          <w:noProof/>
        </w:rPr>
        <w:t>7</w:t>
      </w:r>
      <w:r w:rsidRPr="002F7727">
        <w:rPr>
          <w:noProof/>
        </w:rPr>
        <w:fldChar w:fldCharType="end"/>
      </w:r>
    </w:p>
    <w:p w14:paraId="0DC612AE"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color w:val="000000" w:themeColor="text1"/>
        </w:rPr>
        <w:t>A13.</w:t>
      </w:r>
      <w:r w:rsidRPr="002F7727">
        <w:rPr>
          <w:rFonts w:asciiTheme="minorHAnsi" w:eastAsiaTheme="minorEastAsia" w:hAnsiTheme="minorHAnsi" w:cstheme="minorBidi"/>
          <w:noProof/>
          <w:lang w:eastAsia="ja-JP"/>
        </w:rPr>
        <w:tab/>
      </w:r>
      <w:r w:rsidRPr="002F7727">
        <w:rPr>
          <w:rFonts w:ascii="Times New Roman" w:hAnsi="Times New Roman"/>
          <w:noProof/>
          <w:color w:val="000000" w:themeColor="text1"/>
        </w:rPr>
        <w:t>Capital Costs</w:t>
      </w:r>
      <w:r w:rsidRPr="002F7727">
        <w:rPr>
          <w:noProof/>
        </w:rPr>
        <w:tab/>
      </w:r>
      <w:r w:rsidR="001D1327">
        <w:rPr>
          <w:noProof/>
        </w:rPr>
        <w:t>9</w:t>
      </w:r>
    </w:p>
    <w:p w14:paraId="02C74AFF"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color w:val="000000" w:themeColor="text1"/>
        </w:rPr>
        <w:t>A14.</w:t>
      </w:r>
      <w:r w:rsidRPr="002F7727">
        <w:rPr>
          <w:rFonts w:asciiTheme="minorHAnsi" w:eastAsiaTheme="minorEastAsia" w:hAnsiTheme="minorHAnsi" w:cstheme="minorBidi"/>
          <w:noProof/>
          <w:lang w:eastAsia="ja-JP"/>
        </w:rPr>
        <w:tab/>
      </w:r>
      <w:r w:rsidRPr="002F7727">
        <w:rPr>
          <w:rFonts w:ascii="Times New Roman" w:hAnsi="Times New Roman"/>
          <w:noProof/>
          <w:color w:val="000000" w:themeColor="text1"/>
        </w:rPr>
        <w:t>Cost to the Federal Government</w:t>
      </w:r>
      <w:r w:rsidRPr="002F7727">
        <w:rPr>
          <w:noProof/>
        </w:rPr>
        <w:tab/>
      </w:r>
      <w:r w:rsidR="001D1327">
        <w:rPr>
          <w:noProof/>
        </w:rPr>
        <w:t>9</w:t>
      </w:r>
    </w:p>
    <w:p w14:paraId="3294CB70"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A15.</w:t>
      </w:r>
      <w:r w:rsidRPr="002F7727">
        <w:rPr>
          <w:rFonts w:asciiTheme="minorHAnsi" w:eastAsiaTheme="minorEastAsia" w:hAnsiTheme="minorHAnsi" w:cstheme="minorBidi"/>
          <w:noProof/>
          <w:lang w:eastAsia="ja-JP"/>
        </w:rPr>
        <w:tab/>
      </w:r>
      <w:r w:rsidRPr="002F7727">
        <w:rPr>
          <w:rFonts w:ascii="Times New Roman" w:hAnsi="Times New Roman"/>
          <w:noProof/>
        </w:rPr>
        <w:t>Program Changes or Adjustments to Annual Burden</w:t>
      </w:r>
      <w:r w:rsidRPr="002F7727">
        <w:rPr>
          <w:noProof/>
        </w:rPr>
        <w:tab/>
      </w:r>
      <w:r w:rsidR="001D1327">
        <w:rPr>
          <w:noProof/>
        </w:rPr>
        <w:t>9</w:t>
      </w:r>
    </w:p>
    <w:p w14:paraId="114D6760"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A16.</w:t>
      </w:r>
      <w:r w:rsidRPr="002F7727">
        <w:rPr>
          <w:rFonts w:asciiTheme="minorHAnsi" w:eastAsiaTheme="minorEastAsia" w:hAnsiTheme="minorHAnsi" w:cstheme="minorBidi"/>
          <w:noProof/>
          <w:lang w:eastAsia="ja-JP"/>
        </w:rPr>
        <w:tab/>
      </w:r>
      <w:r w:rsidRPr="002F7727">
        <w:rPr>
          <w:rFonts w:ascii="Times New Roman" w:hAnsi="Times New Roman"/>
          <w:noProof/>
        </w:rPr>
        <w:t>Tabulation and Publication of Results</w:t>
      </w:r>
      <w:r w:rsidRPr="002F7727">
        <w:rPr>
          <w:noProof/>
        </w:rPr>
        <w:tab/>
      </w:r>
      <w:r w:rsidR="00DD3715">
        <w:rPr>
          <w:noProof/>
        </w:rPr>
        <w:t>10</w:t>
      </w:r>
    </w:p>
    <w:p w14:paraId="618396A1"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A17.</w:t>
      </w:r>
      <w:r w:rsidRPr="002F7727">
        <w:rPr>
          <w:rFonts w:asciiTheme="minorHAnsi" w:eastAsiaTheme="minorEastAsia" w:hAnsiTheme="minorHAnsi" w:cstheme="minorBidi"/>
          <w:noProof/>
          <w:lang w:eastAsia="ja-JP"/>
        </w:rPr>
        <w:tab/>
      </w:r>
      <w:r w:rsidRPr="002F7727">
        <w:rPr>
          <w:rFonts w:ascii="Times New Roman" w:hAnsi="Times New Roman"/>
          <w:noProof/>
        </w:rPr>
        <w:t>Display of OMB Expiration Date</w:t>
      </w:r>
      <w:r w:rsidRPr="002F7727">
        <w:rPr>
          <w:noProof/>
        </w:rPr>
        <w:tab/>
      </w:r>
      <w:r w:rsidR="00DD3715">
        <w:rPr>
          <w:noProof/>
        </w:rPr>
        <w:t>11</w:t>
      </w:r>
    </w:p>
    <w:p w14:paraId="103686A4" w14:textId="77777777" w:rsidR="00A67DE5" w:rsidRPr="002F7727" w:rsidRDefault="00A67DE5">
      <w:pPr>
        <w:pStyle w:val="TOC2"/>
        <w:tabs>
          <w:tab w:val="left" w:pos="1433"/>
        </w:tabs>
        <w:rPr>
          <w:rFonts w:asciiTheme="minorHAnsi" w:eastAsiaTheme="minorEastAsia" w:hAnsiTheme="minorHAnsi" w:cstheme="minorBidi"/>
          <w:noProof/>
          <w:lang w:eastAsia="ja-JP"/>
        </w:rPr>
      </w:pPr>
      <w:r w:rsidRPr="002F7727">
        <w:rPr>
          <w:rFonts w:ascii="Times New Roman" w:hAnsi="Times New Roman"/>
          <w:noProof/>
        </w:rPr>
        <w:t>A18.</w:t>
      </w:r>
      <w:r w:rsidRPr="002F7727">
        <w:rPr>
          <w:rFonts w:asciiTheme="minorHAnsi" w:eastAsiaTheme="minorEastAsia" w:hAnsiTheme="minorHAnsi" w:cstheme="minorBidi"/>
          <w:noProof/>
          <w:lang w:eastAsia="ja-JP"/>
        </w:rPr>
        <w:tab/>
      </w:r>
      <w:r w:rsidRPr="002F7727">
        <w:rPr>
          <w:rFonts w:ascii="Times New Roman" w:hAnsi="Times New Roman"/>
          <w:noProof/>
        </w:rPr>
        <w:t>Exceptions to the Certification Statement</w:t>
      </w:r>
      <w:r w:rsidRPr="002F7727">
        <w:rPr>
          <w:noProof/>
        </w:rPr>
        <w:tab/>
      </w:r>
      <w:r w:rsidR="00DD3715">
        <w:rPr>
          <w:noProof/>
        </w:rPr>
        <w:t>11</w:t>
      </w:r>
    </w:p>
    <w:p w14:paraId="16D8077D" w14:textId="77777777" w:rsidR="00A67DE5" w:rsidRPr="00634FA0" w:rsidRDefault="00A67DE5" w:rsidP="00A67DE5">
      <w:pPr>
        <w:sectPr w:rsidR="00A67DE5" w:rsidRPr="00634FA0" w:rsidSect="000E38BB">
          <w:headerReference w:type="first" r:id="rId12"/>
          <w:footerReference w:type="first" r:id="rId13"/>
          <w:pgSz w:w="12240" w:h="15840"/>
          <w:pgMar w:top="1440" w:right="1440" w:bottom="1440" w:left="1440" w:header="720" w:footer="720" w:gutter="0"/>
          <w:pgNumType w:fmt="lowerRoman" w:start="3"/>
          <w:cols w:space="720"/>
          <w:titlePg/>
          <w:docGrid w:linePitch="360"/>
        </w:sectPr>
      </w:pPr>
      <w:r w:rsidRPr="002F7727">
        <w:rPr>
          <w:b/>
          <w:bCs/>
          <w:noProof/>
        </w:rPr>
        <w:fldChar w:fldCharType="end"/>
      </w:r>
    </w:p>
    <w:p w14:paraId="78A40BF1" w14:textId="77777777" w:rsidR="00A67DE5" w:rsidRPr="005906F0" w:rsidRDefault="00A67DE5" w:rsidP="00A67DE5">
      <w:pPr>
        <w:pStyle w:val="Heading1"/>
        <w:jc w:val="center"/>
        <w:rPr>
          <w:sz w:val="28"/>
          <w:szCs w:val="28"/>
        </w:rPr>
      </w:pPr>
      <w:bookmarkStart w:id="0" w:name="_Toc208372544"/>
      <w:r w:rsidRPr="005906F0">
        <w:rPr>
          <w:sz w:val="28"/>
          <w:szCs w:val="28"/>
        </w:rPr>
        <w:lastRenderedPageBreak/>
        <w:t>SUPPORTING STATEMENT</w:t>
      </w:r>
      <w:bookmarkEnd w:id="0"/>
      <w:r w:rsidR="00536405">
        <w:rPr>
          <w:sz w:val="28"/>
          <w:szCs w:val="28"/>
        </w:rPr>
        <w:t xml:space="preserve"> A</w:t>
      </w:r>
    </w:p>
    <w:p w14:paraId="486B0BF8" w14:textId="77777777" w:rsidR="00A67DE5" w:rsidRPr="00634FA0" w:rsidRDefault="003165CC" w:rsidP="003165CC">
      <w:pPr>
        <w:jc w:val="center"/>
      </w:pPr>
      <w:r w:rsidRPr="003165CC">
        <w:rPr>
          <w:b/>
          <w:caps/>
        </w:rPr>
        <w:t xml:space="preserve">Emergency Department Patient Experience of Care </w:t>
      </w:r>
      <w:r w:rsidR="00536405">
        <w:rPr>
          <w:b/>
          <w:caps/>
        </w:rPr>
        <w:t xml:space="preserve">(EDPEC) </w:t>
      </w:r>
      <w:r w:rsidRPr="003165CC">
        <w:rPr>
          <w:b/>
          <w:caps/>
        </w:rPr>
        <w:t>Survey</w:t>
      </w:r>
      <w:r w:rsidR="00A40912">
        <w:rPr>
          <w:b/>
          <w:caps/>
        </w:rPr>
        <w:t xml:space="preserve"> MODE EXPERIMENTS</w:t>
      </w:r>
    </w:p>
    <w:p w14:paraId="4DB706D4" w14:textId="77777777" w:rsidR="003165CC" w:rsidRDefault="003165CC" w:rsidP="00A67DE5">
      <w:pPr>
        <w:pStyle w:val="Heading1"/>
      </w:pPr>
      <w:bookmarkStart w:id="1" w:name="_Toc208372545"/>
    </w:p>
    <w:p w14:paraId="018DD5C6" w14:textId="77777777" w:rsidR="00A67DE5" w:rsidRPr="00C91747" w:rsidRDefault="00242C8F" w:rsidP="00A67DE5">
      <w:pPr>
        <w:pStyle w:val="Heading1"/>
      </w:pPr>
      <w:r>
        <w:t>Background</w:t>
      </w:r>
      <w:bookmarkEnd w:id="1"/>
    </w:p>
    <w:p w14:paraId="394ECFD7" w14:textId="77777777" w:rsidR="00A67DE5" w:rsidRDefault="00A67DE5" w:rsidP="00A67DE5"/>
    <w:p w14:paraId="1F884CD1" w14:textId="77777777" w:rsidR="00F2497A" w:rsidRPr="003165CC" w:rsidRDefault="00F2497A" w:rsidP="00F2497A">
      <w:pPr>
        <w:spacing w:after="200" w:line="23" w:lineRule="atLeast"/>
      </w:pPr>
      <w:r w:rsidRPr="003165CC">
        <w:t xml:space="preserve">The Centers for Medicare &amp; Medicaid Services (CMS) requests </w:t>
      </w:r>
      <w:r w:rsidRPr="00211C1D">
        <w:t xml:space="preserve">a </w:t>
      </w:r>
      <w:r w:rsidR="00347C51">
        <w:t>three</w:t>
      </w:r>
      <w:r w:rsidRPr="00211C1D">
        <w:t>-year clearance</w:t>
      </w:r>
      <w:r w:rsidRPr="003165CC">
        <w:t xml:space="preserve"> from the Office of Management and Budget (OMB) under the Paperwork Reduction Act of 1995 to implement the </w:t>
      </w:r>
      <w:r w:rsidR="003165CC" w:rsidRPr="003165CC">
        <w:t xml:space="preserve">experiments described </w:t>
      </w:r>
      <w:r w:rsidR="009F516D">
        <w:t>herein to address questions about the feasibility of national implementation of the EDPEC Survey</w:t>
      </w:r>
      <w:r w:rsidRPr="003165CC">
        <w:t>.</w:t>
      </w:r>
    </w:p>
    <w:p w14:paraId="4AF7A778" w14:textId="56C5DD22" w:rsidR="00F2497A" w:rsidRDefault="00477E25" w:rsidP="00E42001">
      <w:r w:rsidRPr="00847651">
        <w:t xml:space="preserve">As the leading organization spearheading national implementation of patient experience </w:t>
      </w:r>
      <w:r>
        <w:t>of</w:t>
      </w:r>
      <w:r w:rsidRPr="00847651">
        <w:t xml:space="preserve"> care surveys, the Centers for Medicare &amp; Medicaid Services (CMS) has made considerable investments in developing and testing the Emergency Department Patient Experien</w:t>
      </w:r>
      <w:r>
        <w:t>ce of Care (EDPEC</w:t>
      </w:r>
      <w:r w:rsidRPr="00847651">
        <w:t>)</w:t>
      </w:r>
      <w:r>
        <w:t xml:space="preserve"> Survey</w:t>
      </w:r>
      <w:r w:rsidRPr="00847651">
        <w:t xml:space="preserve">. This work comprises a key contribution that CMS makes to one of the six priorities included in the Department of Health and Human Services’ National Quality Strategy – ensuring patient and family engagement in care – and thus to the implementation of </w:t>
      </w:r>
      <w:r w:rsidRPr="00524C15">
        <w:t xml:space="preserve">the Affordable Care Act. </w:t>
      </w:r>
      <w:r w:rsidR="00E42001" w:rsidRPr="00524C15">
        <w:t xml:space="preserve">Under Contract Number </w:t>
      </w:r>
      <w:r w:rsidR="00524C15" w:rsidRPr="00524C15">
        <w:rPr>
          <w:rFonts w:eastAsiaTheme="minorEastAsia"/>
        </w:rPr>
        <w:t>HHSM-500-2014-00421G</w:t>
      </w:r>
      <w:r w:rsidR="00E42001" w:rsidRPr="00524C15">
        <w:t xml:space="preserve">, </w:t>
      </w:r>
      <w:r w:rsidRPr="00524C15">
        <w:t>CMS now</w:t>
      </w:r>
      <w:r w:rsidRPr="00847651">
        <w:t xml:space="preserve"> seeks to test methods for supporting </w:t>
      </w:r>
      <w:r w:rsidR="009F516D">
        <w:t xml:space="preserve">possible </w:t>
      </w:r>
      <w:r w:rsidRPr="00847651">
        <w:t xml:space="preserve">national implementation of </w:t>
      </w:r>
      <w:r>
        <w:t xml:space="preserve">the </w:t>
      </w:r>
      <w:r w:rsidRPr="00847651">
        <w:t>EDPEC</w:t>
      </w:r>
      <w:r>
        <w:t xml:space="preserve"> </w:t>
      </w:r>
      <w:r w:rsidRPr="00847651">
        <w:t>S</w:t>
      </w:r>
      <w:r>
        <w:t>urvey</w:t>
      </w:r>
      <w:r w:rsidRPr="00847651">
        <w:t xml:space="preserve"> and ensuring that it complements Hospital </w:t>
      </w:r>
      <w:r w:rsidR="00C73AC3" w:rsidRPr="00E42001">
        <w:t>Consumer Assessment of Healthcare Providers and Systems</w:t>
      </w:r>
      <w:r w:rsidR="00C73AC3" w:rsidRPr="00847651">
        <w:t xml:space="preserve"> </w:t>
      </w:r>
      <w:r w:rsidRPr="00847651">
        <w:t xml:space="preserve">(HCAHPS) efforts. </w:t>
      </w:r>
      <w:r w:rsidRPr="00477E25">
        <w:t xml:space="preserve">The surveys will include patients </w:t>
      </w:r>
      <w:r w:rsidR="00EA06CE">
        <w:t>admitted to the hospital following their emergency department visit</w:t>
      </w:r>
      <w:r w:rsidR="00F2497A" w:rsidRPr="00477E25">
        <w:t xml:space="preserve"> and those </w:t>
      </w:r>
      <w:r w:rsidR="00E42001">
        <w:t xml:space="preserve">visiting the emergency department who are </w:t>
      </w:r>
      <w:r w:rsidR="00F2497A" w:rsidRPr="00477E25">
        <w:t>discharged to the community (also known as “treat and release” emergency room visits).</w:t>
      </w:r>
    </w:p>
    <w:p w14:paraId="19E0939E" w14:textId="77777777" w:rsidR="00A67DE5" w:rsidRDefault="00A67DE5" w:rsidP="00A67DE5"/>
    <w:p w14:paraId="578BD2E3" w14:textId="76914FCE" w:rsidR="002D0DAB" w:rsidRDefault="002D0DAB" w:rsidP="00A67DE5">
      <w:r w:rsidRPr="002D0DAB">
        <w:t>This request seeks approval of 922.8 hours of respondent burden to assess patient experiences. These hours are required to (1) assess patient experiences at the respondent level; (2) provide sufficient response to generate emergency department-level estimates of experiences; (3) allow for a test of mode of inpatient survey administration (mail only; telephone only; combined mail/telephone; and</w:t>
      </w:r>
      <w:r w:rsidR="00593AFF">
        <w:t xml:space="preserve"> interactive voice recognition</w:t>
      </w:r>
      <w:r w:rsidRPr="002D0DAB">
        <w:t xml:space="preserve"> IVR); (4) allow for a test of mode of discharged to community survey administration (feasibility of in ED distribution as compared to combined mail/telephone); (5) allow for a test of two different versions of a survey to be used in combination with HCAHPS with patients admitted to the hospital as a result of their ED visit; and (6) allow for an examination of the impact of proxy response on response rates and patterns.</w:t>
      </w:r>
    </w:p>
    <w:p w14:paraId="2A263B0A" w14:textId="77777777" w:rsidR="002D0DAB" w:rsidRDefault="002D0DAB" w:rsidP="00A67DE5"/>
    <w:p w14:paraId="17B3A9AE" w14:textId="77777777" w:rsidR="00A67DE5" w:rsidRPr="00EF52AE" w:rsidRDefault="00A67DE5" w:rsidP="00A67DE5">
      <w:pPr>
        <w:pStyle w:val="Heading1"/>
        <w:jc w:val="center"/>
      </w:pPr>
      <w:bookmarkStart w:id="2" w:name="_Toc208372546"/>
      <w:r w:rsidRPr="00EF52AE">
        <w:t>A.</w:t>
      </w:r>
      <w:r w:rsidRPr="00EF52AE">
        <w:tab/>
        <w:t>Justification</w:t>
      </w:r>
      <w:bookmarkEnd w:id="2"/>
    </w:p>
    <w:p w14:paraId="628130C8" w14:textId="77777777" w:rsidR="00A67DE5" w:rsidRDefault="00A67DE5" w:rsidP="00A67DE5">
      <w:pPr>
        <w:tabs>
          <w:tab w:val="left" w:pos="540"/>
        </w:tabs>
      </w:pPr>
    </w:p>
    <w:p w14:paraId="113947D2" w14:textId="77777777" w:rsidR="00A67DE5" w:rsidRPr="00EF52AE" w:rsidRDefault="00A67DE5" w:rsidP="00A67DE5">
      <w:pPr>
        <w:pStyle w:val="Heading2"/>
        <w:rPr>
          <w:rFonts w:ascii="Times New Roman" w:hAnsi="Times New Roman"/>
        </w:rPr>
      </w:pPr>
      <w:bookmarkStart w:id="3" w:name="_Toc208372547"/>
      <w:r w:rsidRPr="00EF52AE">
        <w:rPr>
          <w:rFonts w:ascii="Times New Roman" w:hAnsi="Times New Roman"/>
        </w:rPr>
        <w:t>A1.</w:t>
      </w:r>
      <w:r w:rsidRPr="00EF52AE">
        <w:rPr>
          <w:rFonts w:ascii="Times New Roman" w:hAnsi="Times New Roman"/>
        </w:rPr>
        <w:tab/>
        <w:t>Necessity of Information Collection</w:t>
      </w:r>
      <w:bookmarkEnd w:id="3"/>
    </w:p>
    <w:p w14:paraId="5D84EAA0" w14:textId="77777777" w:rsidR="00A67DE5" w:rsidRDefault="00A67DE5" w:rsidP="00A67DE5">
      <w:pPr>
        <w:tabs>
          <w:tab w:val="left" w:pos="540"/>
        </w:tabs>
      </w:pPr>
    </w:p>
    <w:p w14:paraId="4F29E3D3" w14:textId="77777777" w:rsidR="000E38BB" w:rsidRPr="009C3F9D" w:rsidRDefault="00585877" w:rsidP="002E2B87">
      <w:pPr>
        <w:spacing w:after="240"/>
      </w:pPr>
      <w:r w:rsidRPr="009C3F9D">
        <w:t xml:space="preserve">The Centers for Medicare &amp; Medicaid Services (CMS) has already implemented patient experience surveys in a number of settings including </w:t>
      </w:r>
      <w:r w:rsidR="00842A44">
        <w:t xml:space="preserve">Original </w:t>
      </w:r>
      <w:r w:rsidRPr="009C3F9D">
        <w:t>Medicare, Medicare Advantage, and Part D Prescription Drug Plans, hospitals, home health agencies</w:t>
      </w:r>
      <w:r w:rsidR="00842A44">
        <w:t>, in-center hemodialysis facilities and hospices</w:t>
      </w:r>
      <w:r w:rsidRPr="009C3F9D">
        <w:t xml:space="preserve">. </w:t>
      </w:r>
      <w:r w:rsidR="002E2B87" w:rsidRPr="009C3F9D">
        <w:t>Other Consumer Assessment of Healthcare Pro</w:t>
      </w:r>
      <w:r w:rsidR="00BA570C" w:rsidRPr="009C3F9D">
        <w:t>viders and Systems (CAHPS</w:t>
      </w:r>
      <w:r w:rsidR="002E2B87" w:rsidRPr="009C3F9D">
        <w:t xml:space="preserve">) surveys exist for nursing homes and physician practices. However, the emergency room is a unique environment within the health care system, bridging the world of outpatient and inpatient care. </w:t>
      </w:r>
    </w:p>
    <w:p w14:paraId="1515FE7B" w14:textId="18A38FEC" w:rsidR="009C3F9D" w:rsidRDefault="00C65641" w:rsidP="00B579A6">
      <w:r w:rsidRPr="009C3F9D">
        <w:t xml:space="preserve">In particular, the emergency </w:t>
      </w:r>
      <w:r w:rsidR="009F516D">
        <w:t>department</w:t>
      </w:r>
      <w:r w:rsidR="009F516D" w:rsidRPr="009C3F9D">
        <w:t xml:space="preserve"> </w:t>
      </w:r>
      <w:r w:rsidRPr="009C3F9D">
        <w:t xml:space="preserve">is a pivotal arena for the provision of acute care services, handling 28 percent of all acute care visits in the U.S., half of all such visits by </w:t>
      </w:r>
      <w:r w:rsidRPr="00F10C29">
        <w:t xml:space="preserve">Medicaid and SCHIP beneficiaries, and nearly two-thirds of such visits among the uninsured. In addition, </w:t>
      </w:r>
      <w:r w:rsidR="003113AF" w:rsidRPr="00F10C29">
        <w:t>the emergency department is the portal of entry for nearly half of all hospital admissions (Pines et al 2013).</w:t>
      </w:r>
      <w:r w:rsidRPr="00F10C29">
        <w:t xml:space="preserve"> Further, under EMTALA – the Emergency Medical Treatment and Active Labor Act of 1986 – everyone who comes to an</w:t>
      </w:r>
      <w:r w:rsidRPr="009C3F9D">
        <w:t xml:space="preserve"> emergency </w:t>
      </w:r>
      <w:r w:rsidR="009F516D">
        <w:t>department</w:t>
      </w:r>
      <w:r w:rsidR="009F516D" w:rsidRPr="009C3F9D">
        <w:t xml:space="preserve"> </w:t>
      </w:r>
      <w:r w:rsidRPr="009C3F9D">
        <w:t>for ca</w:t>
      </w:r>
      <w:bookmarkStart w:id="4" w:name="_GoBack"/>
      <w:bookmarkEnd w:id="4"/>
      <w:r w:rsidRPr="009C3F9D">
        <w:t>re is entitled to a screening exam and stabilizing treatment (including hospitalization if needed) without regard for their ability to pay</w:t>
      </w:r>
      <w:r w:rsidR="00B579A6" w:rsidRPr="009C3F9D">
        <w:t xml:space="preserve">, </w:t>
      </w:r>
      <w:r w:rsidRPr="009C3F9D">
        <w:t xml:space="preserve">making the emergency </w:t>
      </w:r>
      <w:r w:rsidR="009F516D">
        <w:t>department</w:t>
      </w:r>
      <w:r w:rsidR="009F516D" w:rsidRPr="009C3F9D">
        <w:t xml:space="preserve"> </w:t>
      </w:r>
      <w:r w:rsidRPr="009C3F9D">
        <w:t>a resource for those who may have no other place to receive care.</w:t>
      </w:r>
      <w:r w:rsidR="009C3F9D" w:rsidRPr="009C3F9D">
        <w:t xml:space="preserve"> </w:t>
      </w:r>
    </w:p>
    <w:p w14:paraId="07D06C95" w14:textId="77777777" w:rsidR="009C3F9D" w:rsidRDefault="009C3F9D" w:rsidP="00B579A6"/>
    <w:p w14:paraId="61E256EF" w14:textId="77777777" w:rsidR="00C65641" w:rsidRPr="006B57DB" w:rsidRDefault="009C3F9D" w:rsidP="00B579A6">
      <w:pPr>
        <w:rPr>
          <w:highlight w:val="yellow"/>
        </w:rPr>
      </w:pPr>
      <w:r w:rsidRPr="00E42001">
        <w:t xml:space="preserve">The purpose of this </w:t>
      </w:r>
      <w:r>
        <w:t>current data collection</w:t>
      </w:r>
      <w:r w:rsidRPr="00E42001">
        <w:t xml:space="preserve"> is to </w:t>
      </w:r>
      <w:r w:rsidR="00842A44">
        <w:t>test alternative methods</w:t>
      </w:r>
      <w:r w:rsidRPr="00E42001">
        <w:t xml:space="preserve"> for </w:t>
      </w:r>
      <w:r w:rsidR="00842A44">
        <w:t>potentially implementing</w:t>
      </w:r>
      <w:r w:rsidR="00524C15">
        <w:t xml:space="preserve"> the EDPEC S</w:t>
      </w:r>
      <w:r w:rsidRPr="00E42001">
        <w:t xml:space="preserve">urvey, including ensuring that its implementation </w:t>
      </w:r>
      <w:r w:rsidR="00842A44">
        <w:t>would</w:t>
      </w:r>
      <w:r w:rsidRPr="00E42001">
        <w:t xml:space="preserve"> not impact the reliability of hospital scores for the Hospital CAHPS (HCAHPS) survey.</w:t>
      </w:r>
      <w:r>
        <w:t xml:space="preserve">  </w:t>
      </w:r>
    </w:p>
    <w:p w14:paraId="432E019D" w14:textId="77777777" w:rsidR="00C65641" w:rsidRPr="006B57DB" w:rsidRDefault="00C65641" w:rsidP="00A67DE5">
      <w:pPr>
        <w:rPr>
          <w:highlight w:val="yellow"/>
        </w:rPr>
      </w:pPr>
    </w:p>
    <w:p w14:paraId="5700C85D" w14:textId="77777777" w:rsidR="00A67DE5" w:rsidRDefault="00A67DE5" w:rsidP="00A67DE5"/>
    <w:p w14:paraId="541379F1" w14:textId="77777777" w:rsidR="00A67DE5" w:rsidRPr="00EF52AE" w:rsidRDefault="00A67DE5" w:rsidP="00A67DE5">
      <w:pPr>
        <w:pStyle w:val="Heading2"/>
        <w:rPr>
          <w:rFonts w:ascii="Times New Roman" w:hAnsi="Times New Roman"/>
        </w:rPr>
      </w:pPr>
      <w:bookmarkStart w:id="5" w:name="_Toc208372548"/>
      <w:r w:rsidRPr="00EF52AE">
        <w:rPr>
          <w:rFonts w:ascii="Times New Roman" w:hAnsi="Times New Roman"/>
        </w:rPr>
        <w:t>A2.</w:t>
      </w:r>
      <w:r w:rsidRPr="00EF52AE">
        <w:rPr>
          <w:rFonts w:ascii="Times New Roman" w:hAnsi="Times New Roman"/>
        </w:rPr>
        <w:tab/>
        <w:t>Purpose and Use of Information</w:t>
      </w:r>
      <w:bookmarkEnd w:id="5"/>
    </w:p>
    <w:p w14:paraId="0A39EA72" w14:textId="77777777" w:rsidR="00A67DE5" w:rsidRDefault="00A67DE5" w:rsidP="000E38BB">
      <w:pPr>
        <w:keepNext/>
        <w:tabs>
          <w:tab w:val="left" w:pos="540"/>
        </w:tabs>
        <w:ind w:left="1195" w:hanging="1195"/>
        <w:outlineLvl w:val="1"/>
      </w:pPr>
    </w:p>
    <w:p w14:paraId="6AE3CD5C" w14:textId="55D50422" w:rsidR="00E42001" w:rsidRPr="00E42001" w:rsidRDefault="00A67DE5" w:rsidP="00E42001">
      <w:pPr>
        <w:spacing w:after="240"/>
      </w:pPr>
      <w:r w:rsidRPr="00E42001">
        <w:t xml:space="preserve">This survey supports the </w:t>
      </w:r>
      <w:r w:rsidR="00967552" w:rsidRPr="00E42001">
        <w:t>six national priorities for improving care</w:t>
      </w:r>
      <w:r w:rsidR="00D37A48" w:rsidRPr="00E42001">
        <w:t xml:space="preserve"> from the National Quality Strategy developed by the U.S. Department of Health and Human Services (HHS) that was called for under the Affordable Care Act to create national aims and priorities to guide local, state, and national efforts to improve the quality of health care</w:t>
      </w:r>
      <w:r w:rsidRPr="00E42001">
        <w:t xml:space="preserve">. </w:t>
      </w:r>
      <w:r w:rsidR="00156552" w:rsidRPr="00E42001">
        <w:t xml:space="preserve">This strategy has established six priorities that support a three-part aim focusing on better care, better health, and lower costs through improvement. The six priorities include: making care safer by reducing harm caused by the delivery of care; ensuring that each person and family are engaged as partners in their care; promoting effective communication and coordination of care; promoting the most effective prevention and treatment practices for the leading causes of mortality, starting with cardiovascular disease; working with communities to promote wide use of best practices to enable healthy living; and making quality care more affordable for individuals, families, employers, and governments by developing and spreading new health care delivery models. </w:t>
      </w:r>
      <w:r w:rsidR="00E42001" w:rsidRPr="00E42001">
        <w:t xml:space="preserve">In 2012, the Centers for Medicare &amp; Medicaid Services (CMS) launched the development of the Emergency Department Patient Experience of Care (EDPEC) survey to measure the experiences of patients (18 and older) with emergency </w:t>
      </w:r>
      <w:r w:rsidR="009F516D">
        <w:t>department</w:t>
      </w:r>
      <w:r w:rsidR="009F516D" w:rsidRPr="00E42001">
        <w:t xml:space="preserve"> </w:t>
      </w:r>
      <w:r w:rsidR="00E42001" w:rsidRPr="00E42001">
        <w:t xml:space="preserve">care. The survey was developed by following the principles used to develop Consumer Assessment of Healthcare Providers and Systems (CAHPS) surveys. </w:t>
      </w:r>
      <w:r w:rsidR="00593AFF" w:rsidRPr="00E42001">
        <w:t>Th</w:t>
      </w:r>
      <w:r w:rsidR="00593AFF">
        <w:t>e EDPEC</w:t>
      </w:r>
      <w:r w:rsidR="00593AFF" w:rsidRPr="00E42001">
        <w:t xml:space="preserve"> </w:t>
      </w:r>
      <w:r w:rsidR="00E42001" w:rsidRPr="00E42001">
        <w:t xml:space="preserve">survey will provide patient experience with care data that enables comparisons of emergency </w:t>
      </w:r>
      <w:r w:rsidR="00BF28A6">
        <w:t xml:space="preserve">department </w:t>
      </w:r>
      <w:r w:rsidR="00045414">
        <w:t xml:space="preserve">and support for improving the quality of patient experience in the emergency department. </w:t>
      </w:r>
      <w:r w:rsidR="00E42001" w:rsidRPr="00E42001">
        <w:t xml:space="preserve"> </w:t>
      </w:r>
    </w:p>
    <w:p w14:paraId="404A3A3C" w14:textId="77777777" w:rsidR="00E42001" w:rsidRDefault="009C3F9D" w:rsidP="00E42001">
      <w:pPr>
        <w:tabs>
          <w:tab w:val="left" w:pos="360"/>
          <w:tab w:val="left" w:pos="720"/>
          <w:tab w:val="left" w:pos="1080"/>
          <w:tab w:val="left" w:pos="1440"/>
        </w:tabs>
      </w:pPr>
      <w:r>
        <w:t xml:space="preserve">In this Supporting Statement, we describe plans for the conduct of </w:t>
      </w:r>
      <w:r w:rsidR="00EA06CE">
        <w:t xml:space="preserve">two </w:t>
      </w:r>
      <w:r>
        <w:t xml:space="preserve">experiments: one focused on patients admitted via the ED, using the EDPEC Survey admitted instruments; and one focused on patients who are discharged to the community, using the EDPEC Survey for this population. These experiments are designed to answer outstanding questions </w:t>
      </w:r>
      <w:r w:rsidR="00842A44">
        <w:t xml:space="preserve">about the feasibility </w:t>
      </w:r>
      <w:r w:rsidR="00D72CDD">
        <w:t>of national</w:t>
      </w:r>
      <w:r>
        <w:t xml:space="preserve"> implementation of the EDPEC Survey</w:t>
      </w:r>
      <w:r w:rsidR="00347C51">
        <w:t>.</w:t>
      </w:r>
    </w:p>
    <w:p w14:paraId="7AA8D45A" w14:textId="77777777" w:rsidR="00BC4F7A" w:rsidRDefault="00BC4F7A" w:rsidP="00E42001">
      <w:pPr>
        <w:tabs>
          <w:tab w:val="left" w:pos="360"/>
          <w:tab w:val="left" w:pos="720"/>
          <w:tab w:val="left" w:pos="1080"/>
          <w:tab w:val="left" w:pos="1440"/>
        </w:tabs>
      </w:pPr>
    </w:p>
    <w:p w14:paraId="39E7889E" w14:textId="77777777" w:rsidR="00A67DE5" w:rsidRPr="00EF52AE" w:rsidRDefault="00A67DE5" w:rsidP="00A67DE5">
      <w:pPr>
        <w:pStyle w:val="Heading2"/>
        <w:rPr>
          <w:rFonts w:ascii="Times New Roman" w:hAnsi="Times New Roman"/>
        </w:rPr>
      </w:pPr>
      <w:bookmarkStart w:id="6" w:name="_Toc208372549"/>
      <w:r w:rsidRPr="00EF52AE">
        <w:rPr>
          <w:rFonts w:ascii="Times New Roman" w:hAnsi="Times New Roman"/>
        </w:rPr>
        <w:t>A3.</w:t>
      </w:r>
      <w:r w:rsidRPr="00EF52AE">
        <w:rPr>
          <w:rFonts w:ascii="Times New Roman" w:hAnsi="Times New Roman"/>
        </w:rPr>
        <w:tab/>
        <w:t>Technological Collection Techniques</w:t>
      </w:r>
      <w:bookmarkEnd w:id="6"/>
    </w:p>
    <w:p w14:paraId="0270DC0F" w14:textId="77777777" w:rsidR="00A67DE5" w:rsidRPr="00EF52AE" w:rsidRDefault="00A67DE5" w:rsidP="00A67DE5">
      <w:pPr>
        <w:tabs>
          <w:tab w:val="left" w:pos="540"/>
        </w:tabs>
      </w:pPr>
    </w:p>
    <w:p w14:paraId="3EB6E9F1" w14:textId="77777777" w:rsidR="00AD2342" w:rsidRDefault="00045414" w:rsidP="00A67DE5">
      <w:pPr>
        <w:tabs>
          <w:tab w:val="left" w:pos="540"/>
        </w:tabs>
      </w:pPr>
      <w:r>
        <w:t xml:space="preserve">Patients will be randomized to mode of data collection:  mail only, telephone only, mail-telephone mixed mode, and touch-tone IVR only. </w:t>
      </w:r>
    </w:p>
    <w:p w14:paraId="0A3988C4" w14:textId="77777777" w:rsidR="00AD2342" w:rsidRPr="00524C15" w:rsidRDefault="00045414" w:rsidP="00A67DE5">
      <w:pPr>
        <w:tabs>
          <w:tab w:val="left" w:pos="540"/>
        </w:tabs>
      </w:pPr>
      <w:r>
        <w:t xml:space="preserve"> </w:t>
      </w:r>
    </w:p>
    <w:p w14:paraId="5C4072E3" w14:textId="77777777" w:rsidR="00BC4F7A" w:rsidRPr="00524C15" w:rsidRDefault="00FB296C" w:rsidP="00A67DE5">
      <w:pPr>
        <w:tabs>
          <w:tab w:val="left" w:pos="540"/>
        </w:tabs>
      </w:pPr>
      <w:r w:rsidRPr="00524C15">
        <w:t>Those randomized to the mail only condition will receive two rounds of mailed surveys wh</w:t>
      </w:r>
      <w:r w:rsidR="00524C15" w:rsidRPr="00524C15">
        <w:t>i</w:t>
      </w:r>
      <w:r w:rsidRPr="00524C15">
        <w:t xml:space="preserve">le those randomized to the mixed mode condition will receive one mailing followed by phone interviews. </w:t>
      </w:r>
      <w:r w:rsidR="00A67DE5" w:rsidRPr="00524C15">
        <w:t xml:space="preserve">The mailed survey </w:t>
      </w:r>
      <w:r w:rsidR="00524C15" w:rsidRPr="00524C15">
        <w:t xml:space="preserve">will be </w:t>
      </w:r>
      <w:r w:rsidR="00A67DE5" w:rsidRPr="00524C15">
        <w:t xml:space="preserve">formatted for data scanning and data from all returned surveys will be scanned into an electronic data file.  </w:t>
      </w:r>
    </w:p>
    <w:p w14:paraId="2F844456" w14:textId="77777777" w:rsidR="00BC4F7A" w:rsidRPr="00524C15" w:rsidRDefault="00BC4F7A" w:rsidP="00A67DE5">
      <w:pPr>
        <w:tabs>
          <w:tab w:val="left" w:pos="540"/>
        </w:tabs>
      </w:pPr>
    </w:p>
    <w:p w14:paraId="003E50DE" w14:textId="77777777" w:rsidR="00524C15" w:rsidRDefault="00A67DE5" w:rsidP="00A67DE5">
      <w:pPr>
        <w:tabs>
          <w:tab w:val="left" w:pos="540"/>
        </w:tabs>
      </w:pPr>
      <w:r w:rsidRPr="00524C15">
        <w:t>Computer Assisted Telephone Interview</w:t>
      </w:r>
      <w:r w:rsidR="00FB296C" w:rsidRPr="00524C15">
        <w:t>ing</w:t>
      </w:r>
      <w:r w:rsidRPr="00524C15">
        <w:t xml:space="preserve"> (CATI) will be used </w:t>
      </w:r>
      <w:r w:rsidR="00CD2A52" w:rsidRPr="00524C15">
        <w:t xml:space="preserve">for the telephone administration </w:t>
      </w:r>
      <w:r w:rsidR="00FB296C" w:rsidRPr="00524C15">
        <w:t xml:space="preserve">(telephone only) group </w:t>
      </w:r>
      <w:r w:rsidR="00CD2A52" w:rsidRPr="00524C15">
        <w:t xml:space="preserve">as well </w:t>
      </w:r>
      <w:r w:rsidRPr="00524C15">
        <w:t xml:space="preserve">as the secondary mode of data collection </w:t>
      </w:r>
      <w:r w:rsidR="00FB296C" w:rsidRPr="00524C15">
        <w:t>for non</w:t>
      </w:r>
      <w:r w:rsidR="002C6791" w:rsidRPr="00524C15">
        <w:t>-</w:t>
      </w:r>
      <w:r w:rsidR="00FB296C" w:rsidRPr="00524C15">
        <w:t xml:space="preserve">responders </w:t>
      </w:r>
      <w:r w:rsidRPr="00524C15">
        <w:t xml:space="preserve">to </w:t>
      </w:r>
      <w:r w:rsidR="005062E5" w:rsidRPr="00524C15">
        <w:t>a</w:t>
      </w:r>
      <w:r w:rsidRPr="00524C15">
        <w:t xml:space="preserve"> mailed request to complete the survey</w:t>
      </w:r>
      <w:r w:rsidR="002C6791" w:rsidRPr="00524C15">
        <w:t xml:space="preserve"> in the mixed mode group</w:t>
      </w:r>
      <w:r w:rsidRPr="00524C15">
        <w:t>.</w:t>
      </w:r>
      <w:r w:rsidR="00045414">
        <w:t xml:space="preserve"> CATI is used to assure </w:t>
      </w:r>
      <w:r w:rsidR="00136DA5">
        <w:t xml:space="preserve">that </w:t>
      </w:r>
      <w:r w:rsidR="00045414">
        <w:t xml:space="preserve">the survey items are administered in the required order and to minimize interviewer-error in the conduct of the survey by telephone.  </w:t>
      </w:r>
    </w:p>
    <w:p w14:paraId="71B0FBE8" w14:textId="77777777" w:rsidR="00524C15" w:rsidRDefault="00524C15" w:rsidP="00A67DE5">
      <w:pPr>
        <w:tabs>
          <w:tab w:val="left" w:pos="540"/>
        </w:tabs>
      </w:pPr>
    </w:p>
    <w:p w14:paraId="2DBCFA61" w14:textId="77777777" w:rsidR="00E009F7" w:rsidRDefault="00E009F7" w:rsidP="00E009F7">
      <w:r>
        <w:t>IVR cases will be introduced to the IVR system by a live operator, and operators will be available to provide support and complete a survey when a patient does not wish to continue with IVR. IVR cases will receive up to 5 call attempts over more than one week.</w:t>
      </w:r>
      <w:r w:rsidRPr="00EF52AE">
        <w:t xml:space="preserve"> </w:t>
      </w:r>
    </w:p>
    <w:p w14:paraId="45DE3048" w14:textId="77777777" w:rsidR="00045414" w:rsidRPr="00EF52AE" w:rsidRDefault="00045414" w:rsidP="00045414">
      <w:pPr>
        <w:tabs>
          <w:tab w:val="left" w:pos="540"/>
        </w:tabs>
      </w:pPr>
      <w:r>
        <w:t>The touch-tone IVR protocol uses interactive voice response technology in which all survey participants receive the same audio recording of question text and response options and use the touch-tone keypad of their telephone to answer each question or request assistance from a live interviewer.  IVR assures the survey items are administered in the required order, that survey items are “read” identically for each survey participant, and minimizes any error or bias introduced by the presence of a “live” interviewer.</w:t>
      </w:r>
    </w:p>
    <w:p w14:paraId="77EF1A36" w14:textId="77777777" w:rsidR="00045414" w:rsidRPr="00EF52AE" w:rsidRDefault="00045414" w:rsidP="00E009F7"/>
    <w:p w14:paraId="2ACD8493" w14:textId="77777777" w:rsidR="00A67DE5" w:rsidRPr="00EF52AE" w:rsidRDefault="00A67DE5" w:rsidP="00A67DE5">
      <w:pPr>
        <w:tabs>
          <w:tab w:val="left" w:pos="540"/>
        </w:tabs>
      </w:pPr>
    </w:p>
    <w:p w14:paraId="2963D817" w14:textId="77777777" w:rsidR="00A67DE5" w:rsidRPr="00EF52AE" w:rsidRDefault="00A67DE5" w:rsidP="00A67DE5">
      <w:pPr>
        <w:pStyle w:val="Heading2"/>
        <w:rPr>
          <w:rFonts w:ascii="Times New Roman" w:hAnsi="Times New Roman"/>
        </w:rPr>
      </w:pPr>
      <w:bookmarkStart w:id="7" w:name="_Toc208372550"/>
      <w:r w:rsidRPr="00EF52AE">
        <w:rPr>
          <w:rFonts w:ascii="Times New Roman" w:hAnsi="Times New Roman"/>
        </w:rPr>
        <w:t>A4.</w:t>
      </w:r>
      <w:r w:rsidRPr="00EF52AE">
        <w:rPr>
          <w:rFonts w:ascii="Times New Roman" w:hAnsi="Times New Roman"/>
        </w:rPr>
        <w:tab/>
        <w:t>Identifying Duplication</w:t>
      </w:r>
      <w:bookmarkEnd w:id="7"/>
    </w:p>
    <w:p w14:paraId="7665B847" w14:textId="77777777" w:rsidR="00A67DE5" w:rsidRDefault="00A67DE5" w:rsidP="00A67DE5">
      <w:pPr>
        <w:tabs>
          <w:tab w:val="left" w:pos="540"/>
        </w:tabs>
      </w:pPr>
    </w:p>
    <w:p w14:paraId="375B7866" w14:textId="518CC8F3" w:rsidR="00A67DE5" w:rsidRPr="00EA06CE" w:rsidRDefault="00A67DE5" w:rsidP="00CA53C6">
      <w:pPr>
        <w:pStyle w:val="HTMLPreformatted"/>
      </w:pPr>
      <w:r w:rsidRPr="00045414">
        <w:rPr>
          <w:rFonts w:ascii="Times New Roman" w:hAnsi="Times New Roman" w:cs="Times New Roman"/>
          <w:sz w:val="24"/>
          <w:szCs w:val="24"/>
        </w:rPr>
        <w:t xml:space="preserve">The </w:t>
      </w:r>
      <w:r w:rsidR="00045414" w:rsidRPr="00045414">
        <w:rPr>
          <w:rFonts w:ascii="Times New Roman" w:hAnsi="Times New Roman" w:cs="Times New Roman"/>
          <w:sz w:val="24"/>
          <w:szCs w:val="24"/>
        </w:rPr>
        <w:t>EDPEC S</w:t>
      </w:r>
      <w:r w:rsidR="00631720" w:rsidRPr="00045414">
        <w:rPr>
          <w:rFonts w:ascii="Times New Roman" w:hAnsi="Times New Roman" w:cs="Times New Roman"/>
          <w:sz w:val="24"/>
          <w:szCs w:val="24"/>
        </w:rPr>
        <w:t xml:space="preserve">urvey </w:t>
      </w:r>
      <w:r w:rsidR="005062E5" w:rsidRPr="00045414">
        <w:rPr>
          <w:rFonts w:ascii="Times New Roman" w:hAnsi="Times New Roman" w:cs="Times New Roman"/>
          <w:sz w:val="24"/>
          <w:szCs w:val="24"/>
        </w:rPr>
        <w:t>consists</w:t>
      </w:r>
      <w:r w:rsidR="00631720" w:rsidRPr="00045414">
        <w:rPr>
          <w:rFonts w:ascii="Times New Roman" w:hAnsi="Times New Roman" w:cs="Times New Roman"/>
          <w:sz w:val="24"/>
          <w:szCs w:val="24"/>
        </w:rPr>
        <w:t xml:space="preserve"> largely </w:t>
      </w:r>
      <w:r w:rsidR="00374551">
        <w:rPr>
          <w:rFonts w:ascii="Times New Roman" w:hAnsi="Times New Roman" w:cs="Times New Roman"/>
          <w:sz w:val="24"/>
          <w:szCs w:val="24"/>
        </w:rPr>
        <w:t xml:space="preserve">of </w:t>
      </w:r>
      <w:r w:rsidR="00631720" w:rsidRPr="00045414">
        <w:rPr>
          <w:rFonts w:ascii="Times New Roman" w:hAnsi="Times New Roman" w:cs="Times New Roman"/>
          <w:sz w:val="24"/>
          <w:szCs w:val="24"/>
        </w:rPr>
        <w:t xml:space="preserve">a </w:t>
      </w:r>
      <w:r w:rsidR="006C4517" w:rsidRPr="00045414">
        <w:rPr>
          <w:rFonts w:ascii="Times New Roman" w:hAnsi="Times New Roman" w:cs="Times New Roman"/>
          <w:sz w:val="24"/>
          <w:szCs w:val="24"/>
        </w:rPr>
        <w:t>set of newly developed items specific to the</w:t>
      </w:r>
      <w:r w:rsidR="00EB3BF6" w:rsidRPr="00045414">
        <w:rPr>
          <w:rFonts w:ascii="Times New Roman" w:hAnsi="Times New Roman" w:cs="Times New Roman"/>
          <w:sz w:val="24"/>
          <w:szCs w:val="24"/>
        </w:rPr>
        <w:t xml:space="preserve"> domains of </w:t>
      </w:r>
      <w:r w:rsidR="006C4517" w:rsidRPr="00045414">
        <w:rPr>
          <w:rFonts w:ascii="Times New Roman" w:hAnsi="Times New Roman" w:cs="Times New Roman"/>
          <w:sz w:val="24"/>
          <w:szCs w:val="24"/>
        </w:rPr>
        <w:t xml:space="preserve">the </w:t>
      </w:r>
      <w:r w:rsidR="00EB3BF6" w:rsidRPr="00045414">
        <w:rPr>
          <w:rFonts w:ascii="Times New Roman" w:hAnsi="Times New Roman" w:cs="Times New Roman"/>
          <w:sz w:val="24"/>
          <w:szCs w:val="24"/>
        </w:rPr>
        <w:t xml:space="preserve">patient experience </w:t>
      </w:r>
      <w:r w:rsidR="006C4517" w:rsidRPr="00045414">
        <w:rPr>
          <w:rFonts w:ascii="Times New Roman" w:hAnsi="Times New Roman" w:cs="Times New Roman"/>
          <w:sz w:val="24"/>
          <w:szCs w:val="24"/>
        </w:rPr>
        <w:t>in an</w:t>
      </w:r>
      <w:r w:rsidR="00EB3BF6" w:rsidRPr="00045414">
        <w:rPr>
          <w:rFonts w:ascii="Times New Roman" w:hAnsi="Times New Roman" w:cs="Times New Roman"/>
          <w:sz w:val="24"/>
          <w:szCs w:val="24"/>
        </w:rPr>
        <w:t xml:space="preserve"> </w:t>
      </w:r>
      <w:r w:rsidR="006C4517" w:rsidRPr="00045414">
        <w:rPr>
          <w:rFonts w:ascii="Times New Roman" w:hAnsi="Times New Roman" w:cs="Times New Roman"/>
          <w:sz w:val="24"/>
          <w:szCs w:val="24"/>
        </w:rPr>
        <w:t xml:space="preserve">emergency </w:t>
      </w:r>
      <w:r w:rsidR="009F516D" w:rsidRPr="00045414">
        <w:rPr>
          <w:rFonts w:ascii="Times New Roman" w:hAnsi="Times New Roman" w:cs="Times New Roman"/>
          <w:sz w:val="24"/>
          <w:szCs w:val="24"/>
        </w:rPr>
        <w:t>department</w:t>
      </w:r>
      <w:r w:rsidR="006C4517" w:rsidRPr="00045414">
        <w:rPr>
          <w:rFonts w:ascii="Times New Roman" w:hAnsi="Times New Roman" w:cs="Times New Roman"/>
          <w:sz w:val="24"/>
          <w:szCs w:val="24"/>
        </w:rPr>
        <w:t xml:space="preserve">. </w:t>
      </w:r>
      <w:r w:rsidR="00045414" w:rsidRPr="00045414">
        <w:rPr>
          <w:rFonts w:ascii="Times New Roman" w:hAnsi="Times New Roman" w:cs="Times New Roman"/>
          <w:sz w:val="24"/>
          <w:szCs w:val="24"/>
        </w:rPr>
        <w:t xml:space="preserve">A call for input on topics was published in Federal Register Volume 77, Number 232 (December 3, 2012). </w:t>
      </w:r>
      <w:r w:rsidR="008448C2" w:rsidRPr="00045414">
        <w:rPr>
          <w:rFonts w:ascii="Times New Roman" w:hAnsi="Times New Roman" w:cs="Times New Roman"/>
          <w:sz w:val="24"/>
          <w:szCs w:val="24"/>
        </w:rPr>
        <w:t>I</w:t>
      </w:r>
      <w:r w:rsidR="006C4517" w:rsidRPr="00045414">
        <w:rPr>
          <w:rFonts w:ascii="Times New Roman" w:hAnsi="Times New Roman" w:cs="Times New Roman"/>
          <w:sz w:val="24"/>
          <w:szCs w:val="24"/>
        </w:rPr>
        <w:t xml:space="preserve">tems </w:t>
      </w:r>
      <w:r w:rsidR="006E1902" w:rsidRPr="00045414">
        <w:rPr>
          <w:rFonts w:ascii="Times New Roman" w:hAnsi="Times New Roman" w:cs="Times New Roman"/>
          <w:sz w:val="24"/>
          <w:szCs w:val="24"/>
        </w:rPr>
        <w:t>addressing</w:t>
      </w:r>
      <w:r w:rsidR="006C4517" w:rsidRPr="00EA06CE">
        <w:rPr>
          <w:rFonts w:ascii="Times New Roman" w:hAnsi="Times New Roman" w:cs="Times New Roman"/>
          <w:sz w:val="24"/>
          <w:szCs w:val="24"/>
        </w:rPr>
        <w:t xml:space="preserve"> communication, </w:t>
      </w:r>
      <w:r w:rsidR="006E1902" w:rsidRPr="00EA06CE">
        <w:rPr>
          <w:rFonts w:ascii="Times New Roman" w:hAnsi="Times New Roman" w:cs="Times New Roman"/>
          <w:sz w:val="24"/>
          <w:szCs w:val="24"/>
        </w:rPr>
        <w:t xml:space="preserve">pain medication, and courteousness of staff are adapted from </w:t>
      </w:r>
      <w:r w:rsidR="008448C2" w:rsidRPr="00EA06CE">
        <w:rPr>
          <w:rFonts w:ascii="Times New Roman" w:hAnsi="Times New Roman" w:cs="Times New Roman"/>
          <w:sz w:val="24"/>
          <w:szCs w:val="24"/>
        </w:rPr>
        <w:t>H</w:t>
      </w:r>
      <w:r w:rsidR="00846CF7" w:rsidRPr="00EA06CE">
        <w:rPr>
          <w:rFonts w:ascii="Times New Roman" w:hAnsi="Times New Roman" w:cs="Times New Roman"/>
          <w:sz w:val="24"/>
          <w:szCs w:val="24"/>
        </w:rPr>
        <w:t xml:space="preserve">ospital </w:t>
      </w:r>
      <w:r w:rsidR="008448C2" w:rsidRPr="00EA06CE">
        <w:rPr>
          <w:rFonts w:ascii="Times New Roman" w:hAnsi="Times New Roman" w:cs="Times New Roman"/>
          <w:sz w:val="24"/>
          <w:szCs w:val="24"/>
        </w:rPr>
        <w:t xml:space="preserve">CAHPS and </w:t>
      </w:r>
      <w:r w:rsidR="006E1902" w:rsidRPr="00EA06CE">
        <w:rPr>
          <w:rFonts w:ascii="Times New Roman" w:hAnsi="Times New Roman" w:cs="Times New Roman"/>
          <w:sz w:val="24"/>
          <w:szCs w:val="24"/>
        </w:rPr>
        <w:t>the Clinician and Group CAHPS item set</w:t>
      </w:r>
      <w:r w:rsidR="008448C2" w:rsidRPr="00EA06CE">
        <w:rPr>
          <w:rFonts w:ascii="Times New Roman" w:hAnsi="Times New Roman" w:cs="Times New Roman"/>
          <w:sz w:val="24"/>
          <w:szCs w:val="24"/>
        </w:rPr>
        <w:t>s</w:t>
      </w:r>
      <w:r w:rsidR="005E20CB" w:rsidRPr="00EA06CE">
        <w:rPr>
          <w:rFonts w:ascii="Times New Roman" w:hAnsi="Times New Roman" w:cs="Times New Roman"/>
          <w:sz w:val="24"/>
          <w:szCs w:val="24"/>
        </w:rPr>
        <w:t xml:space="preserve">; they are edited for wording specific to the emergency </w:t>
      </w:r>
      <w:r w:rsidR="009F516D">
        <w:rPr>
          <w:rFonts w:ascii="Times New Roman" w:hAnsi="Times New Roman" w:cs="Times New Roman"/>
          <w:sz w:val="24"/>
          <w:szCs w:val="24"/>
        </w:rPr>
        <w:t>department</w:t>
      </w:r>
      <w:r w:rsidRPr="00EA06CE">
        <w:rPr>
          <w:rFonts w:ascii="Times New Roman" w:hAnsi="Times New Roman" w:cs="Times New Roman"/>
          <w:sz w:val="24"/>
          <w:szCs w:val="24"/>
        </w:rPr>
        <w:t xml:space="preserve">.  The survey is designed to gather only the necessary data that CMS needs for assessing </w:t>
      </w:r>
      <w:r w:rsidR="005E20CB" w:rsidRPr="00EA06CE">
        <w:rPr>
          <w:rFonts w:ascii="Times New Roman" w:hAnsi="Times New Roman" w:cs="Times New Roman"/>
          <w:sz w:val="24"/>
          <w:szCs w:val="24"/>
        </w:rPr>
        <w:t xml:space="preserve">emergency </w:t>
      </w:r>
      <w:r w:rsidR="009F516D">
        <w:rPr>
          <w:rFonts w:ascii="Times New Roman" w:hAnsi="Times New Roman" w:cs="Times New Roman"/>
          <w:sz w:val="24"/>
          <w:szCs w:val="24"/>
        </w:rPr>
        <w:t>department</w:t>
      </w:r>
      <w:r w:rsidR="009F516D" w:rsidRPr="00EA06CE">
        <w:rPr>
          <w:rFonts w:ascii="Times New Roman" w:hAnsi="Times New Roman" w:cs="Times New Roman"/>
          <w:sz w:val="24"/>
          <w:szCs w:val="24"/>
        </w:rPr>
        <w:t xml:space="preserve"> </w:t>
      </w:r>
      <w:r w:rsidR="005E20CB" w:rsidRPr="00EA06CE">
        <w:rPr>
          <w:rFonts w:ascii="Times New Roman" w:hAnsi="Times New Roman" w:cs="Times New Roman"/>
          <w:sz w:val="24"/>
          <w:szCs w:val="24"/>
        </w:rPr>
        <w:t>patient experience</w:t>
      </w:r>
      <w:r w:rsidR="006125E3" w:rsidRPr="00EA06CE">
        <w:rPr>
          <w:rFonts w:ascii="Times New Roman" w:hAnsi="Times New Roman" w:cs="Times New Roman"/>
          <w:sz w:val="24"/>
          <w:szCs w:val="24"/>
        </w:rPr>
        <w:t>s</w:t>
      </w:r>
      <w:r w:rsidR="005E20CB" w:rsidRPr="00EA06CE">
        <w:rPr>
          <w:rFonts w:ascii="Times New Roman" w:hAnsi="Times New Roman" w:cs="Times New Roman"/>
          <w:sz w:val="24"/>
          <w:szCs w:val="24"/>
        </w:rPr>
        <w:t xml:space="preserve"> </w:t>
      </w:r>
      <w:r w:rsidR="006125E3" w:rsidRPr="00EA06CE">
        <w:rPr>
          <w:rFonts w:ascii="Times New Roman" w:hAnsi="Times New Roman" w:cs="Times New Roman"/>
          <w:sz w:val="24"/>
          <w:szCs w:val="24"/>
        </w:rPr>
        <w:t>with</w:t>
      </w:r>
      <w:r w:rsidR="005E20CB" w:rsidRPr="00EA06CE">
        <w:rPr>
          <w:rFonts w:ascii="Times New Roman" w:hAnsi="Times New Roman" w:cs="Times New Roman"/>
          <w:sz w:val="24"/>
          <w:szCs w:val="24"/>
        </w:rPr>
        <w:t xml:space="preserve"> care</w:t>
      </w:r>
      <w:r w:rsidRPr="00EA06CE">
        <w:rPr>
          <w:rFonts w:ascii="Times New Roman" w:hAnsi="Times New Roman" w:cs="Times New Roman"/>
          <w:sz w:val="24"/>
          <w:szCs w:val="24"/>
        </w:rPr>
        <w:t xml:space="preserve"> and should complement, not </w:t>
      </w:r>
      <w:proofErr w:type="gramStart"/>
      <w:r w:rsidR="00F43D83" w:rsidRPr="00EA06CE">
        <w:rPr>
          <w:rFonts w:ascii="Times New Roman" w:hAnsi="Times New Roman" w:cs="Times New Roman"/>
          <w:sz w:val="24"/>
          <w:szCs w:val="24"/>
        </w:rPr>
        <w:t>replace</w:t>
      </w:r>
      <w:r w:rsidR="00F43D83">
        <w:rPr>
          <w:rFonts w:ascii="Times New Roman" w:hAnsi="Times New Roman" w:cs="Times New Roman"/>
          <w:sz w:val="24"/>
          <w:szCs w:val="24"/>
        </w:rPr>
        <w:t>,</w:t>
      </w:r>
      <w:proofErr w:type="gramEnd"/>
      <w:r w:rsidRPr="00EA06CE">
        <w:rPr>
          <w:rFonts w:ascii="Times New Roman" w:hAnsi="Times New Roman" w:cs="Times New Roman"/>
          <w:sz w:val="24"/>
          <w:szCs w:val="24"/>
        </w:rPr>
        <w:t xml:space="preserve"> data that providers are currently collecting that support improvement inpatient-centered care.</w:t>
      </w:r>
      <w:r w:rsidRPr="00EA06CE">
        <w:t xml:space="preserve"> </w:t>
      </w:r>
    </w:p>
    <w:p w14:paraId="4B26BD97" w14:textId="77777777" w:rsidR="00A67DE5" w:rsidRPr="00EA06CE" w:rsidRDefault="00A67DE5" w:rsidP="00A67DE5">
      <w:pPr>
        <w:tabs>
          <w:tab w:val="left" w:pos="540"/>
        </w:tabs>
      </w:pPr>
    </w:p>
    <w:p w14:paraId="28443036" w14:textId="77777777" w:rsidR="00106398" w:rsidRDefault="00106398" w:rsidP="00106398">
      <w:r w:rsidRPr="00EA06CE">
        <w:t>Though hospitals and vendors might conduct individual site-specific surveys about patient experiences in the emergency department, there is no standardized instrument that currently exists.</w:t>
      </w:r>
    </w:p>
    <w:p w14:paraId="5AFA3FBD" w14:textId="77777777" w:rsidR="00CA53C6" w:rsidRPr="0085024A" w:rsidRDefault="00CA53C6" w:rsidP="00106398"/>
    <w:p w14:paraId="4D6C115F" w14:textId="77777777" w:rsidR="00A67DE5" w:rsidRPr="00EF52AE" w:rsidRDefault="00A67DE5" w:rsidP="00A67DE5">
      <w:pPr>
        <w:pStyle w:val="Heading2"/>
        <w:rPr>
          <w:rFonts w:ascii="Times New Roman" w:hAnsi="Times New Roman"/>
        </w:rPr>
      </w:pPr>
      <w:bookmarkStart w:id="8" w:name="_Toc208372551"/>
      <w:r w:rsidRPr="00EF52AE">
        <w:rPr>
          <w:rFonts w:ascii="Times New Roman" w:hAnsi="Times New Roman"/>
        </w:rPr>
        <w:t>A5.</w:t>
      </w:r>
      <w:r w:rsidRPr="00EF52AE">
        <w:rPr>
          <w:rFonts w:ascii="Times New Roman" w:hAnsi="Times New Roman"/>
        </w:rPr>
        <w:tab/>
        <w:t>Impact on Small Businesses</w:t>
      </w:r>
      <w:bookmarkEnd w:id="8"/>
    </w:p>
    <w:p w14:paraId="45E34FF0" w14:textId="77777777" w:rsidR="00A67DE5" w:rsidRPr="00EF52AE" w:rsidRDefault="00A67DE5" w:rsidP="00A67DE5">
      <w:pPr>
        <w:tabs>
          <w:tab w:val="left" w:pos="540"/>
        </w:tabs>
      </w:pPr>
    </w:p>
    <w:p w14:paraId="3C7E8FA4" w14:textId="77777777" w:rsidR="00EB3BF6" w:rsidRDefault="00EB3BF6" w:rsidP="00EB3BF6">
      <w:pPr>
        <w:tabs>
          <w:tab w:val="left" w:pos="540"/>
        </w:tabs>
      </w:pPr>
      <w:r w:rsidRPr="00524C15">
        <w:t xml:space="preserve">Survey respondents are </w:t>
      </w:r>
      <w:r w:rsidR="004E7D70" w:rsidRPr="00524C15">
        <w:t xml:space="preserve">patients </w:t>
      </w:r>
      <w:r w:rsidRPr="00524C15">
        <w:t xml:space="preserve">who have received care from </w:t>
      </w:r>
      <w:r w:rsidR="00524C15" w:rsidRPr="00524C15">
        <w:t xml:space="preserve">a hospital and/or </w:t>
      </w:r>
      <w:r w:rsidR="00107082" w:rsidRPr="00524C15">
        <w:t xml:space="preserve">an emergency </w:t>
      </w:r>
      <w:r w:rsidR="009F516D">
        <w:t>department</w:t>
      </w:r>
      <w:r w:rsidRPr="00524C15">
        <w:t>.  The survey should not impact small businesses or other small entities.</w:t>
      </w:r>
    </w:p>
    <w:p w14:paraId="5E595E2B" w14:textId="77777777" w:rsidR="00A67DE5" w:rsidRPr="00EF52AE" w:rsidRDefault="00A67DE5" w:rsidP="00A67DE5">
      <w:pPr>
        <w:tabs>
          <w:tab w:val="left" w:pos="540"/>
        </w:tabs>
      </w:pPr>
    </w:p>
    <w:p w14:paraId="257E7E6D" w14:textId="77777777" w:rsidR="00A67DE5" w:rsidRPr="00EF52AE" w:rsidRDefault="00A67DE5" w:rsidP="00A67DE5">
      <w:pPr>
        <w:pStyle w:val="Heading2"/>
        <w:rPr>
          <w:rFonts w:ascii="Times New Roman" w:hAnsi="Times New Roman"/>
        </w:rPr>
      </w:pPr>
      <w:bookmarkStart w:id="9" w:name="_Toc208372552"/>
      <w:r w:rsidRPr="00EF52AE">
        <w:rPr>
          <w:rFonts w:ascii="Times New Roman" w:hAnsi="Times New Roman"/>
        </w:rPr>
        <w:t>A6.</w:t>
      </w:r>
      <w:r w:rsidRPr="00EF52AE">
        <w:rPr>
          <w:rFonts w:ascii="Times New Roman" w:hAnsi="Times New Roman"/>
        </w:rPr>
        <w:tab/>
        <w:t>Consequences of Less Frequent Data Collection</w:t>
      </w:r>
      <w:bookmarkEnd w:id="9"/>
    </w:p>
    <w:p w14:paraId="00C4D72B" w14:textId="77777777" w:rsidR="00A67DE5" w:rsidRPr="00EF52AE" w:rsidRDefault="00A67DE5" w:rsidP="00A67DE5">
      <w:pPr>
        <w:tabs>
          <w:tab w:val="left" w:pos="540"/>
        </w:tabs>
      </w:pPr>
    </w:p>
    <w:p w14:paraId="526E4099" w14:textId="26C99123" w:rsidR="008A730A" w:rsidRDefault="00107082" w:rsidP="008A730A">
      <w:pPr>
        <w:tabs>
          <w:tab w:val="left" w:pos="540"/>
        </w:tabs>
      </w:pPr>
      <w:r>
        <w:t>This Supporting Statement requests clearance for a one-time data collection</w:t>
      </w:r>
      <w:r w:rsidR="008A730A">
        <w:t xml:space="preserve"> to determine the most appropriate methods for possible future national implementation of the survey. </w:t>
      </w:r>
    </w:p>
    <w:p w14:paraId="1A7F4F9C" w14:textId="343438A7" w:rsidR="00107082" w:rsidRDefault="00107082" w:rsidP="00107082">
      <w:pPr>
        <w:tabs>
          <w:tab w:val="left" w:pos="540"/>
        </w:tabs>
      </w:pPr>
      <w:r>
        <w:t xml:space="preserve">. </w:t>
      </w:r>
    </w:p>
    <w:p w14:paraId="211DD5FD" w14:textId="77777777" w:rsidR="00A67DE5" w:rsidRPr="00EF52AE" w:rsidRDefault="00A67DE5" w:rsidP="00A67DE5">
      <w:pPr>
        <w:tabs>
          <w:tab w:val="left" w:pos="540"/>
        </w:tabs>
      </w:pPr>
    </w:p>
    <w:p w14:paraId="10A70060" w14:textId="77777777" w:rsidR="00AD2342" w:rsidRDefault="00AD2342" w:rsidP="00A67DE5">
      <w:pPr>
        <w:pStyle w:val="Heading2"/>
        <w:rPr>
          <w:rFonts w:ascii="Times New Roman" w:hAnsi="Times New Roman"/>
        </w:rPr>
      </w:pPr>
      <w:bookmarkStart w:id="10" w:name="_Toc208372553"/>
    </w:p>
    <w:p w14:paraId="71C61A35" w14:textId="77777777" w:rsidR="00A67DE5" w:rsidRPr="00EF52AE" w:rsidRDefault="00A67DE5" w:rsidP="00A67DE5">
      <w:pPr>
        <w:pStyle w:val="Heading2"/>
        <w:rPr>
          <w:rFonts w:ascii="Times New Roman" w:hAnsi="Times New Roman"/>
        </w:rPr>
      </w:pPr>
      <w:r w:rsidRPr="00EF52AE">
        <w:rPr>
          <w:rFonts w:ascii="Times New Roman" w:hAnsi="Times New Roman"/>
        </w:rPr>
        <w:t>A7.</w:t>
      </w:r>
      <w:r w:rsidRPr="00EF52AE">
        <w:rPr>
          <w:rFonts w:ascii="Times New Roman" w:hAnsi="Times New Roman"/>
        </w:rPr>
        <w:tab/>
        <w:t>Special Circumstances</w:t>
      </w:r>
      <w:bookmarkEnd w:id="10"/>
    </w:p>
    <w:p w14:paraId="57E855B5" w14:textId="77777777" w:rsidR="00A67DE5" w:rsidRPr="00EF52AE" w:rsidRDefault="00A67DE5" w:rsidP="00A67DE5">
      <w:pPr>
        <w:tabs>
          <w:tab w:val="left" w:pos="540"/>
        </w:tabs>
      </w:pPr>
    </w:p>
    <w:p w14:paraId="072CD8F3" w14:textId="77777777" w:rsidR="00A67DE5" w:rsidRPr="00EF52AE" w:rsidRDefault="00107082" w:rsidP="00A67DE5">
      <w:pPr>
        <w:tabs>
          <w:tab w:val="left" w:pos="540"/>
        </w:tabs>
      </w:pPr>
      <w:r>
        <w:t>There are no special circumstances associated with this information collection request.</w:t>
      </w:r>
    </w:p>
    <w:p w14:paraId="5E8B8DBC" w14:textId="77777777" w:rsidR="00A67DE5" w:rsidRPr="00EF52AE" w:rsidRDefault="00A67DE5" w:rsidP="00A67DE5">
      <w:pPr>
        <w:tabs>
          <w:tab w:val="left" w:pos="540"/>
        </w:tabs>
      </w:pPr>
    </w:p>
    <w:p w14:paraId="2AC94CA0" w14:textId="77777777" w:rsidR="00A67DE5" w:rsidRPr="00EF52AE" w:rsidRDefault="00A67DE5" w:rsidP="00A67DE5">
      <w:pPr>
        <w:pStyle w:val="Heading2"/>
        <w:rPr>
          <w:rFonts w:ascii="Times New Roman" w:hAnsi="Times New Roman"/>
        </w:rPr>
      </w:pPr>
      <w:bookmarkStart w:id="11" w:name="_Toc208372554"/>
      <w:r w:rsidRPr="00EF52AE">
        <w:rPr>
          <w:rFonts w:ascii="Times New Roman" w:hAnsi="Times New Roman"/>
        </w:rPr>
        <w:t>A8.</w:t>
      </w:r>
      <w:r w:rsidRPr="00EF52AE">
        <w:rPr>
          <w:rFonts w:ascii="Times New Roman" w:hAnsi="Times New Roman"/>
        </w:rPr>
        <w:tab/>
        <w:t>CMS Federal Register Notice</w:t>
      </w:r>
      <w:bookmarkEnd w:id="11"/>
    </w:p>
    <w:p w14:paraId="078D5C1D" w14:textId="77777777" w:rsidR="00A67DE5" w:rsidRPr="00EF52AE" w:rsidRDefault="00A67DE5" w:rsidP="00A67DE5">
      <w:pPr>
        <w:tabs>
          <w:tab w:val="left" w:pos="540"/>
        </w:tabs>
      </w:pPr>
    </w:p>
    <w:p w14:paraId="55136AAC" w14:textId="77777777" w:rsidR="00A67DE5" w:rsidRPr="00EF52AE" w:rsidRDefault="000946C3" w:rsidP="00A67DE5">
      <w:pPr>
        <w:tabs>
          <w:tab w:val="left" w:pos="540"/>
        </w:tabs>
      </w:pPr>
      <w:r w:rsidRPr="000946C3">
        <w:t>The 60-day Federal Register notice published on November 28, 2014 (79 FR 70870). No comments were received.</w:t>
      </w:r>
    </w:p>
    <w:p w14:paraId="64F033C8" w14:textId="77777777" w:rsidR="00A67DE5" w:rsidRPr="00EF52AE" w:rsidRDefault="00A67DE5" w:rsidP="00A67DE5">
      <w:pPr>
        <w:tabs>
          <w:tab w:val="left" w:pos="540"/>
        </w:tabs>
      </w:pPr>
    </w:p>
    <w:p w14:paraId="6DFF5DB0" w14:textId="77777777" w:rsidR="00A67DE5" w:rsidRPr="00EF52AE" w:rsidRDefault="00A67DE5" w:rsidP="00A67DE5">
      <w:pPr>
        <w:pStyle w:val="Heading2"/>
        <w:rPr>
          <w:rFonts w:ascii="Times New Roman" w:hAnsi="Times New Roman"/>
        </w:rPr>
      </w:pPr>
      <w:bookmarkStart w:id="12" w:name="_Toc208372555"/>
      <w:r w:rsidRPr="00EF52AE">
        <w:rPr>
          <w:rFonts w:ascii="Times New Roman" w:hAnsi="Times New Roman"/>
        </w:rPr>
        <w:t>A9.</w:t>
      </w:r>
      <w:r w:rsidRPr="00EF52AE">
        <w:rPr>
          <w:rFonts w:ascii="Times New Roman" w:hAnsi="Times New Roman"/>
        </w:rPr>
        <w:tab/>
        <w:t>Respondent Payments or Gifts</w:t>
      </w:r>
      <w:bookmarkEnd w:id="12"/>
    </w:p>
    <w:p w14:paraId="78BA2790" w14:textId="77777777" w:rsidR="00A67DE5" w:rsidRPr="00EF52AE" w:rsidRDefault="00A67DE5" w:rsidP="00A67DE5">
      <w:pPr>
        <w:tabs>
          <w:tab w:val="left" w:pos="540"/>
        </w:tabs>
      </w:pPr>
    </w:p>
    <w:p w14:paraId="188CBE9E" w14:textId="77777777" w:rsidR="00A67DE5" w:rsidRPr="00EF52AE" w:rsidRDefault="00A67DE5" w:rsidP="00A67DE5">
      <w:pPr>
        <w:tabs>
          <w:tab w:val="left" w:pos="540"/>
        </w:tabs>
      </w:pPr>
      <w:r w:rsidRPr="00EF52AE">
        <w:t>This data collection will not include respondent incentive payments or gifts.</w:t>
      </w:r>
    </w:p>
    <w:p w14:paraId="6A797E40" w14:textId="77777777" w:rsidR="00A67DE5" w:rsidRPr="00EF52AE" w:rsidRDefault="00A67DE5" w:rsidP="00A67DE5">
      <w:pPr>
        <w:tabs>
          <w:tab w:val="left" w:pos="540"/>
        </w:tabs>
      </w:pPr>
    </w:p>
    <w:p w14:paraId="51ED48B2" w14:textId="77777777" w:rsidR="00A67DE5" w:rsidRPr="00EF52AE" w:rsidRDefault="00A67DE5" w:rsidP="00A67DE5">
      <w:pPr>
        <w:pStyle w:val="Heading2"/>
        <w:rPr>
          <w:rFonts w:ascii="Times New Roman" w:hAnsi="Times New Roman"/>
        </w:rPr>
      </w:pPr>
      <w:bookmarkStart w:id="13" w:name="_Toc208372556"/>
      <w:r w:rsidRPr="00EF52AE">
        <w:rPr>
          <w:rFonts w:ascii="Times New Roman" w:hAnsi="Times New Roman"/>
        </w:rPr>
        <w:t>A10.</w:t>
      </w:r>
      <w:r w:rsidRPr="00EF52AE">
        <w:rPr>
          <w:rFonts w:ascii="Times New Roman" w:hAnsi="Times New Roman"/>
        </w:rPr>
        <w:tab/>
        <w:t>Assurance of Confidentiality</w:t>
      </w:r>
      <w:bookmarkEnd w:id="13"/>
    </w:p>
    <w:p w14:paraId="170AC0A3" w14:textId="77777777" w:rsidR="00A67DE5" w:rsidRPr="00EF52AE" w:rsidRDefault="00A67DE5" w:rsidP="00A67DE5">
      <w:pPr>
        <w:tabs>
          <w:tab w:val="left" w:pos="540"/>
        </w:tabs>
      </w:pPr>
    </w:p>
    <w:p w14:paraId="128CFD3E" w14:textId="77777777" w:rsidR="00A67DE5" w:rsidRPr="00EF52AE" w:rsidRDefault="00A67DE5" w:rsidP="00A67DE5">
      <w:pPr>
        <w:tabs>
          <w:tab w:val="left" w:pos="540"/>
        </w:tabs>
      </w:pPr>
      <w:r w:rsidRPr="00EF52AE">
        <w:t>Individuals contacted as part of this data collection will be assured of the confidentiality of their replies under 42 U.S.C. 1306, 20 CFR 401 and 422, 5 U.S.C. 552 (Freedom of Information Act), 5 U.S.C. 552a (Privacy Act of 1974), and OMB Circular A-130.</w:t>
      </w:r>
    </w:p>
    <w:p w14:paraId="45DBE6B3" w14:textId="77777777" w:rsidR="00A67DE5" w:rsidRPr="00EF52AE" w:rsidRDefault="00A67DE5" w:rsidP="00A67DE5">
      <w:pPr>
        <w:tabs>
          <w:tab w:val="left" w:pos="540"/>
        </w:tabs>
      </w:pPr>
    </w:p>
    <w:p w14:paraId="202E3D31" w14:textId="77777777" w:rsidR="00A67DE5" w:rsidRPr="00EF52AE" w:rsidRDefault="00A67DE5" w:rsidP="00A67DE5">
      <w:pPr>
        <w:pStyle w:val="Heading2"/>
        <w:rPr>
          <w:rFonts w:ascii="Times New Roman" w:hAnsi="Times New Roman"/>
        </w:rPr>
      </w:pPr>
      <w:bookmarkStart w:id="14" w:name="_Toc208372557"/>
      <w:r w:rsidRPr="00EF52AE">
        <w:rPr>
          <w:rFonts w:ascii="Times New Roman" w:hAnsi="Times New Roman"/>
        </w:rPr>
        <w:t>A11.</w:t>
      </w:r>
      <w:r w:rsidRPr="00EF52AE">
        <w:rPr>
          <w:rFonts w:ascii="Times New Roman" w:hAnsi="Times New Roman"/>
        </w:rPr>
        <w:tab/>
        <w:t>Sensitive Questions</w:t>
      </w:r>
      <w:bookmarkEnd w:id="14"/>
    </w:p>
    <w:p w14:paraId="28EE4450" w14:textId="77777777" w:rsidR="00A67DE5" w:rsidRPr="00EF52AE" w:rsidRDefault="00A67DE5" w:rsidP="00A67DE5">
      <w:pPr>
        <w:tabs>
          <w:tab w:val="left" w:pos="540"/>
        </w:tabs>
      </w:pPr>
    </w:p>
    <w:p w14:paraId="57BF7DCA" w14:textId="77777777" w:rsidR="00A67DE5" w:rsidRPr="00EF52AE" w:rsidRDefault="00A67DE5" w:rsidP="00A67DE5">
      <w:pPr>
        <w:tabs>
          <w:tab w:val="left" w:pos="540"/>
        </w:tabs>
      </w:pPr>
      <w:r w:rsidRPr="00EF52AE">
        <w:t>The survey does not include any questions of a sensitive nature.</w:t>
      </w:r>
    </w:p>
    <w:p w14:paraId="68498838" w14:textId="77777777" w:rsidR="00A67DE5" w:rsidRPr="00EF52AE" w:rsidRDefault="00A67DE5" w:rsidP="00A67DE5">
      <w:pPr>
        <w:tabs>
          <w:tab w:val="left" w:pos="540"/>
        </w:tabs>
      </w:pPr>
    </w:p>
    <w:p w14:paraId="67FBC460" w14:textId="77777777" w:rsidR="00A67DE5" w:rsidRPr="002A392C" w:rsidRDefault="00A67DE5" w:rsidP="00A67DE5">
      <w:pPr>
        <w:pStyle w:val="Heading2"/>
        <w:rPr>
          <w:rFonts w:ascii="Times New Roman" w:hAnsi="Times New Roman"/>
        </w:rPr>
      </w:pPr>
      <w:bookmarkStart w:id="15" w:name="_Toc208372558"/>
      <w:r w:rsidRPr="002A392C">
        <w:rPr>
          <w:rFonts w:ascii="Times New Roman" w:hAnsi="Times New Roman"/>
        </w:rPr>
        <w:t>A12.</w:t>
      </w:r>
      <w:r w:rsidRPr="002A392C">
        <w:rPr>
          <w:rFonts w:ascii="Times New Roman" w:hAnsi="Times New Roman"/>
        </w:rPr>
        <w:tab/>
        <w:t>Burden of Information Collection</w:t>
      </w:r>
      <w:bookmarkEnd w:id="15"/>
    </w:p>
    <w:p w14:paraId="40A996A1" w14:textId="77777777" w:rsidR="00A67DE5" w:rsidRPr="002A392C" w:rsidRDefault="00A67DE5" w:rsidP="00A67DE5">
      <w:pPr>
        <w:tabs>
          <w:tab w:val="left" w:pos="540"/>
        </w:tabs>
      </w:pPr>
    </w:p>
    <w:p w14:paraId="45046CB7" w14:textId="77777777" w:rsidR="00FB3289" w:rsidRDefault="006620B6" w:rsidP="006620B6">
      <w:pPr>
        <w:keepLines/>
      </w:pPr>
      <w:r w:rsidRPr="00FB3289">
        <w:rPr>
          <w:color w:val="000000"/>
        </w:rPr>
        <w:t xml:space="preserve">Exhibit 1 shows the estimated annualized burden for the respondents' time to participate in this data </w:t>
      </w:r>
      <w:r w:rsidRPr="00620523">
        <w:rPr>
          <w:color w:val="000000"/>
        </w:rPr>
        <w:t xml:space="preserve">collection.  </w:t>
      </w:r>
      <w:r w:rsidR="005463FE" w:rsidRPr="00620523">
        <w:t>4,951</w:t>
      </w:r>
      <w:r w:rsidR="00670F8B" w:rsidRPr="00620523">
        <w:t xml:space="preserve"> individuals</w:t>
      </w:r>
      <w:r w:rsidR="00652568" w:rsidRPr="00620523">
        <w:t xml:space="preserve"> </w:t>
      </w:r>
      <w:r w:rsidR="00FB3289" w:rsidRPr="00620523">
        <w:t>visiting</w:t>
      </w:r>
      <w:r w:rsidR="00FB3289">
        <w:t xml:space="preserve"> an</w:t>
      </w:r>
      <w:r w:rsidR="00FB3289" w:rsidRPr="00FB3289">
        <w:t xml:space="preserve"> emergency department will be surveyed </w:t>
      </w:r>
      <w:r w:rsidR="00652568" w:rsidRPr="00FB3289">
        <w:t>in 201</w:t>
      </w:r>
      <w:r w:rsidR="00923517">
        <w:t>5</w:t>
      </w:r>
      <w:r w:rsidR="00696DA9" w:rsidRPr="00FB3289">
        <w:t xml:space="preserve">.  </w:t>
      </w:r>
    </w:p>
    <w:p w14:paraId="55CB743B" w14:textId="77777777" w:rsidR="00FB3289" w:rsidRDefault="00FB3289" w:rsidP="006620B6">
      <w:pPr>
        <w:keepLines/>
      </w:pPr>
    </w:p>
    <w:p w14:paraId="7936EDC5" w14:textId="19B35811" w:rsidR="00542854" w:rsidRDefault="002C6791" w:rsidP="00211C1D">
      <w:r w:rsidRPr="00BB19BD">
        <w:t>There are three versions of</w:t>
      </w:r>
      <w:r w:rsidR="00F16281" w:rsidRPr="00BB19BD">
        <w:t xml:space="preserve"> the survey</w:t>
      </w:r>
      <w:r w:rsidR="00BB19BD" w:rsidRPr="00BB19BD">
        <w:t xml:space="preserve"> for patients admitted to the hospital</w:t>
      </w:r>
      <w:r w:rsidR="00F16281" w:rsidRPr="00BB19BD">
        <w:t xml:space="preserve">: </w:t>
      </w:r>
      <w:r w:rsidR="00FB3289" w:rsidRPr="00BB19BD">
        <w:t>HCAHPS alone</w:t>
      </w:r>
      <w:r w:rsidR="00B71B42">
        <w:t xml:space="preserve"> </w:t>
      </w:r>
      <w:r w:rsidR="008A730A">
        <w:t xml:space="preserve">which is implemented at the national level </w:t>
      </w:r>
      <w:r w:rsidR="00B71B42">
        <w:t>(HCAHPS, Attachment 1)</w:t>
      </w:r>
      <w:r w:rsidRPr="00BB19BD">
        <w:t xml:space="preserve">, </w:t>
      </w:r>
      <w:r w:rsidR="00BB19BD" w:rsidRPr="00BB19BD">
        <w:t>and two versions that will be administered as a supplement to the existing Hospital CAHPS survey</w:t>
      </w:r>
      <w:r w:rsidR="00136DA5">
        <w:t xml:space="preserve">. One of these versions has </w:t>
      </w:r>
      <w:r w:rsidR="000D6327" w:rsidRPr="00BB19BD">
        <w:t>1</w:t>
      </w:r>
      <w:r w:rsidR="000D6327">
        <w:t>8</w:t>
      </w:r>
      <w:r w:rsidR="000D6327" w:rsidRPr="00BB19BD">
        <w:t xml:space="preserve"> </w:t>
      </w:r>
      <w:r w:rsidR="00BB19BD" w:rsidRPr="00BB19BD">
        <w:t>additional ED-specific items</w:t>
      </w:r>
      <w:r w:rsidR="00136DA5">
        <w:t xml:space="preserve"> (</w:t>
      </w:r>
      <w:r w:rsidR="0044766F" w:rsidRPr="00BB19BD">
        <w:rPr>
          <w:color w:val="000000"/>
        </w:rPr>
        <w:t xml:space="preserve">EDPEC </w:t>
      </w:r>
      <w:r w:rsidR="00546D06">
        <w:rPr>
          <w:color w:val="000000"/>
        </w:rPr>
        <w:t xml:space="preserve">for Admitted Patients: </w:t>
      </w:r>
      <w:r w:rsidR="00BB19BD" w:rsidRPr="00BB19BD">
        <w:rPr>
          <w:color w:val="000000"/>
        </w:rPr>
        <w:t>HCAHPS Add-on</w:t>
      </w:r>
      <w:r w:rsidR="0044766F" w:rsidRPr="00BB19BD">
        <w:t xml:space="preserve"> Version </w:t>
      </w:r>
      <w:r w:rsidR="00BB19BD" w:rsidRPr="00BB19BD">
        <w:t>A</w:t>
      </w:r>
      <w:r w:rsidR="00136DA5">
        <w:t xml:space="preserve">, </w:t>
      </w:r>
      <w:r w:rsidR="00B8369C" w:rsidRPr="00BB19BD">
        <w:t xml:space="preserve">Attachment </w:t>
      </w:r>
      <w:r w:rsidR="00B71B42">
        <w:t>2</w:t>
      </w:r>
      <w:r w:rsidR="00B8369C" w:rsidRPr="00BB19BD">
        <w:t>)</w:t>
      </w:r>
      <w:r w:rsidRPr="00BB19BD">
        <w:t xml:space="preserve">, and </w:t>
      </w:r>
      <w:r w:rsidR="00BB19BD" w:rsidRPr="00BB19BD">
        <w:t>the oth</w:t>
      </w:r>
      <w:r w:rsidR="00BB19BD">
        <w:t xml:space="preserve">er </w:t>
      </w:r>
      <w:r w:rsidR="00136DA5">
        <w:t xml:space="preserve">has </w:t>
      </w:r>
      <w:r w:rsidR="000D6327">
        <w:t xml:space="preserve">23 </w:t>
      </w:r>
      <w:r w:rsidR="00BB19BD">
        <w:t>additional ED specific</w:t>
      </w:r>
      <w:r w:rsidR="00BB19BD" w:rsidRPr="00BB19BD">
        <w:t xml:space="preserve"> items </w:t>
      </w:r>
      <w:r w:rsidRPr="00BB19BD">
        <w:t>version</w:t>
      </w:r>
      <w:r w:rsidR="00136DA5">
        <w:t xml:space="preserve"> (</w:t>
      </w:r>
      <w:r w:rsidR="0044766F" w:rsidRPr="00BB19BD">
        <w:rPr>
          <w:color w:val="000000"/>
        </w:rPr>
        <w:t xml:space="preserve">EDPEC </w:t>
      </w:r>
      <w:r w:rsidR="00546D06">
        <w:rPr>
          <w:color w:val="000000"/>
        </w:rPr>
        <w:t xml:space="preserve">for Admitted Patients: </w:t>
      </w:r>
      <w:r w:rsidR="009B3B72">
        <w:rPr>
          <w:color w:val="000000"/>
        </w:rPr>
        <w:t>HCAHPS Add-on</w:t>
      </w:r>
      <w:r w:rsidR="0044766F" w:rsidRPr="00BB19BD">
        <w:t xml:space="preserve"> Version </w:t>
      </w:r>
      <w:r w:rsidR="00BB19BD" w:rsidRPr="00BB19BD">
        <w:t>B</w:t>
      </w:r>
      <w:r w:rsidR="00136DA5">
        <w:t xml:space="preserve">, </w:t>
      </w:r>
      <w:r w:rsidR="00B8369C" w:rsidRPr="00BB19BD">
        <w:t xml:space="preserve">Attachment </w:t>
      </w:r>
      <w:r w:rsidR="00B71B42">
        <w:t>3</w:t>
      </w:r>
      <w:r w:rsidR="00B8369C" w:rsidRPr="00BB19BD">
        <w:t>)</w:t>
      </w:r>
      <w:r w:rsidRPr="00BB19BD">
        <w:t xml:space="preserve">. </w:t>
      </w:r>
      <w:r w:rsidR="00542854">
        <w:t>Versions are detailed in Exhibit 1 below.</w:t>
      </w:r>
    </w:p>
    <w:p w14:paraId="4B4CA5D0" w14:textId="77777777" w:rsidR="00542854" w:rsidRDefault="00542854" w:rsidP="00211C1D"/>
    <w:p w14:paraId="5681F128" w14:textId="77777777" w:rsidR="00374551" w:rsidRDefault="00696DA9" w:rsidP="00211C1D">
      <w:r w:rsidRPr="00BB19BD">
        <w:t xml:space="preserve">The </w:t>
      </w:r>
      <w:r w:rsidR="00FB3289" w:rsidRPr="00BB19BD">
        <w:t xml:space="preserve">HCAHPS only </w:t>
      </w:r>
      <w:r w:rsidR="002C6791" w:rsidRPr="00BB19BD">
        <w:t xml:space="preserve">version of the </w:t>
      </w:r>
      <w:r w:rsidRPr="00BB19BD">
        <w:t xml:space="preserve">survey contains </w:t>
      </w:r>
      <w:r w:rsidR="00211C1D" w:rsidRPr="00BB19BD">
        <w:t>32</w:t>
      </w:r>
      <w:r w:rsidRPr="00BB19BD">
        <w:t xml:space="preserve"> items and is estimated to require in an average administration time of </w:t>
      </w:r>
      <w:r w:rsidR="00211C1D" w:rsidRPr="00BB19BD">
        <w:t>8</w:t>
      </w:r>
      <w:r w:rsidRPr="00BB19BD">
        <w:t xml:space="preserve"> minutes (at </w:t>
      </w:r>
      <w:r w:rsidR="00211C1D" w:rsidRPr="00BB19BD">
        <w:t xml:space="preserve">a pace of </w:t>
      </w:r>
      <w:r w:rsidR="00BB19BD" w:rsidRPr="00BB19BD">
        <w:t>4</w:t>
      </w:r>
      <w:r w:rsidR="00FB3289" w:rsidRPr="00BB19BD">
        <w:t xml:space="preserve"> items per minute) or </w:t>
      </w:r>
      <w:r w:rsidR="00211C1D" w:rsidRPr="00BB19BD">
        <w:rPr>
          <w:color w:val="000000"/>
        </w:rPr>
        <w:t>0.13</w:t>
      </w:r>
      <w:r w:rsidR="00BB19BD" w:rsidRPr="00BB19BD">
        <w:rPr>
          <w:color w:val="000000"/>
        </w:rPr>
        <w:t>3</w:t>
      </w:r>
      <w:r w:rsidR="00FB3289" w:rsidRPr="00BB19BD">
        <w:t xml:space="preserve"> hours.</w:t>
      </w:r>
    </w:p>
    <w:p w14:paraId="520D6824" w14:textId="77777777" w:rsidR="00374551" w:rsidRDefault="00374551" w:rsidP="00211C1D"/>
    <w:p w14:paraId="58FF0CEA" w14:textId="06C1F0EB" w:rsidR="000C3D9C" w:rsidRDefault="000C3D9C" w:rsidP="000C3D9C">
      <w:pPr>
        <w:rPr>
          <w:color w:val="000000"/>
        </w:rPr>
      </w:pPr>
      <w:r>
        <w:rPr>
          <w:color w:val="000000"/>
        </w:rPr>
        <w:t xml:space="preserve">The </w:t>
      </w:r>
      <w:r w:rsidR="00CD2251">
        <w:rPr>
          <w:color w:val="000000"/>
        </w:rPr>
        <w:t xml:space="preserve">EDPEC </w:t>
      </w:r>
      <w:r w:rsidRPr="000C3D9C">
        <w:rPr>
          <w:color w:val="000000"/>
        </w:rPr>
        <w:t>HCAHPS Add-on Versions A and B will be administered only to patients admitted t</w:t>
      </w:r>
      <w:r>
        <w:rPr>
          <w:color w:val="000000"/>
        </w:rPr>
        <w:t>hrough the emergency department, thus the core</w:t>
      </w:r>
      <w:r w:rsidRPr="000C3D9C">
        <w:rPr>
          <w:color w:val="000000"/>
        </w:rPr>
        <w:t xml:space="preserve"> HCAHPS </w:t>
      </w:r>
      <w:r w:rsidR="007F7DDB">
        <w:rPr>
          <w:color w:val="000000"/>
        </w:rPr>
        <w:t>item</w:t>
      </w:r>
      <w:r>
        <w:rPr>
          <w:color w:val="000000"/>
        </w:rPr>
        <w:t xml:space="preserve">  </w:t>
      </w:r>
      <w:r w:rsidRPr="0061382D">
        <w:rPr>
          <w:bCs/>
          <w:i/>
        </w:rPr>
        <w:t>During this hospital stay, were you admitted to this hospital through the Emergency Room?</w:t>
      </w:r>
      <w:r>
        <w:rPr>
          <w:color w:val="000000"/>
        </w:rPr>
        <w:t xml:space="preserve"> </w:t>
      </w:r>
      <w:r w:rsidR="007F7DDB">
        <w:rPr>
          <w:color w:val="000000"/>
        </w:rPr>
        <w:t xml:space="preserve">(Attachment 1, item 26) </w:t>
      </w:r>
      <w:r w:rsidRPr="000C3D9C">
        <w:rPr>
          <w:color w:val="000000"/>
        </w:rPr>
        <w:t>is not needed for the add-on versions</w:t>
      </w:r>
      <w:r>
        <w:rPr>
          <w:color w:val="000000"/>
        </w:rPr>
        <w:t>.</w:t>
      </w:r>
      <w:r w:rsidRPr="000C3D9C">
        <w:rPr>
          <w:color w:val="000000"/>
        </w:rPr>
        <w:t xml:space="preserve"> The HCAHPS portion of the </w:t>
      </w:r>
      <w:r w:rsidR="00CD2251">
        <w:rPr>
          <w:color w:val="000000"/>
        </w:rPr>
        <w:t xml:space="preserve">EDPEC </w:t>
      </w:r>
      <w:r w:rsidRPr="000C3D9C">
        <w:rPr>
          <w:color w:val="000000"/>
        </w:rPr>
        <w:t xml:space="preserve">HCAHPS Add-on Versions A and B will </w:t>
      </w:r>
      <w:r w:rsidR="00CD2251">
        <w:rPr>
          <w:color w:val="000000"/>
        </w:rPr>
        <w:t xml:space="preserve">therefore </w:t>
      </w:r>
      <w:r w:rsidRPr="000C3D9C">
        <w:rPr>
          <w:color w:val="000000"/>
        </w:rPr>
        <w:t xml:space="preserve">consist of a total of 31 </w:t>
      </w:r>
      <w:r w:rsidR="007F7DDB">
        <w:rPr>
          <w:color w:val="000000"/>
        </w:rPr>
        <w:t>items</w:t>
      </w:r>
      <w:r w:rsidRPr="000C3D9C">
        <w:rPr>
          <w:color w:val="000000"/>
        </w:rPr>
        <w:t xml:space="preserve"> due to elimination of </w:t>
      </w:r>
      <w:r w:rsidR="007F7DDB">
        <w:rPr>
          <w:color w:val="000000"/>
        </w:rPr>
        <w:t>item</w:t>
      </w:r>
      <w:r w:rsidRPr="000C3D9C">
        <w:rPr>
          <w:color w:val="000000"/>
        </w:rPr>
        <w:t xml:space="preserve"> 26.</w:t>
      </w:r>
    </w:p>
    <w:p w14:paraId="39622F6B" w14:textId="77777777" w:rsidR="00CD2251" w:rsidRPr="000C3D9C" w:rsidRDefault="00CD2251" w:rsidP="000C3D9C">
      <w:pPr>
        <w:rPr>
          <w:color w:val="000000"/>
        </w:rPr>
      </w:pPr>
    </w:p>
    <w:p w14:paraId="2CBC8BD2" w14:textId="2D815C7C" w:rsidR="000C3D9C" w:rsidRPr="000C3D9C" w:rsidRDefault="002A392C" w:rsidP="000C3D9C">
      <w:pPr>
        <w:rPr>
          <w:color w:val="000000"/>
        </w:rPr>
      </w:pPr>
      <w:r w:rsidRPr="00BB19BD">
        <w:t xml:space="preserve">The </w:t>
      </w:r>
      <w:r w:rsidR="0044766F" w:rsidRPr="00BB19BD">
        <w:rPr>
          <w:color w:val="000000"/>
        </w:rPr>
        <w:t xml:space="preserve">EDPEC </w:t>
      </w:r>
      <w:r w:rsidR="00BB19BD" w:rsidRPr="00BB19BD">
        <w:rPr>
          <w:color w:val="000000"/>
        </w:rPr>
        <w:t>HCAHPS Add-on</w:t>
      </w:r>
      <w:r w:rsidR="00BB19BD" w:rsidRPr="00BB19BD">
        <w:t xml:space="preserve"> Version A</w:t>
      </w:r>
      <w:r w:rsidR="00BB19BD" w:rsidRPr="00BB19BD" w:rsidDel="00BB19BD">
        <w:rPr>
          <w:color w:val="000000"/>
        </w:rPr>
        <w:t xml:space="preserve"> </w:t>
      </w:r>
      <w:r w:rsidR="00053C3C" w:rsidRPr="00BB19BD">
        <w:t xml:space="preserve">contains </w:t>
      </w:r>
      <w:r w:rsidR="00806B71">
        <w:t>49</w:t>
      </w:r>
      <w:r w:rsidR="00806B71" w:rsidRPr="00BB19BD">
        <w:t xml:space="preserve"> </w:t>
      </w:r>
      <w:r w:rsidR="00053C3C" w:rsidRPr="00BB19BD">
        <w:t xml:space="preserve">items </w:t>
      </w:r>
      <w:r w:rsidR="00CD2251">
        <w:t>(31</w:t>
      </w:r>
      <w:r w:rsidR="000C3D9C">
        <w:t xml:space="preserve"> </w:t>
      </w:r>
      <w:r w:rsidR="007F7DDB">
        <w:t>HCAHPS core items</w:t>
      </w:r>
      <w:r w:rsidR="000C3D9C">
        <w:t xml:space="preserve"> and 18 </w:t>
      </w:r>
      <w:r w:rsidR="007F7DDB">
        <w:rPr>
          <w:color w:val="000000" w:themeColor="text1"/>
          <w:szCs w:val="20"/>
        </w:rPr>
        <w:t>ED-Specific Items)</w:t>
      </w:r>
      <w:r w:rsidR="007F7DDB" w:rsidRPr="00BB19BD">
        <w:t xml:space="preserve"> </w:t>
      </w:r>
      <w:r w:rsidR="00053C3C" w:rsidRPr="00BB19BD">
        <w:t xml:space="preserve">and is estimated to require in an average administration time of </w:t>
      </w:r>
      <w:r w:rsidR="00BB19BD" w:rsidRPr="00BB19BD">
        <w:t>12.</w:t>
      </w:r>
      <w:r w:rsidR="00806B71">
        <w:t>2</w:t>
      </w:r>
      <w:r w:rsidR="00BB19BD" w:rsidRPr="00BB19BD">
        <w:t xml:space="preserve">5 </w:t>
      </w:r>
      <w:r w:rsidR="00053C3C" w:rsidRPr="00BB19BD">
        <w:t xml:space="preserve">minutes </w:t>
      </w:r>
      <w:r w:rsidR="00F16281" w:rsidRPr="00BB19BD">
        <w:t xml:space="preserve">or </w:t>
      </w:r>
      <w:r w:rsidR="00BB19BD" w:rsidRPr="00BB19BD">
        <w:t>.20</w:t>
      </w:r>
      <w:r w:rsidR="00806B71">
        <w:t>4</w:t>
      </w:r>
      <w:r w:rsidR="00BB19BD" w:rsidRPr="00BB19BD">
        <w:t xml:space="preserve"> </w:t>
      </w:r>
      <w:r w:rsidR="00F16281" w:rsidRPr="00BB19BD">
        <w:t>hours.</w:t>
      </w:r>
      <w:r w:rsidRPr="00BB19BD">
        <w:t xml:space="preserve"> The </w:t>
      </w:r>
      <w:r w:rsidR="0044766F" w:rsidRPr="00BB19BD">
        <w:rPr>
          <w:color w:val="000000"/>
        </w:rPr>
        <w:t xml:space="preserve">EDPEC </w:t>
      </w:r>
      <w:r w:rsidR="00BB19BD" w:rsidRPr="00BB19BD">
        <w:rPr>
          <w:color w:val="000000"/>
        </w:rPr>
        <w:t>HCAHPS Add-on</w:t>
      </w:r>
      <w:r w:rsidR="00BB19BD" w:rsidRPr="00BB19BD">
        <w:t xml:space="preserve"> Version </w:t>
      </w:r>
      <w:r w:rsidR="00BB19BD" w:rsidRPr="00BB19BD">
        <w:rPr>
          <w:color w:val="000000"/>
        </w:rPr>
        <w:t>B</w:t>
      </w:r>
      <w:r w:rsidR="00053C3C" w:rsidRPr="00BB19BD">
        <w:t xml:space="preserve"> contains </w:t>
      </w:r>
      <w:r w:rsidR="00806B71">
        <w:t>54</w:t>
      </w:r>
      <w:r w:rsidR="00806B71" w:rsidRPr="00BB19BD">
        <w:t xml:space="preserve"> </w:t>
      </w:r>
      <w:r w:rsidR="00053C3C" w:rsidRPr="00BB19BD">
        <w:t>items</w:t>
      </w:r>
      <w:r w:rsidR="007F7DDB">
        <w:t xml:space="preserve"> (31 HCAHPS core items and 23 </w:t>
      </w:r>
      <w:r w:rsidR="007F7DDB">
        <w:rPr>
          <w:color w:val="000000" w:themeColor="text1"/>
          <w:szCs w:val="20"/>
        </w:rPr>
        <w:t>ED-Specific Items)</w:t>
      </w:r>
      <w:r w:rsidR="00053C3C" w:rsidRPr="00BB19BD">
        <w:t xml:space="preserve"> and is estimated to require in an average administration time of </w:t>
      </w:r>
      <w:r w:rsidR="009B3B72">
        <w:t>13.5</w:t>
      </w:r>
      <w:r w:rsidR="009B3B72" w:rsidRPr="00BB19BD">
        <w:t xml:space="preserve"> </w:t>
      </w:r>
      <w:r w:rsidR="00053C3C" w:rsidRPr="00BB19BD">
        <w:t xml:space="preserve">minutes </w:t>
      </w:r>
      <w:r w:rsidR="00F16281" w:rsidRPr="00BB19BD">
        <w:t xml:space="preserve">or </w:t>
      </w:r>
      <w:r w:rsidR="009B3B72">
        <w:t>.</w:t>
      </w:r>
      <w:r w:rsidR="00806B71">
        <w:t>225</w:t>
      </w:r>
      <w:r w:rsidR="00806B71" w:rsidRPr="00BB19BD">
        <w:t xml:space="preserve"> </w:t>
      </w:r>
      <w:r w:rsidR="00F16281" w:rsidRPr="00BB19BD">
        <w:t>hours</w:t>
      </w:r>
      <w:r w:rsidRPr="00BB19BD">
        <w:t>.</w:t>
      </w:r>
      <w:r w:rsidR="00053C3C" w:rsidRPr="00BB19BD">
        <w:t xml:space="preserve"> </w:t>
      </w:r>
      <w:r w:rsidR="00F16281" w:rsidRPr="00BB19BD">
        <w:t>S</w:t>
      </w:r>
      <w:r w:rsidR="005F4237" w:rsidRPr="00BB19BD">
        <w:t>ee A</w:t>
      </w:r>
      <w:r w:rsidR="00AE7D67" w:rsidRPr="00BB19BD">
        <w:t>ttachment</w:t>
      </w:r>
      <w:r w:rsidR="008456D6" w:rsidRPr="00BB19BD">
        <w:t>s</w:t>
      </w:r>
      <w:r w:rsidR="00AE7D67" w:rsidRPr="00BB19BD">
        <w:t xml:space="preserve"> </w:t>
      </w:r>
      <w:r w:rsidR="009B3B72">
        <w:t>1</w:t>
      </w:r>
      <w:r w:rsidR="008456D6" w:rsidRPr="00BB19BD">
        <w:t xml:space="preserve">, </w:t>
      </w:r>
      <w:r w:rsidR="009B3B72">
        <w:t>2</w:t>
      </w:r>
      <w:r w:rsidR="008456D6" w:rsidRPr="00BB19BD">
        <w:t xml:space="preserve">, and </w:t>
      </w:r>
      <w:r w:rsidR="009B3B72">
        <w:t>3</w:t>
      </w:r>
      <w:r w:rsidR="009B3B72" w:rsidRPr="00BB19BD">
        <w:t xml:space="preserve"> </w:t>
      </w:r>
      <w:r w:rsidR="00AE7D67" w:rsidRPr="00BB19BD">
        <w:t xml:space="preserve">for </w:t>
      </w:r>
      <w:r w:rsidR="008456D6" w:rsidRPr="00BB19BD">
        <w:t>copies</w:t>
      </w:r>
      <w:r w:rsidR="00AE7D67" w:rsidRPr="00BB19BD">
        <w:t xml:space="preserve"> of the survey</w:t>
      </w:r>
      <w:r w:rsidR="008456D6" w:rsidRPr="00BB19BD">
        <w:t>s</w:t>
      </w:r>
      <w:r w:rsidR="00696DA9" w:rsidRPr="00BB19BD">
        <w:t>.</w:t>
      </w:r>
      <w:r w:rsidR="00696DA9" w:rsidRPr="00FB3289">
        <w:rPr>
          <w:color w:val="000000"/>
        </w:rPr>
        <w:t xml:space="preserve">  </w:t>
      </w:r>
    </w:p>
    <w:p w14:paraId="67611A65" w14:textId="77777777" w:rsidR="006620B6" w:rsidRPr="00211C1D" w:rsidRDefault="006620B6" w:rsidP="00211C1D">
      <w:pPr>
        <w:rPr>
          <w:rFonts w:ascii="Calibri" w:hAnsi="Calibri"/>
          <w:color w:val="000000"/>
        </w:rPr>
      </w:pPr>
    </w:p>
    <w:p w14:paraId="133E956C" w14:textId="77777777" w:rsidR="00FB3289" w:rsidRDefault="00FB3289" w:rsidP="006620B6">
      <w:pPr>
        <w:keepLines/>
        <w:rPr>
          <w:bCs/>
          <w:highlight w:val="yellow"/>
        </w:rPr>
      </w:pPr>
    </w:p>
    <w:p w14:paraId="62F705F5" w14:textId="77777777" w:rsidR="00FB3289" w:rsidRDefault="00FB3289" w:rsidP="00FB3289">
      <w:pPr>
        <w:keepLines/>
        <w:rPr>
          <w:color w:val="000000"/>
        </w:rPr>
      </w:pPr>
      <w:r w:rsidRPr="00546D06">
        <w:t xml:space="preserve">There is one version of the survey for patients </w:t>
      </w:r>
      <w:r w:rsidR="00136DA5">
        <w:t xml:space="preserve">who are </w:t>
      </w:r>
      <w:r w:rsidRPr="00546D06">
        <w:t>discharged to the commu</w:t>
      </w:r>
      <w:r w:rsidR="0003445F" w:rsidRPr="00546D06">
        <w:t>nity</w:t>
      </w:r>
      <w:r w:rsidRPr="00546D06">
        <w:t xml:space="preserve"> (Attachment </w:t>
      </w:r>
      <w:r w:rsidR="004639B0">
        <w:t>4</w:t>
      </w:r>
      <w:r w:rsidRPr="00546D06">
        <w:t xml:space="preserve">). The survey contains </w:t>
      </w:r>
      <w:r w:rsidR="00546D06" w:rsidRPr="00546D06">
        <w:t xml:space="preserve">43 </w:t>
      </w:r>
      <w:r w:rsidRPr="00546D06">
        <w:t xml:space="preserve">items and is estimated to require in an average administration time of </w:t>
      </w:r>
      <w:r w:rsidR="00546D06" w:rsidRPr="00546D06">
        <w:t xml:space="preserve">10.75 </w:t>
      </w:r>
      <w:r w:rsidRPr="00546D06">
        <w:t xml:space="preserve">minutes (at a pace of </w:t>
      </w:r>
      <w:r w:rsidR="00546D06" w:rsidRPr="00546D06">
        <w:t xml:space="preserve">4 </w:t>
      </w:r>
      <w:r w:rsidRPr="00546D06">
        <w:t xml:space="preserve">items per minute) or </w:t>
      </w:r>
      <w:r w:rsidR="00546D06" w:rsidRPr="00546D06">
        <w:t xml:space="preserve">.179 </w:t>
      </w:r>
      <w:r w:rsidRPr="00546D06">
        <w:t xml:space="preserve">hours. See Attachment </w:t>
      </w:r>
      <w:r w:rsidR="00546D06" w:rsidRPr="00546D06">
        <w:t xml:space="preserve">4 </w:t>
      </w:r>
      <w:r w:rsidRPr="00546D06">
        <w:t xml:space="preserve">for </w:t>
      </w:r>
      <w:r w:rsidR="0003445F" w:rsidRPr="00546D06">
        <w:t xml:space="preserve">a </w:t>
      </w:r>
      <w:r w:rsidRPr="00546D06">
        <w:t>cop</w:t>
      </w:r>
      <w:r w:rsidR="0003445F" w:rsidRPr="00546D06">
        <w:t>y of this</w:t>
      </w:r>
      <w:r w:rsidRPr="00546D06">
        <w:t xml:space="preserve"> survey.</w:t>
      </w:r>
      <w:r w:rsidRPr="00546D06">
        <w:rPr>
          <w:color w:val="000000"/>
        </w:rPr>
        <w:t xml:space="preserve">  </w:t>
      </w:r>
    </w:p>
    <w:p w14:paraId="39AC6AE9" w14:textId="77777777" w:rsidR="000D6327" w:rsidRDefault="000D6327" w:rsidP="00FB3289">
      <w:pPr>
        <w:keepLines/>
        <w:rPr>
          <w:color w:val="000000"/>
        </w:rPr>
      </w:pPr>
    </w:p>
    <w:p w14:paraId="268E3D7E" w14:textId="77777777" w:rsidR="000D6327" w:rsidRDefault="00B93FD4" w:rsidP="000D6327">
      <w:pPr>
        <w:keepNext/>
        <w:rPr>
          <w:color w:val="000000" w:themeColor="text1"/>
        </w:rPr>
      </w:pPr>
      <w:r>
        <w:rPr>
          <w:b/>
          <w:bCs/>
          <w:color w:val="000000" w:themeColor="text1"/>
        </w:rPr>
        <w:t>Exhibit 1.  Survey versions and item c</w:t>
      </w:r>
      <w:r w:rsidR="000D6327">
        <w:rPr>
          <w:b/>
          <w:bCs/>
          <w:color w:val="000000" w:themeColor="text1"/>
        </w:rPr>
        <w:t>ounts</w:t>
      </w:r>
    </w:p>
    <w:tbl>
      <w:tblPr>
        <w:tblW w:w="9125"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Caption w:val="Survey Versions and Item Counts"/>
        <w:tblDescription w:val="This table describes the 4 versions of the survey to be used in these experiments, the number of items per survey, and the average time per respondent."/>
      </w:tblPr>
      <w:tblGrid>
        <w:gridCol w:w="2378"/>
        <w:gridCol w:w="1443"/>
        <w:gridCol w:w="1886"/>
        <w:gridCol w:w="1709"/>
        <w:gridCol w:w="1709"/>
      </w:tblGrid>
      <w:tr w:rsidR="000D6327" w14:paraId="45AE97F8" w14:textId="77777777" w:rsidTr="00B93FD4">
        <w:trPr>
          <w:cantSplit/>
          <w:tblHeader/>
        </w:trPr>
        <w:tc>
          <w:tcPr>
            <w:tcW w:w="2378" w:type="dxa"/>
            <w:tcMar>
              <w:top w:w="0" w:type="dxa"/>
              <w:left w:w="108" w:type="dxa"/>
              <w:bottom w:w="0" w:type="dxa"/>
              <w:right w:w="108" w:type="dxa"/>
            </w:tcMar>
            <w:vAlign w:val="center"/>
            <w:hideMark/>
          </w:tcPr>
          <w:p w14:paraId="39D9E43D" w14:textId="77777777" w:rsidR="000D6327" w:rsidRDefault="000D6327" w:rsidP="00CB2392">
            <w:pPr>
              <w:keepNext/>
              <w:rPr>
                <w:color w:val="000000" w:themeColor="text1"/>
              </w:rPr>
            </w:pPr>
            <w:r>
              <w:rPr>
                <w:color w:val="000000" w:themeColor="text1"/>
                <w:szCs w:val="20"/>
              </w:rPr>
              <w:t>Survey Version</w:t>
            </w:r>
          </w:p>
        </w:tc>
        <w:tc>
          <w:tcPr>
            <w:tcW w:w="1443" w:type="dxa"/>
            <w:tcMar>
              <w:top w:w="0" w:type="dxa"/>
              <w:left w:w="108" w:type="dxa"/>
              <w:bottom w:w="0" w:type="dxa"/>
              <w:right w:w="108" w:type="dxa"/>
            </w:tcMar>
            <w:vAlign w:val="center"/>
            <w:hideMark/>
          </w:tcPr>
          <w:p w14:paraId="7715CD5A" w14:textId="77777777" w:rsidR="000D6327" w:rsidRDefault="000D6327" w:rsidP="00CB2392">
            <w:pPr>
              <w:keepNext/>
              <w:jc w:val="center"/>
              <w:rPr>
                <w:color w:val="000000" w:themeColor="text1"/>
              </w:rPr>
            </w:pPr>
            <w:r>
              <w:rPr>
                <w:color w:val="000000" w:themeColor="text1"/>
                <w:szCs w:val="20"/>
              </w:rPr>
              <w:t>Number of HCAHPS Core items</w:t>
            </w:r>
          </w:p>
        </w:tc>
        <w:tc>
          <w:tcPr>
            <w:tcW w:w="1886" w:type="dxa"/>
            <w:tcMar>
              <w:top w:w="0" w:type="dxa"/>
              <w:left w:w="108" w:type="dxa"/>
              <w:bottom w:w="0" w:type="dxa"/>
              <w:right w:w="108" w:type="dxa"/>
            </w:tcMar>
            <w:vAlign w:val="center"/>
            <w:hideMark/>
          </w:tcPr>
          <w:p w14:paraId="1A73E3B1" w14:textId="77777777" w:rsidR="000D6327" w:rsidRDefault="000D6327" w:rsidP="00CB2392">
            <w:pPr>
              <w:keepNext/>
              <w:jc w:val="center"/>
              <w:rPr>
                <w:color w:val="000000" w:themeColor="text1"/>
                <w:szCs w:val="20"/>
              </w:rPr>
            </w:pPr>
            <w:r>
              <w:rPr>
                <w:color w:val="000000" w:themeColor="text1"/>
                <w:szCs w:val="20"/>
              </w:rPr>
              <w:t>Number of ED-Specific Items</w:t>
            </w:r>
          </w:p>
        </w:tc>
        <w:tc>
          <w:tcPr>
            <w:tcW w:w="1709" w:type="dxa"/>
            <w:vAlign w:val="center"/>
            <w:hideMark/>
          </w:tcPr>
          <w:p w14:paraId="6AF2C9A7" w14:textId="77777777" w:rsidR="000D6327" w:rsidRDefault="000D6327" w:rsidP="00CB2392">
            <w:pPr>
              <w:keepNext/>
              <w:jc w:val="center"/>
              <w:rPr>
                <w:color w:val="000000" w:themeColor="text1"/>
              </w:rPr>
            </w:pPr>
            <w:r>
              <w:rPr>
                <w:color w:val="000000" w:themeColor="text1"/>
                <w:szCs w:val="20"/>
              </w:rPr>
              <w:t>Total Survey Items</w:t>
            </w:r>
          </w:p>
        </w:tc>
        <w:tc>
          <w:tcPr>
            <w:tcW w:w="1709" w:type="dxa"/>
            <w:hideMark/>
          </w:tcPr>
          <w:p w14:paraId="7F2EE906" w14:textId="77777777" w:rsidR="000D6327" w:rsidRDefault="000D6327" w:rsidP="00CB2392">
            <w:pPr>
              <w:keepNext/>
              <w:jc w:val="center"/>
              <w:rPr>
                <w:color w:val="000000" w:themeColor="text1"/>
                <w:szCs w:val="20"/>
              </w:rPr>
            </w:pPr>
            <w:r>
              <w:rPr>
                <w:color w:val="000000" w:themeColor="text1"/>
                <w:szCs w:val="20"/>
              </w:rPr>
              <w:t>Average Time to Complete</w:t>
            </w:r>
            <w:r>
              <w:rPr>
                <w:color w:val="000000" w:themeColor="text1"/>
                <w:szCs w:val="20"/>
              </w:rPr>
              <w:br/>
              <w:t>(minutes*)</w:t>
            </w:r>
          </w:p>
        </w:tc>
      </w:tr>
      <w:tr w:rsidR="000D6327" w14:paraId="21839805" w14:textId="77777777" w:rsidTr="00B93FD4">
        <w:trPr>
          <w:cantSplit/>
        </w:trPr>
        <w:tc>
          <w:tcPr>
            <w:tcW w:w="2378" w:type="dxa"/>
            <w:tcMar>
              <w:top w:w="0" w:type="dxa"/>
              <w:left w:w="108" w:type="dxa"/>
              <w:bottom w:w="0" w:type="dxa"/>
              <w:right w:w="108" w:type="dxa"/>
            </w:tcMar>
            <w:vAlign w:val="center"/>
            <w:hideMark/>
          </w:tcPr>
          <w:p w14:paraId="5608EA9F" w14:textId="77777777" w:rsidR="000D6327" w:rsidRDefault="000D6327" w:rsidP="00923517">
            <w:pPr>
              <w:keepNext/>
              <w:rPr>
                <w:color w:val="000000" w:themeColor="text1"/>
              </w:rPr>
            </w:pPr>
            <w:r>
              <w:rPr>
                <w:color w:val="000000"/>
              </w:rPr>
              <w:t>HCAHPS</w:t>
            </w:r>
            <w:r w:rsidR="00923517">
              <w:rPr>
                <w:color w:val="000000"/>
              </w:rPr>
              <w:t>**</w:t>
            </w:r>
            <w:r>
              <w:rPr>
                <w:color w:val="000000"/>
              </w:rPr>
              <w:t xml:space="preserve"> </w:t>
            </w:r>
          </w:p>
        </w:tc>
        <w:tc>
          <w:tcPr>
            <w:tcW w:w="1443" w:type="dxa"/>
            <w:tcMar>
              <w:top w:w="0" w:type="dxa"/>
              <w:left w:w="108" w:type="dxa"/>
              <w:bottom w:w="0" w:type="dxa"/>
              <w:right w:w="108" w:type="dxa"/>
            </w:tcMar>
            <w:vAlign w:val="center"/>
            <w:hideMark/>
          </w:tcPr>
          <w:p w14:paraId="2F1DB453" w14:textId="77777777" w:rsidR="000D6327" w:rsidRDefault="000D6327" w:rsidP="00CB2392">
            <w:pPr>
              <w:keepNext/>
              <w:jc w:val="center"/>
              <w:rPr>
                <w:color w:val="000000" w:themeColor="text1"/>
              </w:rPr>
            </w:pPr>
            <w:r>
              <w:rPr>
                <w:color w:val="000000" w:themeColor="text1"/>
              </w:rPr>
              <w:t>32</w:t>
            </w:r>
          </w:p>
        </w:tc>
        <w:tc>
          <w:tcPr>
            <w:tcW w:w="1886" w:type="dxa"/>
            <w:tcMar>
              <w:top w:w="0" w:type="dxa"/>
              <w:left w:w="108" w:type="dxa"/>
              <w:bottom w:w="0" w:type="dxa"/>
              <w:right w:w="108" w:type="dxa"/>
            </w:tcMar>
            <w:vAlign w:val="center"/>
            <w:hideMark/>
          </w:tcPr>
          <w:p w14:paraId="219B9079" w14:textId="77777777" w:rsidR="000D6327" w:rsidRDefault="000D6327" w:rsidP="00CB2392">
            <w:pPr>
              <w:keepNext/>
              <w:jc w:val="center"/>
              <w:rPr>
                <w:color w:val="000000" w:themeColor="text1"/>
              </w:rPr>
            </w:pPr>
            <w:r>
              <w:rPr>
                <w:color w:val="000000" w:themeColor="text1"/>
              </w:rPr>
              <w:t>0</w:t>
            </w:r>
          </w:p>
        </w:tc>
        <w:tc>
          <w:tcPr>
            <w:tcW w:w="1709" w:type="dxa"/>
            <w:vAlign w:val="center"/>
            <w:hideMark/>
          </w:tcPr>
          <w:p w14:paraId="68022DE6" w14:textId="77777777" w:rsidR="000D6327" w:rsidRDefault="000D6327" w:rsidP="00CB2392">
            <w:pPr>
              <w:keepNext/>
              <w:jc w:val="center"/>
              <w:rPr>
                <w:color w:val="000000" w:themeColor="text1"/>
              </w:rPr>
            </w:pPr>
            <w:r>
              <w:rPr>
                <w:color w:val="000000" w:themeColor="text1"/>
              </w:rPr>
              <w:t>32</w:t>
            </w:r>
          </w:p>
        </w:tc>
        <w:tc>
          <w:tcPr>
            <w:tcW w:w="1709" w:type="dxa"/>
          </w:tcPr>
          <w:p w14:paraId="36A7B662" w14:textId="77777777" w:rsidR="000D6327" w:rsidRDefault="000D6327" w:rsidP="00CB2392">
            <w:pPr>
              <w:keepNext/>
              <w:jc w:val="center"/>
              <w:rPr>
                <w:color w:val="000000" w:themeColor="text1"/>
              </w:rPr>
            </w:pPr>
          </w:p>
          <w:p w14:paraId="5B0CA1AB" w14:textId="77777777" w:rsidR="000D6327" w:rsidRDefault="000D6327" w:rsidP="00CB2392">
            <w:pPr>
              <w:keepNext/>
              <w:jc w:val="center"/>
              <w:rPr>
                <w:color w:val="000000" w:themeColor="text1"/>
              </w:rPr>
            </w:pPr>
            <w:r>
              <w:rPr>
                <w:color w:val="000000" w:themeColor="text1"/>
              </w:rPr>
              <w:t>8</w:t>
            </w:r>
          </w:p>
          <w:p w14:paraId="0EA315AF" w14:textId="77777777" w:rsidR="000D6327" w:rsidRDefault="000D6327" w:rsidP="00CB2392">
            <w:pPr>
              <w:keepNext/>
              <w:jc w:val="center"/>
              <w:rPr>
                <w:color w:val="000000" w:themeColor="text1"/>
              </w:rPr>
            </w:pPr>
          </w:p>
        </w:tc>
      </w:tr>
      <w:tr w:rsidR="000D6327" w14:paraId="4D35AE65" w14:textId="77777777" w:rsidTr="00B93FD4">
        <w:trPr>
          <w:cantSplit/>
        </w:trPr>
        <w:tc>
          <w:tcPr>
            <w:tcW w:w="2378" w:type="dxa"/>
            <w:tcMar>
              <w:top w:w="0" w:type="dxa"/>
              <w:left w:w="108" w:type="dxa"/>
              <w:bottom w:w="0" w:type="dxa"/>
              <w:right w:w="108" w:type="dxa"/>
            </w:tcMar>
            <w:vAlign w:val="center"/>
            <w:hideMark/>
          </w:tcPr>
          <w:p w14:paraId="506BA932" w14:textId="77777777" w:rsidR="000D6327" w:rsidRDefault="000D6327" w:rsidP="00CB2392">
            <w:pPr>
              <w:keepNext/>
              <w:rPr>
                <w:color w:val="000000"/>
              </w:rPr>
            </w:pPr>
            <w:r>
              <w:rPr>
                <w:color w:val="000000"/>
              </w:rPr>
              <w:t>EDPEC for Admitted Patients: HCAHPS Add-on Version A</w:t>
            </w:r>
          </w:p>
        </w:tc>
        <w:tc>
          <w:tcPr>
            <w:tcW w:w="1443" w:type="dxa"/>
            <w:tcMar>
              <w:top w:w="0" w:type="dxa"/>
              <w:left w:w="108" w:type="dxa"/>
              <w:bottom w:w="0" w:type="dxa"/>
              <w:right w:w="108" w:type="dxa"/>
            </w:tcMar>
            <w:vAlign w:val="center"/>
            <w:hideMark/>
          </w:tcPr>
          <w:p w14:paraId="4D46B18A" w14:textId="77777777" w:rsidR="000D6327" w:rsidRDefault="00806B71" w:rsidP="00CB2392">
            <w:pPr>
              <w:keepNext/>
              <w:jc w:val="center"/>
              <w:rPr>
                <w:color w:val="000000" w:themeColor="text1"/>
              </w:rPr>
            </w:pPr>
            <w:r>
              <w:rPr>
                <w:color w:val="000000" w:themeColor="text1"/>
              </w:rPr>
              <w:t>31</w:t>
            </w:r>
          </w:p>
        </w:tc>
        <w:tc>
          <w:tcPr>
            <w:tcW w:w="1886" w:type="dxa"/>
            <w:tcMar>
              <w:top w:w="0" w:type="dxa"/>
              <w:left w:w="108" w:type="dxa"/>
              <w:bottom w:w="0" w:type="dxa"/>
              <w:right w:w="108" w:type="dxa"/>
            </w:tcMar>
            <w:vAlign w:val="center"/>
          </w:tcPr>
          <w:p w14:paraId="2C15D4D3" w14:textId="77777777" w:rsidR="000D6327" w:rsidRDefault="000D6327" w:rsidP="00CB2392">
            <w:pPr>
              <w:keepNext/>
              <w:jc w:val="center"/>
              <w:rPr>
                <w:color w:val="000000" w:themeColor="text1"/>
              </w:rPr>
            </w:pPr>
            <w:r>
              <w:rPr>
                <w:color w:val="000000" w:themeColor="text1"/>
              </w:rPr>
              <w:t>18</w:t>
            </w:r>
          </w:p>
        </w:tc>
        <w:tc>
          <w:tcPr>
            <w:tcW w:w="1709" w:type="dxa"/>
            <w:vAlign w:val="center"/>
            <w:hideMark/>
          </w:tcPr>
          <w:p w14:paraId="5C926663" w14:textId="77777777" w:rsidR="000D6327" w:rsidRDefault="00806B71" w:rsidP="00CB2392">
            <w:pPr>
              <w:keepNext/>
              <w:jc w:val="center"/>
              <w:rPr>
                <w:color w:val="000000" w:themeColor="text1"/>
              </w:rPr>
            </w:pPr>
            <w:r>
              <w:rPr>
                <w:color w:val="000000" w:themeColor="text1"/>
              </w:rPr>
              <w:t>49</w:t>
            </w:r>
          </w:p>
        </w:tc>
        <w:tc>
          <w:tcPr>
            <w:tcW w:w="1709" w:type="dxa"/>
          </w:tcPr>
          <w:p w14:paraId="776EC598" w14:textId="77777777" w:rsidR="000D6327" w:rsidRDefault="000D6327" w:rsidP="00CB2392">
            <w:pPr>
              <w:keepNext/>
              <w:jc w:val="center"/>
              <w:rPr>
                <w:color w:val="000000" w:themeColor="text1"/>
              </w:rPr>
            </w:pPr>
          </w:p>
          <w:p w14:paraId="6F9F4C0E" w14:textId="77777777" w:rsidR="000D6327" w:rsidRDefault="000D6327" w:rsidP="00CB2392">
            <w:pPr>
              <w:keepNext/>
              <w:jc w:val="center"/>
              <w:rPr>
                <w:color w:val="000000" w:themeColor="text1"/>
              </w:rPr>
            </w:pPr>
            <w:r>
              <w:rPr>
                <w:color w:val="000000" w:themeColor="text1"/>
              </w:rPr>
              <w:t>12.</w:t>
            </w:r>
            <w:r w:rsidR="002F1FD5">
              <w:rPr>
                <w:color w:val="000000" w:themeColor="text1"/>
              </w:rPr>
              <w:t>2</w:t>
            </w:r>
            <w:r>
              <w:rPr>
                <w:color w:val="000000" w:themeColor="text1"/>
              </w:rPr>
              <w:t>5</w:t>
            </w:r>
          </w:p>
        </w:tc>
      </w:tr>
      <w:tr w:rsidR="000D6327" w14:paraId="42BC7DB5" w14:textId="77777777" w:rsidTr="00B93FD4">
        <w:trPr>
          <w:cantSplit/>
        </w:trPr>
        <w:tc>
          <w:tcPr>
            <w:tcW w:w="2378" w:type="dxa"/>
            <w:tcMar>
              <w:top w:w="0" w:type="dxa"/>
              <w:left w:w="108" w:type="dxa"/>
              <w:bottom w:w="0" w:type="dxa"/>
              <w:right w:w="108" w:type="dxa"/>
            </w:tcMar>
            <w:vAlign w:val="center"/>
            <w:hideMark/>
          </w:tcPr>
          <w:p w14:paraId="1F703588" w14:textId="77777777" w:rsidR="000D6327" w:rsidRDefault="000D6327" w:rsidP="00CB2392">
            <w:pPr>
              <w:keepNext/>
              <w:rPr>
                <w:color w:val="000000"/>
              </w:rPr>
            </w:pPr>
            <w:r>
              <w:rPr>
                <w:color w:val="000000"/>
              </w:rPr>
              <w:t>EDPEC for Admitted Patients: HCAHPS Add-on Version B</w:t>
            </w:r>
          </w:p>
        </w:tc>
        <w:tc>
          <w:tcPr>
            <w:tcW w:w="1443" w:type="dxa"/>
            <w:tcMar>
              <w:top w:w="0" w:type="dxa"/>
              <w:left w:w="108" w:type="dxa"/>
              <w:bottom w:w="0" w:type="dxa"/>
              <w:right w:w="108" w:type="dxa"/>
            </w:tcMar>
            <w:vAlign w:val="center"/>
            <w:hideMark/>
          </w:tcPr>
          <w:p w14:paraId="2EC257E8" w14:textId="77777777" w:rsidR="000D6327" w:rsidRDefault="00806B71" w:rsidP="00CB2392">
            <w:pPr>
              <w:keepNext/>
              <w:jc w:val="center"/>
              <w:rPr>
                <w:color w:val="000000" w:themeColor="text1"/>
              </w:rPr>
            </w:pPr>
            <w:r>
              <w:rPr>
                <w:color w:val="000000" w:themeColor="text1"/>
              </w:rPr>
              <w:t>31</w:t>
            </w:r>
          </w:p>
        </w:tc>
        <w:tc>
          <w:tcPr>
            <w:tcW w:w="1886" w:type="dxa"/>
            <w:tcMar>
              <w:top w:w="0" w:type="dxa"/>
              <w:left w:w="108" w:type="dxa"/>
              <w:bottom w:w="0" w:type="dxa"/>
              <w:right w:w="108" w:type="dxa"/>
            </w:tcMar>
            <w:vAlign w:val="center"/>
          </w:tcPr>
          <w:p w14:paraId="70B32D47" w14:textId="77777777" w:rsidR="000D6327" w:rsidRDefault="000D6327" w:rsidP="00CB2392">
            <w:pPr>
              <w:keepNext/>
              <w:jc w:val="center"/>
              <w:rPr>
                <w:color w:val="000000" w:themeColor="text1"/>
              </w:rPr>
            </w:pPr>
            <w:r>
              <w:rPr>
                <w:color w:val="000000" w:themeColor="text1"/>
              </w:rPr>
              <w:t>23</w:t>
            </w:r>
          </w:p>
        </w:tc>
        <w:tc>
          <w:tcPr>
            <w:tcW w:w="1709" w:type="dxa"/>
            <w:vAlign w:val="center"/>
            <w:hideMark/>
          </w:tcPr>
          <w:p w14:paraId="24DD005E" w14:textId="77777777" w:rsidR="000D6327" w:rsidRDefault="00806B71" w:rsidP="00CB2392">
            <w:pPr>
              <w:keepNext/>
              <w:jc w:val="center"/>
              <w:rPr>
                <w:color w:val="000000" w:themeColor="text1"/>
              </w:rPr>
            </w:pPr>
            <w:r>
              <w:rPr>
                <w:color w:val="000000" w:themeColor="text1"/>
              </w:rPr>
              <w:t>54</w:t>
            </w:r>
          </w:p>
        </w:tc>
        <w:tc>
          <w:tcPr>
            <w:tcW w:w="1709" w:type="dxa"/>
          </w:tcPr>
          <w:p w14:paraId="4D63EE7D" w14:textId="77777777" w:rsidR="000D6327" w:rsidRDefault="000D6327" w:rsidP="00CB2392">
            <w:pPr>
              <w:keepNext/>
              <w:jc w:val="center"/>
              <w:rPr>
                <w:color w:val="000000" w:themeColor="text1"/>
              </w:rPr>
            </w:pPr>
          </w:p>
          <w:p w14:paraId="0DC1112C" w14:textId="42344F62" w:rsidR="000D6327" w:rsidRDefault="000D6327" w:rsidP="00CB2392">
            <w:pPr>
              <w:keepNext/>
              <w:jc w:val="center"/>
              <w:rPr>
                <w:color w:val="000000" w:themeColor="text1"/>
              </w:rPr>
            </w:pPr>
            <w:r>
              <w:rPr>
                <w:color w:val="000000" w:themeColor="text1"/>
              </w:rPr>
              <w:t>13.5</w:t>
            </w:r>
          </w:p>
        </w:tc>
      </w:tr>
      <w:tr w:rsidR="000D6327" w14:paraId="40A2EC7C" w14:textId="77777777" w:rsidTr="00B93FD4">
        <w:trPr>
          <w:cantSplit/>
        </w:trPr>
        <w:tc>
          <w:tcPr>
            <w:tcW w:w="2378" w:type="dxa"/>
            <w:tcMar>
              <w:top w:w="0" w:type="dxa"/>
              <w:left w:w="108" w:type="dxa"/>
              <w:bottom w:w="0" w:type="dxa"/>
              <w:right w:w="108" w:type="dxa"/>
            </w:tcMar>
            <w:vAlign w:val="center"/>
            <w:hideMark/>
          </w:tcPr>
          <w:p w14:paraId="542F4F7C" w14:textId="77777777" w:rsidR="000D6327" w:rsidRDefault="000D6327" w:rsidP="00CB2392">
            <w:pPr>
              <w:keepNext/>
              <w:rPr>
                <w:color w:val="000000"/>
              </w:rPr>
            </w:pPr>
            <w:r>
              <w:rPr>
                <w:color w:val="000000"/>
              </w:rPr>
              <w:t>EDPEC Discharged to Community</w:t>
            </w:r>
          </w:p>
        </w:tc>
        <w:tc>
          <w:tcPr>
            <w:tcW w:w="1443" w:type="dxa"/>
            <w:tcMar>
              <w:top w:w="0" w:type="dxa"/>
              <w:left w:w="108" w:type="dxa"/>
              <w:bottom w:w="0" w:type="dxa"/>
              <w:right w:w="108" w:type="dxa"/>
            </w:tcMar>
            <w:vAlign w:val="center"/>
            <w:hideMark/>
          </w:tcPr>
          <w:p w14:paraId="360933DF" w14:textId="77777777" w:rsidR="000D6327" w:rsidRDefault="000D6327" w:rsidP="00CB2392">
            <w:pPr>
              <w:keepNext/>
              <w:jc w:val="center"/>
              <w:rPr>
                <w:color w:val="000000" w:themeColor="text1"/>
              </w:rPr>
            </w:pPr>
            <w:r>
              <w:rPr>
                <w:color w:val="000000" w:themeColor="text1"/>
              </w:rPr>
              <w:t>0</w:t>
            </w:r>
          </w:p>
        </w:tc>
        <w:tc>
          <w:tcPr>
            <w:tcW w:w="1886" w:type="dxa"/>
            <w:tcMar>
              <w:top w:w="0" w:type="dxa"/>
              <w:left w:w="108" w:type="dxa"/>
              <w:bottom w:w="0" w:type="dxa"/>
              <w:right w:w="108" w:type="dxa"/>
            </w:tcMar>
            <w:vAlign w:val="center"/>
          </w:tcPr>
          <w:p w14:paraId="1A17B41A" w14:textId="77777777" w:rsidR="000D6327" w:rsidRDefault="000D6327" w:rsidP="00CB2392">
            <w:pPr>
              <w:keepNext/>
              <w:jc w:val="center"/>
              <w:rPr>
                <w:color w:val="000000" w:themeColor="text1"/>
              </w:rPr>
            </w:pPr>
            <w:r>
              <w:rPr>
                <w:color w:val="000000" w:themeColor="text1"/>
              </w:rPr>
              <w:t>43</w:t>
            </w:r>
          </w:p>
        </w:tc>
        <w:tc>
          <w:tcPr>
            <w:tcW w:w="1709" w:type="dxa"/>
            <w:vAlign w:val="center"/>
            <w:hideMark/>
          </w:tcPr>
          <w:p w14:paraId="1A6504DE" w14:textId="77777777" w:rsidR="000D6327" w:rsidRDefault="000D6327" w:rsidP="00CB2392">
            <w:pPr>
              <w:keepNext/>
              <w:jc w:val="center"/>
              <w:rPr>
                <w:color w:val="000000" w:themeColor="text1"/>
              </w:rPr>
            </w:pPr>
            <w:r>
              <w:rPr>
                <w:color w:val="000000" w:themeColor="text1"/>
              </w:rPr>
              <w:t>43</w:t>
            </w:r>
          </w:p>
        </w:tc>
        <w:tc>
          <w:tcPr>
            <w:tcW w:w="1709" w:type="dxa"/>
            <w:vAlign w:val="bottom"/>
          </w:tcPr>
          <w:p w14:paraId="30786DB3" w14:textId="77777777" w:rsidR="000D6327" w:rsidRDefault="000D6327" w:rsidP="00CB2392">
            <w:pPr>
              <w:keepNext/>
              <w:jc w:val="center"/>
              <w:rPr>
                <w:color w:val="000000" w:themeColor="text1"/>
              </w:rPr>
            </w:pPr>
          </w:p>
          <w:p w14:paraId="17153695" w14:textId="77777777" w:rsidR="000D6327" w:rsidRDefault="000D6327" w:rsidP="00CB2392">
            <w:pPr>
              <w:keepNext/>
              <w:jc w:val="center"/>
              <w:rPr>
                <w:color w:val="000000" w:themeColor="text1"/>
              </w:rPr>
            </w:pPr>
            <w:r>
              <w:rPr>
                <w:color w:val="000000" w:themeColor="text1"/>
              </w:rPr>
              <w:t>10.75</w:t>
            </w:r>
          </w:p>
          <w:p w14:paraId="23DBC1B4" w14:textId="77777777" w:rsidR="000D6327" w:rsidRDefault="000D6327" w:rsidP="00CB2392">
            <w:pPr>
              <w:keepNext/>
              <w:jc w:val="center"/>
              <w:rPr>
                <w:color w:val="000000" w:themeColor="text1"/>
              </w:rPr>
            </w:pPr>
          </w:p>
        </w:tc>
      </w:tr>
    </w:tbl>
    <w:p w14:paraId="45571F92" w14:textId="77777777" w:rsidR="000D6327" w:rsidRPr="00BF675F" w:rsidRDefault="000D6327" w:rsidP="00FB3289">
      <w:pPr>
        <w:keepLines/>
        <w:rPr>
          <w:bCs/>
          <w:sz w:val="20"/>
          <w:szCs w:val="20"/>
        </w:rPr>
      </w:pPr>
      <w:r w:rsidRPr="00BF675F">
        <w:rPr>
          <w:bCs/>
          <w:sz w:val="20"/>
          <w:szCs w:val="20"/>
        </w:rPr>
        <w:t>*Assumes a pace of 4 items per minute</w:t>
      </w:r>
    </w:p>
    <w:p w14:paraId="3A630BAA" w14:textId="77777777" w:rsidR="00923517" w:rsidRPr="00BF675F" w:rsidRDefault="00923517" w:rsidP="00FB3289">
      <w:pPr>
        <w:keepLines/>
        <w:rPr>
          <w:bCs/>
          <w:sz w:val="20"/>
          <w:szCs w:val="20"/>
        </w:rPr>
      </w:pPr>
      <w:r w:rsidRPr="00BF675F">
        <w:rPr>
          <w:bCs/>
          <w:sz w:val="20"/>
          <w:szCs w:val="20"/>
        </w:rPr>
        <w:t>**</w:t>
      </w:r>
      <w:r w:rsidR="00A7658A" w:rsidRPr="00A7658A">
        <w:t xml:space="preserve"> </w:t>
      </w:r>
      <w:r w:rsidR="00A7658A" w:rsidRPr="00A7658A">
        <w:rPr>
          <w:bCs/>
          <w:sz w:val="20"/>
          <w:szCs w:val="20"/>
        </w:rPr>
        <w:t>This survey instrument is currently approved by OMB under OCN 0938-0981 (CMS-10102) as part of the National Implementation of Hospital Consumer Assessment of Health Providers and Systems (HCAHPS). While we recognize OMB’s approval, the burden proposed in this PRA package is for respondents randomized to complete the survey under this package’s proposed mode experiment.</w:t>
      </w:r>
    </w:p>
    <w:p w14:paraId="04C35A9E" w14:textId="77777777" w:rsidR="0003445F" w:rsidRDefault="0003445F" w:rsidP="00FB3289">
      <w:pPr>
        <w:keepLines/>
        <w:rPr>
          <w:bCs/>
          <w:highlight w:val="yellow"/>
        </w:rPr>
      </w:pPr>
    </w:p>
    <w:p w14:paraId="55781B6A" w14:textId="77777777" w:rsidR="0003445F" w:rsidRPr="004C1676" w:rsidRDefault="0003445F" w:rsidP="0003445F">
      <w:pPr>
        <w:keepLines/>
        <w:rPr>
          <w:bCs/>
        </w:rPr>
      </w:pPr>
      <w:r w:rsidRPr="004C1676">
        <w:rPr>
          <w:color w:val="000000"/>
        </w:rPr>
        <w:t>These burden and pace estimates are based on CMS’ experience with surveys of similar length that were fielded with Medicare beneficiaries.</w:t>
      </w:r>
      <w:r w:rsidRPr="004C1676">
        <w:rPr>
          <w:bCs/>
        </w:rPr>
        <w:t xml:space="preserve"> As indicated below, the annual total burden hours are estimated to be </w:t>
      </w:r>
      <w:r w:rsidR="00806B71" w:rsidRPr="004C1676">
        <w:rPr>
          <w:bCs/>
        </w:rPr>
        <w:t>9</w:t>
      </w:r>
      <w:r w:rsidR="00806B71">
        <w:rPr>
          <w:bCs/>
        </w:rPr>
        <w:t>22</w:t>
      </w:r>
      <w:r w:rsidR="004C1676" w:rsidRPr="004C1676">
        <w:rPr>
          <w:bCs/>
        </w:rPr>
        <w:t>.</w:t>
      </w:r>
      <w:r w:rsidR="00806B71">
        <w:rPr>
          <w:bCs/>
        </w:rPr>
        <w:t>8</w:t>
      </w:r>
      <w:r w:rsidR="00806B71" w:rsidRPr="004C1676">
        <w:rPr>
          <w:bCs/>
        </w:rPr>
        <w:t xml:space="preserve"> </w:t>
      </w:r>
      <w:r w:rsidRPr="004C1676">
        <w:rPr>
          <w:bCs/>
        </w:rPr>
        <w:t>hours</w:t>
      </w:r>
      <w:r w:rsidRPr="00542854">
        <w:rPr>
          <w:bCs/>
        </w:rPr>
        <w:t>.</w:t>
      </w:r>
      <w:r w:rsidR="004C1676" w:rsidRPr="00542854">
        <w:rPr>
          <w:bCs/>
          <w:color w:val="000000" w:themeColor="text1"/>
        </w:rPr>
        <w:t xml:space="preserve"> The annual total cost burden is estimated to be $</w:t>
      </w:r>
      <w:r w:rsidR="00542854" w:rsidRPr="00542854">
        <w:rPr>
          <w:bCs/>
          <w:color w:val="000000" w:themeColor="text1"/>
        </w:rPr>
        <w:t>21,</w:t>
      </w:r>
      <w:r w:rsidR="00806B71">
        <w:rPr>
          <w:bCs/>
          <w:color w:val="000000" w:themeColor="text1"/>
        </w:rPr>
        <w:t>012</w:t>
      </w:r>
      <w:r w:rsidR="004C1676" w:rsidRPr="00542854">
        <w:rPr>
          <w:bCs/>
          <w:color w:val="000000" w:themeColor="text1"/>
        </w:rPr>
        <w:t>.</w:t>
      </w:r>
    </w:p>
    <w:p w14:paraId="7BC09E4D" w14:textId="77777777" w:rsidR="0003445F" w:rsidRPr="006B57DB" w:rsidRDefault="0003445F" w:rsidP="00FB3289">
      <w:pPr>
        <w:keepLines/>
        <w:rPr>
          <w:highlight w:val="yellow"/>
        </w:rPr>
      </w:pPr>
    </w:p>
    <w:p w14:paraId="2785E649" w14:textId="77777777" w:rsidR="00A67DE5" w:rsidRPr="004C1676" w:rsidRDefault="00A67DE5" w:rsidP="00A67DE5">
      <w:pPr>
        <w:keepNext/>
        <w:rPr>
          <w:color w:val="000000" w:themeColor="text1"/>
        </w:rPr>
      </w:pPr>
      <w:r w:rsidRPr="004C1676">
        <w:rPr>
          <w:b/>
          <w:bCs/>
          <w:color w:val="000000" w:themeColor="text1"/>
        </w:rPr>
        <w:t xml:space="preserve">Exhibit </w:t>
      </w:r>
      <w:r w:rsidR="007D346A" w:rsidRPr="004C1676">
        <w:rPr>
          <w:b/>
          <w:bCs/>
          <w:color w:val="000000" w:themeColor="text1"/>
        </w:rPr>
        <w:t>2</w:t>
      </w:r>
      <w:r w:rsidRPr="004C1676">
        <w:rPr>
          <w:b/>
          <w:bCs/>
          <w:color w:val="000000" w:themeColor="text1"/>
        </w:rPr>
        <w:t>.  Estimated annualized burden hours</w:t>
      </w:r>
      <w:r w:rsidR="004C1676">
        <w:rPr>
          <w:b/>
          <w:bCs/>
          <w:color w:val="000000" w:themeColor="text1"/>
        </w:rPr>
        <w:t xml:space="preserve"> and cost</w:t>
      </w:r>
    </w:p>
    <w:tbl>
      <w:tblPr>
        <w:tblW w:w="5325" w:type="pct"/>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Caption w:val="Estimated annualized burden hours and cost"/>
      </w:tblPr>
      <w:tblGrid>
        <w:gridCol w:w="1769"/>
        <w:gridCol w:w="1806"/>
        <w:gridCol w:w="1435"/>
        <w:gridCol w:w="1073"/>
        <w:gridCol w:w="1168"/>
        <w:gridCol w:w="1170"/>
        <w:gridCol w:w="896"/>
      </w:tblGrid>
      <w:tr w:rsidR="00542854" w:rsidRPr="004C1676" w14:paraId="005BCFB5" w14:textId="77777777" w:rsidTr="00B93FD4">
        <w:trPr>
          <w:cantSplit/>
          <w:tblHeader/>
        </w:trPr>
        <w:tc>
          <w:tcPr>
            <w:tcW w:w="949" w:type="pct"/>
            <w:shd w:val="clear" w:color="auto" w:fill="auto"/>
            <w:tcMar>
              <w:top w:w="0" w:type="dxa"/>
              <w:left w:w="108" w:type="dxa"/>
              <w:bottom w:w="0" w:type="dxa"/>
              <w:right w:w="108" w:type="dxa"/>
            </w:tcMar>
            <w:vAlign w:val="center"/>
          </w:tcPr>
          <w:p w14:paraId="56E0512A" w14:textId="77777777" w:rsidR="004C1676" w:rsidRPr="004C1676" w:rsidRDefault="004C1676" w:rsidP="007D346A">
            <w:pPr>
              <w:keepNext/>
              <w:rPr>
                <w:color w:val="000000" w:themeColor="text1"/>
              </w:rPr>
            </w:pPr>
            <w:r w:rsidRPr="004C1676">
              <w:rPr>
                <w:color w:val="000000" w:themeColor="text1"/>
                <w:szCs w:val="20"/>
              </w:rPr>
              <w:t>Survey Version</w:t>
            </w:r>
          </w:p>
        </w:tc>
        <w:tc>
          <w:tcPr>
            <w:tcW w:w="969" w:type="pct"/>
            <w:shd w:val="clear" w:color="auto" w:fill="auto"/>
            <w:tcMar>
              <w:top w:w="0" w:type="dxa"/>
              <w:left w:w="108" w:type="dxa"/>
              <w:bottom w:w="0" w:type="dxa"/>
              <w:right w:w="108" w:type="dxa"/>
            </w:tcMar>
            <w:vAlign w:val="center"/>
          </w:tcPr>
          <w:p w14:paraId="76969F82" w14:textId="77777777" w:rsidR="004C1676" w:rsidRPr="00542854" w:rsidRDefault="004C1676" w:rsidP="00542854">
            <w:pPr>
              <w:keepNext/>
              <w:jc w:val="center"/>
              <w:rPr>
                <w:color w:val="000000" w:themeColor="text1"/>
              </w:rPr>
            </w:pPr>
            <w:r w:rsidRPr="00542854">
              <w:rPr>
                <w:color w:val="000000" w:themeColor="text1"/>
                <w:szCs w:val="20"/>
              </w:rPr>
              <w:t>Number of Respondents</w:t>
            </w:r>
          </w:p>
        </w:tc>
        <w:tc>
          <w:tcPr>
            <w:tcW w:w="770" w:type="pct"/>
            <w:shd w:val="clear" w:color="auto" w:fill="auto"/>
            <w:tcMar>
              <w:top w:w="0" w:type="dxa"/>
              <w:left w:w="108" w:type="dxa"/>
              <w:bottom w:w="0" w:type="dxa"/>
              <w:right w:w="108" w:type="dxa"/>
            </w:tcMar>
            <w:vAlign w:val="center"/>
          </w:tcPr>
          <w:p w14:paraId="0B72239C" w14:textId="77777777" w:rsidR="004C1676" w:rsidRPr="00542854" w:rsidRDefault="004C1676" w:rsidP="00542854">
            <w:pPr>
              <w:keepNext/>
              <w:jc w:val="center"/>
              <w:rPr>
                <w:color w:val="000000" w:themeColor="text1"/>
                <w:szCs w:val="20"/>
              </w:rPr>
            </w:pPr>
            <w:r w:rsidRPr="00542854">
              <w:rPr>
                <w:color w:val="000000" w:themeColor="text1"/>
                <w:szCs w:val="20"/>
              </w:rPr>
              <w:t>Number of Responses per Respondent</w:t>
            </w:r>
          </w:p>
        </w:tc>
        <w:tc>
          <w:tcPr>
            <w:tcW w:w="576" w:type="pct"/>
            <w:vAlign w:val="center"/>
          </w:tcPr>
          <w:p w14:paraId="34CCC202" w14:textId="77777777" w:rsidR="004C1676" w:rsidRPr="00542854" w:rsidRDefault="004C1676" w:rsidP="00542854">
            <w:pPr>
              <w:keepNext/>
              <w:jc w:val="center"/>
              <w:rPr>
                <w:color w:val="000000" w:themeColor="text1"/>
              </w:rPr>
            </w:pPr>
            <w:r w:rsidRPr="00542854">
              <w:rPr>
                <w:color w:val="000000" w:themeColor="text1"/>
                <w:szCs w:val="20"/>
              </w:rPr>
              <w:t>Hours per Response</w:t>
            </w:r>
          </w:p>
        </w:tc>
        <w:tc>
          <w:tcPr>
            <w:tcW w:w="627" w:type="pct"/>
            <w:shd w:val="clear" w:color="auto" w:fill="auto"/>
            <w:tcMar>
              <w:top w:w="0" w:type="dxa"/>
              <w:left w:w="108" w:type="dxa"/>
              <w:bottom w:w="0" w:type="dxa"/>
              <w:right w:w="108" w:type="dxa"/>
            </w:tcMar>
            <w:vAlign w:val="center"/>
          </w:tcPr>
          <w:p w14:paraId="2E3B9241" w14:textId="77777777" w:rsidR="004C1676" w:rsidRPr="00542854" w:rsidRDefault="004C1676" w:rsidP="00542854">
            <w:pPr>
              <w:keepNext/>
              <w:jc w:val="center"/>
              <w:rPr>
                <w:color w:val="000000" w:themeColor="text1"/>
              </w:rPr>
            </w:pPr>
            <w:r w:rsidRPr="00542854">
              <w:rPr>
                <w:color w:val="000000" w:themeColor="text1"/>
                <w:szCs w:val="20"/>
              </w:rPr>
              <w:t>Total Burden hours</w:t>
            </w:r>
          </w:p>
        </w:tc>
        <w:tc>
          <w:tcPr>
            <w:tcW w:w="628" w:type="pct"/>
            <w:vAlign w:val="center"/>
          </w:tcPr>
          <w:p w14:paraId="3E66A50D" w14:textId="77777777" w:rsidR="004C1676" w:rsidRPr="00542854" w:rsidRDefault="004C1676" w:rsidP="00542854">
            <w:pPr>
              <w:keepNext/>
              <w:jc w:val="center"/>
              <w:rPr>
                <w:color w:val="000000" w:themeColor="text1"/>
                <w:szCs w:val="20"/>
              </w:rPr>
            </w:pPr>
            <w:r w:rsidRPr="00542854">
              <w:rPr>
                <w:color w:val="000000" w:themeColor="text1"/>
                <w:szCs w:val="20"/>
              </w:rPr>
              <w:t>Average Hourly Wage Rate*</w:t>
            </w:r>
          </w:p>
        </w:tc>
        <w:tc>
          <w:tcPr>
            <w:tcW w:w="482" w:type="pct"/>
            <w:vAlign w:val="center"/>
          </w:tcPr>
          <w:p w14:paraId="02D6AA9C" w14:textId="77777777" w:rsidR="004C1676" w:rsidRPr="00542854" w:rsidRDefault="004C1676" w:rsidP="00542854">
            <w:pPr>
              <w:keepNext/>
              <w:jc w:val="center"/>
              <w:rPr>
                <w:color w:val="000000" w:themeColor="text1"/>
                <w:szCs w:val="20"/>
              </w:rPr>
            </w:pPr>
            <w:r w:rsidRPr="00542854">
              <w:rPr>
                <w:color w:val="000000" w:themeColor="text1"/>
                <w:szCs w:val="20"/>
              </w:rPr>
              <w:t>Total  Cost Burden</w:t>
            </w:r>
          </w:p>
        </w:tc>
      </w:tr>
      <w:tr w:rsidR="00542854" w:rsidRPr="004C1676" w14:paraId="712E1833" w14:textId="77777777" w:rsidTr="00B93FD4">
        <w:trPr>
          <w:cantSplit/>
        </w:trPr>
        <w:tc>
          <w:tcPr>
            <w:tcW w:w="949" w:type="pct"/>
            <w:shd w:val="clear" w:color="auto" w:fill="auto"/>
            <w:tcMar>
              <w:top w:w="0" w:type="dxa"/>
              <w:left w:w="108" w:type="dxa"/>
              <w:bottom w:w="0" w:type="dxa"/>
              <w:right w:w="108" w:type="dxa"/>
            </w:tcMar>
            <w:vAlign w:val="center"/>
          </w:tcPr>
          <w:p w14:paraId="5D3C0C99" w14:textId="77777777" w:rsidR="00542854" w:rsidRPr="004C1676" w:rsidRDefault="00542854" w:rsidP="007D346A">
            <w:pPr>
              <w:keepNext/>
              <w:rPr>
                <w:color w:val="000000"/>
              </w:rPr>
            </w:pPr>
            <w:r w:rsidRPr="004C1676">
              <w:rPr>
                <w:color w:val="000000"/>
              </w:rPr>
              <w:t>HCAHPS</w:t>
            </w:r>
            <w:r w:rsidR="00BF675F">
              <w:rPr>
                <w:color w:val="000000"/>
              </w:rPr>
              <w:t>**</w:t>
            </w:r>
            <w:r w:rsidRPr="004C1676">
              <w:rPr>
                <w:color w:val="000000"/>
              </w:rPr>
              <w:t xml:space="preserve"> </w:t>
            </w:r>
          </w:p>
        </w:tc>
        <w:tc>
          <w:tcPr>
            <w:tcW w:w="969" w:type="pct"/>
            <w:shd w:val="clear" w:color="auto" w:fill="auto"/>
            <w:tcMar>
              <w:top w:w="0" w:type="dxa"/>
              <w:left w:w="108" w:type="dxa"/>
              <w:bottom w:w="0" w:type="dxa"/>
              <w:right w:w="108" w:type="dxa"/>
            </w:tcMar>
            <w:vAlign w:val="center"/>
          </w:tcPr>
          <w:p w14:paraId="63BC431C" w14:textId="77777777" w:rsidR="00542854" w:rsidRPr="00542854" w:rsidRDefault="00542854" w:rsidP="00542854">
            <w:pPr>
              <w:keepNext/>
              <w:jc w:val="center"/>
              <w:rPr>
                <w:color w:val="000000" w:themeColor="text1"/>
              </w:rPr>
            </w:pPr>
            <w:r w:rsidRPr="00542854">
              <w:rPr>
                <w:color w:val="000000" w:themeColor="text1"/>
              </w:rPr>
              <w:t>1467</w:t>
            </w:r>
          </w:p>
        </w:tc>
        <w:tc>
          <w:tcPr>
            <w:tcW w:w="770" w:type="pct"/>
            <w:shd w:val="clear" w:color="auto" w:fill="auto"/>
            <w:tcMar>
              <w:top w:w="0" w:type="dxa"/>
              <w:left w:w="108" w:type="dxa"/>
              <w:bottom w:w="0" w:type="dxa"/>
              <w:right w:w="108" w:type="dxa"/>
            </w:tcMar>
            <w:vAlign w:val="center"/>
          </w:tcPr>
          <w:p w14:paraId="48676A94" w14:textId="77777777" w:rsidR="00542854" w:rsidRPr="00542854" w:rsidRDefault="00542854" w:rsidP="00542854">
            <w:pPr>
              <w:keepNext/>
              <w:jc w:val="center"/>
              <w:rPr>
                <w:color w:val="000000" w:themeColor="text1"/>
              </w:rPr>
            </w:pPr>
            <w:r w:rsidRPr="00542854">
              <w:rPr>
                <w:color w:val="000000" w:themeColor="text1"/>
              </w:rPr>
              <w:t>1</w:t>
            </w:r>
          </w:p>
        </w:tc>
        <w:tc>
          <w:tcPr>
            <w:tcW w:w="576" w:type="pct"/>
            <w:vAlign w:val="center"/>
          </w:tcPr>
          <w:p w14:paraId="42708EB3" w14:textId="77777777" w:rsidR="00542854" w:rsidRPr="00542854" w:rsidRDefault="00542854" w:rsidP="00542854">
            <w:pPr>
              <w:keepNext/>
              <w:jc w:val="center"/>
              <w:rPr>
                <w:color w:val="000000" w:themeColor="text1"/>
              </w:rPr>
            </w:pPr>
            <w:r w:rsidRPr="00542854">
              <w:rPr>
                <w:color w:val="000000" w:themeColor="text1"/>
              </w:rPr>
              <w:t>.133</w:t>
            </w:r>
          </w:p>
        </w:tc>
        <w:tc>
          <w:tcPr>
            <w:tcW w:w="627" w:type="pct"/>
            <w:shd w:val="clear" w:color="auto" w:fill="auto"/>
            <w:tcMar>
              <w:top w:w="0" w:type="dxa"/>
              <w:left w:w="108" w:type="dxa"/>
              <w:bottom w:w="0" w:type="dxa"/>
              <w:right w:w="108" w:type="dxa"/>
            </w:tcMar>
            <w:vAlign w:val="center"/>
          </w:tcPr>
          <w:p w14:paraId="731F482F" w14:textId="77777777" w:rsidR="00542854" w:rsidRPr="00542854" w:rsidRDefault="00542854" w:rsidP="00542854">
            <w:pPr>
              <w:keepNext/>
              <w:jc w:val="center"/>
              <w:rPr>
                <w:color w:val="000000" w:themeColor="text1"/>
              </w:rPr>
            </w:pPr>
            <w:r w:rsidRPr="00542854">
              <w:rPr>
                <w:color w:val="000000"/>
              </w:rPr>
              <w:t>195.6</w:t>
            </w:r>
          </w:p>
        </w:tc>
        <w:tc>
          <w:tcPr>
            <w:tcW w:w="628" w:type="pct"/>
            <w:vAlign w:val="center"/>
          </w:tcPr>
          <w:p w14:paraId="12212724" w14:textId="77777777" w:rsidR="00542854" w:rsidRPr="00542854" w:rsidRDefault="00542854" w:rsidP="00542854">
            <w:pPr>
              <w:keepNext/>
              <w:jc w:val="center"/>
              <w:rPr>
                <w:color w:val="000000"/>
              </w:rPr>
            </w:pPr>
            <w:r w:rsidRPr="00542854">
              <w:rPr>
                <w:bCs/>
                <w:color w:val="000000" w:themeColor="text1"/>
              </w:rPr>
              <w:t>$22.77</w:t>
            </w:r>
          </w:p>
        </w:tc>
        <w:tc>
          <w:tcPr>
            <w:tcW w:w="482" w:type="pct"/>
            <w:vAlign w:val="center"/>
          </w:tcPr>
          <w:p w14:paraId="1CE7517E" w14:textId="77777777" w:rsidR="00542854" w:rsidRPr="00542854" w:rsidRDefault="00542854" w:rsidP="00542854">
            <w:pPr>
              <w:keepNext/>
              <w:jc w:val="center"/>
              <w:rPr>
                <w:color w:val="000000"/>
              </w:rPr>
            </w:pPr>
            <w:r w:rsidRPr="00542854">
              <w:rPr>
                <w:color w:val="000000"/>
              </w:rPr>
              <w:t>$4,454</w:t>
            </w:r>
          </w:p>
        </w:tc>
      </w:tr>
      <w:tr w:rsidR="00542854" w:rsidRPr="004C1676" w14:paraId="5387F197" w14:textId="77777777" w:rsidTr="00B93FD4">
        <w:trPr>
          <w:cantSplit/>
        </w:trPr>
        <w:tc>
          <w:tcPr>
            <w:tcW w:w="949" w:type="pct"/>
            <w:shd w:val="clear" w:color="auto" w:fill="auto"/>
            <w:tcMar>
              <w:top w:w="0" w:type="dxa"/>
              <w:left w:w="108" w:type="dxa"/>
              <w:bottom w:w="0" w:type="dxa"/>
              <w:right w:w="108" w:type="dxa"/>
            </w:tcMar>
            <w:vAlign w:val="center"/>
          </w:tcPr>
          <w:p w14:paraId="10635D08" w14:textId="77777777" w:rsidR="00542854" w:rsidRPr="004C1676" w:rsidRDefault="00542854" w:rsidP="007D346A">
            <w:pPr>
              <w:keepNext/>
              <w:rPr>
                <w:color w:val="000000"/>
              </w:rPr>
            </w:pPr>
            <w:r w:rsidRPr="004C1676">
              <w:rPr>
                <w:color w:val="000000"/>
              </w:rPr>
              <w:t>EDPEC for Admitted Patients: HCAHPS Add-on Version A</w:t>
            </w:r>
          </w:p>
        </w:tc>
        <w:tc>
          <w:tcPr>
            <w:tcW w:w="969" w:type="pct"/>
            <w:shd w:val="clear" w:color="auto" w:fill="auto"/>
            <w:tcMar>
              <w:top w:w="0" w:type="dxa"/>
              <w:left w:w="108" w:type="dxa"/>
              <w:bottom w:w="0" w:type="dxa"/>
              <w:right w:w="108" w:type="dxa"/>
            </w:tcMar>
            <w:vAlign w:val="center"/>
          </w:tcPr>
          <w:p w14:paraId="4EF4C32A" w14:textId="77777777" w:rsidR="00542854" w:rsidRPr="00542854" w:rsidRDefault="00542854" w:rsidP="00542854">
            <w:pPr>
              <w:keepNext/>
              <w:jc w:val="center"/>
              <w:rPr>
                <w:color w:val="000000" w:themeColor="text1"/>
              </w:rPr>
            </w:pPr>
            <w:r w:rsidRPr="00542854">
              <w:rPr>
                <w:color w:val="000000" w:themeColor="text1"/>
              </w:rPr>
              <w:t>1454</w:t>
            </w:r>
          </w:p>
        </w:tc>
        <w:tc>
          <w:tcPr>
            <w:tcW w:w="770" w:type="pct"/>
            <w:shd w:val="clear" w:color="auto" w:fill="auto"/>
            <w:tcMar>
              <w:top w:w="0" w:type="dxa"/>
              <w:left w:w="108" w:type="dxa"/>
              <w:bottom w:w="0" w:type="dxa"/>
              <w:right w:w="108" w:type="dxa"/>
            </w:tcMar>
            <w:vAlign w:val="center"/>
          </w:tcPr>
          <w:p w14:paraId="1EEFF222" w14:textId="77777777" w:rsidR="00542854" w:rsidRPr="00542854" w:rsidRDefault="00542854" w:rsidP="00542854">
            <w:pPr>
              <w:keepNext/>
              <w:jc w:val="center"/>
              <w:rPr>
                <w:color w:val="000000" w:themeColor="text1"/>
              </w:rPr>
            </w:pPr>
            <w:r w:rsidRPr="00542854">
              <w:rPr>
                <w:color w:val="000000" w:themeColor="text1"/>
              </w:rPr>
              <w:t>1</w:t>
            </w:r>
          </w:p>
        </w:tc>
        <w:tc>
          <w:tcPr>
            <w:tcW w:w="576" w:type="pct"/>
            <w:vAlign w:val="center"/>
          </w:tcPr>
          <w:p w14:paraId="7628CDF4" w14:textId="77777777" w:rsidR="00542854" w:rsidRPr="00542854" w:rsidRDefault="00542854" w:rsidP="00806B71">
            <w:pPr>
              <w:keepNext/>
              <w:jc w:val="center"/>
              <w:rPr>
                <w:color w:val="000000" w:themeColor="text1"/>
              </w:rPr>
            </w:pPr>
            <w:r w:rsidRPr="00542854">
              <w:rPr>
                <w:color w:val="000000" w:themeColor="text1"/>
              </w:rPr>
              <w:t>.</w:t>
            </w:r>
            <w:r w:rsidR="00806B71" w:rsidRPr="00542854">
              <w:rPr>
                <w:color w:val="000000" w:themeColor="text1"/>
              </w:rPr>
              <w:t>20</w:t>
            </w:r>
            <w:r w:rsidR="00806B71">
              <w:rPr>
                <w:color w:val="000000" w:themeColor="text1"/>
              </w:rPr>
              <w:t>4</w:t>
            </w:r>
          </w:p>
        </w:tc>
        <w:tc>
          <w:tcPr>
            <w:tcW w:w="627" w:type="pct"/>
            <w:shd w:val="clear" w:color="auto" w:fill="auto"/>
            <w:tcMar>
              <w:top w:w="0" w:type="dxa"/>
              <w:left w:w="108" w:type="dxa"/>
              <w:bottom w:w="0" w:type="dxa"/>
              <w:right w:w="108" w:type="dxa"/>
            </w:tcMar>
            <w:vAlign w:val="center"/>
          </w:tcPr>
          <w:p w14:paraId="1671EE0C" w14:textId="77777777" w:rsidR="00542854" w:rsidRPr="00542854" w:rsidRDefault="00806B71" w:rsidP="00542854">
            <w:pPr>
              <w:keepNext/>
              <w:jc w:val="center"/>
              <w:rPr>
                <w:color w:val="000000" w:themeColor="text1"/>
              </w:rPr>
            </w:pPr>
            <w:r>
              <w:rPr>
                <w:color w:val="000000"/>
              </w:rPr>
              <w:t>296.9</w:t>
            </w:r>
          </w:p>
        </w:tc>
        <w:tc>
          <w:tcPr>
            <w:tcW w:w="628" w:type="pct"/>
            <w:vAlign w:val="center"/>
          </w:tcPr>
          <w:p w14:paraId="2BC6051F" w14:textId="77777777" w:rsidR="00542854" w:rsidRPr="00542854" w:rsidRDefault="00542854" w:rsidP="00542854">
            <w:pPr>
              <w:keepNext/>
              <w:jc w:val="center"/>
              <w:rPr>
                <w:color w:val="000000"/>
              </w:rPr>
            </w:pPr>
            <w:r w:rsidRPr="00542854">
              <w:rPr>
                <w:bCs/>
                <w:color w:val="000000" w:themeColor="text1"/>
              </w:rPr>
              <w:t>$22.77</w:t>
            </w:r>
          </w:p>
        </w:tc>
        <w:tc>
          <w:tcPr>
            <w:tcW w:w="482" w:type="pct"/>
            <w:vAlign w:val="center"/>
          </w:tcPr>
          <w:p w14:paraId="66BF4A08" w14:textId="77777777" w:rsidR="00542854" w:rsidRPr="00542854" w:rsidRDefault="00542854" w:rsidP="00806B71">
            <w:pPr>
              <w:keepNext/>
              <w:jc w:val="center"/>
              <w:rPr>
                <w:color w:val="000000"/>
              </w:rPr>
            </w:pPr>
            <w:r w:rsidRPr="00542854">
              <w:rPr>
                <w:color w:val="000000"/>
              </w:rPr>
              <w:t>$6,</w:t>
            </w:r>
            <w:r w:rsidR="00806B71">
              <w:rPr>
                <w:color w:val="000000"/>
              </w:rPr>
              <w:t>759</w:t>
            </w:r>
          </w:p>
        </w:tc>
      </w:tr>
      <w:tr w:rsidR="00542854" w:rsidRPr="004C1676" w14:paraId="5FC61DE2" w14:textId="77777777" w:rsidTr="00B93FD4">
        <w:trPr>
          <w:cantSplit/>
        </w:trPr>
        <w:tc>
          <w:tcPr>
            <w:tcW w:w="949" w:type="pct"/>
            <w:shd w:val="clear" w:color="auto" w:fill="auto"/>
            <w:tcMar>
              <w:top w:w="0" w:type="dxa"/>
              <w:left w:w="108" w:type="dxa"/>
              <w:bottom w:w="0" w:type="dxa"/>
              <w:right w:w="108" w:type="dxa"/>
            </w:tcMar>
            <w:vAlign w:val="center"/>
          </w:tcPr>
          <w:p w14:paraId="214C2225" w14:textId="77777777" w:rsidR="00542854" w:rsidRPr="004C1676" w:rsidRDefault="00542854" w:rsidP="007D346A">
            <w:pPr>
              <w:keepNext/>
              <w:rPr>
                <w:color w:val="000000"/>
              </w:rPr>
            </w:pPr>
            <w:r w:rsidRPr="004C1676">
              <w:rPr>
                <w:color w:val="000000"/>
              </w:rPr>
              <w:t>EDPEC for Admitted Patients: HCAHPS Add-on Version B</w:t>
            </w:r>
          </w:p>
        </w:tc>
        <w:tc>
          <w:tcPr>
            <w:tcW w:w="969" w:type="pct"/>
            <w:shd w:val="clear" w:color="auto" w:fill="auto"/>
            <w:tcMar>
              <w:top w:w="0" w:type="dxa"/>
              <w:left w:w="108" w:type="dxa"/>
              <w:bottom w:w="0" w:type="dxa"/>
              <w:right w:w="108" w:type="dxa"/>
            </w:tcMar>
            <w:vAlign w:val="center"/>
          </w:tcPr>
          <w:p w14:paraId="00C6BBB0" w14:textId="77777777" w:rsidR="00542854" w:rsidRPr="00542854" w:rsidRDefault="00542854" w:rsidP="00542854">
            <w:pPr>
              <w:keepNext/>
              <w:jc w:val="center"/>
              <w:rPr>
                <w:color w:val="000000" w:themeColor="text1"/>
              </w:rPr>
            </w:pPr>
            <w:r w:rsidRPr="00542854">
              <w:rPr>
                <w:color w:val="000000" w:themeColor="text1"/>
              </w:rPr>
              <w:t>1454</w:t>
            </w:r>
          </w:p>
        </w:tc>
        <w:tc>
          <w:tcPr>
            <w:tcW w:w="770" w:type="pct"/>
            <w:shd w:val="clear" w:color="auto" w:fill="auto"/>
            <w:tcMar>
              <w:top w:w="0" w:type="dxa"/>
              <w:left w:w="108" w:type="dxa"/>
              <w:bottom w:w="0" w:type="dxa"/>
              <w:right w:w="108" w:type="dxa"/>
            </w:tcMar>
            <w:vAlign w:val="center"/>
          </w:tcPr>
          <w:p w14:paraId="631B0509" w14:textId="77777777" w:rsidR="00542854" w:rsidRPr="00542854" w:rsidRDefault="00542854" w:rsidP="00542854">
            <w:pPr>
              <w:keepNext/>
              <w:jc w:val="center"/>
              <w:rPr>
                <w:color w:val="000000" w:themeColor="text1"/>
              </w:rPr>
            </w:pPr>
            <w:r w:rsidRPr="00542854">
              <w:rPr>
                <w:color w:val="000000" w:themeColor="text1"/>
              </w:rPr>
              <w:t>1</w:t>
            </w:r>
          </w:p>
        </w:tc>
        <w:tc>
          <w:tcPr>
            <w:tcW w:w="576" w:type="pct"/>
            <w:vAlign w:val="center"/>
          </w:tcPr>
          <w:p w14:paraId="1E9D09A8" w14:textId="77777777" w:rsidR="00542854" w:rsidRPr="00542854" w:rsidRDefault="00542854" w:rsidP="00806B71">
            <w:pPr>
              <w:keepNext/>
              <w:jc w:val="center"/>
              <w:rPr>
                <w:color w:val="000000" w:themeColor="text1"/>
              </w:rPr>
            </w:pPr>
            <w:r w:rsidRPr="00542854">
              <w:rPr>
                <w:color w:val="000000" w:themeColor="text1"/>
              </w:rPr>
              <w:t>.</w:t>
            </w:r>
            <w:r w:rsidR="00806B71" w:rsidRPr="00542854">
              <w:rPr>
                <w:color w:val="000000" w:themeColor="text1"/>
              </w:rPr>
              <w:t>22</w:t>
            </w:r>
            <w:r w:rsidR="00806B71">
              <w:rPr>
                <w:color w:val="000000" w:themeColor="text1"/>
              </w:rPr>
              <w:t>5</w:t>
            </w:r>
          </w:p>
        </w:tc>
        <w:tc>
          <w:tcPr>
            <w:tcW w:w="627" w:type="pct"/>
            <w:shd w:val="clear" w:color="auto" w:fill="auto"/>
            <w:tcMar>
              <w:top w:w="0" w:type="dxa"/>
              <w:left w:w="108" w:type="dxa"/>
              <w:bottom w:w="0" w:type="dxa"/>
              <w:right w:w="108" w:type="dxa"/>
            </w:tcMar>
            <w:vAlign w:val="center"/>
          </w:tcPr>
          <w:p w14:paraId="098839BE" w14:textId="77777777" w:rsidR="00542854" w:rsidRPr="00542854" w:rsidRDefault="00542854" w:rsidP="00806B71">
            <w:pPr>
              <w:keepNext/>
              <w:jc w:val="center"/>
              <w:rPr>
                <w:color w:val="000000" w:themeColor="text1"/>
              </w:rPr>
            </w:pPr>
            <w:r w:rsidRPr="00542854">
              <w:rPr>
                <w:color w:val="000000"/>
              </w:rPr>
              <w:t>3</w:t>
            </w:r>
            <w:r w:rsidR="00806B71">
              <w:rPr>
                <w:color w:val="000000"/>
              </w:rPr>
              <w:t>27.2</w:t>
            </w:r>
          </w:p>
        </w:tc>
        <w:tc>
          <w:tcPr>
            <w:tcW w:w="628" w:type="pct"/>
            <w:vAlign w:val="center"/>
          </w:tcPr>
          <w:p w14:paraId="4A1BDAFB" w14:textId="77777777" w:rsidR="00542854" w:rsidRPr="00542854" w:rsidRDefault="00542854" w:rsidP="00542854">
            <w:pPr>
              <w:keepNext/>
              <w:jc w:val="center"/>
              <w:rPr>
                <w:color w:val="000000"/>
              </w:rPr>
            </w:pPr>
            <w:r w:rsidRPr="00542854">
              <w:rPr>
                <w:bCs/>
                <w:color w:val="000000" w:themeColor="text1"/>
              </w:rPr>
              <w:t>$22.77</w:t>
            </w:r>
          </w:p>
        </w:tc>
        <w:tc>
          <w:tcPr>
            <w:tcW w:w="482" w:type="pct"/>
            <w:vAlign w:val="center"/>
          </w:tcPr>
          <w:p w14:paraId="29ACA86D" w14:textId="77777777" w:rsidR="00542854" w:rsidRPr="00542854" w:rsidRDefault="00542854" w:rsidP="00806B71">
            <w:pPr>
              <w:keepNext/>
              <w:jc w:val="center"/>
              <w:rPr>
                <w:color w:val="000000"/>
              </w:rPr>
            </w:pPr>
            <w:r w:rsidRPr="00542854">
              <w:rPr>
                <w:color w:val="000000"/>
              </w:rPr>
              <w:t>$7,</w:t>
            </w:r>
            <w:r w:rsidR="00806B71">
              <w:rPr>
                <w:color w:val="000000"/>
              </w:rPr>
              <w:t>449</w:t>
            </w:r>
          </w:p>
        </w:tc>
      </w:tr>
      <w:tr w:rsidR="00542854" w:rsidRPr="004C1676" w14:paraId="4AAC08CD" w14:textId="77777777" w:rsidTr="00B93FD4">
        <w:trPr>
          <w:cantSplit/>
        </w:trPr>
        <w:tc>
          <w:tcPr>
            <w:tcW w:w="949" w:type="pct"/>
            <w:shd w:val="clear" w:color="auto" w:fill="auto"/>
            <w:tcMar>
              <w:top w:w="0" w:type="dxa"/>
              <w:left w:w="108" w:type="dxa"/>
              <w:bottom w:w="0" w:type="dxa"/>
              <w:right w:w="108" w:type="dxa"/>
            </w:tcMar>
            <w:vAlign w:val="center"/>
          </w:tcPr>
          <w:p w14:paraId="4E756175" w14:textId="77777777" w:rsidR="00542854" w:rsidRPr="004C1676" w:rsidRDefault="00542854" w:rsidP="007D346A">
            <w:pPr>
              <w:keepNext/>
              <w:rPr>
                <w:color w:val="000000"/>
              </w:rPr>
            </w:pPr>
            <w:r w:rsidRPr="004C1676">
              <w:rPr>
                <w:color w:val="000000"/>
              </w:rPr>
              <w:t>EDPEC Discharged to Community</w:t>
            </w:r>
          </w:p>
        </w:tc>
        <w:tc>
          <w:tcPr>
            <w:tcW w:w="969" w:type="pct"/>
            <w:shd w:val="clear" w:color="auto" w:fill="auto"/>
            <w:tcMar>
              <w:top w:w="0" w:type="dxa"/>
              <w:left w:w="108" w:type="dxa"/>
              <w:bottom w:w="0" w:type="dxa"/>
              <w:right w:w="108" w:type="dxa"/>
            </w:tcMar>
            <w:vAlign w:val="center"/>
          </w:tcPr>
          <w:p w14:paraId="0828B719" w14:textId="77777777" w:rsidR="00542854" w:rsidRPr="00542854" w:rsidRDefault="00542854" w:rsidP="00542854">
            <w:pPr>
              <w:keepNext/>
              <w:jc w:val="center"/>
              <w:rPr>
                <w:color w:val="000000" w:themeColor="text1"/>
              </w:rPr>
            </w:pPr>
            <w:r w:rsidRPr="00542854">
              <w:rPr>
                <w:color w:val="000000" w:themeColor="text1"/>
              </w:rPr>
              <w:t>576</w:t>
            </w:r>
          </w:p>
        </w:tc>
        <w:tc>
          <w:tcPr>
            <w:tcW w:w="770" w:type="pct"/>
            <w:shd w:val="clear" w:color="auto" w:fill="auto"/>
            <w:tcMar>
              <w:top w:w="0" w:type="dxa"/>
              <w:left w:w="108" w:type="dxa"/>
              <w:bottom w:w="0" w:type="dxa"/>
              <w:right w:w="108" w:type="dxa"/>
            </w:tcMar>
            <w:vAlign w:val="center"/>
          </w:tcPr>
          <w:p w14:paraId="1D04FBA6" w14:textId="77777777" w:rsidR="00542854" w:rsidRPr="00542854" w:rsidRDefault="00542854" w:rsidP="00542854">
            <w:pPr>
              <w:keepNext/>
              <w:jc w:val="center"/>
              <w:rPr>
                <w:color w:val="000000" w:themeColor="text1"/>
              </w:rPr>
            </w:pPr>
            <w:r w:rsidRPr="00542854">
              <w:rPr>
                <w:color w:val="000000" w:themeColor="text1"/>
              </w:rPr>
              <w:t>1</w:t>
            </w:r>
          </w:p>
        </w:tc>
        <w:tc>
          <w:tcPr>
            <w:tcW w:w="576" w:type="pct"/>
            <w:vAlign w:val="center"/>
          </w:tcPr>
          <w:p w14:paraId="6336C04E" w14:textId="77777777" w:rsidR="00542854" w:rsidRPr="00542854" w:rsidRDefault="00542854" w:rsidP="00542854">
            <w:pPr>
              <w:keepNext/>
              <w:jc w:val="center"/>
              <w:rPr>
                <w:color w:val="000000" w:themeColor="text1"/>
              </w:rPr>
            </w:pPr>
            <w:r w:rsidRPr="00542854">
              <w:rPr>
                <w:color w:val="000000" w:themeColor="text1"/>
              </w:rPr>
              <w:t>.179</w:t>
            </w:r>
          </w:p>
        </w:tc>
        <w:tc>
          <w:tcPr>
            <w:tcW w:w="627" w:type="pct"/>
            <w:shd w:val="clear" w:color="auto" w:fill="auto"/>
            <w:tcMar>
              <w:top w:w="0" w:type="dxa"/>
              <w:left w:w="108" w:type="dxa"/>
              <w:bottom w:w="0" w:type="dxa"/>
              <w:right w:w="108" w:type="dxa"/>
            </w:tcMar>
            <w:vAlign w:val="center"/>
          </w:tcPr>
          <w:p w14:paraId="467C6899" w14:textId="77777777" w:rsidR="00542854" w:rsidRPr="00542854" w:rsidRDefault="00542854" w:rsidP="00542854">
            <w:pPr>
              <w:keepNext/>
              <w:jc w:val="center"/>
              <w:rPr>
                <w:color w:val="000000" w:themeColor="text1"/>
              </w:rPr>
            </w:pPr>
            <w:r w:rsidRPr="00542854">
              <w:rPr>
                <w:color w:val="000000"/>
              </w:rPr>
              <w:t>103.2</w:t>
            </w:r>
          </w:p>
        </w:tc>
        <w:tc>
          <w:tcPr>
            <w:tcW w:w="628" w:type="pct"/>
            <w:vAlign w:val="center"/>
          </w:tcPr>
          <w:p w14:paraId="2DC57D84" w14:textId="77777777" w:rsidR="00542854" w:rsidRPr="00542854" w:rsidRDefault="00542854" w:rsidP="00542854">
            <w:pPr>
              <w:keepNext/>
              <w:jc w:val="center"/>
              <w:rPr>
                <w:color w:val="000000"/>
              </w:rPr>
            </w:pPr>
            <w:r w:rsidRPr="00542854">
              <w:rPr>
                <w:bCs/>
                <w:color w:val="000000" w:themeColor="text1"/>
              </w:rPr>
              <w:t>$22.77</w:t>
            </w:r>
          </w:p>
        </w:tc>
        <w:tc>
          <w:tcPr>
            <w:tcW w:w="482" w:type="pct"/>
            <w:vAlign w:val="center"/>
          </w:tcPr>
          <w:p w14:paraId="0C6CF2D2" w14:textId="77777777" w:rsidR="00542854" w:rsidRPr="00542854" w:rsidRDefault="00542854" w:rsidP="00542854">
            <w:pPr>
              <w:keepNext/>
              <w:jc w:val="center"/>
              <w:rPr>
                <w:color w:val="000000"/>
              </w:rPr>
            </w:pPr>
            <w:r w:rsidRPr="00542854">
              <w:rPr>
                <w:color w:val="000000"/>
              </w:rPr>
              <w:t>$2,350</w:t>
            </w:r>
          </w:p>
        </w:tc>
      </w:tr>
      <w:tr w:rsidR="00542854" w:rsidRPr="004C1676" w14:paraId="6CFE952A" w14:textId="77777777" w:rsidTr="00B93FD4">
        <w:trPr>
          <w:cantSplit/>
        </w:trPr>
        <w:tc>
          <w:tcPr>
            <w:tcW w:w="949" w:type="pct"/>
            <w:shd w:val="clear" w:color="auto" w:fill="auto"/>
            <w:tcMar>
              <w:top w:w="0" w:type="dxa"/>
              <w:left w:w="108" w:type="dxa"/>
              <w:bottom w:w="0" w:type="dxa"/>
              <w:right w:w="108" w:type="dxa"/>
            </w:tcMar>
            <w:vAlign w:val="center"/>
          </w:tcPr>
          <w:p w14:paraId="44DA8840" w14:textId="77777777" w:rsidR="004C1676" w:rsidRPr="004C1676" w:rsidRDefault="004C1676" w:rsidP="00806B71">
            <w:pPr>
              <w:keepNext/>
              <w:jc w:val="center"/>
              <w:rPr>
                <w:color w:val="000000" w:themeColor="text1"/>
              </w:rPr>
            </w:pPr>
            <w:r w:rsidRPr="004C1676">
              <w:rPr>
                <w:b/>
                <w:bCs/>
                <w:color w:val="000000" w:themeColor="text1"/>
                <w:szCs w:val="20"/>
              </w:rPr>
              <w:t>Total</w:t>
            </w:r>
          </w:p>
        </w:tc>
        <w:tc>
          <w:tcPr>
            <w:tcW w:w="969" w:type="pct"/>
            <w:shd w:val="clear" w:color="auto" w:fill="auto"/>
            <w:tcMar>
              <w:top w:w="0" w:type="dxa"/>
              <w:left w:w="108" w:type="dxa"/>
              <w:bottom w:w="0" w:type="dxa"/>
              <w:right w:w="108" w:type="dxa"/>
            </w:tcMar>
            <w:vAlign w:val="center"/>
          </w:tcPr>
          <w:p w14:paraId="0EA9C8AF" w14:textId="77777777" w:rsidR="004C1676" w:rsidRPr="00542854" w:rsidRDefault="004C1676" w:rsidP="00806B71">
            <w:pPr>
              <w:keepNext/>
              <w:jc w:val="center"/>
              <w:rPr>
                <w:color w:val="000000" w:themeColor="text1"/>
              </w:rPr>
            </w:pPr>
            <w:r w:rsidRPr="00542854">
              <w:rPr>
                <w:color w:val="000000" w:themeColor="text1"/>
              </w:rPr>
              <w:t>4,951</w:t>
            </w:r>
          </w:p>
        </w:tc>
        <w:tc>
          <w:tcPr>
            <w:tcW w:w="770" w:type="pct"/>
            <w:shd w:val="clear" w:color="auto" w:fill="auto"/>
            <w:tcMar>
              <w:top w:w="0" w:type="dxa"/>
              <w:left w:w="108" w:type="dxa"/>
              <w:bottom w:w="0" w:type="dxa"/>
              <w:right w:w="108" w:type="dxa"/>
            </w:tcMar>
            <w:vAlign w:val="center"/>
          </w:tcPr>
          <w:p w14:paraId="2284955A" w14:textId="77777777" w:rsidR="004C1676" w:rsidRPr="00542854" w:rsidRDefault="00B93FD4" w:rsidP="00806B71">
            <w:pPr>
              <w:keepNext/>
              <w:jc w:val="center"/>
              <w:rPr>
                <w:color w:val="000000" w:themeColor="text1"/>
              </w:rPr>
            </w:pPr>
            <w:r>
              <w:rPr>
                <w:color w:val="000000" w:themeColor="text1"/>
              </w:rPr>
              <w:t>1</w:t>
            </w:r>
          </w:p>
        </w:tc>
        <w:tc>
          <w:tcPr>
            <w:tcW w:w="576" w:type="pct"/>
            <w:vAlign w:val="center"/>
          </w:tcPr>
          <w:p w14:paraId="536264E0" w14:textId="77777777" w:rsidR="004C1676" w:rsidRPr="00542854" w:rsidRDefault="004C1676" w:rsidP="00806B71">
            <w:pPr>
              <w:keepNext/>
              <w:jc w:val="center"/>
              <w:rPr>
                <w:color w:val="000000" w:themeColor="text1"/>
              </w:rPr>
            </w:pPr>
          </w:p>
        </w:tc>
        <w:tc>
          <w:tcPr>
            <w:tcW w:w="627" w:type="pct"/>
            <w:shd w:val="clear" w:color="auto" w:fill="auto"/>
            <w:tcMar>
              <w:top w:w="0" w:type="dxa"/>
              <w:left w:w="108" w:type="dxa"/>
              <w:bottom w:w="0" w:type="dxa"/>
              <w:right w:w="108" w:type="dxa"/>
            </w:tcMar>
            <w:vAlign w:val="center"/>
          </w:tcPr>
          <w:p w14:paraId="00C4D4A6" w14:textId="77777777" w:rsidR="004C1676" w:rsidRPr="00542854" w:rsidRDefault="004C1676" w:rsidP="00DD3715">
            <w:pPr>
              <w:jc w:val="center"/>
              <w:rPr>
                <w:color w:val="000000" w:themeColor="text1"/>
              </w:rPr>
            </w:pPr>
            <w:r w:rsidRPr="00542854">
              <w:rPr>
                <w:color w:val="000000"/>
              </w:rPr>
              <w:t>9</w:t>
            </w:r>
            <w:r w:rsidR="00DD3715">
              <w:rPr>
                <w:color w:val="000000"/>
              </w:rPr>
              <w:t>22.8</w:t>
            </w:r>
          </w:p>
        </w:tc>
        <w:tc>
          <w:tcPr>
            <w:tcW w:w="628" w:type="pct"/>
            <w:vAlign w:val="center"/>
          </w:tcPr>
          <w:p w14:paraId="1A1E8DAB" w14:textId="77777777" w:rsidR="004C1676" w:rsidRPr="00542854" w:rsidRDefault="00B93FD4" w:rsidP="00806B71">
            <w:pPr>
              <w:jc w:val="center"/>
              <w:rPr>
                <w:color w:val="000000"/>
              </w:rPr>
            </w:pPr>
            <w:r w:rsidRPr="00542854">
              <w:rPr>
                <w:bCs/>
                <w:color w:val="000000" w:themeColor="text1"/>
              </w:rPr>
              <w:t>$22.77</w:t>
            </w:r>
          </w:p>
        </w:tc>
        <w:tc>
          <w:tcPr>
            <w:tcW w:w="482" w:type="pct"/>
            <w:vAlign w:val="center"/>
          </w:tcPr>
          <w:p w14:paraId="212D96CA" w14:textId="6BD63073" w:rsidR="004C1676" w:rsidRPr="00542854" w:rsidRDefault="00542854" w:rsidP="00942785">
            <w:pPr>
              <w:jc w:val="center"/>
              <w:rPr>
                <w:color w:val="000000"/>
              </w:rPr>
            </w:pPr>
            <w:r w:rsidRPr="00542854">
              <w:rPr>
                <w:color w:val="000000"/>
              </w:rPr>
              <w:t>$21,</w:t>
            </w:r>
            <w:r w:rsidR="00942785">
              <w:rPr>
                <w:color w:val="000000"/>
              </w:rPr>
              <w:t>012</w:t>
            </w:r>
          </w:p>
        </w:tc>
      </w:tr>
    </w:tbl>
    <w:p w14:paraId="7DAD6347" w14:textId="77777777" w:rsidR="004C1676" w:rsidRDefault="004C1676" w:rsidP="004C1676">
      <w:pPr>
        <w:rPr>
          <w:color w:val="000000" w:themeColor="text1"/>
          <w:sz w:val="20"/>
          <w:szCs w:val="20"/>
        </w:rPr>
      </w:pPr>
      <w:r>
        <w:rPr>
          <w:color w:val="000000" w:themeColor="text1"/>
          <w:sz w:val="20"/>
          <w:szCs w:val="20"/>
        </w:rPr>
        <w:t xml:space="preserve">* Based upon mean hourly wages, “National Compensation Survey: All United States December 2009 – January 2011,” U.S. Department of Labor, Bureau of Labor Statistics. </w:t>
      </w:r>
    </w:p>
    <w:p w14:paraId="7FC69C7E" w14:textId="77777777" w:rsidR="00BF675F" w:rsidRDefault="00BF675F" w:rsidP="004C1676">
      <w:pPr>
        <w:rPr>
          <w:color w:val="000000" w:themeColor="text1"/>
          <w:sz w:val="20"/>
          <w:szCs w:val="20"/>
        </w:rPr>
      </w:pPr>
      <w:r w:rsidRPr="00BF675F">
        <w:rPr>
          <w:bCs/>
          <w:sz w:val="20"/>
          <w:szCs w:val="20"/>
        </w:rPr>
        <w:t>**</w:t>
      </w:r>
      <w:r w:rsidR="00A7658A" w:rsidRPr="00A7658A">
        <w:t xml:space="preserve"> </w:t>
      </w:r>
      <w:r w:rsidR="00A7658A" w:rsidRPr="00A7658A">
        <w:rPr>
          <w:bCs/>
          <w:sz w:val="20"/>
          <w:szCs w:val="20"/>
        </w:rPr>
        <w:t>This survey instrument is currently approved by OMB under OCN 0938-0981 (CMS-10102) as part of the National Implementation of Hospital Consumer Assessment of Health Providers and Systems (HCAHPS). While we recognize OMB’s approval, the burden proposed in this PRA package is for respondents randomized to complete the survey under this package’s proposed mode experiment.</w:t>
      </w:r>
    </w:p>
    <w:p w14:paraId="016E77CD" w14:textId="77777777" w:rsidR="00AD2342" w:rsidRDefault="00AD2342" w:rsidP="00A67DE5">
      <w:pPr>
        <w:pStyle w:val="Heading2"/>
        <w:rPr>
          <w:rFonts w:ascii="Times New Roman" w:hAnsi="Times New Roman"/>
          <w:color w:val="000000" w:themeColor="text1"/>
        </w:rPr>
      </w:pPr>
      <w:bookmarkStart w:id="16" w:name="_Toc208372559"/>
    </w:p>
    <w:p w14:paraId="05F6A7DA" w14:textId="77777777" w:rsidR="00A67DE5" w:rsidRPr="00CF2F05" w:rsidRDefault="00A67DE5" w:rsidP="00A67DE5">
      <w:pPr>
        <w:pStyle w:val="Heading2"/>
        <w:rPr>
          <w:rFonts w:ascii="Times New Roman" w:hAnsi="Times New Roman"/>
          <w:color w:val="000000" w:themeColor="text1"/>
        </w:rPr>
      </w:pPr>
      <w:r w:rsidRPr="00CF2F05">
        <w:rPr>
          <w:rFonts w:ascii="Times New Roman" w:hAnsi="Times New Roman"/>
          <w:color w:val="000000" w:themeColor="text1"/>
        </w:rPr>
        <w:t>A13.</w:t>
      </w:r>
      <w:r w:rsidRPr="00CF2F05">
        <w:rPr>
          <w:rFonts w:ascii="Times New Roman" w:hAnsi="Times New Roman"/>
          <w:color w:val="000000" w:themeColor="text1"/>
        </w:rPr>
        <w:tab/>
        <w:t>Capital Costs</w:t>
      </w:r>
      <w:bookmarkEnd w:id="16"/>
    </w:p>
    <w:p w14:paraId="62920866" w14:textId="77777777" w:rsidR="00A67DE5" w:rsidRPr="00CF2F05" w:rsidRDefault="00A67DE5" w:rsidP="00A67DE5">
      <w:pPr>
        <w:tabs>
          <w:tab w:val="left" w:pos="540"/>
        </w:tabs>
        <w:rPr>
          <w:color w:val="000000" w:themeColor="text1"/>
        </w:rPr>
      </w:pPr>
    </w:p>
    <w:p w14:paraId="17590ADB" w14:textId="77777777" w:rsidR="00A67DE5" w:rsidRPr="00CF2F05" w:rsidRDefault="00191F3A" w:rsidP="00A67DE5">
      <w:pPr>
        <w:tabs>
          <w:tab w:val="left" w:pos="540"/>
        </w:tabs>
        <w:rPr>
          <w:color w:val="000000" w:themeColor="text1"/>
        </w:rPr>
      </w:pPr>
      <w:r>
        <w:rPr>
          <w:color w:val="000000" w:themeColor="text1"/>
        </w:rPr>
        <w:t>Survey participants will incur no capital costs as a result of participation.</w:t>
      </w:r>
    </w:p>
    <w:p w14:paraId="4E0226F5" w14:textId="77777777" w:rsidR="00A67DE5" w:rsidRPr="00CF2F05" w:rsidRDefault="00A67DE5" w:rsidP="00A67DE5">
      <w:pPr>
        <w:tabs>
          <w:tab w:val="left" w:pos="540"/>
        </w:tabs>
        <w:rPr>
          <w:b/>
          <w:color w:val="000000" w:themeColor="text1"/>
        </w:rPr>
      </w:pPr>
    </w:p>
    <w:p w14:paraId="439D7612" w14:textId="77777777" w:rsidR="00A67DE5" w:rsidRPr="00CF2F05" w:rsidRDefault="00A67DE5" w:rsidP="00A67DE5">
      <w:pPr>
        <w:pStyle w:val="Heading2"/>
        <w:rPr>
          <w:rFonts w:ascii="Times New Roman" w:hAnsi="Times New Roman"/>
          <w:color w:val="000000" w:themeColor="text1"/>
        </w:rPr>
      </w:pPr>
      <w:bookmarkStart w:id="17" w:name="_Toc208372560"/>
      <w:r w:rsidRPr="00CF2F05">
        <w:rPr>
          <w:rFonts w:ascii="Times New Roman" w:hAnsi="Times New Roman"/>
          <w:color w:val="000000" w:themeColor="text1"/>
        </w:rPr>
        <w:t>A14.</w:t>
      </w:r>
      <w:r w:rsidRPr="00CF2F05">
        <w:rPr>
          <w:rFonts w:ascii="Times New Roman" w:hAnsi="Times New Roman"/>
          <w:color w:val="000000" w:themeColor="text1"/>
        </w:rPr>
        <w:tab/>
        <w:t>Cost to the Federal Government</w:t>
      </w:r>
      <w:bookmarkEnd w:id="17"/>
    </w:p>
    <w:p w14:paraId="0AC76E0E" w14:textId="77777777" w:rsidR="00A67DE5" w:rsidRPr="00CF2F05" w:rsidRDefault="00A67DE5" w:rsidP="00A67DE5">
      <w:pPr>
        <w:tabs>
          <w:tab w:val="left" w:pos="540"/>
        </w:tabs>
        <w:rPr>
          <w:color w:val="000000" w:themeColor="text1"/>
        </w:rPr>
      </w:pPr>
    </w:p>
    <w:p w14:paraId="1FD5B693" w14:textId="77777777" w:rsidR="00A67DE5" w:rsidRPr="00CF2F05" w:rsidRDefault="00A67DE5" w:rsidP="00A67DE5">
      <w:pPr>
        <w:tabs>
          <w:tab w:val="left" w:pos="540"/>
        </w:tabs>
        <w:rPr>
          <w:color w:val="000000" w:themeColor="text1"/>
        </w:rPr>
      </w:pPr>
      <w:r w:rsidRPr="00CF2F05">
        <w:rPr>
          <w:color w:val="000000" w:themeColor="text1"/>
        </w:rPr>
        <w:t xml:space="preserve">The </w:t>
      </w:r>
      <w:r w:rsidR="00191F3A">
        <w:rPr>
          <w:color w:val="000000" w:themeColor="text1"/>
        </w:rPr>
        <w:t>total</w:t>
      </w:r>
      <w:r w:rsidRPr="00CF2F05">
        <w:rPr>
          <w:color w:val="000000" w:themeColor="text1"/>
        </w:rPr>
        <w:t xml:space="preserve"> cost </w:t>
      </w:r>
      <w:r w:rsidR="00B13589">
        <w:rPr>
          <w:color w:val="000000" w:themeColor="text1"/>
        </w:rPr>
        <w:t xml:space="preserve">to the Federal </w:t>
      </w:r>
      <w:r w:rsidR="00B13589" w:rsidRPr="00E976C7">
        <w:rPr>
          <w:color w:val="000000" w:themeColor="text1"/>
        </w:rPr>
        <w:t>Government</w:t>
      </w:r>
      <w:r w:rsidRPr="00E976C7">
        <w:rPr>
          <w:color w:val="000000" w:themeColor="text1"/>
        </w:rPr>
        <w:t xml:space="preserve"> is </w:t>
      </w:r>
      <w:r w:rsidR="00053C3C" w:rsidRPr="00E976C7">
        <w:rPr>
          <w:color w:val="000000"/>
        </w:rPr>
        <w:t>$</w:t>
      </w:r>
      <w:r w:rsidR="00E976C7" w:rsidRPr="00E976C7">
        <w:rPr>
          <w:color w:val="000000"/>
        </w:rPr>
        <w:t>729,313</w:t>
      </w:r>
      <w:r w:rsidR="00053C3C" w:rsidRPr="00E976C7">
        <w:rPr>
          <w:color w:val="000000"/>
        </w:rPr>
        <w:t>.</w:t>
      </w:r>
    </w:p>
    <w:p w14:paraId="64C9F4AD" w14:textId="77777777" w:rsidR="00A67DE5" w:rsidRPr="00EF52AE" w:rsidRDefault="00A67DE5" w:rsidP="00A67DE5">
      <w:pPr>
        <w:tabs>
          <w:tab w:val="left" w:pos="540"/>
        </w:tabs>
      </w:pPr>
    </w:p>
    <w:p w14:paraId="32BC716E" w14:textId="77777777" w:rsidR="00A67DE5" w:rsidRDefault="00A67DE5" w:rsidP="00A67DE5">
      <w:pPr>
        <w:pStyle w:val="Heading2"/>
      </w:pPr>
      <w:bookmarkStart w:id="18" w:name="_Toc208372561"/>
      <w:r w:rsidRPr="00EF52AE">
        <w:rPr>
          <w:rFonts w:ascii="Times New Roman" w:hAnsi="Times New Roman"/>
        </w:rPr>
        <w:t>A15.</w:t>
      </w:r>
      <w:r w:rsidRPr="00EF52AE">
        <w:rPr>
          <w:rFonts w:ascii="Times New Roman" w:hAnsi="Times New Roman"/>
        </w:rPr>
        <w:tab/>
        <w:t>Program Changes or Adjustments to Annual Burden</w:t>
      </w:r>
      <w:bookmarkEnd w:id="18"/>
    </w:p>
    <w:p w14:paraId="025867F9" w14:textId="77777777" w:rsidR="00A67DE5" w:rsidRPr="00EF52AE" w:rsidRDefault="00A67DE5" w:rsidP="00A67DE5"/>
    <w:p w14:paraId="14997B39" w14:textId="77777777" w:rsidR="00CE5AAB" w:rsidRPr="00CE5AAB" w:rsidRDefault="00CE5AAB" w:rsidP="00A67DE5">
      <w:pPr>
        <w:tabs>
          <w:tab w:val="left" w:pos="540"/>
        </w:tabs>
      </w:pPr>
      <w:r w:rsidRPr="00D56530">
        <w:t>This is a new information collection request.</w:t>
      </w:r>
    </w:p>
    <w:p w14:paraId="5F19034A" w14:textId="77777777" w:rsidR="00A67DE5" w:rsidRDefault="00A67DE5" w:rsidP="00A67DE5">
      <w:pPr>
        <w:tabs>
          <w:tab w:val="left" w:pos="540"/>
        </w:tabs>
      </w:pPr>
    </w:p>
    <w:p w14:paraId="5DA00699" w14:textId="77777777" w:rsidR="00A67DE5" w:rsidRPr="00EF52AE" w:rsidRDefault="00A67DE5" w:rsidP="00A67DE5">
      <w:pPr>
        <w:pStyle w:val="Heading2"/>
        <w:rPr>
          <w:rFonts w:ascii="Times New Roman" w:hAnsi="Times New Roman"/>
        </w:rPr>
      </w:pPr>
      <w:bookmarkStart w:id="19" w:name="_Toc208372562"/>
      <w:r w:rsidRPr="00EF52AE">
        <w:rPr>
          <w:rFonts w:ascii="Times New Roman" w:hAnsi="Times New Roman"/>
        </w:rPr>
        <w:t>A16.</w:t>
      </w:r>
      <w:r w:rsidRPr="00EF52AE">
        <w:rPr>
          <w:rFonts w:ascii="Times New Roman" w:hAnsi="Times New Roman"/>
        </w:rPr>
        <w:tab/>
        <w:t>Tabulation and Publication of Results</w:t>
      </w:r>
      <w:bookmarkEnd w:id="19"/>
    </w:p>
    <w:p w14:paraId="5F29F7D1" w14:textId="77777777" w:rsidR="00A67DE5" w:rsidRDefault="00A67DE5" w:rsidP="00A67DE5">
      <w:pPr>
        <w:tabs>
          <w:tab w:val="left" w:pos="540"/>
        </w:tabs>
      </w:pPr>
    </w:p>
    <w:p w14:paraId="6814FDC4" w14:textId="77777777" w:rsidR="00B209F0" w:rsidRPr="00E55074" w:rsidRDefault="00B209F0" w:rsidP="00B209F0">
      <w:r w:rsidRPr="00E55074">
        <w:t>We anticipate that the analysis plan will include</w:t>
      </w:r>
      <w:r w:rsidRPr="00E55074">
        <w:rPr>
          <w:bCs/>
        </w:rPr>
        <w:t xml:space="preserve"> analyses needed to support improved sampling, implementation, and data collection processes. Such analyses fall into </w:t>
      </w:r>
      <w:r w:rsidR="00314A85" w:rsidRPr="00E55074">
        <w:rPr>
          <w:bCs/>
        </w:rPr>
        <w:t>the following</w:t>
      </w:r>
      <w:r w:rsidRPr="00E55074">
        <w:rPr>
          <w:bCs/>
        </w:rPr>
        <w:t xml:space="preserve"> fundamental categories: psychometric analysis</w:t>
      </w:r>
      <w:r w:rsidR="00314A85" w:rsidRPr="00E55074">
        <w:rPr>
          <w:bCs/>
        </w:rPr>
        <w:t xml:space="preserve"> (including a mode experiment)</w:t>
      </w:r>
      <w:r w:rsidRPr="00E55074">
        <w:rPr>
          <w:bCs/>
        </w:rPr>
        <w:t>; weighting; case mix adjustment; and analyses of data quality and composite development.</w:t>
      </w:r>
    </w:p>
    <w:p w14:paraId="0858372D" w14:textId="77777777" w:rsidR="00B209F0" w:rsidRPr="00E55074" w:rsidRDefault="00B209F0" w:rsidP="00B209F0">
      <w:pPr>
        <w:autoSpaceDE w:val="0"/>
        <w:autoSpaceDN w:val="0"/>
        <w:adjustRightInd w:val="0"/>
        <w:rPr>
          <w:rFonts w:ascii="Courier New" w:hAnsi="Courier New" w:cs="Courier New"/>
          <w:sz w:val="20"/>
          <w:szCs w:val="20"/>
        </w:rPr>
      </w:pPr>
    </w:p>
    <w:p w14:paraId="3B496D33" w14:textId="77777777" w:rsidR="00B209F0" w:rsidRPr="00E55074" w:rsidRDefault="00B209F0" w:rsidP="00B209F0">
      <w:pPr>
        <w:autoSpaceDE w:val="0"/>
        <w:autoSpaceDN w:val="0"/>
        <w:adjustRightInd w:val="0"/>
      </w:pPr>
      <w:r w:rsidRPr="00E55074">
        <w:rPr>
          <w:b/>
          <w:i/>
        </w:rPr>
        <w:t xml:space="preserve">(1) Psychometric Evaluation. </w:t>
      </w:r>
      <w:r w:rsidRPr="00E55074">
        <w:t xml:space="preserve">Analyses will include evaluation of item missing data, </w:t>
      </w:r>
      <w:r w:rsidRPr="001D1327">
        <w:t xml:space="preserve">item distribution (including ceiling and floor effects), and assessment of </w:t>
      </w:r>
      <w:r w:rsidR="006F68D2" w:rsidRPr="001D1327">
        <w:t xml:space="preserve">emergency </w:t>
      </w:r>
      <w:r w:rsidR="009F516D">
        <w:t>department</w:t>
      </w:r>
      <w:r w:rsidRPr="001D1327">
        <w:t>-level reliability of items. We will compute these statistics overall, and separately by mode of administration</w:t>
      </w:r>
      <w:r w:rsidR="00BD1CFD" w:rsidRPr="001D1327">
        <w:t xml:space="preserve"> (mail; telephone; mixed</w:t>
      </w:r>
      <w:r w:rsidR="00D56530" w:rsidRPr="001D1327">
        <w:t>; IVR</w:t>
      </w:r>
      <w:r w:rsidR="00BD1CFD" w:rsidRPr="001D1327">
        <w:t>)</w:t>
      </w:r>
      <w:r w:rsidR="006F68D2" w:rsidRPr="001D1327">
        <w:t>,</w:t>
      </w:r>
      <w:r w:rsidR="00BD1CFD" w:rsidRPr="001D1327">
        <w:t xml:space="preserve"> </w:t>
      </w:r>
      <w:r w:rsidR="001D1327" w:rsidRPr="001D1327">
        <w:t>inpatient HCAHPS Add-on Version A</w:t>
      </w:r>
      <w:r w:rsidR="00BD1CFD" w:rsidRPr="001D1327">
        <w:t xml:space="preserve"> vs. </w:t>
      </w:r>
      <w:r w:rsidR="00211C1D" w:rsidRPr="001D1327">
        <w:t>HCAHPS Add-on</w:t>
      </w:r>
      <w:r w:rsidR="00BD1CFD" w:rsidRPr="001D1327">
        <w:t xml:space="preserve"> </w:t>
      </w:r>
      <w:r w:rsidR="001D1327" w:rsidRPr="001D1327">
        <w:t xml:space="preserve">Version B </w:t>
      </w:r>
      <w:r w:rsidR="00BD1CFD" w:rsidRPr="001D1327">
        <w:t>administration</w:t>
      </w:r>
      <w:r w:rsidRPr="001D1327">
        <w:t xml:space="preserve">, </w:t>
      </w:r>
      <w:r w:rsidR="00D56530" w:rsidRPr="001D1327">
        <w:t>inpatient add-on vs. HCAHPS only</w:t>
      </w:r>
      <w:r w:rsidR="006F68D2" w:rsidRPr="001D1327">
        <w:t>,</w:t>
      </w:r>
      <w:r w:rsidR="00E55074" w:rsidRPr="001D1327">
        <w:t xml:space="preserve"> and discharged to community in-ED distribution vs. mixed mode administration, </w:t>
      </w:r>
      <w:r w:rsidR="006F68D2" w:rsidRPr="001D1327">
        <w:t>computing</w:t>
      </w:r>
      <w:r w:rsidR="006F68D2" w:rsidRPr="00E55074">
        <w:t xml:space="preserve"> </w:t>
      </w:r>
      <w:r w:rsidR="006F68D2" w:rsidRPr="00E55074">
        <w:rPr>
          <w:lang w:bidi="en-US"/>
        </w:rPr>
        <w:t>mean scores for composites and global rating items.</w:t>
      </w:r>
      <w:r w:rsidR="00E55074" w:rsidRPr="00E55074">
        <w:rPr>
          <w:lang w:bidi="en-US"/>
        </w:rPr>
        <w:t xml:space="preserve"> Additionally, we will explore </w:t>
      </w:r>
      <w:r w:rsidR="00211C1D">
        <w:rPr>
          <w:lang w:bidi="en-US"/>
        </w:rPr>
        <w:t xml:space="preserve">response distributions by proxy allowed vs. not-allowed and </w:t>
      </w:r>
      <w:r w:rsidR="00E55074" w:rsidRPr="00E55074">
        <w:rPr>
          <w:lang w:bidi="en-US"/>
        </w:rPr>
        <w:t xml:space="preserve">item performance </w:t>
      </w:r>
      <w:r w:rsidR="00F02C86">
        <w:rPr>
          <w:lang w:bidi="en-US"/>
        </w:rPr>
        <w:t>across instruments, proxy status, and modes</w:t>
      </w:r>
      <w:r w:rsidR="00E55074" w:rsidRPr="00E55074">
        <w:rPr>
          <w:lang w:bidi="en-US"/>
        </w:rPr>
        <w:t>.</w:t>
      </w:r>
    </w:p>
    <w:p w14:paraId="0AEF0BAE" w14:textId="77777777" w:rsidR="00B209F0" w:rsidRPr="00E55074" w:rsidRDefault="00B209F0" w:rsidP="00B209F0">
      <w:pPr>
        <w:autoSpaceDE w:val="0"/>
        <w:autoSpaceDN w:val="0"/>
        <w:adjustRightInd w:val="0"/>
        <w:rPr>
          <w:rFonts w:ascii="Courier New" w:hAnsi="Courier New" w:cs="Courier New"/>
          <w:sz w:val="20"/>
          <w:szCs w:val="20"/>
        </w:rPr>
      </w:pPr>
    </w:p>
    <w:p w14:paraId="0F9FD700" w14:textId="77777777" w:rsidR="00314A85" w:rsidRPr="00E55074" w:rsidRDefault="00AC5338" w:rsidP="00B209F0">
      <w:pPr>
        <w:autoSpaceDE w:val="0"/>
        <w:autoSpaceDN w:val="0"/>
        <w:adjustRightInd w:val="0"/>
      </w:pPr>
      <w:r w:rsidRPr="00E55074">
        <w:t xml:space="preserve">In particular </w:t>
      </w:r>
      <w:r w:rsidR="00BB3608" w:rsidRPr="00E55074">
        <w:t>analyses will be conducted to examine mode effects on</w:t>
      </w:r>
      <w:r w:rsidRPr="00E55074">
        <w:t xml:space="preserve"> </w:t>
      </w:r>
      <w:r w:rsidR="00F90D2F" w:rsidRPr="00E55074">
        <w:t>overall response, item response, and item distribution</w:t>
      </w:r>
      <w:r w:rsidR="00E55074" w:rsidRPr="00E55074">
        <w:t xml:space="preserve"> (</w:t>
      </w:r>
      <w:r w:rsidR="00F90D2F" w:rsidRPr="00E55074">
        <w:t>mail only, telephone only, mixed mail/telephone</w:t>
      </w:r>
      <w:r w:rsidR="00D56530" w:rsidRPr="00E55074">
        <w:t>, and IVR</w:t>
      </w:r>
      <w:r w:rsidR="00E55074" w:rsidRPr="00E55074">
        <w:t xml:space="preserve"> for the inpatient experiment; </w:t>
      </w:r>
      <w:r w:rsidR="00D56530" w:rsidRPr="00E55074">
        <w:t>and mixed mail/telephone</w:t>
      </w:r>
      <w:r w:rsidR="00E55074" w:rsidRPr="00E55074">
        <w:t>, in ED distribution for the discharged to community experiment)</w:t>
      </w:r>
      <w:r w:rsidR="00045414">
        <w:t>. These analyses will allow for the development of appropriate adjustment factors that may potentially support the future use</w:t>
      </w:r>
      <w:r w:rsidR="00136DA5">
        <w:t xml:space="preserve"> of the surveys.</w:t>
      </w:r>
    </w:p>
    <w:p w14:paraId="0207C4BD" w14:textId="77777777" w:rsidR="00F90D2F" w:rsidRPr="006B57DB" w:rsidRDefault="00F90D2F" w:rsidP="00B209F0">
      <w:pPr>
        <w:autoSpaceDE w:val="0"/>
        <w:autoSpaceDN w:val="0"/>
        <w:adjustRightInd w:val="0"/>
        <w:rPr>
          <w:rFonts w:ascii="Courier New" w:hAnsi="Courier New" w:cs="Courier New"/>
          <w:sz w:val="20"/>
          <w:szCs w:val="20"/>
          <w:highlight w:val="yellow"/>
        </w:rPr>
      </w:pPr>
    </w:p>
    <w:p w14:paraId="7F1340CD" w14:textId="77777777" w:rsidR="00314A85" w:rsidRPr="006B57DB" w:rsidRDefault="00314A85" w:rsidP="00B209F0">
      <w:pPr>
        <w:autoSpaceDE w:val="0"/>
        <w:autoSpaceDN w:val="0"/>
        <w:adjustRightInd w:val="0"/>
        <w:rPr>
          <w:rFonts w:ascii="Courier New" w:hAnsi="Courier New" w:cs="Courier New"/>
          <w:sz w:val="20"/>
          <w:szCs w:val="20"/>
          <w:highlight w:val="yellow"/>
        </w:rPr>
      </w:pPr>
    </w:p>
    <w:p w14:paraId="20A9F6E2" w14:textId="77777777" w:rsidR="00B209F0" w:rsidRPr="00F02C86" w:rsidRDefault="00B209F0" w:rsidP="00B209F0">
      <w:pPr>
        <w:rPr>
          <w:bCs/>
        </w:rPr>
      </w:pPr>
      <w:r w:rsidRPr="00F02C86">
        <w:rPr>
          <w:b/>
          <w:bCs/>
          <w:i/>
        </w:rPr>
        <w:t>(2) Weighting</w:t>
      </w:r>
      <w:r w:rsidRPr="00F02C86">
        <w:rPr>
          <w:b/>
          <w:bCs/>
          <w:i/>
          <w:iCs/>
        </w:rPr>
        <w:t>.</w:t>
      </w:r>
      <w:r w:rsidRPr="00F02C86">
        <w:rPr>
          <w:bCs/>
          <w:iCs/>
        </w:rPr>
        <w:t xml:space="preserve"> Analyses will include the calculation of </w:t>
      </w:r>
      <w:r w:rsidRPr="00F02C86">
        <w:rPr>
          <w:bCs/>
        </w:rPr>
        <w:t xml:space="preserve">(a) </w:t>
      </w:r>
      <w:r w:rsidR="00136DA5">
        <w:rPr>
          <w:bCs/>
          <w:i/>
        </w:rPr>
        <w:t>s</w:t>
      </w:r>
      <w:r w:rsidR="00136DA5" w:rsidRPr="00F02C86">
        <w:rPr>
          <w:bCs/>
          <w:i/>
        </w:rPr>
        <w:t xml:space="preserve">ampling </w:t>
      </w:r>
      <w:r w:rsidRPr="00F02C86">
        <w:rPr>
          <w:bCs/>
          <w:i/>
        </w:rPr>
        <w:t>weights</w:t>
      </w:r>
      <w:r w:rsidRPr="00F02C86">
        <w:rPr>
          <w:bCs/>
        </w:rPr>
        <w:t xml:space="preserve"> to reflect the probability that each </w:t>
      </w:r>
      <w:r w:rsidR="00314A85" w:rsidRPr="00F02C86">
        <w:rPr>
          <w:bCs/>
        </w:rPr>
        <w:t xml:space="preserve">patient </w:t>
      </w:r>
      <w:r w:rsidRPr="00F02C86">
        <w:rPr>
          <w:bCs/>
        </w:rPr>
        <w:t xml:space="preserve">is selected for the survey; (b) </w:t>
      </w:r>
      <w:r w:rsidRPr="00F02C86">
        <w:rPr>
          <w:bCs/>
          <w:i/>
        </w:rPr>
        <w:t>nonrespons</w:t>
      </w:r>
      <w:r w:rsidRPr="00F02C86">
        <w:rPr>
          <w:bCs/>
        </w:rPr>
        <w:t xml:space="preserve">e weights to reflect the probability that a sampled </w:t>
      </w:r>
      <w:r w:rsidR="00314A85" w:rsidRPr="00F02C86">
        <w:rPr>
          <w:bCs/>
        </w:rPr>
        <w:t>patient</w:t>
      </w:r>
      <w:r w:rsidRPr="00F02C86">
        <w:rPr>
          <w:bCs/>
        </w:rPr>
        <w:t xml:space="preserve"> responds to the survey; and (c) </w:t>
      </w:r>
      <w:r w:rsidRPr="00F02C86">
        <w:rPr>
          <w:bCs/>
          <w:i/>
        </w:rPr>
        <w:t xml:space="preserve">poststratification </w:t>
      </w:r>
      <w:r w:rsidRPr="00F02C86">
        <w:rPr>
          <w:bCs/>
        </w:rPr>
        <w:t xml:space="preserve">weights to make the characteristics of the respondent sample more similar to the overall population. </w:t>
      </w:r>
    </w:p>
    <w:p w14:paraId="3370F0A1" w14:textId="77777777" w:rsidR="00B209F0" w:rsidRPr="006B57DB" w:rsidRDefault="00B209F0" w:rsidP="00B209F0">
      <w:pPr>
        <w:rPr>
          <w:bCs/>
          <w:highlight w:val="yellow"/>
        </w:rPr>
      </w:pPr>
    </w:p>
    <w:p w14:paraId="0ECC10A1" w14:textId="77777777" w:rsidR="00B209F0" w:rsidRPr="00F02C86" w:rsidRDefault="00B209F0" w:rsidP="00B209F0">
      <w:pPr>
        <w:autoSpaceDE w:val="0"/>
        <w:autoSpaceDN w:val="0"/>
        <w:adjustRightInd w:val="0"/>
      </w:pPr>
      <w:r w:rsidRPr="00F02C86">
        <w:rPr>
          <w:b/>
          <w:i/>
        </w:rPr>
        <w:t xml:space="preserve">(3) </w:t>
      </w:r>
      <w:r w:rsidR="00F02C86" w:rsidRPr="00F02C86">
        <w:rPr>
          <w:b/>
          <w:i/>
        </w:rPr>
        <w:t>Patient</w:t>
      </w:r>
      <w:r w:rsidRPr="00F02C86">
        <w:rPr>
          <w:b/>
          <w:i/>
        </w:rPr>
        <w:t xml:space="preserve">-mix adjustment and nonresponse. </w:t>
      </w:r>
      <w:r w:rsidRPr="00F02C86">
        <w:t xml:space="preserve">In consultation with CMS, we will consider mixed effect regression models of performance measures for emergency </w:t>
      </w:r>
      <w:r w:rsidR="00F02C86" w:rsidRPr="00F02C86">
        <w:t>departments</w:t>
      </w:r>
      <w:r w:rsidRPr="00F02C86">
        <w:t xml:space="preserve">. This approach uses linear models in which the dependent variable is a CAHPS score and the independent variables are </w:t>
      </w:r>
      <w:r w:rsidR="00F02C86" w:rsidRPr="00F02C86">
        <w:t>patient</w:t>
      </w:r>
      <w:r w:rsidRPr="00F02C86">
        <w:t xml:space="preserve">-mix adjusters, with controls for unit (e.g., emergency </w:t>
      </w:r>
      <w:r w:rsidR="009F516D">
        <w:t>department</w:t>
      </w:r>
      <w:r w:rsidRPr="00F02C86">
        <w:t>) effects. These models would include fixed effects for patient-mix adjustors, such as self-reported overall health, mental health, age, and education</w:t>
      </w:r>
      <w:r w:rsidR="00F02C86" w:rsidRPr="00F02C86">
        <w:t>, and potential fixed or random effects for emergency room</w:t>
      </w:r>
      <w:r w:rsidRPr="00F02C86">
        <w:t>.</w:t>
      </w:r>
    </w:p>
    <w:p w14:paraId="45A6B68C" w14:textId="77777777" w:rsidR="006F68D2" w:rsidRPr="00F02C86" w:rsidRDefault="006F68D2" w:rsidP="00B209F0">
      <w:pPr>
        <w:autoSpaceDE w:val="0"/>
        <w:autoSpaceDN w:val="0"/>
        <w:adjustRightInd w:val="0"/>
      </w:pPr>
    </w:p>
    <w:p w14:paraId="27B5EC55" w14:textId="77777777" w:rsidR="00A67DE5" w:rsidRDefault="00A67DE5" w:rsidP="00A67DE5">
      <w:pPr>
        <w:tabs>
          <w:tab w:val="left" w:pos="540"/>
        </w:tabs>
      </w:pPr>
      <w:r w:rsidRPr="00F02C86">
        <w:rPr>
          <w:b/>
          <w:i/>
        </w:rPr>
        <w:t>Publication of Results:</w:t>
      </w:r>
      <w:r w:rsidRPr="00F02C86">
        <w:t xml:space="preserve">  CMS may confidentially share </w:t>
      </w:r>
      <w:r w:rsidR="006F68D2" w:rsidRPr="00F02C86">
        <w:t xml:space="preserve">emergency </w:t>
      </w:r>
      <w:r w:rsidR="009F516D">
        <w:t>department</w:t>
      </w:r>
      <w:r w:rsidRPr="00F02C86">
        <w:t xml:space="preserve">-level estimates with </w:t>
      </w:r>
      <w:r w:rsidR="00D44C95" w:rsidRPr="00F02C86">
        <w:t xml:space="preserve">emergency </w:t>
      </w:r>
      <w:r w:rsidR="009F516D">
        <w:t>department</w:t>
      </w:r>
      <w:r w:rsidR="009F516D" w:rsidRPr="00F02C86">
        <w:t xml:space="preserve"> </w:t>
      </w:r>
      <w:r w:rsidR="00D44C95" w:rsidRPr="00F02C86">
        <w:t xml:space="preserve">administrators </w:t>
      </w:r>
      <w:r w:rsidRPr="00F02C86">
        <w:t xml:space="preserve">for quality improvement purposes. However, </w:t>
      </w:r>
      <w:r w:rsidR="00D44C95" w:rsidRPr="00F02C86">
        <w:t xml:space="preserve">emergency </w:t>
      </w:r>
      <w:r w:rsidR="009F516D">
        <w:t>department</w:t>
      </w:r>
      <w:r w:rsidRPr="00F02C86">
        <w:t>-level</w:t>
      </w:r>
      <w:r w:rsidRPr="00F02C86">
        <w:rPr>
          <w:b/>
        </w:rPr>
        <w:t xml:space="preserve"> </w:t>
      </w:r>
      <w:r w:rsidRPr="00F02C86">
        <w:t>data from this survey will not be made publicly available to Medicare beneficiaries or the general public.</w:t>
      </w:r>
      <w:r w:rsidRPr="00CF2F05">
        <w:t xml:space="preserve"> </w:t>
      </w:r>
    </w:p>
    <w:p w14:paraId="093839B2" w14:textId="77777777" w:rsidR="00DD3715" w:rsidRDefault="00DD3715" w:rsidP="00A67DE5">
      <w:pPr>
        <w:pStyle w:val="Heading2"/>
        <w:rPr>
          <w:rFonts w:ascii="Times New Roman" w:hAnsi="Times New Roman"/>
        </w:rPr>
      </w:pPr>
      <w:bookmarkStart w:id="20" w:name="_Toc208372563"/>
    </w:p>
    <w:p w14:paraId="4D0A19B6" w14:textId="77777777" w:rsidR="00A67DE5" w:rsidRPr="00EF52AE" w:rsidRDefault="00A67DE5" w:rsidP="00A67DE5">
      <w:pPr>
        <w:pStyle w:val="Heading2"/>
        <w:rPr>
          <w:rFonts w:ascii="Times New Roman" w:hAnsi="Times New Roman"/>
        </w:rPr>
      </w:pPr>
      <w:r w:rsidRPr="00EF52AE">
        <w:rPr>
          <w:rFonts w:ascii="Times New Roman" w:hAnsi="Times New Roman"/>
        </w:rPr>
        <w:t>A17.</w:t>
      </w:r>
      <w:r w:rsidRPr="00EF52AE">
        <w:rPr>
          <w:rFonts w:ascii="Times New Roman" w:hAnsi="Times New Roman"/>
        </w:rPr>
        <w:tab/>
        <w:t>Display of OMB Expiration Date</w:t>
      </w:r>
      <w:bookmarkEnd w:id="20"/>
    </w:p>
    <w:p w14:paraId="17892FDD" w14:textId="77777777" w:rsidR="00A67DE5" w:rsidRDefault="00A67DE5" w:rsidP="00A67DE5">
      <w:pPr>
        <w:tabs>
          <w:tab w:val="left" w:pos="540"/>
        </w:tabs>
      </w:pPr>
    </w:p>
    <w:p w14:paraId="04FDF579" w14:textId="77777777" w:rsidR="00A67DE5" w:rsidRDefault="00A67DE5" w:rsidP="00A67DE5">
      <w:pPr>
        <w:tabs>
          <w:tab w:val="left" w:pos="540"/>
        </w:tabs>
      </w:pPr>
      <w:r>
        <w:t>The expiration date for OMB approval of this information collection will be displayed on the survey.</w:t>
      </w:r>
    </w:p>
    <w:p w14:paraId="1DBEE1AD" w14:textId="77777777" w:rsidR="00A67DE5" w:rsidRDefault="00A67DE5" w:rsidP="00A67DE5">
      <w:pPr>
        <w:tabs>
          <w:tab w:val="left" w:pos="540"/>
        </w:tabs>
      </w:pPr>
    </w:p>
    <w:p w14:paraId="3EE45E99" w14:textId="77777777" w:rsidR="00A67DE5" w:rsidRPr="00EF52AE" w:rsidRDefault="00A67DE5" w:rsidP="00A67DE5">
      <w:pPr>
        <w:pStyle w:val="Heading2"/>
        <w:rPr>
          <w:rFonts w:ascii="Times New Roman" w:hAnsi="Times New Roman"/>
        </w:rPr>
      </w:pPr>
      <w:bookmarkStart w:id="21" w:name="_Toc208372564"/>
      <w:r w:rsidRPr="00EF52AE">
        <w:rPr>
          <w:rFonts w:ascii="Times New Roman" w:hAnsi="Times New Roman"/>
        </w:rPr>
        <w:t>A18.</w:t>
      </w:r>
      <w:r w:rsidRPr="00EF52AE">
        <w:rPr>
          <w:rFonts w:ascii="Times New Roman" w:hAnsi="Times New Roman"/>
        </w:rPr>
        <w:tab/>
        <w:t>Exceptions to the Certification Statement</w:t>
      </w:r>
      <w:bookmarkEnd w:id="21"/>
    </w:p>
    <w:p w14:paraId="5A0DE8A0" w14:textId="77777777" w:rsidR="00A67DE5" w:rsidRDefault="00A67DE5" w:rsidP="00A67DE5">
      <w:pPr>
        <w:tabs>
          <w:tab w:val="left" w:pos="540"/>
        </w:tabs>
      </w:pPr>
    </w:p>
    <w:p w14:paraId="62A2222E" w14:textId="77777777" w:rsidR="00A67DE5" w:rsidRDefault="00A67DE5" w:rsidP="00A67DE5">
      <w:pPr>
        <w:tabs>
          <w:tab w:val="left" w:pos="540"/>
        </w:tabs>
      </w:pPr>
      <w:r>
        <w:t>There are no exceptions to the certification statement identified in item 19 of OMB Form 83-I associated with this data collection effort.</w:t>
      </w:r>
    </w:p>
    <w:p w14:paraId="010639AC" w14:textId="77777777" w:rsidR="00A67DE5" w:rsidRDefault="00A67DE5" w:rsidP="00A14172">
      <w:pPr>
        <w:tabs>
          <w:tab w:val="left" w:pos="1690"/>
        </w:tabs>
      </w:pPr>
    </w:p>
    <w:p w14:paraId="3A21D2CF" w14:textId="77777777" w:rsidR="003113AF" w:rsidRDefault="003113AF" w:rsidP="00A14172">
      <w:pPr>
        <w:tabs>
          <w:tab w:val="left" w:pos="1690"/>
        </w:tabs>
      </w:pPr>
    </w:p>
    <w:p w14:paraId="3EA122D2" w14:textId="46C1A10A" w:rsidR="003113AF" w:rsidRDefault="003113AF" w:rsidP="003113AF">
      <w:pPr>
        <w:tabs>
          <w:tab w:val="left" w:pos="1690"/>
        </w:tabs>
        <w:jc w:val="center"/>
      </w:pPr>
      <w:r>
        <w:t>REFERENCES</w:t>
      </w:r>
    </w:p>
    <w:p w14:paraId="0D4BD2CE" w14:textId="77777777" w:rsidR="003113AF" w:rsidRDefault="003113AF" w:rsidP="003113AF">
      <w:pPr>
        <w:tabs>
          <w:tab w:val="left" w:pos="1690"/>
        </w:tabs>
        <w:jc w:val="center"/>
      </w:pPr>
    </w:p>
    <w:p w14:paraId="16DE0979" w14:textId="77777777" w:rsidR="003113AF" w:rsidRPr="003113AF" w:rsidRDefault="003113AF" w:rsidP="003113AF">
      <w:pPr>
        <w:tabs>
          <w:tab w:val="left" w:pos="1690"/>
        </w:tabs>
      </w:pPr>
      <w:r w:rsidRPr="003113AF">
        <w:t>Pines JM, Mutter RL, Zocchi MS. 2013. Variation in Emergency Department Admission Rates Across the United States.  Medical Care Research and Review 70(2): 218-231.</w:t>
      </w:r>
    </w:p>
    <w:p w14:paraId="30E2D7F8" w14:textId="77777777" w:rsidR="003113AF" w:rsidRPr="00A14172" w:rsidRDefault="003113AF" w:rsidP="003113AF">
      <w:pPr>
        <w:tabs>
          <w:tab w:val="left" w:pos="1690"/>
        </w:tabs>
      </w:pPr>
    </w:p>
    <w:sectPr w:rsidR="003113AF" w:rsidRPr="00A14172" w:rsidSect="002E35A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7AAEB" w15:done="0"/>
  <w15:commentEx w15:paraId="5D8292FE" w15:done="0"/>
  <w15:commentEx w15:paraId="3184A08F" w15:done="0"/>
  <w15:commentEx w15:paraId="481067B7" w15:done="0"/>
  <w15:commentEx w15:paraId="3867A22F" w15:done="0"/>
  <w15:commentEx w15:paraId="7AC5C295" w15:done="0"/>
  <w15:commentEx w15:paraId="0FC6C259" w15:done="0"/>
  <w15:commentEx w15:paraId="60E4F4B5" w15:done="0"/>
  <w15:commentEx w15:paraId="4A8CAA41" w15:done="0"/>
  <w15:commentEx w15:paraId="116C6C0A" w15:done="0"/>
  <w15:commentEx w15:paraId="077968BE" w15:done="0"/>
  <w15:commentEx w15:paraId="57B401D6" w15:done="0"/>
  <w15:commentEx w15:paraId="2FB74D27" w15:done="0"/>
  <w15:commentEx w15:paraId="328B0657" w15:done="0"/>
  <w15:commentEx w15:paraId="7444C631" w15:done="0"/>
  <w15:commentEx w15:paraId="0D742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7F913" w14:textId="77777777" w:rsidR="00F7329F" w:rsidRDefault="00F7329F">
      <w:r>
        <w:separator/>
      </w:r>
    </w:p>
  </w:endnote>
  <w:endnote w:type="continuationSeparator" w:id="0">
    <w:p w14:paraId="52DFFD91" w14:textId="77777777" w:rsidR="00F7329F" w:rsidRDefault="00F7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Times New Roman"/>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Futura Condensed">
    <w:altName w:val="Arial"/>
    <w:charset w:val="00"/>
    <w:family w:val="auto"/>
    <w:pitch w:val="variable"/>
    <w:sig w:usb0="00000000" w:usb1="00000000" w:usb2="00000000" w:usb3="00000000" w:csb0="000001FB" w:csb1="00000000"/>
  </w:font>
  <w:font w:name="Futura 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6A50" w14:textId="77777777" w:rsidR="00AC101B" w:rsidRDefault="00AC101B"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CDA511C" w14:textId="77777777" w:rsidR="00AC101B" w:rsidRDefault="00AC1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E09E" w14:textId="77777777" w:rsidR="00AC101B" w:rsidRDefault="00AC101B">
    <w:pPr>
      <w:pStyle w:val="Footer"/>
      <w:jc w:val="center"/>
    </w:pPr>
    <w:r>
      <w:fldChar w:fldCharType="begin"/>
    </w:r>
    <w:r>
      <w:instrText xml:space="preserve"> PAGE   \* MERGEFORMAT </w:instrText>
    </w:r>
    <w:r>
      <w:fldChar w:fldCharType="separate"/>
    </w:r>
    <w:r w:rsidR="00F10C29">
      <w:rPr>
        <w:noProof/>
      </w:rPr>
      <w:t>5</w:t>
    </w:r>
    <w:r>
      <w:rPr>
        <w:noProof/>
      </w:rPr>
      <w:fldChar w:fldCharType="end"/>
    </w:r>
  </w:p>
  <w:p w14:paraId="0F49DB07" w14:textId="77777777" w:rsidR="00AC101B" w:rsidRDefault="00AC101B"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A815A" w14:textId="77777777" w:rsidR="00AC101B" w:rsidRDefault="00AC101B">
    <w:pPr>
      <w:pStyle w:val="Footer"/>
      <w:jc w:val="center"/>
    </w:pPr>
    <w:r>
      <w:fldChar w:fldCharType="begin"/>
    </w:r>
    <w:r>
      <w:instrText xml:space="preserve"> PAGE   \* MERGEFORMAT </w:instrText>
    </w:r>
    <w:r>
      <w:fldChar w:fldCharType="separate"/>
    </w:r>
    <w:r w:rsidR="00F10C29">
      <w:rPr>
        <w:noProof/>
      </w:rPr>
      <w:t>iii</w:t>
    </w:r>
    <w:r>
      <w:rPr>
        <w:noProof/>
      </w:rPr>
      <w:fldChar w:fldCharType="end"/>
    </w:r>
  </w:p>
  <w:p w14:paraId="59F13ABA" w14:textId="77777777" w:rsidR="00AC101B" w:rsidRDefault="00AC1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E641D" w14:textId="77777777" w:rsidR="00F7329F" w:rsidRDefault="00F7329F">
      <w:r>
        <w:separator/>
      </w:r>
    </w:p>
  </w:footnote>
  <w:footnote w:type="continuationSeparator" w:id="0">
    <w:p w14:paraId="60E7A124" w14:textId="77777777" w:rsidR="00F7329F" w:rsidRDefault="00F7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0B897" w14:textId="77777777" w:rsidR="00AC101B" w:rsidRDefault="00AC1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4C1301"/>
    <w:multiLevelType w:val="hybridMultilevel"/>
    <w:tmpl w:val="7E0E44C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FA0"/>
    <w:rsid w:val="00023B17"/>
    <w:rsid w:val="0003445F"/>
    <w:rsid w:val="00045414"/>
    <w:rsid w:val="00053C3C"/>
    <w:rsid w:val="0005569F"/>
    <w:rsid w:val="00080B9D"/>
    <w:rsid w:val="000946C3"/>
    <w:rsid w:val="00097010"/>
    <w:rsid w:val="000A1E31"/>
    <w:rsid w:val="000C3D9C"/>
    <w:rsid w:val="000C6EE6"/>
    <w:rsid w:val="000D6327"/>
    <w:rsid w:val="000D6D96"/>
    <w:rsid w:val="000E38BB"/>
    <w:rsid w:val="000F5522"/>
    <w:rsid w:val="00106398"/>
    <w:rsid w:val="00107082"/>
    <w:rsid w:val="00114EC5"/>
    <w:rsid w:val="00117071"/>
    <w:rsid w:val="00136DA5"/>
    <w:rsid w:val="00156552"/>
    <w:rsid w:val="0017351B"/>
    <w:rsid w:val="0018633D"/>
    <w:rsid w:val="001879A1"/>
    <w:rsid w:val="00191F3A"/>
    <w:rsid w:val="001A3460"/>
    <w:rsid w:val="001C00BA"/>
    <w:rsid w:val="001D1327"/>
    <w:rsid w:val="001E21E3"/>
    <w:rsid w:val="001F7953"/>
    <w:rsid w:val="002004A0"/>
    <w:rsid w:val="00211C1D"/>
    <w:rsid w:val="0022231D"/>
    <w:rsid w:val="00242C8F"/>
    <w:rsid w:val="00250ADE"/>
    <w:rsid w:val="0027323A"/>
    <w:rsid w:val="002A392C"/>
    <w:rsid w:val="002B676C"/>
    <w:rsid w:val="002B689B"/>
    <w:rsid w:val="002B7233"/>
    <w:rsid w:val="002C6791"/>
    <w:rsid w:val="002D0DAB"/>
    <w:rsid w:val="002E2B87"/>
    <w:rsid w:val="002E35AD"/>
    <w:rsid w:val="002F109C"/>
    <w:rsid w:val="002F1FD5"/>
    <w:rsid w:val="002F53C9"/>
    <w:rsid w:val="002F7727"/>
    <w:rsid w:val="0031120C"/>
    <w:rsid w:val="003113AF"/>
    <w:rsid w:val="00314A85"/>
    <w:rsid w:val="003165CC"/>
    <w:rsid w:val="00333180"/>
    <w:rsid w:val="00347C51"/>
    <w:rsid w:val="0035035F"/>
    <w:rsid w:val="00374551"/>
    <w:rsid w:val="003854E2"/>
    <w:rsid w:val="003A79CC"/>
    <w:rsid w:val="003D18FD"/>
    <w:rsid w:val="00416AF7"/>
    <w:rsid w:val="00421689"/>
    <w:rsid w:val="0044766F"/>
    <w:rsid w:val="004639B0"/>
    <w:rsid w:val="0046659C"/>
    <w:rsid w:val="00477E25"/>
    <w:rsid w:val="00481689"/>
    <w:rsid w:val="00484F47"/>
    <w:rsid w:val="00491A36"/>
    <w:rsid w:val="00497BD6"/>
    <w:rsid w:val="004C1676"/>
    <w:rsid w:val="004E7D70"/>
    <w:rsid w:val="004E7F64"/>
    <w:rsid w:val="005062E5"/>
    <w:rsid w:val="00510B52"/>
    <w:rsid w:val="005128F4"/>
    <w:rsid w:val="00524C15"/>
    <w:rsid w:val="00533A11"/>
    <w:rsid w:val="00536405"/>
    <w:rsid w:val="00542854"/>
    <w:rsid w:val="00544534"/>
    <w:rsid w:val="005463FE"/>
    <w:rsid w:val="00546D06"/>
    <w:rsid w:val="005534A0"/>
    <w:rsid w:val="005838A3"/>
    <w:rsid w:val="00585877"/>
    <w:rsid w:val="00593AFF"/>
    <w:rsid w:val="005951C8"/>
    <w:rsid w:val="005C0FF0"/>
    <w:rsid w:val="005C6FAA"/>
    <w:rsid w:val="005D3156"/>
    <w:rsid w:val="005E20CB"/>
    <w:rsid w:val="005F4237"/>
    <w:rsid w:val="00611B13"/>
    <w:rsid w:val="006125E3"/>
    <w:rsid w:val="00612DD3"/>
    <w:rsid w:val="00620523"/>
    <w:rsid w:val="00631720"/>
    <w:rsid w:val="00633295"/>
    <w:rsid w:val="00652568"/>
    <w:rsid w:val="00661698"/>
    <w:rsid w:val="006620B6"/>
    <w:rsid w:val="00665600"/>
    <w:rsid w:val="00670F8B"/>
    <w:rsid w:val="00696DA9"/>
    <w:rsid w:val="006B4B6E"/>
    <w:rsid w:val="006B57DB"/>
    <w:rsid w:val="006C4517"/>
    <w:rsid w:val="006D5D30"/>
    <w:rsid w:val="006D77E8"/>
    <w:rsid w:val="006E1902"/>
    <w:rsid w:val="006E7164"/>
    <w:rsid w:val="006F3F3F"/>
    <w:rsid w:val="006F4286"/>
    <w:rsid w:val="006F68D2"/>
    <w:rsid w:val="00712259"/>
    <w:rsid w:val="00715582"/>
    <w:rsid w:val="00724B60"/>
    <w:rsid w:val="00745904"/>
    <w:rsid w:val="00755331"/>
    <w:rsid w:val="0076495D"/>
    <w:rsid w:val="0077320D"/>
    <w:rsid w:val="00774130"/>
    <w:rsid w:val="00780235"/>
    <w:rsid w:val="00787C63"/>
    <w:rsid w:val="00791050"/>
    <w:rsid w:val="007A72ED"/>
    <w:rsid w:val="007D346A"/>
    <w:rsid w:val="007E00DC"/>
    <w:rsid w:val="007E489E"/>
    <w:rsid w:val="007F70BB"/>
    <w:rsid w:val="007F7376"/>
    <w:rsid w:val="007F7DDB"/>
    <w:rsid w:val="00805A53"/>
    <w:rsid w:val="00806B71"/>
    <w:rsid w:val="00823703"/>
    <w:rsid w:val="00842A44"/>
    <w:rsid w:val="008448C2"/>
    <w:rsid w:val="008456D6"/>
    <w:rsid w:val="00846CF7"/>
    <w:rsid w:val="0085024A"/>
    <w:rsid w:val="0085113C"/>
    <w:rsid w:val="0085255A"/>
    <w:rsid w:val="00857536"/>
    <w:rsid w:val="0087003F"/>
    <w:rsid w:val="008A55B7"/>
    <w:rsid w:val="008A730A"/>
    <w:rsid w:val="00910886"/>
    <w:rsid w:val="00912C4C"/>
    <w:rsid w:val="00915767"/>
    <w:rsid w:val="0091738F"/>
    <w:rsid w:val="00917657"/>
    <w:rsid w:val="00923517"/>
    <w:rsid w:val="00934063"/>
    <w:rsid w:val="00942283"/>
    <w:rsid w:val="00942785"/>
    <w:rsid w:val="00954C70"/>
    <w:rsid w:val="00967552"/>
    <w:rsid w:val="009758D1"/>
    <w:rsid w:val="0098497B"/>
    <w:rsid w:val="009A29CB"/>
    <w:rsid w:val="009B3A4C"/>
    <w:rsid w:val="009B3B72"/>
    <w:rsid w:val="009B710C"/>
    <w:rsid w:val="009C34AD"/>
    <w:rsid w:val="009C3F9D"/>
    <w:rsid w:val="009D2C9F"/>
    <w:rsid w:val="009F516D"/>
    <w:rsid w:val="009F5DC0"/>
    <w:rsid w:val="009F6960"/>
    <w:rsid w:val="00A14172"/>
    <w:rsid w:val="00A3793D"/>
    <w:rsid w:val="00A40912"/>
    <w:rsid w:val="00A40E81"/>
    <w:rsid w:val="00A43F00"/>
    <w:rsid w:val="00A461F0"/>
    <w:rsid w:val="00A50B60"/>
    <w:rsid w:val="00A571D3"/>
    <w:rsid w:val="00A67DE5"/>
    <w:rsid w:val="00A71A43"/>
    <w:rsid w:val="00A76445"/>
    <w:rsid w:val="00A7658A"/>
    <w:rsid w:val="00A92B2D"/>
    <w:rsid w:val="00AA2EA4"/>
    <w:rsid w:val="00AC101B"/>
    <w:rsid w:val="00AC5338"/>
    <w:rsid w:val="00AD2342"/>
    <w:rsid w:val="00AE4ED1"/>
    <w:rsid w:val="00AE7D67"/>
    <w:rsid w:val="00B05D85"/>
    <w:rsid w:val="00B13589"/>
    <w:rsid w:val="00B209F0"/>
    <w:rsid w:val="00B2414A"/>
    <w:rsid w:val="00B579A6"/>
    <w:rsid w:val="00B71B42"/>
    <w:rsid w:val="00B8369C"/>
    <w:rsid w:val="00B93FD4"/>
    <w:rsid w:val="00B96CF7"/>
    <w:rsid w:val="00BA570C"/>
    <w:rsid w:val="00BB19BD"/>
    <w:rsid w:val="00BB3608"/>
    <w:rsid w:val="00BB7CA8"/>
    <w:rsid w:val="00BC4F7A"/>
    <w:rsid w:val="00BD1CFD"/>
    <w:rsid w:val="00BE4CC6"/>
    <w:rsid w:val="00BF28A6"/>
    <w:rsid w:val="00BF675F"/>
    <w:rsid w:val="00C02D4F"/>
    <w:rsid w:val="00C11E2E"/>
    <w:rsid w:val="00C17823"/>
    <w:rsid w:val="00C3559D"/>
    <w:rsid w:val="00C35769"/>
    <w:rsid w:val="00C65641"/>
    <w:rsid w:val="00C720C2"/>
    <w:rsid w:val="00C73AC3"/>
    <w:rsid w:val="00C90E08"/>
    <w:rsid w:val="00CA164C"/>
    <w:rsid w:val="00CA53C6"/>
    <w:rsid w:val="00CB3259"/>
    <w:rsid w:val="00CC1F74"/>
    <w:rsid w:val="00CC4CA2"/>
    <w:rsid w:val="00CC5E1C"/>
    <w:rsid w:val="00CC5F22"/>
    <w:rsid w:val="00CD2251"/>
    <w:rsid w:val="00CD2A52"/>
    <w:rsid w:val="00CE0F51"/>
    <w:rsid w:val="00CE5AAB"/>
    <w:rsid w:val="00D149EC"/>
    <w:rsid w:val="00D3148A"/>
    <w:rsid w:val="00D37A48"/>
    <w:rsid w:val="00D44C95"/>
    <w:rsid w:val="00D47EDD"/>
    <w:rsid w:val="00D56530"/>
    <w:rsid w:val="00D72CDD"/>
    <w:rsid w:val="00D77F43"/>
    <w:rsid w:val="00D91C73"/>
    <w:rsid w:val="00D92265"/>
    <w:rsid w:val="00D97445"/>
    <w:rsid w:val="00DA1D20"/>
    <w:rsid w:val="00DD2A42"/>
    <w:rsid w:val="00DD3715"/>
    <w:rsid w:val="00DE1E12"/>
    <w:rsid w:val="00DE3801"/>
    <w:rsid w:val="00E009F7"/>
    <w:rsid w:val="00E07762"/>
    <w:rsid w:val="00E16998"/>
    <w:rsid w:val="00E2047A"/>
    <w:rsid w:val="00E42001"/>
    <w:rsid w:val="00E55074"/>
    <w:rsid w:val="00E827FB"/>
    <w:rsid w:val="00E932AB"/>
    <w:rsid w:val="00E976C7"/>
    <w:rsid w:val="00EA06CE"/>
    <w:rsid w:val="00EB3BF6"/>
    <w:rsid w:val="00ED032E"/>
    <w:rsid w:val="00EE1C85"/>
    <w:rsid w:val="00EF3DAD"/>
    <w:rsid w:val="00F02C86"/>
    <w:rsid w:val="00F03517"/>
    <w:rsid w:val="00F05AD7"/>
    <w:rsid w:val="00F10C29"/>
    <w:rsid w:val="00F16281"/>
    <w:rsid w:val="00F2497A"/>
    <w:rsid w:val="00F35909"/>
    <w:rsid w:val="00F42AFE"/>
    <w:rsid w:val="00F43D83"/>
    <w:rsid w:val="00F63407"/>
    <w:rsid w:val="00F7329F"/>
    <w:rsid w:val="00F80F0A"/>
    <w:rsid w:val="00F90D2F"/>
    <w:rsid w:val="00F911DD"/>
    <w:rsid w:val="00F93D52"/>
    <w:rsid w:val="00FB296C"/>
    <w:rsid w:val="00FB3289"/>
    <w:rsid w:val="00FB6ABD"/>
    <w:rsid w:val="00FC3F5F"/>
    <w:rsid w:val="00FD3984"/>
    <w:rsid w:val="00FD4B78"/>
    <w:rsid w:val="00FE3FDA"/>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6F3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0D6327"/>
    <w:rPr>
      <w:sz w:val="20"/>
      <w:szCs w:val="20"/>
    </w:rPr>
  </w:style>
  <w:style w:type="character" w:customStyle="1" w:styleId="FootnoteTextChar">
    <w:name w:val="Footnote Text Char"/>
    <w:basedOn w:val="DefaultParagraphFont"/>
    <w:link w:val="FootnoteText"/>
    <w:uiPriority w:val="99"/>
    <w:semiHidden/>
    <w:rsid w:val="000D6327"/>
    <w:rPr>
      <w:rFonts w:eastAsia="Times New Roman" w:cs="Times New Roman"/>
      <w:sz w:val="20"/>
      <w:szCs w:val="20"/>
    </w:rPr>
  </w:style>
  <w:style w:type="character" w:styleId="FootnoteReference">
    <w:name w:val="footnote reference"/>
    <w:basedOn w:val="DefaultParagraphFont"/>
    <w:uiPriority w:val="99"/>
    <w:semiHidden/>
    <w:unhideWhenUsed/>
    <w:rsid w:val="000D6327"/>
    <w:rPr>
      <w:vertAlign w:val="superscript"/>
    </w:rPr>
  </w:style>
  <w:style w:type="paragraph" w:styleId="Revision">
    <w:name w:val="Revision"/>
    <w:hidden/>
    <w:uiPriority w:val="99"/>
    <w:semiHidden/>
    <w:rsid w:val="0094278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A379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BC4F7A"/>
    <w:pPr>
      <w:ind w:left="720"/>
      <w:contextualSpacing/>
    </w:pPr>
  </w:style>
  <w:style w:type="character" w:customStyle="1" w:styleId="Heading3Char">
    <w:name w:val="Heading 3 Char"/>
    <w:basedOn w:val="DefaultParagraphFont"/>
    <w:link w:val="Heading3"/>
    <w:uiPriority w:val="9"/>
    <w:rsid w:val="00A3793D"/>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0D6327"/>
    <w:rPr>
      <w:sz w:val="20"/>
      <w:szCs w:val="20"/>
    </w:rPr>
  </w:style>
  <w:style w:type="character" w:customStyle="1" w:styleId="FootnoteTextChar">
    <w:name w:val="Footnote Text Char"/>
    <w:basedOn w:val="DefaultParagraphFont"/>
    <w:link w:val="FootnoteText"/>
    <w:uiPriority w:val="99"/>
    <w:semiHidden/>
    <w:rsid w:val="000D6327"/>
    <w:rPr>
      <w:rFonts w:eastAsia="Times New Roman" w:cs="Times New Roman"/>
      <w:sz w:val="20"/>
      <w:szCs w:val="20"/>
    </w:rPr>
  </w:style>
  <w:style w:type="character" w:styleId="FootnoteReference">
    <w:name w:val="footnote reference"/>
    <w:basedOn w:val="DefaultParagraphFont"/>
    <w:uiPriority w:val="99"/>
    <w:semiHidden/>
    <w:unhideWhenUsed/>
    <w:rsid w:val="000D6327"/>
    <w:rPr>
      <w:vertAlign w:val="superscript"/>
    </w:rPr>
  </w:style>
  <w:style w:type="paragraph" w:styleId="Revision">
    <w:name w:val="Revision"/>
    <w:hidden/>
    <w:uiPriority w:val="99"/>
    <w:semiHidden/>
    <w:rsid w:val="0094278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48376">
      <w:bodyDiv w:val="1"/>
      <w:marLeft w:val="0"/>
      <w:marRight w:val="0"/>
      <w:marTop w:val="0"/>
      <w:marBottom w:val="0"/>
      <w:divBdr>
        <w:top w:val="none" w:sz="0" w:space="0" w:color="auto"/>
        <w:left w:val="none" w:sz="0" w:space="0" w:color="auto"/>
        <w:bottom w:val="none" w:sz="0" w:space="0" w:color="auto"/>
        <w:right w:val="none" w:sz="0" w:space="0" w:color="auto"/>
      </w:divBdr>
    </w:div>
    <w:div w:id="375273997">
      <w:bodyDiv w:val="1"/>
      <w:marLeft w:val="0"/>
      <w:marRight w:val="0"/>
      <w:marTop w:val="0"/>
      <w:marBottom w:val="0"/>
      <w:divBdr>
        <w:top w:val="none" w:sz="0" w:space="0" w:color="auto"/>
        <w:left w:val="none" w:sz="0" w:space="0" w:color="auto"/>
        <w:bottom w:val="none" w:sz="0" w:space="0" w:color="auto"/>
        <w:right w:val="none" w:sz="0" w:space="0" w:color="auto"/>
      </w:divBdr>
    </w:div>
    <w:div w:id="454176502">
      <w:bodyDiv w:val="1"/>
      <w:marLeft w:val="0"/>
      <w:marRight w:val="0"/>
      <w:marTop w:val="0"/>
      <w:marBottom w:val="0"/>
      <w:divBdr>
        <w:top w:val="none" w:sz="0" w:space="0" w:color="auto"/>
        <w:left w:val="none" w:sz="0" w:space="0" w:color="auto"/>
        <w:bottom w:val="none" w:sz="0" w:space="0" w:color="auto"/>
        <w:right w:val="none" w:sz="0" w:space="0" w:color="auto"/>
      </w:divBdr>
    </w:div>
    <w:div w:id="487474667">
      <w:bodyDiv w:val="1"/>
      <w:marLeft w:val="0"/>
      <w:marRight w:val="0"/>
      <w:marTop w:val="0"/>
      <w:marBottom w:val="0"/>
      <w:divBdr>
        <w:top w:val="none" w:sz="0" w:space="0" w:color="auto"/>
        <w:left w:val="none" w:sz="0" w:space="0" w:color="auto"/>
        <w:bottom w:val="none" w:sz="0" w:space="0" w:color="auto"/>
        <w:right w:val="none" w:sz="0" w:space="0" w:color="auto"/>
      </w:divBdr>
    </w:div>
    <w:div w:id="488180864">
      <w:bodyDiv w:val="1"/>
      <w:marLeft w:val="0"/>
      <w:marRight w:val="0"/>
      <w:marTop w:val="0"/>
      <w:marBottom w:val="0"/>
      <w:divBdr>
        <w:top w:val="none" w:sz="0" w:space="0" w:color="auto"/>
        <w:left w:val="none" w:sz="0" w:space="0" w:color="auto"/>
        <w:bottom w:val="none" w:sz="0" w:space="0" w:color="auto"/>
        <w:right w:val="none" w:sz="0" w:space="0" w:color="auto"/>
      </w:divBdr>
    </w:div>
    <w:div w:id="492765630">
      <w:bodyDiv w:val="1"/>
      <w:marLeft w:val="0"/>
      <w:marRight w:val="0"/>
      <w:marTop w:val="0"/>
      <w:marBottom w:val="0"/>
      <w:divBdr>
        <w:top w:val="none" w:sz="0" w:space="0" w:color="auto"/>
        <w:left w:val="none" w:sz="0" w:space="0" w:color="auto"/>
        <w:bottom w:val="none" w:sz="0" w:space="0" w:color="auto"/>
        <w:right w:val="none" w:sz="0" w:space="0" w:color="auto"/>
      </w:divBdr>
    </w:div>
    <w:div w:id="578488671">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806894226">
      <w:bodyDiv w:val="1"/>
      <w:marLeft w:val="0"/>
      <w:marRight w:val="0"/>
      <w:marTop w:val="0"/>
      <w:marBottom w:val="0"/>
      <w:divBdr>
        <w:top w:val="none" w:sz="0" w:space="0" w:color="auto"/>
        <w:left w:val="none" w:sz="0" w:space="0" w:color="auto"/>
        <w:bottom w:val="none" w:sz="0" w:space="0" w:color="auto"/>
        <w:right w:val="none" w:sz="0" w:space="0" w:color="auto"/>
      </w:divBdr>
    </w:div>
    <w:div w:id="885530347">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297832799">
      <w:bodyDiv w:val="1"/>
      <w:marLeft w:val="0"/>
      <w:marRight w:val="0"/>
      <w:marTop w:val="0"/>
      <w:marBottom w:val="0"/>
      <w:divBdr>
        <w:top w:val="none" w:sz="0" w:space="0" w:color="auto"/>
        <w:left w:val="none" w:sz="0" w:space="0" w:color="auto"/>
        <w:bottom w:val="none" w:sz="0" w:space="0" w:color="auto"/>
        <w:right w:val="none" w:sz="0" w:space="0" w:color="auto"/>
      </w:divBdr>
    </w:div>
    <w:div w:id="1402171183">
      <w:bodyDiv w:val="1"/>
      <w:marLeft w:val="0"/>
      <w:marRight w:val="0"/>
      <w:marTop w:val="0"/>
      <w:marBottom w:val="0"/>
      <w:divBdr>
        <w:top w:val="none" w:sz="0" w:space="0" w:color="auto"/>
        <w:left w:val="none" w:sz="0" w:space="0" w:color="auto"/>
        <w:bottom w:val="none" w:sz="0" w:space="0" w:color="auto"/>
        <w:right w:val="none" w:sz="0" w:space="0" w:color="auto"/>
      </w:divBdr>
    </w:div>
    <w:div w:id="1837652011">
      <w:bodyDiv w:val="1"/>
      <w:marLeft w:val="0"/>
      <w:marRight w:val="0"/>
      <w:marTop w:val="0"/>
      <w:marBottom w:val="0"/>
      <w:divBdr>
        <w:top w:val="none" w:sz="0" w:space="0" w:color="auto"/>
        <w:left w:val="none" w:sz="0" w:space="0" w:color="auto"/>
        <w:bottom w:val="none" w:sz="0" w:space="0" w:color="auto"/>
        <w:right w:val="none" w:sz="0" w:space="0" w:color="auto"/>
      </w:divBdr>
    </w:div>
    <w:div w:id="206741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FF1F-1AC3-41AC-A093-58941EBA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2834</Words>
  <Characters>16160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EDPEC Supporting Statement A</vt:lpstr>
    </vt:vector>
  </TitlesOfParts>
  <Company>The RAND Corporation</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Supporting Statement A</dc:title>
  <dc:subject>EDPEC Mode Experiments</dc:subject>
  <dc:creator>becker@rand.org</dc:creator>
  <cp:lastModifiedBy>Mitch Bryman</cp:lastModifiedBy>
  <cp:revision>2</cp:revision>
  <cp:lastPrinted>2015-04-30T10:39:00Z</cp:lastPrinted>
  <dcterms:created xsi:type="dcterms:W3CDTF">2015-04-30T10:41:00Z</dcterms:created>
  <dcterms:modified xsi:type="dcterms:W3CDTF">2015-04-30T10:41:00Z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33190645</vt:i4>
  </property>
  <property fmtid="{D5CDD505-2E9C-101B-9397-08002B2CF9AE}" pid="4" name="_EmailSubject">
    <vt:lpwstr>Responses to OMB comments for CMS 10543</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y fmtid="{D5CDD505-2E9C-101B-9397-08002B2CF9AE}" pid="7" name="_PreviousAdHocReviewCycleID">
    <vt:i4>-1866820942</vt:i4>
  </property>
</Properties>
</file>