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C52" w:rsidRPr="00206F14" w:rsidRDefault="00300C52" w:rsidP="00206F14">
      <w:pPr>
        <w:pStyle w:val="Heading1"/>
        <w:spacing w:after="0" w:line="240" w:lineRule="auto"/>
        <w:jc w:val="center"/>
        <w:rPr>
          <w:b/>
          <w:sz w:val="24"/>
          <w:szCs w:val="24"/>
        </w:rPr>
      </w:pPr>
      <w:bookmarkStart w:id="0" w:name="_GoBack"/>
      <w:bookmarkEnd w:id="0"/>
      <w:r w:rsidRPr="00206F14">
        <w:rPr>
          <w:b/>
          <w:sz w:val="24"/>
          <w:szCs w:val="24"/>
          <w:u w:val="single"/>
        </w:rPr>
        <w:t>Supporting Statement for Paperwork Reduction Act Submission</w:t>
      </w:r>
      <w:r w:rsidR="00E004CA" w:rsidRPr="00206F14">
        <w:rPr>
          <w:b/>
          <w:sz w:val="24"/>
          <w:szCs w:val="24"/>
        </w:rPr>
        <w:t xml:space="preserve"> </w:t>
      </w:r>
    </w:p>
    <w:p w:rsidR="00C5574E" w:rsidRPr="00206F14" w:rsidRDefault="00C57A8D" w:rsidP="00AA304B">
      <w:pPr>
        <w:pStyle w:val="BodyText"/>
        <w:spacing w:after="0" w:line="240" w:lineRule="auto"/>
        <w:jc w:val="center"/>
        <w:rPr>
          <w:b/>
          <w:u w:val="single"/>
        </w:rPr>
      </w:pPr>
      <w:r w:rsidRPr="00206F14">
        <w:rPr>
          <w:b/>
          <w:u w:val="single"/>
        </w:rPr>
        <w:t>Rate Increase Disclosure and Review Requirements</w:t>
      </w:r>
      <w:r w:rsidR="00300C52" w:rsidRPr="00206F14">
        <w:rPr>
          <w:b/>
          <w:u w:val="single"/>
        </w:rPr>
        <w:t xml:space="preserve"> (</w:t>
      </w:r>
      <w:r w:rsidRPr="00206F14">
        <w:rPr>
          <w:b/>
          <w:u w:val="single"/>
        </w:rPr>
        <w:t>45 CFR Part 154)</w:t>
      </w:r>
      <w:r w:rsidR="00300C52" w:rsidRPr="00206F14">
        <w:rPr>
          <w:b/>
          <w:u w:val="single"/>
        </w:rPr>
        <w:t xml:space="preserve"> </w:t>
      </w:r>
    </w:p>
    <w:p w:rsidR="00300C52" w:rsidRPr="00472A52" w:rsidRDefault="00C5574E" w:rsidP="00AA304B">
      <w:pPr>
        <w:pStyle w:val="BodyText"/>
        <w:spacing w:after="0" w:line="240" w:lineRule="auto"/>
        <w:jc w:val="center"/>
        <w:rPr>
          <w:u w:val="single"/>
        </w:rPr>
      </w:pPr>
      <w:r w:rsidRPr="006760B1">
        <w:rPr>
          <w:b/>
        </w:rPr>
        <w:t>(CMS – 10379)</w:t>
      </w:r>
      <w:r w:rsidR="00300C52" w:rsidRPr="00472A52">
        <w:rPr>
          <w:u w:val="single"/>
        </w:rPr>
        <w:br/>
      </w:r>
    </w:p>
    <w:p w:rsidR="00300C52" w:rsidRPr="00472A52" w:rsidRDefault="00300C52" w:rsidP="009D23CD">
      <w:pPr>
        <w:pStyle w:val="Heading2"/>
        <w:spacing w:line="240" w:lineRule="auto"/>
        <w:rPr>
          <w:b/>
          <w:sz w:val="24"/>
          <w:szCs w:val="24"/>
        </w:rPr>
      </w:pPr>
      <w:r w:rsidRPr="00472A52">
        <w:rPr>
          <w:b/>
          <w:sz w:val="24"/>
          <w:szCs w:val="24"/>
        </w:rPr>
        <w:t>A. Background</w:t>
      </w:r>
    </w:p>
    <w:p w:rsidR="00090D1A" w:rsidRPr="00472A52" w:rsidRDefault="00090D1A" w:rsidP="009D23CD">
      <w:pPr>
        <w:rPr>
          <w:sz w:val="24"/>
          <w:szCs w:val="24"/>
        </w:rPr>
      </w:pPr>
      <w:r w:rsidRPr="00472A52">
        <w:rPr>
          <w:sz w:val="24"/>
          <w:szCs w:val="24"/>
        </w:rPr>
        <w:t>The Patient Protection and Affordable Care Act (Pub. L. 111–148) was enacted on March 23, 2010; the Health Care and Education Reconciliation Act (Pub. L. 111–152) was enacted on March 30, 2010.  In this</w:t>
      </w:r>
      <w:r w:rsidR="009D23CD" w:rsidRPr="00472A52">
        <w:rPr>
          <w:sz w:val="24"/>
          <w:szCs w:val="24"/>
        </w:rPr>
        <w:t xml:space="preserve"> statement</w:t>
      </w:r>
      <w:r w:rsidRPr="00472A52">
        <w:rPr>
          <w:sz w:val="24"/>
          <w:szCs w:val="24"/>
        </w:rPr>
        <w:t>, we refer to the two statutes collectively as the Affordable Care Act.  The Affordable Care Act reorganizes, amends, and adds to the provisions of Part A of title XXVII of the Public Health Service Act (PHS Act) relating to group health plans and health insurance issuers in the group and individual markets.</w:t>
      </w:r>
    </w:p>
    <w:p w:rsidR="009D23CD" w:rsidRPr="00472A52" w:rsidRDefault="009D23CD" w:rsidP="009D23CD">
      <w:pPr>
        <w:rPr>
          <w:sz w:val="24"/>
          <w:szCs w:val="24"/>
        </w:rPr>
      </w:pPr>
    </w:p>
    <w:p w:rsidR="00300C52" w:rsidRPr="00472A52" w:rsidRDefault="00090D1A" w:rsidP="0054236A">
      <w:pPr>
        <w:rPr>
          <w:sz w:val="24"/>
          <w:szCs w:val="24"/>
        </w:rPr>
      </w:pPr>
      <w:r w:rsidRPr="00472A52">
        <w:rPr>
          <w:sz w:val="24"/>
          <w:szCs w:val="24"/>
        </w:rPr>
        <w:t xml:space="preserve">Section 1003 of the Affordable Care Act adds a new section 2794 of the PHS Act which directs the Secretary of the Department of Health and Human Services (the Secretary), in conjunction with the </w:t>
      </w:r>
      <w:r w:rsidR="00FE77F9" w:rsidRPr="00472A52">
        <w:rPr>
          <w:sz w:val="24"/>
          <w:szCs w:val="24"/>
        </w:rPr>
        <w:t>state</w:t>
      </w:r>
      <w:r w:rsidRPr="00472A52">
        <w:rPr>
          <w:sz w:val="24"/>
          <w:szCs w:val="24"/>
        </w:rPr>
        <w:t xml:space="preserve">s, to establish a process for the annual review of “unreasonable increases in premiums for health insurance coverage.”  </w:t>
      </w:r>
      <w:r w:rsidR="00584270" w:rsidRPr="00584270">
        <w:rPr>
          <w:sz w:val="24"/>
          <w:szCs w:val="24"/>
        </w:rPr>
        <w:t>The statute provides that health insurance issuers must submit to the Secretary and the applicable state justifications for unreasonable premium increases prior to the implementation of the increases.  Section 2794 also specifies that beginning with plan years beginning in 2014, the Secretary, in conjunction with the states, shall monitor premium increases of health insurance coverage offered through an Exchange and outside of an Exchange</w:t>
      </w:r>
      <w:r w:rsidR="00356949" w:rsidRPr="00472A52">
        <w:rPr>
          <w:sz w:val="24"/>
          <w:szCs w:val="24"/>
        </w:rPr>
        <w:t xml:space="preserve">.  </w:t>
      </w:r>
    </w:p>
    <w:p w:rsidR="00300C52" w:rsidRPr="00472A52" w:rsidRDefault="00300C52" w:rsidP="009D23CD">
      <w:pPr>
        <w:pStyle w:val="Heading2"/>
        <w:spacing w:line="240" w:lineRule="auto"/>
        <w:rPr>
          <w:b/>
          <w:sz w:val="24"/>
          <w:szCs w:val="24"/>
        </w:rPr>
      </w:pPr>
      <w:r w:rsidRPr="00472A52">
        <w:rPr>
          <w:b/>
          <w:sz w:val="24"/>
          <w:szCs w:val="24"/>
        </w:rPr>
        <w:t>B. Justification</w:t>
      </w:r>
    </w:p>
    <w:p w:rsidR="00090D1A" w:rsidRPr="00472A52" w:rsidRDefault="00300C52" w:rsidP="001B421F">
      <w:pPr>
        <w:pStyle w:val="Heading3"/>
        <w:spacing w:line="240" w:lineRule="auto"/>
      </w:pPr>
      <w:r w:rsidRPr="00472A52">
        <w:t>1. Need and Legal Basis</w:t>
      </w:r>
    </w:p>
    <w:p w:rsidR="006D2771" w:rsidRPr="00472A52" w:rsidRDefault="003A19F0" w:rsidP="009D23CD">
      <w:pPr>
        <w:rPr>
          <w:sz w:val="24"/>
          <w:szCs w:val="24"/>
        </w:rPr>
      </w:pPr>
      <w:r w:rsidRPr="003A19F0">
        <w:rPr>
          <w:sz w:val="24"/>
          <w:szCs w:val="24"/>
        </w:rPr>
        <w:t xml:space="preserve">On May 23, 2011, CMS published a final rule with comment period (76 FR 29964) to implement the annual review of unreasonable increases in premiums for health insurance coverage called for by section 2794.  </w:t>
      </w:r>
      <w:r w:rsidR="006D2771" w:rsidRPr="00472A52">
        <w:rPr>
          <w:sz w:val="24"/>
          <w:szCs w:val="24"/>
        </w:rPr>
        <w:t xml:space="preserve">The regulation </w:t>
      </w:r>
      <w:r w:rsidRPr="00472A52">
        <w:rPr>
          <w:sz w:val="24"/>
          <w:szCs w:val="24"/>
        </w:rPr>
        <w:t>establishe</w:t>
      </w:r>
      <w:r>
        <w:rPr>
          <w:sz w:val="24"/>
          <w:szCs w:val="24"/>
        </w:rPr>
        <w:t>d</w:t>
      </w:r>
      <w:r w:rsidRPr="00472A52">
        <w:rPr>
          <w:sz w:val="24"/>
          <w:szCs w:val="24"/>
        </w:rPr>
        <w:t xml:space="preserve"> </w:t>
      </w:r>
      <w:r w:rsidR="006D2771" w:rsidRPr="00472A52">
        <w:rPr>
          <w:sz w:val="24"/>
          <w:szCs w:val="24"/>
        </w:rPr>
        <w:t xml:space="preserve">a rate review program to ensure that all rate increases that meet or exceed an established threshold are reviewed by a </w:t>
      </w:r>
      <w:r w:rsidR="00FE77F9" w:rsidRPr="00472A52">
        <w:rPr>
          <w:sz w:val="24"/>
          <w:szCs w:val="24"/>
        </w:rPr>
        <w:t>s</w:t>
      </w:r>
      <w:r w:rsidR="006D2771" w:rsidRPr="00472A52">
        <w:rPr>
          <w:sz w:val="24"/>
          <w:szCs w:val="24"/>
        </w:rPr>
        <w:t xml:space="preserve">tate or CMS to determine whether the rate increases are unreasonable.  Under the regulation, if CMS determines that a </w:t>
      </w:r>
      <w:r w:rsidR="00FE77F9" w:rsidRPr="00472A52">
        <w:rPr>
          <w:sz w:val="24"/>
          <w:szCs w:val="24"/>
        </w:rPr>
        <w:t>s</w:t>
      </w:r>
      <w:r w:rsidR="006D2771" w:rsidRPr="00472A52">
        <w:rPr>
          <w:sz w:val="24"/>
          <w:szCs w:val="24"/>
        </w:rPr>
        <w:t>tate has an Effective Rate Review Program in a given market, using the criteria set forth in</w:t>
      </w:r>
      <w:r w:rsidR="00FE77F9" w:rsidRPr="00472A52">
        <w:rPr>
          <w:sz w:val="24"/>
          <w:szCs w:val="24"/>
        </w:rPr>
        <w:t xml:space="preserve"> the rule, CMS will adopt that s</w:t>
      </w:r>
      <w:r w:rsidR="006D2771" w:rsidRPr="00472A52">
        <w:rPr>
          <w:sz w:val="24"/>
          <w:szCs w:val="24"/>
        </w:rPr>
        <w:t xml:space="preserve">tate’s determinations regarding whether rate increases in that market are unreasonable, provided that the </w:t>
      </w:r>
      <w:r w:rsidR="00FE77F9" w:rsidRPr="00472A52">
        <w:rPr>
          <w:sz w:val="24"/>
          <w:szCs w:val="24"/>
        </w:rPr>
        <w:t>state</w:t>
      </w:r>
      <w:r w:rsidR="006D2771" w:rsidRPr="00472A52">
        <w:rPr>
          <w:sz w:val="24"/>
          <w:szCs w:val="24"/>
        </w:rPr>
        <w:t xml:space="preserve"> reports its final determinations to CMS and explains the bases of its determinations.  For all other </w:t>
      </w:r>
      <w:r w:rsidR="00FE77F9" w:rsidRPr="00472A52">
        <w:rPr>
          <w:sz w:val="24"/>
          <w:szCs w:val="24"/>
        </w:rPr>
        <w:t>state</w:t>
      </w:r>
      <w:r w:rsidR="006D2771" w:rsidRPr="00472A52">
        <w:rPr>
          <w:sz w:val="24"/>
          <w:szCs w:val="24"/>
        </w:rPr>
        <w:t>s or markets, CMS will conduct its own review of rates that meet or exceed the applicable threshold to determine whether they are unreasonable.</w:t>
      </w:r>
    </w:p>
    <w:p w:rsidR="009D23CD" w:rsidRPr="00472A52" w:rsidRDefault="009D23CD" w:rsidP="009D23CD">
      <w:pPr>
        <w:rPr>
          <w:sz w:val="24"/>
          <w:szCs w:val="24"/>
        </w:rPr>
      </w:pPr>
    </w:p>
    <w:p w:rsidR="007773D6" w:rsidRPr="00472A52" w:rsidRDefault="005B249F" w:rsidP="007773D6">
      <w:pPr>
        <w:rPr>
          <w:sz w:val="24"/>
          <w:szCs w:val="24"/>
        </w:rPr>
      </w:pPr>
      <w:r>
        <w:rPr>
          <w:sz w:val="24"/>
          <w:szCs w:val="24"/>
        </w:rPr>
        <w:t>The final</w:t>
      </w:r>
      <w:r w:rsidRPr="005B249F">
        <w:rPr>
          <w:sz w:val="24"/>
          <w:szCs w:val="24"/>
        </w:rPr>
        <w:t xml:space="preserve"> rule </w:t>
      </w:r>
      <w:r w:rsidRPr="00472A52">
        <w:rPr>
          <w:sz w:val="24"/>
          <w:szCs w:val="24"/>
        </w:rPr>
        <w:t xml:space="preserve">titled “Patient Protection and Affordable Care Act; Health Insurance Market Rules; Rate Review” </w:t>
      </w:r>
      <w:r w:rsidRPr="005B249F">
        <w:rPr>
          <w:sz w:val="24"/>
          <w:szCs w:val="24"/>
        </w:rPr>
        <w:t xml:space="preserve">amends the standards under the rate review program.  The amendments revise the timeline for states to propose state-specific thresholds for review and approval by CMS.  The amendments also direct health insurance issuers to submit data relating to proposed rate increases in a standardized format specified by the Secretary of HHS (the Secretary), and modify criteria and factors for states to have an effective rate review program.  These changes are necessary to reflect the new market reform provisions discussed above and to fulfill the </w:t>
      </w:r>
      <w:r w:rsidRPr="005B249F">
        <w:rPr>
          <w:sz w:val="24"/>
          <w:szCs w:val="24"/>
        </w:rPr>
        <w:lastRenderedPageBreak/>
        <w:t xml:space="preserve">statutory requirement beginning in 2014 that the Secretary, in conjunction with the states, monitor premium increases of health insurance coverage offered through an Exchange and outside of an Exchange.  The provisions are also designed to streamline data collection for issuers, states, Exchanges, and HHS.  </w:t>
      </w:r>
      <w:r w:rsidR="00517700">
        <w:rPr>
          <w:sz w:val="24"/>
          <w:szCs w:val="24"/>
        </w:rPr>
        <w:t>Additionally, CMS will collect</w:t>
      </w:r>
      <w:r w:rsidR="00517700" w:rsidRPr="00517700">
        <w:rPr>
          <w:sz w:val="24"/>
          <w:szCs w:val="24"/>
        </w:rPr>
        <w:t xml:space="preserve"> premium and claims data broken out by </w:t>
      </w:r>
      <w:r w:rsidR="00517700">
        <w:rPr>
          <w:sz w:val="24"/>
          <w:szCs w:val="24"/>
        </w:rPr>
        <w:t>Essential Health Benefit (</w:t>
      </w:r>
      <w:r w:rsidR="00517700" w:rsidRPr="00517700">
        <w:rPr>
          <w:sz w:val="24"/>
          <w:szCs w:val="24"/>
        </w:rPr>
        <w:t>EHB</w:t>
      </w:r>
      <w:r w:rsidR="00517700">
        <w:rPr>
          <w:sz w:val="24"/>
          <w:szCs w:val="24"/>
        </w:rPr>
        <w:t>)</w:t>
      </w:r>
      <w:r w:rsidR="00517700" w:rsidRPr="00517700">
        <w:rPr>
          <w:sz w:val="24"/>
          <w:szCs w:val="24"/>
        </w:rPr>
        <w:t xml:space="preserve"> and non-EHB to support the single risk pool and market rating rules validations for effective rate review</w:t>
      </w:r>
    </w:p>
    <w:p w:rsidR="007773D6" w:rsidRPr="00472A52" w:rsidRDefault="007773D6" w:rsidP="009D23CD">
      <w:pPr>
        <w:rPr>
          <w:sz w:val="24"/>
          <w:szCs w:val="24"/>
        </w:rPr>
      </w:pPr>
    </w:p>
    <w:p w:rsidR="006D2771" w:rsidRPr="00472A52" w:rsidRDefault="006D2771" w:rsidP="009D23CD">
      <w:pPr>
        <w:rPr>
          <w:sz w:val="24"/>
          <w:szCs w:val="24"/>
        </w:rPr>
      </w:pPr>
      <w:r w:rsidRPr="00472A52">
        <w:rPr>
          <w:sz w:val="24"/>
          <w:szCs w:val="24"/>
        </w:rPr>
        <w:t xml:space="preserve">Section 2794 directs the Secretary to ensure the public disclosure of information </w:t>
      </w:r>
      <w:r w:rsidR="0018281F" w:rsidRPr="00472A52">
        <w:rPr>
          <w:sz w:val="24"/>
          <w:szCs w:val="24"/>
        </w:rPr>
        <w:t xml:space="preserve">and justification relating to </w:t>
      </w:r>
      <w:r w:rsidRPr="00472A52">
        <w:rPr>
          <w:sz w:val="24"/>
          <w:szCs w:val="24"/>
        </w:rPr>
        <w:t xml:space="preserve">unreasonable rate increases.  The regulation therefore develops a process to ensure the public disclosure of </w:t>
      </w:r>
      <w:r w:rsidR="0018281F" w:rsidRPr="00472A52">
        <w:rPr>
          <w:sz w:val="24"/>
          <w:szCs w:val="24"/>
        </w:rPr>
        <w:t xml:space="preserve">all such information and justification.   </w:t>
      </w:r>
      <w:r w:rsidRPr="00472A52">
        <w:rPr>
          <w:sz w:val="24"/>
          <w:szCs w:val="24"/>
        </w:rPr>
        <w:t xml:space="preserve">Section 2794 requires that health insurance issuers submit justification for an unreasonable rate increase to CMS and the relevant </w:t>
      </w:r>
      <w:r w:rsidR="00FE77F9" w:rsidRPr="00472A52">
        <w:rPr>
          <w:sz w:val="24"/>
          <w:szCs w:val="24"/>
        </w:rPr>
        <w:t>state</w:t>
      </w:r>
      <w:r w:rsidRPr="00472A52">
        <w:rPr>
          <w:sz w:val="24"/>
          <w:szCs w:val="24"/>
        </w:rPr>
        <w:t xml:space="preserve"> prior to its implementation. </w:t>
      </w:r>
      <w:r w:rsidR="00DA5219" w:rsidRPr="00472A52">
        <w:rPr>
          <w:sz w:val="24"/>
          <w:szCs w:val="24"/>
        </w:rPr>
        <w:t xml:space="preserve">Additionally, section 2794 requires that rate increases effective in 2014 (submitted for review in 2013) be monitored by the Secretary, in conjunction with the </w:t>
      </w:r>
      <w:r w:rsidR="00FE77F9" w:rsidRPr="00472A52">
        <w:rPr>
          <w:sz w:val="24"/>
          <w:szCs w:val="24"/>
        </w:rPr>
        <w:t>state</w:t>
      </w:r>
      <w:r w:rsidR="00DA5219" w:rsidRPr="00472A52">
        <w:rPr>
          <w:sz w:val="24"/>
          <w:szCs w:val="24"/>
        </w:rPr>
        <w:t>s.</w:t>
      </w:r>
      <w:r w:rsidRPr="00472A52">
        <w:rPr>
          <w:sz w:val="24"/>
          <w:szCs w:val="24"/>
        </w:rPr>
        <w:t xml:space="preserve"> T</w:t>
      </w:r>
      <w:r w:rsidR="001D40F3" w:rsidRPr="00472A52">
        <w:rPr>
          <w:sz w:val="24"/>
          <w:szCs w:val="24"/>
        </w:rPr>
        <w:t>o th</w:t>
      </w:r>
      <w:r w:rsidR="00DA5219" w:rsidRPr="00472A52">
        <w:rPr>
          <w:sz w:val="24"/>
          <w:szCs w:val="24"/>
        </w:rPr>
        <w:t>ose</w:t>
      </w:r>
      <w:r w:rsidR="001D40F3" w:rsidRPr="00472A52">
        <w:rPr>
          <w:sz w:val="24"/>
          <w:szCs w:val="24"/>
        </w:rPr>
        <w:t xml:space="preserve"> end</w:t>
      </w:r>
      <w:r w:rsidR="00DA5219" w:rsidRPr="00472A52">
        <w:rPr>
          <w:sz w:val="24"/>
          <w:szCs w:val="24"/>
        </w:rPr>
        <w:t>s</w:t>
      </w:r>
      <w:r w:rsidR="001D40F3" w:rsidRPr="00472A52">
        <w:rPr>
          <w:sz w:val="24"/>
          <w:szCs w:val="24"/>
        </w:rPr>
        <w:t xml:space="preserve"> t</w:t>
      </w:r>
      <w:r w:rsidRPr="00472A52">
        <w:rPr>
          <w:sz w:val="24"/>
          <w:szCs w:val="24"/>
        </w:rPr>
        <w:t xml:space="preserve">he regulation establishes various reporting requirements for health insurance issuers, including a </w:t>
      </w:r>
      <w:r w:rsidR="00DC7389" w:rsidRPr="00472A52">
        <w:rPr>
          <w:sz w:val="24"/>
          <w:szCs w:val="24"/>
        </w:rPr>
        <w:t xml:space="preserve">Rate Filing </w:t>
      </w:r>
      <w:r w:rsidRPr="00472A52">
        <w:rPr>
          <w:sz w:val="24"/>
          <w:szCs w:val="24"/>
        </w:rPr>
        <w:t xml:space="preserve">Justification for a proposed rate increase, a Final Justification for any rate increase determined by a </w:t>
      </w:r>
      <w:r w:rsidR="00FE77F9" w:rsidRPr="00472A52">
        <w:rPr>
          <w:sz w:val="24"/>
          <w:szCs w:val="24"/>
        </w:rPr>
        <w:t>state</w:t>
      </w:r>
      <w:r w:rsidRPr="00472A52">
        <w:rPr>
          <w:sz w:val="24"/>
          <w:szCs w:val="24"/>
        </w:rPr>
        <w:t xml:space="preserve"> or CMS to be unreasonable, and a notification requirement for unreasonable rate increases which the issuer will not implement.</w:t>
      </w:r>
    </w:p>
    <w:p w:rsidR="009D23CD" w:rsidRPr="00472A52" w:rsidRDefault="009D23CD" w:rsidP="009D23CD">
      <w:pPr>
        <w:rPr>
          <w:sz w:val="24"/>
          <w:szCs w:val="24"/>
        </w:rPr>
      </w:pPr>
    </w:p>
    <w:p w:rsidR="006D2771" w:rsidRPr="00472A52" w:rsidRDefault="00276A5E" w:rsidP="009D23CD">
      <w:pPr>
        <w:rPr>
          <w:sz w:val="24"/>
          <w:szCs w:val="24"/>
        </w:rPr>
      </w:pPr>
      <w:r w:rsidRPr="00472A52">
        <w:rPr>
          <w:sz w:val="24"/>
          <w:szCs w:val="24"/>
        </w:rPr>
        <w:t xml:space="preserve">Health insurance issuers </w:t>
      </w:r>
      <w:r w:rsidR="002309B4">
        <w:rPr>
          <w:sz w:val="24"/>
          <w:szCs w:val="24"/>
        </w:rPr>
        <w:t xml:space="preserve">will </w:t>
      </w:r>
      <w:r w:rsidR="003A19F0" w:rsidRPr="003A19F0">
        <w:rPr>
          <w:sz w:val="24"/>
          <w:szCs w:val="24"/>
        </w:rPr>
        <w:t>be required</w:t>
      </w:r>
      <w:r w:rsidR="003A19F0" w:rsidRPr="00472A52">
        <w:rPr>
          <w:sz w:val="24"/>
          <w:szCs w:val="24"/>
        </w:rPr>
        <w:t xml:space="preserve"> </w:t>
      </w:r>
      <w:r w:rsidRPr="00472A52">
        <w:rPr>
          <w:sz w:val="24"/>
          <w:szCs w:val="24"/>
        </w:rPr>
        <w:t>provide a</w:t>
      </w:r>
      <w:r w:rsidR="006D2771" w:rsidRPr="00472A52">
        <w:rPr>
          <w:sz w:val="24"/>
          <w:szCs w:val="24"/>
        </w:rPr>
        <w:t xml:space="preserve"> </w:t>
      </w:r>
      <w:r w:rsidR="00DC7389" w:rsidRPr="00472A52">
        <w:rPr>
          <w:sz w:val="24"/>
          <w:szCs w:val="24"/>
        </w:rPr>
        <w:t xml:space="preserve">Rate Filing </w:t>
      </w:r>
      <w:r w:rsidR="006D2771" w:rsidRPr="00472A52">
        <w:rPr>
          <w:sz w:val="24"/>
          <w:szCs w:val="24"/>
        </w:rPr>
        <w:t xml:space="preserve">Justification to both CMS and </w:t>
      </w:r>
      <w:r w:rsidR="00FE77F9" w:rsidRPr="00472A52">
        <w:rPr>
          <w:sz w:val="24"/>
          <w:szCs w:val="24"/>
        </w:rPr>
        <w:t>state</w:t>
      </w:r>
      <w:r w:rsidR="006D2771" w:rsidRPr="00472A52">
        <w:rPr>
          <w:sz w:val="24"/>
          <w:szCs w:val="24"/>
        </w:rPr>
        <w:t xml:space="preserve">s, if </w:t>
      </w:r>
      <w:r w:rsidR="00494B2C" w:rsidRPr="00472A52">
        <w:rPr>
          <w:sz w:val="24"/>
          <w:szCs w:val="24"/>
        </w:rPr>
        <w:t xml:space="preserve">they are </w:t>
      </w:r>
      <w:r w:rsidR="006D2771" w:rsidRPr="00472A52">
        <w:rPr>
          <w:sz w:val="24"/>
          <w:szCs w:val="24"/>
        </w:rPr>
        <w:t>seeking to implement rate increase</w:t>
      </w:r>
      <w:r w:rsidR="00494B2C" w:rsidRPr="00472A52">
        <w:rPr>
          <w:sz w:val="24"/>
          <w:szCs w:val="24"/>
        </w:rPr>
        <w:t>s</w:t>
      </w:r>
      <w:r w:rsidR="006D2771" w:rsidRPr="00472A52">
        <w:rPr>
          <w:sz w:val="24"/>
          <w:szCs w:val="24"/>
        </w:rPr>
        <w:t xml:space="preserve"> that meet or exceed the </w:t>
      </w:r>
      <w:r w:rsidR="00DA5219" w:rsidRPr="00472A52">
        <w:rPr>
          <w:sz w:val="24"/>
          <w:szCs w:val="24"/>
        </w:rPr>
        <w:t xml:space="preserve">reporting </w:t>
      </w:r>
      <w:r w:rsidR="006D2771" w:rsidRPr="00472A52">
        <w:rPr>
          <w:sz w:val="24"/>
          <w:szCs w:val="24"/>
        </w:rPr>
        <w:t>threshold described in §154.200.</w:t>
      </w:r>
      <w:r w:rsidR="006D2771" w:rsidRPr="00472A52">
        <w:rPr>
          <w:rFonts w:eastAsia="Calibri"/>
          <w:sz w:val="24"/>
          <w:szCs w:val="24"/>
        </w:rPr>
        <w:t xml:space="preserve">  </w:t>
      </w:r>
      <w:r w:rsidR="006D2771" w:rsidRPr="00472A52">
        <w:rPr>
          <w:sz w:val="24"/>
          <w:szCs w:val="24"/>
        </w:rPr>
        <w:t xml:space="preserve">The </w:t>
      </w:r>
      <w:r w:rsidR="00DC7389" w:rsidRPr="00472A52">
        <w:rPr>
          <w:sz w:val="24"/>
          <w:szCs w:val="24"/>
        </w:rPr>
        <w:t xml:space="preserve">Rate Filing </w:t>
      </w:r>
      <w:r w:rsidR="006D2771" w:rsidRPr="00472A52">
        <w:rPr>
          <w:sz w:val="24"/>
          <w:szCs w:val="24"/>
        </w:rPr>
        <w:t>Justification includes data supporting the potential rate increase</w:t>
      </w:r>
      <w:r w:rsidR="007773D6" w:rsidRPr="00472A52">
        <w:rPr>
          <w:sz w:val="24"/>
          <w:szCs w:val="24"/>
        </w:rPr>
        <w:t>(s)</w:t>
      </w:r>
      <w:r w:rsidR="00DA5219" w:rsidRPr="00472A52">
        <w:rPr>
          <w:sz w:val="24"/>
          <w:szCs w:val="24"/>
        </w:rPr>
        <w:t xml:space="preserve">, and the impacts to all other products in the </w:t>
      </w:r>
      <w:r w:rsidR="00B63A9F" w:rsidRPr="00472A52">
        <w:rPr>
          <w:sz w:val="24"/>
          <w:szCs w:val="24"/>
        </w:rPr>
        <w:t xml:space="preserve">single risk pool </w:t>
      </w:r>
      <w:r w:rsidR="00DA5219" w:rsidRPr="00472A52">
        <w:rPr>
          <w:sz w:val="24"/>
          <w:szCs w:val="24"/>
        </w:rPr>
        <w:t xml:space="preserve">for that health insurance issuer in that market for that state </w:t>
      </w:r>
      <w:r w:rsidR="007773D6" w:rsidRPr="00472A52">
        <w:rPr>
          <w:sz w:val="24"/>
          <w:szCs w:val="24"/>
        </w:rPr>
        <w:t xml:space="preserve">as well as an Actuarial Memorandum explaining the actuarial reasoning for any rate increase(s) </w:t>
      </w:r>
      <w:r w:rsidR="00DA5219" w:rsidRPr="00472A52">
        <w:rPr>
          <w:sz w:val="24"/>
          <w:szCs w:val="24"/>
        </w:rPr>
        <w:t>when the reporting threshold is exceeded. A</w:t>
      </w:r>
      <w:r w:rsidR="006D2771" w:rsidRPr="00472A52">
        <w:rPr>
          <w:sz w:val="24"/>
          <w:szCs w:val="24"/>
        </w:rPr>
        <w:t xml:space="preserve"> </w:t>
      </w:r>
      <w:r w:rsidR="007773D6" w:rsidRPr="00472A52">
        <w:rPr>
          <w:sz w:val="24"/>
          <w:szCs w:val="24"/>
        </w:rPr>
        <w:t xml:space="preserve">consumer friendly </w:t>
      </w:r>
      <w:r w:rsidR="006D2771" w:rsidRPr="00472A52">
        <w:rPr>
          <w:sz w:val="24"/>
          <w:szCs w:val="24"/>
        </w:rPr>
        <w:t>written explanation of the rate increase</w:t>
      </w:r>
      <w:r w:rsidR="007773D6" w:rsidRPr="00472A52">
        <w:rPr>
          <w:sz w:val="24"/>
          <w:szCs w:val="24"/>
        </w:rPr>
        <w:t xml:space="preserve"> is also required when the review threshold is exceeded</w:t>
      </w:r>
      <w:r w:rsidR="006D2771" w:rsidRPr="00472A52">
        <w:rPr>
          <w:sz w:val="24"/>
          <w:szCs w:val="24"/>
        </w:rPr>
        <w:t xml:space="preserve">.  </w:t>
      </w:r>
    </w:p>
    <w:p w:rsidR="009D23CD" w:rsidRPr="00472A52" w:rsidRDefault="009D23CD" w:rsidP="009D23CD">
      <w:pPr>
        <w:rPr>
          <w:sz w:val="24"/>
          <w:szCs w:val="24"/>
        </w:rPr>
      </w:pPr>
    </w:p>
    <w:p w:rsidR="00666094" w:rsidRPr="00472A52" w:rsidRDefault="006D2771" w:rsidP="009D23CD">
      <w:pPr>
        <w:rPr>
          <w:sz w:val="24"/>
          <w:szCs w:val="24"/>
        </w:rPr>
      </w:pPr>
      <w:r w:rsidRPr="00472A52">
        <w:rPr>
          <w:sz w:val="24"/>
          <w:szCs w:val="24"/>
        </w:rPr>
        <w:t xml:space="preserve">The </w:t>
      </w:r>
      <w:r w:rsidR="00B63A9F" w:rsidRPr="00472A52">
        <w:rPr>
          <w:sz w:val="24"/>
          <w:szCs w:val="24"/>
        </w:rPr>
        <w:t>Rate Filing</w:t>
      </w:r>
      <w:r w:rsidRPr="00472A52">
        <w:rPr>
          <w:sz w:val="24"/>
          <w:szCs w:val="24"/>
        </w:rPr>
        <w:t xml:space="preserve"> Justification consists of three Parts.  Part I consists of </w:t>
      </w:r>
      <w:r w:rsidR="00E43F35" w:rsidRPr="00472A52">
        <w:rPr>
          <w:sz w:val="24"/>
          <w:szCs w:val="24"/>
        </w:rPr>
        <w:t>detailed claims and premium</w:t>
      </w:r>
      <w:r w:rsidR="00666094" w:rsidRPr="00472A52">
        <w:rPr>
          <w:sz w:val="24"/>
          <w:szCs w:val="24"/>
        </w:rPr>
        <w:t xml:space="preserve"> quantitative data, collected in a </w:t>
      </w:r>
      <w:r w:rsidR="00DD6298">
        <w:rPr>
          <w:sz w:val="24"/>
          <w:szCs w:val="24"/>
        </w:rPr>
        <w:t>unified rate review template</w:t>
      </w:r>
      <w:r w:rsidR="00DA5219" w:rsidRPr="00472A52">
        <w:rPr>
          <w:sz w:val="24"/>
          <w:szCs w:val="24"/>
        </w:rPr>
        <w:t xml:space="preserve"> to actuarially represent any rate increase and justify proposed increases above the review threshold</w:t>
      </w:r>
      <w:r w:rsidRPr="00472A52">
        <w:rPr>
          <w:sz w:val="24"/>
          <w:szCs w:val="24"/>
        </w:rPr>
        <w:t xml:space="preserve">.  Part II of the </w:t>
      </w:r>
      <w:r w:rsidR="00B63A9F" w:rsidRPr="00472A52">
        <w:rPr>
          <w:sz w:val="24"/>
          <w:szCs w:val="24"/>
        </w:rPr>
        <w:t>Rate Filing</w:t>
      </w:r>
      <w:r w:rsidRPr="00472A52">
        <w:rPr>
          <w:sz w:val="24"/>
          <w:szCs w:val="24"/>
        </w:rPr>
        <w:t xml:space="preserve"> Justification is a brief</w:t>
      </w:r>
      <w:r w:rsidR="00666094" w:rsidRPr="00472A52">
        <w:rPr>
          <w:sz w:val="24"/>
          <w:szCs w:val="24"/>
        </w:rPr>
        <w:t xml:space="preserve"> written explanation of</w:t>
      </w:r>
      <w:r w:rsidRPr="00472A52">
        <w:rPr>
          <w:sz w:val="24"/>
          <w:szCs w:val="24"/>
        </w:rPr>
        <w:t xml:space="preserve"> </w:t>
      </w:r>
      <w:r w:rsidR="00DA5219" w:rsidRPr="00472A52">
        <w:rPr>
          <w:sz w:val="24"/>
          <w:szCs w:val="24"/>
        </w:rPr>
        <w:t xml:space="preserve">any </w:t>
      </w:r>
      <w:r w:rsidRPr="00472A52">
        <w:rPr>
          <w:sz w:val="24"/>
          <w:szCs w:val="24"/>
        </w:rPr>
        <w:t>rate increase</w:t>
      </w:r>
      <w:r w:rsidR="00DA5219" w:rsidRPr="00472A52">
        <w:rPr>
          <w:sz w:val="24"/>
          <w:szCs w:val="24"/>
        </w:rPr>
        <w:t xml:space="preserve"> exceeding the review threshold</w:t>
      </w:r>
      <w:r w:rsidRPr="00472A52">
        <w:rPr>
          <w:sz w:val="24"/>
          <w:szCs w:val="24"/>
        </w:rPr>
        <w:t>.</w:t>
      </w:r>
      <w:r w:rsidR="00666094" w:rsidRPr="00472A52">
        <w:rPr>
          <w:sz w:val="24"/>
          <w:szCs w:val="24"/>
        </w:rPr>
        <w:t xml:space="preserve"> </w:t>
      </w:r>
      <w:r w:rsidR="00DA5219" w:rsidRPr="00472A52">
        <w:rPr>
          <w:sz w:val="24"/>
          <w:szCs w:val="24"/>
        </w:rPr>
        <w:t xml:space="preserve">Part III of the </w:t>
      </w:r>
      <w:r w:rsidR="00B63A9F" w:rsidRPr="00472A52">
        <w:rPr>
          <w:sz w:val="24"/>
          <w:szCs w:val="24"/>
        </w:rPr>
        <w:t>Rate Filing</w:t>
      </w:r>
      <w:r w:rsidR="00DA5219" w:rsidRPr="00472A52">
        <w:rPr>
          <w:sz w:val="24"/>
          <w:szCs w:val="24"/>
        </w:rPr>
        <w:t xml:space="preserve"> Justification consists of an Actuarial Memorandum providing narrative reasoning of the assumptions and methods utilized to complete Part I.</w:t>
      </w:r>
      <w:r w:rsidRPr="00472A52">
        <w:rPr>
          <w:sz w:val="24"/>
          <w:szCs w:val="24"/>
        </w:rPr>
        <w:t xml:space="preserve">  </w:t>
      </w:r>
      <w:r w:rsidR="00DA5219" w:rsidRPr="00472A52">
        <w:rPr>
          <w:sz w:val="24"/>
          <w:szCs w:val="24"/>
        </w:rPr>
        <w:t xml:space="preserve">Parts I and III are required to be completed and submitted any time </w:t>
      </w:r>
      <w:r w:rsidR="00F42EEE" w:rsidRPr="00472A52">
        <w:rPr>
          <w:sz w:val="24"/>
          <w:szCs w:val="24"/>
        </w:rPr>
        <w:t>for all rate increases</w:t>
      </w:r>
      <w:r w:rsidR="00DA5219" w:rsidRPr="00472A52">
        <w:rPr>
          <w:sz w:val="24"/>
          <w:szCs w:val="24"/>
        </w:rPr>
        <w:t xml:space="preserve"> the issuer has in a </w:t>
      </w:r>
      <w:r w:rsidR="00FE77F9" w:rsidRPr="00472A52">
        <w:rPr>
          <w:sz w:val="24"/>
          <w:szCs w:val="24"/>
        </w:rPr>
        <w:t>state</w:t>
      </w:r>
      <w:r w:rsidRPr="00472A52">
        <w:rPr>
          <w:sz w:val="24"/>
          <w:szCs w:val="24"/>
        </w:rPr>
        <w:t>.</w:t>
      </w:r>
      <w:r w:rsidR="00DA5219" w:rsidRPr="00472A52">
        <w:rPr>
          <w:sz w:val="24"/>
          <w:szCs w:val="24"/>
        </w:rPr>
        <w:t xml:space="preserve">  Part II</w:t>
      </w:r>
      <w:r w:rsidR="00F42EEE" w:rsidRPr="00472A52">
        <w:rPr>
          <w:sz w:val="24"/>
          <w:szCs w:val="24"/>
        </w:rPr>
        <w:t>, along with Parts I and II,</w:t>
      </w:r>
      <w:r w:rsidR="00DA5219" w:rsidRPr="00472A52">
        <w:rPr>
          <w:sz w:val="24"/>
          <w:szCs w:val="24"/>
        </w:rPr>
        <w:t xml:space="preserve"> is only submitted to CMS and the applicable </w:t>
      </w:r>
      <w:r w:rsidR="00FE77F9" w:rsidRPr="00472A52">
        <w:rPr>
          <w:sz w:val="24"/>
          <w:szCs w:val="24"/>
        </w:rPr>
        <w:t>state</w:t>
      </w:r>
      <w:r w:rsidR="00DA5219" w:rsidRPr="00472A52">
        <w:rPr>
          <w:sz w:val="24"/>
          <w:szCs w:val="24"/>
        </w:rPr>
        <w:t xml:space="preserve"> when the review threshold is exceeded.</w:t>
      </w:r>
      <w:r w:rsidRPr="00472A52">
        <w:rPr>
          <w:sz w:val="24"/>
          <w:szCs w:val="24"/>
        </w:rPr>
        <w:t xml:space="preserve">  </w:t>
      </w:r>
    </w:p>
    <w:p w:rsidR="00296009" w:rsidRPr="00472A52" w:rsidRDefault="00296009" w:rsidP="009D23CD">
      <w:pPr>
        <w:rPr>
          <w:sz w:val="24"/>
          <w:szCs w:val="24"/>
        </w:rPr>
      </w:pPr>
    </w:p>
    <w:p w:rsidR="00BC0AFA" w:rsidRPr="00472A52" w:rsidRDefault="00BC0AFA" w:rsidP="009D23CD">
      <w:pPr>
        <w:rPr>
          <w:sz w:val="24"/>
          <w:szCs w:val="24"/>
        </w:rPr>
      </w:pPr>
      <w:r w:rsidRPr="00472A52">
        <w:rPr>
          <w:sz w:val="24"/>
          <w:szCs w:val="24"/>
        </w:rPr>
        <w:t xml:space="preserve">For each rate increase that is under review, either CMS or the </w:t>
      </w:r>
      <w:r w:rsidR="00FE77F9" w:rsidRPr="00472A52">
        <w:rPr>
          <w:sz w:val="24"/>
          <w:szCs w:val="24"/>
        </w:rPr>
        <w:t>state</w:t>
      </w:r>
      <w:r w:rsidRPr="00472A52">
        <w:rPr>
          <w:sz w:val="24"/>
          <w:szCs w:val="24"/>
        </w:rPr>
        <w:t xml:space="preserve"> will prepare a final </w:t>
      </w:r>
      <w:r w:rsidR="00550720" w:rsidRPr="00472A52">
        <w:rPr>
          <w:sz w:val="24"/>
          <w:szCs w:val="24"/>
        </w:rPr>
        <w:t xml:space="preserve">determination as to whether the proposed rate increase is </w:t>
      </w:r>
      <w:r w:rsidRPr="00472A52">
        <w:rPr>
          <w:sz w:val="24"/>
          <w:szCs w:val="24"/>
        </w:rPr>
        <w:t xml:space="preserve">unreasonable </w:t>
      </w:r>
      <w:r w:rsidR="00550720" w:rsidRPr="00472A52">
        <w:rPr>
          <w:sz w:val="24"/>
          <w:szCs w:val="24"/>
        </w:rPr>
        <w:t>or not</w:t>
      </w:r>
      <w:r w:rsidR="00342597" w:rsidRPr="00472A52">
        <w:rPr>
          <w:sz w:val="24"/>
          <w:szCs w:val="24"/>
        </w:rPr>
        <w:t>,</w:t>
      </w:r>
      <w:r w:rsidR="00550720" w:rsidRPr="00472A52">
        <w:rPr>
          <w:sz w:val="24"/>
          <w:szCs w:val="24"/>
        </w:rPr>
        <w:t xml:space="preserve"> </w:t>
      </w:r>
      <w:r w:rsidR="00342597" w:rsidRPr="00472A52">
        <w:rPr>
          <w:sz w:val="24"/>
          <w:szCs w:val="24"/>
        </w:rPr>
        <w:t>as well as</w:t>
      </w:r>
      <w:r w:rsidRPr="00472A52">
        <w:rPr>
          <w:sz w:val="24"/>
          <w:szCs w:val="24"/>
        </w:rPr>
        <w:t xml:space="preserve"> a brief explanation of relevant review findings.  If a rate increase is determined to be unreasonable </w:t>
      </w:r>
      <w:r w:rsidR="002E4B64" w:rsidRPr="00472A52">
        <w:rPr>
          <w:sz w:val="24"/>
          <w:szCs w:val="24"/>
        </w:rPr>
        <w:t xml:space="preserve">and the </w:t>
      </w:r>
      <w:r w:rsidRPr="00472A52">
        <w:rPr>
          <w:sz w:val="24"/>
          <w:szCs w:val="24"/>
        </w:rPr>
        <w:t>health insurance issuer</w:t>
      </w:r>
      <w:r w:rsidR="002E4B64" w:rsidRPr="00472A52">
        <w:rPr>
          <w:sz w:val="24"/>
          <w:szCs w:val="24"/>
        </w:rPr>
        <w:t xml:space="preserve"> plans to implement the increase, it is required</w:t>
      </w:r>
      <w:r w:rsidRPr="00472A52">
        <w:rPr>
          <w:sz w:val="24"/>
          <w:szCs w:val="24"/>
        </w:rPr>
        <w:t xml:space="preserve"> to submit </w:t>
      </w:r>
      <w:r w:rsidR="002E4B64" w:rsidRPr="00472A52">
        <w:rPr>
          <w:sz w:val="24"/>
          <w:szCs w:val="24"/>
        </w:rPr>
        <w:t xml:space="preserve">a Final Justification of the increase </w:t>
      </w:r>
      <w:r w:rsidRPr="00472A52">
        <w:rPr>
          <w:sz w:val="24"/>
          <w:szCs w:val="24"/>
        </w:rPr>
        <w:t xml:space="preserve">to CMS and </w:t>
      </w:r>
      <w:r w:rsidR="00342597" w:rsidRPr="00472A52">
        <w:rPr>
          <w:sz w:val="24"/>
          <w:szCs w:val="24"/>
        </w:rPr>
        <w:t xml:space="preserve">to </w:t>
      </w:r>
      <w:r w:rsidRPr="00472A52">
        <w:rPr>
          <w:sz w:val="24"/>
          <w:szCs w:val="24"/>
        </w:rPr>
        <w:t xml:space="preserve">the relevant </w:t>
      </w:r>
      <w:r w:rsidR="00FE77F9" w:rsidRPr="00472A52">
        <w:rPr>
          <w:sz w:val="24"/>
          <w:szCs w:val="24"/>
        </w:rPr>
        <w:t>state</w:t>
      </w:r>
      <w:r w:rsidR="002E4B64" w:rsidRPr="00472A52">
        <w:rPr>
          <w:sz w:val="24"/>
          <w:szCs w:val="24"/>
        </w:rPr>
        <w:t xml:space="preserve">. The issuer also must </w:t>
      </w:r>
      <w:r w:rsidRPr="00472A52">
        <w:rPr>
          <w:sz w:val="24"/>
          <w:szCs w:val="24"/>
        </w:rPr>
        <w:t>display th</w:t>
      </w:r>
      <w:r w:rsidR="002E4B64" w:rsidRPr="00472A52">
        <w:rPr>
          <w:sz w:val="24"/>
          <w:szCs w:val="24"/>
        </w:rPr>
        <w:t xml:space="preserve">e justification </w:t>
      </w:r>
      <w:r w:rsidRPr="00472A52">
        <w:rPr>
          <w:sz w:val="24"/>
          <w:szCs w:val="24"/>
        </w:rPr>
        <w:t xml:space="preserve">on </w:t>
      </w:r>
      <w:r w:rsidR="002E4B64" w:rsidRPr="00472A52">
        <w:rPr>
          <w:sz w:val="24"/>
          <w:szCs w:val="24"/>
        </w:rPr>
        <w:t>its</w:t>
      </w:r>
      <w:r w:rsidRPr="00472A52">
        <w:rPr>
          <w:sz w:val="24"/>
          <w:szCs w:val="24"/>
        </w:rPr>
        <w:t xml:space="preserve"> website.  If an issuer is legally permitted to implement an unreasonable rate increase and declines to implement the increase, the issuer will provide notice to CMS that it will not implement the increase. </w:t>
      </w:r>
    </w:p>
    <w:p w:rsidR="001361ED" w:rsidRPr="00472A52" w:rsidRDefault="001361ED" w:rsidP="009D23CD">
      <w:pPr>
        <w:rPr>
          <w:sz w:val="24"/>
          <w:szCs w:val="24"/>
        </w:rPr>
      </w:pPr>
    </w:p>
    <w:p w:rsidR="00CB2C04" w:rsidRPr="00472A52" w:rsidRDefault="007773D6" w:rsidP="00CB2C04">
      <w:pPr>
        <w:rPr>
          <w:sz w:val="24"/>
          <w:szCs w:val="24"/>
        </w:rPr>
      </w:pPr>
      <w:r w:rsidRPr="00472A52">
        <w:rPr>
          <w:sz w:val="24"/>
          <w:szCs w:val="24"/>
        </w:rPr>
        <w:t>P</w:t>
      </w:r>
      <w:r w:rsidR="00CB2C04" w:rsidRPr="00472A52">
        <w:rPr>
          <w:sz w:val="24"/>
          <w:szCs w:val="24"/>
        </w:rPr>
        <w:t>ursuant to the authority established in §156.470(</w:t>
      </w:r>
      <w:r w:rsidR="008650C3">
        <w:rPr>
          <w:sz w:val="24"/>
          <w:szCs w:val="24"/>
        </w:rPr>
        <w:t>e</w:t>
      </w:r>
      <w:r w:rsidR="00CB2C04" w:rsidRPr="00472A52">
        <w:rPr>
          <w:sz w:val="24"/>
          <w:szCs w:val="24"/>
        </w:rPr>
        <w:t xml:space="preserve">), a QHP issuer must submit an actuarial </w:t>
      </w:r>
      <w:r w:rsidR="00CB2C04" w:rsidRPr="00472A52">
        <w:rPr>
          <w:sz w:val="24"/>
          <w:szCs w:val="24"/>
        </w:rPr>
        <w:lastRenderedPageBreak/>
        <w:t>memorandum with a detailed description of the methods and specific bases used to perform the allocations that would be required under paragraph (a) of that sec</w:t>
      </w:r>
      <w:r w:rsidR="002A54EB" w:rsidRPr="00472A52">
        <w:rPr>
          <w:sz w:val="24"/>
          <w:szCs w:val="24"/>
        </w:rPr>
        <w:t>tion</w:t>
      </w:r>
      <w:r w:rsidR="009655DA">
        <w:rPr>
          <w:sz w:val="24"/>
          <w:szCs w:val="24"/>
        </w:rPr>
        <w:t xml:space="preserve">, </w:t>
      </w:r>
      <w:r w:rsidR="009655DA" w:rsidRPr="00206F14">
        <w:rPr>
          <w:sz w:val="24"/>
          <w:szCs w:val="24"/>
        </w:rPr>
        <w:t>and demonstrating that the allocations meet the standards set forth in paragraph (c) of that section</w:t>
      </w:r>
      <w:r w:rsidR="002A54EB" w:rsidRPr="00206F14">
        <w:rPr>
          <w:sz w:val="24"/>
          <w:szCs w:val="24"/>
        </w:rPr>
        <w:t>.</w:t>
      </w:r>
      <w:r w:rsidR="00CB2C04" w:rsidRPr="00472A52">
        <w:rPr>
          <w:sz w:val="24"/>
          <w:szCs w:val="24"/>
        </w:rPr>
        <w:t>  QHP issuers will be required to submit these allocations and justifications through the Effective Rate Review program.  Therefore, there will be no additional burden on QHP issuers that submit their rates through the Effective Rate Review program. </w:t>
      </w:r>
    </w:p>
    <w:p w:rsidR="00CB2C04" w:rsidRPr="00472A52" w:rsidRDefault="00CB2C04" w:rsidP="009D23CD">
      <w:pPr>
        <w:rPr>
          <w:sz w:val="24"/>
          <w:szCs w:val="24"/>
        </w:rPr>
      </w:pPr>
    </w:p>
    <w:p w:rsidR="001361ED" w:rsidRPr="00472A52" w:rsidRDefault="00296009" w:rsidP="009D23CD">
      <w:pPr>
        <w:rPr>
          <w:sz w:val="24"/>
          <w:szCs w:val="24"/>
        </w:rPr>
      </w:pPr>
      <w:r w:rsidRPr="00472A52">
        <w:rPr>
          <w:sz w:val="24"/>
          <w:szCs w:val="24"/>
        </w:rPr>
        <w:t xml:space="preserve">By collecting information in a consistent, data driven format, CMS and the states will be able to </w:t>
      </w:r>
      <w:r w:rsidR="00E43F35" w:rsidRPr="00472A52">
        <w:rPr>
          <w:sz w:val="24"/>
          <w:szCs w:val="24"/>
        </w:rPr>
        <w:t>monitor</w:t>
      </w:r>
      <w:r w:rsidRPr="00472A52">
        <w:rPr>
          <w:sz w:val="24"/>
          <w:szCs w:val="24"/>
        </w:rPr>
        <w:t xml:space="preserve"> an issuer’s rate activity market wide, both inside and outside of the </w:t>
      </w:r>
      <w:r w:rsidR="00346CF3">
        <w:rPr>
          <w:sz w:val="24"/>
          <w:szCs w:val="24"/>
        </w:rPr>
        <w:t>E</w:t>
      </w:r>
      <w:r w:rsidR="00346CF3" w:rsidRPr="00472A52">
        <w:rPr>
          <w:sz w:val="24"/>
          <w:szCs w:val="24"/>
        </w:rPr>
        <w:t>xchanges</w:t>
      </w:r>
      <w:r w:rsidR="00E43F35" w:rsidRPr="00472A52">
        <w:rPr>
          <w:sz w:val="24"/>
          <w:szCs w:val="24"/>
        </w:rPr>
        <w:t>, as required by section 2794 of the A</w:t>
      </w:r>
      <w:r w:rsidR="00E13E99" w:rsidRPr="00472A52">
        <w:rPr>
          <w:sz w:val="24"/>
          <w:szCs w:val="24"/>
        </w:rPr>
        <w:t xml:space="preserve">ffordable </w:t>
      </w:r>
      <w:r w:rsidR="00E43F35" w:rsidRPr="00472A52">
        <w:rPr>
          <w:sz w:val="24"/>
          <w:szCs w:val="24"/>
        </w:rPr>
        <w:t>C</w:t>
      </w:r>
      <w:r w:rsidR="00E13E99" w:rsidRPr="00472A52">
        <w:rPr>
          <w:sz w:val="24"/>
          <w:szCs w:val="24"/>
        </w:rPr>
        <w:t xml:space="preserve">are </w:t>
      </w:r>
      <w:r w:rsidR="00E43F35" w:rsidRPr="00472A52">
        <w:rPr>
          <w:sz w:val="24"/>
          <w:szCs w:val="24"/>
        </w:rPr>
        <w:t>A</w:t>
      </w:r>
      <w:r w:rsidR="00E13E99" w:rsidRPr="00472A52">
        <w:rPr>
          <w:sz w:val="24"/>
          <w:szCs w:val="24"/>
        </w:rPr>
        <w:t>ct</w:t>
      </w:r>
      <w:r w:rsidRPr="00472A52">
        <w:rPr>
          <w:sz w:val="24"/>
          <w:szCs w:val="24"/>
        </w:rPr>
        <w:t xml:space="preserve">. </w:t>
      </w:r>
      <w:r w:rsidR="001361ED" w:rsidRPr="00472A52">
        <w:rPr>
          <w:sz w:val="24"/>
          <w:szCs w:val="24"/>
        </w:rPr>
        <w:t xml:space="preserve">These modifications will </w:t>
      </w:r>
      <w:r w:rsidRPr="00472A52">
        <w:rPr>
          <w:sz w:val="24"/>
          <w:szCs w:val="24"/>
        </w:rPr>
        <w:t xml:space="preserve">also </w:t>
      </w:r>
      <w:r w:rsidR="001361ED" w:rsidRPr="00472A52">
        <w:rPr>
          <w:sz w:val="24"/>
          <w:szCs w:val="24"/>
        </w:rPr>
        <w:t>ensure that as health insurance markets shift to accommodate changes that go into effect in 2014, state and federal regulators will be able to appropriately and adequately monitor issuers’ products and plans within the market, minimizing any potential market disruptions.</w:t>
      </w:r>
    </w:p>
    <w:p w:rsidR="001B421F" w:rsidRPr="00472A52" w:rsidRDefault="001B421F" w:rsidP="009D23CD">
      <w:pPr>
        <w:pStyle w:val="NoSpacing"/>
        <w:rPr>
          <w:rFonts w:ascii="Times New Roman" w:hAnsi="Times New Roman"/>
          <w:sz w:val="24"/>
          <w:szCs w:val="24"/>
        </w:rPr>
      </w:pPr>
    </w:p>
    <w:p w:rsidR="00200559" w:rsidRPr="00472A52" w:rsidRDefault="00300C52" w:rsidP="009D23CD">
      <w:pPr>
        <w:pStyle w:val="Heading3"/>
        <w:spacing w:line="240" w:lineRule="auto"/>
      </w:pPr>
      <w:r w:rsidRPr="00472A52">
        <w:t>2. Information Users</w:t>
      </w:r>
    </w:p>
    <w:p w:rsidR="00776659" w:rsidRPr="00472A52" w:rsidRDefault="00776659" w:rsidP="009D23CD">
      <w:pPr>
        <w:pStyle w:val="NoSpacing"/>
        <w:rPr>
          <w:rFonts w:ascii="Times New Roman" w:hAnsi="Times New Roman"/>
          <w:sz w:val="24"/>
          <w:szCs w:val="24"/>
        </w:rPr>
      </w:pPr>
      <w:r w:rsidRPr="00472A52">
        <w:rPr>
          <w:rFonts w:ascii="Times New Roman" w:hAnsi="Times New Roman"/>
          <w:sz w:val="24"/>
          <w:szCs w:val="24"/>
        </w:rPr>
        <w:t xml:space="preserve">CMS </w:t>
      </w:r>
      <w:r w:rsidR="009D23CD" w:rsidRPr="00472A52">
        <w:rPr>
          <w:rFonts w:ascii="Times New Roman" w:hAnsi="Times New Roman"/>
          <w:sz w:val="24"/>
          <w:szCs w:val="24"/>
        </w:rPr>
        <w:t xml:space="preserve">will </w:t>
      </w:r>
      <w:r w:rsidRPr="00472A52">
        <w:rPr>
          <w:rFonts w:ascii="Times New Roman" w:hAnsi="Times New Roman"/>
          <w:sz w:val="24"/>
          <w:szCs w:val="24"/>
        </w:rPr>
        <w:t xml:space="preserve">post on </w:t>
      </w:r>
      <w:r w:rsidR="00342597" w:rsidRPr="00472A52">
        <w:rPr>
          <w:rFonts w:ascii="Times New Roman" w:hAnsi="Times New Roman"/>
          <w:sz w:val="24"/>
          <w:szCs w:val="24"/>
        </w:rPr>
        <w:t>its</w:t>
      </w:r>
      <w:r w:rsidRPr="00472A52">
        <w:rPr>
          <w:rFonts w:ascii="Times New Roman" w:hAnsi="Times New Roman"/>
          <w:sz w:val="24"/>
          <w:szCs w:val="24"/>
        </w:rPr>
        <w:t xml:space="preserve"> website the information contained in each </w:t>
      </w:r>
      <w:r w:rsidR="00B63A9F" w:rsidRPr="00472A52">
        <w:rPr>
          <w:rFonts w:ascii="Times New Roman" w:hAnsi="Times New Roman"/>
          <w:sz w:val="24"/>
          <w:szCs w:val="24"/>
        </w:rPr>
        <w:t>Rate Filing</w:t>
      </w:r>
      <w:r w:rsidRPr="00472A52">
        <w:rPr>
          <w:rFonts w:ascii="Times New Roman" w:hAnsi="Times New Roman"/>
          <w:sz w:val="24"/>
          <w:szCs w:val="24"/>
        </w:rPr>
        <w:t xml:space="preserve"> Justification for each rate increase </w:t>
      </w:r>
      <w:r w:rsidR="007773D6" w:rsidRPr="00472A52">
        <w:rPr>
          <w:rFonts w:ascii="Times New Roman" w:hAnsi="Times New Roman"/>
          <w:sz w:val="24"/>
          <w:szCs w:val="24"/>
        </w:rPr>
        <w:t>reported</w:t>
      </w:r>
      <w:r w:rsidRPr="00472A52">
        <w:rPr>
          <w:rFonts w:ascii="Times New Roman" w:hAnsi="Times New Roman"/>
          <w:sz w:val="24"/>
          <w:szCs w:val="24"/>
        </w:rPr>
        <w:t xml:space="preserve"> under §154.200.  </w:t>
      </w:r>
      <w:r w:rsidR="00342597" w:rsidRPr="00472A52">
        <w:rPr>
          <w:rFonts w:ascii="Times New Roman" w:hAnsi="Times New Roman"/>
          <w:sz w:val="24"/>
          <w:szCs w:val="24"/>
        </w:rPr>
        <w:t xml:space="preserve">States </w:t>
      </w:r>
      <w:r w:rsidR="00B564D5" w:rsidRPr="00472A52">
        <w:rPr>
          <w:rFonts w:ascii="Times New Roman" w:hAnsi="Times New Roman"/>
          <w:sz w:val="24"/>
          <w:szCs w:val="24"/>
        </w:rPr>
        <w:t>have the option to either</w:t>
      </w:r>
      <w:r w:rsidR="00342597" w:rsidRPr="00472A52">
        <w:rPr>
          <w:rFonts w:ascii="Times New Roman" w:hAnsi="Times New Roman"/>
          <w:sz w:val="24"/>
          <w:szCs w:val="24"/>
        </w:rPr>
        <w:t xml:space="preserve"> post </w:t>
      </w:r>
      <w:r w:rsidR="00E43F35" w:rsidRPr="00472A52">
        <w:rPr>
          <w:rFonts w:ascii="Times New Roman" w:hAnsi="Times New Roman"/>
          <w:sz w:val="24"/>
          <w:szCs w:val="24"/>
        </w:rPr>
        <w:t xml:space="preserve">a portion or all of </w:t>
      </w:r>
      <w:r w:rsidR="00342597" w:rsidRPr="00472A52">
        <w:rPr>
          <w:rFonts w:ascii="Times New Roman" w:hAnsi="Times New Roman"/>
          <w:sz w:val="24"/>
          <w:szCs w:val="24"/>
        </w:rPr>
        <w:t xml:space="preserve">the </w:t>
      </w:r>
      <w:r w:rsidR="00967B4E" w:rsidRPr="00472A52">
        <w:rPr>
          <w:rFonts w:ascii="Times New Roman" w:hAnsi="Times New Roman"/>
          <w:sz w:val="24"/>
          <w:szCs w:val="24"/>
        </w:rPr>
        <w:t>Rate Filing</w:t>
      </w:r>
      <w:r w:rsidR="00342597" w:rsidRPr="00472A52">
        <w:rPr>
          <w:rFonts w:ascii="Times New Roman" w:hAnsi="Times New Roman"/>
          <w:sz w:val="24"/>
          <w:szCs w:val="24"/>
        </w:rPr>
        <w:t xml:space="preserve"> Justification</w:t>
      </w:r>
      <w:r w:rsidR="007773D6" w:rsidRPr="00472A52">
        <w:rPr>
          <w:rFonts w:ascii="Times New Roman" w:hAnsi="Times New Roman"/>
          <w:sz w:val="24"/>
          <w:szCs w:val="24"/>
        </w:rPr>
        <w:t xml:space="preserve"> Part I</w:t>
      </w:r>
      <w:r w:rsidR="00664174" w:rsidRPr="00472A52">
        <w:rPr>
          <w:rFonts w:ascii="Times New Roman" w:hAnsi="Times New Roman"/>
          <w:sz w:val="24"/>
          <w:szCs w:val="24"/>
        </w:rPr>
        <w:t xml:space="preserve">, commonly referred to as the </w:t>
      </w:r>
      <w:r w:rsidR="00E43F35" w:rsidRPr="00472A52">
        <w:rPr>
          <w:rFonts w:ascii="Times New Roman" w:hAnsi="Times New Roman"/>
          <w:sz w:val="24"/>
          <w:szCs w:val="24"/>
        </w:rPr>
        <w:t xml:space="preserve">Unified </w:t>
      </w:r>
      <w:r w:rsidR="00664174" w:rsidRPr="00472A52">
        <w:rPr>
          <w:rFonts w:ascii="Times New Roman" w:hAnsi="Times New Roman"/>
          <w:sz w:val="24"/>
          <w:szCs w:val="24"/>
        </w:rPr>
        <w:t xml:space="preserve">Rate Review Template, </w:t>
      </w:r>
      <w:r w:rsidR="00342597" w:rsidRPr="00472A52">
        <w:rPr>
          <w:rFonts w:ascii="Times New Roman" w:hAnsi="Times New Roman"/>
          <w:sz w:val="24"/>
          <w:szCs w:val="24"/>
        </w:rPr>
        <w:t>on their websites</w:t>
      </w:r>
      <w:r w:rsidR="00E43F35" w:rsidRPr="00472A52">
        <w:rPr>
          <w:rFonts w:ascii="Times New Roman" w:hAnsi="Times New Roman"/>
          <w:sz w:val="24"/>
          <w:szCs w:val="24"/>
        </w:rPr>
        <w:t xml:space="preserve"> (as determined by state public disclosure laws)</w:t>
      </w:r>
      <w:r w:rsidR="00342597" w:rsidRPr="00472A52">
        <w:rPr>
          <w:rFonts w:ascii="Times New Roman" w:hAnsi="Times New Roman"/>
          <w:sz w:val="24"/>
          <w:szCs w:val="24"/>
        </w:rPr>
        <w:t xml:space="preserve"> or provide a </w:t>
      </w:r>
      <w:r w:rsidR="00B564D5" w:rsidRPr="00472A52">
        <w:rPr>
          <w:rFonts w:ascii="Times New Roman" w:hAnsi="Times New Roman"/>
          <w:sz w:val="24"/>
          <w:szCs w:val="24"/>
        </w:rPr>
        <w:t>hyper</w:t>
      </w:r>
      <w:r w:rsidR="00342597" w:rsidRPr="00472A52">
        <w:rPr>
          <w:rFonts w:ascii="Times New Roman" w:hAnsi="Times New Roman"/>
          <w:sz w:val="24"/>
          <w:szCs w:val="24"/>
        </w:rPr>
        <w:t xml:space="preserve">link to the </w:t>
      </w:r>
      <w:r w:rsidR="00E43F35" w:rsidRPr="00472A52">
        <w:rPr>
          <w:rFonts w:ascii="Times New Roman" w:hAnsi="Times New Roman"/>
          <w:sz w:val="24"/>
          <w:szCs w:val="24"/>
        </w:rPr>
        <w:t xml:space="preserve">publically available portions </w:t>
      </w:r>
      <w:r w:rsidR="00342597" w:rsidRPr="00472A52">
        <w:rPr>
          <w:rFonts w:ascii="Times New Roman" w:hAnsi="Times New Roman"/>
          <w:sz w:val="24"/>
          <w:szCs w:val="24"/>
        </w:rPr>
        <w:t>post</w:t>
      </w:r>
      <w:r w:rsidR="00E43F35" w:rsidRPr="00472A52">
        <w:rPr>
          <w:rFonts w:ascii="Times New Roman" w:hAnsi="Times New Roman"/>
          <w:sz w:val="24"/>
          <w:szCs w:val="24"/>
        </w:rPr>
        <w:t>ed</w:t>
      </w:r>
      <w:r w:rsidR="00342597" w:rsidRPr="00472A52">
        <w:rPr>
          <w:rFonts w:ascii="Times New Roman" w:hAnsi="Times New Roman"/>
          <w:sz w:val="24"/>
          <w:szCs w:val="24"/>
        </w:rPr>
        <w:t xml:space="preserve"> on CMS’ website.  </w:t>
      </w:r>
      <w:r w:rsidRPr="00472A52">
        <w:rPr>
          <w:rFonts w:ascii="Times New Roman" w:hAnsi="Times New Roman"/>
          <w:sz w:val="24"/>
          <w:szCs w:val="24"/>
        </w:rPr>
        <w:t>For consumer clarity, CMS will</w:t>
      </w:r>
      <w:r w:rsidR="009D23CD" w:rsidRPr="00472A52">
        <w:rPr>
          <w:rFonts w:ascii="Times New Roman" w:hAnsi="Times New Roman"/>
          <w:sz w:val="24"/>
          <w:szCs w:val="24"/>
        </w:rPr>
        <w:t xml:space="preserve"> </w:t>
      </w:r>
      <w:r w:rsidR="00CB1D80" w:rsidRPr="00472A52">
        <w:rPr>
          <w:rFonts w:ascii="Times New Roman" w:hAnsi="Times New Roman"/>
          <w:sz w:val="24"/>
          <w:szCs w:val="24"/>
        </w:rPr>
        <w:t xml:space="preserve">also </w:t>
      </w:r>
      <w:r w:rsidR="009D23CD" w:rsidRPr="00472A52">
        <w:rPr>
          <w:rFonts w:ascii="Times New Roman" w:hAnsi="Times New Roman"/>
          <w:sz w:val="24"/>
          <w:szCs w:val="24"/>
        </w:rPr>
        <w:t xml:space="preserve">post on its </w:t>
      </w:r>
      <w:r w:rsidR="00967B4E" w:rsidRPr="00472A52">
        <w:rPr>
          <w:rFonts w:ascii="Times New Roman" w:hAnsi="Times New Roman"/>
          <w:sz w:val="24"/>
          <w:szCs w:val="24"/>
        </w:rPr>
        <w:t xml:space="preserve">website </w:t>
      </w:r>
      <w:r w:rsidRPr="00472A52">
        <w:rPr>
          <w:rFonts w:ascii="Times New Roman" w:hAnsi="Times New Roman"/>
          <w:sz w:val="24"/>
          <w:szCs w:val="24"/>
        </w:rPr>
        <w:t xml:space="preserve">the final disposition of each rate increase reviewed </w:t>
      </w:r>
      <w:r w:rsidR="00342597" w:rsidRPr="00472A52">
        <w:rPr>
          <w:rFonts w:ascii="Times New Roman" w:hAnsi="Times New Roman"/>
          <w:sz w:val="24"/>
          <w:szCs w:val="24"/>
        </w:rPr>
        <w:t xml:space="preserve">under the regulation </w:t>
      </w:r>
      <w:r w:rsidRPr="00472A52">
        <w:rPr>
          <w:rFonts w:ascii="Times New Roman" w:hAnsi="Times New Roman"/>
          <w:sz w:val="24"/>
          <w:szCs w:val="24"/>
        </w:rPr>
        <w:t xml:space="preserve">by either CMS or a </w:t>
      </w:r>
      <w:r w:rsidR="00FE77F9" w:rsidRPr="00472A52">
        <w:rPr>
          <w:rFonts w:ascii="Times New Roman" w:hAnsi="Times New Roman"/>
          <w:sz w:val="24"/>
          <w:szCs w:val="24"/>
        </w:rPr>
        <w:t>state</w:t>
      </w:r>
      <w:r w:rsidRPr="00472A52">
        <w:rPr>
          <w:rFonts w:ascii="Times New Roman" w:hAnsi="Times New Roman"/>
          <w:sz w:val="24"/>
          <w:szCs w:val="24"/>
        </w:rPr>
        <w:t xml:space="preserve">.  As required </w:t>
      </w:r>
      <w:r w:rsidR="00342597" w:rsidRPr="00472A52">
        <w:rPr>
          <w:rFonts w:ascii="Times New Roman" w:hAnsi="Times New Roman"/>
          <w:sz w:val="24"/>
          <w:szCs w:val="24"/>
        </w:rPr>
        <w:t xml:space="preserve">by the </w:t>
      </w:r>
      <w:r w:rsidRPr="00472A52">
        <w:rPr>
          <w:rFonts w:ascii="Times New Roman" w:hAnsi="Times New Roman"/>
          <w:sz w:val="24"/>
          <w:szCs w:val="24"/>
        </w:rPr>
        <w:t>statute</w:t>
      </w:r>
      <w:r w:rsidR="00342597" w:rsidRPr="00472A52">
        <w:rPr>
          <w:rFonts w:ascii="Times New Roman" w:hAnsi="Times New Roman"/>
          <w:sz w:val="24"/>
          <w:szCs w:val="24"/>
        </w:rPr>
        <w:t xml:space="preserve"> and noted above</w:t>
      </w:r>
      <w:r w:rsidRPr="00472A52">
        <w:rPr>
          <w:rFonts w:ascii="Times New Roman" w:hAnsi="Times New Roman"/>
          <w:sz w:val="24"/>
          <w:szCs w:val="24"/>
        </w:rPr>
        <w:t xml:space="preserve">, issuers will also be required to post </w:t>
      </w:r>
      <w:r w:rsidR="00342597" w:rsidRPr="00472A52">
        <w:rPr>
          <w:rFonts w:ascii="Times New Roman" w:hAnsi="Times New Roman"/>
          <w:sz w:val="24"/>
          <w:szCs w:val="24"/>
        </w:rPr>
        <w:t>on their websites F</w:t>
      </w:r>
      <w:r w:rsidRPr="00472A52">
        <w:rPr>
          <w:rFonts w:ascii="Times New Roman" w:hAnsi="Times New Roman"/>
          <w:sz w:val="24"/>
          <w:szCs w:val="24"/>
        </w:rPr>
        <w:t xml:space="preserve">inal </w:t>
      </w:r>
      <w:r w:rsidR="00342597" w:rsidRPr="00472A52">
        <w:rPr>
          <w:rFonts w:ascii="Times New Roman" w:hAnsi="Times New Roman"/>
          <w:sz w:val="24"/>
          <w:szCs w:val="24"/>
        </w:rPr>
        <w:t>J</w:t>
      </w:r>
      <w:r w:rsidRPr="00472A52">
        <w:rPr>
          <w:rFonts w:ascii="Times New Roman" w:hAnsi="Times New Roman"/>
          <w:sz w:val="24"/>
          <w:szCs w:val="24"/>
        </w:rPr>
        <w:t>ustification</w:t>
      </w:r>
      <w:r w:rsidR="00342597" w:rsidRPr="00472A52">
        <w:rPr>
          <w:rFonts w:ascii="Times New Roman" w:hAnsi="Times New Roman"/>
          <w:sz w:val="24"/>
          <w:szCs w:val="24"/>
        </w:rPr>
        <w:t>s</w:t>
      </w:r>
      <w:r w:rsidRPr="00472A52">
        <w:rPr>
          <w:rFonts w:ascii="Times New Roman" w:hAnsi="Times New Roman"/>
          <w:sz w:val="24"/>
          <w:szCs w:val="24"/>
        </w:rPr>
        <w:t xml:space="preserve"> for unreasonable rate increase</w:t>
      </w:r>
      <w:r w:rsidR="00342597" w:rsidRPr="00472A52">
        <w:rPr>
          <w:rFonts w:ascii="Times New Roman" w:hAnsi="Times New Roman"/>
          <w:sz w:val="24"/>
          <w:szCs w:val="24"/>
        </w:rPr>
        <w:t>s they plan to implement</w:t>
      </w:r>
      <w:r w:rsidRPr="00472A52">
        <w:rPr>
          <w:rFonts w:ascii="Times New Roman" w:hAnsi="Times New Roman"/>
          <w:sz w:val="24"/>
          <w:szCs w:val="24"/>
        </w:rPr>
        <w:t>.</w:t>
      </w:r>
      <w:r w:rsidR="009D23CD" w:rsidRPr="00472A52">
        <w:rPr>
          <w:rFonts w:ascii="Times New Roman" w:hAnsi="Times New Roman"/>
          <w:sz w:val="24"/>
          <w:szCs w:val="24"/>
        </w:rPr>
        <w:t xml:space="preserve">  Th</w:t>
      </w:r>
      <w:r w:rsidR="00E004CA" w:rsidRPr="00472A52">
        <w:rPr>
          <w:rFonts w:ascii="Times New Roman" w:hAnsi="Times New Roman"/>
          <w:sz w:val="24"/>
          <w:szCs w:val="24"/>
        </w:rPr>
        <w:t>ese disclosures are intended to provide</w:t>
      </w:r>
      <w:r w:rsidR="009D23CD" w:rsidRPr="00472A52">
        <w:rPr>
          <w:rFonts w:ascii="Times New Roman" w:hAnsi="Times New Roman"/>
          <w:sz w:val="24"/>
          <w:szCs w:val="24"/>
        </w:rPr>
        <w:t xml:space="preserve"> consumers</w:t>
      </w:r>
      <w:r w:rsidR="00E004CA" w:rsidRPr="00472A52">
        <w:rPr>
          <w:rFonts w:ascii="Times New Roman" w:hAnsi="Times New Roman"/>
          <w:sz w:val="24"/>
          <w:szCs w:val="24"/>
        </w:rPr>
        <w:t xml:space="preserve"> with information</w:t>
      </w:r>
      <w:r w:rsidR="009D23CD" w:rsidRPr="00472A52">
        <w:rPr>
          <w:rFonts w:ascii="Times New Roman" w:hAnsi="Times New Roman"/>
          <w:sz w:val="24"/>
          <w:szCs w:val="24"/>
        </w:rPr>
        <w:t xml:space="preserve"> </w:t>
      </w:r>
      <w:r w:rsidR="00342597" w:rsidRPr="00472A52">
        <w:rPr>
          <w:rFonts w:ascii="Times New Roman" w:hAnsi="Times New Roman"/>
          <w:sz w:val="24"/>
          <w:szCs w:val="24"/>
        </w:rPr>
        <w:t>about</w:t>
      </w:r>
      <w:r w:rsidR="009D23CD" w:rsidRPr="00472A52">
        <w:rPr>
          <w:rFonts w:ascii="Times New Roman" w:hAnsi="Times New Roman"/>
          <w:sz w:val="24"/>
          <w:szCs w:val="24"/>
        </w:rPr>
        <w:t xml:space="preserve"> the rate increases that are reviewed under this program.</w:t>
      </w:r>
      <w:r w:rsidR="008D691A" w:rsidRPr="00472A52">
        <w:rPr>
          <w:rFonts w:ascii="Times New Roman" w:hAnsi="Times New Roman"/>
          <w:sz w:val="24"/>
          <w:szCs w:val="24"/>
        </w:rPr>
        <w:t xml:space="preserve">  </w:t>
      </w:r>
    </w:p>
    <w:p w:rsidR="00666094" w:rsidRPr="00472A52" w:rsidRDefault="00666094" w:rsidP="009D23CD">
      <w:pPr>
        <w:pStyle w:val="NoSpacing"/>
        <w:rPr>
          <w:rFonts w:ascii="Times New Roman" w:hAnsi="Times New Roman"/>
          <w:sz w:val="24"/>
          <w:szCs w:val="24"/>
        </w:rPr>
      </w:pPr>
    </w:p>
    <w:p w:rsidR="00B564D5" w:rsidRPr="00472A52" w:rsidRDefault="007773D6" w:rsidP="009D23CD">
      <w:pPr>
        <w:pStyle w:val="NoSpacing"/>
        <w:rPr>
          <w:rFonts w:ascii="Times New Roman" w:hAnsi="Times New Roman"/>
          <w:sz w:val="24"/>
          <w:szCs w:val="24"/>
        </w:rPr>
      </w:pPr>
      <w:r w:rsidRPr="00472A52">
        <w:rPr>
          <w:rFonts w:ascii="Times New Roman" w:hAnsi="Times New Roman"/>
          <w:sz w:val="24"/>
          <w:szCs w:val="24"/>
        </w:rPr>
        <w:t xml:space="preserve">Previously, Part III of the </w:t>
      </w:r>
      <w:r w:rsidR="004A7425" w:rsidRPr="00472A52">
        <w:rPr>
          <w:rFonts w:ascii="Times New Roman" w:hAnsi="Times New Roman"/>
          <w:sz w:val="24"/>
          <w:szCs w:val="24"/>
        </w:rPr>
        <w:t>Rate Filing</w:t>
      </w:r>
      <w:r w:rsidRPr="00472A52">
        <w:rPr>
          <w:rFonts w:ascii="Times New Roman" w:hAnsi="Times New Roman"/>
          <w:sz w:val="24"/>
          <w:szCs w:val="24"/>
        </w:rPr>
        <w:t xml:space="preserve"> Justification was only required when CMS was responsible for conducting the rate increase review.  </w:t>
      </w:r>
      <w:r w:rsidR="00CB1D80" w:rsidRPr="00472A52">
        <w:rPr>
          <w:rFonts w:ascii="Times New Roman" w:hAnsi="Times New Roman"/>
          <w:sz w:val="24"/>
          <w:szCs w:val="24"/>
        </w:rPr>
        <w:t xml:space="preserve">CMS has expanded the elements of this section and </w:t>
      </w:r>
      <w:r w:rsidR="00B564D5" w:rsidRPr="00472A52">
        <w:rPr>
          <w:rFonts w:ascii="Times New Roman" w:hAnsi="Times New Roman"/>
          <w:sz w:val="24"/>
          <w:szCs w:val="24"/>
        </w:rPr>
        <w:t xml:space="preserve">Part III will no longer be required for only CMS reviewed submissions, but instead will </w:t>
      </w:r>
      <w:r w:rsidR="00CB1D80" w:rsidRPr="00472A52">
        <w:rPr>
          <w:rFonts w:ascii="Times New Roman" w:hAnsi="Times New Roman"/>
          <w:sz w:val="24"/>
          <w:szCs w:val="24"/>
        </w:rPr>
        <w:t xml:space="preserve">be required for all submissions.  Currently, every Effective Rate Review </w:t>
      </w:r>
      <w:r w:rsidR="000F01BB" w:rsidRPr="00472A52">
        <w:rPr>
          <w:rFonts w:ascii="Times New Roman" w:hAnsi="Times New Roman"/>
          <w:sz w:val="24"/>
          <w:szCs w:val="24"/>
        </w:rPr>
        <w:t xml:space="preserve">jurisdiction </w:t>
      </w:r>
      <w:r w:rsidR="00CB1D80" w:rsidRPr="00472A52">
        <w:rPr>
          <w:rFonts w:ascii="Times New Roman" w:hAnsi="Times New Roman"/>
          <w:sz w:val="24"/>
          <w:szCs w:val="24"/>
        </w:rPr>
        <w:t xml:space="preserve">receives an actuarial memorandum </w:t>
      </w:r>
      <w:r w:rsidRPr="00472A52">
        <w:rPr>
          <w:rFonts w:ascii="Times New Roman" w:hAnsi="Times New Roman"/>
          <w:sz w:val="24"/>
          <w:szCs w:val="24"/>
        </w:rPr>
        <w:t xml:space="preserve">(or its equivalent) </w:t>
      </w:r>
      <w:r w:rsidR="00CB1D80" w:rsidRPr="00472A52">
        <w:rPr>
          <w:rFonts w:ascii="Times New Roman" w:hAnsi="Times New Roman"/>
          <w:sz w:val="24"/>
          <w:szCs w:val="24"/>
        </w:rPr>
        <w:t>with a proposed increase</w:t>
      </w:r>
      <w:r w:rsidRPr="00472A52">
        <w:rPr>
          <w:rFonts w:ascii="Times New Roman" w:hAnsi="Times New Roman"/>
          <w:sz w:val="24"/>
          <w:szCs w:val="24"/>
        </w:rPr>
        <w:t>, subject to review</w:t>
      </w:r>
      <w:r w:rsidR="00CB1D80" w:rsidRPr="00472A52">
        <w:rPr>
          <w:rFonts w:ascii="Times New Roman" w:hAnsi="Times New Roman"/>
          <w:sz w:val="24"/>
          <w:szCs w:val="24"/>
        </w:rPr>
        <w:t xml:space="preserve">.  The </w:t>
      </w:r>
      <w:r w:rsidRPr="00472A52">
        <w:rPr>
          <w:rFonts w:ascii="Times New Roman" w:hAnsi="Times New Roman"/>
          <w:sz w:val="24"/>
          <w:szCs w:val="24"/>
        </w:rPr>
        <w:t xml:space="preserve">new </w:t>
      </w:r>
      <w:r w:rsidR="00CB1D80" w:rsidRPr="00472A52">
        <w:rPr>
          <w:rFonts w:ascii="Times New Roman" w:hAnsi="Times New Roman"/>
          <w:sz w:val="24"/>
          <w:szCs w:val="24"/>
        </w:rPr>
        <w:t xml:space="preserve">Part III actuarial memorandum </w:t>
      </w:r>
      <w:r w:rsidRPr="00472A52">
        <w:rPr>
          <w:rFonts w:ascii="Times New Roman" w:hAnsi="Times New Roman"/>
          <w:sz w:val="24"/>
          <w:szCs w:val="24"/>
        </w:rPr>
        <w:t xml:space="preserve">requirement </w:t>
      </w:r>
      <w:r w:rsidR="00CB1D80" w:rsidRPr="00472A52">
        <w:rPr>
          <w:rFonts w:ascii="Times New Roman" w:hAnsi="Times New Roman"/>
          <w:sz w:val="24"/>
          <w:szCs w:val="24"/>
        </w:rPr>
        <w:t>will support the</w:t>
      </w:r>
      <w:r w:rsidR="00D00846" w:rsidRPr="00472A52">
        <w:rPr>
          <w:rFonts w:ascii="Times New Roman" w:hAnsi="Times New Roman"/>
          <w:sz w:val="24"/>
          <w:szCs w:val="24"/>
        </w:rPr>
        <w:t xml:space="preserve"> </w:t>
      </w:r>
      <w:r w:rsidRPr="00472A52">
        <w:rPr>
          <w:rFonts w:ascii="Times New Roman" w:hAnsi="Times New Roman"/>
          <w:sz w:val="24"/>
          <w:szCs w:val="24"/>
        </w:rPr>
        <w:t>data</w:t>
      </w:r>
      <w:r w:rsidR="00CB1D80" w:rsidRPr="00472A52">
        <w:rPr>
          <w:rFonts w:ascii="Times New Roman" w:hAnsi="Times New Roman"/>
          <w:sz w:val="24"/>
          <w:szCs w:val="24"/>
        </w:rPr>
        <w:t xml:space="preserve"> provided in Part I </w:t>
      </w:r>
      <w:r w:rsidR="002034A2">
        <w:rPr>
          <w:rFonts w:ascii="Times New Roman" w:hAnsi="Times New Roman"/>
          <w:sz w:val="24"/>
          <w:szCs w:val="24"/>
        </w:rPr>
        <w:t xml:space="preserve">of the </w:t>
      </w:r>
      <w:r w:rsidR="004A7425" w:rsidRPr="00472A52">
        <w:rPr>
          <w:rFonts w:ascii="Times New Roman" w:hAnsi="Times New Roman"/>
          <w:sz w:val="24"/>
          <w:szCs w:val="24"/>
        </w:rPr>
        <w:t>Rate Filing</w:t>
      </w:r>
      <w:r w:rsidR="00717763" w:rsidRPr="00472A52">
        <w:rPr>
          <w:rFonts w:ascii="Times New Roman" w:hAnsi="Times New Roman"/>
          <w:sz w:val="24"/>
          <w:szCs w:val="24"/>
        </w:rPr>
        <w:t xml:space="preserve"> Justification </w:t>
      </w:r>
      <w:r w:rsidRPr="00472A52">
        <w:rPr>
          <w:rFonts w:ascii="Times New Roman" w:hAnsi="Times New Roman"/>
          <w:sz w:val="24"/>
          <w:szCs w:val="24"/>
        </w:rPr>
        <w:t xml:space="preserve">portion of the </w:t>
      </w:r>
      <w:r w:rsidR="00717763" w:rsidRPr="00472A52">
        <w:rPr>
          <w:rFonts w:ascii="Times New Roman" w:hAnsi="Times New Roman"/>
          <w:sz w:val="24"/>
          <w:szCs w:val="24"/>
        </w:rPr>
        <w:t>submission</w:t>
      </w:r>
      <w:r w:rsidRPr="00472A52">
        <w:rPr>
          <w:rFonts w:ascii="Times New Roman" w:hAnsi="Times New Roman"/>
          <w:sz w:val="24"/>
          <w:szCs w:val="24"/>
        </w:rPr>
        <w:t xml:space="preserve"> and create greater consistency of the actuarial </w:t>
      </w:r>
      <w:r w:rsidR="00537D8B" w:rsidRPr="00472A52">
        <w:rPr>
          <w:rFonts w:ascii="Times New Roman" w:hAnsi="Times New Roman"/>
          <w:sz w:val="24"/>
          <w:szCs w:val="24"/>
        </w:rPr>
        <w:t xml:space="preserve">reasoning required to </w:t>
      </w:r>
      <w:r w:rsidRPr="00472A52">
        <w:rPr>
          <w:rFonts w:ascii="Times New Roman" w:hAnsi="Times New Roman"/>
          <w:sz w:val="24"/>
          <w:szCs w:val="24"/>
        </w:rPr>
        <w:t>adequately support the actuarial information provided in Part I</w:t>
      </w:r>
      <w:r w:rsidR="00664174" w:rsidRPr="00472A52">
        <w:rPr>
          <w:rFonts w:ascii="Times New Roman" w:hAnsi="Times New Roman"/>
          <w:sz w:val="24"/>
          <w:szCs w:val="24"/>
        </w:rPr>
        <w:t xml:space="preserve">. </w:t>
      </w:r>
      <w:r w:rsidR="00717763" w:rsidRPr="00472A52">
        <w:rPr>
          <w:rFonts w:ascii="Times New Roman" w:hAnsi="Times New Roman"/>
          <w:sz w:val="24"/>
          <w:szCs w:val="24"/>
        </w:rPr>
        <w:t xml:space="preserve"> </w:t>
      </w:r>
    </w:p>
    <w:p w:rsidR="000F01BB" w:rsidRPr="00472A52" w:rsidRDefault="000F01BB" w:rsidP="009D23CD">
      <w:pPr>
        <w:pStyle w:val="NoSpacing"/>
        <w:rPr>
          <w:rFonts w:ascii="Times New Roman" w:hAnsi="Times New Roman"/>
          <w:sz w:val="24"/>
          <w:szCs w:val="24"/>
        </w:rPr>
      </w:pPr>
    </w:p>
    <w:p w:rsidR="000F01BB" w:rsidRPr="00472A52" w:rsidRDefault="000F01BB" w:rsidP="009D23CD">
      <w:pPr>
        <w:pStyle w:val="NoSpacing"/>
        <w:rPr>
          <w:rFonts w:ascii="Times New Roman" w:hAnsi="Times New Roman"/>
          <w:sz w:val="24"/>
          <w:szCs w:val="24"/>
        </w:rPr>
      </w:pPr>
      <w:r w:rsidRPr="00472A52">
        <w:rPr>
          <w:rFonts w:ascii="Times New Roman" w:hAnsi="Times New Roman"/>
          <w:sz w:val="24"/>
          <w:szCs w:val="24"/>
        </w:rPr>
        <w:t xml:space="preserve">In addition to effective rate review, Financial Management and Exchange QHP will utilize the information in the actuarial memorandum to conduct their business. </w:t>
      </w:r>
    </w:p>
    <w:p w:rsidR="00776659" w:rsidRPr="00472A52" w:rsidRDefault="00776659" w:rsidP="009D23CD">
      <w:pPr>
        <w:pStyle w:val="NoSpacing"/>
        <w:rPr>
          <w:rFonts w:ascii="Times New Roman" w:hAnsi="Times New Roman"/>
          <w:sz w:val="24"/>
          <w:szCs w:val="24"/>
        </w:rPr>
      </w:pPr>
      <w:r w:rsidRPr="00472A52">
        <w:rPr>
          <w:rFonts w:ascii="Times New Roman" w:hAnsi="Times New Roman"/>
          <w:sz w:val="24"/>
          <w:szCs w:val="24"/>
        </w:rPr>
        <w:t xml:space="preserve"> </w:t>
      </w:r>
    </w:p>
    <w:p w:rsidR="00300C52" w:rsidRPr="00472A52" w:rsidRDefault="00300C52" w:rsidP="009D23CD">
      <w:pPr>
        <w:pStyle w:val="Heading3"/>
        <w:spacing w:line="240" w:lineRule="auto"/>
      </w:pPr>
      <w:r w:rsidRPr="00472A52">
        <w:t xml:space="preserve">3. </w:t>
      </w:r>
      <w:r w:rsidR="001B0207" w:rsidRPr="00472A52">
        <w:t>Use of Information Technology</w:t>
      </w:r>
    </w:p>
    <w:p w:rsidR="00301F50" w:rsidRPr="00472A52" w:rsidRDefault="001B0207" w:rsidP="0054236A">
      <w:pPr>
        <w:rPr>
          <w:sz w:val="24"/>
          <w:szCs w:val="24"/>
        </w:rPr>
      </w:pPr>
      <w:r w:rsidRPr="00472A52">
        <w:rPr>
          <w:sz w:val="24"/>
          <w:szCs w:val="24"/>
        </w:rPr>
        <w:t xml:space="preserve">Health insurance issuers and </w:t>
      </w:r>
      <w:r w:rsidR="00FE77F9" w:rsidRPr="00472A52">
        <w:rPr>
          <w:sz w:val="24"/>
          <w:szCs w:val="24"/>
        </w:rPr>
        <w:t>state</w:t>
      </w:r>
      <w:r w:rsidRPr="00472A52">
        <w:rPr>
          <w:sz w:val="24"/>
          <w:szCs w:val="24"/>
        </w:rPr>
        <w:t xml:space="preserve">s will provide rate review information via the Health Insurance Oversight System (HIOS)—a web-based data collection system that </w:t>
      </w:r>
      <w:r w:rsidR="00521AD5" w:rsidRPr="00472A52">
        <w:rPr>
          <w:sz w:val="24"/>
          <w:szCs w:val="24"/>
        </w:rPr>
        <w:t xml:space="preserve">is </w:t>
      </w:r>
      <w:r w:rsidRPr="00472A52">
        <w:rPr>
          <w:sz w:val="24"/>
          <w:szCs w:val="24"/>
        </w:rPr>
        <w:t xml:space="preserve">already being used by </w:t>
      </w:r>
      <w:r w:rsidR="00FE77F9" w:rsidRPr="00472A52">
        <w:rPr>
          <w:sz w:val="24"/>
          <w:szCs w:val="24"/>
        </w:rPr>
        <w:t>state</w:t>
      </w:r>
      <w:r w:rsidRPr="00472A52">
        <w:rPr>
          <w:sz w:val="24"/>
          <w:szCs w:val="24"/>
        </w:rPr>
        <w:t>s and issuers to provide information for the healthcare.gov website</w:t>
      </w:r>
      <w:r w:rsidR="00390B9F" w:rsidRPr="00472A52">
        <w:rPr>
          <w:sz w:val="24"/>
          <w:szCs w:val="24"/>
        </w:rPr>
        <w:t xml:space="preserve"> (additional PRA-related information regarding HIOS is provided </w:t>
      </w:r>
      <w:r w:rsidR="001E293D" w:rsidRPr="00472A52">
        <w:rPr>
          <w:sz w:val="24"/>
          <w:szCs w:val="24"/>
        </w:rPr>
        <w:t xml:space="preserve">in the Web Portal PRA package </w:t>
      </w:r>
      <w:r w:rsidR="008A0B0A" w:rsidRPr="00472A52">
        <w:rPr>
          <w:sz w:val="24"/>
          <w:szCs w:val="24"/>
        </w:rPr>
        <w:t>(0938-1086)</w:t>
      </w:r>
      <w:r w:rsidR="00390B9F" w:rsidRPr="00472A52">
        <w:rPr>
          <w:sz w:val="24"/>
          <w:szCs w:val="24"/>
        </w:rPr>
        <w:t>)</w:t>
      </w:r>
      <w:r w:rsidR="00537D8B" w:rsidRPr="00472A52">
        <w:rPr>
          <w:sz w:val="24"/>
          <w:szCs w:val="24"/>
        </w:rPr>
        <w:t xml:space="preserve"> including all current rate review submissions exceeding the review threshold since September 1, 2011</w:t>
      </w:r>
      <w:r w:rsidRPr="00472A52">
        <w:rPr>
          <w:sz w:val="24"/>
          <w:szCs w:val="24"/>
        </w:rPr>
        <w:t>.  All data submissions will be made electronically and no paper submissions are required.</w:t>
      </w:r>
    </w:p>
    <w:p w:rsidR="00390B9F" w:rsidRPr="00472A52" w:rsidRDefault="00390B9F" w:rsidP="0054236A">
      <w:pPr>
        <w:rPr>
          <w:sz w:val="24"/>
          <w:szCs w:val="24"/>
        </w:rPr>
      </w:pPr>
    </w:p>
    <w:p w:rsidR="00065C83" w:rsidRPr="00472A52" w:rsidRDefault="00697112" w:rsidP="0054236A">
      <w:pPr>
        <w:rPr>
          <w:sz w:val="24"/>
          <w:szCs w:val="24"/>
        </w:rPr>
      </w:pPr>
      <w:r w:rsidRPr="00472A52">
        <w:rPr>
          <w:sz w:val="24"/>
          <w:szCs w:val="24"/>
        </w:rPr>
        <w:t xml:space="preserve">Issuers and </w:t>
      </w:r>
      <w:r w:rsidR="00FE77F9" w:rsidRPr="00472A52">
        <w:rPr>
          <w:sz w:val="24"/>
          <w:szCs w:val="24"/>
        </w:rPr>
        <w:t>state</w:t>
      </w:r>
      <w:r w:rsidRPr="00472A52">
        <w:rPr>
          <w:sz w:val="24"/>
          <w:szCs w:val="24"/>
        </w:rPr>
        <w:t xml:space="preserve">s will </w:t>
      </w:r>
      <w:r w:rsidR="00537D8B" w:rsidRPr="00472A52">
        <w:rPr>
          <w:sz w:val="24"/>
          <w:szCs w:val="24"/>
        </w:rPr>
        <w:t xml:space="preserve">continue to </w:t>
      </w:r>
      <w:r w:rsidRPr="00472A52">
        <w:rPr>
          <w:sz w:val="24"/>
          <w:szCs w:val="24"/>
        </w:rPr>
        <w:t>use HIOS to</w:t>
      </w:r>
      <w:r w:rsidR="00F35911" w:rsidRPr="00472A52">
        <w:rPr>
          <w:sz w:val="24"/>
          <w:szCs w:val="24"/>
        </w:rPr>
        <w:t xml:space="preserve"> upload</w:t>
      </w:r>
      <w:r w:rsidRPr="00472A52">
        <w:rPr>
          <w:sz w:val="24"/>
          <w:szCs w:val="24"/>
        </w:rPr>
        <w:t xml:space="preserve"> their</w:t>
      </w:r>
      <w:r w:rsidR="00F35911" w:rsidRPr="00472A52">
        <w:rPr>
          <w:sz w:val="24"/>
          <w:szCs w:val="24"/>
        </w:rPr>
        <w:t xml:space="preserve"> rate rev</w:t>
      </w:r>
      <w:r w:rsidRPr="00472A52">
        <w:rPr>
          <w:sz w:val="24"/>
          <w:szCs w:val="24"/>
        </w:rPr>
        <w:t xml:space="preserve">iew reporting submissions (these submissions are described in detail below).  The burden estimates provided in this Statement include the time and effort that will be dedicated to uploading information in HIOS.  For example, the </w:t>
      </w:r>
      <w:r w:rsidR="00732642" w:rsidRPr="00472A52">
        <w:rPr>
          <w:sz w:val="24"/>
          <w:szCs w:val="24"/>
        </w:rPr>
        <w:t>11</w:t>
      </w:r>
      <w:r w:rsidR="00B92161" w:rsidRPr="00472A52">
        <w:rPr>
          <w:sz w:val="24"/>
          <w:szCs w:val="24"/>
        </w:rPr>
        <w:t xml:space="preserve"> h</w:t>
      </w:r>
      <w:r w:rsidRPr="00472A52">
        <w:rPr>
          <w:sz w:val="24"/>
          <w:szCs w:val="24"/>
        </w:rPr>
        <w:t xml:space="preserve">our issuer burden estimate for completing and submitting the </w:t>
      </w:r>
      <w:r w:rsidR="00FE5E08">
        <w:rPr>
          <w:sz w:val="24"/>
          <w:szCs w:val="24"/>
        </w:rPr>
        <w:t>Rate Filing J</w:t>
      </w:r>
      <w:r w:rsidRPr="00472A52">
        <w:rPr>
          <w:sz w:val="24"/>
          <w:szCs w:val="24"/>
        </w:rPr>
        <w:t>ustification includes the time associated with uploading the record in HIOS (2-3 minutes).</w:t>
      </w:r>
    </w:p>
    <w:p w:rsidR="00B92161" w:rsidRPr="00472A52" w:rsidRDefault="00B92161" w:rsidP="0054236A">
      <w:pPr>
        <w:rPr>
          <w:color w:val="1F497D"/>
          <w:sz w:val="24"/>
          <w:szCs w:val="24"/>
        </w:rPr>
      </w:pPr>
    </w:p>
    <w:p w:rsidR="00F35911" w:rsidRPr="00472A52" w:rsidRDefault="00065C83" w:rsidP="0054236A">
      <w:pPr>
        <w:rPr>
          <w:sz w:val="24"/>
          <w:szCs w:val="24"/>
        </w:rPr>
      </w:pPr>
      <w:r w:rsidRPr="00472A52">
        <w:rPr>
          <w:sz w:val="24"/>
          <w:szCs w:val="24"/>
        </w:rPr>
        <w:t>The</w:t>
      </w:r>
      <w:r w:rsidR="00F35911" w:rsidRPr="00472A52">
        <w:rPr>
          <w:sz w:val="24"/>
          <w:szCs w:val="24"/>
        </w:rPr>
        <w:t xml:space="preserve"> rate review information that is uploaded</w:t>
      </w:r>
      <w:r w:rsidRPr="00472A52">
        <w:rPr>
          <w:sz w:val="24"/>
          <w:szCs w:val="24"/>
        </w:rPr>
        <w:t xml:space="preserve"> and stored</w:t>
      </w:r>
      <w:r w:rsidR="00F35911" w:rsidRPr="00472A52">
        <w:rPr>
          <w:sz w:val="24"/>
          <w:szCs w:val="24"/>
        </w:rPr>
        <w:t xml:space="preserve"> in H</w:t>
      </w:r>
      <w:r w:rsidRPr="00472A52">
        <w:rPr>
          <w:sz w:val="24"/>
          <w:szCs w:val="24"/>
        </w:rPr>
        <w:t xml:space="preserve">IOS will </w:t>
      </w:r>
      <w:r w:rsidR="00537D8B" w:rsidRPr="00472A52">
        <w:rPr>
          <w:sz w:val="24"/>
          <w:szCs w:val="24"/>
        </w:rPr>
        <w:t xml:space="preserve">also </w:t>
      </w:r>
      <w:r w:rsidRPr="00472A52">
        <w:rPr>
          <w:sz w:val="24"/>
          <w:szCs w:val="24"/>
        </w:rPr>
        <w:t>be used to provide consumer</w:t>
      </w:r>
      <w:r w:rsidR="001E293D" w:rsidRPr="00472A52">
        <w:rPr>
          <w:sz w:val="24"/>
          <w:szCs w:val="24"/>
        </w:rPr>
        <w:t xml:space="preserve">-oriented </w:t>
      </w:r>
      <w:r w:rsidRPr="00472A52">
        <w:rPr>
          <w:sz w:val="24"/>
          <w:szCs w:val="24"/>
        </w:rPr>
        <w:t xml:space="preserve">information about rate increases on the Healthcare.gov website.  </w:t>
      </w:r>
    </w:p>
    <w:p w:rsidR="00D00846" w:rsidRPr="00472A52" w:rsidRDefault="00D00846" w:rsidP="0054236A">
      <w:pPr>
        <w:rPr>
          <w:sz w:val="24"/>
          <w:szCs w:val="24"/>
        </w:rPr>
      </w:pPr>
    </w:p>
    <w:p w:rsidR="00300C52" w:rsidRPr="00472A52" w:rsidRDefault="00300C52" w:rsidP="009D23CD">
      <w:pPr>
        <w:pStyle w:val="Heading3"/>
        <w:spacing w:line="240" w:lineRule="auto"/>
      </w:pPr>
      <w:r w:rsidRPr="00472A52">
        <w:t>4. Duplication of Similar Information</w:t>
      </w:r>
    </w:p>
    <w:p w:rsidR="00300C52" w:rsidRPr="00472A52" w:rsidRDefault="00300C52" w:rsidP="0054236A">
      <w:pPr>
        <w:rPr>
          <w:sz w:val="24"/>
          <w:szCs w:val="24"/>
        </w:rPr>
      </w:pPr>
      <w:r w:rsidRPr="00472A52">
        <w:rPr>
          <w:sz w:val="24"/>
          <w:szCs w:val="24"/>
        </w:rPr>
        <w:t xml:space="preserve">This is a </w:t>
      </w:r>
      <w:r w:rsidR="00537D8B" w:rsidRPr="00472A52">
        <w:rPr>
          <w:sz w:val="24"/>
          <w:szCs w:val="24"/>
        </w:rPr>
        <w:t xml:space="preserve">change to an existing data </w:t>
      </w:r>
      <w:r w:rsidRPr="00472A52">
        <w:rPr>
          <w:sz w:val="24"/>
          <w:szCs w:val="24"/>
        </w:rPr>
        <w:t xml:space="preserve">collection required in </w:t>
      </w:r>
      <w:r w:rsidR="00C57A8D" w:rsidRPr="00472A52">
        <w:rPr>
          <w:sz w:val="24"/>
          <w:szCs w:val="24"/>
        </w:rPr>
        <w:t>the Affordable Care Act</w:t>
      </w:r>
      <w:r w:rsidRPr="00472A52">
        <w:rPr>
          <w:sz w:val="24"/>
          <w:szCs w:val="24"/>
        </w:rPr>
        <w:t>.</w:t>
      </w:r>
      <w:r w:rsidR="0021194A" w:rsidRPr="00472A52">
        <w:rPr>
          <w:sz w:val="24"/>
          <w:szCs w:val="24"/>
        </w:rPr>
        <w:t xml:space="preserve"> It does not duplicate any other collection.</w:t>
      </w:r>
    </w:p>
    <w:p w:rsidR="0054236A" w:rsidRPr="00472A52" w:rsidRDefault="0054236A" w:rsidP="0054236A">
      <w:pPr>
        <w:rPr>
          <w:sz w:val="24"/>
          <w:szCs w:val="24"/>
        </w:rPr>
      </w:pPr>
    </w:p>
    <w:p w:rsidR="00300C52" w:rsidRPr="00472A52" w:rsidRDefault="00300C52" w:rsidP="009D23CD">
      <w:pPr>
        <w:pStyle w:val="BodyText"/>
        <w:spacing w:line="240" w:lineRule="auto"/>
        <w:rPr>
          <w:b/>
          <w:u w:val="single"/>
        </w:rPr>
      </w:pPr>
      <w:r w:rsidRPr="00472A52">
        <w:rPr>
          <w:b/>
          <w:u w:val="single"/>
        </w:rPr>
        <w:t>5. Small Businesses</w:t>
      </w:r>
    </w:p>
    <w:p w:rsidR="00967CD9" w:rsidRPr="00472A52" w:rsidRDefault="00967CD9" w:rsidP="0054236A">
      <w:pPr>
        <w:rPr>
          <w:sz w:val="24"/>
          <w:szCs w:val="24"/>
        </w:rPr>
      </w:pPr>
      <w:r w:rsidRPr="00472A52">
        <w:rPr>
          <w:sz w:val="24"/>
          <w:szCs w:val="24"/>
        </w:rPr>
        <w:t>Small businesses are not affected by this collection.  The Excel format of the rate review notification form is a common business application</w:t>
      </w:r>
      <w:r w:rsidR="002A108B" w:rsidRPr="00472A52">
        <w:rPr>
          <w:sz w:val="24"/>
          <w:szCs w:val="24"/>
        </w:rPr>
        <w:t xml:space="preserve"> </w:t>
      </w:r>
      <w:r w:rsidR="0021194A" w:rsidRPr="00472A52">
        <w:rPr>
          <w:sz w:val="24"/>
          <w:szCs w:val="24"/>
        </w:rPr>
        <w:t>and</w:t>
      </w:r>
      <w:r w:rsidRPr="00472A52">
        <w:rPr>
          <w:sz w:val="24"/>
          <w:szCs w:val="24"/>
        </w:rPr>
        <w:t xml:space="preserve"> </w:t>
      </w:r>
      <w:r w:rsidR="0021194A" w:rsidRPr="00472A52">
        <w:rPr>
          <w:sz w:val="24"/>
          <w:szCs w:val="24"/>
        </w:rPr>
        <w:t>n</w:t>
      </w:r>
      <w:r w:rsidRPr="00472A52">
        <w:rPr>
          <w:sz w:val="24"/>
          <w:szCs w:val="24"/>
        </w:rPr>
        <w:t xml:space="preserve">o capital costs are required for this effort.  The electronic submission of information </w:t>
      </w:r>
      <w:r w:rsidR="0021194A" w:rsidRPr="00472A52">
        <w:rPr>
          <w:sz w:val="24"/>
          <w:szCs w:val="24"/>
        </w:rPr>
        <w:t xml:space="preserve">also </w:t>
      </w:r>
      <w:r w:rsidRPr="00472A52">
        <w:rPr>
          <w:sz w:val="24"/>
          <w:szCs w:val="24"/>
        </w:rPr>
        <w:t xml:space="preserve">should ease </w:t>
      </w:r>
      <w:r w:rsidR="0021194A" w:rsidRPr="00472A52">
        <w:rPr>
          <w:sz w:val="24"/>
          <w:szCs w:val="24"/>
        </w:rPr>
        <w:t xml:space="preserve">any </w:t>
      </w:r>
      <w:r w:rsidRPr="00472A52">
        <w:rPr>
          <w:sz w:val="24"/>
          <w:szCs w:val="24"/>
        </w:rPr>
        <w:t xml:space="preserve">burden </w:t>
      </w:r>
      <w:r w:rsidR="0021194A" w:rsidRPr="00472A52">
        <w:rPr>
          <w:sz w:val="24"/>
          <w:szCs w:val="24"/>
        </w:rPr>
        <w:t>imposed by the requirement</w:t>
      </w:r>
      <w:r w:rsidRPr="00472A52">
        <w:rPr>
          <w:sz w:val="24"/>
          <w:szCs w:val="24"/>
        </w:rPr>
        <w:t xml:space="preserve">.  The information used to populate the </w:t>
      </w:r>
      <w:r w:rsidR="00CA7EB2">
        <w:rPr>
          <w:sz w:val="24"/>
          <w:szCs w:val="24"/>
        </w:rPr>
        <w:t>Rate Filing Justification</w:t>
      </w:r>
      <w:r w:rsidRPr="00472A52">
        <w:rPr>
          <w:sz w:val="24"/>
          <w:szCs w:val="24"/>
        </w:rPr>
        <w:t xml:space="preserve"> format is readily available </w:t>
      </w:r>
      <w:r w:rsidR="0021194A" w:rsidRPr="00472A52">
        <w:rPr>
          <w:sz w:val="24"/>
          <w:szCs w:val="24"/>
        </w:rPr>
        <w:t xml:space="preserve">to issuers, as it is </w:t>
      </w:r>
      <w:r w:rsidRPr="00472A52">
        <w:rPr>
          <w:sz w:val="24"/>
          <w:szCs w:val="24"/>
        </w:rPr>
        <w:t xml:space="preserve">used to develop premium rates.  Finally, health insurance </w:t>
      </w:r>
      <w:r w:rsidR="00190413" w:rsidRPr="00472A52">
        <w:rPr>
          <w:sz w:val="24"/>
          <w:szCs w:val="24"/>
        </w:rPr>
        <w:t>issuers</w:t>
      </w:r>
      <w:r w:rsidRPr="00472A52">
        <w:rPr>
          <w:sz w:val="24"/>
          <w:szCs w:val="24"/>
        </w:rPr>
        <w:t xml:space="preserve"> are </w:t>
      </w:r>
      <w:r w:rsidR="00DC1A3D">
        <w:rPr>
          <w:sz w:val="24"/>
          <w:szCs w:val="24"/>
        </w:rPr>
        <w:t xml:space="preserve">generally </w:t>
      </w:r>
      <w:r w:rsidRPr="00472A52">
        <w:rPr>
          <w:sz w:val="24"/>
          <w:szCs w:val="24"/>
        </w:rPr>
        <w:t>not small businesses</w:t>
      </w:r>
      <w:r w:rsidR="0021194A" w:rsidRPr="00472A52">
        <w:rPr>
          <w:sz w:val="24"/>
          <w:szCs w:val="24"/>
        </w:rPr>
        <w:t>, so s</w:t>
      </w:r>
      <w:r w:rsidRPr="00472A52">
        <w:rPr>
          <w:sz w:val="24"/>
          <w:szCs w:val="24"/>
        </w:rPr>
        <w:t xml:space="preserve">mall businesses are not affected by this collection.  </w:t>
      </w:r>
    </w:p>
    <w:p w:rsidR="0054236A" w:rsidRPr="00472A52" w:rsidRDefault="0054236A" w:rsidP="0054236A">
      <w:pPr>
        <w:rPr>
          <w:sz w:val="24"/>
          <w:szCs w:val="24"/>
        </w:rPr>
      </w:pPr>
    </w:p>
    <w:p w:rsidR="00006D93" w:rsidRPr="00472A52" w:rsidRDefault="00300C52" w:rsidP="00006D93">
      <w:pPr>
        <w:pStyle w:val="BodyText"/>
        <w:spacing w:line="240" w:lineRule="auto"/>
        <w:rPr>
          <w:b/>
          <w:u w:val="single"/>
        </w:rPr>
      </w:pPr>
      <w:r w:rsidRPr="00472A52">
        <w:rPr>
          <w:b/>
        </w:rPr>
        <w:t>6.</w:t>
      </w:r>
      <w:r w:rsidRPr="00472A52">
        <w:t xml:space="preserve"> </w:t>
      </w:r>
      <w:r w:rsidRPr="00472A52">
        <w:rPr>
          <w:b/>
          <w:u w:val="single"/>
        </w:rPr>
        <w:t>Less Frequent Collection</w:t>
      </w:r>
    </w:p>
    <w:p w:rsidR="00006D93" w:rsidRPr="00472A52" w:rsidRDefault="00300C52" w:rsidP="0054236A">
      <w:pPr>
        <w:rPr>
          <w:sz w:val="24"/>
          <w:szCs w:val="24"/>
        </w:rPr>
      </w:pPr>
      <w:r w:rsidRPr="00472A52">
        <w:rPr>
          <w:sz w:val="24"/>
          <w:szCs w:val="24"/>
        </w:rPr>
        <w:t>Health</w:t>
      </w:r>
      <w:r w:rsidR="00006D93" w:rsidRPr="00472A52">
        <w:rPr>
          <w:sz w:val="24"/>
          <w:szCs w:val="24"/>
        </w:rPr>
        <w:t xml:space="preserve"> insurance issuers must provide the </w:t>
      </w:r>
      <w:r w:rsidR="007D2058" w:rsidRPr="00472A52">
        <w:rPr>
          <w:sz w:val="24"/>
          <w:szCs w:val="24"/>
        </w:rPr>
        <w:t>Rate Filing</w:t>
      </w:r>
      <w:r w:rsidR="00006D93" w:rsidRPr="00472A52">
        <w:rPr>
          <w:sz w:val="24"/>
          <w:szCs w:val="24"/>
        </w:rPr>
        <w:t xml:space="preserve"> Justification prior to implementing </w:t>
      </w:r>
      <w:r w:rsidR="0021194A" w:rsidRPr="00472A52">
        <w:rPr>
          <w:sz w:val="24"/>
          <w:szCs w:val="24"/>
        </w:rPr>
        <w:t>any</w:t>
      </w:r>
      <w:r w:rsidR="00006D93" w:rsidRPr="00472A52">
        <w:rPr>
          <w:sz w:val="24"/>
          <w:szCs w:val="24"/>
        </w:rPr>
        <w:t xml:space="preserve"> proposed rate increase.  Issuers may not deviate from this collection schedule or provide the information on a less frequent basis given the time-sensitive nature of the information that is provided (the statute requires health insurance issuers to provide justifications for rate increases prior to implementation).</w:t>
      </w:r>
      <w:r w:rsidR="00537D8B" w:rsidRPr="00472A52">
        <w:rPr>
          <w:sz w:val="24"/>
          <w:szCs w:val="24"/>
        </w:rPr>
        <w:t xml:space="preserve"> </w:t>
      </w:r>
    </w:p>
    <w:p w:rsidR="0054236A" w:rsidRPr="00472A52" w:rsidRDefault="0054236A" w:rsidP="0054236A">
      <w:pPr>
        <w:rPr>
          <w:sz w:val="24"/>
          <w:szCs w:val="24"/>
        </w:rPr>
      </w:pPr>
    </w:p>
    <w:p w:rsidR="00300C52" w:rsidRPr="00472A52" w:rsidRDefault="00300C52" w:rsidP="009D23CD">
      <w:pPr>
        <w:pStyle w:val="Heading3"/>
        <w:spacing w:line="240" w:lineRule="auto"/>
      </w:pPr>
      <w:r w:rsidRPr="00472A52">
        <w:t>7. Special Circumstances</w:t>
      </w:r>
    </w:p>
    <w:p w:rsidR="00006D93" w:rsidRPr="00472A52" w:rsidRDefault="00006D93" w:rsidP="009D23CD">
      <w:pPr>
        <w:pStyle w:val="Heading3"/>
        <w:spacing w:line="240" w:lineRule="auto"/>
        <w:rPr>
          <w:b w:val="0"/>
          <w:u w:val="none"/>
        </w:rPr>
      </w:pPr>
      <w:r w:rsidRPr="00472A52">
        <w:rPr>
          <w:b w:val="0"/>
          <w:u w:val="none"/>
        </w:rPr>
        <w:t>No special circumstances exist for this information collection.</w:t>
      </w:r>
    </w:p>
    <w:p w:rsidR="00300C52" w:rsidRPr="00472A52" w:rsidRDefault="00006D93" w:rsidP="009D23CD">
      <w:pPr>
        <w:pStyle w:val="Heading3"/>
        <w:spacing w:line="240" w:lineRule="auto"/>
      </w:pPr>
      <w:r w:rsidRPr="00472A52">
        <w:t xml:space="preserve"> </w:t>
      </w:r>
      <w:r w:rsidR="00300C52" w:rsidRPr="00472A52">
        <w:t>8. Federal Register Notice/Outside Consultation</w:t>
      </w:r>
    </w:p>
    <w:p w:rsidR="0035718F" w:rsidRDefault="00695616" w:rsidP="009D23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r w:rsidRPr="00472A52">
        <w:rPr>
          <w:iCs/>
          <w:sz w:val="24"/>
          <w:szCs w:val="24"/>
        </w:rPr>
        <w:t xml:space="preserve">The 60-day Federal Register notice </w:t>
      </w:r>
      <w:r w:rsidR="00473FF1">
        <w:rPr>
          <w:iCs/>
          <w:sz w:val="24"/>
          <w:szCs w:val="24"/>
        </w:rPr>
        <w:t>was published as</w:t>
      </w:r>
      <w:r w:rsidRPr="00472A52">
        <w:rPr>
          <w:iCs/>
          <w:sz w:val="24"/>
          <w:szCs w:val="24"/>
        </w:rPr>
        <w:t xml:space="preserve"> part of a notice of proposed rulemaking on </w:t>
      </w:r>
      <w:r w:rsidR="009A4C17" w:rsidRPr="00A27FC4">
        <w:rPr>
          <w:iCs/>
          <w:sz w:val="24"/>
          <w:szCs w:val="24"/>
        </w:rPr>
        <w:t xml:space="preserve">November </w:t>
      </w:r>
      <w:r w:rsidR="00473FF1" w:rsidRPr="00A27FC4">
        <w:rPr>
          <w:iCs/>
          <w:sz w:val="24"/>
          <w:szCs w:val="24"/>
        </w:rPr>
        <w:t>2</w:t>
      </w:r>
      <w:r w:rsidR="00473FF1">
        <w:rPr>
          <w:iCs/>
          <w:sz w:val="24"/>
          <w:szCs w:val="24"/>
        </w:rPr>
        <w:t>6</w:t>
      </w:r>
      <w:r w:rsidR="009A4C17" w:rsidRPr="00A27FC4">
        <w:rPr>
          <w:iCs/>
          <w:sz w:val="24"/>
          <w:szCs w:val="24"/>
        </w:rPr>
        <w:t>, 2012</w:t>
      </w:r>
      <w:r w:rsidR="00473FF1">
        <w:rPr>
          <w:iCs/>
          <w:sz w:val="24"/>
          <w:szCs w:val="24"/>
        </w:rPr>
        <w:t xml:space="preserve"> (77 FR 70584)</w:t>
      </w:r>
      <w:r w:rsidRPr="00A27FC4">
        <w:rPr>
          <w:iCs/>
          <w:sz w:val="24"/>
          <w:szCs w:val="24"/>
        </w:rPr>
        <w:t xml:space="preserve">. </w:t>
      </w:r>
    </w:p>
    <w:p w:rsidR="00473FF1" w:rsidRDefault="00473FF1" w:rsidP="009D23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p>
    <w:p w:rsidR="00473FF1" w:rsidRDefault="00473FF1" w:rsidP="009D23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r w:rsidRPr="00473FF1">
        <w:rPr>
          <w:iCs/>
          <w:sz w:val="24"/>
          <w:szCs w:val="24"/>
        </w:rPr>
        <w:t xml:space="preserve">A few commenters remarked that the costs related to rate review template submission have been underestimated.  An industry group also provided estimates of the number of submissions and related costs.  According to industry feedback received by CMS, the current rate review template being used requires only one to four hours of actuarial labor to complete.  The unified rate review template includes more data and we estimate that it would take an actuary 11 hours, on average, to complete.  Issuers will have to submit only one consolidated report for all their </w:t>
      </w:r>
      <w:r w:rsidRPr="00473FF1">
        <w:rPr>
          <w:iCs/>
          <w:sz w:val="24"/>
          <w:szCs w:val="24"/>
        </w:rPr>
        <w:lastRenderedPageBreak/>
        <w:t xml:space="preserve">products in a market, unlike the current template in use which requires a separate submission for each product.  </w:t>
      </w:r>
    </w:p>
    <w:p w:rsidR="00A914FA" w:rsidRDefault="00A914FA" w:rsidP="009D23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p>
    <w:p w:rsidR="00A914FA" w:rsidRDefault="00A914FA" w:rsidP="009D23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r w:rsidRPr="00A914FA">
        <w:rPr>
          <w:iCs/>
          <w:sz w:val="24"/>
          <w:szCs w:val="24"/>
        </w:rPr>
        <w:t xml:space="preserve">One commenter provided a range of anticipated costs </w:t>
      </w:r>
      <w:r>
        <w:rPr>
          <w:iCs/>
          <w:sz w:val="24"/>
          <w:szCs w:val="24"/>
        </w:rPr>
        <w:t xml:space="preserve">for systems changes </w:t>
      </w:r>
      <w:r w:rsidRPr="00A914FA">
        <w:rPr>
          <w:iCs/>
          <w:sz w:val="24"/>
          <w:szCs w:val="24"/>
        </w:rPr>
        <w:t>obtained from an industry survey.  However, we do not expect issuers to undertake major systems changes to prepare the rate review submissions.  Most of the data elements specified in the new template are currently captured by issuers and most of the changes will involve categorizing the data into new categories and aggregating the information to the market level.</w:t>
      </w:r>
    </w:p>
    <w:p w:rsidR="00A914FA" w:rsidRDefault="00A914FA" w:rsidP="009D23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p>
    <w:p w:rsidR="00695616" w:rsidRDefault="00A914FA" w:rsidP="009D23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r w:rsidRPr="00A914FA">
        <w:rPr>
          <w:iCs/>
          <w:sz w:val="24"/>
          <w:szCs w:val="24"/>
        </w:rPr>
        <w:t>Based on comments received and discussions with issuers and states, we have made changes to the proposed template to address concerns that have been raised.  We have both remove</w:t>
      </w:r>
      <w:r>
        <w:rPr>
          <w:iCs/>
          <w:sz w:val="24"/>
          <w:szCs w:val="24"/>
        </w:rPr>
        <w:t>d data elements from the unified</w:t>
      </w:r>
      <w:r w:rsidRPr="00A914FA">
        <w:rPr>
          <w:iCs/>
          <w:sz w:val="24"/>
          <w:szCs w:val="24"/>
        </w:rPr>
        <w:t xml:space="preserve"> rate review template and identified information that will be optional in the first two years of applicability.  We estimate that through these changes we have reduced the number of required data elements by approximately 45 percent, reducing issuer burden.  States may collect additional information above this baseline.  We expect that the unified rate review template will not significantly increase the burden on states or industry; rather, the data requested in the template will assist states and industry in complying with the market rules.  </w:t>
      </w:r>
    </w:p>
    <w:p w:rsidR="007900B1" w:rsidRDefault="007900B1" w:rsidP="009D23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r w:rsidRPr="007900B1">
        <w:rPr>
          <w:iCs/>
          <w:sz w:val="24"/>
          <w:szCs w:val="24"/>
        </w:rPr>
        <w:t xml:space="preserve">Some commenters expressed concern about the public release of information.  Commenters recommended disclosing only a minimal amount of information and that such disclosure not include confidential or proprietary information.  As mentioned in the preamble of the November 26, 2012 proposed rule, we will release only information collected that is determined not to include trade secrets and is approved for release under the Freedom of Information Act (FOIA).  In general, all information collected by HHS is subject to FOIA.  </w:t>
      </w:r>
      <w:r w:rsidR="00486FF1">
        <w:rPr>
          <w:iCs/>
          <w:sz w:val="24"/>
          <w:szCs w:val="24"/>
        </w:rPr>
        <w:t>To facilitate review i</w:t>
      </w:r>
      <w:r w:rsidRPr="007900B1">
        <w:rPr>
          <w:iCs/>
          <w:sz w:val="24"/>
          <w:szCs w:val="24"/>
        </w:rPr>
        <w:t xml:space="preserve">n accordance with the HHS’s FOIA implementing regulations at 45 CFR 5.65(c), health insurance issuers </w:t>
      </w:r>
      <w:r w:rsidR="00486FF1">
        <w:rPr>
          <w:iCs/>
          <w:sz w:val="24"/>
          <w:szCs w:val="24"/>
        </w:rPr>
        <w:t>must</w:t>
      </w:r>
      <w:r w:rsidR="00486FF1" w:rsidRPr="007900B1">
        <w:rPr>
          <w:iCs/>
          <w:sz w:val="24"/>
          <w:szCs w:val="24"/>
        </w:rPr>
        <w:t xml:space="preserve"> </w:t>
      </w:r>
      <w:r w:rsidRPr="007900B1">
        <w:rPr>
          <w:iCs/>
          <w:sz w:val="24"/>
          <w:szCs w:val="24"/>
        </w:rPr>
        <w:t xml:space="preserve">designate part or all of the information submitted as exempt from disclosure under Exemption 4 of the FOIA if the issuer believes the information is commercial or financial information that is confidential or privileged.  If there is a FOIA request, </w:t>
      </w:r>
      <w:r w:rsidR="00486FF1">
        <w:rPr>
          <w:iCs/>
          <w:sz w:val="24"/>
          <w:szCs w:val="24"/>
        </w:rPr>
        <w:t>the redacted information may be used to assist HHS in complying with</w:t>
      </w:r>
      <w:r w:rsidRPr="007900B1">
        <w:rPr>
          <w:iCs/>
          <w:sz w:val="24"/>
          <w:szCs w:val="24"/>
        </w:rPr>
        <w:t xml:space="preserve"> the pre-disclosure notification procedures found at 45 CFR 5.65(d) through (e) to seek issuer input on the applicability of Exemption 4 before disclosure is made.  If the information has previously been published or made generally available to the public, it will not be considered confidential or privileged for purposes of Exemption 4.  In addition, as discussed in section II.E.1.a. of the preamble, issuers will set their index rates and plan-specific pricing once per year upon filing their rates with state insurance departments, and information would only be released after the QHP submission process.  Accordingly, we believe that public disclosure of certain rate review information will not undermine competitive market dynamics.</w:t>
      </w:r>
    </w:p>
    <w:p w:rsidR="007900B1" w:rsidRPr="00472A52" w:rsidRDefault="007900B1" w:rsidP="009D23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00300C52" w:rsidRPr="00472A52" w:rsidRDefault="00C57A8D" w:rsidP="009D23CD">
      <w:pPr>
        <w:pStyle w:val="Heading3"/>
        <w:spacing w:line="240" w:lineRule="auto"/>
      </w:pPr>
      <w:r w:rsidRPr="00472A52">
        <w:t xml:space="preserve">9. Payments/Gifts </w:t>
      </w:r>
      <w:r w:rsidR="00300C52" w:rsidRPr="00472A52">
        <w:t>To Respondents</w:t>
      </w:r>
    </w:p>
    <w:p w:rsidR="00006D93" w:rsidRPr="00472A52" w:rsidRDefault="00300C52" w:rsidP="00006D93">
      <w:pPr>
        <w:pStyle w:val="BodyText"/>
        <w:spacing w:line="240" w:lineRule="auto"/>
      </w:pPr>
      <w:r w:rsidRPr="00472A52">
        <w:t xml:space="preserve">There will be no payments or gifts to respondents. </w:t>
      </w:r>
    </w:p>
    <w:p w:rsidR="00300C52" w:rsidRPr="00472A52" w:rsidRDefault="00300C52" w:rsidP="00006D93">
      <w:pPr>
        <w:pStyle w:val="BodyText"/>
        <w:spacing w:line="240" w:lineRule="auto"/>
        <w:rPr>
          <w:b/>
          <w:u w:val="single"/>
        </w:rPr>
      </w:pPr>
      <w:r w:rsidRPr="00472A52">
        <w:rPr>
          <w:b/>
          <w:u w:val="single"/>
        </w:rPr>
        <w:t>10. Confidentiality</w:t>
      </w:r>
    </w:p>
    <w:p w:rsidR="003837C6" w:rsidRPr="00472A52" w:rsidRDefault="003837C6" w:rsidP="003837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472A52">
        <w:rPr>
          <w:bCs/>
          <w:sz w:val="24"/>
          <w:szCs w:val="24"/>
        </w:rPr>
        <w:t xml:space="preserve">CMS will make available to the public on its website the information contained in each </w:t>
      </w:r>
      <w:r w:rsidR="00711B44" w:rsidRPr="00472A52">
        <w:rPr>
          <w:sz w:val="24"/>
          <w:szCs w:val="24"/>
        </w:rPr>
        <w:t>Rate Filing</w:t>
      </w:r>
      <w:r w:rsidRPr="00472A52">
        <w:rPr>
          <w:bCs/>
          <w:sz w:val="24"/>
          <w:szCs w:val="24"/>
        </w:rPr>
        <w:t xml:space="preserve"> Justification that is not a trade secret or confidential commercial or financial information </w:t>
      </w:r>
      <w:r w:rsidR="00DC1A3D" w:rsidRPr="00DC1A3D">
        <w:rPr>
          <w:bCs/>
          <w:sz w:val="24"/>
          <w:szCs w:val="24"/>
        </w:rPr>
        <w:t>and is approved for release under the Freedom of Information Act</w:t>
      </w:r>
      <w:r w:rsidR="00297C44" w:rsidRPr="00472A52">
        <w:rPr>
          <w:bCs/>
          <w:sz w:val="24"/>
          <w:szCs w:val="24"/>
        </w:rPr>
        <w:t>.</w:t>
      </w:r>
    </w:p>
    <w:p w:rsidR="003837C6" w:rsidRPr="00472A52" w:rsidRDefault="003837C6" w:rsidP="003837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003837C6" w:rsidRPr="00472A52" w:rsidRDefault="00300C52" w:rsidP="003837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r w:rsidRPr="00472A52">
        <w:rPr>
          <w:b/>
          <w:bCs/>
          <w:sz w:val="24"/>
          <w:szCs w:val="24"/>
          <w:u w:val="single"/>
        </w:rPr>
        <w:lastRenderedPageBreak/>
        <w:t>11. Sensitive Questions</w:t>
      </w:r>
    </w:p>
    <w:p w:rsidR="003837C6" w:rsidRPr="00472A52" w:rsidRDefault="003837C6" w:rsidP="003837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p>
    <w:p w:rsidR="00006D93" w:rsidRPr="00472A52" w:rsidRDefault="00300C52" w:rsidP="00006D93">
      <w:pPr>
        <w:pStyle w:val="BodyText"/>
        <w:spacing w:line="240" w:lineRule="auto"/>
      </w:pPr>
      <w:r w:rsidRPr="00472A52">
        <w:t xml:space="preserve">There are no sensitive questions included in this collection effort.  </w:t>
      </w:r>
      <w:r w:rsidR="00F76DD9" w:rsidRPr="00472A52">
        <w:t>HHS</w:t>
      </w:r>
      <w:r w:rsidRPr="00472A52">
        <w:t xml:space="preserve"> does not propose to collect any private information.</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szCs w:val="24"/>
        </w:rPr>
      </w:pPr>
      <w:r w:rsidRPr="00472A52">
        <w:rPr>
          <w:b/>
          <w:sz w:val="24"/>
          <w:szCs w:val="24"/>
          <w:u w:val="single"/>
        </w:rPr>
        <w:t>12.</w:t>
      </w:r>
      <w:r w:rsidRPr="00472A52">
        <w:rPr>
          <w:b/>
          <w:sz w:val="24"/>
          <w:szCs w:val="24"/>
          <w:u w:val="single"/>
        </w:rPr>
        <w:tab/>
        <w:t>Burden Estimates (Hours &amp; Wages)</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06F9A" w:rsidRPr="00472A52" w:rsidRDefault="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472A52">
        <w:rPr>
          <w:b/>
          <w:sz w:val="24"/>
          <w:szCs w:val="24"/>
          <w:u w:val="single"/>
        </w:rPr>
        <w:t xml:space="preserve">Health Insurance Issuer Submission of </w:t>
      </w:r>
      <w:r w:rsidR="00711B44" w:rsidRPr="00472A52">
        <w:rPr>
          <w:b/>
          <w:sz w:val="24"/>
          <w:szCs w:val="24"/>
          <w:u w:val="single"/>
        </w:rPr>
        <w:t>Rate Filing</w:t>
      </w:r>
      <w:r w:rsidR="00D81DE9" w:rsidRPr="00472A52">
        <w:rPr>
          <w:b/>
          <w:sz w:val="24"/>
          <w:szCs w:val="24"/>
          <w:u w:val="single"/>
        </w:rPr>
        <w:t xml:space="preserve"> Justification </w:t>
      </w:r>
      <w:r w:rsidR="009F6451" w:rsidRPr="00472A52">
        <w:rPr>
          <w:b/>
          <w:sz w:val="24"/>
          <w:szCs w:val="24"/>
          <w:u w:val="single"/>
        </w:rPr>
        <w:t>(</w:t>
      </w:r>
      <w:r w:rsidRPr="00472A52">
        <w:rPr>
          <w:b/>
          <w:sz w:val="24"/>
          <w:szCs w:val="24"/>
          <w:u w:val="single"/>
        </w:rPr>
        <w:t>Rate Review Template</w:t>
      </w:r>
      <w:r w:rsidR="009F6451" w:rsidRPr="00472A52">
        <w:rPr>
          <w:b/>
          <w:sz w:val="24"/>
          <w:szCs w:val="24"/>
          <w:u w:val="single"/>
        </w:rPr>
        <w:t>)</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p>
    <w:p w:rsidR="00006F9A" w:rsidRPr="00472A52" w:rsidRDefault="004026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w:t>
      </w:r>
      <w:r w:rsidR="004C6709" w:rsidRPr="00472A52">
        <w:rPr>
          <w:sz w:val="24"/>
          <w:szCs w:val="24"/>
        </w:rPr>
        <w:t xml:space="preserve">ll health insurance issuers will be required to file information and data using the standardized rate review template for all rate increases for their products in the individual and small group markets.  Each issuer will now need to submit only one file for all their products in the same market.  Based on CMS’s experience with the 2011 MLR reporting year, there are 2010 </w:t>
      </w:r>
      <w:r w:rsidR="006026CF" w:rsidRPr="00472A52">
        <w:rPr>
          <w:sz w:val="24"/>
          <w:szCs w:val="24"/>
        </w:rPr>
        <w:t xml:space="preserve">health </w:t>
      </w:r>
      <w:r w:rsidR="004C6709" w:rsidRPr="00472A52">
        <w:rPr>
          <w:sz w:val="24"/>
          <w:szCs w:val="24"/>
        </w:rPr>
        <w:t xml:space="preserve">insurance </w:t>
      </w:r>
      <w:r w:rsidR="006026CF" w:rsidRPr="00472A52">
        <w:rPr>
          <w:sz w:val="24"/>
          <w:szCs w:val="24"/>
        </w:rPr>
        <w:t xml:space="preserve">issuers (company/state combinations) </w:t>
      </w:r>
      <w:r w:rsidR="004C6709" w:rsidRPr="00472A52">
        <w:rPr>
          <w:sz w:val="24"/>
          <w:szCs w:val="24"/>
        </w:rPr>
        <w:t>offering coverage in the individual market and 1,050 issuers offering coverage in the small group market</w:t>
      </w:r>
      <w:r w:rsidR="006026CF" w:rsidRPr="00472A52">
        <w:rPr>
          <w:sz w:val="24"/>
          <w:szCs w:val="24"/>
        </w:rPr>
        <w:t xml:space="preserve">, while there are 2,294 unique issuers offering products in one or both markets. </w:t>
      </w:r>
      <w:r w:rsidR="004C6709" w:rsidRPr="00472A52">
        <w:rPr>
          <w:sz w:val="24"/>
          <w:szCs w:val="24"/>
        </w:rPr>
        <w:t>Most issuers would already have to provide this information to their respective states.  However, using the same standardized template for both non-QHPs and QHPs would prevent significant duplication of effort for issuers.  Based on current experience, we estimate that each issuer</w:t>
      </w:r>
      <w:r w:rsidR="003A2650" w:rsidRPr="00472A52">
        <w:rPr>
          <w:sz w:val="24"/>
          <w:szCs w:val="24"/>
        </w:rPr>
        <w:t xml:space="preserve"> in a market</w:t>
      </w:r>
      <w:r w:rsidR="004C6709" w:rsidRPr="00472A52">
        <w:rPr>
          <w:sz w:val="24"/>
          <w:szCs w:val="24"/>
        </w:rPr>
        <w:t xml:space="preserve">, on average, will have 2.5 submissions each year and each submission will require </w:t>
      </w:r>
      <w:r w:rsidR="007068C9" w:rsidRPr="00472A52">
        <w:rPr>
          <w:sz w:val="24"/>
          <w:szCs w:val="24"/>
        </w:rPr>
        <w:t xml:space="preserve">11 </w:t>
      </w:r>
      <w:r w:rsidR="004C6709" w:rsidRPr="00472A52">
        <w:rPr>
          <w:sz w:val="24"/>
          <w:szCs w:val="24"/>
        </w:rPr>
        <w:t>hours of work by an actuary (at a cost of $225 per hour)</w:t>
      </w:r>
      <w:r w:rsidR="006026CF" w:rsidRPr="00472A52">
        <w:rPr>
          <w:sz w:val="24"/>
          <w:szCs w:val="24"/>
        </w:rPr>
        <w:t xml:space="preserve"> including minimal time required for recordkeeping</w:t>
      </w:r>
      <w:r w:rsidR="004C6709" w:rsidRPr="00472A52">
        <w:rPr>
          <w:sz w:val="24"/>
          <w:szCs w:val="24"/>
        </w:rPr>
        <w:t>. The burden per issuer</w:t>
      </w:r>
      <w:r w:rsidR="00F836FD" w:rsidRPr="00472A52">
        <w:rPr>
          <w:sz w:val="24"/>
          <w:szCs w:val="24"/>
        </w:rPr>
        <w:t xml:space="preserve"> in each market</w:t>
      </w:r>
      <w:r w:rsidR="004C6709" w:rsidRPr="00472A52">
        <w:rPr>
          <w:sz w:val="24"/>
          <w:szCs w:val="24"/>
        </w:rPr>
        <w:t xml:space="preserve"> is estimated to be </w:t>
      </w:r>
      <w:r w:rsidR="007068C9" w:rsidRPr="00472A52">
        <w:rPr>
          <w:sz w:val="24"/>
          <w:szCs w:val="24"/>
        </w:rPr>
        <w:t xml:space="preserve">27.5 hours </w:t>
      </w:r>
      <w:r w:rsidR="004C6709" w:rsidRPr="00472A52">
        <w:rPr>
          <w:sz w:val="24"/>
          <w:szCs w:val="24"/>
        </w:rPr>
        <w:t>and estimated cost per issuer</w:t>
      </w:r>
      <w:r w:rsidR="00F836FD" w:rsidRPr="00472A52">
        <w:rPr>
          <w:sz w:val="24"/>
          <w:szCs w:val="24"/>
        </w:rPr>
        <w:t xml:space="preserve"> in each market</w:t>
      </w:r>
      <w:r w:rsidR="004C6709" w:rsidRPr="00472A52">
        <w:rPr>
          <w:sz w:val="24"/>
          <w:szCs w:val="24"/>
        </w:rPr>
        <w:t xml:space="preserve"> is </w:t>
      </w:r>
      <w:r w:rsidR="00F836FD" w:rsidRPr="00472A52">
        <w:rPr>
          <w:sz w:val="24"/>
          <w:szCs w:val="24"/>
        </w:rPr>
        <w:t xml:space="preserve">an estimated </w:t>
      </w:r>
      <w:r w:rsidR="007068C9" w:rsidRPr="00472A52">
        <w:rPr>
          <w:sz w:val="24"/>
          <w:szCs w:val="24"/>
        </w:rPr>
        <w:t>$6,188</w:t>
      </w:r>
      <w:r w:rsidR="0061346F" w:rsidRPr="00472A52">
        <w:rPr>
          <w:sz w:val="24"/>
          <w:szCs w:val="24"/>
        </w:rPr>
        <w:t xml:space="preserve"> each year</w:t>
      </w:r>
      <w:r w:rsidR="004C6709" w:rsidRPr="00472A52">
        <w:rPr>
          <w:sz w:val="24"/>
          <w:szCs w:val="24"/>
        </w:rPr>
        <w:t xml:space="preserve">. The total annual burden and costs are estimated to be </w:t>
      </w:r>
      <w:r w:rsidR="00C90B7E" w:rsidRPr="00472A52">
        <w:rPr>
          <w:sz w:val="24"/>
          <w:szCs w:val="24"/>
        </w:rPr>
        <w:t>84,150</w:t>
      </w:r>
      <w:r w:rsidR="004C6709" w:rsidRPr="00472A52">
        <w:rPr>
          <w:sz w:val="24"/>
          <w:szCs w:val="24"/>
        </w:rPr>
        <w:t xml:space="preserve"> hours and </w:t>
      </w:r>
      <w:r w:rsidR="00D71C51" w:rsidRPr="00472A52">
        <w:rPr>
          <w:sz w:val="24"/>
          <w:szCs w:val="24"/>
        </w:rPr>
        <w:t xml:space="preserve">$18,933,750 </w:t>
      </w:r>
      <w:r w:rsidR="004C6709" w:rsidRPr="00472A52">
        <w:rPr>
          <w:sz w:val="24"/>
          <w:szCs w:val="24"/>
        </w:rPr>
        <w:t>respectively.  Details by market are summarized in the table below.</w:t>
      </w:r>
    </w:p>
    <w:p w:rsidR="00D00846" w:rsidRPr="00472A52" w:rsidRDefault="00D008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A024C" w:rsidRPr="00472A52" w:rsidRDefault="009E5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472A52">
        <w:rPr>
          <w:sz w:val="24"/>
          <w:szCs w:val="24"/>
          <w:u w:val="single"/>
        </w:rPr>
        <w:t>Table 1</w:t>
      </w:r>
      <w:r w:rsidR="00915DBA" w:rsidRPr="00472A52">
        <w:rPr>
          <w:sz w:val="24"/>
          <w:szCs w:val="24"/>
          <w:u w:val="single"/>
        </w:rPr>
        <w:t>2.1</w:t>
      </w:r>
      <w:r w:rsidRPr="00472A52">
        <w:rPr>
          <w:sz w:val="24"/>
          <w:szCs w:val="24"/>
          <w:u w:val="single"/>
        </w:rPr>
        <w:t xml:space="preserve"> </w:t>
      </w:r>
      <w:r w:rsidR="00D422A8" w:rsidRPr="00472A52">
        <w:rPr>
          <w:sz w:val="24"/>
          <w:szCs w:val="24"/>
          <w:u w:val="single"/>
        </w:rPr>
        <w:t>Estimated Annualized Burden Hours</w:t>
      </w:r>
      <w:r w:rsidR="0092693E" w:rsidRPr="00472A52">
        <w:rPr>
          <w:sz w:val="24"/>
          <w:szCs w:val="24"/>
          <w:u w:val="single"/>
        </w:rPr>
        <w:t xml:space="preserve"> and Costs</w:t>
      </w:r>
      <w:r w:rsidR="00D422A8" w:rsidRPr="00472A52">
        <w:rPr>
          <w:sz w:val="24"/>
          <w:szCs w:val="24"/>
          <w:u w:val="single"/>
        </w:rPr>
        <w:t xml:space="preserve"> for </w:t>
      </w:r>
      <w:r w:rsidR="00363C15" w:rsidRPr="00472A52">
        <w:rPr>
          <w:sz w:val="24"/>
          <w:szCs w:val="24"/>
          <w:u w:val="single"/>
        </w:rPr>
        <w:t>Rate Filing</w:t>
      </w:r>
      <w:r w:rsidRPr="00472A52">
        <w:rPr>
          <w:sz w:val="24"/>
          <w:szCs w:val="24"/>
          <w:u w:val="single"/>
        </w:rPr>
        <w:t xml:space="preserve"> Justification </w:t>
      </w:r>
    </w:p>
    <w:p w:rsidR="00D422A8" w:rsidRPr="00472A52" w:rsidRDefault="00D422A8"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p>
    <w:tbl>
      <w:tblPr>
        <w:tblW w:w="110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440"/>
        <w:gridCol w:w="1440"/>
        <w:gridCol w:w="1440"/>
        <w:gridCol w:w="1350"/>
        <w:gridCol w:w="1350"/>
        <w:gridCol w:w="1080"/>
        <w:gridCol w:w="1710"/>
      </w:tblGrid>
      <w:tr w:rsidR="009815B3" w:rsidRPr="00472A52" w:rsidTr="0029702B">
        <w:trPr>
          <w:trHeight w:val="1200"/>
        </w:trPr>
        <w:tc>
          <w:tcPr>
            <w:tcW w:w="1260" w:type="dxa"/>
            <w:vAlign w:val="bottom"/>
            <w:hideMark/>
          </w:tcPr>
          <w:p w:rsidR="004C6709" w:rsidRPr="00472A52" w:rsidRDefault="004C6709" w:rsidP="004C6709">
            <w:pPr>
              <w:widowControl/>
              <w:autoSpaceDE/>
              <w:autoSpaceDN/>
              <w:adjustRightInd/>
              <w:jc w:val="center"/>
              <w:rPr>
                <w:rFonts w:eastAsia="Calibri"/>
                <w:b/>
                <w:bCs/>
                <w:sz w:val="22"/>
                <w:szCs w:val="22"/>
              </w:rPr>
            </w:pPr>
          </w:p>
        </w:tc>
        <w:tc>
          <w:tcPr>
            <w:tcW w:w="1440" w:type="dxa"/>
            <w:vAlign w:val="bottom"/>
            <w:hideMark/>
          </w:tcPr>
          <w:p w:rsidR="004C6709" w:rsidRPr="00472A52" w:rsidRDefault="009E57E6" w:rsidP="004C6709">
            <w:pPr>
              <w:widowControl/>
              <w:autoSpaceDE/>
              <w:autoSpaceDN/>
              <w:adjustRightInd/>
              <w:jc w:val="center"/>
              <w:rPr>
                <w:rFonts w:eastAsia="Calibri"/>
                <w:b/>
                <w:bCs/>
                <w:sz w:val="22"/>
                <w:szCs w:val="22"/>
              </w:rPr>
            </w:pPr>
            <w:r w:rsidRPr="00472A52">
              <w:rPr>
                <w:rFonts w:eastAsia="Calibri"/>
                <w:b/>
                <w:bCs/>
                <w:sz w:val="22"/>
                <w:szCs w:val="22"/>
              </w:rPr>
              <w:t>Number of Respondents</w:t>
            </w:r>
          </w:p>
        </w:tc>
        <w:tc>
          <w:tcPr>
            <w:tcW w:w="1440" w:type="dxa"/>
            <w:vAlign w:val="bottom"/>
            <w:hideMark/>
          </w:tcPr>
          <w:p w:rsidR="004C6709" w:rsidRPr="00472A52" w:rsidRDefault="009E57E6" w:rsidP="004C6709">
            <w:pPr>
              <w:widowControl/>
              <w:autoSpaceDE/>
              <w:autoSpaceDN/>
              <w:adjustRightInd/>
              <w:jc w:val="center"/>
              <w:rPr>
                <w:rFonts w:eastAsia="Calibri"/>
                <w:b/>
                <w:bCs/>
                <w:sz w:val="22"/>
                <w:szCs w:val="22"/>
              </w:rPr>
            </w:pPr>
            <w:r w:rsidRPr="00472A52">
              <w:rPr>
                <w:rFonts w:eastAsia="Calibri"/>
                <w:b/>
                <w:bCs/>
                <w:sz w:val="22"/>
                <w:szCs w:val="22"/>
              </w:rPr>
              <w:t>Number of Submissions per Respondent</w:t>
            </w:r>
          </w:p>
        </w:tc>
        <w:tc>
          <w:tcPr>
            <w:tcW w:w="1440" w:type="dxa"/>
            <w:vAlign w:val="bottom"/>
            <w:hideMark/>
          </w:tcPr>
          <w:p w:rsidR="004C6709" w:rsidRPr="00472A52" w:rsidRDefault="009E57E6" w:rsidP="004C6709">
            <w:pPr>
              <w:widowControl/>
              <w:autoSpaceDE/>
              <w:autoSpaceDN/>
              <w:adjustRightInd/>
              <w:jc w:val="center"/>
              <w:rPr>
                <w:rFonts w:eastAsia="Calibri"/>
                <w:b/>
                <w:bCs/>
                <w:sz w:val="22"/>
                <w:szCs w:val="22"/>
              </w:rPr>
            </w:pPr>
            <w:r w:rsidRPr="00472A52">
              <w:rPr>
                <w:rFonts w:eastAsia="Calibri"/>
                <w:b/>
                <w:bCs/>
                <w:sz w:val="22"/>
                <w:szCs w:val="22"/>
              </w:rPr>
              <w:t>Total Number of Submissions</w:t>
            </w:r>
          </w:p>
        </w:tc>
        <w:tc>
          <w:tcPr>
            <w:tcW w:w="1350" w:type="dxa"/>
            <w:vAlign w:val="bottom"/>
          </w:tcPr>
          <w:p w:rsidR="004C6709" w:rsidRPr="00472A52" w:rsidRDefault="009E57E6" w:rsidP="004C6709">
            <w:pPr>
              <w:widowControl/>
              <w:autoSpaceDE/>
              <w:autoSpaceDN/>
              <w:adjustRightInd/>
              <w:jc w:val="center"/>
              <w:rPr>
                <w:rFonts w:eastAsia="Calibri"/>
                <w:b/>
                <w:bCs/>
                <w:sz w:val="22"/>
                <w:szCs w:val="22"/>
              </w:rPr>
            </w:pPr>
            <w:r w:rsidRPr="00472A52">
              <w:rPr>
                <w:rFonts w:eastAsia="Calibri"/>
                <w:b/>
                <w:bCs/>
                <w:sz w:val="22"/>
                <w:szCs w:val="22"/>
              </w:rPr>
              <w:t>Burden Hours per Respondent</w:t>
            </w:r>
          </w:p>
        </w:tc>
        <w:tc>
          <w:tcPr>
            <w:tcW w:w="1350" w:type="dxa"/>
            <w:vAlign w:val="bottom"/>
          </w:tcPr>
          <w:p w:rsidR="004C6709" w:rsidRPr="00472A52" w:rsidRDefault="009E57E6" w:rsidP="004C6709">
            <w:pPr>
              <w:widowControl/>
              <w:autoSpaceDE/>
              <w:autoSpaceDN/>
              <w:adjustRightInd/>
              <w:jc w:val="center"/>
              <w:rPr>
                <w:rFonts w:eastAsia="Calibri"/>
                <w:b/>
                <w:bCs/>
                <w:sz w:val="22"/>
                <w:szCs w:val="22"/>
              </w:rPr>
            </w:pPr>
            <w:r w:rsidRPr="00472A52">
              <w:rPr>
                <w:rFonts w:eastAsia="Calibri"/>
                <w:b/>
                <w:bCs/>
                <w:sz w:val="22"/>
                <w:szCs w:val="22"/>
              </w:rPr>
              <w:t>Cost per Respondent</w:t>
            </w:r>
          </w:p>
        </w:tc>
        <w:tc>
          <w:tcPr>
            <w:tcW w:w="1080" w:type="dxa"/>
            <w:vAlign w:val="bottom"/>
            <w:hideMark/>
          </w:tcPr>
          <w:p w:rsidR="009A024C" w:rsidRPr="00472A52" w:rsidRDefault="009E57E6">
            <w:pPr>
              <w:widowControl/>
              <w:autoSpaceDE/>
              <w:autoSpaceDN/>
              <w:adjustRightInd/>
              <w:jc w:val="center"/>
              <w:rPr>
                <w:rFonts w:eastAsia="Calibri"/>
                <w:b/>
                <w:bCs/>
                <w:sz w:val="22"/>
                <w:szCs w:val="22"/>
              </w:rPr>
            </w:pPr>
            <w:r w:rsidRPr="00472A52">
              <w:rPr>
                <w:rFonts w:eastAsia="Calibri"/>
                <w:b/>
                <w:bCs/>
                <w:sz w:val="22"/>
                <w:szCs w:val="22"/>
              </w:rPr>
              <w:t>Total Burden Hours</w:t>
            </w:r>
          </w:p>
        </w:tc>
        <w:tc>
          <w:tcPr>
            <w:tcW w:w="1710" w:type="dxa"/>
            <w:vAlign w:val="bottom"/>
            <w:hideMark/>
          </w:tcPr>
          <w:p w:rsidR="004C6709" w:rsidRPr="00472A52" w:rsidRDefault="009E57E6" w:rsidP="004C6709">
            <w:pPr>
              <w:widowControl/>
              <w:autoSpaceDE/>
              <w:autoSpaceDN/>
              <w:adjustRightInd/>
              <w:jc w:val="center"/>
              <w:rPr>
                <w:rFonts w:eastAsia="Calibri"/>
                <w:b/>
                <w:bCs/>
                <w:sz w:val="22"/>
                <w:szCs w:val="22"/>
              </w:rPr>
            </w:pPr>
            <w:r w:rsidRPr="00472A52">
              <w:rPr>
                <w:rFonts w:eastAsia="Calibri"/>
                <w:b/>
                <w:bCs/>
                <w:sz w:val="22"/>
                <w:szCs w:val="22"/>
              </w:rPr>
              <w:t>Total Cost</w:t>
            </w:r>
          </w:p>
        </w:tc>
      </w:tr>
      <w:tr w:rsidR="009815B3" w:rsidRPr="00472A52" w:rsidTr="0029702B">
        <w:trPr>
          <w:trHeight w:val="300"/>
        </w:trPr>
        <w:tc>
          <w:tcPr>
            <w:tcW w:w="1260" w:type="dxa"/>
            <w:noWrap/>
            <w:hideMark/>
          </w:tcPr>
          <w:p w:rsidR="004C6709" w:rsidRPr="00472A52" w:rsidRDefault="009E57E6" w:rsidP="004C6709">
            <w:pPr>
              <w:widowControl/>
              <w:autoSpaceDE/>
              <w:autoSpaceDN/>
              <w:adjustRightInd/>
              <w:rPr>
                <w:rFonts w:eastAsia="Calibri"/>
                <w:b/>
                <w:bCs/>
                <w:sz w:val="22"/>
                <w:szCs w:val="22"/>
              </w:rPr>
            </w:pPr>
            <w:r w:rsidRPr="00472A52">
              <w:rPr>
                <w:rFonts w:eastAsia="Calibri"/>
                <w:b/>
                <w:bCs/>
                <w:sz w:val="22"/>
                <w:szCs w:val="22"/>
              </w:rPr>
              <w:t>Individual Market</w:t>
            </w:r>
          </w:p>
        </w:tc>
        <w:tc>
          <w:tcPr>
            <w:tcW w:w="144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2,010</w:t>
            </w:r>
          </w:p>
        </w:tc>
        <w:tc>
          <w:tcPr>
            <w:tcW w:w="144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2.5</w:t>
            </w:r>
          </w:p>
        </w:tc>
        <w:tc>
          <w:tcPr>
            <w:tcW w:w="144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5,025</w:t>
            </w:r>
          </w:p>
        </w:tc>
        <w:tc>
          <w:tcPr>
            <w:tcW w:w="1350" w:type="dxa"/>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27.5</w:t>
            </w:r>
          </w:p>
        </w:tc>
        <w:tc>
          <w:tcPr>
            <w:tcW w:w="1350" w:type="dxa"/>
          </w:tcPr>
          <w:p w:rsidR="007068C9" w:rsidRPr="00472A52" w:rsidRDefault="009E57E6" w:rsidP="007068C9">
            <w:pPr>
              <w:widowControl/>
              <w:autoSpaceDE/>
              <w:autoSpaceDN/>
              <w:adjustRightInd/>
              <w:jc w:val="right"/>
              <w:rPr>
                <w:rFonts w:eastAsia="Calibri"/>
                <w:sz w:val="22"/>
                <w:szCs w:val="22"/>
              </w:rPr>
            </w:pPr>
            <w:r w:rsidRPr="00472A52">
              <w:rPr>
                <w:rFonts w:eastAsia="Calibri"/>
                <w:sz w:val="22"/>
                <w:szCs w:val="22"/>
              </w:rPr>
              <w:t xml:space="preserve">$6,188 </w:t>
            </w:r>
          </w:p>
          <w:p w:rsidR="004C6709" w:rsidRPr="00472A52" w:rsidRDefault="004C6709" w:rsidP="004C6709">
            <w:pPr>
              <w:widowControl/>
              <w:autoSpaceDE/>
              <w:autoSpaceDN/>
              <w:adjustRightInd/>
              <w:jc w:val="right"/>
              <w:rPr>
                <w:rFonts w:eastAsia="Calibri"/>
                <w:sz w:val="22"/>
                <w:szCs w:val="22"/>
              </w:rPr>
            </w:pPr>
          </w:p>
        </w:tc>
        <w:tc>
          <w:tcPr>
            <w:tcW w:w="108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55,275</w:t>
            </w:r>
          </w:p>
        </w:tc>
        <w:tc>
          <w:tcPr>
            <w:tcW w:w="171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 xml:space="preserve">$12,436,875 </w:t>
            </w:r>
          </w:p>
        </w:tc>
      </w:tr>
      <w:tr w:rsidR="009815B3" w:rsidRPr="00472A52" w:rsidTr="0029702B">
        <w:trPr>
          <w:trHeight w:val="300"/>
        </w:trPr>
        <w:tc>
          <w:tcPr>
            <w:tcW w:w="1260" w:type="dxa"/>
            <w:noWrap/>
            <w:hideMark/>
          </w:tcPr>
          <w:p w:rsidR="004C6709" w:rsidRPr="00472A52" w:rsidRDefault="009E57E6" w:rsidP="004C6709">
            <w:pPr>
              <w:widowControl/>
              <w:autoSpaceDE/>
              <w:autoSpaceDN/>
              <w:adjustRightInd/>
              <w:rPr>
                <w:rFonts w:eastAsia="Calibri"/>
                <w:b/>
                <w:bCs/>
                <w:sz w:val="22"/>
                <w:szCs w:val="22"/>
              </w:rPr>
            </w:pPr>
            <w:r w:rsidRPr="00472A52">
              <w:rPr>
                <w:rFonts w:eastAsia="Calibri"/>
                <w:b/>
                <w:bCs/>
                <w:sz w:val="22"/>
                <w:szCs w:val="22"/>
              </w:rPr>
              <w:t>Small Group Market</w:t>
            </w:r>
          </w:p>
        </w:tc>
        <w:tc>
          <w:tcPr>
            <w:tcW w:w="144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1,050</w:t>
            </w:r>
          </w:p>
        </w:tc>
        <w:tc>
          <w:tcPr>
            <w:tcW w:w="144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2.5</w:t>
            </w:r>
          </w:p>
        </w:tc>
        <w:tc>
          <w:tcPr>
            <w:tcW w:w="144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2,625</w:t>
            </w:r>
          </w:p>
        </w:tc>
        <w:tc>
          <w:tcPr>
            <w:tcW w:w="1350" w:type="dxa"/>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 xml:space="preserve">27.5 </w:t>
            </w:r>
          </w:p>
          <w:p w:rsidR="007068C9" w:rsidRPr="00472A52" w:rsidRDefault="007068C9" w:rsidP="004C6709">
            <w:pPr>
              <w:widowControl/>
              <w:autoSpaceDE/>
              <w:autoSpaceDN/>
              <w:adjustRightInd/>
              <w:jc w:val="right"/>
              <w:rPr>
                <w:rFonts w:eastAsia="Calibri"/>
                <w:sz w:val="22"/>
                <w:szCs w:val="22"/>
              </w:rPr>
            </w:pPr>
          </w:p>
        </w:tc>
        <w:tc>
          <w:tcPr>
            <w:tcW w:w="1350" w:type="dxa"/>
          </w:tcPr>
          <w:p w:rsidR="007068C9" w:rsidRPr="00472A52" w:rsidRDefault="009E57E6" w:rsidP="007068C9">
            <w:pPr>
              <w:widowControl/>
              <w:autoSpaceDE/>
              <w:autoSpaceDN/>
              <w:adjustRightInd/>
              <w:jc w:val="right"/>
              <w:rPr>
                <w:rFonts w:eastAsia="Calibri"/>
                <w:sz w:val="22"/>
                <w:szCs w:val="22"/>
              </w:rPr>
            </w:pPr>
            <w:r w:rsidRPr="00472A52">
              <w:rPr>
                <w:rFonts w:eastAsia="Calibri"/>
                <w:sz w:val="22"/>
                <w:szCs w:val="22"/>
              </w:rPr>
              <w:t xml:space="preserve">$6,188 </w:t>
            </w:r>
          </w:p>
          <w:p w:rsidR="004C6709" w:rsidRPr="00472A52" w:rsidRDefault="004C6709" w:rsidP="004C6709">
            <w:pPr>
              <w:widowControl/>
              <w:autoSpaceDE/>
              <w:autoSpaceDN/>
              <w:adjustRightInd/>
              <w:jc w:val="right"/>
              <w:rPr>
                <w:rFonts w:eastAsia="Calibri"/>
                <w:sz w:val="22"/>
                <w:szCs w:val="22"/>
              </w:rPr>
            </w:pPr>
          </w:p>
        </w:tc>
        <w:tc>
          <w:tcPr>
            <w:tcW w:w="108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28,875</w:t>
            </w:r>
          </w:p>
        </w:tc>
        <w:tc>
          <w:tcPr>
            <w:tcW w:w="171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$6,496,875</w:t>
            </w:r>
          </w:p>
        </w:tc>
      </w:tr>
      <w:tr w:rsidR="009815B3" w:rsidRPr="00472A52" w:rsidTr="0029702B">
        <w:trPr>
          <w:trHeight w:val="300"/>
        </w:trPr>
        <w:tc>
          <w:tcPr>
            <w:tcW w:w="1260" w:type="dxa"/>
            <w:noWrap/>
            <w:hideMark/>
          </w:tcPr>
          <w:p w:rsidR="004C6709" w:rsidRPr="00472A52" w:rsidRDefault="009E57E6" w:rsidP="004C6709">
            <w:pPr>
              <w:widowControl/>
              <w:autoSpaceDE/>
              <w:autoSpaceDN/>
              <w:adjustRightInd/>
              <w:rPr>
                <w:rFonts w:eastAsia="Calibri"/>
                <w:b/>
                <w:bCs/>
                <w:sz w:val="22"/>
                <w:szCs w:val="22"/>
              </w:rPr>
            </w:pPr>
            <w:r w:rsidRPr="00472A52">
              <w:rPr>
                <w:rFonts w:eastAsia="Calibri"/>
                <w:b/>
                <w:bCs/>
                <w:sz w:val="22"/>
                <w:szCs w:val="22"/>
              </w:rPr>
              <w:t>Total *</w:t>
            </w:r>
          </w:p>
        </w:tc>
        <w:tc>
          <w:tcPr>
            <w:tcW w:w="144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2,294 </w:t>
            </w:r>
          </w:p>
        </w:tc>
        <w:tc>
          <w:tcPr>
            <w:tcW w:w="144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 </w:t>
            </w:r>
          </w:p>
        </w:tc>
        <w:tc>
          <w:tcPr>
            <w:tcW w:w="144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7,650</w:t>
            </w:r>
          </w:p>
        </w:tc>
        <w:tc>
          <w:tcPr>
            <w:tcW w:w="1350" w:type="dxa"/>
          </w:tcPr>
          <w:p w:rsidR="004C6709" w:rsidRPr="00472A52" w:rsidRDefault="004C6709" w:rsidP="004C6709">
            <w:pPr>
              <w:widowControl/>
              <w:autoSpaceDE/>
              <w:autoSpaceDN/>
              <w:adjustRightInd/>
              <w:jc w:val="right"/>
              <w:rPr>
                <w:rFonts w:eastAsia="Calibri"/>
                <w:sz w:val="22"/>
                <w:szCs w:val="22"/>
              </w:rPr>
            </w:pPr>
          </w:p>
        </w:tc>
        <w:tc>
          <w:tcPr>
            <w:tcW w:w="1350" w:type="dxa"/>
          </w:tcPr>
          <w:p w:rsidR="004C6709" w:rsidRPr="00472A52" w:rsidRDefault="004C6709" w:rsidP="004C6709">
            <w:pPr>
              <w:widowControl/>
              <w:autoSpaceDE/>
              <w:autoSpaceDN/>
              <w:adjustRightInd/>
              <w:jc w:val="right"/>
              <w:rPr>
                <w:rFonts w:eastAsia="Calibri"/>
                <w:sz w:val="22"/>
                <w:szCs w:val="22"/>
              </w:rPr>
            </w:pPr>
          </w:p>
        </w:tc>
        <w:tc>
          <w:tcPr>
            <w:tcW w:w="108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84,150</w:t>
            </w:r>
          </w:p>
        </w:tc>
        <w:tc>
          <w:tcPr>
            <w:tcW w:w="1710" w:type="dxa"/>
            <w:noWrap/>
            <w:hideMark/>
          </w:tcPr>
          <w:p w:rsidR="004C6709" w:rsidRPr="00472A52" w:rsidRDefault="009E57E6" w:rsidP="004C6709">
            <w:pPr>
              <w:widowControl/>
              <w:autoSpaceDE/>
              <w:autoSpaceDN/>
              <w:adjustRightInd/>
              <w:jc w:val="right"/>
              <w:rPr>
                <w:rFonts w:eastAsia="Calibri"/>
                <w:sz w:val="22"/>
                <w:szCs w:val="22"/>
              </w:rPr>
            </w:pPr>
            <w:r w:rsidRPr="00472A52">
              <w:rPr>
                <w:rFonts w:eastAsia="Calibri"/>
                <w:sz w:val="22"/>
                <w:szCs w:val="22"/>
              </w:rPr>
              <w:t>$18,933,750</w:t>
            </w:r>
          </w:p>
        </w:tc>
      </w:tr>
    </w:tbl>
    <w:p w:rsidR="009A024C" w:rsidRPr="00472A52" w:rsidRDefault="006026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sz w:val="24"/>
          <w:szCs w:val="24"/>
        </w:rPr>
        <w:t>*Note:  The total number of respondents takes into account duplication across markets.</w:t>
      </w:r>
    </w:p>
    <w:p w:rsidR="006026CF" w:rsidRPr="00472A52" w:rsidRDefault="006026CF" w:rsidP="006026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szCs w:val="24"/>
        </w:rPr>
      </w:pPr>
    </w:p>
    <w:p w:rsidR="00006F9A" w:rsidRPr="00472A52" w:rsidRDefault="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r w:rsidRPr="00472A52">
        <w:rPr>
          <w:b/>
          <w:bCs/>
          <w:sz w:val="24"/>
          <w:szCs w:val="24"/>
          <w:u w:val="single"/>
        </w:rPr>
        <w:t>Health Insurance Issuer Submission of Final Justification for Unreasonable Rate Increases</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szCs w:val="24"/>
        </w:rPr>
      </w:pPr>
    </w:p>
    <w:p w:rsidR="00006F9A" w:rsidRPr="00472A52" w:rsidRDefault="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472A52">
        <w:rPr>
          <w:bCs/>
          <w:sz w:val="24"/>
          <w:szCs w:val="24"/>
        </w:rPr>
        <w:t xml:space="preserve">Health insurance issuers are required to submit to CMS and the relevant </w:t>
      </w:r>
      <w:r w:rsidR="00FE77F9" w:rsidRPr="00472A52">
        <w:rPr>
          <w:bCs/>
          <w:sz w:val="24"/>
          <w:szCs w:val="24"/>
        </w:rPr>
        <w:t>state</w:t>
      </w:r>
      <w:r w:rsidRPr="00472A52">
        <w:rPr>
          <w:bCs/>
          <w:sz w:val="24"/>
          <w:szCs w:val="24"/>
        </w:rPr>
        <w:t xml:space="preserve"> a Final Justification for any unreasonable rate increase that would be implemented and to display this information on their websites. If an issuer is legally permitted to implement an unreasonable rate increase and declines to implement the increase, the issuer will provide notice to CMS that it will not implement the increase. This submission will consist of a short, free response narrative that </w:t>
      </w:r>
      <w:r w:rsidRPr="00472A52">
        <w:rPr>
          <w:bCs/>
          <w:sz w:val="24"/>
          <w:szCs w:val="24"/>
        </w:rPr>
        <w:lastRenderedPageBreak/>
        <w:t xml:space="preserve">will take a senior actuary ($225/hour) approximately 60 minutes to prepare and post. Based on current experience, we estimate that there will be approximately 413 justifications submitted and posted annually. </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szCs w:val="24"/>
        </w:rPr>
      </w:pP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szCs w:val="24"/>
        </w:rPr>
      </w:pPr>
      <w:r w:rsidRPr="00472A52">
        <w:rPr>
          <w:b/>
          <w:bCs/>
          <w:sz w:val="24"/>
          <w:szCs w:val="24"/>
        </w:rPr>
        <w:t xml:space="preserve">Total </w:t>
      </w:r>
      <w:r w:rsidR="00C45744" w:rsidRPr="00472A52">
        <w:rPr>
          <w:b/>
          <w:bCs/>
          <w:sz w:val="24"/>
          <w:szCs w:val="24"/>
        </w:rPr>
        <w:t xml:space="preserve">Annual </w:t>
      </w:r>
      <w:r w:rsidRPr="00472A52">
        <w:rPr>
          <w:b/>
          <w:bCs/>
          <w:sz w:val="24"/>
          <w:szCs w:val="24"/>
        </w:rPr>
        <w:t>Burden Hours</w:t>
      </w:r>
      <w:r w:rsidRPr="00472A52">
        <w:rPr>
          <w:bCs/>
          <w:sz w:val="24"/>
          <w:szCs w:val="24"/>
        </w:rPr>
        <w:t>: 413 justifications x 1 hour to prepare and post = 413 hours</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szCs w:val="24"/>
        </w:rPr>
      </w:pPr>
      <w:r w:rsidRPr="00472A52">
        <w:rPr>
          <w:b/>
          <w:bCs/>
          <w:sz w:val="24"/>
          <w:szCs w:val="24"/>
        </w:rPr>
        <w:t xml:space="preserve">Total </w:t>
      </w:r>
      <w:r w:rsidR="00C45744" w:rsidRPr="00472A52">
        <w:rPr>
          <w:b/>
          <w:bCs/>
          <w:sz w:val="24"/>
          <w:szCs w:val="24"/>
        </w:rPr>
        <w:t xml:space="preserve">Annual </w:t>
      </w:r>
      <w:r w:rsidRPr="00472A52">
        <w:rPr>
          <w:b/>
          <w:bCs/>
          <w:sz w:val="24"/>
          <w:szCs w:val="24"/>
        </w:rPr>
        <w:t>Costs</w:t>
      </w:r>
      <w:r w:rsidRPr="00472A52">
        <w:rPr>
          <w:bCs/>
          <w:sz w:val="24"/>
          <w:szCs w:val="24"/>
        </w:rPr>
        <w:t>: 413hours x $225/hour = $92,925</w:t>
      </w:r>
    </w:p>
    <w:p w:rsidR="008F5BF0" w:rsidRPr="00472A52" w:rsidRDefault="008F5BF0"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p>
    <w:p w:rsidR="00006F9A" w:rsidRPr="00472A52" w:rsidRDefault="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472A52">
        <w:rPr>
          <w:b/>
          <w:bCs/>
          <w:sz w:val="24"/>
          <w:szCs w:val="24"/>
          <w:u w:val="single"/>
        </w:rPr>
        <w:t>State Unreasonable Rate Increase Determinations</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p>
    <w:p w:rsidR="00006F9A" w:rsidRPr="00472A52" w:rsidRDefault="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sz w:val="24"/>
          <w:szCs w:val="24"/>
        </w:rPr>
        <w:t xml:space="preserve">If CMS determines that a </w:t>
      </w:r>
      <w:r w:rsidR="00FE77F9" w:rsidRPr="00472A52">
        <w:rPr>
          <w:sz w:val="24"/>
          <w:szCs w:val="24"/>
        </w:rPr>
        <w:t>state</w:t>
      </w:r>
      <w:r w:rsidRPr="00472A52">
        <w:rPr>
          <w:sz w:val="24"/>
          <w:szCs w:val="24"/>
        </w:rPr>
        <w:t xml:space="preserve"> has satisfied specific criteria for an Effective Rate Review Program, CMS </w:t>
      </w:r>
      <w:r w:rsidR="003D374A" w:rsidRPr="00472A52">
        <w:rPr>
          <w:sz w:val="24"/>
          <w:szCs w:val="24"/>
        </w:rPr>
        <w:t>w</w:t>
      </w:r>
      <w:r w:rsidR="003D374A">
        <w:rPr>
          <w:sz w:val="24"/>
          <w:szCs w:val="24"/>
        </w:rPr>
        <w:t>ill</w:t>
      </w:r>
      <w:r w:rsidR="003D374A" w:rsidRPr="00472A52">
        <w:rPr>
          <w:sz w:val="24"/>
          <w:szCs w:val="24"/>
        </w:rPr>
        <w:t xml:space="preserve"> </w:t>
      </w:r>
      <w:r w:rsidRPr="00472A52">
        <w:rPr>
          <w:sz w:val="24"/>
          <w:szCs w:val="24"/>
        </w:rPr>
        <w:t xml:space="preserve">adopt the </w:t>
      </w:r>
      <w:r w:rsidR="00FE77F9" w:rsidRPr="00472A52">
        <w:rPr>
          <w:sz w:val="24"/>
          <w:szCs w:val="24"/>
        </w:rPr>
        <w:t>state</w:t>
      </w:r>
      <w:r w:rsidRPr="00472A52">
        <w:rPr>
          <w:sz w:val="24"/>
          <w:szCs w:val="24"/>
        </w:rPr>
        <w:t xml:space="preserve">‘s determinations regarding whether a rate increase that meets or exceeds the established threshold is unreasonable, providing that, for each increase at or above the threshold, the </w:t>
      </w:r>
      <w:r w:rsidR="00FE77F9" w:rsidRPr="00472A52">
        <w:rPr>
          <w:sz w:val="24"/>
          <w:szCs w:val="24"/>
        </w:rPr>
        <w:t>state</w:t>
      </w:r>
      <w:r w:rsidRPr="00472A52">
        <w:rPr>
          <w:sz w:val="24"/>
          <w:szCs w:val="24"/>
        </w:rPr>
        <w:t xml:space="preserve"> reports its final determination to CMS and explains the basis of its determination. In those cases where a </w:t>
      </w:r>
      <w:r w:rsidR="00FE77F9" w:rsidRPr="00472A52">
        <w:rPr>
          <w:sz w:val="24"/>
          <w:szCs w:val="24"/>
        </w:rPr>
        <w:t>state</w:t>
      </w:r>
      <w:r w:rsidRPr="00472A52">
        <w:rPr>
          <w:sz w:val="24"/>
          <w:szCs w:val="24"/>
        </w:rPr>
        <w:t xml:space="preserve"> does not have an Effective Rate Review Program, CMS will make its own determinations regarding whether a rate increase that meets or exceeds the established threshold is unreasonable. Based on </w:t>
      </w:r>
      <w:r w:rsidR="00E83D3E" w:rsidRPr="00472A52">
        <w:rPr>
          <w:sz w:val="24"/>
          <w:szCs w:val="24"/>
        </w:rPr>
        <w:t xml:space="preserve">current </w:t>
      </w:r>
      <w:r w:rsidRPr="00472A52">
        <w:rPr>
          <w:sz w:val="24"/>
          <w:szCs w:val="24"/>
        </w:rPr>
        <w:t xml:space="preserve">experience, CMS estimates that </w:t>
      </w:r>
      <w:r w:rsidR="000D27B5" w:rsidRPr="00472A52">
        <w:rPr>
          <w:sz w:val="24"/>
          <w:szCs w:val="24"/>
        </w:rPr>
        <w:t>1293</w:t>
      </w:r>
      <w:r w:rsidRPr="00472A52">
        <w:rPr>
          <w:sz w:val="24"/>
          <w:szCs w:val="24"/>
        </w:rPr>
        <w:t xml:space="preserve"> rate increases will be reviewed by </w:t>
      </w:r>
      <w:r w:rsidR="00FE77F9" w:rsidRPr="00472A52">
        <w:rPr>
          <w:sz w:val="24"/>
          <w:szCs w:val="24"/>
        </w:rPr>
        <w:t>state</w:t>
      </w:r>
      <w:r w:rsidRPr="00472A52">
        <w:rPr>
          <w:sz w:val="24"/>
          <w:szCs w:val="24"/>
        </w:rPr>
        <w:t xml:space="preserve">s. </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p>
    <w:p w:rsidR="00006F9A" w:rsidRPr="00472A52" w:rsidRDefault="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sz w:val="24"/>
          <w:szCs w:val="24"/>
        </w:rPr>
        <w:t xml:space="preserve">States will not have to modify their existing review practices in order to make unreasonable rate increase determinations and therefore will not incur any new costs associated with reviewing these rate increases. States with Effective Rate Review Programs will be required to report on their rate review activities to the Secretary. CMS believes that this reporting requirement will involve minimal cost. CMS estimates that it will take an actuary ($225/hour) approximately 20 minutes to prepare and submit this information to CMS. </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szCs w:val="24"/>
        </w:rPr>
      </w:pP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szCs w:val="24"/>
        </w:rPr>
      </w:pPr>
      <w:r w:rsidRPr="00472A52">
        <w:rPr>
          <w:b/>
          <w:bCs/>
          <w:sz w:val="24"/>
          <w:szCs w:val="24"/>
        </w:rPr>
        <w:t xml:space="preserve">Total </w:t>
      </w:r>
      <w:r w:rsidR="00C45744" w:rsidRPr="00472A52">
        <w:rPr>
          <w:b/>
          <w:bCs/>
          <w:sz w:val="24"/>
          <w:szCs w:val="24"/>
        </w:rPr>
        <w:t xml:space="preserve">Annual </w:t>
      </w:r>
      <w:r w:rsidRPr="00472A52">
        <w:rPr>
          <w:b/>
          <w:bCs/>
          <w:sz w:val="24"/>
          <w:szCs w:val="24"/>
        </w:rPr>
        <w:t xml:space="preserve">Burden Hours: </w:t>
      </w:r>
      <w:r w:rsidRPr="00472A52">
        <w:rPr>
          <w:bCs/>
          <w:sz w:val="24"/>
          <w:szCs w:val="24"/>
        </w:rPr>
        <w:t>1</w:t>
      </w:r>
      <w:r w:rsidR="00862465">
        <w:rPr>
          <w:bCs/>
          <w:sz w:val="24"/>
          <w:szCs w:val="24"/>
        </w:rPr>
        <w:t>,</w:t>
      </w:r>
      <w:r w:rsidRPr="00472A52">
        <w:rPr>
          <w:bCs/>
          <w:sz w:val="24"/>
          <w:szCs w:val="24"/>
        </w:rPr>
        <w:t>293</w:t>
      </w:r>
      <w:r w:rsidRPr="00472A52">
        <w:rPr>
          <w:b/>
          <w:bCs/>
          <w:sz w:val="24"/>
          <w:szCs w:val="24"/>
        </w:rPr>
        <w:t xml:space="preserve"> </w:t>
      </w:r>
      <w:r w:rsidRPr="00472A52">
        <w:rPr>
          <w:sz w:val="24"/>
          <w:szCs w:val="24"/>
        </w:rPr>
        <w:t xml:space="preserve">determinations x .33 hours = 426.69 hours </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r w:rsidRPr="00472A52">
        <w:rPr>
          <w:b/>
          <w:bCs/>
          <w:sz w:val="24"/>
          <w:szCs w:val="24"/>
        </w:rPr>
        <w:t xml:space="preserve">Total </w:t>
      </w:r>
      <w:r w:rsidR="00C45744" w:rsidRPr="00472A52">
        <w:rPr>
          <w:b/>
          <w:bCs/>
          <w:sz w:val="24"/>
          <w:szCs w:val="24"/>
        </w:rPr>
        <w:t xml:space="preserve">Annual </w:t>
      </w:r>
      <w:r w:rsidRPr="00472A52">
        <w:rPr>
          <w:b/>
          <w:bCs/>
          <w:sz w:val="24"/>
          <w:szCs w:val="24"/>
        </w:rPr>
        <w:t xml:space="preserve">Costs: </w:t>
      </w:r>
      <w:r w:rsidRPr="00472A52">
        <w:rPr>
          <w:sz w:val="24"/>
          <w:szCs w:val="24"/>
        </w:rPr>
        <w:t xml:space="preserve">  426.69 hours x $225/hour = $96,005.25</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szCs w:val="24"/>
        </w:rPr>
      </w:pPr>
      <w:r w:rsidRPr="00472A52">
        <w:rPr>
          <w:b/>
          <w:sz w:val="24"/>
          <w:szCs w:val="24"/>
        </w:rPr>
        <w:t>13.</w:t>
      </w:r>
      <w:r w:rsidRPr="00472A52">
        <w:rPr>
          <w:b/>
          <w:sz w:val="24"/>
          <w:szCs w:val="24"/>
        </w:rPr>
        <w:tab/>
      </w:r>
      <w:r w:rsidRPr="00472A52">
        <w:rPr>
          <w:b/>
          <w:sz w:val="24"/>
          <w:szCs w:val="24"/>
          <w:u w:val="single"/>
        </w:rPr>
        <w:t>Capital Costs</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06F9A" w:rsidRPr="00472A52" w:rsidRDefault="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sz w:val="24"/>
          <w:szCs w:val="24"/>
        </w:rPr>
        <w:t xml:space="preserve">The industry and the </w:t>
      </w:r>
      <w:r w:rsidR="00FE77F9" w:rsidRPr="00472A52">
        <w:rPr>
          <w:sz w:val="24"/>
          <w:szCs w:val="24"/>
        </w:rPr>
        <w:t>state</w:t>
      </w:r>
      <w:r w:rsidRPr="00472A52">
        <w:rPr>
          <w:sz w:val="24"/>
          <w:szCs w:val="24"/>
        </w:rPr>
        <w:t xml:space="preserve">s are not required to incur capital costs to fulfill these requirements. </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szCs w:val="24"/>
        </w:rPr>
      </w:pPr>
      <w:r w:rsidRPr="00472A52">
        <w:rPr>
          <w:b/>
          <w:sz w:val="24"/>
          <w:szCs w:val="24"/>
        </w:rPr>
        <w:t>14.</w:t>
      </w:r>
      <w:r w:rsidRPr="00472A52">
        <w:rPr>
          <w:b/>
          <w:sz w:val="24"/>
          <w:szCs w:val="24"/>
        </w:rPr>
        <w:tab/>
      </w:r>
      <w:r w:rsidRPr="00472A52">
        <w:rPr>
          <w:b/>
          <w:sz w:val="24"/>
          <w:szCs w:val="24"/>
          <w:u w:val="single"/>
        </w:rPr>
        <w:t>Cost to Federal Government</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06F9A" w:rsidRPr="00472A52" w:rsidRDefault="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sz w:val="24"/>
          <w:szCs w:val="24"/>
        </w:rPr>
        <w:t xml:space="preserve">If a </w:t>
      </w:r>
      <w:r w:rsidR="00FE77F9" w:rsidRPr="00472A52">
        <w:rPr>
          <w:sz w:val="24"/>
          <w:szCs w:val="24"/>
        </w:rPr>
        <w:t>state</w:t>
      </w:r>
      <w:r w:rsidRPr="00472A52">
        <w:rPr>
          <w:sz w:val="24"/>
          <w:szCs w:val="24"/>
        </w:rPr>
        <w:t xml:space="preserve"> does not have an Effective Rate Review Program in place for all or some markets, CMS will review rate increases that meet or exceed the review threshold in those markets. This activity could be conducted with in-house resources and/or with the use of contracted services. Based on current experience, CMS estimates that it will review 360 rate increases annually.  The following table provides the cost and burden for completion of these reviews.</w:t>
      </w:r>
    </w:p>
    <w:p w:rsidR="00D00846" w:rsidRPr="00472A52" w:rsidRDefault="00D008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C1876" w:rsidRDefault="004C18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u w:val="single"/>
        </w:rPr>
      </w:pPr>
    </w:p>
    <w:p w:rsidR="004C1876" w:rsidRDefault="004C18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u w:val="single"/>
        </w:rPr>
      </w:pPr>
    </w:p>
    <w:p w:rsidR="004C1876" w:rsidRDefault="004C18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u w:val="single"/>
        </w:rPr>
      </w:pPr>
    </w:p>
    <w:p w:rsidR="004C1876" w:rsidRDefault="004C18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u w:val="single"/>
        </w:rPr>
      </w:pPr>
    </w:p>
    <w:p w:rsidR="004C1876" w:rsidRDefault="004C18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u w:val="single"/>
        </w:rPr>
      </w:pPr>
    </w:p>
    <w:p w:rsidR="004C1876" w:rsidRDefault="004C18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u w:val="single"/>
        </w:rPr>
      </w:pPr>
    </w:p>
    <w:p w:rsidR="009A024C" w:rsidRPr="00472A52" w:rsidRDefault="009E5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u w:val="single"/>
        </w:rPr>
      </w:pPr>
      <w:r w:rsidRPr="00472A52">
        <w:rPr>
          <w:sz w:val="24"/>
          <w:szCs w:val="24"/>
          <w:u w:val="single"/>
        </w:rPr>
        <w:lastRenderedPageBreak/>
        <w:t xml:space="preserve">Table </w:t>
      </w:r>
      <w:r w:rsidR="00915DBA" w:rsidRPr="00472A52">
        <w:rPr>
          <w:sz w:val="24"/>
          <w:szCs w:val="24"/>
          <w:u w:val="single"/>
        </w:rPr>
        <w:t>14.1</w:t>
      </w:r>
      <w:r w:rsidRPr="00472A52">
        <w:rPr>
          <w:sz w:val="24"/>
          <w:szCs w:val="24"/>
          <w:u w:val="single"/>
        </w:rPr>
        <w:t xml:space="preserve"> Estimated Cost to Federal Government</w:t>
      </w:r>
      <w:r w:rsidR="00634BBB" w:rsidRPr="00472A52">
        <w:rPr>
          <w:sz w:val="24"/>
          <w:szCs w:val="24"/>
          <w:u w:val="single"/>
        </w:rPr>
        <w:t xml:space="preserve"> per Review</w:t>
      </w:r>
    </w:p>
    <w:p w:rsidR="00D00846" w:rsidRPr="00472A52" w:rsidRDefault="00D00846"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6"/>
        <w:gridCol w:w="2517"/>
      </w:tblGrid>
      <w:tr w:rsidR="004C6709" w:rsidRPr="00472A52" w:rsidTr="004C6709">
        <w:trPr>
          <w:trHeight w:val="357"/>
          <w:jc w:val="center"/>
        </w:trPr>
        <w:tc>
          <w:tcPr>
            <w:tcW w:w="5033" w:type="dxa"/>
            <w:gridSpan w:val="2"/>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
                <w:bCs/>
                <w:sz w:val="24"/>
                <w:szCs w:val="24"/>
              </w:rPr>
              <w:t>Contractor Actuarial Rates and Time Associated with Conducting Rate Review</w:t>
            </w:r>
            <w:r w:rsidRPr="00472A52">
              <w:rPr>
                <w:sz w:val="24"/>
                <w:szCs w:val="24"/>
              </w:rPr>
              <w:t xml:space="preserve"> </w:t>
            </w:r>
            <w:r w:rsidRPr="00472A52">
              <w:rPr>
                <w:b/>
                <w:bCs/>
                <w:sz w:val="24"/>
                <w:szCs w:val="24"/>
              </w:rPr>
              <w:t xml:space="preserve">Estimated Actuarial Rates </w:t>
            </w:r>
          </w:p>
        </w:tc>
      </w:tr>
      <w:tr w:rsidR="004C6709" w:rsidRPr="00472A52" w:rsidTr="004C6709">
        <w:trPr>
          <w:trHeight w:val="102"/>
          <w:jc w:val="center"/>
        </w:trPr>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Cs/>
                <w:sz w:val="24"/>
                <w:szCs w:val="24"/>
              </w:rPr>
              <w:t xml:space="preserve">Principal Actuaries </w:t>
            </w:r>
          </w:p>
        </w:tc>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472A52">
              <w:rPr>
                <w:sz w:val="24"/>
                <w:szCs w:val="24"/>
              </w:rPr>
              <w:t xml:space="preserve">$350.00 </w:t>
            </w:r>
          </w:p>
        </w:tc>
      </w:tr>
      <w:tr w:rsidR="004C6709" w:rsidRPr="00472A52" w:rsidTr="004C6709">
        <w:trPr>
          <w:trHeight w:val="102"/>
          <w:jc w:val="center"/>
        </w:trPr>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Cs/>
                <w:sz w:val="24"/>
                <w:szCs w:val="24"/>
              </w:rPr>
              <w:t xml:space="preserve">Support Actuaries </w:t>
            </w:r>
          </w:p>
        </w:tc>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472A52">
              <w:rPr>
                <w:sz w:val="24"/>
                <w:szCs w:val="24"/>
              </w:rPr>
              <w:t xml:space="preserve">$234.00 </w:t>
            </w:r>
          </w:p>
        </w:tc>
      </w:tr>
      <w:tr w:rsidR="004C6709" w:rsidRPr="00472A52" w:rsidTr="004C6709">
        <w:trPr>
          <w:trHeight w:val="102"/>
          <w:jc w:val="center"/>
        </w:trPr>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Cs/>
                <w:sz w:val="24"/>
                <w:szCs w:val="24"/>
              </w:rPr>
              <w:t xml:space="preserve">Actuarial Analyst </w:t>
            </w:r>
          </w:p>
        </w:tc>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472A52">
              <w:rPr>
                <w:sz w:val="24"/>
                <w:szCs w:val="24"/>
              </w:rPr>
              <w:t xml:space="preserve">$150.00 </w:t>
            </w:r>
          </w:p>
        </w:tc>
      </w:tr>
      <w:tr w:rsidR="004C6709" w:rsidRPr="00472A52" w:rsidTr="004C6709">
        <w:trPr>
          <w:trHeight w:val="102"/>
          <w:jc w:val="center"/>
        </w:trPr>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Cs/>
                <w:sz w:val="24"/>
                <w:szCs w:val="24"/>
              </w:rPr>
              <w:t xml:space="preserve">Administrative Support </w:t>
            </w:r>
          </w:p>
        </w:tc>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472A52">
              <w:rPr>
                <w:sz w:val="24"/>
                <w:szCs w:val="24"/>
              </w:rPr>
              <w:t xml:space="preserve">$100.00 </w:t>
            </w:r>
          </w:p>
        </w:tc>
      </w:tr>
      <w:tr w:rsidR="004C6709" w:rsidRPr="00472A52" w:rsidTr="004C6709">
        <w:trPr>
          <w:trHeight w:val="357"/>
          <w:jc w:val="center"/>
        </w:trPr>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
                <w:bCs/>
                <w:sz w:val="24"/>
                <w:szCs w:val="24"/>
              </w:rPr>
              <w:t xml:space="preserve">Estimated Time to Complete Average Review </w:t>
            </w:r>
          </w:p>
        </w:tc>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
                <w:bCs/>
                <w:sz w:val="24"/>
                <w:szCs w:val="24"/>
              </w:rPr>
              <w:t xml:space="preserve">Average Time Required </w:t>
            </w:r>
          </w:p>
        </w:tc>
      </w:tr>
      <w:tr w:rsidR="004C6709" w:rsidRPr="00472A52" w:rsidTr="004C6709">
        <w:trPr>
          <w:trHeight w:val="102"/>
          <w:jc w:val="center"/>
        </w:trPr>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Cs/>
                <w:sz w:val="24"/>
                <w:szCs w:val="24"/>
              </w:rPr>
              <w:t xml:space="preserve">Principal Actuaries </w:t>
            </w:r>
          </w:p>
        </w:tc>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472A52">
              <w:rPr>
                <w:sz w:val="24"/>
                <w:szCs w:val="24"/>
              </w:rPr>
              <w:t xml:space="preserve">5.50 </w:t>
            </w:r>
          </w:p>
        </w:tc>
      </w:tr>
      <w:tr w:rsidR="004C6709" w:rsidRPr="00472A52" w:rsidTr="004C6709">
        <w:trPr>
          <w:trHeight w:val="102"/>
          <w:jc w:val="center"/>
        </w:trPr>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Cs/>
                <w:sz w:val="24"/>
                <w:szCs w:val="24"/>
              </w:rPr>
              <w:t xml:space="preserve">Support Actuaries </w:t>
            </w:r>
          </w:p>
        </w:tc>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472A52">
              <w:rPr>
                <w:sz w:val="24"/>
                <w:szCs w:val="24"/>
              </w:rPr>
              <w:t xml:space="preserve">9.50 </w:t>
            </w:r>
          </w:p>
        </w:tc>
      </w:tr>
      <w:tr w:rsidR="004C6709" w:rsidRPr="00472A52" w:rsidTr="004C6709">
        <w:trPr>
          <w:trHeight w:val="102"/>
          <w:jc w:val="center"/>
        </w:trPr>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Cs/>
                <w:sz w:val="24"/>
                <w:szCs w:val="24"/>
              </w:rPr>
              <w:t xml:space="preserve">Actuarial Analyst </w:t>
            </w:r>
          </w:p>
        </w:tc>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472A52">
              <w:rPr>
                <w:sz w:val="24"/>
                <w:szCs w:val="24"/>
              </w:rPr>
              <w:t xml:space="preserve">14.00 </w:t>
            </w:r>
          </w:p>
        </w:tc>
      </w:tr>
      <w:tr w:rsidR="004C6709" w:rsidRPr="00472A52" w:rsidTr="004C6709">
        <w:trPr>
          <w:trHeight w:val="102"/>
          <w:jc w:val="center"/>
        </w:trPr>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Cs/>
                <w:sz w:val="24"/>
                <w:szCs w:val="24"/>
              </w:rPr>
              <w:t xml:space="preserve">Administrative Support </w:t>
            </w:r>
          </w:p>
        </w:tc>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472A52">
              <w:rPr>
                <w:sz w:val="24"/>
                <w:szCs w:val="24"/>
              </w:rPr>
              <w:t xml:space="preserve">9.50 </w:t>
            </w:r>
          </w:p>
        </w:tc>
      </w:tr>
      <w:tr w:rsidR="004C6709" w:rsidRPr="00472A52" w:rsidTr="004C6709">
        <w:trPr>
          <w:trHeight w:val="102"/>
          <w:jc w:val="center"/>
        </w:trPr>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Cs/>
                <w:sz w:val="24"/>
                <w:szCs w:val="24"/>
              </w:rPr>
              <w:t xml:space="preserve">Actuarial Staff Hours </w:t>
            </w:r>
          </w:p>
        </w:tc>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472A52">
              <w:rPr>
                <w:sz w:val="24"/>
                <w:szCs w:val="24"/>
              </w:rPr>
              <w:t xml:space="preserve">29.00 </w:t>
            </w:r>
          </w:p>
        </w:tc>
      </w:tr>
      <w:tr w:rsidR="004C6709" w:rsidRPr="00472A52" w:rsidTr="004C6709">
        <w:trPr>
          <w:trHeight w:val="102"/>
          <w:jc w:val="center"/>
        </w:trPr>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
                <w:bCs/>
                <w:sz w:val="24"/>
                <w:szCs w:val="24"/>
              </w:rPr>
              <w:t xml:space="preserve">Total Staff Hours </w:t>
            </w:r>
          </w:p>
        </w:tc>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472A52">
              <w:rPr>
                <w:sz w:val="24"/>
                <w:szCs w:val="24"/>
              </w:rPr>
              <w:t xml:space="preserve">38.5 </w:t>
            </w:r>
          </w:p>
        </w:tc>
      </w:tr>
      <w:tr w:rsidR="004C6709" w:rsidRPr="00472A52" w:rsidTr="004C6709">
        <w:trPr>
          <w:trHeight w:val="102"/>
          <w:jc w:val="center"/>
        </w:trPr>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
                <w:bCs/>
                <w:sz w:val="24"/>
                <w:szCs w:val="24"/>
              </w:rPr>
              <w:t xml:space="preserve">Estimated Contractor Cost per Review </w:t>
            </w:r>
          </w:p>
        </w:tc>
        <w:tc>
          <w:tcPr>
            <w:tcW w:w="2516" w:type="dxa"/>
          </w:tcPr>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472A52">
              <w:rPr>
                <w:sz w:val="24"/>
                <w:szCs w:val="24"/>
              </w:rPr>
              <w:t xml:space="preserve">$7,198 </w:t>
            </w:r>
          </w:p>
        </w:tc>
      </w:tr>
    </w:tbl>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C6709" w:rsidRPr="00472A52" w:rsidRDefault="004C6709" w:rsidP="005E5A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
          <w:bCs/>
          <w:sz w:val="24"/>
          <w:szCs w:val="24"/>
        </w:rPr>
        <w:tab/>
        <w:t xml:space="preserve">Total </w:t>
      </w:r>
      <w:r w:rsidR="00ED1143" w:rsidRPr="00472A52">
        <w:rPr>
          <w:b/>
          <w:bCs/>
          <w:sz w:val="24"/>
          <w:szCs w:val="24"/>
        </w:rPr>
        <w:t xml:space="preserve">Annual </w:t>
      </w:r>
      <w:r w:rsidRPr="00472A52">
        <w:rPr>
          <w:b/>
          <w:bCs/>
          <w:sz w:val="24"/>
          <w:szCs w:val="24"/>
        </w:rPr>
        <w:t xml:space="preserve">Burden Hours: </w:t>
      </w:r>
      <w:r w:rsidRPr="00472A52">
        <w:rPr>
          <w:bCs/>
          <w:sz w:val="24"/>
          <w:szCs w:val="24"/>
        </w:rPr>
        <w:t>360</w:t>
      </w:r>
      <w:r w:rsidRPr="00472A52">
        <w:rPr>
          <w:b/>
          <w:bCs/>
          <w:sz w:val="24"/>
          <w:szCs w:val="24"/>
        </w:rPr>
        <w:t xml:space="preserve"> </w:t>
      </w:r>
      <w:r w:rsidRPr="00472A52">
        <w:rPr>
          <w:sz w:val="24"/>
          <w:szCs w:val="24"/>
        </w:rPr>
        <w:t>reviews x 38.5 hours = 13,860 hours</w:t>
      </w:r>
    </w:p>
    <w:p w:rsidR="004C6709" w:rsidRPr="00472A52" w:rsidRDefault="004C6709" w:rsidP="005E5A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b/>
          <w:bCs/>
          <w:sz w:val="24"/>
          <w:szCs w:val="24"/>
        </w:rPr>
        <w:tab/>
        <w:t xml:space="preserve">Total </w:t>
      </w:r>
      <w:r w:rsidR="00ED1143" w:rsidRPr="00472A52">
        <w:rPr>
          <w:b/>
          <w:bCs/>
          <w:sz w:val="24"/>
          <w:szCs w:val="24"/>
        </w:rPr>
        <w:t xml:space="preserve">Annual </w:t>
      </w:r>
      <w:r w:rsidRPr="00472A52">
        <w:rPr>
          <w:b/>
          <w:bCs/>
          <w:sz w:val="24"/>
          <w:szCs w:val="24"/>
        </w:rPr>
        <w:t xml:space="preserve">Costs: </w:t>
      </w:r>
      <w:r w:rsidRPr="00472A52">
        <w:rPr>
          <w:sz w:val="24"/>
          <w:szCs w:val="24"/>
        </w:rPr>
        <w:t>360 reviews x $7,198 (cost per review) = $2,591,280</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4"/>
        </w:rPr>
      </w:pPr>
    </w:p>
    <w:p w:rsidR="00006F9A" w:rsidRPr="00472A52" w:rsidRDefault="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sz w:val="24"/>
          <w:szCs w:val="24"/>
        </w:rPr>
        <w:t xml:space="preserve">Additionally, CMS will determine whether a </w:t>
      </w:r>
      <w:r w:rsidR="00FE77F9" w:rsidRPr="00472A52">
        <w:rPr>
          <w:sz w:val="24"/>
          <w:szCs w:val="24"/>
        </w:rPr>
        <w:t>state</w:t>
      </w:r>
      <w:r w:rsidR="00A41601">
        <w:rPr>
          <w:sz w:val="24"/>
          <w:szCs w:val="24"/>
        </w:rPr>
        <w:t>’</w:t>
      </w:r>
      <w:r w:rsidRPr="00472A52">
        <w:rPr>
          <w:sz w:val="24"/>
          <w:szCs w:val="24"/>
        </w:rPr>
        <w:t xml:space="preserve">s rate review program meets the requirements of an Effective Rate Review Program set forth in the rule based on information received from the </w:t>
      </w:r>
      <w:r w:rsidR="00FE77F9" w:rsidRPr="00472A52">
        <w:rPr>
          <w:sz w:val="24"/>
          <w:szCs w:val="24"/>
        </w:rPr>
        <w:t>state</w:t>
      </w:r>
      <w:r w:rsidRPr="00472A52">
        <w:rPr>
          <w:sz w:val="24"/>
          <w:szCs w:val="24"/>
        </w:rPr>
        <w:t xml:space="preserve"> through the grant process, a thorough review of applicable </w:t>
      </w:r>
      <w:r w:rsidR="00FE77F9" w:rsidRPr="00472A52">
        <w:rPr>
          <w:sz w:val="24"/>
          <w:szCs w:val="24"/>
        </w:rPr>
        <w:t>state</w:t>
      </w:r>
      <w:r w:rsidRPr="00472A52">
        <w:rPr>
          <w:sz w:val="24"/>
          <w:szCs w:val="24"/>
        </w:rPr>
        <w:t xml:space="preserve"> law, and through any other information available to CMS. The information collection for the “Grants to States for Health Insurance Premium Review” is approved under OMB Control number 0938–1121. Since CMS does not believe additional data from </w:t>
      </w:r>
      <w:r w:rsidR="00FE77F9" w:rsidRPr="00472A52">
        <w:rPr>
          <w:sz w:val="24"/>
          <w:szCs w:val="24"/>
        </w:rPr>
        <w:t>state</w:t>
      </w:r>
      <w:r w:rsidRPr="00472A52">
        <w:rPr>
          <w:sz w:val="24"/>
          <w:szCs w:val="24"/>
        </w:rPr>
        <w:t xml:space="preserve">s are necessary to make these determinations, we assume the additional burden from this provision is zero.  In addition to the costs to the Federal government of conducting rate reviews in </w:t>
      </w:r>
      <w:r w:rsidR="00FE77F9" w:rsidRPr="00472A52">
        <w:rPr>
          <w:sz w:val="24"/>
          <w:szCs w:val="24"/>
        </w:rPr>
        <w:t>state</w:t>
      </w:r>
      <w:r w:rsidRPr="00472A52">
        <w:rPr>
          <w:sz w:val="24"/>
          <w:szCs w:val="24"/>
        </w:rPr>
        <w:t xml:space="preserve">s that do not conduct effective reviews, there will be a nominal, largely one-time cost to the Federal government to determine whether </w:t>
      </w:r>
      <w:r w:rsidR="00FE77F9" w:rsidRPr="00472A52">
        <w:rPr>
          <w:sz w:val="24"/>
          <w:szCs w:val="24"/>
        </w:rPr>
        <w:t>state</w:t>
      </w:r>
      <w:r w:rsidRPr="00472A52">
        <w:rPr>
          <w:sz w:val="24"/>
          <w:szCs w:val="24"/>
        </w:rPr>
        <w:t xml:space="preserve">s are conducting effective reviews.  </w:t>
      </w: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C6709" w:rsidRPr="00472A52" w:rsidRDefault="004C6709" w:rsidP="004C67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szCs w:val="24"/>
        </w:rPr>
      </w:pPr>
      <w:r w:rsidRPr="00472A52">
        <w:rPr>
          <w:b/>
          <w:sz w:val="24"/>
          <w:szCs w:val="24"/>
        </w:rPr>
        <w:t>15.</w:t>
      </w:r>
      <w:r w:rsidRPr="00472A52">
        <w:rPr>
          <w:b/>
          <w:sz w:val="24"/>
          <w:szCs w:val="24"/>
        </w:rPr>
        <w:tab/>
      </w:r>
      <w:r w:rsidRPr="00472A52">
        <w:rPr>
          <w:b/>
          <w:sz w:val="24"/>
          <w:szCs w:val="24"/>
          <w:u w:val="single"/>
        </w:rPr>
        <w:t>Changes to Burden</w:t>
      </w:r>
    </w:p>
    <w:p w:rsidR="004C6709" w:rsidRPr="00472A52" w:rsidRDefault="004C6709" w:rsidP="004C6709">
      <w:pPr>
        <w:tabs>
          <w:tab w:val="left" w:pos="540"/>
        </w:tabs>
        <w:ind w:left="450"/>
        <w:rPr>
          <w:sz w:val="24"/>
          <w:szCs w:val="24"/>
        </w:rPr>
      </w:pPr>
    </w:p>
    <w:p w:rsidR="00006F9A" w:rsidRPr="00472A52" w:rsidRDefault="009E5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2A52">
        <w:rPr>
          <w:sz w:val="24"/>
          <w:szCs w:val="24"/>
        </w:rPr>
        <w:t xml:space="preserve">The change in burden for </w:t>
      </w:r>
      <w:r w:rsidR="00AA0E29" w:rsidRPr="00472A52">
        <w:rPr>
          <w:sz w:val="24"/>
          <w:szCs w:val="24"/>
        </w:rPr>
        <w:t>h</w:t>
      </w:r>
      <w:r w:rsidRPr="00472A52">
        <w:rPr>
          <w:sz w:val="24"/>
          <w:szCs w:val="24"/>
        </w:rPr>
        <w:t xml:space="preserve">ealth </w:t>
      </w:r>
      <w:r w:rsidR="00AA0E29" w:rsidRPr="00472A52">
        <w:rPr>
          <w:sz w:val="24"/>
          <w:szCs w:val="24"/>
        </w:rPr>
        <w:t>i</w:t>
      </w:r>
      <w:r w:rsidRPr="00472A52">
        <w:rPr>
          <w:sz w:val="24"/>
          <w:szCs w:val="24"/>
        </w:rPr>
        <w:t xml:space="preserve">nsurance </w:t>
      </w:r>
      <w:r w:rsidR="00AA0E29" w:rsidRPr="00472A52">
        <w:rPr>
          <w:sz w:val="24"/>
          <w:szCs w:val="24"/>
        </w:rPr>
        <w:t>i</w:t>
      </w:r>
      <w:r w:rsidRPr="00472A52">
        <w:rPr>
          <w:sz w:val="24"/>
          <w:szCs w:val="24"/>
        </w:rPr>
        <w:t xml:space="preserve">ssuer </w:t>
      </w:r>
      <w:r w:rsidR="00AA0E29" w:rsidRPr="00472A52">
        <w:rPr>
          <w:sz w:val="24"/>
          <w:szCs w:val="24"/>
        </w:rPr>
        <w:t>s</w:t>
      </w:r>
      <w:r w:rsidRPr="00472A52">
        <w:rPr>
          <w:sz w:val="24"/>
          <w:szCs w:val="24"/>
        </w:rPr>
        <w:t xml:space="preserve">ubmission of </w:t>
      </w:r>
      <w:r w:rsidR="00AA0E29" w:rsidRPr="00472A52">
        <w:rPr>
          <w:sz w:val="24"/>
          <w:szCs w:val="24"/>
        </w:rPr>
        <w:t>r</w:t>
      </w:r>
      <w:r w:rsidRPr="00472A52">
        <w:rPr>
          <w:sz w:val="24"/>
          <w:szCs w:val="24"/>
        </w:rPr>
        <w:t xml:space="preserve">ate </w:t>
      </w:r>
      <w:r w:rsidR="00AA0E29" w:rsidRPr="00472A52">
        <w:rPr>
          <w:sz w:val="24"/>
          <w:szCs w:val="24"/>
        </w:rPr>
        <w:t>r</w:t>
      </w:r>
      <w:r w:rsidRPr="00472A52">
        <w:rPr>
          <w:sz w:val="24"/>
          <w:szCs w:val="24"/>
        </w:rPr>
        <w:t xml:space="preserve">eview </w:t>
      </w:r>
      <w:r w:rsidR="00AA0E29" w:rsidRPr="00472A52">
        <w:rPr>
          <w:sz w:val="24"/>
          <w:szCs w:val="24"/>
        </w:rPr>
        <w:t>t</w:t>
      </w:r>
      <w:r w:rsidRPr="00472A52">
        <w:rPr>
          <w:sz w:val="24"/>
          <w:szCs w:val="24"/>
        </w:rPr>
        <w:t xml:space="preserve">emplate is due to a change in the </w:t>
      </w:r>
      <w:r w:rsidR="005A306C">
        <w:rPr>
          <w:sz w:val="24"/>
          <w:szCs w:val="24"/>
        </w:rPr>
        <w:t>r</w:t>
      </w:r>
      <w:r w:rsidRPr="00472A52">
        <w:rPr>
          <w:sz w:val="24"/>
          <w:szCs w:val="24"/>
        </w:rPr>
        <w:t xml:space="preserve">ate </w:t>
      </w:r>
      <w:r w:rsidR="005A306C">
        <w:rPr>
          <w:sz w:val="24"/>
          <w:szCs w:val="24"/>
        </w:rPr>
        <w:t>r</w:t>
      </w:r>
      <w:r w:rsidRPr="00472A52">
        <w:rPr>
          <w:sz w:val="24"/>
          <w:szCs w:val="24"/>
        </w:rPr>
        <w:t xml:space="preserve">eview </w:t>
      </w:r>
      <w:r w:rsidR="005A306C">
        <w:rPr>
          <w:sz w:val="24"/>
          <w:szCs w:val="24"/>
        </w:rPr>
        <w:t>p</w:t>
      </w:r>
      <w:r w:rsidRPr="00472A52">
        <w:rPr>
          <w:sz w:val="24"/>
          <w:szCs w:val="24"/>
        </w:rPr>
        <w:t xml:space="preserve">rogram.  </w:t>
      </w:r>
      <w:r w:rsidR="00AA0E29" w:rsidRPr="00472A52">
        <w:rPr>
          <w:sz w:val="24"/>
          <w:szCs w:val="24"/>
        </w:rPr>
        <w:t xml:space="preserve">Total cost is estimated to increase by </w:t>
      </w:r>
      <w:r w:rsidR="00F3388B" w:rsidRPr="00472A52">
        <w:rPr>
          <w:sz w:val="24"/>
          <w:szCs w:val="24"/>
        </w:rPr>
        <w:t xml:space="preserve">approximately </w:t>
      </w:r>
      <w:r w:rsidR="00AA0E29" w:rsidRPr="00472A52">
        <w:rPr>
          <w:sz w:val="24"/>
          <w:szCs w:val="24"/>
        </w:rPr>
        <w:t>$16,</w:t>
      </w:r>
      <w:r w:rsidR="00F3388B" w:rsidRPr="00472A52">
        <w:rPr>
          <w:sz w:val="24"/>
          <w:szCs w:val="24"/>
        </w:rPr>
        <w:t>300</w:t>
      </w:r>
      <w:r w:rsidR="00AA0E29" w:rsidRPr="00472A52">
        <w:rPr>
          <w:sz w:val="24"/>
          <w:szCs w:val="24"/>
        </w:rPr>
        <w:t>,</w:t>
      </w:r>
      <w:r w:rsidR="00F3388B" w:rsidRPr="00472A52">
        <w:rPr>
          <w:sz w:val="24"/>
          <w:szCs w:val="24"/>
        </w:rPr>
        <w:t>000</w:t>
      </w:r>
      <w:r w:rsidR="00AA0E29" w:rsidRPr="00472A52">
        <w:rPr>
          <w:sz w:val="24"/>
          <w:szCs w:val="24"/>
        </w:rPr>
        <w:t xml:space="preserve"> and total burden is estimated to increase by 7</w:t>
      </w:r>
      <w:r w:rsidR="00F3388B" w:rsidRPr="00472A52">
        <w:rPr>
          <w:sz w:val="24"/>
          <w:szCs w:val="24"/>
        </w:rPr>
        <w:t>1</w:t>
      </w:r>
      <w:r w:rsidR="00AA0E29" w:rsidRPr="00472A52">
        <w:rPr>
          <w:sz w:val="24"/>
          <w:szCs w:val="24"/>
        </w:rPr>
        <w:t>,</w:t>
      </w:r>
      <w:r w:rsidR="00F3388B" w:rsidRPr="00472A52">
        <w:rPr>
          <w:sz w:val="24"/>
          <w:szCs w:val="24"/>
        </w:rPr>
        <w:t>000</w:t>
      </w:r>
      <w:r w:rsidR="00760A39" w:rsidRPr="00472A52">
        <w:rPr>
          <w:sz w:val="24"/>
          <w:szCs w:val="24"/>
        </w:rPr>
        <w:t xml:space="preserve"> hours</w:t>
      </w:r>
      <w:r w:rsidR="00AA0E29" w:rsidRPr="00472A52">
        <w:rPr>
          <w:sz w:val="24"/>
          <w:szCs w:val="24"/>
        </w:rPr>
        <w:t xml:space="preserve"> due to an increase in the </w:t>
      </w:r>
      <w:r w:rsidR="00A979CD" w:rsidRPr="00472A52">
        <w:rPr>
          <w:sz w:val="24"/>
          <w:szCs w:val="24"/>
        </w:rPr>
        <w:t xml:space="preserve">estimated </w:t>
      </w:r>
      <w:r w:rsidR="00AA0E29" w:rsidRPr="00472A52">
        <w:rPr>
          <w:sz w:val="24"/>
          <w:szCs w:val="24"/>
        </w:rPr>
        <w:t xml:space="preserve">number of </w:t>
      </w:r>
      <w:r w:rsidR="00760A39" w:rsidRPr="00472A52">
        <w:rPr>
          <w:sz w:val="24"/>
          <w:szCs w:val="24"/>
        </w:rPr>
        <w:t>submissions</w:t>
      </w:r>
      <w:r w:rsidR="00F017F7" w:rsidRPr="00472A52">
        <w:rPr>
          <w:sz w:val="24"/>
          <w:szCs w:val="24"/>
        </w:rPr>
        <w:t xml:space="preserve"> and an increase in hourly cost</w:t>
      </w:r>
      <w:r w:rsidR="00AA0E29" w:rsidRPr="00472A52">
        <w:rPr>
          <w:sz w:val="24"/>
          <w:szCs w:val="24"/>
        </w:rPr>
        <w:t xml:space="preserve">.  </w:t>
      </w:r>
      <w:r w:rsidR="00970E35" w:rsidRPr="00472A52">
        <w:rPr>
          <w:sz w:val="24"/>
          <w:szCs w:val="24"/>
        </w:rPr>
        <w:t>F</w:t>
      </w:r>
      <w:r w:rsidR="00651BB4" w:rsidRPr="00472A52">
        <w:rPr>
          <w:sz w:val="24"/>
          <w:szCs w:val="24"/>
        </w:rPr>
        <w:t xml:space="preserve">or </w:t>
      </w:r>
      <w:r w:rsidR="00661414" w:rsidRPr="00472A52">
        <w:rPr>
          <w:sz w:val="24"/>
          <w:szCs w:val="24"/>
        </w:rPr>
        <w:t>s</w:t>
      </w:r>
      <w:r w:rsidRPr="00472A52">
        <w:rPr>
          <w:sz w:val="24"/>
          <w:szCs w:val="24"/>
        </w:rPr>
        <w:t xml:space="preserve">tate </w:t>
      </w:r>
      <w:r w:rsidR="00661414" w:rsidRPr="00472A52">
        <w:rPr>
          <w:sz w:val="24"/>
          <w:szCs w:val="24"/>
        </w:rPr>
        <w:t>u</w:t>
      </w:r>
      <w:r w:rsidRPr="00472A52">
        <w:rPr>
          <w:sz w:val="24"/>
          <w:szCs w:val="24"/>
        </w:rPr>
        <w:t xml:space="preserve">nreasonable </w:t>
      </w:r>
      <w:r w:rsidR="00661414" w:rsidRPr="00472A52">
        <w:rPr>
          <w:sz w:val="24"/>
          <w:szCs w:val="24"/>
        </w:rPr>
        <w:t>r</w:t>
      </w:r>
      <w:r w:rsidRPr="00472A52">
        <w:rPr>
          <w:sz w:val="24"/>
          <w:szCs w:val="24"/>
        </w:rPr>
        <w:t xml:space="preserve">ate </w:t>
      </w:r>
      <w:r w:rsidR="00661414" w:rsidRPr="00472A52">
        <w:rPr>
          <w:sz w:val="24"/>
          <w:szCs w:val="24"/>
        </w:rPr>
        <w:t>i</w:t>
      </w:r>
      <w:r w:rsidRPr="00472A52">
        <w:rPr>
          <w:sz w:val="24"/>
          <w:szCs w:val="24"/>
        </w:rPr>
        <w:t xml:space="preserve">ncrease </w:t>
      </w:r>
      <w:r w:rsidR="00661414" w:rsidRPr="00472A52">
        <w:rPr>
          <w:sz w:val="24"/>
          <w:szCs w:val="24"/>
        </w:rPr>
        <w:t>d</w:t>
      </w:r>
      <w:r w:rsidRPr="00472A52">
        <w:rPr>
          <w:sz w:val="24"/>
          <w:szCs w:val="24"/>
        </w:rPr>
        <w:t>eterminations</w:t>
      </w:r>
      <w:r w:rsidR="00661414" w:rsidRPr="00472A52">
        <w:rPr>
          <w:sz w:val="24"/>
          <w:szCs w:val="24"/>
        </w:rPr>
        <w:t xml:space="preserve"> the burden is estimated to increase by </w:t>
      </w:r>
      <w:r w:rsidR="00F94578" w:rsidRPr="00472A52">
        <w:rPr>
          <w:sz w:val="24"/>
          <w:szCs w:val="24"/>
        </w:rPr>
        <w:t xml:space="preserve">approximately </w:t>
      </w:r>
      <w:r w:rsidR="00661414" w:rsidRPr="00472A52">
        <w:rPr>
          <w:sz w:val="24"/>
          <w:szCs w:val="24"/>
        </w:rPr>
        <w:t xml:space="preserve">209 hours and total costs are estimated to increase by </w:t>
      </w:r>
      <w:r w:rsidR="00F94578" w:rsidRPr="00472A52">
        <w:rPr>
          <w:sz w:val="24"/>
          <w:szCs w:val="24"/>
        </w:rPr>
        <w:t xml:space="preserve">approximately </w:t>
      </w:r>
      <w:r w:rsidR="00661414" w:rsidRPr="00472A52">
        <w:rPr>
          <w:sz w:val="24"/>
          <w:szCs w:val="24"/>
        </w:rPr>
        <w:t>$52,400</w:t>
      </w:r>
      <w:r w:rsidR="005C5EBB" w:rsidRPr="00472A52">
        <w:rPr>
          <w:sz w:val="24"/>
          <w:szCs w:val="24"/>
        </w:rPr>
        <w:t>.  This is</w:t>
      </w:r>
      <w:r w:rsidR="00661414" w:rsidRPr="00472A52">
        <w:rPr>
          <w:sz w:val="24"/>
          <w:szCs w:val="24"/>
        </w:rPr>
        <w:t xml:space="preserve"> due to an </w:t>
      </w:r>
      <w:r w:rsidR="00651BB4" w:rsidRPr="00472A52">
        <w:rPr>
          <w:sz w:val="24"/>
          <w:szCs w:val="24"/>
        </w:rPr>
        <w:t>increase</w:t>
      </w:r>
      <w:r w:rsidR="00661414" w:rsidRPr="00472A52">
        <w:rPr>
          <w:sz w:val="24"/>
          <w:szCs w:val="24"/>
        </w:rPr>
        <w:t xml:space="preserve"> in the </w:t>
      </w:r>
      <w:r w:rsidR="002E0FDE" w:rsidRPr="00472A52">
        <w:rPr>
          <w:sz w:val="24"/>
          <w:szCs w:val="24"/>
        </w:rPr>
        <w:t xml:space="preserve">estimated </w:t>
      </w:r>
      <w:r w:rsidR="00661414" w:rsidRPr="00472A52">
        <w:rPr>
          <w:sz w:val="24"/>
          <w:szCs w:val="24"/>
        </w:rPr>
        <w:t>number of reviews</w:t>
      </w:r>
      <w:r w:rsidR="00970E35" w:rsidRPr="00472A52">
        <w:rPr>
          <w:sz w:val="24"/>
          <w:szCs w:val="24"/>
        </w:rPr>
        <w:t xml:space="preserve"> performed by </w:t>
      </w:r>
      <w:r w:rsidR="00FE77F9" w:rsidRPr="00472A52">
        <w:rPr>
          <w:sz w:val="24"/>
          <w:szCs w:val="24"/>
        </w:rPr>
        <w:t>state</w:t>
      </w:r>
      <w:r w:rsidR="00970E35" w:rsidRPr="00472A52">
        <w:rPr>
          <w:sz w:val="24"/>
          <w:szCs w:val="24"/>
        </w:rPr>
        <w:t>s</w:t>
      </w:r>
      <w:r w:rsidR="005C5EBB" w:rsidRPr="00472A52">
        <w:rPr>
          <w:sz w:val="24"/>
          <w:szCs w:val="24"/>
        </w:rPr>
        <w:t>, based on experience with the current program and an increase in hourly cost</w:t>
      </w:r>
      <w:r w:rsidR="00661414" w:rsidRPr="00472A52">
        <w:rPr>
          <w:sz w:val="24"/>
          <w:szCs w:val="24"/>
        </w:rPr>
        <w:t xml:space="preserve">. </w:t>
      </w:r>
      <w:r w:rsidR="00F94578" w:rsidRPr="00472A52">
        <w:rPr>
          <w:sz w:val="24"/>
          <w:szCs w:val="24"/>
        </w:rPr>
        <w:t>Based on current experience with the program, the number of i</w:t>
      </w:r>
      <w:r w:rsidRPr="00472A52">
        <w:rPr>
          <w:sz w:val="24"/>
          <w:szCs w:val="24"/>
        </w:rPr>
        <w:t xml:space="preserve">ssuer </w:t>
      </w:r>
      <w:r w:rsidR="00F94578" w:rsidRPr="00472A52">
        <w:rPr>
          <w:sz w:val="24"/>
          <w:szCs w:val="24"/>
        </w:rPr>
        <w:t>s</w:t>
      </w:r>
      <w:r w:rsidRPr="00472A52">
        <w:rPr>
          <w:sz w:val="24"/>
          <w:szCs w:val="24"/>
        </w:rPr>
        <w:t>ubmission</w:t>
      </w:r>
      <w:r w:rsidR="00F94578" w:rsidRPr="00472A52">
        <w:rPr>
          <w:sz w:val="24"/>
          <w:szCs w:val="24"/>
        </w:rPr>
        <w:t>s</w:t>
      </w:r>
      <w:r w:rsidRPr="00472A52">
        <w:rPr>
          <w:sz w:val="24"/>
          <w:szCs w:val="24"/>
        </w:rPr>
        <w:t xml:space="preserve"> of </w:t>
      </w:r>
      <w:r w:rsidR="00F94578" w:rsidRPr="00472A52">
        <w:rPr>
          <w:sz w:val="24"/>
          <w:szCs w:val="24"/>
        </w:rPr>
        <w:t>f</w:t>
      </w:r>
      <w:r w:rsidRPr="00472A52">
        <w:rPr>
          <w:sz w:val="24"/>
          <w:szCs w:val="24"/>
        </w:rPr>
        <w:t xml:space="preserve">inal </w:t>
      </w:r>
      <w:r w:rsidR="00F94578" w:rsidRPr="00472A52">
        <w:rPr>
          <w:sz w:val="24"/>
          <w:szCs w:val="24"/>
        </w:rPr>
        <w:t>j</w:t>
      </w:r>
      <w:r w:rsidRPr="00472A52">
        <w:rPr>
          <w:sz w:val="24"/>
          <w:szCs w:val="24"/>
        </w:rPr>
        <w:t xml:space="preserve">ustification for </w:t>
      </w:r>
      <w:r w:rsidR="00F94578" w:rsidRPr="00472A52">
        <w:rPr>
          <w:sz w:val="24"/>
          <w:szCs w:val="24"/>
        </w:rPr>
        <w:t>u</w:t>
      </w:r>
      <w:r w:rsidRPr="00472A52">
        <w:rPr>
          <w:sz w:val="24"/>
          <w:szCs w:val="24"/>
        </w:rPr>
        <w:t xml:space="preserve">nreasonable </w:t>
      </w:r>
      <w:r w:rsidR="00F94578" w:rsidRPr="00472A52">
        <w:rPr>
          <w:sz w:val="24"/>
          <w:szCs w:val="24"/>
        </w:rPr>
        <w:t>r</w:t>
      </w:r>
      <w:r w:rsidRPr="00472A52">
        <w:rPr>
          <w:sz w:val="24"/>
          <w:szCs w:val="24"/>
        </w:rPr>
        <w:t xml:space="preserve">ate </w:t>
      </w:r>
      <w:r w:rsidR="00F94578" w:rsidRPr="00472A52">
        <w:rPr>
          <w:sz w:val="24"/>
          <w:szCs w:val="24"/>
        </w:rPr>
        <w:t>i</w:t>
      </w:r>
      <w:r w:rsidRPr="00472A52">
        <w:rPr>
          <w:sz w:val="24"/>
          <w:szCs w:val="24"/>
        </w:rPr>
        <w:t xml:space="preserve">ncreases </w:t>
      </w:r>
      <w:r w:rsidR="00F94578" w:rsidRPr="00472A52">
        <w:rPr>
          <w:sz w:val="24"/>
          <w:szCs w:val="24"/>
        </w:rPr>
        <w:t xml:space="preserve">have been </w:t>
      </w:r>
      <w:r w:rsidR="00230F4C" w:rsidRPr="00472A52">
        <w:rPr>
          <w:sz w:val="24"/>
          <w:szCs w:val="24"/>
        </w:rPr>
        <w:t>lowered</w:t>
      </w:r>
      <w:r w:rsidR="00F94578" w:rsidRPr="00472A52">
        <w:rPr>
          <w:sz w:val="24"/>
          <w:szCs w:val="24"/>
        </w:rPr>
        <w:t xml:space="preserve"> and </w:t>
      </w:r>
      <w:r w:rsidR="00F94578" w:rsidRPr="00472A52">
        <w:rPr>
          <w:sz w:val="24"/>
          <w:szCs w:val="24"/>
        </w:rPr>
        <w:lastRenderedPageBreak/>
        <w:t xml:space="preserve">the related cost is estimated to decrease by approximately $147,000 and burden </w:t>
      </w:r>
      <w:r w:rsidR="0074252C" w:rsidRPr="00472A52">
        <w:rPr>
          <w:sz w:val="24"/>
          <w:szCs w:val="24"/>
        </w:rPr>
        <w:t>is</w:t>
      </w:r>
      <w:r w:rsidR="00F94578" w:rsidRPr="00472A52">
        <w:rPr>
          <w:sz w:val="24"/>
          <w:szCs w:val="24"/>
        </w:rPr>
        <w:t xml:space="preserve"> estimated to decrease by 788 hours. The c</w:t>
      </w:r>
      <w:r w:rsidRPr="00472A52">
        <w:rPr>
          <w:sz w:val="24"/>
          <w:szCs w:val="24"/>
        </w:rPr>
        <w:t xml:space="preserve">ost to federal government </w:t>
      </w:r>
      <w:r w:rsidR="00F94578" w:rsidRPr="00472A52">
        <w:rPr>
          <w:sz w:val="24"/>
          <w:szCs w:val="24"/>
        </w:rPr>
        <w:t xml:space="preserve">has been adjusted based on current experience and is estimated to decrease by approximately $1,300,000 </w:t>
      </w:r>
      <w:r w:rsidR="001F60F7" w:rsidRPr="00472A52">
        <w:rPr>
          <w:sz w:val="24"/>
          <w:szCs w:val="24"/>
        </w:rPr>
        <w:t xml:space="preserve">and 6,930 hours </w:t>
      </w:r>
      <w:r w:rsidR="00F94578" w:rsidRPr="00472A52">
        <w:rPr>
          <w:sz w:val="24"/>
          <w:szCs w:val="24"/>
        </w:rPr>
        <w:t>due to a decrease in</w:t>
      </w:r>
      <w:r w:rsidR="00396603" w:rsidRPr="00472A52">
        <w:rPr>
          <w:sz w:val="24"/>
          <w:szCs w:val="24"/>
        </w:rPr>
        <w:t xml:space="preserve"> the estimated</w:t>
      </w:r>
      <w:r w:rsidR="00F94578" w:rsidRPr="00472A52">
        <w:rPr>
          <w:sz w:val="24"/>
          <w:szCs w:val="24"/>
        </w:rPr>
        <w:t xml:space="preserve"> number of reviews performed</w:t>
      </w:r>
      <w:r w:rsidR="008222ED" w:rsidRPr="00472A52">
        <w:rPr>
          <w:sz w:val="24"/>
          <w:szCs w:val="24"/>
        </w:rPr>
        <w:t xml:space="preserve"> by the federal government</w:t>
      </w:r>
      <w:r w:rsidR="00F94578" w:rsidRPr="00472A52">
        <w:rPr>
          <w:sz w:val="24"/>
          <w:szCs w:val="24"/>
        </w:rPr>
        <w:t xml:space="preserve">. </w:t>
      </w:r>
    </w:p>
    <w:p w:rsidR="004C6709" w:rsidRPr="00472A52" w:rsidRDefault="004C6709" w:rsidP="00172E14">
      <w:pPr>
        <w:rPr>
          <w:b/>
          <w:sz w:val="24"/>
          <w:szCs w:val="24"/>
          <w:u w:val="single"/>
        </w:rPr>
      </w:pPr>
    </w:p>
    <w:p w:rsidR="00172E14" w:rsidRPr="00472A52" w:rsidRDefault="00300C52" w:rsidP="00172E14">
      <w:pPr>
        <w:rPr>
          <w:b/>
          <w:sz w:val="24"/>
          <w:szCs w:val="24"/>
          <w:u w:val="single"/>
        </w:rPr>
      </w:pPr>
      <w:r w:rsidRPr="00472A52">
        <w:rPr>
          <w:b/>
          <w:sz w:val="24"/>
          <w:szCs w:val="24"/>
          <w:u w:val="single"/>
        </w:rPr>
        <w:t>16. Publication and Tabulation Dates</w:t>
      </w:r>
    </w:p>
    <w:p w:rsidR="00172E14" w:rsidRPr="00472A52" w:rsidRDefault="00172E14" w:rsidP="00172E14">
      <w:pPr>
        <w:rPr>
          <w:b/>
          <w:sz w:val="24"/>
          <w:szCs w:val="24"/>
          <w:u w:val="single"/>
        </w:rPr>
      </w:pPr>
    </w:p>
    <w:p w:rsidR="00F47225" w:rsidRPr="00472A52" w:rsidRDefault="00F47225" w:rsidP="00172E14">
      <w:pPr>
        <w:rPr>
          <w:sz w:val="24"/>
          <w:szCs w:val="24"/>
        </w:rPr>
      </w:pPr>
      <w:r w:rsidRPr="00472A52">
        <w:rPr>
          <w:sz w:val="24"/>
          <w:szCs w:val="24"/>
        </w:rPr>
        <w:t>As part of consumer transparency and disclosure, a consumer friendly disclosure form (popula</w:t>
      </w:r>
      <w:r w:rsidR="00817634" w:rsidRPr="00472A52">
        <w:rPr>
          <w:sz w:val="24"/>
          <w:szCs w:val="24"/>
        </w:rPr>
        <w:t xml:space="preserve">ted from the information provided in the </w:t>
      </w:r>
      <w:r w:rsidR="005A20D9" w:rsidRPr="00472A52">
        <w:rPr>
          <w:sz w:val="24"/>
          <w:szCs w:val="24"/>
        </w:rPr>
        <w:t>Rate Filing</w:t>
      </w:r>
      <w:r w:rsidR="00817634" w:rsidRPr="00472A52">
        <w:rPr>
          <w:sz w:val="24"/>
          <w:szCs w:val="24"/>
        </w:rPr>
        <w:t xml:space="preserve"> Justification</w:t>
      </w:r>
      <w:r w:rsidRPr="00472A52">
        <w:rPr>
          <w:sz w:val="24"/>
          <w:szCs w:val="24"/>
        </w:rPr>
        <w:t xml:space="preserve">) will be posted by HHS for all rates that </w:t>
      </w:r>
      <w:r w:rsidR="0001616F" w:rsidRPr="00472A52">
        <w:rPr>
          <w:sz w:val="24"/>
          <w:szCs w:val="24"/>
        </w:rPr>
        <w:t xml:space="preserve">meet or </w:t>
      </w:r>
      <w:r w:rsidRPr="00472A52">
        <w:rPr>
          <w:sz w:val="24"/>
          <w:szCs w:val="24"/>
        </w:rPr>
        <w:t>exceed the threshold.  A final disposition of the rate review will also be posted and, if the rate is identified as unreasonable and implemented by the carrier, the carrier must also post a final justification</w:t>
      </w:r>
      <w:r w:rsidR="00817634" w:rsidRPr="00472A52">
        <w:rPr>
          <w:sz w:val="24"/>
          <w:szCs w:val="24"/>
        </w:rPr>
        <w:t xml:space="preserve"> </w:t>
      </w:r>
      <w:r w:rsidR="00444DC1" w:rsidRPr="00472A52">
        <w:rPr>
          <w:sz w:val="24"/>
          <w:szCs w:val="24"/>
        </w:rPr>
        <w:t>as defined in previous regulation</w:t>
      </w:r>
      <w:r w:rsidR="00817634" w:rsidRPr="00472A52">
        <w:rPr>
          <w:sz w:val="24"/>
          <w:szCs w:val="24"/>
        </w:rPr>
        <w:t xml:space="preserve"> within 10</w:t>
      </w:r>
      <w:r w:rsidRPr="00472A52">
        <w:rPr>
          <w:sz w:val="24"/>
          <w:szCs w:val="24"/>
        </w:rPr>
        <w:t xml:space="preserve"> business days.</w:t>
      </w:r>
    </w:p>
    <w:p w:rsidR="0001616F" w:rsidRPr="00472A52" w:rsidRDefault="0001616F" w:rsidP="00172E14">
      <w:pPr>
        <w:rPr>
          <w:sz w:val="24"/>
          <w:szCs w:val="24"/>
          <w:u w:val="single"/>
        </w:rPr>
      </w:pPr>
    </w:p>
    <w:p w:rsidR="00300C52" w:rsidRPr="00472A52" w:rsidRDefault="00300C52" w:rsidP="009D23CD">
      <w:pPr>
        <w:pStyle w:val="Heading3"/>
        <w:spacing w:line="240" w:lineRule="auto"/>
      </w:pPr>
      <w:r w:rsidRPr="00472A52">
        <w:t>17. Expiration Date</w:t>
      </w:r>
    </w:p>
    <w:p w:rsidR="00300C52" w:rsidRPr="00472A52" w:rsidRDefault="00F76DD9" w:rsidP="009D23CD">
      <w:pPr>
        <w:pStyle w:val="BodyText"/>
        <w:spacing w:line="240" w:lineRule="auto"/>
      </w:pPr>
      <w:r w:rsidRPr="00472A52">
        <w:t>HHS</w:t>
      </w:r>
      <w:r w:rsidR="00300C52" w:rsidRPr="00472A52">
        <w:t xml:space="preserve"> has no objections to displaying the expiration date. </w:t>
      </w:r>
    </w:p>
    <w:p w:rsidR="00300C52" w:rsidRPr="00472A52" w:rsidRDefault="00300C52" w:rsidP="009D23CD">
      <w:pPr>
        <w:pStyle w:val="Heading3"/>
        <w:spacing w:line="240" w:lineRule="auto"/>
      </w:pPr>
      <w:r w:rsidRPr="00472A52">
        <w:t xml:space="preserve">18. Certification Statement </w:t>
      </w:r>
    </w:p>
    <w:p w:rsidR="00FF6F20" w:rsidRPr="00472A52" w:rsidRDefault="00300C52" w:rsidP="00FF6F20">
      <w:pPr>
        <w:pStyle w:val="BodyText"/>
        <w:spacing w:line="240" w:lineRule="auto"/>
      </w:pPr>
      <w:r w:rsidRPr="00472A52">
        <w:t xml:space="preserve">There are no exceptions to the certification statement. </w:t>
      </w:r>
    </w:p>
    <w:p w:rsidR="00300C52" w:rsidRPr="00472A52" w:rsidRDefault="00300C52" w:rsidP="00FF6F20">
      <w:pPr>
        <w:pStyle w:val="BodyText"/>
        <w:spacing w:line="240" w:lineRule="auto"/>
        <w:rPr>
          <w:b/>
          <w:bCs/>
          <w:u w:val="single"/>
        </w:rPr>
      </w:pPr>
      <w:r w:rsidRPr="00472A52">
        <w:rPr>
          <w:b/>
        </w:rPr>
        <w:t>C. Collections of Information Employing Statistical Methods</w:t>
      </w:r>
    </w:p>
    <w:p w:rsidR="00300C52" w:rsidRPr="00472A52" w:rsidRDefault="00300C52" w:rsidP="009D23CD">
      <w:pPr>
        <w:pStyle w:val="BodyText"/>
        <w:spacing w:line="240" w:lineRule="auto"/>
        <w:rPr>
          <w:b/>
        </w:rPr>
      </w:pPr>
      <w:r w:rsidRPr="00472A52">
        <w:t>Not Applicable.</w:t>
      </w:r>
      <w:r w:rsidR="00817634" w:rsidRPr="00472A52">
        <w:t xml:space="preserve"> </w:t>
      </w:r>
      <w:r w:rsidRPr="00472A52">
        <w:t xml:space="preserve"> No statistical methods will be used in this collection effort.  The data collection tool has built in formulas that require carriers to input data.</w:t>
      </w:r>
    </w:p>
    <w:sectPr w:rsidR="00300C52" w:rsidRPr="00472A52" w:rsidSect="00422E4A">
      <w:footerReference w:type="even" r:id="rId8"/>
      <w:footerReference w:type="default" r:id="rId9"/>
      <w:endnotePr>
        <w:numFmt w:val="decimal"/>
      </w:endnotePr>
      <w:pgSz w:w="12240" w:h="15840" w:code="1"/>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9C7" w:rsidRDefault="004259C7">
      <w:pPr>
        <w:spacing w:line="20" w:lineRule="exact"/>
        <w:rPr>
          <w:szCs w:val="24"/>
        </w:rPr>
      </w:pPr>
    </w:p>
  </w:endnote>
  <w:endnote w:type="continuationSeparator" w:id="0">
    <w:p w:rsidR="004259C7" w:rsidRDefault="004259C7">
      <w:r>
        <w:rPr>
          <w:szCs w:val="24"/>
        </w:rPr>
        <w:t xml:space="preserve"> </w:t>
      </w:r>
    </w:p>
  </w:endnote>
  <w:endnote w:type="continuationNotice" w:id="1">
    <w:p w:rsidR="004259C7" w:rsidRDefault="004259C7">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ADC" w:rsidRDefault="00DF5F44" w:rsidP="002C66CB">
    <w:pPr>
      <w:pStyle w:val="Footer"/>
      <w:framePr w:wrap="around" w:vAnchor="text" w:hAnchor="margin" w:xAlign="center" w:y="1"/>
      <w:rPr>
        <w:rStyle w:val="PageNumber"/>
      </w:rPr>
    </w:pPr>
    <w:r>
      <w:rPr>
        <w:rStyle w:val="PageNumber"/>
      </w:rPr>
      <w:fldChar w:fldCharType="begin"/>
    </w:r>
    <w:r w:rsidR="000E1ADC">
      <w:rPr>
        <w:rStyle w:val="PageNumber"/>
      </w:rPr>
      <w:instrText xml:space="preserve">PAGE  </w:instrText>
    </w:r>
    <w:r>
      <w:rPr>
        <w:rStyle w:val="PageNumber"/>
      </w:rPr>
      <w:fldChar w:fldCharType="end"/>
    </w:r>
  </w:p>
  <w:p w:rsidR="000E1ADC" w:rsidRDefault="000E1ADC" w:rsidP="00422E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ADC" w:rsidRDefault="00DF5F44" w:rsidP="002C66CB">
    <w:pPr>
      <w:pStyle w:val="Footer"/>
      <w:framePr w:wrap="around" w:vAnchor="text" w:hAnchor="margin" w:xAlign="center" w:y="1"/>
      <w:rPr>
        <w:rStyle w:val="PageNumber"/>
      </w:rPr>
    </w:pPr>
    <w:r>
      <w:rPr>
        <w:rStyle w:val="PageNumber"/>
      </w:rPr>
      <w:fldChar w:fldCharType="begin"/>
    </w:r>
    <w:r w:rsidR="000E1ADC">
      <w:rPr>
        <w:rStyle w:val="PageNumber"/>
      </w:rPr>
      <w:instrText xml:space="preserve">PAGE  </w:instrText>
    </w:r>
    <w:r>
      <w:rPr>
        <w:rStyle w:val="PageNumber"/>
      </w:rPr>
      <w:fldChar w:fldCharType="separate"/>
    </w:r>
    <w:r w:rsidR="00F23B10">
      <w:rPr>
        <w:rStyle w:val="PageNumber"/>
        <w:noProof/>
      </w:rPr>
      <w:t>5</w:t>
    </w:r>
    <w:r>
      <w:rPr>
        <w:rStyle w:val="PageNumber"/>
      </w:rPr>
      <w:fldChar w:fldCharType="end"/>
    </w:r>
  </w:p>
  <w:p w:rsidR="000E1ADC" w:rsidRDefault="000E1ADC" w:rsidP="00422E4A">
    <w:pPr>
      <w:spacing w:before="140" w:line="100" w:lineRule="exact"/>
      <w:ind w:right="360"/>
      <w:rPr>
        <w:sz w:val="10"/>
        <w:szCs w:val="10"/>
      </w:rPr>
    </w:pPr>
  </w:p>
  <w:p w:rsidR="000E1ADC" w:rsidRDefault="000E1ADC">
    <w:pPr>
      <w:tabs>
        <w:tab w:val="left" w:pos="-720"/>
      </w:tabs>
      <w:suppressAutoHyphens/>
      <w:spacing w:line="240" w:lineRule="exact"/>
      <w:rPr>
        <w:sz w:val="24"/>
        <w:szCs w:val="24"/>
      </w:rPr>
    </w:pPr>
  </w:p>
  <w:p w:rsidR="000E1ADC" w:rsidRDefault="00DF5F44">
    <w:pPr>
      <w:pStyle w:val="Caption"/>
      <w:tabs>
        <w:tab w:val="left" w:pos="-720"/>
        <w:tab w:val="left" w:pos="0"/>
      </w:tabs>
      <w:suppressAutoHyphens/>
      <w:spacing w:line="1" w:lineRule="exact"/>
      <w:ind w:left="30" w:right="30"/>
      <w:jc w:val="center"/>
      <w:rPr>
        <w:vanish/>
        <w:sz w:val="24"/>
      </w:rPr>
    </w:pPr>
    <w:r>
      <w:rPr>
        <w:vanish/>
        <w:sz w:val="24"/>
      </w:rPr>
      <w:fldChar w:fldCharType="begin"/>
    </w:r>
    <w:r w:rsidR="000E1ADC">
      <w:rPr>
        <w:vanish/>
        <w:sz w:val="24"/>
      </w:rPr>
      <w:instrText>seq _endnote  \* Arabic</w:instrText>
    </w:r>
    <w:r>
      <w:rPr>
        <w:vanish/>
        <w:sz w:val="24"/>
      </w:rPr>
      <w:fldChar w:fldCharType="separate"/>
    </w:r>
    <w:r w:rsidR="00F23B10">
      <w:rPr>
        <w:b/>
        <w:bCs/>
        <w:noProof/>
        <w:vanish/>
        <w:sz w:val="24"/>
      </w:rPr>
      <w:t>Error! Main Document Only.</w:t>
    </w:r>
    <w:r>
      <w:rPr>
        <w:vanish/>
        <w:sz w:val="24"/>
      </w:rPr>
      <w:fldChar w:fldCharType="end"/>
    </w:r>
  </w:p>
  <w:p w:rsidR="000E1ADC" w:rsidRDefault="000E1ADC">
    <w:pPr>
      <w:tabs>
        <w:tab w:val="left" w:pos="-720"/>
      </w:tabs>
      <w:suppressAutoHyphens/>
      <w:spacing w:line="240" w:lineRule="atLeast"/>
      <w:ind w:right="-144"/>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9C7" w:rsidRDefault="004259C7">
      <w:r>
        <w:rPr>
          <w:szCs w:val="24"/>
        </w:rPr>
        <w:separator/>
      </w:r>
    </w:p>
  </w:footnote>
  <w:footnote w:type="continuationSeparator" w:id="0">
    <w:p w:rsidR="004259C7" w:rsidRDefault="00425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5A9"/>
    <w:multiLevelType w:val="hybridMultilevel"/>
    <w:tmpl w:val="A97A3B9C"/>
    <w:lvl w:ilvl="0" w:tplc="0409000F">
      <w:start w:val="1"/>
      <w:numFmt w:val="decimal"/>
      <w:lvlText w:val="%1."/>
      <w:lvlJc w:val="left"/>
      <w:pPr>
        <w:ind w:left="1188" w:hanging="360"/>
      </w:pPr>
    </w:lvl>
    <w:lvl w:ilvl="1" w:tplc="04090019">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
    <w:nsid w:val="036572A0"/>
    <w:multiLevelType w:val="hybridMultilevel"/>
    <w:tmpl w:val="892C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86C98"/>
    <w:multiLevelType w:val="hybridMultilevel"/>
    <w:tmpl w:val="8FA65F0E"/>
    <w:lvl w:ilvl="0" w:tplc="20D02548">
      <w:start w:val="1"/>
      <w:numFmt w:val="bullet"/>
      <w:pStyle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E74458"/>
    <w:multiLevelType w:val="hybridMultilevel"/>
    <w:tmpl w:val="42FE823C"/>
    <w:lvl w:ilvl="0" w:tplc="CA54A4B6">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4">
    <w:nsid w:val="0E092B89"/>
    <w:multiLevelType w:val="hybridMultilevel"/>
    <w:tmpl w:val="2370E8E2"/>
    <w:lvl w:ilvl="0" w:tplc="4B685BB8">
      <w:start w:val="1003"/>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2EE7A40"/>
    <w:multiLevelType w:val="hybridMultilevel"/>
    <w:tmpl w:val="9D506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B0064"/>
    <w:multiLevelType w:val="hybridMultilevel"/>
    <w:tmpl w:val="87A4238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F731A0"/>
    <w:multiLevelType w:val="hybridMultilevel"/>
    <w:tmpl w:val="088E85B8"/>
    <w:lvl w:ilvl="0" w:tplc="04090009">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nsid w:val="174D0708"/>
    <w:multiLevelType w:val="hybridMultilevel"/>
    <w:tmpl w:val="8F2E7CD0"/>
    <w:lvl w:ilvl="0" w:tplc="E5CEAD3E">
      <w:start w:val="7"/>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9">
    <w:nsid w:val="197678CA"/>
    <w:multiLevelType w:val="hybridMultilevel"/>
    <w:tmpl w:val="060A1042"/>
    <w:lvl w:ilvl="0" w:tplc="DEC25D7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nsid w:val="19B8522D"/>
    <w:multiLevelType w:val="hybridMultilevel"/>
    <w:tmpl w:val="96DAA7E0"/>
    <w:lvl w:ilvl="0" w:tplc="5DAA9F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9FC13B7"/>
    <w:multiLevelType w:val="multilevel"/>
    <w:tmpl w:val="B7AEFF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15B5E26"/>
    <w:multiLevelType w:val="hybridMultilevel"/>
    <w:tmpl w:val="4CACB4BA"/>
    <w:lvl w:ilvl="0" w:tplc="D3200CFA">
      <w:start w:val="1"/>
      <w:numFmt w:val="lowerLetter"/>
      <w:lvlText w:val="%1."/>
      <w:lvlJc w:val="left"/>
      <w:pPr>
        <w:ind w:left="945" w:hanging="58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A7A35C7"/>
    <w:multiLevelType w:val="hybridMultilevel"/>
    <w:tmpl w:val="7DC43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564D45"/>
    <w:multiLevelType w:val="hybridMultilevel"/>
    <w:tmpl w:val="2788D47E"/>
    <w:lvl w:ilvl="0" w:tplc="686EAA2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E678D9"/>
    <w:multiLevelType w:val="hybridMultilevel"/>
    <w:tmpl w:val="DBF03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C86DDE"/>
    <w:multiLevelType w:val="hybridMultilevel"/>
    <w:tmpl w:val="77987F1C"/>
    <w:lvl w:ilvl="0" w:tplc="F21CD31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6376D1"/>
    <w:multiLevelType w:val="hybridMultilevel"/>
    <w:tmpl w:val="CE843B64"/>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3CFB2D2B"/>
    <w:multiLevelType w:val="hybridMultilevel"/>
    <w:tmpl w:val="EE68A31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8608AE"/>
    <w:multiLevelType w:val="hybridMultilevel"/>
    <w:tmpl w:val="1EC60D40"/>
    <w:lvl w:ilvl="0" w:tplc="04EACD22">
      <w:start w:val="1"/>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25277D2"/>
    <w:multiLevelType w:val="hybridMultilevel"/>
    <w:tmpl w:val="5122D5D6"/>
    <w:lvl w:ilvl="0" w:tplc="D1B0F074">
      <w:start w:val="4"/>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1">
    <w:nsid w:val="44F077A0"/>
    <w:multiLevelType w:val="multilevel"/>
    <w:tmpl w:val="EC9A96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6295296"/>
    <w:multiLevelType w:val="hybridMultilevel"/>
    <w:tmpl w:val="6C22D8B2"/>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8564003"/>
    <w:multiLevelType w:val="hybridMultilevel"/>
    <w:tmpl w:val="0DD85F38"/>
    <w:lvl w:ilvl="0" w:tplc="F21CD31A">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A893D07"/>
    <w:multiLevelType w:val="hybridMultilevel"/>
    <w:tmpl w:val="C870E82E"/>
    <w:lvl w:ilvl="0" w:tplc="4C0CEA5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516A1FDD"/>
    <w:multiLevelType w:val="hybridMultilevel"/>
    <w:tmpl w:val="C3B6C444"/>
    <w:lvl w:ilvl="0" w:tplc="6CF8D876">
      <w:start w:val="1003"/>
      <w:numFmt w:val="bullet"/>
      <w:lvlText w:val=""/>
      <w:lvlJc w:val="left"/>
      <w:pPr>
        <w:ind w:left="1152" w:hanging="360"/>
      </w:pPr>
      <w:rPr>
        <w:rFonts w:ascii="Symbol" w:eastAsia="Times New Roman" w:hAnsi="Symbol"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531C212B"/>
    <w:multiLevelType w:val="hybridMultilevel"/>
    <w:tmpl w:val="594A0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830254"/>
    <w:multiLevelType w:val="hybridMultilevel"/>
    <w:tmpl w:val="59D6DE66"/>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7E78BB"/>
    <w:multiLevelType w:val="hybridMultilevel"/>
    <w:tmpl w:val="044E83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086D0D"/>
    <w:multiLevelType w:val="hybridMultilevel"/>
    <w:tmpl w:val="2D1633BC"/>
    <w:lvl w:ilvl="0" w:tplc="58A880E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861549B"/>
    <w:multiLevelType w:val="hybridMultilevel"/>
    <w:tmpl w:val="911A178E"/>
    <w:lvl w:ilvl="0" w:tplc="3E8AA21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1">
    <w:nsid w:val="5DF669C3"/>
    <w:multiLevelType w:val="hybridMultilevel"/>
    <w:tmpl w:val="33220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EA11589"/>
    <w:multiLevelType w:val="hybridMultilevel"/>
    <w:tmpl w:val="314EF1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7085EE4"/>
    <w:multiLevelType w:val="hybridMultilevel"/>
    <w:tmpl w:val="5948A7A6"/>
    <w:lvl w:ilvl="0" w:tplc="CA54A4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9AE7D88"/>
    <w:multiLevelType w:val="hybridMultilevel"/>
    <w:tmpl w:val="526C5B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B2D610E"/>
    <w:multiLevelType w:val="hybridMultilevel"/>
    <w:tmpl w:val="34307B5C"/>
    <w:lvl w:ilvl="0" w:tplc="01CADD52">
      <w:start w:val="3"/>
      <w:numFmt w:val="upperLetter"/>
      <w:pStyle w:val="Heading4"/>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896557"/>
    <w:multiLevelType w:val="hybridMultilevel"/>
    <w:tmpl w:val="23443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A82BE8"/>
    <w:multiLevelType w:val="hybridMultilevel"/>
    <w:tmpl w:val="9B62A3E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E669B5"/>
    <w:multiLevelType w:val="hybridMultilevel"/>
    <w:tmpl w:val="0A86F31A"/>
    <w:lvl w:ilvl="0" w:tplc="3FEE1848">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515057D"/>
    <w:multiLevelType w:val="hybridMultilevel"/>
    <w:tmpl w:val="102EFFFC"/>
    <w:lvl w:ilvl="0" w:tplc="F81AA00A">
      <w:start w:val="3"/>
      <w:numFmt w:val="upperLetter"/>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0927EB"/>
    <w:multiLevelType w:val="hybridMultilevel"/>
    <w:tmpl w:val="4FB42F82"/>
    <w:lvl w:ilvl="0" w:tplc="F21CD31A">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9161774"/>
    <w:multiLevelType w:val="hybridMultilevel"/>
    <w:tmpl w:val="694867D8"/>
    <w:lvl w:ilvl="0" w:tplc="16340CC0">
      <w:start w:val="3"/>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2">
    <w:nsid w:val="79E94007"/>
    <w:multiLevelType w:val="hybridMultilevel"/>
    <w:tmpl w:val="3BF8EA08"/>
    <w:lvl w:ilvl="0" w:tplc="F21CD31A">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CBF791A"/>
    <w:multiLevelType w:val="hybridMultilevel"/>
    <w:tmpl w:val="8C38E894"/>
    <w:lvl w:ilvl="0" w:tplc="3CC010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D04BBC"/>
    <w:multiLevelType w:val="multilevel"/>
    <w:tmpl w:val="3BF8EA08"/>
    <w:lvl w:ilvl="0">
      <w:start w:val="1"/>
      <w:numFmt w:val="bullet"/>
      <w:lvlText w:val=""/>
      <w:lvlJc w:val="left"/>
      <w:pPr>
        <w:ind w:left="216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39"/>
  </w:num>
  <w:num w:numId="2">
    <w:abstractNumId w:val="10"/>
  </w:num>
  <w:num w:numId="3">
    <w:abstractNumId w:val="8"/>
  </w:num>
  <w:num w:numId="4">
    <w:abstractNumId w:val="35"/>
  </w:num>
  <w:num w:numId="5">
    <w:abstractNumId w:val="38"/>
  </w:num>
  <w:num w:numId="6">
    <w:abstractNumId w:val="33"/>
  </w:num>
  <w:num w:numId="7">
    <w:abstractNumId w:val="3"/>
  </w:num>
  <w:num w:numId="8">
    <w:abstractNumId w:val="30"/>
  </w:num>
  <w:num w:numId="9">
    <w:abstractNumId w:val="41"/>
  </w:num>
  <w:num w:numId="10">
    <w:abstractNumId w:val="9"/>
  </w:num>
  <w:num w:numId="11">
    <w:abstractNumId w:val="2"/>
  </w:num>
  <w:num w:numId="12">
    <w:abstractNumId w:val="26"/>
  </w:num>
  <w:num w:numId="13">
    <w:abstractNumId w:val="18"/>
  </w:num>
  <w:num w:numId="14">
    <w:abstractNumId w:val="27"/>
  </w:num>
  <w:num w:numId="15">
    <w:abstractNumId w:val="37"/>
  </w:num>
  <w:num w:numId="16">
    <w:abstractNumId w:val="14"/>
  </w:num>
  <w:num w:numId="17">
    <w:abstractNumId w:val="11"/>
  </w:num>
  <w:num w:numId="18">
    <w:abstractNumId w:val="21"/>
  </w:num>
  <w:num w:numId="19">
    <w:abstractNumId w:val="6"/>
  </w:num>
  <w:num w:numId="20">
    <w:abstractNumId w:val="22"/>
  </w:num>
  <w:num w:numId="21">
    <w:abstractNumId w:val="31"/>
  </w:num>
  <w:num w:numId="22">
    <w:abstractNumId w:val="13"/>
  </w:num>
  <w:num w:numId="23">
    <w:abstractNumId w:val="34"/>
  </w:num>
  <w:num w:numId="24">
    <w:abstractNumId w:val="0"/>
  </w:num>
  <w:num w:numId="25">
    <w:abstractNumId w:val="36"/>
  </w:num>
  <w:num w:numId="26">
    <w:abstractNumId w:val="28"/>
  </w:num>
  <w:num w:numId="27">
    <w:abstractNumId w:val="23"/>
  </w:num>
  <w:num w:numId="28">
    <w:abstractNumId w:val="40"/>
  </w:num>
  <w:num w:numId="29">
    <w:abstractNumId w:val="42"/>
  </w:num>
  <w:num w:numId="30">
    <w:abstractNumId w:val="44"/>
  </w:num>
  <w:num w:numId="31">
    <w:abstractNumId w:val="16"/>
  </w:num>
  <w:num w:numId="32">
    <w:abstractNumId w:val="15"/>
  </w:num>
  <w:num w:numId="33">
    <w:abstractNumId w:val="20"/>
  </w:num>
  <w:num w:numId="34">
    <w:abstractNumId w:val="5"/>
  </w:num>
  <w:num w:numId="35">
    <w:abstractNumId w:val="32"/>
  </w:num>
  <w:num w:numId="36">
    <w:abstractNumId w:val="12"/>
  </w:num>
  <w:num w:numId="37">
    <w:abstractNumId w:val="17"/>
  </w:num>
  <w:num w:numId="38">
    <w:abstractNumId w:val="19"/>
  </w:num>
  <w:num w:numId="39">
    <w:abstractNumId w:val="24"/>
  </w:num>
  <w:num w:numId="40">
    <w:abstractNumId w:val="29"/>
  </w:num>
  <w:num w:numId="41">
    <w:abstractNumId w:val="43"/>
  </w:num>
  <w:num w:numId="42">
    <w:abstractNumId w:val="1"/>
  </w:num>
  <w:num w:numId="43">
    <w:abstractNumId w:val="4"/>
  </w:num>
  <w:num w:numId="44">
    <w:abstractNumId w:val="25"/>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9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065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80A"/>
    <w:rsid w:val="00000B72"/>
    <w:rsid w:val="00001F1C"/>
    <w:rsid w:val="00002909"/>
    <w:rsid w:val="00006D93"/>
    <w:rsid w:val="00006F9A"/>
    <w:rsid w:val="00007726"/>
    <w:rsid w:val="0001616F"/>
    <w:rsid w:val="00020CA1"/>
    <w:rsid w:val="00046FB5"/>
    <w:rsid w:val="0004718C"/>
    <w:rsid w:val="00065C83"/>
    <w:rsid w:val="00070BA8"/>
    <w:rsid w:val="00084867"/>
    <w:rsid w:val="00090D1A"/>
    <w:rsid w:val="000A051D"/>
    <w:rsid w:val="000A2708"/>
    <w:rsid w:val="000B2EB1"/>
    <w:rsid w:val="000B408C"/>
    <w:rsid w:val="000B7A7A"/>
    <w:rsid w:val="000C1429"/>
    <w:rsid w:val="000C6924"/>
    <w:rsid w:val="000D0512"/>
    <w:rsid w:val="000D17E0"/>
    <w:rsid w:val="000D27B5"/>
    <w:rsid w:val="000D27CC"/>
    <w:rsid w:val="000E1ADC"/>
    <w:rsid w:val="000F01BB"/>
    <w:rsid w:val="000F2EE9"/>
    <w:rsid w:val="000F5423"/>
    <w:rsid w:val="00100067"/>
    <w:rsid w:val="00125FEA"/>
    <w:rsid w:val="00133CD8"/>
    <w:rsid w:val="001361ED"/>
    <w:rsid w:val="0014616F"/>
    <w:rsid w:val="00146BCB"/>
    <w:rsid w:val="0014745A"/>
    <w:rsid w:val="001524E1"/>
    <w:rsid w:val="00153B91"/>
    <w:rsid w:val="00157D85"/>
    <w:rsid w:val="00172E14"/>
    <w:rsid w:val="001765DB"/>
    <w:rsid w:val="001800D3"/>
    <w:rsid w:val="0018281F"/>
    <w:rsid w:val="00185504"/>
    <w:rsid w:val="001860E0"/>
    <w:rsid w:val="00190413"/>
    <w:rsid w:val="001904CF"/>
    <w:rsid w:val="00196F90"/>
    <w:rsid w:val="00197018"/>
    <w:rsid w:val="001A1A17"/>
    <w:rsid w:val="001A33EA"/>
    <w:rsid w:val="001B0207"/>
    <w:rsid w:val="001B24B5"/>
    <w:rsid w:val="001B421F"/>
    <w:rsid w:val="001D4027"/>
    <w:rsid w:val="001D40F3"/>
    <w:rsid w:val="001D62BE"/>
    <w:rsid w:val="001E293D"/>
    <w:rsid w:val="001F60F7"/>
    <w:rsid w:val="001F7B31"/>
    <w:rsid w:val="00200403"/>
    <w:rsid w:val="00200559"/>
    <w:rsid w:val="002034A2"/>
    <w:rsid w:val="00205D65"/>
    <w:rsid w:val="00206F14"/>
    <w:rsid w:val="0021194A"/>
    <w:rsid w:val="00211ED9"/>
    <w:rsid w:val="0021411D"/>
    <w:rsid w:val="002154B5"/>
    <w:rsid w:val="0022069F"/>
    <w:rsid w:val="002309B4"/>
    <w:rsid w:val="00230F4C"/>
    <w:rsid w:val="002322D2"/>
    <w:rsid w:val="002352B6"/>
    <w:rsid w:val="00243562"/>
    <w:rsid w:val="00244BE3"/>
    <w:rsid w:val="0024541C"/>
    <w:rsid w:val="00270916"/>
    <w:rsid w:val="00276A5E"/>
    <w:rsid w:val="002805FE"/>
    <w:rsid w:val="00284C66"/>
    <w:rsid w:val="00292D5E"/>
    <w:rsid w:val="00296009"/>
    <w:rsid w:val="002965BA"/>
    <w:rsid w:val="0029702B"/>
    <w:rsid w:val="00297C44"/>
    <w:rsid w:val="002A01D8"/>
    <w:rsid w:val="002A108B"/>
    <w:rsid w:val="002A54EB"/>
    <w:rsid w:val="002B188F"/>
    <w:rsid w:val="002B5516"/>
    <w:rsid w:val="002C66CB"/>
    <w:rsid w:val="002D0CB3"/>
    <w:rsid w:val="002D2EF3"/>
    <w:rsid w:val="002D4B28"/>
    <w:rsid w:val="002D6B82"/>
    <w:rsid w:val="002D79F4"/>
    <w:rsid w:val="002E0FDE"/>
    <w:rsid w:val="002E2287"/>
    <w:rsid w:val="002E4B64"/>
    <w:rsid w:val="002E5F9A"/>
    <w:rsid w:val="002F09BB"/>
    <w:rsid w:val="002F52B9"/>
    <w:rsid w:val="002F52C4"/>
    <w:rsid w:val="00300C52"/>
    <w:rsid w:val="0030189B"/>
    <w:rsid w:val="00301F50"/>
    <w:rsid w:val="00310895"/>
    <w:rsid w:val="00311EE4"/>
    <w:rsid w:val="003127F2"/>
    <w:rsid w:val="00320E86"/>
    <w:rsid w:val="00326045"/>
    <w:rsid w:val="0033006B"/>
    <w:rsid w:val="003354A5"/>
    <w:rsid w:val="00337F36"/>
    <w:rsid w:val="00342597"/>
    <w:rsid w:val="00344172"/>
    <w:rsid w:val="00346CF3"/>
    <w:rsid w:val="00351405"/>
    <w:rsid w:val="00351635"/>
    <w:rsid w:val="00356949"/>
    <w:rsid w:val="00356E4E"/>
    <w:rsid w:val="0035718F"/>
    <w:rsid w:val="00363208"/>
    <w:rsid w:val="00363453"/>
    <w:rsid w:val="00363C15"/>
    <w:rsid w:val="003660B9"/>
    <w:rsid w:val="003730F0"/>
    <w:rsid w:val="003778AD"/>
    <w:rsid w:val="003837C6"/>
    <w:rsid w:val="00390B9F"/>
    <w:rsid w:val="00396603"/>
    <w:rsid w:val="00396691"/>
    <w:rsid w:val="0039696F"/>
    <w:rsid w:val="003A1224"/>
    <w:rsid w:val="003A19F0"/>
    <w:rsid w:val="003A2650"/>
    <w:rsid w:val="003A4B95"/>
    <w:rsid w:val="003B64C4"/>
    <w:rsid w:val="003C276C"/>
    <w:rsid w:val="003C7321"/>
    <w:rsid w:val="003D0CEA"/>
    <w:rsid w:val="003D2322"/>
    <w:rsid w:val="003D374A"/>
    <w:rsid w:val="003D39DD"/>
    <w:rsid w:val="003D7057"/>
    <w:rsid w:val="003E2C69"/>
    <w:rsid w:val="003E5956"/>
    <w:rsid w:val="003E59B3"/>
    <w:rsid w:val="003F0044"/>
    <w:rsid w:val="003F3654"/>
    <w:rsid w:val="004004F5"/>
    <w:rsid w:val="00401051"/>
    <w:rsid w:val="00402610"/>
    <w:rsid w:val="00405B96"/>
    <w:rsid w:val="00413A4A"/>
    <w:rsid w:val="00416CC9"/>
    <w:rsid w:val="00422E4A"/>
    <w:rsid w:val="00424D14"/>
    <w:rsid w:val="004259C7"/>
    <w:rsid w:val="00443160"/>
    <w:rsid w:val="00444DC1"/>
    <w:rsid w:val="00446DC7"/>
    <w:rsid w:val="00452318"/>
    <w:rsid w:val="00455BD0"/>
    <w:rsid w:val="00466EC4"/>
    <w:rsid w:val="00467A25"/>
    <w:rsid w:val="00467D59"/>
    <w:rsid w:val="00472A52"/>
    <w:rsid w:val="00473FF1"/>
    <w:rsid w:val="00474D12"/>
    <w:rsid w:val="00482A61"/>
    <w:rsid w:val="00486FF1"/>
    <w:rsid w:val="00494B2C"/>
    <w:rsid w:val="004A133E"/>
    <w:rsid w:val="004A295C"/>
    <w:rsid w:val="004A2B46"/>
    <w:rsid w:val="004A2D58"/>
    <w:rsid w:val="004A6AF1"/>
    <w:rsid w:val="004A7425"/>
    <w:rsid w:val="004C1581"/>
    <w:rsid w:val="004C1876"/>
    <w:rsid w:val="004C6709"/>
    <w:rsid w:val="004D7706"/>
    <w:rsid w:val="004E0149"/>
    <w:rsid w:val="004E42F5"/>
    <w:rsid w:val="00506745"/>
    <w:rsid w:val="00517700"/>
    <w:rsid w:val="00521AD5"/>
    <w:rsid w:val="00526BC0"/>
    <w:rsid w:val="0053050A"/>
    <w:rsid w:val="0053565A"/>
    <w:rsid w:val="00537D8B"/>
    <w:rsid w:val="0054236A"/>
    <w:rsid w:val="0054725C"/>
    <w:rsid w:val="00550720"/>
    <w:rsid w:val="005545E4"/>
    <w:rsid w:val="00565190"/>
    <w:rsid w:val="00571B8F"/>
    <w:rsid w:val="0057396B"/>
    <w:rsid w:val="00573C3E"/>
    <w:rsid w:val="00575CD5"/>
    <w:rsid w:val="005829DF"/>
    <w:rsid w:val="00583FE4"/>
    <w:rsid w:val="00584270"/>
    <w:rsid w:val="005902C5"/>
    <w:rsid w:val="0059095E"/>
    <w:rsid w:val="005910D7"/>
    <w:rsid w:val="00593AD0"/>
    <w:rsid w:val="005970D4"/>
    <w:rsid w:val="005A180C"/>
    <w:rsid w:val="005A20D9"/>
    <w:rsid w:val="005A306C"/>
    <w:rsid w:val="005A32C0"/>
    <w:rsid w:val="005A5F72"/>
    <w:rsid w:val="005A6DB7"/>
    <w:rsid w:val="005B249F"/>
    <w:rsid w:val="005B2AA5"/>
    <w:rsid w:val="005B7875"/>
    <w:rsid w:val="005C4792"/>
    <w:rsid w:val="005C5EBB"/>
    <w:rsid w:val="005D255F"/>
    <w:rsid w:val="005E11B3"/>
    <w:rsid w:val="005E5ADD"/>
    <w:rsid w:val="005F4BD9"/>
    <w:rsid w:val="006026CF"/>
    <w:rsid w:val="00604257"/>
    <w:rsid w:val="006061DD"/>
    <w:rsid w:val="006107BB"/>
    <w:rsid w:val="00613147"/>
    <w:rsid w:val="0061346F"/>
    <w:rsid w:val="00615FD0"/>
    <w:rsid w:val="006161DF"/>
    <w:rsid w:val="00623099"/>
    <w:rsid w:val="006250B8"/>
    <w:rsid w:val="00634BBB"/>
    <w:rsid w:val="00635D50"/>
    <w:rsid w:val="00637F49"/>
    <w:rsid w:val="00642869"/>
    <w:rsid w:val="00651BB4"/>
    <w:rsid w:val="00655DF8"/>
    <w:rsid w:val="00661414"/>
    <w:rsid w:val="006633BD"/>
    <w:rsid w:val="00664174"/>
    <w:rsid w:val="00665AF1"/>
    <w:rsid w:val="00665B35"/>
    <w:rsid w:val="00666094"/>
    <w:rsid w:val="006760B1"/>
    <w:rsid w:val="00686DF0"/>
    <w:rsid w:val="00695616"/>
    <w:rsid w:val="00697112"/>
    <w:rsid w:val="006A31FE"/>
    <w:rsid w:val="006A6916"/>
    <w:rsid w:val="006B09D2"/>
    <w:rsid w:val="006B64E3"/>
    <w:rsid w:val="006C48B9"/>
    <w:rsid w:val="006D1707"/>
    <w:rsid w:val="006D2771"/>
    <w:rsid w:val="006E4844"/>
    <w:rsid w:val="006F1D0A"/>
    <w:rsid w:val="007068C9"/>
    <w:rsid w:val="007108B1"/>
    <w:rsid w:val="007116C9"/>
    <w:rsid w:val="00711B44"/>
    <w:rsid w:val="00717763"/>
    <w:rsid w:val="00726A9F"/>
    <w:rsid w:val="00731CCA"/>
    <w:rsid w:val="00732642"/>
    <w:rsid w:val="00734472"/>
    <w:rsid w:val="00734B28"/>
    <w:rsid w:val="00735FFB"/>
    <w:rsid w:val="0073742F"/>
    <w:rsid w:val="0074067A"/>
    <w:rsid w:val="0074252C"/>
    <w:rsid w:val="00742CD8"/>
    <w:rsid w:val="0074593D"/>
    <w:rsid w:val="007473E7"/>
    <w:rsid w:val="00753DAE"/>
    <w:rsid w:val="00760A39"/>
    <w:rsid w:val="00771FF2"/>
    <w:rsid w:val="00772FE9"/>
    <w:rsid w:val="00773248"/>
    <w:rsid w:val="007746D5"/>
    <w:rsid w:val="00774F1D"/>
    <w:rsid w:val="0077654F"/>
    <w:rsid w:val="00776659"/>
    <w:rsid w:val="007773D6"/>
    <w:rsid w:val="00783C52"/>
    <w:rsid w:val="00784EB2"/>
    <w:rsid w:val="007868B0"/>
    <w:rsid w:val="007900B1"/>
    <w:rsid w:val="0079410E"/>
    <w:rsid w:val="007A3D3E"/>
    <w:rsid w:val="007A3EA9"/>
    <w:rsid w:val="007B179F"/>
    <w:rsid w:val="007C3F95"/>
    <w:rsid w:val="007C4FDA"/>
    <w:rsid w:val="007D2058"/>
    <w:rsid w:val="007D4EBC"/>
    <w:rsid w:val="007D59A9"/>
    <w:rsid w:val="007F0101"/>
    <w:rsid w:val="007F29DB"/>
    <w:rsid w:val="007F539A"/>
    <w:rsid w:val="007F7E24"/>
    <w:rsid w:val="00803338"/>
    <w:rsid w:val="00803873"/>
    <w:rsid w:val="00803A6B"/>
    <w:rsid w:val="008042D6"/>
    <w:rsid w:val="008110EF"/>
    <w:rsid w:val="00811EDA"/>
    <w:rsid w:val="00813F26"/>
    <w:rsid w:val="00817634"/>
    <w:rsid w:val="00817860"/>
    <w:rsid w:val="00817AC8"/>
    <w:rsid w:val="008222ED"/>
    <w:rsid w:val="008252BB"/>
    <w:rsid w:val="00826854"/>
    <w:rsid w:val="00826FCC"/>
    <w:rsid w:val="008313DA"/>
    <w:rsid w:val="00832C5C"/>
    <w:rsid w:val="00843CE5"/>
    <w:rsid w:val="00847AFD"/>
    <w:rsid w:val="0085013E"/>
    <w:rsid w:val="0086064F"/>
    <w:rsid w:val="00862465"/>
    <w:rsid w:val="00864106"/>
    <w:rsid w:val="008650C3"/>
    <w:rsid w:val="008651C4"/>
    <w:rsid w:val="00865C12"/>
    <w:rsid w:val="008701CC"/>
    <w:rsid w:val="00874854"/>
    <w:rsid w:val="00883658"/>
    <w:rsid w:val="008A0B0A"/>
    <w:rsid w:val="008A0B60"/>
    <w:rsid w:val="008A3C35"/>
    <w:rsid w:val="008A5DED"/>
    <w:rsid w:val="008A774A"/>
    <w:rsid w:val="008B3CDA"/>
    <w:rsid w:val="008C0BB6"/>
    <w:rsid w:val="008C6656"/>
    <w:rsid w:val="008C7674"/>
    <w:rsid w:val="008C7A88"/>
    <w:rsid w:val="008D1480"/>
    <w:rsid w:val="008D14B8"/>
    <w:rsid w:val="008D44D1"/>
    <w:rsid w:val="008D691A"/>
    <w:rsid w:val="008E7EF4"/>
    <w:rsid w:val="008F3979"/>
    <w:rsid w:val="008F5BF0"/>
    <w:rsid w:val="008F759B"/>
    <w:rsid w:val="00906EDD"/>
    <w:rsid w:val="009153A0"/>
    <w:rsid w:val="00915DBA"/>
    <w:rsid w:val="009216D0"/>
    <w:rsid w:val="00922D34"/>
    <w:rsid w:val="0092693E"/>
    <w:rsid w:val="0093181C"/>
    <w:rsid w:val="00944637"/>
    <w:rsid w:val="009462EB"/>
    <w:rsid w:val="00950EA3"/>
    <w:rsid w:val="009651C5"/>
    <w:rsid w:val="009655DA"/>
    <w:rsid w:val="00967B4E"/>
    <w:rsid w:val="00967CD9"/>
    <w:rsid w:val="00970680"/>
    <w:rsid w:val="00970E35"/>
    <w:rsid w:val="0098084D"/>
    <w:rsid w:val="009815B3"/>
    <w:rsid w:val="00995711"/>
    <w:rsid w:val="00996D2D"/>
    <w:rsid w:val="009A0135"/>
    <w:rsid w:val="009A024C"/>
    <w:rsid w:val="009A4C17"/>
    <w:rsid w:val="009A571D"/>
    <w:rsid w:val="009B0144"/>
    <w:rsid w:val="009C554E"/>
    <w:rsid w:val="009D23CD"/>
    <w:rsid w:val="009E57E6"/>
    <w:rsid w:val="009E756D"/>
    <w:rsid w:val="009F3FDF"/>
    <w:rsid w:val="009F6451"/>
    <w:rsid w:val="00A11E3A"/>
    <w:rsid w:val="00A1356C"/>
    <w:rsid w:val="00A1371F"/>
    <w:rsid w:val="00A14391"/>
    <w:rsid w:val="00A21A03"/>
    <w:rsid w:val="00A24113"/>
    <w:rsid w:val="00A27FC4"/>
    <w:rsid w:val="00A33E3C"/>
    <w:rsid w:val="00A355BB"/>
    <w:rsid w:val="00A41601"/>
    <w:rsid w:val="00A42F99"/>
    <w:rsid w:val="00A542D3"/>
    <w:rsid w:val="00A61A51"/>
    <w:rsid w:val="00A668ED"/>
    <w:rsid w:val="00A720BF"/>
    <w:rsid w:val="00A85B80"/>
    <w:rsid w:val="00A87FE6"/>
    <w:rsid w:val="00A914FA"/>
    <w:rsid w:val="00A979CD"/>
    <w:rsid w:val="00AA0E29"/>
    <w:rsid w:val="00AA304B"/>
    <w:rsid w:val="00AA3E3C"/>
    <w:rsid w:val="00AA61A0"/>
    <w:rsid w:val="00AB07FC"/>
    <w:rsid w:val="00AB11F6"/>
    <w:rsid w:val="00AC6079"/>
    <w:rsid w:val="00AC6334"/>
    <w:rsid w:val="00AC7CA2"/>
    <w:rsid w:val="00AD1239"/>
    <w:rsid w:val="00AF17A9"/>
    <w:rsid w:val="00AF5337"/>
    <w:rsid w:val="00B02133"/>
    <w:rsid w:val="00B035A2"/>
    <w:rsid w:val="00B04762"/>
    <w:rsid w:val="00B05B8B"/>
    <w:rsid w:val="00B24F65"/>
    <w:rsid w:val="00B371A4"/>
    <w:rsid w:val="00B46B0F"/>
    <w:rsid w:val="00B51ADB"/>
    <w:rsid w:val="00B5473C"/>
    <w:rsid w:val="00B564D5"/>
    <w:rsid w:val="00B62115"/>
    <w:rsid w:val="00B63A9F"/>
    <w:rsid w:val="00B70B82"/>
    <w:rsid w:val="00B72050"/>
    <w:rsid w:val="00B7776F"/>
    <w:rsid w:val="00B77AC5"/>
    <w:rsid w:val="00B87239"/>
    <w:rsid w:val="00B9188A"/>
    <w:rsid w:val="00B92161"/>
    <w:rsid w:val="00B968E2"/>
    <w:rsid w:val="00BA0DC8"/>
    <w:rsid w:val="00BB6CA5"/>
    <w:rsid w:val="00BC0AFA"/>
    <w:rsid w:val="00BC1C98"/>
    <w:rsid w:val="00BC62D3"/>
    <w:rsid w:val="00BD00D6"/>
    <w:rsid w:val="00BD518B"/>
    <w:rsid w:val="00BE3420"/>
    <w:rsid w:val="00BF520B"/>
    <w:rsid w:val="00BF677B"/>
    <w:rsid w:val="00C0154B"/>
    <w:rsid w:val="00C04329"/>
    <w:rsid w:val="00C06A33"/>
    <w:rsid w:val="00C07ED8"/>
    <w:rsid w:val="00C15DA1"/>
    <w:rsid w:val="00C166F2"/>
    <w:rsid w:val="00C17DF8"/>
    <w:rsid w:val="00C17EED"/>
    <w:rsid w:val="00C224E0"/>
    <w:rsid w:val="00C235D8"/>
    <w:rsid w:val="00C3025C"/>
    <w:rsid w:val="00C41C6B"/>
    <w:rsid w:val="00C43910"/>
    <w:rsid w:val="00C45480"/>
    <w:rsid w:val="00C45744"/>
    <w:rsid w:val="00C45765"/>
    <w:rsid w:val="00C5574E"/>
    <w:rsid w:val="00C57A8D"/>
    <w:rsid w:val="00C62F23"/>
    <w:rsid w:val="00C72E47"/>
    <w:rsid w:val="00C7310B"/>
    <w:rsid w:val="00C737BD"/>
    <w:rsid w:val="00C83F96"/>
    <w:rsid w:val="00C87AE2"/>
    <w:rsid w:val="00C90B6E"/>
    <w:rsid w:val="00C90B7E"/>
    <w:rsid w:val="00CA005B"/>
    <w:rsid w:val="00CA1CA1"/>
    <w:rsid w:val="00CA4715"/>
    <w:rsid w:val="00CA75E0"/>
    <w:rsid w:val="00CA7EB2"/>
    <w:rsid w:val="00CB1D80"/>
    <w:rsid w:val="00CB1DA9"/>
    <w:rsid w:val="00CB2C04"/>
    <w:rsid w:val="00CC5CE8"/>
    <w:rsid w:val="00CC711C"/>
    <w:rsid w:val="00CD1E6E"/>
    <w:rsid w:val="00CD3BC6"/>
    <w:rsid w:val="00CD6B22"/>
    <w:rsid w:val="00CD7F68"/>
    <w:rsid w:val="00CE7797"/>
    <w:rsid w:val="00CE7A2D"/>
    <w:rsid w:val="00CF030D"/>
    <w:rsid w:val="00D00846"/>
    <w:rsid w:val="00D04119"/>
    <w:rsid w:val="00D04250"/>
    <w:rsid w:val="00D05628"/>
    <w:rsid w:val="00D1078C"/>
    <w:rsid w:val="00D24AD1"/>
    <w:rsid w:val="00D33792"/>
    <w:rsid w:val="00D342D1"/>
    <w:rsid w:val="00D422A8"/>
    <w:rsid w:val="00D51956"/>
    <w:rsid w:val="00D614EF"/>
    <w:rsid w:val="00D703DB"/>
    <w:rsid w:val="00D71C51"/>
    <w:rsid w:val="00D76FFE"/>
    <w:rsid w:val="00D77413"/>
    <w:rsid w:val="00D81DE9"/>
    <w:rsid w:val="00DA5219"/>
    <w:rsid w:val="00DB2611"/>
    <w:rsid w:val="00DC0AC4"/>
    <w:rsid w:val="00DC1A3D"/>
    <w:rsid w:val="00DC7389"/>
    <w:rsid w:val="00DD335A"/>
    <w:rsid w:val="00DD4321"/>
    <w:rsid w:val="00DD6298"/>
    <w:rsid w:val="00DD6791"/>
    <w:rsid w:val="00DE614D"/>
    <w:rsid w:val="00DE65D9"/>
    <w:rsid w:val="00DE6B0D"/>
    <w:rsid w:val="00DF5F44"/>
    <w:rsid w:val="00DF7ADA"/>
    <w:rsid w:val="00E004CA"/>
    <w:rsid w:val="00E1295B"/>
    <w:rsid w:val="00E13E99"/>
    <w:rsid w:val="00E27A0E"/>
    <w:rsid w:val="00E27BFE"/>
    <w:rsid w:val="00E3003F"/>
    <w:rsid w:val="00E360A0"/>
    <w:rsid w:val="00E36D6D"/>
    <w:rsid w:val="00E40324"/>
    <w:rsid w:val="00E43F35"/>
    <w:rsid w:val="00E53458"/>
    <w:rsid w:val="00E537F5"/>
    <w:rsid w:val="00E54E8B"/>
    <w:rsid w:val="00E55E20"/>
    <w:rsid w:val="00E57ED5"/>
    <w:rsid w:val="00E60DDD"/>
    <w:rsid w:val="00E664A3"/>
    <w:rsid w:val="00E739A6"/>
    <w:rsid w:val="00E83C79"/>
    <w:rsid w:val="00E83D3E"/>
    <w:rsid w:val="00E93183"/>
    <w:rsid w:val="00E96FD4"/>
    <w:rsid w:val="00EA7E86"/>
    <w:rsid w:val="00EC3F99"/>
    <w:rsid w:val="00EC4D4B"/>
    <w:rsid w:val="00EC4D4E"/>
    <w:rsid w:val="00EC671F"/>
    <w:rsid w:val="00EC753F"/>
    <w:rsid w:val="00ED032B"/>
    <w:rsid w:val="00ED1143"/>
    <w:rsid w:val="00ED1B5E"/>
    <w:rsid w:val="00ED3A90"/>
    <w:rsid w:val="00EE608F"/>
    <w:rsid w:val="00F017F7"/>
    <w:rsid w:val="00F07D75"/>
    <w:rsid w:val="00F132DB"/>
    <w:rsid w:val="00F1774E"/>
    <w:rsid w:val="00F233FF"/>
    <w:rsid w:val="00F23B10"/>
    <w:rsid w:val="00F31464"/>
    <w:rsid w:val="00F3388B"/>
    <w:rsid w:val="00F35911"/>
    <w:rsid w:val="00F42EEE"/>
    <w:rsid w:val="00F47225"/>
    <w:rsid w:val="00F574BB"/>
    <w:rsid w:val="00F622A8"/>
    <w:rsid w:val="00F76DD9"/>
    <w:rsid w:val="00F83159"/>
    <w:rsid w:val="00F836FD"/>
    <w:rsid w:val="00F8789D"/>
    <w:rsid w:val="00F9280A"/>
    <w:rsid w:val="00F94578"/>
    <w:rsid w:val="00F965DA"/>
    <w:rsid w:val="00FA4477"/>
    <w:rsid w:val="00FA5DD2"/>
    <w:rsid w:val="00FB0A61"/>
    <w:rsid w:val="00FB75D7"/>
    <w:rsid w:val="00FC2A1A"/>
    <w:rsid w:val="00FC3313"/>
    <w:rsid w:val="00FD23D5"/>
    <w:rsid w:val="00FD2F2D"/>
    <w:rsid w:val="00FD458E"/>
    <w:rsid w:val="00FE171A"/>
    <w:rsid w:val="00FE56D0"/>
    <w:rsid w:val="00FE5E08"/>
    <w:rsid w:val="00FE77F9"/>
    <w:rsid w:val="00FF0C6F"/>
    <w:rsid w:val="00FF3660"/>
    <w:rsid w:val="00FF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0CC"/>
    <w:pPr>
      <w:widowControl w:val="0"/>
      <w:autoSpaceDE w:val="0"/>
      <w:autoSpaceDN w:val="0"/>
      <w:adjustRightInd w:val="0"/>
    </w:pPr>
  </w:style>
  <w:style w:type="paragraph" w:styleId="Heading1">
    <w:name w:val="heading 1"/>
    <w:basedOn w:val="Normal"/>
    <w:next w:val="Normal"/>
    <w:qFormat/>
    <w:rsid w:val="000954DF"/>
    <w:pPr>
      <w:tabs>
        <w:tab w:val="left" w:pos="-3060"/>
        <w:tab w:val="center" w:pos="4752"/>
      </w:tabs>
      <w:suppressAutoHyphens/>
      <w:spacing w:after="240" w:line="240" w:lineRule="atLeast"/>
      <w:outlineLvl w:val="0"/>
    </w:pPr>
    <w:rPr>
      <w:sz w:val="30"/>
      <w:szCs w:val="30"/>
    </w:rPr>
  </w:style>
  <w:style w:type="paragraph" w:styleId="Heading2">
    <w:name w:val="heading 2"/>
    <w:basedOn w:val="Heading1"/>
    <w:qFormat/>
    <w:rsid w:val="000954DF"/>
    <w:pPr>
      <w:keepNext/>
      <w:tabs>
        <w:tab w:val="left" w:pos="432"/>
        <w:tab w:val="left" w:pos="720"/>
      </w:tabs>
      <w:spacing w:before="240"/>
      <w:outlineLvl w:val="1"/>
    </w:pPr>
  </w:style>
  <w:style w:type="paragraph" w:styleId="Heading3">
    <w:name w:val="heading 3"/>
    <w:basedOn w:val="Normal"/>
    <w:qFormat/>
    <w:rsid w:val="00513D6F"/>
    <w:pPr>
      <w:keepNext/>
      <w:tabs>
        <w:tab w:val="left" w:pos="-3060"/>
        <w:tab w:val="left" w:pos="0"/>
        <w:tab w:val="left" w:pos="432"/>
        <w:tab w:val="left" w:pos="720"/>
      </w:tabs>
      <w:suppressAutoHyphens/>
      <w:spacing w:after="240" w:line="240" w:lineRule="atLeast"/>
      <w:jc w:val="both"/>
      <w:outlineLvl w:val="2"/>
    </w:pPr>
    <w:rPr>
      <w:b/>
      <w:bCs/>
      <w:sz w:val="24"/>
      <w:szCs w:val="24"/>
      <w:u w:val="single"/>
    </w:rPr>
  </w:style>
  <w:style w:type="paragraph" w:styleId="Heading4">
    <w:name w:val="heading 4"/>
    <w:basedOn w:val="Normal"/>
    <w:next w:val="Normal"/>
    <w:qFormat/>
    <w:rsid w:val="00826FCC"/>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26FCC"/>
    <w:rPr>
      <w:szCs w:val="24"/>
    </w:rPr>
  </w:style>
  <w:style w:type="character" w:styleId="EndnoteReference">
    <w:name w:val="endnote reference"/>
    <w:basedOn w:val="DefaultParagraphFont"/>
    <w:semiHidden/>
    <w:rsid w:val="00826FCC"/>
    <w:rPr>
      <w:vertAlign w:val="superscript"/>
    </w:rPr>
  </w:style>
  <w:style w:type="paragraph" w:styleId="FootnoteText">
    <w:name w:val="footnote text"/>
    <w:basedOn w:val="Normal"/>
    <w:link w:val="FootnoteTextChar"/>
    <w:uiPriority w:val="99"/>
    <w:rsid w:val="00826FCC"/>
    <w:rPr>
      <w:szCs w:val="24"/>
    </w:rPr>
  </w:style>
  <w:style w:type="character" w:styleId="FootnoteReference">
    <w:name w:val="footnote reference"/>
    <w:basedOn w:val="DefaultParagraphFont"/>
    <w:uiPriority w:val="99"/>
    <w:rsid w:val="00826FCC"/>
    <w:rPr>
      <w:vertAlign w:val="superscript"/>
    </w:rPr>
  </w:style>
  <w:style w:type="paragraph" w:styleId="TOC1">
    <w:name w:val="toc 1"/>
    <w:basedOn w:val="Normal"/>
    <w:next w:val="Normal"/>
    <w:autoRedefine/>
    <w:semiHidden/>
    <w:rsid w:val="00826FCC"/>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826FCC"/>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826FCC"/>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826FCC"/>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826FCC"/>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826FCC"/>
    <w:pPr>
      <w:tabs>
        <w:tab w:val="right" w:pos="9360"/>
      </w:tabs>
      <w:suppressAutoHyphens/>
      <w:spacing w:line="240" w:lineRule="atLeast"/>
      <w:ind w:left="720" w:hanging="720"/>
    </w:pPr>
  </w:style>
  <w:style w:type="paragraph" w:styleId="TOC7">
    <w:name w:val="toc 7"/>
    <w:basedOn w:val="Normal"/>
    <w:next w:val="Normal"/>
    <w:autoRedefine/>
    <w:semiHidden/>
    <w:rsid w:val="00826FCC"/>
    <w:pPr>
      <w:suppressAutoHyphens/>
      <w:spacing w:line="240" w:lineRule="atLeast"/>
      <w:ind w:left="720" w:hanging="720"/>
    </w:pPr>
  </w:style>
  <w:style w:type="paragraph" w:styleId="TOC8">
    <w:name w:val="toc 8"/>
    <w:basedOn w:val="Normal"/>
    <w:next w:val="Normal"/>
    <w:autoRedefine/>
    <w:semiHidden/>
    <w:rsid w:val="00826FCC"/>
    <w:pPr>
      <w:tabs>
        <w:tab w:val="right" w:pos="9360"/>
      </w:tabs>
      <w:suppressAutoHyphens/>
      <w:spacing w:line="240" w:lineRule="atLeast"/>
      <w:ind w:left="720" w:hanging="720"/>
    </w:pPr>
  </w:style>
  <w:style w:type="paragraph" w:styleId="TOC9">
    <w:name w:val="toc 9"/>
    <w:basedOn w:val="Normal"/>
    <w:next w:val="Normal"/>
    <w:autoRedefine/>
    <w:semiHidden/>
    <w:rsid w:val="00826FCC"/>
    <w:pPr>
      <w:tabs>
        <w:tab w:val="right" w:leader="dot" w:pos="9360"/>
      </w:tabs>
      <w:suppressAutoHyphens/>
      <w:spacing w:line="240" w:lineRule="atLeast"/>
      <w:ind w:left="720" w:hanging="720"/>
    </w:pPr>
  </w:style>
  <w:style w:type="paragraph" w:styleId="Index1">
    <w:name w:val="index 1"/>
    <w:basedOn w:val="Normal"/>
    <w:next w:val="Normal"/>
    <w:autoRedefine/>
    <w:semiHidden/>
    <w:rsid w:val="00826FCC"/>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826FCC"/>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826FCC"/>
    <w:pPr>
      <w:tabs>
        <w:tab w:val="right" w:pos="9360"/>
      </w:tabs>
      <w:suppressAutoHyphens/>
      <w:spacing w:line="240" w:lineRule="atLeast"/>
    </w:pPr>
  </w:style>
  <w:style w:type="paragraph" w:styleId="Caption">
    <w:name w:val="caption"/>
    <w:basedOn w:val="Normal"/>
    <w:next w:val="Normal"/>
    <w:qFormat/>
    <w:rsid w:val="00826FCC"/>
    <w:rPr>
      <w:szCs w:val="24"/>
    </w:rPr>
  </w:style>
  <w:style w:type="character" w:customStyle="1" w:styleId="EquationCaption">
    <w:name w:val="_Equation Caption"/>
    <w:rsid w:val="00826FCC"/>
  </w:style>
  <w:style w:type="paragraph" w:styleId="BodyTextIndent">
    <w:name w:val="Body Text Indent"/>
    <w:basedOn w:val="Normal"/>
    <w:rsid w:val="00826FCC"/>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826F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826FCC"/>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link w:val="BodyTextChar"/>
    <w:rsid w:val="00513D6F"/>
    <w:pPr>
      <w:widowControl/>
      <w:tabs>
        <w:tab w:val="left" w:pos="-3060"/>
        <w:tab w:val="left" w:pos="0"/>
        <w:tab w:val="left" w:pos="432"/>
        <w:tab w:val="left" w:pos="720"/>
      </w:tabs>
      <w:suppressAutoHyphens/>
      <w:spacing w:after="240" w:line="240" w:lineRule="atLeast"/>
      <w:jc w:val="both"/>
    </w:pPr>
    <w:rPr>
      <w:sz w:val="24"/>
      <w:szCs w:val="24"/>
    </w:rPr>
  </w:style>
  <w:style w:type="paragraph" w:styleId="Header">
    <w:name w:val="header"/>
    <w:basedOn w:val="Normal"/>
    <w:link w:val="HeaderChar"/>
    <w:uiPriority w:val="99"/>
    <w:rsid w:val="00826FCC"/>
    <w:pPr>
      <w:tabs>
        <w:tab w:val="center" w:pos="4320"/>
        <w:tab w:val="right" w:pos="8640"/>
      </w:tabs>
    </w:pPr>
  </w:style>
  <w:style w:type="paragraph" w:styleId="Footer">
    <w:name w:val="footer"/>
    <w:basedOn w:val="Normal"/>
    <w:link w:val="FooterChar"/>
    <w:uiPriority w:val="99"/>
    <w:rsid w:val="00826FCC"/>
    <w:pPr>
      <w:tabs>
        <w:tab w:val="center" w:pos="4320"/>
        <w:tab w:val="right" w:pos="8640"/>
      </w:tabs>
    </w:pPr>
  </w:style>
  <w:style w:type="character" w:styleId="Hyperlink">
    <w:name w:val="Hyperlink"/>
    <w:basedOn w:val="DefaultParagraphFont"/>
    <w:uiPriority w:val="99"/>
    <w:rsid w:val="00826FCC"/>
    <w:rPr>
      <w:color w:val="0000FF"/>
      <w:u w:val="single"/>
    </w:rPr>
  </w:style>
  <w:style w:type="paragraph" w:styleId="BodyText2">
    <w:name w:val="Body Text 2"/>
    <w:basedOn w:val="Normal"/>
    <w:rsid w:val="00826FCC"/>
    <w:pPr>
      <w:tabs>
        <w:tab w:val="left" w:pos="-3060"/>
        <w:tab w:val="left" w:pos="0"/>
      </w:tabs>
      <w:suppressAutoHyphens/>
      <w:spacing w:line="240" w:lineRule="atLeast"/>
    </w:pPr>
    <w:rPr>
      <w:color w:val="FF0000"/>
      <w:sz w:val="24"/>
    </w:rPr>
  </w:style>
  <w:style w:type="paragraph" w:styleId="BodyText3">
    <w:name w:val="Body Text 3"/>
    <w:basedOn w:val="Normal"/>
    <w:rsid w:val="00826FCC"/>
    <w:pPr>
      <w:tabs>
        <w:tab w:val="left" w:pos="-3060"/>
        <w:tab w:val="left" w:pos="0"/>
      </w:tabs>
      <w:suppressAutoHyphens/>
      <w:spacing w:line="240" w:lineRule="atLeast"/>
      <w:jc w:val="center"/>
    </w:pPr>
    <w:rPr>
      <w:sz w:val="28"/>
      <w:szCs w:val="28"/>
      <w:u w:val="single"/>
    </w:rPr>
  </w:style>
  <w:style w:type="paragraph" w:styleId="BalloonText">
    <w:name w:val="Balloon Text"/>
    <w:basedOn w:val="Normal"/>
    <w:link w:val="BalloonTextChar"/>
    <w:uiPriority w:val="99"/>
    <w:rsid w:val="00826FCC"/>
    <w:rPr>
      <w:rFonts w:ascii="Tahoma" w:hAnsi="Tahoma" w:cs="Tahoma"/>
      <w:sz w:val="16"/>
      <w:szCs w:val="16"/>
    </w:rPr>
  </w:style>
  <w:style w:type="table" w:styleId="TableGrid">
    <w:name w:val="Table Grid"/>
    <w:basedOn w:val="TableNormal"/>
    <w:rsid w:val="00696EC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C4FE7"/>
  </w:style>
  <w:style w:type="character" w:styleId="FollowedHyperlink">
    <w:name w:val="FollowedHyperlink"/>
    <w:basedOn w:val="DefaultParagraphFont"/>
    <w:rsid w:val="00123220"/>
    <w:rPr>
      <w:color w:val="000000"/>
      <w:u w:val="single"/>
    </w:rPr>
  </w:style>
  <w:style w:type="paragraph" w:customStyle="1" w:styleId="bullet">
    <w:name w:val="bullet"/>
    <w:basedOn w:val="BodyText"/>
    <w:rsid w:val="00513D6F"/>
    <w:pPr>
      <w:numPr>
        <w:numId w:val="11"/>
      </w:numPr>
      <w:spacing w:after="0"/>
    </w:pPr>
  </w:style>
  <w:style w:type="paragraph" w:styleId="Title">
    <w:name w:val="Title"/>
    <w:basedOn w:val="Normal"/>
    <w:qFormat/>
    <w:rsid w:val="000954DF"/>
    <w:pPr>
      <w:tabs>
        <w:tab w:val="left" w:pos="-3060"/>
        <w:tab w:val="center" w:pos="4752"/>
      </w:tabs>
      <w:suppressAutoHyphens/>
      <w:spacing w:line="240" w:lineRule="atLeast"/>
    </w:pPr>
    <w:rPr>
      <w:b/>
      <w:bCs/>
      <w:sz w:val="32"/>
      <w:szCs w:val="32"/>
    </w:rPr>
  </w:style>
  <w:style w:type="character" w:customStyle="1" w:styleId="BodyTextChar">
    <w:name w:val="Body Text Char"/>
    <w:basedOn w:val="DefaultParagraphFont"/>
    <w:link w:val="BodyText"/>
    <w:rsid w:val="00A356E8"/>
    <w:rPr>
      <w:sz w:val="24"/>
      <w:szCs w:val="24"/>
    </w:rPr>
  </w:style>
  <w:style w:type="paragraph" w:styleId="NoSpacing">
    <w:name w:val="No Spacing"/>
    <w:qFormat/>
    <w:rsid w:val="008576CB"/>
    <w:rPr>
      <w:rFonts w:ascii="Calibri" w:eastAsia="Calibri" w:hAnsi="Calibri"/>
      <w:sz w:val="22"/>
      <w:szCs w:val="22"/>
    </w:rPr>
  </w:style>
  <w:style w:type="character" w:styleId="CommentReference">
    <w:name w:val="annotation reference"/>
    <w:basedOn w:val="DefaultParagraphFont"/>
    <w:uiPriority w:val="99"/>
    <w:rsid w:val="00C235B9"/>
    <w:rPr>
      <w:sz w:val="16"/>
      <w:szCs w:val="16"/>
    </w:rPr>
  </w:style>
  <w:style w:type="paragraph" w:styleId="CommentText">
    <w:name w:val="annotation text"/>
    <w:basedOn w:val="Normal"/>
    <w:link w:val="CommentTextChar"/>
    <w:uiPriority w:val="99"/>
    <w:rsid w:val="00C235B9"/>
  </w:style>
  <w:style w:type="character" w:customStyle="1" w:styleId="CommentTextChar">
    <w:name w:val="Comment Text Char"/>
    <w:basedOn w:val="DefaultParagraphFont"/>
    <w:link w:val="CommentText"/>
    <w:uiPriority w:val="99"/>
    <w:rsid w:val="00C235B9"/>
  </w:style>
  <w:style w:type="paragraph" w:styleId="CommentSubject">
    <w:name w:val="annotation subject"/>
    <w:basedOn w:val="CommentText"/>
    <w:next w:val="CommentText"/>
    <w:link w:val="CommentSubjectChar"/>
    <w:uiPriority w:val="99"/>
    <w:rsid w:val="00C235B9"/>
    <w:rPr>
      <w:b/>
      <w:bCs/>
    </w:rPr>
  </w:style>
  <w:style w:type="character" w:customStyle="1" w:styleId="CommentSubjectChar">
    <w:name w:val="Comment Subject Char"/>
    <w:basedOn w:val="CommentTextChar"/>
    <w:link w:val="CommentSubject"/>
    <w:uiPriority w:val="99"/>
    <w:rsid w:val="00C235B9"/>
    <w:rPr>
      <w:b/>
      <w:bCs/>
    </w:rPr>
  </w:style>
  <w:style w:type="character" w:customStyle="1" w:styleId="FootnoteTextChar">
    <w:name w:val="Footnote Text Char"/>
    <w:basedOn w:val="DefaultParagraphFont"/>
    <w:link w:val="FootnoteText"/>
    <w:uiPriority w:val="99"/>
    <w:locked/>
    <w:rsid w:val="00C46E70"/>
    <w:rPr>
      <w:szCs w:val="24"/>
    </w:rPr>
  </w:style>
  <w:style w:type="character" w:customStyle="1" w:styleId="BalloonTextChar">
    <w:name w:val="Balloon Text Char"/>
    <w:basedOn w:val="DefaultParagraphFont"/>
    <w:link w:val="BalloonText"/>
    <w:uiPriority w:val="99"/>
    <w:rsid w:val="00D841A8"/>
    <w:rPr>
      <w:rFonts w:ascii="Tahoma" w:hAnsi="Tahoma" w:cs="Tahoma"/>
      <w:sz w:val="16"/>
      <w:szCs w:val="16"/>
    </w:rPr>
  </w:style>
  <w:style w:type="character" w:customStyle="1" w:styleId="HeaderChar">
    <w:name w:val="Header Char"/>
    <w:basedOn w:val="DefaultParagraphFont"/>
    <w:link w:val="Header"/>
    <w:uiPriority w:val="99"/>
    <w:rsid w:val="00D841A8"/>
  </w:style>
  <w:style w:type="character" w:customStyle="1" w:styleId="FooterChar">
    <w:name w:val="Footer Char"/>
    <w:basedOn w:val="DefaultParagraphFont"/>
    <w:link w:val="Footer"/>
    <w:uiPriority w:val="99"/>
    <w:rsid w:val="00D841A8"/>
  </w:style>
  <w:style w:type="paragraph" w:styleId="ListParagraph">
    <w:name w:val="List Paragraph"/>
    <w:basedOn w:val="Normal"/>
    <w:uiPriority w:val="99"/>
    <w:qFormat/>
    <w:rsid w:val="00D841A8"/>
    <w:pPr>
      <w:widowControl/>
      <w:autoSpaceDE/>
      <w:autoSpaceDN/>
      <w:adjustRightInd/>
      <w:ind w:left="720"/>
      <w:contextualSpacing/>
    </w:pPr>
    <w:rPr>
      <w:sz w:val="24"/>
      <w:szCs w:val="24"/>
    </w:rPr>
  </w:style>
  <w:style w:type="character" w:styleId="Emphasis">
    <w:name w:val="Emphasis"/>
    <w:basedOn w:val="DefaultParagraphFont"/>
    <w:uiPriority w:val="99"/>
    <w:qFormat/>
    <w:rsid w:val="00D841A8"/>
    <w:rPr>
      <w:rFonts w:cs="Times New Roman"/>
      <w:i/>
      <w:iCs/>
    </w:rPr>
  </w:style>
  <w:style w:type="paragraph" w:styleId="DocumentMap">
    <w:name w:val="Document Map"/>
    <w:basedOn w:val="Normal"/>
    <w:link w:val="DocumentMapChar"/>
    <w:uiPriority w:val="99"/>
    <w:rsid w:val="00D841A8"/>
    <w:pPr>
      <w:widowControl/>
      <w:shd w:val="clear" w:color="auto" w:fill="000080"/>
      <w:autoSpaceDE/>
      <w:autoSpaceDN/>
      <w:adjustRightInd/>
    </w:pPr>
    <w:rPr>
      <w:rFonts w:ascii="Tahoma" w:hAnsi="Tahoma" w:cs="Tahoma"/>
    </w:rPr>
  </w:style>
  <w:style w:type="character" w:customStyle="1" w:styleId="DocumentMapChar">
    <w:name w:val="Document Map Char"/>
    <w:basedOn w:val="DefaultParagraphFont"/>
    <w:link w:val="DocumentMap"/>
    <w:uiPriority w:val="99"/>
    <w:rsid w:val="00D841A8"/>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0CC"/>
    <w:pPr>
      <w:widowControl w:val="0"/>
      <w:autoSpaceDE w:val="0"/>
      <w:autoSpaceDN w:val="0"/>
      <w:adjustRightInd w:val="0"/>
    </w:pPr>
  </w:style>
  <w:style w:type="paragraph" w:styleId="Heading1">
    <w:name w:val="heading 1"/>
    <w:basedOn w:val="Normal"/>
    <w:next w:val="Normal"/>
    <w:qFormat/>
    <w:rsid w:val="000954DF"/>
    <w:pPr>
      <w:tabs>
        <w:tab w:val="left" w:pos="-3060"/>
        <w:tab w:val="center" w:pos="4752"/>
      </w:tabs>
      <w:suppressAutoHyphens/>
      <w:spacing w:after="240" w:line="240" w:lineRule="atLeast"/>
      <w:outlineLvl w:val="0"/>
    </w:pPr>
    <w:rPr>
      <w:sz w:val="30"/>
      <w:szCs w:val="30"/>
    </w:rPr>
  </w:style>
  <w:style w:type="paragraph" w:styleId="Heading2">
    <w:name w:val="heading 2"/>
    <w:basedOn w:val="Heading1"/>
    <w:qFormat/>
    <w:rsid w:val="000954DF"/>
    <w:pPr>
      <w:keepNext/>
      <w:tabs>
        <w:tab w:val="left" w:pos="432"/>
        <w:tab w:val="left" w:pos="720"/>
      </w:tabs>
      <w:spacing w:before="240"/>
      <w:outlineLvl w:val="1"/>
    </w:pPr>
  </w:style>
  <w:style w:type="paragraph" w:styleId="Heading3">
    <w:name w:val="heading 3"/>
    <w:basedOn w:val="Normal"/>
    <w:qFormat/>
    <w:rsid w:val="00513D6F"/>
    <w:pPr>
      <w:keepNext/>
      <w:tabs>
        <w:tab w:val="left" w:pos="-3060"/>
        <w:tab w:val="left" w:pos="0"/>
        <w:tab w:val="left" w:pos="432"/>
        <w:tab w:val="left" w:pos="720"/>
      </w:tabs>
      <w:suppressAutoHyphens/>
      <w:spacing w:after="240" w:line="240" w:lineRule="atLeast"/>
      <w:jc w:val="both"/>
      <w:outlineLvl w:val="2"/>
    </w:pPr>
    <w:rPr>
      <w:b/>
      <w:bCs/>
      <w:sz w:val="24"/>
      <w:szCs w:val="24"/>
      <w:u w:val="single"/>
    </w:rPr>
  </w:style>
  <w:style w:type="paragraph" w:styleId="Heading4">
    <w:name w:val="heading 4"/>
    <w:basedOn w:val="Normal"/>
    <w:next w:val="Normal"/>
    <w:qFormat/>
    <w:rsid w:val="00826FCC"/>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26FCC"/>
    <w:rPr>
      <w:szCs w:val="24"/>
    </w:rPr>
  </w:style>
  <w:style w:type="character" w:styleId="EndnoteReference">
    <w:name w:val="endnote reference"/>
    <w:basedOn w:val="DefaultParagraphFont"/>
    <w:semiHidden/>
    <w:rsid w:val="00826FCC"/>
    <w:rPr>
      <w:vertAlign w:val="superscript"/>
    </w:rPr>
  </w:style>
  <w:style w:type="paragraph" w:styleId="FootnoteText">
    <w:name w:val="footnote text"/>
    <w:basedOn w:val="Normal"/>
    <w:link w:val="FootnoteTextChar"/>
    <w:uiPriority w:val="99"/>
    <w:rsid w:val="00826FCC"/>
    <w:rPr>
      <w:szCs w:val="24"/>
    </w:rPr>
  </w:style>
  <w:style w:type="character" w:styleId="FootnoteReference">
    <w:name w:val="footnote reference"/>
    <w:basedOn w:val="DefaultParagraphFont"/>
    <w:uiPriority w:val="99"/>
    <w:rsid w:val="00826FCC"/>
    <w:rPr>
      <w:vertAlign w:val="superscript"/>
    </w:rPr>
  </w:style>
  <w:style w:type="paragraph" w:styleId="TOC1">
    <w:name w:val="toc 1"/>
    <w:basedOn w:val="Normal"/>
    <w:next w:val="Normal"/>
    <w:autoRedefine/>
    <w:semiHidden/>
    <w:rsid w:val="00826FCC"/>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826FCC"/>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826FCC"/>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826FCC"/>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826FCC"/>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826FCC"/>
    <w:pPr>
      <w:tabs>
        <w:tab w:val="right" w:pos="9360"/>
      </w:tabs>
      <w:suppressAutoHyphens/>
      <w:spacing w:line="240" w:lineRule="atLeast"/>
      <w:ind w:left="720" w:hanging="720"/>
    </w:pPr>
  </w:style>
  <w:style w:type="paragraph" w:styleId="TOC7">
    <w:name w:val="toc 7"/>
    <w:basedOn w:val="Normal"/>
    <w:next w:val="Normal"/>
    <w:autoRedefine/>
    <w:semiHidden/>
    <w:rsid w:val="00826FCC"/>
    <w:pPr>
      <w:suppressAutoHyphens/>
      <w:spacing w:line="240" w:lineRule="atLeast"/>
      <w:ind w:left="720" w:hanging="720"/>
    </w:pPr>
  </w:style>
  <w:style w:type="paragraph" w:styleId="TOC8">
    <w:name w:val="toc 8"/>
    <w:basedOn w:val="Normal"/>
    <w:next w:val="Normal"/>
    <w:autoRedefine/>
    <w:semiHidden/>
    <w:rsid w:val="00826FCC"/>
    <w:pPr>
      <w:tabs>
        <w:tab w:val="right" w:pos="9360"/>
      </w:tabs>
      <w:suppressAutoHyphens/>
      <w:spacing w:line="240" w:lineRule="atLeast"/>
      <w:ind w:left="720" w:hanging="720"/>
    </w:pPr>
  </w:style>
  <w:style w:type="paragraph" w:styleId="TOC9">
    <w:name w:val="toc 9"/>
    <w:basedOn w:val="Normal"/>
    <w:next w:val="Normal"/>
    <w:autoRedefine/>
    <w:semiHidden/>
    <w:rsid w:val="00826FCC"/>
    <w:pPr>
      <w:tabs>
        <w:tab w:val="right" w:leader="dot" w:pos="9360"/>
      </w:tabs>
      <w:suppressAutoHyphens/>
      <w:spacing w:line="240" w:lineRule="atLeast"/>
      <w:ind w:left="720" w:hanging="720"/>
    </w:pPr>
  </w:style>
  <w:style w:type="paragraph" w:styleId="Index1">
    <w:name w:val="index 1"/>
    <w:basedOn w:val="Normal"/>
    <w:next w:val="Normal"/>
    <w:autoRedefine/>
    <w:semiHidden/>
    <w:rsid w:val="00826FCC"/>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826FCC"/>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826FCC"/>
    <w:pPr>
      <w:tabs>
        <w:tab w:val="right" w:pos="9360"/>
      </w:tabs>
      <w:suppressAutoHyphens/>
      <w:spacing w:line="240" w:lineRule="atLeast"/>
    </w:pPr>
  </w:style>
  <w:style w:type="paragraph" w:styleId="Caption">
    <w:name w:val="caption"/>
    <w:basedOn w:val="Normal"/>
    <w:next w:val="Normal"/>
    <w:qFormat/>
    <w:rsid w:val="00826FCC"/>
    <w:rPr>
      <w:szCs w:val="24"/>
    </w:rPr>
  </w:style>
  <w:style w:type="character" w:customStyle="1" w:styleId="EquationCaption">
    <w:name w:val="_Equation Caption"/>
    <w:rsid w:val="00826FCC"/>
  </w:style>
  <w:style w:type="paragraph" w:styleId="BodyTextIndent">
    <w:name w:val="Body Text Indent"/>
    <w:basedOn w:val="Normal"/>
    <w:rsid w:val="00826FCC"/>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826F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826FCC"/>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link w:val="BodyTextChar"/>
    <w:rsid w:val="00513D6F"/>
    <w:pPr>
      <w:widowControl/>
      <w:tabs>
        <w:tab w:val="left" w:pos="-3060"/>
        <w:tab w:val="left" w:pos="0"/>
        <w:tab w:val="left" w:pos="432"/>
        <w:tab w:val="left" w:pos="720"/>
      </w:tabs>
      <w:suppressAutoHyphens/>
      <w:spacing w:after="240" w:line="240" w:lineRule="atLeast"/>
      <w:jc w:val="both"/>
    </w:pPr>
    <w:rPr>
      <w:sz w:val="24"/>
      <w:szCs w:val="24"/>
    </w:rPr>
  </w:style>
  <w:style w:type="paragraph" w:styleId="Header">
    <w:name w:val="header"/>
    <w:basedOn w:val="Normal"/>
    <w:link w:val="HeaderChar"/>
    <w:uiPriority w:val="99"/>
    <w:rsid w:val="00826FCC"/>
    <w:pPr>
      <w:tabs>
        <w:tab w:val="center" w:pos="4320"/>
        <w:tab w:val="right" w:pos="8640"/>
      </w:tabs>
    </w:pPr>
  </w:style>
  <w:style w:type="paragraph" w:styleId="Footer">
    <w:name w:val="footer"/>
    <w:basedOn w:val="Normal"/>
    <w:link w:val="FooterChar"/>
    <w:uiPriority w:val="99"/>
    <w:rsid w:val="00826FCC"/>
    <w:pPr>
      <w:tabs>
        <w:tab w:val="center" w:pos="4320"/>
        <w:tab w:val="right" w:pos="8640"/>
      </w:tabs>
    </w:pPr>
  </w:style>
  <w:style w:type="character" w:styleId="Hyperlink">
    <w:name w:val="Hyperlink"/>
    <w:basedOn w:val="DefaultParagraphFont"/>
    <w:uiPriority w:val="99"/>
    <w:rsid w:val="00826FCC"/>
    <w:rPr>
      <w:color w:val="0000FF"/>
      <w:u w:val="single"/>
    </w:rPr>
  </w:style>
  <w:style w:type="paragraph" w:styleId="BodyText2">
    <w:name w:val="Body Text 2"/>
    <w:basedOn w:val="Normal"/>
    <w:rsid w:val="00826FCC"/>
    <w:pPr>
      <w:tabs>
        <w:tab w:val="left" w:pos="-3060"/>
        <w:tab w:val="left" w:pos="0"/>
      </w:tabs>
      <w:suppressAutoHyphens/>
      <w:spacing w:line="240" w:lineRule="atLeast"/>
    </w:pPr>
    <w:rPr>
      <w:color w:val="FF0000"/>
      <w:sz w:val="24"/>
    </w:rPr>
  </w:style>
  <w:style w:type="paragraph" w:styleId="BodyText3">
    <w:name w:val="Body Text 3"/>
    <w:basedOn w:val="Normal"/>
    <w:rsid w:val="00826FCC"/>
    <w:pPr>
      <w:tabs>
        <w:tab w:val="left" w:pos="-3060"/>
        <w:tab w:val="left" w:pos="0"/>
      </w:tabs>
      <w:suppressAutoHyphens/>
      <w:spacing w:line="240" w:lineRule="atLeast"/>
      <w:jc w:val="center"/>
    </w:pPr>
    <w:rPr>
      <w:sz w:val="28"/>
      <w:szCs w:val="28"/>
      <w:u w:val="single"/>
    </w:rPr>
  </w:style>
  <w:style w:type="paragraph" w:styleId="BalloonText">
    <w:name w:val="Balloon Text"/>
    <w:basedOn w:val="Normal"/>
    <w:link w:val="BalloonTextChar"/>
    <w:uiPriority w:val="99"/>
    <w:rsid w:val="00826FCC"/>
    <w:rPr>
      <w:rFonts w:ascii="Tahoma" w:hAnsi="Tahoma" w:cs="Tahoma"/>
      <w:sz w:val="16"/>
      <w:szCs w:val="16"/>
    </w:rPr>
  </w:style>
  <w:style w:type="table" w:styleId="TableGrid">
    <w:name w:val="Table Grid"/>
    <w:basedOn w:val="TableNormal"/>
    <w:rsid w:val="00696EC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C4FE7"/>
  </w:style>
  <w:style w:type="character" w:styleId="FollowedHyperlink">
    <w:name w:val="FollowedHyperlink"/>
    <w:basedOn w:val="DefaultParagraphFont"/>
    <w:rsid w:val="00123220"/>
    <w:rPr>
      <w:color w:val="000000"/>
      <w:u w:val="single"/>
    </w:rPr>
  </w:style>
  <w:style w:type="paragraph" w:customStyle="1" w:styleId="bullet">
    <w:name w:val="bullet"/>
    <w:basedOn w:val="BodyText"/>
    <w:rsid w:val="00513D6F"/>
    <w:pPr>
      <w:numPr>
        <w:numId w:val="11"/>
      </w:numPr>
      <w:spacing w:after="0"/>
    </w:pPr>
  </w:style>
  <w:style w:type="paragraph" w:styleId="Title">
    <w:name w:val="Title"/>
    <w:basedOn w:val="Normal"/>
    <w:qFormat/>
    <w:rsid w:val="000954DF"/>
    <w:pPr>
      <w:tabs>
        <w:tab w:val="left" w:pos="-3060"/>
        <w:tab w:val="center" w:pos="4752"/>
      </w:tabs>
      <w:suppressAutoHyphens/>
      <w:spacing w:line="240" w:lineRule="atLeast"/>
    </w:pPr>
    <w:rPr>
      <w:b/>
      <w:bCs/>
      <w:sz w:val="32"/>
      <w:szCs w:val="32"/>
    </w:rPr>
  </w:style>
  <w:style w:type="character" w:customStyle="1" w:styleId="BodyTextChar">
    <w:name w:val="Body Text Char"/>
    <w:basedOn w:val="DefaultParagraphFont"/>
    <w:link w:val="BodyText"/>
    <w:rsid w:val="00A356E8"/>
    <w:rPr>
      <w:sz w:val="24"/>
      <w:szCs w:val="24"/>
    </w:rPr>
  </w:style>
  <w:style w:type="paragraph" w:styleId="NoSpacing">
    <w:name w:val="No Spacing"/>
    <w:qFormat/>
    <w:rsid w:val="008576CB"/>
    <w:rPr>
      <w:rFonts w:ascii="Calibri" w:eastAsia="Calibri" w:hAnsi="Calibri"/>
      <w:sz w:val="22"/>
      <w:szCs w:val="22"/>
    </w:rPr>
  </w:style>
  <w:style w:type="character" w:styleId="CommentReference">
    <w:name w:val="annotation reference"/>
    <w:basedOn w:val="DefaultParagraphFont"/>
    <w:uiPriority w:val="99"/>
    <w:rsid w:val="00C235B9"/>
    <w:rPr>
      <w:sz w:val="16"/>
      <w:szCs w:val="16"/>
    </w:rPr>
  </w:style>
  <w:style w:type="paragraph" w:styleId="CommentText">
    <w:name w:val="annotation text"/>
    <w:basedOn w:val="Normal"/>
    <w:link w:val="CommentTextChar"/>
    <w:uiPriority w:val="99"/>
    <w:rsid w:val="00C235B9"/>
  </w:style>
  <w:style w:type="character" w:customStyle="1" w:styleId="CommentTextChar">
    <w:name w:val="Comment Text Char"/>
    <w:basedOn w:val="DefaultParagraphFont"/>
    <w:link w:val="CommentText"/>
    <w:uiPriority w:val="99"/>
    <w:rsid w:val="00C235B9"/>
  </w:style>
  <w:style w:type="paragraph" w:styleId="CommentSubject">
    <w:name w:val="annotation subject"/>
    <w:basedOn w:val="CommentText"/>
    <w:next w:val="CommentText"/>
    <w:link w:val="CommentSubjectChar"/>
    <w:uiPriority w:val="99"/>
    <w:rsid w:val="00C235B9"/>
    <w:rPr>
      <w:b/>
      <w:bCs/>
    </w:rPr>
  </w:style>
  <w:style w:type="character" w:customStyle="1" w:styleId="CommentSubjectChar">
    <w:name w:val="Comment Subject Char"/>
    <w:basedOn w:val="CommentTextChar"/>
    <w:link w:val="CommentSubject"/>
    <w:uiPriority w:val="99"/>
    <w:rsid w:val="00C235B9"/>
    <w:rPr>
      <w:b/>
      <w:bCs/>
    </w:rPr>
  </w:style>
  <w:style w:type="character" w:customStyle="1" w:styleId="FootnoteTextChar">
    <w:name w:val="Footnote Text Char"/>
    <w:basedOn w:val="DefaultParagraphFont"/>
    <w:link w:val="FootnoteText"/>
    <w:uiPriority w:val="99"/>
    <w:locked/>
    <w:rsid w:val="00C46E70"/>
    <w:rPr>
      <w:szCs w:val="24"/>
    </w:rPr>
  </w:style>
  <w:style w:type="character" w:customStyle="1" w:styleId="BalloonTextChar">
    <w:name w:val="Balloon Text Char"/>
    <w:basedOn w:val="DefaultParagraphFont"/>
    <w:link w:val="BalloonText"/>
    <w:uiPriority w:val="99"/>
    <w:rsid w:val="00D841A8"/>
    <w:rPr>
      <w:rFonts w:ascii="Tahoma" w:hAnsi="Tahoma" w:cs="Tahoma"/>
      <w:sz w:val="16"/>
      <w:szCs w:val="16"/>
    </w:rPr>
  </w:style>
  <w:style w:type="character" w:customStyle="1" w:styleId="HeaderChar">
    <w:name w:val="Header Char"/>
    <w:basedOn w:val="DefaultParagraphFont"/>
    <w:link w:val="Header"/>
    <w:uiPriority w:val="99"/>
    <w:rsid w:val="00D841A8"/>
  </w:style>
  <w:style w:type="character" w:customStyle="1" w:styleId="FooterChar">
    <w:name w:val="Footer Char"/>
    <w:basedOn w:val="DefaultParagraphFont"/>
    <w:link w:val="Footer"/>
    <w:uiPriority w:val="99"/>
    <w:rsid w:val="00D841A8"/>
  </w:style>
  <w:style w:type="paragraph" w:styleId="ListParagraph">
    <w:name w:val="List Paragraph"/>
    <w:basedOn w:val="Normal"/>
    <w:uiPriority w:val="99"/>
    <w:qFormat/>
    <w:rsid w:val="00D841A8"/>
    <w:pPr>
      <w:widowControl/>
      <w:autoSpaceDE/>
      <w:autoSpaceDN/>
      <w:adjustRightInd/>
      <w:ind w:left="720"/>
      <w:contextualSpacing/>
    </w:pPr>
    <w:rPr>
      <w:sz w:val="24"/>
      <w:szCs w:val="24"/>
    </w:rPr>
  </w:style>
  <w:style w:type="character" w:styleId="Emphasis">
    <w:name w:val="Emphasis"/>
    <w:basedOn w:val="DefaultParagraphFont"/>
    <w:uiPriority w:val="99"/>
    <w:qFormat/>
    <w:rsid w:val="00D841A8"/>
    <w:rPr>
      <w:rFonts w:cs="Times New Roman"/>
      <w:i/>
      <w:iCs/>
    </w:rPr>
  </w:style>
  <w:style w:type="paragraph" w:styleId="DocumentMap">
    <w:name w:val="Document Map"/>
    <w:basedOn w:val="Normal"/>
    <w:link w:val="DocumentMapChar"/>
    <w:uiPriority w:val="99"/>
    <w:rsid w:val="00D841A8"/>
    <w:pPr>
      <w:widowControl/>
      <w:shd w:val="clear" w:color="auto" w:fill="000080"/>
      <w:autoSpaceDE/>
      <w:autoSpaceDN/>
      <w:adjustRightInd/>
    </w:pPr>
    <w:rPr>
      <w:rFonts w:ascii="Tahoma" w:hAnsi="Tahoma" w:cs="Tahoma"/>
    </w:rPr>
  </w:style>
  <w:style w:type="character" w:customStyle="1" w:styleId="DocumentMapChar">
    <w:name w:val="Document Map Char"/>
    <w:basedOn w:val="DefaultParagraphFont"/>
    <w:link w:val="DocumentMap"/>
    <w:uiPriority w:val="99"/>
    <w:rsid w:val="00D841A8"/>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1374">
      <w:bodyDiv w:val="1"/>
      <w:marLeft w:val="0"/>
      <w:marRight w:val="0"/>
      <w:marTop w:val="0"/>
      <w:marBottom w:val="0"/>
      <w:divBdr>
        <w:top w:val="none" w:sz="0" w:space="0" w:color="auto"/>
        <w:left w:val="none" w:sz="0" w:space="0" w:color="auto"/>
        <w:bottom w:val="none" w:sz="0" w:space="0" w:color="auto"/>
        <w:right w:val="none" w:sz="0" w:space="0" w:color="auto"/>
      </w:divBdr>
    </w:div>
    <w:div w:id="67193657">
      <w:bodyDiv w:val="1"/>
      <w:marLeft w:val="0"/>
      <w:marRight w:val="0"/>
      <w:marTop w:val="0"/>
      <w:marBottom w:val="0"/>
      <w:divBdr>
        <w:top w:val="none" w:sz="0" w:space="0" w:color="auto"/>
        <w:left w:val="none" w:sz="0" w:space="0" w:color="auto"/>
        <w:bottom w:val="none" w:sz="0" w:space="0" w:color="auto"/>
        <w:right w:val="none" w:sz="0" w:space="0" w:color="auto"/>
      </w:divBdr>
    </w:div>
    <w:div w:id="69355781">
      <w:bodyDiv w:val="1"/>
      <w:marLeft w:val="0"/>
      <w:marRight w:val="0"/>
      <w:marTop w:val="0"/>
      <w:marBottom w:val="0"/>
      <w:divBdr>
        <w:top w:val="none" w:sz="0" w:space="0" w:color="auto"/>
        <w:left w:val="none" w:sz="0" w:space="0" w:color="auto"/>
        <w:bottom w:val="none" w:sz="0" w:space="0" w:color="auto"/>
        <w:right w:val="none" w:sz="0" w:space="0" w:color="auto"/>
      </w:divBdr>
    </w:div>
    <w:div w:id="168066088">
      <w:bodyDiv w:val="1"/>
      <w:marLeft w:val="0"/>
      <w:marRight w:val="0"/>
      <w:marTop w:val="0"/>
      <w:marBottom w:val="0"/>
      <w:divBdr>
        <w:top w:val="none" w:sz="0" w:space="0" w:color="auto"/>
        <w:left w:val="none" w:sz="0" w:space="0" w:color="auto"/>
        <w:bottom w:val="none" w:sz="0" w:space="0" w:color="auto"/>
        <w:right w:val="none" w:sz="0" w:space="0" w:color="auto"/>
      </w:divBdr>
    </w:div>
    <w:div w:id="194540756">
      <w:bodyDiv w:val="1"/>
      <w:marLeft w:val="0"/>
      <w:marRight w:val="0"/>
      <w:marTop w:val="0"/>
      <w:marBottom w:val="0"/>
      <w:divBdr>
        <w:top w:val="none" w:sz="0" w:space="0" w:color="auto"/>
        <w:left w:val="none" w:sz="0" w:space="0" w:color="auto"/>
        <w:bottom w:val="none" w:sz="0" w:space="0" w:color="auto"/>
        <w:right w:val="none" w:sz="0" w:space="0" w:color="auto"/>
      </w:divBdr>
    </w:div>
    <w:div w:id="327559436">
      <w:bodyDiv w:val="1"/>
      <w:marLeft w:val="0"/>
      <w:marRight w:val="0"/>
      <w:marTop w:val="0"/>
      <w:marBottom w:val="0"/>
      <w:divBdr>
        <w:top w:val="none" w:sz="0" w:space="0" w:color="auto"/>
        <w:left w:val="none" w:sz="0" w:space="0" w:color="auto"/>
        <w:bottom w:val="none" w:sz="0" w:space="0" w:color="auto"/>
        <w:right w:val="none" w:sz="0" w:space="0" w:color="auto"/>
      </w:divBdr>
    </w:div>
    <w:div w:id="382213522">
      <w:bodyDiv w:val="1"/>
      <w:marLeft w:val="0"/>
      <w:marRight w:val="0"/>
      <w:marTop w:val="0"/>
      <w:marBottom w:val="0"/>
      <w:divBdr>
        <w:top w:val="none" w:sz="0" w:space="0" w:color="auto"/>
        <w:left w:val="none" w:sz="0" w:space="0" w:color="auto"/>
        <w:bottom w:val="none" w:sz="0" w:space="0" w:color="auto"/>
        <w:right w:val="none" w:sz="0" w:space="0" w:color="auto"/>
      </w:divBdr>
    </w:div>
    <w:div w:id="407121098">
      <w:bodyDiv w:val="1"/>
      <w:marLeft w:val="0"/>
      <w:marRight w:val="0"/>
      <w:marTop w:val="0"/>
      <w:marBottom w:val="0"/>
      <w:divBdr>
        <w:top w:val="none" w:sz="0" w:space="0" w:color="auto"/>
        <w:left w:val="none" w:sz="0" w:space="0" w:color="auto"/>
        <w:bottom w:val="none" w:sz="0" w:space="0" w:color="auto"/>
        <w:right w:val="none" w:sz="0" w:space="0" w:color="auto"/>
      </w:divBdr>
      <w:divsChild>
        <w:div w:id="45951800">
          <w:marLeft w:val="0"/>
          <w:marRight w:val="0"/>
          <w:marTop w:val="0"/>
          <w:marBottom w:val="0"/>
          <w:divBdr>
            <w:top w:val="none" w:sz="0" w:space="0" w:color="auto"/>
            <w:left w:val="none" w:sz="0" w:space="0" w:color="auto"/>
            <w:bottom w:val="none" w:sz="0" w:space="0" w:color="auto"/>
            <w:right w:val="none" w:sz="0" w:space="0" w:color="auto"/>
          </w:divBdr>
          <w:divsChild>
            <w:div w:id="279341434">
              <w:marLeft w:val="0"/>
              <w:marRight w:val="0"/>
              <w:marTop w:val="0"/>
              <w:marBottom w:val="0"/>
              <w:divBdr>
                <w:top w:val="none" w:sz="0" w:space="0" w:color="auto"/>
                <w:left w:val="none" w:sz="0" w:space="0" w:color="auto"/>
                <w:bottom w:val="none" w:sz="0" w:space="0" w:color="auto"/>
                <w:right w:val="none" w:sz="0" w:space="0" w:color="auto"/>
              </w:divBdr>
              <w:divsChild>
                <w:div w:id="10297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95867">
      <w:bodyDiv w:val="1"/>
      <w:marLeft w:val="0"/>
      <w:marRight w:val="0"/>
      <w:marTop w:val="0"/>
      <w:marBottom w:val="0"/>
      <w:divBdr>
        <w:top w:val="none" w:sz="0" w:space="0" w:color="auto"/>
        <w:left w:val="none" w:sz="0" w:space="0" w:color="auto"/>
        <w:bottom w:val="none" w:sz="0" w:space="0" w:color="auto"/>
        <w:right w:val="none" w:sz="0" w:space="0" w:color="auto"/>
      </w:divBdr>
    </w:div>
    <w:div w:id="548037210">
      <w:bodyDiv w:val="1"/>
      <w:marLeft w:val="0"/>
      <w:marRight w:val="0"/>
      <w:marTop w:val="0"/>
      <w:marBottom w:val="0"/>
      <w:divBdr>
        <w:top w:val="none" w:sz="0" w:space="0" w:color="auto"/>
        <w:left w:val="none" w:sz="0" w:space="0" w:color="auto"/>
        <w:bottom w:val="none" w:sz="0" w:space="0" w:color="auto"/>
        <w:right w:val="none" w:sz="0" w:space="0" w:color="auto"/>
      </w:divBdr>
    </w:div>
    <w:div w:id="579410506">
      <w:bodyDiv w:val="1"/>
      <w:marLeft w:val="0"/>
      <w:marRight w:val="0"/>
      <w:marTop w:val="0"/>
      <w:marBottom w:val="0"/>
      <w:divBdr>
        <w:top w:val="none" w:sz="0" w:space="0" w:color="auto"/>
        <w:left w:val="none" w:sz="0" w:space="0" w:color="auto"/>
        <w:bottom w:val="none" w:sz="0" w:space="0" w:color="auto"/>
        <w:right w:val="none" w:sz="0" w:space="0" w:color="auto"/>
      </w:divBdr>
    </w:div>
    <w:div w:id="660158570">
      <w:bodyDiv w:val="1"/>
      <w:marLeft w:val="0"/>
      <w:marRight w:val="0"/>
      <w:marTop w:val="0"/>
      <w:marBottom w:val="0"/>
      <w:divBdr>
        <w:top w:val="none" w:sz="0" w:space="0" w:color="auto"/>
        <w:left w:val="none" w:sz="0" w:space="0" w:color="auto"/>
        <w:bottom w:val="none" w:sz="0" w:space="0" w:color="auto"/>
        <w:right w:val="none" w:sz="0" w:space="0" w:color="auto"/>
      </w:divBdr>
    </w:div>
    <w:div w:id="870190240">
      <w:bodyDiv w:val="1"/>
      <w:marLeft w:val="0"/>
      <w:marRight w:val="0"/>
      <w:marTop w:val="0"/>
      <w:marBottom w:val="0"/>
      <w:divBdr>
        <w:top w:val="none" w:sz="0" w:space="0" w:color="auto"/>
        <w:left w:val="none" w:sz="0" w:space="0" w:color="auto"/>
        <w:bottom w:val="none" w:sz="0" w:space="0" w:color="auto"/>
        <w:right w:val="none" w:sz="0" w:space="0" w:color="auto"/>
      </w:divBdr>
    </w:div>
    <w:div w:id="872814988">
      <w:bodyDiv w:val="1"/>
      <w:marLeft w:val="0"/>
      <w:marRight w:val="0"/>
      <w:marTop w:val="0"/>
      <w:marBottom w:val="0"/>
      <w:divBdr>
        <w:top w:val="none" w:sz="0" w:space="0" w:color="auto"/>
        <w:left w:val="none" w:sz="0" w:space="0" w:color="auto"/>
        <w:bottom w:val="none" w:sz="0" w:space="0" w:color="auto"/>
        <w:right w:val="none" w:sz="0" w:space="0" w:color="auto"/>
      </w:divBdr>
    </w:div>
    <w:div w:id="982738394">
      <w:bodyDiv w:val="1"/>
      <w:marLeft w:val="0"/>
      <w:marRight w:val="0"/>
      <w:marTop w:val="0"/>
      <w:marBottom w:val="0"/>
      <w:divBdr>
        <w:top w:val="none" w:sz="0" w:space="0" w:color="auto"/>
        <w:left w:val="none" w:sz="0" w:space="0" w:color="auto"/>
        <w:bottom w:val="none" w:sz="0" w:space="0" w:color="auto"/>
        <w:right w:val="none" w:sz="0" w:space="0" w:color="auto"/>
      </w:divBdr>
    </w:div>
    <w:div w:id="1570574819">
      <w:bodyDiv w:val="1"/>
      <w:marLeft w:val="0"/>
      <w:marRight w:val="0"/>
      <w:marTop w:val="0"/>
      <w:marBottom w:val="0"/>
      <w:divBdr>
        <w:top w:val="none" w:sz="0" w:space="0" w:color="auto"/>
        <w:left w:val="none" w:sz="0" w:space="0" w:color="auto"/>
        <w:bottom w:val="none" w:sz="0" w:space="0" w:color="auto"/>
        <w:right w:val="none" w:sz="0" w:space="0" w:color="auto"/>
      </w:divBdr>
      <w:divsChild>
        <w:div w:id="1449546573">
          <w:marLeft w:val="0"/>
          <w:marRight w:val="0"/>
          <w:marTop w:val="0"/>
          <w:marBottom w:val="0"/>
          <w:divBdr>
            <w:top w:val="none" w:sz="0" w:space="0" w:color="auto"/>
            <w:left w:val="none" w:sz="0" w:space="0" w:color="auto"/>
            <w:bottom w:val="none" w:sz="0" w:space="0" w:color="auto"/>
            <w:right w:val="none" w:sz="0" w:space="0" w:color="auto"/>
          </w:divBdr>
          <w:divsChild>
            <w:div w:id="372579709">
              <w:marLeft w:val="0"/>
              <w:marRight w:val="0"/>
              <w:marTop w:val="0"/>
              <w:marBottom w:val="0"/>
              <w:divBdr>
                <w:top w:val="none" w:sz="0" w:space="0" w:color="auto"/>
                <w:left w:val="none" w:sz="0" w:space="0" w:color="auto"/>
                <w:bottom w:val="none" w:sz="0" w:space="0" w:color="auto"/>
                <w:right w:val="none" w:sz="0" w:space="0" w:color="auto"/>
              </w:divBdr>
              <w:divsChild>
                <w:div w:id="2715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49731">
      <w:bodyDiv w:val="1"/>
      <w:marLeft w:val="0"/>
      <w:marRight w:val="0"/>
      <w:marTop w:val="0"/>
      <w:marBottom w:val="0"/>
      <w:divBdr>
        <w:top w:val="none" w:sz="0" w:space="0" w:color="auto"/>
        <w:left w:val="none" w:sz="0" w:space="0" w:color="auto"/>
        <w:bottom w:val="none" w:sz="0" w:space="0" w:color="auto"/>
        <w:right w:val="none" w:sz="0" w:space="0" w:color="auto"/>
      </w:divBdr>
      <w:divsChild>
        <w:div w:id="1363675499">
          <w:marLeft w:val="0"/>
          <w:marRight w:val="0"/>
          <w:marTop w:val="0"/>
          <w:marBottom w:val="0"/>
          <w:divBdr>
            <w:top w:val="none" w:sz="0" w:space="0" w:color="auto"/>
            <w:left w:val="none" w:sz="0" w:space="0" w:color="auto"/>
            <w:bottom w:val="none" w:sz="0" w:space="0" w:color="auto"/>
            <w:right w:val="none" w:sz="0" w:space="0" w:color="auto"/>
          </w:divBdr>
        </w:div>
      </w:divsChild>
    </w:div>
    <w:div w:id="1863518283">
      <w:bodyDiv w:val="1"/>
      <w:marLeft w:val="0"/>
      <w:marRight w:val="0"/>
      <w:marTop w:val="0"/>
      <w:marBottom w:val="0"/>
      <w:divBdr>
        <w:top w:val="none" w:sz="0" w:space="0" w:color="auto"/>
        <w:left w:val="none" w:sz="0" w:space="0" w:color="auto"/>
        <w:bottom w:val="none" w:sz="0" w:space="0" w:color="auto"/>
        <w:right w:val="none" w:sz="0" w:space="0" w:color="auto"/>
      </w:divBdr>
    </w:div>
    <w:div w:id="19599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3881</Words>
  <Characters>21454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CMS</Company>
  <LinksUpToDate>false</LinksUpToDate>
  <CharactersWithSpaces>25285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HHS/CMS</dc:creator>
  <cp:lastModifiedBy>JAMAA HILL</cp:lastModifiedBy>
  <cp:revision>2</cp:revision>
  <cp:lastPrinted>2011-08-16T15:54:00Z</cp:lastPrinted>
  <dcterms:created xsi:type="dcterms:W3CDTF">2015-02-05T18:01:00Z</dcterms:created>
  <dcterms:modified xsi:type="dcterms:W3CDTF">2015-02-05T18:01:00Z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US</vt:lpwstr>
  </property>
  <property fmtid="{D5CDD505-2E9C-101B-9397-08002B2CF9AE}" pid="3" name="_AdHocReviewCycleID">
    <vt:i4>1857163916</vt:i4>
  </property>
  <property fmtid="{D5CDD505-2E9C-101B-9397-08002B2CF9AE}" pid="4" name="_NewReviewCycle">
    <vt:lpwstr/>
  </property>
  <property fmtid="{D5CDD505-2E9C-101B-9397-08002B2CF9AE}" pid="5" name="_EmailSubject">
    <vt:lpwstr>Rate Review PRA non-substantive change request</vt:lpwstr>
  </property>
  <property fmtid="{D5CDD505-2E9C-101B-9397-08002B2CF9AE}" pid="6" name="_AuthorEmail">
    <vt:lpwstr>susie.lorden@cms.hhs.gov</vt:lpwstr>
  </property>
  <property fmtid="{D5CDD505-2E9C-101B-9397-08002B2CF9AE}" pid="7" name="_AuthorEmailDisplayName">
    <vt:lpwstr>Lorden, Susie (CMS/CCIIO)</vt:lpwstr>
  </property>
  <property fmtid="{D5CDD505-2E9C-101B-9397-08002B2CF9AE}" pid="8" name="_ReviewingToolsShownOnce">
    <vt:lpwstr/>
  </property>
</Properties>
</file>