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4AD0" w14:textId="77777777" w:rsidR="00ED78C5" w:rsidRPr="00701C90" w:rsidRDefault="00ED78C5" w:rsidP="00A46EE5">
      <w:pPr>
        <w:jc w:val="center"/>
        <w:rPr>
          <w:b/>
          <w:sz w:val="32"/>
        </w:rPr>
      </w:pPr>
      <w:bookmarkStart w:id="0" w:name="_GoBack"/>
      <w:bookmarkEnd w:id="0"/>
    </w:p>
    <w:p w14:paraId="631ED2B8" w14:textId="77777777" w:rsidR="00B61A44" w:rsidRPr="00701C90" w:rsidRDefault="00B61A44" w:rsidP="00B61A44">
      <w:pPr>
        <w:jc w:val="center"/>
        <w:rPr>
          <w:b/>
          <w:sz w:val="36"/>
          <w:szCs w:val="32"/>
        </w:rPr>
      </w:pPr>
      <w:r w:rsidRPr="00701C90">
        <w:rPr>
          <w:b/>
          <w:sz w:val="36"/>
          <w:szCs w:val="32"/>
        </w:rPr>
        <w:t xml:space="preserve">Supporting Statement </w:t>
      </w:r>
      <w:r w:rsidR="004E7629" w:rsidRPr="00701C90">
        <w:rPr>
          <w:b/>
          <w:sz w:val="36"/>
          <w:szCs w:val="32"/>
        </w:rPr>
        <w:t>A</w:t>
      </w:r>
      <w:r w:rsidRPr="00701C90">
        <w:rPr>
          <w:b/>
          <w:sz w:val="36"/>
          <w:szCs w:val="32"/>
        </w:rPr>
        <w:t xml:space="preserve"> For:</w:t>
      </w:r>
    </w:p>
    <w:p w14:paraId="3086CFC9" w14:textId="77777777" w:rsidR="00B61A44" w:rsidRPr="00701C90" w:rsidRDefault="00B61A44" w:rsidP="00B61A44">
      <w:pPr>
        <w:jc w:val="center"/>
        <w:rPr>
          <w:b/>
          <w:sz w:val="36"/>
          <w:szCs w:val="32"/>
        </w:rPr>
      </w:pPr>
    </w:p>
    <w:p w14:paraId="3EDE1DEC" w14:textId="77777777" w:rsidR="009868ED" w:rsidRPr="00701C90" w:rsidRDefault="009868ED" w:rsidP="00B61A44">
      <w:pPr>
        <w:jc w:val="center"/>
        <w:rPr>
          <w:b/>
          <w:sz w:val="36"/>
          <w:szCs w:val="32"/>
        </w:rPr>
      </w:pPr>
    </w:p>
    <w:p w14:paraId="6A2EC0A5" w14:textId="77777777" w:rsidR="00551A14" w:rsidRPr="00215CCB" w:rsidRDefault="00F90CA3" w:rsidP="00215CCB">
      <w:pPr>
        <w:spacing w:line="360" w:lineRule="auto"/>
        <w:jc w:val="center"/>
        <w:rPr>
          <w:sz w:val="36"/>
          <w:szCs w:val="32"/>
        </w:rPr>
      </w:pPr>
      <w:r w:rsidRPr="00701C90">
        <w:rPr>
          <w:sz w:val="36"/>
          <w:szCs w:val="32"/>
        </w:rPr>
        <w:t>Progress Report</w:t>
      </w:r>
      <w:r w:rsidR="00381BAC" w:rsidRPr="00701C90">
        <w:rPr>
          <w:sz w:val="36"/>
          <w:szCs w:val="32"/>
        </w:rPr>
        <w:t>s</w:t>
      </w:r>
      <w:r w:rsidR="00871D01" w:rsidRPr="00701C90">
        <w:rPr>
          <w:sz w:val="36"/>
          <w:szCs w:val="32"/>
        </w:rPr>
        <w:t xml:space="preserve"> for </w:t>
      </w:r>
      <w:r w:rsidR="00551A14" w:rsidRPr="00701C90">
        <w:rPr>
          <w:sz w:val="36"/>
          <w:szCs w:val="32"/>
        </w:rPr>
        <w:t xml:space="preserve">Center for Global Health's Low and Mid - Income Countries (LMICs) Global Health Collaborations </w:t>
      </w:r>
    </w:p>
    <w:p w14:paraId="1EA178F2" w14:textId="77777777" w:rsidR="00551A14" w:rsidRDefault="00551A14" w:rsidP="00B61A44">
      <w:pPr>
        <w:jc w:val="center"/>
        <w:rPr>
          <w:sz w:val="32"/>
          <w:szCs w:val="32"/>
        </w:rPr>
      </w:pPr>
    </w:p>
    <w:p w14:paraId="33A9B12F" w14:textId="77777777" w:rsidR="00871D01" w:rsidRPr="00701C90" w:rsidRDefault="00871D01" w:rsidP="00B61A44">
      <w:pPr>
        <w:jc w:val="center"/>
        <w:rPr>
          <w:b/>
          <w:sz w:val="32"/>
          <w:szCs w:val="28"/>
        </w:rPr>
      </w:pPr>
      <w:r w:rsidRPr="00701C90">
        <w:rPr>
          <w:sz w:val="36"/>
          <w:szCs w:val="32"/>
        </w:rPr>
        <w:t>(NCI)</w:t>
      </w:r>
    </w:p>
    <w:p w14:paraId="0FFF26AD" w14:textId="77777777" w:rsidR="00871D01" w:rsidRDefault="00871D01" w:rsidP="00215CCB">
      <w:pPr>
        <w:rPr>
          <w:b/>
          <w:sz w:val="28"/>
          <w:szCs w:val="28"/>
        </w:rPr>
      </w:pPr>
    </w:p>
    <w:p w14:paraId="4A7B8314" w14:textId="77777777" w:rsidR="00871D01" w:rsidRDefault="00871D01" w:rsidP="00B61A44">
      <w:pPr>
        <w:jc w:val="center"/>
        <w:rPr>
          <w:b/>
          <w:sz w:val="28"/>
          <w:szCs w:val="28"/>
        </w:rPr>
      </w:pPr>
    </w:p>
    <w:p w14:paraId="7F6073FF" w14:textId="77777777" w:rsidR="00871D01" w:rsidRDefault="00871D01" w:rsidP="00B61A44">
      <w:pPr>
        <w:jc w:val="center"/>
        <w:rPr>
          <w:b/>
          <w:sz w:val="28"/>
          <w:szCs w:val="28"/>
        </w:rPr>
      </w:pPr>
    </w:p>
    <w:p w14:paraId="324F06C2" w14:textId="4B87B909" w:rsidR="00023AD2" w:rsidRPr="00F90CA3" w:rsidRDefault="00B4301F" w:rsidP="00D53057">
      <w:pPr>
        <w:spacing w:line="360" w:lineRule="auto"/>
        <w:jc w:val="center"/>
        <w:rPr>
          <w:sz w:val="28"/>
          <w:szCs w:val="28"/>
        </w:rPr>
      </w:pPr>
      <w:r>
        <w:rPr>
          <w:sz w:val="28"/>
          <w:szCs w:val="28"/>
        </w:rPr>
        <w:t>February 4</w:t>
      </w:r>
      <w:r w:rsidR="00296150">
        <w:rPr>
          <w:sz w:val="28"/>
          <w:szCs w:val="28"/>
        </w:rPr>
        <w:t>, 2014</w:t>
      </w:r>
    </w:p>
    <w:p w14:paraId="1CC3038A" w14:textId="77777777" w:rsidR="00ED78C5" w:rsidRPr="007E7417" w:rsidRDefault="00ED78C5" w:rsidP="00215CCB">
      <w:pPr>
        <w:spacing w:line="360" w:lineRule="auto"/>
        <w:jc w:val="center"/>
        <w:rPr>
          <w:b/>
          <w:sz w:val="28"/>
          <w:szCs w:val="28"/>
        </w:rPr>
      </w:pPr>
    </w:p>
    <w:p w14:paraId="006B8E6B" w14:textId="77777777" w:rsidR="00B61A44" w:rsidRPr="007E7417" w:rsidRDefault="00B61A44" w:rsidP="00215CCB">
      <w:pPr>
        <w:spacing w:line="360" w:lineRule="auto"/>
        <w:jc w:val="center"/>
        <w:rPr>
          <w:b/>
          <w:sz w:val="28"/>
          <w:szCs w:val="28"/>
        </w:rPr>
      </w:pPr>
    </w:p>
    <w:p w14:paraId="394344B6" w14:textId="77777777" w:rsidR="00C903EE" w:rsidRPr="007E7417" w:rsidRDefault="00C903EE" w:rsidP="00215CCB">
      <w:pPr>
        <w:spacing w:line="360" w:lineRule="auto"/>
        <w:rPr>
          <w:sz w:val="28"/>
          <w:szCs w:val="28"/>
        </w:rPr>
      </w:pPr>
    </w:p>
    <w:p w14:paraId="64AFC98A" w14:textId="77777777" w:rsidR="00871D01" w:rsidRDefault="00F55C93" w:rsidP="00215CCB">
      <w:pPr>
        <w:spacing w:line="360" w:lineRule="auto"/>
        <w:jc w:val="center"/>
        <w:rPr>
          <w:color w:val="000000"/>
          <w:sz w:val="28"/>
          <w:szCs w:val="28"/>
        </w:rPr>
      </w:pPr>
      <w:r>
        <w:rPr>
          <w:color w:val="000000"/>
          <w:sz w:val="28"/>
          <w:szCs w:val="28"/>
        </w:rPr>
        <w:t>Paul C. Pearlman, Ph</w:t>
      </w:r>
      <w:r w:rsidR="00436EFA">
        <w:rPr>
          <w:color w:val="000000"/>
          <w:sz w:val="28"/>
          <w:szCs w:val="28"/>
        </w:rPr>
        <w:t>.</w:t>
      </w:r>
      <w:r>
        <w:rPr>
          <w:color w:val="000000"/>
          <w:sz w:val="28"/>
          <w:szCs w:val="28"/>
        </w:rPr>
        <w:t>D</w:t>
      </w:r>
      <w:r w:rsidR="00436EFA">
        <w:rPr>
          <w:color w:val="000000"/>
          <w:sz w:val="28"/>
          <w:szCs w:val="28"/>
        </w:rPr>
        <w:t>.</w:t>
      </w:r>
    </w:p>
    <w:p w14:paraId="46D3AD1E" w14:textId="77777777" w:rsidR="00871D01" w:rsidRPr="009950B7" w:rsidRDefault="00871D01" w:rsidP="00215CCB">
      <w:pPr>
        <w:spacing w:line="360" w:lineRule="auto"/>
        <w:jc w:val="center"/>
        <w:rPr>
          <w:color w:val="000000"/>
          <w:sz w:val="28"/>
          <w:szCs w:val="28"/>
        </w:rPr>
      </w:pPr>
      <w:r w:rsidRPr="009950B7">
        <w:rPr>
          <w:color w:val="000000"/>
          <w:sz w:val="28"/>
          <w:szCs w:val="28"/>
        </w:rPr>
        <w:t>Center for Global Health</w:t>
      </w:r>
    </w:p>
    <w:p w14:paraId="41A526A6" w14:textId="77777777" w:rsidR="00871D01" w:rsidRPr="009950B7" w:rsidRDefault="00871D01" w:rsidP="00215CCB">
      <w:pPr>
        <w:spacing w:line="360" w:lineRule="auto"/>
        <w:jc w:val="center"/>
        <w:rPr>
          <w:color w:val="000000"/>
          <w:sz w:val="28"/>
          <w:szCs w:val="28"/>
        </w:rPr>
      </w:pPr>
      <w:r w:rsidRPr="009950B7">
        <w:rPr>
          <w:color w:val="000000"/>
          <w:sz w:val="28"/>
          <w:szCs w:val="28"/>
        </w:rPr>
        <w:t>National Cancer Institute</w:t>
      </w:r>
    </w:p>
    <w:p w14:paraId="77C88478" w14:textId="77777777" w:rsidR="00871D01" w:rsidRPr="009950B7" w:rsidRDefault="00871D01" w:rsidP="00215CCB">
      <w:pPr>
        <w:spacing w:line="360" w:lineRule="auto"/>
        <w:jc w:val="center"/>
        <w:rPr>
          <w:color w:val="000000"/>
          <w:sz w:val="28"/>
          <w:szCs w:val="28"/>
        </w:rPr>
      </w:pPr>
    </w:p>
    <w:p w14:paraId="628EEB73" w14:textId="77777777" w:rsidR="00871D01" w:rsidRPr="009950B7" w:rsidRDefault="00871D01" w:rsidP="00215CCB">
      <w:pPr>
        <w:spacing w:line="360" w:lineRule="auto"/>
        <w:jc w:val="center"/>
        <w:rPr>
          <w:color w:val="000000"/>
          <w:sz w:val="28"/>
          <w:szCs w:val="28"/>
        </w:rPr>
      </w:pPr>
      <w:r w:rsidRPr="009950B7">
        <w:rPr>
          <w:color w:val="000000"/>
          <w:sz w:val="28"/>
          <w:szCs w:val="28"/>
        </w:rPr>
        <w:t>9609 Medical Center Dr.</w:t>
      </w:r>
    </w:p>
    <w:p w14:paraId="1FEB7E5C" w14:textId="77777777" w:rsidR="00871D01" w:rsidRPr="009950B7" w:rsidRDefault="006023FB" w:rsidP="00215CCB">
      <w:pPr>
        <w:spacing w:line="360" w:lineRule="auto"/>
        <w:jc w:val="center"/>
        <w:rPr>
          <w:color w:val="000000"/>
          <w:sz w:val="28"/>
          <w:szCs w:val="28"/>
        </w:rPr>
      </w:pPr>
      <w:r>
        <w:rPr>
          <w:color w:val="000000"/>
          <w:sz w:val="28"/>
          <w:szCs w:val="28"/>
        </w:rPr>
        <w:t>RM 3W55</w:t>
      </w:r>
      <w:r w:rsidR="00871D01">
        <w:rPr>
          <w:color w:val="000000"/>
          <w:sz w:val="28"/>
          <w:szCs w:val="28"/>
        </w:rPr>
        <w:t>0</w:t>
      </w:r>
    </w:p>
    <w:p w14:paraId="285B5242" w14:textId="77777777" w:rsidR="00871D01" w:rsidRPr="009950B7" w:rsidRDefault="00871D01" w:rsidP="00215CCB">
      <w:pPr>
        <w:spacing w:line="360" w:lineRule="auto"/>
        <w:jc w:val="center"/>
        <w:rPr>
          <w:color w:val="000000"/>
          <w:sz w:val="28"/>
          <w:szCs w:val="28"/>
        </w:rPr>
      </w:pPr>
      <w:r w:rsidRPr="009950B7">
        <w:rPr>
          <w:color w:val="000000"/>
          <w:sz w:val="28"/>
          <w:szCs w:val="28"/>
        </w:rPr>
        <w:t>Rockville MD, 20850</w:t>
      </w:r>
    </w:p>
    <w:p w14:paraId="526F88B7" w14:textId="77777777" w:rsidR="00871D01" w:rsidRPr="009950B7" w:rsidRDefault="00871D01" w:rsidP="00215CCB">
      <w:pPr>
        <w:spacing w:line="360" w:lineRule="auto"/>
        <w:jc w:val="center"/>
        <w:rPr>
          <w:color w:val="000000"/>
          <w:sz w:val="28"/>
          <w:szCs w:val="28"/>
        </w:rPr>
      </w:pPr>
    </w:p>
    <w:p w14:paraId="1BDCAD0C" w14:textId="77777777" w:rsidR="00871D01" w:rsidRPr="009950B7" w:rsidRDefault="00871D01" w:rsidP="00215CCB">
      <w:pPr>
        <w:tabs>
          <w:tab w:val="left" w:pos="3600"/>
        </w:tabs>
        <w:spacing w:line="360" w:lineRule="auto"/>
        <w:jc w:val="center"/>
        <w:rPr>
          <w:color w:val="000000"/>
          <w:sz w:val="28"/>
          <w:szCs w:val="28"/>
        </w:rPr>
      </w:pPr>
      <w:r w:rsidRPr="009950B7">
        <w:rPr>
          <w:color w:val="000000"/>
          <w:sz w:val="28"/>
          <w:szCs w:val="28"/>
        </w:rPr>
        <w:t xml:space="preserve">Telephone: </w:t>
      </w:r>
      <w:r w:rsidR="006023FB">
        <w:rPr>
          <w:color w:val="000000"/>
          <w:sz w:val="28"/>
          <w:szCs w:val="28"/>
        </w:rPr>
        <w:t>240-276-5354</w:t>
      </w:r>
    </w:p>
    <w:p w14:paraId="7BE773A8" w14:textId="77777777" w:rsidR="00F90CA3" w:rsidRPr="00F90CA3" w:rsidRDefault="00871D01" w:rsidP="00215CCB">
      <w:pPr>
        <w:tabs>
          <w:tab w:val="left" w:pos="3600"/>
        </w:tabs>
        <w:spacing w:line="360" w:lineRule="auto"/>
        <w:jc w:val="center"/>
        <w:rPr>
          <w:sz w:val="28"/>
          <w:szCs w:val="28"/>
        </w:rPr>
      </w:pPr>
      <w:r>
        <w:rPr>
          <w:color w:val="000000"/>
          <w:sz w:val="28"/>
          <w:szCs w:val="28"/>
        </w:rPr>
        <w:t xml:space="preserve">Email: </w:t>
      </w:r>
      <w:r w:rsidR="006023FB" w:rsidRPr="006023FB">
        <w:rPr>
          <w:color w:val="000000"/>
          <w:sz w:val="28"/>
          <w:szCs w:val="28"/>
        </w:rPr>
        <w:t>paul.pearlman@nih.gov</w:t>
      </w:r>
    </w:p>
    <w:p w14:paraId="794CED1D" w14:textId="77777777" w:rsidR="00B61A44" w:rsidRPr="00A05862" w:rsidRDefault="00F90CA3" w:rsidP="00215CCB">
      <w:pPr>
        <w:spacing w:line="360" w:lineRule="auto"/>
        <w:jc w:val="center"/>
        <w:rPr>
          <w:sz w:val="24"/>
        </w:rPr>
      </w:pPr>
      <w:r>
        <w:rPr>
          <w:sz w:val="24"/>
        </w:rPr>
        <w:br w:type="page"/>
      </w:r>
    </w:p>
    <w:p w14:paraId="17315FC2" w14:textId="77777777" w:rsidR="00254877" w:rsidRDefault="00254877" w:rsidP="000472EC">
      <w:pPr>
        <w:pStyle w:val="Footer"/>
        <w:rPr>
          <w:sz w:val="20"/>
        </w:rPr>
      </w:pPr>
    </w:p>
    <w:p w14:paraId="5C335072" w14:textId="77777777" w:rsidR="00E01B16" w:rsidRPr="00FA4BB7" w:rsidRDefault="00E01B16" w:rsidP="00F779E6">
      <w:pPr>
        <w:tabs>
          <w:tab w:val="left" w:pos="3510"/>
        </w:tabs>
        <w:jc w:val="center"/>
        <w:rPr>
          <w:b/>
          <w:sz w:val="24"/>
          <w:szCs w:val="24"/>
        </w:rPr>
      </w:pPr>
      <w:bookmarkStart w:id="1" w:name="_Toc5610271"/>
      <w:r w:rsidRPr="00FA4BB7">
        <w:rPr>
          <w:b/>
          <w:sz w:val="24"/>
          <w:szCs w:val="24"/>
        </w:rPr>
        <w:t xml:space="preserve">Table of </w:t>
      </w:r>
      <w:r w:rsidR="005B6C76">
        <w:rPr>
          <w:b/>
          <w:sz w:val="24"/>
          <w:szCs w:val="24"/>
        </w:rPr>
        <w:t>C</w:t>
      </w:r>
      <w:r w:rsidRPr="00FA4BB7">
        <w:rPr>
          <w:b/>
          <w:sz w:val="24"/>
          <w:szCs w:val="24"/>
        </w:rPr>
        <w:t>ontents</w:t>
      </w:r>
    </w:p>
    <w:p w14:paraId="37A1FD61" w14:textId="77777777" w:rsidR="0075475E" w:rsidRPr="005B6C76" w:rsidRDefault="0075475E" w:rsidP="00EB7F7D">
      <w:pPr>
        <w:pStyle w:val="TOC1"/>
      </w:pPr>
      <w:r w:rsidRPr="005B6C76">
        <w:fldChar w:fldCharType="begin"/>
      </w:r>
      <w:r w:rsidRPr="005B6C76">
        <w:instrText xml:space="preserve"> TOC \o "1-2" \u </w:instrText>
      </w:r>
      <w:r w:rsidRPr="005B6C76">
        <w:fldChar w:fldCharType="separate"/>
      </w:r>
      <w:r w:rsidRPr="005B6C76">
        <w:t>A.</w:t>
      </w:r>
      <w:r w:rsidR="00EB7F7D" w:rsidRPr="005B6C76">
        <w:tab/>
      </w:r>
      <w:r w:rsidRPr="00921126">
        <w:rPr>
          <w:caps w:val="0"/>
          <w:smallCaps/>
        </w:rPr>
        <w:t>J</w:t>
      </w:r>
      <w:r w:rsidR="00921126" w:rsidRPr="00921126">
        <w:rPr>
          <w:caps w:val="0"/>
          <w:smallCaps/>
        </w:rPr>
        <w:t>ustification</w:t>
      </w:r>
      <w:r w:rsidRPr="005B6C76">
        <w:tab/>
      </w:r>
      <w:r w:rsidRPr="005B6C76">
        <w:fldChar w:fldCharType="begin"/>
      </w:r>
      <w:r w:rsidRPr="005B6C76">
        <w:instrText xml:space="preserve"> PAGEREF _Toc99178777 \h </w:instrText>
      </w:r>
      <w:r w:rsidRPr="005B6C76">
        <w:fldChar w:fldCharType="separate"/>
      </w:r>
      <w:r w:rsidR="002225E8">
        <w:t>iii</w:t>
      </w:r>
      <w:r w:rsidRPr="005B6C76">
        <w:fldChar w:fldCharType="end"/>
      </w:r>
    </w:p>
    <w:p w14:paraId="5C825584"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w:t>
      </w:r>
      <w:r w:rsidRPr="005B6C76">
        <w:rPr>
          <w:noProof/>
          <w:sz w:val="24"/>
          <w:szCs w:val="24"/>
        </w:rPr>
        <w:tab/>
      </w:r>
      <w:r w:rsidR="0075475E" w:rsidRPr="005B6C76">
        <w:rPr>
          <w:noProof/>
          <w:sz w:val="24"/>
          <w:szCs w:val="24"/>
        </w:rPr>
        <w:t>Circumstances Making the Collection of Information Necessary</w:t>
      </w:r>
      <w:r w:rsidR="0075475E" w:rsidRPr="005B6C76">
        <w:rPr>
          <w:noProof/>
          <w:sz w:val="24"/>
          <w:szCs w:val="24"/>
        </w:rPr>
        <w:tab/>
      </w:r>
      <w:r w:rsidR="0075475E" w:rsidRPr="005B6C76">
        <w:rPr>
          <w:noProof/>
          <w:sz w:val="24"/>
          <w:szCs w:val="24"/>
        </w:rPr>
        <w:fldChar w:fldCharType="begin"/>
      </w:r>
      <w:r w:rsidR="0075475E" w:rsidRPr="005B6C76">
        <w:rPr>
          <w:noProof/>
          <w:sz w:val="24"/>
          <w:szCs w:val="24"/>
        </w:rPr>
        <w:instrText xml:space="preserve"> PAGEREF _Toc99178778 \h </w:instrText>
      </w:r>
      <w:r w:rsidR="0075475E" w:rsidRPr="005B6C76">
        <w:rPr>
          <w:noProof/>
          <w:sz w:val="24"/>
          <w:szCs w:val="24"/>
        </w:rPr>
      </w:r>
      <w:r w:rsidR="0075475E" w:rsidRPr="005B6C76">
        <w:rPr>
          <w:noProof/>
          <w:sz w:val="24"/>
          <w:szCs w:val="24"/>
        </w:rPr>
        <w:fldChar w:fldCharType="separate"/>
      </w:r>
      <w:r w:rsidR="002225E8">
        <w:rPr>
          <w:noProof/>
          <w:sz w:val="24"/>
          <w:szCs w:val="24"/>
        </w:rPr>
        <w:t>1</w:t>
      </w:r>
      <w:r w:rsidR="0075475E" w:rsidRPr="005B6C76">
        <w:rPr>
          <w:noProof/>
          <w:sz w:val="24"/>
          <w:szCs w:val="24"/>
        </w:rPr>
        <w:fldChar w:fldCharType="end"/>
      </w:r>
    </w:p>
    <w:p w14:paraId="0F179CA5"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2.</w:t>
      </w:r>
      <w:r w:rsidR="0075475E" w:rsidRPr="005B6C76">
        <w:rPr>
          <w:noProof/>
          <w:sz w:val="24"/>
          <w:szCs w:val="24"/>
        </w:rPr>
        <w:tab/>
        <w:t>Purpose and Use of the Information</w:t>
      </w:r>
      <w:r w:rsidR="00CC2A3E">
        <w:rPr>
          <w:noProof/>
          <w:sz w:val="24"/>
          <w:szCs w:val="24"/>
        </w:rPr>
        <w:t xml:space="preserve"> Collection</w:t>
      </w:r>
      <w:r w:rsidR="0075475E" w:rsidRPr="005B6C76">
        <w:rPr>
          <w:noProof/>
          <w:sz w:val="24"/>
          <w:szCs w:val="24"/>
        </w:rPr>
        <w:tab/>
      </w:r>
      <w:r w:rsidR="00723DEC">
        <w:rPr>
          <w:noProof/>
          <w:sz w:val="24"/>
          <w:szCs w:val="24"/>
        </w:rPr>
        <w:t>5</w:t>
      </w:r>
    </w:p>
    <w:p w14:paraId="17E12ACE"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3</w:t>
      </w:r>
      <w:r w:rsidR="0075475E" w:rsidRPr="005B6C76">
        <w:rPr>
          <w:noProof/>
          <w:sz w:val="24"/>
          <w:szCs w:val="24"/>
        </w:rPr>
        <w:tab/>
        <w:t xml:space="preserve">Use of </w:t>
      </w:r>
      <w:r w:rsidR="00AA0184">
        <w:rPr>
          <w:noProof/>
          <w:sz w:val="24"/>
          <w:szCs w:val="24"/>
        </w:rPr>
        <w:t xml:space="preserve">Improved </w:t>
      </w:r>
      <w:r w:rsidR="0075475E" w:rsidRPr="005B6C76">
        <w:rPr>
          <w:noProof/>
          <w:sz w:val="24"/>
          <w:szCs w:val="24"/>
        </w:rPr>
        <w:t>Information Technology and Burden Reduction</w:t>
      </w:r>
      <w:r w:rsidR="0075475E" w:rsidRPr="005B6C76">
        <w:rPr>
          <w:noProof/>
          <w:sz w:val="24"/>
          <w:szCs w:val="24"/>
        </w:rPr>
        <w:tab/>
      </w:r>
      <w:r w:rsidR="001C071D">
        <w:rPr>
          <w:noProof/>
          <w:sz w:val="24"/>
          <w:szCs w:val="24"/>
        </w:rPr>
        <w:t>7</w:t>
      </w:r>
    </w:p>
    <w:p w14:paraId="3433D18A"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4</w:t>
      </w:r>
      <w:r w:rsidR="0075475E" w:rsidRPr="005B6C76">
        <w:rPr>
          <w:noProof/>
          <w:sz w:val="24"/>
          <w:szCs w:val="24"/>
        </w:rPr>
        <w:tab/>
        <w:t>Efforts to Identify Duplication and Use of Similar Information</w:t>
      </w:r>
      <w:r w:rsidR="0075475E" w:rsidRPr="005B6C76">
        <w:rPr>
          <w:noProof/>
          <w:sz w:val="24"/>
          <w:szCs w:val="24"/>
        </w:rPr>
        <w:tab/>
      </w:r>
      <w:r w:rsidR="001C071D">
        <w:rPr>
          <w:noProof/>
          <w:sz w:val="24"/>
          <w:szCs w:val="24"/>
        </w:rPr>
        <w:t>8</w:t>
      </w:r>
    </w:p>
    <w:p w14:paraId="42FA7785" w14:textId="77777777" w:rsidR="009A27B2" w:rsidRPr="005B6C76" w:rsidRDefault="005B07A6" w:rsidP="005B07A6">
      <w:pPr>
        <w:pStyle w:val="TOC2"/>
        <w:rPr>
          <w:noProof/>
          <w:sz w:val="24"/>
          <w:szCs w:val="24"/>
        </w:rPr>
      </w:pPr>
      <w:r w:rsidRPr="005B6C76">
        <w:rPr>
          <w:noProof/>
          <w:sz w:val="24"/>
          <w:szCs w:val="24"/>
        </w:rPr>
        <w:t>A.</w:t>
      </w:r>
      <w:r w:rsidR="0075475E" w:rsidRPr="005B6C76">
        <w:rPr>
          <w:noProof/>
          <w:sz w:val="24"/>
          <w:szCs w:val="24"/>
        </w:rPr>
        <w:t>5</w:t>
      </w:r>
      <w:r w:rsidR="0075475E" w:rsidRPr="005B6C76">
        <w:rPr>
          <w:noProof/>
          <w:sz w:val="24"/>
          <w:szCs w:val="24"/>
        </w:rPr>
        <w:tab/>
        <w:t>Impact on Small Businesses or Other Small Entities</w:t>
      </w:r>
      <w:r w:rsidR="0075475E" w:rsidRPr="005B6C76">
        <w:rPr>
          <w:noProof/>
          <w:sz w:val="24"/>
          <w:szCs w:val="24"/>
        </w:rPr>
        <w:tab/>
      </w:r>
      <w:r w:rsidR="001C071D">
        <w:rPr>
          <w:noProof/>
          <w:sz w:val="24"/>
          <w:szCs w:val="24"/>
        </w:rPr>
        <w:t>8</w:t>
      </w:r>
    </w:p>
    <w:p w14:paraId="1DC801BC"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6</w:t>
      </w:r>
      <w:r w:rsidR="0075475E" w:rsidRPr="005B6C76">
        <w:rPr>
          <w:noProof/>
          <w:sz w:val="24"/>
          <w:szCs w:val="24"/>
        </w:rPr>
        <w:tab/>
        <w:t>Consequences of Collecting the Information Less Frequently</w:t>
      </w:r>
      <w:r w:rsidR="0075475E" w:rsidRPr="005B6C76">
        <w:rPr>
          <w:noProof/>
          <w:sz w:val="24"/>
          <w:szCs w:val="24"/>
        </w:rPr>
        <w:tab/>
      </w:r>
      <w:r w:rsidR="001C071D">
        <w:rPr>
          <w:noProof/>
          <w:sz w:val="24"/>
          <w:szCs w:val="24"/>
        </w:rPr>
        <w:t>8</w:t>
      </w:r>
    </w:p>
    <w:p w14:paraId="1CF749AA" w14:textId="77777777" w:rsidR="0075475E" w:rsidRPr="005B6C76" w:rsidRDefault="005B07A6" w:rsidP="005B07A6">
      <w:pPr>
        <w:pStyle w:val="TOC2"/>
        <w:rPr>
          <w:noProof/>
          <w:sz w:val="24"/>
          <w:szCs w:val="24"/>
        </w:rPr>
      </w:pPr>
      <w:r w:rsidRPr="005B6C76">
        <w:rPr>
          <w:noProof/>
          <w:sz w:val="24"/>
          <w:szCs w:val="24"/>
        </w:rPr>
        <w:t>A.7</w:t>
      </w:r>
      <w:r w:rsidR="0075475E" w:rsidRPr="005B6C76">
        <w:rPr>
          <w:noProof/>
          <w:sz w:val="24"/>
          <w:szCs w:val="24"/>
        </w:rPr>
        <w:tab/>
        <w:t>Special Circumstances Relating to the Guidelines of 5 CFR 1320.5</w:t>
      </w:r>
      <w:r w:rsidR="0075475E" w:rsidRPr="005B6C76">
        <w:rPr>
          <w:noProof/>
          <w:sz w:val="24"/>
          <w:szCs w:val="24"/>
        </w:rPr>
        <w:tab/>
      </w:r>
      <w:r w:rsidR="001C071D">
        <w:rPr>
          <w:noProof/>
          <w:sz w:val="24"/>
          <w:szCs w:val="24"/>
        </w:rPr>
        <w:t>9</w:t>
      </w:r>
    </w:p>
    <w:p w14:paraId="55D1B35B" w14:textId="77777777" w:rsidR="0075475E" w:rsidRPr="005B6C76" w:rsidRDefault="005B07A6" w:rsidP="005B07A6">
      <w:pPr>
        <w:pStyle w:val="TOC2"/>
        <w:rPr>
          <w:noProof/>
          <w:sz w:val="24"/>
          <w:szCs w:val="24"/>
        </w:rPr>
      </w:pPr>
      <w:r w:rsidRPr="005B6C76">
        <w:rPr>
          <w:noProof/>
          <w:sz w:val="24"/>
          <w:szCs w:val="24"/>
        </w:rPr>
        <w:t>A.8</w:t>
      </w:r>
      <w:r w:rsidR="0075475E" w:rsidRPr="005B6C76">
        <w:rPr>
          <w:noProof/>
          <w:sz w:val="24"/>
          <w:szCs w:val="24"/>
        </w:rPr>
        <w:tab/>
        <w:t xml:space="preserve">Comments in Response to the Federal Register Notice and Efforts to Consult Outside </w:t>
      </w:r>
      <w:r w:rsidR="00AA0184">
        <w:rPr>
          <w:noProof/>
          <w:sz w:val="24"/>
          <w:szCs w:val="24"/>
        </w:rPr>
        <w:t xml:space="preserve">the </w:t>
      </w:r>
      <w:r w:rsidR="0075475E" w:rsidRPr="005B6C76">
        <w:rPr>
          <w:noProof/>
          <w:sz w:val="24"/>
          <w:szCs w:val="24"/>
        </w:rPr>
        <w:t>Agency</w:t>
      </w:r>
      <w:r w:rsidR="0075475E" w:rsidRPr="005B6C76">
        <w:rPr>
          <w:noProof/>
          <w:sz w:val="24"/>
          <w:szCs w:val="24"/>
        </w:rPr>
        <w:tab/>
      </w:r>
      <w:r w:rsidR="00723DEC">
        <w:rPr>
          <w:noProof/>
          <w:sz w:val="24"/>
          <w:szCs w:val="24"/>
        </w:rPr>
        <w:t>9</w:t>
      </w:r>
    </w:p>
    <w:p w14:paraId="68DA9787" w14:textId="77777777" w:rsidR="0075475E" w:rsidRPr="005B6C76" w:rsidRDefault="005B07A6" w:rsidP="005B07A6">
      <w:pPr>
        <w:pStyle w:val="TOC2"/>
        <w:rPr>
          <w:noProof/>
          <w:sz w:val="24"/>
          <w:szCs w:val="24"/>
        </w:rPr>
      </w:pPr>
      <w:r w:rsidRPr="005B6C76">
        <w:rPr>
          <w:noProof/>
          <w:sz w:val="24"/>
          <w:szCs w:val="24"/>
        </w:rPr>
        <w:t>A.9</w:t>
      </w:r>
      <w:r w:rsidR="0075475E" w:rsidRPr="005B6C76">
        <w:rPr>
          <w:noProof/>
          <w:sz w:val="24"/>
          <w:szCs w:val="24"/>
        </w:rPr>
        <w:tab/>
        <w:t>Explanation of Any Payment o</w:t>
      </w:r>
      <w:r w:rsidR="00CD445F">
        <w:rPr>
          <w:noProof/>
          <w:sz w:val="24"/>
          <w:szCs w:val="24"/>
        </w:rPr>
        <w:t>r</w:t>
      </w:r>
      <w:r w:rsidR="0075475E" w:rsidRPr="005B6C76">
        <w:rPr>
          <w:noProof/>
          <w:sz w:val="24"/>
          <w:szCs w:val="24"/>
        </w:rPr>
        <w:t xml:space="preserve"> Gift to Respondents</w:t>
      </w:r>
      <w:r w:rsidR="0075475E" w:rsidRPr="005B6C76">
        <w:rPr>
          <w:noProof/>
          <w:sz w:val="24"/>
          <w:szCs w:val="24"/>
        </w:rPr>
        <w:tab/>
      </w:r>
      <w:r w:rsidR="00723DEC">
        <w:rPr>
          <w:noProof/>
          <w:sz w:val="24"/>
          <w:szCs w:val="24"/>
        </w:rPr>
        <w:t>9</w:t>
      </w:r>
    </w:p>
    <w:p w14:paraId="24F3FE58"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10</w:t>
      </w:r>
      <w:r w:rsidR="0075475E" w:rsidRPr="005B6C76">
        <w:rPr>
          <w:noProof/>
          <w:sz w:val="24"/>
          <w:szCs w:val="24"/>
        </w:rPr>
        <w:tab/>
        <w:t>Assurance of Confidentiality Provided to Respondents</w:t>
      </w:r>
      <w:r w:rsidR="0075475E" w:rsidRPr="005B6C76">
        <w:rPr>
          <w:noProof/>
          <w:sz w:val="24"/>
          <w:szCs w:val="24"/>
        </w:rPr>
        <w:tab/>
      </w:r>
      <w:r w:rsidR="00D40CCD">
        <w:rPr>
          <w:noProof/>
          <w:sz w:val="24"/>
          <w:szCs w:val="24"/>
        </w:rPr>
        <w:t>10</w:t>
      </w:r>
    </w:p>
    <w:p w14:paraId="3F7149D0"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11</w:t>
      </w:r>
      <w:r w:rsidR="0075475E" w:rsidRPr="005B6C76">
        <w:rPr>
          <w:noProof/>
          <w:sz w:val="24"/>
          <w:szCs w:val="24"/>
        </w:rPr>
        <w:tab/>
        <w:t>Justification for Sensitive Questions</w:t>
      </w:r>
      <w:r w:rsidR="0075475E" w:rsidRPr="005B6C76">
        <w:rPr>
          <w:noProof/>
          <w:sz w:val="24"/>
          <w:szCs w:val="24"/>
        </w:rPr>
        <w:tab/>
      </w:r>
      <w:r w:rsidR="00723DEC">
        <w:rPr>
          <w:noProof/>
          <w:sz w:val="24"/>
          <w:szCs w:val="24"/>
        </w:rPr>
        <w:t>10</w:t>
      </w:r>
    </w:p>
    <w:p w14:paraId="78299437" w14:textId="77777777" w:rsidR="0075475E" w:rsidRPr="005B6C76" w:rsidRDefault="005B07A6" w:rsidP="00393AD1">
      <w:pPr>
        <w:pStyle w:val="TOC2"/>
        <w:rPr>
          <w:noProof/>
          <w:sz w:val="24"/>
          <w:szCs w:val="24"/>
        </w:rPr>
      </w:pPr>
      <w:r w:rsidRPr="005B6C76">
        <w:rPr>
          <w:noProof/>
          <w:sz w:val="24"/>
          <w:szCs w:val="24"/>
        </w:rPr>
        <w:t>A.</w:t>
      </w:r>
      <w:r w:rsidR="0075475E" w:rsidRPr="005B6C76">
        <w:rPr>
          <w:noProof/>
          <w:sz w:val="24"/>
          <w:szCs w:val="24"/>
        </w:rPr>
        <w:t>12</w:t>
      </w:r>
      <w:r w:rsidR="0075475E" w:rsidRPr="005B6C76">
        <w:rPr>
          <w:noProof/>
          <w:sz w:val="24"/>
          <w:szCs w:val="24"/>
        </w:rPr>
        <w:tab/>
        <w:t xml:space="preserve">Estimates of Annualized </w:t>
      </w:r>
      <w:r w:rsidR="00AA0184">
        <w:rPr>
          <w:noProof/>
          <w:sz w:val="24"/>
          <w:szCs w:val="24"/>
        </w:rPr>
        <w:t>Burden Hours And</w:t>
      </w:r>
      <w:r w:rsidR="0075475E" w:rsidRPr="005B6C76">
        <w:rPr>
          <w:noProof/>
          <w:sz w:val="24"/>
          <w:szCs w:val="24"/>
        </w:rPr>
        <w:t xml:space="preserve"> Costs</w:t>
      </w:r>
      <w:r w:rsidR="0075475E" w:rsidRPr="005B6C76">
        <w:rPr>
          <w:noProof/>
          <w:sz w:val="24"/>
          <w:szCs w:val="24"/>
        </w:rPr>
        <w:tab/>
      </w:r>
      <w:r w:rsidR="00933B05">
        <w:rPr>
          <w:noProof/>
          <w:sz w:val="24"/>
          <w:szCs w:val="24"/>
        </w:rPr>
        <w:t>10</w:t>
      </w:r>
    </w:p>
    <w:p w14:paraId="6E27F225" w14:textId="77777777" w:rsidR="00CD445F" w:rsidRDefault="005B07A6" w:rsidP="007775FE">
      <w:pPr>
        <w:pStyle w:val="TOC2"/>
        <w:spacing w:before="0" w:after="0"/>
        <w:rPr>
          <w:noProof/>
          <w:sz w:val="24"/>
          <w:szCs w:val="24"/>
        </w:rPr>
      </w:pPr>
      <w:r w:rsidRPr="005B6C76">
        <w:rPr>
          <w:noProof/>
          <w:sz w:val="24"/>
          <w:szCs w:val="24"/>
        </w:rPr>
        <w:t>A.</w:t>
      </w:r>
      <w:r w:rsidR="0075475E" w:rsidRPr="005B6C76">
        <w:rPr>
          <w:noProof/>
          <w:sz w:val="24"/>
          <w:szCs w:val="24"/>
        </w:rPr>
        <w:t>13</w:t>
      </w:r>
      <w:r w:rsidR="0075475E" w:rsidRPr="005B6C76">
        <w:rPr>
          <w:noProof/>
          <w:sz w:val="24"/>
          <w:szCs w:val="24"/>
        </w:rPr>
        <w:tab/>
        <w:t>Estimate</w:t>
      </w:r>
      <w:r w:rsidR="007A67CE">
        <w:rPr>
          <w:noProof/>
          <w:sz w:val="24"/>
          <w:szCs w:val="24"/>
        </w:rPr>
        <w:t>s</w:t>
      </w:r>
      <w:r w:rsidR="0075475E" w:rsidRPr="005B6C76">
        <w:rPr>
          <w:noProof/>
          <w:sz w:val="24"/>
          <w:szCs w:val="24"/>
        </w:rPr>
        <w:t xml:space="preserve"> of Other Total Annual Cost Burden to Respondents </w:t>
      </w:r>
      <w:r w:rsidR="007C0203">
        <w:rPr>
          <w:noProof/>
          <w:sz w:val="24"/>
          <w:szCs w:val="24"/>
        </w:rPr>
        <w:t>and</w:t>
      </w:r>
      <w:r w:rsidR="0075475E" w:rsidRPr="005B6C76">
        <w:rPr>
          <w:noProof/>
          <w:sz w:val="24"/>
          <w:szCs w:val="24"/>
        </w:rPr>
        <w:t xml:space="preserve"> </w:t>
      </w:r>
    </w:p>
    <w:p w14:paraId="0D817280" w14:textId="77777777" w:rsidR="0075475E" w:rsidRPr="005B6C76" w:rsidRDefault="00CD445F" w:rsidP="007775FE">
      <w:pPr>
        <w:pStyle w:val="TOC2"/>
        <w:spacing w:before="0" w:after="0"/>
        <w:rPr>
          <w:noProof/>
          <w:sz w:val="24"/>
          <w:szCs w:val="24"/>
        </w:rPr>
      </w:pPr>
      <w:r>
        <w:rPr>
          <w:noProof/>
          <w:sz w:val="24"/>
          <w:szCs w:val="24"/>
        </w:rPr>
        <w:tab/>
      </w:r>
      <w:r w:rsidR="0075475E" w:rsidRPr="005B6C76">
        <w:rPr>
          <w:noProof/>
          <w:sz w:val="24"/>
          <w:szCs w:val="24"/>
        </w:rPr>
        <w:t>Record</w:t>
      </w:r>
      <w:r w:rsidR="007C0203">
        <w:rPr>
          <w:noProof/>
          <w:sz w:val="24"/>
          <w:szCs w:val="24"/>
        </w:rPr>
        <w:t xml:space="preserve"> K</w:t>
      </w:r>
      <w:r w:rsidR="0075475E" w:rsidRPr="005B6C76">
        <w:rPr>
          <w:noProof/>
          <w:sz w:val="24"/>
          <w:szCs w:val="24"/>
        </w:rPr>
        <w:t>eepers</w:t>
      </w:r>
      <w:r w:rsidR="0075475E" w:rsidRPr="005B6C76">
        <w:rPr>
          <w:noProof/>
          <w:sz w:val="24"/>
          <w:szCs w:val="24"/>
        </w:rPr>
        <w:tab/>
      </w:r>
      <w:r w:rsidR="00933B05">
        <w:rPr>
          <w:noProof/>
          <w:sz w:val="24"/>
          <w:szCs w:val="24"/>
        </w:rPr>
        <w:t>11</w:t>
      </w:r>
    </w:p>
    <w:p w14:paraId="3A12521F"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14</w:t>
      </w:r>
      <w:r w:rsidR="0075475E" w:rsidRPr="005B6C76">
        <w:rPr>
          <w:noProof/>
          <w:sz w:val="24"/>
          <w:szCs w:val="24"/>
        </w:rPr>
        <w:tab/>
        <w:t>Annualized Cost to the Federal Government</w:t>
      </w:r>
      <w:r w:rsidR="0075475E" w:rsidRPr="005B6C76">
        <w:rPr>
          <w:noProof/>
          <w:sz w:val="24"/>
          <w:szCs w:val="24"/>
        </w:rPr>
        <w:tab/>
      </w:r>
      <w:r w:rsidR="00933B05">
        <w:rPr>
          <w:noProof/>
          <w:sz w:val="24"/>
          <w:szCs w:val="24"/>
        </w:rPr>
        <w:t>11</w:t>
      </w:r>
    </w:p>
    <w:p w14:paraId="6BE53CE3"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15</w:t>
      </w:r>
      <w:r w:rsidR="0075475E" w:rsidRPr="005B6C76">
        <w:rPr>
          <w:noProof/>
          <w:sz w:val="24"/>
          <w:szCs w:val="24"/>
        </w:rPr>
        <w:tab/>
        <w:t>Explanation for Program Changes or Adjustments</w:t>
      </w:r>
      <w:r w:rsidR="0075475E" w:rsidRPr="005B6C76">
        <w:rPr>
          <w:noProof/>
          <w:sz w:val="24"/>
          <w:szCs w:val="24"/>
        </w:rPr>
        <w:tab/>
      </w:r>
      <w:r w:rsidR="007076F7">
        <w:rPr>
          <w:noProof/>
          <w:sz w:val="24"/>
          <w:szCs w:val="24"/>
        </w:rPr>
        <w:t>12</w:t>
      </w:r>
    </w:p>
    <w:p w14:paraId="545DB132" w14:textId="77777777" w:rsidR="0075475E" w:rsidRPr="005B6C76" w:rsidRDefault="005B07A6" w:rsidP="005B07A6">
      <w:pPr>
        <w:pStyle w:val="TOC2"/>
        <w:rPr>
          <w:noProof/>
          <w:sz w:val="24"/>
          <w:szCs w:val="24"/>
        </w:rPr>
      </w:pPr>
      <w:r w:rsidRPr="005B6C76">
        <w:rPr>
          <w:noProof/>
          <w:sz w:val="24"/>
          <w:szCs w:val="24"/>
        </w:rPr>
        <w:t>A.16</w:t>
      </w:r>
      <w:r w:rsidR="0075475E" w:rsidRPr="005B6C76">
        <w:rPr>
          <w:noProof/>
          <w:sz w:val="24"/>
          <w:szCs w:val="24"/>
        </w:rPr>
        <w:tab/>
        <w:t>Plans for Tabulation and Publication and Project Time Schedule</w:t>
      </w:r>
      <w:r w:rsidR="0075475E" w:rsidRPr="005B6C76">
        <w:rPr>
          <w:noProof/>
          <w:sz w:val="24"/>
          <w:szCs w:val="24"/>
        </w:rPr>
        <w:tab/>
      </w:r>
      <w:r w:rsidR="007076F7">
        <w:rPr>
          <w:noProof/>
          <w:sz w:val="24"/>
          <w:szCs w:val="24"/>
        </w:rPr>
        <w:t>12</w:t>
      </w:r>
    </w:p>
    <w:p w14:paraId="2963B830"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17</w:t>
      </w:r>
      <w:r w:rsidR="0075475E" w:rsidRPr="005B6C76">
        <w:rPr>
          <w:noProof/>
          <w:sz w:val="24"/>
          <w:szCs w:val="24"/>
        </w:rPr>
        <w:tab/>
        <w:t>Reason(s) Display of OMB Expiration Date is Inappropriate</w:t>
      </w:r>
      <w:r w:rsidR="0075475E" w:rsidRPr="005B6C76">
        <w:rPr>
          <w:noProof/>
          <w:sz w:val="24"/>
          <w:szCs w:val="24"/>
        </w:rPr>
        <w:tab/>
      </w:r>
      <w:r w:rsidR="001C071D">
        <w:rPr>
          <w:noProof/>
          <w:sz w:val="24"/>
          <w:szCs w:val="24"/>
        </w:rPr>
        <w:t>14</w:t>
      </w:r>
    </w:p>
    <w:p w14:paraId="719DC7ED" w14:textId="77777777" w:rsidR="0075475E" w:rsidRPr="005B6C76" w:rsidRDefault="005B07A6" w:rsidP="005B07A6">
      <w:pPr>
        <w:pStyle w:val="TOC2"/>
        <w:rPr>
          <w:noProof/>
          <w:sz w:val="24"/>
          <w:szCs w:val="24"/>
        </w:rPr>
      </w:pPr>
      <w:r w:rsidRPr="005B6C76">
        <w:rPr>
          <w:noProof/>
          <w:sz w:val="24"/>
          <w:szCs w:val="24"/>
        </w:rPr>
        <w:t>A.</w:t>
      </w:r>
      <w:r w:rsidR="0075475E" w:rsidRPr="005B6C76">
        <w:rPr>
          <w:noProof/>
          <w:sz w:val="24"/>
          <w:szCs w:val="24"/>
        </w:rPr>
        <w:t>18</w:t>
      </w:r>
      <w:r w:rsidR="0075475E" w:rsidRPr="005B6C76">
        <w:rPr>
          <w:noProof/>
          <w:sz w:val="24"/>
          <w:szCs w:val="24"/>
        </w:rPr>
        <w:tab/>
        <w:t>Exceptions to Certification for Paperwork Reduction Act Submissions</w:t>
      </w:r>
      <w:r w:rsidR="0075475E" w:rsidRPr="005B6C76">
        <w:rPr>
          <w:noProof/>
          <w:sz w:val="24"/>
          <w:szCs w:val="24"/>
        </w:rPr>
        <w:tab/>
      </w:r>
      <w:r w:rsidR="001C071D">
        <w:rPr>
          <w:noProof/>
          <w:sz w:val="24"/>
          <w:szCs w:val="24"/>
        </w:rPr>
        <w:t>14</w:t>
      </w:r>
    </w:p>
    <w:p w14:paraId="4D0BBBAB" w14:textId="77777777" w:rsidR="00AE41BB" w:rsidRDefault="0075475E" w:rsidP="00AE41BB">
      <w:pPr>
        <w:pStyle w:val="P1-StandPara"/>
        <w:tabs>
          <w:tab w:val="left" w:pos="720"/>
          <w:tab w:val="right" w:leader="dot" w:pos="9504"/>
        </w:tabs>
        <w:spacing w:line="240" w:lineRule="atLeast"/>
        <w:ind w:firstLine="0"/>
        <w:rPr>
          <w:caps/>
          <w:noProof/>
        </w:rPr>
      </w:pPr>
      <w:r w:rsidRPr="005B6C76">
        <w:rPr>
          <w:caps/>
          <w:noProof/>
        </w:rPr>
        <w:fldChar w:fldCharType="end"/>
      </w:r>
    </w:p>
    <w:p w14:paraId="562B709A" w14:textId="77777777" w:rsidR="00F779E6" w:rsidRPr="00AE41BB" w:rsidRDefault="00F779E6" w:rsidP="009868ED">
      <w:pPr>
        <w:ind w:left="360"/>
        <w:jc w:val="left"/>
        <w:rPr>
          <w:b/>
          <w:color w:val="FF0000"/>
          <w:sz w:val="24"/>
          <w:szCs w:val="24"/>
        </w:rPr>
      </w:pPr>
      <w:r w:rsidRPr="00AE41BB">
        <w:rPr>
          <w:b/>
          <w:color w:val="FF0000"/>
          <w:sz w:val="24"/>
          <w:szCs w:val="24"/>
        </w:rPr>
        <w:br/>
      </w:r>
    </w:p>
    <w:p w14:paraId="5B8BA9D9" w14:textId="77777777" w:rsidR="00871D01" w:rsidRPr="00871D01" w:rsidRDefault="00F779E6" w:rsidP="00871D01">
      <w:pPr>
        <w:pStyle w:val="P1-StandPara"/>
        <w:ind w:right="-216" w:firstLine="0"/>
        <w:jc w:val="center"/>
        <w:rPr>
          <w:color w:val="000000"/>
          <w:sz w:val="24"/>
          <w:szCs w:val="24"/>
        </w:rPr>
      </w:pPr>
      <w:r>
        <w:rPr>
          <w:b/>
          <w:caps/>
          <w:noProof/>
          <w:color w:val="FF0000"/>
          <w:sz w:val="20"/>
        </w:rPr>
        <w:br w:type="page"/>
      </w:r>
      <w:r w:rsidR="00871D01" w:rsidRPr="00871D01">
        <w:rPr>
          <w:b/>
          <w:caps/>
          <w:noProof/>
          <w:color w:val="000000"/>
          <w:sz w:val="24"/>
          <w:szCs w:val="24"/>
        </w:rPr>
        <w:lastRenderedPageBreak/>
        <w:t>List of Attachments</w:t>
      </w:r>
    </w:p>
    <w:p w14:paraId="17FFC4DF" w14:textId="77777777" w:rsidR="00D10753" w:rsidRPr="00D10753" w:rsidRDefault="00D10753" w:rsidP="00D10753">
      <w:pPr>
        <w:tabs>
          <w:tab w:val="left" w:pos="1530"/>
        </w:tabs>
        <w:spacing w:line="240" w:lineRule="auto"/>
        <w:ind w:right="-216"/>
        <w:jc w:val="left"/>
        <w:rPr>
          <w:color w:val="000000"/>
          <w:sz w:val="24"/>
          <w:szCs w:val="24"/>
        </w:rPr>
      </w:pPr>
      <w:r w:rsidRPr="00D10753">
        <w:rPr>
          <w:color w:val="000000"/>
          <w:sz w:val="24"/>
          <w:szCs w:val="24"/>
        </w:rPr>
        <w:t xml:space="preserve">Attachment 1:  </w:t>
      </w:r>
      <w:r w:rsidRPr="00D10753">
        <w:rPr>
          <w:color w:val="000000"/>
          <w:sz w:val="24"/>
          <w:szCs w:val="24"/>
        </w:rPr>
        <w:tab/>
        <w:t>Progress Report Forms</w:t>
      </w:r>
    </w:p>
    <w:p w14:paraId="4A306D16" w14:textId="77777777" w:rsidR="00D10753" w:rsidRDefault="00D10753" w:rsidP="00D10753">
      <w:pPr>
        <w:tabs>
          <w:tab w:val="left" w:pos="1530"/>
        </w:tabs>
        <w:spacing w:line="240" w:lineRule="auto"/>
        <w:ind w:right="-216" w:firstLine="720"/>
        <w:jc w:val="left"/>
        <w:rPr>
          <w:color w:val="000000"/>
          <w:sz w:val="24"/>
          <w:szCs w:val="24"/>
        </w:rPr>
      </w:pPr>
      <w:r w:rsidRPr="00D10753">
        <w:rPr>
          <w:color w:val="000000"/>
          <w:sz w:val="24"/>
          <w:szCs w:val="24"/>
        </w:rPr>
        <w:tab/>
        <w:t xml:space="preserve">1A. </w:t>
      </w:r>
      <w:r w:rsidR="00E628F8">
        <w:rPr>
          <w:color w:val="000000"/>
          <w:sz w:val="24"/>
          <w:szCs w:val="24"/>
        </w:rPr>
        <w:t>6 Month Report</w:t>
      </w:r>
    </w:p>
    <w:p w14:paraId="3ED5C92C" w14:textId="77777777" w:rsidR="00D10753" w:rsidRPr="00D10753" w:rsidRDefault="00E628F8" w:rsidP="00E628F8">
      <w:pPr>
        <w:tabs>
          <w:tab w:val="left" w:pos="1530"/>
        </w:tabs>
        <w:spacing w:line="240" w:lineRule="auto"/>
        <w:ind w:right="-216" w:firstLine="720"/>
        <w:jc w:val="left"/>
        <w:rPr>
          <w:color w:val="000000"/>
          <w:sz w:val="24"/>
          <w:szCs w:val="24"/>
        </w:rPr>
      </w:pPr>
      <w:r>
        <w:rPr>
          <w:color w:val="000000"/>
          <w:sz w:val="24"/>
          <w:szCs w:val="24"/>
        </w:rPr>
        <w:tab/>
        <w:t>1B 12 Month Report</w:t>
      </w:r>
    </w:p>
    <w:p w14:paraId="2A937135" w14:textId="77777777" w:rsidR="00D10753" w:rsidRPr="00D10753" w:rsidRDefault="00D10753" w:rsidP="00D10753">
      <w:pPr>
        <w:tabs>
          <w:tab w:val="left" w:pos="1530"/>
        </w:tabs>
        <w:spacing w:line="240" w:lineRule="auto"/>
        <w:ind w:right="-216"/>
        <w:jc w:val="left"/>
        <w:rPr>
          <w:color w:val="000000"/>
          <w:sz w:val="24"/>
          <w:szCs w:val="24"/>
        </w:rPr>
      </w:pPr>
    </w:p>
    <w:p w14:paraId="756AB805" w14:textId="77777777" w:rsidR="00D10753" w:rsidRPr="00D10753" w:rsidRDefault="00D10753" w:rsidP="00D10753">
      <w:pPr>
        <w:tabs>
          <w:tab w:val="left" w:pos="1530"/>
        </w:tabs>
        <w:spacing w:line="240" w:lineRule="auto"/>
        <w:ind w:right="-216"/>
        <w:jc w:val="left"/>
        <w:rPr>
          <w:color w:val="000000"/>
          <w:sz w:val="24"/>
          <w:szCs w:val="24"/>
        </w:rPr>
      </w:pPr>
      <w:r w:rsidRPr="00D10753">
        <w:rPr>
          <w:color w:val="000000"/>
          <w:sz w:val="24"/>
          <w:szCs w:val="24"/>
        </w:rPr>
        <w:t>Attachment 2:</w:t>
      </w:r>
      <w:r w:rsidRPr="00D10753">
        <w:rPr>
          <w:color w:val="000000"/>
          <w:sz w:val="24"/>
          <w:szCs w:val="24"/>
        </w:rPr>
        <w:tab/>
        <w:t>Privacy Act Memo</w:t>
      </w:r>
    </w:p>
    <w:p w14:paraId="1A2299BF" w14:textId="77777777" w:rsidR="00D10753" w:rsidRPr="00D10753" w:rsidRDefault="00D10753" w:rsidP="00D10753">
      <w:pPr>
        <w:tabs>
          <w:tab w:val="left" w:pos="1530"/>
        </w:tabs>
        <w:spacing w:line="240" w:lineRule="auto"/>
        <w:ind w:right="-216"/>
        <w:jc w:val="left"/>
        <w:rPr>
          <w:color w:val="000000"/>
          <w:sz w:val="24"/>
          <w:szCs w:val="24"/>
        </w:rPr>
      </w:pPr>
    </w:p>
    <w:p w14:paraId="0E04E6A9" w14:textId="77777777" w:rsidR="00B4301F" w:rsidRDefault="00D10753" w:rsidP="00B4301F">
      <w:pPr>
        <w:tabs>
          <w:tab w:val="left" w:pos="1530"/>
        </w:tabs>
        <w:spacing w:line="240" w:lineRule="auto"/>
        <w:ind w:right="-216"/>
        <w:jc w:val="left"/>
        <w:rPr>
          <w:color w:val="000000"/>
          <w:sz w:val="24"/>
          <w:szCs w:val="24"/>
        </w:rPr>
      </w:pPr>
      <w:r w:rsidRPr="00D10753">
        <w:rPr>
          <w:color w:val="000000"/>
          <w:sz w:val="24"/>
          <w:szCs w:val="24"/>
        </w:rPr>
        <w:t>Attachment 3:</w:t>
      </w:r>
      <w:r w:rsidRPr="00D10753">
        <w:rPr>
          <w:color w:val="000000"/>
          <w:sz w:val="24"/>
          <w:szCs w:val="24"/>
        </w:rPr>
        <w:tab/>
      </w:r>
      <w:r w:rsidR="00B4301F" w:rsidRPr="00D10753">
        <w:rPr>
          <w:color w:val="000000"/>
          <w:sz w:val="24"/>
          <w:szCs w:val="24"/>
        </w:rPr>
        <w:t>Notification Letter</w:t>
      </w:r>
      <w:r w:rsidR="00B4301F">
        <w:rPr>
          <w:color w:val="000000"/>
          <w:sz w:val="24"/>
          <w:szCs w:val="24"/>
        </w:rPr>
        <w:t>s for Scientific Progress Reports</w:t>
      </w:r>
    </w:p>
    <w:p w14:paraId="6D11A4C1" w14:textId="2F26EBFC" w:rsidR="00B4301F" w:rsidRDefault="00B4301F" w:rsidP="00B4301F">
      <w:pPr>
        <w:tabs>
          <w:tab w:val="left" w:pos="1530"/>
        </w:tabs>
        <w:spacing w:line="240" w:lineRule="auto"/>
        <w:ind w:right="-216"/>
        <w:jc w:val="left"/>
        <w:rPr>
          <w:color w:val="000000"/>
          <w:sz w:val="24"/>
          <w:szCs w:val="24"/>
        </w:rPr>
      </w:pPr>
      <w:r>
        <w:rPr>
          <w:color w:val="000000"/>
          <w:sz w:val="24"/>
          <w:szCs w:val="24"/>
        </w:rPr>
        <w:tab/>
        <w:t xml:space="preserve">3A. Notification Letter 6 Month </w:t>
      </w:r>
    </w:p>
    <w:p w14:paraId="58EA6544" w14:textId="08CD6867" w:rsidR="00B4301F" w:rsidRPr="00D10753" w:rsidRDefault="00B4301F" w:rsidP="00B4301F">
      <w:pPr>
        <w:tabs>
          <w:tab w:val="left" w:pos="1530"/>
        </w:tabs>
        <w:spacing w:line="240" w:lineRule="auto"/>
        <w:ind w:right="-216"/>
        <w:jc w:val="left"/>
        <w:rPr>
          <w:color w:val="000000"/>
          <w:sz w:val="24"/>
          <w:szCs w:val="24"/>
        </w:rPr>
      </w:pPr>
      <w:r>
        <w:rPr>
          <w:color w:val="000000"/>
          <w:sz w:val="24"/>
          <w:szCs w:val="24"/>
        </w:rPr>
        <w:tab/>
        <w:t xml:space="preserve">3B. Notification Letter 12 Month </w:t>
      </w:r>
    </w:p>
    <w:p w14:paraId="3C70E6AA" w14:textId="539FCBAB" w:rsidR="00D10753" w:rsidRPr="00D10753" w:rsidRDefault="00D10753" w:rsidP="00D10753">
      <w:pPr>
        <w:tabs>
          <w:tab w:val="left" w:pos="1530"/>
        </w:tabs>
        <w:spacing w:line="240" w:lineRule="auto"/>
        <w:ind w:right="-216"/>
        <w:jc w:val="left"/>
        <w:rPr>
          <w:color w:val="000000"/>
          <w:sz w:val="24"/>
          <w:szCs w:val="24"/>
        </w:rPr>
      </w:pPr>
    </w:p>
    <w:p w14:paraId="524DDD07" w14:textId="77777777" w:rsidR="00D10753" w:rsidRPr="00D10753" w:rsidRDefault="00D10753" w:rsidP="00D10753">
      <w:pPr>
        <w:tabs>
          <w:tab w:val="left" w:pos="1530"/>
        </w:tabs>
        <w:spacing w:line="240" w:lineRule="auto"/>
        <w:ind w:right="-216"/>
        <w:jc w:val="left"/>
        <w:rPr>
          <w:color w:val="000000"/>
          <w:sz w:val="24"/>
          <w:szCs w:val="24"/>
        </w:rPr>
      </w:pPr>
    </w:p>
    <w:p w14:paraId="6AFABA2C" w14:textId="77777777" w:rsidR="00871D01" w:rsidRPr="00871D01" w:rsidRDefault="00871D01" w:rsidP="00871D01">
      <w:pPr>
        <w:spacing w:line="480" w:lineRule="auto"/>
        <w:ind w:right="-216"/>
        <w:jc w:val="center"/>
        <w:rPr>
          <w:b/>
          <w:color w:val="000000"/>
          <w:sz w:val="24"/>
          <w:szCs w:val="24"/>
        </w:rPr>
      </w:pPr>
    </w:p>
    <w:p w14:paraId="2FC51A3A" w14:textId="77777777" w:rsidR="00EF076D" w:rsidRPr="00630EA3" w:rsidRDefault="00EF076D" w:rsidP="00871D01">
      <w:pPr>
        <w:pStyle w:val="P1-StandPara"/>
        <w:ind w:right="-216" w:firstLine="0"/>
        <w:jc w:val="center"/>
        <w:rPr>
          <w:sz w:val="24"/>
          <w:szCs w:val="24"/>
        </w:rPr>
      </w:pPr>
    </w:p>
    <w:p w14:paraId="378C00CE" w14:textId="77777777" w:rsidR="00FA3CEC" w:rsidRPr="00630EA3" w:rsidRDefault="00FA3CEC" w:rsidP="00FA3CEC">
      <w:pPr>
        <w:pStyle w:val="P1-StandPara"/>
        <w:spacing w:line="240" w:lineRule="auto"/>
        <w:ind w:right="-216" w:firstLine="0"/>
        <w:rPr>
          <w:b/>
          <w:color w:val="000000"/>
          <w:sz w:val="24"/>
          <w:szCs w:val="24"/>
        </w:rPr>
      </w:pPr>
      <w:bookmarkStart w:id="2" w:name="_Toc99178777"/>
      <w:r w:rsidRPr="00630EA3">
        <w:rPr>
          <w:b/>
          <w:color w:val="000000"/>
          <w:sz w:val="24"/>
          <w:szCs w:val="24"/>
        </w:rPr>
        <w:t xml:space="preserve"> </w:t>
      </w:r>
    </w:p>
    <w:p w14:paraId="1107C198" w14:textId="77777777" w:rsidR="00E91B51" w:rsidRDefault="00E91B51" w:rsidP="00055417">
      <w:pPr>
        <w:spacing w:line="480" w:lineRule="auto"/>
        <w:rPr>
          <w:b/>
          <w:color w:val="000000"/>
          <w:sz w:val="24"/>
          <w:szCs w:val="24"/>
        </w:rPr>
        <w:sectPr w:rsidR="00E91B51"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p>
    <w:p w14:paraId="719AA721" w14:textId="77777777" w:rsidR="00D53057" w:rsidRPr="00296150" w:rsidRDefault="00D53057" w:rsidP="00296150">
      <w:pPr>
        <w:pStyle w:val="P1-StandPara"/>
        <w:tabs>
          <w:tab w:val="num" w:pos="360"/>
        </w:tabs>
        <w:ind w:right="-216" w:firstLine="0"/>
        <w:rPr>
          <w:b/>
          <w:color w:val="000000"/>
          <w:sz w:val="24"/>
          <w:szCs w:val="24"/>
        </w:rPr>
      </w:pPr>
      <w:r>
        <w:rPr>
          <w:b/>
          <w:color w:val="000000"/>
          <w:sz w:val="24"/>
          <w:szCs w:val="24"/>
        </w:rPr>
        <w:lastRenderedPageBreak/>
        <w:t>ABSTRACT</w:t>
      </w:r>
    </w:p>
    <w:p w14:paraId="550A7EB2" w14:textId="77777777" w:rsidR="000B7BEB" w:rsidRPr="007D3709" w:rsidRDefault="000B7BEB" w:rsidP="00E91B51">
      <w:pPr>
        <w:spacing w:line="240" w:lineRule="auto"/>
        <w:jc w:val="left"/>
        <w:rPr>
          <w:bCs/>
          <w:sz w:val="24"/>
          <w:szCs w:val="24"/>
        </w:rPr>
      </w:pPr>
      <w:r w:rsidRPr="007D3709">
        <w:rPr>
          <w:bCs/>
          <w:sz w:val="24"/>
          <w:szCs w:val="24"/>
        </w:rPr>
        <w:t xml:space="preserve">This </w:t>
      </w:r>
      <w:r w:rsidR="000E03C5">
        <w:rPr>
          <w:bCs/>
          <w:sz w:val="24"/>
          <w:szCs w:val="24"/>
        </w:rPr>
        <w:t xml:space="preserve">is a </w:t>
      </w:r>
      <w:r w:rsidRPr="007D3709">
        <w:rPr>
          <w:bCs/>
          <w:sz w:val="24"/>
          <w:szCs w:val="24"/>
        </w:rPr>
        <w:t xml:space="preserve">request for </w:t>
      </w:r>
      <w:r w:rsidR="000E03C5">
        <w:rPr>
          <w:bCs/>
          <w:sz w:val="24"/>
          <w:szCs w:val="24"/>
        </w:rPr>
        <w:t>a new clearance</w:t>
      </w:r>
      <w:r w:rsidR="00AB2479">
        <w:rPr>
          <w:bCs/>
          <w:sz w:val="24"/>
          <w:szCs w:val="24"/>
        </w:rPr>
        <w:t xml:space="preserve"> </w:t>
      </w:r>
      <w:r w:rsidRPr="007D3709">
        <w:rPr>
          <w:bCs/>
          <w:sz w:val="24"/>
          <w:szCs w:val="24"/>
        </w:rPr>
        <w:t xml:space="preserve">for </w:t>
      </w:r>
      <w:r w:rsidR="00551A14">
        <w:rPr>
          <w:bCs/>
          <w:sz w:val="24"/>
          <w:szCs w:val="24"/>
        </w:rPr>
        <w:t xml:space="preserve">the </w:t>
      </w:r>
      <w:r w:rsidR="00551A14" w:rsidRPr="00551A14">
        <w:rPr>
          <w:bCs/>
          <w:sz w:val="24"/>
          <w:szCs w:val="24"/>
        </w:rPr>
        <w:t>Center for Global Health's</w:t>
      </w:r>
      <w:r w:rsidR="00551A14">
        <w:rPr>
          <w:bCs/>
          <w:sz w:val="24"/>
          <w:szCs w:val="24"/>
        </w:rPr>
        <w:t xml:space="preserve"> (CGH)</w:t>
      </w:r>
      <w:r w:rsidR="00551A14" w:rsidRPr="00551A14">
        <w:rPr>
          <w:bCs/>
          <w:sz w:val="24"/>
          <w:szCs w:val="24"/>
        </w:rPr>
        <w:t xml:space="preserve"> Low and Mid - Income Countries (LMICs) Global Health Collaborations</w:t>
      </w:r>
      <w:r w:rsidR="00551A14">
        <w:rPr>
          <w:bCs/>
          <w:sz w:val="24"/>
          <w:szCs w:val="24"/>
        </w:rPr>
        <w:t xml:space="preserve">.  </w:t>
      </w:r>
      <w:r w:rsidR="008A794D" w:rsidRPr="007D3709">
        <w:rPr>
          <w:bCs/>
          <w:sz w:val="24"/>
          <w:szCs w:val="24"/>
        </w:rPr>
        <w:t>The C</w:t>
      </w:r>
      <w:r w:rsidR="00551A14">
        <w:rPr>
          <w:bCs/>
          <w:sz w:val="24"/>
          <w:szCs w:val="24"/>
        </w:rPr>
        <w:t xml:space="preserve">GH LMIC Global Health Collaborations </w:t>
      </w:r>
      <w:r w:rsidR="008A794D" w:rsidRPr="007D3709">
        <w:rPr>
          <w:bCs/>
          <w:sz w:val="24"/>
          <w:szCs w:val="24"/>
        </w:rPr>
        <w:t>are part of</w:t>
      </w:r>
      <w:r w:rsidRPr="007D3709">
        <w:rPr>
          <w:bCs/>
          <w:sz w:val="24"/>
          <w:szCs w:val="24"/>
        </w:rPr>
        <w:t xml:space="preserve"> </w:t>
      </w:r>
      <w:r w:rsidR="00757A70" w:rsidRPr="00757A70">
        <w:rPr>
          <w:bCs/>
          <w:sz w:val="24"/>
          <w:szCs w:val="24"/>
        </w:rPr>
        <w:t>a pilot initiative and partnership, between the N</w:t>
      </w:r>
      <w:r w:rsidR="00AB2479">
        <w:rPr>
          <w:bCs/>
          <w:sz w:val="24"/>
          <w:szCs w:val="24"/>
        </w:rPr>
        <w:t xml:space="preserve">ational </w:t>
      </w:r>
      <w:r w:rsidR="00757A70" w:rsidRPr="00757A70">
        <w:rPr>
          <w:bCs/>
          <w:sz w:val="24"/>
          <w:szCs w:val="24"/>
        </w:rPr>
        <w:t>C</w:t>
      </w:r>
      <w:r w:rsidR="00AB2479">
        <w:rPr>
          <w:bCs/>
          <w:sz w:val="24"/>
          <w:szCs w:val="24"/>
        </w:rPr>
        <w:t xml:space="preserve">ancer </w:t>
      </w:r>
      <w:r w:rsidR="00757A70" w:rsidRPr="00757A70">
        <w:rPr>
          <w:bCs/>
          <w:sz w:val="24"/>
          <w:szCs w:val="24"/>
        </w:rPr>
        <w:t>I</w:t>
      </w:r>
      <w:r w:rsidR="00AB2479">
        <w:rPr>
          <w:bCs/>
          <w:sz w:val="24"/>
          <w:szCs w:val="24"/>
        </w:rPr>
        <w:t xml:space="preserve">nstitute </w:t>
      </w:r>
      <w:r w:rsidR="00757A70" w:rsidRPr="00757A70">
        <w:rPr>
          <w:bCs/>
          <w:sz w:val="24"/>
          <w:szCs w:val="24"/>
        </w:rPr>
        <w:t xml:space="preserve">CGH and the Office of Cancer Centers (OCC), to promote collaborations between the NCI designated Cancer Centers and foreign institutions from Low and Middle Income Countries (LMICs).   This collaboration is designed to develop and implement mutually beneficial global cancer research </w:t>
      </w:r>
      <w:r w:rsidR="00757A70" w:rsidRPr="0084227B">
        <w:rPr>
          <w:bCs/>
          <w:sz w:val="24"/>
          <w:szCs w:val="24"/>
        </w:rPr>
        <w:t xml:space="preserve">programs by increasing the capability of these countries to participate and partner in cancer research.  </w:t>
      </w:r>
      <w:r w:rsidR="00FC5F34" w:rsidRPr="0084227B">
        <w:rPr>
          <w:bCs/>
          <w:sz w:val="24"/>
          <w:szCs w:val="24"/>
        </w:rPr>
        <w:t xml:space="preserve">The </w:t>
      </w:r>
      <w:r w:rsidR="0013533D" w:rsidRPr="0084227B">
        <w:rPr>
          <w:bCs/>
          <w:sz w:val="24"/>
          <w:szCs w:val="24"/>
        </w:rPr>
        <w:t>proposed guidelines</w:t>
      </w:r>
      <w:r w:rsidR="00602053">
        <w:rPr>
          <w:bCs/>
          <w:sz w:val="24"/>
          <w:szCs w:val="24"/>
        </w:rPr>
        <w:t xml:space="preserve">, as outlined in the </w:t>
      </w:r>
      <w:r w:rsidR="00602053" w:rsidRPr="00902FBF">
        <w:rPr>
          <w:sz w:val="24"/>
          <w:szCs w:val="24"/>
        </w:rPr>
        <w:t>Request for Proposals for Pilot collaborations with LMICs in Global Cancer Research or Global Health Research at NCI-Designated Cancer Centers</w:t>
      </w:r>
      <w:r w:rsidR="00602053">
        <w:rPr>
          <w:bCs/>
          <w:sz w:val="24"/>
          <w:szCs w:val="24"/>
        </w:rPr>
        <w:t xml:space="preserve"> announcement,</w:t>
      </w:r>
      <w:r w:rsidR="0013533D" w:rsidRPr="0084227B">
        <w:rPr>
          <w:bCs/>
          <w:sz w:val="24"/>
          <w:szCs w:val="24"/>
        </w:rPr>
        <w:t xml:space="preserve"> request</w:t>
      </w:r>
      <w:r w:rsidR="00FC5F34" w:rsidRPr="0084227B">
        <w:rPr>
          <w:bCs/>
          <w:sz w:val="24"/>
          <w:szCs w:val="24"/>
        </w:rPr>
        <w:t xml:space="preserve"> </w:t>
      </w:r>
      <w:r w:rsidR="00FC5F34" w:rsidRPr="00E628F8">
        <w:rPr>
          <w:bCs/>
          <w:sz w:val="24"/>
          <w:szCs w:val="24"/>
        </w:rPr>
        <w:t xml:space="preserve">information about award performance related to </w:t>
      </w:r>
      <w:r w:rsidR="00E96797">
        <w:rPr>
          <w:bCs/>
          <w:sz w:val="24"/>
          <w:szCs w:val="24"/>
        </w:rPr>
        <w:t xml:space="preserve">objectives, accomplishments, barriers and challenges, </w:t>
      </w:r>
      <w:r w:rsidR="0084227B" w:rsidRPr="00E628F8">
        <w:rPr>
          <w:bCs/>
          <w:sz w:val="24"/>
          <w:szCs w:val="24"/>
        </w:rPr>
        <w:t>collaborat</w:t>
      </w:r>
      <w:r w:rsidR="00E96797">
        <w:rPr>
          <w:bCs/>
          <w:sz w:val="24"/>
          <w:szCs w:val="24"/>
        </w:rPr>
        <w:t>ors</w:t>
      </w:r>
      <w:r w:rsidR="0084227B" w:rsidRPr="00E628F8">
        <w:rPr>
          <w:bCs/>
          <w:sz w:val="24"/>
          <w:szCs w:val="24"/>
        </w:rPr>
        <w:t xml:space="preserve">, </w:t>
      </w:r>
      <w:r w:rsidR="005605F8" w:rsidRPr="00E628F8">
        <w:rPr>
          <w:bCs/>
          <w:sz w:val="24"/>
          <w:szCs w:val="24"/>
        </w:rPr>
        <w:t xml:space="preserve">and </w:t>
      </w:r>
      <w:r w:rsidR="0084227B" w:rsidRPr="00E628F8">
        <w:rPr>
          <w:bCs/>
          <w:sz w:val="24"/>
          <w:szCs w:val="24"/>
        </w:rPr>
        <w:t>findings</w:t>
      </w:r>
      <w:r w:rsidR="005605F8" w:rsidRPr="00E628F8">
        <w:rPr>
          <w:bCs/>
          <w:sz w:val="24"/>
          <w:szCs w:val="24"/>
        </w:rPr>
        <w:t xml:space="preserve">. </w:t>
      </w:r>
      <w:r w:rsidR="00741794" w:rsidRPr="00E628F8">
        <w:rPr>
          <w:bCs/>
          <w:sz w:val="24"/>
          <w:szCs w:val="24"/>
        </w:rPr>
        <w:t xml:space="preserve"> </w:t>
      </w:r>
      <w:r w:rsidR="002469E2" w:rsidRPr="00E628F8">
        <w:rPr>
          <w:bCs/>
          <w:sz w:val="24"/>
          <w:szCs w:val="24"/>
        </w:rPr>
        <w:t>The information is gathered six months</w:t>
      </w:r>
      <w:r w:rsidR="00E96797">
        <w:rPr>
          <w:bCs/>
          <w:sz w:val="24"/>
          <w:szCs w:val="24"/>
        </w:rPr>
        <w:t xml:space="preserve"> into the award and 12 months after the award (upon expiry)</w:t>
      </w:r>
      <w:r w:rsidR="002469E2" w:rsidRPr="00E628F8">
        <w:rPr>
          <w:bCs/>
          <w:sz w:val="24"/>
          <w:szCs w:val="24"/>
        </w:rPr>
        <w:t>.</w:t>
      </w:r>
      <w:r w:rsidR="00E91B51" w:rsidRPr="00E628F8">
        <w:rPr>
          <w:bCs/>
          <w:sz w:val="24"/>
          <w:szCs w:val="24"/>
        </w:rPr>
        <w:t xml:space="preserve">  </w:t>
      </w:r>
      <w:r w:rsidR="00FC5F34" w:rsidRPr="00E628F8">
        <w:rPr>
          <w:bCs/>
          <w:sz w:val="24"/>
          <w:szCs w:val="24"/>
        </w:rPr>
        <w:t xml:space="preserve">This information is needed to monitor the performance of this special program within NCI, funded through </w:t>
      </w:r>
      <w:r w:rsidR="00E628F8" w:rsidRPr="00E628F8">
        <w:rPr>
          <w:bCs/>
          <w:sz w:val="24"/>
          <w:szCs w:val="24"/>
        </w:rPr>
        <w:t>three</w:t>
      </w:r>
      <w:r w:rsidR="00F44899" w:rsidRPr="00E628F8">
        <w:rPr>
          <w:bCs/>
          <w:sz w:val="24"/>
          <w:szCs w:val="24"/>
        </w:rPr>
        <w:t xml:space="preserve"> </w:t>
      </w:r>
      <w:r w:rsidR="00E16CAC" w:rsidRPr="00E628F8">
        <w:rPr>
          <w:bCs/>
          <w:sz w:val="24"/>
          <w:szCs w:val="24"/>
        </w:rPr>
        <w:t>Requests</w:t>
      </w:r>
      <w:r w:rsidR="00757A70" w:rsidRPr="00E628F8">
        <w:rPr>
          <w:bCs/>
          <w:sz w:val="24"/>
          <w:szCs w:val="24"/>
        </w:rPr>
        <w:t xml:space="preserve"> for Proposals (RFP</w:t>
      </w:r>
      <w:r w:rsidR="00B203C6">
        <w:rPr>
          <w:bCs/>
          <w:sz w:val="24"/>
          <w:szCs w:val="24"/>
        </w:rPr>
        <w:t>s</w:t>
      </w:r>
      <w:r w:rsidR="00F44899" w:rsidRPr="00E628F8">
        <w:rPr>
          <w:bCs/>
          <w:sz w:val="24"/>
          <w:szCs w:val="24"/>
        </w:rPr>
        <w:t>)</w:t>
      </w:r>
      <w:r w:rsidR="00E628F8" w:rsidRPr="00E628F8">
        <w:rPr>
          <w:bCs/>
          <w:sz w:val="24"/>
          <w:szCs w:val="24"/>
        </w:rPr>
        <w:t>; the first was</w:t>
      </w:r>
      <w:r w:rsidR="00757A70" w:rsidRPr="00E628F8">
        <w:rPr>
          <w:bCs/>
          <w:sz w:val="24"/>
          <w:szCs w:val="24"/>
        </w:rPr>
        <w:t xml:space="preserve"> released </w:t>
      </w:r>
      <w:r w:rsidR="00D41BBE" w:rsidRPr="00E628F8">
        <w:rPr>
          <w:bCs/>
          <w:sz w:val="24"/>
          <w:szCs w:val="24"/>
        </w:rPr>
        <w:t>April 18, 2013</w:t>
      </w:r>
      <w:r w:rsidR="00757A70" w:rsidRPr="00E628F8">
        <w:rPr>
          <w:bCs/>
          <w:sz w:val="24"/>
          <w:szCs w:val="24"/>
        </w:rPr>
        <w:t xml:space="preserve"> and </w:t>
      </w:r>
      <w:r w:rsidR="00E628F8" w:rsidRPr="00E628F8">
        <w:rPr>
          <w:bCs/>
          <w:sz w:val="24"/>
          <w:szCs w:val="24"/>
        </w:rPr>
        <w:t>CGH expects to release another in 2014 and the final one in 2015.</w:t>
      </w:r>
      <w:r w:rsidR="00757A70" w:rsidRPr="00E628F8">
        <w:rPr>
          <w:bCs/>
          <w:sz w:val="24"/>
          <w:szCs w:val="24"/>
        </w:rPr>
        <w:t xml:space="preserve"> </w:t>
      </w:r>
      <w:r w:rsidR="00B203C6" w:rsidRPr="00B671FD">
        <w:rPr>
          <w:bCs/>
          <w:sz w:val="24"/>
          <w:szCs w:val="24"/>
        </w:rPr>
        <w:t>The respondents are the Principal Investigators of the awards.</w:t>
      </w:r>
      <w:r w:rsidR="00B203C6">
        <w:rPr>
          <w:bCs/>
          <w:sz w:val="24"/>
          <w:szCs w:val="24"/>
        </w:rPr>
        <w:t xml:space="preserve">  </w:t>
      </w:r>
      <w:r w:rsidR="00B203C6" w:rsidRPr="00B671FD">
        <w:rPr>
          <w:bCs/>
          <w:sz w:val="24"/>
          <w:szCs w:val="24"/>
        </w:rPr>
        <w:t xml:space="preserve">The information will be used to monitor individual award performance and the effectiveness of the program as a whole. </w:t>
      </w:r>
      <w:r w:rsidR="000527D2" w:rsidRPr="00E628F8">
        <w:rPr>
          <w:bCs/>
          <w:sz w:val="24"/>
          <w:szCs w:val="24"/>
        </w:rPr>
        <w:t>Since these</w:t>
      </w:r>
      <w:r w:rsidR="000527D2" w:rsidRPr="00B671FD">
        <w:rPr>
          <w:bCs/>
          <w:sz w:val="24"/>
          <w:szCs w:val="24"/>
        </w:rPr>
        <w:t xml:space="preserve"> projects are funded through the contract mechanism, the PIs will not be required to submit interim and final progress reports like other National Institutes of Health grantees must.  </w:t>
      </w:r>
    </w:p>
    <w:p w14:paraId="0EAB471D" w14:textId="77777777" w:rsidR="000B7BEB" w:rsidRPr="007D3709" w:rsidRDefault="000B7BEB" w:rsidP="009709C2">
      <w:pPr>
        <w:rPr>
          <w:b/>
          <w:color w:val="000000"/>
          <w:sz w:val="24"/>
          <w:szCs w:val="24"/>
        </w:rPr>
      </w:pPr>
    </w:p>
    <w:p w14:paraId="5BD3CBD8" w14:textId="77777777" w:rsidR="00C37610" w:rsidRPr="00373D78" w:rsidRDefault="00201E44" w:rsidP="007D3709">
      <w:pPr>
        <w:pStyle w:val="P1-StandPara"/>
        <w:tabs>
          <w:tab w:val="num" w:pos="360"/>
        </w:tabs>
        <w:ind w:right="-216" w:firstLine="0"/>
        <w:rPr>
          <w:color w:val="FF0000"/>
          <w:sz w:val="24"/>
          <w:szCs w:val="24"/>
        </w:rPr>
      </w:pPr>
      <w:r w:rsidRPr="007D3709">
        <w:rPr>
          <w:b/>
          <w:color w:val="000000"/>
          <w:sz w:val="24"/>
          <w:szCs w:val="24"/>
        </w:rPr>
        <w:t>A.</w:t>
      </w:r>
      <w:r w:rsidRPr="007D3709">
        <w:rPr>
          <w:color w:val="FF0000"/>
          <w:sz w:val="24"/>
          <w:szCs w:val="24"/>
        </w:rPr>
        <w:tab/>
      </w:r>
      <w:r w:rsidR="00E1218F" w:rsidRPr="007D3709">
        <w:rPr>
          <w:color w:val="FF0000"/>
          <w:sz w:val="24"/>
          <w:szCs w:val="24"/>
        </w:rPr>
        <w:tab/>
      </w:r>
      <w:r w:rsidR="004B4AEA" w:rsidRPr="00AA01E2">
        <w:rPr>
          <w:b/>
          <w:caps/>
          <w:noProof/>
          <w:sz w:val="24"/>
          <w:szCs w:val="24"/>
        </w:rPr>
        <w:t>Justification</w:t>
      </w:r>
      <w:bookmarkStart w:id="3" w:name="_Toc443881742"/>
      <w:bookmarkStart w:id="4" w:name="_Toc451592231"/>
      <w:bookmarkStart w:id="5" w:name="_Toc5610272"/>
      <w:bookmarkStart w:id="6" w:name="_Toc99178778"/>
      <w:bookmarkEnd w:id="1"/>
      <w:bookmarkEnd w:id="2"/>
    </w:p>
    <w:p w14:paraId="67401307" w14:textId="77777777" w:rsidR="000F0563" w:rsidRPr="00381BAC" w:rsidRDefault="005E6F33" w:rsidP="0016230E">
      <w:pPr>
        <w:pStyle w:val="P1-StandPara"/>
        <w:tabs>
          <w:tab w:val="left" w:pos="720"/>
          <w:tab w:val="right" w:leader="dot" w:pos="9504"/>
        </w:tabs>
        <w:ind w:firstLine="0"/>
        <w:rPr>
          <w:b/>
          <w:sz w:val="24"/>
          <w:szCs w:val="24"/>
        </w:rPr>
      </w:pPr>
      <w:r w:rsidRPr="00A754D1">
        <w:rPr>
          <w:b/>
          <w:sz w:val="24"/>
          <w:szCs w:val="24"/>
        </w:rPr>
        <w:t>A.</w:t>
      </w:r>
      <w:r w:rsidR="004B4AEA" w:rsidRPr="00AF0172">
        <w:rPr>
          <w:b/>
          <w:sz w:val="24"/>
          <w:szCs w:val="24"/>
        </w:rPr>
        <w:t>1</w:t>
      </w:r>
      <w:r w:rsidR="008D20C5" w:rsidRPr="00AF0172">
        <w:rPr>
          <w:b/>
          <w:sz w:val="24"/>
          <w:szCs w:val="24"/>
        </w:rPr>
        <w:tab/>
        <w:t xml:space="preserve">Circumstances Making the Collection of </w:t>
      </w:r>
      <w:r w:rsidR="008D20C5" w:rsidRPr="00A15124">
        <w:rPr>
          <w:b/>
          <w:sz w:val="24"/>
          <w:szCs w:val="24"/>
        </w:rPr>
        <w:t>Information Necessary</w:t>
      </w:r>
      <w:bookmarkEnd w:id="3"/>
      <w:bookmarkEnd w:id="4"/>
      <w:bookmarkEnd w:id="5"/>
      <w:bookmarkEnd w:id="6"/>
    </w:p>
    <w:p w14:paraId="2026F386" w14:textId="77777777" w:rsidR="0030462B" w:rsidRDefault="000F0563" w:rsidP="0016230E">
      <w:pPr>
        <w:spacing w:line="480" w:lineRule="auto"/>
        <w:contextualSpacing/>
        <w:jc w:val="left"/>
        <w:rPr>
          <w:sz w:val="24"/>
          <w:szCs w:val="24"/>
        </w:rPr>
      </w:pPr>
      <w:r w:rsidRPr="00381BAC">
        <w:rPr>
          <w:b/>
          <w:sz w:val="24"/>
          <w:szCs w:val="24"/>
        </w:rPr>
        <w:tab/>
      </w:r>
      <w:r w:rsidR="0030462B" w:rsidRPr="0030462B">
        <w:rPr>
          <w:sz w:val="24"/>
          <w:szCs w:val="24"/>
        </w:rPr>
        <w:t xml:space="preserve">Cancer is a leading cause of death worldwide with a disproportionate burden occurring in </w:t>
      </w:r>
      <w:r w:rsidR="000E03C5">
        <w:rPr>
          <w:sz w:val="24"/>
          <w:szCs w:val="24"/>
        </w:rPr>
        <w:t>low</w:t>
      </w:r>
      <w:r w:rsidR="0030462B" w:rsidRPr="0030462B">
        <w:rPr>
          <w:sz w:val="24"/>
          <w:szCs w:val="24"/>
        </w:rPr>
        <w:t xml:space="preserve">- to </w:t>
      </w:r>
      <w:r w:rsidR="000E03C5">
        <w:rPr>
          <w:sz w:val="24"/>
          <w:szCs w:val="24"/>
        </w:rPr>
        <w:t>moderate</w:t>
      </w:r>
      <w:r w:rsidR="0030462B" w:rsidRPr="0030462B">
        <w:rPr>
          <w:sz w:val="24"/>
          <w:szCs w:val="24"/>
        </w:rPr>
        <w:t>-income countries</w:t>
      </w:r>
      <w:r w:rsidR="000E03C5">
        <w:rPr>
          <w:sz w:val="24"/>
          <w:szCs w:val="24"/>
        </w:rPr>
        <w:t xml:space="preserve"> (LMIC)</w:t>
      </w:r>
      <w:r w:rsidR="0030462B" w:rsidRPr="0030462B">
        <w:rPr>
          <w:sz w:val="24"/>
          <w:szCs w:val="24"/>
        </w:rPr>
        <w:t xml:space="preserve">.  It is estimated by 2020, new cancer cases will reach more than 16 million globally and the majority of this burden will be borne by residents of LMICs. There is a clear need for research that draws from diverse regions of the world to better address global cancer burden. Evidence from this research will help populations not only in LMICs but also in the US.  </w:t>
      </w:r>
    </w:p>
    <w:p w14:paraId="11591873" w14:textId="77777777" w:rsidR="0030462B" w:rsidRPr="002225E8" w:rsidRDefault="000F0563" w:rsidP="0030462B">
      <w:pPr>
        <w:spacing w:line="480" w:lineRule="auto"/>
        <w:ind w:firstLine="720"/>
        <w:contextualSpacing/>
        <w:jc w:val="left"/>
        <w:rPr>
          <w:sz w:val="28"/>
          <w:szCs w:val="24"/>
        </w:rPr>
      </w:pPr>
      <w:r w:rsidRPr="007D3709">
        <w:rPr>
          <w:sz w:val="24"/>
          <w:szCs w:val="24"/>
        </w:rPr>
        <w:t xml:space="preserve">The </w:t>
      </w:r>
      <w:r w:rsidR="000E03C5">
        <w:rPr>
          <w:sz w:val="24"/>
          <w:szCs w:val="24"/>
        </w:rPr>
        <w:t>Center for Global Health (</w:t>
      </w:r>
      <w:r w:rsidR="000527D2" w:rsidRPr="007D3709">
        <w:rPr>
          <w:bCs/>
          <w:sz w:val="24"/>
          <w:szCs w:val="24"/>
        </w:rPr>
        <w:t>C</w:t>
      </w:r>
      <w:r w:rsidR="000527D2">
        <w:rPr>
          <w:bCs/>
          <w:sz w:val="24"/>
          <w:szCs w:val="24"/>
        </w:rPr>
        <w:t>GH</w:t>
      </w:r>
      <w:r w:rsidR="000E03C5">
        <w:rPr>
          <w:bCs/>
          <w:sz w:val="24"/>
          <w:szCs w:val="24"/>
        </w:rPr>
        <w:t>)</w:t>
      </w:r>
      <w:r w:rsidR="000527D2">
        <w:rPr>
          <w:bCs/>
          <w:sz w:val="24"/>
          <w:szCs w:val="24"/>
        </w:rPr>
        <w:t xml:space="preserve"> LMIC Global Health Collaborations</w:t>
      </w:r>
      <w:r w:rsidRPr="007D3709">
        <w:rPr>
          <w:sz w:val="24"/>
          <w:szCs w:val="24"/>
        </w:rPr>
        <w:t xml:space="preserve"> are part of </w:t>
      </w:r>
      <w:r w:rsidR="000527D2">
        <w:rPr>
          <w:sz w:val="24"/>
          <w:szCs w:val="24"/>
        </w:rPr>
        <w:t xml:space="preserve">a pilot </w:t>
      </w:r>
      <w:r w:rsidR="000527D2" w:rsidRPr="001A1409">
        <w:rPr>
          <w:sz w:val="24"/>
          <w:szCs w:val="24"/>
        </w:rPr>
        <w:t>initiative and partnership, between CGH and</w:t>
      </w:r>
      <w:r w:rsidR="00AB2479" w:rsidRPr="001A1409">
        <w:rPr>
          <w:sz w:val="24"/>
          <w:szCs w:val="24"/>
        </w:rPr>
        <w:t xml:space="preserve"> </w:t>
      </w:r>
      <w:r w:rsidR="00AB2479" w:rsidRPr="001A1409">
        <w:rPr>
          <w:bCs/>
          <w:sz w:val="24"/>
          <w:szCs w:val="24"/>
        </w:rPr>
        <w:t>Office of Cancer Centers</w:t>
      </w:r>
      <w:r w:rsidR="000527D2" w:rsidRPr="001A1409">
        <w:rPr>
          <w:sz w:val="24"/>
          <w:szCs w:val="24"/>
        </w:rPr>
        <w:t xml:space="preserve"> </w:t>
      </w:r>
      <w:r w:rsidR="00AB2479" w:rsidRPr="001A1409">
        <w:rPr>
          <w:sz w:val="24"/>
          <w:szCs w:val="24"/>
        </w:rPr>
        <w:t>(</w:t>
      </w:r>
      <w:r w:rsidR="000527D2" w:rsidRPr="001A1409">
        <w:rPr>
          <w:sz w:val="24"/>
          <w:szCs w:val="24"/>
        </w:rPr>
        <w:t>OCC</w:t>
      </w:r>
      <w:r w:rsidR="00AB2479" w:rsidRPr="001A1409">
        <w:rPr>
          <w:sz w:val="24"/>
          <w:szCs w:val="24"/>
        </w:rPr>
        <w:t>)</w:t>
      </w:r>
      <w:r w:rsidR="000527D2" w:rsidRPr="001A1409">
        <w:rPr>
          <w:sz w:val="24"/>
          <w:szCs w:val="24"/>
        </w:rPr>
        <w:t xml:space="preserve"> </w:t>
      </w:r>
      <w:r w:rsidR="000527D2" w:rsidRPr="001A1409">
        <w:rPr>
          <w:rFonts w:eastAsia="Calibri"/>
          <w:sz w:val="24"/>
          <w:szCs w:val="24"/>
        </w:rPr>
        <w:t>to promote collaborations between the N</w:t>
      </w:r>
      <w:r w:rsidR="002225E8" w:rsidRPr="001A1409">
        <w:rPr>
          <w:rFonts w:eastAsia="Calibri"/>
          <w:sz w:val="24"/>
          <w:szCs w:val="24"/>
        </w:rPr>
        <w:t xml:space="preserve">ational </w:t>
      </w:r>
      <w:r w:rsidR="000527D2" w:rsidRPr="001A1409">
        <w:rPr>
          <w:rFonts w:eastAsia="Calibri"/>
          <w:sz w:val="24"/>
          <w:szCs w:val="24"/>
        </w:rPr>
        <w:t>C</w:t>
      </w:r>
      <w:r w:rsidR="000E03C5" w:rsidRPr="001A1409">
        <w:rPr>
          <w:rFonts w:eastAsia="Calibri"/>
          <w:sz w:val="24"/>
          <w:szCs w:val="24"/>
        </w:rPr>
        <w:t xml:space="preserve">ancer </w:t>
      </w:r>
      <w:r w:rsidR="000527D2" w:rsidRPr="001A1409">
        <w:rPr>
          <w:rFonts w:eastAsia="Calibri"/>
          <w:sz w:val="24"/>
          <w:szCs w:val="24"/>
        </w:rPr>
        <w:t>I</w:t>
      </w:r>
      <w:r w:rsidR="000E03C5" w:rsidRPr="001A1409">
        <w:rPr>
          <w:rFonts w:eastAsia="Calibri"/>
          <w:sz w:val="24"/>
          <w:szCs w:val="24"/>
        </w:rPr>
        <w:t>nstitute (NCI)</w:t>
      </w:r>
      <w:r w:rsidR="000527D2" w:rsidRPr="001A1409">
        <w:rPr>
          <w:rFonts w:eastAsia="Calibri"/>
          <w:sz w:val="24"/>
          <w:szCs w:val="24"/>
        </w:rPr>
        <w:t xml:space="preserve"> designated Cancer Centers and foreign institutions from LMICs.   This collaboration is designed to develop and implement </w:t>
      </w:r>
      <w:r w:rsidR="000527D2" w:rsidRPr="001A1409">
        <w:rPr>
          <w:rFonts w:eastAsia="Calibri"/>
          <w:sz w:val="24"/>
          <w:szCs w:val="24"/>
        </w:rPr>
        <w:lastRenderedPageBreak/>
        <w:t>mutually beneficial global cancer research</w:t>
      </w:r>
      <w:r w:rsidR="000527D2" w:rsidRPr="002225E8">
        <w:rPr>
          <w:rFonts w:eastAsia="Calibri"/>
          <w:sz w:val="24"/>
          <w:szCs w:val="22"/>
        </w:rPr>
        <w:t xml:space="preserve"> programs by increasing the capability of these countries to participate and partner in cancer research.  This includes the critical development of clinical trials networks and advanced technology centers, and increasing the number of trained personnel to deliver state of the art prevention, treatment, and cancer care to patients.  By enhancing cancer research efforts in these countries, it is expected that the NCI-designated Cancer Centers would strengthen their collaborations that would lead to further enhancement of the foreign programs.  It is also expected that this initiative could improve prevention and treatment strategies for all cancer patients, based on new findings and discoveries, both in the US and abroad.</w:t>
      </w:r>
      <w:r w:rsidR="0016230E" w:rsidRPr="002225E8">
        <w:rPr>
          <w:rFonts w:eastAsia="Calibri"/>
          <w:sz w:val="24"/>
          <w:szCs w:val="22"/>
        </w:rPr>
        <w:t xml:space="preserve"> </w:t>
      </w:r>
      <w:r w:rsidR="000527D2" w:rsidRPr="002225E8">
        <w:rPr>
          <w:rFonts w:eastAsia="Calibri"/>
          <w:sz w:val="24"/>
          <w:szCs w:val="22"/>
        </w:rPr>
        <w:t xml:space="preserve">CGH has a programmatic and research subcontracting support from </w:t>
      </w:r>
      <w:r w:rsidR="0016230E" w:rsidRPr="002225E8">
        <w:rPr>
          <w:rFonts w:eastAsia="Calibri"/>
          <w:sz w:val="24"/>
          <w:szCs w:val="22"/>
        </w:rPr>
        <w:t xml:space="preserve">Leidos Biomedical Research, Inc. </w:t>
      </w:r>
      <w:r w:rsidR="000527D2" w:rsidRPr="002225E8">
        <w:rPr>
          <w:rFonts w:eastAsia="Calibri"/>
          <w:sz w:val="24"/>
          <w:szCs w:val="22"/>
        </w:rPr>
        <w:t>to support th</w:t>
      </w:r>
      <w:r w:rsidR="000B2CFB" w:rsidRPr="002225E8">
        <w:rPr>
          <w:rFonts w:eastAsia="Calibri"/>
          <w:sz w:val="24"/>
          <w:szCs w:val="22"/>
        </w:rPr>
        <w:t>e first R</w:t>
      </w:r>
      <w:r w:rsidR="000E03C5" w:rsidRPr="002225E8">
        <w:rPr>
          <w:rFonts w:eastAsia="Calibri"/>
          <w:sz w:val="24"/>
          <w:szCs w:val="22"/>
        </w:rPr>
        <w:t xml:space="preserve">equest </w:t>
      </w:r>
      <w:r w:rsidR="000B2CFB" w:rsidRPr="002225E8">
        <w:rPr>
          <w:rFonts w:eastAsia="Calibri"/>
          <w:sz w:val="24"/>
          <w:szCs w:val="22"/>
        </w:rPr>
        <w:t>F</w:t>
      </w:r>
      <w:r w:rsidR="000E03C5" w:rsidRPr="002225E8">
        <w:rPr>
          <w:rFonts w:eastAsia="Calibri"/>
          <w:sz w:val="24"/>
          <w:szCs w:val="22"/>
        </w:rPr>
        <w:t xml:space="preserve">or </w:t>
      </w:r>
      <w:r w:rsidR="000B2CFB" w:rsidRPr="002225E8">
        <w:rPr>
          <w:rFonts w:eastAsia="Calibri"/>
          <w:sz w:val="24"/>
          <w:szCs w:val="22"/>
        </w:rPr>
        <w:t>P</w:t>
      </w:r>
      <w:r w:rsidR="000E03C5" w:rsidRPr="002225E8">
        <w:rPr>
          <w:rFonts w:eastAsia="Calibri"/>
          <w:sz w:val="24"/>
          <w:szCs w:val="22"/>
        </w:rPr>
        <w:t>roposal (RFP)</w:t>
      </w:r>
      <w:r w:rsidR="000B2CFB" w:rsidRPr="002225E8">
        <w:rPr>
          <w:rFonts w:eastAsia="Calibri"/>
          <w:sz w:val="24"/>
          <w:szCs w:val="22"/>
        </w:rPr>
        <w:t xml:space="preserve"> and may employ them for the second two RFPs.</w:t>
      </w:r>
      <w:r w:rsidR="000527D2" w:rsidRPr="002225E8">
        <w:rPr>
          <w:rFonts w:eastAsia="Calibri"/>
          <w:sz w:val="24"/>
          <w:szCs w:val="22"/>
        </w:rPr>
        <w:t xml:space="preserve">  </w:t>
      </w:r>
    </w:p>
    <w:p w14:paraId="220BB32B" w14:textId="77777777" w:rsidR="0082464E" w:rsidRDefault="00E628F8" w:rsidP="0082464E">
      <w:pPr>
        <w:pStyle w:val="P1-StandPara"/>
        <w:tabs>
          <w:tab w:val="left" w:pos="720"/>
          <w:tab w:val="right" w:leader="dot" w:pos="9504"/>
        </w:tabs>
        <w:ind w:firstLine="0"/>
        <w:rPr>
          <w:bCs/>
          <w:sz w:val="24"/>
          <w:szCs w:val="24"/>
        </w:rPr>
      </w:pPr>
      <w:r>
        <w:rPr>
          <w:sz w:val="24"/>
          <w:szCs w:val="24"/>
        </w:rPr>
        <w:tab/>
      </w:r>
      <w:r w:rsidR="0030462B" w:rsidRPr="007D3709">
        <w:rPr>
          <w:sz w:val="24"/>
          <w:szCs w:val="24"/>
        </w:rPr>
        <w:t xml:space="preserve">The </w:t>
      </w:r>
      <w:r w:rsidR="0030462B" w:rsidRPr="007D3709">
        <w:rPr>
          <w:bCs/>
          <w:sz w:val="24"/>
          <w:szCs w:val="24"/>
        </w:rPr>
        <w:t>C</w:t>
      </w:r>
      <w:r w:rsidR="0030462B">
        <w:rPr>
          <w:bCs/>
          <w:sz w:val="24"/>
          <w:szCs w:val="24"/>
        </w:rPr>
        <w:t xml:space="preserve">GH LMIC Global Health Collaborations </w:t>
      </w:r>
      <w:r w:rsidR="00C1760F" w:rsidRPr="007D3709">
        <w:rPr>
          <w:sz w:val="24"/>
          <w:szCs w:val="24"/>
        </w:rPr>
        <w:t xml:space="preserve">awards </w:t>
      </w:r>
      <w:r>
        <w:rPr>
          <w:sz w:val="24"/>
          <w:szCs w:val="24"/>
        </w:rPr>
        <w:t>are</w:t>
      </w:r>
      <w:r w:rsidR="00C1760F" w:rsidRPr="007D3709">
        <w:rPr>
          <w:sz w:val="24"/>
          <w:szCs w:val="24"/>
        </w:rPr>
        <w:t xml:space="preserve"> made in response to </w:t>
      </w:r>
      <w:r>
        <w:rPr>
          <w:bCs/>
          <w:sz w:val="24"/>
          <w:szCs w:val="24"/>
        </w:rPr>
        <w:t xml:space="preserve">three </w:t>
      </w:r>
      <w:r w:rsidR="0030462B" w:rsidRPr="00551A14">
        <w:rPr>
          <w:bCs/>
          <w:sz w:val="24"/>
          <w:szCs w:val="24"/>
        </w:rPr>
        <w:t xml:space="preserve">Request </w:t>
      </w:r>
      <w:r w:rsidR="0030462B" w:rsidRPr="00757A70">
        <w:rPr>
          <w:bCs/>
          <w:sz w:val="24"/>
          <w:szCs w:val="24"/>
        </w:rPr>
        <w:t>for Proposals (</w:t>
      </w:r>
      <w:r w:rsidR="0030462B" w:rsidRPr="00F44899">
        <w:rPr>
          <w:bCs/>
          <w:sz w:val="24"/>
          <w:szCs w:val="24"/>
        </w:rPr>
        <w:t>RFP</w:t>
      </w:r>
      <w:r>
        <w:rPr>
          <w:bCs/>
          <w:sz w:val="24"/>
          <w:szCs w:val="24"/>
        </w:rPr>
        <w:t>s</w:t>
      </w:r>
      <w:r w:rsidR="0030462B" w:rsidRPr="00F44899">
        <w:rPr>
          <w:bCs/>
          <w:sz w:val="24"/>
          <w:szCs w:val="24"/>
        </w:rPr>
        <w:t xml:space="preserve">) </w:t>
      </w:r>
      <w:r>
        <w:rPr>
          <w:bCs/>
          <w:sz w:val="24"/>
          <w:szCs w:val="24"/>
        </w:rPr>
        <w:t xml:space="preserve">using the contract mechanism.  The first RFP was </w:t>
      </w:r>
      <w:r w:rsidR="0030462B" w:rsidRPr="00F44899">
        <w:rPr>
          <w:bCs/>
          <w:sz w:val="24"/>
          <w:szCs w:val="24"/>
        </w:rPr>
        <w:t xml:space="preserve">released </w:t>
      </w:r>
      <w:r w:rsidR="0030462B" w:rsidRPr="00D41BBE">
        <w:rPr>
          <w:bCs/>
          <w:sz w:val="24"/>
          <w:szCs w:val="24"/>
        </w:rPr>
        <w:t xml:space="preserve">April 18, </w:t>
      </w:r>
      <w:r w:rsidR="0030462B" w:rsidRPr="00E628F8">
        <w:rPr>
          <w:bCs/>
          <w:sz w:val="24"/>
          <w:szCs w:val="24"/>
        </w:rPr>
        <w:t xml:space="preserve">2013 and </w:t>
      </w:r>
      <w:r w:rsidRPr="00E628F8">
        <w:rPr>
          <w:bCs/>
          <w:sz w:val="24"/>
          <w:szCs w:val="24"/>
        </w:rPr>
        <w:t>CGH</w:t>
      </w:r>
      <w:r>
        <w:rPr>
          <w:bCs/>
          <w:sz w:val="24"/>
          <w:szCs w:val="24"/>
        </w:rPr>
        <w:t xml:space="preserve"> expects to release the second in 2014 and the third in 2015.  </w:t>
      </w:r>
      <w:r w:rsidR="0082464E">
        <w:rPr>
          <w:bCs/>
          <w:sz w:val="24"/>
          <w:szCs w:val="24"/>
        </w:rPr>
        <w:t xml:space="preserve">The use of the contract </w:t>
      </w:r>
      <w:r w:rsidR="0082464E" w:rsidRPr="0082464E">
        <w:rPr>
          <w:bCs/>
          <w:sz w:val="24"/>
          <w:szCs w:val="24"/>
        </w:rPr>
        <w:t xml:space="preserve">mechanism </w:t>
      </w:r>
      <w:r w:rsidR="0082464E" w:rsidRPr="0082464E">
        <w:rPr>
          <w:sz w:val="24"/>
          <w:szCs w:val="24"/>
        </w:rPr>
        <w:t xml:space="preserve">means that the </w:t>
      </w:r>
      <w:r w:rsidR="0082464E" w:rsidRPr="0082464E">
        <w:rPr>
          <w:bCs/>
          <w:sz w:val="24"/>
          <w:szCs w:val="24"/>
        </w:rPr>
        <w:t>CGH LMIC Global Health Collaborations</w:t>
      </w:r>
      <w:r w:rsidR="0082464E" w:rsidRPr="0082464E">
        <w:rPr>
          <w:sz w:val="24"/>
          <w:szCs w:val="24"/>
        </w:rPr>
        <w:t xml:space="preserve"> are funded by set-aside funds that are separate from the general pool of research program grant (RPG) funds used to support investigator initiated research at NIH. The use of the set-aside funds indicates that the area is a programmatic priority for </w:t>
      </w:r>
      <w:r w:rsidR="000B2CFB">
        <w:rPr>
          <w:sz w:val="24"/>
          <w:szCs w:val="24"/>
        </w:rPr>
        <w:t>CGH/</w:t>
      </w:r>
      <w:r w:rsidR="0082464E" w:rsidRPr="0082464E">
        <w:rPr>
          <w:sz w:val="24"/>
          <w:szCs w:val="24"/>
        </w:rPr>
        <w:t xml:space="preserve">NCI and reflects programmatic interest beyond that for a typical RPG award, as does the use of </w:t>
      </w:r>
      <w:r w:rsidR="0082464E">
        <w:rPr>
          <w:sz w:val="24"/>
          <w:szCs w:val="24"/>
        </w:rPr>
        <w:t>contract mechanism</w:t>
      </w:r>
      <w:r w:rsidR="0082464E" w:rsidRPr="0082464E">
        <w:rPr>
          <w:sz w:val="24"/>
          <w:szCs w:val="24"/>
        </w:rPr>
        <w:t xml:space="preserve">. </w:t>
      </w:r>
      <w:r w:rsidR="0082464E" w:rsidRPr="007D3709">
        <w:rPr>
          <w:sz w:val="24"/>
          <w:szCs w:val="24"/>
        </w:rPr>
        <w:t xml:space="preserve">The </w:t>
      </w:r>
      <w:r w:rsidR="0082464E" w:rsidRPr="007D3709">
        <w:rPr>
          <w:bCs/>
          <w:sz w:val="24"/>
          <w:szCs w:val="24"/>
        </w:rPr>
        <w:t>C</w:t>
      </w:r>
      <w:r w:rsidR="0082464E">
        <w:rPr>
          <w:bCs/>
          <w:sz w:val="24"/>
          <w:szCs w:val="24"/>
        </w:rPr>
        <w:t xml:space="preserve">GH LMIC Global Health Collaborations </w:t>
      </w:r>
      <w:r w:rsidR="000B2CFB">
        <w:rPr>
          <w:bCs/>
          <w:sz w:val="24"/>
          <w:szCs w:val="24"/>
        </w:rPr>
        <w:t xml:space="preserve">awarded under the first RFP </w:t>
      </w:r>
      <w:r w:rsidR="0082464E" w:rsidRPr="00F44899">
        <w:rPr>
          <w:bCs/>
          <w:sz w:val="24"/>
          <w:szCs w:val="24"/>
        </w:rPr>
        <w:t xml:space="preserve">are administered by Leidos Biomedical </w:t>
      </w:r>
      <w:r w:rsidR="0082464E" w:rsidRPr="00942C39">
        <w:rPr>
          <w:bCs/>
          <w:sz w:val="24"/>
          <w:szCs w:val="24"/>
        </w:rPr>
        <w:t xml:space="preserve">Research, Inc. on behalf of CGH and OCC.  Leidos Biomedical Research, Inc. will </w:t>
      </w:r>
      <w:r w:rsidR="00B671FD">
        <w:rPr>
          <w:bCs/>
          <w:sz w:val="24"/>
          <w:szCs w:val="24"/>
        </w:rPr>
        <w:t xml:space="preserve">review the reports, </w:t>
      </w:r>
      <w:r w:rsidR="0082464E" w:rsidRPr="00942C39">
        <w:rPr>
          <w:bCs/>
          <w:sz w:val="24"/>
          <w:szCs w:val="24"/>
        </w:rPr>
        <w:t>share the</w:t>
      </w:r>
      <w:r w:rsidR="00B671FD">
        <w:rPr>
          <w:bCs/>
          <w:sz w:val="24"/>
          <w:szCs w:val="24"/>
        </w:rPr>
        <w:t xml:space="preserve">m with CGH staff, and </w:t>
      </w:r>
      <w:r w:rsidR="0082464E" w:rsidRPr="00942C39">
        <w:rPr>
          <w:bCs/>
          <w:sz w:val="24"/>
          <w:szCs w:val="24"/>
        </w:rPr>
        <w:t>create</w:t>
      </w:r>
      <w:r w:rsidR="00B671FD">
        <w:rPr>
          <w:bCs/>
          <w:sz w:val="24"/>
          <w:szCs w:val="24"/>
        </w:rPr>
        <w:t xml:space="preserve"> summary reports and recommendations.</w:t>
      </w:r>
      <w:r w:rsidR="0082464E" w:rsidRPr="00942C39">
        <w:rPr>
          <w:bCs/>
          <w:sz w:val="24"/>
          <w:szCs w:val="24"/>
        </w:rPr>
        <w:t xml:space="preserve"> </w:t>
      </w:r>
      <w:r w:rsidR="000B2CFB">
        <w:rPr>
          <w:bCs/>
          <w:sz w:val="24"/>
          <w:szCs w:val="24"/>
        </w:rPr>
        <w:t xml:space="preserve">The awards made under the second and third RFPs may also be administered by Leidos Biomedical Research, Inc., </w:t>
      </w:r>
      <w:r w:rsidR="000B2CFB">
        <w:rPr>
          <w:bCs/>
          <w:sz w:val="24"/>
          <w:szCs w:val="24"/>
        </w:rPr>
        <w:lastRenderedPageBreak/>
        <w:t>or they may be directly administered by CGH and/or OCC.  Whoever is responsible for the administration of the awards under the second and third RFPs will also be responsible for reviewing the reports, ensuring that CGH staff has access to these reports, and creating summary reports and recommendations.</w:t>
      </w:r>
    </w:p>
    <w:p w14:paraId="35E545B9" w14:textId="77777777" w:rsidR="0082464E" w:rsidRDefault="0082464E" w:rsidP="0082464E">
      <w:pPr>
        <w:pStyle w:val="P1-StandPara"/>
        <w:tabs>
          <w:tab w:val="left" w:pos="720"/>
          <w:tab w:val="right" w:leader="dot" w:pos="9504"/>
        </w:tabs>
        <w:ind w:firstLine="0"/>
        <w:rPr>
          <w:sz w:val="24"/>
          <w:szCs w:val="24"/>
        </w:rPr>
      </w:pPr>
      <w:r>
        <w:rPr>
          <w:bCs/>
          <w:sz w:val="24"/>
          <w:szCs w:val="24"/>
        </w:rPr>
        <w:tab/>
      </w:r>
      <w:r w:rsidR="0030462B">
        <w:rPr>
          <w:sz w:val="24"/>
          <w:szCs w:val="24"/>
        </w:rPr>
        <w:t>These collaborations</w:t>
      </w:r>
      <w:r w:rsidR="00C1760F" w:rsidRPr="007D3709">
        <w:rPr>
          <w:sz w:val="24"/>
          <w:szCs w:val="24"/>
        </w:rPr>
        <w:t xml:space="preserve"> are expected to </w:t>
      </w:r>
      <w:r w:rsidR="0030462B">
        <w:rPr>
          <w:sz w:val="24"/>
          <w:szCs w:val="24"/>
        </w:rPr>
        <w:t>leverage the scientific exper</w:t>
      </w:r>
      <w:r w:rsidR="001400E4">
        <w:rPr>
          <w:sz w:val="24"/>
          <w:szCs w:val="24"/>
        </w:rPr>
        <w:t>t</w:t>
      </w:r>
      <w:r w:rsidR="0030462B">
        <w:rPr>
          <w:sz w:val="24"/>
          <w:szCs w:val="24"/>
        </w:rPr>
        <w:t xml:space="preserve">ise and leadership in cancer control, prevention or treatment </w:t>
      </w:r>
      <w:r w:rsidR="001400E4">
        <w:rPr>
          <w:sz w:val="24"/>
          <w:szCs w:val="24"/>
        </w:rPr>
        <w:t xml:space="preserve">of the NCI-designated cancer centers in order to promote cancer research and increase research capacity in LMICs.  In keeping with CGH’s </w:t>
      </w:r>
      <w:r w:rsidR="00F3200D" w:rsidRPr="007D3709">
        <w:rPr>
          <w:sz w:val="24"/>
          <w:szCs w:val="24"/>
        </w:rPr>
        <w:t xml:space="preserve">emphasis on </w:t>
      </w:r>
      <w:r w:rsidR="001400E4">
        <w:rPr>
          <w:sz w:val="24"/>
          <w:szCs w:val="24"/>
        </w:rPr>
        <w:t>follow-up and sustainability, p</w:t>
      </w:r>
      <w:r w:rsidR="001400E4" w:rsidRPr="007D3709">
        <w:rPr>
          <w:sz w:val="24"/>
          <w:szCs w:val="24"/>
        </w:rPr>
        <w:t>rogress in these areas (</w:t>
      </w:r>
      <w:r w:rsidR="0084227B" w:rsidRPr="0084227B">
        <w:rPr>
          <w:bCs/>
          <w:sz w:val="24"/>
          <w:szCs w:val="24"/>
        </w:rPr>
        <w:t>sustainability, training, and collaborations</w:t>
      </w:r>
      <w:r w:rsidR="0084227B">
        <w:rPr>
          <w:bCs/>
          <w:sz w:val="24"/>
          <w:szCs w:val="24"/>
        </w:rPr>
        <w:t xml:space="preserve">) </w:t>
      </w:r>
      <w:r w:rsidR="001400E4" w:rsidRPr="007D3709">
        <w:rPr>
          <w:sz w:val="24"/>
          <w:szCs w:val="24"/>
        </w:rPr>
        <w:t>in addition to scientific achievement as measured by progress towards specific aims, is monitored through the use of program specific progress report guidelines.</w:t>
      </w:r>
      <w:r>
        <w:rPr>
          <w:sz w:val="24"/>
          <w:szCs w:val="24"/>
        </w:rPr>
        <w:t xml:space="preserve"> </w:t>
      </w:r>
    </w:p>
    <w:p w14:paraId="37B0A086" w14:textId="77777777" w:rsidR="001400E4" w:rsidRPr="00570A99" w:rsidRDefault="001400E4" w:rsidP="001400E4">
      <w:pPr>
        <w:pStyle w:val="P1-StandPara"/>
        <w:tabs>
          <w:tab w:val="left" w:pos="720"/>
          <w:tab w:val="right" w:leader="dot" w:pos="9504"/>
        </w:tabs>
        <w:ind w:firstLine="0"/>
        <w:rPr>
          <w:sz w:val="24"/>
          <w:szCs w:val="24"/>
        </w:rPr>
      </w:pPr>
      <w:r>
        <w:rPr>
          <w:sz w:val="24"/>
          <w:szCs w:val="24"/>
        </w:rPr>
        <w:tab/>
      </w:r>
      <w:r w:rsidRPr="007D3709">
        <w:rPr>
          <w:sz w:val="24"/>
          <w:szCs w:val="24"/>
        </w:rPr>
        <w:t xml:space="preserve">NCI typically </w:t>
      </w:r>
      <w:r w:rsidR="00B671FD">
        <w:rPr>
          <w:sz w:val="24"/>
          <w:szCs w:val="24"/>
        </w:rPr>
        <w:t xml:space="preserve">dispenses funds </w:t>
      </w:r>
      <w:r w:rsidRPr="007D3709">
        <w:rPr>
          <w:sz w:val="24"/>
          <w:szCs w:val="24"/>
        </w:rPr>
        <w:t>to awardees on a yearly basis, following programmatic and administrative review and approval of annual progress reports submitted by awardees. NIH uses PHS 2590 form for progress reports</w:t>
      </w:r>
      <w:r>
        <w:rPr>
          <w:sz w:val="24"/>
          <w:szCs w:val="24"/>
        </w:rPr>
        <w:t xml:space="preserve"> and now has </w:t>
      </w:r>
      <w:r w:rsidRPr="007D3709">
        <w:rPr>
          <w:sz w:val="24"/>
          <w:szCs w:val="24"/>
        </w:rPr>
        <w:t>transition</w:t>
      </w:r>
      <w:r>
        <w:rPr>
          <w:sz w:val="24"/>
          <w:szCs w:val="24"/>
        </w:rPr>
        <w:t>ed</w:t>
      </w:r>
      <w:r w:rsidRPr="007D3709">
        <w:rPr>
          <w:sz w:val="24"/>
          <w:szCs w:val="24"/>
        </w:rPr>
        <w:t xml:space="preserve"> to the Research Performance Progress Report (RPPR)</w:t>
      </w:r>
      <w:r>
        <w:rPr>
          <w:sz w:val="24"/>
          <w:szCs w:val="24"/>
        </w:rPr>
        <w:t xml:space="preserve"> (OMB No. 0925-0002, Expiration Date 8/31/2015)</w:t>
      </w:r>
      <w:r w:rsidRPr="007D3709">
        <w:rPr>
          <w:sz w:val="24"/>
          <w:szCs w:val="24"/>
        </w:rPr>
        <w:t xml:space="preserve">. The </w:t>
      </w:r>
      <w:r w:rsidRPr="007D3709">
        <w:rPr>
          <w:bCs/>
          <w:sz w:val="24"/>
          <w:szCs w:val="24"/>
        </w:rPr>
        <w:t>C</w:t>
      </w:r>
      <w:r>
        <w:rPr>
          <w:bCs/>
          <w:sz w:val="24"/>
          <w:szCs w:val="24"/>
        </w:rPr>
        <w:t xml:space="preserve">GH LMIC Global Health Collaborations </w:t>
      </w:r>
      <w:r w:rsidRPr="007D3709">
        <w:rPr>
          <w:sz w:val="24"/>
          <w:szCs w:val="24"/>
        </w:rPr>
        <w:t xml:space="preserve">were not awarded through the </w:t>
      </w:r>
      <w:r>
        <w:rPr>
          <w:sz w:val="24"/>
          <w:szCs w:val="24"/>
        </w:rPr>
        <w:t>grants mechanism</w:t>
      </w:r>
      <w:r w:rsidR="002B4A1F">
        <w:rPr>
          <w:sz w:val="24"/>
          <w:szCs w:val="24"/>
        </w:rPr>
        <w:t xml:space="preserve">, rather they were awarded using the contract mechanism </w:t>
      </w:r>
      <w:r>
        <w:rPr>
          <w:sz w:val="24"/>
          <w:szCs w:val="24"/>
        </w:rPr>
        <w:t>and therefore do not use</w:t>
      </w:r>
      <w:r w:rsidRPr="007D3709">
        <w:rPr>
          <w:sz w:val="24"/>
          <w:szCs w:val="24"/>
        </w:rPr>
        <w:t xml:space="preserve"> </w:t>
      </w:r>
      <w:r>
        <w:rPr>
          <w:sz w:val="24"/>
          <w:szCs w:val="24"/>
        </w:rPr>
        <w:t>this</w:t>
      </w:r>
      <w:r w:rsidRPr="007D3709">
        <w:rPr>
          <w:sz w:val="24"/>
          <w:szCs w:val="24"/>
        </w:rPr>
        <w:t xml:space="preserve"> yearly reporting</w:t>
      </w:r>
      <w:r w:rsidR="002B4A1F">
        <w:rPr>
          <w:sz w:val="24"/>
          <w:szCs w:val="24"/>
        </w:rPr>
        <w:t xml:space="preserve"> system</w:t>
      </w:r>
      <w:r w:rsidRPr="007D3709">
        <w:rPr>
          <w:sz w:val="24"/>
          <w:szCs w:val="24"/>
        </w:rPr>
        <w:t xml:space="preserve">. Additionally, </w:t>
      </w:r>
      <w:r>
        <w:rPr>
          <w:sz w:val="24"/>
          <w:szCs w:val="24"/>
        </w:rPr>
        <w:t xml:space="preserve">the </w:t>
      </w:r>
      <w:r w:rsidRPr="007D3709">
        <w:rPr>
          <w:bCs/>
          <w:sz w:val="24"/>
          <w:szCs w:val="24"/>
        </w:rPr>
        <w:t>C</w:t>
      </w:r>
      <w:r>
        <w:rPr>
          <w:bCs/>
          <w:sz w:val="24"/>
          <w:szCs w:val="24"/>
        </w:rPr>
        <w:t xml:space="preserve">GH LMIC Global Health Collaborations </w:t>
      </w:r>
      <w:r w:rsidRPr="007D3709">
        <w:rPr>
          <w:sz w:val="24"/>
          <w:szCs w:val="24"/>
        </w:rPr>
        <w:t xml:space="preserve">require progress reports to be filed every </w:t>
      </w:r>
      <w:r w:rsidRPr="00570A99">
        <w:rPr>
          <w:sz w:val="24"/>
          <w:szCs w:val="24"/>
        </w:rPr>
        <w:t xml:space="preserve">six months, and the RPPR system does not currently support reporting filed with frequency greater than once a year. This necessitates the use of the attached program specific progress report guideline to collect information on award performance, including the program specific information outlined above. </w:t>
      </w:r>
      <w:r w:rsidR="002B4A1F" w:rsidRPr="00570A99">
        <w:rPr>
          <w:sz w:val="24"/>
          <w:szCs w:val="24"/>
        </w:rPr>
        <w:t xml:space="preserve"> </w:t>
      </w:r>
    </w:p>
    <w:p w14:paraId="0E0B181D" w14:textId="77777777" w:rsidR="003F6E7A" w:rsidRPr="00570A99" w:rsidRDefault="003F6E7A" w:rsidP="007D3709">
      <w:pPr>
        <w:spacing w:line="480" w:lineRule="auto"/>
        <w:ind w:firstLine="720"/>
        <w:jc w:val="left"/>
        <w:rPr>
          <w:sz w:val="24"/>
          <w:szCs w:val="24"/>
        </w:rPr>
      </w:pPr>
      <w:r w:rsidRPr="00570A99">
        <w:rPr>
          <w:sz w:val="24"/>
          <w:szCs w:val="24"/>
        </w:rPr>
        <w:t xml:space="preserve">Section 410 of the Public Health Service Act (42 USC </w:t>
      </w:r>
      <w:r w:rsidRPr="00570A99">
        <w:rPr>
          <w:i/>
          <w:iCs/>
          <w:sz w:val="24"/>
          <w:szCs w:val="24"/>
        </w:rPr>
        <w:t>§</w:t>
      </w:r>
      <w:r w:rsidRPr="00570A99">
        <w:rPr>
          <w:sz w:val="24"/>
          <w:szCs w:val="24"/>
        </w:rPr>
        <w:t xml:space="preserve"> 285),</w:t>
      </w:r>
      <w:r w:rsidR="00B13C1F" w:rsidRPr="00570A99">
        <w:rPr>
          <w:sz w:val="24"/>
          <w:szCs w:val="24"/>
        </w:rPr>
        <w:t xml:space="preserve"> authorizes collection of this information, as outlined in</w:t>
      </w:r>
      <w:r w:rsidRPr="00570A99">
        <w:rPr>
          <w:sz w:val="24"/>
          <w:szCs w:val="24"/>
        </w:rPr>
        <w:t xml:space="preserve"> Special Authorities of the Director – Sec. 413. [285a-2]. </w:t>
      </w:r>
      <w:r w:rsidR="003A1D7D" w:rsidRPr="00570A99">
        <w:rPr>
          <w:sz w:val="24"/>
          <w:szCs w:val="24"/>
        </w:rPr>
        <w:t xml:space="preserve">Section </w:t>
      </w:r>
      <w:r w:rsidR="003A1D7D" w:rsidRPr="00570A99">
        <w:rPr>
          <w:sz w:val="24"/>
          <w:szCs w:val="24"/>
        </w:rPr>
        <w:lastRenderedPageBreak/>
        <w:t xml:space="preserve">413 </w:t>
      </w:r>
      <w:r w:rsidR="007250F3" w:rsidRPr="00570A99">
        <w:rPr>
          <w:sz w:val="24"/>
          <w:szCs w:val="24"/>
        </w:rPr>
        <w:t>authorizes the NCI Director to collect and disseminate (including through publications)</w:t>
      </w:r>
      <w:r w:rsidR="004F6A7E" w:rsidRPr="00570A99">
        <w:rPr>
          <w:sz w:val="24"/>
          <w:szCs w:val="24"/>
        </w:rPr>
        <w:t xml:space="preserve"> to clinicians and the general public</w:t>
      </w:r>
      <w:r w:rsidR="007250F3" w:rsidRPr="00570A99">
        <w:rPr>
          <w:sz w:val="24"/>
          <w:szCs w:val="24"/>
        </w:rPr>
        <w:t xml:space="preserve"> information on cancer research, diagnosis, prevention and treatment. </w:t>
      </w:r>
    </w:p>
    <w:p w14:paraId="5AA8C56F" w14:textId="77777777" w:rsidR="004A7C0D" w:rsidRPr="00570A99" w:rsidRDefault="007D5840" w:rsidP="007D3709">
      <w:pPr>
        <w:pStyle w:val="P1-StandPara"/>
        <w:tabs>
          <w:tab w:val="left" w:pos="720"/>
          <w:tab w:val="right" w:leader="dot" w:pos="9504"/>
        </w:tabs>
        <w:ind w:firstLine="0"/>
        <w:rPr>
          <w:sz w:val="24"/>
          <w:szCs w:val="24"/>
        </w:rPr>
      </w:pPr>
      <w:r w:rsidRPr="00570A99">
        <w:rPr>
          <w:sz w:val="24"/>
          <w:szCs w:val="24"/>
        </w:rPr>
        <w:tab/>
      </w:r>
      <w:r w:rsidR="00653803" w:rsidRPr="00570A99">
        <w:rPr>
          <w:sz w:val="24"/>
          <w:szCs w:val="24"/>
        </w:rPr>
        <w:t xml:space="preserve">Monitoring progress and </w:t>
      </w:r>
      <w:r w:rsidR="00570A99" w:rsidRPr="00570A99">
        <w:rPr>
          <w:sz w:val="24"/>
          <w:szCs w:val="24"/>
        </w:rPr>
        <w:t>achievements</w:t>
      </w:r>
      <w:r w:rsidR="00653803" w:rsidRPr="00570A99">
        <w:rPr>
          <w:sz w:val="24"/>
          <w:szCs w:val="24"/>
        </w:rPr>
        <w:t xml:space="preserve"> is necessary to ensure that awardees are on track to reach program goals </w:t>
      </w:r>
      <w:r w:rsidR="0085334E" w:rsidRPr="00570A99">
        <w:rPr>
          <w:sz w:val="24"/>
          <w:szCs w:val="24"/>
        </w:rPr>
        <w:t xml:space="preserve">and that the intent and </w:t>
      </w:r>
      <w:r w:rsidR="00653803" w:rsidRPr="00570A99">
        <w:rPr>
          <w:sz w:val="24"/>
          <w:szCs w:val="24"/>
        </w:rPr>
        <w:t>requirements of the RF</w:t>
      </w:r>
      <w:r w:rsidR="00570A99" w:rsidRPr="00570A99">
        <w:rPr>
          <w:sz w:val="24"/>
          <w:szCs w:val="24"/>
        </w:rPr>
        <w:t>P</w:t>
      </w:r>
      <w:r w:rsidR="00653803" w:rsidRPr="00570A99">
        <w:rPr>
          <w:sz w:val="24"/>
          <w:szCs w:val="24"/>
        </w:rPr>
        <w:t xml:space="preserve"> are being met. Evidence that program goals are</w:t>
      </w:r>
      <w:r w:rsidR="00561B91">
        <w:rPr>
          <w:sz w:val="24"/>
          <w:szCs w:val="24"/>
        </w:rPr>
        <w:t xml:space="preserve"> not</w:t>
      </w:r>
      <w:r w:rsidR="00653803" w:rsidRPr="00570A99">
        <w:rPr>
          <w:sz w:val="24"/>
          <w:szCs w:val="24"/>
        </w:rPr>
        <w:t xml:space="preserve"> being met (e.g., missed </w:t>
      </w:r>
      <w:r w:rsidR="00975605">
        <w:rPr>
          <w:sz w:val="24"/>
          <w:szCs w:val="24"/>
        </w:rPr>
        <w:t>objectives</w:t>
      </w:r>
      <w:r w:rsidR="00653803" w:rsidRPr="00570A99">
        <w:rPr>
          <w:sz w:val="24"/>
          <w:szCs w:val="24"/>
        </w:rPr>
        <w:t xml:space="preserve"> or a lack of collaboration) are used by </w:t>
      </w:r>
      <w:r w:rsidR="00570A99" w:rsidRPr="00570A99">
        <w:rPr>
          <w:sz w:val="24"/>
          <w:szCs w:val="24"/>
        </w:rPr>
        <w:t>Leidos Biomedical Research</w:t>
      </w:r>
      <w:r w:rsidR="00E96797">
        <w:rPr>
          <w:sz w:val="24"/>
          <w:szCs w:val="24"/>
        </w:rPr>
        <w:t xml:space="preserve">, Inc. (or CGH or OCC, depending on who is administering the awards) to open discussions with investigators </w:t>
      </w:r>
      <w:r w:rsidR="00653803" w:rsidRPr="00570A99">
        <w:rPr>
          <w:sz w:val="24"/>
          <w:szCs w:val="24"/>
        </w:rPr>
        <w:t xml:space="preserve">on how to adjust their </w:t>
      </w:r>
      <w:r w:rsidR="00323F7D" w:rsidRPr="00570A99">
        <w:rPr>
          <w:sz w:val="24"/>
          <w:szCs w:val="24"/>
        </w:rPr>
        <w:t>research or collaboration plans</w:t>
      </w:r>
      <w:r w:rsidR="00653803" w:rsidRPr="00570A99">
        <w:rPr>
          <w:sz w:val="24"/>
          <w:szCs w:val="24"/>
        </w:rPr>
        <w:t xml:space="preserve"> to improve performance in these areas.</w:t>
      </w:r>
      <w:r w:rsidR="0085334E" w:rsidRPr="00570A99">
        <w:rPr>
          <w:sz w:val="24"/>
          <w:szCs w:val="24"/>
        </w:rPr>
        <w:t xml:space="preserve"> Reporting every six months allows these adjustments</w:t>
      </w:r>
      <w:r w:rsidR="00323F7D" w:rsidRPr="00570A99">
        <w:rPr>
          <w:sz w:val="24"/>
          <w:szCs w:val="24"/>
        </w:rPr>
        <w:t xml:space="preserve"> to be made</w:t>
      </w:r>
      <w:r w:rsidR="0085334E" w:rsidRPr="00570A99">
        <w:rPr>
          <w:sz w:val="24"/>
          <w:szCs w:val="24"/>
        </w:rPr>
        <w:t xml:space="preserve"> quickly enough to prevent serious shortcomings.</w:t>
      </w:r>
      <w:r w:rsidR="00653803" w:rsidRPr="00570A99">
        <w:rPr>
          <w:sz w:val="24"/>
          <w:szCs w:val="24"/>
        </w:rPr>
        <w:t xml:space="preserve"> Strong performance by awardees is </w:t>
      </w:r>
      <w:r w:rsidR="00323F7D" w:rsidRPr="00570A99">
        <w:rPr>
          <w:sz w:val="24"/>
          <w:szCs w:val="24"/>
        </w:rPr>
        <w:t>used</w:t>
      </w:r>
      <w:r w:rsidR="00653803" w:rsidRPr="00570A99">
        <w:rPr>
          <w:sz w:val="24"/>
          <w:szCs w:val="24"/>
        </w:rPr>
        <w:t xml:space="preserve"> to inform best practices and identify areas that could benefit from shared activities.</w:t>
      </w:r>
      <w:r w:rsidR="000E189E" w:rsidRPr="00570A99">
        <w:rPr>
          <w:sz w:val="24"/>
          <w:szCs w:val="24"/>
        </w:rPr>
        <w:t xml:space="preserve"> Close scientific engagement with awardees is a feature of </w:t>
      </w:r>
      <w:r w:rsidR="00570A99" w:rsidRPr="00570A99">
        <w:rPr>
          <w:sz w:val="24"/>
          <w:szCs w:val="24"/>
        </w:rPr>
        <w:t xml:space="preserve">contracts </w:t>
      </w:r>
      <w:r w:rsidR="000E189E" w:rsidRPr="00570A99">
        <w:rPr>
          <w:sz w:val="24"/>
          <w:szCs w:val="24"/>
        </w:rPr>
        <w:t>and enables program staff to identify research areas or issues of shared difficulty or high potential</w:t>
      </w:r>
      <w:r w:rsidRPr="00570A99">
        <w:rPr>
          <w:sz w:val="24"/>
          <w:szCs w:val="24"/>
        </w:rPr>
        <w:t xml:space="preserve"> reward</w:t>
      </w:r>
      <w:r w:rsidR="000E189E" w:rsidRPr="00570A99">
        <w:rPr>
          <w:sz w:val="24"/>
          <w:szCs w:val="24"/>
        </w:rPr>
        <w:t>. Program staff can then organize discussions or projects to c</w:t>
      </w:r>
      <w:r w:rsidR="00570A99" w:rsidRPr="00570A99">
        <w:rPr>
          <w:sz w:val="24"/>
          <w:szCs w:val="24"/>
        </w:rPr>
        <w:t>onfront or exploit these areas.</w:t>
      </w:r>
      <w:r w:rsidR="00417951" w:rsidRPr="00570A99">
        <w:rPr>
          <w:sz w:val="24"/>
          <w:szCs w:val="24"/>
        </w:rPr>
        <w:t xml:space="preserve"> Up-to-date knowledge of </w:t>
      </w:r>
      <w:r w:rsidR="00570A99" w:rsidRPr="00570A99">
        <w:rPr>
          <w:sz w:val="24"/>
          <w:szCs w:val="24"/>
        </w:rPr>
        <w:t>challenges</w:t>
      </w:r>
      <w:r w:rsidR="00417951" w:rsidRPr="00570A99">
        <w:rPr>
          <w:sz w:val="24"/>
          <w:szCs w:val="24"/>
        </w:rPr>
        <w:t xml:space="preserve"> in the development of cancer </w:t>
      </w:r>
      <w:r w:rsidR="00570A99" w:rsidRPr="00570A99">
        <w:rPr>
          <w:sz w:val="24"/>
          <w:szCs w:val="24"/>
        </w:rPr>
        <w:t>research collaborations in LMICs</w:t>
      </w:r>
      <w:r w:rsidR="00417951" w:rsidRPr="00570A99">
        <w:rPr>
          <w:sz w:val="24"/>
          <w:szCs w:val="24"/>
        </w:rPr>
        <w:t xml:space="preserve"> is also crucial to fulfilling the programmatic goal of </w:t>
      </w:r>
      <w:r w:rsidR="00570A99" w:rsidRPr="00570A99">
        <w:rPr>
          <w:sz w:val="24"/>
          <w:szCs w:val="24"/>
        </w:rPr>
        <w:t>promoting cancer research and increasing research capacity in LMICs</w:t>
      </w:r>
      <w:r w:rsidR="00417951" w:rsidRPr="00570A99">
        <w:rPr>
          <w:sz w:val="24"/>
          <w:szCs w:val="24"/>
        </w:rPr>
        <w:t xml:space="preserve">. </w:t>
      </w:r>
    </w:p>
    <w:p w14:paraId="17AB164F" w14:textId="77777777" w:rsidR="00B265B7" w:rsidRPr="007D3709" w:rsidRDefault="001F7D08" w:rsidP="007D3709">
      <w:pPr>
        <w:pStyle w:val="P1-StandPara"/>
        <w:tabs>
          <w:tab w:val="left" w:pos="720"/>
          <w:tab w:val="right" w:leader="dot" w:pos="9504"/>
        </w:tabs>
        <w:ind w:firstLine="0"/>
        <w:rPr>
          <w:sz w:val="24"/>
          <w:szCs w:val="24"/>
        </w:rPr>
      </w:pPr>
      <w:r w:rsidRPr="00570A99">
        <w:rPr>
          <w:sz w:val="24"/>
          <w:szCs w:val="24"/>
        </w:rPr>
        <w:tab/>
        <w:t xml:space="preserve">The information collected in the progress report guideline can also be used for program evaluation and performance analysis. Although no formal evaluation components currently exist, </w:t>
      </w:r>
      <w:r w:rsidR="00D566A7" w:rsidRPr="00570A99">
        <w:rPr>
          <w:sz w:val="24"/>
          <w:szCs w:val="24"/>
        </w:rPr>
        <w:t xml:space="preserve">program </w:t>
      </w:r>
      <w:r w:rsidRPr="00570A99">
        <w:rPr>
          <w:sz w:val="24"/>
          <w:szCs w:val="24"/>
        </w:rPr>
        <w:t>performance</w:t>
      </w:r>
      <w:r w:rsidR="00D566A7" w:rsidRPr="00570A99">
        <w:rPr>
          <w:sz w:val="24"/>
          <w:szCs w:val="24"/>
        </w:rPr>
        <w:t xml:space="preserve">, including success of the </w:t>
      </w:r>
      <w:r w:rsidR="00570A99" w:rsidRPr="00570A99">
        <w:rPr>
          <w:sz w:val="24"/>
          <w:szCs w:val="24"/>
        </w:rPr>
        <w:t>development of collaborations</w:t>
      </w:r>
      <w:r w:rsidR="00D566A7" w:rsidRPr="00570A99">
        <w:rPr>
          <w:sz w:val="24"/>
          <w:szCs w:val="24"/>
        </w:rPr>
        <w:t xml:space="preserve"> and </w:t>
      </w:r>
      <w:r w:rsidR="00570A99" w:rsidRPr="00570A99">
        <w:rPr>
          <w:sz w:val="24"/>
          <w:szCs w:val="24"/>
        </w:rPr>
        <w:t>scientific findings</w:t>
      </w:r>
      <w:r w:rsidR="00D566A7" w:rsidRPr="00570A99">
        <w:rPr>
          <w:sz w:val="24"/>
          <w:szCs w:val="24"/>
        </w:rPr>
        <w:t xml:space="preserve">, </w:t>
      </w:r>
      <w:r w:rsidRPr="00570A99">
        <w:rPr>
          <w:sz w:val="24"/>
          <w:szCs w:val="24"/>
        </w:rPr>
        <w:t xml:space="preserve">will be assessed prior to the end of the program, as part of institute deliberations on the continuation of the </w:t>
      </w:r>
      <w:r w:rsidR="006211AF" w:rsidRPr="00570A99">
        <w:rPr>
          <w:bCs/>
          <w:sz w:val="24"/>
          <w:szCs w:val="24"/>
        </w:rPr>
        <w:t>CGH LMIC Global Health Collaborations</w:t>
      </w:r>
      <w:r w:rsidRPr="00570A99">
        <w:rPr>
          <w:sz w:val="24"/>
          <w:szCs w:val="24"/>
        </w:rPr>
        <w:t>.</w:t>
      </w:r>
      <w:r w:rsidRPr="007D3709">
        <w:rPr>
          <w:sz w:val="24"/>
          <w:szCs w:val="24"/>
        </w:rPr>
        <w:t xml:space="preserve"> </w:t>
      </w:r>
    </w:p>
    <w:p w14:paraId="19838628" w14:textId="77777777" w:rsidR="00296150" w:rsidRDefault="00296150" w:rsidP="007D3709">
      <w:pPr>
        <w:pStyle w:val="P1-StandPara"/>
        <w:tabs>
          <w:tab w:val="left" w:pos="720"/>
          <w:tab w:val="right" w:leader="dot" w:pos="9504"/>
        </w:tabs>
        <w:ind w:firstLine="0"/>
        <w:rPr>
          <w:b/>
          <w:sz w:val="24"/>
          <w:szCs w:val="24"/>
        </w:rPr>
      </w:pPr>
    </w:p>
    <w:p w14:paraId="65BE5B82" w14:textId="77777777" w:rsidR="00296150" w:rsidRDefault="00296150" w:rsidP="007D3709">
      <w:pPr>
        <w:pStyle w:val="P1-StandPara"/>
        <w:tabs>
          <w:tab w:val="left" w:pos="720"/>
          <w:tab w:val="right" w:leader="dot" w:pos="9504"/>
        </w:tabs>
        <w:ind w:firstLine="0"/>
        <w:rPr>
          <w:b/>
          <w:sz w:val="24"/>
          <w:szCs w:val="24"/>
        </w:rPr>
      </w:pPr>
    </w:p>
    <w:p w14:paraId="52C98628" w14:textId="77777777" w:rsidR="00D566A7" w:rsidRPr="007D3709" w:rsidRDefault="00B265B7" w:rsidP="007D3709">
      <w:pPr>
        <w:pStyle w:val="P1-StandPara"/>
        <w:tabs>
          <w:tab w:val="left" w:pos="720"/>
          <w:tab w:val="right" w:leader="dot" w:pos="9504"/>
        </w:tabs>
        <w:ind w:firstLine="0"/>
        <w:rPr>
          <w:b/>
          <w:sz w:val="24"/>
          <w:szCs w:val="24"/>
        </w:rPr>
      </w:pPr>
      <w:r w:rsidRPr="007D3709">
        <w:rPr>
          <w:b/>
          <w:sz w:val="24"/>
          <w:szCs w:val="24"/>
        </w:rPr>
        <w:t>A.2</w:t>
      </w:r>
      <w:r w:rsidRPr="007D3709">
        <w:rPr>
          <w:b/>
          <w:sz w:val="24"/>
          <w:szCs w:val="24"/>
        </w:rPr>
        <w:tab/>
        <w:t>Purpose and Use of the Information</w:t>
      </w:r>
    </w:p>
    <w:p w14:paraId="182C9702" w14:textId="5381A079" w:rsidR="007F4CC1" w:rsidRPr="00902FBF" w:rsidRDefault="00D566A7" w:rsidP="007D3709">
      <w:pPr>
        <w:pStyle w:val="P1-StandPara"/>
        <w:tabs>
          <w:tab w:val="left" w:pos="720"/>
          <w:tab w:val="right" w:leader="dot" w:pos="9504"/>
        </w:tabs>
        <w:ind w:firstLine="0"/>
        <w:rPr>
          <w:sz w:val="24"/>
          <w:szCs w:val="24"/>
        </w:rPr>
      </w:pPr>
      <w:r w:rsidRPr="007D3709">
        <w:rPr>
          <w:sz w:val="24"/>
          <w:szCs w:val="24"/>
        </w:rPr>
        <w:tab/>
      </w:r>
      <w:r w:rsidR="00D2643D" w:rsidRPr="00902FBF">
        <w:rPr>
          <w:sz w:val="24"/>
          <w:szCs w:val="24"/>
        </w:rPr>
        <w:t xml:space="preserve">The current proposal is for the collection of information to monitor progress by investigators funded through the </w:t>
      </w:r>
      <w:r w:rsidR="00511794" w:rsidRPr="00902FBF">
        <w:rPr>
          <w:sz w:val="24"/>
          <w:szCs w:val="24"/>
        </w:rPr>
        <w:t>CGH</w:t>
      </w:r>
      <w:r w:rsidR="00D2643D" w:rsidRPr="00902FBF">
        <w:rPr>
          <w:sz w:val="24"/>
          <w:szCs w:val="24"/>
        </w:rPr>
        <w:t xml:space="preserve">’s </w:t>
      </w:r>
      <w:r w:rsidR="00511794" w:rsidRPr="00902FBF">
        <w:rPr>
          <w:sz w:val="24"/>
          <w:szCs w:val="24"/>
        </w:rPr>
        <w:t>Request for Proposals for Pilot collaborations with LMICs in Global Cancer Research or Global Health Research at NCI-Designated Cancer Centers</w:t>
      </w:r>
      <w:r w:rsidR="00D2643D" w:rsidRPr="00902FBF">
        <w:rPr>
          <w:sz w:val="24"/>
          <w:szCs w:val="24"/>
        </w:rPr>
        <w:t xml:space="preserve">. </w:t>
      </w:r>
      <w:r w:rsidR="003A72D9" w:rsidRPr="003A72D9">
        <w:rPr>
          <w:sz w:val="24"/>
          <w:szCs w:val="24"/>
        </w:rPr>
        <w:t xml:space="preserve"> </w:t>
      </w:r>
      <w:r w:rsidR="003A72D9">
        <w:rPr>
          <w:sz w:val="24"/>
          <w:szCs w:val="24"/>
        </w:rPr>
        <w:t>Notification letters</w:t>
      </w:r>
      <w:r w:rsidR="00F5418C">
        <w:rPr>
          <w:sz w:val="24"/>
          <w:szCs w:val="24"/>
        </w:rPr>
        <w:t>, (</w:t>
      </w:r>
      <w:r w:rsidR="00B4301F">
        <w:rPr>
          <w:b/>
          <w:sz w:val="24"/>
          <w:szCs w:val="24"/>
        </w:rPr>
        <w:t>Attachment 3A-3</w:t>
      </w:r>
      <w:r w:rsidR="00F5418C">
        <w:rPr>
          <w:b/>
          <w:sz w:val="24"/>
          <w:szCs w:val="24"/>
        </w:rPr>
        <w:t>B),</w:t>
      </w:r>
      <w:r w:rsidR="003A72D9">
        <w:rPr>
          <w:sz w:val="24"/>
          <w:szCs w:val="24"/>
        </w:rPr>
        <w:t xml:space="preserve"> will be sent by a Leidos Biomedical Research, Inc. representative containing Scientific Progress Reports at 6 and 12 months, respectively.  </w:t>
      </w:r>
      <w:r w:rsidR="003A72D9" w:rsidRPr="00902FBF">
        <w:rPr>
          <w:sz w:val="24"/>
          <w:szCs w:val="24"/>
        </w:rPr>
        <w:t xml:space="preserve">Each report will be prepared by the principal investigator of the award. The </w:t>
      </w:r>
      <w:r w:rsidR="003A72D9">
        <w:rPr>
          <w:sz w:val="24"/>
          <w:szCs w:val="24"/>
        </w:rPr>
        <w:t xml:space="preserve">6- and 12-Month Scientific Progress Reports </w:t>
      </w:r>
      <w:r w:rsidR="003A72D9" w:rsidRPr="00902FBF">
        <w:rPr>
          <w:sz w:val="24"/>
          <w:szCs w:val="24"/>
        </w:rPr>
        <w:t>consist of information already known to the investigator, which has not previously been gathered and submitted to the program office or made public.  Much of the information is specific to t</w:t>
      </w:r>
      <w:r w:rsidR="003A72D9">
        <w:rPr>
          <w:sz w:val="24"/>
          <w:szCs w:val="24"/>
        </w:rPr>
        <w:t xml:space="preserve">he requirements of this program.  </w:t>
      </w:r>
      <w:r w:rsidR="003A72D9" w:rsidRPr="00902FBF">
        <w:rPr>
          <w:sz w:val="24"/>
          <w:szCs w:val="24"/>
        </w:rPr>
        <w:t>Information to be collected</w:t>
      </w:r>
      <w:r w:rsidR="003A72D9">
        <w:rPr>
          <w:sz w:val="24"/>
          <w:szCs w:val="24"/>
        </w:rPr>
        <w:t xml:space="preserve"> includes</w:t>
      </w:r>
      <w:r w:rsidR="003A72D9" w:rsidRPr="00902FBF">
        <w:rPr>
          <w:sz w:val="24"/>
          <w:szCs w:val="24"/>
        </w:rPr>
        <w:t xml:space="preserve">: </w:t>
      </w:r>
    </w:p>
    <w:p w14:paraId="01A9DF7A"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Collaborators</w:t>
      </w:r>
    </w:p>
    <w:p w14:paraId="6CEF0430" w14:textId="77777777" w:rsidR="00902FBF" w:rsidRPr="00BA28E0"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Brief description of project topic</w:t>
      </w:r>
    </w:p>
    <w:p w14:paraId="2880A079" w14:textId="77777777" w:rsidR="00902FBF" w:rsidRPr="00BA28E0"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 xml:space="preserve">Accomplishments </w:t>
      </w:r>
    </w:p>
    <w:p w14:paraId="69990AB6" w14:textId="77777777" w:rsidR="00902FBF" w:rsidRPr="00BA28E0"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Barriers and challenges</w:t>
      </w:r>
    </w:p>
    <w:p w14:paraId="2F3CD045" w14:textId="77777777" w:rsidR="00902FBF" w:rsidRPr="00BA28E0"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Budget utilization justification</w:t>
      </w:r>
    </w:p>
    <w:p w14:paraId="4B0EACF9" w14:textId="77777777" w:rsidR="00902FBF" w:rsidRPr="00BA28E0"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Other feedback</w:t>
      </w:r>
    </w:p>
    <w:p w14:paraId="0D0EB85B" w14:textId="77777777" w:rsidR="007F4CC1"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Resources generated*</w:t>
      </w:r>
    </w:p>
    <w:p w14:paraId="08C3441E"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Patient/specimen accrual*</w:t>
      </w:r>
    </w:p>
    <w:p w14:paraId="4618EA32"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Benefits of infrastructure development*</w:t>
      </w:r>
    </w:p>
    <w:p w14:paraId="44DD5BF4"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Publications*</w:t>
      </w:r>
    </w:p>
    <w:p w14:paraId="7B1D66AB"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Future plans*</w:t>
      </w:r>
    </w:p>
    <w:p w14:paraId="31F8B5D1" w14:textId="77777777" w:rsidR="00E96797" w:rsidRPr="00E96797" w:rsidRDefault="00E96797" w:rsidP="00747437">
      <w:pPr>
        <w:pStyle w:val="P1-StandPara"/>
        <w:numPr>
          <w:ilvl w:val="0"/>
          <w:numId w:val="34"/>
        </w:numPr>
        <w:tabs>
          <w:tab w:val="left" w:pos="720"/>
          <w:tab w:val="right" w:leader="dot" w:pos="9504"/>
        </w:tabs>
        <w:spacing w:before="120" w:after="120" w:line="276" w:lineRule="auto"/>
        <w:rPr>
          <w:sz w:val="24"/>
          <w:szCs w:val="24"/>
        </w:rPr>
      </w:pPr>
      <w:r>
        <w:rPr>
          <w:bCs/>
          <w:sz w:val="24"/>
          <w:szCs w:val="24"/>
        </w:rPr>
        <w:t>New collaborations*</w:t>
      </w:r>
    </w:p>
    <w:p w14:paraId="2D63EAF8" w14:textId="77777777" w:rsidR="00E96797" w:rsidRDefault="00E96797" w:rsidP="00E96797">
      <w:pPr>
        <w:pStyle w:val="P1-StandPara"/>
        <w:tabs>
          <w:tab w:val="left" w:pos="720"/>
          <w:tab w:val="right" w:leader="dot" w:pos="9504"/>
        </w:tabs>
        <w:spacing w:before="120" w:after="120" w:line="276" w:lineRule="auto"/>
        <w:ind w:firstLine="0"/>
        <w:rPr>
          <w:bCs/>
          <w:sz w:val="24"/>
          <w:szCs w:val="24"/>
        </w:rPr>
      </w:pPr>
      <w:r>
        <w:rPr>
          <w:bCs/>
          <w:sz w:val="24"/>
          <w:szCs w:val="24"/>
        </w:rPr>
        <w:t>*This information will only be collected in the 12 month report.</w:t>
      </w:r>
    </w:p>
    <w:p w14:paraId="6D39EFFA" w14:textId="77777777" w:rsidR="00E96797" w:rsidRPr="00BA28E0" w:rsidRDefault="00E96797" w:rsidP="00E96797">
      <w:pPr>
        <w:pStyle w:val="P1-StandPara"/>
        <w:tabs>
          <w:tab w:val="left" w:pos="720"/>
          <w:tab w:val="right" w:leader="dot" w:pos="9504"/>
        </w:tabs>
        <w:spacing w:before="120" w:after="120" w:line="276" w:lineRule="auto"/>
        <w:ind w:firstLine="0"/>
        <w:rPr>
          <w:sz w:val="24"/>
          <w:szCs w:val="24"/>
        </w:rPr>
      </w:pPr>
    </w:p>
    <w:p w14:paraId="62B83963" w14:textId="77777777" w:rsidR="007D7617" w:rsidRPr="00BA28E0" w:rsidRDefault="007D7617" w:rsidP="007D3709">
      <w:pPr>
        <w:pStyle w:val="P1-StandPara"/>
        <w:tabs>
          <w:tab w:val="left" w:pos="720"/>
          <w:tab w:val="right" w:leader="dot" w:pos="9504"/>
        </w:tabs>
        <w:ind w:firstLine="0"/>
        <w:rPr>
          <w:sz w:val="24"/>
          <w:szCs w:val="24"/>
          <w:u w:val="single"/>
        </w:rPr>
      </w:pPr>
      <w:r w:rsidRPr="00BA28E0">
        <w:rPr>
          <w:sz w:val="24"/>
          <w:szCs w:val="24"/>
          <w:u w:val="single"/>
        </w:rPr>
        <w:lastRenderedPageBreak/>
        <w:t xml:space="preserve">Review and Use of Submitted Information </w:t>
      </w:r>
    </w:p>
    <w:p w14:paraId="507E76A3" w14:textId="77777777" w:rsidR="0047798D" w:rsidRPr="00BA28E0" w:rsidRDefault="001A6BE7" w:rsidP="007D3709">
      <w:pPr>
        <w:pStyle w:val="P1-StandPara"/>
        <w:tabs>
          <w:tab w:val="left" w:pos="720"/>
          <w:tab w:val="right" w:leader="dot" w:pos="9504"/>
        </w:tabs>
        <w:ind w:firstLine="0"/>
        <w:rPr>
          <w:sz w:val="24"/>
          <w:szCs w:val="24"/>
        </w:rPr>
      </w:pPr>
      <w:r>
        <w:rPr>
          <w:sz w:val="24"/>
          <w:szCs w:val="24"/>
        </w:rPr>
        <w:tab/>
      </w:r>
      <w:r w:rsidR="0047798D" w:rsidRPr="00BA28E0">
        <w:rPr>
          <w:sz w:val="24"/>
          <w:szCs w:val="24"/>
        </w:rPr>
        <w:t xml:space="preserve">The currently proposed progress report guidelines are intended to monitor performance in those areas that </w:t>
      </w:r>
      <w:r w:rsidR="00AB5B12" w:rsidRPr="00BA28E0">
        <w:rPr>
          <w:sz w:val="24"/>
          <w:szCs w:val="24"/>
        </w:rPr>
        <w:t>CGH</w:t>
      </w:r>
      <w:r w:rsidR="0047798D" w:rsidRPr="00BA28E0">
        <w:rPr>
          <w:sz w:val="24"/>
          <w:szCs w:val="24"/>
        </w:rPr>
        <w:t xml:space="preserve"> considers to be of greatest importance in building and sustaining successful </w:t>
      </w:r>
      <w:r w:rsidR="00AB5B12" w:rsidRPr="00BA28E0">
        <w:rPr>
          <w:sz w:val="24"/>
          <w:szCs w:val="24"/>
        </w:rPr>
        <w:t>collaborations in LMICs</w:t>
      </w:r>
      <w:r w:rsidR="0047798D" w:rsidRPr="00BA28E0">
        <w:rPr>
          <w:sz w:val="24"/>
          <w:szCs w:val="24"/>
        </w:rPr>
        <w:t xml:space="preserve">. The reports will help </w:t>
      </w:r>
      <w:r w:rsidR="00AD31D1" w:rsidRPr="00BA28E0">
        <w:rPr>
          <w:sz w:val="24"/>
          <w:szCs w:val="24"/>
        </w:rPr>
        <w:t>CGH</w:t>
      </w:r>
      <w:r w:rsidR="0047798D" w:rsidRPr="00BA28E0">
        <w:rPr>
          <w:sz w:val="24"/>
          <w:szCs w:val="24"/>
        </w:rPr>
        <w:t xml:space="preserve"> understand investigators</w:t>
      </w:r>
      <w:r w:rsidR="00AD31D1" w:rsidRPr="00BA28E0">
        <w:rPr>
          <w:sz w:val="24"/>
          <w:szCs w:val="24"/>
        </w:rPr>
        <w:t xml:space="preserve"> progress and experiences with these awards (e.g., the ease with which they were able to form collaborations to pursue these projects, the strength of research results from these projects)</w:t>
      </w:r>
      <w:r w:rsidR="0047798D" w:rsidRPr="00BA28E0">
        <w:rPr>
          <w:sz w:val="24"/>
          <w:szCs w:val="24"/>
        </w:rPr>
        <w:t xml:space="preserve">, so that </w:t>
      </w:r>
      <w:r w:rsidR="00AD31D1" w:rsidRPr="00BA28E0">
        <w:rPr>
          <w:sz w:val="24"/>
          <w:szCs w:val="24"/>
        </w:rPr>
        <w:t>CGH</w:t>
      </w:r>
      <w:r w:rsidR="0047798D" w:rsidRPr="00BA28E0">
        <w:rPr>
          <w:sz w:val="24"/>
          <w:szCs w:val="24"/>
        </w:rPr>
        <w:t xml:space="preserve"> can better design programs </w:t>
      </w:r>
      <w:r w:rsidR="00AD31D1" w:rsidRPr="00BA28E0">
        <w:rPr>
          <w:sz w:val="24"/>
          <w:szCs w:val="24"/>
        </w:rPr>
        <w:t xml:space="preserve">in the future to </w:t>
      </w:r>
      <w:r w:rsidR="0047798D" w:rsidRPr="00BA28E0">
        <w:rPr>
          <w:sz w:val="24"/>
          <w:szCs w:val="24"/>
        </w:rPr>
        <w:t>eff</w:t>
      </w:r>
      <w:r w:rsidR="00AD31D1" w:rsidRPr="00BA28E0">
        <w:rPr>
          <w:sz w:val="24"/>
          <w:szCs w:val="24"/>
        </w:rPr>
        <w:t>ectively encourage collaborations</w:t>
      </w:r>
      <w:r w:rsidR="0047798D" w:rsidRPr="00BA28E0">
        <w:rPr>
          <w:sz w:val="24"/>
          <w:szCs w:val="24"/>
        </w:rPr>
        <w:t>. Promotion of successful collaboration</w:t>
      </w:r>
      <w:r w:rsidR="00AD31D1" w:rsidRPr="00BA28E0">
        <w:rPr>
          <w:sz w:val="24"/>
          <w:szCs w:val="24"/>
        </w:rPr>
        <w:t>s with LMICs</w:t>
      </w:r>
      <w:r w:rsidR="0047798D" w:rsidRPr="00BA28E0">
        <w:rPr>
          <w:sz w:val="24"/>
          <w:szCs w:val="24"/>
        </w:rPr>
        <w:t xml:space="preserve"> is a particular priority for </w:t>
      </w:r>
      <w:r w:rsidR="00AD31D1" w:rsidRPr="00BA28E0">
        <w:rPr>
          <w:sz w:val="24"/>
          <w:szCs w:val="24"/>
        </w:rPr>
        <w:t>CGH</w:t>
      </w:r>
      <w:r w:rsidR="0047798D" w:rsidRPr="00BA28E0">
        <w:rPr>
          <w:sz w:val="24"/>
          <w:szCs w:val="24"/>
        </w:rPr>
        <w:t xml:space="preserve"> research programs. </w:t>
      </w:r>
    </w:p>
    <w:p w14:paraId="1E9A25BB" w14:textId="77777777" w:rsidR="00975605" w:rsidRDefault="00E813E0" w:rsidP="007D3709">
      <w:pPr>
        <w:pStyle w:val="P1-StandPara"/>
        <w:tabs>
          <w:tab w:val="left" w:pos="720"/>
          <w:tab w:val="right" w:leader="dot" w:pos="9504"/>
        </w:tabs>
        <w:ind w:firstLine="0"/>
        <w:rPr>
          <w:sz w:val="24"/>
          <w:szCs w:val="24"/>
        </w:rPr>
      </w:pPr>
      <w:r w:rsidRPr="00BA28E0">
        <w:rPr>
          <w:sz w:val="24"/>
          <w:szCs w:val="24"/>
        </w:rPr>
        <w:tab/>
        <w:t xml:space="preserve">Progress reports are reviewed by </w:t>
      </w:r>
      <w:r w:rsidR="00BA28E0" w:rsidRPr="00BA28E0">
        <w:rPr>
          <w:sz w:val="24"/>
          <w:szCs w:val="24"/>
        </w:rPr>
        <w:t>Leidos Biomedical Research, Inc. staff</w:t>
      </w:r>
      <w:r w:rsidR="00E96797">
        <w:rPr>
          <w:sz w:val="24"/>
          <w:szCs w:val="24"/>
        </w:rPr>
        <w:t>, or CGH or OCC depending on who is administering the awards</w:t>
      </w:r>
      <w:r w:rsidRPr="00BA28E0">
        <w:rPr>
          <w:sz w:val="24"/>
          <w:szCs w:val="24"/>
        </w:rPr>
        <w:t xml:space="preserve">. Once they have reviewed the reports, </w:t>
      </w:r>
      <w:r w:rsidR="00BA28E0" w:rsidRPr="00BA28E0">
        <w:rPr>
          <w:sz w:val="24"/>
          <w:szCs w:val="24"/>
        </w:rPr>
        <w:t xml:space="preserve">staff </w:t>
      </w:r>
      <w:r w:rsidR="00E96797">
        <w:rPr>
          <w:sz w:val="24"/>
          <w:szCs w:val="24"/>
        </w:rPr>
        <w:t xml:space="preserve">may </w:t>
      </w:r>
      <w:r w:rsidR="00BA28E0" w:rsidRPr="00BA28E0">
        <w:rPr>
          <w:sz w:val="24"/>
          <w:szCs w:val="24"/>
        </w:rPr>
        <w:t>contact</w:t>
      </w:r>
      <w:r w:rsidRPr="00BA28E0">
        <w:rPr>
          <w:sz w:val="24"/>
          <w:szCs w:val="24"/>
        </w:rPr>
        <w:t xml:space="preserve"> investigators with questions or comments regarding scientific details or programmatic matters. Examples include asking investigators about </w:t>
      </w:r>
      <w:r w:rsidR="00E96797">
        <w:rPr>
          <w:sz w:val="24"/>
          <w:szCs w:val="24"/>
        </w:rPr>
        <w:t>specific objectives that have not been met</w:t>
      </w:r>
      <w:r w:rsidR="00BA28E0">
        <w:rPr>
          <w:sz w:val="24"/>
          <w:szCs w:val="24"/>
        </w:rPr>
        <w:t>,</w:t>
      </w:r>
      <w:r w:rsidRPr="00BA28E0">
        <w:rPr>
          <w:sz w:val="24"/>
          <w:szCs w:val="24"/>
        </w:rPr>
        <w:t xml:space="preserve"> providing help to</w:t>
      </w:r>
      <w:r w:rsidR="00466316" w:rsidRPr="00BA28E0">
        <w:rPr>
          <w:sz w:val="24"/>
          <w:szCs w:val="24"/>
        </w:rPr>
        <w:t xml:space="preserve"> an</w:t>
      </w:r>
      <w:r w:rsidRPr="00BA28E0">
        <w:rPr>
          <w:sz w:val="24"/>
          <w:szCs w:val="24"/>
        </w:rPr>
        <w:t xml:space="preserve"> investigator </w:t>
      </w:r>
      <w:r w:rsidR="00E96797">
        <w:rPr>
          <w:sz w:val="24"/>
          <w:szCs w:val="24"/>
        </w:rPr>
        <w:t>to address challenges to patient recruitment</w:t>
      </w:r>
      <w:r w:rsidR="00BA28E0">
        <w:rPr>
          <w:sz w:val="24"/>
          <w:szCs w:val="24"/>
        </w:rPr>
        <w:t xml:space="preserve">, </w:t>
      </w:r>
      <w:r w:rsidRPr="00BA28E0">
        <w:rPr>
          <w:sz w:val="24"/>
          <w:szCs w:val="24"/>
        </w:rPr>
        <w:t>and</w:t>
      </w:r>
      <w:r w:rsidR="00466316" w:rsidRPr="00BA28E0">
        <w:rPr>
          <w:sz w:val="24"/>
          <w:szCs w:val="24"/>
        </w:rPr>
        <w:t xml:space="preserve"> having</w:t>
      </w:r>
      <w:r w:rsidRPr="00BA28E0">
        <w:rPr>
          <w:sz w:val="24"/>
          <w:szCs w:val="24"/>
        </w:rPr>
        <w:t xml:space="preserve"> discussions on amendments to specific aims or milestones in response to unexpected scientific developments or difficulties in performing experiments. </w:t>
      </w:r>
      <w:r w:rsidR="00E96797">
        <w:rPr>
          <w:sz w:val="24"/>
          <w:szCs w:val="24"/>
        </w:rPr>
        <w:t xml:space="preserve">These interactions between </w:t>
      </w:r>
      <w:r w:rsidR="00BA28E0">
        <w:rPr>
          <w:sz w:val="24"/>
          <w:szCs w:val="24"/>
        </w:rPr>
        <w:t>staff</w:t>
      </w:r>
      <w:r w:rsidR="00E96797">
        <w:rPr>
          <w:sz w:val="24"/>
          <w:szCs w:val="24"/>
        </w:rPr>
        <w:t xml:space="preserve"> </w:t>
      </w:r>
      <w:r w:rsidR="00A16378" w:rsidRPr="00BA28E0">
        <w:rPr>
          <w:sz w:val="24"/>
          <w:szCs w:val="24"/>
        </w:rPr>
        <w:t xml:space="preserve">and investigators also allow investigators to better leverage the shared body of knowledge existing in the </w:t>
      </w:r>
      <w:r w:rsidR="00BA28E0">
        <w:rPr>
          <w:sz w:val="24"/>
          <w:szCs w:val="24"/>
        </w:rPr>
        <w:t xml:space="preserve">CGH LMIC </w:t>
      </w:r>
      <w:r w:rsidR="00BA28E0" w:rsidRPr="00BA28E0">
        <w:rPr>
          <w:sz w:val="24"/>
          <w:szCs w:val="24"/>
        </w:rPr>
        <w:t>Global Health Collaborations</w:t>
      </w:r>
      <w:r w:rsidR="00BA28E0">
        <w:rPr>
          <w:sz w:val="24"/>
          <w:szCs w:val="24"/>
        </w:rPr>
        <w:t xml:space="preserve"> program</w:t>
      </w:r>
      <w:r w:rsidR="00A16378" w:rsidRPr="00BA28E0">
        <w:rPr>
          <w:sz w:val="24"/>
          <w:szCs w:val="24"/>
        </w:rPr>
        <w:t xml:space="preserve">. For example, reported difficulties in </w:t>
      </w:r>
      <w:r w:rsidR="00BA28E0">
        <w:rPr>
          <w:sz w:val="24"/>
          <w:szCs w:val="24"/>
        </w:rPr>
        <w:t xml:space="preserve">developing a platform to share electronic training may allow </w:t>
      </w:r>
      <w:r w:rsidR="00E96797">
        <w:rPr>
          <w:sz w:val="24"/>
          <w:szCs w:val="24"/>
        </w:rPr>
        <w:t>staff</w:t>
      </w:r>
      <w:r w:rsidR="00BA28E0">
        <w:rPr>
          <w:sz w:val="24"/>
          <w:szCs w:val="24"/>
        </w:rPr>
        <w:t xml:space="preserve"> to share platforms being used by other awardees, or even a potential collaboration between different awardees to combine and share their materials on a single platform.</w:t>
      </w:r>
    </w:p>
    <w:p w14:paraId="1AA63A99" w14:textId="77777777" w:rsidR="001A6BE7" w:rsidRPr="001A6BE7" w:rsidRDefault="001A6BE7" w:rsidP="007D3709">
      <w:pPr>
        <w:pStyle w:val="P1-StandPara"/>
        <w:tabs>
          <w:tab w:val="left" w:pos="720"/>
          <w:tab w:val="right" w:leader="dot" w:pos="9504"/>
        </w:tabs>
        <w:ind w:firstLine="0"/>
        <w:rPr>
          <w:sz w:val="24"/>
          <w:szCs w:val="24"/>
        </w:rPr>
      </w:pPr>
      <w:r>
        <w:rPr>
          <w:sz w:val="24"/>
          <w:szCs w:val="24"/>
        </w:rPr>
        <w:tab/>
        <w:t xml:space="preserve">The 6 Month report </w:t>
      </w:r>
      <w:r w:rsidRPr="001A6BE7">
        <w:rPr>
          <w:b/>
          <w:sz w:val="24"/>
          <w:szCs w:val="24"/>
        </w:rPr>
        <w:t>(Attachment 1A)</w:t>
      </w:r>
      <w:r>
        <w:rPr>
          <w:sz w:val="24"/>
          <w:szCs w:val="24"/>
        </w:rPr>
        <w:t xml:space="preserve"> and the 12 Month report </w:t>
      </w:r>
      <w:r>
        <w:rPr>
          <w:b/>
          <w:sz w:val="24"/>
          <w:szCs w:val="24"/>
        </w:rPr>
        <w:t>(Attachment 1B)</w:t>
      </w:r>
      <w:r>
        <w:rPr>
          <w:sz w:val="24"/>
          <w:szCs w:val="24"/>
        </w:rPr>
        <w:t xml:space="preserve"> are </w:t>
      </w:r>
      <w:r w:rsidR="00F5418C">
        <w:rPr>
          <w:sz w:val="24"/>
          <w:szCs w:val="24"/>
        </w:rPr>
        <w:t xml:space="preserve">fundamentally </w:t>
      </w:r>
      <w:r>
        <w:rPr>
          <w:sz w:val="24"/>
          <w:szCs w:val="24"/>
        </w:rPr>
        <w:t xml:space="preserve">identical, except for the fact that the 12 month report also requests an overview of the partnership and the project including all resources, status of patient/specimen accrual, </w:t>
      </w:r>
      <w:r>
        <w:rPr>
          <w:sz w:val="24"/>
          <w:szCs w:val="24"/>
        </w:rPr>
        <w:lastRenderedPageBreak/>
        <w:t xml:space="preserve">description of the benefits and impacts of all infrastructure, publications, future plans and new collaborations.  This additional question was not included at the 6 month report because the projects will not have been completed at that point.  The responses will be used to evaluate the </w:t>
      </w:r>
      <w:r w:rsidRPr="001A6BE7">
        <w:rPr>
          <w:sz w:val="24"/>
          <w:szCs w:val="24"/>
        </w:rPr>
        <w:t xml:space="preserve">outcomes </w:t>
      </w:r>
      <w:r>
        <w:rPr>
          <w:sz w:val="24"/>
          <w:szCs w:val="24"/>
        </w:rPr>
        <w:t>of the program in order</w:t>
      </w:r>
      <w:r w:rsidRPr="001A6BE7">
        <w:rPr>
          <w:sz w:val="24"/>
          <w:szCs w:val="24"/>
        </w:rPr>
        <w:t xml:space="preserve"> to ensure that participan</w:t>
      </w:r>
      <w:r>
        <w:rPr>
          <w:sz w:val="24"/>
          <w:szCs w:val="24"/>
        </w:rPr>
        <w:t>ts are utilizing the resources being provided to them</w:t>
      </w:r>
      <w:r w:rsidRPr="001A6BE7">
        <w:rPr>
          <w:sz w:val="24"/>
          <w:szCs w:val="24"/>
        </w:rPr>
        <w:t xml:space="preserve"> and that the goals of the </w:t>
      </w:r>
      <w:r>
        <w:rPr>
          <w:sz w:val="24"/>
          <w:szCs w:val="24"/>
        </w:rPr>
        <w:t>program</w:t>
      </w:r>
      <w:r w:rsidRPr="001A6BE7">
        <w:rPr>
          <w:sz w:val="24"/>
          <w:szCs w:val="24"/>
        </w:rPr>
        <w:t xml:space="preserve"> are being met. Evidence that program goals are</w:t>
      </w:r>
      <w:r w:rsidR="00561B91">
        <w:rPr>
          <w:sz w:val="24"/>
          <w:szCs w:val="24"/>
        </w:rPr>
        <w:t xml:space="preserve"> not</w:t>
      </w:r>
      <w:r w:rsidRPr="001A6BE7">
        <w:rPr>
          <w:sz w:val="24"/>
          <w:szCs w:val="24"/>
        </w:rPr>
        <w:t xml:space="preserve"> being met (e.g., lack of new partnerships or </w:t>
      </w:r>
      <w:r>
        <w:rPr>
          <w:sz w:val="24"/>
          <w:szCs w:val="24"/>
        </w:rPr>
        <w:t>failure to meet objectives</w:t>
      </w:r>
      <w:r w:rsidRPr="001A6BE7">
        <w:rPr>
          <w:sz w:val="24"/>
          <w:szCs w:val="24"/>
        </w:rPr>
        <w:t>) may be used by progra</w:t>
      </w:r>
      <w:r>
        <w:rPr>
          <w:sz w:val="24"/>
          <w:szCs w:val="24"/>
        </w:rPr>
        <w:t>m staff to initiate discussions</w:t>
      </w:r>
      <w:r w:rsidRPr="001A6BE7">
        <w:rPr>
          <w:sz w:val="24"/>
          <w:szCs w:val="24"/>
        </w:rPr>
        <w:t xml:space="preserve"> on how to adjust the </w:t>
      </w:r>
      <w:r>
        <w:rPr>
          <w:sz w:val="24"/>
          <w:szCs w:val="24"/>
        </w:rPr>
        <w:t>RFPs to improve performance</w:t>
      </w:r>
      <w:r w:rsidRPr="001A6BE7">
        <w:rPr>
          <w:sz w:val="24"/>
          <w:szCs w:val="24"/>
        </w:rPr>
        <w:t>. Strong performance by participants is used to inform best practices and identify areas that could benefit from shared activities.</w:t>
      </w:r>
    </w:p>
    <w:p w14:paraId="7622B3E1" w14:textId="77777777" w:rsidR="008D20C5" w:rsidRPr="007D3709" w:rsidRDefault="005E6F33" w:rsidP="007D3709">
      <w:pPr>
        <w:pStyle w:val="Heading2"/>
        <w:spacing w:after="0" w:line="480" w:lineRule="auto"/>
        <w:ind w:left="720" w:hanging="720"/>
        <w:rPr>
          <w:szCs w:val="24"/>
        </w:rPr>
      </w:pPr>
      <w:bookmarkStart w:id="7" w:name="_Toc443881744"/>
      <w:bookmarkStart w:id="8" w:name="_Toc451592233"/>
      <w:bookmarkStart w:id="9" w:name="_Toc5610274"/>
      <w:bookmarkStart w:id="10" w:name="_Toc99178780"/>
      <w:r w:rsidRPr="007D3709">
        <w:rPr>
          <w:szCs w:val="24"/>
        </w:rPr>
        <w:t>A.</w:t>
      </w:r>
      <w:r w:rsidR="004B4AEA" w:rsidRPr="007D3709">
        <w:rPr>
          <w:szCs w:val="24"/>
        </w:rPr>
        <w:t>3</w:t>
      </w:r>
      <w:r w:rsidR="008D20C5" w:rsidRPr="007D3709">
        <w:rPr>
          <w:szCs w:val="24"/>
        </w:rPr>
        <w:tab/>
        <w:t xml:space="preserve">Use of </w:t>
      </w:r>
      <w:r w:rsidR="00F27C82" w:rsidRPr="007D3709">
        <w:rPr>
          <w:szCs w:val="24"/>
        </w:rPr>
        <w:t xml:space="preserve">Improved </w:t>
      </w:r>
      <w:r w:rsidR="008D20C5" w:rsidRPr="007D3709">
        <w:rPr>
          <w:szCs w:val="24"/>
        </w:rPr>
        <w:t>Information Technology and Burden Reduction</w:t>
      </w:r>
      <w:bookmarkEnd w:id="7"/>
      <w:bookmarkEnd w:id="8"/>
      <w:bookmarkEnd w:id="9"/>
      <w:bookmarkEnd w:id="10"/>
    </w:p>
    <w:p w14:paraId="2C5BB6B3" w14:textId="77777777" w:rsidR="00302377" w:rsidRPr="00A9298E" w:rsidRDefault="00A30BDC" w:rsidP="007D3709">
      <w:pPr>
        <w:pStyle w:val="P1-StandPara"/>
        <w:rPr>
          <w:sz w:val="24"/>
          <w:szCs w:val="24"/>
        </w:rPr>
      </w:pPr>
      <w:r w:rsidRPr="00A9298E">
        <w:rPr>
          <w:sz w:val="24"/>
          <w:szCs w:val="24"/>
        </w:rPr>
        <w:t>The</w:t>
      </w:r>
      <w:r w:rsidR="00827C56" w:rsidRPr="00A9298E">
        <w:rPr>
          <w:sz w:val="24"/>
          <w:szCs w:val="24"/>
        </w:rPr>
        <w:t xml:space="preserve"> interim</w:t>
      </w:r>
      <w:r w:rsidRPr="00A9298E">
        <w:rPr>
          <w:sz w:val="24"/>
          <w:szCs w:val="24"/>
        </w:rPr>
        <w:t xml:space="preserve"> r</w:t>
      </w:r>
      <w:r w:rsidR="00302377" w:rsidRPr="00A9298E">
        <w:rPr>
          <w:sz w:val="24"/>
          <w:szCs w:val="24"/>
        </w:rPr>
        <w:t xml:space="preserve">eports </w:t>
      </w:r>
      <w:r w:rsidRPr="00A9298E">
        <w:rPr>
          <w:sz w:val="24"/>
          <w:szCs w:val="24"/>
        </w:rPr>
        <w:t>are</w:t>
      </w:r>
      <w:r w:rsidR="00A9298E">
        <w:rPr>
          <w:sz w:val="24"/>
          <w:szCs w:val="24"/>
        </w:rPr>
        <w:t xml:space="preserve"> completed and saved as a</w:t>
      </w:r>
      <w:r w:rsidRPr="00A9298E">
        <w:rPr>
          <w:sz w:val="24"/>
          <w:szCs w:val="24"/>
        </w:rPr>
        <w:t xml:space="preserve"> PDF by the principal investigators then sent</w:t>
      </w:r>
      <w:r w:rsidR="00827C56" w:rsidRPr="00A9298E">
        <w:rPr>
          <w:sz w:val="24"/>
          <w:szCs w:val="24"/>
        </w:rPr>
        <w:t>,</w:t>
      </w:r>
      <w:r w:rsidRPr="00A9298E">
        <w:rPr>
          <w:sz w:val="24"/>
          <w:szCs w:val="24"/>
        </w:rPr>
        <w:t xml:space="preserve"> </w:t>
      </w:r>
      <w:r w:rsidR="00302377" w:rsidRPr="00A9298E">
        <w:rPr>
          <w:sz w:val="24"/>
          <w:szCs w:val="24"/>
        </w:rPr>
        <w:t>via e-mail</w:t>
      </w:r>
      <w:r w:rsidR="00A8306C" w:rsidRPr="00A9298E">
        <w:rPr>
          <w:sz w:val="24"/>
          <w:szCs w:val="24"/>
        </w:rPr>
        <w:t xml:space="preserve">, </w:t>
      </w:r>
      <w:r w:rsidR="00BA28E0" w:rsidRPr="00A9298E">
        <w:rPr>
          <w:sz w:val="24"/>
          <w:szCs w:val="24"/>
        </w:rPr>
        <w:t>to Leidos</w:t>
      </w:r>
      <w:r w:rsidR="00E96797">
        <w:rPr>
          <w:sz w:val="24"/>
          <w:szCs w:val="24"/>
        </w:rPr>
        <w:t xml:space="preserve"> or the administering office</w:t>
      </w:r>
      <w:r w:rsidR="00BA28E0" w:rsidRPr="00A9298E">
        <w:rPr>
          <w:sz w:val="24"/>
          <w:szCs w:val="24"/>
        </w:rPr>
        <w:t xml:space="preserve"> </w:t>
      </w:r>
      <w:r w:rsidR="00827C56" w:rsidRPr="00A9298E">
        <w:rPr>
          <w:sz w:val="24"/>
          <w:szCs w:val="24"/>
        </w:rPr>
        <w:t>for review and eventual</w:t>
      </w:r>
      <w:r w:rsidRPr="00A9298E">
        <w:rPr>
          <w:sz w:val="24"/>
          <w:szCs w:val="24"/>
        </w:rPr>
        <w:t xml:space="preserve"> </w:t>
      </w:r>
      <w:r w:rsidR="00827C56" w:rsidRPr="00A9298E">
        <w:rPr>
          <w:sz w:val="24"/>
          <w:szCs w:val="24"/>
        </w:rPr>
        <w:t xml:space="preserve">submission </w:t>
      </w:r>
      <w:r w:rsidRPr="00A9298E">
        <w:rPr>
          <w:sz w:val="24"/>
          <w:szCs w:val="24"/>
        </w:rPr>
        <w:t xml:space="preserve">to </w:t>
      </w:r>
      <w:r w:rsidR="00BA28E0" w:rsidRPr="00A9298E">
        <w:rPr>
          <w:sz w:val="24"/>
          <w:szCs w:val="24"/>
        </w:rPr>
        <w:t>CGH</w:t>
      </w:r>
      <w:r w:rsidR="00E67677">
        <w:rPr>
          <w:sz w:val="24"/>
          <w:szCs w:val="24"/>
        </w:rPr>
        <w:t xml:space="preserve"> (if not directly submitted to CGH)</w:t>
      </w:r>
      <w:r w:rsidRPr="00A9298E">
        <w:rPr>
          <w:sz w:val="24"/>
          <w:szCs w:val="24"/>
        </w:rPr>
        <w:t>.</w:t>
      </w:r>
      <w:r w:rsidR="00A8306C" w:rsidRPr="00A9298E">
        <w:rPr>
          <w:sz w:val="24"/>
          <w:szCs w:val="24"/>
        </w:rPr>
        <w:t xml:space="preserve"> </w:t>
      </w:r>
      <w:r w:rsidR="00D64BC4" w:rsidRPr="00A9298E">
        <w:rPr>
          <w:sz w:val="24"/>
          <w:szCs w:val="24"/>
        </w:rPr>
        <w:t xml:space="preserve"> </w:t>
      </w:r>
      <w:r w:rsidR="00302377" w:rsidRPr="00A9298E">
        <w:rPr>
          <w:sz w:val="24"/>
          <w:szCs w:val="24"/>
        </w:rPr>
        <w:t xml:space="preserve">As mentioned in Section A.1, </w:t>
      </w:r>
      <w:r w:rsidR="00BA28E0" w:rsidRPr="00A9298E">
        <w:rPr>
          <w:sz w:val="24"/>
          <w:szCs w:val="24"/>
        </w:rPr>
        <w:t>no system for regular reporting for contracts exists</w:t>
      </w:r>
      <w:r w:rsidR="00302377" w:rsidRPr="00A9298E">
        <w:rPr>
          <w:sz w:val="24"/>
          <w:szCs w:val="24"/>
        </w:rPr>
        <w:t xml:space="preserve">. </w:t>
      </w:r>
      <w:r w:rsidR="009A771F" w:rsidRPr="00A9298E">
        <w:rPr>
          <w:sz w:val="24"/>
          <w:szCs w:val="24"/>
        </w:rPr>
        <w:t>No automated or dedicated</w:t>
      </w:r>
      <w:r w:rsidR="00302377" w:rsidRPr="00A9298E">
        <w:rPr>
          <w:sz w:val="24"/>
          <w:szCs w:val="24"/>
        </w:rPr>
        <w:t xml:space="preserve"> IT system will be used for these reports.</w:t>
      </w:r>
    </w:p>
    <w:p w14:paraId="557CC386" w14:textId="5AEF7C72" w:rsidR="007D3709" w:rsidRPr="00975605" w:rsidRDefault="00A9298E" w:rsidP="00975605">
      <w:pPr>
        <w:spacing w:line="480" w:lineRule="auto"/>
        <w:ind w:firstLine="720"/>
        <w:jc w:val="left"/>
        <w:rPr>
          <w:color w:val="000000"/>
          <w:sz w:val="24"/>
          <w:szCs w:val="24"/>
        </w:rPr>
      </w:pPr>
      <w:r w:rsidRPr="00A9298E">
        <w:rPr>
          <w:color w:val="000000"/>
          <w:sz w:val="24"/>
          <w:szCs w:val="24"/>
        </w:rPr>
        <w:t xml:space="preserve">A consultation with the NCI Privacy Act Coordinator </w:t>
      </w:r>
      <w:r w:rsidR="00B4301F">
        <w:rPr>
          <w:color w:val="000000"/>
          <w:sz w:val="24"/>
          <w:szCs w:val="24"/>
        </w:rPr>
        <w:t xml:space="preserve">is </w:t>
      </w:r>
      <w:r w:rsidRPr="00A9298E">
        <w:rPr>
          <w:color w:val="000000"/>
          <w:sz w:val="24"/>
          <w:szCs w:val="24"/>
        </w:rPr>
        <w:t>be</w:t>
      </w:r>
      <w:r w:rsidR="00B4301F">
        <w:rPr>
          <w:color w:val="000000"/>
          <w:sz w:val="24"/>
          <w:szCs w:val="24"/>
        </w:rPr>
        <w:t>ing</w:t>
      </w:r>
      <w:r w:rsidRPr="00A9298E">
        <w:rPr>
          <w:color w:val="000000"/>
          <w:sz w:val="24"/>
          <w:szCs w:val="24"/>
        </w:rPr>
        <w:t xml:space="preserve"> conducted to determine whether a Privacy Impact Assessment (PIA) is necessary for this project.  If so, then a PIA will be completed.</w:t>
      </w:r>
    </w:p>
    <w:p w14:paraId="2E65C4FF" w14:textId="77777777" w:rsidR="008D20C5" w:rsidRPr="007D3709" w:rsidRDefault="005E6F33" w:rsidP="005E6F33">
      <w:pPr>
        <w:pStyle w:val="Heading2"/>
        <w:spacing w:after="0" w:line="480" w:lineRule="auto"/>
        <w:ind w:left="720" w:hanging="720"/>
        <w:rPr>
          <w:szCs w:val="24"/>
        </w:rPr>
      </w:pPr>
      <w:bookmarkStart w:id="11" w:name="_Toc443881745"/>
      <w:bookmarkStart w:id="12" w:name="_Toc451592234"/>
      <w:bookmarkStart w:id="13" w:name="_Toc5610275"/>
      <w:bookmarkStart w:id="14" w:name="_Toc99178781"/>
      <w:r w:rsidRPr="007D3709">
        <w:rPr>
          <w:szCs w:val="24"/>
        </w:rPr>
        <w:t>A.</w:t>
      </w:r>
      <w:r w:rsidR="004B4AEA" w:rsidRPr="007D3709">
        <w:rPr>
          <w:szCs w:val="24"/>
        </w:rPr>
        <w:t>4</w:t>
      </w:r>
      <w:r w:rsidR="008D20C5" w:rsidRPr="007D3709">
        <w:rPr>
          <w:szCs w:val="24"/>
        </w:rPr>
        <w:tab/>
        <w:t>Efforts to Identify Duplication and Use of Similar Information</w:t>
      </w:r>
      <w:bookmarkEnd w:id="11"/>
      <w:bookmarkEnd w:id="12"/>
      <w:bookmarkEnd w:id="13"/>
      <w:bookmarkEnd w:id="14"/>
    </w:p>
    <w:p w14:paraId="114331E6" w14:textId="77777777" w:rsidR="00E96797" w:rsidRPr="007D3709" w:rsidRDefault="00CF7FF9" w:rsidP="00975605">
      <w:pPr>
        <w:pStyle w:val="P1-StandPara"/>
        <w:rPr>
          <w:sz w:val="24"/>
          <w:szCs w:val="24"/>
        </w:rPr>
      </w:pPr>
      <w:r w:rsidRPr="007C5ED8">
        <w:rPr>
          <w:sz w:val="24"/>
          <w:szCs w:val="24"/>
        </w:rPr>
        <w:t xml:space="preserve">Typically </w:t>
      </w:r>
      <w:r w:rsidR="00F12F46" w:rsidRPr="007C5ED8">
        <w:rPr>
          <w:sz w:val="24"/>
          <w:szCs w:val="24"/>
        </w:rPr>
        <w:t>awards made through contracts do not require any regular reports</w:t>
      </w:r>
      <w:r w:rsidRPr="007C5ED8">
        <w:rPr>
          <w:sz w:val="24"/>
          <w:szCs w:val="24"/>
        </w:rPr>
        <w:t xml:space="preserve">. The interim </w:t>
      </w:r>
      <w:r w:rsidR="007C5ED8" w:rsidRPr="007C5ED8">
        <w:rPr>
          <w:sz w:val="24"/>
          <w:szCs w:val="24"/>
        </w:rPr>
        <w:t xml:space="preserve">and final </w:t>
      </w:r>
      <w:r w:rsidRPr="007C5ED8">
        <w:rPr>
          <w:sz w:val="24"/>
          <w:szCs w:val="24"/>
        </w:rPr>
        <w:t xml:space="preserve">report proposed here will not duplicate any existing information collection, since this collection doesn’t occur now. </w:t>
      </w:r>
      <w:r w:rsidR="007C5ED8">
        <w:rPr>
          <w:sz w:val="24"/>
          <w:szCs w:val="24"/>
        </w:rPr>
        <w:t xml:space="preserve"> The information proposed here</w:t>
      </w:r>
      <w:r w:rsidRPr="007C5ED8">
        <w:rPr>
          <w:sz w:val="24"/>
          <w:szCs w:val="24"/>
        </w:rPr>
        <w:t xml:space="preserve"> is not publicly available and cannot be gathered from other sources. </w:t>
      </w:r>
      <w:r w:rsidR="007C5ED8">
        <w:rPr>
          <w:sz w:val="24"/>
          <w:szCs w:val="24"/>
        </w:rPr>
        <w:t>CGH</w:t>
      </w:r>
      <w:r w:rsidRPr="007C5ED8">
        <w:rPr>
          <w:sz w:val="24"/>
          <w:szCs w:val="24"/>
        </w:rPr>
        <w:t xml:space="preserve"> has consulted the PHS 2590 and the PRA liaison </w:t>
      </w:r>
      <w:r w:rsidRPr="007C5ED8">
        <w:rPr>
          <w:sz w:val="24"/>
          <w:szCs w:val="24"/>
        </w:rPr>
        <w:lastRenderedPageBreak/>
        <w:t>office at NIH, and the information to be gathered through the proposed guidelines is not collected in existing reports and cannot be collected in a twice-yearly basis using the currently existing NIH reporting tools.</w:t>
      </w:r>
      <w:r w:rsidRPr="007D3709">
        <w:rPr>
          <w:sz w:val="24"/>
          <w:szCs w:val="24"/>
        </w:rPr>
        <w:t xml:space="preserve"> </w:t>
      </w:r>
    </w:p>
    <w:p w14:paraId="59DDEE10" w14:textId="77777777" w:rsidR="008D20C5" w:rsidRPr="007D3709" w:rsidRDefault="005E6F33" w:rsidP="00011B92">
      <w:pPr>
        <w:tabs>
          <w:tab w:val="left" w:pos="720"/>
        </w:tabs>
        <w:spacing w:line="480" w:lineRule="auto"/>
        <w:rPr>
          <w:b/>
          <w:sz w:val="24"/>
          <w:szCs w:val="24"/>
        </w:rPr>
      </w:pPr>
      <w:bookmarkStart w:id="15" w:name="_Toc443881746"/>
      <w:bookmarkStart w:id="16" w:name="_Toc451592235"/>
      <w:bookmarkStart w:id="17" w:name="_Toc5610276"/>
      <w:bookmarkStart w:id="18" w:name="_Toc99178782"/>
      <w:r w:rsidRPr="007D3709">
        <w:rPr>
          <w:b/>
          <w:sz w:val="24"/>
          <w:szCs w:val="24"/>
        </w:rPr>
        <w:t>A.</w:t>
      </w:r>
      <w:r w:rsidR="004B4AEA" w:rsidRPr="007D3709">
        <w:rPr>
          <w:b/>
          <w:sz w:val="24"/>
          <w:szCs w:val="24"/>
        </w:rPr>
        <w:t>5</w:t>
      </w:r>
      <w:r w:rsidR="008D20C5" w:rsidRPr="007D3709">
        <w:rPr>
          <w:b/>
          <w:sz w:val="24"/>
          <w:szCs w:val="24"/>
        </w:rPr>
        <w:tab/>
        <w:t>Impact on Small Businesses or Other Small Entities</w:t>
      </w:r>
      <w:bookmarkEnd w:id="15"/>
      <w:bookmarkEnd w:id="16"/>
      <w:bookmarkEnd w:id="17"/>
      <w:bookmarkEnd w:id="18"/>
    </w:p>
    <w:p w14:paraId="3202CDC8" w14:textId="77777777" w:rsidR="00E96797" w:rsidRPr="007D3709" w:rsidRDefault="005F6C99" w:rsidP="00FA3CEC">
      <w:pPr>
        <w:tabs>
          <w:tab w:val="left" w:pos="720"/>
        </w:tabs>
        <w:spacing w:line="480" w:lineRule="auto"/>
        <w:rPr>
          <w:sz w:val="24"/>
          <w:szCs w:val="24"/>
        </w:rPr>
      </w:pPr>
      <w:r w:rsidRPr="007D3709">
        <w:rPr>
          <w:b/>
          <w:sz w:val="24"/>
          <w:szCs w:val="24"/>
        </w:rPr>
        <w:tab/>
      </w:r>
      <w:r w:rsidRPr="007D3709">
        <w:rPr>
          <w:sz w:val="24"/>
          <w:szCs w:val="24"/>
        </w:rPr>
        <w:t xml:space="preserve">No small businesses will be involved in this information collection. </w:t>
      </w:r>
    </w:p>
    <w:p w14:paraId="309D2FB3" w14:textId="77777777" w:rsidR="008D20C5" w:rsidRPr="007D3709" w:rsidRDefault="005E6F33" w:rsidP="005E6F33">
      <w:pPr>
        <w:pStyle w:val="Heading2"/>
        <w:spacing w:after="0" w:line="480" w:lineRule="auto"/>
        <w:ind w:left="720" w:hanging="720"/>
        <w:rPr>
          <w:szCs w:val="24"/>
        </w:rPr>
      </w:pPr>
      <w:bookmarkStart w:id="19" w:name="_Toc443881747"/>
      <w:bookmarkStart w:id="20" w:name="_Toc451592236"/>
      <w:bookmarkStart w:id="21" w:name="_Toc5610277"/>
      <w:bookmarkStart w:id="22" w:name="_Toc99178783"/>
      <w:r w:rsidRPr="007D3709">
        <w:rPr>
          <w:szCs w:val="24"/>
        </w:rPr>
        <w:t>A.</w:t>
      </w:r>
      <w:r w:rsidR="004B4AEA" w:rsidRPr="007D3709">
        <w:rPr>
          <w:szCs w:val="24"/>
        </w:rPr>
        <w:t>6</w:t>
      </w:r>
      <w:r w:rsidR="008D20C5" w:rsidRPr="007D3709">
        <w:rPr>
          <w:szCs w:val="24"/>
        </w:rPr>
        <w:tab/>
        <w:t>Consequences of Collecting the Information Less Frequently</w:t>
      </w:r>
      <w:bookmarkEnd w:id="19"/>
      <w:bookmarkEnd w:id="20"/>
      <w:bookmarkEnd w:id="21"/>
      <w:bookmarkEnd w:id="22"/>
    </w:p>
    <w:p w14:paraId="193BA8CB" w14:textId="77777777" w:rsidR="00E96797" w:rsidRPr="007D3709" w:rsidRDefault="002D395F" w:rsidP="00975605">
      <w:pPr>
        <w:pStyle w:val="P1-StandPara"/>
        <w:rPr>
          <w:sz w:val="24"/>
          <w:szCs w:val="24"/>
        </w:rPr>
      </w:pPr>
      <w:r w:rsidRPr="003A11A5">
        <w:rPr>
          <w:sz w:val="24"/>
          <w:szCs w:val="24"/>
        </w:rPr>
        <w:t xml:space="preserve">The proposed information collection will occur </w:t>
      </w:r>
      <w:r w:rsidR="00975605">
        <w:rPr>
          <w:sz w:val="24"/>
          <w:szCs w:val="24"/>
        </w:rPr>
        <w:t>6 months into the award and at the end of the award (12 months post award)</w:t>
      </w:r>
      <w:r w:rsidRPr="003A11A5">
        <w:rPr>
          <w:sz w:val="24"/>
          <w:szCs w:val="24"/>
        </w:rPr>
        <w:t xml:space="preserve">. Information is collected on that time table to allow the </w:t>
      </w:r>
      <w:r w:rsidR="007C5ED8" w:rsidRPr="003A11A5">
        <w:rPr>
          <w:sz w:val="24"/>
          <w:szCs w:val="24"/>
        </w:rPr>
        <w:t>Leidos and CGH</w:t>
      </w:r>
      <w:r w:rsidRPr="003A11A5">
        <w:rPr>
          <w:sz w:val="24"/>
          <w:szCs w:val="24"/>
        </w:rPr>
        <w:t xml:space="preserve"> to monitor and adequately manage performance in individual awards and interactions between awards. In particular, these awards </w:t>
      </w:r>
      <w:r w:rsidR="000B06AE" w:rsidRPr="003A11A5">
        <w:rPr>
          <w:sz w:val="24"/>
          <w:szCs w:val="24"/>
        </w:rPr>
        <w:t xml:space="preserve">include </w:t>
      </w:r>
      <w:r w:rsidR="00975605">
        <w:rPr>
          <w:sz w:val="24"/>
          <w:szCs w:val="24"/>
        </w:rPr>
        <w:t>objectives</w:t>
      </w:r>
      <w:r w:rsidR="000B06AE" w:rsidRPr="003A11A5">
        <w:rPr>
          <w:sz w:val="24"/>
          <w:szCs w:val="24"/>
        </w:rPr>
        <w:t xml:space="preserve"> in addition to specific aims, and progress towards </w:t>
      </w:r>
      <w:r w:rsidR="00E96797">
        <w:rPr>
          <w:sz w:val="24"/>
          <w:szCs w:val="24"/>
        </w:rPr>
        <w:t>objective</w:t>
      </w:r>
      <w:r w:rsidR="000B06AE" w:rsidRPr="003A11A5">
        <w:rPr>
          <w:sz w:val="24"/>
          <w:szCs w:val="24"/>
        </w:rPr>
        <w:t xml:space="preserve">s is monitored closely. In the absence of the information provided by the reports, </w:t>
      </w:r>
      <w:r w:rsidR="007C5ED8" w:rsidRPr="003A11A5">
        <w:rPr>
          <w:sz w:val="24"/>
          <w:szCs w:val="24"/>
        </w:rPr>
        <w:t>Leidos and CGH</w:t>
      </w:r>
      <w:r w:rsidR="000B06AE" w:rsidRPr="003A11A5">
        <w:rPr>
          <w:sz w:val="24"/>
          <w:szCs w:val="24"/>
        </w:rPr>
        <w:t xml:space="preserve"> will not be able to judge progress towards</w:t>
      </w:r>
      <w:r w:rsidR="00975605">
        <w:rPr>
          <w:sz w:val="24"/>
          <w:szCs w:val="24"/>
        </w:rPr>
        <w:t xml:space="preserve"> objectives</w:t>
      </w:r>
      <w:r w:rsidR="000B06AE" w:rsidRPr="003A11A5">
        <w:rPr>
          <w:sz w:val="24"/>
          <w:szCs w:val="24"/>
        </w:rPr>
        <w:t xml:space="preserve"> or assist in overcoming difficulties in meeting them. </w:t>
      </w:r>
      <w:r w:rsidR="00AF3CAC" w:rsidRPr="003A11A5">
        <w:rPr>
          <w:sz w:val="24"/>
          <w:szCs w:val="24"/>
        </w:rPr>
        <w:t xml:space="preserve">Inability to collect this information will also hamper the program office’s ability to </w:t>
      </w:r>
      <w:r w:rsidR="007C5ED8" w:rsidRPr="003A11A5">
        <w:rPr>
          <w:sz w:val="24"/>
          <w:szCs w:val="24"/>
        </w:rPr>
        <w:t>make informed decisions regarding funding similar programs in the future</w:t>
      </w:r>
      <w:r w:rsidR="00AF3CAC" w:rsidRPr="003A11A5">
        <w:rPr>
          <w:sz w:val="24"/>
          <w:szCs w:val="24"/>
        </w:rPr>
        <w:t xml:space="preserve">. </w:t>
      </w:r>
    </w:p>
    <w:p w14:paraId="20C72128" w14:textId="77777777" w:rsidR="008D20C5" w:rsidRPr="007C5ED8" w:rsidRDefault="005E6F33" w:rsidP="007C5ED8">
      <w:pPr>
        <w:pStyle w:val="Heading2"/>
      </w:pPr>
      <w:bookmarkStart w:id="23" w:name="_Toc443881748"/>
      <w:bookmarkStart w:id="24" w:name="_Toc451592237"/>
      <w:bookmarkStart w:id="25" w:name="_Toc5610278"/>
      <w:bookmarkStart w:id="26" w:name="_Toc99178784"/>
      <w:r w:rsidRPr="007C5ED8">
        <w:t>A.</w:t>
      </w:r>
      <w:r w:rsidR="004B4AEA" w:rsidRPr="007C5ED8">
        <w:t>7</w:t>
      </w:r>
      <w:r w:rsidR="008D20C5" w:rsidRPr="007C5ED8">
        <w:tab/>
        <w:t>Special Circumstances Relating to the Guidelines of 5 CFR 1320.5</w:t>
      </w:r>
      <w:bookmarkEnd w:id="23"/>
      <w:bookmarkEnd w:id="24"/>
      <w:bookmarkEnd w:id="25"/>
      <w:bookmarkEnd w:id="26"/>
    </w:p>
    <w:p w14:paraId="124FB1DB" w14:textId="77777777" w:rsidR="00E96797" w:rsidRPr="007D3709" w:rsidRDefault="00DB3FBF" w:rsidP="00975605">
      <w:pPr>
        <w:pStyle w:val="P1-StandPara"/>
        <w:rPr>
          <w:sz w:val="24"/>
          <w:szCs w:val="24"/>
        </w:rPr>
      </w:pPr>
      <w:r w:rsidRPr="007D3709">
        <w:rPr>
          <w:sz w:val="24"/>
          <w:szCs w:val="24"/>
        </w:rPr>
        <w:t xml:space="preserve">None of the special circumstances relating to the guidelines of 5 CFR 1320.5 </w:t>
      </w:r>
      <w:r w:rsidR="008439CE" w:rsidRPr="007D3709">
        <w:rPr>
          <w:sz w:val="24"/>
          <w:szCs w:val="24"/>
        </w:rPr>
        <w:t>applies</w:t>
      </w:r>
      <w:r w:rsidRPr="007D3709">
        <w:rPr>
          <w:sz w:val="24"/>
          <w:szCs w:val="24"/>
        </w:rPr>
        <w:t xml:space="preserve"> to this information collection, and the proposed guidelines fully comply with 5 CFR 1320.5.</w:t>
      </w:r>
    </w:p>
    <w:p w14:paraId="1666EC7D" w14:textId="77777777" w:rsidR="00F1653D" w:rsidRDefault="005E6F33" w:rsidP="007C5ED8">
      <w:pPr>
        <w:pStyle w:val="Heading2"/>
      </w:pPr>
      <w:bookmarkStart w:id="27" w:name="A8"/>
      <w:bookmarkStart w:id="28" w:name="_Toc443881749"/>
      <w:bookmarkStart w:id="29" w:name="_Toc451592238"/>
      <w:bookmarkStart w:id="30" w:name="_Toc5610279"/>
      <w:bookmarkStart w:id="31" w:name="_Toc99178785"/>
      <w:r w:rsidRPr="007C5ED8">
        <w:t>A.</w:t>
      </w:r>
      <w:r w:rsidR="004B4AEA" w:rsidRPr="007C5ED8">
        <w:t>8</w:t>
      </w:r>
      <w:bookmarkEnd w:id="27"/>
      <w:r w:rsidR="008D20C5" w:rsidRPr="007D3709">
        <w:tab/>
      </w:r>
      <w:r w:rsidR="008D20C5" w:rsidRPr="00F1653D">
        <w:t xml:space="preserve">Comments in Response to the Federal Register Notice and Efforts to Consult </w:t>
      </w:r>
    </w:p>
    <w:p w14:paraId="058B274B" w14:textId="77777777" w:rsidR="00F1653D" w:rsidRPr="007C5ED8" w:rsidRDefault="00F1653D" w:rsidP="007C5ED8">
      <w:pPr>
        <w:pStyle w:val="Heading2"/>
        <w:rPr>
          <w:color w:val="FF0000"/>
        </w:rPr>
      </w:pPr>
      <w:r>
        <w:tab/>
      </w:r>
      <w:r w:rsidR="008D20C5" w:rsidRPr="007C5ED8">
        <w:t xml:space="preserve">Outside </w:t>
      </w:r>
      <w:r w:rsidR="00F27C82" w:rsidRPr="007C5ED8">
        <w:t xml:space="preserve">the </w:t>
      </w:r>
      <w:r w:rsidR="008D20C5" w:rsidRPr="007C5ED8">
        <w:t>Agency</w:t>
      </w:r>
      <w:bookmarkEnd w:id="28"/>
      <w:bookmarkEnd w:id="29"/>
      <w:bookmarkEnd w:id="30"/>
      <w:bookmarkEnd w:id="31"/>
    </w:p>
    <w:p w14:paraId="466F1E58" w14:textId="17ED0AF9" w:rsidR="007C5ED8" w:rsidRPr="009950B7" w:rsidRDefault="007C5ED8" w:rsidP="007C5ED8">
      <w:pPr>
        <w:pStyle w:val="BodyTextIndent"/>
        <w:tabs>
          <w:tab w:val="left" w:pos="0"/>
        </w:tabs>
        <w:spacing w:before="0" w:after="0" w:line="480" w:lineRule="auto"/>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005C6323">
        <w:rPr>
          <w:color w:val="000000"/>
          <w:sz w:val="24"/>
          <w:szCs w:val="24"/>
        </w:rPr>
        <w:t xml:space="preserve"> </w:t>
      </w:r>
      <w:r w:rsidR="005C6323" w:rsidRPr="005C6323">
        <w:rPr>
          <w:color w:val="000000"/>
          <w:sz w:val="24"/>
          <w:szCs w:val="24"/>
          <w:u w:val="single"/>
        </w:rPr>
        <w:t>Notice</w:t>
      </w:r>
      <w:r w:rsidR="005C6323">
        <w:rPr>
          <w:color w:val="000000"/>
          <w:sz w:val="24"/>
          <w:szCs w:val="24"/>
        </w:rPr>
        <w:t xml:space="preserve"> </w:t>
      </w:r>
      <w:r w:rsidRPr="009950B7">
        <w:rPr>
          <w:color w:val="000000"/>
          <w:sz w:val="24"/>
          <w:szCs w:val="24"/>
        </w:rPr>
        <w:t xml:space="preserve">soliciting comments on this study prior to initial submission to OMB was published on </w:t>
      </w:r>
      <w:r w:rsidR="00296150">
        <w:rPr>
          <w:color w:val="000000"/>
          <w:sz w:val="24"/>
          <w:szCs w:val="24"/>
        </w:rPr>
        <w:t>July 28, 2014, Vol. 79, P. 43755.</w:t>
      </w:r>
      <w:r w:rsidR="005C6323">
        <w:rPr>
          <w:color w:val="000000"/>
          <w:sz w:val="24"/>
          <w:szCs w:val="24"/>
        </w:rPr>
        <w:t xml:space="preserve">  No public comments were received.</w:t>
      </w:r>
    </w:p>
    <w:p w14:paraId="2FEBF55B" w14:textId="77777777" w:rsidR="007D3709" w:rsidRPr="00EE6324" w:rsidRDefault="007D3709" w:rsidP="007D3709">
      <w:pPr>
        <w:pStyle w:val="P1-StandPara"/>
        <w:rPr>
          <w:color w:val="000000"/>
          <w:sz w:val="24"/>
          <w:szCs w:val="24"/>
        </w:rPr>
      </w:pPr>
      <w:r w:rsidRPr="00EE6324">
        <w:rPr>
          <w:color w:val="000000"/>
          <w:sz w:val="24"/>
          <w:szCs w:val="24"/>
        </w:rPr>
        <w:lastRenderedPageBreak/>
        <w:t>There have been no efforts to consult outside the agency.</w:t>
      </w:r>
    </w:p>
    <w:p w14:paraId="0A30604E" w14:textId="77777777" w:rsidR="00DD5B1F" w:rsidRPr="007D3709" w:rsidRDefault="005E6F33" w:rsidP="004E0F96">
      <w:pPr>
        <w:pStyle w:val="Heading2"/>
        <w:spacing w:after="0" w:line="480" w:lineRule="auto"/>
        <w:ind w:left="720" w:hanging="720"/>
        <w:rPr>
          <w:szCs w:val="24"/>
        </w:rPr>
      </w:pPr>
      <w:bookmarkStart w:id="32" w:name="_Toc443881750"/>
      <w:bookmarkStart w:id="33" w:name="_Toc451592239"/>
      <w:bookmarkStart w:id="34" w:name="_Toc5610280"/>
      <w:bookmarkStart w:id="35" w:name="_Toc99178786"/>
      <w:r w:rsidRPr="007D3709">
        <w:rPr>
          <w:szCs w:val="24"/>
        </w:rPr>
        <w:t>A.</w:t>
      </w:r>
      <w:r w:rsidR="004B4AEA" w:rsidRPr="007D3709">
        <w:rPr>
          <w:szCs w:val="24"/>
        </w:rPr>
        <w:t>9</w:t>
      </w:r>
      <w:r w:rsidR="00CD445F" w:rsidRPr="007D3709">
        <w:rPr>
          <w:szCs w:val="24"/>
        </w:rPr>
        <w:tab/>
        <w:t>Explanation of Any Payment or</w:t>
      </w:r>
      <w:r w:rsidR="008D20C5" w:rsidRPr="007D3709">
        <w:rPr>
          <w:szCs w:val="24"/>
        </w:rPr>
        <w:t xml:space="preserve"> Gift to Respondent</w:t>
      </w:r>
      <w:bookmarkEnd w:id="32"/>
      <w:bookmarkEnd w:id="33"/>
      <w:bookmarkEnd w:id="34"/>
      <w:bookmarkEnd w:id="35"/>
      <w:r w:rsidR="004E0F96" w:rsidRPr="007D3709">
        <w:rPr>
          <w:szCs w:val="24"/>
        </w:rPr>
        <w:t>s</w:t>
      </w:r>
    </w:p>
    <w:p w14:paraId="7CEB454F" w14:textId="77777777" w:rsidR="008F62BB" w:rsidRPr="007D3709" w:rsidRDefault="008F62BB" w:rsidP="008F62BB">
      <w:pPr>
        <w:pStyle w:val="P1-StandPara"/>
        <w:rPr>
          <w:sz w:val="24"/>
          <w:szCs w:val="24"/>
        </w:rPr>
      </w:pPr>
      <w:r w:rsidRPr="007D3709">
        <w:rPr>
          <w:sz w:val="24"/>
          <w:szCs w:val="24"/>
        </w:rPr>
        <w:t xml:space="preserve">There will be no payments or gifts to respondents. </w:t>
      </w:r>
    </w:p>
    <w:p w14:paraId="68CED1A5" w14:textId="77777777" w:rsidR="00C31C42" w:rsidRPr="007D3709" w:rsidRDefault="00D330FF" w:rsidP="00C31C42">
      <w:pPr>
        <w:pStyle w:val="Heading2"/>
        <w:spacing w:after="0" w:line="480" w:lineRule="auto"/>
        <w:ind w:left="720" w:hanging="720"/>
        <w:rPr>
          <w:szCs w:val="24"/>
        </w:rPr>
      </w:pPr>
      <w:bookmarkStart w:id="36" w:name="A10"/>
      <w:bookmarkStart w:id="37" w:name="_Toc443881751"/>
      <w:bookmarkStart w:id="38" w:name="_Toc451592240"/>
      <w:bookmarkStart w:id="39" w:name="_Toc5610281"/>
      <w:bookmarkStart w:id="40" w:name="_Toc99178787"/>
      <w:r w:rsidRPr="007D3709">
        <w:rPr>
          <w:szCs w:val="24"/>
        </w:rPr>
        <w:t>A.</w:t>
      </w:r>
      <w:r w:rsidR="004B4AEA" w:rsidRPr="007D3709">
        <w:rPr>
          <w:szCs w:val="24"/>
        </w:rPr>
        <w:t>10</w:t>
      </w:r>
      <w:bookmarkEnd w:id="36"/>
      <w:r w:rsidR="008D20C5" w:rsidRPr="007D3709">
        <w:rPr>
          <w:szCs w:val="24"/>
        </w:rPr>
        <w:tab/>
        <w:t>Assurance of Confidentiality Provided to Respondents</w:t>
      </w:r>
      <w:bookmarkEnd w:id="37"/>
      <w:bookmarkEnd w:id="38"/>
      <w:bookmarkEnd w:id="39"/>
      <w:bookmarkEnd w:id="40"/>
    </w:p>
    <w:p w14:paraId="614DA126" w14:textId="77777777" w:rsidR="00C62BC3" w:rsidRPr="007D3709" w:rsidRDefault="00323930" w:rsidP="00F93AF8">
      <w:pPr>
        <w:pStyle w:val="P1-StandPara"/>
      </w:pPr>
      <w:r>
        <w:rPr>
          <w:sz w:val="24"/>
          <w:szCs w:val="24"/>
        </w:rPr>
        <w:t>Personally identifiable information will be collected</w:t>
      </w:r>
      <w:r w:rsidR="00F14CB4" w:rsidRPr="007D3709">
        <w:rPr>
          <w:sz w:val="24"/>
          <w:szCs w:val="24"/>
        </w:rPr>
        <w:t xml:space="preserve">. </w:t>
      </w:r>
      <w:r w:rsidR="007D3709">
        <w:rPr>
          <w:sz w:val="24"/>
          <w:szCs w:val="24"/>
        </w:rPr>
        <w:t xml:space="preserve"> </w:t>
      </w:r>
      <w:r w:rsidR="000577E8" w:rsidRPr="007D3709">
        <w:rPr>
          <w:sz w:val="24"/>
          <w:szCs w:val="24"/>
        </w:rPr>
        <w:t>I</w:t>
      </w:r>
      <w:r w:rsidR="0026371F" w:rsidRPr="007D3709">
        <w:rPr>
          <w:sz w:val="24"/>
          <w:szCs w:val="24"/>
        </w:rPr>
        <w:t xml:space="preserve">nformation related to awardees’ scientific progress, interactions with </w:t>
      </w:r>
      <w:r w:rsidR="007C5ED8">
        <w:rPr>
          <w:sz w:val="24"/>
          <w:szCs w:val="24"/>
        </w:rPr>
        <w:t>partner organizations and collaborators</w:t>
      </w:r>
      <w:r w:rsidR="0026371F" w:rsidRPr="007D3709">
        <w:rPr>
          <w:sz w:val="24"/>
          <w:szCs w:val="24"/>
        </w:rPr>
        <w:t xml:space="preserve">, and success in leveraging their awards to raise additional funds will be included in the </w:t>
      </w:r>
      <w:r w:rsidR="00E7411B" w:rsidRPr="007D3709">
        <w:rPr>
          <w:sz w:val="24"/>
          <w:szCs w:val="24"/>
        </w:rPr>
        <w:t xml:space="preserve">report. </w:t>
      </w:r>
      <w:r w:rsidR="00953FC6" w:rsidRPr="007D3709">
        <w:rPr>
          <w:sz w:val="24"/>
          <w:szCs w:val="24"/>
        </w:rPr>
        <w:t>Information will be collected by and seen by</w:t>
      </w:r>
      <w:r w:rsidR="007C5ED8">
        <w:rPr>
          <w:sz w:val="24"/>
          <w:szCs w:val="24"/>
        </w:rPr>
        <w:t xml:space="preserve"> Leidos Biomedical Research, Inc. </w:t>
      </w:r>
      <w:r w:rsidR="00955450">
        <w:rPr>
          <w:sz w:val="24"/>
          <w:szCs w:val="24"/>
        </w:rPr>
        <w:t xml:space="preserve">and </w:t>
      </w:r>
      <w:r w:rsidR="00975605">
        <w:rPr>
          <w:sz w:val="24"/>
          <w:szCs w:val="24"/>
        </w:rPr>
        <w:t xml:space="preserve">OCC and </w:t>
      </w:r>
      <w:r w:rsidR="00955450">
        <w:rPr>
          <w:sz w:val="24"/>
          <w:szCs w:val="24"/>
        </w:rPr>
        <w:t xml:space="preserve">CGH </w:t>
      </w:r>
      <w:r w:rsidR="00955450" w:rsidRPr="003A11A5">
        <w:rPr>
          <w:sz w:val="24"/>
          <w:szCs w:val="24"/>
        </w:rPr>
        <w:t xml:space="preserve">staff </w:t>
      </w:r>
      <w:r w:rsidR="00953FC6" w:rsidRPr="003A11A5">
        <w:rPr>
          <w:sz w:val="24"/>
          <w:szCs w:val="24"/>
        </w:rPr>
        <w:t xml:space="preserve">members. </w:t>
      </w:r>
      <w:r w:rsidRPr="003A11A5">
        <w:rPr>
          <w:sz w:val="24"/>
          <w:szCs w:val="24"/>
        </w:rPr>
        <w:t xml:space="preserve"> </w:t>
      </w:r>
      <w:r w:rsidR="00953FC6" w:rsidRPr="003A11A5">
        <w:rPr>
          <w:sz w:val="24"/>
          <w:szCs w:val="24"/>
        </w:rPr>
        <w:t>Information in reports will not be s</w:t>
      </w:r>
      <w:r w:rsidR="000577E8" w:rsidRPr="003A11A5">
        <w:rPr>
          <w:sz w:val="24"/>
          <w:szCs w:val="24"/>
        </w:rPr>
        <w:t xml:space="preserve">hared with anyone outside of </w:t>
      </w:r>
      <w:r w:rsidR="007C5ED8" w:rsidRPr="003A11A5">
        <w:rPr>
          <w:sz w:val="24"/>
          <w:szCs w:val="24"/>
        </w:rPr>
        <w:t xml:space="preserve">Leidos Biomedical Research, Inc. and </w:t>
      </w:r>
      <w:r w:rsidR="000577E8" w:rsidRPr="003A11A5">
        <w:rPr>
          <w:sz w:val="24"/>
          <w:szCs w:val="24"/>
        </w:rPr>
        <w:t>NIH</w:t>
      </w:r>
      <w:r w:rsidR="00953FC6" w:rsidRPr="003A11A5">
        <w:rPr>
          <w:sz w:val="24"/>
          <w:szCs w:val="24"/>
        </w:rPr>
        <w:t xml:space="preserve">. Electronic files will be kept on password protected </w:t>
      </w:r>
      <w:r w:rsidR="00955450" w:rsidRPr="003A11A5">
        <w:rPr>
          <w:sz w:val="24"/>
          <w:szCs w:val="24"/>
        </w:rPr>
        <w:t xml:space="preserve">Leidos computers and </w:t>
      </w:r>
      <w:r w:rsidR="00953FC6" w:rsidRPr="003A11A5">
        <w:rPr>
          <w:sz w:val="24"/>
          <w:szCs w:val="24"/>
        </w:rPr>
        <w:t>government computers.</w:t>
      </w:r>
      <w:r w:rsidR="00953FC6" w:rsidRPr="007D3709">
        <w:rPr>
          <w:sz w:val="24"/>
          <w:szCs w:val="24"/>
        </w:rPr>
        <w:t xml:space="preserve"> </w:t>
      </w:r>
      <w:r>
        <w:rPr>
          <w:sz w:val="24"/>
          <w:szCs w:val="24"/>
        </w:rPr>
        <w:t xml:space="preserve"> The data collection is covered by NIH Privacy Act Systems of Record </w:t>
      </w:r>
      <w:r w:rsidR="00E045C2">
        <w:rPr>
          <w:sz w:val="24"/>
          <w:szCs w:val="24"/>
        </w:rPr>
        <w:t>Notice (SORN) #</w:t>
      </w:r>
      <w:r>
        <w:rPr>
          <w:sz w:val="24"/>
          <w:szCs w:val="24"/>
        </w:rPr>
        <w:t>09-25-0036, “Extramural Awards and Chartered Advisory Committees (IMPAC 2), Contract Information (DCIS), and Cooperative Agreement Information, HHS/NIH”</w:t>
      </w:r>
      <w:r w:rsidR="000C09F2">
        <w:rPr>
          <w:sz w:val="24"/>
          <w:szCs w:val="24"/>
        </w:rPr>
        <w:t>.</w:t>
      </w:r>
      <w:r w:rsidR="00143EDE">
        <w:rPr>
          <w:sz w:val="24"/>
          <w:szCs w:val="24"/>
        </w:rPr>
        <w:t xml:space="preserve">  This SORN was published in Federal Register on 9/26/2002, Vol. 67, p. 60742.</w:t>
      </w:r>
    </w:p>
    <w:p w14:paraId="7A2C1275" w14:textId="77777777" w:rsidR="008D20C5" w:rsidRPr="00F93AF8" w:rsidRDefault="00D330FF" w:rsidP="00F93AF8">
      <w:pPr>
        <w:pStyle w:val="BodyTextIndent3"/>
        <w:tabs>
          <w:tab w:val="left" w:pos="720"/>
        </w:tabs>
        <w:spacing w:line="480" w:lineRule="auto"/>
        <w:jc w:val="both"/>
        <w:rPr>
          <w:b/>
          <w:sz w:val="24"/>
          <w:szCs w:val="24"/>
        </w:rPr>
      </w:pPr>
      <w:bookmarkStart w:id="41" w:name="_Toc443881752"/>
      <w:bookmarkStart w:id="42" w:name="_Toc451592241"/>
      <w:bookmarkStart w:id="43" w:name="_Toc5610282"/>
      <w:bookmarkStart w:id="44" w:name="_Toc99178788"/>
      <w:r w:rsidRPr="007D3709">
        <w:rPr>
          <w:b/>
          <w:sz w:val="24"/>
          <w:szCs w:val="24"/>
        </w:rPr>
        <w:t>A.</w:t>
      </w:r>
      <w:r w:rsidR="004B4AEA" w:rsidRPr="00F93AF8">
        <w:rPr>
          <w:b/>
          <w:sz w:val="24"/>
          <w:szCs w:val="24"/>
        </w:rPr>
        <w:t>11</w:t>
      </w:r>
      <w:r w:rsidR="008D20C5" w:rsidRPr="00F93AF8">
        <w:rPr>
          <w:b/>
          <w:sz w:val="24"/>
          <w:szCs w:val="24"/>
        </w:rPr>
        <w:tab/>
        <w:t>Justification for Sensitive Questions</w:t>
      </w:r>
      <w:bookmarkEnd w:id="41"/>
      <w:bookmarkEnd w:id="42"/>
      <w:bookmarkEnd w:id="43"/>
      <w:bookmarkEnd w:id="44"/>
    </w:p>
    <w:p w14:paraId="07CD02AD" w14:textId="77777777" w:rsidR="00FC03D7" w:rsidRPr="00AA01E2" w:rsidRDefault="00FC03D7" w:rsidP="00323930">
      <w:pPr>
        <w:pStyle w:val="BodyTextIndent3"/>
        <w:tabs>
          <w:tab w:val="clear" w:pos="990"/>
          <w:tab w:val="left" w:pos="720"/>
          <w:tab w:val="left" w:pos="1080"/>
        </w:tabs>
        <w:spacing w:line="480" w:lineRule="auto"/>
        <w:ind w:left="0" w:firstLine="0"/>
        <w:jc w:val="both"/>
        <w:rPr>
          <w:sz w:val="24"/>
          <w:szCs w:val="24"/>
        </w:rPr>
      </w:pPr>
      <w:r w:rsidRPr="00F93AF8">
        <w:rPr>
          <w:sz w:val="24"/>
          <w:szCs w:val="24"/>
        </w:rPr>
        <w:tab/>
      </w:r>
      <w:r w:rsidR="008439CE">
        <w:rPr>
          <w:sz w:val="24"/>
          <w:szCs w:val="24"/>
        </w:rPr>
        <w:t>T</w:t>
      </w:r>
      <w:r w:rsidRPr="00F93AF8">
        <w:rPr>
          <w:sz w:val="24"/>
          <w:szCs w:val="24"/>
        </w:rPr>
        <w:t xml:space="preserve">here are no sensitive questions included in the proposed guidelines. </w:t>
      </w:r>
    </w:p>
    <w:p w14:paraId="5EEC572D" w14:textId="77777777" w:rsidR="003E3ABB" w:rsidRPr="007D3709" w:rsidRDefault="004B4AEA" w:rsidP="00F93AF8">
      <w:pPr>
        <w:pStyle w:val="Heading2"/>
        <w:tabs>
          <w:tab w:val="clear" w:pos="1152"/>
          <w:tab w:val="left" w:pos="450"/>
        </w:tabs>
        <w:spacing w:after="0" w:line="480" w:lineRule="auto"/>
        <w:ind w:left="720" w:hanging="720"/>
        <w:jc w:val="left"/>
        <w:rPr>
          <w:szCs w:val="24"/>
        </w:rPr>
      </w:pPr>
      <w:bookmarkStart w:id="45" w:name="A12"/>
      <w:bookmarkStart w:id="46" w:name="_Toc443881753"/>
      <w:bookmarkStart w:id="47" w:name="_Toc451592242"/>
      <w:bookmarkStart w:id="48" w:name="_Toc5610283"/>
      <w:bookmarkStart w:id="49" w:name="_Toc99178789"/>
      <w:r w:rsidRPr="00AA01E2">
        <w:rPr>
          <w:szCs w:val="24"/>
        </w:rPr>
        <w:t>A.12</w:t>
      </w:r>
      <w:bookmarkEnd w:id="45"/>
      <w:r w:rsidR="00D330FF" w:rsidRPr="00AA01E2">
        <w:rPr>
          <w:szCs w:val="24"/>
        </w:rPr>
        <w:tab/>
      </w:r>
      <w:r w:rsidR="008D20C5" w:rsidRPr="00AA01E2">
        <w:rPr>
          <w:szCs w:val="24"/>
        </w:rPr>
        <w:t xml:space="preserve">Estimates of Annualized </w:t>
      </w:r>
      <w:r w:rsidR="00F27C82" w:rsidRPr="00AA01E2">
        <w:rPr>
          <w:szCs w:val="24"/>
        </w:rPr>
        <w:t xml:space="preserve">Burden </w:t>
      </w:r>
      <w:r w:rsidR="008D20C5" w:rsidRPr="00AA01E2">
        <w:rPr>
          <w:szCs w:val="24"/>
        </w:rPr>
        <w:t>Hour</w:t>
      </w:r>
      <w:r w:rsidR="00F27C82" w:rsidRPr="00AA01E2">
        <w:rPr>
          <w:szCs w:val="24"/>
        </w:rPr>
        <w:t>s and</w:t>
      </w:r>
      <w:r w:rsidR="008D20C5" w:rsidRPr="00AA01E2">
        <w:rPr>
          <w:szCs w:val="24"/>
        </w:rPr>
        <w:t xml:space="preserve"> Costs</w:t>
      </w:r>
      <w:bookmarkEnd w:id="46"/>
      <w:bookmarkEnd w:id="47"/>
      <w:bookmarkEnd w:id="48"/>
      <w:bookmarkEnd w:id="49"/>
      <w:r w:rsidR="003E3ABB" w:rsidRPr="007D3709">
        <w:rPr>
          <w:szCs w:val="24"/>
        </w:rPr>
        <w:t xml:space="preserve"> </w:t>
      </w:r>
    </w:p>
    <w:p w14:paraId="2BD93942" w14:textId="377672E3" w:rsidR="004B673D" w:rsidRPr="008B0071" w:rsidRDefault="008A3312" w:rsidP="00BA2898">
      <w:pPr>
        <w:pStyle w:val="P1-StandPara"/>
        <w:rPr>
          <w:sz w:val="24"/>
          <w:szCs w:val="24"/>
        </w:rPr>
      </w:pPr>
      <w:r w:rsidRPr="008B0071">
        <w:rPr>
          <w:sz w:val="24"/>
          <w:szCs w:val="24"/>
        </w:rPr>
        <w:t xml:space="preserve">The </w:t>
      </w:r>
      <w:r w:rsidR="00975605">
        <w:rPr>
          <w:sz w:val="24"/>
          <w:szCs w:val="24"/>
        </w:rPr>
        <w:t xml:space="preserve">6 month report is estimated to take 1.5 hours per report </w:t>
      </w:r>
      <w:r w:rsidR="00975605">
        <w:rPr>
          <w:b/>
          <w:sz w:val="24"/>
          <w:szCs w:val="24"/>
        </w:rPr>
        <w:t xml:space="preserve">(Attachment 1A) </w:t>
      </w:r>
      <w:r w:rsidR="00975605">
        <w:rPr>
          <w:sz w:val="24"/>
          <w:szCs w:val="24"/>
        </w:rPr>
        <w:t xml:space="preserve">and the 12 month report </w:t>
      </w:r>
      <w:r w:rsidR="001A6BE7">
        <w:rPr>
          <w:b/>
          <w:sz w:val="24"/>
          <w:szCs w:val="24"/>
        </w:rPr>
        <w:t xml:space="preserve">(Attachment 1B) </w:t>
      </w:r>
      <w:r w:rsidR="00975605">
        <w:rPr>
          <w:sz w:val="24"/>
          <w:szCs w:val="24"/>
        </w:rPr>
        <w:t xml:space="preserve">is estimated to take </w:t>
      </w:r>
      <w:r w:rsidR="00055A65">
        <w:rPr>
          <w:sz w:val="24"/>
          <w:szCs w:val="24"/>
        </w:rPr>
        <w:t>four</w:t>
      </w:r>
      <w:r w:rsidRPr="008B0071">
        <w:rPr>
          <w:sz w:val="24"/>
          <w:szCs w:val="24"/>
        </w:rPr>
        <w:t xml:space="preserve"> hour</w:t>
      </w:r>
      <w:r w:rsidR="00975605">
        <w:rPr>
          <w:sz w:val="24"/>
          <w:szCs w:val="24"/>
        </w:rPr>
        <w:t>s</w:t>
      </w:r>
      <w:r w:rsidRPr="008B0071">
        <w:rPr>
          <w:sz w:val="24"/>
          <w:szCs w:val="24"/>
        </w:rPr>
        <w:t xml:space="preserve"> per report</w:t>
      </w:r>
      <w:r w:rsidR="00975605">
        <w:rPr>
          <w:sz w:val="24"/>
          <w:szCs w:val="24"/>
        </w:rPr>
        <w:t xml:space="preserve"> since it requires an additional overview that is not required by the 6 month report.  These</w:t>
      </w:r>
      <w:r w:rsidRPr="008B0071">
        <w:rPr>
          <w:sz w:val="24"/>
          <w:szCs w:val="24"/>
        </w:rPr>
        <w:t xml:space="preserve"> estimate</w:t>
      </w:r>
      <w:r w:rsidR="00975605">
        <w:rPr>
          <w:sz w:val="24"/>
          <w:szCs w:val="24"/>
        </w:rPr>
        <w:t>s</w:t>
      </w:r>
      <w:r w:rsidRPr="008B0071">
        <w:rPr>
          <w:sz w:val="24"/>
          <w:szCs w:val="24"/>
        </w:rPr>
        <w:t xml:space="preserve"> include time to gather information, most of which should already exist</w:t>
      </w:r>
      <w:r w:rsidR="008439CE">
        <w:rPr>
          <w:sz w:val="24"/>
          <w:szCs w:val="24"/>
        </w:rPr>
        <w:t>s</w:t>
      </w:r>
      <w:r w:rsidRPr="008B0071">
        <w:rPr>
          <w:sz w:val="24"/>
          <w:szCs w:val="24"/>
        </w:rPr>
        <w:t xml:space="preserve"> (e.g., </w:t>
      </w:r>
      <w:r w:rsidR="00955450" w:rsidRPr="008B0071">
        <w:rPr>
          <w:sz w:val="24"/>
          <w:szCs w:val="24"/>
        </w:rPr>
        <w:t>records of patient recruitment</w:t>
      </w:r>
      <w:r w:rsidR="00975605">
        <w:rPr>
          <w:sz w:val="24"/>
          <w:szCs w:val="24"/>
        </w:rPr>
        <w:t>, accomplishments, publications, etc.</w:t>
      </w:r>
      <w:r w:rsidRPr="008B0071">
        <w:rPr>
          <w:sz w:val="24"/>
          <w:szCs w:val="24"/>
        </w:rPr>
        <w:t xml:space="preserve">) but some of which may be collected from other members of </w:t>
      </w:r>
      <w:r w:rsidR="00955450" w:rsidRPr="008B0071">
        <w:rPr>
          <w:sz w:val="24"/>
          <w:szCs w:val="24"/>
        </w:rPr>
        <w:t>the collaborations</w:t>
      </w:r>
      <w:r w:rsidRPr="008B0071">
        <w:rPr>
          <w:sz w:val="24"/>
          <w:szCs w:val="24"/>
        </w:rPr>
        <w:t xml:space="preserve"> (e.g., </w:t>
      </w:r>
      <w:r w:rsidR="00955450" w:rsidRPr="008B0071">
        <w:rPr>
          <w:sz w:val="24"/>
          <w:szCs w:val="24"/>
        </w:rPr>
        <w:t xml:space="preserve">progress on specific </w:t>
      </w:r>
      <w:r w:rsidR="00975605">
        <w:rPr>
          <w:sz w:val="24"/>
          <w:szCs w:val="24"/>
        </w:rPr>
        <w:t>objectives</w:t>
      </w:r>
      <w:r w:rsidRPr="008B0071">
        <w:rPr>
          <w:sz w:val="24"/>
          <w:szCs w:val="24"/>
        </w:rPr>
        <w:t xml:space="preserve">). The estimate is based on the time </w:t>
      </w:r>
      <w:r w:rsidRPr="008B0071">
        <w:rPr>
          <w:sz w:val="24"/>
          <w:szCs w:val="24"/>
        </w:rPr>
        <w:lastRenderedPageBreak/>
        <w:t xml:space="preserve">necessary to </w:t>
      </w:r>
      <w:r w:rsidR="00955450" w:rsidRPr="008B0071">
        <w:rPr>
          <w:sz w:val="24"/>
          <w:szCs w:val="24"/>
        </w:rPr>
        <w:t>complete the report</w:t>
      </w:r>
      <w:r w:rsidR="002108F1">
        <w:rPr>
          <w:sz w:val="24"/>
          <w:szCs w:val="24"/>
        </w:rPr>
        <w:t>s</w:t>
      </w:r>
      <w:r w:rsidR="00955450" w:rsidRPr="008B0071">
        <w:rPr>
          <w:sz w:val="24"/>
          <w:szCs w:val="24"/>
        </w:rPr>
        <w:t xml:space="preserve"> </w:t>
      </w:r>
      <w:r w:rsidR="00955450" w:rsidRPr="00975605">
        <w:rPr>
          <w:sz w:val="24"/>
          <w:szCs w:val="24"/>
        </w:rPr>
        <w:t>(</w:t>
      </w:r>
      <w:r w:rsidR="00955450" w:rsidRPr="00975605">
        <w:rPr>
          <w:b/>
          <w:sz w:val="24"/>
          <w:szCs w:val="24"/>
        </w:rPr>
        <w:t xml:space="preserve">Attachments </w:t>
      </w:r>
      <w:r w:rsidR="00975605" w:rsidRPr="00975605">
        <w:rPr>
          <w:b/>
          <w:sz w:val="24"/>
          <w:szCs w:val="24"/>
        </w:rPr>
        <w:t>1A-1B</w:t>
      </w:r>
      <w:r w:rsidR="00955450" w:rsidRPr="00975605">
        <w:rPr>
          <w:b/>
          <w:sz w:val="24"/>
          <w:szCs w:val="24"/>
        </w:rPr>
        <w:t>)</w:t>
      </w:r>
      <w:r w:rsidR="00955450" w:rsidRPr="00975605">
        <w:rPr>
          <w:sz w:val="24"/>
          <w:szCs w:val="24"/>
        </w:rPr>
        <w:t>.</w:t>
      </w:r>
      <w:r w:rsidRPr="00975605">
        <w:rPr>
          <w:sz w:val="24"/>
          <w:szCs w:val="24"/>
        </w:rPr>
        <w:t xml:space="preserve"> </w:t>
      </w:r>
      <w:r w:rsidR="00975605">
        <w:rPr>
          <w:sz w:val="24"/>
          <w:szCs w:val="24"/>
        </w:rPr>
        <w:t xml:space="preserve"> </w:t>
      </w:r>
      <w:r w:rsidR="001C13D5" w:rsidRPr="008B0071">
        <w:rPr>
          <w:sz w:val="24"/>
          <w:szCs w:val="24"/>
        </w:rPr>
        <w:t>In many cases, we expect the time to prepare to be significantly shorter, since similar narratives will be prepared by the investigators for grant applications, research group homepages and internal reports, but the estimates given should be sufficient even for a report</w:t>
      </w:r>
      <w:r w:rsidR="007D1D0E" w:rsidRPr="008B0071">
        <w:rPr>
          <w:sz w:val="24"/>
          <w:szCs w:val="24"/>
        </w:rPr>
        <w:t xml:space="preserve"> that does not copy narrative from other sources. </w:t>
      </w:r>
      <w:r w:rsidR="004B673D" w:rsidRPr="008B0071">
        <w:rPr>
          <w:sz w:val="24"/>
          <w:szCs w:val="24"/>
        </w:rPr>
        <w:t xml:space="preserve">The </w:t>
      </w:r>
      <w:r w:rsidR="00AA01E2" w:rsidRPr="008B0071">
        <w:rPr>
          <w:sz w:val="24"/>
          <w:szCs w:val="24"/>
        </w:rPr>
        <w:t xml:space="preserve">annualized </w:t>
      </w:r>
      <w:r w:rsidR="004B673D" w:rsidRPr="008B0071">
        <w:rPr>
          <w:sz w:val="24"/>
          <w:szCs w:val="24"/>
        </w:rPr>
        <w:t xml:space="preserve">estimate of respondent burden is </w:t>
      </w:r>
      <w:r w:rsidR="00176A72">
        <w:rPr>
          <w:sz w:val="24"/>
          <w:szCs w:val="24"/>
        </w:rPr>
        <w:t>83</w:t>
      </w:r>
      <w:r w:rsidR="00AA01E2" w:rsidRPr="00055A65">
        <w:rPr>
          <w:sz w:val="24"/>
          <w:szCs w:val="24"/>
        </w:rPr>
        <w:t xml:space="preserve"> </w:t>
      </w:r>
      <w:r w:rsidR="007D330D" w:rsidRPr="00055A65">
        <w:rPr>
          <w:sz w:val="24"/>
          <w:szCs w:val="24"/>
        </w:rPr>
        <w:t>hours</w:t>
      </w:r>
      <w:r w:rsidR="00055A65">
        <w:rPr>
          <w:sz w:val="24"/>
          <w:szCs w:val="24"/>
        </w:rPr>
        <w:t xml:space="preserve"> to complete each </w:t>
      </w:r>
      <w:r w:rsidR="004B673D" w:rsidRPr="008B0071">
        <w:rPr>
          <w:sz w:val="24"/>
          <w:szCs w:val="24"/>
        </w:rPr>
        <w:t xml:space="preserve">report </w:t>
      </w:r>
      <w:r w:rsidR="00055A65">
        <w:rPr>
          <w:sz w:val="24"/>
          <w:szCs w:val="24"/>
        </w:rPr>
        <w:t>once</w:t>
      </w:r>
      <w:r w:rsidR="004B673D" w:rsidRPr="008B0071">
        <w:rPr>
          <w:sz w:val="24"/>
          <w:szCs w:val="24"/>
        </w:rPr>
        <w:t xml:space="preserve"> a year</w:t>
      </w:r>
      <w:r w:rsidR="00955450" w:rsidRPr="008B0071">
        <w:rPr>
          <w:sz w:val="24"/>
          <w:szCs w:val="24"/>
        </w:rPr>
        <w:t xml:space="preserve"> for 15</w:t>
      </w:r>
      <w:r w:rsidR="00AA01E2" w:rsidRPr="008B0071">
        <w:rPr>
          <w:sz w:val="24"/>
          <w:szCs w:val="24"/>
        </w:rPr>
        <w:t xml:space="preserve"> respondents (Table A.12-1).</w:t>
      </w:r>
      <w:r w:rsidR="00955450" w:rsidRPr="008B0071">
        <w:rPr>
          <w:sz w:val="24"/>
          <w:szCs w:val="24"/>
        </w:rPr>
        <w:t xml:space="preserve">  This amounts to </w:t>
      </w:r>
      <w:r w:rsidR="002108F1">
        <w:rPr>
          <w:sz w:val="24"/>
          <w:szCs w:val="24"/>
        </w:rPr>
        <w:t xml:space="preserve">83 hours annually and </w:t>
      </w:r>
      <w:r w:rsidR="00176A72">
        <w:rPr>
          <w:sz w:val="24"/>
          <w:szCs w:val="24"/>
        </w:rPr>
        <w:t xml:space="preserve">249 </w:t>
      </w:r>
      <w:r w:rsidR="00AA01E2" w:rsidRPr="008B0071">
        <w:rPr>
          <w:sz w:val="24"/>
          <w:szCs w:val="24"/>
        </w:rPr>
        <w:t>hours over three years of information collection</w:t>
      </w:r>
      <w:r w:rsidR="004B673D" w:rsidRPr="008B0071">
        <w:rPr>
          <w:sz w:val="24"/>
          <w:szCs w:val="24"/>
        </w:rPr>
        <w:t>.</w:t>
      </w:r>
      <w:r w:rsidR="00A43214" w:rsidRPr="008B0071">
        <w:rPr>
          <w:sz w:val="24"/>
          <w:szCs w:val="24"/>
        </w:rPr>
        <w:t xml:space="preserve"> </w:t>
      </w:r>
    </w:p>
    <w:p w14:paraId="47765FA2" w14:textId="735AC5E7" w:rsidR="00296150" w:rsidRPr="00CA1887" w:rsidRDefault="00502000" w:rsidP="00296150">
      <w:pPr>
        <w:pStyle w:val="P1-StandPara"/>
        <w:ind w:firstLine="0"/>
        <w:rPr>
          <w:color w:val="000000"/>
          <w:sz w:val="24"/>
          <w:szCs w:val="24"/>
        </w:rPr>
      </w:pPr>
      <w:r w:rsidRPr="008B0071">
        <w:rPr>
          <w:sz w:val="24"/>
          <w:szCs w:val="24"/>
        </w:rPr>
        <w:t xml:space="preserve">The annualized cost </w:t>
      </w:r>
      <w:r w:rsidR="00634F3C" w:rsidRPr="008B0071">
        <w:rPr>
          <w:sz w:val="24"/>
          <w:szCs w:val="24"/>
        </w:rPr>
        <w:t>to the respondents is $</w:t>
      </w:r>
      <w:r w:rsidR="008B0071" w:rsidRPr="008B0071">
        <w:rPr>
          <w:sz w:val="24"/>
          <w:szCs w:val="24"/>
        </w:rPr>
        <w:t>3,</w:t>
      </w:r>
      <w:r w:rsidR="00055A65">
        <w:rPr>
          <w:sz w:val="24"/>
          <w:szCs w:val="24"/>
        </w:rPr>
        <w:t>578</w:t>
      </w:r>
      <w:r w:rsidR="008B0071" w:rsidRPr="008B0071">
        <w:rPr>
          <w:sz w:val="24"/>
          <w:szCs w:val="24"/>
        </w:rPr>
        <w:t>.</w:t>
      </w:r>
      <w:r w:rsidR="00055A65">
        <w:rPr>
          <w:sz w:val="24"/>
          <w:szCs w:val="24"/>
        </w:rPr>
        <w:t>85</w:t>
      </w:r>
      <w:r w:rsidR="008B0071" w:rsidRPr="008B0071">
        <w:rPr>
          <w:sz w:val="24"/>
          <w:szCs w:val="24"/>
        </w:rPr>
        <w:t xml:space="preserve"> </w:t>
      </w:r>
      <w:r w:rsidR="00634F3C" w:rsidRPr="008B0071">
        <w:rPr>
          <w:sz w:val="24"/>
          <w:szCs w:val="24"/>
        </w:rPr>
        <w:t>using an estimated value</w:t>
      </w:r>
      <w:r w:rsidRPr="008B0071">
        <w:rPr>
          <w:sz w:val="24"/>
          <w:szCs w:val="24"/>
        </w:rPr>
        <w:t xml:space="preserve"> of the principal investigators’</w:t>
      </w:r>
      <w:r w:rsidR="00634F3C" w:rsidRPr="008B0071">
        <w:rPr>
          <w:sz w:val="24"/>
          <w:szCs w:val="24"/>
        </w:rPr>
        <w:t xml:space="preserve"> time of</w:t>
      </w:r>
      <w:r w:rsidR="008B0071" w:rsidRPr="008B0071">
        <w:rPr>
          <w:sz w:val="24"/>
          <w:szCs w:val="24"/>
        </w:rPr>
        <w:t xml:space="preserve"> $43.38</w:t>
      </w:r>
      <w:r w:rsidRPr="008B0071">
        <w:rPr>
          <w:sz w:val="24"/>
          <w:szCs w:val="24"/>
        </w:rPr>
        <w:t>/hr</w:t>
      </w:r>
      <w:r w:rsidR="008B0071" w:rsidRPr="008B0071">
        <w:rPr>
          <w:sz w:val="24"/>
          <w:szCs w:val="24"/>
        </w:rPr>
        <w:t>, which amounts to a total of $</w:t>
      </w:r>
      <w:r w:rsidR="00055A65">
        <w:rPr>
          <w:sz w:val="24"/>
          <w:szCs w:val="24"/>
        </w:rPr>
        <w:t>10,736.55</w:t>
      </w:r>
      <w:r w:rsidR="005F001A" w:rsidRPr="008B0071">
        <w:rPr>
          <w:sz w:val="24"/>
          <w:szCs w:val="24"/>
        </w:rPr>
        <w:t xml:space="preserve"> over three years (Table A.12-2)</w:t>
      </w:r>
      <w:r w:rsidRPr="008B0071">
        <w:rPr>
          <w:sz w:val="24"/>
          <w:szCs w:val="24"/>
        </w:rPr>
        <w:t>.</w:t>
      </w:r>
      <w:r w:rsidR="00296150" w:rsidRPr="00296150">
        <w:rPr>
          <w:color w:val="000000"/>
          <w:sz w:val="24"/>
          <w:szCs w:val="24"/>
        </w:rPr>
        <w:t xml:space="preserve"> </w:t>
      </w:r>
      <w:r w:rsidR="00296150" w:rsidRPr="00CA1887">
        <w:rPr>
          <w:color w:val="000000"/>
          <w:sz w:val="24"/>
          <w:szCs w:val="24"/>
        </w:rPr>
        <w:t>The mean hourly wage rate</w:t>
      </w:r>
      <w:r w:rsidR="002108F1">
        <w:rPr>
          <w:color w:val="000000"/>
          <w:sz w:val="24"/>
          <w:szCs w:val="24"/>
        </w:rPr>
        <w:t xml:space="preserve"> was calculated using the occupation “</w:t>
      </w:r>
      <w:r w:rsidR="00296150" w:rsidRPr="00CA1887">
        <w:rPr>
          <w:color w:val="000000"/>
          <w:sz w:val="24"/>
          <w:szCs w:val="24"/>
        </w:rPr>
        <w:t>medical scientists</w:t>
      </w:r>
      <w:r w:rsidR="00296150" w:rsidRPr="008439CE">
        <w:rPr>
          <w:color w:val="000000"/>
          <w:sz w:val="24"/>
          <w:szCs w:val="24"/>
        </w:rPr>
        <w:t xml:space="preserve"> </w:t>
      </w:r>
      <w:r w:rsidR="00296150" w:rsidRPr="00CA1887">
        <w:rPr>
          <w:color w:val="000000"/>
          <w:sz w:val="24"/>
          <w:szCs w:val="24"/>
        </w:rPr>
        <w:t>except epidemiologists</w:t>
      </w:r>
      <w:r w:rsidR="002108F1">
        <w:rPr>
          <w:color w:val="000000"/>
          <w:sz w:val="24"/>
          <w:szCs w:val="24"/>
        </w:rPr>
        <w:t>”</w:t>
      </w:r>
      <w:r w:rsidR="00296150">
        <w:rPr>
          <w:color w:val="000000"/>
          <w:sz w:val="24"/>
          <w:szCs w:val="24"/>
        </w:rPr>
        <w:t>, occupation code 19-1042</w:t>
      </w:r>
      <w:r w:rsidR="00296150" w:rsidRPr="00CA1887">
        <w:rPr>
          <w:color w:val="000000"/>
          <w:sz w:val="24"/>
          <w:szCs w:val="24"/>
        </w:rPr>
        <w:t>,</w:t>
      </w:r>
      <w:r w:rsidR="002108F1">
        <w:rPr>
          <w:color w:val="000000"/>
          <w:sz w:val="24"/>
          <w:szCs w:val="24"/>
        </w:rPr>
        <w:t xml:space="preserve"> from the Bureau of Labor Statistics most recent data at</w:t>
      </w:r>
      <w:r w:rsidR="00296150" w:rsidRPr="00CA1887">
        <w:rPr>
          <w:color w:val="000000"/>
          <w:sz w:val="24"/>
          <w:szCs w:val="24"/>
        </w:rPr>
        <w:t xml:space="preserve"> </w:t>
      </w:r>
      <w:hyperlink r:id="rId12" w:anchor="19-0000" w:history="1">
        <w:r w:rsidR="00296150" w:rsidRPr="008439CE">
          <w:rPr>
            <w:rStyle w:val="Hyperlink"/>
            <w:sz w:val="24"/>
            <w:szCs w:val="24"/>
          </w:rPr>
          <w:t>http://www.bls.gov/oes/current/oes_nat.htm#19-0000</w:t>
        </w:r>
      </w:hyperlink>
      <w:r w:rsidR="00296150">
        <w:rPr>
          <w:color w:val="000000"/>
          <w:sz w:val="24"/>
          <w:szCs w:val="24"/>
        </w:rPr>
        <w:t>.</w:t>
      </w:r>
      <w:r w:rsidR="00296150" w:rsidRPr="00CA1887">
        <w:rPr>
          <w:color w:val="000000"/>
          <w:sz w:val="24"/>
          <w:szCs w:val="24"/>
        </w:rPr>
        <w:t xml:space="preserve"> </w:t>
      </w:r>
    </w:p>
    <w:p w14:paraId="233FAEB5" w14:textId="77777777" w:rsidR="00502000" w:rsidRPr="008B0071" w:rsidRDefault="00502000" w:rsidP="00BA2898">
      <w:pPr>
        <w:pStyle w:val="P1-StandPara"/>
        <w:rPr>
          <w:sz w:val="24"/>
          <w:szCs w:val="24"/>
        </w:rPr>
      </w:pPr>
    </w:p>
    <w:tbl>
      <w:tblPr>
        <w:tblW w:w="977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442"/>
        <w:gridCol w:w="1443"/>
        <w:gridCol w:w="1821"/>
        <w:gridCol w:w="1882"/>
        <w:gridCol w:w="1670"/>
      </w:tblGrid>
      <w:tr w:rsidR="00055A65" w:rsidRPr="008B0071" w14:paraId="67238DC6" w14:textId="77777777" w:rsidTr="00A1362D">
        <w:trPr>
          <w:trHeight w:val="272"/>
        </w:trPr>
        <w:tc>
          <w:tcPr>
            <w:tcW w:w="9775" w:type="dxa"/>
            <w:gridSpan w:val="6"/>
            <w:tcBorders>
              <w:top w:val="single" w:sz="6" w:space="0" w:color="auto"/>
              <w:left w:val="single" w:sz="6" w:space="0" w:color="auto"/>
              <w:bottom w:val="single" w:sz="6" w:space="0" w:color="auto"/>
              <w:right w:val="single" w:sz="6" w:space="0" w:color="auto"/>
            </w:tcBorders>
          </w:tcPr>
          <w:p w14:paraId="5D1E1BF6" w14:textId="77777777" w:rsidR="00055A65" w:rsidRPr="008B0071" w:rsidRDefault="00055A65" w:rsidP="0004388C">
            <w:pPr>
              <w:pStyle w:val="a"/>
              <w:ind w:left="0"/>
              <w:jc w:val="center"/>
              <w:rPr>
                <w:szCs w:val="24"/>
              </w:rPr>
            </w:pPr>
            <w:r w:rsidRPr="008B0071">
              <w:rPr>
                <w:szCs w:val="24"/>
              </w:rPr>
              <w:t>A.12 - 1   Estimates  of  Annual Burden Hours</w:t>
            </w:r>
          </w:p>
        </w:tc>
      </w:tr>
      <w:tr w:rsidR="000E0C15" w:rsidRPr="008B0071" w14:paraId="3B2717BC" w14:textId="77777777" w:rsidTr="00055A65">
        <w:trPr>
          <w:trHeight w:val="847"/>
        </w:trPr>
        <w:tc>
          <w:tcPr>
            <w:tcW w:w="1517" w:type="dxa"/>
            <w:tcBorders>
              <w:top w:val="single" w:sz="6" w:space="0" w:color="auto"/>
              <w:left w:val="single" w:sz="6" w:space="0" w:color="auto"/>
              <w:bottom w:val="single" w:sz="6" w:space="0" w:color="auto"/>
              <w:right w:val="single" w:sz="6" w:space="0" w:color="auto"/>
            </w:tcBorders>
            <w:vAlign w:val="center"/>
          </w:tcPr>
          <w:p w14:paraId="5A02C3DD" w14:textId="77777777" w:rsidR="000E0C15" w:rsidRPr="008B0071" w:rsidRDefault="000E0C15" w:rsidP="00F21D46">
            <w:pPr>
              <w:spacing w:line="240" w:lineRule="auto"/>
              <w:jc w:val="center"/>
              <w:rPr>
                <w:sz w:val="24"/>
                <w:szCs w:val="24"/>
              </w:rPr>
            </w:pPr>
            <w:r w:rsidRPr="008B0071">
              <w:rPr>
                <w:sz w:val="24"/>
                <w:szCs w:val="24"/>
              </w:rPr>
              <w:t>Type of</w:t>
            </w:r>
          </w:p>
          <w:p w14:paraId="3720D472" w14:textId="77777777" w:rsidR="000E0C15" w:rsidRPr="008B0071" w:rsidRDefault="000E0C15" w:rsidP="00F21D46">
            <w:pPr>
              <w:pStyle w:val="a"/>
              <w:ind w:left="0"/>
              <w:jc w:val="center"/>
              <w:rPr>
                <w:szCs w:val="24"/>
              </w:rPr>
            </w:pPr>
            <w:r w:rsidRPr="008B0071">
              <w:rPr>
                <w:szCs w:val="24"/>
              </w:rPr>
              <w:t>Respondents</w:t>
            </w:r>
          </w:p>
        </w:tc>
        <w:tc>
          <w:tcPr>
            <w:tcW w:w="1442" w:type="dxa"/>
            <w:tcBorders>
              <w:top w:val="single" w:sz="6" w:space="0" w:color="auto"/>
              <w:left w:val="single" w:sz="6" w:space="0" w:color="auto"/>
              <w:bottom w:val="single" w:sz="6" w:space="0" w:color="auto"/>
              <w:right w:val="single" w:sz="6" w:space="0" w:color="auto"/>
            </w:tcBorders>
            <w:vAlign w:val="center"/>
          </w:tcPr>
          <w:p w14:paraId="0182E71E" w14:textId="77777777" w:rsidR="000E0C15" w:rsidRPr="008B0071" w:rsidRDefault="00055A65" w:rsidP="00055A65">
            <w:pPr>
              <w:spacing w:line="240" w:lineRule="auto"/>
              <w:jc w:val="center"/>
              <w:rPr>
                <w:sz w:val="24"/>
                <w:szCs w:val="24"/>
              </w:rPr>
            </w:pPr>
            <w:r>
              <w:rPr>
                <w:sz w:val="24"/>
                <w:szCs w:val="24"/>
              </w:rPr>
              <w:t>Form Name</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15E92B3D" w14:textId="77777777" w:rsidR="000E0C15" w:rsidRPr="008B0071" w:rsidRDefault="000E0C15" w:rsidP="00F21D46">
            <w:pPr>
              <w:spacing w:line="240" w:lineRule="auto"/>
              <w:jc w:val="center"/>
              <w:rPr>
                <w:sz w:val="24"/>
                <w:szCs w:val="24"/>
              </w:rPr>
            </w:pPr>
            <w:r w:rsidRPr="008B0071">
              <w:rPr>
                <w:sz w:val="24"/>
                <w:szCs w:val="24"/>
              </w:rPr>
              <w:t>Number of</w:t>
            </w:r>
          </w:p>
          <w:p w14:paraId="2D2C85A0" w14:textId="77777777" w:rsidR="000E0C15" w:rsidRPr="008B0071" w:rsidRDefault="000E0C15" w:rsidP="00F21D46">
            <w:pPr>
              <w:pStyle w:val="a"/>
              <w:ind w:left="0"/>
              <w:jc w:val="center"/>
              <w:rPr>
                <w:szCs w:val="24"/>
              </w:rPr>
            </w:pPr>
            <w:r w:rsidRPr="008B0071">
              <w:rPr>
                <w:szCs w:val="24"/>
              </w:rPr>
              <w:t>Respondents</w:t>
            </w:r>
          </w:p>
        </w:tc>
        <w:tc>
          <w:tcPr>
            <w:tcW w:w="1821" w:type="dxa"/>
            <w:tcBorders>
              <w:top w:val="single" w:sz="4" w:space="0" w:color="auto"/>
              <w:left w:val="single" w:sz="6" w:space="0" w:color="auto"/>
              <w:bottom w:val="single" w:sz="4" w:space="0" w:color="auto"/>
              <w:right w:val="single" w:sz="4" w:space="0" w:color="auto"/>
            </w:tcBorders>
            <w:shd w:val="clear" w:color="auto" w:fill="auto"/>
            <w:vAlign w:val="center"/>
          </w:tcPr>
          <w:p w14:paraId="200F0E86" w14:textId="77777777" w:rsidR="000E0C15" w:rsidRPr="008B0071" w:rsidRDefault="000E0C15" w:rsidP="00F21D46">
            <w:pPr>
              <w:spacing w:line="240" w:lineRule="auto"/>
              <w:jc w:val="center"/>
              <w:rPr>
                <w:sz w:val="24"/>
                <w:szCs w:val="24"/>
              </w:rPr>
            </w:pPr>
            <w:r w:rsidRPr="008B0071">
              <w:rPr>
                <w:sz w:val="24"/>
                <w:szCs w:val="24"/>
              </w:rPr>
              <w:t>Number of Responses per Respondent</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CAD0022" w14:textId="77777777" w:rsidR="000E0C15" w:rsidRPr="008B0071" w:rsidRDefault="000E0C15" w:rsidP="00296150">
            <w:pPr>
              <w:pStyle w:val="a"/>
              <w:ind w:left="0"/>
              <w:jc w:val="center"/>
              <w:rPr>
                <w:szCs w:val="24"/>
              </w:rPr>
            </w:pPr>
            <w:r w:rsidRPr="008B0071">
              <w:rPr>
                <w:szCs w:val="24"/>
              </w:rPr>
              <w:t xml:space="preserve">Average Time per Response (in </w:t>
            </w:r>
            <w:r w:rsidR="00296150">
              <w:rPr>
                <w:szCs w:val="24"/>
              </w:rPr>
              <w:t>minutes</w:t>
            </w:r>
            <w:r w:rsidRPr="008B0071">
              <w:rPr>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13EB0B8F" w14:textId="77777777" w:rsidR="000E0C15" w:rsidRPr="008B0071" w:rsidRDefault="000E0C15" w:rsidP="00AB2479">
            <w:pPr>
              <w:pStyle w:val="a"/>
              <w:ind w:left="0"/>
              <w:jc w:val="center"/>
              <w:rPr>
                <w:szCs w:val="24"/>
              </w:rPr>
            </w:pPr>
            <w:r w:rsidRPr="008B0071">
              <w:rPr>
                <w:szCs w:val="24"/>
              </w:rPr>
              <w:t>Total Burden Hours</w:t>
            </w:r>
          </w:p>
        </w:tc>
      </w:tr>
      <w:tr w:rsidR="000E0C15" w:rsidRPr="008B0071" w14:paraId="6F8D1E44" w14:textId="77777777" w:rsidTr="00055A65">
        <w:trPr>
          <w:trHeight w:val="545"/>
        </w:trPr>
        <w:tc>
          <w:tcPr>
            <w:tcW w:w="1517" w:type="dxa"/>
            <w:tcBorders>
              <w:top w:val="single" w:sz="6" w:space="0" w:color="auto"/>
              <w:left w:val="single" w:sz="6" w:space="0" w:color="auto"/>
              <w:bottom w:val="single" w:sz="6" w:space="0" w:color="auto"/>
              <w:right w:val="single" w:sz="6" w:space="0" w:color="auto"/>
            </w:tcBorders>
          </w:tcPr>
          <w:p w14:paraId="65C65645" w14:textId="77777777" w:rsidR="000E0C15" w:rsidRPr="008B0071" w:rsidRDefault="000E0C15" w:rsidP="0004388C">
            <w:pPr>
              <w:pStyle w:val="a"/>
              <w:ind w:left="0"/>
              <w:jc w:val="both"/>
              <w:rPr>
                <w:szCs w:val="24"/>
              </w:rPr>
            </w:pPr>
            <w:r w:rsidRPr="008B0071">
              <w:rPr>
                <w:szCs w:val="24"/>
              </w:rPr>
              <w:t>Principal Investigators</w:t>
            </w:r>
          </w:p>
        </w:tc>
        <w:tc>
          <w:tcPr>
            <w:tcW w:w="1442" w:type="dxa"/>
            <w:tcBorders>
              <w:top w:val="single" w:sz="6" w:space="0" w:color="auto"/>
              <w:left w:val="single" w:sz="6" w:space="0" w:color="auto"/>
              <w:bottom w:val="single" w:sz="6" w:space="0" w:color="auto"/>
              <w:right w:val="single" w:sz="6" w:space="0" w:color="auto"/>
            </w:tcBorders>
            <w:vAlign w:val="center"/>
          </w:tcPr>
          <w:p w14:paraId="04E88025" w14:textId="77777777" w:rsidR="000E0C15" w:rsidRPr="008B0071" w:rsidRDefault="00055A65" w:rsidP="00055A65">
            <w:pPr>
              <w:pStyle w:val="a"/>
              <w:ind w:left="0"/>
              <w:jc w:val="center"/>
              <w:rPr>
                <w:szCs w:val="24"/>
              </w:rPr>
            </w:pPr>
            <w:r>
              <w:rPr>
                <w:szCs w:val="24"/>
              </w:rPr>
              <w:t>6 Month Report</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6688AE35" w14:textId="77777777" w:rsidR="000E0C15" w:rsidRPr="008B0071" w:rsidRDefault="000E0C15" w:rsidP="0004388C">
            <w:pPr>
              <w:pStyle w:val="a"/>
              <w:ind w:left="0"/>
              <w:jc w:val="center"/>
              <w:rPr>
                <w:szCs w:val="24"/>
              </w:rPr>
            </w:pPr>
            <w:r w:rsidRPr="008B0071">
              <w:rPr>
                <w:szCs w:val="24"/>
              </w:rPr>
              <w:t>15</w:t>
            </w:r>
          </w:p>
        </w:tc>
        <w:tc>
          <w:tcPr>
            <w:tcW w:w="1821" w:type="dxa"/>
            <w:tcBorders>
              <w:top w:val="single" w:sz="4" w:space="0" w:color="auto"/>
              <w:left w:val="single" w:sz="6" w:space="0" w:color="auto"/>
              <w:bottom w:val="single" w:sz="4" w:space="0" w:color="auto"/>
              <w:right w:val="single" w:sz="4" w:space="0" w:color="auto"/>
            </w:tcBorders>
            <w:shd w:val="clear" w:color="auto" w:fill="auto"/>
            <w:vAlign w:val="center"/>
          </w:tcPr>
          <w:p w14:paraId="24900BE2" w14:textId="77777777" w:rsidR="000E0C15" w:rsidRPr="008B0071" w:rsidRDefault="00055A65" w:rsidP="0004388C">
            <w:pPr>
              <w:pStyle w:val="a"/>
              <w:ind w:left="0"/>
              <w:jc w:val="center"/>
              <w:rPr>
                <w:szCs w:val="24"/>
              </w:rPr>
            </w:pPr>
            <w:r>
              <w:rPr>
                <w:szCs w:val="24"/>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524B4C5" w14:textId="77777777" w:rsidR="000E0C15" w:rsidRPr="008B0071" w:rsidRDefault="00110DEC" w:rsidP="0004388C">
            <w:pPr>
              <w:pStyle w:val="a"/>
              <w:ind w:left="0"/>
              <w:jc w:val="center"/>
              <w:rPr>
                <w:szCs w:val="24"/>
              </w:rPr>
            </w:pPr>
            <w:r>
              <w:rPr>
                <w:szCs w:val="24"/>
              </w:rPr>
              <w:t>90/60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C37B0F9" w14:textId="77777777" w:rsidR="000E0C15" w:rsidRPr="008B0071" w:rsidRDefault="00055A65" w:rsidP="0004388C">
            <w:pPr>
              <w:pStyle w:val="a"/>
              <w:ind w:left="0"/>
              <w:jc w:val="center"/>
              <w:rPr>
                <w:szCs w:val="24"/>
              </w:rPr>
            </w:pPr>
            <w:r>
              <w:rPr>
                <w:szCs w:val="24"/>
              </w:rPr>
              <w:t>2</w:t>
            </w:r>
            <w:r w:rsidR="00110DEC">
              <w:rPr>
                <w:szCs w:val="24"/>
              </w:rPr>
              <w:t>3</w:t>
            </w:r>
          </w:p>
        </w:tc>
      </w:tr>
      <w:tr w:rsidR="00055A65" w:rsidRPr="008B0071" w14:paraId="3045D98C" w14:textId="77777777" w:rsidTr="00055A65">
        <w:trPr>
          <w:trHeight w:val="545"/>
        </w:trPr>
        <w:tc>
          <w:tcPr>
            <w:tcW w:w="1517" w:type="dxa"/>
            <w:tcBorders>
              <w:top w:val="single" w:sz="6" w:space="0" w:color="auto"/>
              <w:left w:val="single" w:sz="6" w:space="0" w:color="auto"/>
              <w:bottom w:val="single" w:sz="6" w:space="0" w:color="auto"/>
              <w:right w:val="single" w:sz="6" w:space="0" w:color="auto"/>
            </w:tcBorders>
          </w:tcPr>
          <w:p w14:paraId="13CF006E" w14:textId="77777777" w:rsidR="00055A65" w:rsidRPr="008B0071" w:rsidRDefault="00055A65" w:rsidP="00A1362D">
            <w:pPr>
              <w:pStyle w:val="a"/>
              <w:ind w:left="0"/>
              <w:jc w:val="both"/>
              <w:rPr>
                <w:szCs w:val="24"/>
              </w:rPr>
            </w:pPr>
            <w:r w:rsidRPr="008B0071">
              <w:rPr>
                <w:szCs w:val="24"/>
              </w:rPr>
              <w:t>Principal Investigators</w:t>
            </w:r>
          </w:p>
        </w:tc>
        <w:tc>
          <w:tcPr>
            <w:tcW w:w="1442" w:type="dxa"/>
            <w:tcBorders>
              <w:top w:val="single" w:sz="6" w:space="0" w:color="auto"/>
              <w:left w:val="single" w:sz="6" w:space="0" w:color="auto"/>
              <w:bottom w:val="single" w:sz="6" w:space="0" w:color="auto"/>
              <w:right w:val="single" w:sz="6" w:space="0" w:color="auto"/>
            </w:tcBorders>
          </w:tcPr>
          <w:p w14:paraId="07503AD4" w14:textId="77777777" w:rsidR="00055A65" w:rsidRPr="008B0071" w:rsidRDefault="00055A65" w:rsidP="0004388C">
            <w:pPr>
              <w:pStyle w:val="a"/>
              <w:ind w:left="0"/>
              <w:jc w:val="center"/>
              <w:rPr>
                <w:szCs w:val="24"/>
              </w:rPr>
            </w:pPr>
            <w:r>
              <w:rPr>
                <w:szCs w:val="24"/>
              </w:rPr>
              <w:t>12 Month Report</w:t>
            </w: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2BED99B4" w14:textId="77777777" w:rsidR="00055A65" w:rsidRPr="008B0071" w:rsidRDefault="00055A65" w:rsidP="0004388C">
            <w:pPr>
              <w:pStyle w:val="a"/>
              <w:ind w:left="0"/>
              <w:jc w:val="center"/>
              <w:rPr>
                <w:szCs w:val="24"/>
              </w:rPr>
            </w:pPr>
            <w:r w:rsidRPr="008B0071">
              <w:rPr>
                <w:szCs w:val="24"/>
              </w:rPr>
              <w:t>15</w:t>
            </w:r>
          </w:p>
        </w:tc>
        <w:tc>
          <w:tcPr>
            <w:tcW w:w="1821" w:type="dxa"/>
            <w:tcBorders>
              <w:top w:val="single" w:sz="4" w:space="0" w:color="auto"/>
              <w:left w:val="single" w:sz="6" w:space="0" w:color="auto"/>
              <w:bottom w:val="single" w:sz="4" w:space="0" w:color="auto"/>
              <w:right w:val="single" w:sz="4" w:space="0" w:color="auto"/>
            </w:tcBorders>
            <w:shd w:val="clear" w:color="auto" w:fill="auto"/>
            <w:vAlign w:val="center"/>
          </w:tcPr>
          <w:p w14:paraId="552E5B31" w14:textId="77777777" w:rsidR="00055A65" w:rsidRPr="008B0071" w:rsidRDefault="00055A65" w:rsidP="0004388C">
            <w:pPr>
              <w:pStyle w:val="a"/>
              <w:ind w:left="0"/>
              <w:jc w:val="center"/>
              <w:rPr>
                <w:szCs w:val="24"/>
              </w:rPr>
            </w:pPr>
            <w:r>
              <w:rPr>
                <w:szCs w:val="24"/>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E6D479B" w14:textId="77777777" w:rsidR="00055A65" w:rsidRPr="008B0071" w:rsidRDefault="00100FB3" w:rsidP="0004388C">
            <w:pPr>
              <w:pStyle w:val="a"/>
              <w:ind w:left="0"/>
              <w:jc w:val="center"/>
              <w:rPr>
                <w:szCs w:val="24"/>
              </w:rPr>
            </w:pPr>
            <w:r>
              <w:rPr>
                <w:szCs w:val="24"/>
              </w:rPr>
              <w:t>240/60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160F938" w14:textId="77777777" w:rsidR="00055A65" w:rsidRPr="008B0071" w:rsidRDefault="00055A65" w:rsidP="0004388C">
            <w:pPr>
              <w:pStyle w:val="a"/>
              <w:ind w:left="0"/>
              <w:jc w:val="center"/>
              <w:rPr>
                <w:szCs w:val="24"/>
              </w:rPr>
            </w:pPr>
            <w:r>
              <w:rPr>
                <w:szCs w:val="24"/>
              </w:rPr>
              <w:t>60</w:t>
            </w:r>
          </w:p>
        </w:tc>
      </w:tr>
      <w:tr w:rsidR="00055A65" w:rsidRPr="008B0071" w14:paraId="7F66284A" w14:textId="77777777" w:rsidTr="00055A65">
        <w:trPr>
          <w:trHeight w:val="545"/>
        </w:trPr>
        <w:tc>
          <w:tcPr>
            <w:tcW w:w="1517" w:type="dxa"/>
            <w:tcBorders>
              <w:top w:val="single" w:sz="6" w:space="0" w:color="auto"/>
              <w:left w:val="single" w:sz="6" w:space="0" w:color="auto"/>
              <w:bottom w:val="single" w:sz="6" w:space="0" w:color="auto"/>
              <w:right w:val="single" w:sz="6" w:space="0" w:color="auto"/>
            </w:tcBorders>
            <w:vAlign w:val="center"/>
          </w:tcPr>
          <w:p w14:paraId="02B7A19C" w14:textId="77777777" w:rsidR="00055A65" w:rsidRPr="00EF1D20" w:rsidRDefault="00055A65" w:rsidP="00055A65">
            <w:pPr>
              <w:pStyle w:val="a"/>
              <w:ind w:left="0"/>
              <w:rPr>
                <w:b/>
                <w:szCs w:val="24"/>
              </w:rPr>
            </w:pPr>
            <w:r w:rsidRPr="00EF1D20">
              <w:rPr>
                <w:b/>
                <w:szCs w:val="24"/>
              </w:rPr>
              <w:t>Total</w:t>
            </w:r>
          </w:p>
        </w:tc>
        <w:tc>
          <w:tcPr>
            <w:tcW w:w="1442" w:type="dxa"/>
            <w:tcBorders>
              <w:top w:val="single" w:sz="6" w:space="0" w:color="auto"/>
              <w:left w:val="single" w:sz="6" w:space="0" w:color="auto"/>
              <w:bottom w:val="single" w:sz="6" w:space="0" w:color="auto"/>
              <w:right w:val="single" w:sz="6" w:space="0" w:color="auto"/>
            </w:tcBorders>
          </w:tcPr>
          <w:p w14:paraId="59BF97AA" w14:textId="77777777" w:rsidR="00055A65" w:rsidRPr="00EF1D20" w:rsidRDefault="00055A65" w:rsidP="0004388C">
            <w:pPr>
              <w:pStyle w:val="a"/>
              <w:ind w:left="0"/>
              <w:jc w:val="center"/>
              <w:rPr>
                <w:b/>
                <w:szCs w:val="24"/>
              </w:rPr>
            </w:pPr>
          </w:p>
        </w:tc>
        <w:tc>
          <w:tcPr>
            <w:tcW w:w="1443" w:type="dxa"/>
            <w:tcBorders>
              <w:top w:val="single" w:sz="6" w:space="0" w:color="auto"/>
              <w:left w:val="single" w:sz="6" w:space="0" w:color="auto"/>
              <w:bottom w:val="single" w:sz="6" w:space="0" w:color="auto"/>
              <w:right w:val="single" w:sz="6" w:space="0" w:color="auto"/>
            </w:tcBorders>
            <w:shd w:val="clear" w:color="auto" w:fill="auto"/>
            <w:vAlign w:val="center"/>
          </w:tcPr>
          <w:p w14:paraId="262A453B" w14:textId="77777777" w:rsidR="00055A65" w:rsidRPr="00EF1D20" w:rsidRDefault="00EF1D20" w:rsidP="0004388C">
            <w:pPr>
              <w:pStyle w:val="a"/>
              <w:ind w:left="0"/>
              <w:jc w:val="center"/>
              <w:rPr>
                <w:b/>
                <w:szCs w:val="24"/>
              </w:rPr>
            </w:pPr>
            <w:r w:rsidRPr="00EF1D20">
              <w:rPr>
                <w:b/>
                <w:szCs w:val="24"/>
              </w:rPr>
              <w:t>15</w:t>
            </w:r>
          </w:p>
        </w:tc>
        <w:tc>
          <w:tcPr>
            <w:tcW w:w="1821" w:type="dxa"/>
            <w:tcBorders>
              <w:top w:val="single" w:sz="4" w:space="0" w:color="auto"/>
              <w:left w:val="single" w:sz="6" w:space="0" w:color="auto"/>
              <w:bottom w:val="single" w:sz="4" w:space="0" w:color="auto"/>
              <w:right w:val="single" w:sz="4" w:space="0" w:color="auto"/>
            </w:tcBorders>
            <w:shd w:val="clear" w:color="auto" w:fill="auto"/>
            <w:vAlign w:val="center"/>
          </w:tcPr>
          <w:p w14:paraId="3EAEA533" w14:textId="77777777" w:rsidR="00055A65" w:rsidRPr="00EF1D20" w:rsidRDefault="00055A65" w:rsidP="0004388C">
            <w:pPr>
              <w:pStyle w:val="a"/>
              <w:ind w:left="0"/>
              <w:jc w:val="center"/>
              <w:rPr>
                <w:b/>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D047B48" w14:textId="77777777" w:rsidR="00055A65" w:rsidRPr="00EF1D20" w:rsidRDefault="00055A65" w:rsidP="0004388C">
            <w:pPr>
              <w:pStyle w:val="a"/>
              <w:ind w:left="0"/>
              <w:jc w:val="center"/>
              <w:rPr>
                <w:b/>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3FFA4642" w14:textId="77777777" w:rsidR="00055A65" w:rsidRPr="00EF1D20" w:rsidRDefault="00110DEC" w:rsidP="0004388C">
            <w:pPr>
              <w:pStyle w:val="a"/>
              <w:ind w:left="0"/>
              <w:jc w:val="center"/>
              <w:rPr>
                <w:b/>
                <w:szCs w:val="24"/>
              </w:rPr>
            </w:pPr>
            <w:r>
              <w:rPr>
                <w:b/>
                <w:szCs w:val="24"/>
              </w:rPr>
              <w:t>83</w:t>
            </w:r>
          </w:p>
        </w:tc>
      </w:tr>
    </w:tbl>
    <w:p w14:paraId="0D24A8AE" w14:textId="77777777" w:rsidR="00636A75" w:rsidRPr="008B0071" w:rsidRDefault="00636A75" w:rsidP="0004388C">
      <w:pPr>
        <w:pStyle w:val="P1-StandPara"/>
        <w:spacing w:line="240" w:lineRule="auto"/>
        <w:rPr>
          <w:sz w:val="24"/>
          <w:szCs w:val="24"/>
        </w:rPr>
      </w:pPr>
    </w:p>
    <w:tbl>
      <w:tblPr>
        <w:tblW w:w="0" w:type="auto"/>
        <w:jc w:val="center"/>
        <w:tblInd w:w="-2160" w:type="dxa"/>
        <w:tblBorders>
          <w:insideV w:val="single" w:sz="6" w:space="0" w:color="auto"/>
        </w:tblBorders>
        <w:tblLayout w:type="fixed"/>
        <w:tblCellMar>
          <w:left w:w="120" w:type="dxa"/>
          <w:right w:w="120" w:type="dxa"/>
        </w:tblCellMar>
        <w:tblLook w:val="0000" w:firstRow="0" w:lastRow="0" w:firstColumn="0" w:lastColumn="0" w:noHBand="0" w:noVBand="0"/>
      </w:tblPr>
      <w:tblGrid>
        <w:gridCol w:w="1847"/>
        <w:gridCol w:w="1620"/>
        <w:gridCol w:w="2160"/>
        <w:gridCol w:w="1710"/>
        <w:gridCol w:w="2307"/>
      </w:tblGrid>
      <w:tr w:rsidR="0019453F" w:rsidRPr="008B0071" w14:paraId="73AA8505" w14:textId="77777777" w:rsidTr="003817E1">
        <w:trPr>
          <w:cantSplit/>
          <w:jc w:val="center"/>
        </w:trPr>
        <w:tc>
          <w:tcPr>
            <w:tcW w:w="9644" w:type="dxa"/>
            <w:gridSpan w:val="5"/>
            <w:tcBorders>
              <w:top w:val="single" w:sz="6" w:space="0" w:color="auto"/>
              <w:left w:val="single" w:sz="6" w:space="0" w:color="auto"/>
              <w:bottom w:val="single" w:sz="6" w:space="0" w:color="auto"/>
              <w:right w:val="single" w:sz="6" w:space="0" w:color="auto"/>
            </w:tcBorders>
            <w:shd w:val="clear" w:color="auto" w:fill="auto"/>
          </w:tcPr>
          <w:p w14:paraId="5267D02F" w14:textId="77777777" w:rsidR="0019453F" w:rsidRPr="008B0071" w:rsidRDefault="0019453F" w:rsidP="0004388C">
            <w:pPr>
              <w:spacing w:line="240" w:lineRule="auto"/>
              <w:jc w:val="center"/>
              <w:rPr>
                <w:sz w:val="24"/>
                <w:szCs w:val="24"/>
              </w:rPr>
            </w:pPr>
            <w:r w:rsidRPr="008B0071">
              <w:rPr>
                <w:b/>
                <w:sz w:val="24"/>
                <w:szCs w:val="24"/>
              </w:rPr>
              <w:br w:type="page"/>
            </w:r>
            <w:r w:rsidR="0076505E" w:rsidRPr="008B0071">
              <w:rPr>
                <w:sz w:val="24"/>
                <w:szCs w:val="24"/>
              </w:rPr>
              <w:t>A.12 - 2   Annualized Cost to Respondents</w:t>
            </w:r>
            <w:r w:rsidR="0076505E" w:rsidRPr="008B0071" w:rsidDel="0076505E">
              <w:rPr>
                <w:sz w:val="24"/>
                <w:szCs w:val="24"/>
                <w:bdr w:val="single" w:sz="6" w:space="0" w:color="auto"/>
              </w:rPr>
              <w:t xml:space="preserve"> </w:t>
            </w:r>
          </w:p>
        </w:tc>
      </w:tr>
      <w:tr w:rsidR="00E736C4" w:rsidRPr="008B0071" w14:paraId="110F823A" w14:textId="77777777" w:rsidTr="003817E1">
        <w:trPr>
          <w:cantSplit/>
          <w:trHeight w:val="403"/>
          <w:jc w:val="center"/>
        </w:trPr>
        <w:tc>
          <w:tcPr>
            <w:tcW w:w="1847" w:type="dxa"/>
            <w:tcBorders>
              <w:top w:val="single" w:sz="6" w:space="0" w:color="auto"/>
              <w:left w:val="single" w:sz="6" w:space="0" w:color="auto"/>
              <w:bottom w:val="single" w:sz="6" w:space="0" w:color="auto"/>
            </w:tcBorders>
            <w:shd w:val="clear" w:color="auto" w:fill="FFFFFF"/>
            <w:vAlign w:val="center"/>
          </w:tcPr>
          <w:p w14:paraId="6FBE0ADF" w14:textId="77777777" w:rsidR="00E736C4" w:rsidRPr="008B0071" w:rsidRDefault="00E736C4" w:rsidP="00F21D46">
            <w:pPr>
              <w:spacing w:line="240" w:lineRule="auto"/>
              <w:jc w:val="center"/>
              <w:rPr>
                <w:sz w:val="24"/>
                <w:szCs w:val="24"/>
              </w:rPr>
            </w:pPr>
            <w:r w:rsidRPr="008B0071">
              <w:rPr>
                <w:sz w:val="24"/>
                <w:szCs w:val="24"/>
              </w:rPr>
              <w:t>Type of</w:t>
            </w:r>
          </w:p>
          <w:p w14:paraId="68B4092A" w14:textId="77777777" w:rsidR="00E736C4" w:rsidRPr="008B0071" w:rsidRDefault="00E736C4" w:rsidP="00F21D46">
            <w:pPr>
              <w:spacing w:line="240" w:lineRule="auto"/>
              <w:jc w:val="center"/>
              <w:rPr>
                <w:sz w:val="24"/>
                <w:szCs w:val="24"/>
              </w:rPr>
            </w:pPr>
            <w:r w:rsidRPr="008B0071">
              <w:rPr>
                <w:sz w:val="24"/>
                <w:szCs w:val="24"/>
              </w:rPr>
              <w:t>Respondents</w:t>
            </w:r>
          </w:p>
        </w:tc>
        <w:tc>
          <w:tcPr>
            <w:tcW w:w="1620" w:type="dxa"/>
            <w:tcBorders>
              <w:top w:val="single" w:sz="6" w:space="0" w:color="auto"/>
              <w:bottom w:val="single" w:sz="6" w:space="0" w:color="auto"/>
            </w:tcBorders>
            <w:shd w:val="clear" w:color="auto" w:fill="auto"/>
            <w:vAlign w:val="center"/>
          </w:tcPr>
          <w:p w14:paraId="5DD08FB6" w14:textId="77777777" w:rsidR="00E736C4" w:rsidRPr="008B0071" w:rsidRDefault="00E736C4" w:rsidP="00F21D46">
            <w:pPr>
              <w:spacing w:line="240" w:lineRule="auto"/>
              <w:jc w:val="center"/>
              <w:rPr>
                <w:sz w:val="24"/>
                <w:szCs w:val="24"/>
              </w:rPr>
            </w:pPr>
            <w:r w:rsidRPr="008B0071">
              <w:rPr>
                <w:sz w:val="24"/>
                <w:szCs w:val="24"/>
              </w:rPr>
              <w:t>Number of</w:t>
            </w:r>
          </w:p>
          <w:p w14:paraId="252611D6" w14:textId="77777777" w:rsidR="00E736C4" w:rsidRPr="008B0071" w:rsidRDefault="00E736C4" w:rsidP="00F21D46">
            <w:pPr>
              <w:spacing w:line="240" w:lineRule="auto"/>
              <w:jc w:val="center"/>
              <w:rPr>
                <w:sz w:val="24"/>
                <w:szCs w:val="24"/>
              </w:rPr>
            </w:pPr>
            <w:r w:rsidRPr="008B0071">
              <w:rPr>
                <w:sz w:val="24"/>
                <w:szCs w:val="24"/>
              </w:rPr>
              <w:t>Respondents</w:t>
            </w:r>
          </w:p>
        </w:tc>
        <w:tc>
          <w:tcPr>
            <w:tcW w:w="2160" w:type="dxa"/>
            <w:tcBorders>
              <w:top w:val="single" w:sz="6" w:space="0" w:color="auto"/>
              <w:bottom w:val="single" w:sz="6" w:space="0" w:color="auto"/>
            </w:tcBorders>
            <w:shd w:val="clear" w:color="auto" w:fill="auto"/>
            <w:vAlign w:val="center"/>
          </w:tcPr>
          <w:p w14:paraId="4086F49E" w14:textId="77777777" w:rsidR="00E736C4" w:rsidRPr="008B0071" w:rsidRDefault="00E736C4" w:rsidP="00F21D46">
            <w:pPr>
              <w:pStyle w:val="a"/>
              <w:ind w:left="0"/>
              <w:jc w:val="center"/>
              <w:rPr>
                <w:szCs w:val="24"/>
              </w:rPr>
            </w:pPr>
            <w:r w:rsidRPr="008B0071">
              <w:rPr>
                <w:szCs w:val="24"/>
              </w:rPr>
              <w:t>Total Annual Burden Hours</w:t>
            </w:r>
          </w:p>
        </w:tc>
        <w:tc>
          <w:tcPr>
            <w:tcW w:w="1710" w:type="dxa"/>
            <w:tcBorders>
              <w:top w:val="single" w:sz="6" w:space="0" w:color="auto"/>
              <w:bottom w:val="single" w:sz="6" w:space="0" w:color="auto"/>
            </w:tcBorders>
            <w:shd w:val="clear" w:color="auto" w:fill="auto"/>
            <w:vAlign w:val="center"/>
          </w:tcPr>
          <w:p w14:paraId="14631BE1" w14:textId="77777777" w:rsidR="00E736C4" w:rsidRPr="008B0071" w:rsidRDefault="00E736C4" w:rsidP="00F21D46">
            <w:pPr>
              <w:spacing w:line="240" w:lineRule="auto"/>
              <w:jc w:val="center"/>
              <w:rPr>
                <w:sz w:val="24"/>
                <w:szCs w:val="24"/>
              </w:rPr>
            </w:pPr>
            <w:r w:rsidRPr="008B0071">
              <w:rPr>
                <w:sz w:val="24"/>
                <w:szCs w:val="24"/>
              </w:rPr>
              <w:t>Hourly Wage Rate</w:t>
            </w:r>
            <w:r w:rsidR="008B0071" w:rsidRPr="008B0071">
              <w:rPr>
                <w:sz w:val="24"/>
                <w:szCs w:val="24"/>
              </w:rPr>
              <w:t>*</w:t>
            </w:r>
          </w:p>
        </w:tc>
        <w:tc>
          <w:tcPr>
            <w:tcW w:w="2307" w:type="dxa"/>
            <w:tcBorders>
              <w:top w:val="single" w:sz="6" w:space="0" w:color="auto"/>
              <w:bottom w:val="single" w:sz="6" w:space="0" w:color="auto"/>
              <w:right w:val="single" w:sz="6" w:space="0" w:color="auto"/>
            </w:tcBorders>
            <w:shd w:val="clear" w:color="auto" w:fill="auto"/>
            <w:vAlign w:val="center"/>
          </w:tcPr>
          <w:p w14:paraId="39314F58" w14:textId="77777777" w:rsidR="00E736C4" w:rsidRPr="008B0071" w:rsidRDefault="00E736C4" w:rsidP="00F21D46">
            <w:pPr>
              <w:spacing w:line="240" w:lineRule="auto"/>
              <w:jc w:val="center"/>
              <w:rPr>
                <w:sz w:val="24"/>
                <w:szCs w:val="24"/>
              </w:rPr>
            </w:pPr>
            <w:r w:rsidRPr="008B0071">
              <w:rPr>
                <w:sz w:val="24"/>
                <w:szCs w:val="24"/>
              </w:rPr>
              <w:t>Total Annual Respondent</w:t>
            </w:r>
          </w:p>
          <w:p w14:paraId="33BDBD2F" w14:textId="77777777" w:rsidR="00E736C4" w:rsidRPr="008B0071" w:rsidRDefault="00E736C4" w:rsidP="00F21D46">
            <w:pPr>
              <w:spacing w:line="240" w:lineRule="auto"/>
              <w:jc w:val="center"/>
              <w:rPr>
                <w:sz w:val="24"/>
                <w:szCs w:val="24"/>
              </w:rPr>
            </w:pPr>
            <w:r w:rsidRPr="008B0071">
              <w:rPr>
                <w:sz w:val="24"/>
                <w:szCs w:val="24"/>
              </w:rPr>
              <w:t>Cost</w:t>
            </w:r>
          </w:p>
        </w:tc>
      </w:tr>
      <w:tr w:rsidR="00E736C4" w:rsidRPr="008B0071" w14:paraId="2B92EC01" w14:textId="77777777" w:rsidTr="003817E1">
        <w:trPr>
          <w:cantSplit/>
          <w:trHeight w:val="403"/>
          <w:jc w:val="center"/>
        </w:trPr>
        <w:tc>
          <w:tcPr>
            <w:tcW w:w="1847" w:type="dxa"/>
            <w:tcBorders>
              <w:top w:val="single" w:sz="6" w:space="0" w:color="auto"/>
              <w:left w:val="single" w:sz="6" w:space="0" w:color="auto"/>
              <w:bottom w:val="single" w:sz="6" w:space="0" w:color="auto"/>
            </w:tcBorders>
            <w:shd w:val="clear" w:color="auto" w:fill="FFFFFF"/>
          </w:tcPr>
          <w:p w14:paraId="1B03AFDB" w14:textId="77777777" w:rsidR="00E736C4" w:rsidRPr="008B0071" w:rsidRDefault="008B0071" w:rsidP="0004388C">
            <w:pPr>
              <w:spacing w:line="240" w:lineRule="auto"/>
              <w:rPr>
                <w:sz w:val="24"/>
                <w:szCs w:val="24"/>
              </w:rPr>
            </w:pPr>
            <w:r w:rsidRPr="008B0071">
              <w:rPr>
                <w:szCs w:val="24"/>
              </w:rPr>
              <w:t>Principal Investigators</w:t>
            </w:r>
          </w:p>
        </w:tc>
        <w:tc>
          <w:tcPr>
            <w:tcW w:w="1620" w:type="dxa"/>
            <w:tcBorders>
              <w:top w:val="single" w:sz="6" w:space="0" w:color="auto"/>
              <w:bottom w:val="single" w:sz="6" w:space="0" w:color="auto"/>
            </w:tcBorders>
            <w:shd w:val="clear" w:color="auto" w:fill="auto"/>
            <w:vAlign w:val="center"/>
          </w:tcPr>
          <w:p w14:paraId="777E34A7" w14:textId="77777777" w:rsidR="00E736C4" w:rsidRPr="008B0071" w:rsidRDefault="00955450" w:rsidP="0004388C">
            <w:pPr>
              <w:spacing w:line="240" w:lineRule="auto"/>
              <w:jc w:val="center"/>
              <w:rPr>
                <w:sz w:val="24"/>
                <w:szCs w:val="24"/>
              </w:rPr>
            </w:pPr>
            <w:r w:rsidRPr="008B0071">
              <w:rPr>
                <w:smallCaps/>
                <w:sz w:val="24"/>
                <w:szCs w:val="24"/>
              </w:rPr>
              <w:t>15</w:t>
            </w:r>
          </w:p>
        </w:tc>
        <w:tc>
          <w:tcPr>
            <w:tcW w:w="2160" w:type="dxa"/>
            <w:tcBorders>
              <w:top w:val="single" w:sz="6" w:space="0" w:color="auto"/>
              <w:bottom w:val="single" w:sz="6" w:space="0" w:color="auto"/>
            </w:tcBorders>
            <w:shd w:val="clear" w:color="auto" w:fill="auto"/>
            <w:vAlign w:val="center"/>
          </w:tcPr>
          <w:p w14:paraId="3FB6F18A" w14:textId="77777777" w:rsidR="00E736C4" w:rsidRPr="008B0071" w:rsidRDefault="00D53057" w:rsidP="002D26B5">
            <w:pPr>
              <w:pStyle w:val="a"/>
              <w:ind w:left="0"/>
              <w:jc w:val="center"/>
              <w:rPr>
                <w:szCs w:val="24"/>
              </w:rPr>
            </w:pPr>
            <w:r>
              <w:rPr>
                <w:szCs w:val="24"/>
              </w:rPr>
              <w:t>83</w:t>
            </w:r>
          </w:p>
        </w:tc>
        <w:tc>
          <w:tcPr>
            <w:tcW w:w="1710" w:type="dxa"/>
            <w:tcBorders>
              <w:top w:val="single" w:sz="6" w:space="0" w:color="auto"/>
              <w:bottom w:val="single" w:sz="6" w:space="0" w:color="auto"/>
            </w:tcBorders>
            <w:shd w:val="clear" w:color="auto" w:fill="auto"/>
            <w:vAlign w:val="center"/>
          </w:tcPr>
          <w:p w14:paraId="685D132C" w14:textId="77777777" w:rsidR="00E736C4" w:rsidRPr="008B0071" w:rsidRDefault="00E736C4" w:rsidP="00955450">
            <w:pPr>
              <w:spacing w:line="240" w:lineRule="auto"/>
              <w:jc w:val="center"/>
              <w:rPr>
                <w:sz w:val="24"/>
                <w:szCs w:val="24"/>
              </w:rPr>
            </w:pPr>
            <w:r w:rsidRPr="008B0071">
              <w:rPr>
                <w:smallCaps/>
                <w:sz w:val="24"/>
                <w:szCs w:val="24"/>
              </w:rPr>
              <w:t>$4</w:t>
            </w:r>
            <w:r w:rsidR="00955450" w:rsidRPr="008B0071">
              <w:rPr>
                <w:smallCaps/>
                <w:sz w:val="24"/>
                <w:szCs w:val="24"/>
              </w:rPr>
              <w:t>3.38</w:t>
            </w:r>
          </w:p>
        </w:tc>
        <w:tc>
          <w:tcPr>
            <w:tcW w:w="2307" w:type="dxa"/>
            <w:tcBorders>
              <w:top w:val="single" w:sz="6" w:space="0" w:color="auto"/>
              <w:bottom w:val="single" w:sz="6" w:space="0" w:color="auto"/>
              <w:right w:val="single" w:sz="6" w:space="0" w:color="auto"/>
            </w:tcBorders>
            <w:shd w:val="clear" w:color="auto" w:fill="auto"/>
            <w:vAlign w:val="center"/>
          </w:tcPr>
          <w:p w14:paraId="55B5693B" w14:textId="77777777" w:rsidR="00E736C4" w:rsidRPr="008B0071" w:rsidRDefault="00E736C4" w:rsidP="00296150">
            <w:pPr>
              <w:spacing w:line="240" w:lineRule="auto"/>
              <w:jc w:val="center"/>
              <w:rPr>
                <w:sz w:val="24"/>
                <w:szCs w:val="24"/>
              </w:rPr>
            </w:pPr>
            <w:r w:rsidRPr="008B0071">
              <w:rPr>
                <w:smallCaps/>
                <w:sz w:val="24"/>
                <w:szCs w:val="24"/>
              </w:rPr>
              <w:t>$3,</w:t>
            </w:r>
            <w:r w:rsidR="00296150">
              <w:rPr>
                <w:smallCaps/>
                <w:sz w:val="24"/>
                <w:szCs w:val="24"/>
              </w:rPr>
              <w:t>600.54</w:t>
            </w:r>
          </w:p>
        </w:tc>
      </w:tr>
    </w:tbl>
    <w:p w14:paraId="3E74A799" w14:textId="77777777" w:rsidR="008B0071" w:rsidRPr="00CA1887" w:rsidRDefault="008B0071" w:rsidP="008B0071">
      <w:pPr>
        <w:pStyle w:val="P1-StandPara"/>
        <w:spacing w:line="240" w:lineRule="auto"/>
        <w:ind w:firstLine="0"/>
        <w:rPr>
          <w:color w:val="000000"/>
          <w:sz w:val="24"/>
          <w:szCs w:val="24"/>
        </w:rPr>
      </w:pPr>
    </w:p>
    <w:p w14:paraId="1C4E6C21" w14:textId="77777777" w:rsidR="008D20C5" w:rsidRPr="00AA01E2" w:rsidRDefault="004B4AEA" w:rsidP="004B4AEA">
      <w:pPr>
        <w:pStyle w:val="Heading2"/>
        <w:tabs>
          <w:tab w:val="clear" w:pos="1152"/>
          <w:tab w:val="left" w:pos="720"/>
        </w:tabs>
        <w:spacing w:after="0" w:line="480" w:lineRule="auto"/>
        <w:rPr>
          <w:szCs w:val="24"/>
        </w:rPr>
      </w:pPr>
      <w:bookmarkStart w:id="50" w:name="A13"/>
      <w:bookmarkStart w:id="51" w:name="_Toc443881756"/>
      <w:bookmarkStart w:id="52" w:name="_Toc451592243"/>
      <w:bookmarkStart w:id="53" w:name="_Toc5610284"/>
      <w:bookmarkStart w:id="54" w:name="_Toc99178790"/>
      <w:r w:rsidRPr="00F93AF8">
        <w:rPr>
          <w:szCs w:val="24"/>
        </w:rPr>
        <w:lastRenderedPageBreak/>
        <w:t>A.13</w:t>
      </w:r>
      <w:bookmarkEnd w:id="50"/>
      <w:r w:rsidR="008D20C5" w:rsidRPr="00F93AF8">
        <w:rPr>
          <w:szCs w:val="24"/>
        </w:rPr>
        <w:tab/>
        <w:t>Estimate</w:t>
      </w:r>
      <w:r w:rsidR="00F27C82" w:rsidRPr="00F93AF8">
        <w:rPr>
          <w:szCs w:val="24"/>
        </w:rPr>
        <w:t>s</w:t>
      </w:r>
      <w:r w:rsidR="008D20C5" w:rsidRPr="00F93AF8">
        <w:rPr>
          <w:szCs w:val="24"/>
        </w:rPr>
        <w:t xml:space="preserve"> of Other Total Annual Cost Burden to Respondents </w:t>
      </w:r>
      <w:r w:rsidR="00F27C82" w:rsidRPr="00AA01E2">
        <w:rPr>
          <w:szCs w:val="24"/>
        </w:rPr>
        <w:t>and</w:t>
      </w:r>
      <w:r w:rsidR="008D20C5" w:rsidRPr="00AA01E2">
        <w:rPr>
          <w:szCs w:val="24"/>
        </w:rPr>
        <w:t xml:space="preserve"> Record</w:t>
      </w:r>
      <w:r w:rsidR="00F27C82" w:rsidRPr="00AA01E2">
        <w:rPr>
          <w:szCs w:val="24"/>
        </w:rPr>
        <w:t xml:space="preserve"> K</w:t>
      </w:r>
      <w:r w:rsidR="008D20C5" w:rsidRPr="00AA01E2">
        <w:rPr>
          <w:szCs w:val="24"/>
        </w:rPr>
        <w:t>eepers</w:t>
      </w:r>
      <w:bookmarkEnd w:id="51"/>
      <w:bookmarkEnd w:id="52"/>
      <w:bookmarkEnd w:id="53"/>
      <w:bookmarkEnd w:id="54"/>
    </w:p>
    <w:p w14:paraId="0796F5C6" w14:textId="77777777" w:rsidR="007E3BC5" w:rsidRDefault="007E3BC5" w:rsidP="007E3BC5">
      <w:pPr>
        <w:pStyle w:val="P1-StandPara"/>
        <w:rPr>
          <w:sz w:val="24"/>
          <w:szCs w:val="24"/>
        </w:rPr>
      </w:pPr>
      <w:r w:rsidRPr="007D3709">
        <w:rPr>
          <w:sz w:val="24"/>
          <w:szCs w:val="24"/>
        </w:rPr>
        <w:t>There are no direct costs to respondents other than their time to participate.</w:t>
      </w:r>
    </w:p>
    <w:p w14:paraId="455F60DB" w14:textId="77777777" w:rsidR="008D20C5" w:rsidRPr="007D3709" w:rsidRDefault="004B4AEA" w:rsidP="004B4AEA">
      <w:pPr>
        <w:pStyle w:val="Heading2"/>
        <w:tabs>
          <w:tab w:val="clear" w:pos="1152"/>
          <w:tab w:val="left" w:pos="720"/>
        </w:tabs>
        <w:spacing w:after="0" w:line="480" w:lineRule="auto"/>
        <w:ind w:left="0" w:firstLine="0"/>
        <w:rPr>
          <w:szCs w:val="24"/>
        </w:rPr>
      </w:pPr>
      <w:bookmarkStart w:id="55" w:name="_Toc443881757"/>
      <w:bookmarkStart w:id="56" w:name="_Toc451592244"/>
      <w:bookmarkStart w:id="57" w:name="_Toc5610285"/>
      <w:bookmarkStart w:id="58" w:name="_Toc99178791"/>
      <w:r w:rsidRPr="007D3709">
        <w:rPr>
          <w:szCs w:val="24"/>
        </w:rPr>
        <w:t>A.</w:t>
      </w:r>
      <w:r w:rsidR="008D20C5" w:rsidRPr="007D3709">
        <w:rPr>
          <w:szCs w:val="24"/>
        </w:rPr>
        <w:t>14</w:t>
      </w:r>
      <w:r w:rsidR="008D20C5" w:rsidRPr="007D3709">
        <w:rPr>
          <w:szCs w:val="24"/>
        </w:rPr>
        <w:tab/>
        <w:t>Annualized Cost to the Federal Government</w:t>
      </w:r>
      <w:bookmarkEnd w:id="55"/>
      <w:bookmarkEnd w:id="56"/>
      <w:bookmarkEnd w:id="57"/>
      <w:bookmarkEnd w:id="58"/>
      <w:r w:rsidR="008D20C5" w:rsidRPr="007D3709">
        <w:rPr>
          <w:szCs w:val="24"/>
        </w:rPr>
        <w:t xml:space="preserve">  </w:t>
      </w:r>
    </w:p>
    <w:p w14:paraId="771386AD" w14:textId="77777777" w:rsidR="008B714A" w:rsidRPr="000242C2" w:rsidRDefault="00C2326E" w:rsidP="001063AF">
      <w:pPr>
        <w:pStyle w:val="P1-StandPara"/>
        <w:rPr>
          <w:sz w:val="24"/>
          <w:szCs w:val="24"/>
        </w:rPr>
      </w:pPr>
      <w:r w:rsidRPr="009E7764">
        <w:rPr>
          <w:sz w:val="24"/>
          <w:szCs w:val="24"/>
        </w:rPr>
        <w:t>The cost of this information collection to the federal governmen</w:t>
      </w:r>
      <w:r w:rsidR="000056EC" w:rsidRPr="009E7764">
        <w:rPr>
          <w:sz w:val="24"/>
          <w:szCs w:val="24"/>
        </w:rPr>
        <w:t>t arises entirely from the labor of program staff</w:t>
      </w:r>
      <w:r w:rsidRPr="009E7764">
        <w:rPr>
          <w:sz w:val="24"/>
          <w:szCs w:val="24"/>
        </w:rPr>
        <w:t xml:space="preserve"> </w:t>
      </w:r>
      <w:r w:rsidR="003E02B0" w:rsidRPr="009E7764">
        <w:rPr>
          <w:sz w:val="24"/>
          <w:szCs w:val="24"/>
        </w:rPr>
        <w:t xml:space="preserve">and contractors </w:t>
      </w:r>
      <w:r w:rsidRPr="009E7764">
        <w:rPr>
          <w:sz w:val="24"/>
          <w:szCs w:val="24"/>
        </w:rPr>
        <w:t>spent on the development of th</w:t>
      </w:r>
      <w:r w:rsidR="008B714A" w:rsidRPr="009E7764">
        <w:rPr>
          <w:sz w:val="24"/>
          <w:szCs w:val="24"/>
        </w:rPr>
        <w:t xml:space="preserve">e </w:t>
      </w:r>
      <w:r w:rsidR="003E02B0" w:rsidRPr="009E7764">
        <w:rPr>
          <w:sz w:val="24"/>
          <w:szCs w:val="24"/>
        </w:rPr>
        <w:t>reports</w:t>
      </w:r>
      <w:r w:rsidRPr="009E7764">
        <w:rPr>
          <w:sz w:val="24"/>
          <w:szCs w:val="24"/>
        </w:rPr>
        <w:t xml:space="preserve"> and then on the review of the reports. </w:t>
      </w:r>
      <w:r w:rsidR="000F50C8" w:rsidRPr="009E7764">
        <w:rPr>
          <w:sz w:val="24"/>
          <w:szCs w:val="24"/>
        </w:rPr>
        <w:t>Review includes time s</w:t>
      </w:r>
      <w:r w:rsidR="003E02B0" w:rsidRPr="009E7764">
        <w:rPr>
          <w:sz w:val="24"/>
          <w:szCs w:val="24"/>
        </w:rPr>
        <w:t xml:space="preserve">pent reading the report </w:t>
      </w:r>
      <w:r w:rsidR="000F50C8" w:rsidRPr="009E7764">
        <w:rPr>
          <w:sz w:val="24"/>
          <w:szCs w:val="24"/>
        </w:rPr>
        <w:t xml:space="preserve">and possible follow up contact with investigators </w:t>
      </w:r>
      <w:r w:rsidR="003E02B0" w:rsidRPr="009E7764">
        <w:rPr>
          <w:sz w:val="24"/>
          <w:szCs w:val="24"/>
        </w:rPr>
        <w:t>for clarification on answers provided</w:t>
      </w:r>
      <w:r w:rsidR="000F50C8" w:rsidRPr="009E7764">
        <w:rPr>
          <w:sz w:val="24"/>
          <w:szCs w:val="24"/>
        </w:rPr>
        <w:t xml:space="preserve"> in the report.</w:t>
      </w:r>
      <w:r w:rsidR="005A0F48" w:rsidRPr="009E7764">
        <w:rPr>
          <w:sz w:val="24"/>
          <w:szCs w:val="24"/>
        </w:rPr>
        <w:t xml:space="preserve"> </w:t>
      </w:r>
      <w:r w:rsidR="008B714A" w:rsidRPr="009E7764">
        <w:rPr>
          <w:sz w:val="24"/>
          <w:szCs w:val="24"/>
        </w:rPr>
        <w:t>Although data from the reports will be used in program evaluations, program evaluation will occur whether or not this information is collected, and use of the reports in evaluation studies will not result in additional costs to the government. In fact, the collation of information in reports will decrease the cost of gathering data for use in evaluations.</w:t>
      </w:r>
      <w:r w:rsidR="00EC249D" w:rsidRPr="009E7764">
        <w:rPr>
          <w:sz w:val="24"/>
          <w:szCs w:val="24"/>
        </w:rPr>
        <w:t xml:space="preserve"> There will be a small amount of additional labor arising from curation of the report data into databases (e.g., </w:t>
      </w:r>
      <w:r w:rsidR="00C3692F" w:rsidRPr="009E7764">
        <w:rPr>
          <w:sz w:val="24"/>
          <w:szCs w:val="24"/>
        </w:rPr>
        <w:t>training, recruitment, etc.</w:t>
      </w:r>
      <w:r w:rsidR="00EC249D" w:rsidRPr="009E7764">
        <w:rPr>
          <w:sz w:val="24"/>
          <w:szCs w:val="24"/>
        </w:rPr>
        <w:t xml:space="preserve">) for use by </w:t>
      </w:r>
      <w:r w:rsidR="00C3692F" w:rsidRPr="000242C2">
        <w:rPr>
          <w:sz w:val="24"/>
          <w:szCs w:val="24"/>
        </w:rPr>
        <w:t>Leidos</w:t>
      </w:r>
      <w:r w:rsidR="00EC249D" w:rsidRPr="000242C2">
        <w:rPr>
          <w:sz w:val="24"/>
          <w:szCs w:val="24"/>
        </w:rPr>
        <w:t xml:space="preserve"> staff to monitor</w:t>
      </w:r>
      <w:r w:rsidR="00C3692F" w:rsidRPr="000242C2">
        <w:rPr>
          <w:sz w:val="24"/>
          <w:szCs w:val="24"/>
        </w:rPr>
        <w:t xml:space="preserve"> and evaluate program activities</w:t>
      </w:r>
      <w:r w:rsidR="00EC249D" w:rsidRPr="000242C2">
        <w:rPr>
          <w:sz w:val="24"/>
          <w:szCs w:val="24"/>
        </w:rPr>
        <w:t xml:space="preserve">. </w:t>
      </w:r>
    </w:p>
    <w:p w14:paraId="432281E0" w14:textId="7C671D95" w:rsidR="001063AF" w:rsidRDefault="001063AF" w:rsidP="001063AF">
      <w:pPr>
        <w:pStyle w:val="P1-StandPara"/>
        <w:rPr>
          <w:sz w:val="24"/>
          <w:szCs w:val="24"/>
        </w:rPr>
      </w:pPr>
      <w:r w:rsidRPr="000242C2">
        <w:rPr>
          <w:sz w:val="24"/>
          <w:szCs w:val="24"/>
        </w:rPr>
        <w:t xml:space="preserve">We estimate that all work on the review and storage of reports submitted in response to the proposed guidelines will require </w:t>
      </w:r>
      <w:r w:rsidR="009E7764" w:rsidRPr="000242C2">
        <w:rPr>
          <w:sz w:val="24"/>
          <w:szCs w:val="24"/>
        </w:rPr>
        <w:t>approximately 100 contractor hours annually, spread between 5-6 contractors, at an average hourly rate of $72.00, for a total of $7</w:t>
      </w:r>
      <w:r w:rsidR="000242C2">
        <w:rPr>
          <w:sz w:val="24"/>
          <w:szCs w:val="24"/>
        </w:rPr>
        <w:t>,</w:t>
      </w:r>
      <w:r w:rsidR="009E7764" w:rsidRPr="000242C2">
        <w:rPr>
          <w:sz w:val="24"/>
          <w:szCs w:val="24"/>
        </w:rPr>
        <w:t xml:space="preserve">200/year for both years that we expect to gather this information.  </w:t>
      </w:r>
      <w:r w:rsidR="00AB2479">
        <w:rPr>
          <w:sz w:val="24"/>
          <w:szCs w:val="24"/>
        </w:rPr>
        <w:t>Federal costs are based on labor. NCI personnel are need</w:t>
      </w:r>
      <w:r w:rsidR="002108F1">
        <w:rPr>
          <w:sz w:val="24"/>
          <w:szCs w:val="24"/>
        </w:rPr>
        <w:t>ed</w:t>
      </w:r>
      <w:r w:rsidR="00AB2479">
        <w:rPr>
          <w:sz w:val="24"/>
          <w:szCs w:val="24"/>
        </w:rPr>
        <w:t xml:space="preserve"> to </w:t>
      </w:r>
      <w:r w:rsidR="009E7764" w:rsidRPr="000242C2">
        <w:rPr>
          <w:sz w:val="24"/>
          <w:szCs w:val="24"/>
        </w:rPr>
        <w:t xml:space="preserve">review </w:t>
      </w:r>
      <w:r w:rsidR="00AB2479">
        <w:rPr>
          <w:sz w:val="24"/>
          <w:szCs w:val="24"/>
        </w:rPr>
        <w:t>the</w:t>
      </w:r>
      <w:r w:rsidR="009E7764" w:rsidRPr="000242C2">
        <w:rPr>
          <w:sz w:val="24"/>
          <w:szCs w:val="24"/>
        </w:rPr>
        <w:t xml:space="preserve"> reports provided by the contractors to program staff requir</w:t>
      </w:r>
      <w:r w:rsidR="00AB2479">
        <w:rPr>
          <w:sz w:val="24"/>
          <w:szCs w:val="24"/>
        </w:rPr>
        <w:t xml:space="preserve">ing </w:t>
      </w:r>
      <w:r w:rsidR="009E7764" w:rsidRPr="000242C2">
        <w:rPr>
          <w:sz w:val="24"/>
          <w:szCs w:val="24"/>
        </w:rPr>
        <w:t>40</w:t>
      </w:r>
      <w:r w:rsidR="000242C2" w:rsidRPr="000242C2">
        <w:rPr>
          <w:sz w:val="24"/>
          <w:szCs w:val="24"/>
        </w:rPr>
        <w:t xml:space="preserve"> hours</w:t>
      </w:r>
      <w:r w:rsidR="009E7764" w:rsidRPr="000242C2">
        <w:rPr>
          <w:sz w:val="24"/>
          <w:szCs w:val="24"/>
        </w:rPr>
        <w:t>/year</w:t>
      </w:r>
      <w:r w:rsidRPr="000242C2">
        <w:rPr>
          <w:sz w:val="24"/>
          <w:szCs w:val="24"/>
        </w:rPr>
        <w:t xml:space="preserve">, </w:t>
      </w:r>
      <w:r w:rsidR="008439CE">
        <w:rPr>
          <w:sz w:val="24"/>
          <w:szCs w:val="24"/>
        </w:rPr>
        <w:t>of a</w:t>
      </w:r>
      <w:r w:rsidRPr="000242C2">
        <w:rPr>
          <w:sz w:val="24"/>
          <w:szCs w:val="24"/>
        </w:rPr>
        <w:t xml:space="preserve"> program official</w:t>
      </w:r>
      <w:r w:rsidR="00B208C5" w:rsidRPr="000242C2">
        <w:rPr>
          <w:sz w:val="24"/>
          <w:szCs w:val="24"/>
        </w:rPr>
        <w:t>, at a GS1</w:t>
      </w:r>
      <w:r w:rsidR="009E7764" w:rsidRPr="000242C2">
        <w:rPr>
          <w:sz w:val="24"/>
          <w:szCs w:val="24"/>
        </w:rPr>
        <w:t>3 step 1 level</w:t>
      </w:r>
      <w:r w:rsidR="000242C2" w:rsidRPr="000242C2">
        <w:rPr>
          <w:sz w:val="24"/>
          <w:szCs w:val="24"/>
        </w:rPr>
        <w:t xml:space="preserve"> (</w:t>
      </w:r>
      <w:r w:rsidR="00EF1D20">
        <w:rPr>
          <w:sz w:val="24"/>
          <w:szCs w:val="24"/>
        </w:rPr>
        <w:t xml:space="preserve">$89,924 or </w:t>
      </w:r>
      <w:r w:rsidR="000242C2" w:rsidRPr="000242C2">
        <w:rPr>
          <w:sz w:val="24"/>
          <w:szCs w:val="24"/>
        </w:rPr>
        <w:t>hourly wage of approximately $43.23), for a total of $1</w:t>
      </w:r>
      <w:r w:rsidR="000242C2">
        <w:rPr>
          <w:sz w:val="24"/>
          <w:szCs w:val="24"/>
        </w:rPr>
        <w:t>,</w:t>
      </w:r>
      <w:r w:rsidR="000242C2" w:rsidRPr="000242C2">
        <w:rPr>
          <w:sz w:val="24"/>
          <w:szCs w:val="24"/>
        </w:rPr>
        <w:t xml:space="preserve">729.20 per year for both years that we expect to gather this information.  The total cost of this collection, review, and analysis is </w:t>
      </w:r>
      <w:r w:rsidR="00B208C5" w:rsidRPr="000242C2">
        <w:rPr>
          <w:sz w:val="24"/>
          <w:szCs w:val="24"/>
        </w:rPr>
        <w:t xml:space="preserve">estimated </w:t>
      </w:r>
      <w:r w:rsidR="000242C2" w:rsidRPr="000242C2">
        <w:rPr>
          <w:sz w:val="24"/>
          <w:szCs w:val="24"/>
        </w:rPr>
        <w:t xml:space="preserve">to be </w:t>
      </w:r>
      <w:r w:rsidR="009E7764" w:rsidRPr="000242C2">
        <w:rPr>
          <w:sz w:val="24"/>
          <w:szCs w:val="24"/>
        </w:rPr>
        <w:t>$</w:t>
      </w:r>
      <w:r w:rsidR="000242C2" w:rsidRPr="000242C2">
        <w:rPr>
          <w:sz w:val="24"/>
          <w:szCs w:val="24"/>
        </w:rPr>
        <w:t>8,929.20</w:t>
      </w:r>
      <w:r w:rsidR="003704EB" w:rsidRPr="000242C2">
        <w:rPr>
          <w:sz w:val="24"/>
          <w:szCs w:val="24"/>
        </w:rPr>
        <w:t>/year for each of the t</w:t>
      </w:r>
      <w:r w:rsidR="000242C2" w:rsidRPr="000242C2">
        <w:rPr>
          <w:sz w:val="24"/>
          <w:szCs w:val="24"/>
        </w:rPr>
        <w:t>wo</w:t>
      </w:r>
      <w:r w:rsidR="003704EB" w:rsidRPr="000242C2">
        <w:rPr>
          <w:sz w:val="24"/>
          <w:szCs w:val="24"/>
        </w:rPr>
        <w:t xml:space="preserve"> years we expect to gather the information. </w:t>
      </w:r>
    </w:p>
    <w:p w14:paraId="1DDD3EED" w14:textId="77777777" w:rsidR="00F5418C" w:rsidRDefault="00F5418C" w:rsidP="001063AF">
      <w:pPr>
        <w:pStyle w:val="P1-StandPara"/>
        <w:rPr>
          <w:sz w:val="24"/>
          <w:szCs w:val="24"/>
        </w:rPr>
      </w:pPr>
    </w:p>
    <w:p w14:paraId="4BC3C7B0" w14:textId="77777777" w:rsidR="00F5418C" w:rsidRDefault="00F5418C" w:rsidP="001063AF">
      <w:pPr>
        <w:pStyle w:val="P1-StandPara"/>
        <w:rPr>
          <w:sz w:val="24"/>
          <w:szCs w:val="24"/>
        </w:rPr>
      </w:pPr>
    </w:p>
    <w:p w14:paraId="30D0909E" w14:textId="77777777" w:rsidR="00F5418C" w:rsidRPr="000242C2" w:rsidRDefault="00F5418C" w:rsidP="001063AF">
      <w:pPr>
        <w:pStyle w:val="P1-StandPara"/>
        <w:rPr>
          <w:sz w:val="24"/>
          <w:szCs w:val="24"/>
        </w:rPr>
      </w:pPr>
    </w:p>
    <w:tbl>
      <w:tblPr>
        <w:tblpPr w:leftFromText="180" w:rightFromText="180" w:vertAnchor="text" w:horzAnchor="margin" w:tblpXSpec="center" w:tblpY="150"/>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585"/>
        <w:gridCol w:w="1922"/>
        <w:gridCol w:w="1922"/>
        <w:gridCol w:w="1923"/>
      </w:tblGrid>
      <w:tr w:rsidR="000242C2" w:rsidRPr="008B0071" w14:paraId="1E8212D9" w14:textId="77777777" w:rsidTr="009048C7">
        <w:trPr>
          <w:trHeight w:val="461"/>
        </w:trPr>
        <w:tc>
          <w:tcPr>
            <w:tcW w:w="9505" w:type="dxa"/>
            <w:gridSpan w:val="5"/>
            <w:vAlign w:val="center"/>
          </w:tcPr>
          <w:p w14:paraId="4C48C388" w14:textId="77777777" w:rsidR="000242C2" w:rsidRPr="000242C2" w:rsidRDefault="000242C2" w:rsidP="000242C2">
            <w:pPr>
              <w:pStyle w:val="P1-StandPara"/>
              <w:spacing w:line="240" w:lineRule="auto"/>
              <w:ind w:firstLine="0"/>
              <w:rPr>
                <w:b/>
                <w:bCs/>
                <w:sz w:val="24"/>
                <w:szCs w:val="24"/>
              </w:rPr>
            </w:pPr>
            <w:r w:rsidRPr="000242C2">
              <w:rPr>
                <w:b/>
                <w:bCs/>
                <w:sz w:val="24"/>
                <w:szCs w:val="24"/>
              </w:rPr>
              <w:t>Table 14-1 Annual Cost to the Federal Government</w:t>
            </w:r>
            <w:r w:rsidR="0068111F">
              <w:rPr>
                <w:b/>
                <w:bCs/>
                <w:sz w:val="24"/>
                <w:szCs w:val="24"/>
              </w:rPr>
              <w:t>*</w:t>
            </w:r>
          </w:p>
        </w:tc>
      </w:tr>
      <w:tr w:rsidR="000242C2" w:rsidRPr="008B0071" w14:paraId="600751D6" w14:textId="77777777" w:rsidTr="009048C7">
        <w:trPr>
          <w:trHeight w:val="461"/>
        </w:trPr>
        <w:tc>
          <w:tcPr>
            <w:tcW w:w="2153" w:type="dxa"/>
            <w:vAlign w:val="center"/>
          </w:tcPr>
          <w:p w14:paraId="7F19CB85" w14:textId="77777777" w:rsidR="000242C2" w:rsidRPr="000242C2" w:rsidRDefault="000242C2" w:rsidP="000242C2">
            <w:pPr>
              <w:pStyle w:val="P1-StandPara"/>
              <w:spacing w:line="240" w:lineRule="auto"/>
              <w:jc w:val="center"/>
              <w:rPr>
                <w:bCs/>
                <w:sz w:val="24"/>
                <w:szCs w:val="24"/>
              </w:rPr>
            </w:pPr>
          </w:p>
        </w:tc>
        <w:tc>
          <w:tcPr>
            <w:tcW w:w="1585" w:type="dxa"/>
            <w:vAlign w:val="center"/>
          </w:tcPr>
          <w:p w14:paraId="1BA1B277" w14:textId="77777777" w:rsidR="000242C2" w:rsidRPr="000242C2" w:rsidRDefault="000242C2" w:rsidP="000242C2">
            <w:pPr>
              <w:pStyle w:val="P1-StandPara"/>
              <w:spacing w:line="240" w:lineRule="auto"/>
              <w:ind w:firstLine="0"/>
              <w:rPr>
                <w:b/>
                <w:bCs/>
                <w:sz w:val="24"/>
                <w:szCs w:val="24"/>
              </w:rPr>
            </w:pPr>
            <w:r>
              <w:rPr>
                <w:b/>
                <w:bCs/>
                <w:sz w:val="24"/>
                <w:szCs w:val="24"/>
              </w:rPr>
              <w:t>HOURS</w:t>
            </w:r>
          </w:p>
        </w:tc>
        <w:tc>
          <w:tcPr>
            <w:tcW w:w="1922" w:type="dxa"/>
            <w:vAlign w:val="center"/>
          </w:tcPr>
          <w:p w14:paraId="25485088" w14:textId="77777777" w:rsidR="000242C2" w:rsidRPr="000242C2" w:rsidRDefault="000242C2" w:rsidP="000242C2">
            <w:pPr>
              <w:pStyle w:val="P1-StandPara"/>
              <w:spacing w:line="240" w:lineRule="auto"/>
              <w:ind w:firstLine="0"/>
              <w:jc w:val="center"/>
              <w:rPr>
                <w:b/>
                <w:bCs/>
                <w:sz w:val="24"/>
                <w:szCs w:val="24"/>
              </w:rPr>
            </w:pPr>
            <w:r>
              <w:rPr>
                <w:b/>
                <w:bCs/>
                <w:sz w:val="24"/>
                <w:szCs w:val="24"/>
              </w:rPr>
              <w:t>HOURLY WAGE RATE</w:t>
            </w:r>
          </w:p>
        </w:tc>
        <w:tc>
          <w:tcPr>
            <w:tcW w:w="1922" w:type="dxa"/>
            <w:vAlign w:val="center"/>
          </w:tcPr>
          <w:p w14:paraId="624627F4" w14:textId="77777777" w:rsidR="000242C2" w:rsidRPr="000242C2" w:rsidRDefault="000242C2" w:rsidP="000242C2">
            <w:pPr>
              <w:pStyle w:val="P1-StandPara"/>
              <w:spacing w:line="240" w:lineRule="auto"/>
              <w:ind w:firstLine="0"/>
              <w:jc w:val="center"/>
              <w:rPr>
                <w:b/>
                <w:bCs/>
                <w:sz w:val="24"/>
                <w:szCs w:val="24"/>
              </w:rPr>
            </w:pPr>
            <w:r>
              <w:rPr>
                <w:b/>
                <w:bCs/>
                <w:sz w:val="24"/>
                <w:szCs w:val="24"/>
              </w:rPr>
              <w:t>ANNUAL COST</w:t>
            </w:r>
          </w:p>
        </w:tc>
        <w:tc>
          <w:tcPr>
            <w:tcW w:w="1922" w:type="dxa"/>
            <w:vAlign w:val="center"/>
          </w:tcPr>
          <w:p w14:paraId="38779E79" w14:textId="77777777" w:rsidR="000242C2" w:rsidRDefault="000242C2" w:rsidP="000242C2">
            <w:pPr>
              <w:pStyle w:val="P1-StandPara"/>
              <w:spacing w:line="240" w:lineRule="auto"/>
              <w:ind w:firstLine="0"/>
              <w:jc w:val="center"/>
              <w:rPr>
                <w:b/>
                <w:bCs/>
                <w:sz w:val="24"/>
                <w:szCs w:val="24"/>
              </w:rPr>
            </w:pPr>
            <w:r>
              <w:rPr>
                <w:b/>
                <w:bCs/>
                <w:sz w:val="24"/>
                <w:szCs w:val="24"/>
              </w:rPr>
              <w:t>TOTAL COST</w:t>
            </w:r>
          </w:p>
        </w:tc>
      </w:tr>
      <w:tr w:rsidR="000242C2" w:rsidRPr="008B0071" w14:paraId="02B97446" w14:textId="77777777" w:rsidTr="009048C7">
        <w:trPr>
          <w:trHeight w:val="636"/>
        </w:trPr>
        <w:tc>
          <w:tcPr>
            <w:tcW w:w="2153" w:type="dxa"/>
            <w:vAlign w:val="center"/>
          </w:tcPr>
          <w:p w14:paraId="13DB5C55" w14:textId="77777777" w:rsidR="000242C2" w:rsidRPr="000242C2" w:rsidRDefault="00D03319" w:rsidP="007130C4">
            <w:pPr>
              <w:pStyle w:val="P1-StandPara"/>
              <w:spacing w:line="240" w:lineRule="auto"/>
              <w:ind w:firstLine="0"/>
              <w:rPr>
                <w:b/>
                <w:bCs/>
                <w:sz w:val="24"/>
                <w:szCs w:val="24"/>
              </w:rPr>
            </w:pPr>
            <w:r>
              <w:rPr>
                <w:b/>
                <w:bCs/>
                <w:sz w:val="24"/>
                <w:szCs w:val="24"/>
              </w:rPr>
              <w:t>Contractor Costs</w:t>
            </w:r>
          </w:p>
        </w:tc>
        <w:tc>
          <w:tcPr>
            <w:tcW w:w="1585" w:type="dxa"/>
            <w:vAlign w:val="center"/>
          </w:tcPr>
          <w:p w14:paraId="6171D755" w14:textId="77777777" w:rsidR="000242C2" w:rsidRPr="000242C2" w:rsidRDefault="000242C2" w:rsidP="000242C2">
            <w:pPr>
              <w:pStyle w:val="P1-StandPara"/>
              <w:spacing w:line="240" w:lineRule="auto"/>
              <w:ind w:firstLine="0"/>
              <w:jc w:val="center"/>
              <w:rPr>
                <w:bCs/>
                <w:sz w:val="24"/>
                <w:szCs w:val="24"/>
              </w:rPr>
            </w:pPr>
            <w:r>
              <w:rPr>
                <w:bCs/>
                <w:sz w:val="24"/>
                <w:szCs w:val="24"/>
              </w:rPr>
              <w:t>100</w:t>
            </w:r>
          </w:p>
        </w:tc>
        <w:tc>
          <w:tcPr>
            <w:tcW w:w="1922" w:type="dxa"/>
            <w:vAlign w:val="center"/>
          </w:tcPr>
          <w:p w14:paraId="675EC965" w14:textId="77777777" w:rsidR="000242C2" w:rsidRPr="000242C2" w:rsidRDefault="000242C2" w:rsidP="000242C2">
            <w:pPr>
              <w:pStyle w:val="P1-StandPara"/>
              <w:spacing w:line="240" w:lineRule="auto"/>
              <w:ind w:firstLine="0"/>
              <w:jc w:val="center"/>
              <w:rPr>
                <w:bCs/>
                <w:sz w:val="24"/>
                <w:szCs w:val="24"/>
              </w:rPr>
            </w:pPr>
            <w:r>
              <w:rPr>
                <w:bCs/>
                <w:sz w:val="24"/>
                <w:szCs w:val="24"/>
              </w:rPr>
              <w:t>$72.00</w:t>
            </w:r>
          </w:p>
        </w:tc>
        <w:tc>
          <w:tcPr>
            <w:tcW w:w="1922" w:type="dxa"/>
            <w:vAlign w:val="center"/>
          </w:tcPr>
          <w:p w14:paraId="3A6108A6" w14:textId="77777777" w:rsidR="000242C2" w:rsidRPr="000242C2" w:rsidRDefault="000242C2" w:rsidP="000242C2">
            <w:pPr>
              <w:pStyle w:val="P1-StandPara"/>
              <w:spacing w:line="240" w:lineRule="auto"/>
              <w:ind w:firstLine="0"/>
              <w:jc w:val="center"/>
              <w:rPr>
                <w:bCs/>
                <w:sz w:val="24"/>
                <w:szCs w:val="24"/>
              </w:rPr>
            </w:pPr>
            <w:r>
              <w:rPr>
                <w:bCs/>
                <w:sz w:val="24"/>
                <w:szCs w:val="24"/>
              </w:rPr>
              <w:t>$7,200.00</w:t>
            </w:r>
          </w:p>
        </w:tc>
        <w:tc>
          <w:tcPr>
            <w:tcW w:w="1922" w:type="dxa"/>
            <w:vAlign w:val="center"/>
          </w:tcPr>
          <w:p w14:paraId="3795A3CB" w14:textId="77777777" w:rsidR="000242C2" w:rsidRPr="000242C2" w:rsidRDefault="000242C2" w:rsidP="000242C2">
            <w:pPr>
              <w:pStyle w:val="P1-StandPara"/>
              <w:spacing w:line="240" w:lineRule="auto"/>
              <w:ind w:firstLine="0"/>
              <w:jc w:val="center"/>
              <w:rPr>
                <w:bCs/>
                <w:sz w:val="24"/>
                <w:szCs w:val="24"/>
              </w:rPr>
            </w:pPr>
            <w:r>
              <w:rPr>
                <w:bCs/>
                <w:sz w:val="24"/>
                <w:szCs w:val="24"/>
              </w:rPr>
              <w:t>$14,400.00</w:t>
            </w:r>
          </w:p>
        </w:tc>
      </w:tr>
      <w:tr w:rsidR="000242C2" w:rsidRPr="008B0071" w14:paraId="7D9CEFFF" w14:textId="77777777" w:rsidTr="009048C7">
        <w:trPr>
          <w:trHeight w:val="636"/>
        </w:trPr>
        <w:tc>
          <w:tcPr>
            <w:tcW w:w="2153" w:type="dxa"/>
            <w:vAlign w:val="center"/>
          </w:tcPr>
          <w:p w14:paraId="1FAE4686" w14:textId="77777777" w:rsidR="000242C2" w:rsidRPr="000242C2" w:rsidRDefault="000242C2" w:rsidP="00296150">
            <w:pPr>
              <w:pStyle w:val="P1-StandPara"/>
              <w:spacing w:line="240" w:lineRule="auto"/>
              <w:ind w:firstLine="0"/>
              <w:rPr>
                <w:b/>
                <w:bCs/>
                <w:sz w:val="24"/>
                <w:szCs w:val="24"/>
              </w:rPr>
            </w:pPr>
            <w:r w:rsidRPr="000242C2">
              <w:rPr>
                <w:b/>
                <w:bCs/>
                <w:sz w:val="24"/>
                <w:szCs w:val="24"/>
              </w:rPr>
              <w:t xml:space="preserve">NCI Personnel </w:t>
            </w:r>
            <w:r w:rsidR="008439CE">
              <w:rPr>
                <w:b/>
                <w:bCs/>
                <w:sz w:val="24"/>
                <w:szCs w:val="24"/>
              </w:rPr>
              <w:t>Program Official GS 13/1</w:t>
            </w:r>
            <w:r w:rsidR="00296150">
              <w:rPr>
                <w:b/>
                <w:bCs/>
                <w:sz w:val="24"/>
                <w:szCs w:val="24"/>
              </w:rPr>
              <w:t xml:space="preserve"> </w:t>
            </w:r>
            <w:r w:rsidR="00296150" w:rsidRPr="000242C2">
              <w:rPr>
                <w:sz w:val="24"/>
                <w:szCs w:val="24"/>
              </w:rPr>
              <w:t>(</w:t>
            </w:r>
            <w:r w:rsidR="00296150">
              <w:rPr>
                <w:sz w:val="24"/>
                <w:szCs w:val="24"/>
              </w:rPr>
              <w:t>$89,924)</w:t>
            </w:r>
          </w:p>
        </w:tc>
        <w:tc>
          <w:tcPr>
            <w:tcW w:w="1585" w:type="dxa"/>
            <w:vAlign w:val="center"/>
          </w:tcPr>
          <w:p w14:paraId="7BD432C8" w14:textId="77777777" w:rsidR="000242C2" w:rsidRPr="000242C2" w:rsidRDefault="000242C2" w:rsidP="000242C2">
            <w:pPr>
              <w:pStyle w:val="P1-StandPara"/>
              <w:spacing w:line="240" w:lineRule="auto"/>
              <w:ind w:firstLine="0"/>
              <w:jc w:val="center"/>
              <w:rPr>
                <w:bCs/>
                <w:sz w:val="24"/>
                <w:szCs w:val="24"/>
              </w:rPr>
            </w:pPr>
            <w:r>
              <w:rPr>
                <w:bCs/>
                <w:sz w:val="24"/>
                <w:szCs w:val="24"/>
              </w:rPr>
              <w:t>40</w:t>
            </w:r>
          </w:p>
        </w:tc>
        <w:tc>
          <w:tcPr>
            <w:tcW w:w="1922" w:type="dxa"/>
            <w:vAlign w:val="center"/>
          </w:tcPr>
          <w:p w14:paraId="16AD2B07" w14:textId="77777777" w:rsidR="000242C2" w:rsidRPr="000242C2" w:rsidRDefault="000242C2" w:rsidP="000242C2">
            <w:pPr>
              <w:pStyle w:val="P1-StandPara"/>
              <w:spacing w:line="240" w:lineRule="auto"/>
              <w:ind w:firstLine="0"/>
              <w:jc w:val="center"/>
              <w:rPr>
                <w:bCs/>
                <w:sz w:val="24"/>
                <w:szCs w:val="24"/>
              </w:rPr>
            </w:pPr>
            <w:r>
              <w:rPr>
                <w:bCs/>
                <w:sz w:val="24"/>
                <w:szCs w:val="24"/>
              </w:rPr>
              <w:t>$43.23</w:t>
            </w:r>
          </w:p>
        </w:tc>
        <w:tc>
          <w:tcPr>
            <w:tcW w:w="1922" w:type="dxa"/>
            <w:vAlign w:val="center"/>
          </w:tcPr>
          <w:p w14:paraId="0C587580" w14:textId="77777777" w:rsidR="000242C2" w:rsidRPr="000242C2" w:rsidRDefault="000242C2" w:rsidP="000242C2">
            <w:pPr>
              <w:pStyle w:val="P1-StandPara"/>
              <w:spacing w:line="240" w:lineRule="auto"/>
              <w:ind w:firstLine="0"/>
              <w:jc w:val="center"/>
              <w:rPr>
                <w:bCs/>
                <w:sz w:val="24"/>
                <w:szCs w:val="24"/>
              </w:rPr>
            </w:pPr>
            <w:r>
              <w:rPr>
                <w:bCs/>
                <w:sz w:val="24"/>
                <w:szCs w:val="24"/>
              </w:rPr>
              <w:t>$1,729.20</w:t>
            </w:r>
          </w:p>
        </w:tc>
        <w:tc>
          <w:tcPr>
            <w:tcW w:w="1922" w:type="dxa"/>
            <w:vAlign w:val="center"/>
          </w:tcPr>
          <w:p w14:paraId="38A06DB1" w14:textId="77777777" w:rsidR="000242C2" w:rsidRPr="000242C2" w:rsidRDefault="000242C2" w:rsidP="000242C2">
            <w:pPr>
              <w:pStyle w:val="P1-StandPara"/>
              <w:spacing w:line="240" w:lineRule="auto"/>
              <w:ind w:firstLine="0"/>
              <w:jc w:val="center"/>
              <w:rPr>
                <w:bCs/>
                <w:sz w:val="24"/>
                <w:szCs w:val="24"/>
              </w:rPr>
            </w:pPr>
            <w:r>
              <w:rPr>
                <w:bCs/>
                <w:sz w:val="24"/>
                <w:szCs w:val="24"/>
              </w:rPr>
              <w:t>$3,458.40</w:t>
            </w:r>
          </w:p>
        </w:tc>
      </w:tr>
      <w:tr w:rsidR="000242C2" w:rsidRPr="008B0071" w14:paraId="726509EA" w14:textId="77777777" w:rsidTr="009048C7">
        <w:trPr>
          <w:trHeight w:val="704"/>
        </w:trPr>
        <w:tc>
          <w:tcPr>
            <w:tcW w:w="2153" w:type="dxa"/>
            <w:vAlign w:val="center"/>
          </w:tcPr>
          <w:p w14:paraId="08AFFB88" w14:textId="77777777" w:rsidR="000242C2" w:rsidRPr="000242C2" w:rsidRDefault="000242C2" w:rsidP="006D464F">
            <w:r w:rsidRPr="000242C2">
              <w:t>Total</w:t>
            </w:r>
          </w:p>
        </w:tc>
        <w:tc>
          <w:tcPr>
            <w:tcW w:w="1585" w:type="dxa"/>
            <w:vAlign w:val="center"/>
          </w:tcPr>
          <w:p w14:paraId="6251477A" w14:textId="77777777" w:rsidR="000242C2" w:rsidRPr="000242C2" w:rsidRDefault="000242C2" w:rsidP="000242C2">
            <w:pPr>
              <w:jc w:val="center"/>
            </w:pPr>
          </w:p>
        </w:tc>
        <w:tc>
          <w:tcPr>
            <w:tcW w:w="1922" w:type="dxa"/>
            <w:vAlign w:val="center"/>
          </w:tcPr>
          <w:p w14:paraId="63300090" w14:textId="77777777" w:rsidR="000242C2" w:rsidRPr="000242C2" w:rsidRDefault="000242C2" w:rsidP="000242C2">
            <w:pPr>
              <w:jc w:val="center"/>
            </w:pPr>
          </w:p>
        </w:tc>
        <w:tc>
          <w:tcPr>
            <w:tcW w:w="1922" w:type="dxa"/>
            <w:vAlign w:val="center"/>
          </w:tcPr>
          <w:p w14:paraId="43928E12" w14:textId="77777777" w:rsidR="000242C2" w:rsidRPr="000242C2" w:rsidRDefault="000242C2" w:rsidP="000242C2">
            <w:pPr>
              <w:jc w:val="center"/>
            </w:pPr>
            <w:r>
              <w:t>$8,929.20</w:t>
            </w:r>
          </w:p>
        </w:tc>
        <w:tc>
          <w:tcPr>
            <w:tcW w:w="1922" w:type="dxa"/>
            <w:vAlign w:val="center"/>
          </w:tcPr>
          <w:p w14:paraId="686128BF" w14:textId="77777777" w:rsidR="000242C2" w:rsidRPr="000242C2" w:rsidRDefault="000242C2" w:rsidP="000242C2">
            <w:pPr>
              <w:jc w:val="center"/>
            </w:pPr>
            <w:r>
              <w:t>$17,858.40</w:t>
            </w:r>
          </w:p>
        </w:tc>
      </w:tr>
    </w:tbl>
    <w:p w14:paraId="293A50BE" w14:textId="77777777" w:rsidR="0068111F" w:rsidRDefault="0068111F" w:rsidP="006D464F">
      <w:bookmarkStart w:id="59" w:name="_Toc443881758"/>
      <w:bookmarkStart w:id="60" w:name="_Toc451592245"/>
      <w:bookmarkStart w:id="61" w:name="_Toc5610286"/>
      <w:bookmarkStart w:id="62" w:name="_Toc99178792"/>
    </w:p>
    <w:p w14:paraId="3D3850E1" w14:textId="77777777" w:rsidR="00E45B61" w:rsidRPr="00AA01E2" w:rsidRDefault="004B4AEA" w:rsidP="008D20FB">
      <w:pPr>
        <w:pStyle w:val="Heading2"/>
        <w:tabs>
          <w:tab w:val="clear" w:pos="1152"/>
          <w:tab w:val="left" w:pos="720"/>
        </w:tabs>
        <w:spacing w:after="0" w:line="480" w:lineRule="auto"/>
        <w:ind w:left="0" w:firstLine="0"/>
        <w:rPr>
          <w:szCs w:val="24"/>
        </w:rPr>
      </w:pPr>
      <w:r w:rsidRPr="00AA01E2">
        <w:rPr>
          <w:szCs w:val="24"/>
        </w:rPr>
        <w:t>A.</w:t>
      </w:r>
      <w:r w:rsidR="008D20C5" w:rsidRPr="00AA01E2">
        <w:rPr>
          <w:szCs w:val="24"/>
        </w:rPr>
        <w:t>15</w:t>
      </w:r>
      <w:r w:rsidR="008D20C5" w:rsidRPr="00AA01E2">
        <w:rPr>
          <w:szCs w:val="24"/>
        </w:rPr>
        <w:tab/>
        <w:t>Explanation for Program Changes or Adjustments</w:t>
      </w:r>
      <w:bookmarkEnd w:id="59"/>
      <w:bookmarkEnd w:id="60"/>
      <w:bookmarkEnd w:id="61"/>
      <w:bookmarkEnd w:id="62"/>
    </w:p>
    <w:p w14:paraId="3483A8FF" w14:textId="77777777" w:rsidR="00092799" w:rsidRPr="007D3709" w:rsidRDefault="00577076" w:rsidP="00FA3CEC">
      <w:pPr>
        <w:pStyle w:val="P1-StandPara"/>
        <w:rPr>
          <w:sz w:val="24"/>
          <w:szCs w:val="24"/>
        </w:rPr>
      </w:pPr>
      <w:r w:rsidRPr="007D3709">
        <w:rPr>
          <w:sz w:val="24"/>
          <w:szCs w:val="24"/>
        </w:rPr>
        <w:t>This is a new information collection.</w:t>
      </w:r>
      <w:bookmarkStart w:id="63" w:name="_Toc443881759"/>
      <w:bookmarkStart w:id="64" w:name="_Toc451592246"/>
      <w:bookmarkStart w:id="65" w:name="_Toc5610287"/>
      <w:bookmarkStart w:id="66" w:name="_Toc99178793"/>
    </w:p>
    <w:p w14:paraId="39F70FA3" w14:textId="77777777" w:rsidR="008D20C5" w:rsidRPr="007D3709" w:rsidRDefault="004B4AEA" w:rsidP="004B4AEA">
      <w:pPr>
        <w:pStyle w:val="Heading2"/>
        <w:tabs>
          <w:tab w:val="clear" w:pos="1152"/>
          <w:tab w:val="left" w:pos="720"/>
        </w:tabs>
        <w:spacing w:after="0" w:line="480" w:lineRule="auto"/>
        <w:ind w:left="0" w:firstLine="0"/>
        <w:rPr>
          <w:szCs w:val="24"/>
        </w:rPr>
      </w:pPr>
      <w:r w:rsidRPr="007D3709">
        <w:rPr>
          <w:szCs w:val="24"/>
        </w:rPr>
        <w:t>A.</w:t>
      </w:r>
      <w:r w:rsidR="008D20C5" w:rsidRPr="007D3709">
        <w:rPr>
          <w:szCs w:val="24"/>
        </w:rPr>
        <w:t>16</w:t>
      </w:r>
      <w:r w:rsidR="008D20C5" w:rsidRPr="007D3709">
        <w:rPr>
          <w:szCs w:val="24"/>
        </w:rPr>
        <w:tab/>
        <w:t>Plans for Tabulation and Publication and Project Time Schedule</w:t>
      </w:r>
      <w:bookmarkEnd w:id="63"/>
      <w:bookmarkEnd w:id="64"/>
      <w:bookmarkEnd w:id="65"/>
      <w:bookmarkEnd w:id="66"/>
    </w:p>
    <w:p w14:paraId="561FA140" w14:textId="77777777" w:rsidR="003A11A5" w:rsidRDefault="003A11A5" w:rsidP="00685E25">
      <w:pPr>
        <w:pStyle w:val="P1-StandPara"/>
        <w:rPr>
          <w:sz w:val="24"/>
          <w:szCs w:val="24"/>
        </w:rPr>
      </w:pPr>
      <w:r w:rsidRPr="003A11A5">
        <w:rPr>
          <w:sz w:val="24"/>
          <w:szCs w:val="24"/>
        </w:rPr>
        <w:t xml:space="preserve">Information on </w:t>
      </w:r>
      <w:r w:rsidR="00120042">
        <w:rPr>
          <w:sz w:val="24"/>
          <w:szCs w:val="24"/>
        </w:rPr>
        <w:t>collaborators, accomplishments, publications, etc</w:t>
      </w:r>
      <w:r w:rsidRPr="003A11A5">
        <w:rPr>
          <w:sz w:val="24"/>
          <w:szCs w:val="24"/>
        </w:rPr>
        <w:t xml:space="preserve">. will be tabulated and basic descriptive statistics will be calculated (e.g. number of </w:t>
      </w:r>
      <w:r>
        <w:rPr>
          <w:sz w:val="24"/>
          <w:szCs w:val="24"/>
        </w:rPr>
        <w:t>persons trained</w:t>
      </w:r>
      <w:r w:rsidRPr="003A11A5">
        <w:rPr>
          <w:sz w:val="24"/>
          <w:szCs w:val="24"/>
        </w:rPr>
        <w:t xml:space="preserve">, percentage of </w:t>
      </w:r>
      <w:r w:rsidR="00975605">
        <w:rPr>
          <w:sz w:val="24"/>
          <w:szCs w:val="24"/>
        </w:rPr>
        <w:t xml:space="preserve">objectives </w:t>
      </w:r>
      <w:r>
        <w:rPr>
          <w:sz w:val="24"/>
          <w:szCs w:val="24"/>
        </w:rPr>
        <w:t>met,</w:t>
      </w:r>
      <w:r w:rsidRPr="003A11A5">
        <w:rPr>
          <w:sz w:val="24"/>
          <w:szCs w:val="24"/>
        </w:rPr>
        <w:t xml:space="preserve"> etc.) for use in program evaluations. Informal review of the information will be done after each information collection, to monitor program progress in real time, with a formal program evaluation planned during the year following initial collection of the data. The small size of the dataset for this information precludes statistical analysis of these data. However, the information will be analyzed qualitatively to compare program outcomes with goals. </w:t>
      </w:r>
    </w:p>
    <w:p w14:paraId="167A0791" w14:textId="77777777" w:rsidR="003A11A5" w:rsidRDefault="003A11A5" w:rsidP="00685E25">
      <w:pPr>
        <w:pStyle w:val="P1-StandPara"/>
        <w:rPr>
          <w:sz w:val="24"/>
          <w:szCs w:val="24"/>
        </w:rPr>
      </w:pPr>
      <w:r w:rsidRPr="003A11A5">
        <w:rPr>
          <w:sz w:val="24"/>
          <w:szCs w:val="24"/>
        </w:rPr>
        <w:t xml:space="preserve">Although the primary purpose of this information collection is to understand why these </w:t>
      </w:r>
      <w:r w:rsidR="003817E1">
        <w:rPr>
          <w:sz w:val="24"/>
          <w:szCs w:val="24"/>
        </w:rPr>
        <w:t>program</w:t>
      </w:r>
      <w:r w:rsidRPr="003A11A5">
        <w:rPr>
          <w:sz w:val="24"/>
          <w:szCs w:val="24"/>
        </w:rPr>
        <w:t>s have or have not been successful, data from these evaluations may be used for publications. These publications would not generalize findings to other programs.</w:t>
      </w:r>
      <w:r>
        <w:rPr>
          <w:sz w:val="24"/>
          <w:szCs w:val="24"/>
        </w:rPr>
        <w:t xml:space="preserve">  </w:t>
      </w:r>
    </w:p>
    <w:p w14:paraId="62810E0E" w14:textId="77777777" w:rsidR="00F44247" w:rsidRDefault="00F44247" w:rsidP="00685E25">
      <w:pPr>
        <w:pStyle w:val="P1-StandPara"/>
        <w:rPr>
          <w:sz w:val="24"/>
          <w:szCs w:val="24"/>
        </w:rPr>
      </w:pPr>
      <w:r>
        <w:rPr>
          <w:sz w:val="24"/>
          <w:szCs w:val="24"/>
        </w:rPr>
        <w:lastRenderedPageBreak/>
        <w:t xml:space="preserve">The </w:t>
      </w:r>
      <w:r w:rsidR="003A11A5">
        <w:rPr>
          <w:sz w:val="24"/>
          <w:szCs w:val="24"/>
        </w:rPr>
        <w:t>interim</w:t>
      </w:r>
      <w:r>
        <w:rPr>
          <w:sz w:val="24"/>
          <w:szCs w:val="24"/>
        </w:rPr>
        <w:t xml:space="preserve"> report is </w:t>
      </w:r>
      <w:r w:rsidRPr="00E35F52">
        <w:rPr>
          <w:sz w:val="24"/>
          <w:szCs w:val="24"/>
        </w:rPr>
        <w:t xml:space="preserve">filed </w:t>
      </w:r>
      <w:r w:rsidR="003A11A5">
        <w:rPr>
          <w:sz w:val="24"/>
          <w:szCs w:val="24"/>
        </w:rPr>
        <w:t xml:space="preserve">6 months after the award </w:t>
      </w:r>
      <w:r>
        <w:rPr>
          <w:sz w:val="24"/>
          <w:szCs w:val="24"/>
        </w:rPr>
        <w:t xml:space="preserve">and </w:t>
      </w:r>
      <w:r w:rsidR="003A11A5">
        <w:rPr>
          <w:sz w:val="24"/>
          <w:szCs w:val="24"/>
        </w:rPr>
        <w:t>final</w:t>
      </w:r>
      <w:r>
        <w:rPr>
          <w:sz w:val="24"/>
          <w:szCs w:val="24"/>
        </w:rPr>
        <w:t xml:space="preserve"> report </w:t>
      </w:r>
      <w:r w:rsidR="003A11A5">
        <w:rPr>
          <w:sz w:val="24"/>
          <w:szCs w:val="24"/>
        </w:rPr>
        <w:t>6 months after the interim</w:t>
      </w:r>
      <w:r>
        <w:rPr>
          <w:sz w:val="24"/>
          <w:szCs w:val="24"/>
        </w:rPr>
        <w:t xml:space="preserve">.  The project time schedule (Table A.16-1) represents a 6-month time frame and then is repeated </w:t>
      </w:r>
      <w:r w:rsidR="009C0A8C">
        <w:rPr>
          <w:sz w:val="24"/>
          <w:szCs w:val="24"/>
        </w:rPr>
        <w:t>6 months later for the final report</w:t>
      </w:r>
      <w:r>
        <w:rPr>
          <w:sz w:val="24"/>
          <w:szCs w:val="24"/>
        </w:rPr>
        <w:t>.</w:t>
      </w:r>
    </w:p>
    <w:p w14:paraId="0C051AC3" w14:textId="77777777" w:rsidR="00F5418C" w:rsidRPr="007D3709" w:rsidRDefault="00F5418C" w:rsidP="00685E25">
      <w:pPr>
        <w:pStyle w:val="P1-StandPara"/>
        <w:rPr>
          <w:sz w:val="24"/>
          <w:szCs w:val="24"/>
        </w:rPr>
      </w:pPr>
    </w:p>
    <w:tbl>
      <w:tblPr>
        <w:tblW w:w="9630"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780"/>
        <w:gridCol w:w="1620"/>
        <w:gridCol w:w="1440"/>
        <w:gridCol w:w="1350"/>
        <w:gridCol w:w="1440"/>
      </w:tblGrid>
      <w:tr w:rsidR="007E2941" w:rsidRPr="007D3709" w14:paraId="4CA8F9EF" w14:textId="77777777" w:rsidTr="00120042">
        <w:trPr>
          <w:trHeight w:val="435"/>
        </w:trPr>
        <w:tc>
          <w:tcPr>
            <w:tcW w:w="9630" w:type="dxa"/>
            <w:gridSpan w:val="5"/>
            <w:shd w:val="clear" w:color="auto" w:fill="auto"/>
            <w:vAlign w:val="center"/>
          </w:tcPr>
          <w:p w14:paraId="3AE05EFE" w14:textId="77777777" w:rsidR="007E2941" w:rsidRPr="00A754D1" w:rsidRDefault="007E2941" w:rsidP="00A30BDC">
            <w:pPr>
              <w:tabs>
                <w:tab w:val="left" w:pos="900"/>
                <w:tab w:val="left" w:pos="1440"/>
                <w:tab w:val="left" w:pos="2160"/>
              </w:tabs>
              <w:jc w:val="center"/>
              <w:rPr>
                <w:b/>
                <w:bCs/>
                <w:color w:val="000000"/>
                <w:sz w:val="24"/>
                <w:szCs w:val="24"/>
              </w:rPr>
            </w:pPr>
            <w:r w:rsidRPr="00A754D1">
              <w:rPr>
                <w:b/>
                <w:bCs/>
                <w:color w:val="000000"/>
                <w:sz w:val="24"/>
                <w:szCs w:val="24"/>
              </w:rPr>
              <w:t>Table A.16-1 Project Time Schedule</w:t>
            </w:r>
          </w:p>
        </w:tc>
      </w:tr>
      <w:tr w:rsidR="007E2941" w:rsidRPr="007D3709" w14:paraId="3DBB7826" w14:textId="77777777" w:rsidTr="00120042">
        <w:trPr>
          <w:trHeight w:val="476"/>
        </w:trPr>
        <w:tc>
          <w:tcPr>
            <w:tcW w:w="3780" w:type="dxa"/>
            <w:vMerge w:val="restart"/>
            <w:shd w:val="clear" w:color="auto" w:fill="auto"/>
          </w:tcPr>
          <w:p w14:paraId="0989207E" w14:textId="77777777" w:rsidR="007E2941" w:rsidRPr="007D3709" w:rsidRDefault="007E2941" w:rsidP="007130C4">
            <w:pPr>
              <w:tabs>
                <w:tab w:val="left" w:pos="900"/>
                <w:tab w:val="left" w:pos="1440"/>
                <w:tab w:val="left" w:pos="2160"/>
              </w:tabs>
              <w:rPr>
                <w:rFonts w:ascii="Arial" w:hAnsi="Arial" w:cs="Arial"/>
                <w:b/>
                <w:bCs/>
                <w:color w:val="000000"/>
                <w:sz w:val="24"/>
                <w:szCs w:val="24"/>
              </w:rPr>
            </w:pPr>
          </w:p>
        </w:tc>
        <w:tc>
          <w:tcPr>
            <w:tcW w:w="5850" w:type="dxa"/>
            <w:gridSpan w:val="4"/>
            <w:shd w:val="clear" w:color="auto" w:fill="auto"/>
            <w:vAlign w:val="center"/>
          </w:tcPr>
          <w:p w14:paraId="6CB02D01" w14:textId="77777777" w:rsidR="007E2941" w:rsidRPr="00A754D1" w:rsidRDefault="007E2941" w:rsidP="00AF0172">
            <w:pPr>
              <w:tabs>
                <w:tab w:val="left" w:pos="900"/>
                <w:tab w:val="left" w:pos="1440"/>
                <w:tab w:val="left" w:pos="2160"/>
              </w:tabs>
              <w:jc w:val="center"/>
              <w:rPr>
                <w:bCs/>
                <w:color w:val="000000"/>
                <w:sz w:val="24"/>
                <w:szCs w:val="24"/>
              </w:rPr>
            </w:pPr>
            <w:r w:rsidRPr="00A754D1">
              <w:rPr>
                <w:bCs/>
                <w:color w:val="000000"/>
                <w:sz w:val="24"/>
                <w:szCs w:val="24"/>
              </w:rPr>
              <w:t>Months after OMB approval</w:t>
            </w:r>
          </w:p>
        </w:tc>
      </w:tr>
      <w:tr w:rsidR="007E2941" w:rsidRPr="007D3709" w14:paraId="4416FE1D" w14:textId="77777777" w:rsidTr="00120042">
        <w:trPr>
          <w:trHeight w:val="147"/>
        </w:trPr>
        <w:tc>
          <w:tcPr>
            <w:tcW w:w="3780" w:type="dxa"/>
            <w:vMerge/>
          </w:tcPr>
          <w:p w14:paraId="5BFD1C26" w14:textId="77777777" w:rsidR="007E2941" w:rsidRPr="007D3709" w:rsidRDefault="007E2941" w:rsidP="007130C4">
            <w:pPr>
              <w:tabs>
                <w:tab w:val="left" w:pos="900"/>
                <w:tab w:val="left" w:pos="1440"/>
                <w:tab w:val="left" w:pos="2160"/>
              </w:tabs>
              <w:rPr>
                <w:rFonts w:ascii="Arial" w:hAnsi="Arial" w:cs="Arial"/>
                <w:b/>
                <w:bCs/>
                <w:color w:val="000000"/>
                <w:sz w:val="24"/>
                <w:szCs w:val="24"/>
              </w:rPr>
            </w:pPr>
          </w:p>
        </w:tc>
        <w:tc>
          <w:tcPr>
            <w:tcW w:w="1620" w:type="dxa"/>
          </w:tcPr>
          <w:p w14:paraId="182DCF8C" w14:textId="77777777" w:rsidR="007E2941" w:rsidRPr="00AF0172" w:rsidRDefault="007E2941" w:rsidP="007130C4">
            <w:pPr>
              <w:tabs>
                <w:tab w:val="left" w:pos="900"/>
                <w:tab w:val="left" w:pos="1440"/>
                <w:tab w:val="left" w:pos="2160"/>
              </w:tabs>
              <w:jc w:val="center"/>
              <w:rPr>
                <w:bCs/>
                <w:color w:val="000000"/>
                <w:sz w:val="24"/>
                <w:szCs w:val="24"/>
              </w:rPr>
            </w:pPr>
            <w:r w:rsidRPr="00AF0172">
              <w:rPr>
                <w:bCs/>
                <w:color w:val="000000"/>
                <w:sz w:val="24"/>
                <w:szCs w:val="24"/>
              </w:rPr>
              <w:t>Month 1</w:t>
            </w:r>
          </w:p>
        </w:tc>
        <w:tc>
          <w:tcPr>
            <w:tcW w:w="1440" w:type="dxa"/>
          </w:tcPr>
          <w:p w14:paraId="307FFD5C" w14:textId="77777777" w:rsidR="007E2941" w:rsidRPr="00AF0172" w:rsidRDefault="007E2941" w:rsidP="007130C4">
            <w:pPr>
              <w:tabs>
                <w:tab w:val="left" w:pos="900"/>
                <w:tab w:val="left" w:pos="1440"/>
                <w:tab w:val="left" w:pos="2160"/>
              </w:tabs>
              <w:jc w:val="center"/>
              <w:rPr>
                <w:bCs/>
                <w:color w:val="000000"/>
                <w:sz w:val="24"/>
                <w:szCs w:val="24"/>
              </w:rPr>
            </w:pPr>
            <w:r w:rsidRPr="00AF0172">
              <w:rPr>
                <w:bCs/>
                <w:color w:val="000000"/>
                <w:sz w:val="24"/>
                <w:szCs w:val="24"/>
              </w:rPr>
              <w:t>Month 2</w:t>
            </w:r>
          </w:p>
        </w:tc>
        <w:tc>
          <w:tcPr>
            <w:tcW w:w="1350" w:type="dxa"/>
          </w:tcPr>
          <w:p w14:paraId="3927818C" w14:textId="77777777" w:rsidR="007E2941" w:rsidRPr="00AF0172" w:rsidRDefault="009C0A8C" w:rsidP="009C0A8C">
            <w:pPr>
              <w:tabs>
                <w:tab w:val="left" w:pos="900"/>
                <w:tab w:val="left" w:pos="1440"/>
                <w:tab w:val="left" w:pos="2160"/>
              </w:tabs>
              <w:jc w:val="center"/>
              <w:rPr>
                <w:bCs/>
                <w:color w:val="000000"/>
                <w:sz w:val="24"/>
                <w:szCs w:val="24"/>
              </w:rPr>
            </w:pPr>
            <w:r>
              <w:rPr>
                <w:bCs/>
                <w:color w:val="000000"/>
                <w:sz w:val="24"/>
                <w:szCs w:val="24"/>
              </w:rPr>
              <w:t xml:space="preserve">Month </w:t>
            </w:r>
            <w:r w:rsidR="007E2941" w:rsidRPr="00AF0172">
              <w:rPr>
                <w:bCs/>
                <w:color w:val="000000"/>
                <w:sz w:val="24"/>
                <w:szCs w:val="24"/>
              </w:rPr>
              <w:t>3</w:t>
            </w:r>
          </w:p>
        </w:tc>
        <w:tc>
          <w:tcPr>
            <w:tcW w:w="1440" w:type="dxa"/>
          </w:tcPr>
          <w:p w14:paraId="3BA1AA82" w14:textId="77777777" w:rsidR="007E2941" w:rsidRPr="00AF0172" w:rsidRDefault="009C0A8C" w:rsidP="009C0A8C">
            <w:pPr>
              <w:tabs>
                <w:tab w:val="left" w:pos="900"/>
                <w:tab w:val="left" w:pos="1440"/>
                <w:tab w:val="left" w:pos="2160"/>
              </w:tabs>
              <w:jc w:val="center"/>
              <w:rPr>
                <w:bCs/>
                <w:color w:val="000000"/>
                <w:sz w:val="24"/>
                <w:szCs w:val="24"/>
              </w:rPr>
            </w:pPr>
            <w:r>
              <w:rPr>
                <w:bCs/>
                <w:color w:val="000000"/>
                <w:sz w:val="24"/>
                <w:szCs w:val="24"/>
              </w:rPr>
              <w:t>Month</w:t>
            </w:r>
            <w:r w:rsidR="007E2941" w:rsidRPr="00AF0172">
              <w:rPr>
                <w:bCs/>
                <w:color w:val="000000"/>
                <w:sz w:val="24"/>
                <w:szCs w:val="24"/>
              </w:rPr>
              <w:t xml:space="preserve"> </w:t>
            </w:r>
            <w:r>
              <w:rPr>
                <w:bCs/>
                <w:color w:val="000000"/>
                <w:sz w:val="24"/>
                <w:szCs w:val="24"/>
              </w:rPr>
              <w:t>4</w:t>
            </w:r>
          </w:p>
        </w:tc>
      </w:tr>
      <w:tr w:rsidR="007E2941" w:rsidRPr="00AF0172" w14:paraId="70EF8F5C" w14:textId="77777777" w:rsidTr="00120042">
        <w:trPr>
          <w:trHeight w:val="230"/>
        </w:trPr>
        <w:tc>
          <w:tcPr>
            <w:tcW w:w="3780" w:type="dxa"/>
          </w:tcPr>
          <w:p w14:paraId="411F83EA" w14:textId="77777777" w:rsidR="007E2941" w:rsidRPr="00AF0172" w:rsidRDefault="007E2941" w:rsidP="009C0A8C">
            <w:pPr>
              <w:tabs>
                <w:tab w:val="left" w:pos="900"/>
                <w:tab w:val="left" w:pos="1440"/>
                <w:tab w:val="left" w:pos="2160"/>
              </w:tabs>
              <w:rPr>
                <w:bCs/>
                <w:color w:val="000000"/>
                <w:sz w:val="24"/>
                <w:szCs w:val="24"/>
              </w:rPr>
            </w:pPr>
            <w:r w:rsidRPr="00AF0172">
              <w:rPr>
                <w:bCs/>
                <w:color w:val="000000"/>
                <w:sz w:val="24"/>
                <w:szCs w:val="24"/>
              </w:rPr>
              <w:t xml:space="preserve">Obtain responses from </w:t>
            </w:r>
            <w:r w:rsidR="009C0A8C">
              <w:rPr>
                <w:bCs/>
                <w:color w:val="000000"/>
                <w:sz w:val="24"/>
                <w:szCs w:val="24"/>
              </w:rPr>
              <w:t>investigators</w:t>
            </w:r>
          </w:p>
        </w:tc>
        <w:tc>
          <w:tcPr>
            <w:tcW w:w="1620" w:type="dxa"/>
          </w:tcPr>
          <w:p w14:paraId="711478A1" w14:textId="77777777" w:rsidR="007E2941" w:rsidRPr="00AF0172" w:rsidRDefault="007E2941" w:rsidP="007130C4">
            <w:pPr>
              <w:tabs>
                <w:tab w:val="left" w:pos="900"/>
                <w:tab w:val="left" w:pos="1440"/>
                <w:tab w:val="left" w:pos="2160"/>
              </w:tabs>
              <w:rPr>
                <w:bCs/>
                <w:color w:val="000000"/>
                <w:sz w:val="24"/>
                <w:szCs w:val="24"/>
              </w:rPr>
            </w:pPr>
          </w:p>
        </w:tc>
        <w:tc>
          <w:tcPr>
            <w:tcW w:w="1440" w:type="dxa"/>
            <w:shd w:val="clear" w:color="auto" w:fill="7F7F7F"/>
          </w:tcPr>
          <w:p w14:paraId="3964A369" w14:textId="77777777" w:rsidR="007E2941" w:rsidRPr="00AF0172" w:rsidRDefault="007E2941" w:rsidP="007130C4">
            <w:pPr>
              <w:tabs>
                <w:tab w:val="left" w:pos="900"/>
                <w:tab w:val="left" w:pos="1440"/>
                <w:tab w:val="left" w:pos="2160"/>
              </w:tabs>
              <w:rPr>
                <w:bCs/>
                <w:color w:val="000000"/>
                <w:sz w:val="24"/>
                <w:szCs w:val="24"/>
              </w:rPr>
            </w:pPr>
          </w:p>
        </w:tc>
        <w:tc>
          <w:tcPr>
            <w:tcW w:w="1350" w:type="dxa"/>
            <w:shd w:val="clear" w:color="auto" w:fill="auto"/>
          </w:tcPr>
          <w:p w14:paraId="64DDD4C6" w14:textId="77777777" w:rsidR="007E2941" w:rsidRPr="00AF0172" w:rsidRDefault="007E2941" w:rsidP="007E2941">
            <w:pPr>
              <w:rPr>
                <w:sz w:val="24"/>
                <w:szCs w:val="24"/>
              </w:rPr>
            </w:pPr>
          </w:p>
        </w:tc>
        <w:tc>
          <w:tcPr>
            <w:tcW w:w="1440" w:type="dxa"/>
          </w:tcPr>
          <w:p w14:paraId="2D38A3C5" w14:textId="77777777" w:rsidR="007E2941" w:rsidRPr="00AF0172" w:rsidRDefault="007E2941" w:rsidP="007130C4">
            <w:pPr>
              <w:tabs>
                <w:tab w:val="left" w:pos="900"/>
                <w:tab w:val="left" w:pos="1440"/>
                <w:tab w:val="left" w:pos="2160"/>
              </w:tabs>
              <w:rPr>
                <w:rFonts w:ascii="Arial" w:hAnsi="Arial" w:cs="Arial"/>
                <w:b/>
                <w:bCs/>
                <w:color w:val="000000"/>
                <w:sz w:val="24"/>
                <w:szCs w:val="24"/>
              </w:rPr>
            </w:pPr>
          </w:p>
        </w:tc>
      </w:tr>
      <w:tr w:rsidR="007E2941" w:rsidRPr="00AF0172" w14:paraId="2FD6A9E2" w14:textId="77777777" w:rsidTr="00120042">
        <w:trPr>
          <w:trHeight w:val="230"/>
        </w:trPr>
        <w:tc>
          <w:tcPr>
            <w:tcW w:w="3780" w:type="dxa"/>
          </w:tcPr>
          <w:p w14:paraId="315BB19C" w14:textId="77777777" w:rsidR="007E2941" w:rsidRPr="00AF0172" w:rsidRDefault="00120042" w:rsidP="00120042">
            <w:pPr>
              <w:tabs>
                <w:tab w:val="left" w:pos="900"/>
                <w:tab w:val="left" w:pos="1440"/>
                <w:tab w:val="left" w:pos="2160"/>
              </w:tabs>
              <w:jc w:val="left"/>
              <w:rPr>
                <w:bCs/>
                <w:color w:val="000000"/>
                <w:sz w:val="24"/>
                <w:szCs w:val="24"/>
              </w:rPr>
            </w:pPr>
            <w:r>
              <w:rPr>
                <w:bCs/>
                <w:color w:val="000000"/>
                <w:sz w:val="24"/>
                <w:szCs w:val="24"/>
              </w:rPr>
              <w:t>R</w:t>
            </w:r>
            <w:r w:rsidR="007E2941" w:rsidRPr="00AF0172">
              <w:rPr>
                <w:bCs/>
                <w:color w:val="000000"/>
                <w:sz w:val="24"/>
                <w:szCs w:val="24"/>
              </w:rPr>
              <w:t>eview of responses</w:t>
            </w:r>
          </w:p>
        </w:tc>
        <w:tc>
          <w:tcPr>
            <w:tcW w:w="1620" w:type="dxa"/>
            <w:shd w:val="clear" w:color="auto" w:fill="auto"/>
          </w:tcPr>
          <w:p w14:paraId="25B98ACF" w14:textId="77777777" w:rsidR="007E2941" w:rsidRPr="00AF0172" w:rsidRDefault="007E2941" w:rsidP="007130C4">
            <w:pPr>
              <w:tabs>
                <w:tab w:val="left" w:pos="900"/>
                <w:tab w:val="left" w:pos="1440"/>
                <w:tab w:val="left" w:pos="2160"/>
              </w:tabs>
              <w:rPr>
                <w:bCs/>
                <w:color w:val="000000"/>
                <w:sz w:val="24"/>
                <w:szCs w:val="24"/>
              </w:rPr>
            </w:pPr>
          </w:p>
        </w:tc>
        <w:tc>
          <w:tcPr>
            <w:tcW w:w="1440" w:type="dxa"/>
            <w:shd w:val="clear" w:color="auto" w:fill="7F7F7F"/>
          </w:tcPr>
          <w:p w14:paraId="5A0EF892" w14:textId="77777777" w:rsidR="007E2941" w:rsidRPr="00AF0172" w:rsidRDefault="007E2941" w:rsidP="007130C4">
            <w:pPr>
              <w:tabs>
                <w:tab w:val="left" w:pos="900"/>
                <w:tab w:val="left" w:pos="1440"/>
                <w:tab w:val="left" w:pos="2160"/>
              </w:tabs>
              <w:rPr>
                <w:bCs/>
                <w:color w:val="000000"/>
                <w:sz w:val="24"/>
                <w:szCs w:val="24"/>
              </w:rPr>
            </w:pPr>
          </w:p>
        </w:tc>
        <w:tc>
          <w:tcPr>
            <w:tcW w:w="1350" w:type="dxa"/>
            <w:shd w:val="clear" w:color="auto" w:fill="7F7F7F"/>
          </w:tcPr>
          <w:p w14:paraId="0B62DCEC" w14:textId="77777777" w:rsidR="007E2941" w:rsidRPr="00AF0172" w:rsidRDefault="007E2941" w:rsidP="007130C4">
            <w:pPr>
              <w:tabs>
                <w:tab w:val="left" w:pos="900"/>
                <w:tab w:val="left" w:pos="1440"/>
                <w:tab w:val="left" w:pos="2160"/>
              </w:tabs>
              <w:rPr>
                <w:rFonts w:ascii="Arial" w:hAnsi="Arial" w:cs="Arial"/>
                <w:b/>
                <w:bCs/>
                <w:color w:val="000000"/>
                <w:sz w:val="24"/>
                <w:szCs w:val="24"/>
              </w:rPr>
            </w:pPr>
          </w:p>
        </w:tc>
        <w:tc>
          <w:tcPr>
            <w:tcW w:w="1440" w:type="dxa"/>
          </w:tcPr>
          <w:p w14:paraId="6AC20214" w14:textId="77777777" w:rsidR="007E2941" w:rsidRPr="00AF0172" w:rsidRDefault="007E2941" w:rsidP="007130C4">
            <w:pPr>
              <w:tabs>
                <w:tab w:val="left" w:pos="900"/>
                <w:tab w:val="left" w:pos="1440"/>
                <w:tab w:val="left" w:pos="2160"/>
              </w:tabs>
              <w:rPr>
                <w:rFonts w:ascii="Arial" w:hAnsi="Arial" w:cs="Arial"/>
                <w:b/>
                <w:bCs/>
                <w:color w:val="000000"/>
                <w:sz w:val="24"/>
                <w:szCs w:val="24"/>
              </w:rPr>
            </w:pPr>
          </w:p>
        </w:tc>
      </w:tr>
      <w:tr w:rsidR="007E2941" w:rsidRPr="007D3709" w14:paraId="48F884D6" w14:textId="77777777" w:rsidTr="00120042">
        <w:trPr>
          <w:trHeight w:val="230"/>
        </w:trPr>
        <w:tc>
          <w:tcPr>
            <w:tcW w:w="3780" w:type="dxa"/>
          </w:tcPr>
          <w:p w14:paraId="59401D2A" w14:textId="77777777" w:rsidR="007E2941" w:rsidRPr="00AF0172" w:rsidRDefault="007E2941" w:rsidP="007130C4">
            <w:pPr>
              <w:tabs>
                <w:tab w:val="left" w:pos="900"/>
                <w:tab w:val="left" w:pos="1440"/>
                <w:tab w:val="left" w:pos="2160"/>
              </w:tabs>
              <w:rPr>
                <w:bCs/>
                <w:color w:val="000000"/>
                <w:sz w:val="24"/>
                <w:szCs w:val="24"/>
              </w:rPr>
            </w:pPr>
            <w:r w:rsidRPr="00AF0172">
              <w:rPr>
                <w:bCs/>
                <w:color w:val="000000"/>
                <w:sz w:val="24"/>
                <w:szCs w:val="24"/>
              </w:rPr>
              <w:t>Tabulation and analysis of responses</w:t>
            </w:r>
          </w:p>
        </w:tc>
        <w:tc>
          <w:tcPr>
            <w:tcW w:w="1620" w:type="dxa"/>
          </w:tcPr>
          <w:p w14:paraId="0BABBAD7" w14:textId="77777777" w:rsidR="007E2941" w:rsidRPr="00AF0172" w:rsidRDefault="007E2941" w:rsidP="007130C4">
            <w:pPr>
              <w:tabs>
                <w:tab w:val="left" w:pos="900"/>
                <w:tab w:val="left" w:pos="1440"/>
                <w:tab w:val="left" w:pos="2160"/>
              </w:tabs>
              <w:rPr>
                <w:bCs/>
                <w:color w:val="000000"/>
                <w:sz w:val="24"/>
                <w:szCs w:val="24"/>
              </w:rPr>
            </w:pPr>
          </w:p>
        </w:tc>
        <w:tc>
          <w:tcPr>
            <w:tcW w:w="1440" w:type="dxa"/>
            <w:shd w:val="clear" w:color="auto" w:fill="auto"/>
          </w:tcPr>
          <w:p w14:paraId="562B70C4" w14:textId="77777777" w:rsidR="007E2941" w:rsidRPr="00AF0172" w:rsidRDefault="007E2941" w:rsidP="007130C4">
            <w:pPr>
              <w:tabs>
                <w:tab w:val="left" w:pos="900"/>
                <w:tab w:val="left" w:pos="1440"/>
                <w:tab w:val="left" w:pos="2160"/>
              </w:tabs>
              <w:rPr>
                <w:bCs/>
                <w:color w:val="000000"/>
                <w:sz w:val="24"/>
                <w:szCs w:val="24"/>
              </w:rPr>
            </w:pPr>
          </w:p>
        </w:tc>
        <w:tc>
          <w:tcPr>
            <w:tcW w:w="1350" w:type="dxa"/>
            <w:shd w:val="clear" w:color="auto" w:fill="7F7F7F"/>
          </w:tcPr>
          <w:p w14:paraId="5B9204EA" w14:textId="77777777" w:rsidR="007E2941" w:rsidRPr="007D3709" w:rsidRDefault="007E2941" w:rsidP="007130C4">
            <w:pPr>
              <w:tabs>
                <w:tab w:val="left" w:pos="900"/>
                <w:tab w:val="left" w:pos="1440"/>
                <w:tab w:val="left" w:pos="2160"/>
              </w:tabs>
              <w:rPr>
                <w:rFonts w:ascii="Arial" w:hAnsi="Arial" w:cs="Arial"/>
                <w:b/>
                <w:bCs/>
                <w:color w:val="000000"/>
                <w:sz w:val="24"/>
                <w:szCs w:val="24"/>
              </w:rPr>
            </w:pPr>
          </w:p>
        </w:tc>
        <w:tc>
          <w:tcPr>
            <w:tcW w:w="1440" w:type="dxa"/>
            <w:shd w:val="clear" w:color="auto" w:fill="7F7F7F"/>
          </w:tcPr>
          <w:p w14:paraId="0BD36C90" w14:textId="77777777" w:rsidR="007E2941" w:rsidRPr="007D3709" w:rsidRDefault="007E2941" w:rsidP="007130C4">
            <w:pPr>
              <w:tabs>
                <w:tab w:val="left" w:pos="900"/>
                <w:tab w:val="left" w:pos="1440"/>
                <w:tab w:val="left" w:pos="2160"/>
              </w:tabs>
              <w:rPr>
                <w:rFonts w:ascii="Arial" w:hAnsi="Arial" w:cs="Arial"/>
                <w:b/>
                <w:bCs/>
                <w:color w:val="000000"/>
                <w:sz w:val="24"/>
                <w:szCs w:val="24"/>
              </w:rPr>
            </w:pPr>
          </w:p>
        </w:tc>
      </w:tr>
      <w:tr w:rsidR="007E2941" w:rsidRPr="00AF0172" w14:paraId="4A55D268" w14:textId="77777777" w:rsidTr="00120042">
        <w:trPr>
          <w:trHeight w:val="230"/>
        </w:trPr>
        <w:tc>
          <w:tcPr>
            <w:tcW w:w="3780" w:type="dxa"/>
          </w:tcPr>
          <w:p w14:paraId="010CEC40" w14:textId="77777777" w:rsidR="007E2941" w:rsidRPr="00A754D1" w:rsidRDefault="007E2941" w:rsidP="007130C4">
            <w:pPr>
              <w:tabs>
                <w:tab w:val="left" w:pos="900"/>
                <w:tab w:val="left" w:pos="1440"/>
                <w:tab w:val="left" w:pos="2160"/>
              </w:tabs>
              <w:rPr>
                <w:bCs/>
                <w:color w:val="000000"/>
                <w:sz w:val="24"/>
                <w:szCs w:val="24"/>
              </w:rPr>
            </w:pPr>
            <w:r w:rsidRPr="00A754D1">
              <w:rPr>
                <w:bCs/>
                <w:color w:val="000000"/>
                <w:sz w:val="24"/>
                <w:szCs w:val="24"/>
              </w:rPr>
              <w:t xml:space="preserve">Summarize results </w:t>
            </w:r>
          </w:p>
        </w:tc>
        <w:tc>
          <w:tcPr>
            <w:tcW w:w="1620" w:type="dxa"/>
          </w:tcPr>
          <w:p w14:paraId="67CFF2F1" w14:textId="77777777" w:rsidR="007E2941" w:rsidRPr="00A754D1" w:rsidRDefault="007E2941" w:rsidP="007130C4">
            <w:pPr>
              <w:tabs>
                <w:tab w:val="left" w:pos="900"/>
                <w:tab w:val="left" w:pos="1440"/>
                <w:tab w:val="left" w:pos="2160"/>
              </w:tabs>
              <w:rPr>
                <w:bCs/>
                <w:color w:val="000000"/>
                <w:sz w:val="24"/>
                <w:szCs w:val="24"/>
              </w:rPr>
            </w:pPr>
          </w:p>
        </w:tc>
        <w:tc>
          <w:tcPr>
            <w:tcW w:w="1440" w:type="dxa"/>
          </w:tcPr>
          <w:p w14:paraId="2FA80163" w14:textId="77777777" w:rsidR="007E2941" w:rsidRPr="00A754D1" w:rsidRDefault="007E2941" w:rsidP="007130C4">
            <w:pPr>
              <w:tabs>
                <w:tab w:val="left" w:pos="900"/>
                <w:tab w:val="left" w:pos="1440"/>
                <w:tab w:val="left" w:pos="2160"/>
              </w:tabs>
              <w:rPr>
                <w:bCs/>
                <w:color w:val="000000"/>
                <w:sz w:val="24"/>
                <w:szCs w:val="24"/>
              </w:rPr>
            </w:pPr>
          </w:p>
        </w:tc>
        <w:tc>
          <w:tcPr>
            <w:tcW w:w="1350" w:type="dxa"/>
          </w:tcPr>
          <w:p w14:paraId="5B49FF3E" w14:textId="77777777" w:rsidR="007E2941" w:rsidRPr="00AF0172" w:rsidRDefault="007E2941" w:rsidP="007130C4">
            <w:pPr>
              <w:tabs>
                <w:tab w:val="left" w:pos="900"/>
                <w:tab w:val="left" w:pos="1440"/>
                <w:tab w:val="left" w:pos="2160"/>
              </w:tabs>
              <w:rPr>
                <w:rFonts w:ascii="Arial" w:hAnsi="Arial" w:cs="Arial"/>
                <w:b/>
                <w:bCs/>
                <w:color w:val="000000"/>
                <w:sz w:val="24"/>
                <w:szCs w:val="24"/>
              </w:rPr>
            </w:pPr>
          </w:p>
        </w:tc>
        <w:tc>
          <w:tcPr>
            <w:tcW w:w="1440" w:type="dxa"/>
            <w:shd w:val="clear" w:color="auto" w:fill="7F7F7F"/>
          </w:tcPr>
          <w:p w14:paraId="40D1C3EB" w14:textId="77777777" w:rsidR="007E2941" w:rsidRPr="00AF0172" w:rsidRDefault="007E2941" w:rsidP="007130C4">
            <w:pPr>
              <w:tabs>
                <w:tab w:val="left" w:pos="900"/>
                <w:tab w:val="left" w:pos="1440"/>
                <w:tab w:val="left" w:pos="2160"/>
              </w:tabs>
              <w:rPr>
                <w:rFonts w:ascii="Arial" w:hAnsi="Arial" w:cs="Arial"/>
                <w:b/>
                <w:bCs/>
                <w:color w:val="000000"/>
                <w:sz w:val="24"/>
                <w:szCs w:val="24"/>
              </w:rPr>
            </w:pPr>
          </w:p>
        </w:tc>
      </w:tr>
    </w:tbl>
    <w:p w14:paraId="5975B6EC" w14:textId="77777777" w:rsidR="007E2941" w:rsidRPr="007D3709" w:rsidRDefault="007E2941" w:rsidP="007E2941">
      <w:pPr>
        <w:rPr>
          <w:b/>
          <w:color w:val="FF0000"/>
          <w:sz w:val="24"/>
          <w:szCs w:val="24"/>
        </w:rPr>
      </w:pPr>
    </w:p>
    <w:p w14:paraId="13F75F18" w14:textId="77777777" w:rsidR="005F475B" w:rsidRPr="007D3709" w:rsidRDefault="005F475B" w:rsidP="005F475B">
      <w:pPr>
        <w:rPr>
          <w:b/>
          <w:color w:val="FF0000"/>
          <w:sz w:val="24"/>
          <w:szCs w:val="24"/>
        </w:rPr>
      </w:pPr>
    </w:p>
    <w:p w14:paraId="1407C9A7" w14:textId="77777777" w:rsidR="008D20C5" w:rsidRPr="00F93AF8" w:rsidRDefault="004B4AEA" w:rsidP="004B4AEA">
      <w:pPr>
        <w:pStyle w:val="Heading2"/>
        <w:tabs>
          <w:tab w:val="clear" w:pos="1152"/>
          <w:tab w:val="left" w:pos="720"/>
        </w:tabs>
        <w:spacing w:after="0" w:line="480" w:lineRule="auto"/>
        <w:ind w:left="0" w:firstLine="0"/>
        <w:rPr>
          <w:szCs w:val="24"/>
        </w:rPr>
      </w:pPr>
      <w:bookmarkStart w:id="67" w:name="_Toc443881760"/>
      <w:bookmarkStart w:id="68" w:name="_Toc451592247"/>
      <w:bookmarkStart w:id="69" w:name="_Toc5610288"/>
      <w:bookmarkStart w:id="70" w:name="_Toc99178794"/>
      <w:r w:rsidRPr="007D3709">
        <w:rPr>
          <w:szCs w:val="24"/>
        </w:rPr>
        <w:t>A.</w:t>
      </w:r>
      <w:r w:rsidR="008D20C5" w:rsidRPr="00F93AF8">
        <w:rPr>
          <w:szCs w:val="24"/>
        </w:rPr>
        <w:t>17</w:t>
      </w:r>
      <w:r w:rsidR="008D20C5" w:rsidRPr="00F93AF8">
        <w:rPr>
          <w:szCs w:val="24"/>
        </w:rPr>
        <w:tab/>
        <w:t>Reason(s) Display of OMB Expiration Date is Inappropriate</w:t>
      </w:r>
      <w:bookmarkEnd w:id="67"/>
      <w:bookmarkEnd w:id="68"/>
      <w:bookmarkEnd w:id="69"/>
      <w:bookmarkEnd w:id="70"/>
    </w:p>
    <w:p w14:paraId="09CFCC69" w14:textId="77777777" w:rsidR="00F74375" w:rsidRPr="00AF0172" w:rsidRDefault="00FE3D7F" w:rsidP="00FA3CEC">
      <w:pPr>
        <w:pStyle w:val="P1-StandPara"/>
        <w:rPr>
          <w:sz w:val="24"/>
          <w:szCs w:val="24"/>
        </w:rPr>
      </w:pPr>
      <w:r w:rsidRPr="00AF0172">
        <w:rPr>
          <w:sz w:val="24"/>
          <w:szCs w:val="24"/>
        </w:rPr>
        <w:t xml:space="preserve">We are not seeking approval to not display the expiration date for OMB approval of the information collection. </w:t>
      </w:r>
      <w:bookmarkStart w:id="71" w:name="_Toc443881761"/>
      <w:bookmarkStart w:id="72" w:name="_Toc451592248"/>
      <w:bookmarkStart w:id="73" w:name="_Toc5610289"/>
      <w:bookmarkStart w:id="74" w:name="_Toc99178795"/>
    </w:p>
    <w:p w14:paraId="03E1893A" w14:textId="77777777" w:rsidR="00845103" w:rsidRPr="007D3709" w:rsidRDefault="004B4AEA" w:rsidP="004B4AEA">
      <w:pPr>
        <w:pStyle w:val="Heading2"/>
        <w:tabs>
          <w:tab w:val="clear" w:pos="1152"/>
          <w:tab w:val="left" w:pos="720"/>
        </w:tabs>
        <w:spacing w:after="0" w:line="480" w:lineRule="auto"/>
        <w:ind w:left="0" w:firstLine="0"/>
        <w:rPr>
          <w:szCs w:val="24"/>
        </w:rPr>
      </w:pPr>
      <w:r w:rsidRPr="007D3709">
        <w:rPr>
          <w:szCs w:val="24"/>
        </w:rPr>
        <w:t>A.</w:t>
      </w:r>
      <w:r w:rsidR="008D20C5" w:rsidRPr="007D3709">
        <w:rPr>
          <w:szCs w:val="24"/>
        </w:rPr>
        <w:t>18</w:t>
      </w:r>
      <w:r w:rsidR="008D20C5" w:rsidRPr="007D3709">
        <w:rPr>
          <w:szCs w:val="24"/>
        </w:rPr>
        <w:tab/>
        <w:t>Exceptions to Certification for Paperwork Reduction Act Submissions</w:t>
      </w:r>
      <w:bookmarkEnd w:id="71"/>
      <w:bookmarkEnd w:id="72"/>
      <w:bookmarkEnd w:id="73"/>
      <w:bookmarkEnd w:id="74"/>
    </w:p>
    <w:p w14:paraId="7E5A2892" w14:textId="77777777" w:rsidR="00320456" w:rsidRPr="003817E1" w:rsidRDefault="00344FE8" w:rsidP="003817E1">
      <w:pPr>
        <w:pStyle w:val="P1-StandPara"/>
        <w:rPr>
          <w:sz w:val="24"/>
          <w:szCs w:val="24"/>
        </w:rPr>
      </w:pPr>
      <w:r w:rsidRPr="00AF0172">
        <w:rPr>
          <w:sz w:val="24"/>
          <w:szCs w:val="24"/>
        </w:rPr>
        <w:t xml:space="preserve">The proposed guidelines for program specific progress reports for </w:t>
      </w:r>
      <w:r w:rsidR="006211AF" w:rsidRPr="007D3709">
        <w:rPr>
          <w:bCs/>
          <w:sz w:val="24"/>
          <w:szCs w:val="24"/>
        </w:rPr>
        <w:t>C</w:t>
      </w:r>
      <w:r w:rsidR="006211AF">
        <w:rPr>
          <w:bCs/>
          <w:sz w:val="24"/>
          <w:szCs w:val="24"/>
        </w:rPr>
        <w:t xml:space="preserve">GH LMIC Global Health Collaborations </w:t>
      </w:r>
      <w:r w:rsidRPr="00AF0172">
        <w:rPr>
          <w:sz w:val="24"/>
          <w:szCs w:val="24"/>
        </w:rPr>
        <w:t>reports do not require any exceptions to the Certification for Paperwork Reduction Act Submissions (5 CFR 1320.9)</w:t>
      </w:r>
    </w:p>
    <w:sectPr w:rsidR="00320456" w:rsidRPr="003817E1"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A2609" w14:textId="77777777" w:rsidR="00F55C93" w:rsidRDefault="00F55C93">
      <w:pPr>
        <w:spacing w:line="240" w:lineRule="auto"/>
      </w:pPr>
      <w:r>
        <w:separator/>
      </w:r>
    </w:p>
  </w:endnote>
  <w:endnote w:type="continuationSeparator" w:id="0">
    <w:p w14:paraId="34C244CC" w14:textId="77777777" w:rsidR="00F55C93" w:rsidRDefault="00F55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A08C6" w14:textId="77777777" w:rsidR="00F55C93" w:rsidRDefault="00F55C93"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F99FB" w14:textId="77777777" w:rsidR="00F55C93" w:rsidRDefault="00F55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218E9" w14:textId="77777777" w:rsidR="00F55C93" w:rsidRDefault="00F55C93">
    <w:pPr>
      <w:pStyle w:val="Footer"/>
      <w:jc w:val="center"/>
    </w:pPr>
    <w:r>
      <w:fldChar w:fldCharType="begin"/>
    </w:r>
    <w:r>
      <w:instrText xml:space="preserve"> PAGE   \* MERGEFORMAT </w:instrText>
    </w:r>
    <w:r>
      <w:fldChar w:fldCharType="separate"/>
    </w:r>
    <w:r w:rsidR="00723FA2">
      <w:rPr>
        <w:noProof/>
      </w:rPr>
      <w:t>iii</w:t>
    </w:r>
    <w:r>
      <w:rPr>
        <w:noProof/>
      </w:rPr>
      <w:fldChar w:fldCharType="end"/>
    </w:r>
  </w:p>
  <w:p w14:paraId="3C2289F9" w14:textId="77777777" w:rsidR="00F55C93" w:rsidRDefault="00F55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64A8D" w14:textId="77777777" w:rsidR="00F55C93" w:rsidRDefault="00F55C93"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2FF6EE85" w14:textId="77777777" w:rsidR="00F55C93" w:rsidRDefault="00F55C93"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C:\Users\hidalgocj\AppData\Local\Microsoft\Windows\Temporary Internet Files\Content.Outlook\FUEU3MXE\SSA LMIC RFP KB Comments.docx</w:t>
    </w:r>
    <w:r w:rsidRPr="00B11F8C">
      <w:rPr>
        <w:color w:val="FF0000"/>
        <w:sz w:val="20"/>
      </w:rPr>
      <w:fldChar w:fldCharType="end"/>
    </w:r>
  </w:p>
  <w:p w14:paraId="2F29425A" w14:textId="77777777" w:rsidR="00F55C93" w:rsidRPr="001A132D" w:rsidRDefault="00F55C93"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35336" w14:textId="77777777" w:rsidR="00F55C93" w:rsidRDefault="00F55C93">
      <w:pPr>
        <w:spacing w:line="240" w:lineRule="auto"/>
      </w:pPr>
      <w:r>
        <w:separator/>
      </w:r>
    </w:p>
  </w:footnote>
  <w:footnote w:type="continuationSeparator" w:id="0">
    <w:p w14:paraId="61EC3891" w14:textId="77777777" w:rsidR="00F55C93" w:rsidRDefault="00F55C9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D0D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3">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3"/>
  </w:num>
  <w:num w:numId="4">
    <w:abstractNumId w:val="18"/>
  </w:num>
  <w:num w:numId="5">
    <w:abstractNumId w:val="3"/>
  </w:num>
  <w:num w:numId="6">
    <w:abstractNumId w:val="14"/>
  </w:num>
  <w:num w:numId="7">
    <w:abstractNumId w:val="11"/>
  </w:num>
  <w:num w:numId="8">
    <w:abstractNumId w:val="27"/>
  </w:num>
  <w:num w:numId="9">
    <w:abstractNumId w:val="36"/>
  </w:num>
  <w:num w:numId="10">
    <w:abstractNumId w:val="31"/>
  </w:num>
  <w:num w:numId="11">
    <w:abstractNumId w:val="9"/>
  </w:num>
  <w:num w:numId="12">
    <w:abstractNumId w:val="24"/>
  </w:num>
  <w:num w:numId="13">
    <w:abstractNumId w:val="16"/>
  </w:num>
  <w:num w:numId="14">
    <w:abstractNumId w:val="22"/>
  </w:num>
  <w:num w:numId="15">
    <w:abstractNumId w:val="5"/>
  </w:num>
  <w:num w:numId="16">
    <w:abstractNumId w:val="20"/>
  </w:num>
  <w:num w:numId="17">
    <w:abstractNumId w:val="33"/>
  </w:num>
  <w:num w:numId="18">
    <w:abstractNumId w:val="34"/>
  </w:num>
  <w:num w:numId="19">
    <w:abstractNumId w:val="1"/>
  </w:num>
  <w:num w:numId="20">
    <w:abstractNumId w:val="2"/>
  </w:num>
  <w:num w:numId="21">
    <w:abstractNumId w:val="30"/>
  </w:num>
  <w:num w:numId="22">
    <w:abstractNumId w:val="17"/>
  </w:num>
  <w:num w:numId="23">
    <w:abstractNumId w:val="28"/>
  </w:num>
  <w:num w:numId="24">
    <w:abstractNumId w:val="32"/>
  </w:num>
  <w:num w:numId="25">
    <w:abstractNumId w:val="29"/>
  </w:num>
  <w:num w:numId="26">
    <w:abstractNumId w:val="35"/>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7"/>
  </w:num>
  <w:num w:numId="30">
    <w:abstractNumId w:val="6"/>
  </w:num>
  <w:num w:numId="31">
    <w:abstractNumId w:val="10"/>
  </w:num>
  <w:num w:numId="32">
    <w:abstractNumId w:val="12"/>
  </w:num>
  <w:num w:numId="33">
    <w:abstractNumId w:val="13"/>
  </w:num>
  <w:num w:numId="34">
    <w:abstractNumId w:val="25"/>
  </w:num>
  <w:num w:numId="35">
    <w:abstractNumId w:val="26"/>
  </w:num>
  <w:num w:numId="36">
    <w:abstractNumId w:val="4"/>
  </w:num>
  <w:num w:numId="37">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3536"/>
    <w:rsid w:val="000056EC"/>
    <w:rsid w:val="000075E0"/>
    <w:rsid w:val="00007DD4"/>
    <w:rsid w:val="000100E8"/>
    <w:rsid w:val="00010904"/>
    <w:rsid w:val="00011B92"/>
    <w:rsid w:val="0001416F"/>
    <w:rsid w:val="000145A7"/>
    <w:rsid w:val="000149DB"/>
    <w:rsid w:val="00014D01"/>
    <w:rsid w:val="00016B07"/>
    <w:rsid w:val="000212C7"/>
    <w:rsid w:val="00023AD2"/>
    <w:rsid w:val="000242C2"/>
    <w:rsid w:val="0003270D"/>
    <w:rsid w:val="000368B6"/>
    <w:rsid w:val="00037EDF"/>
    <w:rsid w:val="0004074D"/>
    <w:rsid w:val="00042E24"/>
    <w:rsid w:val="0004329F"/>
    <w:rsid w:val="000433F4"/>
    <w:rsid w:val="000435A8"/>
    <w:rsid w:val="0004388C"/>
    <w:rsid w:val="000472EC"/>
    <w:rsid w:val="00047B25"/>
    <w:rsid w:val="000527D2"/>
    <w:rsid w:val="0005488E"/>
    <w:rsid w:val="00055417"/>
    <w:rsid w:val="00055A65"/>
    <w:rsid w:val="000577E8"/>
    <w:rsid w:val="00057DAD"/>
    <w:rsid w:val="00061327"/>
    <w:rsid w:val="0006413C"/>
    <w:rsid w:val="00066501"/>
    <w:rsid w:val="000707E7"/>
    <w:rsid w:val="000752D4"/>
    <w:rsid w:val="000759C6"/>
    <w:rsid w:val="000771AC"/>
    <w:rsid w:val="0007751A"/>
    <w:rsid w:val="000775A2"/>
    <w:rsid w:val="000818A6"/>
    <w:rsid w:val="00086BE4"/>
    <w:rsid w:val="0009009F"/>
    <w:rsid w:val="00090DAB"/>
    <w:rsid w:val="00092799"/>
    <w:rsid w:val="0009331C"/>
    <w:rsid w:val="000946C1"/>
    <w:rsid w:val="000A26FF"/>
    <w:rsid w:val="000A518D"/>
    <w:rsid w:val="000A54F5"/>
    <w:rsid w:val="000A7F12"/>
    <w:rsid w:val="000B06AE"/>
    <w:rsid w:val="000B0B60"/>
    <w:rsid w:val="000B2CFB"/>
    <w:rsid w:val="000B5B92"/>
    <w:rsid w:val="000B68A1"/>
    <w:rsid w:val="000B7BEB"/>
    <w:rsid w:val="000C09F2"/>
    <w:rsid w:val="000C4130"/>
    <w:rsid w:val="000C66E5"/>
    <w:rsid w:val="000D4AC2"/>
    <w:rsid w:val="000D64EA"/>
    <w:rsid w:val="000E03C5"/>
    <w:rsid w:val="000E0C15"/>
    <w:rsid w:val="000E189E"/>
    <w:rsid w:val="000E3BB7"/>
    <w:rsid w:val="000E7F50"/>
    <w:rsid w:val="000F0563"/>
    <w:rsid w:val="000F140E"/>
    <w:rsid w:val="000F37EF"/>
    <w:rsid w:val="000F50C8"/>
    <w:rsid w:val="000F7315"/>
    <w:rsid w:val="00100FB3"/>
    <w:rsid w:val="001063AF"/>
    <w:rsid w:val="00106F19"/>
    <w:rsid w:val="00110DEC"/>
    <w:rsid w:val="00115F2D"/>
    <w:rsid w:val="00120042"/>
    <w:rsid w:val="00120426"/>
    <w:rsid w:val="001217D1"/>
    <w:rsid w:val="00122717"/>
    <w:rsid w:val="00124A4A"/>
    <w:rsid w:val="001270C9"/>
    <w:rsid w:val="0013533D"/>
    <w:rsid w:val="00135A77"/>
    <w:rsid w:val="001400E4"/>
    <w:rsid w:val="00142106"/>
    <w:rsid w:val="00143EDE"/>
    <w:rsid w:val="00150A37"/>
    <w:rsid w:val="00151A3E"/>
    <w:rsid w:val="0016088E"/>
    <w:rsid w:val="001614EE"/>
    <w:rsid w:val="0016230E"/>
    <w:rsid w:val="001649CF"/>
    <w:rsid w:val="00170223"/>
    <w:rsid w:val="001723CC"/>
    <w:rsid w:val="00174AD8"/>
    <w:rsid w:val="00175F86"/>
    <w:rsid w:val="00176A72"/>
    <w:rsid w:val="00180B8D"/>
    <w:rsid w:val="0018416B"/>
    <w:rsid w:val="00185CB2"/>
    <w:rsid w:val="0018627A"/>
    <w:rsid w:val="00193E74"/>
    <w:rsid w:val="0019453F"/>
    <w:rsid w:val="00196C96"/>
    <w:rsid w:val="001978C4"/>
    <w:rsid w:val="001A132D"/>
    <w:rsid w:val="001A1409"/>
    <w:rsid w:val="001A1ED4"/>
    <w:rsid w:val="001A6BE7"/>
    <w:rsid w:val="001B0D9C"/>
    <w:rsid w:val="001B1DA9"/>
    <w:rsid w:val="001B32B7"/>
    <w:rsid w:val="001B5BDB"/>
    <w:rsid w:val="001B6D1A"/>
    <w:rsid w:val="001B70BE"/>
    <w:rsid w:val="001C0146"/>
    <w:rsid w:val="001C071D"/>
    <w:rsid w:val="001C13D5"/>
    <w:rsid w:val="001C56A6"/>
    <w:rsid w:val="001C73DD"/>
    <w:rsid w:val="001D0345"/>
    <w:rsid w:val="001D0508"/>
    <w:rsid w:val="001D0BC6"/>
    <w:rsid w:val="001D5618"/>
    <w:rsid w:val="001D7F2C"/>
    <w:rsid w:val="001E073F"/>
    <w:rsid w:val="001E1458"/>
    <w:rsid w:val="001E15CA"/>
    <w:rsid w:val="001E51A5"/>
    <w:rsid w:val="001E56DD"/>
    <w:rsid w:val="001E6EF6"/>
    <w:rsid w:val="001F7D08"/>
    <w:rsid w:val="002002BF"/>
    <w:rsid w:val="00201E44"/>
    <w:rsid w:val="002108F1"/>
    <w:rsid w:val="00210AF1"/>
    <w:rsid w:val="0021197B"/>
    <w:rsid w:val="002134CC"/>
    <w:rsid w:val="00215CCB"/>
    <w:rsid w:val="002171D9"/>
    <w:rsid w:val="002225E8"/>
    <w:rsid w:val="00223F20"/>
    <w:rsid w:val="002257A0"/>
    <w:rsid w:val="002315FC"/>
    <w:rsid w:val="00231FEA"/>
    <w:rsid w:val="00232A75"/>
    <w:rsid w:val="00243788"/>
    <w:rsid w:val="00243EA8"/>
    <w:rsid w:val="00244FDF"/>
    <w:rsid w:val="002469E2"/>
    <w:rsid w:val="00254877"/>
    <w:rsid w:val="00254F1F"/>
    <w:rsid w:val="00256FC6"/>
    <w:rsid w:val="0025760A"/>
    <w:rsid w:val="002617E3"/>
    <w:rsid w:val="0026371F"/>
    <w:rsid w:val="00263B88"/>
    <w:rsid w:val="00270135"/>
    <w:rsid w:val="002748B3"/>
    <w:rsid w:val="0027557C"/>
    <w:rsid w:val="00275857"/>
    <w:rsid w:val="002766B4"/>
    <w:rsid w:val="00280E3E"/>
    <w:rsid w:val="00282101"/>
    <w:rsid w:val="00283183"/>
    <w:rsid w:val="0028387E"/>
    <w:rsid w:val="00283FA1"/>
    <w:rsid w:val="00284888"/>
    <w:rsid w:val="00292AB1"/>
    <w:rsid w:val="00293E91"/>
    <w:rsid w:val="00294942"/>
    <w:rsid w:val="00294AB7"/>
    <w:rsid w:val="00295E10"/>
    <w:rsid w:val="0029608C"/>
    <w:rsid w:val="00296150"/>
    <w:rsid w:val="002971B8"/>
    <w:rsid w:val="002A271F"/>
    <w:rsid w:val="002A642F"/>
    <w:rsid w:val="002B10EE"/>
    <w:rsid w:val="002B16AA"/>
    <w:rsid w:val="002B34A7"/>
    <w:rsid w:val="002B40B4"/>
    <w:rsid w:val="002B4854"/>
    <w:rsid w:val="002B4A1F"/>
    <w:rsid w:val="002B66AE"/>
    <w:rsid w:val="002B7C66"/>
    <w:rsid w:val="002C19A8"/>
    <w:rsid w:val="002C47F8"/>
    <w:rsid w:val="002D26B5"/>
    <w:rsid w:val="002D395F"/>
    <w:rsid w:val="002D5257"/>
    <w:rsid w:val="002D62FA"/>
    <w:rsid w:val="002E5636"/>
    <w:rsid w:val="002E674A"/>
    <w:rsid w:val="002F0EBA"/>
    <w:rsid w:val="002F4EC3"/>
    <w:rsid w:val="00300713"/>
    <w:rsid w:val="003007E5"/>
    <w:rsid w:val="00302377"/>
    <w:rsid w:val="003032E3"/>
    <w:rsid w:val="00304439"/>
    <w:rsid w:val="0030462B"/>
    <w:rsid w:val="00310317"/>
    <w:rsid w:val="00310FF6"/>
    <w:rsid w:val="003179DA"/>
    <w:rsid w:val="00320456"/>
    <w:rsid w:val="00322115"/>
    <w:rsid w:val="00322318"/>
    <w:rsid w:val="0032384C"/>
    <w:rsid w:val="00323930"/>
    <w:rsid w:val="00323F7D"/>
    <w:rsid w:val="003243BF"/>
    <w:rsid w:val="00325CAB"/>
    <w:rsid w:val="00326655"/>
    <w:rsid w:val="00327ADB"/>
    <w:rsid w:val="003339A1"/>
    <w:rsid w:val="00340C31"/>
    <w:rsid w:val="00342173"/>
    <w:rsid w:val="00343D5F"/>
    <w:rsid w:val="00344805"/>
    <w:rsid w:val="00344FE8"/>
    <w:rsid w:val="00346619"/>
    <w:rsid w:val="00347BE5"/>
    <w:rsid w:val="0035014E"/>
    <w:rsid w:val="003557DA"/>
    <w:rsid w:val="00355CA7"/>
    <w:rsid w:val="00357033"/>
    <w:rsid w:val="003619D4"/>
    <w:rsid w:val="00363EB4"/>
    <w:rsid w:val="003704EB"/>
    <w:rsid w:val="00372083"/>
    <w:rsid w:val="00373D78"/>
    <w:rsid w:val="00376D38"/>
    <w:rsid w:val="003816FB"/>
    <w:rsid w:val="003817E1"/>
    <w:rsid w:val="00381BAC"/>
    <w:rsid w:val="00382331"/>
    <w:rsid w:val="0038452E"/>
    <w:rsid w:val="00384A3C"/>
    <w:rsid w:val="00386BA8"/>
    <w:rsid w:val="00386BAD"/>
    <w:rsid w:val="00390F20"/>
    <w:rsid w:val="003920AC"/>
    <w:rsid w:val="00393AD1"/>
    <w:rsid w:val="0039770D"/>
    <w:rsid w:val="003A11A5"/>
    <w:rsid w:val="003A13E0"/>
    <w:rsid w:val="003A1D58"/>
    <w:rsid w:val="003A1D7D"/>
    <w:rsid w:val="003A4661"/>
    <w:rsid w:val="003A5C23"/>
    <w:rsid w:val="003A6CFC"/>
    <w:rsid w:val="003A6E6C"/>
    <w:rsid w:val="003A72D9"/>
    <w:rsid w:val="003B41B7"/>
    <w:rsid w:val="003C127A"/>
    <w:rsid w:val="003C67CB"/>
    <w:rsid w:val="003C78F8"/>
    <w:rsid w:val="003D1045"/>
    <w:rsid w:val="003D3E9C"/>
    <w:rsid w:val="003D3F5B"/>
    <w:rsid w:val="003D62AE"/>
    <w:rsid w:val="003D6EB3"/>
    <w:rsid w:val="003E02B0"/>
    <w:rsid w:val="003E3ABB"/>
    <w:rsid w:val="003E4282"/>
    <w:rsid w:val="003E734A"/>
    <w:rsid w:val="003F1AC8"/>
    <w:rsid w:val="003F5BE8"/>
    <w:rsid w:val="003F6E7A"/>
    <w:rsid w:val="0040036D"/>
    <w:rsid w:val="004015FF"/>
    <w:rsid w:val="00401659"/>
    <w:rsid w:val="004036BF"/>
    <w:rsid w:val="004058C1"/>
    <w:rsid w:val="00406E46"/>
    <w:rsid w:val="004118E7"/>
    <w:rsid w:val="00415711"/>
    <w:rsid w:val="00415ED5"/>
    <w:rsid w:val="0041636A"/>
    <w:rsid w:val="00416EB8"/>
    <w:rsid w:val="00417951"/>
    <w:rsid w:val="00420E14"/>
    <w:rsid w:val="004210DC"/>
    <w:rsid w:val="00421945"/>
    <w:rsid w:val="004238CD"/>
    <w:rsid w:val="004337B6"/>
    <w:rsid w:val="004347C2"/>
    <w:rsid w:val="004359F8"/>
    <w:rsid w:val="00436EFA"/>
    <w:rsid w:val="00441806"/>
    <w:rsid w:val="00442A9C"/>
    <w:rsid w:val="004453B3"/>
    <w:rsid w:val="004472ED"/>
    <w:rsid w:val="00447F42"/>
    <w:rsid w:val="00456D2D"/>
    <w:rsid w:val="00462390"/>
    <w:rsid w:val="00466316"/>
    <w:rsid w:val="00471C28"/>
    <w:rsid w:val="00472FF7"/>
    <w:rsid w:val="0047798D"/>
    <w:rsid w:val="00482779"/>
    <w:rsid w:val="00482A60"/>
    <w:rsid w:val="00490B84"/>
    <w:rsid w:val="004956BA"/>
    <w:rsid w:val="0049693C"/>
    <w:rsid w:val="00496CDF"/>
    <w:rsid w:val="004A380A"/>
    <w:rsid w:val="004A3C3A"/>
    <w:rsid w:val="004A481B"/>
    <w:rsid w:val="004A56A1"/>
    <w:rsid w:val="004A5CD3"/>
    <w:rsid w:val="004A7C0D"/>
    <w:rsid w:val="004B1CD5"/>
    <w:rsid w:val="004B1D8D"/>
    <w:rsid w:val="004B389E"/>
    <w:rsid w:val="004B3D9E"/>
    <w:rsid w:val="004B4AEA"/>
    <w:rsid w:val="004B673D"/>
    <w:rsid w:val="004B6D81"/>
    <w:rsid w:val="004B70CA"/>
    <w:rsid w:val="004C13D2"/>
    <w:rsid w:val="004C4061"/>
    <w:rsid w:val="004D5B41"/>
    <w:rsid w:val="004D5C5E"/>
    <w:rsid w:val="004E0F96"/>
    <w:rsid w:val="004E14E7"/>
    <w:rsid w:val="004E1D83"/>
    <w:rsid w:val="004E2020"/>
    <w:rsid w:val="004E4C0C"/>
    <w:rsid w:val="004E7629"/>
    <w:rsid w:val="004F0747"/>
    <w:rsid w:val="004F2AA5"/>
    <w:rsid w:val="004F414A"/>
    <w:rsid w:val="004F6913"/>
    <w:rsid w:val="004F6A7E"/>
    <w:rsid w:val="00502000"/>
    <w:rsid w:val="00502FA5"/>
    <w:rsid w:val="00506660"/>
    <w:rsid w:val="0051073C"/>
    <w:rsid w:val="005114A8"/>
    <w:rsid w:val="00511794"/>
    <w:rsid w:val="00514525"/>
    <w:rsid w:val="00514E2A"/>
    <w:rsid w:val="00522623"/>
    <w:rsid w:val="00524B04"/>
    <w:rsid w:val="005253BB"/>
    <w:rsid w:val="00530250"/>
    <w:rsid w:val="00531048"/>
    <w:rsid w:val="0053378F"/>
    <w:rsid w:val="005347B4"/>
    <w:rsid w:val="00540572"/>
    <w:rsid w:val="005418F8"/>
    <w:rsid w:val="00543E43"/>
    <w:rsid w:val="00545396"/>
    <w:rsid w:val="00550A6A"/>
    <w:rsid w:val="00551A14"/>
    <w:rsid w:val="005526D1"/>
    <w:rsid w:val="00552B13"/>
    <w:rsid w:val="00552FE6"/>
    <w:rsid w:val="00554E60"/>
    <w:rsid w:val="00556BDB"/>
    <w:rsid w:val="0055739F"/>
    <w:rsid w:val="005605F8"/>
    <w:rsid w:val="00561B91"/>
    <w:rsid w:val="0056318D"/>
    <w:rsid w:val="005656CA"/>
    <w:rsid w:val="00567D5D"/>
    <w:rsid w:val="00570A99"/>
    <w:rsid w:val="00570D62"/>
    <w:rsid w:val="00571A81"/>
    <w:rsid w:val="00572AB1"/>
    <w:rsid w:val="00573127"/>
    <w:rsid w:val="005751F0"/>
    <w:rsid w:val="00575CBE"/>
    <w:rsid w:val="00577076"/>
    <w:rsid w:val="005819A4"/>
    <w:rsid w:val="005842D1"/>
    <w:rsid w:val="005847C6"/>
    <w:rsid w:val="00585303"/>
    <w:rsid w:val="00585DF4"/>
    <w:rsid w:val="00585E93"/>
    <w:rsid w:val="00586398"/>
    <w:rsid w:val="00590297"/>
    <w:rsid w:val="00592321"/>
    <w:rsid w:val="00596CE7"/>
    <w:rsid w:val="005A0E33"/>
    <w:rsid w:val="005A0F48"/>
    <w:rsid w:val="005A26F3"/>
    <w:rsid w:val="005A2A04"/>
    <w:rsid w:val="005A34D1"/>
    <w:rsid w:val="005A584E"/>
    <w:rsid w:val="005A659C"/>
    <w:rsid w:val="005B07A6"/>
    <w:rsid w:val="005B2B5C"/>
    <w:rsid w:val="005B4DB6"/>
    <w:rsid w:val="005B6C76"/>
    <w:rsid w:val="005C2F7F"/>
    <w:rsid w:val="005C4447"/>
    <w:rsid w:val="005C6323"/>
    <w:rsid w:val="005D002D"/>
    <w:rsid w:val="005D2A78"/>
    <w:rsid w:val="005D34F7"/>
    <w:rsid w:val="005D40EC"/>
    <w:rsid w:val="005E1D66"/>
    <w:rsid w:val="005E2AC5"/>
    <w:rsid w:val="005E6B2C"/>
    <w:rsid w:val="005E6CDA"/>
    <w:rsid w:val="005E6F33"/>
    <w:rsid w:val="005E778B"/>
    <w:rsid w:val="005F001A"/>
    <w:rsid w:val="005F475B"/>
    <w:rsid w:val="005F6C99"/>
    <w:rsid w:val="005F73E2"/>
    <w:rsid w:val="00601469"/>
    <w:rsid w:val="00602053"/>
    <w:rsid w:val="006023FB"/>
    <w:rsid w:val="00602F89"/>
    <w:rsid w:val="00607052"/>
    <w:rsid w:val="00607C4E"/>
    <w:rsid w:val="006112AF"/>
    <w:rsid w:val="006112FA"/>
    <w:rsid w:val="00616189"/>
    <w:rsid w:val="00617451"/>
    <w:rsid w:val="006201C8"/>
    <w:rsid w:val="006211AF"/>
    <w:rsid w:val="00622B44"/>
    <w:rsid w:val="00624987"/>
    <w:rsid w:val="00624A1C"/>
    <w:rsid w:val="00626169"/>
    <w:rsid w:val="00630EA3"/>
    <w:rsid w:val="00634099"/>
    <w:rsid w:val="00634F3C"/>
    <w:rsid w:val="00636A75"/>
    <w:rsid w:val="00643E7A"/>
    <w:rsid w:val="00644533"/>
    <w:rsid w:val="00652CAF"/>
    <w:rsid w:val="006532FE"/>
    <w:rsid w:val="00653803"/>
    <w:rsid w:val="006569E8"/>
    <w:rsid w:val="00664800"/>
    <w:rsid w:val="006652EA"/>
    <w:rsid w:val="00666FEC"/>
    <w:rsid w:val="006707B0"/>
    <w:rsid w:val="006707D4"/>
    <w:rsid w:val="006722B8"/>
    <w:rsid w:val="00672D91"/>
    <w:rsid w:val="00673A7C"/>
    <w:rsid w:val="00680B20"/>
    <w:rsid w:val="0068111F"/>
    <w:rsid w:val="00685E25"/>
    <w:rsid w:val="00691EC0"/>
    <w:rsid w:val="0069242A"/>
    <w:rsid w:val="00695C2B"/>
    <w:rsid w:val="00696256"/>
    <w:rsid w:val="00697677"/>
    <w:rsid w:val="006A16B5"/>
    <w:rsid w:val="006A2E56"/>
    <w:rsid w:val="006A4203"/>
    <w:rsid w:val="006A78D9"/>
    <w:rsid w:val="006B1036"/>
    <w:rsid w:val="006B2DC3"/>
    <w:rsid w:val="006B3271"/>
    <w:rsid w:val="006B5BAF"/>
    <w:rsid w:val="006C2AE9"/>
    <w:rsid w:val="006C4909"/>
    <w:rsid w:val="006D464F"/>
    <w:rsid w:val="006D521C"/>
    <w:rsid w:val="006D6647"/>
    <w:rsid w:val="006D7CBD"/>
    <w:rsid w:val="006F2B27"/>
    <w:rsid w:val="00700D9C"/>
    <w:rsid w:val="00700FDE"/>
    <w:rsid w:val="0070170C"/>
    <w:rsid w:val="00701C90"/>
    <w:rsid w:val="00703B17"/>
    <w:rsid w:val="007076F7"/>
    <w:rsid w:val="007130C4"/>
    <w:rsid w:val="00713A6A"/>
    <w:rsid w:val="00722C76"/>
    <w:rsid w:val="00723DEC"/>
    <w:rsid w:val="00723FA2"/>
    <w:rsid w:val="007248A1"/>
    <w:rsid w:val="007250F3"/>
    <w:rsid w:val="00727081"/>
    <w:rsid w:val="00730EC9"/>
    <w:rsid w:val="00733899"/>
    <w:rsid w:val="0073449D"/>
    <w:rsid w:val="00736486"/>
    <w:rsid w:val="00741794"/>
    <w:rsid w:val="0074335B"/>
    <w:rsid w:val="00747437"/>
    <w:rsid w:val="0075475E"/>
    <w:rsid w:val="0075513D"/>
    <w:rsid w:val="00755E92"/>
    <w:rsid w:val="00756094"/>
    <w:rsid w:val="00757A70"/>
    <w:rsid w:val="00760A81"/>
    <w:rsid w:val="00764171"/>
    <w:rsid w:val="0076505E"/>
    <w:rsid w:val="007652F2"/>
    <w:rsid w:val="0077627F"/>
    <w:rsid w:val="007775FE"/>
    <w:rsid w:val="007A05F7"/>
    <w:rsid w:val="007A0AFD"/>
    <w:rsid w:val="007A1B01"/>
    <w:rsid w:val="007A498B"/>
    <w:rsid w:val="007A4FCE"/>
    <w:rsid w:val="007A5361"/>
    <w:rsid w:val="007A67CE"/>
    <w:rsid w:val="007A6CA6"/>
    <w:rsid w:val="007B076C"/>
    <w:rsid w:val="007B583D"/>
    <w:rsid w:val="007B7C8C"/>
    <w:rsid w:val="007B7D4F"/>
    <w:rsid w:val="007C0203"/>
    <w:rsid w:val="007C0B1A"/>
    <w:rsid w:val="007C5ED8"/>
    <w:rsid w:val="007C6994"/>
    <w:rsid w:val="007C6BFD"/>
    <w:rsid w:val="007D1D0E"/>
    <w:rsid w:val="007D25A4"/>
    <w:rsid w:val="007D330D"/>
    <w:rsid w:val="007D3430"/>
    <w:rsid w:val="007D3709"/>
    <w:rsid w:val="007D5840"/>
    <w:rsid w:val="007D727F"/>
    <w:rsid w:val="007D7617"/>
    <w:rsid w:val="007E2941"/>
    <w:rsid w:val="007E3BC5"/>
    <w:rsid w:val="007E3EB2"/>
    <w:rsid w:val="007E4B7B"/>
    <w:rsid w:val="007E55E8"/>
    <w:rsid w:val="007E5A77"/>
    <w:rsid w:val="007E5B32"/>
    <w:rsid w:val="007E7417"/>
    <w:rsid w:val="007F09D8"/>
    <w:rsid w:val="007F1AE7"/>
    <w:rsid w:val="007F333F"/>
    <w:rsid w:val="007F366B"/>
    <w:rsid w:val="007F4015"/>
    <w:rsid w:val="007F4CC1"/>
    <w:rsid w:val="007F79E5"/>
    <w:rsid w:val="00800962"/>
    <w:rsid w:val="00803B51"/>
    <w:rsid w:val="0080694B"/>
    <w:rsid w:val="0081321C"/>
    <w:rsid w:val="008132C1"/>
    <w:rsid w:val="0081471C"/>
    <w:rsid w:val="00814F23"/>
    <w:rsid w:val="00815AF3"/>
    <w:rsid w:val="0082381A"/>
    <w:rsid w:val="0082464E"/>
    <w:rsid w:val="00826B56"/>
    <w:rsid w:val="00827128"/>
    <w:rsid w:val="00827C56"/>
    <w:rsid w:val="00831AA3"/>
    <w:rsid w:val="00834F8F"/>
    <w:rsid w:val="008407AD"/>
    <w:rsid w:val="0084227B"/>
    <w:rsid w:val="008427E7"/>
    <w:rsid w:val="00842BE0"/>
    <w:rsid w:val="008439CE"/>
    <w:rsid w:val="00845103"/>
    <w:rsid w:val="008451A3"/>
    <w:rsid w:val="00846B5C"/>
    <w:rsid w:val="00847E05"/>
    <w:rsid w:val="0085334E"/>
    <w:rsid w:val="00857A56"/>
    <w:rsid w:val="00861571"/>
    <w:rsid w:val="00862730"/>
    <w:rsid w:val="00862FC5"/>
    <w:rsid w:val="00863D09"/>
    <w:rsid w:val="008642E5"/>
    <w:rsid w:val="00864AC8"/>
    <w:rsid w:val="00865DF6"/>
    <w:rsid w:val="008666C6"/>
    <w:rsid w:val="008704FC"/>
    <w:rsid w:val="0087197F"/>
    <w:rsid w:val="00871D01"/>
    <w:rsid w:val="00871E9F"/>
    <w:rsid w:val="00872C57"/>
    <w:rsid w:val="00874D83"/>
    <w:rsid w:val="00875527"/>
    <w:rsid w:val="0087670C"/>
    <w:rsid w:val="00880F04"/>
    <w:rsid w:val="00881B75"/>
    <w:rsid w:val="00882DFD"/>
    <w:rsid w:val="00894EC8"/>
    <w:rsid w:val="008A30FD"/>
    <w:rsid w:val="008A3312"/>
    <w:rsid w:val="008A524B"/>
    <w:rsid w:val="008A5CF7"/>
    <w:rsid w:val="008A794D"/>
    <w:rsid w:val="008B0071"/>
    <w:rsid w:val="008B0ACC"/>
    <w:rsid w:val="008B563D"/>
    <w:rsid w:val="008B714A"/>
    <w:rsid w:val="008C2547"/>
    <w:rsid w:val="008C7BB1"/>
    <w:rsid w:val="008D20C5"/>
    <w:rsid w:val="008D20FB"/>
    <w:rsid w:val="008D56CD"/>
    <w:rsid w:val="008D5B4A"/>
    <w:rsid w:val="008D5FA7"/>
    <w:rsid w:val="008E52B9"/>
    <w:rsid w:val="008E59DD"/>
    <w:rsid w:val="008E5F94"/>
    <w:rsid w:val="008F0402"/>
    <w:rsid w:val="008F2997"/>
    <w:rsid w:val="008F62BB"/>
    <w:rsid w:val="008F79C8"/>
    <w:rsid w:val="00901D62"/>
    <w:rsid w:val="009029C5"/>
    <w:rsid w:val="00902FBF"/>
    <w:rsid w:val="00904073"/>
    <w:rsid w:val="009048C7"/>
    <w:rsid w:val="009116EF"/>
    <w:rsid w:val="00911EE8"/>
    <w:rsid w:val="00913CAF"/>
    <w:rsid w:val="009170D6"/>
    <w:rsid w:val="00920721"/>
    <w:rsid w:val="00921126"/>
    <w:rsid w:val="0092414A"/>
    <w:rsid w:val="00925846"/>
    <w:rsid w:val="00925B26"/>
    <w:rsid w:val="00926DD5"/>
    <w:rsid w:val="00927664"/>
    <w:rsid w:val="00930DF0"/>
    <w:rsid w:val="00931895"/>
    <w:rsid w:val="00933B05"/>
    <w:rsid w:val="00934A35"/>
    <w:rsid w:val="00937E0D"/>
    <w:rsid w:val="00937F7B"/>
    <w:rsid w:val="00940133"/>
    <w:rsid w:val="00942C39"/>
    <w:rsid w:val="009431F6"/>
    <w:rsid w:val="00945901"/>
    <w:rsid w:val="00946586"/>
    <w:rsid w:val="009472E2"/>
    <w:rsid w:val="00953942"/>
    <w:rsid w:val="00953FC6"/>
    <w:rsid w:val="00954A1B"/>
    <w:rsid w:val="00954F58"/>
    <w:rsid w:val="00955450"/>
    <w:rsid w:val="00956B74"/>
    <w:rsid w:val="00966694"/>
    <w:rsid w:val="009709C2"/>
    <w:rsid w:val="00972285"/>
    <w:rsid w:val="0097284F"/>
    <w:rsid w:val="00975605"/>
    <w:rsid w:val="009823B8"/>
    <w:rsid w:val="009842F0"/>
    <w:rsid w:val="00984E83"/>
    <w:rsid w:val="0098569F"/>
    <w:rsid w:val="009868ED"/>
    <w:rsid w:val="009877E9"/>
    <w:rsid w:val="0099086E"/>
    <w:rsid w:val="00990AD4"/>
    <w:rsid w:val="009928B5"/>
    <w:rsid w:val="0099357E"/>
    <w:rsid w:val="00997723"/>
    <w:rsid w:val="009A0C16"/>
    <w:rsid w:val="009A27B2"/>
    <w:rsid w:val="009A520C"/>
    <w:rsid w:val="009A5A94"/>
    <w:rsid w:val="009A771F"/>
    <w:rsid w:val="009B3D9C"/>
    <w:rsid w:val="009B55CF"/>
    <w:rsid w:val="009C0A8C"/>
    <w:rsid w:val="009C664C"/>
    <w:rsid w:val="009C7BBC"/>
    <w:rsid w:val="009D00DC"/>
    <w:rsid w:val="009D1E6E"/>
    <w:rsid w:val="009D21E8"/>
    <w:rsid w:val="009D2338"/>
    <w:rsid w:val="009D38D8"/>
    <w:rsid w:val="009D59A4"/>
    <w:rsid w:val="009D5D2B"/>
    <w:rsid w:val="009E675D"/>
    <w:rsid w:val="009E7764"/>
    <w:rsid w:val="009E7FF2"/>
    <w:rsid w:val="009F5980"/>
    <w:rsid w:val="00A0001B"/>
    <w:rsid w:val="00A028B3"/>
    <w:rsid w:val="00A04C24"/>
    <w:rsid w:val="00A05450"/>
    <w:rsid w:val="00A06806"/>
    <w:rsid w:val="00A11A5A"/>
    <w:rsid w:val="00A1362D"/>
    <w:rsid w:val="00A145F6"/>
    <w:rsid w:val="00A15124"/>
    <w:rsid w:val="00A15C18"/>
    <w:rsid w:val="00A16378"/>
    <w:rsid w:val="00A16804"/>
    <w:rsid w:val="00A2044C"/>
    <w:rsid w:val="00A20B5B"/>
    <w:rsid w:val="00A20E64"/>
    <w:rsid w:val="00A21438"/>
    <w:rsid w:val="00A25987"/>
    <w:rsid w:val="00A25BF9"/>
    <w:rsid w:val="00A30BDC"/>
    <w:rsid w:val="00A31E67"/>
    <w:rsid w:val="00A34813"/>
    <w:rsid w:val="00A36824"/>
    <w:rsid w:val="00A36DD3"/>
    <w:rsid w:val="00A4054B"/>
    <w:rsid w:val="00A40C87"/>
    <w:rsid w:val="00A43214"/>
    <w:rsid w:val="00A44C32"/>
    <w:rsid w:val="00A46EE5"/>
    <w:rsid w:val="00A50247"/>
    <w:rsid w:val="00A50C55"/>
    <w:rsid w:val="00A531DA"/>
    <w:rsid w:val="00A5480D"/>
    <w:rsid w:val="00A61CAC"/>
    <w:rsid w:val="00A62495"/>
    <w:rsid w:val="00A6296A"/>
    <w:rsid w:val="00A72174"/>
    <w:rsid w:val="00A75284"/>
    <w:rsid w:val="00A754D1"/>
    <w:rsid w:val="00A80053"/>
    <w:rsid w:val="00A8306C"/>
    <w:rsid w:val="00A869C6"/>
    <w:rsid w:val="00A9298E"/>
    <w:rsid w:val="00A94362"/>
    <w:rsid w:val="00A962F4"/>
    <w:rsid w:val="00AA0184"/>
    <w:rsid w:val="00AA01E2"/>
    <w:rsid w:val="00AA2716"/>
    <w:rsid w:val="00AA2EF5"/>
    <w:rsid w:val="00AA3C8D"/>
    <w:rsid w:val="00AA58E7"/>
    <w:rsid w:val="00AA60E6"/>
    <w:rsid w:val="00AA77E3"/>
    <w:rsid w:val="00AA7B7E"/>
    <w:rsid w:val="00AB016E"/>
    <w:rsid w:val="00AB2479"/>
    <w:rsid w:val="00AB5B12"/>
    <w:rsid w:val="00AB5DE6"/>
    <w:rsid w:val="00AB609F"/>
    <w:rsid w:val="00AB76A7"/>
    <w:rsid w:val="00AC09F0"/>
    <w:rsid w:val="00AC2C5C"/>
    <w:rsid w:val="00AC4632"/>
    <w:rsid w:val="00AC7C8B"/>
    <w:rsid w:val="00AD31D1"/>
    <w:rsid w:val="00AD322B"/>
    <w:rsid w:val="00AD3B8E"/>
    <w:rsid w:val="00AD3C82"/>
    <w:rsid w:val="00AD3F38"/>
    <w:rsid w:val="00AE41BB"/>
    <w:rsid w:val="00AE4C6F"/>
    <w:rsid w:val="00AE6DA1"/>
    <w:rsid w:val="00AF0172"/>
    <w:rsid w:val="00AF03F0"/>
    <w:rsid w:val="00AF236A"/>
    <w:rsid w:val="00AF3CAC"/>
    <w:rsid w:val="00B1020E"/>
    <w:rsid w:val="00B11F8C"/>
    <w:rsid w:val="00B12003"/>
    <w:rsid w:val="00B13C1F"/>
    <w:rsid w:val="00B203C6"/>
    <w:rsid w:val="00B20632"/>
    <w:rsid w:val="00B208C5"/>
    <w:rsid w:val="00B20BB2"/>
    <w:rsid w:val="00B22013"/>
    <w:rsid w:val="00B22D3B"/>
    <w:rsid w:val="00B24732"/>
    <w:rsid w:val="00B264BF"/>
    <w:rsid w:val="00B265B7"/>
    <w:rsid w:val="00B310EB"/>
    <w:rsid w:val="00B321C0"/>
    <w:rsid w:val="00B3240F"/>
    <w:rsid w:val="00B3257E"/>
    <w:rsid w:val="00B3494D"/>
    <w:rsid w:val="00B365E3"/>
    <w:rsid w:val="00B36C4F"/>
    <w:rsid w:val="00B4301F"/>
    <w:rsid w:val="00B43CAB"/>
    <w:rsid w:val="00B47411"/>
    <w:rsid w:val="00B51072"/>
    <w:rsid w:val="00B54030"/>
    <w:rsid w:val="00B5743B"/>
    <w:rsid w:val="00B61A44"/>
    <w:rsid w:val="00B657D9"/>
    <w:rsid w:val="00B671FD"/>
    <w:rsid w:val="00B70DE9"/>
    <w:rsid w:val="00B74872"/>
    <w:rsid w:val="00B75A02"/>
    <w:rsid w:val="00B7638B"/>
    <w:rsid w:val="00B803CD"/>
    <w:rsid w:val="00B82F5D"/>
    <w:rsid w:val="00B834E3"/>
    <w:rsid w:val="00B83857"/>
    <w:rsid w:val="00B83CF2"/>
    <w:rsid w:val="00B86E09"/>
    <w:rsid w:val="00B95173"/>
    <w:rsid w:val="00B966EC"/>
    <w:rsid w:val="00BA2898"/>
    <w:rsid w:val="00BA28E0"/>
    <w:rsid w:val="00BC4A90"/>
    <w:rsid w:val="00BC62CA"/>
    <w:rsid w:val="00BC644D"/>
    <w:rsid w:val="00BD0861"/>
    <w:rsid w:val="00BD4661"/>
    <w:rsid w:val="00BD4836"/>
    <w:rsid w:val="00BD485A"/>
    <w:rsid w:val="00BD5DDB"/>
    <w:rsid w:val="00BD643B"/>
    <w:rsid w:val="00BE05AD"/>
    <w:rsid w:val="00BE0FA5"/>
    <w:rsid w:val="00BE27CA"/>
    <w:rsid w:val="00BE6673"/>
    <w:rsid w:val="00BE75A2"/>
    <w:rsid w:val="00BF0D75"/>
    <w:rsid w:val="00BF14B2"/>
    <w:rsid w:val="00BF6E60"/>
    <w:rsid w:val="00C00072"/>
    <w:rsid w:val="00C01167"/>
    <w:rsid w:val="00C0251C"/>
    <w:rsid w:val="00C1760F"/>
    <w:rsid w:val="00C178AF"/>
    <w:rsid w:val="00C229A8"/>
    <w:rsid w:val="00C22C76"/>
    <w:rsid w:val="00C2326E"/>
    <w:rsid w:val="00C23AB0"/>
    <w:rsid w:val="00C26AAF"/>
    <w:rsid w:val="00C27684"/>
    <w:rsid w:val="00C30077"/>
    <w:rsid w:val="00C31C42"/>
    <w:rsid w:val="00C33327"/>
    <w:rsid w:val="00C35498"/>
    <w:rsid w:val="00C3692F"/>
    <w:rsid w:val="00C37610"/>
    <w:rsid w:val="00C45E71"/>
    <w:rsid w:val="00C46825"/>
    <w:rsid w:val="00C476DA"/>
    <w:rsid w:val="00C50F9F"/>
    <w:rsid w:val="00C52D3C"/>
    <w:rsid w:val="00C5336A"/>
    <w:rsid w:val="00C566ED"/>
    <w:rsid w:val="00C60FBF"/>
    <w:rsid w:val="00C62BC3"/>
    <w:rsid w:val="00C63867"/>
    <w:rsid w:val="00C651CE"/>
    <w:rsid w:val="00C7454E"/>
    <w:rsid w:val="00C74856"/>
    <w:rsid w:val="00C8006F"/>
    <w:rsid w:val="00C815E2"/>
    <w:rsid w:val="00C8234C"/>
    <w:rsid w:val="00C82712"/>
    <w:rsid w:val="00C85107"/>
    <w:rsid w:val="00C85EBB"/>
    <w:rsid w:val="00C8767C"/>
    <w:rsid w:val="00C903EE"/>
    <w:rsid w:val="00C92CC1"/>
    <w:rsid w:val="00C9307C"/>
    <w:rsid w:val="00CA058D"/>
    <w:rsid w:val="00CA07A5"/>
    <w:rsid w:val="00CA1887"/>
    <w:rsid w:val="00CA42B1"/>
    <w:rsid w:val="00CA5B7E"/>
    <w:rsid w:val="00CA6D14"/>
    <w:rsid w:val="00CB4109"/>
    <w:rsid w:val="00CB7E63"/>
    <w:rsid w:val="00CC0684"/>
    <w:rsid w:val="00CC0D4F"/>
    <w:rsid w:val="00CC2A3E"/>
    <w:rsid w:val="00CC31F4"/>
    <w:rsid w:val="00CC5E6C"/>
    <w:rsid w:val="00CC6D5F"/>
    <w:rsid w:val="00CD197B"/>
    <w:rsid w:val="00CD1A5A"/>
    <w:rsid w:val="00CD445F"/>
    <w:rsid w:val="00CD6022"/>
    <w:rsid w:val="00CD7A09"/>
    <w:rsid w:val="00CE1AAC"/>
    <w:rsid w:val="00CE1DB2"/>
    <w:rsid w:val="00CE2709"/>
    <w:rsid w:val="00CE30E9"/>
    <w:rsid w:val="00CE49AF"/>
    <w:rsid w:val="00CF2678"/>
    <w:rsid w:val="00CF628F"/>
    <w:rsid w:val="00CF7FF9"/>
    <w:rsid w:val="00D03319"/>
    <w:rsid w:val="00D03ABB"/>
    <w:rsid w:val="00D10753"/>
    <w:rsid w:val="00D158A4"/>
    <w:rsid w:val="00D16AD3"/>
    <w:rsid w:val="00D175E8"/>
    <w:rsid w:val="00D17BF3"/>
    <w:rsid w:val="00D21096"/>
    <w:rsid w:val="00D22F5B"/>
    <w:rsid w:val="00D2643D"/>
    <w:rsid w:val="00D31B76"/>
    <w:rsid w:val="00D31E7D"/>
    <w:rsid w:val="00D330FF"/>
    <w:rsid w:val="00D36F8D"/>
    <w:rsid w:val="00D40CCD"/>
    <w:rsid w:val="00D41BBE"/>
    <w:rsid w:val="00D42D61"/>
    <w:rsid w:val="00D431F6"/>
    <w:rsid w:val="00D449DD"/>
    <w:rsid w:val="00D452D0"/>
    <w:rsid w:val="00D5100B"/>
    <w:rsid w:val="00D52D76"/>
    <w:rsid w:val="00D53057"/>
    <w:rsid w:val="00D55824"/>
    <w:rsid w:val="00D566A7"/>
    <w:rsid w:val="00D6135D"/>
    <w:rsid w:val="00D61A0D"/>
    <w:rsid w:val="00D61E21"/>
    <w:rsid w:val="00D622F5"/>
    <w:rsid w:val="00D64BC4"/>
    <w:rsid w:val="00D6634D"/>
    <w:rsid w:val="00D66CDF"/>
    <w:rsid w:val="00D701D9"/>
    <w:rsid w:val="00D7152F"/>
    <w:rsid w:val="00D75E86"/>
    <w:rsid w:val="00D761A2"/>
    <w:rsid w:val="00D7733A"/>
    <w:rsid w:val="00D77EC6"/>
    <w:rsid w:val="00D837AB"/>
    <w:rsid w:val="00D83BB2"/>
    <w:rsid w:val="00D843FF"/>
    <w:rsid w:val="00D90214"/>
    <w:rsid w:val="00D90255"/>
    <w:rsid w:val="00D9319D"/>
    <w:rsid w:val="00D933BF"/>
    <w:rsid w:val="00D944D9"/>
    <w:rsid w:val="00D94AF0"/>
    <w:rsid w:val="00D95820"/>
    <w:rsid w:val="00D95F86"/>
    <w:rsid w:val="00DA4800"/>
    <w:rsid w:val="00DA620E"/>
    <w:rsid w:val="00DA7166"/>
    <w:rsid w:val="00DA7412"/>
    <w:rsid w:val="00DB1A2A"/>
    <w:rsid w:val="00DB2B97"/>
    <w:rsid w:val="00DB3162"/>
    <w:rsid w:val="00DB3FBF"/>
    <w:rsid w:val="00DB4416"/>
    <w:rsid w:val="00DB4465"/>
    <w:rsid w:val="00DB5DDC"/>
    <w:rsid w:val="00DB75AB"/>
    <w:rsid w:val="00DC200B"/>
    <w:rsid w:val="00DC2E6C"/>
    <w:rsid w:val="00DC5043"/>
    <w:rsid w:val="00DC5EBC"/>
    <w:rsid w:val="00DC6D5B"/>
    <w:rsid w:val="00DC725A"/>
    <w:rsid w:val="00DC7688"/>
    <w:rsid w:val="00DD1C57"/>
    <w:rsid w:val="00DD1CB6"/>
    <w:rsid w:val="00DD5AA9"/>
    <w:rsid w:val="00DD5B1F"/>
    <w:rsid w:val="00DD6201"/>
    <w:rsid w:val="00DD7F89"/>
    <w:rsid w:val="00DE3EB7"/>
    <w:rsid w:val="00DE667E"/>
    <w:rsid w:val="00E01B16"/>
    <w:rsid w:val="00E03C1B"/>
    <w:rsid w:val="00E045C2"/>
    <w:rsid w:val="00E05EA6"/>
    <w:rsid w:val="00E07B25"/>
    <w:rsid w:val="00E11FA8"/>
    <w:rsid w:val="00E1218F"/>
    <w:rsid w:val="00E163FC"/>
    <w:rsid w:val="00E16CAC"/>
    <w:rsid w:val="00E17A80"/>
    <w:rsid w:val="00E20F6C"/>
    <w:rsid w:val="00E21393"/>
    <w:rsid w:val="00E23E16"/>
    <w:rsid w:val="00E247DD"/>
    <w:rsid w:val="00E24D6D"/>
    <w:rsid w:val="00E25100"/>
    <w:rsid w:val="00E27405"/>
    <w:rsid w:val="00E2779C"/>
    <w:rsid w:val="00E30C9F"/>
    <w:rsid w:val="00E32142"/>
    <w:rsid w:val="00E34ECB"/>
    <w:rsid w:val="00E35FFB"/>
    <w:rsid w:val="00E364D6"/>
    <w:rsid w:val="00E36C2A"/>
    <w:rsid w:val="00E37D7C"/>
    <w:rsid w:val="00E41562"/>
    <w:rsid w:val="00E44C86"/>
    <w:rsid w:val="00E45B61"/>
    <w:rsid w:val="00E45F07"/>
    <w:rsid w:val="00E47D81"/>
    <w:rsid w:val="00E60D54"/>
    <w:rsid w:val="00E628F8"/>
    <w:rsid w:val="00E644EC"/>
    <w:rsid w:val="00E67677"/>
    <w:rsid w:val="00E7026B"/>
    <w:rsid w:val="00E736C4"/>
    <w:rsid w:val="00E7411B"/>
    <w:rsid w:val="00E76EAF"/>
    <w:rsid w:val="00E76EBD"/>
    <w:rsid w:val="00E813E0"/>
    <w:rsid w:val="00E832A7"/>
    <w:rsid w:val="00E8428D"/>
    <w:rsid w:val="00E852E5"/>
    <w:rsid w:val="00E85F74"/>
    <w:rsid w:val="00E87228"/>
    <w:rsid w:val="00E8753B"/>
    <w:rsid w:val="00E90EF2"/>
    <w:rsid w:val="00E91B51"/>
    <w:rsid w:val="00E9486D"/>
    <w:rsid w:val="00E963D8"/>
    <w:rsid w:val="00E96797"/>
    <w:rsid w:val="00EA3997"/>
    <w:rsid w:val="00EA3E18"/>
    <w:rsid w:val="00EA4451"/>
    <w:rsid w:val="00EB3FA9"/>
    <w:rsid w:val="00EB40E8"/>
    <w:rsid w:val="00EB6393"/>
    <w:rsid w:val="00EB7F7D"/>
    <w:rsid w:val="00EC1DB1"/>
    <w:rsid w:val="00EC223C"/>
    <w:rsid w:val="00EC249D"/>
    <w:rsid w:val="00EC3E8A"/>
    <w:rsid w:val="00EC4294"/>
    <w:rsid w:val="00EC583F"/>
    <w:rsid w:val="00ED222B"/>
    <w:rsid w:val="00ED23A3"/>
    <w:rsid w:val="00ED606C"/>
    <w:rsid w:val="00ED72EC"/>
    <w:rsid w:val="00ED78C5"/>
    <w:rsid w:val="00EE3601"/>
    <w:rsid w:val="00EE3B15"/>
    <w:rsid w:val="00EE6324"/>
    <w:rsid w:val="00EF076D"/>
    <w:rsid w:val="00EF178D"/>
    <w:rsid w:val="00EF1D20"/>
    <w:rsid w:val="00EF2348"/>
    <w:rsid w:val="00F01937"/>
    <w:rsid w:val="00F02AA5"/>
    <w:rsid w:val="00F04CE3"/>
    <w:rsid w:val="00F05FAE"/>
    <w:rsid w:val="00F106DC"/>
    <w:rsid w:val="00F11977"/>
    <w:rsid w:val="00F12F46"/>
    <w:rsid w:val="00F14AF9"/>
    <w:rsid w:val="00F14CB4"/>
    <w:rsid w:val="00F14D46"/>
    <w:rsid w:val="00F1653D"/>
    <w:rsid w:val="00F21D46"/>
    <w:rsid w:val="00F24F32"/>
    <w:rsid w:val="00F27C82"/>
    <w:rsid w:val="00F3200D"/>
    <w:rsid w:val="00F32580"/>
    <w:rsid w:val="00F35495"/>
    <w:rsid w:val="00F37286"/>
    <w:rsid w:val="00F3789C"/>
    <w:rsid w:val="00F378EA"/>
    <w:rsid w:val="00F41794"/>
    <w:rsid w:val="00F44247"/>
    <w:rsid w:val="00F44899"/>
    <w:rsid w:val="00F45977"/>
    <w:rsid w:val="00F46280"/>
    <w:rsid w:val="00F50AF4"/>
    <w:rsid w:val="00F51C17"/>
    <w:rsid w:val="00F53C73"/>
    <w:rsid w:val="00F5418C"/>
    <w:rsid w:val="00F55C93"/>
    <w:rsid w:val="00F57415"/>
    <w:rsid w:val="00F6126D"/>
    <w:rsid w:val="00F62B0D"/>
    <w:rsid w:val="00F63526"/>
    <w:rsid w:val="00F657A9"/>
    <w:rsid w:val="00F670E1"/>
    <w:rsid w:val="00F723AD"/>
    <w:rsid w:val="00F72BE4"/>
    <w:rsid w:val="00F74375"/>
    <w:rsid w:val="00F763EB"/>
    <w:rsid w:val="00F77811"/>
    <w:rsid w:val="00F779E6"/>
    <w:rsid w:val="00F80974"/>
    <w:rsid w:val="00F81E03"/>
    <w:rsid w:val="00F86BCF"/>
    <w:rsid w:val="00F87D74"/>
    <w:rsid w:val="00F90CA3"/>
    <w:rsid w:val="00F93AF8"/>
    <w:rsid w:val="00F93DEE"/>
    <w:rsid w:val="00F93E94"/>
    <w:rsid w:val="00F97421"/>
    <w:rsid w:val="00FA2BA9"/>
    <w:rsid w:val="00FA2D0C"/>
    <w:rsid w:val="00FA3CDA"/>
    <w:rsid w:val="00FA3CEC"/>
    <w:rsid w:val="00FA4BB7"/>
    <w:rsid w:val="00FB0AC1"/>
    <w:rsid w:val="00FB1911"/>
    <w:rsid w:val="00FB30C5"/>
    <w:rsid w:val="00FB6BB3"/>
    <w:rsid w:val="00FB7316"/>
    <w:rsid w:val="00FB7FB0"/>
    <w:rsid w:val="00FC03D7"/>
    <w:rsid w:val="00FC327B"/>
    <w:rsid w:val="00FC5111"/>
    <w:rsid w:val="00FC5F34"/>
    <w:rsid w:val="00FC60F6"/>
    <w:rsid w:val="00FD3F9D"/>
    <w:rsid w:val="00FD66AF"/>
    <w:rsid w:val="00FD6D0C"/>
    <w:rsid w:val="00FE0D80"/>
    <w:rsid w:val="00FE0E7E"/>
    <w:rsid w:val="00FE142B"/>
    <w:rsid w:val="00FE2CE0"/>
    <w:rsid w:val="00FE3D7F"/>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53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C5ED8"/>
    <w:pPr>
      <w:keepNext/>
      <w:tabs>
        <w:tab w:val="left" w:pos="1152"/>
      </w:tabs>
      <w:spacing w:after="360" w:line="360" w:lineRule="atLeast"/>
      <w:ind w:left="432" w:hanging="432"/>
      <w:outlineLvl w:val="1"/>
    </w:pPr>
    <w:rPr>
      <w:b/>
      <w:sz w:val="24"/>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link w:val="BodyTextIndentChar"/>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character" w:customStyle="1" w:styleId="BodyTextIndentChar">
    <w:name w:val="Body Text Indent Char"/>
    <w:link w:val="BodyTextIndent"/>
    <w:rsid w:val="007C5ED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C5ED8"/>
    <w:pPr>
      <w:keepNext/>
      <w:tabs>
        <w:tab w:val="left" w:pos="1152"/>
      </w:tabs>
      <w:spacing w:after="360" w:line="360" w:lineRule="atLeast"/>
      <w:ind w:left="432" w:hanging="432"/>
      <w:outlineLvl w:val="1"/>
    </w:pPr>
    <w:rPr>
      <w:b/>
      <w:sz w:val="24"/>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link w:val="BodyTextIndentChar"/>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semiHidden/>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character" w:customStyle="1" w:styleId="BodyTextIndentChar">
    <w:name w:val="Body Text Indent Char"/>
    <w:link w:val="BodyTextIndent"/>
    <w:rsid w:val="007C5ED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958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1E86A-6219-4162-B916-CEE88847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3742</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25005</CharactersWithSpaces>
  <SharedDoc>false</SharedDoc>
  <HLinks>
    <vt:vector size="12" baseType="variant">
      <vt:variant>
        <vt:i4>2752566</vt:i4>
      </vt:variant>
      <vt:variant>
        <vt:i4>9</vt:i4>
      </vt:variant>
      <vt:variant>
        <vt:i4>0</vt:i4>
      </vt:variant>
      <vt:variant>
        <vt:i4>5</vt:i4>
      </vt:variant>
      <vt:variant>
        <vt:lpwstr>http://www.bls.gov.bls/blswage.htm</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Bailey, Karla (NIH/NCI) [E]</cp:lastModifiedBy>
  <cp:revision>2</cp:revision>
  <cp:lastPrinted>2014-07-10T15:35:00Z</cp:lastPrinted>
  <dcterms:created xsi:type="dcterms:W3CDTF">2015-02-04T20:40:00Z</dcterms:created>
  <dcterms:modified xsi:type="dcterms:W3CDTF">2015-02-04T20:40:00Z</dcterms:modified>
</cp:coreProperties>
</file>