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3C5B0" w14:textId="77777777" w:rsidR="00716F94" w:rsidRPr="00435CDA" w:rsidRDefault="00716F94" w:rsidP="00177627">
      <w:pPr>
        <w:spacing w:after="0"/>
        <w:rPr>
          <w:b/>
        </w:rPr>
      </w:pPr>
    </w:p>
    <w:p w14:paraId="4003A696" w14:textId="44FD8FCA" w:rsidR="009B4A51" w:rsidRPr="00435CDA" w:rsidRDefault="005F4ECB" w:rsidP="00716F94">
      <w:pPr>
        <w:spacing w:after="0"/>
        <w:rPr>
          <w:b/>
        </w:rPr>
      </w:pPr>
      <w:r w:rsidRPr="00435CDA">
        <w:rPr>
          <w:b/>
        </w:rPr>
        <w:t xml:space="preserve">Healthcare </w:t>
      </w:r>
      <w:r w:rsidR="00D04A04" w:rsidRPr="00435CDA">
        <w:rPr>
          <w:b/>
        </w:rPr>
        <w:t>Facilities</w:t>
      </w:r>
      <w:r w:rsidR="00A95006" w:rsidRPr="00435CDA">
        <w:rPr>
          <w:b/>
        </w:rPr>
        <w:t xml:space="preserve"> </w:t>
      </w:r>
      <w:r w:rsidRPr="00435CDA">
        <w:rPr>
          <w:b/>
        </w:rPr>
        <w:t>Gr</w:t>
      </w:r>
      <w:r w:rsidR="003D17D6" w:rsidRPr="00435CDA">
        <w:rPr>
          <w:b/>
        </w:rPr>
        <w:t>anting State Health Departments</w:t>
      </w:r>
      <w:r w:rsidRPr="00435CDA">
        <w:rPr>
          <w:b/>
        </w:rPr>
        <w:t xml:space="preserve"> Access to Electronic Health Record Data during a </w:t>
      </w:r>
      <w:r w:rsidR="00DA2284" w:rsidRPr="00435CDA">
        <w:rPr>
          <w:b/>
        </w:rPr>
        <w:t>Healthcare-A</w:t>
      </w:r>
      <w:r w:rsidR="00C33F23" w:rsidRPr="00435CDA">
        <w:rPr>
          <w:b/>
        </w:rPr>
        <w:t xml:space="preserve">ssociated </w:t>
      </w:r>
      <w:r w:rsidR="00F74FF4" w:rsidRPr="00435CDA">
        <w:rPr>
          <w:b/>
        </w:rPr>
        <w:t>I</w:t>
      </w:r>
      <w:r w:rsidR="00C33F23" w:rsidRPr="00435CDA">
        <w:rPr>
          <w:b/>
        </w:rPr>
        <w:t>nfection</w:t>
      </w:r>
      <w:r w:rsidRPr="00435CDA">
        <w:rPr>
          <w:b/>
        </w:rPr>
        <w:t xml:space="preserve"> Outbreak: A Retrospective Assessment </w:t>
      </w:r>
    </w:p>
    <w:p w14:paraId="671AA46D" w14:textId="77777777" w:rsidR="005F4ECB" w:rsidRPr="00435CDA" w:rsidRDefault="005F4ECB" w:rsidP="00E81A28">
      <w:pPr>
        <w:spacing w:after="0"/>
        <w:jc w:val="center"/>
        <w:rPr>
          <w:b/>
        </w:rPr>
      </w:pPr>
    </w:p>
    <w:p w14:paraId="0422E4EF" w14:textId="77777777" w:rsidR="00AA3192" w:rsidRPr="00435CDA" w:rsidRDefault="00AA3192" w:rsidP="00484011">
      <w:pPr>
        <w:spacing w:after="0"/>
        <w:jc w:val="center"/>
        <w:rPr>
          <w:b/>
        </w:rPr>
      </w:pPr>
    </w:p>
    <w:p w14:paraId="4CEC94F0" w14:textId="63F78096" w:rsidR="00AA3192" w:rsidRDefault="00D7028D" w:rsidP="00716F94">
      <w:pPr>
        <w:spacing w:after="0"/>
      </w:pPr>
      <w:r w:rsidRPr="00435CDA">
        <w:t xml:space="preserve"> New Information Collection Request</w:t>
      </w:r>
    </w:p>
    <w:p w14:paraId="6081CC17" w14:textId="77777777" w:rsidR="006B0F4A" w:rsidRDefault="006B0F4A" w:rsidP="00716F94">
      <w:pPr>
        <w:spacing w:after="0"/>
      </w:pPr>
    </w:p>
    <w:p w14:paraId="6E7F7B26" w14:textId="77777777" w:rsidR="006B0F4A" w:rsidRDefault="006B0F4A" w:rsidP="00716F94">
      <w:pPr>
        <w:spacing w:after="0"/>
      </w:pPr>
    </w:p>
    <w:p w14:paraId="2BA4571E" w14:textId="5AAEEC8B" w:rsidR="006B0F4A" w:rsidRPr="00435CDA" w:rsidRDefault="006B0F4A" w:rsidP="006B0F4A">
      <w:pPr>
        <w:spacing w:after="0"/>
        <w:jc w:val="center"/>
        <w:rPr>
          <w:b/>
        </w:rPr>
      </w:pPr>
      <w:proofErr w:type="gramStart"/>
      <w:r>
        <w:t>OMB No.</w:t>
      </w:r>
      <w:proofErr w:type="gramEnd"/>
      <w:r>
        <w:t xml:space="preserve"> </w:t>
      </w:r>
      <w:r w:rsidRPr="002B1F09">
        <w:rPr>
          <w:highlight w:val="yellow"/>
        </w:rPr>
        <w:t>XX</w:t>
      </w:r>
    </w:p>
    <w:p w14:paraId="2B1A976D" w14:textId="77777777" w:rsidR="00AA3192" w:rsidRPr="00435CDA" w:rsidRDefault="00AA3192" w:rsidP="00716F94">
      <w:pPr>
        <w:spacing w:after="0"/>
        <w:rPr>
          <w:b/>
        </w:rPr>
      </w:pPr>
    </w:p>
    <w:p w14:paraId="362FFB14" w14:textId="77777777" w:rsidR="009B4A51" w:rsidRPr="00435CDA" w:rsidRDefault="00E62043" w:rsidP="009B4A51">
      <w:pPr>
        <w:spacing w:after="0"/>
        <w:jc w:val="center"/>
      </w:pPr>
      <w:r w:rsidRPr="00435CDA">
        <w:rPr>
          <w:b/>
        </w:rPr>
        <w:t>Part</w:t>
      </w:r>
      <w:r w:rsidR="009B4A51" w:rsidRPr="00435CDA">
        <w:rPr>
          <w:b/>
        </w:rPr>
        <w:t xml:space="preserve"> A</w:t>
      </w:r>
    </w:p>
    <w:p w14:paraId="69BFF6DE" w14:textId="77777777" w:rsidR="009B4A51" w:rsidRPr="00435CDA" w:rsidRDefault="009B4A51" w:rsidP="00716F94">
      <w:pPr>
        <w:spacing w:after="0"/>
        <w:rPr>
          <w:b/>
        </w:rPr>
      </w:pPr>
    </w:p>
    <w:p w14:paraId="046EA33B" w14:textId="77777777" w:rsidR="00187D5A" w:rsidRPr="00435CDA" w:rsidRDefault="00187D5A" w:rsidP="00716F94">
      <w:pPr>
        <w:spacing w:after="0"/>
        <w:rPr>
          <w:b/>
        </w:rPr>
      </w:pPr>
    </w:p>
    <w:p w14:paraId="2378B639" w14:textId="50E1B643" w:rsidR="009B4A51" w:rsidRPr="00435CDA" w:rsidRDefault="009B4A51" w:rsidP="009B4A51">
      <w:pPr>
        <w:spacing w:after="0"/>
        <w:jc w:val="center"/>
      </w:pPr>
      <w:r w:rsidRPr="00435CDA">
        <w:rPr>
          <w:b/>
        </w:rPr>
        <w:t>Submitted:</w:t>
      </w:r>
      <w:r w:rsidR="00137D1B" w:rsidRPr="00435CDA">
        <w:t xml:space="preserve"> </w:t>
      </w:r>
      <w:r w:rsidR="0006790E">
        <w:t xml:space="preserve">February </w:t>
      </w:r>
      <w:r w:rsidR="00E46427">
        <w:t>19</w:t>
      </w:r>
      <w:r w:rsidR="002F5D97">
        <w:t>, 2015</w:t>
      </w:r>
    </w:p>
    <w:p w14:paraId="68F36D7D" w14:textId="77777777" w:rsidR="009B4A51" w:rsidRPr="00435CDA" w:rsidRDefault="009B4A51" w:rsidP="00716F94">
      <w:pPr>
        <w:spacing w:after="0"/>
        <w:rPr>
          <w:b/>
        </w:rPr>
      </w:pPr>
    </w:p>
    <w:p w14:paraId="5DBC4ADF" w14:textId="77777777" w:rsidR="009B4A51" w:rsidRPr="00435CDA" w:rsidRDefault="009B4A51" w:rsidP="00716F94">
      <w:pPr>
        <w:spacing w:after="0"/>
        <w:rPr>
          <w:b/>
        </w:rPr>
      </w:pPr>
    </w:p>
    <w:p w14:paraId="1B912D86" w14:textId="77777777" w:rsidR="009319DA" w:rsidRPr="00435CDA" w:rsidRDefault="009319DA" w:rsidP="009319DA">
      <w:pPr>
        <w:spacing w:after="0"/>
        <w:rPr>
          <w:b/>
          <w:u w:val="single"/>
        </w:rPr>
      </w:pPr>
      <w:r w:rsidRPr="00435CDA">
        <w:rPr>
          <w:b/>
          <w:u w:val="single"/>
        </w:rPr>
        <w:t>Program Officials/Project Officers</w:t>
      </w:r>
    </w:p>
    <w:p w14:paraId="2B8C1F5C" w14:textId="77777777" w:rsidR="009319DA" w:rsidRPr="00435CDA" w:rsidRDefault="009319DA" w:rsidP="009319DA">
      <w:pPr>
        <w:spacing w:after="0" w:line="240" w:lineRule="auto"/>
        <w:rPr>
          <w:rFonts w:cs="Times New Roman"/>
          <w:bCs/>
        </w:rPr>
      </w:pPr>
      <w:r w:rsidRPr="00435CDA">
        <w:t xml:space="preserve">Elizabeth </w:t>
      </w:r>
      <w:proofErr w:type="spellStart"/>
      <w:r w:rsidRPr="00435CDA">
        <w:t>Mothershed</w:t>
      </w:r>
      <w:proofErr w:type="spellEnd"/>
      <w:r w:rsidRPr="00435CDA">
        <w:t xml:space="preserve">, Deputy Director for Policy (Acting) </w:t>
      </w:r>
    </w:p>
    <w:p w14:paraId="399BD04F" w14:textId="77777777" w:rsidR="009319DA" w:rsidRPr="00435CDA" w:rsidRDefault="009319DA" w:rsidP="009319DA">
      <w:pPr>
        <w:spacing w:after="0" w:line="240" w:lineRule="auto"/>
        <w:rPr>
          <w:rFonts w:cs="Times New Roman"/>
        </w:rPr>
      </w:pPr>
      <w:r w:rsidRPr="00435CDA">
        <w:rPr>
          <w:rFonts w:cs="Times New Roman"/>
        </w:rPr>
        <w:t>Centers for Disease Control and Prevention</w:t>
      </w:r>
    </w:p>
    <w:p w14:paraId="29932FE8" w14:textId="77777777" w:rsidR="009319DA" w:rsidRPr="00435CDA" w:rsidRDefault="009319DA" w:rsidP="009319DA">
      <w:pPr>
        <w:spacing w:after="0" w:line="240" w:lineRule="auto"/>
        <w:rPr>
          <w:rFonts w:cs="Times New Roman"/>
        </w:rPr>
      </w:pPr>
      <w:r w:rsidRPr="00435CDA">
        <w:rPr>
          <w:rFonts w:cs="Times New Roman"/>
        </w:rPr>
        <w:t xml:space="preserve">Division of Healthcare Quality and Promotion </w:t>
      </w:r>
    </w:p>
    <w:p w14:paraId="0EA19C85" w14:textId="77777777" w:rsidR="009319DA" w:rsidRPr="00435CDA" w:rsidRDefault="009319DA" w:rsidP="009319DA">
      <w:pPr>
        <w:spacing w:after="0" w:line="240" w:lineRule="auto"/>
        <w:rPr>
          <w:rFonts w:cs="Times New Roman"/>
        </w:rPr>
      </w:pPr>
      <w:r w:rsidRPr="00435CDA">
        <w:rPr>
          <w:rFonts w:cs="Times New Roman"/>
        </w:rPr>
        <w:t>1600 Clifton Rd, Mailstop A07, Atlanta, GA 30333</w:t>
      </w:r>
    </w:p>
    <w:p w14:paraId="68FE477F" w14:textId="77777777" w:rsidR="009319DA" w:rsidRPr="00435CDA" w:rsidRDefault="009319DA" w:rsidP="009319DA">
      <w:pPr>
        <w:spacing w:after="0" w:line="240" w:lineRule="auto"/>
        <w:rPr>
          <w:rFonts w:cs="Times New Roman"/>
        </w:rPr>
      </w:pPr>
      <w:r w:rsidRPr="00435CDA">
        <w:rPr>
          <w:rFonts w:cs="Times New Roman"/>
        </w:rPr>
        <w:t>Phone: 404-639-4780</w:t>
      </w:r>
    </w:p>
    <w:p w14:paraId="7E09C147" w14:textId="77777777" w:rsidR="009319DA" w:rsidRPr="00435CDA" w:rsidRDefault="009319DA" w:rsidP="009319DA">
      <w:pPr>
        <w:spacing w:after="0" w:line="240" w:lineRule="auto"/>
        <w:rPr>
          <w:rFonts w:cs="Times New Roman"/>
        </w:rPr>
      </w:pPr>
      <w:r w:rsidRPr="00435CDA">
        <w:rPr>
          <w:rFonts w:cs="Times New Roman"/>
        </w:rPr>
        <w:t xml:space="preserve">Email: </w:t>
      </w:r>
      <w:hyperlink r:id="rId9" w:history="1">
        <w:r w:rsidRPr="00435CDA">
          <w:rPr>
            <w:rStyle w:val="Hyperlink"/>
            <w:rFonts w:cs="Times New Roman"/>
          </w:rPr>
          <w:t>emothershed@cdc.gov</w:t>
        </w:r>
      </w:hyperlink>
    </w:p>
    <w:p w14:paraId="5748C172" w14:textId="77777777" w:rsidR="009319DA" w:rsidRPr="00435CDA" w:rsidRDefault="009319DA" w:rsidP="009319DA">
      <w:pPr>
        <w:spacing w:after="0" w:line="240" w:lineRule="auto"/>
        <w:rPr>
          <w:rFonts w:cs="Times New Roman"/>
        </w:rPr>
      </w:pPr>
      <w:r w:rsidRPr="00435CDA">
        <w:rPr>
          <w:rFonts w:cs="Times New Roman"/>
        </w:rPr>
        <w:t>Fax: 404-639-4043</w:t>
      </w:r>
    </w:p>
    <w:p w14:paraId="1D32079C" w14:textId="77777777" w:rsidR="009319DA" w:rsidRPr="00435CDA" w:rsidRDefault="009319DA" w:rsidP="009319DA">
      <w:pPr>
        <w:spacing w:after="0"/>
      </w:pPr>
    </w:p>
    <w:p w14:paraId="235AB34E" w14:textId="77777777" w:rsidR="009319DA" w:rsidRPr="00435CDA" w:rsidRDefault="009319DA" w:rsidP="009319DA">
      <w:pPr>
        <w:spacing w:after="0" w:line="240" w:lineRule="auto"/>
      </w:pPr>
      <w:r w:rsidRPr="00435CDA">
        <w:t>Matthew Penn, Director, Public Health Law Program</w:t>
      </w:r>
    </w:p>
    <w:p w14:paraId="699D83B0" w14:textId="77777777" w:rsidR="009319DA" w:rsidRPr="00435CDA" w:rsidRDefault="009319DA" w:rsidP="009319DA">
      <w:pPr>
        <w:spacing w:after="0" w:line="240" w:lineRule="auto"/>
      </w:pPr>
      <w:r w:rsidRPr="00435CDA">
        <w:t>Centers for Disease Control and Prevention</w:t>
      </w:r>
    </w:p>
    <w:p w14:paraId="5AD1D44C" w14:textId="1D30D5DF" w:rsidR="009319DA" w:rsidRPr="00435CDA" w:rsidRDefault="009319DA" w:rsidP="009319DA">
      <w:pPr>
        <w:spacing w:after="0" w:line="240" w:lineRule="auto"/>
      </w:pPr>
      <w:r w:rsidRPr="00435CDA">
        <w:t xml:space="preserve">Office </w:t>
      </w:r>
      <w:r w:rsidR="00EC3B52" w:rsidRPr="00435CDA">
        <w:t>for</w:t>
      </w:r>
      <w:r w:rsidRPr="00435CDA">
        <w:t xml:space="preserve"> State, Tribal, Local</w:t>
      </w:r>
      <w:r w:rsidR="00AD3AFC" w:rsidRPr="00435CDA">
        <w:t xml:space="preserve"> </w:t>
      </w:r>
      <w:r w:rsidRPr="00435CDA">
        <w:t>and Territorial Support</w:t>
      </w:r>
    </w:p>
    <w:p w14:paraId="3ECA4DE3" w14:textId="77777777" w:rsidR="009319DA" w:rsidRPr="00435CDA" w:rsidRDefault="009319DA" w:rsidP="009319DA">
      <w:pPr>
        <w:spacing w:after="0" w:line="240" w:lineRule="auto"/>
      </w:pPr>
      <w:r w:rsidRPr="00435CDA">
        <w:t>2500 Century Center Boulevard, Mailstop, E70, Atlanta, GA 30345</w:t>
      </w:r>
    </w:p>
    <w:p w14:paraId="721AD4FA" w14:textId="77777777" w:rsidR="009319DA" w:rsidRPr="00435CDA" w:rsidRDefault="009319DA" w:rsidP="009319DA">
      <w:pPr>
        <w:spacing w:after="0" w:line="240" w:lineRule="auto"/>
      </w:pPr>
      <w:r w:rsidRPr="00435CDA">
        <w:t>Phone: 404-498-0452</w:t>
      </w:r>
    </w:p>
    <w:p w14:paraId="0A698105" w14:textId="77777777" w:rsidR="009319DA" w:rsidRPr="00435CDA" w:rsidRDefault="009319DA" w:rsidP="009319DA">
      <w:pPr>
        <w:spacing w:after="0" w:line="240" w:lineRule="auto"/>
      </w:pPr>
      <w:r w:rsidRPr="00435CDA">
        <w:t>Email:mpenn@cdc.gov</w:t>
      </w:r>
    </w:p>
    <w:p w14:paraId="0C875C95" w14:textId="77777777" w:rsidR="009319DA" w:rsidRPr="00435CDA" w:rsidRDefault="009319DA" w:rsidP="009319DA">
      <w:pPr>
        <w:spacing w:after="0" w:line="240" w:lineRule="auto"/>
      </w:pPr>
      <w:r w:rsidRPr="00435CDA">
        <w:t>Fax: 404-498-6882</w:t>
      </w:r>
    </w:p>
    <w:p w14:paraId="3FF789B5" w14:textId="77777777" w:rsidR="009319DA" w:rsidRPr="00435CDA" w:rsidRDefault="009319DA" w:rsidP="009319DA">
      <w:pPr>
        <w:spacing w:after="0"/>
      </w:pPr>
    </w:p>
    <w:p w14:paraId="166ACCD5" w14:textId="77777777" w:rsidR="009319DA" w:rsidRPr="00435CDA" w:rsidRDefault="009319DA" w:rsidP="009319DA">
      <w:pPr>
        <w:spacing w:after="0" w:line="240" w:lineRule="auto"/>
      </w:pPr>
      <w:r w:rsidRPr="00435CDA">
        <w:t>Laura Conn, Lead, Health Information Technology Strategy Unit</w:t>
      </w:r>
    </w:p>
    <w:p w14:paraId="1A40C652" w14:textId="77777777" w:rsidR="009319DA" w:rsidRPr="00435CDA" w:rsidRDefault="009319DA" w:rsidP="009319DA">
      <w:pPr>
        <w:spacing w:after="0" w:line="240" w:lineRule="auto"/>
      </w:pPr>
      <w:r w:rsidRPr="00435CDA">
        <w:t>Centers for Disease Control and Prevention</w:t>
      </w:r>
    </w:p>
    <w:p w14:paraId="42050172" w14:textId="77777777" w:rsidR="009319DA" w:rsidRPr="00435CDA" w:rsidRDefault="009319DA" w:rsidP="009319DA">
      <w:pPr>
        <w:spacing w:after="0" w:line="240" w:lineRule="auto"/>
      </w:pPr>
      <w:r w:rsidRPr="00435CDA">
        <w:t>Office of Public Health Scientific Services</w:t>
      </w:r>
    </w:p>
    <w:p w14:paraId="55153B18" w14:textId="77777777" w:rsidR="009319DA" w:rsidRPr="00435CDA" w:rsidRDefault="009319DA" w:rsidP="009319DA">
      <w:pPr>
        <w:spacing w:after="0" w:line="240" w:lineRule="auto"/>
      </w:pPr>
      <w:r w:rsidRPr="00435CDA">
        <w:t>2500 Century Center Boulevard, Mailstop, E97, Atlanta, GA 30345</w:t>
      </w:r>
    </w:p>
    <w:p w14:paraId="2A88E8E7" w14:textId="77777777" w:rsidR="009319DA" w:rsidRPr="00435CDA" w:rsidRDefault="009319DA" w:rsidP="009319DA">
      <w:pPr>
        <w:spacing w:after="0" w:line="240" w:lineRule="auto"/>
      </w:pPr>
      <w:r w:rsidRPr="00435CDA">
        <w:t>Phone: 404-498-0971</w:t>
      </w:r>
    </w:p>
    <w:p w14:paraId="615BAFF2" w14:textId="77777777" w:rsidR="009319DA" w:rsidRPr="00435CDA" w:rsidRDefault="009319DA" w:rsidP="009319DA">
      <w:pPr>
        <w:spacing w:after="0" w:line="240" w:lineRule="auto"/>
      </w:pPr>
      <w:r w:rsidRPr="00435CDA">
        <w:t>Email:lconn@cdc.gov</w:t>
      </w:r>
    </w:p>
    <w:p w14:paraId="1579C270" w14:textId="77777777" w:rsidR="009319DA" w:rsidRDefault="009319DA" w:rsidP="009319DA">
      <w:pPr>
        <w:spacing w:after="0" w:line="240" w:lineRule="auto"/>
      </w:pPr>
      <w:r w:rsidRPr="00435CDA">
        <w:t>Fax: 404-498-6235</w:t>
      </w:r>
    </w:p>
    <w:p w14:paraId="09766100" w14:textId="77777777" w:rsidR="005F2802" w:rsidRDefault="005F2802" w:rsidP="009319DA">
      <w:pPr>
        <w:spacing w:after="0" w:line="240" w:lineRule="auto"/>
      </w:pPr>
    </w:p>
    <w:p w14:paraId="1D7403F6" w14:textId="77777777" w:rsidR="005F2802" w:rsidRDefault="005F2802" w:rsidP="009319DA">
      <w:pPr>
        <w:spacing w:after="0" w:line="240" w:lineRule="auto"/>
      </w:pPr>
    </w:p>
    <w:p w14:paraId="26BBD4E2" w14:textId="77777777" w:rsidR="0006790E" w:rsidRDefault="0006790E" w:rsidP="009319DA">
      <w:pPr>
        <w:spacing w:after="0" w:line="240" w:lineRule="auto"/>
      </w:pPr>
    </w:p>
    <w:p w14:paraId="0EE2B5BA" w14:textId="77777777" w:rsidR="0006790E" w:rsidRDefault="0006790E" w:rsidP="009319DA">
      <w:pPr>
        <w:spacing w:after="0" w:line="240" w:lineRule="auto"/>
      </w:pPr>
    </w:p>
    <w:p w14:paraId="65542E7A" w14:textId="77777777" w:rsidR="0006790E" w:rsidRDefault="0006790E" w:rsidP="009319DA">
      <w:pPr>
        <w:spacing w:after="0" w:line="240" w:lineRule="auto"/>
      </w:pPr>
    </w:p>
    <w:p w14:paraId="3FF14597" w14:textId="77777777" w:rsidR="0006790E" w:rsidRDefault="0006790E" w:rsidP="009319DA">
      <w:pPr>
        <w:spacing w:after="0" w:line="240" w:lineRule="auto"/>
      </w:pPr>
    </w:p>
    <w:sdt>
      <w:sdtPr>
        <w:rPr>
          <w:rFonts w:asciiTheme="minorHAnsi" w:eastAsiaTheme="minorEastAsia" w:hAnsiTheme="minorHAnsi" w:cstheme="minorBidi"/>
          <w:b w:val="0"/>
          <w:bCs w:val="0"/>
          <w:color w:val="auto"/>
          <w:sz w:val="22"/>
          <w:szCs w:val="22"/>
          <w:lang w:eastAsia="en-US"/>
        </w:rPr>
        <w:id w:val="387767034"/>
        <w:docPartObj>
          <w:docPartGallery w:val="Table of Contents"/>
          <w:docPartUnique/>
        </w:docPartObj>
      </w:sdtPr>
      <w:sdtEndPr>
        <w:rPr>
          <w:noProof/>
        </w:rPr>
      </w:sdtEndPr>
      <w:sdtContent>
        <w:sdt>
          <w:sdtPr>
            <w:rPr>
              <w:rFonts w:asciiTheme="minorHAnsi" w:eastAsiaTheme="minorEastAsia" w:hAnsiTheme="minorHAnsi" w:cstheme="minorBidi"/>
              <w:b w:val="0"/>
              <w:bCs w:val="0"/>
              <w:color w:val="auto"/>
              <w:sz w:val="22"/>
              <w:szCs w:val="22"/>
              <w:lang w:eastAsia="en-US"/>
            </w:rPr>
            <w:id w:val="-674039196"/>
            <w:docPartObj>
              <w:docPartGallery w:val="Table of Contents"/>
              <w:docPartUnique/>
            </w:docPartObj>
          </w:sdtPr>
          <w:sdtEndPr>
            <w:rPr>
              <w:noProof/>
            </w:rPr>
          </w:sdtEndPr>
          <w:sdtContent>
            <w:p w14:paraId="7B250F43" w14:textId="69C9F167" w:rsidR="00F07244" w:rsidRPr="00435CDA" w:rsidRDefault="008D01F5" w:rsidP="008D01F5">
              <w:pPr>
                <w:pStyle w:val="TOCHeading"/>
                <w:jc w:val="center"/>
                <w:rPr>
                  <w:rFonts w:asciiTheme="minorHAnsi" w:hAnsiTheme="minorHAnsi"/>
                  <w:color w:val="auto"/>
                  <w:sz w:val="22"/>
                  <w:szCs w:val="22"/>
                </w:rPr>
              </w:pPr>
              <w:r w:rsidRPr="00435CDA">
                <w:rPr>
                  <w:rFonts w:asciiTheme="minorHAnsi" w:hAnsiTheme="minorHAnsi"/>
                  <w:color w:val="auto"/>
                  <w:sz w:val="22"/>
                  <w:szCs w:val="22"/>
                </w:rPr>
                <w:t xml:space="preserve">Table of </w:t>
              </w:r>
              <w:r w:rsidR="00F07244" w:rsidRPr="00435CDA">
                <w:rPr>
                  <w:rFonts w:asciiTheme="minorHAnsi" w:hAnsiTheme="minorHAnsi"/>
                  <w:color w:val="auto"/>
                  <w:sz w:val="22"/>
                  <w:szCs w:val="22"/>
                </w:rPr>
                <w:t>Contents</w:t>
              </w:r>
            </w:p>
            <w:p w14:paraId="57C76F9B" w14:textId="77777777" w:rsidR="008D01F5" w:rsidRPr="00435CDA" w:rsidRDefault="008D01F5" w:rsidP="008D01F5">
              <w:pPr>
                <w:rPr>
                  <w:lang w:eastAsia="ja-JP"/>
                </w:rPr>
              </w:pPr>
            </w:p>
            <w:p w14:paraId="63193C1C" w14:textId="77777777" w:rsidR="009924C4" w:rsidRDefault="00F07244">
              <w:pPr>
                <w:pStyle w:val="TOC1"/>
                <w:tabs>
                  <w:tab w:val="left" w:pos="440"/>
                  <w:tab w:val="right" w:leader="dot" w:pos="9350"/>
                </w:tabs>
                <w:rPr>
                  <w:noProof/>
                </w:rPr>
              </w:pPr>
              <w:r w:rsidRPr="00435CDA">
                <w:fldChar w:fldCharType="begin"/>
              </w:r>
              <w:r w:rsidRPr="00435CDA">
                <w:instrText xml:space="preserve"> TOC \o "1-3" \h \z \u </w:instrText>
              </w:r>
              <w:r w:rsidRPr="00435CDA">
                <w:fldChar w:fldCharType="separate"/>
              </w:r>
              <w:hyperlink w:anchor="_Toc412038033" w:history="1">
                <w:r w:rsidR="009924C4" w:rsidRPr="007A11C9">
                  <w:rPr>
                    <w:rStyle w:val="Hyperlink"/>
                    <w:noProof/>
                  </w:rPr>
                  <w:t>A.</w:t>
                </w:r>
                <w:r w:rsidR="009924C4">
                  <w:rPr>
                    <w:noProof/>
                  </w:rPr>
                  <w:tab/>
                </w:r>
                <w:r w:rsidR="009924C4" w:rsidRPr="007A11C9">
                  <w:rPr>
                    <w:rStyle w:val="Hyperlink"/>
                    <w:noProof/>
                  </w:rPr>
                  <w:t>Justification</w:t>
                </w:r>
                <w:r w:rsidR="009924C4">
                  <w:rPr>
                    <w:noProof/>
                    <w:webHidden/>
                  </w:rPr>
                  <w:tab/>
                </w:r>
                <w:r w:rsidR="009924C4">
                  <w:rPr>
                    <w:noProof/>
                    <w:webHidden/>
                  </w:rPr>
                  <w:fldChar w:fldCharType="begin"/>
                </w:r>
                <w:r w:rsidR="009924C4">
                  <w:rPr>
                    <w:noProof/>
                    <w:webHidden/>
                  </w:rPr>
                  <w:instrText xml:space="preserve"> PAGEREF _Toc412038033 \h </w:instrText>
                </w:r>
                <w:r w:rsidR="009924C4">
                  <w:rPr>
                    <w:noProof/>
                    <w:webHidden/>
                  </w:rPr>
                </w:r>
                <w:r w:rsidR="009924C4">
                  <w:rPr>
                    <w:noProof/>
                    <w:webHidden/>
                  </w:rPr>
                  <w:fldChar w:fldCharType="separate"/>
                </w:r>
                <w:r w:rsidR="009924C4">
                  <w:rPr>
                    <w:noProof/>
                    <w:webHidden/>
                  </w:rPr>
                  <w:t>4</w:t>
                </w:r>
                <w:r w:rsidR="009924C4">
                  <w:rPr>
                    <w:noProof/>
                    <w:webHidden/>
                  </w:rPr>
                  <w:fldChar w:fldCharType="end"/>
                </w:r>
              </w:hyperlink>
            </w:p>
            <w:p w14:paraId="5A23D995" w14:textId="77777777" w:rsidR="009924C4" w:rsidRDefault="009924C4">
              <w:pPr>
                <w:pStyle w:val="TOC2"/>
                <w:tabs>
                  <w:tab w:val="left" w:pos="660"/>
                  <w:tab w:val="right" w:leader="dot" w:pos="9350"/>
                </w:tabs>
                <w:rPr>
                  <w:noProof/>
                </w:rPr>
              </w:pPr>
              <w:hyperlink w:anchor="_Toc412038034" w:history="1">
                <w:r w:rsidRPr="007A11C9">
                  <w:rPr>
                    <w:rStyle w:val="Hyperlink"/>
                    <w:noProof/>
                  </w:rPr>
                  <w:t>1.</w:t>
                </w:r>
                <w:r>
                  <w:rPr>
                    <w:noProof/>
                  </w:rPr>
                  <w:tab/>
                </w:r>
                <w:r w:rsidRPr="007A11C9">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_Toc412038034 \h </w:instrText>
                </w:r>
                <w:r>
                  <w:rPr>
                    <w:noProof/>
                    <w:webHidden/>
                  </w:rPr>
                </w:r>
                <w:r>
                  <w:rPr>
                    <w:noProof/>
                    <w:webHidden/>
                  </w:rPr>
                  <w:fldChar w:fldCharType="separate"/>
                </w:r>
                <w:r>
                  <w:rPr>
                    <w:noProof/>
                    <w:webHidden/>
                  </w:rPr>
                  <w:t>4</w:t>
                </w:r>
                <w:r>
                  <w:rPr>
                    <w:noProof/>
                    <w:webHidden/>
                  </w:rPr>
                  <w:fldChar w:fldCharType="end"/>
                </w:r>
              </w:hyperlink>
            </w:p>
            <w:p w14:paraId="2C5F1A0C" w14:textId="77777777" w:rsidR="009924C4" w:rsidRDefault="009924C4">
              <w:pPr>
                <w:pStyle w:val="TOC2"/>
                <w:tabs>
                  <w:tab w:val="left" w:pos="660"/>
                  <w:tab w:val="right" w:leader="dot" w:pos="9350"/>
                </w:tabs>
                <w:rPr>
                  <w:noProof/>
                </w:rPr>
              </w:pPr>
              <w:hyperlink w:anchor="_Toc412038035" w:history="1">
                <w:r w:rsidRPr="007A11C9">
                  <w:rPr>
                    <w:rStyle w:val="Hyperlink"/>
                    <w:rFonts w:eastAsiaTheme="majorEastAsia" w:cstheme="majorBidi"/>
                    <w:noProof/>
                  </w:rPr>
                  <w:t>2.</w:t>
                </w:r>
                <w:r>
                  <w:rPr>
                    <w:noProof/>
                  </w:rPr>
                  <w:tab/>
                </w:r>
                <w:r w:rsidRPr="007A11C9">
                  <w:rPr>
                    <w:rStyle w:val="Hyperlink"/>
                    <w:rFonts w:eastAsiaTheme="majorEastAsia" w:cstheme="majorBidi"/>
                    <w:noProof/>
                  </w:rPr>
                  <w:t>Purpose and Use of the Information Collection</w:t>
                </w:r>
                <w:r>
                  <w:rPr>
                    <w:noProof/>
                    <w:webHidden/>
                  </w:rPr>
                  <w:tab/>
                </w:r>
                <w:r>
                  <w:rPr>
                    <w:noProof/>
                    <w:webHidden/>
                  </w:rPr>
                  <w:fldChar w:fldCharType="begin"/>
                </w:r>
                <w:r>
                  <w:rPr>
                    <w:noProof/>
                    <w:webHidden/>
                  </w:rPr>
                  <w:instrText xml:space="preserve"> PAGEREF _Toc412038035 \h </w:instrText>
                </w:r>
                <w:r>
                  <w:rPr>
                    <w:noProof/>
                    <w:webHidden/>
                  </w:rPr>
                </w:r>
                <w:r>
                  <w:rPr>
                    <w:noProof/>
                    <w:webHidden/>
                  </w:rPr>
                  <w:fldChar w:fldCharType="separate"/>
                </w:r>
                <w:r>
                  <w:rPr>
                    <w:noProof/>
                    <w:webHidden/>
                  </w:rPr>
                  <w:t>6</w:t>
                </w:r>
                <w:r>
                  <w:rPr>
                    <w:noProof/>
                    <w:webHidden/>
                  </w:rPr>
                  <w:fldChar w:fldCharType="end"/>
                </w:r>
              </w:hyperlink>
            </w:p>
            <w:p w14:paraId="57770DEF" w14:textId="77777777" w:rsidR="009924C4" w:rsidRDefault="009924C4">
              <w:pPr>
                <w:pStyle w:val="TOC2"/>
                <w:tabs>
                  <w:tab w:val="left" w:pos="660"/>
                  <w:tab w:val="right" w:leader="dot" w:pos="9350"/>
                </w:tabs>
                <w:rPr>
                  <w:noProof/>
                </w:rPr>
              </w:pPr>
              <w:hyperlink w:anchor="_Toc412038036" w:history="1">
                <w:r w:rsidRPr="007A11C9">
                  <w:rPr>
                    <w:rStyle w:val="Hyperlink"/>
                    <w:noProof/>
                  </w:rPr>
                  <w:t>3.</w:t>
                </w:r>
                <w:r>
                  <w:rPr>
                    <w:noProof/>
                  </w:rPr>
                  <w:tab/>
                </w:r>
                <w:r w:rsidRPr="007A11C9">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_Toc412038036 \h </w:instrText>
                </w:r>
                <w:r>
                  <w:rPr>
                    <w:noProof/>
                    <w:webHidden/>
                  </w:rPr>
                </w:r>
                <w:r>
                  <w:rPr>
                    <w:noProof/>
                    <w:webHidden/>
                  </w:rPr>
                  <w:fldChar w:fldCharType="separate"/>
                </w:r>
                <w:r>
                  <w:rPr>
                    <w:noProof/>
                    <w:webHidden/>
                  </w:rPr>
                  <w:t>6</w:t>
                </w:r>
                <w:r>
                  <w:rPr>
                    <w:noProof/>
                    <w:webHidden/>
                  </w:rPr>
                  <w:fldChar w:fldCharType="end"/>
                </w:r>
              </w:hyperlink>
            </w:p>
            <w:p w14:paraId="0D5E5FEC" w14:textId="77777777" w:rsidR="009924C4" w:rsidRDefault="009924C4">
              <w:pPr>
                <w:pStyle w:val="TOC2"/>
                <w:tabs>
                  <w:tab w:val="left" w:pos="660"/>
                  <w:tab w:val="right" w:leader="dot" w:pos="9350"/>
                </w:tabs>
                <w:rPr>
                  <w:noProof/>
                </w:rPr>
              </w:pPr>
              <w:hyperlink w:anchor="_Toc412038037" w:history="1">
                <w:r w:rsidRPr="007A11C9">
                  <w:rPr>
                    <w:rStyle w:val="Hyperlink"/>
                    <w:noProof/>
                  </w:rPr>
                  <w:t>4.</w:t>
                </w:r>
                <w:r>
                  <w:rPr>
                    <w:noProof/>
                  </w:rPr>
                  <w:tab/>
                </w:r>
                <w:r w:rsidRPr="007A11C9">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_Toc412038037 \h </w:instrText>
                </w:r>
                <w:r>
                  <w:rPr>
                    <w:noProof/>
                    <w:webHidden/>
                  </w:rPr>
                </w:r>
                <w:r>
                  <w:rPr>
                    <w:noProof/>
                    <w:webHidden/>
                  </w:rPr>
                  <w:fldChar w:fldCharType="separate"/>
                </w:r>
                <w:r>
                  <w:rPr>
                    <w:noProof/>
                    <w:webHidden/>
                  </w:rPr>
                  <w:t>7</w:t>
                </w:r>
                <w:r>
                  <w:rPr>
                    <w:noProof/>
                    <w:webHidden/>
                  </w:rPr>
                  <w:fldChar w:fldCharType="end"/>
                </w:r>
              </w:hyperlink>
            </w:p>
            <w:p w14:paraId="789288E5" w14:textId="77777777" w:rsidR="009924C4" w:rsidRDefault="009924C4">
              <w:pPr>
                <w:pStyle w:val="TOC2"/>
                <w:tabs>
                  <w:tab w:val="left" w:pos="660"/>
                  <w:tab w:val="right" w:leader="dot" w:pos="9350"/>
                </w:tabs>
                <w:rPr>
                  <w:noProof/>
                </w:rPr>
              </w:pPr>
              <w:hyperlink w:anchor="_Toc412038038" w:history="1">
                <w:r w:rsidRPr="007A11C9">
                  <w:rPr>
                    <w:rStyle w:val="Hyperlink"/>
                    <w:noProof/>
                  </w:rPr>
                  <w:t>5.</w:t>
                </w:r>
                <w:r>
                  <w:rPr>
                    <w:noProof/>
                  </w:rPr>
                  <w:tab/>
                </w:r>
                <w:r w:rsidRPr="007A11C9">
                  <w:rPr>
                    <w:rStyle w:val="Hyperlink"/>
                    <w:noProof/>
                  </w:rPr>
                  <w:t>Impact on Small Businesses or Other Small Entities</w:t>
                </w:r>
                <w:r>
                  <w:rPr>
                    <w:noProof/>
                    <w:webHidden/>
                  </w:rPr>
                  <w:tab/>
                </w:r>
                <w:r>
                  <w:rPr>
                    <w:noProof/>
                    <w:webHidden/>
                  </w:rPr>
                  <w:fldChar w:fldCharType="begin"/>
                </w:r>
                <w:r>
                  <w:rPr>
                    <w:noProof/>
                    <w:webHidden/>
                  </w:rPr>
                  <w:instrText xml:space="preserve"> PAGEREF _Toc412038038 \h </w:instrText>
                </w:r>
                <w:r>
                  <w:rPr>
                    <w:noProof/>
                    <w:webHidden/>
                  </w:rPr>
                </w:r>
                <w:r>
                  <w:rPr>
                    <w:noProof/>
                    <w:webHidden/>
                  </w:rPr>
                  <w:fldChar w:fldCharType="separate"/>
                </w:r>
                <w:r>
                  <w:rPr>
                    <w:noProof/>
                    <w:webHidden/>
                  </w:rPr>
                  <w:t>7</w:t>
                </w:r>
                <w:r>
                  <w:rPr>
                    <w:noProof/>
                    <w:webHidden/>
                  </w:rPr>
                  <w:fldChar w:fldCharType="end"/>
                </w:r>
              </w:hyperlink>
            </w:p>
            <w:p w14:paraId="289AA0D2" w14:textId="77777777" w:rsidR="009924C4" w:rsidRDefault="009924C4">
              <w:pPr>
                <w:pStyle w:val="TOC2"/>
                <w:tabs>
                  <w:tab w:val="left" w:pos="660"/>
                  <w:tab w:val="right" w:leader="dot" w:pos="9350"/>
                </w:tabs>
                <w:rPr>
                  <w:noProof/>
                </w:rPr>
              </w:pPr>
              <w:hyperlink w:anchor="_Toc412038039" w:history="1">
                <w:r w:rsidRPr="007A11C9">
                  <w:rPr>
                    <w:rStyle w:val="Hyperlink"/>
                    <w:noProof/>
                  </w:rPr>
                  <w:t>6.</w:t>
                </w:r>
                <w:r>
                  <w:rPr>
                    <w:noProof/>
                  </w:rPr>
                  <w:tab/>
                </w:r>
                <w:r w:rsidRPr="007A11C9">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_Toc412038039 \h </w:instrText>
                </w:r>
                <w:r>
                  <w:rPr>
                    <w:noProof/>
                    <w:webHidden/>
                  </w:rPr>
                </w:r>
                <w:r>
                  <w:rPr>
                    <w:noProof/>
                    <w:webHidden/>
                  </w:rPr>
                  <w:fldChar w:fldCharType="separate"/>
                </w:r>
                <w:r>
                  <w:rPr>
                    <w:noProof/>
                    <w:webHidden/>
                  </w:rPr>
                  <w:t>8</w:t>
                </w:r>
                <w:r>
                  <w:rPr>
                    <w:noProof/>
                    <w:webHidden/>
                  </w:rPr>
                  <w:fldChar w:fldCharType="end"/>
                </w:r>
              </w:hyperlink>
            </w:p>
            <w:p w14:paraId="4F1853DB" w14:textId="77777777" w:rsidR="009924C4" w:rsidRDefault="009924C4">
              <w:pPr>
                <w:pStyle w:val="TOC2"/>
                <w:tabs>
                  <w:tab w:val="left" w:pos="660"/>
                  <w:tab w:val="right" w:leader="dot" w:pos="9350"/>
                </w:tabs>
                <w:rPr>
                  <w:noProof/>
                </w:rPr>
              </w:pPr>
              <w:hyperlink w:anchor="_Toc412038040" w:history="1">
                <w:r w:rsidRPr="007A11C9">
                  <w:rPr>
                    <w:rStyle w:val="Hyperlink"/>
                    <w:noProof/>
                  </w:rPr>
                  <w:t>7.</w:t>
                </w:r>
                <w:r>
                  <w:rPr>
                    <w:noProof/>
                  </w:rPr>
                  <w:tab/>
                </w:r>
                <w:r w:rsidRPr="007A11C9">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_Toc412038040 \h </w:instrText>
                </w:r>
                <w:r>
                  <w:rPr>
                    <w:noProof/>
                    <w:webHidden/>
                  </w:rPr>
                </w:r>
                <w:r>
                  <w:rPr>
                    <w:noProof/>
                    <w:webHidden/>
                  </w:rPr>
                  <w:fldChar w:fldCharType="separate"/>
                </w:r>
                <w:r>
                  <w:rPr>
                    <w:noProof/>
                    <w:webHidden/>
                  </w:rPr>
                  <w:t>8</w:t>
                </w:r>
                <w:r>
                  <w:rPr>
                    <w:noProof/>
                    <w:webHidden/>
                  </w:rPr>
                  <w:fldChar w:fldCharType="end"/>
                </w:r>
              </w:hyperlink>
            </w:p>
            <w:p w14:paraId="7355E1E8" w14:textId="77777777" w:rsidR="009924C4" w:rsidRDefault="009924C4">
              <w:pPr>
                <w:pStyle w:val="TOC2"/>
                <w:tabs>
                  <w:tab w:val="left" w:pos="660"/>
                  <w:tab w:val="right" w:leader="dot" w:pos="9350"/>
                </w:tabs>
                <w:rPr>
                  <w:noProof/>
                </w:rPr>
              </w:pPr>
              <w:hyperlink w:anchor="_Toc412038041" w:history="1">
                <w:r w:rsidRPr="007A11C9">
                  <w:rPr>
                    <w:rStyle w:val="Hyperlink"/>
                    <w:noProof/>
                  </w:rPr>
                  <w:t>8.</w:t>
                </w:r>
                <w:r>
                  <w:rPr>
                    <w:noProof/>
                  </w:rPr>
                  <w:tab/>
                </w:r>
                <w:r w:rsidRPr="007A11C9">
                  <w:rPr>
                    <w:rStyle w:val="Hyperlink"/>
                    <w:noProof/>
                  </w:rPr>
                  <w:t>A. Comments in Response to the Federal Register Notice</w:t>
                </w:r>
                <w:r>
                  <w:rPr>
                    <w:noProof/>
                    <w:webHidden/>
                  </w:rPr>
                  <w:tab/>
                </w:r>
                <w:r>
                  <w:rPr>
                    <w:noProof/>
                    <w:webHidden/>
                  </w:rPr>
                  <w:fldChar w:fldCharType="begin"/>
                </w:r>
                <w:r>
                  <w:rPr>
                    <w:noProof/>
                    <w:webHidden/>
                  </w:rPr>
                  <w:instrText xml:space="preserve"> PAGEREF _Toc412038041 \h </w:instrText>
                </w:r>
                <w:r>
                  <w:rPr>
                    <w:noProof/>
                    <w:webHidden/>
                  </w:rPr>
                </w:r>
                <w:r>
                  <w:rPr>
                    <w:noProof/>
                    <w:webHidden/>
                  </w:rPr>
                  <w:fldChar w:fldCharType="separate"/>
                </w:r>
                <w:r>
                  <w:rPr>
                    <w:noProof/>
                    <w:webHidden/>
                  </w:rPr>
                  <w:t>8</w:t>
                </w:r>
                <w:r>
                  <w:rPr>
                    <w:noProof/>
                    <w:webHidden/>
                  </w:rPr>
                  <w:fldChar w:fldCharType="end"/>
                </w:r>
              </w:hyperlink>
            </w:p>
            <w:p w14:paraId="40C869F5" w14:textId="77777777" w:rsidR="009924C4" w:rsidRDefault="009924C4">
              <w:pPr>
                <w:pStyle w:val="TOC2"/>
                <w:tabs>
                  <w:tab w:val="left" w:pos="660"/>
                  <w:tab w:val="right" w:leader="dot" w:pos="9350"/>
                </w:tabs>
                <w:rPr>
                  <w:noProof/>
                </w:rPr>
              </w:pPr>
              <w:hyperlink w:anchor="_Toc412038042" w:history="1">
                <w:r w:rsidRPr="007A11C9">
                  <w:rPr>
                    <w:rStyle w:val="Hyperlink"/>
                    <w:noProof/>
                  </w:rPr>
                  <w:t>9.</w:t>
                </w:r>
                <w:r>
                  <w:rPr>
                    <w:noProof/>
                  </w:rPr>
                  <w:tab/>
                </w:r>
                <w:r w:rsidRPr="007A11C9">
                  <w:rPr>
                    <w:rStyle w:val="Hyperlink"/>
                    <w:noProof/>
                  </w:rPr>
                  <w:t>Explanation of Any Payment or Gift to Respondents</w:t>
                </w:r>
                <w:r>
                  <w:rPr>
                    <w:noProof/>
                    <w:webHidden/>
                  </w:rPr>
                  <w:tab/>
                </w:r>
                <w:r>
                  <w:rPr>
                    <w:noProof/>
                    <w:webHidden/>
                  </w:rPr>
                  <w:fldChar w:fldCharType="begin"/>
                </w:r>
                <w:r>
                  <w:rPr>
                    <w:noProof/>
                    <w:webHidden/>
                  </w:rPr>
                  <w:instrText xml:space="preserve"> PAGEREF _Toc412038042 \h </w:instrText>
                </w:r>
                <w:r>
                  <w:rPr>
                    <w:noProof/>
                    <w:webHidden/>
                  </w:rPr>
                </w:r>
                <w:r>
                  <w:rPr>
                    <w:noProof/>
                    <w:webHidden/>
                  </w:rPr>
                  <w:fldChar w:fldCharType="separate"/>
                </w:r>
                <w:r>
                  <w:rPr>
                    <w:noProof/>
                    <w:webHidden/>
                  </w:rPr>
                  <w:t>8</w:t>
                </w:r>
                <w:r>
                  <w:rPr>
                    <w:noProof/>
                    <w:webHidden/>
                  </w:rPr>
                  <w:fldChar w:fldCharType="end"/>
                </w:r>
              </w:hyperlink>
            </w:p>
            <w:p w14:paraId="6395AC66" w14:textId="77777777" w:rsidR="009924C4" w:rsidRDefault="009924C4">
              <w:pPr>
                <w:pStyle w:val="TOC2"/>
                <w:tabs>
                  <w:tab w:val="left" w:pos="880"/>
                  <w:tab w:val="right" w:leader="dot" w:pos="9350"/>
                </w:tabs>
                <w:rPr>
                  <w:noProof/>
                </w:rPr>
              </w:pPr>
              <w:hyperlink w:anchor="_Toc412038043" w:history="1">
                <w:r w:rsidRPr="007A11C9">
                  <w:rPr>
                    <w:rStyle w:val="Hyperlink"/>
                    <w:noProof/>
                  </w:rPr>
                  <w:t>10.</w:t>
                </w:r>
                <w:r>
                  <w:rPr>
                    <w:noProof/>
                  </w:rPr>
                  <w:tab/>
                </w:r>
                <w:r w:rsidRPr="007A11C9">
                  <w:rPr>
                    <w:rStyle w:val="Hyperlink"/>
                    <w:noProof/>
                  </w:rPr>
                  <w:t>Assurance of Confidentiality Provided to Respondents</w:t>
                </w:r>
                <w:r>
                  <w:rPr>
                    <w:noProof/>
                    <w:webHidden/>
                  </w:rPr>
                  <w:tab/>
                </w:r>
                <w:r>
                  <w:rPr>
                    <w:noProof/>
                    <w:webHidden/>
                  </w:rPr>
                  <w:fldChar w:fldCharType="begin"/>
                </w:r>
                <w:r>
                  <w:rPr>
                    <w:noProof/>
                    <w:webHidden/>
                  </w:rPr>
                  <w:instrText xml:space="preserve"> PAGEREF _Toc412038043 \h </w:instrText>
                </w:r>
                <w:r>
                  <w:rPr>
                    <w:noProof/>
                    <w:webHidden/>
                  </w:rPr>
                </w:r>
                <w:r>
                  <w:rPr>
                    <w:noProof/>
                    <w:webHidden/>
                  </w:rPr>
                  <w:fldChar w:fldCharType="separate"/>
                </w:r>
                <w:r>
                  <w:rPr>
                    <w:noProof/>
                    <w:webHidden/>
                  </w:rPr>
                  <w:t>8</w:t>
                </w:r>
                <w:r>
                  <w:rPr>
                    <w:noProof/>
                    <w:webHidden/>
                  </w:rPr>
                  <w:fldChar w:fldCharType="end"/>
                </w:r>
              </w:hyperlink>
            </w:p>
            <w:p w14:paraId="0003C171" w14:textId="77777777" w:rsidR="009924C4" w:rsidRDefault="009924C4">
              <w:pPr>
                <w:pStyle w:val="TOC3"/>
                <w:tabs>
                  <w:tab w:val="right" w:leader="dot" w:pos="9350"/>
                </w:tabs>
                <w:rPr>
                  <w:noProof/>
                </w:rPr>
              </w:pPr>
              <w:hyperlink w:anchor="_Toc412038044" w:history="1">
                <w:r w:rsidRPr="007A11C9">
                  <w:rPr>
                    <w:rStyle w:val="Hyperlink"/>
                    <w:noProof/>
                  </w:rPr>
                  <w:t>10.1 Privacy Impact Assessment Information</w:t>
                </w:r>
                <w:r>
                  <w:rPr>
                    <w:noProof/>
                    <w:webHidden/>
                  </w:rPr>
                  <w:tab/>
                </w:r>
                <w:r>
                  <w:rPr>
                    <w:noProof/>
                    <w:webHidden/>
                  </w:rPr>
                  <w:fldChar w:fldCharType="begin"/>
                </w:r>
                <w:r>
                  <w:rPr>
                    <w:noProof/>
                    <w:webHidden/>
                  </w:rPr>
                  <w:instrText xml:space="preserve"> PAGEREF _Toc412038044 \h </w:instrText>
                </w:r>
                <w:r>
                  <w:rPr>
                    <w:noProof/>
                    <w:webHidden/>
                  </w:rPr>
                </w:r>
                <w:r>
                  <w:rPr>
                    <w:noProof/>
                    <w:webHidden/>
                  </w:rPr>
                  <w:fldChar w:fldCharType="separate"/>
                </w:r>
                <w:r>
                  <w:rPr>
                    <w:noProof/>
                    <w:webHidden/>
                  </w:rPr>
                  <w:t>9</w:t>
                </w:r>
                <w:r>
                  <w:rPr>
                    <w:noProof/>
                    <w:webHidden/>
                  </w:rPr>
                  <w:fldChar w:fldCharType="end"/>
                </w:r>
              </w:hyperlink>
            </w:p>
            <w:p w14:paraId="2B20AD3F" w14:textId="77777777" w:rsidR="009924C4" w:rsidRDefault="009924C4">
              <w:pPr>
                <w:pStyle w:val="TOC2"/>
                <w:tabs>
                  <w:tab w:val="left" w:pos="880"/>
                  <w:tab w:val="right" w:leader="dot" w:pos="9350"/>
                </w:tabs>
                <w:rPr>
                  <w:noProof/>
                </w:rPr>
              </w:pPr>
              <w:hyperlink w:anchor="_Toc412038045" w:history="1">
                <w:r w:rsidRPr="007A11C9">
                  <w:rPr>
                    <w:rStyle w:val="Hyperlink"/>
                    <w:noProof/>
                  </w:rPr>
                  <w:t>11.</w:t>
                </w:r>
                <w:r>
                  <w:rPr>
                    <w:noProof/>
                  </w:rPr>
                  <w:tab/>
                </w:r>
                <w:r w:rsidRPr="007A11C9">
                  <w:rPr>
                    <w:rStyle w:val="Hyperlink"/>
                    <w:noProof/>
                  </w:rPr>
                  <w:t>Justification for Sensitive Questions</w:t>
                </w:r>
                <w:r>
                  <w:rPr>
                    <w:noProof/>
                    <w:webHidden/>
                  </w:rPr>
                  <w:tab/>
                </w:r>
                <w:r>
                  <w:rPr>
                    <w:noProof/>
                    <w:webHidden/>
                  </w:rPr>
                  <w:fldChar w:fldCharType="begin"/>
                </w:r>
                <w:r>
                  <w:rPr>
                    <w:noProof/>
                    <w:webHidden/>
                  </w:rPr>
                  <w:instrText xml:space="preserve"> PAGEREF _Toc412038045 \h </w:instrText>
                </w:r>
                <w:r>
                  <w:rPr>
                    <w:noProof/>
                    <w:webHidden/>
                  </w:rPr>
                </w:r>
                <w:r>
                  <w:rPr>
                    <w:noProof/>
                    <w:webHidden/>
                  </w:rPr>
                  <w:fldChar w:fldCharType="separate"/>
                </w:r>
                <w:r>
                  <w:rPr>
                    <w:noProof/>
                    <w:webHidden/>
                  </w:rPr>
                  <w:t>9</w:t>
                </w:r>
                <w:r>
                  <w:rPr>
                    <w:noProof/>
                    <w:webHidden/>
                  </w:rPr>
                  <w:fldChar w:fldCharType="end"/>
                </w:r>
              </w:hyperlink>
            </w:p>
            <w:p w14:paraId="1FA30F46" w14:textId="77777777" w:rsidR="009924C4" w:rsidRDefault="009924C4">
              <w:pPr>
                <w:pStyle w:val="TOC2"/>
                <w:tabs>
                  <w:tab w:val="left" w:pos="880"/>
                  <w:tab w:val="right" w:leader="dot" w:pos="9350"/>
                </w:tabs>
                <w:rPr>
                  <w:noProof/>
                </w:rPr>
              </w:pPr>
              <w:hyperlink w:anchor="_Toc412038046" w:history="1">
                <w:r w:rsidRPr="007A11C9">
                  <w:rPr>
                    <w:rStyle w:val="Hyperlink"/>
                    <w:noProof/>
                  </w:rPr>
                  <w:t>12.</w:t>
                </w:r>
                <w:r>
                  <w:rPr>
                    <w:noProof/>
                  </w:rPr>
                  <w:tab/>
                </w:r>
                <w:r w:rsidRPr="007A11C9">
                  <w:rPr>
                    <w:rStyle w:val="Hyperlink"/>
                    <w:noProof/>
                  </w:rPr>
                  <w:t>Estimate of Annualized Burden Hours and Costs</w:t>
                </w:r>
                <w:r>
                  <w:rPr>
                    <w:noProof/>
                    <w:webHidden/>
                  </w:rPr>
                  <w:tab/>
                </w:r>
                <w:r>
                  <w:rPr>
                    <w:noProof/>
                    <w:webHidden/>
                  </w:rPr>
                  <w:fldChar w:fldCharType="begin"/>
                </w:r>
                <w:r>
                  <w:rPr>
                    <w:noProof/>
                    <w:webHidden/>
                  </w:rPr>
                  <w:instrText xml:space="preserve"> PAGEREF _Toc412038046 \h </w:instrText>
                </w:r>
                <w:r>
                  <w:rPr>
                    <w:noProof/>
                    <w:webHidden/>
                  </w:rPr>
                </w:r>
                <w:r>
                  <w:rPr>
                    <w:noProof/>
                    <w:webHidden/>
                  </w:rPr>
                  <w:fldChar w:fldCharType="separate"/>
                </w:r>
                <w:r>
                  <w:rPr>
                    <w:noProof/>
                    <w:webHidden/>
                  </w:rPr>
                  <w:t>9</w:t>
                </w:r>
                <w:r>
                  <w:rPr>
                    <w:noProof/>
                    <w:webHidden/>
                  </w:rPr>
                  <w:fldChar w:fldCharType="end"/>
                </w:r>
              </w:hyperlink>
            </w:p>
            <w:p w14:paraId="4D8DB95F" w14:textId="77777777" w:rsidR="009924C4" w:rsidRDefault="009924C4">
              <w:pPr>
                <w:pStyle w:val="TOC3"/>
                <w:tabs>
                  <w:tab w:val="left" w:pos="880"/>
                  <w:tab w:val="right" w:leader="dot" w:pos="9350"/>
                </w:tabs>
                <w:rPr>
                  <w:noProof/>
                </w:rPr>
              </w:pPr>
              <w:hyperlink w:anchor="_Toc412038047" w:history="1">
                <w:r w:rsidRPr="007A11C9">
                  <w:rPr>
                    <w:rStyle w:val="Hyperlink"/>
                    <w:noProof/>
                  </w:rPr>
                  <w:t>A.</w:t>
                </w:r>
                <w:r>
                  <w:rPr>
                    <w:noProof/>
                  </w:rPr>
                  <w:tab/>
                </w:r>
                <w:r w:rsidRPr="007A11C9">
                  <w:rPr>
                    <w:rStyle w:val="Hyperlink"/>
                    <w:noProof/>
                  </w:rPr>
                  <w:t>Estimated Annualized Burden Hours to Respondents</w:t>
                </w:r>
                <w:r>
                  <w:rPr>
                    <w:noProof/>
                    <w:webHidden/>
                  </w:rPr>
                  <w:tab/>
                </w:r>
                <w:r>
                  <w:rPr>
                    <w:noProof/>
                    <w:webHidden/>
                  </w:rPr>
                  <w:fldChar w:fldCharType="begin"/>
                </w:r>
                <w:r>
                  <w:rPr>
                    <w:noProof/>
                    <w:webHidden/>
                  </w:rPr>
                  <w:instrText xml:space="preserve"> PAGEREF _Toc412038047 \h </w:instrText>
                </w:r>
                <w:r>
                  <w:rPr>
                    <w:noProof/>
                    <w:webHidden/>
                  </w:rPr>
                </w:r>
                <w:r>
                  <w:rPr>
                    <w:noProof/>
                    <w:webHidden/>
                  </w:rPr>
                  <w:fldChar w:fldCharType="separate"/>
                </w:r>
                <w:r>
                  <w:rPr>
                    <w:noProof/>
                    <w:webHidden/>
                  </w:rPr>
                  <w:t>10</w:t>
                </w:r>
                <w:r>
                  <w:rPr>
                    <w:noProof/>
                    <w:webHidden/>
                  </w:rPr>
                  <w:fldChar w:fldCharType="end"/>
                </w:r>
              </w:hyperlink>
            </w:p>
            <w:p w14:paraId="510D57E7" w14:textId="77777777" w:rsidR="009924C4" w:rsidRDefault="009924C4">
              <w:pPr>
                <w:pStyle w:val="TOC3"/>
                <w:tabs>
                  <w:tab w:val="left" w:pos="880"/>
                  <w:tab w:val="right" w:leader="dot" w:pos="9350"/>
                </w:tabs>
                <w:rPr>
                  <w:noProof/>
                </w:rPr>
              </w:pPr>
              <w:hyperlink w:anchor="_Toc412038048" w:history="1">
                <w:r w:rsidRPr="007A11C9">
                  <w:rPr>
                    <w:rStyle w:val="Hyperlink"/>
                    <w:noProof/>
                  </w:rPr>
                  <w:t>B.</w:t>
                </w:r>
                <w:r>
                  <w:rPr>
                    <w:noProof/>
                  </w:rPr>
                  <w:tab/>
                </w:r>
                <w:r w:rsidRPr="007A11C9">
                  <w:rPr>
                    <w:rStyle w:val="Hyperlink"/>
                    <w:noProof/>
                  </w:rPr>
                  <w:t>Estimated Annualized Cost</w:t>
                </w:r>
                <w:r>
                  <w:rPr>
                    <w:noProof/>
                    <w:webHidden/>
                  </w:rPr>
                  <w:tab/>
                </w:r>
                <w:r>
                  <w:rPr>
                    <w:noProof/>
                    <w:webHidden/>
                  </w:rPr>
                  <w:fldChar w:fldCharType="begin"/>
                </w:r>
                <w:r>
                  <w:rPr>
                    <w:noProof/>
                    <w:webHidden/>
                  </w:rPr>
                  <w:instrText xml:space="preserve"> PAGEREF _Toc412038048 \h </w:instrText>
                </w:r>
                <w:r>
                  <w:rPr>
                    <w:noProof/>
                    <w:webHidden/>
                  </w:rPr>
                </w:r>
                <w:r>
                  <w:rPr>
                    <w:noProof/>
                    <w:webHidden/>
                  </w:rPr>
                  <w:fldChar w:fldCharType="separate"/>
                </w:r>
                <w:r>
                  <w:rPr>
                    <w:noProof/>
                    <w:webHidden/>
                  </w:rPr>
                  <w:t>11</w:t>
                </w:r>
                <w:r>
                  <w:rPr>
                    <w:noProof/>
                    <w:webHidden/>
                  </w:rPr>
                  <w:fldChar w:fldCharType="end"/>
                </w:r>
              </w:hyperlink>
            </w:p>
            <w:p w14:paraId="07F207BF" w14:textId="77777777" w:rsidR="009924C4" w:rsidRDefault="009924C4">
              <w:pPr>
                <w:pStyle w:val="TOC2"/>
                <w:tabs>
                  <w:tab w:val="left" w:pos="880"/>
                  <w:tab w:val="right" w:leader="dot" w:pos="9350"/>
                </w:tabs>
                <w:rPr>
                  <w:noProof/>
                </w:rPr>
              </w:pPr>
              <w:hyperlink w:anchor="_Toc412038049" w:history="1">
                <w:r w:rsidRPr="007A11C9">
                  <w:rPr>
                    <w:rStyle w:val="Hyperlink"/>
                    <w:noProof/>
                  </w:rPr>
                  <w:t>13.</w:t>
                </w:r>
                <w:r>
                  <w:rPr>
                    <w:noProof/>
                  </w:rPr>
                  <w:tab/>
                </w:r>
                <w:r w:rsidRPr="007A11C9">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_Toc412038049 \h </w:instrText>
                </w:r>
                <w:r>
                  <w:rPr>
                    <w:noProof/>
                    <w:webHidden/>
                  </w:rPr>
                </w:r>
                <w:r>
                  <w:rPr>
                    <w:noProof/>
                    <w:webHidden/>
                  </w:rPr>
                  <w:fldChar w:fldCharType="separate"/>
                </w:r>
                <w:r>
                  <w:rPr>
                    <w:noProof/>
                    <w:webHidden/>
                  </w:rPr>
                  <w:t>12</w:t>
                </w:r>
                <w:r>
                  <w:rPr>
                    <w:noProof/>
                    <w:webHidden/>
                  </w:rPr>
                  <w:fldChar w:fldCharType="end"/>
                </w:r>
              </w:hyperlink>
            </w:p>
            <w:p w14:paraId="6B1FE128" w14:textId="77777777" w:rsidR="009924C4" w:rsidRDefault="009924C4">
              <w:pPr>
                <w:pStyle w:val="TOC2"/>
                <w:tabs>
                  <w:tab w:val="left" w:pos="880"/>
                  <w:tab w:val="right" w:leader="dot" w:pos="9350"/>
                </w:tabs>
                <w:rPr>
                  <w:noProof/>
                </w:rPr>
              </w:pPr>
              <w:hyperlink w:anchor="_Toc412038050" w:history="1">
                <w:r w:rsidRPr="007A11C9">
                  <w:rPr>
                    <w:rStyle w:val="Hyperlink"/>
                    <w:noProof/>
                  </w:rPr>
                  <w:t>14.</w:t>
                </w:r>
                <w:r>
                  <w:rPr>
                    <w:noProof/>
                  </w:rPr>
                  <w:tab/>
                </w:r>
                <w:r w:rsidRPr="007A11C9">
                  <w:rPr>
                    <w:rStyle w:val="Hyperlink"/>
                    <w:noProof/>
                  </w:rPr>
                  <w:t>Annualized Costs to the Government</w:t>
                </w:r>
                <w:r>
                  <w:rPr>
                    <w:noProof/>
                    <w:webHidden/>
                  </w:rPr>
                  <w:tab/>
                </w:r>
                <w:r>
                  <w:rPr>
                    <w:noProof/>
                    <w:webHidden/>
                  </w:rPr>
                  <w:fldChar w:fldCharType="begin"/>
                </w:r>
                <w:r>
                  <w:rPr>
                    <w:noProof/>
                    <w:webHidden/>
                  </w:rPr>
                  <w:instrText xml:space="preserve"> PAGEREF _Toc412038050 \h </w:instrText>
                </w:r>
                <w:r>
                  <w:rPr>
                    <w:noProof/>
                    <w:webHidden/>
                  </w:rPr>
                </w:r>
                <w:r>
                  <w:rPr>
                    <w:noProof/>
                    <w:webHidden/>
                  </w:rPr>
                  <w:fldChar w:fldCharType="separate"/>
                </w:r>
                <w:r>
                  <w:rPr>
                    <w:noProof/>
                    <w:webHidden/>
                  </w:rPr>
                  <w:t>12</w:t>
                </w:r>
                <w:r>
                  <w:rPr>
                    <w:noProof/>
                    <w:webHidden/>
                  </w:rPr>
                  <w:fldChar w:fldCharType="end"/>
                </w:r>
              </w:hyperlink>
            </w:p>
            <w:p w14:paraId="410DB344" w14:textId="77777777" w:rsidR="009924C4" w:rsidRDefault="009924C4">
              <w:pPr>
                <w:pStyle w:val="TOC2"/>
                <w:tabs>
                  <w:tab w:val="left" w:pos="880"/>
                  <w:tab w:val="right" w:leader="dot" w:pos="9350"/>
                </w:tabs>
                <w:rPr>
                  <w:noProof/>
                </w:rPr>
              </w:pPr>
              <w:hyperlink w:anchor="_Toc412038051" w:history="1">
                <w:r w:rsidRPr="007A11C9">
                  <w:rPr>
                    <w:rStyle w:val="Hyperlink"/>
                    <w:noProof/>
                  </w:rPr>
                  <w:t>15.</w:t>
                </w:r>
                <w:r>
                  <w:rPr>
                    <w:noProof/>
                  </w:rPr>
                  <w:tab/>
                </w:r>
                <w:r w:rsidRPr="007A11C9">
                  <w:rPr>
                    <w:rStyle w:val="Hyperlink"/>
                    <w:noProof/>
                  </w:rPr>
                  <w:t>Explanation for Program Changes or Adjustments</w:t>
                </w:r>
                <w:r>
                  <w:rPr>
                    <w:noProof/>
                    <w:webHidden/>
                  </w:rPr>
                  <w:tab/>
                </w:r>
                <w:r>
                  <w:rPr>
                    <w:noProof/>
                    <w:webHidden/>
                  </w:rPr>
                  <w:fldChar w:fldCharType="begin"/>
                </w:r>
                <w:r>
                  <w:rPr>
                    <w:noProof/>
                    <w:webHidden/>
                  </w:rPr>
                  <w:instrText xml:space="preserve"> PAGEREF _Toc412038051 \h </w:instrText>
                </w:r>
                <w:r>
                  <w:rPr>
                    <w:noProof/>
                    <w:webHidden/>
                  </w:rPr>
                </w:r>
                <w:r>
                  <w:rPr>
                    <w:noProof/>
                    <w:webHidden/>
                  </w:rPr>
                  <w:fldChar w:fldCharType="separate"/>
                </w:r>
                <w:r>
                  <w:rPr>
                    <w:noProof/>
                    <w:webHidden/>
                  </w:rPr>
                  <w:t>13</w:t>
                </w:r>
                <w:r>
                  <w:rPr>
                    <w:noProof/>
                    <w:webHidden/>
                  </w:rPr>
                  <w:fldChar w:fldCharType="end"/>
                </w:r>
              </w:hyperlink>
            </w:p>
            <w:p w14:paraId="45A31B95" w14:textId="77777777" w:rsidR="009924C4" w:rsidRDefault="009924C4">
              <w:pPr>
                <w:pStyle w:val="TOC2"/>
                <w:tabs>
                  <w:tab w:val="left" w:pos="880"/>
                  <w:tab w:val="right" w:leader="dot" w:pos="9350"/>
                </w:tabs>
                <w:rPr>
                  <w:noProof/>
                </w:rPr>
              </w:pPr>
              <w:hyperlink w:anchor="_Toc412038052" w:history="1">
                <w:r w:rsidRPr="007A11C9">
                  <w:rPr>
                    <w:rStyle w:val="Hyperlink"/>
                    <w:noProof/>
                  </w:rPr>
                  <w:t>16.</w:t>
                </w:r>
                <w:r>
                  <w:rPr>
                    <w:noProof/>
                  </w:rPr>
                  <w:tab/>
                </w:r>
                <w:r w:rsidRPr="007A11C9">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_Toc412038052 \h </w:instrText>
                </w:r>
                <w:r>
                  <w:rPr>
                    <w:noProof/>
                    <w:webHidden/>
                  </w:rPr>
                </w:r>
                <w:r>
                  <w:rPr>
                    <w:noProof/>
                    <w:webHidden/>
                  </w:rPr>
                  <w:fldChar w:fldCharType="separate"/>
                </w:r>
                <w:r>
                  <w:rPr>
                    <w:noProof/>
                    <w:webHidden/>
                  </w:rPr>
                  <w:t>13</w:t>
                </w:r>
                <w:r>
                  <w:rPr>
                    <w:noProof/>
                    <w:webHidden/>
                  </w:rPr>
                  <w:fldChar w:fldCharType="end"/>
                </w:r>
              </w:hyperlink>
            </w:p>
            <w:p w14:paraId="1D6601D7" w14:textId="77777777" w:rsidR="009924C4" w:rsidRDefault="009924C4">
              <w:pPr>
                <w:pStyle w:val="TOC2"/>
                <w:tabs>
                  <w:tab w:val="left" w:pos="880"/>
                  <w:tab w:val="right" w:leader="dot" w:pos="9350"/>
                </w:tabs>
                <w:rPr>
                  <w:noProof/>
                </w:rPr>
              </w:pPr>
              <w:hyperlink w:anchor="_Toc412038053" w:history="1">
                <w:r w:rsidRPr="007A11C9">
                  <w:rPr>
                    <w:rStyle w:val="Hyperlink"/>
                    <w:noProof/>
                  </w:rPr>
                  <w:t>17.</w:t>
                </w:r>
                <w:r>
                  <w:rPr>
                    <w:noProof/>
                  </w:rPr>
                  <w:tab/>
                </w:r>
                <w:r w:rsidRPr="007A11C9">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_Toc412038053 \h </w:instrText>
                </w:r>
                <w:r>
                  <w:rPr>
                    <w:noProof/>
                    <w:webHidden/>
                  </w:rPr>
                </w:r>
                <w:r>
                  <w:rPr>
                    <w:noProof/>
                    <w:webHidden/>
                  </w:rPr>
                  <w:fldChar w:fldCharType="separate"/>
                </w:r>
                <w:r>
                  <w:rPr>
                    <w:noProof/>
                    <w:webHidden/>
                  </w:rPr>
                  <w:t>13</w:t>
                </w:r>
                <w:r>
                  <w:rPr>
                    <w:noProof/>
                    <w:webHidden/>
                  </w:rPr>
                  <w:fldChar w:fldCharType="end"/>
                </w:r>
              </w:hyperlink>
            </w:p>
            <w:p w14:paraId="6D615F5B" w14:textId="77777777" w:rsidR="009924C4" w:rsidRDefault="009924C4">
              <w:pPr>
                <w:pStyle w:val="TOC1"/>
                <w:tabs>
                  <w:tab w:val="left" w:pos="660"/>
                  <w:tab w:val="right" w:leader="dot" w:pos="9350"/>
                </w:tabs>
                <w:rPr>
                  <w:noProof/>
                </w:rPr>
              </w:pPr>
              <w:hyperlink w:anchor="_Toc412038054" w:history="1">
                <w:r w:rsidRPr="007A11C9">
                  <w:rPr>
                    <w:rStyle w:val="Hyperlink"/>
                    <w:rFonts w:cs="Times New Roman"/>
                    <w:noProof/>
                  </w:rPr>
                  <w:t>18.</w:t>
                </w:r>
                <w:r>
                  <w:rPr>
                    <w:noProof/>
                  </w:rPr>
                  <w:tab/>
                </w:r>
                <w:r w:rsidRPr="007A11C9">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_Toc412038054 \h </w:instrText>
                </w:r>
                <w:r>
                  <w:rPr>
                    <w:noProof/>
                    <w:webHidden/>
                  </w:rPr>
                </w:r>
                <w:r>
                  <w:rPr>
                    <w:noProof/>
                    <w:webHidden/>
                  </w:rPr>
                  <w:fldChar w:fldCharType="separate"/>
                </w:r>
                <w:r>
                  <w:rPr>
                    <w:noProof/>
                    <w:webHidden/>
                  </w:rPr>
                  <w:t>13</w:t>
                </w:r>
                <w:r>
                  <w:rPr>
                    <w:noProof/>
                    <w:webHidden/>
                  </w:rPr>
                  <w:fldChar w:fldCharType="end"/>
                </w:r>
              </w:hyperlink>
            </w:p>
            <w:p w14:paraId="4B94267C" w14:textId="77777777" w:rsidR="009924C4" w:rsidRDefault="009924C4">
              <w:pPr>
                <w:pStyle w:val="TOC1"/>
                <w:tabs>
                  <w:tab w:val="right" w:leader="dot" w:pos="9350"/>
                </w:tabs>
                <w:rPr>
                  <w:noProof/>
                </w:rPr>
              </w:pPr>
              <w:hyperlink w:anchor="_Toc412038055" w:history="1">
                <w:r w:rsidRPr="007A11C9">
                  <w:rPr>
                    <w:rStyle w:val="Hyperlink"/>
                    <w:noProof/>
                  </w:rPr>
                  <w:t>References</w:t>
                </w:r>
                <w:r>
                  <w:rPr>
                    <w:noProof/>
                    <w:webHidden/>
                  </w:rPr>
                  <w:tab/>
                </w:r>
                <w:r>
                  <w:rPr>
                    <w:noProof/>
                    <w:webHidden/>
                  </w:rPr>
                  <w:fldChar w:fldCharType="begin"/>
                </w:r>
                <w:r>
                  <w:rPr>
                    <w:noProof/>
                    <w:webHidden/>
                  </w:rPr>
                  <w:instrText xml:space="preserve"> PAGEREF _Toc412038055 \h </w:instrText>
                </w:r>
                <w:r>
                  <w:rPr>
                    <w:noProof/>
                    <w:webHidden/>
                  </w:rPr>
                </w:r>
                <w:r>
                  <w:rPr>
                    <w:noProof/>
                    <w:webHidden/>
                  </w:rPr>
                  <w:fldChar w:fldCharType="separate"/>
                </w:r>
                <w:r>
                  <w:rPr>
                    <w:noProof/>
                    <w:webHidden/>
                  </w:rPr>
                  <w:t>13</w:t>
                </w:r>
                <w:r>
                  <w:rPr>
                    <w:noProof/>
                    <w:webHidden/>
                  </w:rPr>
                  <w:fldChar w:fldCharType="end"/>
                </w:r>
              </w:hyperlink>
            </w:p>
            <w:p w14:paraId="0D9549A1" w14:textId="77777777" w:rsidR="009924C4" w:rsidRDefault="009924C4">
              <w:pPr>
                <w:pStyle w:val="TOC1"/>
                <w:tabs>
                  <w:tab w:val="right" w:leader="dot" w:pos="9350"/>
                </w:tabs>
                <w:rPr>
                  <w:noProof/>
                </w:rPr>
              </w:pPr>
              <w:hyperlink w:anchor="_Toc412038056" w:history="1">
                <w:r w:rsidRPr="007A11C9">
                  <w:rPr>
                    <w:rStyle w:val="Hyperlink"/>
                    <w:noProof/>
                  </w:rPr>
                  <w:t>LIST OF ATTACHMENTS –Section A</w:t>
                </w:r>
                <w:r>
                  <w:rPr>
                    <w:noProof/>
                    <w:webHidden/>
                  </w:rPr>
                  <w:tab/>
                </w:r>
                <w:r>
                  <w:rPr>
                    <w:noProof/>
                    <w:webHidden/>
                  </w:rPr>
                  <w:fldChar w:fldCharType="begin"/>
                </w:r>
                <w:r>
                  <w:rPr>
                    <w:noProof/>
                    <w:webHidden/>
                  </w:rPr>
                  <w:instrText xml:space="preserve"> PAGEREF _Toc412038056 \h </w:instrText>
                </w:r>
                <w:r>
                  <w:rPr>
                    <w:noProof/>
                    <w:webHidden/>
                  </w:rPr>
                </w:r>
                <w:r>
                  <w:rPr>
                    <w:noProof/>
                    <w:webHidden/>
                  </w:rPr>
                  <w:fldChar w:fldCharType="separate"/>
                </w:r>
                <w:r>
                  <w:rPr>
                    <w:noProof/>
                    <w:webHidden/>
                  </w:rPr>
                  <w:t>14</w:t>
                </w:r>
                <w:r>
                  <w:rPr>
                    <w:noProof/>
                    <w:webHidden/>
                  </w:rPr>
                  <w:fldChar w:fldCharType="end"/>
                </w:r>
              </w:hyperlink>
            </w:p>
            <w:p w14:paraId="7B967CF3" w14:textId="77777777" w:rsidR="00F07244" w:rsidRPr="00435CDA" w:rsidRDefault="00F07244">
              <w:r w:rsidRPr="00435CDA">
                <w:rPr>
                  <w:b/>
                  <w:bCs/>
                  <w:noProof/>
                </w:rPr>
                <w:fldChar w:fldCharType="end"/>
              </w:r>
            </w:p>
          </w:sdtContent>
        </w:sdt>
        <w:p w14:paraId="7293DE5B" w14:textId="2DC9B489" w:rsidR="00E62043" w:rsidRPr="00435CDA" w:rsidRDefault="00B17A0B" w:rsidP="00716F94">
          <w:pPr>
            <w:spacing w:after="0"/>
            <w:rPr>
              <w:b/>
            </w:rPr>
          </w:pPr>
        </w:p>
      </w:sdtContent>
    </w:sdt>
    <w:p w14:paraId="2DC64A3D" w14:textId="77777777" w:rsidR="00E62043" w:rsidRPr="00435CDA" w:rsidRDefault="00E62043" w:rsidP="00716F94">
      <w:pPr>
        <w:spacing w:after="0"/>
        <w:rPr>
          <w:b/>
        </w:rPr>
      </w:pPr>
    </w:p>
    <w:p w14:paraId="49699AE0" w14:textId="77777777" w:rsidR="00864A69" w:rsidRDefault="00864A69" w:rsidP="005446E5">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7"/>
        <w:gridCol w:w="2088"/>
        <w:gridCol w:w="3099"/>
        <w:gridCol w:w="6"/>
        <w:gridCol w:w="3106"/>
      </w:tblGrid>
      <w:tr w:rsidR="00864A69" w:rsidRPr="00E9498E" w14:paraId="323CC9D0" w14:textId="77777777" w:rsidTr="00374B3D">
        <w:trPr>
          <w:trHeight w:val="1403"/>
        </w:trPr>
        <w:tc>
          <w:tcPr>
            <w:tcW w:w="667" w:type="pct"/>
            <w:tcBorders>
              <w:bottom w:val="single" w:sz="4" w:space="0" w:color="auto"/>
            </w:tcBorders>
          </w:tcPr>
          <w:p w14:paraId="57B53F85" w14:textId="77777777" w:rsidR="00864A69" w:rsidRPr="00E9498E" w:rsidRDefault="00864A69" w:rsidP="00374B3D">
            <w:pPr>
              <w:rPr>
                <w:b/>
              </w:rPr>
            </w:pPr>
            <w:r w:rsidRPr="00E9498E">
              <w:rPr>
                <w:b/>
              </w:rPr>
              <w:lastRenderedPageBreak/>
              <w:t>Project Goals</w:t>
            </w:r>
            <w:r>
              <w:rPr>
                <w:b/>
              </w:rPr>
              <w:t xml:space="preserve"> and Use</w:t>
            </w:r>
          </w:p>
        </w:tc>
        <w:tc>
          <w:tcPr>
            <w:tcW w:w="4333" w:type="pct"/>
            <w:gridSpan w:val="4"/>
            <w:tcBorders>
              <w:bottom w:val="single" w:sz="4" w:space="0" w:color="auto"/>
            </w:tcBorders>
          </w:tcPr>
          <w:p w14:paraId="5F52C634" w14:textId="77777777" w:rsidR="00864A69" w:rsidRDefault="00864A69" w:rsidP="00374B3D">
            <w:pPr>
              <w:pStyle w:val="ListParagraph"/>
              <w:numPr>
                <w:ilvl w:val="0"/>
                <w:numId w:val="21"/>
              </w:numPr>
            </w:pPr>
            <w:r>
              <w:t>To assess healthcare facilities’, hospitals and clinics, experience granting HDs EHR access during a healthcare-associated infection (HAI) outbreak. This work builds on phase I (OMB 0920-0879) of this project: “State Health Department Access to Electronic Health Record Data during an Outbreak: A Retrospective Assessment” , which examined the health departments’ (HDs) experience requesting and getting access to electronic health records (EHRs) in healthcare facilities’ in their jurisdiction.</w:t>
            </w:r>
          </w:p>
          <w:p w14:paraId="058AA085" w14:textId="77777777" w:rsidR="00864A69" w:rsidRPr="00E9498E" w:rsidRDefault="00864A69" w:rsidP="00374B3D">
            <w:pPr>
              <w:pStyle w:val="ListParagraph"/>
              <w:numPr>
                <w:ilvl w:val="0"/>
                <w:numId w:val="21"/>
              </w:numPr>
            </w:pPr>
            <w:r>
              <w:t xml:space="preserve">Responses from healthcare facilities will be used to help the project team build a report and toolkit that will help state HDs address the needs and perspective of the healthcare facilities’ when requesting EHR access. </w:t>
            </w:r>
          </w:p>
        </w:tc>
      </w:tr>
      <w:tr w:rsidR="00864A69" w:rsidRPr="00E9498E" w14:paraId="67FA2242" w14:textId="77777777" w:rsidTr="00374B3D">
        <w:trPr>
          <w:trHeight w:val="287"/>
        </w:trPr>
        <w:tc>
          <w:tcPr>
            <w:tcW w:w="667" w:type="pct"/>
            <w:tcBorders>
              <w:top w:val="single" w:sz="4" w:space="0" w:color="auto"/>
              <w:bottom w:val="single" w:sz="4" w:space="0" w:color="auto"/>
            </w:tcBorders>
          </w:tcPr>
          <w:p w14:paraId="6116EC94" w14:textId="77777777" w:rsidR="00864A69" w:rsidRPr="00E9498E" w:rsidRDefault="00864A69" w:rsidP="00374B3D">
            <w:pPr>
              <w:rPr>
                <w:b/>
              </w:rPr>
            </w:pPr>
            <w:r w:rsidRPr="00E9498E">
              <w:rPr>
                <w:b/>
              </w:rPr>
              <w:t>Design</w:t>
            </w:r>
          </w:p>
        </w:tc>
        <w:tc>
          <w:tcPr>
            <w:tcW w:w="4333" w:type="pct"/>
            <w:gridSpan w:val="4"/>
            <w:tcBorders>
              <w:top w:val="single" w:sz="4" w:space="0" w:color="auto"/>
              <w:bottom w:val="single" w:sz="4" w:space="0" w:color="auto"/>
            </w:tcBorders>
          </w:tcPr>
          <w:p w14:paraId="477ED690" w14:textId="77777777" w:rsidR="00864A69" w:rsidRPr="00E9498E" w:rsidRDefault="00864A69" w:rsidP="00374B3D">
            <w:r w:rsidRPr="00E9498E">
              <w:t xml:space="preserve">This </w:t>
            </w:r>
            <w:r>
              <w:t>assessment</w:t>
            </w:r>
            <w:r w:rsidRPr="00E9498E">
              <w:t xml:space="preserve"> will use a qualitative description </w:t>
            </w:r>
            <w:r>
              <w:t>assessment</w:t>
            </w:r>
            <w:r w:rsidRPr="00E9498E">
              <w:t xml:space="preserve"> design.</w:t>
            </w:r>
          </w:p>
        </w:tc>
      </w:tr>
      <w:tr w:rsidR="00864A69" w:rsidRPr="00E9498E" w14:paraId="08551B2D" w14:textId="77777777" w:rsidTr="00374B3D">
        <w:trPr>
          <w:trHeight w:val="2148"/>
        </w:trPr>
        <w:tc>
          <w:tcPr>
            <w:tcW w:w="667" w:type="pct"/>
            <w:vMerge w:val="restart"/>
            <w:tcBorders>
              <w:top w:val="single" w:sz="4" w:space="0" w:color="auto"/>
              <w:left w:val="nil"/>
              <w:bottom w:val="nil"/>
              <w:right w:val="nil"/>
            </w:tcBorders>
          </w:tcPr>
          <w:p w14:paraId="020136EA" w14:textId="77777777" w:rsidR="00864A69" w:rsidRPr="00E9498E" w:rsidRDefault="00864A69" w:rsidP="00374B3D">
            <w:pPr>
              <w:rPr>
                <w:b/>
              </w:rPr>
            </w:pPr>
            <w:r>
              <w:rPr>
                <w:b/>
              </w:rPr>
              <w:t>Population</w:t>
            </w:r>
          </w:p>
        </w:tc>
        <w:tc>
          <w:tcPr>
            <w:tcW w:w="1090" w:type="pct"/>
            <w:tcBorders>
              <w:top w:val="single" w:sz="4" w:space="0" w:color="auto"/>
              <w:left w:val="nil"/>
              <w:bottom w:val="single" w:sz="4" w:space="0" w:color="auto"/>
              <w:right w:val="single" w:sz="4" w:space="0" w:color="auto"/>
            </w:tcBorders>
          </w:tcPr>
          <w:p w14:paraId="03A468EE" w14:textId="77777777" w:rsidR="00864A69" w:rsidRPr="00E9498E" w:rsidRDefault="00864A69" w:rsidP="00374B3D">
            <w:pPr>
              <w:rPr>
                <w:b/>
                <w:u w:val="single"/>
              </w:rPr>
            </w:pPr>
            <w:r w:rsidRPr="00E9498E">
              <w:rPr>
                <w:b/>
              </w:rPr>
              <w:t xml:space="preserve">State Sample          </w:t>
            </w:r>
            <w:r w:rsidRPr="00E9498E">
              <w:t>(Same states</w:t>
            </w:r>
            <w:r>
              <w:t xml:space="preserve"> also</w:t>
            </w:r>
            <w:r w:rsidRPr="00E9498E">
              <w:t xml:space="preserve"> used in Phase I)</w:t>
            </w:r>
          </w:p>
          <w:p w14:paraId="555A3599" w14:textId="77777777" w:rsidR="00864A69" w:rsidRPr="00E9498E" w:rsidRDefault="00864A69" w:rsidP="00374B3D">
            <w:pPr>
              <w:rPr>
                <w:b/>
              </w:rPr>
            </w:pPr>
          </w:p>
        </w:tc>
        <w:tc>
          <w:tcPr>
            <w:tcW w:w="1621" w:type="pct"/>
            <w:gridSpan w:val="2"/>
            <w:tcBorders>
              <w:top w:val="single" w:sz="4" w:space="0" w:color="auto"/>
              <w:left w:val="single" w:sz="4" w:space="0" w:color="auto"/>
              <w:bottom w:val="single" w:sz="4" w:space="0" w:color="auto"/>
              <w:right w:val="nil"/>
            </w:tcBorders>
          </w:tcPr>
          <w:p w14:paraId="00C715D4" w14:textId="77777777" w:rsidR="00864A69" w:rsidRPr="00E9498E" w:rsidRDefault="00864A69" w:rsidP="00374B3D">
            <w:pPr>
              <w:pStyle w:val="ListParagraph"/>
              <w:numPr>
                <w:ilvl w:val="0"/>
                <w:numId w:val="22"/>
              </w:numPr>
            </w:pPr>
            <w:r w:rsidRPr="00E9498E">
              <w:t>Florida</w:t>
            </w:r>
          </w:p>
          <w:p w14:paraId="709D15BE" w14:textId="77777777" w:rsidR="00864A69" w:rsidRPr="00E9498E" w:rsidRDefault="00864A69" w:rsidP="00374B3D">
            <w:pPr>
              <w:pStyle w:val="ListParagraph"/>
              <w:numPr>
                <w:ilvl w:val="0"/>
                <w:numId w:val="22"/>
              </w:numPr>
            </w:pPr>
            <w:r w:rsidRPr="00E9498E">
              <w:t>Indiana</w:t>
            </w:r>
          </w:p>
          <w:p w14:paraId="55580EE9" w14:textId="77777777" w:rsidR="00864A69" w:rsidRDefault="00864A69" w:rsidP="00374B3D">
            <w:pPr>
              <w:pStyle w:val="ListParagraph"/>
              <w:numPr>
                <w:ilvl w:val="0"/>
                <w:numId w:val="22"/>
              </w:numPr>
            </w:pPr>
            <w:r w:rsidRPr="00E9498E">
              <w:t xml:space="preserve">Kansas </w:t>
            </w:r>
          </w:p>
          <w:p w14:paraId="2E40F3D0" w14:textId="77777777" w:rsidR="00864A69" w:rsidRPr="00E9498E" w:rsidRDefault="00864A69" w:rsidP="00374B3D">
            <w:pPr>
              <w:pStyle w:val="ListParagraph"/>
              <w:numPr>
                <w:ilvl w:val="0"/>
                <w:numId w:val="22"/>
              </w:numPr>
            </w:pPr>
            <w:r w:rsidRPr="00E9498E">
              <w:t>Maryland</w:t>
            </w:r>
          </w:p>
          <w:p w14:paraId="0CD62D03" w14:textId="77777777" w:rsidR="00864A69" w:rsidRPr="00E9498E" w:rsidRDefault="00864A69" w:rsidP="00374B3D">
            <w:pPr>
              <w:pStyle w:val="ListParagraph"/>
              <w:numPr>
                <w:ilvl w:val="0"/>
                <w:numId w:val="22"/>
              </w:numPr>
            </w:pPr>
            <w:r w:rsidRPr="00E9498E">
              <w:t>Michigan</w:t>
            </w:r>
          </w:p>
          <w:p w14:paraId="0F897348" w14:textId="77777777" w:rsidR="00864A69" w:rsidRDefault="00864A69" w:rsidP="00374B3D">
            <w:pPr>
              <w:pStyle w:val="ListParagraph"/>
              <w:numPr>
                <w:ilvl w:val="0"/>
                <w:numId w:val="22"/>
              </w:numPr>
            </w:pPr>
            <w:r w:rsidRPr="00E9498E">
              <w:t xml:space="preserve">Minnesota </w:t>
            </w:r>
          </w:p>
          <w:p w14:paraId="2718448F" w14:textId="77777777" w:rsidR="00864A69" w:rsidRPr="00E9498E" w:rsidRDefault="00864A69" w:rsidP="00374B3D">
            <w:pPr>
              <w:pStyle w:val="ListParagraph"/>
              <w:numPr>
                <w:ilvl w:val="0"/>
                <w:numId w:val="22"/>
              </w:numPr>
            </w:pPr>
            <w:r w:rsidRPr="00E9498E">
              <w:t>North Caroline</w:t>
            </w:r>
          </w:p>
          <w:p w14:paraId="690AECA7" w14:textId="77777777" w:rsidR="00864A69" w:rsidRPr="00E9498E" w:rsidRDefault="00864A69" w:rsidP="00374B3D">
            <w:pPr>
              <w:pStyle w:val="ListParagraph"/>
              <w:numPr>
                <w:ilvl w:val="0"/>
                <w:numId w:val="22"/>
              </w:numPr>
            </w:pPr>
            <w:r w:rsidRPr="00E9498E">
              <w:t xml:space="preserve">New Hampshire </w:t>
            </w:r>
          </w:p>
        </w:tc>
        <w:tc>
          <w:tcPr>
            <w:tcW w:w="1622" w:type="pct"/>
            <w:tcBorders>
              <w:top w:val="single" w:sz="4" w:space="0" w:color="auto"/>
              <w:left w:val="nil"/>
              <w:bottom w:val="single" w:sz="4" w:space="0" w:color="auto"/>
              <w:right w:val="nil"/>
            </w:tcBorders>
          </w:tcPr>
          <w:p w14:paraId="6325A02D" w14:textId="77777777" w:rsidR="00864A69" w:rsidRPr="00E9498E" w:rsidRDefault="00864A69" w:rsidP="00374B3D">
            <w:pPr>
              <w:pStyle w:val="ListParagraph"/>
              <w:numPr>
                <w:ilvl w:val="0"/>
                <w:numId w:val="22"/>
              </w:numPr>
            </w:pPr>
            <w:r w:rsidRPr="00E9498E">
              <w:t>New Jersey</w:t>
            </w:r>
          </w:p>
          <w:p w14:paraId="357ED290" w14:textId="77777777" w:rsidR="00864A69" w:rsidRPr="00E9498E" w:rsidRDefault="00864A69" w:rsidP="00374B3D">
            <w:pPr>
              <w:pStyle w:val="ListParagraph"/>
              <w:numPr>
                <w:ilvl w:val="0"/>
                <w:numId w:val="22"/>
              </w:numPr>
            </w:pPr>
            <w:r w:rsidRPr="00E9498E">
              <w:t>New York</w:t>
            </w:r>
          </w:p>
          <w:p w14:paraId="5D60AD96" w14:textId="77777777" w:rsidR="00864A69" w:rsidRPr="00E9498E" w:rsidRDefault="00864A69" w:rsidP="00374B3D">
            <w:pPr>
              <w:pStyle w:val="ListParagraph"/>
              <w:numPr>
                <w:ilvl w:val="0"/>
                <w:numId w:val="22"/>
              </w:numPr>
            </w:pPr>
            <w:r w:rsidRPr="00E9498E">
              <w:t>Ohio</w:t>
            </w:r>
          </w:p>
          <w:p w14:paraId="60F03413" w14:textId="77777777" w:rsidR="00864A69" w:rsidRPr="00E9498E" w:rsidRDefault="00864A69" w:rsidP="00374B3D">
            <w:pPr>
              <w:pStyle w:val="ListParagraph"/>
              <w:numPr>
                <w:ilvl w:val="0"/>
                <w:numId w:val="22"/>
              </w:numPr>
            </w:pPr>
            <w:r w:rsidRPr="00E9498E">
              <w:t>Oregon</w:t>
            </w:r>
          </w:p>
          <w:p w14:paraId="7A0A9BE8" w14:textId="77777777" w:rsidR="00864A69" w:rsidRPr="00E9498E" w:rsidRDefault="00864A69" w:rsidP="00374B3D">
            <w:pPr>
              <w:pStyle w:val="ListParagraph"/>
              <w:numPr>
                <w:ilvl w:val="0"/>
                <w:numId w:val="22"/>
              </w:numPr>
            </w:pPr>
            <w:r w:rsidRPr="00E9498E">
              <w:t>Tennessee</w:t>
            </w:r>
          </w:p>
          <w:p w14:paraId="040C1FC7" w14:textId="77777777" w:rsidR="00864A69" w:rsidRDefault="00864A69" w:rsidP="00374B3D">
            <w:pPr>
              <w:pStyle w:val="ListParagraph"/>
              <w:numPr>
                <w:ilvl w:val="0"/>
                <w:numId w:val="22"/>
              </w:numPr>
            </w:pPr>
            <w:r w:rsidRPr="00E9498E">
              <w:t xml:space="preserve">Texas </w:t>
            </w:r>
          </w:p>
          <w:p w14:paraId="602BB895" w14:textId="77777777" w:rsidR="00864A69" w:rsidRPr="00E9498E" w:rsidRDefault="00864A69" w:rsidP="00374B3D">
            <w:pPr>
              <w:pStyle w:val="ListParagraph"/>
              <w:numPr>
                <w:ilvl w:val="0"/>
                <w:numId w:val="22"/>
              </w:numPr>
            </w:pPr>
            <w:r>
              <w:t>Virginia</w:t>
            </w:r>
          </w:p>
        </w:tc>
      </w:tr>
      <w:tr w:rsidR="00864A69" w:rsidRPr="00E9498E" w14:paraId="14109220" w14:textId="77777777" w:rsidTr="00374B3D">
        <w:trPr>
          <w:trHeight w:val="332"/>
        </w:trPr>
        <w:tc>
          <w:tcPr>
            <w:tcW w:w="667" w:type="pct"/>
            <w:vMerge/>
            <w:tcBorders>
              <w:top w:val="nil"/>
              <w:left w:val="nil"/>
              <w:bottom w:val="nil"/>
              <w:right w:val="nil"/>
            </w:tcBorders>
          </w:tcPr>
          <w:p w14:paraId="4400482B" w14:textId="77777777" w:rsidR="00864A69" w:rsidRPr="00E9498E" w:rsidRDefault="00864A69" w:rsidP="00374B3D">
            <w:pPr>
              <w:rPr>
                <w:b/>
              </w:rPr>
            </w:pPr>
          </w:p>
        </w:tc>
        <w:tc>
          <w:tcPr>
            <w:tcW w:w="1090" w:type="pct"/>
            <w:tcBorders>
              <w:top w:val="single" w:sz="4" w:space="0" w:color="auto"/>
              <w:left w:val="nil"/>
              <w:bottom w:val="single" w:sz="4" w:space="0" w:color="auto"/>
              <w:right w:val="single" w:sz="4" w:space="0" w:color="auto"/>
            </w:tcBorders>
            <w:vAlign w:val="center"/>
          </w:tcPr>
          <w:p w14:paraId="59DD63A6" w14:textId="77777777" w:rsidR="00864A69" w:rsidRPr="00E9498E" w:rsidRDefault="00864A69" w:rsidP="00374B3D">
            <w:pPr>
              <w:rPr>
                <w:b/>
              </w:rPr>
            </w:pPr>
            <w:r w:rsidRPr="00E9498E">
              <w:rPr>
                <w:b/>
              </w:rPr>
              <w:t>Healthcare Facilities</w:t>
            </w:r>
            <w:r>
              <w:rPr>
                <w:b/>
              </w:rPr>
              <w:t>’</w:t>
            </w:r>
          </w:p>
        </w:tc>
        <w:tc>
          <w:tcPr>
            <w:tcW w:w="1618" w:type="pct"/>
            <w:tcBorders>
              <w:top w:val="single" w:sz="4" w:space="0" w:color="auto"/>
              <w:left w:val="single" w:sz="4" w:space="0" w:color="auto"/>
              <w:bottom w:val="single" w:sz="4" w:space="0" w:color="auto"/>
              <w:right w:val="nil"/>
            </w:tcBorders>
            <w:vAlign w:val="center"/>
          </w:tcPr>
          <w:p w14:paraId="1D44C2D4" w14:textId="77777777" w:rsidR="00864A69" w:rsidRPr="00E9498E" w:rsidRDefault="00864A69" w:rsidP="00374B3D">
            <w:r w:rsidRPr="00E9498E">
              <w:t>2 Hospitals per state</w:t>
            </w:r>
          </w:p>
        </w:tc>
        <w:tc>
          <w:tcPr>
            <w:tcW w:w="1625" w:type="pct"/>
            <w:gridSpan w:val="2"/>
            <w:tcBorders>
              <w:top w:val="single" w:sz="4" w:space="0" w:color="auto"/>
              <w:left w:val="nil"/>
              <w:bottom w:val="single" w:sz="4" w:space="0" w:color="auto"/>
              <w:right w:val="nil"/>
            </w:tcBorders>
            <w:vAlign w:val="center"/>
          </w:tcPr>
          <w:p w14:paraId="71F30B97" w14:textId="77777777" w:rsidR="00864A69" w:rsidRPr="00E9498E" w:rsidRDefault="00864A69" w:rsidP="00374B3D">
            <w:r w:rsidRPr="00E9498E">
              <w:t>2 Clinics per state</w:t>
            </w:r>
          </w:p>
        </w:tc>
      </w:tr>
      <w:tr w:rsidR="00891AD1" w:rsidRPr="00E9498E" w14:paraId="5362B963" w14:textId="77777777" w:rsidTr="00374B3D">
        <w:trPr>
          <w:trHeight w:val="372"/>
        </w:trPr>
        <w:tc>
          <w:tcPr>
            <w:tcW w:w="667" w:type="pct"/>
            <w:vMerge/>
            <w:tcBorders>
              <w:top w:val="nil"/>
              <w:left w:val="nil"/>
              <w:bottom w:val="single" w:sz="4" w:space="0" w:color="auto"/>
              <w:right w:val="nil"/>
            </w:tcBorders>
          </w:tcPr>
          <w:p w14:paraId="5995429F" w14:textId="77777777" w:rsidR="00891AD1" w:rsidRPr="00E9498E" w:rsidRDefault="00891AD1" w:rsidP="00374B3D">
            <w:pPr>
              <w:rPr>
                <w:b/>
              </w:rPr>
            </w:pPr>
          </w:p>
        </w:tc>
        <w:tc>
          <w:tcPr>
            <w:tcW w:w="1090" w:type="pct"/>
            <w:tcBorders>
              <w:top w:val="single" w:sz="4" w:space="0" w:color="auto"/>
              <w:left w:val="nil"/>
              <w:bottom w:val="single" w:sz="4" w:space="0" w:color="auto"/>
              <w:right w:val="single" w:sz="4" w:space="0" w:color="auto"/>
            </w:tcBorders>
            <w:vAlign w:val="center"/>
          </w:tcPr>
          <w:p w14:paraId="4E29C220" w14:textId="257D092D" w:rsidR="00891AD1" w:rsidRPr="00E9498E" w:rsidRDefault="00891AD1" w:rsidP="00374B3D">
            <w:pPr>
              <w:rPr>
                <w:b/>
              </w:rPr>
            </w:pPr>
            <w:r>
              <w:rPr>
                <w:b/>
              </w:rPr>
              <w:t>Role in State Health Department</w:t>
            </w:r>
          </w:p>
        </w:tc>
        <w:tc>
          <w:tcPr>
            <w:tcW w:w="1618" w:type="pct"/>
            <w:tcBorders>
              <w:top w:val="single" w:sz="4" w:space="0" w:color="auto"/>
              <w:left w:val="single" w:sz="4" w:space="0" w:color="auto"/>
              <w:bottom w:val="single" w:sz="4" w:space="0" w:color="auto"/>
              <w:right w:val="nil"/>
            </w:tcBorders>
          </w:tcPr>
          <w:p w14:paraId="330922D6" w14:textId="7315C6EB" w:rsidR="00891AD1" w:rsidRPr="00E9498E" w:rsidRDefault="00891AD1" w:rsidP="00374B3D">
            <w:pPr>
              <w:pStyle w:val="ListParagraph"/>
              <w:numPr>
                <w:ilvl w:val="0"/>
                <w:numId w:val="20"/>
              </w:numPr>
            </w:pPr>
            <w:r>
              <w:t>Epidemiologist</w:t>
            </w:r>
          </w:p>
        </w:tc>
        <w:tc>
          <w:tcPr>
            <w:tcW w:w="1625" w:type="pct"/>
            <w:gridSpan w:val="2"/>
            <w:tcBorders>
              <w:top w:val="single" w:sz="4" w:space="0" w:color="auto"/>
              <w:left w:val="nil"/>
              <w:bottom w:val="single" w:sz="4" w:space="0" w:color="auto"/>
              <w:right w:val="nil"/>
            </w:tcBorders>
          </w:tcPr>
          <w:p w14:paraId="008A4416" w14:textId="77777777" w:rsidR="00891AD1" w:rsidRPr="00E9498E" w:rsidRDefault="00891AD1" w:rsidP="00B17A0B"/>
        </w:tc>
      </w:tr>
      <w:tr w:rsidR="00864A69" w:rsidRPr="00E9498E" w14:paraId="6F3AFC47" w14:textId="77777777" w:rsidTr="00374B3D">
        <w:trPr>
          <w:trHeight w:val="372"/>
        </w:trPr>
        <w:tc>
          <w:tcPr>
            <w:tcW w:w="667" w:type="pct"/>
            <w:vMerge/>
            <w:tcBorders>
              <w:top w:val="nil"/>
              <w:left w:val="nil"/>
              <w:bottom w:val="single" w:sz="4" w:space="0" w:color="auto"/>
              <w:right w:val="nil"/>
            </w:tcBorders>
          </w:tcPr>
          <w:p w14:paraId="5AC28940" w14:textId="77777777" w:rsidR="00864A69" w:rsidRPr="00E9498E" w:rsidRDefault="00864A69" w:rsidP="00374B3D">
            <w:pPr>
              <w:rPr>
                <w:b/>
              </w:rPr>
            </w:pPr>
          </w:p>
        </w:tc>
        <w:tc>
          <w:tcPr>
            <w:tcW w:w="1090" w:type="pct"/>
            <w:tcBorders>
              <w:top w:val="single" w:sz="4" w:space="0" w:color="auto"/>
              <w:left w:val="nil"/>
              <w:bottom w:val="single" w:sz="4" w:space="0" w:color="auto"/>
              <w:right w:val="single" w:sz="4" w:space="0" w:color="auto"/>
            </w:tcBorders>
            <w:vAlign w:val="center"/>
          </w:tcPr>
          <w:p w14:paraId="74183BDB" w14:textId="77777777" w:rsidR="00864A69" w:rsidRPr="00E9498E" w:rsidRDefault="00864A69" w:rsidP="00374B3D">
            <w:pPr>
              <w:rPr>
                <w:b/>
              </w:rPr>
            </w:pPr>
            <w:r w:rsidRPr="00E9498E">
              <w:rPr>
                <w:b/>
              </w:rPr>
              <w:t>Roles in Healthcare facilities</w:t>
            </w:r>
            <w:r>
              <w:rPr>
                <w:b/>
              </w:rPr>
              <w:t>’</w:t>
            </w:r>
            <w:r w:rsidRPr="00E9498E">
              <w:rPr>
                <w:b/>
              </w:rPr>
              <w:t xml:space="preserve"> </w:t>
            </w:r>
          </w:p>
          <w:p w14:paraId="60BD3811" w14:textId="77777777" w:rsidR="00864A69" w:rsidRPr="00E9498E" w:rsidRDefault="00864A69" w:rsidP="00374B3D">
            <w:pPr>
              <w:rPr>
                <w:b/>
              </w:rPr>
            </w:pPr>
          </w:p>
        </w:tc>
        <w:tc>
          <w:tcPr>
            <w:tcW w:w="1618" w:type="pct"/>
            <w:tcBorders>
              <w:top w:val="single" w:sz="4" w:space="0" w:color="auto"/>
              <w:left w:val="single" w:sz="4" w:space="0" w:color="auto"/>
              <w:bottom w:val="single" w:sz="4" w:space="0" w:color="auto"/>
              <w:right w:val="nil"/>
            </w:tcBorders>
          </w:tcPr>
          <w:p w14:paraId="561CD996" w14:textId="77777777" w:rsidR="00864A69" w:rsidRPr="00E9498E" w:rsidRDefault="00864A69" w:rsidP="00B17A0B">
            <w:pPr>
              <w:pStyle w:val="ListParagraph"/>
              <w:numPr>
                <w:ilvl w:val="0"/>
                <w:numId w:val="36"/>
              </w:numPr>
            </w:pPr>
            <w:r w:rsidRPr="00E9498E">
              <w:t xml:space="preserve">Infection </w:t>
            </w:r>
            <w:proofErr w:type="spellStart"/>
            <w:r w:rsidRPr="00E9498E">
              <w:t>Preventionist</w:t>
            </w:r>
            <w:proofErr w:type="spellEnd"/>
            <w:r w:rsidRPr="00E9498E">
              <w:t xml:space="preserve"> </w:t>
            </w:r>
          </w:p>
          <w:p w14:paraId="2BD44189" w14:textId="77777777" w:rsidR="00864A69" w:rsidRPr="00E9498E" w:rsidRDefault="00864A69" w:rsidP="00B17A0B">
            <w:pPr>
              <w:pStyle w:val="ListParagraph"/>
              <w:numPr>
                <w:ilvl w:val="0"/>
                <w:numId w:val="36"/>
              </w:numPr>
            </w:pPr>
            <w:r w:rsidRPr="00E9498E">
              <w:t>Informatics Director</w:t>
            </w:r>
          </w:p>
          <w:p w14:paraId="08E2E9C8" w14:textId="77777777" w:rsidR="00864A69" w:rsidRPr="00E9498E" w:rsidRDefault="00864A69" w:rsidP="00B17A0B">
            <w:pPr>
              <w:pStyle w:val="ListParagraph"/>
              <w:numPr>
                <w:ilvl w:val="0"/>
                <w:numId w:val="36"/>
              </w:numPr>
            </w:pPr>
            <w:r>
              <w:t>Other as referred (privacy officer, risk management, etc.)</w:t>
            </w:r>
          </w:p>
        </w:tc>
        <w:tc>
          <w:tcPr>
            <w:tcW w:w="1625" w:type="pct"/>
            <w:gridSpan w:val="2"/>
            <w:tcBorders>
              <w:top w:val="single" w:sz="4" w:space="0" w:color="auto"/>
              <w:left w:val="nil"/>
              <w:bottom w:val="single" w:sz="4" w:space="0" w:color="auto"/>
              <w:right w:val="nil"/>
            </w:tcBorders>
          </w:tcPr>
          <w:p w14:paraId="042F5C4D" w14:textId="77777777" w:rsidR="00864A69" w:rsidRPr="00E9498E" w:rsidRDefault="00864A69" w:rsidP="00B17A0B">
            <w:pPr>
              <w:pStyle w:val="ListParagraph"/>
              <w:numPr>
                <w:ilvl w:val="0"/>
                <w:numId w:val="36"/>
              </w:numPr>
            </w:pPr>
            <w:r w:rsidRPr="00E9498E">
              <w:t>Clinic Manager</w:t>
            </w:r>
            <w:r>
              <w:t xml:space="preserve">, </w:t>
            </w:r>
          </w:p>
          <w:p w14:paraId="27F4A3C1" w14:textId="77777777" w:rsidR="00864A69" w:rsidRPr="00E9498E" w:rsidRDefault="00864A69" w:rsidP="00B17A0B">
            <w:pPr>
              <w:pStyle w:val="ListParagraph"/>
              <w:numPr>
                <w:ilvl w:val="0"/>
                <w:numId w:val="36"/>
              </w:numPr>
            </w:pPr>
            <w:r w:rsidRPr="00E9498E">
              <w:t xml:space="preserve">Other </w:t>
            </w:r>
            <w:r>
              <w:t>as referred (patient records manager, etc.)</w:t>
            </w:r>
          </w:p>
        </w:tc>
      </w:tr>
      <w:tr w:rsidR="00864A69" w:rsidRPr="00E9498E" w14:paraId="6762DA69" w14:textId="77777777" w:rsidTr="00374B3D">
        <w:trPr>
          <w:trHeight w:val="416"/>
        </w:trPr>
        <w:tc>
          <w:tcPr>
            <w:tcW w:w="667" w:type="pct"/>
            <w:tcBorders>
              <w:top w:val="single" w:sz="4" w:space="0" w:color="auto"/>
              <w:bottom w:val="single" w:sz="4" w:space="0" w:color="auto"/>
            </w:tcBorders>
          </w:tcPr>
          <w:p w14:paraId="44ED0F7A" w14:textId="77777777" w:rsidR="00864A69" w:rsidRPr="00E9498E" w:rsidRDefault="00864A69" w:rsidP="00374B3D">
            <w:pPr>
              <w:rPr>
                <w:b/>
              </w:rPr>
            </w:pPr>
            <w:r w:rsidRPr="00E9498E">
              <w:rPr>
                <w:b/>
              </w:rPr>
              <w:t>Procedure</w:t>
            </w:r>
          </w:p>
        </w:tc>
        <w:tc>
          <w:tcPr>
            <w:tcW w:w="4333" w:type="pct"/>
            <w:gridSpan w:val="4"/>
            <w:tcBorders>
              <w:top w:val="single" w:sz="4" w:space="0" w:color="auto"/>
              <w:bottom w:val="single" w:sz="4" w:space="0" w:color="auto"/>
            </w:tcBorders>
          </w:tcPr>
          <w:p w14:paraId="55779383" w14:textId="46273210" w:rsidR="00864A69" w:rsidRPr="00E9498E" w:rsidRDefault="00891AD1">
            <w:r>
              <w:t xml:space="preserve">15 state HD epidemiologists will help identify the healthcare facilities involved in the HAI fungal meningitis outbreak in their state. Then, </w:t>
            </w:r>
            <w:r w:rsidR="00864A69">
              <w:t>150</w:t>
            </w:r>
            <w:r w:rsidR="00864A69" w:rsidRPr="00E9498E">
              <w:t xml:space="preserve"> participants will be interviewed for 30 minutes</w:t>
            </w:r>
            <w:r w:rsidR="00864A69">
              <w:t xml:space="preserve"> each</w:t>
            </w:r>
            <w:r w:rsidR="00864A69" w:rsidRPr="00E9498E">
              <w:t xml:space="preserve"> on the phone, using an interview guide, to </w:t>
            </w:r>
            <w:r w:rsidR="00864A69">
              <w:t>assess</w:t>
            </w:r>
            <w:r w:rsidR="00864A69" w:rsidRPr="00E9498E">
              <w:t xml:space="preserve"> HD EHR access in healthcare facilities</w:t>
            </w:r>
            <w:r w:rsidR="00864A69">
              <w:t>’</w:t>
            </w:r>
            <w:r w:rsidR="00864A69" w:rsidRPr="00E9498E">
              <w:t xml:space="preserve"> by using questions that </w:t>
            </w:r>
            <w:r w:rsidR="00864A69">
              <w:t>address</w:t>
            </w:r>
            <w:r w:rsidR="00864A69" w:rsidRPr="00E9498E">
              <w:t xml:space="preserve"> concepts such as authority, capacity, security, privacy, relationships, and sustainability. </w:t>
            </w:r>
          </w:p>
        </w:tc>
      </w:tr>
      <w:tr w:rsidR="00864A69" w:rsidRPr="00E9498E" w14:paraId="03C6120E" w14:textId="77777777" w:rsidTr="00374B3D">
        <w:trPr>
          <w:trHeight w:val="416"/>
        </w:trPr>
        <w:tc>
          <w:tcPr>
            <w:tcW w:w="667" w:type="pct"/>
            <w:tcBorders>
              <w:top w:val="single" w:sz="4" w:space="0" w:color="auto"/>
            </w:tcBorders>
          </w:tcPr>
          <w:p w14:paraId="5661D578" w14:textId="77777777" w:rsidR="00864A69" w:rsidRPr="00E9498E" w:rsidRDefault="00864A69" w:rsidP="00374B3D">
            <w:pPr>
              <w:rPr>
                <w:b/>
              </w:rPr>
            </w:pPr>
            <w:r w:rsidRPr="00E9498E">
              <w:rPr>
                <w:b/>
              </w:rPr>
              <w:t>Project Output</w:t>
            </w:r>
          </w:p>
        </w:tc>
        <w:tc>
          <w:tcPr>
            <w:tcW w:w="4333" w:type="pct"/>
            <w:gridSpan w:val="4"/>
          </w:tcPr>
          <w:p w14:paraId="024748F2" w14:textId="77777777" w:rsidR="00864A69" w:rsidRPr="00E9498E" w:rsidRDefault="00864A69" w:rsidP="00374B3D">
            <w:r>
              <w:t xml:space="preserve"> The report and toolkit will be distributed to states, including but not limited to HDs and healthcare facilities’, to support awareness of best practices, barriers, and policies to help spur and strengthen relationships between public health and clinical care in an effort to facilitate quick and efficient identification of cases during outbreak investigations, and to ensure the health and safety of patients.</w:t>
            </w:r>
          </w:p>
        </w:tc>
      </w:tr>
    </w:tbl>
    <w:p w14:paraId="73676155" w14:textId="77777777" w:rsidR="00864A69" w:rsidRDefault="00864A69" w:rsidP="005446E5">
      <w:pPr>
        <w:spacing w:after="0" w:line="240" w:lineRule="auto"/>
      </w:pPr>
    </w:p>
    <w:p w14:paraId="600DF18A" w14:textId="77777777" w:rsidR="00864A69" w:rsidRDefault="00864A69" w:rsidP="005446E5">
      <w:pPr>
        <w:spacing w:after="0" w:line="240" w:lineRule="auto"/>
      </w:pPr>
    </w:p>
    <w:p w14:paraId="11F8181F" w14:textId="77777777" w:rsidR="00864A69" w:rsidRDefault="00864A69" w:rsidP="005446E5">
      <w:pPr>
        <w:spacing w:after="0" w:line="240" w:lineRule="auto"/>
      </w:pPr>
    </w:p>
    <w:p w14:paraId="752C13EE" w14:textId="77777777" w:rsidR="00891AD1" w:rsidRDefault="00891AD1" w:rsidP="005446E5">
      <w:pPr>
        <w:spacing w:after="0" w:line="240" w:lineRule="auto"/>
      </w:pPr>
    </w:p>
    <w:p w14:paraId="37057D5C" w14:textId="77777777" w:rsidR="00891AD1" w:rsidRDefault="00891AD1" w:rsidP="005446E5">
      <w:pPr>
        <w:spacing w:after="0" w:line="240" w:lineRule="auto"/>
      </w:pPr>
    </w:p>
    <w:p w14:paraId="68A6FB7A" w14:textId="77777777" w:rsidR="00891AD1" w:rsidRDefault="00891AD1" w:rsidP="005446E5">
      <w:pPr>
        <w:spacing w:after="0" w:line="240" w:lineRule="auto"/>
      </w:pPr>
    </w:p>
    <w:p w14:paraId="690A54FA" w14:textId="77777777" w:rsidR="00891AD1" w:rsidRDefault="00891AD1" w:rsidP="005446E5">
      <w:pPr>
        <w:spacing w:after="0" w:line="240" w:lineRule="auto"/>
      </w:pPr>
    </w:p>
    <w:p w14:paraId="4C6AFCF8" w14:textId="77777777" w:rsidR="00891AD1" w:rsidRDefault="00891AD1" w:rsidP="005446E5">
      <w:pPr>
        <w:spacing w:after="0" w:line="240" w:lineRule="auto"/>
      </w:pPr>
    </w:p>
    <w:p w14:paraId="75C220B2" w14:textId="77777777" w:rsidR="00864A69" w:rsidRDefault="00864A69" w:rsidP="005446E5">
      <w:pPr>
        <w:spacing w:after="0" w:line="240" w:lineRule="auto"/>
      </w:pPr>
    </w:p>
    <w:p w14:paraId="336D38C9" w14:textId="77777777" w:rsidR="00864A69" w:rsidRDefault="00864A69" w:rsidP="005446E5">
      <w:pPr>
        <w:spacing w:after="0" w:line="240" w:lineRule="auto"/>
      </w:pPr>
    </w:p>
    <w:p w14:paraId="5562148B" w14:textId="7A77ABC0" w:rsidR="00232750" w:rsidRPr="00435CDA" w:rsidRDefault="00232750" w:rsidP="005446E5">
      <w:pPr>
        <w:spacing w:after="0" w:line="240" w:lineRule="auto"/>
      </w:pPr>
      <w:r w:rsidRPr="00435CDA">
        <w:lastRenderedPageBreak/>
        <w:t>This is a</w:t>
      </w:r>
      <w:r w:rsidR="00E46427">
        <w:t xml:space="preserve"> new</w:t>
      </w:r>
      <w:r w:rsidRPr="00435CDA">
        <w:t xml:space="preserve"> request for OMB approval of a new data collection for the Centers for Disease</w:t>
      </w:r>
      <w:r w:rsidR="008D01F5" w:rsidRPr="00435CDA">
        <w:t xml:space="preserve"> Control and Prevention (CDC)</w:t>
      </w:r>
      <w:r w:rsidR="00E46427">
        <w:t xml:space="preserve"> for </w:t>
      </w:r>
      <w:r w:rsidR="00B17A0B">
        <w:t>1</w:t>
      </w:r>
      <w:r w:rsidR="00E46427">
        <w:t xml:space="preserve"> year</w:t>
      </w:r>
      <w:r w:rsidR="007C087A" w:rsidRPr="00435CDA">
        <w:t>.</w:t>
      </w:r>
    </w:p>
    <w:p w14:paraId="2EBB0332" w14:textId="77777777" w:rsidR="00232750" w:rsidRPr="00435CDA" w:rsidRDefault="006D1A43" w:rsidP="00DF583C">
      <w:pPr>
        <w:pStyle w:val="Heading1"/>
        <w:numPr>
          <w:ilvl w:val="0"/>
          <w:numId w:val="5"/>
        </w:numPr>
        <w:spacing w:line="240" w:lineRule="auto"/>
        <w:ind w:left="360"/>
        <w:rPr>
          <w:rFonts w:asciiTheme="minorHAnsi" w:hAnsiTheme="minorHAnsi"/>
          <w:color w:val="auto"/>
          <w:sz w:val="22"/>
          <w:szCs w:val="22"/>
          <w:u w:val="single"/>
        </w:rPr>
      </w:pPr>
      <w:bookmarkStart w:id="0" w:name="_Toc412038033"/>
      <w:r w:rsidRPr="00435CDA">
        <w:rPr>
          <w:rFonts w:asciiTheme="minorHAnsi" w:hAnsiTheme="minorHAnsi"/>
          <w:color w:val="auto"/>
          <w:sz w:val="22"/>
          <w:szCs w:val="22"/>
          <w:u w:val="single"/>
        </w:rPr>
        <w:t>Justification</w:t>
      </w:r>
      <w:bookmarkStart w:id="1" w:name="_GoBack"/>
      <w:bookmarkEnd w:id="0"/>
      <w:bookmarkEnd w:id="1"/>
    </w:p>
    <w:p w14:paraId="577661D1" w14:textId="77777777" w:rsidR="00CD1EA8" w:rsidRPr="00435CDA" w:rsidRDefault="00B12F51" w:rsidP="00175D4B">
      <w:pPr>
        <w:pStyle w:val="Heading2"/>
        <w:numPr>
          <w:ilvl w:val="0"/>
          <w:numId w:val="18"/>
        </w:numPr>
        <w:rPr>
          <w:rFonts w:asciiTheme="minorHAnsi" w:hAnsiTheme="minorHAnsi"/>
          <w:color w:val="auto"/>
          <w:sz w:val="22"/>
          <w:szCs w:val="22"/>
        </w:rPr>
      </w:pPr>
      <w:bookmarkStart w:id="2" w:name="_Toc412038034"/>
      <w:r w:rsidRPr="00435CDA">
        <w:rPr>
          <w:rFonts w:asciiTheme="minorHAnsi" w:hAnsiTheme="minorHAnsi"/>
          <w:color w:val="auto"/>
          <w:sz w:val="22"/>
          <w:szCs w:val="22"/>
        </w:rPr>
        <w:t>Circumstances Making the Collection of Information Necessary</w:t>
      </w:r>
      <w:bookmarkEnd w:id="2"/>
    </w:p>
    <w:p w14:paraId="739361CB" w14:textId="77777777" w:rsidR="00444048" w:rsidRPr="00435CDA" w:rsidRDefault="00444048" w:rsidP="00444048">
      <w:pPr>
        <w:pStyle w:val="Header"/>
        <w:tabs>
          <w:tab w:val="clear" w:pos="4680"/>
        </w:tabs>
        <w:spacing w:line="276" w:lineRule="auto"/>
      </w:pPr>
    </w:p>
    <w:p w14:paraId="18BD2485" w14:textId="77777777" w:rsidR="00F75D75" w:rsidRPr="00435CDA" w:rsidRDefault="00F75D75" w:rsidP="003641E1">
      <w:pPr>
        <w:rPr>
          <w:u w:val="single"/>
        </w:rPr>
      </w:pPr>
      <w:r w:rsidRPr="00435CDA">
        <w:rPr>
          <w:u w:val="single"/>
        </w:rPr>
        <w:t>Background</w:t>
      </w:r>
    </w:p>
    <w:p w14:paraId="7E6ABB20" w14:textId="1AF8E437" w:rsidR="00DB4403" w:rsidRDefault="00C632D4" w:rsidP="00816951">
      <w:pPr>
        <w:pStyle w:val="ListParagraph"/>
        <w:ind w:left="0"/>
      </w:pPr>
      <w:r w:rsidRPr="00435CDA">
        <w:rPr>
          <w:rFonts w:eastAsiaTheme="minorHAnsi"/>
        </w:rPr>
        <w:t>Two years ago, contaminated steroid injections caused the largest fungal meningitis outbreak in the United States, affecting 20 states and resulting in 751 infections and 64 deaths. The subsequent</w:t>
      </w:r>
      <w:r w:rsidR="00177627" w:rsidRPr="00435CDA">
        <w:rPr>
          <w:rFonts w:eastAsiaTheme="minorHAnsi"/>
        </w:rPr>
        <w:t xml:space="preserve"> healthcare-associated infection (HAI)</w:t>
      </w:r>
      <w:r w:rsidR="003117C1" w:rsidRPr="00435CDA">
        <w:rPr>
          <w:rFonts w:eastAsiaTheme="minorHAnsi"/>
        </w:rPr>
        <w:t xml:space="preserve"> outbreak</w:t>
      </w:r>
      <w:r w:rsidR="00071814" w:rsidRPr="00435CDA">
        <w:rPr>
          <w:rFonts w:eastAsiaTheme="minorHAnsi"/>
        </w:rPr>
        <w:t xml:space="preserve"> </w:t>
      </w:r>
      <w:r w:rsidRPr="00435CDA">
        <w:rPr>
          <w:rFonts w:eastAsiaTheme="minorHAnsi"/>
        </w:rPr>
        <w:t>response required significant collaboration between healthcare providers and facilities and public health departments (HDs)</w:t>
      </w:r>
      <w:r w:rsidR="007C087A" w:rsidRPr="00435CDA">
        <w:rPr>
          <w:rFonts w:eastAsiaTheme="minorHAnsi"/>
        </w:rPr>
        <w:t xml:space="preserve">. </w:t>
      </w:r>
      <w:r w:rsidR="00177627" w:rsidRPr="00435CDA">
        <w:rPr>
          <w:rFonts w:eastAsiaTheme="minorHAnsi"/>
        </w:rPr>
        <w:t xml:space="preserve">Following the outbreak response, </w:t>
      </w:r>
      <w:r w:rsidRPr="00435CDA">
        <w:rPr>
          <w:rFonts w:eastAsiaTheme="minorHAnsi"/>
        </w:rPr>
        <w:t>HDs</w:t>
      </w:r>
      <w:r w:rsidR="00177627" w:rsidRPr="00435CDA">
        <w:rPr>
          <w:rFonts w:eastAsiaTheme="minorHAnsi"/>
        </w:rPr>
        <w:t xml:space="preserve"> reported that </w:t>
      </w:r>
      <w:r w:rsidR="00CF2353">
        <w:rPr>
          <w:rFonts w:eastAsiaTheme="minorHAnsi"/>
        </w:rPr>
        <w:t xml:space="preserve">various challenges with </w:t>
      </w:r>
      <w:r w:rsidR="00177627" w:rsidRPr="00435CDA">
        <w:rPr>
          <w:rFonts w:eastAsiaTheme="minorHAnsi"/>
        </w:rPr>
        <w:t>access to patient health information in electronic health records (EHRs) hindered the efficient and rapid identification of potential fungal meningitis cases in healthcare facilities. These facilities included pain clinics, surgery centers, ambulatory care facilities</w:t>
      </w:r>
      <w:r w:rsidR="00FC3E1D" w:rsidRPr="00435CDA">
        <w:rPr>
          <w:rFonts w:eastAsiaTheme="minorHAnsi"/>
        </w:rPr>
        <w:t>, and other clinics,</w:t>
      </w:r>
      <w:r w:rsidR="00177627" w:rsidRPr="00435CDA">
        <w:rPr>
          <w:rFonts w:eastAsiaTheme="minorHAnsi"/>
        </w:rPr>
        <w:t xml:space="preserve"> </w:t>
      </w:r>
      <w:r w:rsidR="00FC3E1D" w:rsidRPr="00435CDA">
        <w:rPr>
          <w:rFonts w:eastAsiaTheme="minorHAnsi"/>
        </w:rPr>
        <w:t>where</w:t>
      </w:r>
      <w:r w:rsidR="00177627" w:rsidRPr="00435CDA">
        <w:rPr>
          <w:rFonts w:eastAsiaTheme="minorHAnsi"/>
        </w:rPr>
        <w:t xml:space="preserve"> patients primarily received contaminated injections, and hospitals </w:t>
      </w:r>
      <w:r w:rsidR="00FC3E1D" w:rsidRPr="00435CDA">
        <w:rPr>
          <w:rFonts w:eastAsiaTheme="minorHAnsi"/>
        </w:rPr>
        <w:t>in which</w:t>
      </w:r>
      <w:r w:rsidR="00177627" w:rsidRPr="00435CDA">
        <w:rPr>
          <w:rFonts w:eastAsiaTheme="minorHAnsi"/>
        </w:rPr>
        <w:t xml:space="preserve"> patients received treatment for the resulting meningitis.</w:t>
      </w:r>
      <w:r w:rsidR="00ED0EA2" w:rsidRPr="00435CDA">
        <w:rPr>
          <w:rFonts w:eastAsiaTheme="minorHAnsi"/>
        </w:rPr>
        <w:t xml:space="preserve"> </w:t>
      </w:r>
      <w:r w:rsidR="00F70BE1" w:rsidRPr="00F70BE1">
        <w:t xml:space="preserve">As of this submission, </w:t>
      </w:r>
      <w:r w:rsidR="00DB4403">
        <w:t>we are unaware of any published reports describing healthcare facilities staff perspective on th</w:t>
      </w:r>
      <w:r w:rsidR="00374B3D">
        <w:t>e</w:t>
      </w:r>
      <w:r w:rsidR="00DB4403">
        <w:t>s</w:t>
      </w:r>
      <w:r w:rsidR="00374B3D">
        <w:t>e</w:t>
      </w:r>
      <w:r w:rsidR="00DB4403">
        <w:t xml:space="preserve"> issues; however, two reports have focused on the HD experiences when seeking access to EHRs from healthcare facilities. </w:t>
      </w:r>
    </w:p>
    <w:p w14:paraId="4E494942" w14:textId="37B7EB45" w:rsidR="00ED0EA2" w:rsidRPr="00435CDA" w:rsidRDefault="0063142D" w:rsidP="003641E1">
      <w:pPr>
        <w:spacing w:after="0"/>
        <w:rPr>
          <w:rFonts w:eastAsiaTheme="minorHAnsi"/>
        </w:rPr>
      </w:pPr>
      <w:r>
        <w:rPr>
          <w:rFonts w:cs="Arial"/>
        </w:rPr>
        <w:t>The documents examining HD experiences on this topic include a</w:t>
      </w:r>
      <w:r w:rsidR="00ED0EA2" w:rsidRPr="00F70BE1">
        <w:rPr>
          <w:rFonts w:eastAsiaTheme="minorHAnsi"/>
        </w:rPr>
        <w:t xml:space="preserve">n </w:t>
      </w:r>
      <w:r w:rsidR="00CF2353" w:rsidRPr="00F70BE1">
        <w:t>after-</w:t>
      </w:r>
      <w:r w:rsidR="00ED0EA2" w:rsidRPr="00F70BE1">
        <w:t>action presentation by HD officials</w:t>
      </w:r>
      <w:r w:rsidR="00ED0EA2" w:rsidRPr="00F70BE1">
        <w:rPr>
          <w:vertAlign w:val="superscript"/>
        </w:rPr>
        <w:t>1</w:t>
      </w:r>
      <w:r w:rsidR="00ED0EA2" w:rsidRPr="00F70BE1">
        <w:t xml:space="preserve"> and the Public Health’s Direct Access to Hospital Electronic Medical Records ASTHO Report</w:t>
      </w:r>
      <w:proofErr w:type="gramStart"/>
      <w:r>
        <w:t>,</w:t>
      </w:r>
      <w:r w:rsidR="00ED0EA2" w:rsidRPr="00F70BE1">
        <w:rPr>
          <w:vertAlign w:val="superscript"/>
        </w:rPr>
        <w:t>2</w:t>
      </w:r>
      <w:proofErr w:type="gramEnd"/>
      <w:r w:rsidR="00ED0EA2" w:rsidRPr="00F70BE1">
        <w:t xml:space="preserve"> </w:t>
      </w:r>
      <w:r>
        <w:t xml:space="preserve">both of which </w:t>
      </w:r>
      <w:r w:rsidR="00ED0EA2" w:rsidRPr="00F70BE1">
        <w:t xml:space="preserve">cited challenges that HDs faced in obtaining access to EHRs from healthcare facilities.  </w:t>
      </w:r>
      <w:r w:rsidR="00177627" w:rsidRPr="00F70BE1">
        <w:rPr>
          <w:rFonts w:eastAsiaTheme="minorHAnsi"/>
        </w:rPr>
        <w:t>In particular, HDs that requested access to E</w:t>
      </w:r>
      <w:r w:rsidR="00C632D4" w:rsidRPr="00F70BE1">
        <w:rPr>
          <w:rFonts w:eastAsiaTheme="minorHAnsi"/>
        </w:rPr>
        <w:t>HRs from healthcare facilities</w:t>
      </w:r>
      <w:r w:rsidR="00177627" w:rsidRPr="00F70BE1">
        <w:rPr>
          <w:rFonts w:eastAsiaTheme="minorHAnsi"/>
        </w:rPr>
        <w:t xml:space="preserve"> identified </w:t>
      </w:r>
      <w:r w:rsidR="00ED0EA2" w:rsidRPr="00F70BE1">
        <w:rPr>
          <w:rFonts w:eastAsiaTheme="minorHAnsi"/>
        </w:rPr>
        <w:t>the following barriers</w:t>
      </w:r>
      <w:r w:rsidR="00177627" w:rsidRPr="00F70BE1">
        <w:rPr>
          <w:rFonts w:eastAsiaTheme="minorHAnsi"/>
        </w:rPr>
        <w:t xml:space="preserve"> to their ability to access EHRs during a public health emergency: </w:t>
      </w:r>
      <w:r w:rsidR="00ED0EA2" w:rsidRPr="00F70BE1">
        <w:rPr>
          <w:rFonts w:eastAsiaTheme="minorHAnsi"/>
        </w:rPr>
        <w:t>(1) capacity to access EHRs; (2)</w:t>
      </w:r>
      <w:r w:rsidR="00177627" w:rsidRPr="00F70BE1">
        <w:rPr>
          <w:rFonts w:eastAsiaTheme="minorHAnsi"/>
        </w:rPr>
        <w:t xml:space="preserve"> relations</w:t>
      </w:r>
      <w:r w:rsidR="00ED0EA2" w:rsidRPr="00F70BE1">
        <w:rPr>
          <w:rFonts w:eastAsiaTheme="minorHAnsi"/>
        </w:rPr>
        <w:t>hips with healthcare facilities; (3)</w:t>
      </w:r>
      <w:r w:rsidR="00177627" w:rsidRPr="00F70BE1">
        <w:rPr>
          <w:rFonts w:eastAsiaTheme="minorHAnsi"/>
        </w:rPr>
        <w:t xml:space="preserve"> </w:t>
      </w:r>
      <w:r w:rsidR="00ED0EA2" w:rsidRPr="00F70BE1">
        <w:rPr>
          <w:rFonts w:eastAsiaTheme="minorHAnsi"/>
        </w:rPr>
        <w:t xml:space="preserve">sustainability of </w:t>
      </w:r>
      <w:r w:rsidR="00CF2353" w:rsidRPr="00F70BE1">
        <w:rPr>
          <w:rFonts w:eastAsiaTheme="minorHAnsi"/>
        </w:rPr>
        <w:t>agreements</w:t>
      </w:r>
      <w:r w:rsidR="00ED0EA2" w:rsidRPr="00F70BE1">
        <w:rPr>
          <w:rFonts w:eastAsiaTheme="minorHAnsi"/>
        </w:rPr>
        <w:t xml:space="preserve">; </w:t>
      </w:r>
      <w:r w:rsidR="00816951" w:rsidRPr="00F70BE1">
        <w:rPr>
          <w:rFonts w:eastAsiaTheme="minorHAnsi"/>
        </w:rPr>
        <w:t xml:space="preserve">and </w:t>
      </w:r>
      <w:r w:rsidR="00ED0EA2" w:rsidRPr="00F70BE1">
        <w:rPr>
          <w:rFonts w:eastAsiaTheme="minorHAnsi"/>
        </w:rPr>
        <w:t xml:space="preserve">(4) </w:t>
      </w:r>
      <w:r w:rsidR="00816951" w:rsidRPr="00F70BE1">
        <w:rPr>
          <w:rFonts w:eastAsiaTheme="minorHAnsi"/>
        </w:rPr>
        <w:t xml:space="preserve">perceptions of privacy requirements and data security. </w:t>
      </w:r>
      <w:r w:rsidR="006B70CE" w:rsidRPr="00F70BE1">
        <w:rPr>
          <w:rFonts w:eastAsiaTheme="minorHAnsi"/>
        </w:rPr>
        <w:t>These concerns are summarized below.</w:t>
      </w:r>
    </w:p>
    <w:p w14:paraId="6BC64704" w14:textId="77777777" w:rsidR="006B70CE" w:rsidRPr="00435CDA" w:rsidRDefault="006B70CE" w:rsidP="003641E1">
      <w:pPr>
        <w:spacing w:after="0"/>
        <w:rPr>
          <w:rFonts w:eastAsiaTheme="minorHAnsi"/>
        </w:rPr>
      </w:pPr>
    </w:p>
    <w:p w14:paraId="309F4470" w14:textId="53E8BD60" w:rsidR="006B70CE" w:rsidRPr="00435CDA" w:rsidRDefault="006B70CE" w:rsidP="003641E1">
      <w:pPr>
        <w:spacing w:after="0"/>
      </w:pPr>
      <w:r w:rsidRPr="00435CDA">
        <w:t>First, HDs’ capacity for EHR access and use varied widely across jurisdictions and healthcare facilities.  Even when HD officials were granted access to EHRs in facilities, the manner of gaining access and ability of HDs to retrieve information was not consistent across facilities.</w:t>
      </w:r>
      <w:r w:rsidRPr="00435CDA">
        <w:rPr>
          <w:vertAlign w:val="superscript"/>
        </w:rPr>
        <w:t>1, 2, 3</w:t>
      </w:r>
      <w:r w:rsidRPr="00435CDA">
        <w:t xml:space="preserve"> Access was provided either on-site at the healthcare facility or remotely.  Some hospitals granted HDs on-site EHR access for a single location, whereas potential patients may have sought treatment across </w:t>
      </w:r>
      <w:r w:rsidR="00CF2353">
        <w:t>a</w:t>
      </w:r>
      <w:r w:rsidRPr="00435CDA">
        <w:t xml:space="preserve"> hospital system. Clinics were often not part of either a hospital or a healthcare system</w:t>
      </w:r>
      <w:r w:rsidR="00CF2353">
        <w:t xml:space="preserve">, so </w:t>
      </w:r>
      <w:r w:rsidRPr="00435CDA">
        <w:t xml:space="preserve">HD officials </w:t>
      </w:r>
      <w:r w:rsidR="00CF2353">
        <w:t>had to visit</w:t>
      </w:r>
      <w:r w:rsidRPr="00435CDA">
        <w:t xml:space="preserve"> individual sites daily to access EHRs, spending</w:t>
      </w:r>
      <w:r w:rsidR="00E869DD" w:rsidRPr="00435CDA">
        <w:t xml:space="preserve"> time and resources that were </w:t>
      </w:r>
      <w:r w:rsidR="00E7333F">
        <w:t xml:space="preserve">very </w:t>
      </w:r>
      <w:r w:rsidR="00E869DD" w:rsidRPr="00435CDA">
        <w:t>valuable during the outbreak response</w:t>
      </w:r>
      <w:r w:rsidRPr="00435CDA">
        <w:t xml:space="preserve">.  </w:t>
      </w:r>
      <w:r w:rsidR="00E869DD" w:rsidRPr="00435CDA">
        <w:t>HDs</w:t>
      </w:r>
      <w:r w:rsidRPr="00435CDA">
        <w:t xml:space="preserve"> with remote access</w:t>
      </w:r>
      <w:r w:rsidR="00E869DD" w:rsidRPr="00435CDA">
        <w:t xml:space="preserve"> could access multiple healthcare facilities</w:t>
      </w:r>
      <w:r w:rsidRPr="00435CDA">
        <w:t xml:space="preserve"> within a healthcare system from </w:t>
      </w:r>
      <w:r w:rsidR="00E869DD" w:rsidRPr="00435CDA">
        <w:t>within their network</w:t>
      </w:r>
      <w:r w:rsidRPr="00435CDA">
        <w:t>. However,</w:t>
      </w:r>
      <w:r w:rsidR="00E869DD" w:rsidRPr="00435CDA">
        <w:t xml:space="preserve"> EHR systems created and tailored for unique clinical needs differed functionally across facilities, further complicating the HD’s</w:t>
      </w:r>
      <w:r w:rsidRPr="00435CDA">
        <w:t xml:space="preserve"> ability to identify potential cases quickly and efficiently. HD officials may have also lacked the knowledge, skills, and training to use </w:t>
      </w:r>
      <w:r w:rsidR="00E869DD" w:rsidRPr="00435CDA">
        <w:t xml:space="preserve">different </w:t>
      </w:r>
      <w:r w:rsidRPr="00435CDA">
        <w:t>EHR systems and technologies</w:t>
      </w:r>
      <w:r w:rsidR="00E869DD" w:rsidRPr="00435CDA">
        <w:t>, making the retrieval and analysis of patient information “</w:t>
      </w:r>
      <w:r w:rsidRPr="00435CDA">
        <w:t>labor-intensive.</w:t>
      </w:r>
      <w:r w:rsidR="00E869DD" w:rsidRPr="00435CDA">
        <w:t>”</w:t>
      </w:r>
      <w:r w:rsidR="00E869DD" w:rsidRPr="00435CDA">
        <w:rPr>
          <w:vertAlign w:val="superscript"/>
        </w:rPr>
        <w:t>1</w:t>
      </w:r>
      <w:proofErr w:type="gramStart"/>
      <w:r w:rsidR="00E869DD" w:rsidRPr="00435CDA">
        <w:rPr>
          <w:vertAlign w:val="superscript"/>
        </w:rPr>
        <w:t>,2,3</w:t>
      </w:r>
      <w:proofErr w:type="gramEnd"/>
      <w:r w:rsidR="00E869DD" w:rsidRPr="00435CDA">
        <w:rPr>
          <w:vertAlign w:val="superscript"/>
        </w:rPr>
        <w:t xml:space="preserve"> </w:t>
      </w:r>
      <w:r w:rsidR="00E869DD" w:rsidRPr="00435CDA">
        <w:t>Additionally, HDs’</w:t>
      </w:r>
      <w:r w:rsidRPr="00435CDA">
        <w:t xml:space="preserve"> capability to query an EHR system for a specific symptom or procedure related to the </w:t>
      </w:r>
      <w:r w:rsidRPr="00435CDA">
        <w:lastRenderedPageBreak/>
        <w:t>HAI fungal meningitis outbreak proved challenging and</w:t>
      </w:r>
      <w:r w:rsidR="00E869DD" w:rsidRPr="00435CDA">
        <w:t>, in some cases,</w:t>
      </w:r>
      <w:r w:rsidRPr="00435CDA">
        <w:t xml:space="preserve"> impossible because healthcare fa</w:t>
      </w:r>
      <w:r w:rsidR="00E869DD" w:rsidRPr="00435CDA">
        <w:t>cility staff</w:t>
      </w:r>
      <w:r w:rsidRPr="00435CDA">
        <w:t xml:space="preserve"> were unaware of the</w:t>
      </w:r>
      <w:r w:rsidR="00E869DD" w:rsidRPr="00435CDA">
        <w:t xml:space="preserve"> full range of</w:t>
      </w:r>
      <w:r w:rsidRPr="00435CDA">
        <w:t xml:space="preserve"> ca</w:t>
      </w:r>
      <w:r w:rsidR="005A144D" w:rsidRPr="00435CDA">
        <w:t>pabilities of their EHR system.</w:t>
      </w:r>
      <w:r w:rsidRPr="00435CDA">
        <w:rPr>
          <w:vertAlign w:val="superscript"/>
        </w:rPr>
        <w:t>1, 2, 3</w:t>
      </w:r>
      <w:r w:rsidRPr="00435CDA">
        <w:t xml:space="preserve"> Therefore, HDs often </w:t>
      </w:r>
      <w:r w:rsidR="00E869DD" w:rsidRPr="00435CDA">
        <w:t>resorted</w:t>
      </w:r>
      <w:r w:rsidRPr="00435CDA">
        <w:t xml:space="preserve"> to manually </w:t>
      </w:r>
      <w:r w:rsidR="00E869DD" w:rsidRPr="00435CDA">
        <w:t>creating</w:t>
      </w:r>
      <w:r w:rsidRPr="00435CDA">
        <w:t xml:space="preserve"> external data collection systems and instruments to </w:t>
      </w:r>
      <w:r w:rsidR="00E869DD" w:rsidRPr="00435CDA">
        <w:t>cull vital information</w:t>
      </w:r>
      <w:r w:rsidRPr="00435CDA">
        <w:t xml:space="preserve"> from patient records.</w:t>
      </w:r>
    </w:p>
    <w:p w14:paraId="73043337" w14:textId="77777777" w:rsidR="00E869DD" w:rsidRPr="00435CDA" w:rsidRDefault="00E869DD" w:rsidP="003641E1">
      <w:pPr>
        <w:spacing w:after="0"/>
      </w:pPr>
    </w:p>
    <w:p w14:paraId="0A4B5D76" w14:textId="54FD77AA" w:rsidR="004D1517" w:rsidRPr="00435CDA" w:rsidRDefault="00E869DD" w:rsidP="004D1517">
      <w:pPr>
        <w:pStyle w:val="Header"/>
        <w:tabs>
          <w:tab w:val="clear" w:pos="4680"/>
          <w:tab w:val="clear" w:pos="9360"/>
          <w:tab w:val="left" w:pos="3469"/>
        </w:tabs>
        <w:spacing w:line="276" w:lineRule="auto"/>
      </w:pPr>
      <w:r w:rsidRPr="00435CDA">
        <w:t xml:space="preserve">Second, </w:t>
      </w:r>
      <w:r w:rsidR="004D1517" w:rsidRPr="00435CDA">
        <w:t xml:space="preserve">while HDs maintain relationships with healthcare facilities for public health surveillance needs and requirements, they may </w:t>
      </w:r>
      <w:r w:rsidR="00CF2353" w:rsidRPr="00435CDA">
        <w:t xml:space="preserve">not </w:t>
      </w:r>
      <w:r w:rsidR="004D1517" w:rsidRPr="00435CDA">
        <w:t>have approached healthcare facilities with questions about EHR access during an HAI outbreak.</w:t>
      </w:r>
      <w:r w:rsidR="004D1517" w:rsidRPr="00435CDA">
        <w:rPr>
          <w:vertAlign w:val="superscript"/>
        </w:rPr>
        <w:t>3</w:t>
      </w:r>
      <w:r w:rsidR="004D1517" w:rsidRPr="00435CDA">
        <w:t xml:space="preserve"> Because EHRs are a relatively recent technology for many facilities, EHR adoption has been uneven and coordination of clinical care and public health may not be a priority.  Those adopting EHR technology may have done so because of incentives provided under </w:t>
      </w:r>
      <w:r w:rsidR="00435CDA">
        <w:t xml:space="preserve">the </w:t>
      </w:r>
      <w:r w:rsidR="00435CDA" w:rsidRPr="00435CDA">
        <w:t>Health Information Technology for Economic and Clinical Health (HITECH) Act of 2009</w:t>
      </w:r>
      <w:r w:rsidR="004D1517" w:rsidRPr="00435CDA">
        <w:t>,</w:t>
      </w:r>
      <w:r w:rsidR="004D1517" w:rsidRPr="00435CDA">
        <w:rPr>
          <w:vertAlign w:val="superscript"/>
        </w:rPr>
        <w:t>5</w:t>
      </w:r>
      <w:r w:rsidR="004D1517" w:rsidRPr="00435CDA">
        <w:t xml:space="preserve"> which is clinically centered.</w:t>
      </w:r>
      <w:r w:rsidR="004D1517" w:rsidRPr="00435CDA">
        <w:rPr>
          <w:vertAlign w:val="superscript"/>
        </w:rPr>
        <w:t>8</w:t>
      </w:r>
      <w:r w:rsidR="004D1517" w:rsidRPr="00435CDA">
        <w:t xml:space="preserve"> However, requirements for EHR access and use by HDs may not have been formalized by healthcare facilities prior to </w:t>
      </w:r>
      <w:r w:rsidR="00CF2353">
        <w:t>the</w:t>
      </w:r>
      <w:r w:rsidR="004D1517" w:rsidRPr="00435CDA">
        <w:t xml:space="preserve"> outbreak.</w:t>
      </w:r>
      <w:r w:rsidR="004D1517" w:rsidRPr="00435CDA">
        <w:rPr>
          <w:vertAlign w:val="superscript"/>
        </w:rPr>
        <w:t>2</w:t>
      </w:r>
    </w:p>
    <w:p w14:paraId="7505BC93" w14:textId="77777777" w:rsidR="004D1517" w:rsidRPr="00435CDA" w:rsidRDefault="004D1517" w:rsidP="00E869DD">
      <w:pPr>
        <w:pStyle w:val="Header"/>
        <w:tabs>
          <w:tab w:val="clear" w:pos="4680"/>
        </w:tabs>
        <w:spacing w:line="276" w:lineRule="auto"/>
      </w:pPr>
    </w:p>
    <w:p w14:paraId="79F2CF36" w14:textId="37BB814F" w:rsidR="00E869DD" w:rsidRPr="00435CDA" w:rsidRDefault="004D1517" w:rsidP="00E869DD">
      <w:pPr>
        <w:pStyle w:val="Header"/>
        <w:tabs>
          <w:tab w:val="clear" w:pos="4680"/>
        </w:tabs>
        <w:spacing w:line="276" w:lineRule="auto"/>
        <w:rPr>
          <w:vertAlign w:val="superscript"/>
        </w:rPr>
      </w:pPr>
      <w:r w:rsidRPr="00435CDA">
        <w:t xml:space="preserve">Third, </w:t>
      </w:r>
      <w:r w:rsidR="000977DF">
        <w:t xml:space="preserve">HDs and healthcare facilities </w:t>
      </w:r>
      <w:r w:rsidR="000977DF" w:rsidRPr="00435CDA">
        <w:t xml:space="preserve">were forced to make short-term agreements about EHR access and use </w:t>
      </w:r>
      <w:r w:rsidR="00E869DD" w:rsidRPr="00435CDA">
        <w:t xml:space="preserve">during </w:t>
      </w:r>
      <w:r w:rsidR="000977DF">
        <w:t xml:space="preserve">the fungal meningitis outbreak, whether or not they had a </w:t>
      </w:r>
      <w:r w:rsidR="00E869DD" w:rsidRPr="00435CDA">
        <w:t>pre-existing relationship</w:t>
      </w:r>
      <w:r w:rsidR="000977DF">
        <w:t>.</w:t>
      </w:r>
      <w:r w:rsidR="000977DF" w:rsidRPr="000977DF">
        <w:rPr>
          <w:vertAlign w:val="superscript"/>
        </w:rPr>
        <w:t xml:space="preserve"> </w:t>
      </w:r>
      <w:r w:rsidR="000977DF" w:rsidRPr="00435CDA">
        <w:rPr>
          <w:vertAlign w:val="superscript"/>
        </w:rPr>
        <w:t xml:space="preserve">1, 2, 3 </w:t>
      </w:r>
      <w:r w:rsidR="000977DF">
        <w:t xml:space="preserve"> </w:t>
      </w:r>
      <w:r w:rsidR="00E869DD" w:rsidRPr="00435CDA">
        <w:t xml:space="preserve">Because these agreements were created during </w:t>
      </w:r>
      <w:r w:rsidR="00CF2353">
        <w:t>a specific</w:t>
      </w:r>
      <w:r w:rsidR="00E869DD" w:rsidRPr="00435CDA">
        <w:t xml:space="preserve"> outbreak</w:t>
      </w:r>
      <w:r w:rsidR="000977DF">
        <w:t xml:space="preserve"> they were often made in rapid fashion </w:t>
      </w:r>
      <w:r w:rsidR="00E869DD" w:rsidRPr="009236CF">
        <w:t xml:space="preserve">the </w:t>
      </w:r>
      <w:r w:rsidR="005E4996" w:rsidRPr="009236CF">
        <w:t xml:space="preserve">applicability and </w:t>
      </w:r>
      <w:r w:rsidR="00E869DD" w:rsidRPr="009236CF">
        <w:t xml:space="preserve">sustainability of the </w:t>
      </w:r>
      <w:r w:rsidR="005E4996" w:rsidRPr="009236CF">
        <w:t>agreements</w:t>
      </w:r>
      <w:r w:rsidR="00E869DD" w:rsidRPr="009236CF">
        <w:t xml:space="preserve"> may not have been considered.</w:t>
      </w:r>
      <w:r w:rsidR="00E869DD" w:rsidRPr="009236CF">
        <w:rPr>
          <w:vertAlign w:val="superscript"/>
        </w:rPr>
        <w:t>3</w:t>
      </w:r>
      <w:r w:rsidR="00E869DD" w:rsidRPr="009236CF">
        <w:t xml:space="preserve"> Many agreements</w:t>
      </w:r>
      <w:r w:rsidR="00E869DD" w:rsidRPr="00435CDA">
        <w:t xml:space="preserve"> </w:t>
      </w:r>
      <w:r w:rsidRPr="00435CDA">
        <w:t>have expired</w:t>
      </w:r>
      <w:r w:rsidR="00E869DD" w:rsidRPr="00435CDA">
        <w:rPr>
          <w:vertAlign w:val="superscript"/>
        </w:rPr>
        <w:t xml:space="preserve">3 </w:t>
      </w:r>
      <w:r w:rsidRPr="00435CDA">
        <w:t>and many HDs have not renewed them across facilities due to limited resources. HDs and facilities therefore</w:t>
      </w:r>
      <w:r w:rsidR="00E869DD" w:rsidRPr="00435CDA">
        <w:t xml:space="preserve"> have reverted back to a relationship defined by traditional practices involving dise</w:t>
      </w:r>
      <w:r w:rsidR="005A144D" w:rsidRPr="00435CDA">
        <w:t>ase reporting and surveillance.</w:t>
      </w:r>
      <w:r w:rsidR="00E869DD" w:rsidRPr="00435CDA">
        <w:rPr>
          <w:vertAlign w:val="superscript"/>
        </w:rPr>
        <w:t>3</w:t>
      </w:r>
    </w:p>
    <w:p w14:paraId="5487D492" w14:textId="77777777" w:rsidR="00E869DD" w:rsidRPr="00435CDA" w:rsidRDefault="00E869DD" w:rsidP="003641E1">
      <w:pPr>
        <w:spacing w:after="0"/>
        <w:rPr>
          <w:rFonts w:eastAsiaTheme="minorHAnsi"/>
        </w:rPr>
      </w:pPr>
    </w:p>
    <w:p w14:paraId="072C684B" w14:textId="4C147922" w:rsidR="006B70CE" w:rsidRPr="00435CDA" w:rsidRDefault="004D1517" w:rsidP="00816951">
      <w:pPr>
        <w:spacing w:after="0"/>
        <w:rPr>
          <w:rFonts w:eastAsiaTheme="minorHAnsi"/>
        </w:rPr>
      </w:pPr>
      <w:r w:rsidRPr="00435CDA">
        <w:rPr>
          <w:rFonts w:eastAsiaTheme="minorHAnsi"/>
        </w:rPr>
        <w:t>Finally, perceptions of privacy and security remain a challenge for HDs.</w:t>
      </w:r>
      <w:r w:rsidRPr="00435CDA">
        <w:rPr>
          <w:vertAlign w:val="superscript"/>
        </w:rPr>
        <w:t>1</w:t>
      </w:r>
      <w:proofErr w:type="gramStart"/>
      <w:r w:rsidRPr="00435CDA">
        <w:rPr>
          <w:vertAlign w:val="superscript"/>
        </w:rPr>
        <w:t>,2,3</w:t>
      </w:r>
      <w:proofErr w:type="gramEnd"/>
      <w:r w:rsidR="006B70CE" w:rsidRPr="00435CDA">
        <w:t xml:space="preserve"> </w:t>
      </w:r>
      <w:r w:rsidRPr="00435CDA">
        <w:t xml:space="preserve">The </w:t>
      </w:r>
      <w:r w:rsidR="00435CDA">
        <w:t>HITECH Act</w:t>
      </w:r>
      <w:r w:rsidR="00816951" w:rsidRPr="00435CDA">
        <w:t>, state</w:t>
      </w:r>
      <w:r w:rsidRPr="00435CDA">
        <w:t xml:space="preserve"> laws, and individual healthcare facility policies create numerous security and privacy requirements for EHR implementation.  </w:t>
      </w:r>
      <w:r w:rsidR="00816951" w:rsidRPr="00435CDA">
        <w:t>During the fungal meningitis outbreak, m</w:t>
      </w:r>
      <w:r w:rsidRPr="00435CDA">
        <w:t>any healthc</w:t>
      </w:r>
      <w:r w:rsidR="004E57BE">
        <w:t xml:space="preserve">are facilities and HDs lacked uniform </w:t>
      </w:r>
      <w:r w:rsidRPr="00435CDA">
        <w:t>understanding of the guidance federal and state laws provide related to patient privacy and EHRs, particularly related to the Health Insurance Portability and Accountability Act of 1996 (HIPAA).</w:t>
      </w:r>
      <w:r w:rsidRPr="00435CDA">
        <w:rPr>
          <w:vertAlign w:val="superscript"/>
        </w:rPr>
        <w:t>4</w:t>
      </w:r>
      <w:r w:rsidRPr="00435CDA">
        <w:t xml:space="preserve"> </w:t>
      </w:r>
      <w:r w:rsidR="005E4996">
        <w:t>Even though HIPAA allows HDs to access health records for disease investigation purposes, s</w:t>
      </w:r>
      <w:r w:rsidRPr="00435CDA">
        <w:t>ome facilities delayed granting HDs access to their EHR systems, or initially denied access altogether, due to privacy concerns.</w:t>
      </w:r>
      <w:r w:rsidRPr="00435CDA">
        <w:rPr>
          <w:vertAlign w:val="superscript"/>
        </w:rPr>
        <w:t>1, 2, 3</w:t>
      </w:r>
      <w:r w:rsidRPr="00435CDA">
        <w:t xml:space="preserve">  </w:t>
      </w:r>
      <w:r w:rsidR="006B70CE" w:rsidRPr="00435CDA">
        <w:t xml:space="preserve">Recent breaches of EHR security and the fear of financial and legal repercussions also </w:t>
      </w:r>
      <w:r w:rsidR="00816951" w:rsidRPr="00435CDA">
        <w:t>could</w:t>
      </w:r>
      <w:r w:rsidR="006B70CE" w:rsidRPr="00435CDA">
        <w:t xml:space="preserve"> have complicated healthcare facilities’ willingness to grant</w:t>
      </w:r>
      <w:r w:rsidR="00816951" w:rsidRPr="00435CDA">
        <w:t xml:space="preserve"> HDs EHR access.</w:t>
      </w:r>
      <w:r w:rsidR="006B70CE" w:rsidRPr="00435CDA">
        <w:rPr>
          <w:vertAlign w:val="superscript"/>
        </w:rPr>
        <w:t>6, 7</w:t>
      </w:r>
    </w:p>
    <w:p w14:paraId="5B1D26E8" w14:textId="086A87D9" w:rsidR="00ED0EA2" w:rsidRPr="00435CDA" w:rsidRDefault="00ED0EA2" w:rsidP="00ED0EA2">
      <w:pPr>
        <w:tabs>
          <w:tab w:val="left" w:pos="5745"/>
        </w:tabs>
        <w:spacing w:after="0"/>
        <w:rPr>
          <w:rFonts w:eastAsiaTheme="minorHAnsi"/>
        </w:rPr>
      </w:pPr>
      <w:r w:rsidRPr="00435CDA">
        <w:rPr>
          <w:rFonts w:eastAsiaTheme="minorHAnsi"/>
        </w:rPr>
        <w:tab/>
      </w:r>
    </w:p>
    <w:p w14:paraId="035755AD" w14:textId="5957D364" w:rsidR="009236CF" w:rsidRDefault="006B70CE" w:rsidP="00816951">
      <w:pPr>
        <w:pStyle w:val="ListParagraph"/>
        <w:ind w:left="0"/>
        <w:rPr>
          <w:rFonts w:eastAsiaTheme="minorHAnsi"/>
        </w:rPr>
      </w:pPr>
      <w:r w:rsidRPr="00435CDA">
        <w:rPr>
          <w:rFonts w:eastAsiaTheme="minorHAnsi"/>
        </w:rPr>
        <w:t xml:space="preserve">The fungal meningitis outbreak </w:t>
      </w:r>
      <w:r w:rsidR="00816951" w:rsidRPr="00435CDA">
        <w:rPr>
          <w:rFonts w:eastAsiaTheme="minorHAnsi"/>
        </w:rPr>
        <w:t xml:space="preserve">experience </w:t>
      </w:r>
      <w:r w:rsidRPr="00435CDA">
        <w:rPr>
          <w:rFonts w:eastAsiaTheme="minorHAnsi"/>
        </w:rPr>
        <w:t xml:space="preserve">highlights the need to better </w:t>
      </w:r>
      <w:r w:rsidR="009236CF">
        <w:rPr>
          <w:rFonts w:eastAsiaTheme="minorHAnsi"/>
        </w:rPr>
        <w:t>address</w:t>
      </w:r>
      <w:r w:rsidRPr="00435CDA">
        <w:rPr>
          <w:rFonts w:eastAsiaTheme="minorHAnsi"/>
        </w:rPr>
        <w:t xml:space="preserve"> </w:t>
      </w:r>
      <w:r w:rsidR="000977DF">
        <w:rPr>
          <w:rFonts w:eastAsiaTheme="minorHAnsi"/>
        </w:rPr>
        <w:t xml:space="preserve">the landscape of </w:t>
      </w:r>
      <w:r w:rsidR="0077785C">
        <w:rPr>
          <w:rFonts w:eastAsiaTheme="minorHAnsi"/>
        </w:rPr>
        <w:t>granting</w:t>
      </w:r>
      <w:r w:rsidR="000977DF">
        <w:rPr>
          <w:rFonts w:eastAsiaTheme="minorHAnsi"/>
        </w:rPr>
        <w:t xml:space="preserve"> and using </w:t>
      </w:r>
      <w:r w:rsidRPr="00435CDA">
        <w:rPr>
          <w:rFonts w:eastAsiaTheme="minorHAnsi"/>
        </w:rPr>
        <w:t xml:space="preserve">access </w:t>
      </w:r>
      <w:r w:rsidR="000977DF">
        <w:rPr>
          <w:rFonts w:eastAsiaTheme="minorHAnsi"/>
        </w:rPr>
        <w:t xml:space="preserve">to </w:t>
      </w:r>
      <w:r w:rsidRPr="00435CDA">
        <w:rPr>
          <w:rFonts w:eastAsiaTheme="minorHAnsi"/>
        </w:rPr>
        <w:t>EHRs</w:t>
      </w:r>
      <w:r w:rsidR="000977DF">
        <w:rPr>
          <w:rFonts w:eastAsiaTheme="minorHAnsi"/>
        </w:rPr>
        <w:t xml:space="preserve"> for outbreak investigations</w:t>
      </w:r>
      <w:r w:rsidRPr="00435CDA">
        <w:rPr>
          <w:rFonts w:eastAsiaTheme="minorHAnsi"/>
        </w:rPr>
        <w:t xml:space="preserve">. </w:t>
      </w:r>
      <w:r w:rsidR="00C632D4" w:rsidRPr="00435CDA">
        <w:rPr>
          <w:rFonts w:eastAsiaTheme="minorHAnsi"/>
        </w:rPr>
        <w:t xml:space="preserve">This </w:t>
      </w:r>
      <w:r w:rsidR="00195DB8">
        <w:rPr>
          <w:rFonts w:eastAsiaTheme="minorHAnsi"/>
        </w:rPr>
        <w:t>assessment</w:t>
      </w:r>
      <w:r w:rsidR="00C632D4" w:rsidRPr="00435CDA">
        <w:rPr>
          <w:rFonts w:eastAsiaTheme="minorHAnsi"/>
        </w:rPr>
        <w:t>, “State Health Department Access to</w:t>
      </w:r>
      <w:r w:rsidR="009236CF">
        <w:rPr>
          <w:rFonts w:eastAsiaTheme="minorHAnsi"/>
        </w:rPr>
        <w:t xml:space="preserve"> Electronic Health Record Data d</w:t>
      </w:r>
      <w:r w:rsidR="00C632D4" w:rsidRPr="00435CDA">
        <w:rPr>
          <w:rFonts w:eastAsiaTheme="minorHAnsi"/>
        </w:rPr>
        <w:t xml:space="preserve">uring an Outbreak: A Retrospective Assessment” examines </w:t>
      </w:r>
      <w:r w:rsidRPr="00435CDA">
        <w:rPr>
          <w:rFonts w:eastAsiaTheme="minorHAnsi"/>
        </w:rPr>
        <w:t>stakeholder perspective</w:t>
      </w:r>
      <w:r w:rsidR="00C632D4" w:rsidRPr="00435CDA">
        <w:rPr>
          <w:rFonts w:eastAsiaTheme="minorHAnsi"/>
        </w:rPr>
        <w:t xml:space="preserve">s in </w:t>
      </w:r>
      <w:r w:rsidR="0077785C">
        <w:rPr>
          <w:rFonts w:eastAsiaTheme="minorHAnsi"/>
        </w:rPr>
        <w:t xml:space="preserve">granting </w:t>
      </w:r>
      <w:r w:rsidR="000977DF">
        <w:rPr>
          <w:rFonts w:eastAsiaTheme="minorHAnsi"/>
        </w:rPr>
        <w:t>and using access to</w:t>
      </w:r>
      <w:r w:rsidR="00ED0EA2" w:rsidRPr="00435CDA">
        <w:rPr>
          <w:rFonts w:eastAsiaTheme="minorHAnsi"/>
        </w:rPr>
        <w:t xml:space="preserve"> EHRs in outbreak settings.  An</w:t>
      </w:r>
      <w:r w:rsidR="00C632D4" w:rsidRPr="00435CDA">
        <w:rPr>
          <w:rFonts w:eastAsiaTheme="minorHAnsi"/>
        </w:rPr>
        <w:t xml:space="preserve"> initial data collection (Phase I</w:t>
      </w:r>
      <w:r w:rsidR="000407F1">
        <w:rPr>
          <w:rFonts w:eastAsiaTheme="minorHAnsi"/>
        </w:rPr>
        <w:t xml:space="preserve"> OMB 0920-0879</w:t>
      </w:r>
      <w:r w:rsidR="00C632D4" w:rsidRPr="00435CDA">
        <w:rPr>
          <w:rFonts w:eastAsiaTheme="minorHAnsi"/>
        </w:rPr>
        <w:t>) of th</w:t>
      </w:r>
      <w:r w:rsidR="00ED0EA2" w:rsidRPr="00435CDA">
        <w:rPr>
          <w:rFonts w:eastAsiaTheme="minorHAnsi"/>
        </w:rPr>
        <w:t xml:space="preserve">is </w:t>
      </w:r>
      <w:r w:rsidR="009236CF">
        <w:rPr>
          <w:rFonts w:eastAsiaTheme="minorHAnsi"/>
        </w:rPr>
        <w:t xml:space="preserve">assessment examined HD experiences, </w:t>
      </w:r>
      <w:r w:rsidR="00ED0EA2" w:rsidRPr="00435CDA">
        <w:rPr>
          <w:rFonts w:eastAsiaTheme="minorHAnsi"/>
        </w:rPr>
        <w:t xml:space="preserve">and this data collection (Phase II) seeks </w:t>
      </w:r>
      <w:r w:rsidRPr="00435CDA">
        <w:rPr>
          <w:rFonts w:eastAsiaTheme="minorHAnsi"/>
        </w:rPr>
        <w:t>to</w:t>
      </w:r>
      <w:r w:rsidR="009236CF">
        <w:rPr>
          <w:rFonts w:eastAsiaTheme="minorHAnsi"/>
        </w:rPr>
        <w:t xml:space="preserve"> assess healthcare facility experiences</w:t>
      </w:r>
      <w:r w:rsidR="00ED0EA2" w:rsidRPr="00435CDA">
        <w:rPr>
          <w:rFonts w:eastAsiaTheme="minorHAnsi"/>
        </w:rPr>
        <w:t>.  Together,</w:t>
      </w:r>
      <w:r w:rsidR="009236CF">
        <w:rPr>
          <w:rFonts w:eastAsiaTheme="minorHAnsi"/>
        </w:rPr>
        <w:t xml:space="preserve"> the results will provide a complete picture of the barriers to HDs’ access to</w:t>
      </w:r>
      <w:r w:rsidR="0037201C">
        <w:rPr>
          <w:rFonts w:eastAsiaTheme="minorHAnsi"/>
        </w:rPr>
        <w:t xml:space="preserve"> EHRs</w:t>
      </w:r>
      <w:r w:rsidR="009236CF">
        <w:rPr>
          <w:rFonts w:eastAsiaTheme="minorHAnsi"/>
        </w:rPr>
        <w:t xml:space="preserve"> from healthcare facilities during a public health emergency and inform tools to support the response of HAI outbreaks in states. </w:t>
      </w:r>
    </w:p>
    <w:p w14:paraId="381FFFBB" w14:textId="77777777" w:rsidR="009236CF" w:rsidRDefault="009236CF" w:rsidP="00816951">
      <w:pPr>
        <w:pStyle w:val="ListParagraph"/>
        <w:ind w:left="0"/>
        <w:rPr>
          <w:rFonts w:eastAsiaTheme="minorHAnsi"/>
        </w:rPr>
      </w:pPr>
    </w:p>
    <w:p w14:paraId="0FE6889C" w14:textId="56D932B2" w:rsidR="007F7B87" w:rsidRPr="00435CDA" w:rsidRDefault="007F7B87" w:rsidP="007F7B87">
      <w:pPr>
        <w:pStyle w:val="Header"/>
        <w:tabs>
          <w:tab w:val="clear" w:pos="4680"/>
        </w:tabs>
        <w:spacing w:line="276" w:lineRule="auto"/>
      </w:pPr>
      <w:r w:rsidRPr="00435CDA">
        <w:lastRenderedPageBreak/>
        <w:t>CDC is authorized to collect this information by Section 301 of the Public Health Service Act (42 U.S.C. 241) (Appendix A).</w:t>
      </w:r>
    </w:p>
    <w:p w14:paraId="6AB26F59" w14:textId="304B61A6" w:rsidR="009D7043" w:rsidRPr="00435CDA" w:rsidRDefault="00AE27E2" w:rsidP="00175D4B">
      <w:pPr>
        <w:pStyle w:val="Heading2"/>
        <w:numPr>
          <w:ilvl w:val="0"/>
          <w:numId w:val="18"/>
        </w:numPr>
        <w:rPr>
          <w:rStyle w:val="Heading2Char"/>
          <w:rFonts w:asciiTheme="minorHAnsi" w:eastAsiaTheme="majorEastAsia" w:hAnsiTheme="minorHAnsi" w:cstheme="majorBidi"/>
          <w:b/>
          <w:bCs/>
          <w:color w:val="auto"/>
          <w:sz w:val="22"/>
          <w:szCs w:val="22"/>
        </w:rPr>
      </w:pPr>
      <w:bookmarkStart w:id="3" w:name="_Toc412038035"/>
      <w:r w:rsidRPr="00435CDA">
        <w:rPr>
          <w:rStyle w:val="Heading2Char"/>
          <w:rFonts w:asciiTheme="minorHAnsi" w:eastAsiaTheme="majorEastAsia" w:hAnsiTheme="minorHAnsi" w:cstheme="majorBidi"/>
          <w:b/>
          <w:bCs/>
          <w:color w:val="auto"/>
          <w:sz w:val="22"/>
          <w:szCs w:val="22"/>
        </w:rPr>
        <w:t>P</w:t>
      </w:r>
      <w:r w:rsidR="00FA4EF2" w:rsidRPr="00435CDA">
        <w:rPr>
          <w:rStyle w:val="Heading2Char"/>
          <w:rFonts w:asciiTheme="minorHAnsi" w:eastAsiaTheme="majorEastAsia" w:hAnsiTheme="minorHAnsi" w:cstheme="majorBidi"/>
          <w:b/>
          <w:bCs/>
          <w:color w:val="auto"/>
          <w:sz w:val="22"/>
          <w:szCs w:val="22"/>
        </w:rPr>
        <w:t>urpose and Use of the Information Collection</w:t>
      </w:r>
      <w:bookmarkEnd w:id="3"/>
      <w:r w:rsidR="00FA4EF2" w:rsidRPr="00435CDA">
        <w:rPr>
          <w:rStyle w:val="Heading2Char"/>
          <w:rFonts w:asciiTheme="minorHAnsi" w:eastAsiaTheme="majorEastAsia" w:hAnsiTheme="minorHAnsi" w:cstheme="majorBidi"/>
          <w:b/>
          <w:bCs/>
          <w:color w:val="auto"/>
          <w:sz w:val="22"/>
          <w:szCs w:val="22"/>
        </w:rPr>
        <w:t xml:space="preserve"> </w:t>
      </w:r>
    </w:p>
    <w:p w14:paraId="2CE69DFB" w14:textId="77777777" w:rsidR="003570B2" w:rsidRDefault="00A46B22" w:rsidP="00A46B22">
      <w:pPr>
        <w:pStyle w:val="CM89"/>
        <w:spacing w:after="240" w:line="276" w:lineRule="auto"/>
        <w:ind w:right="97"/>
        <w:rPr>
          <w:rFonts w:asciiTheme="minorHAnsi" w:hAnsiTheme="minorHAnsi"/>
          <w:sz w:val="22"/>
          <w:szCs w:val="22"/>
        </w:rPr>
      </w:pPr>
      <w:r>
        <w:rPr>
          <w:rFonts w:asciiTheme="minorHAnsi" w:hAnsiTheme="minorHAnsi"/>
          <w:sz w:val="22"/>
          <w:szCs w:val="22"/>
        </w:rPr>
        <w:t xml:space="preserve">The </w:t>
      </w:r>
      <w:r w:rsidR="003570B2">
        <w:rPr>
          <w:rFonts w:asciiTheme="minorHAnsi" w:hAnsiTheme="minorHAnsi"/>
          <w:sz w:val="22"/>
          <w:szCs w:val="22"/>
        </w:rPr>
        <w:t>purpose of this request is twofold:</w:t>
      </w:r>
    </w:p>
    <w:p w14:paraId="1CA03AB7" w14:textId="02F9E668" w:rsidR="003570B2" w:rsidRDefault="00A46B22" w:rsidP="003570B2">
      <w:pPr>
        <w:pStyle w:val="ListParagraph"/>
        <w:numPr>
          <w:ilvl w:val="0"/>
          <w:numId w:val="35"/>
        </w:numPr>
      </w:pPr>
      <w:r w:rsidRPr="00D7256B">
        <w:t xml:space="preserve"> </w:t>
      </w:r>
      <w:r w:rsidR="003570B2">
        <w:t>To assess healthcare facilities’, hospitals</w:t>
      </w:r>
      <w:r w:rsidR="00E71463">
        <w:t>’</w:t>
      </w:r>
      <w:r w:rsidR="003570B2">
        <w:t xml:space="preserve"> and clinics</w:t>
      </w:r>
      <w:r w:rsidR="00E71463">
        <w:t>’</w:t>
      </w:r>
      <w:r w:rsidR="003570B2">
        <w:t>, experience</w:t>
      </w:r>
      <w:r w:rsidR="00E71463">
        <w:t>s</w:t>
      </w:r>
      <w:r w:rsidR="003570B2">
        <w:t xml:space="preserve"> granting HDs EHR access during a healthcare-associated infection (HAI) outbreak with a focus on the 2012 fungal meningitis outbreak. This work builds on phase I (OMB 0920-0879) of this project: “State Health Department Access to Electronic Health Record Data during an Outbreak: A Retrospective Assessment” , which examined the health departments’ (HDs) experience requesting and getting access to electronic health records (EHRs) in healthcare facilities in their jurisdiction.</w:t>
      </w:r>
      <w:r w:rsidR="003570B2" w:rsidRPr="003570B2">
        <w:t xml:space="preserve"> </w:t>
      </w:r>
      <w:r w:rsidR="003570B2" w:rsidRPr="0076133B">
        <w:t>Existing data sources do not include the information that is necessary to assess these objectives; therefore, it is necessary to collect</w:t>
      </w:r>
      <w:r w:rsidR="003570B2">
        <w:t xml:space="preserve"> this</w:t>
      </w:r>
      <w:r w:rsidR="003570B2" w:rsidRPr="0076133B">
        <w:t xml:space="preserve"> information prospectively</w:t>
      </w:r>
      <w:r w:rsidR="003570B2">
        <w:t>.</w:t>
      </w:r>
      <w:r w:rsidR="003570B2" w:rsidRPr="003570B2">
        <w:t xml:space="preserve"> </w:t>
      </w:r>
      <w:r w:rsidR="003570B2" w:rsidRPr="0076133B">
        <w:t>Responses from healthcare facilities will be used to help the project team build a report and toolkit that will help state HDs address the needs and perspective</w:t>
      </w:r>
      <w:r w:rsidR="00E71463">
        <w:t>s</w:t>
      </w:r>
      <w:r w:rsidR="003570B2" w:rsidRPr="0076133B">
        <w:t xml:space="preserve"> of the healthcare facilities when requesting EHR access.</w:t>
      </w:r>
    </w:p>
    <w:p w14:paraId="17F361F8" w14:textId="5973C726" w:rsidR="003570B2" w:rsidRPr="00435CDA" w:rsidRDefault="003570B2" w:rsidP="003570B2">
      <w:pPr>
        <w:pStyle w:val="ListParagraph"/>
        <w:numPr>
          <w:ilvl w:val="0"/>
          <w:numId w:val="35"/>
        </w:numPr>
      </w:pPr>
      <w:r>
        <w:t xml:space="preserve">Responses from healthcare facilities will be used to help the project team build a report and toolkit that will help state HDs address the needs and perspective of the healthcare facilities’ when requesting EHR access. The toolkit and report will </w:t>
      </w:r>
      <w:r w:rsidRPr="00435CDA">
        <w:t xml:space="preserve">help state HDs </w:t>
      </w:r>
      <w:r>
        <w:t>address</w:t>
      </w:r>
      <w:r w:rsidRPr="00435CDA">
        <w:t xml:space="preserve"> the perspectives and needs of the healthcare facilities related to EHR access. The toolkit will provide perceived barriers, recommendations to overcome those barriers, best practices that support EHR access, and practical tools such as templates, memorandums of understanding (MOUs)</w:t>
      </w:r>
      <w:r>
        <w:t>,</w:t>
      </w:r>
      <w:r w:rsidRPr="00435CDA">
        <w:t xml:space="preserve"> or policies. The toolkit will be distributed in states to HDs, healthcare facilities, and other stakeholders to support awareness and strengthen relationships between public health and clinical care.  These activities will </w:t>
      </w:r>
      <w:r>
        <w:t>support</w:t>
      </w:r>
      <w:r w:rsidRPr="00435CDA">
        <w:t xml:space="preserve"> quick and efficient identification of cases in </w:t>
      </w:r>
      <w:r>
        <w:t>HAI</w:t>
      </w:r>
      <w:r w:rsidRPr="00435CDA">
        <w:t xml:space="preserve"> outbreaks and protect the health and safety of patients.  </w:t>
      </w:r>
    </w:p>
    <w:p w14:paraId="32A5F7A0" w14:textId="77777777" w:rsidR="003570B2" w:rsidRDefault="003570B2" w:rsidP="003570B2"/>
    <w:p w14:paraId="2671586A" w14:textId="31C6AE4A" w:rsidR="00B47055" w:rsidRPr="00435CDA" w:rsidRDefault="00B7627A" w:rsidP="00175D4B">
      <w:pPr>
        <w:pStyle w:val="Heading2"/>
        <w:numPr>
          <w:ilvl w:val="0"/>
          <w:numId w:val="18"/>
        </w:numPr>
        <w:rPr>
          <w:rFonts w:asciiTheme="minorHAnsi" w:hAnsiTheme="minorHAnsi"/>
          <w:color w:val="auto"/>
          <w:sz w:val="22"/>
          <w:szCs w:val="22"/>
        </w:rPr>
      </w:pPr>
      <w:bookmarkStart w:id="4" w:name="_Toc412038036"/>
      <w:r w:rsidRPr="00435CDA">
        <w:rPr>
          <w:rFonts w:asciiTheme="minorHAnsi" w:hAnsiTheme="minorHAnsi"/>
          <w:color w:val="auto"/>
          <w:sz w:val="22"/>
          <w:szCs w:val="22"/>
        </w:rPr>
        <w:t xml:space="preserve">Use </w:t>
      </w:r>
      <w:r w:rsidR="00873BFE" w:rsidRPr="00435CDA">
        <w:rPr>
          <w:rFonts w:asciiTheme="minorHAnsi" w:hAnsiTheme="minorHAnsi"/>
          <w:color w:val="auto"/>
          <w:sz w:val="22"/>
          <w:szCs w:val="22"/>
        </w:rPr>
        <w:t>of Improved</w:t>
      </w:r>
      <w:r w:rsidR="00AE27E2" w:rsidRPr="00435CDA">
        <w:rPr>
          <w:rFonts w:asciiTheme="minorHAnsi" w:hAnsiTheme="minorHAnsi"/>
          <w:color w:val="auto"/>
          <w:sz w:val="22"/>
          <w:szCs w:val="22"/>
        </w:rPr>
        <w:t xml:space="preserve"> Information Technology </w:t>
      </w:r>
      <w:r w:rsidRPr="00435CDA">
        <w:rPr>
          <w:rFonts w:asciiTheme="minorHAnsi" w:hAnsiTheme="minorHAnsi"/>
          <w:color w:val="auto"/>
          <w:sz w:val="22"/>
          <w:szCs w:val="22"/>
        </w:rPr>
        <w:t>and Burden Reduction</w:t>
      </w:r>
      <w:bookmarkEnd w:id="4"/>
    </w:p>
    <w:p w14:paraId="65599ACB" w14:textId="528BFB33" w:rsidR="00760E47" w:rsidRPr="00435CDA" w:rsidRDefault="0082371B" w:rsidP="003641E1">
      <w:pPr>
        <w:spacing w:after="0"/>
      </w:pPr>
      <w:r w:rsidRPr="00435CDA">
        <w:t>Data will be collected</w:t>
      </w:r>
      <w:r w:rsidR="00F71A1D" w:rsidRPr="00435CDA">
        <w:t xml:space="preserve"> using telephone interview</w:t>
      </w:r>
      <w:r w:rsidRPr="00435CDA">
        <w:t>s</w:t>
      </w:r>
      <w:r w:rsidR="00F71A1D" w:rsidRPr="00435CDA">
        <w:t xml:space="preserve"> with the support of an interview guide for each of the different roles being interviewed. </w:t>
      </w:r>
      <w:r w:rsidR="003A1A3C" w:rsidRPr="00435CDA">
        <w:t xml:space="preserve"> Telephone interviews were chosen </w:t>
      </w:r>
      <w:r w:rsidR="00600D16" w:rsidRPr="00435CDA">
        <w:t xml:space="preserve">for </w:t>
      </w:r>
      <w:r w:rsidR="00342F78" w:rsidRPr="00435CDA">
        <w:t>the following reasons.</w:t>
      </w:r>
      <w:r w:rsidR="003A1A3C" w:rsidRPr="00435CDA">
        <w:t xml:space="preserve"> </w:t>
      </w:r>
    </w:p>
    <w:p w14:paraId="3994581B" w14:textId="7ED1A6A6" w:rsidR="00760E47" w:rsidRPr="00435CDA" w:rsidRDefault="00342F78" w:rsidP="00DF583C">
      <w:pPr>
        <w:pStyle w:val="ListParagraph"/>
        <w:numPr>
          <w:ilvl w:val="0"/>
          <w:numId w:val="7"/>
        </w:numPr>
        <w:spacing w:after="0"/>
      </w:pPr>
      <w:r w:rsidRPr="00435CDA">
        <w:t xml:space="preserve">No </w:t>
      </w:r>
      <w:r w:rsidR="005A144D" w:rsidRPr="00435CDA">
        <w:t>identified</w:t>
      </w:r>
      <w:r w:rsidRPr="00435CDA">
        <w:t xml:space="preserve"> </w:t>
      </w:r>
      <w:r w:rsidR="005A144D" w:rsidRPr="00435CDA">
        <w:t>studies have</w:t>
      </w:r>
      <w:r w:rsidR="00760E47" w:rsidRPr="00435CDA">
        <w:t xml:space="preserve"> asked healthcare facility staff </w:t>
      </w:r>
      <w:r w:rsidRPr="00435CDA">
        <w:t xml:space="preserve">about their </w:t>
      </w:r>
      <w:r w:rsidR="00760E47" w:rsidRPr="00435CDA">
        <w:t xml:space="preserve">perspective </w:t>
      </w:r>
      <w:r w:rsidRPr="00435CDA">
        <w:t xml:space="preserve">on </w:t>
      </w:r>
      <w:r w:rsidR="00760E47" w:rsidRPr="00435CDA">
        <w:t>HDs</w:t>
      </w:r>
      <w:r w:rsidRPr="00435CDA">
        <w:t>’</w:t>
      </w:r>
      <w:r w:rsidR="00760E47" w:rsidRPr="00435CDA">
        <w:t xml:space="preserve"> EHR access</w:t>
      </w:r>
      <w:r w:rsidR="005A144D" w:rsidRPr="00435CDA">
        <w:t>. T</w:t>
      </w:r>
      <w:r w:rsidRPr="00435CDA">
        <w:t xml:space="preserve">his </w:t>
      </w:r>
      <w:r w:rsidR="005A144D" w:rsidRPr="00435CDA">
        <w:t>collection of individuals’ experiences in their own words</w:t>
      </w:r>
      <w:r w:rsidRPr="00435CDA">
        <w:t xml:space="preserve"> will be</w:t>
      </w:r>
      <w:r w:rsidR="001E5C02" w:rsidRPr="00435CDA">
        <w:t xml:space="preserve"> </w:t>
      </w:r>
      <w:r w:rsidR="00CD5B2D" w:rsidRPr="00435CDA">
        <w:t>foundational</w:t>
      </w:r>
      <w:r w:rsidR="001E5C02" w:rsidRPr="00435CDA">
        <w:t xml:space="preserve"> to </w:t>
      </w:r>
      <w:r w:rsidR="005A144D" w:rsidRPr="00435CDA">
        <w:t xml:space="preserve">developing </w:t>
      </w:r>
      <w:r w:rsidR="00A46B22">
        <w:t xml:space="preserve">the toolkit. </w:t>
      </w:r>
      <w:r w:rsidR="001E5C02" w:rsidRPr="00435CDA">
        <w:t xml:space="preserve"> </w:t>
      </w:r>
    </w:p>
    <w:p w14:paraId="0B04CF0A" w14:textId="726704A4" w:rsidR="00760E47" w:rsidRPr="00435CDA" w:rsidRDefault="0037201C" w:rsidP="00DF583C">
      <w:pPr>
        <w:pStyle w:val="ListParagraph"/>
        <w:numPr>
          <w:ilvl w:val="0"/>
          <w:numId w:val="7"/>
        </w:numPr>
        <w:spacing w:after="0"/>
      </w:pPr>
      <w:r w:rsidRPr="00435CDA">
        <w:rPr>
          <w:rFonts w:eastAsiaTheme="minorHAnsi"/>
        </w:rPr>
        <w:t xml:space="preserve">This </w:t>
      </w:r>
      <w:r>
        <w:rPr>
          <w:rFonts w:eastAsiaTheme="minorHAnsi"/>
        </w:rPr>
        <w:t>assessment</w:t>
      </w:r>
      <w:r w:rsidRPr="00435CDA">
        <w:rPr>
          <w:rFonts w:eastAsiaTheme="minorHAnsi"/>
        </w:rPr>
        <w:t>, “State Health Department Access to</w:t>
      </w:r>
      <w:r>
        <w:rPr>
          <w:rFonts w:eastAsiaTheme="minorHAnsi"/>
        </w:rPr>
        <w:t xml:space="preserve"> Electronic Health Record Data d</w:t>
      </w:r>
      <w:r w:rsidRPr="00435CDA">
        <w:rPr>
          <w:rFonts w:eastAsiaTheme="minorHAnsi"/>
        </w:rPr>
        <w:t xml:space="preserve">uring an Outbreak: A Retrospective Assessment” examines stakeholder perspectives in </w:t>
      </w:r>
      <w:r>
        <w:rPr>
          <w:rFonts w:eastAsiaTheme="minorHAnsi"/>
        </w:rPr>
        <w:t>granting and using access to EHRs in outbreak settings, and t</w:t>
      </w:r>
      <w:r w:rsidRPr="00435CDA">
        <w:rPr>
          <w:rFonts w:eastAsiaTheme="minorHAnsi"/>
        </w:rPr>
        <w:t>ogether,</w:t>
      </w:r>
      <w:r>
        <w:rPr>
          <w:rFonts w:eastAsiaTheme="minorHAnsi"/>
        </w:rPr>
        <w:t xml:space="preserve"> the results will provide a complete picture of the barriers to HDs’ access to EHRs from healthcare facilities during a public health emergency and inform tools to support the response of HAI outbreaks in states.</w:t>
      </w:r>
    </w:p>
    <w:p w14:paraId="52877432" w14:textId="4DC9E4FE" w:rsidR="00F71A1D" w:rsidRPr="00435CDA" w:rsidRDefault="00342F78" w:rsidP="00DF583C">
      <w:pPr>
        <w:pStyle w:val="ListParagraph"/>
        <w:numPr>
          <w:ilvl w:val="0"/>
          <w:numId w:val="7"/>
        </w:numPr>
        <w:spacing w:after="0"/>
      </w:pPr>
      <w:r w:rsidRPr="00435CDA">
        <w:lastRenderedPageBreak/>
        <w:t>A</w:t>
      </w:r>
      <w:r w:rsidR="00226025" w:rsidRPr="00435CDA">
        <w:t xml:space="preserve"> survey would not provide </w:t>
      </w:r>
      <w:r w:rsidR="00600D16" w:rsidRPr="00435CDA">
        <w:t xml:space="preserve">an in-depth </w:t>
      </w:r>
      <w:r w:rsidR="0049450A">
        <w:t>assessment</w:t>
      </w:r>
      <w:r w:rsidR="00600D16" w:rsidRPr="00435CDA">
        <w:t xml:space="preserve"> of the nuanced challenges healthcare facilities</w:t>
      </w:r>
      <w:r w:rsidR="001E5C02" w:rsidRPr="00435CDA">
        <w:t xml:space="preserve"> </w:t>
      </w:r>
      <w:r w:rsidR="00600D16" w:rsidRPr="00435CDA">
        <w:t>faced when grant</w:t>
      </w:r>
      <w:r w:rsidR="0082371B" w:rsidRPr="00435CDA">
        <w:t>ing</w:t>
      </w:r>
      <w:r w:rsidR="00600D16" w:rsidRPr="00435CDA">
        <w:t xml:space="preserve"> HDs access to EHRs</w:t>
      </w:r>
      <w:r w:rsidR="005A144D" w:rsidRPr="00435CDA">
        <w:t xml:space="preserve"> during an outbreak</w:t>
      </w:r>
      <w:r w:rsidR="00600D16" w:rsidRPr="00435CDA">
        <w:t xml:space="preserve">. </w:t>
      </w:r>
      <w:r w:rsidR="008531EE" w:rsidRPr="00435CDA">
        <w:t>EHR</w:t>
      </w:r>
      <w:r w:rsidR="00600D16" w:rsidRPr="00435CDA">
        <w:t xml:space="preserve"> access is likely dependent on a number of complex factors </w:t>
      </w:r>
      <w:r w:rsidR="005A144D" w:rsidRPr="00435CDA">
        <w:t>that</w:t>
      </w:r>
      <w:r w:rsidR="00600D16" w:rsidRPr="00435CDA">
        <w:t xml:space="preserve"> include, but are no</w:t>
      </w:r>
      <w:r w:rsidR="00CC2CC5" w:rsidRPr="00435CDA">
        <w:t>t</w:t>
      </w:r>
      <w:r w:rsidR="00600D16" w:rsidRPr="00435CDA">
        <w:t xml:space="preserve"> limited to:</w:t>
      </w:r>
    </w:p>
    <w:p w14:paraId="31817988" w14:textId="0D7261ED" w:rsidR="00DB6B7F" w:rsidRPr="00435CDA" w:rsidRDefault="005A144D" w:rsidP="00DF583C">
      <w:pPr>
        <w:pStyle w:val="ListParagraph"/>
        <w:numPr>
          <w:ilvl w:val="0"/>
          <w:numId w:val="8"/>
        </w:numPr>
        <w:spacing w:after="0"/>
      </w:pPr>
      <w:r w:rsidRPr="00435CDA">
        <w:t>Authority. Do healthcare facilities</w:t>
      </w:r>
      <w:r w:rsidR="00E330C0" w:rsidRPr="00435CDA">
        <w:t xml:space="preserve"> question the HDs authority to access EHRs</w:t>
      </w:r>
      <w:r w:rsidR="0088795E" w:rsidRPr="00435CDA">
        <w:t xml:space="preserve">? </w:t>
      </w:r>
      <w:r w:rsidR="002E14AA" w:rsidRPr="00435CDA">
        <w:t>These challenges</w:t>
      </w:r>
      <w:r w:rsidR="00675A77">
        <w:t xml:space="preserve"> are unique for each state or facility, such as </w:t>
      </w:r>
      <w:r w:rsidR="003C6AB9" w:rsidRPr="00435CDA">
        <w:t xml:space="preserve">state laws, </w:t>
      </w:r>
      <w:r w:rsidR="0088795E" w:rsidRPr="00435CDA">
        <w:t>agreements, policies</w:t>
      </w:r>
      <w:r w:rsidR="00E330C0" w:rsidRPr="00435CDA">
        <w:t>,</w:t>
      </w:r>
      <w:r w:rsidR="00DB6B7F" w:rsidRPr="00435CDA">
        <w:t xml:space="preserve"> and interpretations. </w:t>
      </w:r>
      <w:r w:rsidR="0088795E" w:rsidRPr="00435CDA">
        <w:t xml:space="preserve"> </w:t>
      </w:r>
    </w:p>
    <w:p w14:paraId="24948F67" w14:textId="1B21A5BF" w:rsidR="002E14AA" w:rsidRPr="00435CDA" w:rsidRDefault="002E14AA" w:rsidP="002E14AA">
      <w:pPr>
        <w:pStyle w:val="ListParagraph"/>
        <w:numPr>
          <w:ilvl w:val="0"/>
          <w:numId w:val="8"/>
        </w:numPr>
        <w:spacing w:after="0"/>
      </w:pPr>
      <w:r w:rsidRPr="00435CDA">
        <w:t>Relationship. How does the relationship between the HD and healthcare facilities impact EHR access? Challenges could include</w:t>
      </w:r>
      <w:r w:rsidR="00675A77">
        <w:t xml:space="preserve"> the following</w:t>
      </w:r>
      <w:r w:rsidRPr="00435CDA">
        <w:t xml:space="preserve">: state laws that grant the HD authority to access EHRs, but affect its working relationship with facilities; written agreements; and the history of the institutions involved. </w:t>
      </w:r>
    </w:p>
    <w:p w14:paraId="4F20284D" w14:textId="4C651378" w:rsidR="002E459B" w:rsidRPr="00435CDA" w:rsidRDefault="003C6AB9" w:rsidP="00DF583C">
      <w:pPr>
        <w:pStyle w:val="ListParagraph"/>
        <w:numPr>
          <w:ilvl w:val="0"/>
          <w:numId w:val="8"/>
        </w:numPr>
        <w:spacing w:after="0"/>
      </w:pPr>
      <w:r w:rsidRPr="00435CDA">
        <w:t>Capacity</w:t>
      </w:r>
      <w:r w:rsidR="005A144D" w:rsidRPr="00435CDA">
        <w:t xml:space="preserve">. </w:t>
      </w:r>
      <w:r w:rsidR="002E14AA" w:rsidRPr="00435CDA">
        <w:t>Do healthcare facilities</w:t>
      </w:r>
      <w:r w:rsidR="00BB4A3E" w:rsidRPr="00435CDA">
        <w:t xml:space="preserve"> have the</w:t>
      </w:r>
      <w:r w:rsidR="00E330C0" w:rsidRPr="00435CDA">
        <w:t xml:space="preserve"> ability to grant the HD</w:t>
      </w:r>
      <w:r w:rsidR="0088795E" w:rsidRPr="00435CDA">
        <w:t xml:space="preserve"> EHR access? </w:t>
      </w:r>
      <w:r w:rsidR="002E459B" w:rsidRPr="00435CDA">
        <w:t>Capacity challenges could</w:t>
      </w:r>
      <w:r w:rsidR="002E14AA" w:rsidRPr="00435CDA">
        <w:t xml:space="preserve"> include</w:t>
      </w:r>
      <w:r w:rsidR="00675A77">
        <w:t xml:space="preserve"> the following</w:t>
      </w:r>
      <w:r w:rsidR="002E14AA" w:rsidRPr="00435CDA">
        <w:t>: the manner</w:t>
      </w:r>
      <w:r w:rsidR="00E330C0" w:rsidRPr="00435CDA">
        <w:t xml:space="preserve"> of access</w:t>
      </w:r>
      <w:r w:rsidR="002E14AA" w:rsidRPr="00435CDA">
        <w:t xml:space="preserve"> (on-site, </w:t>
      </w:r>
      <w:r w:rsidR="00E330C0" w:rsidRPr="00435CDA">
        <w:t>remote</w:t>
      </w:r>
      <w:r w:rsidR="002E14AA" w:rsidRPr="00435CDA">
        <w:t>, or other</w:t>
      </w:r>
      <w:r w:rsidR="001F25EB" w:rsidRPr="00435CDA">
        <w:t>)</w:t>
      </w:r>
      <w:r w:rsidR="002E14AA" w:rsidRPr="00435CDA">
        <w:t>;</w:t>
      </w:r>
      <w:r w:rsidR="001F25EB" w:rsidRPr="00435CDA">
        <w:t xml:space="preserve"> software</w:t>
      </w:r>
      <w:r w:rsidR="002E14AA" w:rsidRPr="00435CDA">
        <w:t xml:space="preserve"> compatibilities;</w:t>
      </w:r>
      <w:r w:rsidR="0088795E" w:rsidRPr="00435CDA">
        <w:t xml:space="preserve"> policies</w:t>
      </w:r>
      <w:r w:rsidR="002E14AA" w:rsidRPr="00435CDA">
        <w:t>;</w:t>
      </w:r>
      <w:r w:rsidR="00DB6B7F" w:rsidRPr="00435CDA">
        <w:t xml:space="preserve"> and </w:t>
      </w:r>
      <w:r w:rsidR="002E14AA" w:rsidRPr="00435CDA">
        <w:t xml:space="preserve">the knowledge, skills, and abilities of HD personnel related to </w:t>
      </w:r>
      <w:r w:rsidR="002E459B" w:rsidRPr="00435CDA">
        <w:t>information technology</w:t>
      </w:r>
      <w:r w:rsidR="002E14AA" w:rsidRPr="00435CDA">
        <w:t>.  These factors</w:t>
      </w:r>
      <w:r w:rsidR="002E459B" w:rsidRPr="00435CDA">
        <w:t xml:space="preserve"> cou</w:t>
      </w:r>
      <w:r w:rsidR="002E14AA" w:rsidRPr="00435CDA">
        <w:t>ld be unique to</w:t>
      </w:r>
      <w:r w:rsidR="002E459B" w:rsidRPr="00435CDA">
        <w:t xml:space="preserve"> each </w:t>
      </w:r>
      <w:r w:rsidR="00E330C0" w:rsidRPr="00435CDA">
        <w:t>facility</w:t>
      </w:r>
      <w:r w:rsidR="002E14AA" w:rsidRPr="00435CDA">
        <w:t xml:space="preserve"> included in the</w:t>
      </w:r>
      <w:r w:rsidR="00A76349">
        <w:t xml:space="preserve"> in the assessment</w:t>
      </w:r>
      <w:r w:rsidR="00E330C0" w:rsidRPr="00435CDA">
        <w:t xml:space="preserve">. </w:t>
      </w:r>
    </w:p>
    <w:p w14:paraId="7CBCEE0F" w14:textId="7950AB2B" w:rsidR="002E14AA" w:rsidRPr="00435CDA" w:rsidRDefault="002E14AA" w:rsidP="003641E1">
      <w:pPr>
        <w:pStyle w:val="ListParagraph"/>
        <w:numPr>
          <w:ilvl w:val="0"/>
          <w:numId w:val="8"/>
        </w:numPr>
        <w:spacing w:after="0"/>
      </w:pPr>
      <w:r w:rsidRPr="00435CDA">
        <w:t>Privacy and Security. How do perceptions of privacy laws and</w:t>
      </w:r>
      <w:r w:rsidR="000F527D" w:rsidRPr="00435CDA">
        <w:t xml:space="preserve"> data</w:t>
      </w:r>
      <w:r w:rsidR="0088795E" w:rsidRPr="00435CDA">
        <w:t xml:space="preserve"> security affect th</w:t>
      </w:r>
      <w:r w:rsidR="00A76C93" w:rsidRPr="00435CDA">
        <w:t xml:space="preserve">e </w:t>
      </w:r>
      <w:r w:rsidR="00E330C0" w:rsidRPr="00435CDA">
        <w:t>healthcare facilities</w:t>
      </w:r>
      <w:r w:rsidR="00BB4A3E" w:rsidRPr="00435CDA">
        <w:t>’</w:t>
      </w:r>
      <w:r w:rsidR="00E330C0" w:rsidRPr="00435CDA">
        <w:t xml:space="preserve"> </w:t>
      </w:r>
      <w:r w:rsidRPr="00435CDA">
        <w:t>decision</w:t>
      </w:r>
      <w:r w:rsidR="00255CCA">
        <w:t>s</w:t>
      </w:r>
      <w:r w:rsidR="00E330C0" w:rsidRPr="00435CDA">
        <w:t xml:space="preserve"> to grant the </w:t>
      </w:r>
      <w:r w:rsidR="001E5C02" w:rsidRPr="00435CDA">
        <w:t>HD access</w:t>
      </w:r>
      <w:r w:rsidR="00A76C93" w:rsidRPr="00435CDA">
        <w:t xml:space="preserve"> </w:t>
      </w:r>
      <w:r w:rsidR="00E330C0" w:rsidRPr="00435CDA">
        <w:t xml:space="preserve">to </w:t>
      </w:r>
      <w:r w:rsidRPr="00435CDA">
        <w:t>EHRs</w:t>
      </w:r>
      <w:r w:rsidR="00A76C93" w:rsidRPr="00435CDA">
        <w:t>?</w:t>
      </w:r>
      <w:r w:rsidR="0088795E" w:rsidRPr="00435CDA">
        <w:t xml:space="preserve"> </w:t>
      </w:r>
      <w:r w:rsidRPr="00435CDA">
        <w:t>Privacy-related concerns could include perceptions of existing federal laws such as HIPAA, other state laws, and healthcare facilities’ policies. Security-related concern</w:t>
      </w:r>
      <w:r w:rsidR="002E459B" w:rsidRPr="00435CDA">
        <w:t xml:space="preserve">s </w:t>
      </w:r>
      <w:r w:rsidR="0088795E" w:rsidRPr="00435CDA">
        <w:t>could in</w:t>
      </w:r>
      <w:r w:rsidR="00F41928" w:rsidRPr="00435CDA">
        <w:t xml:space="preserve">clude </w:t>
      </w:r>
      <w:r w:rsidRPr="00435CDA">
        <w:t xml:space="preserve">breaches of </w:t>
      </w:r>
      <w:r w:rsidR="00F41928" w:rsidRPr="00435CDA">
        <w:t>policies</w:t>
      </w:r>
      <w:r w:rsidR="002E459B" w:rsidRPr="00435CDA">
        <w:t xml:space="preserve"> and </w:t>
      </w:r>
      <w:r w:rsidRPr="00435CDA">
        <w:t xml:space="preserve">resulting </w:t>
      </w:r>
      <w:r w:rsidR="002E459B" w:rsidRPr="00435CDA">
        <w:t xml:space="preserve">interpretations </w:t>
      </w:r>
      <w:r w:rsidRPr="00435CDA">
        <w:t>within</w:t>
      </w:r>
      <w:r w:rsidR="00A76C93" w:rsidRPr="00435CDA">
        <w:t xml:space="preserve"> </w:t>
      </w:r>
      <w:r w:rsidRPr="00435CDA">
        <w:t>healthcare facilities</w:t>
      </w:r>
      <w:r w:rsidR="00BB4A3E" w:rsidRPr="00435CDA">
        <w:t xml:space="preserve"> and the HD.</w:t>
      </w:r>
    </w:p>
    <w:p w14:paraId="11112F40" w14:textId="43CA4B10" w:rsidR="00281881" w:rsidRPr="00435CDA" w:rsidRDefault="00C86A6B" w:rsidP="002E14AA">
      <w:pPr>
        <w:spacing w:after="0"/>
      </w:pPr>
      <w:r>
        <w:t>Because</w:t>
      </w:r>
      <w:r w:rsidR="00AD7B81">
        <w:t xml:space="preserve"> of the comp</w:t>
      </w:r>
      <w:r w:rsidR="00BB173D">
        <w:t>lex and nuanced factors affecting</w:t>
      </w:r>
      <w:r w:rsidR="00AD7B81">
        <w:t xml:space="preserve"> EHR access</w:t>
      </w:r>
      <w:r w:rsidR="00BB173D">
        <w:t xml:space="preserve"> (authority, relationships, capacity, and privacy and security)</w:t>
      </w:r>
      <w:r w:rsidR="00AD7B81">
        <w:t xml:space="preserve"> it is important </w:t>
      </w:r>
      <w:proofErr w:type="gramStart"/>
      <w:r w:rsidR="00AD7B81">
        <w:t xml:space="preserve">the </w:t>
      </w:r>
      <w:r w:rsidR="00281881" w:rsidRPr="00435CDA">
        <w:t xml:space="preserve"> interviews</w:t>
      </w:r>
      <w:proofErr w:type="gramEnd"/>
      <w:r w:rsidR="00281881" w:rsidRPr="00435CDA">
        <w:t xml:space="preserve"> </w:t>
      </w:r>
      <w:r w:rsidR="00AD7B81">
        <w:t xml:space="preserve">be tailored to each individual interviewee </w:t>
      </w:r>
      <w:r w:rsidR="00BB173D">
        <w:t>; therefore, interviews are</w:t>
      </w:r>
      <w:r w:rsidR="00BB173D" w:rsidRPr="00435CDA">
        <w:t xml:space="preserve"> </w:t>
      </w:r>
      <w:r w:rsidR="002E14AA" w:rsidRPr="00435CDA">
        <w:t>be</w:t>
      </w:r>
      <w:r w:rsidR="00281881" w:rsidRPr="00435CDA">
        <w:t xml:space="preserve"> the best method of data collection and will help </w:t>
      </w:r>
      <w:r w:rsidR="0037201C">
        <w:t>assess</w:t>
      </w:r>
      <w:r w:rsidR="00281881" w:rsidRPr="00435CDA">
        <w:t xml:space="preserve"> the challenges healthcare facilities face when granting EHR access to HDs. </w:t>
      </w:r>
    </w:p>
    <w:p w14:paraId="5B4E5E06" w14:textId="77777777" w:rsidR="00281881" w:rsidRPr="00435CDA" w:rsidRDefault="00281881" w:rsidP="003641E1">
      <w:pPr>
        <w:spacing w:after="0"/>
      </w:pPr>
    </w:p>
    <w:p w14:paraId="6879F9B9" w14:textId="5D9EEA18" w:rsidR="00B47055" w:rsidRPr="00435CDA" w:rsidRDefault="00B7627A" w:rsidP="0092089C">
      <w:pPr>
        <w:pStyle w:val="Heading2"/>
        <w:numPr>
          <w:ilvl w:val="0"/>
          <w:numId w:val="18"/>
        </w:numPr>
        <w:spacing w:before="0" w:after="0" w:line="276" w:lineRule="auto"/>
        <w:rPr>
          <w:rFonts w:asciiTheme="minorHAnsi" w:hAnsiTheme="minorHAnsi"/>
          <w:color w:val="auto"/>
          <w:sz w:val="22"/>
          <w:szCs w:val="22"/>
        </w:rPr>
      </w:pPr>
      <w:bookmarkStart w:id="5" w:name="_Toc412038037"/>
      <w:r w:rsidRPr="00435CDA">
        <w:rPr>
          <w:rFonts w:asciiTheme="minorHAnsi" w:hAnsiTheme="minorHAnsi"/>
          <w:color w:val="auto"/>
          <w:sz w:val="22"/>
          <w:szCs w:val="22"/>
        </w:rPr>
        <w:t xml:space="preserve">Efforts to Identify </w:t>
      </w:r>
      <w:r w:rsidR="009C405D" w:rsidRPr="00435CDA">
        <w:rPr>
          <w:rFonts w:asciiTheme="minorHAnsi" w:hAnsiTheme="minorHAnsi"/>
          <w:color w:val="auto"/>
          <w:sz w:val="22"/>
          <w:szCs w:val="22"/>
        </w:rPr>
        <w:t xml:space="preserve">Duplication </w:t>
      </w:r>
      <w:r w:rsidRPr="00435CDA">
        <w:rPr>
          <w:rFonts w:asciiTheme="minorHAnsi" w:hAnsiTheme="minorHAnsi"/>
          <w:color w:val="auto"/>
          <w:sz w:val="22"/>
          <w:szCs w:val="22"/>
        </w:rPr>
        <w:t xml:space="preserve">and Use </w:t>
      </w:r>
      <w:r w:rsidR="009C405D" w:rsidRPr="00435CDA">
        <w:rPr>
          <w:rFonts w:asciiTheme="minorHAnsi" w:hAnsiTheme="minorHAnsi"/>
          <w:color w:val="auto"/>
          <w:sz w:val="22"/>
          <w:szCs w:val="22"/>
        </w:rPr>
        <w:t xml:space="preserve">of </w:t>
      </w:r>
      <w:r w:rsidRPr="00435CDA">
        <w:rPr>
          <w:rFonts w:asciiTheme="minorHAnsi" w:hAnsiTheme="minorHAnsi"/>
          <w:color w:val="auto"/>
          <w:sz w:val="22"/>
          <w:szCs w:val="22"/>
        </w:rPr>
        <w:t xml:space="preserve">Similar </w:t>
      </w:r>
      <w:r w:rsidR="009C405D" w:rsidRPr="00435CDA">
        <w:rPr>
          <w:rFonts w:asciiTheme="minorHAnsi" w:hAnsiTheme="minorHAnsi"/>
          <w:color w:val="auto"/>
          <w:sz w:val="22"/>
          <w:szCs w:val="22"/>
        </w:rPr>
        <w:t>Information</w:t>
      </w:r>
      <w:bookmarkEnd w:id="5"/>
      <w:r w:rsidR="001B6598" w:rsidRPr="00435CDA">
        <w:rPr>
          <w:rFonts w:asciiTheme="minorHAnsi" w:hAnsiTheme="minorHAnsi"/>
          <w:color w:val="auto"/>
          <w:sz w:val="22"/>
          <w:szCs w:val="22"/>
        </w:rPr>
        <w:br/>
      </w:r>
    </w:p>
    <w:p w14:paraId="2A6E1D7A" w14:textId="04B1429A" w:rsidR="00281881" w:rsidRPr="00435CDA" w:rsidRDefault="0037201C" w:rsidP="0092089C">
      <w:pPr>
        <w:spacing w:after="0"/>
        <w:rPr>
          <w:rFonts w:cs="Arial"/>
        </w:rPr>
      </w:pPr>
      <w:r>
        <w:rPr>
          <w:rFonts w:cs="Arial"/>
        </w:rPr>
        <w:t>Existing data sources do not include the information that is necessary to assess the project objectives. We are aware of two reports</w:t>
      </w:r>
      <w:r>
        <w:rPr>
          <w:rFonts w:cs="Arial"/>
          <w:vertAlign w:val="superscript"/>
        </w:rPr>
        <w:t xml:space="preserve">1,2 </w:t>
      </w:r>
      <w:r>
        <w:rPr>
          <w:rFonts w:cs="Arial"/>
        </w:rPr>
        <w:t xml:space="preserve">focused on the HD experiences when seeking access to EHRs from healthcare facilities; however as of this submission, we are unaware of any published reports describing healthcare facilities staff perspectives on this issue. </w:t>
      </w:r>
      <w:r w:rsidR="00C36DFF" w:rsidRPr="00435CDA">
        <w:rPr>
          <w:rFonts w:cs="Arial"/>
        </w:rPr>
        <w:t>H</w:t>
      </w:r>
      <w:r w:rsidR="002E14AA" w:rsidRPr="00435CDA">
        <w:rPr>
          <w:rFonts w:cs="Arial"/>
        </w:rPr>
        <w:t>ealthcare facility experiences will differ from HD experiences due to their specific regulatory obligations</w:t>
      </w:r>
      <w:r w:rsidR="002D7D34" w:rsidRPr="00435CDA">
        <w:rPr>
          <w:rFonts w:cs="Arial"/>
        </w:rPr>
        <w:t>,</w:t>
      </w:r>
      <w:r w:rsidR="002E14AA" w:rsidRPr="00435CDA">
        <w:rPr>
          <w:rFonts w:cs="Arial"/>
        </w:rPr>
        <w:t xml:space="preserve"> internal</w:t>
      </w:r>
      <w:r w:rsidR="002D7D34" w:rsidRPr="00435CDA">
        <w:rPr>
          <w:rFonts w:cs="Arial"/>
        </w:rPr>
        <w:t xml:space="preserve"> </w:t>
      </w:r>
      <w:r w:rsidR="00E11421" w:rsidRPr="00435CDA">
        <w:rPr>
          <w:rFonts w:cs="Arial"/>
        </w:rPr>
        <w:t xml:space="preserve">policies, </w:t>
      </w:r>
      <w:r w:rsidR="00852FE0" w:rsidRPr="00435CDA">
        <w:rPr>
          <w:rFonts w:cs="Arial"/>
        </w:rPr>
        <w:t xml:space="preserve">and </w:t>
      </w:r>
      <w:r w:rsidR="007633CA" w:rsidRPr="00435CDA">
        <w:rPr>
          <w:rFonts w:cs="Arial"/>
        </w:rPr>
        <w:t xml:space="preserve">focus on </w:t>
      </w:r>
      <w:r w:rsidR="002E14AA" w:rsidRPr="00435CDA">
        <w:rPr>
          <w:rFonts w:cs="Arial"/>
        </w:rPr>
        <w:t>treatment</w:t>
      </w:r>
      <w:r w:rsidR="007633CA" w:rsidRPr="00435CDA">
        <w:rPr>
          <w:rFonts w:cs="Arial"/>
        </w:rPr>
        <w:t xml:space="preserve"> and individualized care</w:t>
      </w:r>
      <w:r w:rsidR="00C67AAB" w:rsidRPr="00435CDA">
        <w:rPr>
          <w:rFonts w:cs="Arial"/>
        </w:rPr>
        <w:t>. Because of these dif</w:t>
      </w:r>
      <w:r w:rsidR="002E14AA" w:rsidRPr="00435CDA">
        <w:rPr>
          <w:rFonts w:cs="Arial"/>
        </w:rPr>
        <w:t xml:space="preserve">ferences, healthcare facilities may </w:t>
      </w:r>
      <w:r w:rsidR="00C67AAB" w:rsidRPr="00435CDA">
        <w:rPr>
          <w:rFonts w:cs="Arial"/>
        </w:rPr>
        <w:t>face</w:t>
      </w:r>
      <w:r w:rsidR="007633CA" w:rsidRPr="00435CDA">
        <w:rPr>
          <w:rFonts w:cs="Arial"/>
        </w:rPr>
        <w:t xml:space="preserve"> </w:t>
      </w:r>
      <w:r w:rsidR="002E14AA" w:rsidRPr="00435CDA">
        <w:rPr>
          <w:rFonts w:cs="Arial"/>
        </w:rPr>
        <w:t>unique</w:t>
      </w:r>
      <w:r w:rsidR="007633CA" w:rsidRPr="00435CDA">
        <w:rPr>
          <w:rFonts w:cs="Arial"/>
        </w:rPr>
        <w:t xml:space="preserve"> barriers,</w:t>
      </w:r>
      <w:r w:rsidR="00027623" w:rsidRPr="00435CDA">
        <w:rPr>
          <w:rFonts w:cs="Arial"/>
        </w:rPr>
        <w:t xml:space="preserve"> </w:t>
      </w:r>
      <w:r w:rsidR="002E14AA" w:rsidRPr="00435CDA">
        <w:rPr>
          <w:rFonts w:cs="Arial"/>
        </w:rPr>
        <w:t xml:space="preserve">identify </w:t>
      </w:r>
      <w:r w:rsidR="0082371B" w:rsidRPr="00435CDA">
        <w:rPr>
          <w:rFonts w:cs="Arial"/>
        </w:rPr>
        <w:t xml:space="preserve">different </w:t>
      </w:r>
      <w:r w:rsidR="002E14AA" w:rsidRPr="00435CDA">
        <w:rPr>
          <w:rFonts w:cs="Arial"/>
        </w:rPr>
        <w:t>methods</w:t>
      </w:r>
      <w:r w:rsidR="0082371B" w:rsidRPr="00435CDA">
        <w:rPr>
          <w:rFonts w:cs="Arial"/>
        </w:rPr>
        <w:t xml:space="preserve"> to overcome those barriers, </w:t>
      </w:r>
      <w:r w:rsidR="002E14AA" w:rsidRPr="00435CDA">
        <w:rPr>
          <w:rFonts w:cs="Arial"/>
        </w:rPr>
        <w:t>and</w:t>
      </w:r>
      <w:r w:rsidR="00027623" w:rsidRPr="00435CDA">
        <w:rPr>
          <w:rFonts w:cs="Arial"/>
        </w:rPr>
        <w:t xml:space="preserve"> </w:t>
      </w:r>
      <w:r w:rsidR="002E14AA" w:rsidRPr="00435CDA">
        <w:rPr>
          <w:rFonts w:cs="Arial"/>
        </w:rPr>
        <w:t>employ</w:t>
      </w:r>
      <w:r w:rsidR="0082371B" w:rsidRPr="00435CDA">
        <w:rPr>
          <w:rFonts w:cs="Arial"/>
        </w:rPr>
        <w:t xml:space="preserve"> different </w:t>
      </w:r>
      <w:r w:rsidR="00027623" w:rsidRPr="00435CDA">
        <w:rPr>
          <w:rFonts w:cs="Arial"/>
        </w:rPr>
        <w:t xml:space="preserve">best practices and policies that </w:t>
      </w:r>
      <w:r w:rsidR="0082371B" w:rsidRPr="00435CDA">
        <w:rPr>
          <w:rFonts w:cs="Arial"/>
        </w:rPr>
        <w:t>suppor</w:t>
      </w:r>
      <w:r w:rsidR="00281881" w:rsidRPr="00435CDA">
        <w:rPr>
          <w:rFonts w:cs="Arial"/>
        </w:rPr>
        <w:t>t EHR access for HDs</w:t>
      </w:r>
      <w:r w:rsidR="00C757DF" w:rsidRPr="00435CDA">
        <w:rPr>
          <w:rFonts w:cs="Arial"/>
        </w:rPr>
        <w:t>.</w:t>
      </w:r>
      <w:r w:rsidR="00EA505A" w:rsidRPr="00435CDA">
        <w:rPr>
          <w:rFonts w:cs="Arial"/>
        </w:rPr>
        <w:t xml:space="preserve"> </w:t>
      </w:r>
      <w:r w:rsidR="0049450A">
        <w:rPr>
          <w:rFonts w:cs="Arial"/>
        </w:rPr>
        <w:t>Addressing</w:t>
      </w:r>
      <w:r w:rsidR="009E767E" w:rsidRPr="00435CDA">
        <w:rPr>
          <w:rFonts w:cs="Arial"/>
        </w:rPr>
        <w:t xml:space="preserve"> the</w:t>
      </w:r>
      <w:r w:rsidR="00EC7B39" w:rsidRPr="00435CDA">
        <w:rPr>
          <w:rFonts w:cs="Arial"/>
        </w:rPr>
        <w:t>se</w:t>
      </w:r>
      <w:r w:rsidR="009E767E" w:rsidRPr="00435CDA">
        <w:rPr>
          <w:rFonts w:cs="Arial"/>
        </w:rPr>
        <w:t xml:space="preserve"> perspectives and needs</w:t>
      </w:r>
      <w:r w:rsidR="004D6863" w:rsidRPr="00435CDA">
        <w:rPr>
          <w:rFonts w:cs="Arial"/>
        </w:rPr>
        <w:t xml:space="preserve"> will </w:t>
      </w:r>
      <w:r w:rsidR="00235970" w:rsidRPr="00435CDA">
        <w:rPr>
          <w:rFonts w:cs="Arial"/>
        </w:rPr>
        <w:t xml:space="preserve">provide </w:t>
      </w:r>
      <w:r w:rsidR="0049450A">
        <w:rPr>
          <w:rFonts w:cs="Arial"/>
        </w:rPr>
        <w:t xml:space="preserve">results </w:t>
      </w:r>
      <w:r w:rsidR="002E14AA" w:rsidRPr="00435CDA">
        <w:rPr>
          <w:rFonts w:cs="Arial"/>
        </w:rPr>
        <w:t xml:space="preserve">for </w:t>
      </w:r>
      <w:r w:rsidR="00235970" w:rsidRPr="00435CDA">
        <w:rPr>
          <w:rFonts w:cs="Arial"/>
        </w:rPr>
        <w:t xml:space="preserve">HDs to </w:t>
      </w:r>
      <w:r w:rsidR="00EC7B39" w:rsidRPr="00435CDA">
        <w:rPr>
          <w:rFonts w:cs="Arial"/>
        </w:rPr>
        <w:t>identify opportunities to support, engage, and coll</w:t>
      </w:r>
      <w:r w:rsidR="0049450A">
        <w:rPr>
          <w:rFonts w:cs="Arial"/>
        </w:rPr>
        <w:t xml:space="preserve">aborate with facilities during </w:t>
      </w:r>
      <w:r w:rsidR="00EC7B39" w:rsidRPr="00435CDA">
        <w:rPr>
          <w:rFonts w:cs="Arial"/>
        </w:rPr>
        <w:t xml:space="preserve">HAI outbreaks </w:t>
      </w:r>
      <w:r w:rsidR="0049450A">
        <w:rPr>
          <w:rFonts w:cs="Arial"/>
        </w:rPr>
        <w:t xml:space="preserve">to </w:t>
      </w:r>
      <w:r w:rsidR="00EC7B39" w:rsidRPr="00435CDA">
        <w:rPr>
          <w:rFonts w:cs="Arial"/>
        </w:rPr>
        <w:t>promote the common goal of patient safety and health.</w:t>
      </w:r>
      <w:r w:rsidR="009E0998" w:rsidRPr="00435CDA">
        <w:rPr>
          <w:rFonts w:cs="Arial"/>
        </w:rPr>
        <w:t xml:space="preserve"> </w:t>
      </w:r>
    </w:p>
    <w:p w14:paraId="51C80706" w14:textId="77777777" w:rsidR="00B12F51" w:rsidRPr="00435CDA" w:rsidRDefault="00B7627A" w:rsidP="00175D4B">
      <w:pPr>
        <w:pStyle w:val="Heading2"/>
        <w:numPr>
          <w:ilvl w:val="0"/>
          <w:numId w:val="18"/>
        </w:numPr>
        <w:rPr>
          <w:rFonts w:asciiTheme="minorHAnsi" w:hAnsiTheme="minorHAnsi"/>
          <w:color w:val="auto"/>
          <w:sz w:val="22"/>
          <w:szCs w:val="22"/>
        </w:rPr>
      </w:pPr>
      <w:bookmarkStart w:id="6" w:name="_Toc412038038"/>
      <w:r w:rsidRPr="00435CDA">
        <w:rPr>
          <w:rFonts w:asciiTheme="minorHAnsi" w:hAnsiTheme="minorHAnsi"/>
          <w:color w:val="auto"/>
          <w:sz w:val="22"/>
          <w:szCs w:val="22"/>
        </w:rPr>
        <w:t xml:space="preserve">Impact on Small Businesses or </w:t>
      </w:r>
      <w:r w:rsidR="0094582B" w:rsidRPr="00435CDA">
        <w:rPr>
          <w:rFonts w:asciiTheme="minorHAnsi" w:hAnsiTheme="minorHAnsi"/>
          <w:color w:val="auto"/>
          <w:sz w:val="22"/>
          <w:szCs w:val="22"/>
        </w:rPr>
        <w:t>Other Small</w:t>
      </w:r>
      <w:r w:rsidR="003063A4" w:rsidRPr="00435CDA">
        <w:rPr>
          <w:rFonts w:asciiTheme="minorHAnsi" w:hAnsiTheme="minorHAnsi"/>
          <w:color w:val="auto"/>
          <w:sz w:val="22"/>
          <w:szCs w:val="22"/>
        </w:rPr>
        <w:t xml:space="preserve"> Entities</w:t>
      </w:r>
      <w:bookmarkEnd w:id="6"/>
    </w:p>
    <w:p w14:paraId="01C25DD4" w14:textId="12CED8B1" w:rsidR="009C405D" w:rsidRPr="00435CDA" w:rsidRDefault="009C405D" w:rsidP="003641E1">
      <w:r w:rsidRPr="00435CDA">
        <w:t xml:space="preserve">Small healthcare </w:t>
      </w:r>
      <w:r w:rsidR="00EC7B39" w:rsidRPr="00435CDA">
        <w:t>facilities</w:t>
      </w:r>
      <w:r w:rsidRPr="00435CDA">
        <w:t xml:space="preserve">, including </w:t>
      </w:r>
      <w:r w:rsidR="00EC7B39" w:rsidRPr="00435CDA">
        <w:t xml:space="preserve">small </w:t>
      </w:r>
      <w:r w:rsidRPr="00435CDA">
        <w:t xml:space="preserve">hospitals and clinics, may </w:t>
      </w:r>
      <w:r w:rsidR="005E3016" w:rsidRPr="00435CDA">
        <w:t xml:space="preserve">voluntarily </w:t>
      </w:r>
      <w:r w:rsidRPr="00435CDA">
        <w:t>participate in the telephone interviews. We anticipate that most</w:t>
      </w:r>
      <w:r w:rsidR="00EC7B39" w:rsidRPr="00435CDA">
        <w:t xml:space="preserve"> of the facilities</w:t>
      </w:r>
      <w:r w:rsidRPr="00435CDA">
        <w:t xml:space="preserve"> selected for participation will agree to participate </w:t>
      </w:r>
      <w:r w:rsidR="00EC7B39" w:rsidRPr="00435CDA">
        <w:t>because: (1)</w:t>
      </w:r>
      <w:r w:rsidRPr="00435CDA">
        <w:t xml:space="preserve"> </w:t>
      </w:r>
      <w:r w:rsidR="00D7256B" w:rsidRPr="00435CDA">
        <w:t>HAI</w:t>
      </w:r>
      <w:r w:rsidRPr="00435CDA">
        <w:t xml:space="preserve"> elimination is a major goal of all U.S. healthcare institutions</w:t>
      </w:r>
      <w:r w:rsidR="00EC7B39" w:rsidRPr="00435CDA">
        <w:t>; and (2)</w:t>
      </w:r>
      <w:r w:rsidR="00D7256B" w:rsidRPr="00435CDA">
        <w:t xml:space="preserve"> the </w:t>
      </w:r>
      <w:r w:rsidR="00D7256B" w:rsidRPr="00435CDA">
        <w:lastRenderedPageBreak/>
        <w:t xml:space="preserve">magnitude and immediate </w:t>
      </w:r>
      <w:r w:rsidR="00F65EC8" w:rsidRPr="00435CDA">
        <w:t>issues</w:t>
      </w:r>
      <w:r w:rsidR="00D7256B" w:rsidRPr="00435CDA">
        <w:t xml:space="preserve"> of the fungal meningitis outbreak </w:t>
      </w:r>
      <w:r w:rsidR="00F35B34" w:rsidRPr="00435CDA">
        <w:t xml:space="preserve">in small healthcare facilities </w:t>
      </w:r>
      <w:r w:rsidR="00D7256B" w:rsidRPr="00435CDA">
        <w:t xml:space="preserve">highlighted </w:t>
      </w:r>
      <w:r w:rsidR="000319CD" w:rsidRPr="00435CDA">
        <w:t>significant challenges around HD EHR access</w:t>
      </w:r>
      <w:r w:rsidR="0092089C">
        <w:t xml:space="preserve"> that has yet to be assessed. </w:t>
      </w:r>
      <w:r w:rsidRPr="00435CDA">
        <w:t xml:space="preserve">The data collection burden for </w:t>
      </w:r>
      <w:r w:rsidR="00F35B34" w:rsidRPr="00435CDA">
        <w:t>small</w:t>
      </w:r>
      <w:r w:rsidRPr="00435CDA">
        <w:t xml:space="preserve"> healthcare </w:t>
      </w:r>
      <w:r w:rsidR="00255CCA">
        <w:t>facilities</w:t>
      </w:r>
      <w:r w:rsidRPr="00435CDA">
        <w:t xml:space="preserve"> </w:t>
      </w:r>
      <w:r w:rsidR="00187995">
        <w:t>that cho</w:t>
      </w:r>
      <w:r w:rsidR="00255CCA">
        <w:t>o</w:t>
      </w:r>
      <w:r w:rsidR="00187995">
        <w:t xml:space="preserve">se to participate </w:t>
      </w:r>
      <w:r w:rsidRPr="00435CDA">
        <w:t xml:space="preserve">will be minimized as </w:t>
      </w:r>
      <w:r w:rsidR="000F527D" w:rsidRPr="00435CDA">
        <w:t xml:space="preserve">much </w:t>
      </w:r>
      <w:r w:rsidRPr="00435CDA">
        <w:t xml:space="preserve">as possible. </w:t>
      </w:r>
    </w:p>
    <w:p w14:paraId="18965008" w14:textId="77777777" w:rsidR="00B12F51" w:rsidRPr="00435CDA" w:rsidRDefault="00B47055" w:rsidP="00175D4B">
      <w:pPr>
        <w:pStyle w:val="Heading2"/>
        <w:numPr>
          <w:ilvl w:val="0"/>
          <w:numId w:val="18"/>
        </w:numPr>
        <w:rPr>
          <w:rFonts w:asciiTheme="minorHAnsi" w:hAnsiTheme="minorHAnsi"/>
          <w:color w:val="auto"/>
          <w:sz w:val="22"/>
          <w:szCs w:val="22"/>
        </w:rPr>
      </w:pPr>
      <w:bookmarkStart w:id="7" w:name="_Toc412038039"/>
      <w:r w:rsidRPr="00435CDA">
        <w:rPr>
          <w:rFonts w:asciiTheme="minorHAnsi" w:hAnsiTheme="minorHAnsi"/>
          <w:color w:val="auto"/>
          <w:sz w:val="22"/>
          <w:szCs w:val="22"/>
        </w:rPr>
        <w:t xml:space="preserve">Consequences </w:t>
      </w:r>
      <w:r w:rsidR="0094582B" w:rsidRPr="00435CDA">
        <w:rPr>
          <w:rFonts w:asciiTheme="minorHAnsi" w:hAnsiTheme="minorHAnsi"/>
          <w:color w:val="auto"/>
          <w:sz w:val="22"/>
          <w:szCs w:val="22"/>
        </w:rPr>
        <w:t>of Collecting</w:t>
      </w:r>
      <w:r w:rsidRPr="00435CDA">
        <w:rPr>
          <w:rFonts w:asciiTheme="minorHAnsi" w:hAnsiTheme="minorHAnsi"/>
          <w:color w:val="auto"/>
          <w:sz w:val="22"/>
          <w:szCs w:val="22"/>
        </w:rPr>
        <w:t xml:space="preserve"> the Information </w:t>
      </w:r>
      <w:r w:rsidR="00B7627A" w:rsidRPr="00435CDA">
        <w:rPr>
          <w:rFonts w:asciiTheme="minorHAnsi" w:hAnsiTheme="minorHAnsi"/>
          <w:color w:val="auto"/>
          <w:sz w:val="22"/>
          <w:szCs w:val="22"/>
        </w:rPr>
        <w:t>Less Frequently</w:t>
      </w:r>
      <w:bookmarkEnd w:id="7"/>
    </w:p>
    <w:p w14:paraId="245BB6A6" w14:textId="782375B2" w:rsidR="0092089C" w:rsidRDefault="00D7256B" w:rsidP="0092089C">
      <w:pPr>
        <w:pStyle w:val="CM89"/>
        <w:spacing w:line="276" w:lineRule="auto"/>
        <w:ind w:right="97"/>
        <w:rPr>
          <w:rFonts w:asciiTheme="minorHAnsi" w:hAnsiTheme="minorHAnsi"/>
          <w:sz w:val="22"/>
          <w:szCs w:val="22"/>
        </w:rPr>
      </w:pPr>
      <w:r w:rsidRPr="00435CDA">
        <w:rPr>
          <w:rFonts w:asciiTheme="minorHAnsi" w:hAnsiTheme="minorHAnsi"/>
          <w:sz w:val="22"/>
          <w:szCs w:val="22"/>
        </w:rPr>
        <w:t>This request is for a one-time data collection</w:t>
      </w:r>
      <w:r w:rsidR="0092089C">
        <w:rPr>
          <w:rFonts w:asciiTheme="minorHAnsi" w:hAnsiTheme="minorHAnsi"/>
          <w:sz w:val="22"/>
          <w:szCs w:val="22"/>
        </w:rPr>
        <w:t xml:space="preserve"> to assess healthcare facilities’, hospitals</w:t>
      </w:r>
      <w:r w:rsidR="007C53F5">
        <w:rPr>
          <w:rFonts w:asciiTheme="minorHAnsi" w:hAnsiTheme="minorHAnsi"/>
          <w:sz w:val="22"/>
          <w:szCs w:val="22"/>
        </w:rPr>
        <w:t>’</w:t>
      </w:r>
      <w:r w:rsidR="0092089C">
        <w:rPr>
          <w:rFonts w:asciiTheme="minorHAnsi" w:hAnsiTheme="minorHAnsi"/>
          <w:sz w:val="22"/>
          <w:szCs w:val="22"/>
        </w:rPr>
        <w:t xml:space="preserve"> and clinics</w:t>
      </w:r>
      <w:r w:rsidR="007C53F5">
        <w:rPr>
          <w:rFonts w:asciiTheme="minorHAnsi" w:hAnsiTheme="minorHAnsi"/>
          <w:sz w:val="22"/>
          <w:szCs w:val="22"/>
        </w:rPr>
        <w:t>’ experiences</w:t>
      </w:r>
      <w:r w:rsidR="0092089C">
        <w:rPr>
          <w:rFonts w:asciiTheme="minorHAnsi" w:hAnsiTheme="minorHAnsi"/>
          <w:sz w:val="22"/>
          <w:szCs w:val="22"/>
        </w:rPr>
        <w:t xml:space="preserve"> granting EHR access to HDs during an HAI outbreak, with a focus on the 2012 fungal meningitis outbreak.</w:t>
      </w:r>
      <w:r w:rsidR="0092089C" w:rsidRPr="0092089C">
        <w:rPr>
          <w:rFonts w:asciiTheme="minorHAnsi" w:hAnsiTheme="minorHAnsi"/>
          <w:sz w:val="22"/>
          <w:szCs w:val="22"/>
        </w:rPr>
        <w:t xml:space="preserve"> </w:t>
      </w:r>
      <w:r w:rsidR="0092089C" w:rsidRPr="0076133B">
        <w:rPr>
          <w:rFonts w:asciiTheme="minorHAnsi" w:hAnsiTheme="minorHAnsi"/>
          <w:sz w:val="22"/>
          <w:szCs w:val="22"/>
        </w:rPr>
        <w:t>Existing data sources do not include the information that is necessary to assess these objectives; therefore, it is necessary to collect</w:t>
      </w:r>
      <w:r w:rsidR="0092089C">
        <w:rPr>
          <w:rFonts w:asciiTheme="minorHAnsi" w:hAnsiTheme="minorHAnsi"/>
          <w:sz w:val="22"/>
          <w:szCs w:val="22"/>
        </w:rPr>
        <w:t xml:space="preserve"> this</w:t>
      </w:r>
      <w:r w:rsidR="0092089C" w:rsidRPr="0076133B">
        <w:rPr>
          <w:rFonts w:asciiTheme="minorHAnsi" w:hAnsiTheme="minorHAnsi"/>
          <w:sz w:val="22"/>
          <w:szCs w:val="22"/>
        </w:rPr>
        <w:t xml:space="preserve"> information prospectively</w:t>
      </w:r>
      <w:r w:rsidR="0092089C">
        <w:rPr>
          <w:rFonts w:asciiTheme="minorHAnsi" w:hAnsiTheme="minorHAnsi"/>
          <w:sz w:val="22"/>
          <w:szCs w:val="22"/>
        </w:rPr>
        <w:t>.</w:t>
      </w:r>
      <w:r w:rsidR="0092089C" w:rsidRPr="0076133B" w:rsidDel="004D20A9">
        <w:rPr>
          <w:rFonts w:asciiTheme="minorHAnsi" w:hAnsiTheme="minorHAnsi"/>
          <w:sz w:val="22"/>
          <w:szCs w:val="22"/>
        </w:rPr>
        <w:t xml:space="preserve"> </w:t>
      </w:r>
      <w:r w:rsidR="0092089C" w:rsidRPr="0076133B">
        <w:rPr>
          <w:rFonts w:asciiTheme="minorHAnsi" w:hAnsiTheme="minorHAnsi"/>
          <w:sz w:val="22"/>
          <w:szCs w:val="22"/>
        </w:rPr>
        <w:t xml:space="preserve">This work builds on phase I </w:t>
      </w:r>
      <w:r w:rsidR="000407F1" w:rsidRPr="000407F1">
        <w:rPr>
          <w:rFonts w:asciiTheme="minorHAnsi" w:hAnsiTheme="minorHAnsi"/>
          <w:sz w:val="22"/>
          <w:szCs w:val="22"/>
        </w:rPr>
        <w:t>(OMB 0920-0879)</w:t>
      </w:r>
      <w:r w:rsidR="000407F1" w:rsidRPr="00435CDA">
        <w:t xml:space="preserve"> </w:t>
      </w:r>
      <w:r w:rsidR="0092089C" w:rsidRPr="0076133B">
        <w:rPr>
          <w:rFonts w:asciiTheme="minorHAnsi" w:hAnsiTheme="minorHAnsi"/>
          <w:sz w:val="22"/>
          <w:szCs w:val="22"/>
        </w:rPr>
        <w:t>of this project: “State Health Department Access to Electronic Health Record Data during an Outbreak: A Retrospective Assessment” , which examined the health departments’ (HDs) experience requesting and getting access to electronic health records (EHRs) in healthcare facilities’ in their jurisdiction. Responses from healthcare facilities will be used to help the project team build a report and toolkit that will help state HDs address the needs and perspective of the healthcare facilities’ when requesting EHR access.</w:t>
      </w:r>
    </w:p>
    <w:p w14:paraId="2A6DAAA9" w14:textId="550CE682" w:rsidR="007A527A" w:rsidRPr="0092089C" w:rsidRDefault="009E66EA" w:rsidP="0092089C">
      <w:pPr>
        <w:pStyle w:val="CM89"/>
        <w:spacing w:line="228" w:lineRule="atLeast"/>
        <w:ind w:right="97"/>
        <w:rPr>
          <w:rFonts w:asciiTheme="minorHAnsi" w:hAnsiTheme="minorHAnsi"/>
          <w:sz w:val="22"/>
          <w:szCs w:val="22"/>
        </w:rPr>
      </w:pPr>
      <w:r w:rsidRPr="00435CDA">
        <w:rPr>
          <w:rFonts w:asciiTheme="minorHAnsi" w:hAnsiTheme="minorHAnsi"/>
          <w:sz w:val="22"/>
          <w:szCs w:val="22"/>
        </w:rPr>
        <w:t xml:space="preserve"> </w:t>
      </w:r>
    </w:p>
    <w:p w14:paraId="4C38E09F" w14:textId="77777777" w:rsidR="00B12F51" w:rsidRPr="00435CDA" w:rsidRDefault="00B47055" w:rsidP="0092089C">
      <w:pPr>
        <w:pStyle w:val="Heading2"/>
        <w:numPr>
          <w:ilvl w:val="0"/>
          <w:numId w:val="18"/>
        </w:numPr>
        <w:spacing w:after="0"/>
        <w:rPr>
          <w:rFonts w:asciiTheme="minorHAnsi" w:hAnsiTheme="minorHAnsi"/>
          <w:color w:val="auto"/>
          <w:sz w:val="22"/>
          <w:szCs w:val="22"/>
        </w:rPr>
      </w:pPr>
      <w:bookmarkStart w:id="8" w:name="_Toc412038040"/>
      <w:r w:rsidRPr="00435CDA">
        <w:rPr>
          <w:rFonts w:asciiTheme="minorHAnsi" w:hAnsiTheme="minorHAnsi"/>
          <w:color w:val="auto"/>
          <w:sz w:val="22"/>
          <w:szCs w:val="22"/>
        </w:rPr>
        <w:t xml:space="preserve">Special Circumstances </w:t>
      </w:r>
      <w:r w:rsidR="007D4A3C" w:rsidRPr="00435CDA">
        <w:rPr>
          <w:rFonts w:asciiTheme="minorHAnsi" w:hAnsiTheme="minorHAnsi"/>
          <w:color w:val="auto"/>
          <w:sz w:val="22"/>
          <w:szCs w:val="22"/>
        </w:rPr>
        <w:t>Relating to the Guidelines of 5 CFR 1320.5</w:t>
      </w:r>
      <w:bookmarkEnd w:id="8"/>
    </w:p>
    <w:p w14:paraId="3D0E1BB0" w14:textId="77777777" w:rsidR="00F52BCC" w:rsidRPr="00435CDA" w:rsidRDefault="00A809AA" w:rsidP="003641E1">
      <w:pPr>
        <w:pStyle w:val="ListParagraph"/>
        <w:spacing w:after="0"/>
        <w:ind w:left="0"/>
      </w:pPr>
      <w:r w:rsidRPr="00435CDA">
        <w:t xml:space="preserve">There are no special circumstances with this information collection package. </w:t>
      </w:r>
      <w:r w:rsidR="00835CA7" w:rsidRPr="00435CDA">
        <w:t xml:space="preserve">This request fully complies with </w:t>
      </w:r>
      <w:r w:rsidR="007D4A3C" w:rsidRPr="00435CDA">
        <w:t xml:space="preserve">the </w:t>
      </w:r>
      <w:r w:rsidR="00F42894" w:rsidRPr="00435CDA">
        <w:t>regulation</w:t>
      </w:r>
      <w:r w:rsidR="007D4A3C" w:rsidRPr="00435CDA">
        <w:t xml:space="preserve"> 5 CFR 1320.5</w:t>
      </w:r>
      <w:r w:rsidR="00F42894" w:rsidRPr="00435CDA">
        <w:t xml:space="preserve">. </w:t>
      </w:r>
    </w:p>
    <w:p w14:paraId="70CF1C15" w14:textId="77777777" w:rsidR="00EC7B39" w:rsidRPr="00435CDA" w:rsidRDefault="00EC7B39" w:rsidP="003641E1">
      <w:pPr>
        <w:pStyle w:val="ListParagraph"/>
        <w:spacing w:after="0"/>
        <w:ind w:left="0"/>
      </w:pPr>
    </w:p>
    <w:p w14:paraId="1052ACF0" w14:textId="09EDBDCF" w:rsidR="000407F1" w:rsidRPr="008305D1" w:rsidRDefault="008305D1" w:rsidP="008305D1">
      <w:pPr>
        <w:pStyle w:val="ListParagraph"/>
        <w:numPr>
          <w:ilvl w:val="0"/>
          <w:numId w:val="18"/>
        </w:numPr>
        <w:rPr>
          <w:rFonts w:cs="Times New Roman"/>
          <w:b/>
          <w:bCs/>
        </w:rPr>
      </w:pPr>
      <w:bookmarkStart w:id="9" w:name="_Toc412038041"/>
      <w:r>
        <w:rPr>
          <w:rStyle w:val="Heading2Char"/>
          <w:rFonts w:asciiTheme="minorHAnsi" w:eastAsiaTheme="minorEastAsia" w:hAnsiTheme="minorHAnsi"/>
          <w:color w:val="auto"/>
          <w:sz w:val="22"/>
          <w:szCs w:val="22"/>
        </w:rPr>
        <w:t xml:space="preserve">A. </w:t>
      </w:r>
      <w:r w:rsidR="003063A4" w:rsidRPr="008305D1">
        <w:rPr>
          <w:rStyle w:val="Heading2Char"/>
          <w:rFonts w:asciiTheme="minorHAnsi" w:eastAsiaTheme="minorEastAsia" w:hAnsiTheme="minorHAnsi"/>
          <w:color w:val="auto"/>
          <w:sz w:val="22"/>
          <w:szCs w:val="22"/>
        </w:rPr>
        <w:t>Comments in Response to the Federal Register Notice</w:t>
      </w:r>
      <w:bookmarkEnd w:id="9"/>
      <w:r w:rsidR="003063A4" w:rsidRPr="00435CDA">
        <w:t xml:space="preserve"> </w:t>
      </w:r>
    </w:p>
    <w:p w14:paraId="4FF55979" w14:textId="510F596F" w:rsidR="008305D1" w:rsidRDefault="000407F1" w:rsidP="008305D1">
      <w:pPr>
        <w:pStyle w:val="ListParagraph"/>
        <w:autoSpaceDE w:val="0"/>
        <w:autoSpaceDN w:val="0"/>
        <w:adjustRightInd w:val="0"/>
        <w:ind w:left="0" w:right="720"/>
      </w:pPr>
      <w:r w:rsidRPr="00435CDA">
        <w:t xml:space="preserve">A Federal Register Notice was published on </w:t>
      </w:r>
      <w:r w:rsidRPr="002F5D97">
        <w:t xml:space="preserve">December 2, 2014, Vol. 79, </w:t>
      </w:r>
      <w:r>
        <w:t>No. 231, Page 71429</w:t>
      </w:r>
      <w:r w:rsidRPr="00435CDA">
        <w:t xml:space="preserve"> (see Appendix B). </w:t>
      </w:r>
      <w:r>
        <w:t xml:space="preserve"> One non-substantive comment was received (see attachment </w:t>
      </w:r>
      <w:r w:rsidR="008305D1">
        <w:t>M</w:t>
      </w:r>
      <w:r>
        <w:t>) from the public and a response was sent.</w:t>
      </w:r>
    </w:p>
    <w:p w14:paraId="55AB1CFE" w14:textId="77777777" w:rsidR="007C53F5" w:rsidRDefault="007C53F5" w:rsidP="008305D1">
      <w:pPr>
        <w:pStyle w:val="ListParagraph"/>
        <w:autoSpaceDE w:val="0"/>
        <w:autoSpaceDN w:val="0"/>
        <w:adjustRightInd w:val="0"/>
        <w:ind w:left="0" w:right="720"/>
      </w:pPr>
    </w:p>
    <w:p w14:paraId="394D9E7B" w14:textId="3C8100DC" w:rsidR="000407F1" w:rsidRPr="008305D1" w:rsidRDefault="008305D1" w:rsidP="008305D1">
      <w:pPr>
        <w:pStyle w:val="ListParagraph"/>
        <w:numPr>
          <w:ilvl w:val="0"/>
          <w:numId w:val="30"/>
        </w:numPr>
        <w:autoSpaceDE w:val="0"/>
        <w:autoSpaceDN w:val="0"/>
        <w:adjustRightInd w:val="0"/>
        <w:ind w:right="720"/>
      </w:pPr>
      <w:r>
        <w:rPr>
          <w:rFonts w:cs="Times New Roman"/>
          <w:b/>
        </w:rPr>
        <w:t xml:space="preserve">B. </w:t>
      </w:r>
      <w:r w:rsidR="007D4A3C" w:rsidRPr="008305D1">
        <w:rPr>
          <w:rFonts w:cs="Times New Roman"/>
          <w:b/>
        </w:rPr>
        <w:t>Efforts to Consult Outside the Agency</w:t>
      </w:r>
    </w:p>
    <w:p w14:paraId="46586E0E" w14:textId="71C598CB" w:rsidR="000407F1" w:rsidRPr="000407F1" w:rsidRDefault="000407F1" w:rsidP="008305D1">
      <w:pPr>
        <w:pStyle w:val="ListParagraph"/>
        <w:ind w:left="0"/>
        <w:rPr>
          <w:rFonts w:cs="Times New Roman"/>
          <w:b/>
          <w:bCs/>
        </w:rPr>
      </w:pPr>
      <w:r w:rsidRPr="00435CDA">
        <w:t xml:space="preserve">A group of expert external stakeholders reviewed the design, methodology, and sample for this </w:t>
      </w:r>
      <w:r>
        <w:t>assessment</w:t>
      </w:r>
      <w:r w:rsidRPr="00435CDA">
        <w:t xml:space="preserve"> during an hour-long conference call. These experts included state epidemiologists, state healthcare-associated infection coordinators, informatics specialists, HD legal counsel, and representatives from Consumers Union, Society of Healthcare Epidemiology of America (SHEA), and the Association for Professionals in Infection Control and Epidemiology (APIC). Feedback from these expert stakeholders was used to refine the sampling plan, interview guide questions, and interview guide probes for all participants. </w:t>
      </w:r>
    </w:p>
    <w:p w14:paraId="6EA488CB" w14:textId="02CDFDAB" w:rsidR="00B12F51" w:rsidRPr="00435CDA" w:rsidRDefault="00283451" w:rsidP="008305D1">
      <w:pPr>
        <w:pStyle w:val="Heading2"/>
        <w:numPr>
          <w:ilvl w:val="0"/>
          <w:numId w:val="30"/>
        </w:numPr>
        <w:rPr>
          <w:rFonts w:asciiTheme="minorHAnsi" w:hAnsiTheme="minorHAnsi"/>
          <w:color w:val="auto"/>
          <w:sz w:val="22"/>
          <w:szCs w:val="22"/>
        </w:rPr>
      </w:pPr>
      <w:bookmarkStart w:id="10" w:name="_Toc412038042"/>
      <w:r w:rsidRPr="00435CDA">
        <w:rPr>
          <w:rFonts w:asciiTheme="minorHAnsi" w:hAnsiTheme="minorHAnsi"/>
          <w:color w:val="auto"/>
          <w:sz w:val="22"/>
          <w:szCs w:val="22"/>
        </w:rPr>
        <w:t>Explanation</w:t>
      </w:r>
      <w:r w:rsidR="007D4A3C" w:rsidRPr="00435CDA">
        <w:rPr>
          <w:rFonts w:asciiTheme="minorHAnsi" w:hAnsiTheme="minorHAnsi"/>
          <w:color w:val="auto"/>
          <w:sz w:val="22"/>
          <w:szCs w:val="22"/>
        </w:rPr>
        <w:t xml:space="preserve"> of Any </w:t>
      </w:r>
      <w:r w:rsidR="00F42894" w:rsidRPr="00435CDA">
        <w:rPr>
          <w:rFonts w:asciiTheme="minorHAnsi" w:hAnsiTheme="minorHAnsi"/>
          <w:color w:val="auto"/>
          <w:sz w:val="22"/>
          <w:szCs w:val="22"/>
        </w:rPr>
        <w:t>P</w:t>
      </w:r>
      <w:r w:rsidR="0088467A" w:rsidRPr="00435CDA">
        <w:rPr>
          <w:rFonts w:asciiTheme="minorHAnsi" w:hAnsiTheme="minorHAnsi"/>
          <w:color w:val="auto"/>
          <w:sz w:val="22"/>
          <w:szCs w:val="22"/>
        </w:rPr>
        <w:t>ayment or Gift to Respondents</w:t>
      </w:r>
      <w:bookmarkEnd w:id="10"/>
    </w:p>
    <w:p w14:paraId="228DF8A4" w14:textId="77777777" w:rsidR="00A970A3" w:rsidRPr="00435CDA" w:rsidRDefault="00A809AA" w:rsidP="00A970A3">
      <w:pPr>
        <w:pStyle w:val="ListParagraph"/>
        <w:spacing w:after="0"/>
        <w:ind w:left="0"/>
      </w:pPr>
      <w:r w:rsidRPr="00435CDA">
        <w:t>CDC will not provide p</w:t>
      </w:r>
      <w:r w:rsidR="00D26A64" w:rsidRPr="00435CDA">
        <w:t>ayments or gifts to respondents.</w:t>
      </w:r>
    </w:p>
    <w:p w14:paraId="48CCCE95" w14:textId="76C7C63D" w:rsidR="00B12F51" w:rsidRPr="00435CDA" w:rsidRDefault="007D4A3C" w:rsidP="008305D1">
      <w:pPr>
        <w:pStyle w:val="Heading2"/>
        <w:numPr>
          <w:ilvl w:val="0"/>
          <w:numId w:val="30"/>
        </w:numPr>
        <w:rPr>
          <w:rFonts w:asciiTheme="minorHAnsi" w:hAnsiTheme="minorHAnsi"/>
          <w:color w:val="auto"/>
          <w:sz w:val="22"/>
          <w:szCs w:val="22"/>
        </w:rPr>
      </w:pPr>
      <w:bookmarkStart w:id="11" w:name="_Toc412038043"/>
      <w:r w:rsidRPr="00435CDA">
        <w:rPr>
          <w:rFonts w:asciiTheme="minorHAnsi" w:hAnsiTheme="minorHAnsi"/>
          <w:color w:val="auto"/>
          <w:sz w:val="22"/>
          <w:szCs w:val="22"/>
        </w:rPr>
        <w:t xml:space="preserve">Assurance of </w:t>
      </w:r>
      <w:r w:rsidR="00F42894" w:rsidRPr="00435CDA">
        <w:rPr>
          <w:rFonts w:asciiTheme="minorHAnsi" w:hAnsiTheme="minorHAnsi"/>
          <w:color w:val="auto"/>
          <w:sz w:val="22"/>
          <w:szCs w:val="22"/>
        </w:rPr>
        <w:t>Confidentiality</w:t>
      </w:r>
      <w:r w:rsidRPr="00435CDA">
        <w:rPr>
          <w:rFonts w:asciiTheme="minorHAnsi" w:hAnsiTheme="minorHAnsi"/>
          <w:color w:val="auto"/>
          <w:sz w:val="22"/>
          <w:szCs w:val="22"/>
        </w:rPr>
        <w:t xml:space="preserve"> Provided to Respondents</w:t>
      </w:r>
      <w:bookmarkEnd w:id="11"/>
    </w:p>
    <w:p w14:paraId="29AFE808" w14:textId="189DA49F" w:rsidR="007D787F" w:rsidRPr="00435CDA" w:rsidRDefault="00DC4281" w:rsidP="003641E1">
      <w:pPr>
        <w:pStyle w:val="ListParagraph"/>
        <w:autoSpaceDE w:val="0"/>
        <w:autoSpaceDN w:val="0"/>
        <w:adjustRightInd w:val="0"/>
        <w:ind w:left="0" w:right="720"/>
      </w:pPr>
      <w:r w:rsidRPr="00435CDA">
        <w:t xml:space="preserve">This submission has been reviewed by </w:t>
      </w:r>
      <w:r w:rsidR="00E03AC1" w:rsidRPr="00435CDA">
        <w:t>the CDC National C</w:t>
      </w:r>
      <w:r w:rsidR="00187995">
        <w:t xml:space="preserve">enter for Emerging and Zoonotic </w:t>
      </w:r>
      <w:r w:rsidR="00E03AC1" w:rsidRPr="00435CDA">
        <w:t>Infectious Diseases (</w:t>
      </w:r>
      <w:r w:rsidRPr="00435CDA">
        <w:t>NCEZID</w:t>
      </w:r>
      <w:r w:rsidR="00E03AC1" w:rsidRPr="00435CDA">
        <w:t>)</w:t>
      </w:r>
      <w:r w:rsidR="00EC7B39" w:rsidRPr="00435CDA">
        <w:t>, which</w:t>
      </w:r>
      <w:r w:rsidR="007821CA" w:rsidRPr="00435CDA">
        <w:t xml:space="preserve"> determined that the Privacy Act does not apply</w:t>
      </w:r>
      <w:r w:rsidR="00493E33" w:rsidRPr="00435CDA">
        <w:t>.</w:t>
      </w:r>
      <w:r w:rsidR="007821CA" w:rsidRPr="00435CDA">
        <w:t xml:space="preserve"> </w:t>
      </w:r>
    </w:p>
    <w:p w14:paraId="741E0444" w14:textId="67B33025" w:rsidR="00283451" w:rsidRPr="00435CDA" w:rsidRDefault="00283451" w:rsidP="003641E1">
      <w:pPr>
        <w:pStyle w:val="ListParagraph"/>
        <w:autoSpaceDE w:val="0"/>
        <w:autoSpaceDN w:val="0"/>
        <w:adjustRightInd w:val="0"/>
        <w:ind w:left="0" w:right="720"/>
      </w:pPr>
      <w:r w:rsidRPr="00435CDA">
        <w:lastRenderedPageBreak/>
        <w:t>This data collection was determined non-research by CDC</w:t>
      </w:r>
      <w:r w:rsidR="00522801">
        <w:t>, therefore an IRB review is not required</w:t>
      </w:r>
      <w:r w:rsidRPr="00435CDA">
        <w:t xml:space="preserve"> (</w:t>
      </w:r>
      <w:r w:rsidR="00493E33" w:rsidRPr="00435CDA">
        <w:t>Appendix F.</w:t>
      </w:r>
      <w:r w:rsidRPr="00435CDA">
        <w:t>)</w:t>
      </w:r>
    </w:p>
    <w:p w14:paraId="11BCCD43" w14:textId="42095E34" w:rsidR="00175D4B" w:rsidRPr="00E67D0C" w:rsidRDefault="00E67D0C" w:rsidP="00E67D0C">
      <w:pPr>
        <w:pStyle w:val="Heading3"/>
        <w:rPr>
          <w:color w:val="auto"/>
        </w:rPr>
      </w:pPr>
      <w:bookmarkStart w:id="12" w:name="_Toc412038044"/>
      <w:r w:rsidRPr="00E67D0C">
        <w:rPr>
          <w:color w:val="auto"/>
        </w:rPr>
        <w:t xml:space="preserve">10.1 </w:t>
      </w:r>
      <w:r w:rsidR="00A250AD" w:rsidRPr="00E67D0C">
        <w:rPr>
          <w:color w:val="auto"/>
        </w:rPr>
        <w:t>Privacy Impact Assessment Information</w:t>
      </w:r>
      <w:bookmarkEnd w:id="12"/>
    </w:p>
    <w:p w14:paraId="24EDC723" w14:textId="45784ACF" w:rsidR="00373377" w:rsidRDefault="007D787F" w:rsidP="007D787F">
      <w:r w:rsidRPr="00435CDA">
        <w:t>The Keystone Center, an external contractor, will collect data</w:t>
      </w:r>
      <w:r w:rsidR="00891AD1">
        <w:t xml:space="preserve"> from 15 state HD epidemiologists through email identifying the healthcare facilities involved in the HAI fungal meningitis outbreak in their state. Following the collection of that information, the Keystone Center</w:t>
      </w:r>
      <w:r w:rsidRPr="00435CDA">
        <w:t xml:space="preserve"> </w:t>
      </w:r>
      <w:r w:rsidR="00891AD1">
        <w:t xml:space="preserve">will collect data </w:t>
      </w:r>
      <w:r w:rsidR="00EC7B39" w:rsidRPr="00435CDA">
        <w:t xml:space="preserve">through </w:t>
      </w:r>
      <w:r w:rsidR="00611E89" w:rsidRPr="00435CDA">
        <w:t>tele</w:t>
      </w:r>
      <w:r w:rsidR="00EC7B39" w:rsidRPr="00435CDA">
        <w:t xml:space="preserve">phone interviews </w:t>
      </w:r>
      <w:r w:rsidRPr="00435CDA">
        <w:t xml:space="preserve">with 150 </w:t>
      </w:r>
      <w:r w:rsidR="00EC7B39" w:rsidRPr="00435CDA">
        <w:t xml:space="preserve">healthcare facility employees in the following </w:t>
      </w:r>
      <w:r w:rsidRPr="00435CDA">
        <w:t xml:space="preserve">roles: Infection </w:t>
      </w:r>
      <w:proofErr w:type="spellStart"/>
      <w:r w:rsidRPr="00435CDA">
        <w:t>Preventionist</w:t>
      </w:r>
      <w:r w:rsidR="00EC7B39" w:rsidRPr="00435CDA">
        <w:t>s</w:t>
      </w:r>
      <w:proofErr w:type="spellEnd"/>
      <w:r w:rsidRPr="00435CDA">
        <w:t xml:space="preserve"> (n=30),</w:t>
      </w:r>
      <w:r w:rsidR="00611E89" w:rsidRPr="00435CDA">
        <w:t xml:space="preserve"> Clinic Directors (n=30), or other roles as referred (n=30), and</w:t>
      </w:r>
      <w:r w:rsidRPr="00435CDA">
        <w:t xml:space="preserve"> Informatics Director</w:t>
      </w:r>
      <w:r w:rsidR="00EC7B39" w:rsidRPr="00435CDA">
        <w:t>s</w:t>
      </w:r>
      <w:r w:rsidR="00611E89" w:rsidRPr="00435CDA">
        <w:t xml:space="preserve"> (n=30) or other roles as referred (n=30)</w:t>
      </w:r>
      <w:r w:rsidRPr="00435CDA">
        <w:t xml:space="preserve">. </w:t>
      </w:r>
      <w:r w:rsidR="00373377">
        <w:t xml:space="preserve"> All identif</w:t>
      </w:r>
      <w:r w:rsidR="00764293">
        <w:t>iable information will be stored</w:t>
      </w:r>
      <w:r w:rsidR="00373377">
        <w:t xml:space="preserve"> in a secure location. Phone interviews will be recorded, and transcribed verbatim using a professional transcription company. All final transcriptions will be de-identified and reviewed alongside the audio recordings to ensure accuracy. Data will be shared using secure modes of transmission. Because voices are personally identifiable, audio files will be destroyed once the transcript is deemed accurate. All data will be reported at the state level to help ensure participant privacy. </w:t>
      </w:r>
    </w:p>
    <w:p w14:paraId="354BC240" w14:textId="5DCB855E" w:rsidR="007D787F" w:rsidRPr="00435CDA" w:rsidRDefault="007D787F" w:rsidP="007D787F">
      <w:r w:rsidRPr="00435CDA">
        <w:t xml:space="preserve"> </w:t>
      </w:r>
    </w:p>
    <w:p w14:paraId="31756A28" w14:textId="131B35EB" w:rsidR="003063A4" w:rsidRPr="00435CDA" w:rsidRDefault="00DC4281" w:rsidP="008305D1">
      <w:pPr>
        <w:pStyle w:val="Heading2"/>
        <w:numPr>
          <w:ilvl w:val="0"/>
          <w:numId w:val="30"/>
        </w:numPr>
        <w:rPr>
          <w:rFonts w:asciiTheme="minorHAnsi" w:hAnsiTheme="minorHAnsi"/>
          <w:color w:val="auto"/>
          <w:sz w:val="22"/>
          <w:szCs w:val="22"/>
        </w:rPr>
      </w:pPr>
      <w:bookmarkStart w:id="13" w:name="_Toc412038045"/>
      <w:r w:rsidRPr="00435CDA">
        <w:rPr>
          <w:rFonts w:asciiTheme="minorHAnsi" w:hAnsiTheme="minorHAnsi"/>
          <w:color w:val="auto"/>
          <w:sz w:val="22"/>
          <w:szCs w:val="22"/>
        </w:rPr>
        <w:t xml:space="preserve">Justification for </w:t>
      </w:r>
      <w:r w:rsidR="003063A4" w:rsidRPr="00435CDA">
        <w:rPr>
          <w:rFonts w:asciiTheme="minorHAnsi" w:hAnsiTheme="minorHAnsi"/>
          <w:color w:val="auto"/>
          <w:sz w:val="22"/>
          <w:szCs w:val="22"/>
        </w:rPr>
        <w:t xml:space="preserve">Sensitive </w:t>
      </w:r>
      <w:r w:rsidRPr="00435CDA">
        <w:rPr>
          <w:rFonts w:asciiTheme="minorHAnsi" w:hAnsiTheme="minorHAnsi"/>
          <w:color w:val="auto"/>
          <w:sz w:val="22"/>
          <w:szCs w:val="22"/>
        </w:rPr>
        <w:t>Questions</w:t>
      </w:r>
      <w:bookmarkEnd w:id="13"/>
      <w:r w:rsidRPr="00435CDA">
        <w:rPr>
          <w:rFonts w:asciiTheme="minorHAnsi" w:hAnsiTheme="minorHAnsi"/>
          <w:color w:val="auto"/>
          <w:sz w:val="22"/>
          <w:szCs w:val="22"/>
        </w:rPr>
        <w:t xml:space="preserve"> </w:t>
      </w:r>
    </w:p>
    <w:p w14:paraId="00765042" w14:textId="77777777" w:rsidR="003063A4" w:rsidRPr="00435CDA" w:rsidRDefault="003063A4" w:rsidP="003641E1">
      <w:r w:rsidRPr="00435CDA">
        <w:t xml:space="preserve">No information will be collected that are of </w:t>
      </w:r>
      <w:r w:rsidR="0066093A" w:rsidRPr="00435CDA">
        <w:t xml:space="preserve">a </w:t>
      </w:r>
      <w:r w:rsidRPr="00435CDA">
        <w:t xml:space="preserve">personal or sensitive nature. </w:t>
      </w:r>
    </w:p>
    <w:p w14:paraId="55F1B1A4" w14:textId="2E989031" w:rsidR="00B64BFA" w:rsidRPr="00435CDA" w:rsidRDefault="007821CA" w:rsidP="008305D1">
      <w:pPr>
        <w:pStyle w:val="Heading2"/>
        <w:numPr>
          <w:ilvl w:val="0"/>
          <w:numId w:val="30"/>
        </w:numPr>
        <w:rPr>
          <w:rFonts w:asciiTheme="minorHAnsi" w:hAnsiTheme="minorHAnsi"/>
          <w:color w:val="auto"/>
          <w:sz w:val="22"/>
          <w:szCs w:val="22"/>
        </w:rPr>
      </w:pPr>
      <w:bookmarkStart w:id="14" w:name="_Toc412038046"/>
      <w:r w:rsidRPr="00435CDA">
        <w:rPr>
          <w:rFonts w:asciiTheme="minorHAnsi" w:hAnsiTheme="minorHAnsi"/>
          <w:color w:val="auto"/>
          <w:sz w:val="22"/>
          <w:szCs w:val="22"/>
        </w:rPr>
        <w:t xml:space="preserve">Estimate of Annualized </w:t>
      </w:r>
      <w:r w:rsidR="004C5EEF" w:rsidRPr="00435CDA">
        <w:rPr>
          <w:rFonts w:asciiTheme="minorHAnsi" w:hAnsiTheme="minorHAnsi"/>
          <w:color w:val="auto"/>
          <w:sz w:val="22"/>
          <w:szCs w:val="22"/>
        </w:rPr>
        <w:t xml:space="preserve">Burden </w:t>
      </w:r>
      <w:r w:rsidRPr="00435CDA">
        <w:rPr>
          <w:rFonts w:asciiTheme="minorHAnsi" w:hAnsiTheme="minorHAnsi"/>
          <w:color w:val="auto"/>
          <w:sz w:val="22"/>
          <w:szCs w:val="22"/>
        </w:rPr>
        <w:t>Hours and Costs</w:t>
      </w:r>
      <w:bookmarkEnd w:id="14"/>
    </w:p>
    <w:p w14:paraId="3438CD3A" w14:textId="719A9700" w:rsidR="00415207" w:rsidRDefault="004C5EEF" w:rsidP="003641E1">
      <w:pPr>
        <w:spacing w:after="0" w:line="240" w:lineRule="auto"/>
      </w:pPr>
      <w:r w:rsidRPr="00435CDA">
        <w:rPr>
          <w:color w:val="000000"/>
        </w:rPr>
        <w:t>The estimate</w:t>
      </w:r>
      <w:r w:rsidR="005E3016" w:rsidRPr="00435CDA">
        <w:rPr>
          <w:color w:val="000000"/>
        </w:rPr>
        <w:t>d</w:t>
      </w:r>
      <w:r w:rsidRPr="00435CDA">
        <w:rPr>
          <w:color w:val="000000"/>
        </w:rPr>
        <w:t xml:space="preserve"> burden hours being requested for this one-time OMB request is </w:t>
      </w:r>
      <w:r w:rsidR="00BB173D">
        <w:rPr>
          <w:color w:val="000000"/>
        </w:rPr>
        <w:t>90</w:t>
      </w:r>
      <w:r w:rsidR="00BB173D" w:rsidRPr="00435CDA">
        <w:rPr>
          <w:color w:val="000000"/>
        </w:rPr>
        <w:t xml:space="preserve"> </w:t>
      </w:r>
      <w:r w:rsidR="005E3016" w:rsidRPr="00435CDA">
        <w:rPr>
          <w:color w:val="000000"/>
        </w:rPr>
        <w:t>hours</w:t>
      </w:r>
      <w:r w:rsidRPr="00435CDA">
        <w:rPr>
          <w:color w:val="000000"/>
        </w:rPr>
        <w:t>, at a cost of $3,</w:t>
      </w:r>
      <w:r w:rsidR="00BB173D">
        <w:rPr>
          <w:color w:val="000000"/>
        </w:rPr>
        <w:t>844.50</w:t>
      </w:r>
      <w:r w:rsidRPr="00435CDA">
        <w:rPr>
          <w:color w:val="000000"/>
        </w:rPr>
        <w:t>.</w:t>
      </w:r>
      <w:r w:rsidR="00611E89" w:rsidRPr="00435CDA">
        <w:rPr>
          <w:color w:val="000000"/>
        </w:rPr>
        <w:t xml:space="preserve"> </w:t>
      </w:r>
      <w:r w:rsidR="00B64BFA" w:rsidRPr="00435CDA">
        <w:rPr>
          <w:color w:val="000000"/>
        </w:rPr>
        <w:t>The estimate for burde</w:t>
      </w:r>
      <w:r w:rsidR="00693C79" w:rsidRPr="00435CDA">
        <w:rPr>
          <w:color w:val="000000"/>
        </w:rPr>
        <w:t xml:space="preserve">n hours is based </w:t>
      </w:r>
      <w:r w:rsidR="002100EB" w:rsidRPr="00435CDA">
        <w:rPr>
          <w:color w:val="000000"/>
        </w:rPr>
        <w:t xml:space="preserve">on </w:t>
      </w:r>
      <w:r w:rsidR="005C547D" w:rsidRPr="00435CDA">
        <w:rPr>
          <w:color w:val="000000"/>
        </w:rPr>
        <w:t>interviews</w:t>
      </w:r>
      <w:r w:rsidR="00693C79" w:rsidRPr="00435CDA">
        <w:rPr>
          <w:color w:val="000000"/>
        </w:rPr>
        <w:t xml:space="preserve"> </w:t>
      </w:r>
      <w:r w:rsidR="00A514F6" w:rsidRPr="00435CDA">
        <w:rPr>
          <w:color w:val="000000"/>
        </w:rPr>
        <w:t xml:space="preserve">conducted in </w:t>
      </w:r>
      <w:r w:rsidR="005C547D" w:rsidRPr="00435CDA">
        <w:rPr>
          <w:color w:val="000000"/>
        </w:rPr>
        <w:t>Phase I</w:t>
      </w:r>
      <w:r w:rsidR="007C53F5">
        <w:rPr>
          <w:color w:val="000000"/>
        </w:rPr>
        <w:t xml:space="preserve"> </w:t>
      </w:r>
      <w:r w:rsidR="000407F1">
        <w:t>(OMB 0920-0879)</w:t>
      </w:r>
      <w:r w:rsidR="00A87AFD" w:rsidRPr="00435CDA">
        <w:rPr>
          <w:color w:val="000000"/>
        </w:rPr>
        <w:t xml:space="preserve">. </w:t>
      </w:r>
      <w:r w:rsidR="00D04122" w:rsidRPr="00435CDA">
        <w:rPr>
          <w:color w:val="000000"/>
        </w:rPr>
        <w:t>Phase I interviews with HAI coordinators</w:t>
      </w:r>
      <w:r w:rsidR="00D30094" w:rsidRPr="00435CDA">
        <w:rPr>
          <w:color w:val="000000"/>
        </w:rPr>
        <w:t xml:space="preserve">, </w:t>
      </w:r>
      <w:r w:rsidR="00611E89" w:rsidRPr="00435CDA">
        <w:rPr>
          <w:color w:val="000000"/>
        </w:rPr>
        <w:t>state</w:t>
      </w:r>
      <w:r w:rsidR="00D04122" w:rsidRPr="00435CDA">
        <w:rPr>
          <w:color w:val="000000"/>
        </w:rPr>
        <w:t xml:space="preserve"> ep</w:t>
      </w:r>
      <w:r w:rsidR="00D30094" w:rsidRPr="00435CDA">
        <w:rPr>
          <w:color w:val="000000"/>
        </w:rPr>
        <w:t>idemiologists,</w:t>
      </w:r>
      <w:r w:rsidR="00611E89" w:rsidRPr="00435CDA">
        <w:rPr>
          <w:color w:val="000000"/>
        </w:rPr>
        <w:t xml:space="preserve"> HD</w:t>
      </w:r>
      <w:r w:rsidR="00D30094" w:rsidRPr="00435CDA">
        <w:rPr>
          <w:color w:val="000000"/>
        </w:rPr>
        <w:t xml:space="preserve"> </w:t>
      </w:r>
      <w:r w:rsidR="004355F3" w:rsidRPr="00435CDA">
        <w:rPr>
          <w:color w:val="000000"/>
        </w:rPr>
        <w:t xml:space="preserve">legal counsel, </w:t>
      </w:r>
      <w:r w:rsidR="00D30094" w:rsidRPr="00435CDA">
        <w:rPr>
          <w:color w:val="000000"/>
        </w:rPr>
        <w:t xml:space="preserve">and informatics directors took on average </w:t>
      </w:r>
      <w:r w:rsidR="002100EB" w:rsidRPr="00435CDA">
        <w:rPr>
          <w:color w:val="000000"/>
        </w:rPr>
        <w:t>27</w:t>
      </w:r>
      <w:r w:rsidR="00D04122" w:rsidRPr="00435CDA">
        <w:rPr>
          <w:color w:val="000000"/>
        </w:rPr>
        <w:t xml:space="preserve"> minutes, including t</w:t>
      </w:r>
      <w:r w:rsidR="0094254B" w:rsidRPr="00435CDA">
        <w:rPr>
          <w:color w:val="000000"/>
        </w:rPr>
        <w:t>ime for</w:t>
      </w:r>
      <w:r w:rsidR="00AD7B81">
        <w:rPr>
          <w:color w:val="000000"/>
        </w:rPr>
        <w:t xml:space="preserve"> reading the invitation,</w:t>
      </w:r>
      <w:r w:rsidR="0094254B" w:rsidRPr="00435CDA">
        <w:rPr>
          <w:color w:val="000000"/>
        </w:rPr>
        <w:t xml:space="preserve"> </w:t>
      </w:r>
      <w:proofErr w:type="gramStart"/>
      <w:r w:rsidR="0094254B" w:rsidRPr="00435CDA">
        <w:rPr>
          <w:color w:val="000000"/>
        </w:rPr>
        <w:t>review</w:t>
      </w:r>
      <w:r w:rsidR="0066093A" w:rsidRPr="00435CDA">
        <w:rPr>
          <w:color w:val="000000"/>
        </w:rPr>
        <w:t xml:space="preserve">ing </w:t>
      </w:r>
      <w:r w:rsidR="0094254B" w:rsidRPr="00435CDA">
        <w:rPr>
          <w:color w:val="000000"/>
        </w:rPr>
        <w:t xml:space="preserve"> instructions</w:t>
      </w:r>
      <w:proofErr w:type="gramEnd"/>
      <w:r w:rsidR="00AD7B81">
        <w:rPr>
          <w:color w:val="000000"/>
        </w:rPr>
        <w:t>,</w:t>
      </w:r>
      <w:r w:rsidR="004355F3" w:rsidRPr="00435CDA">
        <w:rPr>
          <w:color w:val="000000"/>
        </w:rPr>
        <w:t xml:space="preserve"> and consent</w:t>
      </w:r>
      <w:r w:rsidR="0094254B" w:rsidRPr="00435CDA">
        <w:rPr>
          <w:color w:val="000000"/>
        </w:rPr>
        <w:t>.  Since we are using an edited version of the same interview guide</w:t>
      </w:r>
      <w:r w:rsidR="00415207" w:rsidRPr="00435CDA">
        <w:rPr>
          <w:color w:val="000000"/>
        </w:rPr>
        <w:t>s</w:t>
      </w:r>
      <w:r w:rsidR="0094254B" w:rsidRPr="00435CDA">
        <w:rPr>
          <w:color w:val="000000"/>
        </w:rPr>
        <w:t xml:space="preserve"> with </w:t>
      </w:r>
      <w:r w:rsidR="003E55D8" w:rsidRPr="00435CDA">
        <w:t xml:space="preserve">infection </w:t>
      </w:r>
      <w:proofErr w:type="spellStart"/>
      <w:r w:rsidR="003E55D8" w:rsidRPr="00435CDA">
        <w:t>preventionists</w:t>
      </w:r>
      <w:proofErr w:type="spellEnd"/>
      <w:r w:rsidR="003E55D8" w:rsidRPr="00435CDA">
        <w:t>,</w:t>
      </w:r>
      <w:r w:rsidR="00611E89" w:rsidRPr="00435CDA">
        <w:t xml:space="preserve"> clinic directors, and</w:t>
      </w:r>
      <w:r w:rsidR="003E55D8" w:rsidRPr="00435CDA">
        <w:t xml:space="preserve"> </w:t>
      </w:r>
      <w:r w:rsidR="00611E89" w:rsidRPr="00435CDA">
        <w:t>others as referred (for example,</w:t>
      </w:r>
      <w:r w:rsidR="002100EB" w:rsidRPr="00435CDA">
        <w:t xml:space="preserve"> privacy officer</w:t>
      </w:r>
      <w:r w:rsidR="00B90ECB">
        <w:t>s,</w:t>
      </w:r>
      <w:r w:rsidR="002100EB" w:rsidRPr="00435CDA">
        <w:t xml:space="preserve"> risk management</w:t>
      </w:r>
      <w:r w:rsidR="00611E89" w:rsidRPr="00435CDA">
        <w:t xml:space="preserve"> specialists</w:t>
      </w:r>
      <w:r w:rsidR="00B90ECB">
        <w:t>, or patient records managers</w:t>
      </w:r>
      <w:r w:rsidR="00E46427">
        <w:t xml:space="preserve"> who are staff at the healthcare facility included in the sample</w:t>
      </w:r>
      <w:r w:rsidR="002100EB" w:rsidRPr="00435CDA">
        <w:t xml:space="preserve">), </w:t>
      </w:r>
      <w:r w:rsidR="00611E89" w:rsidRPr="00435CDA">
        <w:t xml:space="preserve">as well as </w:t>
      </w:r>
      <w:r w:rsidR="00415207" w:rsidRPr="00435CDA">
        <w:t>informatics directors</w:t>
      </w:r>
      <w:r w:rsidR="000319CD" w:rsidRPr="00435CDA">
        <w:t xml:space="preserve"> and other</w:t>
      </w:r>
      <w:r w:rsidR="00611E89" w:rsidRPr="00435CDA">
        <w:t>s</w:t>
      </w:r>
      <w:r w:rsidR="000319CD" w:rsidRPr="00435CDA">
        <w:t xml:space="preserve"> as referred</w:t>
      </w:r>
      <w:r w:rsidR="00611E89" w:rsidRPr="00435CDA">
        <w:t>,</w:t>
      </w:r>
      <w:r w:rsidR="000319CD" w:rsidRPr="00435CDA">
        <w:t xml:space="preserve"> </w:t>
      </w:r>
      <w:r w:rsidR="003E55D8" w:rsidRPr="00435CDA">
        <w:t xml:space="preserve">we estimate the same amount of time will be needed for </w:t>
      </w:r>
      <w:r w:rsidR="007646F7" w:rsidRPr="00435CDA">
        <w:t xml:space="preserve">each </w:t>
      </w:r>
      <w:r w:rsidR="00D30094" w:rsidRPr="00435CDA">
        <w:t>interview.</w:t>
      </w:r>
      <w:r w:rsidR="00415207" w:rsidRPr="00435CDA">
        <w:t xml:space="preserve"> For the purposes of estimate burden hours, the </w:t>
      </w:r>
      <w:r w:rsidR="00611E89" w:rsidRPr="00435CDA">
        <w:t>30-minute upper limit is used.</w:t>
      </w:r>
    </w:p>
    <w:p w14:paraId="0442D85A" w14:textId="77777777" w:rsidR="003570B2" w:rsidRPr="00435CDA" w:rsidRDefault="003570B2" w:rsidP="003641E1">
      <w:pPr>
        <w:spacing w:after="0" w:line="240" w:lineRule="auto"/>
        <w:rPr>
          <w:color w:val="000000"/>
        </w:rPr>
      </w:pPr>
    </w:p>
    <w:p w14:paraId="4ECC4A06" w14:textId="6FEC9C86" w:rsidR="003570B2" w:rsidRPr="00435CDA" w:rsidRDefault="003570B2" w:rsidP="003570B2">
      <w:r w:rsidRPr="00435CDA">
        <w:t>We will be requesting participation from</w:t>
      </w:r>
      <w:r w:rsidR="00BB173D">
        <w:t xml:space="preserve"> the HD epidemiologist </w:t>
      </w:r>
      <w:proofErr w:type="gramStart"/>
      <w:r w:rsidR="00BB173D">
        <w:t xml:space="preserve">and </w:t>
      </w:r>
      <w:r w:rsidRPr="00435CDA">
        <w:t xml:space="preserve"> hospital</w:t>
      </w:r>
      <w:proofErr w:type="gramEnd"/>
      <w:r w:rsidRPr="00435CDA">
        <w:t xml:space="preserve"> and clinic staff in their official capacities across 15 states. The states chosen for Phase I</w:t>
      </w:r>
      <w:r>
        <w:t xml:space="preserve"> (OMB 0920-0879)</w:t>
      </w:r>
      <w:r w:rsidRPr="00435CDA">
        <w:t xml:space="preserve"> and Phase II data collections are: Florida, Indiana, Kansas, Maryland, Michigan, Minnesota, New Hampshire, New Jersey, New York, North Carolina, Ohio, Oregon, Tennessee, Texas, and Virginia. These states were chosen based on four criteria: 1) case count during the fungal meningitis outbreak; 2) experience with other outbreaks, 3) existing state or local laws related to EHRs, and 4) demonstrated leadership in EHR and health information exchange (HIE) implementation, shown by research, publications, and active engagement in national health information technology organizations.</w:t>
      </w:r>
    </w:p>
    <w:p w14:paraId="0E40A3D2" w14:textId="5924F196" w:rsidR="003570B2" w:rsidRPr="00435CDA" w:rsidRDefault="003570B2" w:rsidP="003570B2">
      <w:r w:rsidRPr="00435CDA">
        <w:t>Data will be collected</w:t>
      </w:r>
      <w:r w:rsidR="00AD7B81">
        <w:t xml:space="preserve"> one-time</w:t>
      </w:r>
      <w:r w:rsidR="00891AD1">
        <w:t xml:space="preserve"> </w:t>
      </w:r>
      <w:r w:rsidRPr="00435CDA">
        <w:t>from</w:t>
      </w:r>
      <w:r w:rsidR="001E46EF">
        <w:t xml:space="preserve">15 HD epidemiologists and </w:t>
      </w:r>
      <w:r w:rsidRPr="00435CDA">
        <w:t xml:space="preserve">150 hospital and clinic staff in their official capacities using telephone interviews, limiting interviews to two hospitals and two clinics per </w:t>
      </w:r>
      <w:r w:rsidRPr="00435CDA">
        <w:lastRenderedPageBreak/>
        <w:t xml:space="preserve">state. </w:t>
      </w:r>
      <w:r w:rsidR="001E46EF">
        <w:t xml:space="preserve">HD epidemiologist will help identify the hospitals and clinics involved in the HAI fungal meningitis outbreak. </w:t>
      </w:r>
      <w:r w:rsidRPr="00435CDA">
        <w:t xml:space="preserve">Hospital participants include: infection </w:t>
      </w:r>
      <w:proofErr w:type="spellStart"/>
      <w:r w:rsidRPr="00435CDA">
        <w:t>preventionists</w:t>
      </w:r>
      <w:proofErr w:type="spellEnd"/>
      <w:r w:rsidRPr="00435CDA">
        <w:t xml:space="preserve">, informatics directors, and others as referred. Clinic participants include: clinic directors and others as referred.  Due to the variations in staff roles </w:t>
      </w:r>
      <w:r>
        <w:t xml:space="preserve">and titles </w:t>
      </w:r>
      <w:r w:rsidRPr="00435CDA">
        <w:t>in hospitals and clinics, this data collection builds a category for “others as referred” to include other important perspectives supporting HDs EHR access during an outbreak (for example, privacy officers, risk management specialists, patient record</w:t>
      </w:r>
      <w:r>
        <w:t>s</w:t>
      </w:r>
      <w:r w:rsidRPr="00435CDA">
        <w:t xml:space="preserve"> managers, and others).</w:t>
      </w:r>
    </w:p>
    <w:p w14:paraId="60D96862" w14:textId="77777777" w:rsidR="003570B2" w:rsidRPr="00435CDA" w:rsidRDefault="003570B2" w:rsidP="003570B2">
      <w:r w:rsidRPr="00435CDA">
        <w:t xml:space="preserve">Two staff roles were identified for interviews, one clinically-oriented and the other information technology-oriented, with corresponding interview guides (Appendix D for hospital infection </w:t>
      </w:r>
      <w:proofErr w:type="spellStart"/>
      <w:r w:rsidRPr="00435CDA">
        <w:t>preventionists</w:t>
      </w:r>
      <w:proofErr w:type="spellEnd"/>
      <w:r w:rsidRPr="00435CDA">
        <w:t xml:space="preserve"> or clinical directors or others as referred and Appendix E for informatics directors). Similar interview guides were used during phase I</w:t>
      </w:r>
      <w:r>
        <w:t xml:space="preserve"> (OMB 0920-0879)</w:t>
      </w:r>
      <w:r w:rsidRPr="00435CDA">
        <w:t xml:space="preserve">, which helped to refine the questions, probes, and estimated burden hours for this proposed data collection. </w:t>
      </w:r>
      <w:r>
        <w:t xml:space="preserve"> There are </w:t>
      </w:r>
      <w:r w:rsidRPr="00435CDA">
        <w:t>six overarching questions and related probes that focus questions to the role interviewed. The probes, specific to the role interviewed, serve as a guide for the interviewer should they need support and to ensure all project objectives are being collected; therefore, not all of the probes will be used in every interview. For example, question two asks interviewees:  “What has been your experience with the health department requesting, accessing, and using electronic health records in your healthcare facility?” The following list demonstrates how different probes will be used by the interviewer for the different roles to support the interview with the above question.</w:t>
      </w:r>
    </w:p>
    <w:p w14:paraId="0F86612E" w14:textId="77777777" w:rsidR="003570B2" w:rsidRPr="00435CDA" w:rsidRDefault="003570B2" w:rsidP="003570B2">
      <w:pPr>
        <w:pStyle w:val="ListParagraph"/>
        <w:numPr>
          <w:ilvl w:val="0"/>
          <w:numId w:val="4"/>
        </w:numPr>
        <w:spacing w:after="0"/>
        <w:ind w:left="720"/>
      </w:pPr>
      <w:r w:rsidRPr="00435CDA">
        <w:t xml:space="preserve">Infection </w:t>
      </w:r>
      <w:proofErr w:type="spellStart"/>
      <w:r w:rsidRPr="00435CDA">
        <w:t>preventionists</w:t>
      </w:r>
      <w:proofErr w:type="spellEnd"/>
      <w:r w:rsidRPr="00435CDA">
        <w:t>, clinic directors, and others as referred (such as privacy officers</w:t>
      </w:r>
      <w:r>
        <w:t>, risk</w:t>
      </w:r>
      <w:r w:rsidRPr="00435CDA">
        <w:t xml:space="preserve"> management specialists</w:t>
      </w:r>
      <w:r>
        <w:t>, or patient records managers</w:t>
      </w:r>
      <w:r w:rsidRPr="00435CDA">
        <w:t>) were likely the first point of contact in the healthcare facility.  The probes for this role focus on:</w:t>
      </w:r>
    </w:p>
    <w:p w14:paraId="314AD291" w14:textId="77777777" w:rsidR="003570B2" w:rsidRPr="00435CDA" w:rsidRDefault="003570B2" w:rsidP="003570B2">
      <w:pPr>
        <w:pStyle w:val="ListParagraph"/>
        <w:numPr>
          <w:ilvl w:val="1"/>
          <w:numId w:val="4"/>
        </w:numPr>
        <w:spacing w:after="0"/>
        <w:ind w:left="1440"/>
      </w:pPr>
      <w:r w:rsidRPr="00435CDA">
        <w:t>the interviewee’s role in providing the HD EHR access;</w:t>
      </w:r>
    </w:p>
    <w:p w14:paraId="1E7CC8A3" w14:textId="77777777" w:rsidR="003570B2" w:rsidRPr="00435CDA" w:rsidRDefault="003570B2" w:rsidP="003570B2">
      <w:pPr>
        <w:pStyle w:val="ListParagraph"/>
        <w:numPr>
          <w:ilvl w:val="1"/>
          <w:numId w:val="4"/>
        </w:numPr>
        <w:spacing w:after="0"/>
        <w:ind w:left="1440"/>
      </w:pPr>
      <w:r w:rsidRPr="00435CDA">
        <w:t>the manner of EHR access that the HD requested, needed, and received (on-site, remote, or other);</w:t>
      </w:r>
    </w:p>
    <w:p w14:paraId="3429E564" w14:textId="77777777" w:rsidR="003570B2" w:rsidRPr="00435CDA" w:rsidRDefault="003570B2" w:rsidP="003570B2">
      <w:pPr>
        <w:pStyle w:val="ListParagraph"/>
        <w:numPr>
          <w:ilvl w:val="1"/>
          <w:numId w:val="4"/>
        </w:numPr>
        <w:spacing w:after="0"/>
        <w:ind w:left="1440"/>
      </w:pPr>
      <w:r w:rsidRPr="00435CDA">
        <w:t>any differences across facilities;</w:t>
      </w:r>
    </w:p>
    <w:p w14:paraId="4651EE71" w14:textId="77777777" w:rsidR="003570B2" w:rsidRPr="00435CDA" w:rsidRDefault="003570B2" w:rsidP="003570B2">
      <w:pPr>
        <w:pStyle w:val="ListParagraph"/>
        <w:numPr>
          <w:ilvl w:val="1"/>
          <w:numId w:val="4"/>
        </w:numPr>
        <w:spacing w:after="0"/>
        <w:ind w:left="1440"/>
      </w:pPr>
      <w:r w:rsidRPr="00435CDA">
        <w:t>factors that facilitated or hindered EHR access during the investigation; and</w:t>
      </w:r>
    </w:p>
    <w:p w14:paraId="503538F8" w14:textId="77777777" w:rsidR="003570B2" w:rsidRPr="00435CDA" w:rsidRDefault="003570B2" w:rsidP="003570B2">
      <w:pPr>
        <w:pStyle w:val="ListParagraph"/>
        <w:numPr>
          <w:ilvl w:val="1"/>
          <w:numId w:val="4"/>
        </w:numPr>
        <w:spacing w:after="0"/>
        <w:ind w:left="1440"/>
      </w:pPr>
      <w:r w:rsidRPr="00435CDA">
        <w:t>the facility’s relationship with the HD before, during, and after granting EHR access</w:t>
      </w:r>
    </w:p>
    <w:p w14:paraId="24D76CB8" w14:textId="77777777" w:rsidR="003570B2" w:rsidRPr="00435CDA" w:rsidRDefault="003570B2" w:rsidP="003570B2">
      <w:pPr>
        <w:pStyle w:val="ListParagraph"/>
        <w:numPr>
          <w:ilvl w:val="0"/>
          <w:numId w:val="4"/>
        </w:numPr>
        <w:spacing w:after="0"/>
        <w:ind w:left="720"/>
      </w:pPr>
      <w:r w:rsidRPr="00435CDA">
        <w:t>Informatics Directors and others as referred were likely to be involved in the technological aspects of EHR access. The probes for this role focus on:</w:t>
      </w:r>
    </w:p>
    <w:p w14:paraId="77729486" w14:textId="77777777" w:rsidR="003570B2" w:rsidRPr="00435CDA" w:rsidRDefault="003570B2" w:rsidP="003570B2">
      <w:pPr>
        <w:pStyle w:val="ListParagraph"/>
        <w:numPr>
          <w:ilvl w:val="1"/>
          <w:numId w:val="4"/>
        </w:numPr>
        <w:spacing w:after="0"/>
        <w:ind w:left="1440"/>
      </w:pPr>
      <w:r w:rsidRPr="00435CDA">
        <w:t>technological expertise they provided to HDs;</w:t>
      </w:r>
    </w:p>
    <w:p w14:paraId="01B8D60A" w14:textId="77777777" w:rsidR="003570B2" w:rsidRPr="00435CDA" w:rsidRDefault="003570B2" w:rsidP="003570B2">
      <w:pPr>
        <w:pStyle w:val="ListParagraph"/>
        <w:numPr>
          <w:ilvl w:val="1"/>
          <w:numId w:val="4"/>
        </w:numPr>
        <w:spacing w:after="0"/>
        <w:ind w:left="1440"/>
      </w:pPr>
      <w:r w:rsidRPr="00435CDA">
        <w:t>any differences across facilities; and</w:t>
      </w:r>
    </w:p>
    <w:p w14:paraId="2AF7ECC4" w14:textId="77777777" w:rsidR="003570B2" w:rsidRDefault="003570B2" w:rsidP="003570B2">
      <w:pPr>
        <w:pStyle w:val="ListParagraph"/>
        <w:numPr>
          <w:ilvl w:val="1"/>
          <w:numId w:val="4"/>
        </w:numPr>
        <w:spacing w:after="0"/>
        <w:ind w:left="1440"/>
      </w:pPr>
      <w:proofErr w:type="gramStart"/>
      <w:r w:rsidRPr="00435CDA">
        <w:t>experiences</w:t>
      </w:r>
      <w:proofErr w:type="gramEnd"/>
      <w:r w:rsidRPr="00435CDA">
        <w:t xml:space="preserve"> with different kinds of access (on-site, remote, or other) and technological barriers.</w:t>
      </w:r>
    </w:p>
    <w:p w14:paraId="3B597467" w14:textId="77777777" w:rsidR="00395E1A" w:rsidRDefault="00395E1A" w:rsidP="00B17A0B">
      <w:pPr>
        <w:spacing w:after="0"/>
      </w:pPr>
    </w:p>
    <w:p w14:paraId="556F9550" w14:textId="77777777" w:rsidR="00395E1A" w:rsidRDefault="00395E1A" w:rsidP="00B17A0B">
      <w:pPr>
        <w:spacing w:after="0"/>
      </w:pPr>
    </w:p>
    <w:p w14:paraId="34C00D2F" w14:textId="77777777" w:rsidR="00395E1A" w:rsidRDefault="00395E1A" w:rsidP="00B17A0B">
      <w:pPr>
        <w:spacing w:after="0"/>
      </w:pPr>
    </w:p>
    <w:p w14:paraId="46C685DC" w14:textId="77777777" w:rsidR="00395E1A" w:rsidRPr="00435CDA" w:rsidRDefault="00395E1A" w:rsidP="00B17A0B">
      <w:pPr>
        <w:spacing w:after="0"/>
      </w:pPr>
    </w:p>
    <w:p w14:paraId="413832F2" w14:textId="77777777" w:rsidR="000319CD" w:rsidRDefault="000319CD" w:rsidP="003641E1">
      <w:pPr>
        <w:spacing w:after="0" w:line="240" w:lineRule="auto"/>
        <w:rPr>
          <w:color w:val="000000"/>
        </w:rPr>
      </w:pPr>
    </w:p>
    <w:p w14:paraId="6B83DB67" w14:textId="77777777" w:rsidR="0042242D" w:rsidRPr="00435CDA" w:rsidRDefault="0042242D" w:rsidP="003641E1">
      <w:pPr>
        <w:spacing w:after="0" w:line="240" w:lineRule="auto"/>
        <w:rPr>
          <w:color w:val="000000"/>
        </w:rPr>
      </w:pPr>
    </w:p>
    <w:p w14:paraId="748D6A77" w14:textId="1E21A4F8" w:rsidR="00764293" w:rsidRPr="00764293" w:rsidRDefault="005A59E5" w:rsidP="00764293">
      <w:pPr>
        <w:pStyle w:val="Heading3"/>
        <w:numPr>
          <w:ilvl w:val="0"/>
          <w:numId w:val="34"/>
        </w:numPr>
        <w:rPr>
          <w:color w:val="auto"/>
        </w:rPr>
      </w:pPr>
      <w:bookmarkStart w:id="15" w:name="_Toc412038047"/>
      <w:r w:rsidRPr="00764293">
        <w:rPr>
          <w:color w:val="auto"/>
        </w:rPr>
        <w:lastRenderedPageBreak/>
        <w:t>Estimated Annualized Burden Hours to Respondents</w:t>
      </w:r>
      <w:bookmarkEnd w:id="15"/>
    </w:p>
    <w:p w14:paraId="062B3240" w14:textId="77777777" w:rsidR="00764293" w:rsidRDefault="00764293" w:rsidP="00764293">
      <w:pPr>
        <w:spacing w:after="0" w:line="240" w:lineRule="auto"/>
      </w:pPr>
    </w:p>
    <w:tbl>
      <w:tblPr>
        <w:tblW w:w="4998" w:type="pct"/>
        <w:tblInd w:w="-360" w:type="dxa"/>
        <w:tblLayout w:type="fixed"/>
        <w:tblLook w:val="04A0" w:firstRow="1" w:lastRow="0" w:firstColumn="1" w:lastColumn="0" w:noHBand="0" w:noVBand="1"/>
      </w:tblPr>
      <w:tblGrid>
        <w:gridCol w:w="2547"/>
        <w:gridCol w:w="1502"/>
        <w:gridCol w:w="1501"/>
        <w:gridCol w:w="1495"/>
        <w:gridCol w:w="1478"/>
        <w:gridCol w:w="1049"/>
      </w:tblGrid>
      <w:tr w:rsidR="005A495B" w:rsidRPr="00435CDA" w14:paraId="6B59FBD8" w14:textId="11ABE5F1" w:rsidTr="00B17A0B">
        <w:trPr>
          <w:trHeight w:val="808"/>
        </w:trPr>
        <w:tc>
          <w:tcPr>
            <w:tcW w:w="1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CE637C" w14:textId="77777777" w:rsidR="005A495B" w:rsidRPr="00435CDA" w:rsidRDefault="005A495B">
            <w:pPr>
              <w:spacing w:after="0" w:line="240" w:lineRule="auto"/>
              <w:jc w:val="center"/>
              <w:rPr>
                <w:rFonts w:eastAsia="Times New Roman" w:cs="Times New Roman"/>
                <w:b/>
                <w:bCs/>
                <w:color w:val="000000"/>
              </w:rPr>
            </w:pPr>
            <w:r w:rsidRPr="00435CDA">
              <w:rPr>
                <w:rFonts w:eastAsia="Times New Roman" w:cs="Times New Roman"/>
                <w:b/>
                <w:bCs/>
                <w:color w:val="000000"/>
              </w:rPr>
              <w:t>Type of Respondent</w:t>
            </w:r>
          </w:p>
        </w:tc>
        <w:tc>
          <w:tcPr>
            <w:tcW w:w="784" w:type="pct"/>
            <w:tcBorders>
              <w:top w:val="single" w:sz="4" w:space="0" w:color="auto"/>
              <w:left w:val="nil"/>
              <w:bottom w:val="single" w:sz="4" w:space="0" w:color="auto"/>
              <w:right w:val="single" w:sz="4" w:space="0" w:color="auto"/>
            </w:tcBorders>
            <w:shd w:val="clear" w:color="auto" w:fill="D9D9D9"/>
            <w:vAlign w:val="center"/>
          </w:tcPr>
          <w:p w14:paraId="12A24E36" w14:textId="0079D501" w:rsidR="005A495B" w:rsidRPr="00435CDA" w:rsidRDefault="005A495B" w:rsidP="00B17A0B">
            <w:pPr>
              <w:spacing w:after="0" w:line="240" w:lineRule="auto"/>
              <w:rPr>
                <w:rFonts w:eastAsia="Times New Roman" w:cs="Times New Roman"/>
                <w:b/>
                <w:bCs/>
                <w:color w:val="000000"/>
              </w:rPr>
            </w:pPr>
            <w:r>
              <w:rPr>
                <w:rFonts w:eastAsia="Times New Roman" w:cs="Times New Roman"/>
                <w:b/>
                <w:bCs/>
                <w:color w:val="000000"/>
              </w:rPr>
              <w:t>Form Name</w:t>
            </w:r>
          </w:p>
        </w:tc>
        <w:tc>
          <w:tcPr>
            <w:tcW w:w="7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CB55EC" w14:textId="10C93927" w:rsidR="005A495B" w:rsidRPr="00435CDA" w:rsidRDefault="005A495B">
            <w:pPr>
              <w:spacing w:after="0" w:line="240" w:lineRule="auto"/>
              <w:jc w:val="center"/>
              <w:rPr>
                <w:rFonts w:eastAsia="Times New Roman" w:cs="Times New Roman"/>
                <w:b/>
                <w:bCs/>
                <w:color w:val="000000"/>
              </w:rPr>
            </w:pPr>
            <w:r w:rsidRPr="00435CDA">
              <w:rPr>
                <w:rFonts w:eastAsia="Times New Roman" w:cs="Times New Roman"/>
                <w:b/>
                <w:bCs/>
                <w:color w:val="000000"/>
              </w:rPr>
              <w:t>No. of Respondents</w:t>
            </w:r>
          </w:p>
        </w:tc>
        <w:tc>
          <w:tcPr>
            <w:tcW w:w="781" w:type="pct"/>
            <w:tcBorders>
              <w:top w:val="single" w:sz="4" w:space="0" w:color="auto"/>
              <w:left w:val="nil"/>
              <w:bottom w:val="single" w:sz="4" w:space="0" w:color="auto"/>
              <w:right w:val="single" w:sz="4" w:space="0" w:color="auto"/>
            </w:tcBorders>
            <w:shd w:val="clear" w:color="auto" w:fill="D9D9D9"/>
            <w:vAlign w:val="center"/>
            <w:hideMark/>
          </w:tcPr>
          <w:p w14:paraId="71AC42AE" w14:textId="77777777" w:rsidR="005A495B" w:rsidRPr="00435CDA" w:rsidRDefault="005A495B">
            <w:pPr>
              <w:spacing w:after="0" w:line="240" w:lineRule="auto"/>
              <w:jc w:val="center"/>
              <w:rPr>
                <w:rFonts w:eastAsia="Times New Roman" w:cs="Times New Roman"/>
                <w:b/>
                <w:bCs/>
                <w:color w:val="000000"/>
              </w:rPr>
            </w:pPr>
            <w:r w:rsidRPr="00435CDA">
              <w:rPr>
                <w:rFonts w:eastAsia="Times New Roman" w:cs="Times New Roman"/>
                <w:b/>
                <w:bCs/>
                <w:color w:val="000000"/>
              </w:rPr>
              <w:t>No. of Responses per Respondent</w:t>
            </w:r>
          </w:p>
        </w:tc>
        <w:tc>
          <w:tcPr>
            <w:tcW w:w="772" w:type="pct"/>
            <w:tcBorders>
              <w:top w:val="single" w:sz="4" w:space="0" w:color="auto"/>
              <w:left w:val="nil"/>
              <w:bottom w:val="single" w:sz="4" w:space="0" w:color="auto"/>
              <w:right w:val="single" w:sz="4" w:space="0" w:color="auto"/>
            </w:tcBorders>
            <w:shd w:val="clear" w:color="auto" w:fill="D9D9D9"/>
            <w:vAlign w:val="center"/>
            <w:hideMark/>
          </w:tcPr>
          <w:p w14:paraId="78870877" w14:textId="77777777" w:rsidR="005A495B" w:rsidRPr="00435CDA" w:rsidRDefault="005A495B">
            <w:pPr>
              <w:spacing w:after="0" w:line="240" w:lineRule="auto"/>
              <w:jc w:val="center"/>
              <w:rPr>
                <w:rFonts w:eastAsia="Times New Roman" w:cs="Times New Roman"/>
                <w:b/>
                <w:bCs/>
                <w:color w:val="000000"/>
              </w:rPr>
            </w:pPr>
            <w:r w:rsidRPr="00435CDA">
              <w:rPr>
                <w:rFonts w:eastAsia="Times New Roman" w:cs="Times New Roman"/>
                <w:b/>
                <w:bCs/>
                <w:color w:val="000000"/>
              </w:rPr>
              <w:t>Average Burden per Response (in hours)</w:t>
            </w:r>
          </w:p>
        </w:tc>
        <w:tc>
          <w:tcPr>
            <w:tcW w:w="548" w:type="pct"/>
            <w:tcBorders>
              <w:top w:val="single" w:sz="4" w:space="0" w:color="auto"/>
              <w:left w:val="nil"/>
              <w:bottom w:val="single" w:sz="4" w:space="0" w:color="auto"/>
              <w:right w:val="single" w:sz="4" w:space="0" w:color="auto"/>
            </w:tcBorders>
            <w:shd w:val="clear" w:color="auto" w:fill="D9D9D9"/>
            <w:vAlign w:val="center"/>
            <w:hideMark/>
          </w:tcPr>
          <w:p w14:paraId="6F5CB5CA" w14:textId="77777777" w:rsidR="005A495B" w:rsidRPr="00435CDA" w:rsidRDefault="005A495B">
            <w:pPr>
              <w:spacing w:after="0" w:line="240" w:lineRule="auto"/>
              <w:jc w:val="center"/>
              <w:rPr>
                <w:rFonts w:eastAsia="Times New Roman" w:cs="Times New Roman"/>
                <w:b/>
                <w:bCs/>
                <w:color w:val="000000"/>
              </w:rPr>
            </w:pPr>
            <w:r w:rsidRPr="00435CDA">
              <w:rPr>
                <w:rFonts w:eastAsia="Times New Roman" w:cs="Times New Roman"/>
                <w:b/>
                <w:bCs/>
                <w:color w:val="000000"/>
              </w:rPr>
              <w:t>Total Burden Hours</w:t>
            </w:r>
          </w:p>
        </w:tc>
      </w:tr>
      <w:tr w:rsidR="005A495B" w:rsidRPr="00435CDA" w14:paraId="4E890024" w14:textId="5F1C6999" w:rsidTr="00B17A0B">
        <w:trPr>
          <w:trHeight w:val="554"/>
        </w:trPr>
        <w:tc>
          <w:tcPr>
            <w:tcW w:w="1330" w:type="pct"/>
            <w:tcBorders>
              <w:top w:val="single" w:sz="4" w:space="0" w:color="auto"/>
              <w:left w:val="single" w:sz="4" w:space="0" w:color="auto"/>
              <w:bottom w:val="single" w:sz="4" w:space="0" w:color="auto"/>
              <w:right w:val="single" w:sz="4" w:space="0" w:color="auto"/>
            </w:tcBorders>
            <w:vAlign w:val="center"/>
          </w:tcPr>
          <w:p w14:paraId="427C71DB" w14:textId="6DC23093" w:rsidR="005A495B" w:rsidRPr="00435CDA" w:rsidRDefault="005A495B" w:rsidP="0038398A">
            <w:pPr>
              <w:spacing w:after="0" w:line="240" w:lineRule="auto"/>
              <w:rPr>
                <w:rFonts w:eastAsia="Times New Roman" w:cs="Times New Roman"/>
                <w:color w:val="000000"/>
              </w:rPr>
            </w:pPr>
            <w:r>
              <w:rPr>
                <w:rFonts w:eastAsia="Times New Roman" w:cs="Times New Roman"/>
                <w:color w:val="000000"/>
              </w:rPr>
              <w:t>HD Epidemiologist</w:t>
            </w:r>
          </w:p>
        </w:tc>
        <w:tc>
          <w:tcPr>
            <w:tcW w:w="784" w:type="pct"/>
            <w:tcBorders>
              <w:top w:val="single" w:sz="4" w:space="0" w:color="auto"/>
              <w:left w:val="nil"/>
              <w:bottom w:val="single" w:sz="4" w:space="0" w:color="auto"/>
              <w:right w:val="single" w:sz="4" w:space="0" w:color="auto"/>
            </w:tcBorders>
            <w:vAlign w:val="center"/>
          </w:tcPr>
          <w:p w14:paraId="304975EF" w14:textId="2C680F0D" w:rsidR="005A495B" w:rsidRDefault="005A495B" w:rsidP="00B17A0B">
            <w:pPr>
              <w:spacing w:after="0" w:line="240" w:lineRule="auto"/>
              <w:rPr>
                <w:rFonts w:eastAsia="Times New Roman" w:cs="Times New Roman"/>
                <w:color w:val="000000"/>
              </w:rPr>
            </w:pPr>
            <w:r>
              <w:rPr>
                <w:rFonts w:eastAsia="Times New Roman" w:cs="Times New Roman"/>
                <w:color w:val="000000"/>
              </w:rPr>
              <w:t xml:space="preserve">Appendix G </w:t>
            </w:r>
          </w:p>
        </w:tc>
        <w:tc>
          <w:tcPr>
            <w:tcW w:w="784" w:type="pct"/>
            <w:tcBorders>
              <w:top w:val="single" w:sz="4" w:space="0" w:color="auto"/>
              <w:left w:val="single" w:sz="4" w:space="0" w:color="auto"/>
              <w:bottom w:val="single" w:sz="4" w:space="0" w:color="auto"/>
              <w:right w:val="single" w:sz="4" w:space="0" w:color="auto"/>
            </w:tcBorders>
            <w:noWrap/>
            <w:vAlign w:val="center"/>
          </w:tcPr>
          <w:p w14:paraId="3B28B327" w14:textId="779F2B35" w:rsidR="005A495B" w:rsidRPr="00435CDA" w:rsidRDefault="005A495B" w:rsidP="00395E1A">
            <w:pPr>
              <w:spacing w:after="0" w:line="240" w:lineRule="auto"/>
              <w:jc w:val="center"/>
              <w:rPr>
                <w:rFonts w:eastAsia="Times New Roman" w:cs="Times New Roman"/>
                <w:color w:val="000000"/>
              </w:rPr>
            </w:pPr>
            <w:r>
              <w:rPr>
                <w:rFonts w:eastAsia="Times New Roman" w:cs="Times New Roman"/>
                <w:color w:val="000000"/>
              </w:rPr>
              <w:t>15</w:t>
            </w:r>
          </w:p>
        </w:tc>
        <w:tc>
          <w:tcPr>
            <w:tcW w:w="781" w:type="pct"/>
            <w:tcBorders>
              <w:top w:val="single" w:sz="4" w:space="0" w:color="auto"/>
              <w:left w:val="single" w:sz="4" w:space="0" w:color="auto"/>
              <w:bottom w:val="single" w:sz="4" w:space="0" w:color="auto"/>
              <w:right w:val="single" w:sz="4" w:space="0" w:color="auto"/>
            </w:tcBorders>
            <w:noWrap/>
            <w:vAlign w:val="center"/>
          </w:tcPr>
          <w:p w14:paraId="236DBBC8" w14:textId="4D8E4EF6" w:rsidR="005A495B" w:rsidRPr="00435CDA" w:rsidRDefault="005A495B" w:rsidP="002908A0">
            <w:pPr>
              <w:spacing w:after="0" w:line="240" w:lineRule="auto"/>
              <w:jc w:val="center"/>
              <w:rPr>
                <w:rFonts w:eastAsia="Times New Roman" w:cs="Times New Roman"/>
                <w:color w:val="000000"/>
              </w:rPr>
            </w:pPr>
            <w:r>
              <w:rPr>
                <w:rFonts w:eastAsia="Times New Roman" w:cs="Times New Roman"/>
                <w:color w:val="000000"/>
              </w:rPr>
              <w:t>1</w:t>
            </w:r>
          </w:p>
        </w:tc>
        <w:tc>
          <w:tcPr>
            <w:tcW w:w="772" w:type="pct"/>
            <w:tcBorders>
              <w:top w:val="single" w:sz="4" w:space="0" w:color="auto"/>
              <w:left w:val="nil"/>
              <w:right w:val="single" w:sz="4" w:space="0" w:color="auto"/>
            </w:tcBorders>
            <w:noWrap/>
            <w:vAlign w:val="center"/>
          </w:tcPr>
          <w:p w14:paraId="43C9AE9D" w14:textId="511D57E8" w:rsidR="005A495B" w:rsidRPr="00435CDA" w:rsidRDefault="005A495B">
            <w:pPr>
              <w:spacing w:after="0" w:line="240" w:lineRule="auto"/>
              <w:jc w:val="center"/>
              <w:rPr>
                <w:rFonts w:eastAsia="Times New Roman" w:cs="Times New Roman"/>
                <w:color w:val="000000"/>
              </w:rPr>
            </w:pPr>
            <w:r>
              <w:rPr>
                <w:rFonts w:eastAsia="Times New Roman" w:cs="Times New Roman"/>
                <w:color w:val="000000"/>
              </w:rPr>
              <w:t>60/60</w:t>
            </w:r>
          </w:p>
        </w:tc>
        <w:tc>
          <w:tcPr>
            <w:tcW w:w="548" w:type="pct"/>
            <w:tcBorders>
              <w:top w:val="single" w:sz="4" w:space="0" w:color="auto"/>
              <w:left w:val="nil"/>
              <w:bottom w:val="single" w:sz="4" w:space="0" w:color="auto"/>
              <w:right w:val="single" w:sz="4" w:space="0" w:color="auto"/>
            </w:tcBorders>
            <w:noWrap/>
            <w:vAlign w:val="center"/>
          </w:tcPr>
          <w:p w14:paraId="2B3C9766" w14:textId="67782255" w:rsidR="005A495B" w:rsidRPr="00435CDA" w:rsidRDefault="005A495B">
            <w:pPr>
              <w:spacing w:after="0" w:line="240" w:lineRule="auto"/>
              <w:jc w:val="center"/>
              <w:rPr>
                <w:rFonts w:eastAsia="Times New Roman" w:cs="Times New Roman"/>
                <w:color w:val="000000"/>
              </w:rPr>
            </w:pPr>
            <w:r>
              <w:rPr>
                <w:rFonts w:eastAsia="Times New Roman" w:cs="Times New Roman"/>
                <w:color w:val="000000"/>
              </w:rPr>
              <w:t>15</w:t>
            </w:r>
          </w:p>
        </w:tc>
      </w:tr>
      <w:tr w:rsidR="005A495B" w:rsidRPr="00435CDA" w14:paraId="55CFABA9" w14:textId="495C24A6" w:rsidTr="00B17A0B">
        <w:trPr>
          <w:trHeight w:val="317"/>
        </w:trPr>
        <w:tc>
          <w:tcPr>
            <w:tcW w:w="1330" w:type="pct"/>
            <w:tcBorders>
              <w:top w:val="single" w:sz="4" w:space="0" w:color="auto"/>
              <w:left w:val="single" w:sz="4" w:space="0" w:color="auto"/>
              <w:bottom w:val="single" w:sz="4" w:space="0" w:color="auto"/>
              <w:right w:val="single" w:sz="4" w:space="0" w:color="auto"/>
            </w:tcBorders>
            <w:vAlign w:val="center"/>
            <w:hideMark/>
          </w:tcPr>
          <w:p w14:paraId="761F89C6" w14:textId="77777777" w:rsidR="005A495B" w:rsidRPr="00435CDA" w:rsidRDefault="005A495B">
            <w:pPr>
              <w:spacing w:after="0" w:line="240" w:lineRule="auto"/>
              <w:rPr>
                <w:rFonts w:eastAsia="Times New Roman" w:cs="Times New Roman"/>
                <w:color w:val="000000"/>
              </w:rPr>
            </w:pPr>
            <w:r w:rsidRPr="00435CDA">
              <w:rPr>
                <w:rFonts w:eastAsia="Times New Roman" w:cs="Times New Roman"/>
                <w:color w:val="000000"/>
              </w:rPr>
              <w:t xml:space="preserve">Infection </w:t>
            </w:r>
            <w:proofErr w:type="spellStart"/>
            <w:r w:rsidRPr="00435CDA">
              <w:rPr>
                <w:rFonts w:eastAsia="Times New Roman" w:cs="Times New Roman"/>
                <w:color w:val="000000"/>
              </w:rPr>
              <w:t>Preventionist</w:t>
            </w:r>
            <w:proofErr w:type="spellEnd"/>
          </w:p>
        </w:tc>
        <w:tc>
          <w:tcPr>
            <w:tcW w:w="784" w:type="pct"/>
            <w:tcBorders>
              <w:top w:val="single" w:sz="4" w:space="0" w:color="auto"/>
              <w:left w:val="nil"/>
              <w:bottom w:val="single" w:sz="4" w:space="0" w:color="auto"/>
              <w:right w:val="single" w:sz="4" w:space="0" w:color="auto"/>
            </w:tcBorders>
            <w:vAlign w:val="center"/>
          </w:tcPr>
          <w:p w14:paraId="222CCC51" w14:textId="62EE5C2D" w:rsidR="005A495B" w:rsidRPr="00435CDA" w:rsidRDefault="005A495B" w:rsidP="00B17A0B">
            <w:pPr>
              <w:spacing w:after="0" w:line="240" w:lineRule="auto"/>
              <w:rPr>
                <w:rFonts w:eastAsia="Times New Roman" w:cs="Times New Roman"/>
                <w:color w:val="000000"/>
              </w:rPr>
            </w:pPr>
            <w:r>
              <w:rPr>
                <w:rFonts w:eastAsia="Times New Roman" w:cs="Times New Roman"/>
                <w:color w:val="000000"/>
              </w:rPr>
              <w:t>Appendix D</w:t>
            </w:r>
          </w:p>
        </w:tc>
        <w:tc>
          <w:tcPr>
            <w:tcW w:w="784" w:type="pct"/>
            <w:tcBorders>
              <w:top w:val="single" w:sz="4" w:space="0" w:color="auto"/>
              <w:left w:val="single" w:sz="4" w:space="0" w:color="auto"/>
              <w:bottom w:val="single" w:sz="4" w:space="0" w:color="auto"/>
              <w:right w:val="single" w:sz="4" w:space="0" w:color="auto"/>
            </w:tcBorders>
            <w:noWrap/>
            <w:vAlign w:val="bottom"/>
            <w:hideMark/>
          </w:tcPr>
          <w:p w14:paraId="32F557F5" w14:textId="0D3E1809"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781" w:type="pct"/>
            <w:tcBorders>
              <w:top w:val="single" w:sz="4" w:space="0" w:color="auto"/>
              <w:left w:val="single" w:sz="4" w:space="0" w:color="auto"/>
              <w:bottom w:val="single" w:sz="4" w:space="0" w:color="auto"/>
              <w:right w:val="single" w:sz="4" w:space="0" w:color="auto"/>
            </w:tcBorders>
            <w:noWrap/>
            <w:vAlign w:val="center"/>
            <w:hideMark/>
          </w:tcPr>
          <w:p w14:paraId="093C228E" w14:textId="77777777" w:rsidR="005A495B" w:rsidRPr="00435CDA" w:rsidRDefault="005A495B" w:rsidP="004300FC">
            <w:pPr>
              <w:spacing w:after="0" w:line="240" w:lineRule="auto"/>
              <w:jc w:val="center"/>
              <w:rPr>
                <w:rFonts w:eastAsia="Times New Roman" w:cs="Times New Roman"/>
                <w:color w:val="000000"/>
              </w:rPr>
            </w:pPr>
            <w:r w:rsidRPr="00435CDA">
              <w:rPr>
                <w:rFonts w:eastAsia="Times New Roman" w:cs="Times New Roman"/>
                <w:color w:val="000000"/>
              </w:rPr>
              <w:t>1</w:t>
            </w:r>
          </w:p>
        </w:tc>
        <w:tc>
          <w:tcPr>
            <w:tcW w:w="772" w:type="pct"/>
            <w:vMerge w:val="restart"/>
            <w:tcBorders>
              <w:top w:val="single" w:sz="4" w:space="0" w:color="auto"/>
              <w:left w:val="nil"/>
              <w:right w:val="single" w:sz="4" w:space="0" w:color="auto"/>
            </w:tcBorders>
            <w:noWrap/>
            <w:vAlign w:val="center"/>
            <w:hideMark/>
          </w:tcPr>
          <w:p w14:paraId="63065F2D" w14:textId="77777777"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30/60</w:t>
            </w:r>
          </w:p>
          <w:p w14:paraId="067E2707" w14:textId="77777777" w:rsidR="005A495B" w:rsidRPr="00435CDA" w:rsidRDefault="005A495B" w:rsidP="00F35743">
            <w:pPr>
              <w:spacing w:after="0" w:line="240" w:lineRule="auto"/>
              <w:jc w:val="center"/>
              <w:rPr>
                <w:rFonts w:eastAsia="Times New Roman" w:cs="Times New Roman"/>
                <w:color w:val="000000"/>
              </w:rPr>
            </w:pPr>
          </w:p>
          <w:p w14:paraId="30ABFDAD" w14:textId="77777777" w:rsidR="005A495B" w:rsidRPr="00435CDA" w:rsidRDefault="005A495B" w:rsidP="00F35743">
            <w:pPr>
              <w:spacing w:after="0" w:line="240" w:lineRule="auto"/>
              <w:jc w:val="center"/>
              <w:rPr>
                <w:rFonts w:eastAsia="Times New Roman" w:cs="Times New Roman"/>
                <w:color w:val="000000"/>
              </w:rPr>
            </w:pPr>
          </w:p>
        </w:tc>
        <w:tc>
          <w:tcPr>
            <w:tcW w:w="548" w:type="pct"/>
            <w:tcBorders>
              <w:top w:val="single" w:sz="4" w:space="0" w:color="auto"/>
              <w:left w:val="nil"/>
              <w:bottom w:val="single" w:sz="4" w:space="0" w:color="auto"/>
              <w:right w:val="single" w:sz="4" w:space="0" w:color="auto"/>
            </w:tcBorders>
            <w:noWrap/>
            <w:vAlign w:val="center"/>
          </w:tcPr>
          <w:p w14:paraId="512FB049" w14:textId="77777777"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15</w:t>
            </w:r>
          </w:p>
        </w:tc>
      </w:tr>
      <w:tr w:rsidR="005A495B" w:rsidRPr="00435CDA" w14:paraId="79BAD253" w14:textId="0ECD81EB" w:rsidTr="00B17A0B">
        <w:trPr>
          <w:trHeight w:val="317"/>
        </w:trPr>
        <w:tc>
          <w:tcPr>
            <w:tcW w:w="1330" w:type="pct"/>
            <w:tcBorders>
              <w:top w:val="nil"/>
              <w:left w:val="single" w:sz="4" w:space="0" w:color="auto"/>
              <w:bottom w:val="single" w:sz="4" w:space="0" w:color="auto"/>
              <w:right w:val="single" w:sz="4" w:space="0" w:color="auto"/>
            </w:tcBorders>
            <w:vAlign w:val="center"/>
            <w:hideMark/>
          </w:tcPr>
          <w:p w14:paraId="1AF94857" w14:textId="77777777" w:rsidR="005A495B" w:rsidRPr="00435CDA" w:rsidRDefault="005A495B">
            <w:pPr>
              <w:spacing w:after="0" w:line="240" w:lineRule="auto"/>
              <w:rPr>
                <w:rFonts w:eastAsia="Times New Roman" w:cs="Times New Roman"/>
                <w:color w:val="000000"/>
              </w:rPr>
            </w:pPr>
            <w:r w:rsidRPr="00435CDA">
              <w:rPr>
                <w:rFonts w:eastAsia="Times New Roman" w:cs="Times New Roman"/>
                <w:color w:val="000000"/>
              </w:rPr>
              <w:t>Informatics Director</w:t>
            </w:r>
          </w:p>
        </w:tc>
        <w:tc>
          <w:tcPr>
            <w:tcW w:w="784" w:type="pct"/>
            <w:tcBorders>
              <w:top w:val="single" w:sz="4" w:space="0" w:color="auto"/>
              <w:left w:val="nil"/>
              <w:bottom w:val="single" w:sz="4" w:space="0" w:color="auto"/>
              <w:right w:val="single" w:sz="4" w:space="0" w:color="auto"/>
            </w:tcBorders>
            <w:vAlign w:val="center"/>
          </w:tcPr>
          <w:p w14:paraId="3F84D0CC" w14:textId="6D532035" w:rsidR="005A495B" w:rsidRPr="00435CDA" w:rsidRDefault="005A495B" w:rsidP="00B17A0B">
            <w:pPr>
              <w:spacing w:after="0" w:line="240" w:lineRule="auto"/>
              <w:rPr>
                <w:rFonts w:eastAsia="Times New Roman" w:cs="Times New Roman"/>
                <w:color w:val="000000"/>
              </w:rPr>
            </w:pPr>
            <w:r>
              <w:rPr>
                <w:rFonts w:eastAsia="Times New Roman" w:cs="Times New Roman"/>
                <w:color w:val="000000"/>
              </w:rPr>
              <w:t>Appendix E</w:t>
            </w:r>
          </w:p>
        </w:tc>
        <w:tc>
          <w:tcPr>
            <w:tcW w:w="784" w:type="pct"/>
            <w:tcBorders>
              <w:top w:val="nil"/>
              <w:left w:val="single" w:sz="4" w:space="0" w:color="auto"/>
              <w:bottom w:val="single" w:sz="4" w:space="0" w:color="auto"/>
              <w:right w:val="single" w:sz="4" w:space="0" w:color="auto"/>
            </w:tcBorders>
            <w:noWrap/>
            <w:vAlign w:val="bottom"/>
            <w:hideMark/>
          </w:tcPr>
          <w:p w14:paraId="6858F231" w14:textId="2BA6F800"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781" w:type="pct"/>
            <w:tcBorders>
              <w:top w:val="single" w:sz="4" w:space="0" w:color="auto"/>
              <w:left w:val="single" w:sz="4" w:space="0" w:color="auto"/>
              <w:bottom w:val="single" w:sz="4" w:space="0" w:color="auto"/>
              <w:right w:val="single" w:sz="4" w:space="0" w:color="auto"/>
            </w:tcBorders>
            <w:vAlign w:val="center"/>
            <w:hideMark/>
          </w:tcPr>
          <w:p w14:paraId="375031AB" w14:textId="465D39A4" w:rsidR="005A495B" w:rsidRPr="00435CDA" w:rsidRDefault="005A495B" w:rsidP="004300FC">
            <w:pPr>
              <w:spacing w:after="0" w:line="240" w:lineRule="auto"/>
              <w:jc w:val="center"/>
              <w:rPr>
                <w:rFonts w:eastAsia="Times New Roman" w:cs="Times New Roman"/>
                <w:color w:val="000000"/>
              </w:rPr>
            </w:pPr>
            <w:r w:rsidRPr="00435CDA">
              <w:rPr>
                <w:rFonts w:eastAsia="Times New Roman" w:cs="Times New Roman"/>
                <w:color w:val="000000"/>
              </w:rPr>
              <w:t>1</w:t>
            </w:r>
          </w:p>
        </w:tc>
        <w:tc>
          <w:tcPr>
            <w:tcW w:w="772" w:type="pct"/>
            <w:vMerge/>
            <w:tcBorders>
              <w:left w:val="nil"/>
              <w:right w:val="single" w:sz="4" w:space="0" w:color="auto"/>
            </w:tcBorders>
            <w:noWrap/>
            <w:vAlign w:val="center"/>
            <w:hideMark/>
          </w:tcPr>
          <w:p w14:paraId="1A8E4E3B" w14:textId="77777777" w:rsidR="005A495B" w:rsidRPr="00435CDA" w:rsidRDefault="005A495B" w:rsidP="00F35743">
            <w:pPr>
              <w:spacing w:after="0" w:line="240" w:lineRule="auto"/>
              <w:jc w:val="center"/>
              <w:rPr>
                <w:rFonts w:eastAsia="Times New Roman" w:cs="Times New Roman"/>
                <w:color w:val="000000"/>
              </w:rPr>
            </w:pPr>
          </w:p>
        </w:tc>
        <w:tc>
          <w:tcPr>
            <w:tcW w:w="548" w:type="pct"/>
            <w:tcBorders>
              <w:top w:val="nil"/>
              <w:left w:val="nil"/>
              <w:bottom w:val="single" w:sz="4" w:space="0" w:color="auto"/>
              <w:right w:val="single" w:sz="4" w:space="0" w:color="auto"/>
            </w:tcBorders>
            <w:noWrap/>
            <w:vAlign w:val="center"/>
          </w:tcPr>
          <w:p w14:paraId="605BF07E" w14:textId="77777777"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15</w:t>
            </w:r>
          </w:p>
        </w:tc>
      </w:tr>
      <w:tr w:rsidR="005A495B" w:rsidRPr="00435CDA" w14:paraId="2781E22D" w14:textId="2D33B52A" w:rsidTr="00B17A0B">
        <w:trPr>
          <w:trHeight w:val="317"/>
        </w:trPr>
        <w:tc>
          <w:tcPr>
            <w:tcW w:w="1330" w:type="pct"/>
            <w:tcBorders>
              <w:top w:val="nil"/>
              <w:left w:val="single" w:sz="4" w:space="0" w:color="auto"/>
              <w:bottom w:val="single" w:sz="4" w:space="0" w:color="auto"/>
              <w:right w:val="single" w:sz="4" w:space="0" w:color="auto"/>
            </w:tcBorders>
            <w:vAlign w:val="center"/>
            <w:hideMark/>
          </w:tcPr>
          <w:p w14:paraId="0F23A8AD" w14:textId="6EC3627A" w:rsidR="005A495B" w:rsidRPr="00435CDA" w:rsidRDefault="005A495B" w:rsidP="00B90ECB">
            <w:pPr>
              <w:spacing w:after="0" w:line="240" w:lineRule="auto"/>
              <w:rPr>
                <w:rFonts w:eastAsia="Times New Roman" w:cs="Times New Roman"/>
                <w:color w:val="000000"/>
              </w:rPr>
            </w:pPr>
            <w:r w:rsidRPr="00435CDA">
              <w:rPr>
                <w:rFonts w:eastAsia="Times New Roman" w:cs="Times New Roman"/>
                <w:color w:val="000000"/>
              </w:rPr>
              <w:t xml:space="preserve">Other as referred by </w:t>
            </w:r>
            <w:r>
              <w:rPr>
                <w:rFonts w:eastAsia="Times New Roman" w:cs="Times New Roman"/>
                <w:color w:val="000000"/>
              </w:rPr>
              <w:t xml:space="preserve">Infection </w:t>
            </w:r>
            <w:proofErr w:type="spellStart"/>
            <w:r>
              <w:rPr>
                <w:rFonts w:eastAsia="Times New Roman" w:cs="Times New Roman"/>
                <w:color w:val="000000"/>
              </w:rPr>
              <w:t>Preventionist</w:t>
            </w:r>
            <w:proofErr w:type="spellEnd"/>
            <w:r>
              <w:rPr>
                <w:rFonts w:eastAsia="Times New Roman" w:cs="Times New Roman"/>
                <w:color w:val="000000"/>
              </w:rPr>
              <w:t xml:space="preserve"> or </w:t>
            </w:r>
            <w:r w:rsidRPr="00435CDA">
              <w:rPr>
                <w:rFonts w:eastAsia="Times New Roman" w:cs="Times New Roman"/>
                <w:color w:val="000000"/>
              </w:rPr>
              <w:t>Informatics Director (for example, privacy officer or risk management specialist)</w:t>
            </w:r>
          </w:p>
        </w:tc>
        <w:tc>
          <w:tcPr>
            <w:tcW w:w="784" w:type="pct"/>
            <w:tcBorders>
              <w:top w:val="single" w:sz="4" w:space="0" w:color="auto"/>
              <w:left w:val="nil"/>
              <w:bottom w:val="single" w:sz="4" w:space="0" w:color="auto"/>
              <w:right w:val="single" w:sz="4" w:space="0" w:color="auto"/>
            </w:tcBorders>
            <w:vAlign w:val="center"/>
          </w:tcPr>
          <w:p w14:paraId="06DEBFE7" w14:textId="290786BE" w:rsidR="005A495B" w:rsidRPr="00435CDA" w:rsidRDefault="005A495B" w:rsidP="00B17A0B">
            <w:pPr>
              <w:spacing w:after="0" w:line="240" w:lineRule="auto"/>
              <w:rPr>
                <w:rFonts w:eastAsia="Times New Roman" w:cs="Times New Roman"/>
                <w:color w:val="000000"/>
              </w:rPr>
            </w:pPr>
            <w:r>
              <w:rPr>
                <w:rFonts w:eastAsia="Times New Roman" w:cs="Times New Roman"/>
                <w:color w:val="000000"/>
              </w:rPr>
              <w:t>Appendix D</w:t>
            </w:r>
          </w:p>
        </w:tc>
        <w:tc>
          <w:tcPr>
            <w:tcW w:w="784" w:type="pct"/>
            <w:tcBorders>
              <w:top w:val="nil"/>
              <w:left w:val="single" w:sz="4" w:space="0" w:color="auto"/>
              <w:bottom w:val="single" w:sz="4" w:space="0" w:color="auto"/>
              <w:right w:val="single" w:sz="4" w:space="0" w:color="auto"/>
            </w:tcBorders>
            <w:noWrap/>
            <w:vAlign w:val="bottom"/>
            <w:hideMark/>
          </w:tcPr>
          <w:p w14:paraId="660AA553" w14:textId="654AEFCF"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781" w:type="pct"/>
            <w:tcBorders>
              <w:top w:val="single" w:sz="4" w:space="0" w:color="auto"/>
              <w:left w:val="single" w:sz="4" w:space="0" w:color="auto"/>
              <w:bottom w:val="single" w:sz="4" w:space="0" w:color="auto"/>
              <w:right w:val="single" w:sz="4" w:space="0" w:color="auto"/>
            </w:tcBorders>
            <w:vAlign w:val="center"/>
            <w:hideMark/>
          </w:tcPr>
          <w:p w14:paraId="41754EFF" w14:textId="01792857" w:rsidR="005A495B" w:rsidRPr="00435CDA" w:rsidRDefault="005A495B" w:rsidP="004300FC">
            <w:pPr>
              <w:spacing w:after="0" w:line="240" w:lineRule="auto"/>
              <w:jc w:val="center"/>
              <w:rPr>
                <w:rFonts w:eastAsia="Times New Roman" w:cs="Times New Roman"/>
                <w:color w:val="000000"/>
              </w:rPr>
            </w:pPr>
            <w:r w:rsidRPr="00435CDA">
              <w:rPr>
                <w:rFonts w:eastAsia="Times New Roman" w:cs="Times New Roman"/>
                <w:color w:val="000000"/>
              </w:rPr>
              <w:t>1</w:t>
            </w:r>
          </w:p>
        </w:tc>
        <w:tc>
          <w:tcPr>
            <w:tcW w:w="772" w:type="pct"/>
            <w:vMerge/>
            <w:tcBorders>
              <w:left w:val="nil"/>
              <w:right w:val="single" w:sz="4" w:space="0" w:color="auto"/>
            </w:tcBorders>
            <w:noWrap/>
            <w:vAlign w:val="center"/>
            <w:hideMark/>
          </w:tcPr>
          <w:p w14:paraId="4C64716A" w14:textId="77777777" w:rsidR="005A495B" w:rsidRPr="00435CDA" w:rsidRDefault="005A495B">
            <w:pPr>
              <w:spacing w:after="0" w:line="240" w:lineRule="auto"/>
              <w:jc w:val="center"/>
              <w:rPr>
                <w:rFonts w:eastAsia="Times New Roman" w:cs="Times New Roman"/>
                <w:color w:val="000000"/>
              </w:rPr>
            </w:pPr>
          </w:p>
        </w:tc>
        <w:tc>
          <w:tcPr>
            <w:tcW w:w="548" w:type="pct"/>
            <w:tcBorders>
              <w:top w:val="nil"/>
              <w:left w:val="nil"/>
              <w:bottom w:val="single" w:sz="4" w:space="0" w:color="auto"/>
              <w:right w:val="single" w:sz="4" w:space="0" w:color="auto"/>
            </w:tcBorders>
            <w:noWrap/>
            <w:vAlign w:val="center"/>
          </w:tcPr>
          <w:p w14:paraId="445FD51C" w14:textId="77777777"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15</w:t>
            </w:r>
          </w:p>
        </w:tc>
      </w:tr>
      <w:tr w:rsidR="005A495B" w:rsidRPr="00435CDA" w14:paraId="6A75F6E5" w14:textId="79D4CBC2" w:rsidTr="00B17A0B">
        <w:trPr>
          <w:trHeight w:val="317"/>
        </w:trPr>
        <w:tc>
          <w:tcPr>
            <w:tcW w:w="1330" w:type="pct"/>
            <w:tcBorders>
              <w:top w:val="nil"/>
              <w:left w:val="single" w:sz="4" w:space="0" w:color="auto"/>
              <w:bottom w:val="single" w:sz="4" w:space="0" w:color="auto"/>
              <w:right w:val="single" w:sz="4" w:space="0" w:color="auto"/>
            </w:tcBorders>
            <w:vAlign w:val="center"/>
          </w:tcPr>
          <w:p w14:paraId="3CCE944A" w14:textId="77777777" w:rsidR="005A495B" w:rsidRPr="00435CDA" w:rsidRDefault="005A495B" w:rsidP="00B21DA1">
            <w:pPr>
              <w:spacing w:after="0" w:line="240" w:lineRule="auto"/>
              <w:rPr>
                <w:rFonts w:eastAsia="Times New Roman" w:cs="Times New Roman"/>
                <w:color w:val="000000"/>
              </w:rPr>
            </w:pPr>
            <w:r w:rsidRPr="00435CDA">
              <w:rPr>
                <w:rFonts w:eastAsia="Times New Roman" w:cs="Times New Roman"/>
                <w:color w:val="000000"/>
              </w:rPr>
              <w:t>Clinic Director</w:t>
            </w:r>
          </w:p>
        </w:tc>
        <w:tc>
          <w:tcPr>
            <w:tcW w:w="784" w:type="pct"/>
            <w:tcBorders>
              <w:top w:val="single" w:sz="4" w:space="0" w:color="auto"/>
              <w:left w:val="nil"/>
              <w:bottom w:val="single" w:sz="4" w:space="0" w:color="auto"/>
              <w:right w:val="single" w:sz="4" w:space="0" w:color="auto"/>
            </w:tcBorders>
            <w:vAlign w:val="center"/>
          </w:tcPr>
          <w:p w14:paraId="5C783E7F" w14:textId="591EFC5F" w:rsidR="005A495B" w:rsidRPr="00435CDA" w:rsidRDefault="005A495B" w:rsidP="00B17A0B">
            <w:pPr>
              <w:spacing w:after="0" w:line="240" w:lineRule="auto"/>
              <w:rPr>
                <w:rFonts w:eastAsia="Times New Roman" w:cs="Times New Roman"/>
                <w:color w:val="000000"/>
              </w:rPr>
            </w:pPr>
            <w:r>
              <w:rPr>
                <w:rFonts w:eastAsia="Times New Roman" w:cs="Times New Roman"/>
                <w:color w:val="000000"/>
              </w:rPr>
              <w:t>Appendix D</w:t>
            </w:r>
          </w:p>
        </w:tc>
        <w:tc>
          <w:tcPr>
            <w:tcW w:w="784" w:type="pct"/>
            <w:tcBorders>
              <w:top w:val="nil"/>
              <w:left w:val="single" w:sz="4" w:space="0" w:color="auto"/>
              <w:bottom w:val="single" w:sz="4" w:space="0" w:color="auto"/>
              <w:right w:val="single" w:sz="4" w:space="0" w:color="auto"/>
            </w:tcBorders>
            <w:noWrap/>
            <w:vAlign w:val="bottom"/>
          </w:tcPr>
          <w:p w14:paraId="5C1BC0B5" w14:textId="2A74C362"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781" w:type="pct"/>
            <w:tcBorders>
              <w:top w:val="single" w:sz="4" w:space="0" w:color="auto"/>
              <w:left w:val="single" w:sz="4" w:space="0" w:color="auto"/>
              <w:bottom w:val="single" w:sz="4" w:space="0" w:color="auto"/>
              <w:right w:val="single" w:sz="4" w:space="0" w:color="auto"/>
            </w:tcBorders>
            <w:vAlign w:val="center"/>
          </w:tcPr>
          <w:p w14:paraId="2FBCDA30" w14:textId="200D4A54" w:rsidR="005A495B" w:rsidRPr="00435CDA" w:rsidRDefault="005A495B" w:rsidP="004300FC">
            <w:pPr>
              <w:spacing w:after="0" w:line="240" w:lineRule="auto"/>
              <w:jc w:val="center"/>
              <w:rPr>
                <w:rFonts w:eastAsia="Times New Roman" w:cs="Times New Roman"/>
                <w:color w:val="000000"/>
              </w:rPr>
            </w:pPr>
            <w:r w:rsidRPr="00435CDA">
              <w:rPr>
                <w:rFonts w:eastAsia="Times New Roman" w:cs="Times New Roman"/>
                <w:color w:val="000000"/>
              </w:rPr>
              <w:t>1</w:t>
            </w:r>
          </w:p>
        </w:tc>
        <w:tc>
          <w:tcPr>
            <w:tcW w:w="772" w:type="pct"/>
            <w:vMerge/>
            <w:tcBorders>
              <w:left w:val="nil"/>
              <w:right w:val="single" w:sz="4" w:space="0" w:color="auto"/>
            </w:tcBorders>
            <w:noWrap/>
            <w:vAlign w:val="center"/>
          </w:tcPr>
          <w:p w14:paraId="7B0B35A1" w14:textId="77777777" w:rsidR="005A495B" w:rsidRPr="00435CDA" w:rsidRDefault="005A495B">
            <w:pPr>
              <w:spacing w:after="0" w:line="240" w:lineRule="auto"/>
              <w:jc w:val="center"/>
              <w:rPr>
                <w:rFonts w:eastAsia="Times New Roman" w:cs="Times New Roman"/>
                <w:color w:val="000000"/>
              </w:rPr>
            </w:pPr>
          </w:p>
        </w:tc>
        <w:tc>
          <w:tcPr>
            <w:tcW w:w="548" w:type="pct"/>
            <w:tcBorders>
              <w:top w:val="nil"/>
              <w:left w:val="nil"/>
              <w:bottom w:val="single" w:sz="4" w:space="0" w:color="auto"/>
              <w:right w:val="single" w:sz="4" w:space="0" w:color="auto"/>
            </w:tcBorders>
            <w:noWrap/>
            <w:vAlign w:val="center"/>
          </w:tcPr>
          <w:p w14:paraId="78156BA7" w14:textId="77777777"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15</w:t>
            </w:r>
          </w:p>
        </w:tc>
      </w:tr>
      <w:tr w:rsidR="005A495B" w:rsidRPr="00435CDA" w14:paraId="70C1509A" w14:textId="6B703B99" w:rsidTr="00B17A0B">
        <w:trPr>
          <w:trHeight w:val="317"/>
        </w:trPr>
        <w:tc>
          <w:tcPr>
            <w:tcW w:w="1330" w:type="pct"/>
            <w:tcBorders>
              <w:top w:val="nil"/>
              <w:left w:val="single" w:sz="4" w:space="0" w:color="auto"/>
              <w:bottom w:val="single" w:sz="4" w:space="0" w:color="auto"/>
              <w:right w:val="single" w:sz="4" w:space="0" w:color="auto"/>
            </w:tcBorders>
            <w:vAlign w:val="center"/>
          </w:tcPr>
          <w:p w14:paraId="4A8D952B" w14:textId="7160E677" w:rsidR="005A495B" w:rsidRPr="00435CDA" w:rsidRDefault="005A495B" w:rsidP="00B90ECB">
            <w:pPr>
              <w:spacing w:after="0" w:line="240" w:lineRule="auto"/>
              <w:rPr>
                <w:rFonts w:eastAsia="Times New Roman" w:cs="Times New Roman"/>
                <w:color w:val="000000"/>
              </w:rPr>
            </w:pPr>
            <w:r w:rsidRPr="00435CDA">
              <w:rPr>
                <w:rFonts w:eastAsia="Times New Roman" w:cs="Times New Roman"/>
                <w:color w:val="000000"/>
              </w:rPr>
              <w:t>Other as referred by Clinic Director</w:t>
            </w:r>
            <w:r>
              <w:rPr>
                <w:rFonts w:eastAsia="Times New Roman" w:cs="Times New Roman"/>
                <w:color w:val="000000"/>
              </w:rPr>
              <w:t xml:space="preserve"> </w:t>
            </w:r>
            <w:r w:rsidRPr="00435CDA">
              <w:rPr>
                <w:rFonts w:eastAsia="Times New Roman" w:cs="Times New Roman"/>
                <w:color w:val="000000"/>
              </w:rPr>
              <w:t>(for example, patient records manager)</w:t>
            </w:r>
            <w:r>
              <w:rPr>
                <w:rFonts w:eastAsia="Times New Roman" w:cs="Times New Roman"/>
                <w:color w:val="000000"/>
              </w:rPr>
              <w:t xml:space="preserve"> </w:t>
            </w:r>
            <w:r w:rsidRPr="00435CDA">
              <w:rPr>
                <w:rFonts w:eastAsia="Times New Roman" w:cs="Times New Roman"/>
                <w:color w:val="000000"/>
              </w:rPr>
              <w:t xml:space="preserve"> </w:t>
            </w:r>
          </w:p>
        </w:tc>
        <w:tc>
          <w:tcPr>
            <w:tcW w:w="784" w:type="pct"/>
            <w:tcBorders>
              <w:top w:val="single" w:sz="4" w:space="0" w:color="auto"/>
              <w:left w:val="nil"/>
              <w:bottom w:val="single" w:sz="4" w:space="0" w:color="auto"/>
              <w:right w:val="single" w:sz="4" w:space="0" w:color="auto"/>
            </w:tcBorders>
            <w:vAlign w:val="center"/>
          </w:tcPr>
          <w:p w14:paraId="56415220" w14:textId="14C4ADE5" w:rsidR="005A495B" w:rsidRPr="00435CDA" w:rsidRDefault="005A495B" w:rsidP="00B17A0B">
            <w:pPr>
              <w:spacing w:after="0" w:line="240" w:lineRule="auto"/>
              <w:rPr>
                <w:rFonts w:eastAsia="Times New Roman" w:cs="Times New Roman"/>
                <w:color w:val="000000"/>
              </w:rPr>
            </w:pPr>
            <w:r>
              <w:rPr>
                <w:rFonts w:eastAsia="Times New Roman" w:cs="Times New Roman"/>
                <w:color w:val="000000"/>
              </w:rPr>
              <w:t>Appendix D</w:t>
            </w:r>
          </w:p>
        </w:tc>
        <w:tc>
          <w:tcPr>
            <w:tcW w:w="784" w:type="pct"/>
            <w:tcBorders>
              <w:top w:val="nil"/>
              <w:left w:val="single" w:sz="4" w:space="0" w:color="auto"/>
              <w:bottom w:val="single" w:sz="4" w:space="0" w:color="auto"/>
              <w:right w:val="single" w:sz="4" w:space="0" w:color="auto"/>
            </w:tcBorders>
            <w:noWrap/>
            <w:vAlign w:val="bottom"/>
          </w:tcPr>
          <w:p w14:paraId="34A074A1" w14:textId="0C027B50"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781" w:type="pct"/>
            <w:tcBorders>
              <w:top w:val="single" w:sz="4" w:space="0" w:color="auto"/>
              <w:left w:val="single" w:sz="4" w:space="0" w:color="auto"/>
              <w:bottom w:val="single" w:sz="4" w:space="0" w:color="auto"/>
              <w:right w:val="single" w:sz="4" w:space="0" w:color="auto"/>
            </w:tcBorders>
            <w:vAlign w:val="center"/>
          </w:tcPr>
          <w:p w14:paraId="0AA70E72" w14:textId="38E93F40" w:rsidR="005A495B" w:rsidRPr="00435CDA" w:rsidRDefault="005A495B" w:rsidP="004300FC">
            <w:pPr>
              <w:spacing w:after="0" w:line="240" w:lineRule="auto"/>
              <w:jc w:val="center"/>
              <w:rPr>
                <w:rFonts w:eastAsia="Times New Roman" w:cs="Times New Roman"/>
                <w:color w:val="000000"/>
              </w:rPr>
            </w:pPr>
            <w:r w:rsidRPr="00435CDA">
              <w:rPr>
                <w:rFonts w:eastAsia="Times New Roman" w:cs="Times New Roman"/>
                <w:color w:val="000000"/>
              </w:rPr>
              <w:t>1</w:t>
            </w:r>
          </w:p>
        </w:tc>
        <w:tc>
          <w:tcPr>
            <w:tcW w:w="772" w:type="pct"/>
            <w:vMerge/>
            <w:tcBorders>
              <w:left w:val="nil"/>
              <w:bottom w:val="single" w:sz="4" w:space="0" w:color="auto"/>
              <w:right w:val="single" w:sz="4" w:space="0" w:color="auto"/>
            </w:tcBorders>
            <w:noWrap/>
            <w:vAlign w:val="center"/>
          </w:tcPr>
          <w:p w14:paraId="45E1E99B" w14:textId="77777777" w:rsidR="005A495B" w:rsidRPr="00435CDA" w:rsidRDefault="005A495B">
            <w:pPr>
              <w:spacing w:after="0" w:line="240" w:lineRule="auto"/>
              <w:jc w:val="center"/>
              <w:rPr>
                <w:rFonts w:eastAsia="Times New Roman" w:cs="Times New Roman"/>
                <w:color w:val="000000"/>
              </w:rPr>
            </w:pPr>
          </w:p>
        </w:tc>
        <w:tc>
          <w:tcPr>
            <w:tcW w:w="548" w:type="pct"/>
            <w:tcBorders>
              <w:top w:val="nil"/>
              <w:left w:val="nil"/>
              <w:bottom w:val="single" w:sz="4" w:space="0" w:color="auto"/>
              <w:right w:val="single" w:sz="4" w:space="0" w:color="auto"/>
            </w:tcBorders>
            <w:noWrap/>
            <w:vAlign w:val="center"/>
          </w:tcPr>
          <w:p w14:paraId="06CBB003" w14:textId="77777777" w:rsidR="005A495B" w:rsidRPr="00435CDA" w:rsidRDefault="005A495B">
            <w:pPr>
              <w:spacing w:after="0" w:line="240" w:lineRule="auto"/>
              <w:jc w:val="center"/>
              <w:rPr>
                <w:rFonts w:eastAsia="Times New Roman" w:cs="Times New Roman"/>
                <w:color w:val="000000"/>
              </w:rPr>
            </w:pPr>
            <w:r w:rsidRPr="00435CDA">
              <w:rPr>
                <w:rFonts w:eastAsia="Times New Roman" w:cs="Times New Roman"/>
                <w:color w:val="000000"/>
              </w:rPr>
              <w:t>15</w:t>
            </w:r>
          </w:p>
        </w:tc>
      </w:tr>
      <w:tr w:rsidR="005A495B" w:rsidRPr="00435CDA" w14:paraId="78046728" w14:textId="06B4AC8C" w:rsidTr="00B17A0B">
        <w:trPr>
          <w:trHeight w:val="74"/>
        </w:trPr>
        <w:tc>
          <w:tcPr>
            <w:tcW w:w="1330" w:type="pct"/>
            <w:tcBorders>
              <w:top w:val="nil"/>
              <w:left w:val="single" w:sz="4" w:space="0" w:color="auto"/>
              <w:bottom w:val="single" w:sz="4" w:space="0" w:color="auto"/>
              <w:right w:val="single" w:sz="4" w:space="0" w:color="auto"/>
            </w:tcBorders>
            <w:noWrap/>
            <w:vAlign w:val="center"/>
            <w:hideMark/>
          </w:tcPr>
          <w:p w14:paraId="433E1DB4" w14:textId="77777777" w:rsidR="005A495B" w:rsidRPr="00435CDA" w:rsidRDefault="005A495B" w:rsidP="007B0093">
            <w:pPr>
              <w:spacing w:after="0" w:line="240" w:lineRule="auto"/>
              <w:jc w:val="right"/>
              <w:rPr>
                <w:rFonts w:eastAsia="Times New Roman" w:cs="Times New Roman"/>
                <w:b/>
                <w:bCs/>
                <w:color w:val="000000"/>
              </w:rPr>
            </w:pPr>
            <w:r w:rsidRPr="00435CDA">
              <w:rPr>
                <w:rFonts w:eastAsia="Times New Roman" w:cs="Times New Roman"/>
                <w:b/>
                <w:bCs/>
                <w:color w:val="000000"/>
              </w:rPr>
              <w:t>Totals</w:t>
            </w:r>
          </w:p>
        </w:tc>
        <w:tc>
          <w:tcPr>
            <w:tcW w:w="784" w:type="pct"/>
            <w:tcBorders>
              <w:top w:val="single" w:sz="4" w:space="0" w:color="auto"/>
              <w:left w:val="nil"/>
              <w:bottom w:val="single" w:sz="4" w:space="0" w:color="auto"/>
              <w:right w:val="single" w:sz="4" w:space="0" w:color="auto"/>
            </w:tcBorders>
          </w:tcPr>
          <w:p w14:paraId="316B67CC" w14:textId="77777777" w:rsidR="005A495B" w:rsidRPr="00435CDA" w:rsidDel="00BB173D" w:rsidRDefault="005A495B" w:rsidP="007B0093">
            <w:pPr>
              <w:spacing w:after="0" w:line="240" w:lineRule="auto"/>
              <w:jc w:val="center"/>
              <w:rPr>
                <w:rFonts w:eastAsia="Times New Roman" w:cs="Times New Roman"/>
                <w:b/>
                <w:color w:val="000000"/>
              </w:rPr>
            </w:pPr>
          </w:p>
        </w:tc>
        <w:tc>
          <w:tcPr>
            <w:tcW w:w="784" w:type="pct"/>
            <w:tcBorders>
              <w:top w:val="nil"/>
              <w:left w:val="single" w:sz="4" w:space="0" w:color="auto"/>
              <w:bottom w:val="single" w:sz="4" w:space="0" w:color="auto"/>
              <w:right w:val="single" w:sz="4" w:space="0" w:color="auto"/>
            </w:tcBorders>
            <w:noWrap/>
            <w:vAlign w:val="center"/>
            <w:hideMark/>
          </w:tcPr>
          <w:p w14:paraId="410662AC" w14:textId="7954E599" w:rsidR="005A495B" w:rsidRPr="00435CDA" w:rsidRDefault="005A495B" w:rsidP="007B0093">
            <w:pPr>
              <w:spacing w:after="0" w:line="240" w:lineRule="auto"/>
              <w:jc w:val="center"/>
              <w:rPr>
                <w:rFonts w:eastAsia="Times New Roman" w:cs="Times New Roman"/>
                <w:b/>
                <w:color w:val="000000"/>
              </w:rPr>
            </w:pPr>
            <w:r>
              <w:rPr>
                <w:rFonts w:eastAsia="Times New Roman" w:cs="Times New Roman"/>
                <w:b/>
                <w:color w:val="000000"/>
              </w:rPr>
              <w:t>165</w:t>
            </w:r>
          </w:p>
        </w:tc>
        <w:tc>
          <w:tcPr>
            <w:tcW w:w="781" w:type="pct"/>
            <w:tcBorders>
              <w:top w:val="single" w:sz="4" w:space="0" w:color="auto"/>
              <w:left w:val="nil"/>
              <w:bottom w:val="single" w:sz="4" w:space="0" w:color="auto"/>
              <w:right w:val="single" w:sz="4" w:space="0" w:color="auto"/>
            </w:tcBorders>
            <w:noWrap/>
            <w:vAlign w:val="center"/>
            <w:hideMark/>
          </w:tcPr>
          <w:p w14:paraId="2D0449FC" w14:textId="77777777" w:rsidR="005A495B" w:rsidRPr="00435CDA" w:rsidRDefault="005A495B" w:rsidP="007B0093">
            <w:pPr>
              <w:spacing w:after="0" w:line="240" w:lineRule="auto"/>
              <w:jc w:val="center"/>
              <w:rPr>
                <w:rFonts w:eastAsia="Times New Roman" w:cs="Times New Roman"/>
                <w:b/>
                <w:color w:val="000000"/>
              </w:rPr>
            </w:pPr>
            <w:r w:rsidRPr="00435CDA">
              <w:rPr>
                <w:rFonts w:eastAsia="Times New Roman" w:cs="Times New Roman"/>
                <w:b/>
                <w:color w:val="000000"/>
              </w:rPr>
              <w:t>1</w:t>
            </w:r>
          </w:p>
        </w:tc>
        <w:tc>
          <w:tcPr>
            <w:tcW w:w="772" w:type="pct"/>
            <w:tcBorders>
              <w:top w:val="nil"/>
              <w:left w:val="nil"/>
              <w:bottom w:val="single" w:sz="4" w:space="0" w:color="auto"/>
              <w:right w:val="single" w:sz="4" w:space="0" w:color="auto"/>
            </w:tcBorders>
            <w:shd w:val="clear" w:color="auto" w:fill="D9D9D9"/>
            <w:noWrap/>
            <w:vAlign w:val="center"/>
            <w:hideMark/>
          </w:tcPr>
          <w:p w14:paraId="189718CC" w14:textId="77777777" w:rsidR="005A495B" w:rsidRPr="00435CDA" w:rsidRDefault="005A495B" w:rsidP="007B0093">
            <w:pPr>
              <w:spacing w:after="0" w:line="240" w:lineRule="auto"/>
              <w:jc w:val="center"/>
              <w:rPr>
                <w:rFonts w:eastAsia="Times New Roman" w:cs="Times New Roman"/>
                <w:b/>
                <w:color w:val="000000"/>
              </w:rPr>
            </w:pPr>
          </w:p>
        </w:tc>
        <w:tc>
          <w:tcPr>
            <w:tcW w:w="548" w:type="pct"/>
            <w:tcBorders>
              <w:top w:val="nil"/>
              <w:left w:val="nil"/>
              <w:bottom w:val="single" w:sz="4" w:space="0" w:color="auto"/>
              <w:right w:val="single" w:sz="4" w:space="0" w:color="auto"/>
            </w:tcBorders>
            <w:noWrap/>
            <w:vAlign w:val="center"/>
            <w:hideMark/>
          </w:tcPr>
          <w:p w14:paraId="779F1230" w14:textId="48F9242E" w:rsidR="005A495B" w:rsidRPr="00435CDA" w:rsidRDefault="005A495B" w:rsidP="007B0093">
            <w:pPr>
              <w:spacing w:after="0" w:line="240" w:lineRule="auto"/>
              <w:jc w:val="center"/>
              <w:rPr>
                <w:rFonts w:eastAsia="Times New Roman" w:cs="Times New Roman"/>
                <w:b/>
                <w:color w:val="000000"/>
              </w:rPr>
            </w:pPr>
            <w:r>
              <w:rPr>
                <w:rFonts w:eastAsia="Times New Roman" w:cs="Times New Roman"/>
                <w:b/>
                <w:color w:val="000000"/>
              </w:rPr>
              <w:t>90</w:t>
            </w:r>
          </w:p>
        </w:tc>
      </w:tr>
    </w:tbl>
    <w:p w14:paraId="7FAE37AA" w14:textId="77777777" w:rsidR="00160ED2" w:rsidRPr="00435CDA" w:rsidRDefault="00160ED2" w:rsidP="00160ED2">
      <w:pPr>
        <w:pStyle w:val="ListParagraph"/>
        <w:autoSpaceDE w:val="0"/>
        <w:autoSpaceDN w:val="0"/>
        <w:adjustRightInd w:val="0"/>
        <w:ind w:left="0" w:right="720"/>
      </w:pPr>
    </w:p>
    <w:p w14:paraId="0BDA1ED5" w14:textId="77777777" w:rsidR="00160ED2" w:rsidRPr="00435CDA" w:rsidRDefault="00160ED2" w:rsidP="00160ED2">
      <w:pPr>
        <w:pStyle w:val="ListParagraph"/>
        <w:autoSpaceDE w:val="0"/>
        <w:autoSpaceDN w:val="0"/>
        <w:adjustRightInd w:val="0"/>
        <w:ind w:left="0" w:right="720"/>
      </w:pPr>
    </w:p>
    <w:p w14:paraId="1C5BAA01" w14:textId="77777777" w:rsidR="00160ED2" w:rsidRDefault="00160ED2" w:rsidP="00160ED2">
      <w:pPr>
        <w:pStyle w:val="ListParagraph"/>
        <w:autoSpaceDE w:val="0"/>
        <w:autoSpaceDN w:val="0"/>
        <w:adjustRightInd w:val="0"/>
        <w:ind w:left="0" w:right="720"/>
      </w:pPr>
    </w:p>
    <w:p w14:paraId="2380DB62" w14:textId="77777777" w:rsidR="00764293" w:rsidRDefault="00764293" w:rsidP="00160ED2">
      <w:pPr>
        <w:pStyle w:val="ListParagraph"/>
        <w:autoSpaceDE w:val="0"/>
        <w:autoSpaceDN w:val="0"/>
        <w:adjustRightInd w:val="0"/>
        <w:ind w:left="0" w:right="720"/>
      </w:pPr>
    </w:p>
    <w:p w14:paraId="216CF886" w14:textId="0FAAF52D" w:rsidR="00764293" w:rsidRDefault="00764293" w:rsidP="00160ED2">
      <w:pPr>
        <w:pStyle w:val="ListParagraph"/>
        <w:autoSpaceDE w:val="0"/>
        <w:autoSpaceDN w:val="0"/>
        <w:adjustRightInd w:val="0"/>
        <w:ind w:left="0" w:right="720"/>
      </w:pPr>
      <w:r w:rsidRPr="00435CDA">
        <w:rPr>
          <w:color w:val="000000"/>
        </w:rPr>
        <w:t>Estimates for the average hourly wage for respondents are based on the U.S. Department of Labor Bureau (DOL) of Labor Statistics May 2013 National Occupational Employment and Wage Estimates (</w:t>
      </w:r>
      <w:r w:rsidRPr="00435CDA">
        <w:t>http://www.bls.gov/oes/current/oes_nat.htm</w:t>
      </w:r>
      <w:r w:rsidRPr="00435CDA">
        <w:rPr>
          <w:color w:val="000000"/>
        </w:rPr>
        <w:t>). Based on DOL data, average hourly wage varies depending on the official role we are interviewing. The table below shows estimated burden information for each of the roles in our sample.</w:t>
      </w:r>
    </w:p>
    <w:p w14:paraId="6C86EFD0" w14:textId="77777777" w:rsidR="00764293" w:rsidRPr="00435CDA" w:rsidRDefault="00764293" w:rsidP="00160ED2">
      <w:pPr>
        <w:pStyle w:val="ListParagraph"/>
        <w:autoSpaceDE w:val="0"/>
        <w:autoSpaceDN w:val="0"/>
        <w:adjustRightInd w:val="0"/>
        <w:ind w:left="0" w:right="720"/>
      </w:pPr>
    </w:p>
    <w:p w14:paraId="6900B672" w14:textId="6006955B" w:rsidR="00160ED2" w:rsidRDefault="00160ED2" w:rsidP="00764293">
      <w:pPr>
        <w:pStyle w:val="Heading3"/>
        <w:numPr>
          <w:ilvl w:val="0"/>
          <w:numId w:val="34"/>
        </w:numPr>
        <w:rPr>
          <w:color w:val="auto"/>
        </w:rPr>
      </w:pPr>
      <w:bookmarkStart w:id="16" w:name="_Toc412038048"/>
      <w:r w:rsidRPr="00764293">
        <w:rPr>
          <w:color w:val="auto"/>
        </w:rPr>
        <w:t>Estimated Annualized Cost</w:t>
      </w:r>
      <w:bookmarkEnd w:id="16"/>
    </w:p>
    <w:tbl>
      <w:tblPr>
        <w:tblW w:w="5000" w:type="pct"/>
        <w:tblInd w:w="-360" w:type="dxa"/>
        <w:tblLayout w:type="fixed"/>
        <w:tblLook w:val="04A0" w:firstRow="1" w:lastRow="0" w:firstColumn="1" w:lastColumn="0" w:noHBand="0" w:noVBand="1"/>
      </w:tblPr>
      <w:tblGrid>
        <w:gridCol w:w="3238"/>
        <w:gridCol w:w="1908"/>
        <w:gridCol w:w="1335"/>
        <w:gridCol w:w="1191"/>
        <w:gridCol w:w="1904"/>
      </w:tblGrid>
      <w:tr w:rsidR="00160ED2" w:rsidRPr="00435CDA" w14:paraId="56B9F17A" w14:textId="77777777" w:rsidTr="00764293">
        <w:trPr>
          <w:trHeight w:val="534"/>
        </w:trPr>
        <w:tc>
          <w:tcPr>
            <w:tcW w:w="16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487CA3" w14:textId="77777777" w:rsidR="00160ED2" w:rsidRPr="00435CDA" w:rsidRDefault="00160ED2" w:rsidP="006B70CE">
            <w:pPr>
              <w:spacing w:after="0" w:line="240" w:lineRule="auto"/>
              <w:jc w:val="center"/>
              <w:rPr>
                <w:rFonts w:eastAsia="Times New Roman" w:cs="Times New Roman"/>
                <w:b/>
                <w:bCs/>
                <w:color w:val="000000"/>
              </w:rPr>
            </w:pPr>
            <w:r w:rsidRPr="00435CDA">
              <w:rPr>
                <w:rFonts w:eastAsia="Times New Roman" w:cs="Times New Roman"/>
                <w:b/>
                <w:bCs/>
                <w:color w:val="000000"/>
              </w:rPr>
              <w:t>Type of Respondent</w:t>
            </w:r>
          </w:p>
        </w:tc>
        <w:tc>
          <w:tcPr>
            <w:tcW w:w="996" w:type="pct"/>
            <w:tcBorders>
              <w:top w:val="single" w:sz="4" w:space="0" w:color="auto"/>
              <w:left w:val="nil"/>
              <w:bottom w:val="single" w:sz="4" w:space="0" w:color="auto"/>
              <w:right w:val="single" w:sz="4" w:space="0" w:color="auto"/>
            </w:tcBorders>
            <w:shd w:val="clear" w:color="auto" w:fill="D9D9D9"/>
            <w:vAlign w:val="center"/>
            <w:hideMark/>
          </w:tcPr>
          <w:p w14:paraId="46E22D97" w14:textId="77777777" w:rsidR="00160ED2" w:rsidRPr="00435CDA" w:rsidRDefault="00160ED2" w:rsidP="00611E89">
            <w:pPr>
              <w:spacing w:after="0" w:line="240" w:lineRule="auto"/>
              <w:jc w:val="center"/>
              <w:rPr>
                <w:rFonts w:eastAsia="Times New Roman" w:cs="Times New Roman"/>
                <w:b/>
                <w:bCs/>
                <w:color w:val="000000"/>
              </w:rPr>
            </w:pPr>
            <w:r w:rsidRPr="00435CDA">
              <w:rPr>
                <w:rFonts w:eastAsia="Times New Roman" w:cs="Times New Roman"/>
                <w:b/>
                <w:bCs/>
                <w:color w:val="000000"/>
              </w:rPr>
              <w:t>No. of Respondents</w:t>
            </w:r>
          </w:p>
        </w:tc>
        <w:tc>
          <w:tcPr>
            <w:tcW w:w="697" w:type="pct"/>
            <w:tcBorders>
              <w:top w:val="single" w:sz="4" w:space="0" w:color="auto"/>
              <w:left w:val="nil"/>
              <w:bottom w:val="single" w:sz="4" w:space="0" w:color="auto"/>
              <w:right w:val="single" w:sz="4" w:space="0" w:color="auto"/>
            </w:tcBorders>
            <w:shd w:val="clear" w:color="auto" w:fill="D9D9D9"/>
            <w:vAlign w:val="center"/>
            <w:hideMark/>
          </w:tcPr>
          <w:p w14:paraId="34F92591" w14:textId="77777777" w:rsidR="00160ED2" w:rsidRPr="00435CDA" w:rsidRDefault="00160ED2" w:rsidP="006B70CE">
            <w:pPr>
              <w:spacing w:after="0" w:line="240" w:lineRule="auto"/>
              <w:jc w:val="center"/>
              <w:rPr>
                <w:rFonts w:eastAsia="Times New Roman" w:cs="Times New Roman"/>
                <w:b/>
                <w:bCs/>
                <w:color w:val="000000"/>
              </w:rPr>
            </w:pPr>
            <w:r w:rsidRPr="00435CDA">
              <w:rPr>
                <w:rFonts w:eastAsia="Times New Roman" w:cs="Times New Roman"/>
                <w:b/>
                <w:bCs/>
                <w:color w:val="000000"/>
              </w:rPr>
              <w:t>Total Burden Hours</w:t>
            </w:r>
          </w:p>
        </w:tc>
        <w:tc>
          <w:tcPr>
            <w:tcW w:w="622" w:type="pct"/>
            <w:tcBorders>
              <w:top w:val="single" w:sz="4" w:space="0" w:color="auto"/>
              <w:left w:val="nil"/>
              <w:bottom w:val="single" w:sz="4" w:space="0" w:color="auto"/>
              <w:right w:val="single" w:sz="4" w:space="0" w:color="auto"/>
            </w:tcBorders>
            <w:shd w:val="clear" w:color="auto" w:fill="D9D9D9"/>
            <w:vAlign w:val="center"/>
            <w:hideMark/>
          </w:tcPr>
          <w:p w14:paraId="5522FA93" w14:textId="77777777" w:rsidR="00160ED2" w:rsidRPr="00435CDA" w:rsidRDefault="00160ED2" w:rsidP="006B70CE">
            <w:pPr>
              <w:spacing w:after="0" w:line="240" w:lineRule="auto"/>
              <w:jc w:val="center"/>
              <w:rPr>
                <w:rFonts w:eastAsia="Times New Roman" w:cs="Times New Roman"/>
                <w:b/>
                <w:bCs/>
                <w:color w:val="000000"/>
              </w:rPr>
            </w:pPr>
            <w:r w:rsidRPr="00435CDA">
              <w:rPr>
                <w:rFonts w:eastAsia="Times New Roman" w:cs="Times New Roman"/>
                <w:b/>
                <w:bCs/>
                <w:color w:val="000000"/>
              </w:rPr>
              <w:t>Hourly Wage Rate</w:t>
            </w:r>
          </w:p>
        </w:tc>
        <w:tc>
          <w:tcPr>
            <w:tcW w:w="994" w:type="pct"/>
            <w:tcBorders>
              <w:top w:val="single" w:sz="4" w:space="0" w:color="auto"/>
              <w:left w:val="nil"/>
              <w:bottom w:val="single" w:sz="4" w:space="0" w:color="auto"/>
              <w:right w:val="single" w:sz="4" w:space="0" w:color="auto"/>
            </w:tcBorders>
            <w:shd w:val="clear" w:color="auto" w:fill="D9D9D9"/>
            <w:vAlign w:val="center"/>
            <w:hideMark/>
          </w:tcPr>
          <w:p w14:paraId="39F3BD82" w14:textId="77777777" w:rsidR="00160ED2" w:rsidRPr="00435CDA" w:rsidRDefault="00160ED2" w:rsidP="006B70CE">
            <w:pPr>
              <w:spacing w:after="0" w:line="240" w:lineRule="auto"/>
              <w:jc w:val="center"/>
              <w:rPr>
                <w:rFonts w:eastAsia="Times New Roman" w:cs="Times New Roman"/>
                <w:b/>
                <w:bCs/>
                <w:color w:val="000000"/>
              </w:rPr>
            </w:pPr>
            <w:r w:rsidRPr="00435CDA">
              <w:rPr>
                <w:rFonts w:eastAsia="Times New Roman" w:cs="Times New Roman"/>
                <w:b/>
                <w:bCs/>
                <w:color w:val="000000"/>
              </w:rPr>
              <w:t>Total Respondent Costs</w:t>
            </w:r>
          </w:p>
        </w:tc>
      </w:tr>
      <w:tr w:rsidR="00BB173D" w:rsidRPr="00435CDA" w14:paraId="37057C33" w14:textId="77777777" w:rsidTr="00B17A0B">
        <w:trPr>
          <w:trHeight w:val="209"/>
        </w:trPr>
        <w:tc>
          <w:tcPr>
            <w:tcW w:w="1691" w:type="pct"/>
            <w:tcBorders>
              <w:top w:val="nil"/>
              <w:left w:val="single" w:sz="4" w:space="0" w:color="auto"/>
              <w:bottom w:val="single" w:sz="4" w:space="0" w:color="auto"/>
              <w:right w:val="single" w:sz="4" w:space="0" w:color="auto"/>
            </w:tcBorders>
            <w:vAlign w:val="center"/>
          </w:tcPr>
          <w:p w14:paraId="70D0ADB4" w14:textId="10A5CF5F" w:rsidR="00BB173D" w:rsidRPr="00435CDA" w:rsidRDefault="00BB173D" w:rsidP="00B17A0B">
            <w:pPr>
              <w:spacing w:after="0" w:line="240" w:lineRule="auto"/>
              <w:jc w:val="center"/>
              <w:rPr>
                <w:rFonts w:eastAsia="Times New Roman" w:cs="Times New Roman"/>
                <w:color w:val="000000"/>
              </w:rPr>
            </w:pPr>
            <w:r>
              <w:rPr>
                <w:rFonts w:eastAsia="Times New Roman" w:cs="Times New Roman"/>
                <w:color w:val="000000"/>
              </w:rPr>
              <w:t>HD Epidemiologist</w:t>
            </w:r>
          </w:p>
        </w:tc>
        <w:tc>
          <w:tcPr>
            <w:tcW w:w="996" w:type="pct"/>
            <w:tcBorders>
              <w:top w:val="nil"/>
              <w:left w:val="nil"/>
              <w:bottom w:val="single" w:sz="4" w:space="0" w:color="auto"/>
              <w:right w:val="single" w:sz="4" w:space="0" w:color="auto"/>
            </w:tcBorders>
            <w:noWrap/>
            <w:vAlign w:val="center"/>
          </w:tcPr>
          <w:p w14:paraId="10A4CDCD" w14:textId="77EAE786" w:rsidR="00BB173D" w:rsidRPr="00435CDA" w:rsidRDefault="00BB173D" w:rsidP="002908A0">
            <w:pPr>
              <w:spacing w:after="0" w:line="240" w:lineRule="auto"/>
              <w:jc w:val="center"/>
              <w:rPr>
                <w:rFonts w:eastAsia="Times New Roman" w:cs="Times New Roman"/>
                <w:color w:val="000000"/>
              </w:rPr>
            </w:pPr>
            <w:r>
              <w:rPr>
                <w:rFonts w:eastAsia="Times New Roman" w:cs="Times New Roman"/>
                <w:color w:val="000000"/>
              </w:rPr>
              <w:t>15</w:t>
            </w:r>
          </w:p>
        </w:tc>
        <w:tc>
          <w:tcPr>
            <w:tcW w:w="697" w:type="pct"/>
            <w:tcBorders>
              <w:top w:val="nil"/>
              <w:left w:val="nil"/>
              <w:bottom w:val="single" w:sz="4" w:space="0" w:color="auto"/>
              <w:right w:val="single" w:sz="4" w:space="0" w:color="auto"/>
            </w:tcBorders>
            <w:noWrap/>
            <w:vAlign w:val="center"/>
          </w:tcPr>
          <w:p w14:paraId="1D77F6A2" w14:textId="09C0E8F5" w:rsidR="00BB173D" w:rsidRPr="00435CDA" w:rsidRDefault="00BB173D">
            <w:pPr>
              <w:spacing w:after="0" w:line="240" w:lineRule="auto"/>
              <w:jc w:val="center"/>
              <w:rPr>
                <w:rFonts w:eastAsia="Times New Roman" w:cs="Times New Roman"/>
                <w:color w:val="000000"/>
              </w:rPr>
            </w:pPr>
            <w:r>
              <w:rPr>
                <w:rFonts w:eastAsia="Times New Roman" w:cs="Times New Roman"/>
                <w:color w:val="000000"/>
              </w:rPr>
              <w:t>15</w:t>
            </w:r>
          </w:p>
        </w:tc>
        <w:tc>
          <w:tcPr>
            <w:tcW w:w="622" w:type="pct"/>
            <w:tcBorders>
              <w:top w:val="nil"/>
              <w:left w:val="nil"/>
              <w:bottom w:val="single" w:sz="4" w:space="0" w:color="auto"/>
              <w:right w:val="single" w:sz="4" w:space="0" w:color="auto"/>
            </w:tcBorders>
            <w:noWrap/>
            <w:vAlign w:val="center"/>
          </w:tcPr>
          <w:p w14:paraId="1E3D716E" w14:textId="68453828" w:rsidR="00BB173D" w:rsidRPr="00435CDA" w:rsidRDefault="00BB173D">
            <w:pPr>
              <w:spacing w:after="0" w:line="240" w:lineRule="auto"/>
              <w:jc w:val="center"/>
              <w:rPr>
                <w:rFonts w:eastAsia="Times New Roman" w:cs="Times New Roman"/>
                <w:color w:val="000000"/>
              </w:rPr>
            </w:pPr>
            <w:r>
              <w:rPr>
                <w:rFonts w:eastAsia="Times New Roman" w:cs="Times New Roman"/>
                <w:color w:val="000000"/>
              </w:rPr>
              <w:t>$22.34</w:t>
            </w:r>
          </w:p>
        </w:tc>
        <w:tc>
          <w:tcPr>
            <w:tcW w:w="994" w:type="pct"/>
            <w:tcBorders>
              <w:top w:val="nil"/>
              <w:left w:val="nil"/>
              <w:bottom w:val="single" w:sz="4" w:space="0" w:color="auto"/>
              <w:right w:val="single" w:sz="4" w:space="0" w:color="auto"/>
            </w:tcBorders>
            <w:noWrap/>
            <w:vAlign w:val="center"/>
          </w:tcPr>
          <w:p w14:paraId="363554DD" w14:textId="42884666" w:rsidR="00BB173D" w:rsidRPr="00435CDA" w:rsidRDefault="00BB173D">
            <w:pPr>
              <w:jc w:val="center"/>
              <w:rPr>
                <w:color w:val="000000"/>
              </w:rPr>
            </w:pPr>
            <w:r>
              <w:rPr>
                <w:color w:val="000000"/>
              </w:rPr>
              <w:t>$355.10</w:t>
            </w:r>
          </w:p>
        </w:tc>
      </w:tr>
      <w:tr w:rsidR="00160ED2" w:rsidRPr="00435CDA" w14:paraId="427C39C7" w14:textId="77777777" w:rsidTr="00764293">
        <w:trPr>
          <w:trHeight w:val="209"/>
        </w:trPr>
        <w:tc>
          <w:tcPr>
            <w:tcW w:w="1691" w:type="pct"/>
            <w:tcBorders>
              <w:top w:val="nil"/>
              <w:left w:val="single" w:sz="4" w:space="0" w:color="auto"/>
              <w:bottom w:val="single" w:sz="4" w:space="0" w:color="auto"/>
              <w:right w:val="single" w:sz="4" w:space="0" w:color="auto"/>
            </w:tcBorders>
            <w:vAlign w:val="center"/>
            <w:hideMark/>
          </w:tcPr>
          <w:p w14:paraId="3671B993" w14:textId="77777777" w:rsidR="00160ED2" w:rsidRPr="00435CDA" w:rsidRDefault="00160ED2" w:rsidP="006B70CE">
            <w:pPr>
              <w:spacing w:after="0" w:line="240" w:lineRule="auto"/>
              <w:rPr>
                <w:rFonts w:eastAsia="Times New Roman" w:cs="Times New Roman"/>
                <w:color w:val="000000"/>
              </w:rPr>
            </w:pPr>
            <w:r w:rsidRPr="00435CDA">
              <w:rPr>
                <w:rFonts w:eastAsia="Times New Roman" w:cs="Times New Roman"/>
                <w:color w:val="000000"/>
              </w:rPr>
              <w:t xml:space="preserve">Infection </w:t>
            </w:r>
            <w:proofErr w:type="spellStart"/>
            <w:r w:rsidRPr="00435CDA">
              <w:rPr>
                <w:rFonts w:eastAsia="Times New Roman" w:cs="Times New Roman"/>
                <w:color w:val="000000"/>
              </w:rPr>
              <w:t>Preventionist</w:t>
            </w:r>
            <w:proofErr w:type="spellEnd"/>
          </w:p>
        </w:tc>
        <w:tc>
          <w:tcPr>
            <w:tcW w:w="996" w:type="pct"/>
            <w:tcBorders>
              <w:top w:val="nil"/>
              <w:left w:val="nil"/>
              <w:bottom w:val="single" w:sz="4" w:space="0" w:color="auto"/>
              <w:right w:val="single" w:sz="4" w:space="0" w:color="auto"/>
            </w:tcBorders>
            <w:noWrap/>
            <w:vAlign w:val="center"/>
            <w:hideMark/>
          </w:tcPr>
          <w:p w14:paraId="43E91797" w14:textId="77777777" w:rsidR="00160ED2" w:rsidRPr="00435CDA" w:rsidRDefault="00160ED2" w:rsidP="00611E89">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697" w:type="pct"/>
            <w:tcBorders>
              <w:top w:val="nil"/>
              <w:left w:val="nil"/>
              <w:bottom w:val="single" w:sz="4" w:space="0" w:color="auto"/>
              <w:right w:val="single" w:sz="4" w:space="0" w:color="auto"/>
            </w:tcBorders>
            <w:noWrap/>
            <w:vAlign w:val="center"/>
          </w:tcPr>
          <w:p w14:paraId="5BCFC8B8"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15</w:t>
            </w:r>
          </w:p>
        </w:tc>
        <w:tc>
          <w:tcPr>
            <w:tcW w:w="622" w:type="pct"/>
            <w:tcBorders>
              <w:top w:val="nil"/>
              <w:left w:val="nil"/>
              <w:bottom w:val="single" w:sz="4" w:space="0" w:color="auto"/>
              <w:right w:val="single" w:sz="4" w:space="0" w:color="auto"/>
            </w:tcBorders>
            <w:noWrap/>
            <w:vAlign w:val="center"/>
          </w:tcPr>
          <w:p w14:paraId="4D541714"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$31.89</w:t>
            </w:r>
          </w:p>
        </w:tc>
        <w:tc>
          <w:tcPr>
            <w:tcW w:w="994" w:type="pct"/>
            <w:tcBorders>
              <w:top w:val="nil"/>
              <w:left w:val="nil"/>
              <w:bottom w:val="single" w:sz="4" w:space="0" w:color="auto"/>
              <w:right w:val="single" w:sz="4" w:space="0" w:color="auto"/>
            </w:tcBorders>
            <w:noWrap/>
            <w:vAlign w:val="bottom"/>
          </w:tcPr>
          <w:p w14:paraId="2E064B1C" w14:textId="03EBDC7D" w:rsidR="00160ED2" w:rsidRPr="00435CDA" w:rsidRDefault="00160ED2" w:rsidP="00160ED2">
            <w:pPr>
              <w:jc w:val="center"/>
              <w:rPr>
                <w:color w:val="000000"/>
              </w:rPr>
            </w:pPr>
            <w:r w:rsidRPr="00435CDA">
              <w:rPr>
                <w:color w:val="000000"/>
              </w:rPr>
              <w:t>$478.35</w:t>
            </w:r>
          </w:p>
        </w:tc>
      </w:tr>
      <w:tr w:rsidR="00160ED2" w:rsidRPr="00435CDA" w14:paraId="2B1503F6" w14:textId="77777777" w:rsidTr="00764293">
        <w:trPr>
          <w:trHeight w:val="209"/>
        </w:trPr>
        <w:tc>
          <w:tcPr>
            <w:tcW w:w="1691" w:type="pct"/>
            <w:tcBorders>
              <w:top w:val="nil"/>
              <w:left w:val="single" w:sz="4" w:space="0" w:color="auto"/>
              <w:bottom w:val="single" w:sz="4" w:space="0" w:color="auto"/>
              <w:right w:val="single" w:sz="4" w:space="0" w:color="auto"/>
            </w:tcBorders>
            <w:vAlign w:val="center"/>
            <w:hideMark/>
          </w:tcPr>
          <w:p w14:paraId="32C16182" w14:textId="77777777" w:rsidR="00160ED2" w:rsidRPr="00435CDA" w:rsidRDefault="00160ED2" w:rsidP="006B70CE">
            <w:pPr>
              <w:spacing w:after="0" w:line="240" w:lineRule="auto"/>
              <w:rPr>
                <w:rFonts w:eastAsia="Times New Roman" w:cs="Times New Roman"/>
                <w:color w:val="000000"/>
              </w:rPr>
            </w:pPr>
            <w:r w:rsidRPr="00435CDA">
              <w:rPr>
                <w:rFonts w:eastAsia="Times New Roman" w:cs="Times New Roman"/>
                <w:color w:val="000000"/>
              </w:rPr>
              <w:t>Informatics Director</w:t>
            </w:r>
          </w:p>
        </w:tc>
        <w:tc>
          <w:tcPr>
            <w:tcW w:w="996" w:type="pct"/>
            <w:tcBorders>
              <w:top w:val="nil"/>
              <w:left w:val="nil"/>
              <w:bottom w:val="single" w:sz="4" w:space="0" w:color="auto"/>
              <w:right w:val="single" w:sz="4" w:space="0" w:color="auto"/>
            </w:tcBorders>
            <w:noWrap/>
            <w:vAlign w:val="center"/>
            <w:hideMark/>
          </w:tcPr>
          <w:p w14:paraId="3FC68661" w14:textId="77777777" w:rsidR="00160ED2" w:rsidRPr="00435CDA" w:rsidRDefault="00160ED2" w:rsidP="00611E89">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697" w:type="pct"/>
            <w:tcBorders>
              <w:top w:val="nil"/>
              <w:left w:val="nil"/>
              <w:bottom w:val="single" w:sz="4" w:space="0" w:color="auto"/>
              <w:right w:val="single" w:sz="4" w:space="0" w:color="auto"/>
            </w:tcBorders>
            <w:noWrap/>
            <w:vAlign w:val="center"/>
          </w:tcPr>
          <w:p w14:paraId="64AD7E4C"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15</w:t>
            </w:r>
          </w:p>
        </w:tc>
        <w:tc>
          <w:tcPr>
            <w:tcW w:w="622" w:type="pct"/>
            <w:tcBorders>
              <w:top w:val="nil"/>
              <w:left w:val="nil"/>
              <w:bottom w:val="single" w:sz="4" w:space="0" w:color="auto"/>
              <w:right w:val="single" w:sz="4" w:space="0" w:color="auto"/>
            </w:tcBorders>
            <w:noWrap/>
            <w:vAlign w:val="center"/>
          </w:tcPr>
          <w:p w14:paraId="6ED32803"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$59.59</w:t>
            </w:r>
          </w:p>
        </w:tc>
        <w:tc>
          <w:tcPr>
            <w:tcW w:w="994" w:type="pct"/>
            <w:tcBorders>
              <w:top w:val="nil"/>
              <w:left w:val="nil"/>
              <w:bottom w:val="single" w:sz="4" w:space="0" w:color="auto"/>
              <w:right w:val="single" w:sz="4" w:space="0" w:color="auto"/>
            </w:tcBorders>
            <w:noWrap/>
            <w:vAlign w:val="bottom"/>
          </w:tcPr>
          <w:p w14:paraId="35B2E557" w14:textId="0A765977" w:rsidR="00160ED2" w:rsidRPr="00435CDA" w:rsidRDefault="00160ED2" w:rsidP="00160ED2">
            <w:pPr>
              <w:jc w:val="center"/>
              <w:rPr>
                <w:color w:val="000000"/>
              </w:rPr>
            </w:pPr>
            <w:r w:rsidRPr="00435CDA">
              <w:rPr>
                <w:color w:val="000000"/>
              </w:rPr>
              <w:t>$893.85</w:t>
            </w:r>
          </w:p>
        </w:tc>
      </w:tr>
      <w:tr w:rsidR="00160ED2" w:rsidRPr="00435CDA" w14:paraId="7A006FD7" w14:textId="77777777" w:rsidTr="00764293">
        <w:trPr>
          <w:trHeight w:val="209"/>
        </w:trPr>
        <w:tc>
          <w:tcPr>
            <w:tcW w:w="1691" w:type="pct"/>
            <w:tcBorders>
              <w:top w:val="nil"/>
              <w:left w:val="single" w:sz="4" w:space="0" w:color="auto"/>
              <w:bottom w:val="single" w:sz="4" w:space="0" w:color="auto"/>
              <w:right w:val="single" w:sz="4" w:space="0" w:color="auto"/>
            </w:tcBorders>
            <w:vAlign w:val="center"/>
            <w:hideMark/>
          </w:tcPr>
          <w:p w14:paraId="6045C789" w14:textId="6C3B3F84" w:rsidR="00160ED2" w:rsidRPr="00435CDA" w:rsidRDefault="00611E89" w:rsidP="00B90ECB">
            <w:pPr>
              <w:spacing w:after="0" w:line="240" w:lineRule="auto"/>
              <w:rPr>
                <w:rFonts w:eastAsia="Times New Roman" w:cs="Times New Roman"/>
                <w:color w:val="000000"/>
              </w:rPr>
            </w:pPr>
            <w:r w:rsidRPr="00435CDA">
              <w:rPr>
                <w:rFonts w:eastAsia="Times New Roman" w:cs="Times New Roman"/>
                <w:color w:val="000000"/>
              </w:rPr>
              <w:t>Other as referred by</w:t>
            </w:r>
            <w:r w:rsidR="00B90ECB">
              <w:rPr>
                <w:rFonts w:eastAsia="Times New Roman" w:cs="Times New Roman"/>
                <w:color w:val="000000"/>
              </w:rPr>
              <w:t xml:space="preserve"> Infection </w:t>
            </w:r>
            <w:proofErr w:type="spellStart"/>
            <w:r w:rsidR="00B90ECB">
              <w:rPr>
                <w:rFonts w:eastAsia="Times New Roman" w:cs="Times New Roman"/>
                <w:color w:val="000000"/>
              </w:rPr>
              <w:t>Preventionist</w:t>
            </w:r>
            <w:proofErr w:type="spellEnd"/>
            <w:r w:rsidR="00B90ECB">
              <w:rPr>
                <w:rFonts w:eastAsia="Times New Roman" w:cs="Times New Roman"/>
                <w:color w:val="000000"/>
              </w:rPr>
              <w:t xml:space="preserve"> or</w:t>
            </w:r>
            <w:r w:rsidRPr="00435CDA">
              <w:rPr>
                <w:rFonts w:eastAsia="Times New Roman" w:cs="Times New Roman"/>
                <w:color w:val="000000"/>
              </w:rPr>
              <w:t xml:space="preserve"> Informatics </w:t>
            </w:r>
            <w:r w:rsidRPr="00435CDA">
              <w:rPr>
                <w:rFonts w:eastAsia="Times New Roman" w:cs="Times New Roman"/>
                <w:color w:val="000000"/>
              </w:rPr>
              <w:lastRenderedPageBreak/>
              <w:t>Director</w:t>
            </w:r>
            <w:r w:rsidR="00B90ECB">
              <w:rPr>
                <w:rFonts w:eastAsia="Times New Roman" w:cs="Times New Roman"/>
                <w:color w:val="000000"/>
              </w:rPr>
              <w:t xml:space="preserve"> </w:t>
            </w:r>
            <w:r w:rsidR="00B90ECB" w:rsidRPr="00435CDA">
              <w:rPr>
                <w:rFonts w:eastAsia="Times New Roman" w:cs="Times New Roman"/>
                <w:color w:val="000000"/>
              </w:rPr>
              <w:t>(for example, privacy officer or risk management specialist)</w:t>
            </w:r>
            <w:r w:rsidRPr="00435CDA">
              <w:rPr>
                <w:rFonts w:eastAsia="Times New Roman" w:cs="Times New Roman"/>
                <w:color w:val="000000"/>
              </w:rPr>
              <w:t xml:space="preserve"> </w:t>
            </w:r>
          </w:p>
        </w:tc>
        <w:tc>
          <w:tcPr>
            <w:tcW w:w="996" w:type="pct"/>
            <w:tcBorders>
              <w:top w:val="nil"/>
              <w:left w:val="nil"/>
              <w:bottom w:val="single" w:sz="4" w:space="0" w:color="auto"/>
              <w:right w:val="single" w:sz="4" w:space="0" w:color="auto"/>
            </w:tcBorders>
            <w:noWrap/>
            <w:vAlign w:val="center"/>
            <w:hideMark/>
          </w:tcPr>
          <w:p w14:paraId="7004C46F" w14:textId="77777777" w:rsidR="00160ED2" w:rsidRPr="00435CDA" w:rsidRDefault="00160ED2" w:rsidP="00611E89">
            <w:pPr>
              <w:spacing w:after="0" w:line="240" w:lineRule="auto"/>
              <w:jc w:val="center"/>
              <w:rPr>
                <w:rFonts w:eastAsia="Times New Roman" w:cs="Times New Roman"/>
                <w:color w:val="000000"/>
              </w:rPr>
            </w:pPr>
            <w:r w:rsidRPr="00435CDA">
              <w:rPr>
                <w:rFonts w:eastAsia="Times New Roman" w:cs="Times New Roman"/>
                <w:color w:val="000000"/>
              </w:rPr>
              <w:lastRenderedPageBreak/>
              <w:t>30</w:t>
            </w:r>
          </w:p>
        </w:tc>
        <w:tc>
          <w:tcPr>
            <w:tcW w:w="697" w:type="pct"/>
            <w:tcBorders>
              <w:top w:val="nil"/>
              <w:left w:val="nil"/>
              <w:bottom w:val="single" w:sz="4" w:space="0" w:color="auto"/>
              <w:right w:val="single" w:sz="4" w:space="0" w:color="auto"/>
            </w:tcBorders>
            <w:noWrap/>
            <w:vAlign w:val="center"/>
          </w:tcPr>
          <w:p w14:paraId="5A7E1B21"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15</w:t>
            </w:r>
          </w:p>
        </w:tc>
        <w:tc>
          <w:tcPr>
            <w:tcW w:w="622" w:type="pct"/>
            <w:tcBorders>
              <w:top w:val="nil"/>
              <w:left w:val="nil"/>
              <w:bottom w:val="single" w:sz="4" w:space="0" w:color="auto"/>
              <w:right w:val="single" w:sz="4" w:space="0" w:color="auto"/>
            </w:tcBorders>
            <w:noWrap/>
            <w:vAlign w:val="center"/>
          </w:tcPr>
          <w:p w14:paraId="32E39C64"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$32.10</w:t>
            </w:r>
          </w:p>
        </w:tc>
        <w:tc>
          <w:tcPr>
            <w:tcW w:w="994" w:type="pct"/>
            <w:tcBorders>
              <w:top w:val="nil"/>
              <w:left w:val="nil"/>
              <w:bottom w:val="single" w:sz="4" w:space="0" w:color="auto"/>
              <w:right w:val="single" w:sz="4" w:space="0" w:color="auto"/>
            </w:tcBorders>
            <w:noWrap/>
            <w:vAlign w:val="bottom"/>
          </w:tcPr>
          <w:p w14:paraId="60F389F5" w14:textId="7952EA97" w:rsidR="00160ED2" w:rsidRPr="00435CDA" w:rsidRDefault="00160ED2" w:rsidP="00160ED2">
            <w:pPr>
              <w:jc w:val="center"/>
              <w:rPr>
                <w:color w:val="000000"/>
              </w:rPr>
            </w:pPr>
            <w:r w:rsidRPr="00435CDA">
              <w:rPr>
                <w:color w:val="000000"/>
              </w:rPr>
              <w:t>$481.50</w:t>
            </w:r>
          </w:p>
        </w:tc>
      </w:tr>
      <w:tr w:rsidR="00160ED2" w:rsidRPr="00435CDA" w14:paraId="3A2D8040" w14:textId="77777777" w:rsidTr="00764293">
        <w:trPr>
          <w:trHeight w:val="209"/>
        </w:trPr>
        <w:tc>
          <w:tcPr>
            <w:tcW w:w="1691" w:type="pct"/>
            <w:tcBorders>
              <w:top w:val="nil"/>
              <w:left w:val="single" w:sz="4" w:space="0" w:color="auto"/>
              <w:bottom w:val="single" w:sz="4" w:space="0" w:color="auto"/>
              <w:right w:val="single" w:sz="4" w:space="0" w:color="auto"/>
            </w:tcBorders>
            <w:vAlign w:val="center"/>
          </w:tcPr>
          <w:p w14:paraId="7DCF8443" w14:textId="77777777" w:rsidR="00160ED2" w:rsidRPr="00435CDA" w:rsidRDefault="00160ED2" w:rsidP="006B70CE">
            <w:pPr>
              <w:spacing w:after="0" w:line="240" w:lineRule="auto"/>
              <w:rPr>
                <w:rFonts w:eastAsia="Times New Roman" w:cs="Times New Roman"/>
                <w:color w:val="000000"/>
              </w:rPr>
            </w:pPr>
            <w:r w:rsidRPr="00435CDA">
              <w:rPr>
                <w:rFonts w:eastAsia="Times New Roman" w:cs="Times New Roman"/>
                <w:color w:val="000000"/>
              </w:rPr>
              <w:lastRenderedPageBreak/>
              <w:t>Clinic Director</w:t>
            </w:r>
          </w:p>
        </w:tc>
        <w:tc>
          <w:tcPr>
            <w:tcW w:w="996" w:type="pct"/>
            <w:tcBorders>
              <w:top w:val="nil"/>
              <w:left w:val="nil"/>
              <w:bottom w:val="single" w:sz="4" w:space="0" w:color="auto"/>
              <w:right w:val="single" w:sz="4" w:space="0" w:color="auto"/>
            </w:tcBorders>
            <w:noWrap/>
            <w:vAlign w:val="center"/>
          </w:tcPr>
          <w:p w14:paraId="1D11F39B" w14:textId="77777777" w:rsidR="00160ED2" w:rsidRPr="00435CDA" w:rsidRDefault="00160ED2" w:rsidP="00611E89">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697" w:type="pct"/>
            <w:tcBorders>
              <w:top w:val="nil"/>
              <w:left w:val="nil"/>
              <w:bottom w:val="single" w:sz="4" w:space="0" w:color="auto"/>
              <w:right w:val="single" w:sz="4" w:space="0" w:color="auto"/>
            </w:tcBorders>
            <w:noWrap/>
            <w:vAlign w:val="center"/>
          </w:tcPr>
          <w:p w14:paraId="53B5789A"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15</w:t>
            </w:r>
          </w:p>
        </w:tc>
        <w:tc>
          <w:tcPr>
            <w:tcW w:w="622" w:type="pct"/>
            <w:tcBorders>
              <w:top w:val="nil"/>
              <w:left w:val="nil"/>
              <w:bottom w:val="single" w:sz="4" w:space="0" w:color="auto"/>
              <w:right w:val="single" w:sz="4" w:space="0" w:color="auto"/>
            </w:tcBorders>
            <w:noWrap/>
            <w:vAlign w:val="center"/>
          </w:tcPr>
          <w:p w14:paraId="73E08781"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$92.25</w:t>
            </w:r>
          </w:p>
        </w:tc>
        <w:tc>
          <w:tcPr>
            <w:tcW w:w="994" w:type="pct"/>
            <w:tcBorders>
              <w:top w:val="nil"/>
              <w:left w:val="nil"/>
              <w:bottom w:val="single" w:sz="4" w:space="0" w:color="auto"/>
              <w:right w:val="single" w:sz="4" w:space="0" w:color="auto"/>
            </w:tcBorders>
            <w:noWrap/>
            <w:vAlign w:val="bottom"/>
          </w:tcPr>
          <w:p w14:paraId="07BB5EB8" w14:textId="7CFEA42E" w:rsidR="00160ED2" w:rsidRPr="00435CDA" w:rsidRDefault="00160ED2" w:rsidP="00160ED2">
            <w:pPr>
              <w:jc w:val="center"/>
              <w:rPr>
                <w:color w:val="000000"/>
              </w:rPr>
            </w:pPr>
            <w:r w:rsidRPr="00435CDA">
              <w:rPr>
                <w:color w:val="000000"/>
              </w:rPr>
              <w:t>$1,383.75</w:t>
            </w:r>
          </w:p>
        </w:tc>
      </w:tr>
      <w:tr w:rsidR="00160ED2" w:rsidRPr="00435CDA" w14:paraId="45E1198F" w14:textId="77777777" w:rsidTr="00764293">
        <w:trPr>
          <w:trHeight w:val="209"/>
        </w:trPr>
        <w:tc>
          <w:tcPr>
            <w:tcW w:w="1691" w:type="pct"/>
            <w:tcBorders>
              <w:top w:val="nil"/>
              <w:left w:val="single" w:sz="4" w:space="0" w:color="auto"/>
              <w:bottom w:val="single" w:sz="4" w:space="0" w:color="auto"/>
              <w:right w:val="single" w:sz="4" w:space="0" w:color="auto"/>
            </w:tcBorders>
            <w:vAlign w:val="center"/>
          </w:tcPr>
          <w:p w14:paraId="7E9DF50F" w14:textId="069BFF9F" w:rsidR="00160ED2" w:rsidRPr="00435CDA" w:rsidRDefault="00B90ECB" w:rsidP="00B90ECB">
            <w:pPr>
              <w:spacing w:after="0" w:line="240" w:lineRule="auto"/>
              <w:rPr>
                <w:rFonts w:eastAsia="Times New Roman" w:cs="Times New Roman"/>
                <w:color w:val="000000"/>
              </w:rPr>
            </w:pPr>
            <w:r>
              <w:rPr>
                <w:rFonts w:eastAsia="Times New Roman" w:cs="Times New Roman"/>
                <w:color w:val="000000"/>
              </w:rPr>
              <w:t>Other as referred by</w:t>
            </w:r>
            <w:r w:rsidR="00611E89" w:rsidRPr="00435CDA">
              <w:rPr>
                <w:rFonts w:eastAsia="Times New Roman" w:cs="Times New Roman"/>
                <w:color w:val="000000"/>
              </w:rPr>
              <w:t xml:space="preserve"> Clinic Director </w:t>
            </w:r>
            <w:r w:rsidRPr="00435CDA">
              <w:rPr>
                <w:rFonts w:eastAsia="Times New Roman" w:cs="Times New Roman"/>
                <w:color w:val="000000"/>
              </w:rPr>
              <w:t>(for example, patient records manager)</w:t>
            </w:r>
          </w:p>
        </w:tc>
        <w:tc>
          <w:tcPr>
            <w:tcW w:w="996" w:type="pct"/>
            <w:tcBorders>
              <w:top w:val="nil"/>
              <w:left w:val="nil"/>
              <w:bottom w:val="single" w:sz="4" w:space="0" w:color="auto"/>
              <w:right w:val="single" w:sz="4" w:space="0" w:color="auto"/>
            </w:tcBorders>
            <w:noWrap/>
            <w:vAlign w:val="center"/>
          </w:tcPr>
          <w:p w14:paraId="0CCF2A2D" w14:textId="77777777" w:rsidR="00160ED2" w:rsidRPr="00435CDA" w:rsidRDefault="00160ED2" w:rsidP="00611E89">
            <w:pPr>
              <w:spacing w:after="0" w:line="240" w:lineRule="auto"/>
              <w:jc w:val="center"/>
              <w:rPr>
                <w:rFonts w:eastAsia="Times New Roman" w:cs="Times New Roman"/>
                <w:color w:val="000000"/>
              </w:rPr>
            </w:pPr>
            <w:r w:rsidRPr="00435CDA">
              <w:rPr>
                <w:rFonts w:eastAsia="Times New Roman" w:cs="Times New Roman"/>
                <w:color w:val="000000"/>
              </w:rPr>
              <w:t>30</w:t>
            </w:r>
          </w:p>
        </w:tc>
        <w:tc>
          <w:tcPr>
            <w:tcW w:w="697" w:type="pct"/>
            <w:tcBorders>
              <w:top w:val="nil"/>
              <w:left w:val="nil"/>
              <w:bottom w:val="single" w:sz="4" w:space="0" w:color="auto"/>
              <w:right w:val="single" w:sz="4" w:space="0" w:color="auto"/>
            </w:tcBorders>
            <w:noWrap/>
            <w:vAlign w:val="center"/>
          </w:tcPr>
          <w:p w14:paraId="2F3963ED"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15</w:t>
            </w:r>
          </w:p>
        </w:tc>
        <w:tc>
          <w:tcPr>
            <w:tcW w:w="622" w:type="pct"/>
            <w:tcBorders>
              <w:top w:val="nil"/>
              <w:left w:val="nil"/>
              <w:bottom w:val="single" w:sz="4" w:space="0" w:color="auto"/>
              <w:right w:val="single" w:sz="4" w:space="0" w:color="auto"/>
            </w:tcBorders>
            <w:noWrap/>
            <w:vAlign w:val="center"/>
          </w:tcPr>
          <w:p w14:paraId="47BB4C8B" w14:textId="77777777" w:rsidR="00160ED2" w:rsidRPr="00435CDA" w:rsidRDefault="00160ED2" w:rsidP="006B70CE">
            <w:pPr>
              <w:spacing w:after="0" w:line="240" w:lineRule="auto"/>
              <w:jc w:val="center"/>
              <w:rPr>
                <w:rFonts w:eastAsia="Times New Roman" w:cs="Times New Roman"/>
                <w:color w:val="000000"/>
              </w:rPr>
            </w:pPr>
            <w:r w:rsidRPr="00435CDA">
              <w:rPr>
                <w:rFonts w:eastAsia="Times New Roman" w:cs="Times New Roman"/>
                <w:color w:val="000000"/>
              </w:rPr>
              <w:t>$18.13</w:t>
            </w:r>
          </w:p>
        </w:tc>
        <w:tc>
          <w:tcPr>
            <w:tcW w:w="994" w:type="pct"/>
            <w:tcBorders>
              <w:top w:val="nil"/>
              <w:left w:val="nil"/>
              <w:bottom w:val="single" w:sz="4" w:space="0" w:color="auto"/>
              <w:right w:val="single" w:sz="4" w:space="0" w:color="auto"/>
            </w:tcBorders>
            <w:noWrap/>
            <w:vAlign w:val="bottom"/>
          </w:tcPr>
          <w:p w14:paraId="77745B57" w14:textId="4FED6655" w:rsidR="00160ED2" w:rsidRPr="00435CDA" w:rsidRDefault="00160ED2" w:rsidP="00160ED2">
            <w:pPr>
              <w:jc w:val="center"/>
              <w:rPr>
                <w:color w:val="000000"/>
              </w:rPr>
            </w:pPr>
            <w:r w:rsidRPr="00435CDA">
              <w:rPr>
                <w:color w:val="000000"/>
              </w:rPr>
              <w:t>$271.95</w:t>
            </w:r>
          </w:p>
        </w:tc>
      </w:tr>
      <w:tr w:rsidR="00160ED2" w:rsidRPr="00435CDA" w14:paraId="2B781767" w14:textId="77777777" w:rsidTr="00764293">
        <w:trPr>
          <w:trHeight w:val="49"/>
        </w:trPr>
        <w:tc>
          <w:tcPr>
            <w:tcW w:w="1691" w:type="pct"/>
            <w:tcBorders>
              <w:top w:val="nil"/>
              <w:left w:val="single" w:sz="4" w:space="0" w:color="auto"/>
              <w:bottom w:val="single" w:sz="4" w:space="0" w:color="auto"/>
              <w:right w:val="single" w:sz="4" w:space="0" w:color="auto"/>
            </w:tcBorders>
            <w:noWrap/>
            <w:vAlign w:val="center"/>
            <w:hideMark/>
          </w:tcPr>
          <w:p w14:paraId="679E4DA7" w14:textId="77777777" w:rsidR="00160ED2" w:rsidRPr="00435CDA" w:rsidRDefault="00160ED2" w:rsidP="006B70CE">
            <w:pPr>
              <w:spacing w:after="0" w:line="240" w:lineRule="auto"/>
              <w:jc w:val="right"/>
              <w:rPr>
                <w:rFonts w:eastAsia="Times New Roman" w:cs="Times New Roman"/>
                <w:b/>
                <w:bCs/>
                <w:color w:val="000000"/>
              </w:rPr>
            </w:pPr>
            <w:r w:rsidRPr="00435CDA">
              <w:rPr>
                <w:rFonts w:eastAsia="Times New Roman" w:cs="Times New Roman"/>
                <w:b/>
                <w:bCs/>
                <w:color w:val="000000"/>
              </w:rPr>
              <w:t>Totals</w:t>
            </w:r>
          </w:p>
        </w:tc>
        <w:tc>
          <w:tcPr>
            <w:tcW w:w="996" w:type="pct"/>
            <w:tcBorders>
              <w:top w:val="nil"/>
              <w:left w:val="nil"/>
              <w:bottom w:val="single" w:sz="4" w:space="0" w:color="auto"/>
              <w:right w:val="single" w:sz="4" w:space="0" w:color="auto"/>
            </w:tcBorders>
            <w:noWrap/>
            <w:vAlign w:val="center"/>
            <w:hideMark/>
          </w:tcPr>
          <w:p w14:paraId="3F15DD2E" w14:textId="18EDCD75" w:rsidR="00160ED2" w:rsidRPr="00435CDA" w:rsidRDefault="00BB173D" w:rsidP="00611E89">
            <w:pPr>
              <w:spacing w:after="0" w:line="240" w:lineRule="auto"/>
              <w:jc w:val="center"/>
              <w:rPr>
                <w:rFonts w:eastAsia="Times New Roman" w:cs="Times New Roman"/>
                <w:b/>
                <w:color w:val="000000"/>
              </w:rPr>
            </w:pPr>
            <w:r>
              <w:rPr>
                <w:rFonts w:eastAsia="Times New Roman" w:cs="Times New Roman"/>
                <w:b/>
                <w:color w:val="000000"/>
              </w:rPr>
              <w:t>165</w:t>
            </w:r>
          </w:p>
        </w:tc>
        <w:tc>
          <w:tcPr>
            <w:tcW w:w="697" w:type="pct"/>
            <w:tcBorders>
              <w:top w:val="nil"/>
              <w:left w:val="nil"/>
              <w:bottom w:val="single" w:sz="4" w:space="0" w:color="auto"/>
              <w:right w:val="single" w:sz="4" w:space="0" w:color="auto"/>
            </w:tcBorders>
            <w:noWrap/>
            <w:vAlign w:val="center"/>
            <w:hideMark/>
          </w:tcPr>
          <w:p w14:paraId="23496514" w14:textId="75EFC5B0" w:rsidR="00160ED2" w:rsidRPr="00435CDA" w:rsidRDefault="00BB173D" w:rsidP="006B70CE">
            <w:pPr>
              <w:spacing w:after="0" w:line="240" w:lineRule="auto"/>
              <w:jc w:val="center"/>
              <w:rPr>
                <w:rFonts w:eastAsia="Times New Roman" w:cs="Times New Roman"/>
                <w:b/>
                <w:color w:val="000000"/>
              </w:rPr>
            </w:pPr>
            <w:r>
              <w:rPr>
                <w:rFonts w:eastAsia="Times New Roman" w:cs="Times New Roman"/>
                <w:b/>
                <w:color w:val="000000"/>
              </w:rPr>
              <w:t>90</w:t>
            </w:r>
          </w:p>
        </w:tc>
        <w:tc>
          <w:tcPr>
            <w:tcW w:w="622" w:type="pct"/>
            <w:tcBorders>
              <w:top w:val="nil"/>
              <w:left w:val="nil"/>
              <w:bottom w:val="single" w:sz="4" w:space="0" w:color="auto"/>
              <w:right w:val="single" w:sz="4" w:space="0" w:color="auto"/>
            </w:tcBorders>
            <w:shd w:val="clear" w:color="auto" w:fill="D9D9D9"/>
            <w:noWrap/>
            <w:vAlign w:val="center"/>
            <w:hideMark/>
          </w:tcPr>
          <w:p w14:paraId="51B768FC" w14:textId="77777777" w:rsidR="00160ED2" w:rsidRPr="00435CDA" w:rsidRDefault="00160ED2" w:rsidP="006B70CE">
            <w:pPr>
              <w:spacing w:after="0" w:line="240" w:lineRule="auto"/>
              <w:jc w:val="center"/>
              <w:rPr>
                <w:rFonts w:eastAsia="Times New Roman" w:cs="Times New Roman"/>
                <w:b/>
                <w:color w:val="000000"/>
              </w:rPr>
            </w:pPr>
          </w:p>
        </w:tc>
        <w:tc>
          <w:tcPr>
            <w:tcW w:w="994" w:type="pct"/>
            <w:tcBorders>
              <w:top w:val="nil"/>
              <w:left w:val="nil"/>
              <w:bottom w:val="single" w:sz="4" w:space="0" w:color="auto"/>
              <w:right w:val="single" w:sz="4" w:space="0" w:color="auto"/>
            </w:tcBorders>
            <w:noWrap/>
            <w:vAlign w:val="bottom"/>
            <w:hideMark/>
          </w:tcPr>
          <w:p w14:paraId="044378A5" w14:textId="0A7FD605" w:rsidR="00160ED2" w:rsidRPr="00435CDA" w:rsidRDefault="00160ED2" w:rsidP="00BB173D">
            <w:pPr>
              <w:jc w:val="center"/>
              <w:rPr>
                <w:b/>
                <w:color w:val="000000"/>
              </w:rPr>
            </w:pPr>
            <w:r w:rsidRPr="00435CDA">
              <w:rPr>
                <w:b/>
                <w:color w:val="000000"/>
              </w:rPr>
              <w:t>$3,</w:t>
            </w:r>
            <w:r w:rsidR="00BB173D">
              <w:rPr>
                <w:b/>
                <w:color w:val="000000"/>
              </w:rPr>
              <w:t>844.50</w:t>
            </w:r>
          </w:p>
        </w:tc>
      </w:tr>
    </w:tbl>
    <w:p w14:paraId="020F4AA8" w14:textId="77777777" w:rsidR="00160ED2" w:rsidRPr="00435CDA" w:rsidRDefault="00160ED2" w:rsidP="00160ED2">
      <w:pPr>
        <w:pStyle w:val="ListParagraph"/>
        <w:autoSpaceDE w:val="0"/>
        <w:autoSpaceDN w:val="0"/>
        <w:adjustRightInd w:val="0"/>
        <w:ind w:left="0" w:right="720"/>
      </w:pPr>
    </w:p>
    <w:p w14:paraId="3701CD2A" w14:textId="77777777" w:rsidR="00160ED2" w:rsidRPr="00435CDA" w:rsidRDefault="00160ED2" w:rsidP="00160ED2">
      <w:pPr>
        <w:pStyle w:val="ListParagraph"/>
        <w:autoSpaceDE w:val="0"/>
        <w:autoSpaceDN w:val="0"/>
        <w:adjustRightInd w:val="0"/>
        <w:ind w:left="0" w:right="720"/>
      </w:pPr>
    </w:p>
    <w:p w14:paraId="5BF67486" w14:textId="77777777" w:rsidR="00B12F51" w:rsidRPr="00435CDA" w:rsidRDefault="007821CA" w:rsidP="008305D1">
      <w:pPr>
        <w:pStyle w:val="Heading2"/>
        <w:numPr>
          <w:ilvl w:val="0"/>
          <w:numId w:val="30"/>
        </w:numPr>
        <w:rPr>
          <w:rFonts w:asciiTheme="minorHAnsi" w:hAnsiTheme="minorHAnsi"/>
          <w:color w:val="auto"/>
          <w:sz w:val="22"/>
          <w:szCs w:val="22"/>
        </w:rPr>
      </w:pPr>
      <w:bookmarkStart w:id="17" w:name="_Toc412038049"/>
      <w:r w:rsidRPr="00435CDA">
        <w:rPr>
          <w:rFonts w:asciiTheme="minorHAnsi" w:hAnsiTheme="minorHAnsi"/>
          <w:color w:val="auto"/>
          <w:sz w:val="22"/>
          <w:szCs w:val="22"/>
        </w:rPr>
        <w:t xml:space="preserve">Estimates of Other Total Annual </w:t>
      </w:r>
      <w:r w:rsidR="004C5EEF" w:rsidRPr="00435CDA">
        <w:rPr>
          <w:rFonts w:asciiTheme="minorHAnsi" w:hAnsiTheme="minorHAnsi"/>
          <w:color w:val="auto"/>
          <w:sz w:val="22"/>
          <w:szCs w:val="22"/>
        </w:rPr>
        <w:t xml:space="preserve">Cost </w:t>
      </w:r>
      <w:r w:rsidR="0094582B" w:rsidRPr="00435CDA">
        <w:rPr>
          <w:rFonts w:asciiTheme="minorHAnsi" w:hAnsiTheme="minorHAnsi"/>
          <w:color w:val="auto"/>
          <w:sz w:val="22"/>
          <w:szCs w:val="22"/>
        </w:rPr>
        <w:t>Burden</w:t>
      </w:r>
      <w:r w:rsidRPr="00435CDA">
        <w:rPr>
          <w:rFonts w:asciiTheme="minorHAnsi" w:hAnsiTheme="minorHAnsi"/>
          <w:color w:val="auto"/>
          <w:sz w:val="22"/>
          <w:szCs w:val="22"/>
        </w:rPr>
        <w:t xml:space="preserve"> </w:t>
      </w:r>
      <w:r w:rsidR="004C5EEF" w:rsidRPr="00435CDA">
        <w:rPr>
          <w:rFonts w:asciiTheme="minorHAnsi" w:hAnsiTheme="minorHAnsi"/>
          <w:color w:val="auto"/>
          <w:sz w:val="22"/>
          <w:szCs w:val="22"/>
        </w:rPr>
        <w:t>to Respondents</w:t>
      </w:r>
      <w:r w:rsidRPr="00435CDA">
        <w:rPr>
          <w:rFonts w:asciiTheme="minorHAnsi" w:hAnsiTheme="minorHAnsi"/>
          <w:color w:val="auto"/>
          <w:sz w:val="22"/>
          <w:szCs w:val="22"/>
        </w:rPr>
        <w:t xml:space="preserve"> or Record Keepers</w:t>
      </w:r>
      <w:bookmarkEnd w:id="17"/>
    </w:p>
    <w:p w14:paraId="18E1106C" w14:textId="60BACC84" w:rsidR="003C31C9" w:rsidRPr="00435CDA" w:rsidRDefault="003C31C9" w:rsidP="002550B2">
      <w:pPr>
        <w:pStyle w:val="CM89"/>
        <w:spacing w:line="228" w:lineRule="atLeast"/>
        <w:rPr>
          <w:rFonts w:asciiTheme="minorHAnsi" w:hAnsiTheme="minorHAnsi" w:cs="Times New Roman"/>
          <w:color w:val="000000"/>
          <w:sz w:val="22"/>
          <w:szCs w:val="22"/>
        </w:rPr>
      </w:pPr>
      <w:r w:rsidRPr="00435CDA">
        <w:rPr>
          <w:rFonts w:asciiTheme="minorHAnsi" w:hAnsiTheme="minorHAnsi" w:cs="Times New Roman"/>
          <w:color w:val="000000"/>
          <w:sz w:val="22"/>
          <w:szCs w:val="22"/>
        </w:rPr>
        <w:t xml:space="preserve">There will be no direct costs to </w:t>
      </w:r>
      <w:r w:rsidR="00611E89" w:rsidRPr="00435CDA">
        <w:rPr>
          <w:rFonts w:asciiTheme="minorHAnsi" w:hAnsiTheme="minorHAnsi" w:cs="Times New Roman"/>
          <w:color w:val="000000"/>
          <w:sz w:val="22"/>
          <w:szCs w:val="22"/>
        </w:rPr>
        <w:t>the respondents other than the</w:t>
      </w:r>
      <w:r w:rsidRPr="00435CDA">
        <w:rPr>
          <w:rFonts w:asciiTheme="minorHAnsi" w:hAnsiTheme="minorHAnsi" w:cs="Times New Roman"/>
          <w:color w:val="000000"/>
          <w:sz w:val="22"/>
          <w:szCs w:val="22"/>
        </w:rPr>
        <w:t xml:space="preserve"> time</w:t>
      </w:r>
      <w:r w:rsidR="00611E89" w:rsidRPr="00435CDA">
        <w:rPr>
          <w:rFonts w:asciiTheme="minorHAnsi" w:hAnsiTheme="minorHAnsi" w:cs="Times New Roman"/>
          <w:color w:val="000000"/>
          <w:sz w:val="22"/>
          <w:szCs w:val="22"/>
        </w:rPr>
        <w:t xml:space="preserve"> it takes</w:t>
      </w:r>
      <w:r w:rsidRPr="00435CDA">
        <w:rPr>
          <w:rFonts w:asciiTheme="minorHAnsi" w:hAnsiTheme="minorHAnsi" w:cs="Times New Roman"/>
          <w:color w:val="000000"/>
          <w:sz w:val="22"/>
          <w:szCs w:val="22"/>
        </w:rPr>
        <w:t xml:space="preserve"> to participate in </w:t>
      </w:r>
      <w:r w:rsidR="00611E89" w:rsidRPr="00435CDA">
        <w:rPr>
          <w:rFonts w:asciiTheme="minorHAnsi" w:hAnsiTheme="minorHAnsi" w:cs="Times New Roman"/>
          <w:color w:val="000000"/>
          <w:sz w:val="22"/>
          <w:szCs w:val="22"/>
        </w:rPr>
        <w:t>an</w:t>
      </w:r>
      <w:r w:rsidRPr="00435CDA">
        <w:rPr>
          <w:rFonts w:asciiTheme="minorHAnsi" w:hAnsiTheme="minorHAnsi" w:cs="Times New Roman"/>
          <w:color w:val="000000"/>
          <w:sz w:val="22"/>
          <w:szCs w:val="22"/>
        </w:rPr>
        <w:t xml:space="preserve"> </w:t>
      </w:r>
      <w:r w:rsidR="00415207" w:rsidRPr="00435CDA">
        <w:rPr>
          <w:rFonts w:asciiTheme="minorHAnsi" w:hAnsiTheme="minorHAnsi" w:cs="Times New Roman"/>
          <w:color w:val="000000"/>
          <w:sz w:val="22"/>
          <w:szCs w:val="22"/>
        </w:rPr>
        <w:t xml:space="preserve">interview. </w:t>
      </w:r>
    </w:p>
    <w:p w14:paraId="0D3FCD9D" w14:textId="77777777" w:rsidR="00B12F51" w:rsidRPr="00435CDA" w:rsidRDefault="007E00D6" w:rsidP="008305D1">
      <w:pPr>
        <w:pStyle w:val="Heading2"/>
        <w:numPr>
          <w:ilvl w:val="0"/>
          <w:numId w:val="30"/>
        </w:numPr>
        <w:rPr>
          <w:rFonts w:asciiTheme="minorHAnsi" w:hAnsiTheme="minorHAnsi"/>
          <w:color w:val="auto"/>
          <w:sz w:val="22"/>
          <w:szCs w:val="22"/>
        </w:rPr>
      </w:pPr>
      <w:bookmarkStart w:id="18" w:name="_Toc412038050"/>
      <w:r w:rsidRPr="00435CDA">
        <w:rPr>
          <w:rFonts w:asciiTheme="minorHAnsi" w:hAnsiTheme="minorHAnsi"/>
          <w:color w:val="auto"/>
          <w:sz w:val="22"/>
          <w:szCs w:val="22"/>
        </w:rPr>
        <w:t xml:space="preserve">Annualized </w:t>
      </w:r>
      <w:r w:rsidR="0088467A" w:rsidRPr="00435CDA">
        <w:rPr>
          <w:rFonts w:asciiTheme="minorHAnsi" w:hAnsiTheme="minorHAnsi"/>
          <w:color w:val="auto"/>
          <w:sz w:val="22"/>
          <w:szCs w:val="22"/>
        </w:rPr>
        <w:t>Cost</w:t>
      </w:r>
      <w:r w:rsidR="004C5EEF" w:rsidRPr="00435CDA">
        <w:rPr>
          <w:rFonts w:asciiTheme="minorHAnsi" w:hAnsiTheme="minorHAnsi"/>
          <w:color w:val="auto"/>
          <w:sz w:val="22"/>
          <w:szCs w:val="22"/>
        </w:rPr>
        <w:t>s</w:t>
      </w:r>
      <w:r w:rsidR="0088467A" w:rsidRPr="00435CDA">
        <w:rPr>
          <w:rFonts w:asciiTheme="minorHAnsi" w:hAnsiTheme="minorHAnsi"/>
          <w:color w:val="auto"/>
          <w:sz w:val="22"/>
          <w:szCs w:val="22"/>
        </w:rPr>
        <w:t xml:space="preserve"> to </w:t>
      </w:r>
      <w:r w:rsidRPr="00435CDA">
        <w:rPr>
          <w:rFonts w:asciiTheme="minorHAnsi" w:hAnsiTheme="minorHAnsi"/>
          <w:color w:val="auto"/>
          <w:sz w:val="22"/>
          <w:szCs w:val="22"/>
        </w:rPr>
        <w:t xml:space="preserve">the </w:t>
      </w:r>
      <w:r w:rsidR="0088467A" w:rsidRPr="00435CDA">
        <w:rPr>
          <w:rFonts w:asciiTheme="minorHAnsi" w:hAnsiTheme="minorHAnsi"/>
          <w:color w:val="auto"/>
          <w:sz w:val="22"/>
          <w:szCs w:val="22"/>
        </w:rPr>
        <w:t>Government</w:t>
      </w:r>
      <w:bookmarkEnd w:id="18"/>
      <w:r w:rsidR="00D75750" w:rsidRPr="00435CDA">
        <w:rPr>
          <w:rFonts w:asciiTheme="minorHAnsi" w:hAnsiTheme="minorHAnsi"/>
          <w:color w:val="auto"/>
          <w:sz w:val="22"/>
          <w:szCs w:val="22"/>
        </w:rPr>
        <w:t xml:space="preserve"> </w:t>
      </w:r>
    </w:p>
    <w:p w14:paraId="63BFB35C" w14:textId="30084C46" w:rsidR="00CE4C25" w:rsidRPr="00435CDA" w:rsidRDefault="004C5EEF" w:rsidP="003641E1">
      <w:pPr>
        <w:autoSpaceDE w:val="0"/>
        <w:autoSpaceDN w:val="0"/>
        <w:adjustRightInd w:val="0"/>
        <w:ind w:right="720"/>
      </w:pPr>
      <w:r w:rsidRPr="00435CDA">
        <w:t xml:space="preserve">The estimated one-time cost to the federal government is </w:t>
      </w:r>
      <w:r w:rsidR="0015700D" w:rsidRPr="00435CDA">
        <w:rPr>
          <w:color w:val="000000"/>
        </w:rPr>
        <w:t xml:space="preserve">$161,342.50 </w:t>
      </w:r>
      <w:r w:rsidRPr="00435CDA">
        <w:t>as described in the table below. T</w:t>
      </w:r>
      <w:r w:rsidR="00125A29" w:rsidRPr="00435CDA">
        <w:t xml:space="preserve">here are no equipment or overhead costs.  The only cost to the federal government would be the salary of the </w:t>
      </w:r>
      <w:r w:rsidR="00CE4C25" w:rsidRPr="00435CDA">
        <w:t xml:space="preserve">supporting </w:t>
      </w:r>
      <w:r w:rsidR="00125A29" w:rsidRPr="00435CDA">
        <w:t xml:space="preserve">CDC staff </w:t>
      </w:r>
      <w:r w:rsidR="007646F7" w:rsidRPr="00435CDA">
        <w:t xml:space="preserve">and </w:t>
      </w:r>
      <w:r w:rsidR="00CE4C25" w:rsidRPr="00435CDA">
        <w:t>the external contractor.</w:t>
      </w:r>
    </w:p>
    <w:p w14:paraId="5808F6DA" w14:textId="77777777" w:rsidR="00373377" w:rsidRDefault="00373377" w:rsidP="003641E1">
      <w:pPr>
        <w:autoSpaceDE w:val="0"/>
        <w:autoSpaceDN w:val="0"/>
        <w:adjustRightInd w:val="0"/>
        <w:ind w:right="720"/>
      </w:pPr>
    </w:p>
    <w:p w14:paraId="5C4B7FBA" w14:textId="77777777" w:rsidR="004841F1" w:rsidRPr="00435CDA" w:rsidRDefault="008E0683" w:rsidP="003641E1">
      <w:pPr>
        <w:autoSpaceDE w:val="0"/>
        <w:autoSpaceDN w:val="0"/>
        <w:adjustRightInd w:val="0"/>
        <w:ind w:right="720"/>
      </w:pPr>
      <w:r w:rsidRPr="00435CDA">
        <w:t>Estimated Annualized Cost to the Federal Government</w:t>
      </w:r>
    </w:p>
    <w:tbl>
      <w:tblPr>
        <w:tblStyle w:val="TableGrid"/>
        <w:tblW w:w="12056" w:type="dxa"/>
        <w:tblInd w:w="-360" w:type="dxa"/>
        <w:tblLook w:val="04A0" w:firstRow="1" w:lastRow="0" w:firstColumn="1" w:lastColumn="0" w:noHBand="0" w:noVBand="1"/>
      </w:tblPr>
      <w:tblGrid>
        <w:gridCol w:w="4608"/>
        <w:gridCol w:w="1890"/>
        <w:gridCol w:w="1620"/>
        <w:gridCol w:w="1458"/>
        <w:gridCol w:w="768"/>
        <w:gridCol w:w="1712"/>
      </w:tblGrid>
      <w:tr w:rsidR="004841F1" w:rsidRPr="00435CDA" w14:paraId="72A52BB9" w14:textId="77777777" w:rsidTr="00CF1A9E">
        <w:trPr>
          <w:gridAfter w:val="2"/>
          <w:trHeight w:val="593"/>
        </w:trPr>
        <w:tc>
          <w:tcPr>
            <w:tcW w:w="4608" w:type="dxa"/>
            <w:tcBorders>
              <w:bottom w:val="single" w:sz="12" w:space="0" w:color="auto"/>
            </w:tcBorders>
            <w:shd w:val="clear" w:color="auto" w:fill="D9D9D9" w:themeFill="background1" w:themeFillShade="D9"/>
            <w:vAlign w:val="center"/>
          </w:tcPr>
          <w:p w14:paraId="576FFA4E" w14:textId="77777777" w:rsidR="004841F1" w:rsidRPr="00435CDA" w:rsidRDefault="004841F1" w:rsidP="004824FA">
            <w:pPr>
              <w:jc w:val="center"/>
              <w:rPr>
                <w:b/>
              </w:rPr>
            </w:pPr>
            <w:r w:rsidRPr="00435CDA">
              <w:rPr>
                <w:b/>
              </w:rPr>
              <w:t>Staff (FTE)</w:t>
            </w:r>
            <w:r w:rsidR="007A0D73" w:rsidRPr="00435CDA">
              <w:rPr>
                <w:b/>
              </w:rPr>
              <w:t xml:space="preserve"> </w:t>
            </w:r>
          </w:p>
        </w:tc>
        <w:tc>
          <w:tcPr>
            <w:tcW w:w="1890" w:type="dxa"/>
            <w:tcBorders>
              <w:bottom w:val="single" w:sz="12" w:space="0" w:color="auto"/>
            </w:tcBorders>
            <w:shd w:val="clear" w:color="auto" w:fill="D9D9D9" w:themeFill="background1" w:themeFillShade="D9"/>
            <w:vAlign w:val="center"/>
          </w:tcPr>
          <w:p w14:paraId="7DE26636" w14:textId="77777777" w:rsidR="004841F1" w:rsidRPr="00435CDA" w:rsidRDefault="004841F1" w:rsidP="004824FA">
            <w:pPr>
              <w:jc w:val="center"/>
              <w:rPr>
                <w:b/>
              </w:rPr>
            </w:pPr>
            <w:r w:rsidRPr="00435CDA">
              <w:rPr>
                <w:b/>
              </w:rPr>
              <w:t>Average Hours per Collection</w:t>
            </w:r>
          </w:p>
        </w:tc>
        <w:tc>
          <w:tcPr>
            <w:tcW w:w="1620" w:type="dxa"/>
            <w:tcBorders>
              <w:bottom w:val="single" w:sz="12" w:space="0" w:color="auto"/>
            </w:tcBorders>
            <w:shd w:val="clear" w:color="auto" w:fill="D9D9D9" w:themeFill="background1" w:themeFillShade="D9"/>
            <w:vAlign w:val="center"/>
          </w:tcPr>
          <w:p w14:paraId="71782AB0" w14:textId="77777777" w:rsidR="004841F1" w:rsidRPr="00435CDA" w:rsidRDefault="004841F1" w:rsidP="004824FA">
            <w:pPr>
              <w:jc w:val="center"/>
              <w:rPr>
                <w:b/>
              </w:rPr>
            </w:pPr>
            <w:r w:rsidRPr="00435CDA">
              <w:rPr>
                <w:b/>
              </w:rPr>
              <w:t>Average Hourly Rate</w:t>
            </w:r>
          </w:p>
        </w:tc>
        <w:tc>
          <w:tcPr>
            <w:tcW w:w="1458" w:type="dxa"/>
            <w:tcBorders>
              <w:bottom w:val="single" w:sz="12" w:space="0" w:color="auto"/>
            </w:tcBorders>
            <w:shd w:val="clear" w:color="auto" w:fill="D9D9D9" w:themeFill="background1" w:themeFillShade="D9"/>
            <w:vAlign w:val="center"/>
          </w:tcPr>
          <w:p w14:paraId="2A0A928E" w14:textId="77777777" w:rsidR="004841F1" w:rsidRPr="00435CDA" w:rsidRDefault="004841F1" w:rsidP="004824FA">
            <w:pPr>
              <w:jc w:val="center"/>
              <w:rPr>
                <w:b/>
              </w:rPr>
            </w:pPr>
            <w:r w:rsidRPr="00435CDA">
              <w:rPr>
                <w:b/>
              </w:rPr>
              <w:t>Average Cost</w:t>
            </w:r>
          </w:p>
        </w:tc>
      </w:tr>
      <w:tr w:rsidR="0015700D" w:rsidRPr="00435CDA" w14:paraId="6930D681" w14:textId="77777777" w:rsidTr="00CF1A9E">
        <w:trPr>
          <w:gridAfter w:val="2"/>
        </w:trPr>
        <w:tc>
          <w:tcPr>
            <w:tcW w:w="4608" w:type="dxa"/>
          </w:tcPr>
          <w:p w14:paraId="458B45C1" w14:textId="77777777" w:rsidR="0015700D" w:rsidRPr="00435CDA" w:rsidRDefault="0015700D" w:rsidP="00D7028D">
            <w:r w:rsidRPr="00435CDA">
              <w:t>Associate Director for Policy (Acting)  (GS14)</w:t>
            </w:r>
          </w:p>
          <w:p w14:paraId="0AFFC606" w14:textId="77777777" w:rsidR="0015700D" w:rsidRPr="00435CDA" w:rsidRDefault="0015700D" w:rsidP="0015700D">
            <w:r w:rsidRPr="00435CDA">
              <w:t>Primary support in the revision of interview instruments, review of the OMB package preparation, and support in data analysis, and report preparation</w:t>
            </w:r>
          </w:p>
        </w:tc>
        <w:tc>
          <w:tcPr>
            <w:tcW w:w="1890" w:type="dxa"/>
            <w:vAlign w:val="center"/>
          </w:tcPr>
          <w:p w14:paraId="115C7D8B" w14:textId="77777777" w:rsidR="0015700D" w:rsidRPr="00435CDA" w:rsidRDefault="0015700D" w:rsidP="00D7028D">
            <w:pPr>
              <w:jc w:val="center"/>
            </w:pPr>
            <w:r w:rsidRPr="00435CDA">
              <w:t>100</w:t>
            </w:r>
          </w:p>
        </w:tc>
        <w:tc>
          <w:tcPr>
            <w:tcW w:w="1620" w:type="dxa"/>
            <w:vAlign w:val="center"/>
          </w:tcPr>
          <w:p w14:paraId="2448FB2A" w14:textId="77777777" w:rsidR="0015700D" w:rsidRPr="00435CDA" w:rsidRDefault="0015700D" w:rsidP="00D7028D">
            <w:pPr>
              <w:jc w:val="center"/>
            </w:pPr>
            <w:r w:rsidRPr="00435CDA">
              <w:t>$48.41</w:t>
            </w:r>
          </w:p>
        </w:tc>
        <w:tc>
          <w:tcPr>
            <w:tcW w:w="1458" w:type="dxa"/>
            <w:vAlign w:val="center"/>
          </w:tcPr>
          <w:p w14:paraId="1ED8408B" w14:textId="77777777" w:rsidR="0015700D" w:rsidRPr="00435CDA" w:rsidRDefault="0015700D">
            <w:pPr>
              <w:jc w:val="center"/>
              <w:rPr>
                <w:color w:val="000000"/>
              </w:rPr>
            </w:pPr>
            <w:r w:rsidRPr="00435CDA">
              <w:rPr>
                <w:color w:val="000000"/>
              </w:rPr>
              <w:t xml:space="preserve">$4,841.00 </w:t>
            </w:r>
          </w:p>
        </w:tc>
      </w:tr>
      <w:tr w:rsidR="0015700D" w:rsidRPr="00435CDA" w14:paraId="2A2A5D79" w14:textId="77777777" w:rsidTr="00CF1A9E">
        <w:trPr>
          <w:gridAfter w:val="2"/>
        </w:trPr>
        <w:tc>
          <w:tcPr>
            <w:tcW w:w="4608" w:type="dxa"/>
          </w:tcPr>
          <w:p w14:paraId="11A2140B" w14:textId="7221078A" w:rsidR="0015700D" w:rsidRPr="00435CDA" w:rsidRDefault="0015700D" w:rsidP="00D7028D">
            <w:r w:rsidRPr="00435CDA">
              <w:t>Associate Director for Behavioral Science (GS14)</w:t>
            </w:r>
          </w:p>
          <w:p w14:paraId="11E7A32B" w14:textId="77777777" w:rsidR="0015700D" w:rsidRPr="00435CDA" w:rsidRDefault="0015700D" w:rsidP="0015700D">
            <w:r w:rsidRPr="00435CDA">
              <w:t>Primary support in the revision of interview instruments, review of the OMB package preparation and support data review, and report preparation</w:t>
            </w:r>
          </w:p>
        </w:tc>
        <w:tc>
          <w:tcPr>
            <w:tcW w:w="1890" w:type="dxa"/>
            <w:vAlign w:val="center"/>
          </w:tcPr>
          <w:p w14:paraId="7E6B72CC" w14:textId="77777777" w:rsidR="0015700D" w:rsidRPr="00435CDA" w:rsidRDefault="0015700D" w:rsidP="00D7028D">
            <w:pPr>
              <w:jc w:val="center"/>
            </w:pPr>
            <w:r w:rsidRPr="00435CDA">
              <w:t>100</w:t>
            </w:r>
          </w:p>
        </w:tc>
        <w:tc>
          <w:tcPr>
            <w:tcW w:w="1620" w:type="dxa"/>
            <w:vAlign w:val="center"/>
          </w:tcPr>
          <w:p w14:paraId="7B1FF591" w14:textId="77777777" w:rsidR="0015700D" w:rsidRPr="00435CDA" w:rsidRDefault="0015700D" w:rsidP="00D7028D">
            <w:pPr>
              <w:jc w:val="center"/>
            </w:pPr>
            <w:r w:rsidRPr="00435CDA">
              <w:t>$74.77</w:t>
            </w:r>
          </w:p>
        </w:tc>
        <w:tc>
          <w:tcPr>
            <w:tcW w:w="1458" w:type="dxa"/>
            <w:vAlign w:val="center"/>
          </w:tcPr>
          <w:p w14:paraId="141CA674" w14:textId="77777777" w:rsidR="0015700D" w:rsidRPr="00435CDA" w:rsidRDefault="0015700D">
            <w:pPr>
              <w:jc w:val="center"/>
              <w:rPr>
                <w:color w:val="000000"/>
              </w:rPr>
            </w:pPr>
            <w:r w:rsidRPr="00435CDA">
              <w:rPr>
                <w:color w:val="000000"/>
              </w:rPr>
              <w:t xml:space="preserve">$7,477.00 </w:t>
            </w:r>
          </w:p>
        </w:tc>
      </w:tr>
      <w:tr w:rsidR="0015700D" w:rsidRPr="00435CDA" w14:paraId="77579602" w14:textId="77777777" w:rsidTr="00CF1A9E">
        <w:trPr>
          <w:gridAfter w:val="2"/>
        </w:trPr>
        <w:tc>
          <w:tcPr>
            <w:tcW w:w="4608" w:type="dxa"/>
          </w:tcPr>
          <w:p w14:paraId="3650C0AD" w14:textId="77777777" w:rsidR="0015700D" w:rsidRPr="00435CDA" w:rsidRDefault="0015700D" w:rsidP="006C4DA7">
            <w:r w:rsidRPr="00435CDA">
              <w:t>Director of Public Health Law (GS15)</w:t>
            </w:r>
          </w:p>
          <w:p w14:paraId="52FC7EE5" w14:textId="77777777" w:rsidR="0015700D" w:rsidRPr="00435CDA" w:rsidRDefault="0015700D" w:rsidP="0015700D">
            <w:r w:rsidRPr="00435CDA">
              <w:t>Support the revision of interview instruments, review OMB package preparation, data review, and report preparation</w:t>
            </w:r>
          </w:p>
        </w:tc>
        <w:tc>
          <w:tcPr>
            <w:tcW w:w="1890" w:type="dxa"/>
            <w:vAlign w:val="center"/>
          </w:tcPr>
          <w:p w14:paraId="3B9CED0F" w14:textId="77777777" w:rsidR="0015700D" w:rsidRPr="00435CDA" w:rsidDel="009B20DF" w:rsidRDefault="0015700D" w:rsidP="00CB14B5">
            <w:pPr>
              <w:jc w:val="center"/>
            </w:pPr>
            <w:r w:rsidRPr="00435CDA">
              <w:t>10</w:t>
            </w:r>
          </w:p>
        </w:tc>
        <w:tc>
          <w:tcPr>
            <w:tcW w:w="1620" w:type="dxa"/>
            <w:vAlign w:val="center"/>
          </w:tcPr>
          <w:p w14:paraId="0E3F3870" w14:textId="77777777" w:rsidR="0015700D" w:rsidRPr="00435CDA" w:rsidRDefault="0015700D" w:rsidP="00CF1A9E">
            <w:pPr>
              <w:jc w:val="center"/>
            </w:pPr>
            <w:r w:rsidRPr="00435CDA">
              <w:t>$63.27</w:t>
            </w:r>
          </w:p>
        </w:tc>
        <w:tc>
          <w:tcPr>
            <w:tcW w:w="1458" w:type="dxa"/>
            <w:vAlign w:val="center"/>
          </w:tcPr>
          <w:p w14:paraId="2A64C7F4" w14:textId="77777777" w:rsidR="0015700D" w:rsidRPr="00435CDA" w:rsidRDefault="0015700D">
            <w:pPr>
              <w:jc w:val="center"/>
              <w:rPr>
                <w:color w:val="000000"/>
              </w:rPr>
            </w:pPr>
            <w:r w:rsidRPr="00435CDA">
              <w:rPr>
                <w:color w:val="000000"/>
              </w:rPr>
              <w:t xml:space="preserve">$632.70 </w:t>
            </w:r>
          </w:p>
        </w:tc>
      </w:tr>
      <w:tr w:rsidR="0015700D" w:rsidRPr="00435CDA" w14:paraId="78FFC0A9" w14:textId="77777777" w:rsidTr="00CF1A9E">
        <w:trPr>
          <w:gridAfter w:val="2"/>
        </w:trPr>
        <w:tc>
          <w:tcPr>
            <w:tcW w:w="4608" w:type="dxa"/>
          </w:tcPr>
          <w:p w14:paraId="7622B7AB" w14:textId="77777777" w:rsidR="0015700D" w:rsidRPr="00435CDA" w:rsidRDefault="0015700D" w:rsidP="00D7028D">
            <w:r w:rsidRPr="00435CDA">
              <w:t>Public Health Analyst (GS13)</w:t>
            </w:r>
          </w:p>
          <w:p w14:paraId="2CED1F5F" w14:textId="77777777" w:rsidR="0015700D" w:rsidRPr="00435CDA" w:rsidRDefault="0015700D" w:rsidP="0015700D">
            <w:r w:rsidRPr="00435CDA">
              <w:t>Support the revision of interview instruments, OMB package preparation, data review, and report preparation</w:t>
            </w:r>
          </w:p>
        </w:tc>
        <w:tc>
          <w:tcPr>
            <w:tcW w:w="1890" w:type="dxa"/>
            <w:vAlign w:val="center"/>
          </w:tcPr>
          <w:p w14:paraId="1FD949EB" w14:textId="77777777" w:rsidR="0015700D" w:rsidRPr="00435CDA" w:rsidRDefault="0015700D" w:rsidP="00D7028D">
            <w:pPr>
              <w:jc w:val="center"/>
            </w:pPr>
            <w:r w:rsidRPr="00435CDA">
              <w:t>20</w:t>
            </w:r>
          </w:p>
        </w:tc>
        <w:tc>
          <w:tcPr>
            <w:tcW w:w="1620" w:type="dxa"/>
            <w:vAlign w:val="center"/>
          </w:tcPr>
          <w:p w14:paraId="6DF57E01" w14:textId="77777777" w:rsidR="0015700D" w:rsidRPr="00435CDA" w:rsidRDefault="0015700D" w:rsidP="00D7028D">
            <w:pPr>
              <w:jc w:val="center"/>
            </w:pPr>
            <w:r w:rsidRPr="00435CDA">
              <w:t>$41.38</w:t>
            </w:r>
          </w:p>
        </w:tc>
        <w:tc>
          <w:tcPr>
            <w:tcW w:w="1458" w:type="dxa"/>
            <w:vAlign w:val="center"/>
          </w:tcPr>
          <w:p w14:paraId="7DEFF10F" w14:textId="77777777" w:rsidR="0015700D" w:rsidRPr="00435CDA" w:rsidRDefault="0015700D">
            <w:pPr>
              <w:jc w:val="center"/>
              <w:rPr>
                <w:color w:val="000000"/>
              </w:rPr>
            </w:pPr>
            <w:r w:rsidRPr="00435CDA">
              <w:rPr>
                <w:color w:val="000000"/>
              </w:rPr>
              <w:t xml:space="preserve">$827.60 </w:t>
            </w:r>
          </w:p>
        </w:tc>
      </w:tr>
      <w:tr w:rsidR="0015700D" w:rsidRPr="00435CDA" w14:paraId="1BEA95FD" w14:textId="77777777" w:rsidTr="00CF1A9E">
        <w:trPr>
          <w:gridAfter w:val="2"/>
        </w:trPr>
        <w:tc>
          <w:tcPr>
            <w:tcW w:w="4608" w:type="dxa"/>
          </w:tcPr>
          <w:p w14:paraId="068F091C" w14:textId="77777777" w:rsidR="0015700D" w:rsidRPr="00435CDA" w:rsidRDefault="0015700D" w:rsidP="002064D9">
            <w:r w:rsidRPr="00435CDA">
              <w:lastRenderedPageBreak/>
              <w:t>Health Information Technology Strategy Unit Lead (GS15)</w:t>
            </w:r>
          </w:p>
          <w:p w14:paraId="385D386F" w14:textId="77777777" w:rsidR="0015700D" w:rsidRPr="00435CDA" w:rsidRDefault="0015700D" w:rsidP="0015700D">
            <w:r w:rsidRPr="00435CDA">
              <w:t>Support the revision of interview instruments, review OMB package preparation, data review, and report preparation.</w:t>
            </w:r>
          </w:p>
        </w:tc>
        <w:tc>
          <w:tcPr>
            <w:tcW w:w="1890" w:type="dxa"/>
            <w:vAlign w:val="center"/>
          </w:tcPr>
          <w:p w14:paraId="6B4ADC2E" w14:textId="77777777" w:rsidR="0015700D" w:rsidRPr="00435CDA" w:rsidRDefault="0015700D" w:rsidP="00CB14B5">
            <w:pPr>
              <w:jc w:val="center"/>
            </w:pPr>
            <w:r w:rsidRPr="00435CDA">
              <w:t>10</w:t>
            </w:r>
          </w:p>
        </w:tc>
        <w:tc>
          <w:tcPr>
            <w:tcW w:w="1620" w:type="dxa"/>
            <w:vAlign w:val="center"/>
          </w:tcPr>
          <w:p w14:paraId="31EDB318" w14:textId="77777777" w:rsidR="0015700D" w:rsidRPr="00435CDA" w:rsidRDefault="0015700D" w:rsidP="00CB14B5">
            <w:pPr>
              <w:jc w:val="center"/>
            </w:pPr>
            <w:r w:rsidRPr="00435CDA">
              <w:t>$57.52</w:t>
            </w:r>
          </w:p>
        </w:tc>
        <w:tc>
          <w:tcPr>
            <w:tcW w:w="1458" w:type="dxa"/>
            <w:vAlign w:val="center"/>
          </w:tcPr>
          <w:p w14:paraId="06FC663B" w14:textId="77777777" w:rsidR="0015700D" w:rsidRPr="00435CDA" w:rsidRDefault="0015700D">
            <w:pPr>
              <w:jc w:val="center"/>
              <w:rPr>
                <w:color w:val="000000"/>
              </w:rPr>
            </w:pPr>
            <w:r w:rsidRPr="00435CDA">
              <w:rPr>
                <w:color w:val="000000"/>
              </w:rPr>
              <w:t xml:space="preserve">$575.20 </w:t>
            </w:r>
          </w:p>
        </w:tc>
      </w:tr>
      <w:tr w:rsidR="0015700D" w:rsidRPr="00435CDA" w14:paraId="5EDD00F9" w14:textId="77777777" w:rsidTr="00CF1A9E">
        <w:trPr>
          <w:gridAfter w:val="2"/>
        </w:trPr>
        <w:tc>
          <w:tcPr>
            <w:tcW w:w="4608" w:type="dxa"/>
          </w:tcPr>
          <w:p w14:paraId="1188D95D" w14:textId="77777777" w:rsidR="0015700D" w:rsidRPr="00435CDA" w:rsidRDefault="0015700D" w:rsidP="002064D9">
            <w:r w:rsidRPr="00435CDA">
              <w:t>Health Scientist, Informatics (GS14)</w:t>
            </w:r>
          </w:p>
          <w:p w14:paraId="4A077F14" w14:textId="77777777" w:rsidR="0015700D" w:rsidRPr="00435CDA" w:rsidRDefault="0015700D" w:rsidP="00CF1A9E">
            <w:r w:rsidRPr="00435CDA">
              <w:t xml:space="preserve">Data review and report preparation. </w:t>
            </w:r>
          </w:p>
        </w:tc>
        <w:tc>
          <w:tcPr>
            <w:tcW w:w="1890" w:type="dxa"/>
            <w:vAlign w:val="center"/>
          </w:tcPr>
          <w:p w14:paraId="1CA3083F" w14:textId="77777777" w:rsidR="0015700D" w:rsidRPr="00435CDA" w:rsidRDefault="0015700D" w:rsidP="00CB14B5">
            <w:pPr>
              <w:jc w:val="center"/>
            </w:pPr>
            <w:r w:rsidRPr="00435CDA">
              <w:t>10</w:t>
            </w:r>
          </w:p>
        </w:tc>
        <w:tc>
          <w:tcPr>
            <w:tcW w:w="1620" w:type="dxa"/>
            <w:vAlign w:val="center"/>
          </w:tcPr>
          <w:p w14:paraId="35801488" w14:textId="77777777" w:rsidR="0015700D" w:rsidRPr="00435CDA" w:rsidRDefault="0015700D" w:rsidP="00CB14B5">
            <w:pPr>
              <w:jc w:val="center"/>
            </w:pPr>
            <w:r w:rsidRPr="00435CDA">
              <w:t>$48.90</w:t>
            </w:r>
          </w:p>
        </w:tc>
        <w:tc>
          <w:tcPr>
            <w:tcW w:w="1458" w:type="dxa"/>
            <w:vAlign w:val="center"/>
          </w:tcPr>
          <w:p w14:paraId="0DA06F5D" w14:textId="77777777" w:rsidR="0015700D" w:rsidRPr="00435CDA" w:rsidRDefault="0015700D">
            <w:pPr>
              <w:jc w:val="center"/>
              <w:rPr>
                <w:color w:val="000000"/>
              </w:rPr>
            </w:pPr>
            <w:r w:rsidRPr="00435CDA">
              <w:rPr>
                <w:color w:val="000000"/>
              </w:rPr>
              <w:t xml:space="preserve">$489.00 </w:t>
            </w:r>
          </w:p>
        </w:tc>
      </w:tr>
      <w:tr w:rsidR="0015700D" w:rsidRPr="00435CDA" w14:paraId="4A6E84A7" w14:textId="77777777" w:rsidTr="008C0927">
        <w:trPr>
          <w:gridAfter w:val="2"/>
          <w:trHeight w:val="602"/>
        </w:trPr>
        <w:tc>
          <w:tcPr>
            <w:tcW w:w="4608" w:type="dxa"/>
            <w:shd w:val="clear" w:color="auto" w:fill="auto"/>
          </w:tcPr>
          <w:p w14:paraId="5F7B4784" w14:textId="77777777" w:rsidR="0015700D" w:rsidRPr="00435CDA" w:rsidRDefault="0015700D" w:rsidP="008C0927">
            <w:r w:rsidRPr="00435CDA">
              <w:t>Association of State and Territorial Health Officials (ASTHO), grantee</w:t>
            </w:r>
          </w:p>
        </w:tc>
        <w:tc>
          <w:tcPr>
            <w:tcW w:w="1890" w:type="dxa"/>
            <w:shd w:val="clear" w:color="auto" w:fill="auto"/>
            <w:vAlign w:val="center"/>
          </w:tcPr>
          <w:p w14:paraId="177384D9" w14:textId="77777777" w:rsidR="0015700D" w:rsidRPr="00435CDA" w:rsidRDefault="0015700D" w:rsidP="00CB14B5">
            <w:pPr>
              <w:jc w:val="center"/>
            </w:pPr>
            <w:r w:rsidRPr="00435CDA">
              <w:t>250</w:t>
            </w:r>
          </w:p>
        </w:tc>
        <w:tc>
          <w:tcPr>
            <w:tcW w:w="1620" w:type="dxa"/>
            <w:shd w:val="clear" w:color="auto" w:fill="auto"/>
            <w:vAlign w:val="center"/>
          </w:tcPr>
          <w:p w14:paraId="45BC2FE8" w14:textId="77777777" w:rsidR="0015700D" w:rsidRPr="00435CDA" w:rsidRDefault="0015700D" w:rsidP="00CB14B5">
            <w:pPr>
              <w:jc w:val="center"/>
            </w:pPr>
            <w:r w:rsidRPr="00435CDA">
              <w:t>$274</w:t>
            </w:r>
          </w:p>
        </w:tc>
        <w:tc>
          <w:tcPr>
            <w:tcW w:w="1458" w:type="dxa"/>
            <w:shd w:val="clear" w:color="auto" w:fill="auto"/>
            <w:vAlign w:val="center"/>
          </w:tcPr>
          <w:p w14:paraId="5F869E29" w14:textId="77777777" w:rsidR="0015700D" w:rsidRPr="00435CDA" w:rsidRDefault="0015700D">
            <w:pPr>
              <w:jc w:val="center"/>
              <w:rPr>
                <w:color w:val="000000"/>
              </w:rPr>
            </w:pPr>
            <w:r w:rsidRPr="00435CDA">
              <w:rPr>
                <w:color w:val="000000"/>
              </w:rPr>
              <w:t xml:space="preserve">$68,500.00 </w:t>
            </w:r>
          </w:p>
        </w:tc>
      </w:tr>
      <w:tr w:rsidR="0015700D" w:rsidRPr="00435CDA" w14:paraId="682A3611" w14:textId="77777777" w:rsidTr="00CF1A9E">
        <w:trPr>
          <w:gridAfter w:val="2"/>
        </w:trPr>
        <w:tc>
          <w:tcPr>
            <w:tcW w:w="4608" w:type="dxa"/>
            <w:tcBorders>
              <w:bottom w:val="single" w:sz="4" w:space="0" w:color="auto"/>
            </w:tcBorders>
            <w:shd w:val="clear" w:color="auto" w:fill="auto"/>
          </w:tcPr>
          <w:p w14:paraId="5CF989A6" w14:textId="40E20351" w:rsidR="0015700D" w:rsidRPr="00435CDA" w:rsidRDefault="0015700D" w:rsidP="009E3122">
            <w:r w:rsidRPr="00435CDA">
              <w:t xml:space="preserve">External Contractor </w:t>
            </w:r>
            <w:r w:rsidR="00435CDA" w:rsidRPr="00435CDA">
              <w:t>(</w:t>
            </w:r>
            <w:r w:rsidRPr="00435CDA">
              <w:t>The Keystone Center)</w:t>
            </w:r>
            <w:r w:rsidR="00435CDA" w:rsidRPr="00435CDA">
              <w:t>, which s</w:t>
            </w:r>
            <w:r w:rsidRPr="00435CDA">
              <w:t>upport</w:t>
            </w:r>
            <w:r w:rsidR="00435CDA" w:rsidRPr="00435CDA">
              <w:t>s</w:t>
            </w:r>
            <w:r w:rsidRPr="00435CDA">
              <w:t xml:space="preserve"> revisions of interview instrum</w:t>
            </w:r>
            <w:r w:rsidR="00435CDA" w:rsidRPr="00435CDA">
              <w:t>ents for OMB data collection and d</w:t>
            </w:r>
            <w:r w:rsidRPr="00435CDA">
              <w:t xml:space="preserve">ata collection, data analysis, </w:t>
            </w:r>
            <w:r w:rsidR="00435CDA" w:rsidRPr="00435CDA">
              <w:t xml:space="preserve">and </w:t>
            </w:r>
            <w:r w:rsidRPr="00435CDA">
              <w:t xml:space="preserve">report preparation. </w:t>
            </w:r>
          </w:p>
        </w:tc>
        <w:tc>
          <w:tcPr>
            <w:tcW w:w="1890" w:type="dxa"/>
            <w:tcBorders>
              <w:bottom w:val="single" w:sz="4" w:space="0" w:color="auto"/>
            </w:tcBorders>
            <w:shd w:val="clear" w:color="auto" w:fill="auto"/>
            <w:vAlign w:val="center"/>
          </w:tcPr>
          <w:p w14:paraId="6C22935F" w14:textId="77777777" w:rsidR="0015700D" w:rsidRPr="00435CDA" w:rsidRDefault="0015700D" w:rsidP="00CB14B5">
            <w:pPr>
              <w:jc w:val="center"/>
            </w:pPr>
            <w:r w:rsidRPr="00435CDA">
              <w:t>500</w:t>
            </w:r>
          </w:p>
        </w:tc>
        <w:tc>
          <w:tcPr>
            <w:tcW w:w="1620" w:type="dxa"/>
            <w:tcBorders>
              <w:bottom w:val="single" w:sz="4" w:space="0" w:color="auto"/>
            </w:tcBorders>
            <w:shd w:val="clear" w:color="auto" w:fill="auto"/>
            <w:vAlign w:val="center"/>
          </w:tcPr>
          <w:p w14:paraId="057C9D33" w14:textId="77777777" w:rsidR="0015700D" w:rsidRPr="00435CDA" w:rsidRDefault="0015700D" w:rsidP="00CB14B5">
            <w:pPr>
              <w:jc w:val="center"/>
            </w:pPr>
            <w:r w:rsidRPr="00435CDA">
              <w:t>$156.00</w:t>
            </w:r>
          </w:p>
        </w:tc>
        <w:tc>
          <w:tcPr>
            <w:tcW w:w="1458" w:type="dxa"/>
            <w:tcBorders>
              <w:bottom w:val="single" w:sz="4" w:space="0" w:color="auto"/>
            </w:tcBorders>
            <w:shd w:val="clear" w:color="auto" w:fill="auto"/>
            <w:vAlign w:val="center"/>
          </w:tcPr>
          <w:p w14:paraId="18A76068" w14:textId="77777777" w:rsidR="0015700D" w:rsidRPr="00435CDA" w:rsidRDefault="0015700D">
            <w:pPr>
              <w:jc w:val="center"/>
              <w:rPr>
                <w:color w:val="000000"/>
              </w:rPr>
            </w:pPr>
            <w:r w:rsidRPr="00435CDA">
              <w:rPr>
                <w:color w:val="000000"/>
              </w:rPr>
              <w:t xml:space="preserve">$78,000.00 </w:t>
            </w:r>
          </w:p>
        </w:tc>
      </w:tr>
      <w:tr w:rsidR="0015700D" w:rsidRPr="00435CDA" w14:paraId="6BDE2FFA" w14:textId="77777777" w:rsidTr="00CF1A9E">
        <w:trPr>
          <w:trHeight w:val="332"/>
        </w:trPr>
        <w:tc>
          <w:tcPr>
            <w:tcW w:w="8118" w:type="dxa"/>
            <w:gridSpan w:val="3"/>
            <w:vAlign w:val="center"/>
          </w:tcPr>
          <w:p w14:paraId="36692489" w14:textId="77777777" w:rsidR="0015700D" w:rsidRPr="00435CDA" w:rsidRDefault="0015700D" w:rsidP="006B4DDC">
            <w:pPr>
              <w:jc w:val="right"/>
              <w:rPr>
                <w:b/>
              </w:rPr>
            </w:pPr>
            <w:r w:rsidRPr="00435CDA">
              <w:rPr>
                <w:b/>
              </w:rPr>
              <w:t>Estimated Total Cost of Information Collection</w:t>
            </w:r>
          </w:p>
        </w:tc>
        <w:tc>
          <w:tcPr>
            <w:tcW w:w="1458" w:type="dxa"/>
            <w:tcBorders>
              <w:right w:val="single" w:sz="4" w:space="0" w:color="auto"/>
            </w:tcBorders>
            <w:vAlign w:val="center"/>
          </w:tcPr>
          <w:p w14:paraId="7AAB66FF" w14:textId="77777777" w:rsidR="0015700D" w:rsidRPr="00435CDA" w:rsidRDefault="0015700D" w:rsidP="0015700D">
            <w:pPr>
              <w:jc w:val="center"/>
              <w:rPr>
                <w:color w:val="000000"/>
              </w:rPr>
            </w:pPr>
            <w:r w:rsidRPr="00435CDA">
              <w:rPr>
                <w:color w:val="000000"/>
              </w:rPr>
              <w:t xml:space="preserve">$161,342.50 </w:t>
            </w:r>
          </w:p>
        </w:tc>
        <w:tc>
          <w:tcPr>
            <w:tcW w:w="0" w:type="auto"/>
            <w:tcBorders>
              <w:top w:val="nil"/>
              <w:left w:val="single" w:sz="4" w:space="0" w:color="auto"/>
              <w:bottom w:val="nil"/>
              <w:right w:val="nil"/>
            </w:tcBorders>
          </w:tcPr>
          <w:p w14:paraId="1C9B2C91" w14:textId="77777777" w:rsidR="0015700D" w:rsidRPr="00435CDA" w:rsidRDefault="0015700D"/>
        </w:tc>
        <w:tc>
          <w:tcPr>
            <w:tcW w:w="0" w:type="auto"/>
            <w:tcBorders>
              <w:top w:val="nil"/>
              <w:left w:val="nil"/>
              <w:bottom w:val="nil"/>
              <w:right w:val="nil"/>
            </w:tcBorders>
            <w:vAlign w:val="bottom"/>
          </w:tcPr>
          <w:p w14:paraId="080967C2" w14:textId="77777777" w:rsidR="0015700D" w:rsidRPr="00435CDA" w:rsidRDefault="0015700D">
            <w:pPr>
              <w:jc w:val="right"/>
              <w:rPr>
                <w:color w:val="000000"/>
              </w:rPr>
            </w:pPr>
            <w:r w:rsidRPr="00435CDA">
              <w:rPr>
                <w:color w:val="000000"/>
              </w:rPr>
              <w:t xml:space="preserve">.50 </w:t>
            </w:r>
          </w:p>
        </w:tc>
      </w:tr>
    </w:tbl>
    <w:p w14:paraId="45E373FE" w14:textId="77777777" w:rsidR="004841F1" w:rsidRPr="00435CDA" w:rsidRDefault="00CF1A9E" w:rsidP="00CF1A9E">
      <w:pPr>
        <w:tabs>
          <w:tab w:val="left" w:pos="8655"/>
        </w:tabs>
        <w:spacing w:after="0"/>
      </w:pPr>
      <w:r w:rsidRPr="00435CDA">
        <w:tab/>
      </w:r>
    </w:p>
    <w:p w14:paraId="41E5BFF3" w14:textId="77777777" w:rsidR="00B12F51" w:rsidRPr="00435CDA" w:rsidRDefault="00D75750" w:rsidP="008305D1">
      <w:pPr>
        <w:pStyle w:val="Heading2"/>
        <w:numPr>
          <w:ilvl w:val="0"/>
          <w:numId w:val="30"/>
        </w:numPr>
        <w:rPr>
          <w:rFonts w:asciiTheme="minorHAnsi" w:hAnsiTheme="minorHAnsi"/>
          <w:color w:val="auto"/>
          <w:sz w:val="22"/>
          <w:szCs w:val="22"/>
        </w:rPr>
      </w:pPr>
      <w:bookmarkStart w:id="19" w:name="_Toc412038051"/>
      <w:r w:rsidRPr="00435CDA">
        <w:rPr>
          <w:rFonts w:asciiTheme="minorHAnsi" w:hAnsiTheme="minorHAnsi"/>
          <w:color w:val="auto"/>
          <w:sz w:val="22"/>
          <w:szCs w:val="22"/>
        </w:rPr>
        <w:t>Explanation for Program Changes or Adjustments</w:t>
      </w:r>
      <w:bookmarkEnd w:id="19"/>
    </w:p>
    <w:p w14:paraId="26019D9A" w14:textId="77777777" w:rsidR="00F52BCC" w:rsidRPr="00435CDA" w:rsidRDefault="003C7C5D" w:rsidP="002550B2">
      <w:pPr>
        <w:spacing w:after="0"/>
      </w:pPr>
      <w:r w:rsidRPr="00435CDA">
        <w:t>This is a new data collection.</w:t>
      </w:r>
    </w:p>
    <w:p w14:paraId="2707EBFF" w14:textId="77777777" w:rsidR="002F1502" w:rsidRDefault="00616090" w:rsidP="008305D1">
      <w:pPr>
        <w:pStyle w:val="Heading2"/>
        <w:numPr>
          <w:ilvl w:val="0"/>
          <w:numId w:val="30"/>
        </w:numPr>
        <w:rPr>
          <w:rFonts w:asciiTheme="minorHAnsi" w:hAnsiTheme="minorHAnsi"/>
          <w:color w:val="auto"/>
          <w:sz w:val="22"/>
          <w:szCs w:val="22"/>
        </w:rPr>
      </w:pPr>
      <w:bookmarkStart w:id="20" w:name="_Toc412038052"/>
      <w:r w:rsidRPr="00435CDA">
        <w:rPr>
          <w:rFonts w:asciiTheme="minorHAnsi" w:hAnsiTheme="minorHAnsi"/>
          <w:color w:val="auto"/>
          <w:sz w:val="22"/>
          <w:szCs w:val="22"/>
        </w:rPr>
        <w:t>Plan</w:t>
      </w:r>
      <w:r w:rsidR="00D75750" w:rsidRPr="00435CDA">
        <w:rPr>
          <w:rFonts w:asciiTheme="minorHAnsi" w:hAnsiTheme="minorHAnsi"/>
          <w:color w:val="auto"/>
          <w:sz w:val="22"/>
          <w:szCs w:val="22"/>
        </w:rPr>
        <w:t>s for Tabulation and Publication and Project Time Schedule</w:t>
      </w:r>
      <w:bookmarkEnd w:id="20"/>
    </w:p>
    <w:p w14:paraId="61A3256F" w14:textId="77777777" w:rsidR="007E5A8D" w:rsidRPr="00435CDA" w:rsidRDefault="007E5A8D" w:rsidP="003641E1">
      <w:r w:rsidRPr="00435CDA">
        <w:t xml:space="preserve">A summary of this timeline after OMB approval is received is provided below: </w:t>
      </w:r>
    </w:p>
    <w:tbl>
      <w:tblPr>
        <w:tblStyle w:val="TableGrid"/>
        <w:tblW w:w="9576" w:type="dxa"/>
        <w:tblInd w:w="-360" w:type="dxa"/>
        <w:tblLook w:val="04A0" w:firstRow="1" w:lastRow="0" w:firstColumn="1" w:lastColumn="0" w:noHBand="0" w:noVBand="1"/>
      </w:tblPr>
      <w:tblGrid>
        <w:gridCol w:w="7425"/>
        <w:gridCol w:w="2151"/>
      </w:tblGrid>
      <w:tr w:rsidR="007E5A8D" w:rsidRPr="00435CDA" w14:paraId="1E2AABD6" w14:textId="77777777" w:rsidTr="003641E1">
        <w:tc>
          <w:tcPr>
            <w:tcW w:w="7425" w:type="dxa"/>
          </w:tcPr>
          <w:p w14:paraId="4ADFF867" w14:textId="77777777" w:rsidR="007E5A8D" w:rsidRPr="00435CDA" w:rsidRDefault="007E5A8D" w:rsidP="00F35743">
            <w:pPr>
              <w:ind w:firstLine="360"/>
              <w:rPr>
                <w:b/>
                <w:u w:val="single"/>
              </w:rPr>
            </w:pPr>
            <w:r w:rsidRPr="00435CDA">
              <w:rPr>
                <w:b/>
                <w:u w:val="single"/>
              </w:rPr>
              <w:t>Project Time Schedule</w:t>
            </w:r>
          </w:p>
          <w:p w14:paraId="0D496289" w14:textId="77777777" w:rsidR="007E5A8D" w:rsidRPr="00435CDA" w:rsidRDefault="007E5A8D" w:rsidP="00F35743">
            <w:pPr>
              <w:rPr>
                <w:b/>
              </w:rPr>
            </w:pPr>
          </w:p>
        </w:tc>
        <w:tc>
          <w:tcPr>
            <w:tcW w:w="2151" w:type="dxa"/>
          </w:tcPr>
          <w:p w14:paraId="5355D073" w14:textId="77777777" w:rsidR="007E5A8D" w:rsidRPr="00435CDA" w:rsidRDefault="007E5A8D" w:rsidP="00F35743">
            <w:pPr>
              <w:rPr>
                <w:b/>
                <w:u w:val="single"/>
              </w:rPr>
            </w:pPr>
            <w:r w:rsidRPr="00435CDA">
              <w:rPr>
                <w:b/>
                <w:u w:val="single"/>
              </w:rPr>
              <w:t>Weeks after OMB Approval</w:t>
            </w:r>
          </w:p>
        </w:tc>
      </w:tr>
      <w:tr w:rsidR="000800CC" w:rsidRPr="00435CDA" w14:paraId="395DE884" w14:textId="77777777" w:rsidTr="003641E1">
        <w:tc>
          <w:tcPr>
            <w:tcW w:w="7425" w:type="dxa"/>
          </w:tcPr>
          <w:p w14:paraId="660F0556" w14:textId="77777777" w:rsidR="000800CC" w:rsidRPr="00435CDA" w:rsidRDefault="00482BDC" w:rsidP="00F35743">
            <w:r w:rsidRPr="00435CDA">
              <w:t>Edit interview g</w:t>
            </w:r>
            <w:r w:rsidR="000800CC" w:rsidRPr="00435CDA">
              <w:t>uides</w:t>
            </w:r>
          </w:p>
        </w:tc>
        <w:tc>
          <w:tcPr>
            <w:tcW w:w="2151" w:type="dxa"/>
          </w:tcPr>
          <w:p w14:paraId="694C90DA" w14:textId="77777777" w:rsidR="000800CC" w:rsidRPr="00435CDA" w:rsidRDefault="000800CC" w:rsidP="00F35743">
            <w:r w:rsidRPr="00435CDA">
              <w:t>Complete</w:t>
            </w:r>
            <w:r w:rsidR="00CE4C25" w:rsidRPr="00435CDA">
              <w:t>d</w:t>
            </w:r>
          </w:p>
        </w:tc>
      </w:tr>
      <w:tr w:rsidR="000800CC" w:rsidRPr="00435CDA" w14:paraId="1F5DE17F" w14:textId="77777777" w:rsidTr="003641E1">
        <w:tc>
          <w:tcPr>
            <w:tcW w:w="7425" w:type="dxa"/>
          </w:tcPr>
          <w:p w14:paraId="62ADEA51" w14:textId="77777777" w:rsidR="000800CC" w:rsidRPr="00435CDA" w:rsidRDefault="000800CC" w:rsidP="00F35743">
            <w:r w:rsidRPr="00435CDA">
              <w:t>Develop interview guide protocol, instructions, and analysis plan</w:t>
            </w:r>
          </w:p>
        </w:tc>
        <w:tc>
          <w:tcPr>
            <w:tcW w:w="2151" w:type="dxa"/>
          </w:tcPr>
          <w:p w14:paraId="45030183" w14:textId="77777777" w:rsidR="000800CC" w:rsidRPr="00435CDA" w:rsidRDefault="000800CC" w:rsidP="00F35743">
            <w:r w:rsidRPr="00435CDA">
              <w:t>Complete</w:t>
            </w:r>
            <w:r w:rsidR="00CE4C25" w:rsidRPr="00435CDA">
              <w:t>d</w:t>
            </w:r>
          </w:p>
        </w:tc>
      </w:tr>
      <w:tr w:rsidR="000800CC" w:rsidRPr="00435CDA" w14:paraId="5DD44E48" w14:textId="77777777" w:rsidTr="003641E1">
        <w:tc>
          <w:tcPr>
            <w:tcW w:w="7425" w:type="dxa"/>
          </w:tcPr>
          <w:p w14:paraId="6FA095FB" w14:textId="77777777" w:rsidR="000800CC" w:rsidRPr="00435CDA" w:rsidRDefault="000800CC" w:rsidP="00F35743">
            <w:r w:rsidRPr="00435CDA">
              <w:t>Pilot test interview guides</w:t>
            </w:r>
          </w:p>
        </w:tc>
        <w:tc>
          <w:tcPr>
            <w:tcW w:w="2151" w:type="dxa"/>
          </w:tcPr>
          <w:p w14:paraId="7EA6BE02" w14:textId="77777777" w:rsidR="000800CC" w:rsidRPr="00435CDA" w:rsidRDefault="000800CC" w:rsidP="00F35743">
            <w:r w:rsidRPr="00435CDA">
              <w:t>Complete</w:t>
            </w:r>
            <w:r w:rsidR="00CE4C25" w:rsidRPr="00435CDA">
              <w:t>d</w:t>
            </w:r>
          </w:p>
        </w:tc>
      </w:tr>
      <w:tr w:rsidR="000800CC" w:rsidRPr="00435CDA" w14:paraId="3011C792" w14:textId="77777777" w:rsidTr="003641E1">
        <w:tc>
          <w:tcPr>
            <w:tcW w:w="7425" w:type="dxa"/>
          </w:tcPr>
          <w:p w14:paraId="34CC0E3A" w14:textId="77777777" w:rsidR="000800CC" w:rsidRPr="00435CDA" w:rsidRDefault="00482BDC" w:rsidP="00F35743">
            <w:r w:rsidRPr="00435CDA">
              <w:t>Prepare OMB package</w:t>
            </w:r>
          </w:p>
        </w:tc>
        <w:tc>
          <w:tcPr>
            <w:tcW w:w="2151" w:type="dxa"/>
          </w:tcPr>
          <w:p w14:paraId="134A9A65" w14:textId="77777777" w:rsidR="000800CC" w:rsidRPr="00435CDA" w:rsidRDefault="00482BDC" w:rsidP="00F35743">
            <w:r w:rsidRPr="00435CDA">
              <w:t>Complete</w:t>
            </w:r>
            <w:r w:rsidR="00CE4C25" w:rsidRPr="00435CDA">
              <w:t>d</w:t>
            </w:r>
          </w:p>
        </w:tc>
      </w:tr>
      <w:tr w:rsidR="00482BDC" w:rsidRPr="00435CDA" w14:paraId="0FF63AD2" w14:textId="77777777" w:rsidTr="003641E1">
        <w:tc>
          <w:tcPr>
            <w:tcW w:w="7425" w:type="dxa"/>
          </w:tcPr>
          <w:p w14:paraId="3521EC54" w14:textId="77777777" w:rsidR="00482BDC" w:rsidRPr="00435CDA" w:rsidRDefault="00482BDC" w:rsidP="00482BDC">
            <w:r w:rsidRPr="00435CDA">
              <w:t>Prepare IRB package</w:t>
            </w:r>
          </w:p>
        </w:tc>
        <w:tc>
          <w:tcPr>
            <w:tcW w:w="2151" w:type="dxa"/>
          </w:tcPr>
          <w:p w14:paraId="71742682" w14:textId="77777777" w:rsidR="00482BDC" w:rsidRPr="00435CDA" w:rsidRDefault="00482BDC" w:rsidP="00F35743">
            <w:r w:rsidRPr="00435CDA">
              <w:t>Complete</w:t>
            </w:r>
            <w:r w:rsidR="00CE4C25" w:rsidRPr="00435CDA">
              <w:t>d</w:t>
            </w:r>
          </w:p>
        </w:tc>
      </w:tr>
      <w:tr w:rsidR="00482BDC" w:rsidRPr="00435CDA" w14:paraId="39E38336" w14:textId="77777777" w:rsidTr="003641E1">
        <w:tc>
          <w:tcPr>
            <w:tcW w:w="7425" w:type="dxa"/>
          </w:tcPr>
          <w:p w14:paraId="743B4BD9" w14:textId="77777777" w:rsidR="00482BDC" w:rsidRPr="00435CDA" w:rsidRDefault="00482BDC" w:rsidP="00482BDC">
            <w:r w:rsidRPr="00435CDA">
              <w:t>Submit IRB package</w:t>
            </w:r>
          </w:p>
        </w:tc>
        <w:tc>
          <w:tcPr>
            <w:tcW w:w="2151" w:type="dxa"/>
          </w:tcPr>
          <w:p w14:paraId="21D9C190" w14:textId="77777777" w:rsidR="00482BDC" w:rsidRPr="00435CDA" w:rsidRDefault="00482BDC" w:rsidP="00F35743">
            <w:r w:rsidRPr="00435CDA">
              <w:t>Complete</w:t>
            </w:r>
            <w:r w:rsidR="00CE4C25" w:rsidRPr="00435CDA">
              <w:t>d</w:t>
            </w:r>
          </w:p>
        </w:tc>
      </w:tr>
      <w:tr w:rsidR="00482BDC" w:rsidRPr="00435CDA" w14:paraId="63E135DE" w14:textId="77777777" w:rsidTr="003641E1">
        <w:tc>
          <w:tcPr>
            <w:tcW w:w="7425" w:type="dxa"/>
          </w:tcPr>
          <w:p w14:paraId="682D768C" w14:textId="77777777" w:rsidR="00482BDC" w:rsidRPr="00435CDA" w:rsidRDefault="00482BDC" w:rsidP="00F35743">
            <w:r w:rsidRPr="00435CDA">
              <w:t>Submit OMB package</w:t>
            </w:r>
          </w:p>
        </w:tc>
        <w:tc>
          <w:tcPr>
            <w:tcW w:w="2151" w:type="dxa"/>
          </w:tcPr>
          <w:p w14:paraId="3329C116" w14:textId="186D8B33" w:rsidR="00482BDC" w:rsidRPr="00435CDA" w:rsidRDefault="00373377" w:rsidP="00F35743">
            <w:r>
              <w:t>In Process</w:t>
            </w:r>
          </w:p>
        </w:tc>
      </w:tr>
      <w:tr w:rsidR="007E5A8D" w:rsidRPr="00435CDA" w14:paraId="1CC6BEAF" w14:textId="77777777" w:rsidTr="003641E1">
        <w:tc>
          <w:tcPr>
            <w:tcW w:w="7425" w:type="dxa"/>
          </w:tcPr>
          <w:p w14:paraId="51DC6D6C" w14:textId="77777777" w:rsidR="007E5A8D" w:rsidRPr="00435CDA" w:rsidRDefault="007E5A8D" w:rsidP="00F35743">
            <w:r w:rsidRPr="00435CDA">
              <w:t>OMB approval</w:t>
            </w:r>
          </w:p>
        </w:tc>
        <w:tc>
          <w:tcPr>
            <w:tcW w:w="2151" w:type="dxa"/>
          </w:tcPr>
          <w:p w14:paraId="105EB808" w14:textId="77777777" w:rsidR="007E5A8D" w:rsidRPr="00435CDA" w:rsidRDefault="007E5A8D" w:rsidP="00F35743">
            <w:r w:rsidRPr="00435CDA">
              <w:t>TBD</w:t>
            </w:r>
          </w:p>
        </w:tc>
      </w:tr>
      <w:tr w:rsidR="007E5A8D" w:rsidRPr="00435CDA" w14:paraId="3AC2C453" w14:textId="77777777" w:rsidTr="003641E1">
        <w:tc>
          <w:tcPr>
            <w:tcW w:w="7425" w:type="dxa"/>
          </w:tcPr>
          <w:p w14:paraId="0F8E06C2" w14:textId="77777777" w:rsidR="007E5A8D" w:rsidRPr="00435CDA" w:rsidRDefault="007E5A8D" w:rsidP="00F35743">
            <w:r w:rsidRPr="00435CDA">
              <w:t>Email Announcing Project</w:t>
            </w:r>
          </w:p>
        </w:tc>
        <w:tc>
          <w:tcPr>
            <w:tcW w:w="2151" w:type="dxa"/>
          </w:tcPr>
          <w:p w14:paraId="56A60961" w14:textId="77777777" w:rsidR="007E5A8D" w:rsidRPr="00435CDA" w:rsidRDefault="007E5A8D" w:rsidP="00F35743">
            <w:r w:rsidRPr="00435CDA">
              <w:t>1</w:t>
            </w:r>
          </w:p>
        </w:tc>
      </w:tr>
      <w:tr w:rsidR="007E5A8D" w:rsidRPr="00435CDA" w14:paraId="6328406F" w14:textId="77777777" w:rsidTr="003641E1">
        <w:tc>
          <w:tcPr>
            <w:tcW w:w="7425" w:type="dxa"/>
          </w:tcPr>
          <w:p w14:paraId="5CF2882E" w14:textId="77777777" w:rsidR="007E5A8D" w:rsidRPr="00435CDA" w:rsidRDefault="007E5A8D" w:rsidP="00F35743">
            <w:r w:rsidRPr="00435CDA">
              <w:t>Emails sent to potential Participants, scheduling dates for interview, reminder email</w:t>
            </w:r>
            <w:r w:rsidR="00482BDC" w:rsidRPr="00435CDA">
              <w:t>, and practice interviews with contractor</w:t>
            </w:r>
          </w:p>
        </w:tc>
        <w:tc>
          <w:tcPr>
            <w:tcW w:w="2151" w:type="dxa"/>
          </w:tcPr>
          <w:p w14:paraId="5F5F395B" w14:textId="77777777" w:rsidR="007E5A8D" w:rsidRPr="00435CDA" w:rsidRDefault="007655E3" w:rsidP="00F35743">
            <w:r w:rsidRPr="00435CDA">
              <w:t>3</w:t>
            </w:r>
          </w:p>
        </w:tc>
      </w:tr>
      <w:tr w:rsidR="007E5A8D" w:rsidRPr="00435CDA" w14:paraId="1558AC6F" w14:textId="77777777" w:rsidTr="003641E1">
        <w:tc>
          <w:tcPr>
            <w:tcW w:w="7425" w:type="dxa"/>
          </w:tcPr>
          <w:p w14:paraId="1A3CBD24" w14:textId="77777777" w:rsidR="007E5A8D" w:rsidRPr="00435CDA" w:rsidRDefault="001532BA" w:rsidP="00F35743">
            <w:r w:rsidRPr="00435CDA">
              <w:t>Conduct Interviews</w:t>
            </w:r>
          </w:p>
        </w:tc>
        <w:tc>
          <w:tcPr>
            <w:tcW w:w="2151" w:type="dxa"/>
          </w:tcPr>
          <w:p w14:paraId="2730C740" w14:textId="77777777" w:rsidR="007E5A8D" w:rsidRPr="00435CDA" w:rsidRDefault="007655E3" w:rsidP="00F35743">
            <w:r w:rsidRPr="00435CDA">
              <w:t>7</w:t>
            </w:r>
          </w:p>
        </w:tc>
      </w:tr>
      <w:tr w:rsidR="007E5A8D" w:rsidRPr="00435CDA" w14:paraId="7D8265AB" w14:textId="77777777" w:rsidTr="003641E1">
        <w:tc>
          <w:tcPr>
            <w:tcW w:w="7425" w:type="dxa"/>
          </w:tcPr>
          <w:p w14:paraId="05DBCB0F" w14:textId="77777777" w:rsidR="007E5A8D" w:rsidRPr="00435CDA" w:rsidRDefault="00482BDC" w:rsidP="00F35743">
            <w:r w:rsidRPr="00435CDA">
              <w:t>Collect, c</w:t>
            </w:r>
            <w:r w:rsidR="007E5A8D" w:rsidRPr="00435CDA">
              <w:t>ode, enter, quality control, and analyze data</w:t>
            </w:r>
          </w:p>
        </w:tc>
        <w:tc>
          <w:tcPr>
            <w:tcW w:w="2151" w:type="dxa"/>
          </w:tcPr>
          <w:p w14:paraId="5C09C2C8" w14:textId="77777777" w:rsidR="007E5A8D" w:rsidRPr="00435CDA" w:rsidRDefault="007655E3" w:rsidP="00F35743">
            <w:r w:rsidRPr="00435CDA">
              <w:t>15</w:t>
            </w:r>
          </w:p>
        </w:tc>
      </w:tr>
      <w:tr w:rsidR="007E5A8D" w:rsidRPr="00435CDA" w14:paraId="6A523635" w14:textId="77777777" w:rsidTr="003641E1">
        <w:tc>
          <w:tcPr>
            <w:tcW w:w="7425" w:type="dxa"/>
          </w:tcPr>
          <w:p w14:paraId="0E834A5C" w14:textId="6FF447E0" w:rsidR="007E5A8D" w:rsidRPr="00435CDA" w:rsidRDefault="007E5A8D" w:rsidP="00F35743">
            <w:r w:rsidRPr="00435CDA">
              <w:t>Prepare report</w:t>
            </w:r>
            <w:r w:rsidR="005F2802">
              <w:t>/Toolkit</w:t>
            </w:r>
          </w:p>
        </w:tc>
        <w:tc>
          <w:tcPr>
            <w:tcW w:w="2151" w:type="dxa"/>
          </w:tcPr>
          <w:p w14:paraId="5DC85ADA" w14:textId="77777777" w:rsidR="007E5A8D" w:rsidRPr="00435CDA" w:rsidRDefault="007655E3" w:rsidP="00F35743">
            <w:r w:rsidRPr="00435CDA">
              <w:t>19</w:t>
            </w:r>
          </w:p>
        </w:tc>
      </w:tr>
      <w:tr w:rsidR="007E5A8D" w:rsidRPr="00435CDA" w14:paraId="48EAE48C" w14:textId="77777777" w:rsidTr="003641E1">
        <w:tc>
          <w:tcPr>
            <w:tcW w:w="7425" w:type="dxa"/>
          </w:tcPr>
          <w:p w14:paraId="6EF6875D" w14:textId="77777777" w:rsidR="007E5A8D" w:rsidRPr="00435CDA" w:rsidRDefault="007E5A8D" w:rsidP="00F35743">
            <w:r w:rsidRPr="00435CDA">
              <w:t>Disseminate results/publication of findings</w:t>
            </w:r>
          </w:p>
        </w:tc>
        <w:tc>
          <w:tcPr>
            <w:tcW w:w="2151" w:type="dxa"/>
          </w:tcPr>
          <w:p w14:paraId="02B3DB26" w14:textId="77777777" w:rsidR="007E5A8D" w:rsidRPr="00435CDA" w:rsidRDefault="007655E3" w:rsidP="00F35743">
            <w:r w:rsidRPr="00435CDA">
              <w:t>22</w:t>
            </w:r>
          </w:p>
        </w:tc>
      </w:tr>
    </w:tbl>
    <w:p w14:paraId="764E9AFC" w14:textId="77777777" w:rsidR="00B12F51" w:rsidRPr="00435CDA" w:rsidRDefault="00D75750" w:rsidP="008305D1">
      <w:pPr>
        <w:pStyle w:val="Heading2"/>
        <w:numPr>
          <w:ilvl w:val="0"/>
          <w:numId w:val="30"/>
        </w:numPr>
        <w:rPr>
          <w:rFonts w:asciiTheme="minorHAnsi" w:hAnsiTheme="minorHAnsi"/>
          <w:color w:val="auto"/>
          <w:sz w:val="22"/>
          <w:szCs w:val="22"/>
        </w:rPr>
      </w:pPr>
      <w:bookmarkStart w:id="21" w:name="_Toc412038053"/>
      <w:r w:rsidRPr="00435CDA">
        <w:rPr>
          <w:rFonts w:asciiTheme="minorHAnsi" w:hAnsiTheme="minorHAnsi"/>
          <w:color w:val="auto"/>
          <w:sz w:val="22"/>
          <w:szCs w:val="22"/>
        </w:rPr>
        <w:t>Reason(s) Display of OMB Expiration Date is Inappropriate</w:t>
      </w:r>
      <w:bookmarkEnd w:id="21"/>
    </w:p>
    <w:p w14:paraId="409CBB5E" w14:textId="77777777" w:rsidR="00F52BCC" w:rsidRPr="00435CDA" w:rsidRDefault="00180D45" w:rsidP="002550B2">
      <w:pPr>
        <w:spacing w:after="0"/>
      </w:pPr>
      <w:r w:rsidRPr="00435CDA">
        <w:t>We are requesting no exemption.</w:t>
      </w:r>
    </w:p>
    <w:p w14:paraId="57CCEEB9" w14:textId="263736A2" w:rsidR="00B12F51" w:rsidRPr="00435CDA" w:rsidRDefault="00B12F51" w:rsidP="00764293">
      <w:pPr>
        <w:pStyle w:val="Heading1"/>
        <w:numPr>
          <w:ilvl w:val="0"/>
          <w:numId w:val="30"/>
        </w:numPr>
        <w:rPr>
          <w:rFonts w:asciiTheme="minorHAnsi" w:hAnsiTheme="minorHAnsi"/>
          <w:color w:val="auto"/>
          <w:sz w:val="22"/>
          <w:szCs w:val="22"/>
        </w:rPr>
      </w:pPr>
      <w:bookmarkStart w:id="22" w:name="_Toc412038054"/>
      <w:r w:rsidRPr="00435CDA">
        <w:rPr>
          <w:rFonts w:asciiTheme="minorHAnsi" w:hAnsiTheme="minorHAnsi"/>
          <w:color w:val="auto"/>
          <w:sz w:val="22"/>
          <w:szCs w:val="22"/>
        </w:rPr>
        <w:lastRenderedPageBreak/>
        <w:t>Exceptions to Certification for Paperwork Reduction Act Submissions</w:t>
      </w:r>
      <w:bookmarkEnd w:id="22"/>
    </w:p>
    <w:p w14:paraId="6BEF066C" w14:textId="77777777" w:rsidR="00F52BCC" w:rsidRPr="00435CDA" w:rsidRDefault="0031279F" w:rsidP="003641E1">
      <w:pPr>
        <w:spacing w:after="0"/>
      </w:pPr>
      <w:r w:rsidRPr="00435CDA">
        <w:t>There are no exceptions to the certification.</w:t>
      </w:r>
      <w:r w:rsidR="00180D45" w:rsidRPr="00435CDA">
        <w:t xml:space="preserve">  These activities comply with the requirements in 5 CFR 1320.9.</w:t>
      </w:r>
    </w:p>
    <w:p w14:paraId="76840932" w14:textId="77777777" w:rsidR="006D1A43" w:rsidRPr="00435CDA" w:rsidRDefault="006D1A43" w:rsidP="003641E1">
      <w:pPr>
        <w:pStyle w:val="Heading1"/>
        <w:rPr>
          <w:rFonts w:asciiTheme="minorHAnsi" w:hAnsiTheme="minorHAnsi"/>
          <w:color w:val="auto"/>
          <w:sz w:val="22"/>
          <w:szCs w:val="22"/>
        </w:rPr>
      </w:pPr>
      <w:bookmarkStart w:id="23" w:name="_Toc412038055"/>
      <w:r w:rsidRPr="00435CDA">
        <w:rPr>
          <w:rFonts w:asciiTheme="minorHAnsi" w:hAnsiTheme="minorHAnsi"/>
          <w:color w:val="auto"/>
          <w:sz w:val="22"/>
          <w:szCs w:val="22"/>
        </w:rPr>
        <w:t>References</w:t>
      </w:r>
      <w:bookmarkEnd w:id="23"/>
    </w:p>
    <w:p w14:paraId="4261B19C" w14:textId="12670EA0" w:rsidR="006D1A43" w:rsidRPr="00435CDA" w:rsidRDefault="00AB2331" w:rsidP="00DF583C">
      <w:pPr>
        <w:pStyle w:val="ListParagraph"/>
        <w:numPr>
          <w:ilvl w:val="0"/>
          <w:numId w:val="2"/>
        </w:numPr>
        <w:spacing w:line="360" w:lineRule="auto"/>
        <w:ind w:left="0"/>
      </w:pPr>
      <w:r w:rsidRPr="00435CDA">
        <w:t>Hamilton JJ</w:t>
      </w:r>
      <w:r w:rsidR="006D1A43" w:rsidRPr="00435CDA">
        <w:t xml:space="preserve"> (2013). </w:t>
      </w:r>
      <w:r w:rsidR="006D1A43" w:rsidRPr="00435CDA">
        <w:rPr>
          <w:i/>
          <w:iCs/>
        </w:rPr>
        <w:t xml:space="preserve">Public Health Data and Informatics Needs during the Fungal Meningitis Outbreak. </w:t>
      </w:r>
      <w:r w:rsidR="006D1A43" w:rsidRPr="00435CDA">
        <w:t xml:space="preserve">[PowerPoint slides]. Retrieved from </w:t>
      </w:r>
      <w:hyperlink r:id="rId10" w:history="1">
        <w:r w:rsidR="006D1A43" w:rsidRPr="00435CDA">
          <w:rPr>
            <w:rStyle w:val="Hyperlink"/>
          </w:rPr>
          <w:t>http://www.amia.org/sites/amia.org/files/PHIWG-Meningitis-WebinarSlides.pdf</w:t>
        </w:r>
      </w:hyperlink>
    </w:p>
    <w:p w14:paraId="38E77D79" w14:textId="55D64FE6" w:rsidR="00793B17" w:rsidRPr="00435CDA" w:rsidRDefault="00715A47" w:rsidP="00DF583C">
      <w:pPr>
        <w:pStyle w:val="ListParagraph"/>
        <w:numPr>
          <w:ilvl w:val="0"/>
          <w:numId w:val="2"/>
        </w:numPr>
        <w:spacing w:line="360" w:lineRule="auto"/>
        <w:ind w:left="0"/>
      </w:pPr>
      <w:r w:rsidRPr="00435CDA">
        <w:t>Association of State, and Territorial Health Officials.  Public Health’s Direct Access to Hospital Electronic Medical Records: Benefits and Barriers. Published December, 2013.</w:t>
      </w:r>
    </w:p>
    <w:p w14:paraId="23C54F98" w14:textId="5CE3ED9C" w:rsidR="002C74CB" w:rsidRPr="00435CDA" w:rsidRDefault="007C11B0" w:rsidP="00DF583C">
      <w:pPr>
        <w:pStyle w:val="ListParagraph"/>
        <w:numPr>
          <w:ilvl w:val="0"/>
          <w:numId w:val="2"/>
        </w:numPr>
        <w:spacing w:line="360" w:lineRule="auto"/>
        <w:ind w:left="0"/>
      </w:pPr>
      <w:r w:rsidRPr="00435CDA">
        <w:t>Center</w:t>
      </w:r>
      <w:r w:rsidR="00435CDA">
        <w:t>s</w:t>
      </w:r>
      <w:r w:rsidRPr="00435CDA">
        <w:t xml:space="preserve"> for Disease Control and Prevention. State Health Department Access to Electronic Health Record Data during an Outbreak: A Retrospective Assessment Preliminary Summary Report. (unpublished data, 2014)</w:t>
      </w:r>
    </w:p>
    <w:p w14:paraId="638B3C61" w14:textId="5B5649D4" w:rsidR="00D6468A" w:rsidRPr="00435CDA" w:rsidRDefault="00793B17" w:rsidP="00DF583C">
      <w:pPr>
        <w:pStyle w:val="ListParagraph"/>
        <w:numPr>
          <w:ilvl w:val="0"/>
          <w:numId w:val="2"/>
        </w:numPr>
        <w:spacing w:line="360" w:lineRule="auto"/>
        <w:ind w:left="0"/>
      </w:pPr>
      <w:r w:rsidRPr="00435CDA">
        <w:t>Departme</w:t>
      </w:r>
      <w:r w:rsidR="00435CDA">
        <w:t>nt of Health and Human Services</w:t>
      </w:r>
      <w:r w:rsidRPr="00435CDA">
        <w:t xml:space="preserve"> (1996). </w:t>
      </w:r>
      <w:r w:rsidRPr="00435CDA">
        <w:rPr>
          <w:i/>
        </w:rPr>
        <w:t>Health and Insurance Portability</w:t>
      </w:r>
      <w:r w:rsidR="00435CDA">
        <w:rPr>
          <w:i/>
        </w:rPr>
        <w:t xml:space="preserve"> and Accountability Act (HIPAA)</w:t>
      </w:r>
      <w:r w:rsidRPr="00435CDA">
        <w:rPr>
          <w:i/>
        </w:rPr>
        <w:t xml:space="preserve">. </w:t>
      </w:r>
      <w:r w:rsidRPr="00435CDA">
        <w:t xml:space="preserve"> Retrieved from http://www.hhs.gov/ocr/privacy/</w:t>
      </w:r>
    </w:p>
    <w:p w14:paraId="6F983DFC" w14:textId="091A0745" w:rsidR="006D1A43" w:rsidRPr="00435CDA" w:rsidRDefault="006D1A43" w:rsidP="00DF583C">
      <w:pPr>
        <w:pStyle w:val="ListParagraph"/>
        <w:numPr>
          <w:ilvl w:val="0"/>
          <w:numId w:val="2"/>
        </w:numPr>
        <w:spacing w:line="360" w:lineRule="auto"/>
        <w:ind w:left="0"/>
      </w:pPr>
      <w:r w:rsidRPr="00435CDA">
        <w:t xml:space="preserve">Health IT (2009). </w:t>
      </w:r>
      <w:r w:rsidRPr="00435CDA">
        <w:rPr>
          <w:i/>
        </w:rPr>
        <w:t>HITECH ACT.</w:t>
      </w:r>
      <w:r w:rsidRPr="00435CDA">
        <w:t xml:space="preserve"> Retrieved from http://www.healthit.gov/policy-researchers-implementers/hitech-act </w:t>
      </w:r>
    </w:p>
    <w:p w14:paraId="3E8EEA34" w14:textId="1A66463E" w:rsidR="006D1A43" w:rsidRPr="00435CDA" w:rsidRDefault="006D1A43" w:rsidP="00DF583C">
      <w:pPr>
        <w:pStyle w:val="ListParagraph"/>
        <w:numPr>
          <w:ilvl w:val="0"/>
          <w:numId w:val="2"/>
        </w:numPr>
        <w:spacing w:line="360" w:lineRule="auto"/>
        <w:ind w:left="0"/>
      </w:pPr>
      <w:r w:rsidRPr="00435CDA">
        <w:t xml:space="preserve">Shultz, D (2012). </w:t>
      </w:r>
      <w:r w:rsidRPr="00435CDA">
        <w:rPr>
          <w:i/>
        </w:rPr>
        <w:t>As Patients’ Records Go Digital, Theft and Hacking Problems Grow</w:t>
      </w:r>
      <w:r w:rsidRPr="00435CDA">
        <w:t xml:space="preserve">. Retrieved from </w:t>
      </w:r>
      <w:hyperlink r:id="rId11" w:history="1">
        <w:r w:rsidRPr="00435CDA">
          <w:rPr>
            <w:rStyle w:val="Hyperlink"/>
          </w:rPr>
          <w:t>http://www.kaiserhealthnews.org/Stories/2012/June/04/electronic-health-records-theft-hacking.aspx</w:t>
        </w:r>
      </w:hyperlink>
    </w:p>
    <w:p w14:paraId="0BBB97E6" w14:textId="7DC7127C" w:rsidR="006D1A43" w:rsidRPr="00435CDA" w:rsidRDefault="006D1A43" w:rsidP="00DF583C">
      <w:pPr>
        <w:pStyle w:val="ListParagraph"/>
        <w:numPr>
          <w:ilvl w:val="0"/>
          <w:numId w:val="2"/>
        </w:numPr>
        <w:spacing w:line="360" w:lineRule="auto"/>
        <w:ind w:left="0"/>
      </w:pPr>
      <w:r w:rsidRPr="00435CDA">
        <w:t>Health and Human Services (2013</w:t>
      </w:r>
      <w:r w:rsidRPr="00435CDA">
        <w:rPr>
          <w:i/>
        </w:rPr>
        <w:t>). Idaho State University Settles HIPAA Security Case for $400,000</w:t>
      </w:r>
      <w:r w:rsidRPr="00435CDA">
        <w:t>. Retrieved from 20http://www.hhs.gov/ocr/privacy/hipaa/enforcement/examples/isu-agreement-press-release.html.html13</w:t>
      </w:r>
    </w:p>
    <w:p w14:paraId="36BEFF36" w14:textId="6505FFB3" w:rsidR="00AB2331" w:rsidRPr="00435CDA" w:rsidRDefault="00AB2331" w:rsidP="00DF583C">
      <w:pPr>
        <w:pStyle w:val="ListParagraph"/>
        <w:numPr>
          <w:ilvl w:val="0"/>
          <w:numId w:val="2"/>
        </w:numPr>
        <w:spacing w:line="360" w:lineRule="auto"/>
        <w:ind w:left="0"/>
      </w:pPr>
      <w:proofErr w:type="spellStart"/>
      <w:r w:rsidRPr="00435CDA">
        <w:t>Kakafka</w:t>
      </w:r>
      <w:proofErr w:type="spellEnd"/>
      <w:r w:rsidRPr="00435CDA">
        <w:t xml:space="preserve"> R, </w:t>
      </w:r>
      <w:proofErr w:type="spellStart"/>
      <w:r w:rsidRPr="00435CDA">
        <w:t>Ancker</w:t>
      </w:r>
      <w:proofErr w:type="spellEnd"/>
      <w:r w:rsidRPr="00435CDA">
        <w:t xml:space="preserve"> JS, Chan C, </w:t>
      </w:r>
      <w:proofErr w:type="spellStart"/>
      <w:r w:rsidRPr="00435CDA">
        <w:t>Chelico</w:t>
      </w:r>
      <w:proofErr w:type="spellEnd"/>
      <w:r w:rsidRPr="00435CDA">
        <w:t xml:space="preserve"> J, Khan S, </w:t>
      </w:r>
      <w:proofErr w:type="spellStart"/>
      <w:r w:rsidRPr="00435CDA">
        <w:t>Mortoti</w:t>
      </w:r>
      <w:proofErr w:type="spellEnd"/>
      <w:r w:rsidRPr="00435CDA">
        <w:t xml:space="preserve"> S, Natarajan K, Presley K, Stephens K Redesigning electronic health record systems to support public health. </w:t>
      </w:r>
      <w:r w:rsidR="00B846BE" w:rsidRPr="00435CDA">
        <w:rPr>
          <w:i/>
        </w:rPr>
        <w:t>J Biomed Inform</w:t>
      </w:r>
      <w:r w:rsidR="00B846BE" w:rsidRPr="00435CDA">
        <w:t>. 2007 Aug; 40(4): 398-409.</w:t>
      </w:r>
    </w:p>
    <w:p w14:paraId="58519E58" w14:textId="77777777" w:rsidR="00A36419" w:rsidRPr="00494AF4" w:rsidRDefault="00F42C4A" w:rsidP="003641E1">
      <w:pPr>
        <w:pStyle w:val="Heading1"/>
        <w:rPr>
          <w:rFonts w:asciiTheme="minorHAnsi" w:hAnsiTheme="minorHAnsi"/>
          <w:color w:val="auto"/>
          <w:sz w:val="22"/>
          <w:szCs w:val="22"/>
        </w:rPr>
      </w:pPr>
      <w:bookmarkStart w:id="24" w:name="_Toc412038056"/>
      <w:r w:rsidRPr="00494AF4">
        <w:rPr>
          <w:rFonts w:asciiTheme="minorHAnsi" w:hAnsiTheme="minorHAnsi"/>
          <w:color w:val="auto"/>
          <w:sz w:val="22"/>
          <w:szCs w:val="22"/>
        </w:rPr>
        <w:t>LIS</w:t>
      </w:r>
      <w:r w:rsidR="00A36419" w:rsidRPr="00494AF4">
        <w:rPr>
          <w:rFonts w:asciiTheme="minorHAnsi" w:hAnsiTheme="minorHAnsi"/>
          <w:color w:val="auto"/>
          <w:sz w:val="22"/>
          <w:szCs w:val="22"/>
        </w:rPr>
        <w:t xml:space="preserve">T OF </w:t>
      </w:r>
      <w:r w:rsidR="00D27325" w:rsidRPr="00494AF4">
        <w:rPr>
          <w:rFonts w:asciiTheme="minorHAnsi" w:hAnsiTheme="minorHAnsi"/>
          <w:color w:val="auto"/>
          <w:sz w:val="22"/>
          <w:szCs w:val="22"/>
        </w:rPr>
        <w:t>ATTACHMENTS</w:t>
      </w:r>
      <w:r w:rsidR="006D1A43" w:rsidRPr="00494AF4">
        <w:rPr>
          <w:rFonts w:asciiTheme="minorHAnsi" w:hAnsiTheme="minorHAnsi"/>
          <w:color w:val="auto"/>
          <w:sz w:val="22"/>
          <w:szCs w:val="22"/>
        </w:rPr>
        <w:t xml:space="preserve"> –Section A</w:t>
      </w:r>
      <w:bookmarkEnd w:id="24"/>
    </w:p>
    <w:p w14:paraId="409282E7" w14:textId="77777777" w:rsidR="00A24CC7" w:rsidRPr="00494AF4" w:rsidRDefault="00A24CC7" w:rsidP="003641E1">
      <w:pPr>
        <w:spacing w:after="0"/>
      </w:pPr>
    </w:p>
    <w:p w14:paraId="5116174E" w14:textId="77777777" w:rsidR="0055230E" w:rsidRPr="00494AF4" w:rsidRDefault="009B74AD" w:rsidP="003641E1">
      <w:pPr>
        <w:spacing w:line="240" w:lineRule="auto"/>
      </w:pPr>
      <w:r w:rsidRPr="00494AF4">
        <w:rPr>
          <w:b/>
        </w:rPr>
        <w:t xml:space="preserve"> </w:t>
      </w:r>
      <w:r w:rsidR="005C547D" w:rsidRPr="00494AF4">
        <w:t xml:space="preserve">Appendix </w:t>
      </w:r>
      <w:r w:rsidR="0055230E" w:rsidRPr="00494AF4">
        <w:t>A: Section 301 of the Public Health Service Act (42 U.S.C. 241)</w:t>
      </w:r>
      <w:r w:rsidR="00D27325" w:rsidRPr="00494AF4">
        <w:t>; Authorizing Legislation</w:t>
      </w:r>
    </w:p>
    <w:p w14:paraId="5788E4A6" w14:textId="77777777" w:rsidR="0055230E" w:rsidRPr="00494AF4" w:rsidRDefault="0055230E" w:rsidP="003641E1">
      <w:pPr>
        <w:spacing w:line="240" w:lineRule="auto"/>
      </w:pPr>
      <w:r w:rsidRPr="00494AF4">
        <w:t>Appendix B: 60 Day Federal Register Notice</w:t>
      </w:r>
    </w:p>
    <w:p w14:paraId="39B8A1ED" w14:textId="1016E26A" w:rsidR="00091F44" w:rsidRPr="00494AF4" w:rsidRDefault="00091F44" w:rsidP="003641E1">
      <w:pPr>
        <w:spacing w:line="240" w:lineRule="auto"/>
      </w:pPr>
      <w:r w:rsidRPr="00494AF4">
        <w:t xml:space="preserve">Appendix C: </w:t>
      </w:r>
      <w:r w:rsidR="007A10FE" w:rsidRPr="00494AF4">
        <w:t xml:space="preserve">Phase </w:t>
      </w:r>
      <w:proofErr w:type="gramStart"/>
      <w:r w:rsidR="007A10FE" w:rsidRPr="00494AF4">
        <w:t>I</w:t>
      </w:r>
      <w:r w:rsidR="000407F1">
        <w:t>(</w:t>
      </w:r>
      <w:proofErr w:type="gramEnd"/>
      <w:r w:rsidR="000407F1">
        <w:t>OMB 0920-0879)</w:t>
      </w:r>
      <w:r w:rsidR="007A10FE" w:rsidRPr="00494AF4">
        <w:t xml:space="preserve"> Summary Report</w:t>
      </w:r>
    </w:p>
    <w:p w14:paraId="7B28D0F8" w14:textId="77777777" w:rsidR="00D90A8E" w:rsidRPr="00494AF4" w:rsidRDefault="0055230E" w:rsidP="003641E1">
      <w:pPr>
        <w:spacing w:line="240" w:lineRule="auto"/>
      </w:pPr>
      <w:r w:rsidRPr="00494AF4">
        <w:t xml:space="preserve">Appendix </w:t>
      </w:r>
      <w:r w:rsidR="00091F44" w:rsidRPr="00494AF4">
        <w:t>D</w:t>
      </w:r>
      <w:r w:rsidRPr="00494AF4">
        <w:t xml:space="preserve">: </w:t>
      </w:r>
      <w:r w:rsidR="00D90A8E" w:rsidRPr="00494AF4">
        <w:t xml:space="preserve">Telephone Interview Guide for Infection </w:t>
      </w:r>
      <w:proofErr w:type="spellStart"/>
      <w:r w:rsidR="00D90A8E" w:rsidRPr="00494AF4">
        <w:t>Preventionist</w:t>
      </w:r>
      <w:proofErr w:type="spellEnd"/>
      <w:r w:rsidR="00D90A8E" w:rsidRPr="00494AF4">
        <w:t xml:space="preserve"> and Clinics Directors, or other as Defined</w:t>
      </w:r>
    </w:p>
    <w:p w14:paraId="67E5AC0F" w14:textId="77777777" w:rsidR="005C547D" w:rsidRPr="00494AF4" w:rsidRDefault="0055230E" w:rsidP="003641E1">
      <w:pPr>
        <w:spacing w:line="240" w:lineRule="auto"/>
      </w:pPr>
      <w:r w:rsidRPr="00494AF4">
        <w:lastRenderedPageBreak/>
        <w:t xml:space="preserve">Appendix </w:t>
      </w:r>
      <w:r w:rsidR="00091F44" w:rsidRPr="00494AF4">
        <w:t>E</w:t>
      </w:r>
      <w:r w:rsidR="005C547D" w:rsidRPr="00494AF4">
        <w:t xml:space="preserve"> </w:t>
      </w:r>
      <w:r w:rsidR="00D90A8E" w:rsidRPr="00494AF4">
        <w:t>Telephone Interview Guide Informatics Directors</w:t>
      </w:r>
    </w:p>
    <w:p w14:paraId="71069FED" w14:textId="77777777" w:rsidR="00D90A8E" w:rsidRPr="00494AF4" w:rsidRDefault="005C547D" w:rsidP="003641E1">
      <w:pPr>
        <w:spacing w:line="240" w:lineRule="auto"/>
      </w:pPr>
      <w:r w:rsidRPr="00494AF4">
        <w:t xml:space="preserve">Appendix </w:t>
      </w:r>
      <w:r w:rsidR="00091F44" w:rsidRPr="00494AF4">
        <w:t>F</w:t>
      </w:r>
      <w:r w:rsidRPr="00494AF4">
        <w:t xml:space="preserve">: </w:t>
      </w:r>
      <w:r w:rsidR="00D90A8E" w:rsidRPr="00494AF4">
        <w:t>CDC IRB Letter of Determination</w:t>
      </w:r>
    </w:p>
    <w:p w14:paraId="26323731" w14:textId="6545794B" w:rsidR="005C547D" w:rsidRPr="00494AF4" w:rsidRDefault="005C547D" w:rsidP="003641E1">
      <w:pPr>
        <w:spacing w:line="240" w:lineRule="auto"/>
      </w:pPr>
      <w:r w:rsidRPr="00494AF4">
        <w:t xml:space="preserve">Appendix </w:t>
      </w:r>
      <w:r w:rsidR="00091F44" w:rsidRPr="00494AF4">
        <w:t>G</w:t>
      </w:r>
      <w:r w:rsidRPr="00494AF4">
        <w:t xml:space="preserve">: Emails to Health Department Point of Contact for Healthcare </w:t>
      </w:r>
      <w:r w:rsidR="00723AD9" w:rsidRPr="00494AF4">
        <w:t>Facilities</w:t>
      </w:r>
    </w:p>
    <w:p w14:paraId="6F7C2272" w14:textId="77777777" w:rsidR="005C547D" w:rsidRPr="00494AF4" w:rsidRDefault="005C547D" w:rsidP="003641E1">
      <w:pPr>
        <w:spacing w:line="240" w:lineRule="auto"/>
      </w:pPr>
      <w:r w:rsidRPr="00494AF4">
        <w:t xml:space="preserve">Appendix </w:t>
      </w:r>
      <w:r w:rsidR="00091F44" w:rsidRPr="00494AF4">
        <w:t>H</w:t>
      </w:r>
      <w:r w:rsidRPr="00494AF4">
        <w:t>: Email to Healthcare Facility Point of Contact</w:t>
      </w:r>
    </w:p>
    <w:p w14:paraId="084272D8" w14:textId="77777777" w:rsidR="005C547D" w:rsidRPr="00494AF4" w:rsidRDefault="005C547D" w:rsidP="003641E1">
      <w:pPr>
        <w:spacing w:line="240" w:lineRule="auto"/>
      </w:pPr>
      <w:r w:rsidRPr="00494AF4">
        <w:t xml:space="preserve">Appendix </w:t>
      </w:r>
      <w:r w:rsidR="00091F44" w:rsidRPr="00494AF4">
        <w:t>I</w:t>
      </w:r>
      <w:r w:rsidRPr="00494AF4">
        <w:t>: Email to Clinic Directors</w:t>
      </w:r>
    </w:p>
    <w:p w14:paraId="783C6C82" w14:textId="77777777" w:rsidR="005C547D" w:rsidRPr="00494AF4" w:rsidRDefault="005C547D" w:rsidP="003641E1">
      <w:pPr>
        <w:spacing w:line="240" w:lineRule="auto"/>
      </w:pPr>
      <w:r w:rsidRPr="00494AF4">
        <w:t xml:space="preserve">Appendix </w:t>
      </w:r>
      <w:r w:rsidR="00091F44" w:rsidRPr="00494AF4">
        <w:t>J</w:t>
      </w:r>
      <w:r w:rsidRPr="00494AF4">
        <w:t xml:space="preserve">: Individual Email to Infection </w:t>
      </w:r>
      <w:proofErr w:type="spellStart"/>
      <w:r w:rsidRPr="00494AF4">
        <w:t>Preventionist</w:t>
      </w:r>
      <w:proofErr w:type="spellEnd"/>
      <w:r w:rsidRPr="00494AF4">
        <w:t>, Health Informatics Director, other as referred Clinic Director or Other as referred by Clinic Director, other as referred</w:t>
      </w:r>
    </w:p>
    <w:p w14:paraId="411B9F3A" w14:textId="77777777" w:rsidR="005C547D" w:rsidRPr="00435CDA" w:rsidRDefault="005C547D" w:rsidP="003641E1">
      <w:pPr>
        <w:spacing w:line="240" w:lineRule="auto"/>
      </w:pPr>
      <w:r w:rsidRPr="00494AF4">
        <w:t xml:space="preserve">Appendix </w:t>
      </w:r>
      <w:r w:rsidR="00091F44" w:rsidRPr="00494AF4">
        <w:t>K</w:t>
      </w:r>
      <w:r w:rsidRPr="00494AF4">
        <w:t>-Email reminder to All Participants</w:t>
      </w:r>
    </w:p>
    <w:p w14:paraId="5BB85267" w14:textId="77777777" w:rsidR="006D1A43" w:rsidRDefault="005C547D" w:rsidP="003641E1">
      <w:pPr>
        <w:spacing w:line="240" w:lineRule="auto"/>
      </w:pPr>
      <w:r w:rsidRPr="00435CDA">
        <w:t xml:space="preserve">Appendix </w:t>
      </w:r>
      <w:r w:rsidR="00091F44" w:rsidRPr="00435CDA">
        <w:t>L</w:t>
      </w:r>
      <w:r w:rsidRPr="00435CDA">
        <w:t xml:space="preserve">-Thank you Email to All Participants </w:t>
      </w:r>
    </w:p>
    <w:p w14:paraId="2F37A55E" w14:textId="04CFC9B0" w:rsidR="00764293" w:rsidRPr="00435CDA" w:rsidRDefault="00764293" w:rsidP="003641E1">
      <w:pPr>
        <w:spacing w:line="240" w:lineRule="auto"/>
        <w:rPr>
          <w:b/>
        </w:rPr>
      </w:pPr>
      <w:r>
        <w:t>Appendix M-60 Day FRN Comment</w:t>
      </w:r>
    </w:p>
    <w:sectPr w:rsidR="00764293" w:rsidRPr="00435CDA" w:rsidSect="0006790E">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6686A" w14:textId="77777777" w:rsidR="00C37DFB" w:rsidRDefault="00C37DFB" w:rsidP="00716F94">
      <w:pPr>
        <w:spacing w:after="0" w:line="240" w:lineRule="auto"/>
      </w:pPr>
      <w:r>
        <w:separator/>
      </w:r>
    </w:p>
  </w:endnote>
  <w:endnote w:type="continuationSeparator" w:id="0">
    <w:p w14:paraId="0BC4E713" w14:textId="77777777" w:rsidR="00C37DFB" w:rsidRDefault="00C37DFB" w:rsidP="00716F94">
      <w:pPr>
        <w:spacing w:after="0" w:line="240" w:lineRule="auto"/>
      </w:pPr>
      <w:r>
        <w:continuationSeparator/>
      </w:r>
    </w:p>
  </w:endnote>
  <w:endnote w:type="continuationNotice" w:id="1">
    <w:p w14:paraId="324C05D2" w14:textId="77777777" w:rsidR="00C37DFB" w:rsidRDefault="00C37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866189"/>
      <w:docPartObj>
        <w:docPartGallery w:val="Page Numbers (Bottom of Page)"/>
        <w:docPartUnique/>
      </w:docPartObj>
    </w:sdtPr>
    <w:sdtEndPr/>
    <w:sdtContent>
      <w:sdt>
        <w:sdtPr>
          <w:id w:val="860082579"/>
          <w:docPartObj>
            <w:docPartGallery w:val="Page Numbers (Top of Page)"/>
            <w:docPartUnique/>
          </w:docPartObj>
        </w:sdtPr>
        <w:sdtEndPr/>
        <w:sdtContent>
          <w:p w14:paraId="6E9046C5" w14:textId="77777777" w:rsidR="00C37DFB" w:rsidRDefault="00C37D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7A0B">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7A0B">
              <w:rPr>
                <w:b/>
                <w:bCs/>
                <w:noProof/>
              </w:rPr>
              <w:t>15</w:t>
            </w:r>
            <w:r>
              <w:rPr>
                <w:b/>
                <w:bCs/>
                <w:sz w:val="24"/>
                <w:szCs w:val="24"/>
              </w:rPr>
              <w:fldChar w:fldCharType="end"/>
            </w:r>
          </w:p>
        </w:sdtContent>
      </w:sdt>
    </w:sdtContent>
  </w:sdt>
  <w:p w14:paraId="2FF7E024" w14:textId="77777777" w:rsidR="00C37DFB" w:rsidRDefault="00C37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34CAA" w14:textId="77777777" w:rsidR="00C37DFB" w:rsidRDefault="00C37DFB" w:rsidP="00716F94">
      <w:pPr>
        <w:spacing w:after="0" w:line="240" w:lineRule="auto"/>
      </w:pPr>
      <w:r>
        <w:separator/>
      </w:r>
    </w:p>
  </w:footnote>
  <w:footnote w:type="continuationSeparator" w:id="0">
    <w:p w14:paraId="5865BCAC" w14:textId="77777777" w:rsidR="00C37DFB" w:rsidRDefault="00C37DFB" w:rsidP="00716F94">
      <w:pPr>
        <w:spacing w:after="0" w:line="240" w:lineRule="auto"/>
      </w:pPr>
      <w:r>
        <w:continuationSeparator/>
      </w:r>
    </w:p>
  </w:footnote>
  <w:footnote w:type="continuationNotice" w:id="1">
    <w:p w14:paraId="7CD5AF14" w14:textId="77777777" w:rsidR="00C37DFB" w:rsidRDefault="00C37D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37D5" w14:textId="51F8A0D1" w:rsidR="00C37DFB" w:rsidRPr="00716F94" w:rsidRDefault="00C37DFB" w:rsidP="0006790E">
    <w:pPr>
      <w:pStyle w:val="Header"/>
      <w:tabs>
        <w:tab w:val="clear" w:pos="4680"/>
        <w:tab w:val="left" w:pos="4620"/>
      </w:tabs>
      <w:rPr>
        <w:color w:val="0033CC"/>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B36"/>
    <w:multiLevelType w:val="hybridMultilevel"/>
    <w:tmpl w:val="54DAB60E"/>
    <w:lvl w:ilvl="0" w:tplc="798A02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94028"/>
    <w:multiLevelType w:val="hybridMultilevel"/>
    <w:tmpl w:val="5C3E216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B86566"/>
    <w:multiLevelType w:val="hybridMultilevel"/>
    <w:tmpl w:val="069248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1E34CB"/>
    <w:multiLevelType w:val="multilevel"/>
    <w:tmpl w:val="16A2AB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C2401A"/>
    <w:multiLevelType w:val="hybridMultilevel"/>
    <w:tmpl w:val="10889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35AF9"/>
    <w:multiLevelType w:val="hybridMultilevel"/>
    <w:tmpl w:val="D6D6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F018F"/>
    <w:multiLevelType w:val="hybridMultilevel"/>
    <w:tmpl w:val="7032CBB0"/>
    <w:lvl w:ilvl="0" w:tplc="967A6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627CF5"/>
    <w:multiLevelType w:val="hybridMultilevel"/>
    <w:tmpl w:val="8C82FCD2"/>
    <w:lvl w:ilvl="0" w:tplc="BDD4EE60">
      <w:start w:val="8"/>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0228F"/>
    <w:multiLevelType w:val="multilevel"/>
    <w:tmpl w:val="904C1E8E"/>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912079"/>
    <w:multiLevelType w:val="hybridMultilevel"/>
    <w:tmpl w:val="EBC2EF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6716B7A"/>
    <w:multiLevelType w:val="hybridMultilevel"/>
    <w:tmpl w:val="F5FA3E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5B411E"/>
    <w:multiLevelType w:val="hybridMultilevel"/>
    <w:tmpl w:val="BBD4374C"/>
    <w:lvl w:ilvl="0" w:tplc="261E8E9E">
      <w:start w:val="1"/>
      <w:numFmt w:val="upperLetter"/>
      <w:lvlText w:val="%1."/>
      <w:lvlJc w:val="left"/>
      <w:pPr>
        <w:ind w:left="1080" w:hanging="360"/>
      </w:pPr>
      <w:rPr>
        <w:rFonts w:hint="default"/>
        <w:i w:val="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077EAD"/>
    <w:multiLevelType w:val="hybridMultilevel"/>
    <w:tmpl w:val="0604437E"/>
    <w:lvl w:ilvl="0" w:tplc="AEBE36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47BA5"/>
    <w:multiLevelType w:val="hybridMultilevel"/>
    <w:tmpl w:val="375E90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65AED"/>
    <w:multiLevelType w:val="hybridMultilevel"/>
    <w:tmpl w:val="67F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792299"/>
    <w:multiLevelType w:val="hybridMultilevel"/>
    <w:tmpl w:val="E5E892C6"/>
    <w:lvl w:ilvl="0" w:tplc="271CE4D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77072"/>
    <w:multiLevelType w:val="multilevel"/>
    <w:tmpl w:val="B94A026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235B20"/>
    <w:multiLevelType w:val="hybridMultilevel"/>
    <w:tmpl w:val="48DA69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7F22E2"/>
    <w:multiLevelType w:val="multilevel"/>
    <w:tmpl w:val="410614C2"/>
    <w:lvl w:ilvl="0">
      <w:start w:val="1"/>
      <w:numFmt w:val="decimal"/>
      <w:lvlText w:val="%1."/>
      <w:lvlJc w:val="left"/>
      <w:pPr>
        <w:ind w:left="720" w:hanging="360"/>
      </w:pPr>
      <w:rPr>
        <w:rFonts w:hint="default"/>
        <w:b w:val="0"/>
        <w:sz w:val="16"/>
      </w:rPr>
    </w:lvl>
    <w:lvl w:ilvl="1">
      <w:start w:val="1"/>
      <w:numFmt w:val="decimal"/>
      <w:isLgl/>
      <w:lvlText w:val="%1.%2"/>
      <w:lvlJc w:val="left"/>
      <w:pPr>
        <w:ind w:left="720" w:hanging="360"/>
      </w:pPr>
      <w:rPr>
        <w:rFonts w:hint="default"/>
        <w:sz w:val="16"/>
      </w:rPr>
    </w:lvl>
    <w:lvl w:ilvl="2">
      <w:start w:val="1"/>
      <w:numFmt w:val="decimal"/>
      <w:isLgl/>
      <w:lvlText w:val="%1.%2.%3"/>
      <w:lvlJc w:val="left"/>
      <w:pPr>
        <w:ind w:left="1080" w:hanging="72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440" w:hanging="1080"/>
      </w:pPr>
      <w:rPr>
        <w:rFonts w:hint="default"/>
        <w:sz w:val="16"/>
      </w:rPr>
    </w:lvl>
    <w:lvl w:ilvl="5">
      <w:start w:val="1"/>
      <w:numFmt w:val="decimal"/>
      <w:isLgl/>
      <w:lvlText w:val="%1.%2.%3.%4.%5.%6"/>
      <w:lvlJc w:val="left"/>
      <w:pPr>
        <w:ind w:left="1440" w:hanging="1080"/>
      </w:pPr>
      <w:rPr>
        <w:rFonts w:hint="default"/>
        <w:sz w:val="16"/>
      </w:rPr>
    </w:lvl>
    <w:lvl w:ilvl="6">
      <w:start w:val="1"/>
      <w:numFmt w:val="decimal"/>
      <w:isLgl/>
      <w:lvlText w:val="%1.%2.%3.%4.%5.%6.%7"/>
      <w:lvlJc w:val="left"/>
      <w:pPr>
        <w:ind w:left="1800" w:hanging="1440"/>
      </w:pPr>
      <w:rPr>
        <w:rFonts w:hint="default"/>
        <w:sz w:val="16"/>
      </w:rPr>
    </w:lvl>
    <w:lvl w:ilvl="7">
      <w:start w:val="1"/>
      <w:numFmt w:val="decimal"/>
      <w:isLgl/>
      <w:lvlText w:val="%1.%2.%3.%4.%5.%6.%7.%8"/>
      <w:lvlJc w:val="left"/>
      <w:pPr>
        <w:ind w:left="1800" w:hanging="1440"/>
      </w:pPr>
      <w:rPr>
        <w:rFonts w:hint="default"/>
        <w:sz w:val="16"/>
      </w:rPr>
    </w:lvl>
    <w:lvl w:ilvl="8">
      <w:start w:val="1"/>
      <w:numFmt w:val="decimal"/>
      <w:isLgl/>
      <w:lvlText w:val="%1.%2.%3.%4.%5.%6.%7.%8.%9"/>
      <w:lvlJc w:val="left"/>
      <w:pPr>
        <w:ind w:left="1800" w:hanging="1440"/>
      </w:pPr>
      <w:rPr>
        <w:rFonts w:hint="default"/>
        <w:sz w:val="16"/>
      </w:rPr>
    </w:lvl>
  </w:abstractNum>
  <w:abstractNum w:abstractNumId="19">
    <w:nsid w:val="3EA34463"/>
    <w:multiLevelType w:val="hybridMultilevel"/>
    <w:tmpl w:val="8AE03EF0"/>
    <w:lvl w:ilvl="0" w:tplc="271CE4DC">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22479C"/>
    <w:multiLevelType w:val="multilevel"/>
    <w:tmpl w:val="B94A026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374EA0"/>
    <w:multiLevelType w:val="hybridMultilevel"/>
    <w:tmpl w:val="398C3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BE7AF7"/>
    <w:multiLevelType w:val="hybridMultilevel"/>
    <w:tmpl w:val="9A12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DD24E7"/>
    <w:multiLevelType w:val="hybridMultilevel"/>
    <w:tmpl w:val="CD48F462"/>
    <w:lvl w:ilvl="0" w:tplc="271CE4DC">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BF31F8"/>
    <w:multiLevelType w:val="hybridMultilevel"/>
    <w:tmpl w:val="7A72D4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9A12D84"/>
    <w:multiLevelType w:val="hybridMultilevel"/>
    <w:tmpl w:val="E86AE27A"/>
    <w:lvl w:ilvl="0" w:tplc="92F2CD6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765FD"/>
    <w:multiLevelType w:val="hybridMultilevel"/>
    <w:tmpl w:val="AB207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E18A6"/>
    <w:multiLevelType w:val="multilevel"/>
    <w:tmpl w:val="99106C82"/>
    <w:lvl w:ilvl="0">
      <w:start w:val="1"/>
      <w:numFmt w:val="decimal"/>
      <w:lvlText w:val="%1."/>
      <w:lvlJc w:val="left"/>
      <w:pPr>
        <w:ind w:left="720" w:hanging="360"/>
      </w:pPr>
      <w:rPr>
        <w:rFonts w:hint="default"/>
        <w:b/>
        <w:sz w:val="16"/>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5B02E2"/>
    <w:multiLevelType w:val="hybridMultilevel"/>
    <w:tmpl w:val="16F4DE8C"/>
    <w:lvl w:ilvl="0" w:tplc="3B6CF37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593822"/>
    <w:multiLevelType w:val="hybridMultilevel"/>
    <w:tmpl w:val="69A4143A"/>
    <w:lvl w:ilvl="0" w:tplc="271CE4D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32975"/>
    <w:multiLevelType w:val="hybridMultilevel"/>
    <w:tmpl w:val="39585608"/>
    <w:lvl w:ilvl="0" w:tplc="271CE4D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B45DBF"/>
    <w:multiLevelType w:val="multilevel"/>
    <w:tmpl w:val="895E707C"/>
    <w:lvl w:ilvl="0">
      <w:start w:val="1"/>
      <w:numFmt w:val="decimal"/>
      <w:lvlText w:val="%1."/>
      <w:lvlJc w:val="left"/>
      <w:pPr>
        <w:ind w:left="720" w:hanging="360"/>
      </w:pPr>
      <w:rPr>
        <w:rFonts w:hint="default"/>
        <w:sz w:val="16"/>
      </w:rPr>
    </w:lvl>
    <w:lvl w:ilvl="1">
      <w:start w:val="1"/>
      <w:numFmt w:val="lowerLetter"/>
      <w:lvlText w:val="%2."/>
      <w:lvlJc w:val="left"/>
      <w:pPr>
        <w:ind w:left="720" w:hanging="360"/>
      </w:pPr>
      <w:rPr>
        <w:rFonts w:hint="default"/>
        <w:sz w:val="16"/>
      </w:rPr>
    </w:lvl>
    <w:lvl w:ilvl="2">
      <w:start w:val="1"/>
      <w:numFmt w:val="decimal"/>
      <w:isLgl/>
      <w:lvlText w:val="%1.%2.%3"/>
      <w:lvlJc w:val="left"/>
      <w:pPr>
        <w:ind w:left="1080" w:hanging="72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440" w:hanging="1080"/>
      </w:pPr>
      <w:rPr>
        <w:rFonts w:hint="default"/>
        <w:sz w:val="16"/>
      </w:rPr>
    </w:lvl>
    <w:lvl w:ilvl="5">
      <w:start w:val="1"/>
      <w:numFmt w:val="decimal"/>
      <w:isLgl/>
      <w:lvlText w:val="%1.%2.%3.%4.%5.%6"/>
      <w:lvlJc w:val="left"/>
      <w:pPr>
        <w:ind w:left="1440" w:hanging="1080"/>
      </w:pPr>
      <w:rPr>
        <w:rFonts w:hint="default"/>
        <w:sz w:val="16"/>
      </w:rPr>
    </w:lvl>
    <w:lvl w:ilvl="6">
      <w:start w:val="1"/>
      <w:numFmt w:val="decimal"/>
      <w:isLgl/>
      <w:lvlText w:val="%1.%2.%3.%4.%5.%6.%7"/>
      <w:lvlJc w:val="left"/>
      <w:pPr>
        <w:ind w:left="1800" w:hanging="1440"/>
      </w:pPr>
      <w:rPr>
        <w:rFonts w:hint="default"/>
        <w:sz w:val="16"/>
      </w:rPr>
    </w:lvl>
    <w:lvl w:ilvl="7">
      <w:start w:val="1"/>
      <w:numFmt w:val="decimal"/>
      <w:isLgl/>
      <w:lvlText w:val="%1.%2.%3.%4.%5.%6.%7.%8"/>
      <w:lvlJc w:val="left"/>
      <w:pPr>
        <w:ind w:left="1800" w:hanging="1440"/>
      </w:pPr>
      <w:rPr>
        <w:rFonts w:hint="default"/>
        <w:sz w:val="16"/>
      </w:rPr>
    </w:lvl>
    <w:lvl w:ilvl="8">
      <w:start w:val="1"/>
      <w:numFmt w:val="decimal"/>
      <w:isLgl/>
      <w:lvlText w:val="%1.%2.%3.%4.%5.%6.%7.%8.%9"/>
      <w:lvlJc w:val="left"/>
      <w:pPr>
        <w:ind w:left="1800" w:hanging="1440"/>
      </w:pPr>
      <w:rPr>
        <w:rFonts w:hint="default"/>
        <w:sz w:val="16"/>
      </w:rPr>
    </w:lvl>
  </w:abstractNum>
  <w:abstractNum w:abstractNumId="32">
    <w:nsid w:val="684E3EDD"/>
    <w:multiLevelType w:val="multilevel"/>
    <w:tmpl w:val="C560859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4749A0"/>
    <w:multiLevelType w:val="hybridMultilevel"/>
    <w:tmpl w:val="7814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B06A42"/>
    <w:multiLevelType w:val="multilevel"/>
    <w:tmpl w:val="7BF6F8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F472BE6"/>
    <w:multiLevelType w:val="hybridMultilevel"/>
    <w:tmpl w:val="EFB4792C"/>
    <w:lvl w:ilvl="0" w:tplc="A170F7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24"/>
  </w:num>
  <w:num w:numId="5">
    <w:abstractNumId w:val="1"/>
  </w:num>
  <w:num w:numId="6">
    <w:abstractNumId w:val="13"/>
  </w:num>
  <w:num w:numId="7">
    <w:abstractNumId w:val="12"/>
  </w:num>
  <w:num w:numId="8">
    <w:abstractNumId w:val="11"/>
  </w:num>
  <w:num w:numId="9">
    <w:abstractNumId w:val="22"/>
  </w:num>
  <w:num w:numId="10">
    <w:abstractNumId w:val="26"/>
  </w:num>
  <w:num w:numId="11">
    <w:abstractNumId w:val="27"/>
  </w:num>
  <w:num w:numId="12">
    <w:abstractNumId w:val="23"/>
  </w:num>
  <w:num w:numId="13">
    <w:abstractNumId w:val="19"/>
  </w:num>
  <w:num w:numId="14">
    <w:abstractNumId w:val="30"/>
  </w:num>
  <w:num w:numId="15">
    <w:abstractNumId w:val="15"/>
  </w:num>
  <w:num w:numId="16">
    <w:abstractNumId w:val="29"/>
  </w:num>
  <w:num w:numId="17">
    <w:abstractNumId w:val="25"/>
  </w:num>
  <w:num w:numId="18">
    <w:abstractNumId w:val="18"/>
  </w:num>
  <w:num w:numId="19">
    <w:abstractNumId w:val="8"/>
  </w:num>
  <w:num w:numId="20">
    <w:abstractNumId w:val="2"/>
  </w:num>
  <w:num w:numId="21">
    <w:abstractNumId w:val="21"/>
  </w:num>
  <w:num w:numId="22">
    <w:abstractNumId w:val="28"/>
  </w:num>
  <w:num w:numId="23">
    <w:abstractNumId w:val="6"/>
  </w:num>
  <w:num w:numId="24">
    <w:abstractNumId w:val="31"/>
  </w:num>
  <w:num w:numId="25">
    <w:abstractNumId w:val="0"/>
  </w:num>
  <w:num w:numId="26">
    <w:abstractNumId w:val="35"/>
  </w:num>
  <w:num w:numId="27">
    <w:abstractNumId w:val="3"/>
  </w:num>
  <w:num w:numId="28">
    <w:abstractNumId w:val="34"/>
  </w:num>
  <w:num w:numId="29">
    <w:abstractNumId w:val="10"/>
  </w:num>
  <w:num w:numId="30">
    <w:abstractNumId w:val="7"/>
  </w:num>
  <w:num w:numId="31">
    <w:abstractNumId w:val="32"/>
  </w:num>
  <w:num w:numId="32">
    <w:abstractNumId w:val="20"/>
  </w:num>
  <w:num w:numId="33">
    <w:abstractNumId w:val="16"/>
  </w:num>
  <w:num w:numId="34">
    <w:abstractNumId w:val="4"/>
  </w:num>
  <w:num w:numId="35">
    <w:abstractNumId w:val="33"/>
  </w:num>
  <w:num w:numId="3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markup="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azrf02kv92tzedaww5rdwwp0aw09fvewpz&quot;&gt;EHR&lt;record-ids&gt;&lt;item&gt;371&lt;/item&gt;&lt;/record-ids&gt;&lt;/item&gt;&lt;/Libraries&gt;"/>
  </w:docVars>
  <w:rsids>
    <w:rsidRoot w:val="00716F94"/>
    <w:rsid w:val="000037D2"/>
    <w:rsid w:val="000104CE"/>
    <w:rsid w:val="000107B1"/>
    <w:rsid w:val="00011A98"/>
    <w:rsid w:val="00011F8D"/>
    <w:rsid w:val="000130B4"/>
    <w:rsid w:val="000136B7"/>
    <w:rsid w:val="00014361"/>
    <w:rsid w:val="000147E1"/>
    <w:rsid w:val="00015381"/>
    <w:rsid w:val="000201DA"/>
    <w:rsid w:val="00020618"/>
    <w:rsid w:val="0002081B"/>
    <w:rsid w:val="000230D8"/>
    <w:rsid w:val="00023714"/>
    <w:rsid w:val="00027623"/>
    <w:rsid w:val="000319CD"/>
    <w:rsid w:val="00033A9B"/>
    <w:rsid w:val="00034A64"/>
    <w:rsid w:val="00036FD8"/>
    <w:rsid w:val="000407F1"/>
    <w:rsid w:val="0004297B"/>
    <w:rsid w:val="00042AB1"/>
    <w:rsid w:val="00043E93"/>
    <w:rsid w:val="000441F3"/>
    <w:rsid w:val="000445E1"/>
    <w:rsid w:val="000474FB"/>
    <w:rsid w:val="0005089C"/>
    <w:rsid w:val="00052565"/>
    <w:rsid w:val="00053A92"/>
    <w:rsid w:val="00053C41"/>
    <w:rsid w:val="00054839"/>
    <w:rsid w:val="00054BA2"/>
    <w:rsid w:val="00054EC4"/>
    <w:rsid w:val="00057F36"/>
    <w:rsid w:val="00061977"/>
    <w:rsid w:val="00063EEE"/>
    <w:rsid w:val="000649A2"/>
    <w:rsid w:val="00066D0C"/>
    <w:rsid w:val="0006781E"/>
    <w:rsid w:val="0006786C"/>
    <w:rsid w:val="0006790E"/>
    <w:rsid w:val="00071814"/>
    <w:rsid w:val="00072A92"/>
    <w:rsid w:val="00073566"/>
    <w:rsid w:val="00076EB9"/>
    <w:rsid w:val="00076EC5"/>
    <w:rsid w:val="000773D4"/>
    <w:rsid w:val="000800CC"/>
    <w:rsid w:val="00085178"/>
    <w:rsid w:val="00085AAD"/>
    <w:rsid w:val="00091F44"/>
    <w:rsid w:val="000921BA"/>
    <w:rsid w:val="000977DF"/>
    <w:rsid w:val="000A1F30"/>
    <w:rsid w:val="000A49AF"/>
    <w:rsid w:val="000A71DF"/>
    <w:rsid w:val="000B0962"/>
    <w:rsid w:val="000B2CBC"/>
    <w:rsid w:val="000B2F58"/>
    <w:rsid w:val="000B4646"/>
    <w:rsid w:val="000B4AA3"/>
    <w:rsid w:val="000C47BB"/>
    <w:rsid w:val="000C6B5A"/>
    <w:rsid w:val="000C7E5E"/>
    <w:rsid w:val="000D0688"/>
    <w:rsid w:val="000D0711"/>
    <w:rsid w:val="000D11B3"/>
    <w:rsid w:val="000D4AE2"/>
    <w:rsid w:val="000D4C95"/>
    <w:rsid w:val="000E61F1"/>
    <w:rsid w:val="000E63A5"/>
    <w:rsid w:val="000E6577"/>
    <w:rsid w:val="000E6666"/>
    <w:rsid w:val="000E75B8"/>
    <w:rsid w:val="000E7A19"/>
    <w:rsid w:val="000F43D2"/>
    <w:rsid w:val="000F5051"/>
    <w:rsid w:val="000F527D"/>
    <w:rsid w:val="000F7EA9"/>
    <w:rsid w:val="00104A1B"/>
    <w:rsid w:val="001056BA"/>
    <w:rsid w:val="00106809"/>
    <w:rsid w:val="00106B33"/>
    <w:rsid w:val="00106E99"/>
    <w:rsid w:val="00111040"/>
    <w:rsid w:val="001129B9"/>
    <w:rsid w:val="00114B64"/>
    <w:rsid w:val="00114BB6"/>
    <w:rsid w:val="00115653"/>
    <w:rsid w:val="001177DD"/>
    <w:rsid w:val="00125A29"/>
    <w:rsid w:val="00127288"/>
    <w:rsid w:val="00132126"/>
    <w:rsid w:val="00135334"/>
    <w:rsid w:val="00137D1B"/>
    <w:rsid w:val="001412D4"/>
    <w:rsid w:val="001418B0"/>
    <w:rsid w:val="00143BA0"/>
    <w:rsid w:val="00144A6D"/>
    <w:rsid w:val="00144F64"/>
    <w:rsid w:val="00145D62"/>
    <w:rsid w:val="00147359"/>
    <w:rsid w:val="00150F88"/>
    <w:rsid w:val="00151567"/>
    <w:rsid w:val="00151BBA"/>
    <w:rsid w:val="00151F26"/>
    <w:rsid w:val="001532BA"/>
    <w:rsid w:val="00155EEE"/>
    <w:rsid w:val="0015700D"/>
    <w:rsid w:val="001607C4"/>
    <w:rsid w:val="00160B36"/>
    <w:rsid w:val="00160ED2"/>
    <w:rsid w:val="00162CA3"/>
    <w:rsid w:val="00163E17"/>
    <w:rsid w:val="00163EA6"/>
    <w:rsid w:val="001643D1"/>
    <w:rsid w:val="00166F9E"/>
    <w:rsid w:val="001671B5"/>
    <w:rsid w:val="00167880"/>
    <w:rsid w:val="0017386F"/>
    <w:rsid w:val="00174508"/>
    <w:rsid w:val="00174D93"/>
    <w:rsid w:val="00175920"/>
    <w:rsid w:val="00175D4B"/>
    <w:rsid w:val="0017606A"/>
    <w:rsid w:val="00176FFA"/>
    <w:rsid w:val="00177627"/>
    <w:rsid w:val="00177D09"/>
    <w:rsid w:val="00180D45"/>
    <w:rsid w:val="00182FE1"/>
    <w:rsid w:val="001836B8"/>
    <w:rsid w:val="00184DAD"/>
    <w:rsid w:val="0018529E"/>
    <w:rsid w:val="00186613"/>
    <w:rsid w:val="00186BAE"/>
    <w:rsid w:val="00187870"/>
    <w:rsid w:val="00187995"/>
    <w:rsid w:val="00187D5A"/>
    <w:rsid w:val="00191DBA"/>
    <w:rsid w:val="00192FBF"/>
    <w:rsid w:val="00195209"/>
    <w:rsid w:val="00195A10"/>
    <w:rsid w:val="00195CB5"/>
    <w:rsid w:val="00195DB8"/>
    <w:rsid w:val="001972D7"/>
    <w:rsid w:val="001A28F6"/>
    <w:rsid w:val="001B2470"/>
    <w:rsid w:val="001B2831"/>
    <w:rsid w:val="001B4065"/>
    <w:rsid w:val="001B4367"/>
    <w:rsid w:val="001B5463"/>
    <w:rsid w:val="001B5DCA"/>
    <w:rsid w:val="001B6598"/>
    <w:rsid w:val="001B6A7E"/>
    <w:rsid w:val="001C0493"/>
    <w:rsid w:val="001C28AD"/>
    <w:rsid w:val="001C43C9"/>
    <w:rsid w:val="001C7848"/>
    <w:rsid w:val="001D270C"/>
    <w:rsid w:val="001D7A65"/>
    <w:rsid w:val="001D7FCB"/>
    <w:rsid w:val="001E0766"/>
    <w:rsid w:val="001E23D7"/>
    <w:rsid w:val="001E2B99"/>
    <w:rsid w:val="001E46EF"/>
    <w:rsid w:val="001E5C02"/>
    <w:rsid w:val="001E5F74"/>
    <w:rsid w:val="001E69B6"/>
    <w:rsid w:val="001F0839"/>
    <w:rsid w:val="001F25EB"/>
    <w:rsid w:val="001F2A29"/>
    <w:rsid w:val="001F33F1"/>
    <w:rsid w:val="001F4DBB"/>
    <w:rsid w:val="001F68B0"/>
    <w:rsid w:val="001F78D5"/>
    <w:rsid w:val="00200D9E"/>
    <w:rsid w:val="00202D07"/>
    <w:rsid w:val="0020312D"/>
    <w:rsid w:val="00203589"/>
    <w:rsid w:val="00203757"/>
    <w:rsid w:val="002064D9"/>
    <w:rsid w:val="00206E33"/>
    <w:rsid w:val="002100EB"/>
    <w:rsid w:val="002102A0"/>
    <w:rsid w:val="0021030F"/>
    <w:rsid w:val="00210519"/>
    <w:rsid w:val="00210980"/>
    <w:rsid w:val="00211256"/>
    <w:rsid w:val="00214D3E"/>
    <w:rsid w:val="002206C7"/>
    <w:rsid w:val="00222D5C"/>
    <w:rsid w:val="002241CF"/>
    <w:rsid w:val="00226025"/>
    <w:rsid w:val="00227259"/>
    <w:rsid w:val="00232724"/>
    <w:rsid w:val="00232750"/>
    <w:rsid w:val="00233D5D"/>
    <w:rsid w:val="00233D9C"/>
    <w:rsid w:val="0023568D"/>
    <w:rsid w:val="00235970"/>
    <w:rsid w:val="00236307"/>
    <w:rsid w:val="00241652"/>
    <w:rsid w:val="00241B17"/>
    <w:rsid w:val="00241C81"/>
    <w:rsid w:val="002455A7"/>
    <w:rsid w:val="002477C4"/>
    <w:rsid w:val="00251A59"/>
    <w:rsid w:val="00252016"/>
    <w:rsid w:val="002550B2"/>
    <w:rsid w:val="00255B45"/>
    <w:rsid w:val="00255CCA"/>
    <w:rsid w:val="00257A1C"/>
    <w:rsid w:val="00257CCB"/>
    <w:rsid w:val="0026096E"/>
    <w:rsid w:val="002612C8"/>
    <w:rsid w:val="00261D21"/>
    <w:rsid w:val="00264608"/>
    <w:rsid w:val="00264D92"/>
    <w:rsid w:val="0026557E"/>
    <w:rsid w:val="00271734"/>
    <w:rsid w:val="00272004"/>
    <w:rsid w:val="0027234C"/>
    <w:rsid w:val="00276025"/>
    <w:rsid w:val="00277047"/>
    <w:rsid w:val="00281795"/>
    <w:rsid w:val="00281881"/>
    <w:rsid w:val="00283451"/>
    <w:rsid w:val="002850E3"/>
    <w:rsid w:val="00286E32"/>
    <w:rsid w:val="00287E2F"/>
    <w:rsid w:val="002908A0"/>
    <w:rsid w:val="00293027"/>
    <w:rsid w:val="0029321C"/>
    <w:rsid w:val="00294B3A"/>
    <w:rsid w:val="00295840"/>
    <w:rsid w:val="00295DD6"/>
    <w:rsid w:val="002A1948"/>
    <w:rsid w:val="002B04A1"/>
    <w:rsid w:val="002B1F09"/>
    <w:rsid w:val="002B23FB"/>
    <w:rsid w:val="002B31B7"/>
    <w:rsid w:val="002B4480"/>
    <w:rsid w:val="002C0877"/>
    <w:rsid w:val="002C10E4"/>
    <w:rsid w:val="002C1282"/>
    <w:rsid w:val="002C2AE2"/>
    <w:rsid w:val="002C4320"/>
    <w:rsid w:val="002C4498"/>
    <w:rsid w:val="002C462F"/>
    <w:rsid w:val="002C56E5"/>
    <w:rsid w:val="002C74CB"/>
    <w:rsid w:val="002D0DCE"/>
    <w:rsid w:val="002D1018"/>
    <w:rsid w:val="002D1929"/>
    <w:rsid w:val="002D2720"/>
    <w:rsid w:val="002D4D8C"/>
    <w:rsid w:val="002D5889"/>
    <w:rsid w:val="002D5A55"/>
    <w:rsid w:val="002D7D34"/>
    <w:rsid w:val="002E14AA"/>
    <w:rsid w:val="002E1C91"/>
    <w:rsid w:val="002E2B10"/>
    <w:rsid w:val="002E2F23"/>
    <w:rsid w:val="002E459B"/>
    <w:rsid w:val="002E56FE"/>
    <w:rsid w:val="002E5BEE"/>
    <w:rsid w:val="002E69C7"/>
    <w:rsid w:val="002E73B0"/>
    <w:rsid w:val="002E776A"/>
    <w:rsid w:val="002E7AA0"/>
    <w:rsid w:val="002E7C2E"/>
    <w:rsid w:val="002F05D4"/>
    <w:rsid w:val="002F1502"/>
    <w:rsid w:val="002F2069"/>
    <w:rsid w:val="002F52F9"/>
    <w:rsid w:val="002F5D97"/>
    <w:rsid w:val="002F637A"/>
    <w:rsid w:val="002F71A2"/>
    <w:rsid w:val="00303E59"/>
    <w:rsid w:val="003041AD"/>
    <w:rsid w:val="00304E8F"/>
    <w:rsid w:val="003063A4"/>
    <w:rsid w:val="003075AE"/>
    <w:rsid w:val="00310DDA"/>
    <w:rsid w:val="003117C1"/>
    <w:rsid w:val="00311953"/>
    <w:rsid w:val="0031279F"/>
    <w:rsid w:val="00313884"/>
    <w:rsid w:val="00315D31"/>
    <w:rsid w:val="00316F00"/>
    <w:rsid w:val="003204DE"/>
    <w:rsid w:val="00320F3B"/>
    <w:rsid w:val="00321B51"/>
    <w:rsid w:val="003222CC"/>
    <w:rsid w:val="00324D61"/>
    <w:rsid w:val="00327E05"/>
    <w:rsid w:val="00330CC6"/>
    <w:rsid w:val="00331C0E"/>
    <w:rsid w:val="00333BE2"/>
    <w:rsid w:val="00336669"/>
    <w:rsid w:val="0033691C"/>
    <w:rsid w:val="00336D96"/>
    <w:rsid w:val="00336EBE"/>
    <w:rsid w:val="00337F09"/>
    <w:rsid w:val="003412EB"/>
    <w:rsid w:val="00342F78"/>
    <w:rsid w:val="00344F07"/>
    <w:rsid w:val="003469C8"/>
    <w:rsid w:val="00350C8C"/>
    <w:rsid w:val="00350DBB"/>
    <w:rsid w:val="00352A49"/>
    <w:rsid w:val="00355EA4"/>
    <w:rsid w:val="00356A82"/>
    <w:rsid w:val="003570B2"/>
    <w:rsid w:val="003635BE"/>
    <w:rsid w:val="00363A72"/>
    <w:rsid w:val="003641E1"/>
    <w:rsid w:val="00366B5E"/>
    <w:rsid w:val="00367591"/>
    <w:rsid w:val="0037201C"/>
    <w:rsid w:val="00373377"/>
    <w:rsid w:val="003733B6"/>
    <w:rsid w:val="00374B3D"/>
    <w:rsid w:val="00376588"/>
    <w:rsid w:val="00377A02"/>
    <w:rsid w:val="00380507"/>
    <w:rsid w:val="00382F7B"/>
    <w:rsid w:val="0038398A"/>
    <w:rsid w:val="003849BD"/>
    <w:rsid w:val="00385BB5"/>
    <w:rsid w:val="003862C4"/>
    <w:rsid w:val="00386511"/>
    <w:rsid w:val="00386BC2"/>
    <w:rsid w:val="00387CC3"/>
    <w:rsid w:val="003900E3"/>
    <w:rsid w:val="00391BE3"/>
    <w:rsid w:val="00393782"/>
    <w:rsid w:val="00395E1A"/>
    <w:rsid w:val="003A02D8"/>
    <w:rsid w:val="003A0B52"/>
    <w:rsid w:val="003A1A3C"/>
    <w:rsid w:val="003A27EF"/>
    <w:rsid w:val="003A33BE"/>
    <w:rsid w:val="003A3EB5"/>
    <w:rsid w:val="003A664E"/>
    <w:rsid w:val="003B125E"/>
    <w:rsid w:val="003B1B84"/>
    <w:rsid w:val="003B5EE9"/>
    <w:rsid w:val="003C0745"/>
    <w:rsid w:val="003C31C9"/>
    <w:rsid w:val="003C42F3"/>
    <w:rsid w:val="003C4961"/>
    <w:rsid w:val="003C6AB9"/>
    <w:rsid w:val="003C7C5D"/>
    <w:rsid w:val="003D0AD2"/>
    <w:rsid w:val="003D17D6"/>
    <w:rsid w:val="003D1E46"/>
    <w:rsid w:val="003D4A6F"/>
    <w:rsid w:val="003E0632"/>
    <w:rsid w:val="003E55D8"/>
    <w:rsid w:val="003F0517"/>
    <w:rsid w:val="003F5913"/>
    <w:rsid w:val="003F5B13"/>
    <w:rsid w:val="003F6AB5"/>
    <w:rsid w:val="003F7322"/>
    <w:rsid w:val="004024F8"/>
    <w:rsid w:val="00403C26"/>
    <w:rsid w:val="00404A79"/>
    <w:rsid w:val="00405696"/>
    <w:rsid w:val="004100DF"/>
    <w:rsid w:val="0041159A"/>
    <w:rsid w:val="00411972"/>
    <w:rsid w:val="00411DC9"/>
    <w:rsid w:val="00415207"/>
    <w:rsid w:val="00415D0E"/>
    <w:rsid w:val="00416E19"/>
    <w:rsid w:val="004222BB"/>
    <w:rsid w:val="0042242D"/>
    <w:rsid w:val="0042532E"/>
    <w:rsid w:val="00427CAB"/>
    <w:rsid w:val="004300FC"/>
    <w:rsid w:val="004305A8"/>
    <w:rsid w:val="004353D5"/>
    <w:rsid w:val="004355F3"/>
    <w:rsid w:val="00435CDA"/>
    <w:rsid w:val="004427E2"/>
    <w:rsid w:val="00443CA0"/>
    <w:rsid w:val="00444048"/>
    <w:rsid w:val="00444CA3"/>
    <w:rsid w:val="00446EED"/>
    <w:rsid w:val="00450E14"/>
    <w:rsid w:val="004510D9"/>
    <w:rsid w:val="00452B07"/>
    <w:rsid w:val="004548BD"/>
    <w:rsid w:val="00456B15"/>
    <w:rsid w:val="00456FCF"/>
    <w:rsid w:val="00462C65"/>
    <w:rsid w:val="0046541E"/>
    <w:rsid w:val="0046581C"/>
    <w:rsid w:val="004674E7"/>
    <w:rsid w:val="00467B14"/>
    <w:rsid w:val="00472D82"/>
    <w:rsid w:val="00474EDA"/>
    <w:rsid w:val="004824FA"/>
    <w:rsid w:val="00482BDC"/>
    <w:rsid w:val="00484011"/>
    <w:rsid w:val="004841F1"/>
    <w:rsid w:val="00484433"/>
    <w:rsid w:val="00485B4C"/>
    <w:rsid w:val="00485BA0"/>
    <w:rsid w:val="00491E27"/>
    <w:rsid w:val="00493E33"/>
    <w:rsid w:val="0049450A"/>
    <w:rsid w:val="00494AF4"/>
    <w:rsid w:val="004A1E3A"/>
    <w:rsid w:val="004A4BCD"/>
    <w:rsid w:val="004A70ED"/>
    <w:rsid w:val="004B363D"/>
    <w:rsid w:val="004B409E"/>
    <w:rsid w:val="004B46D6"/>
    <w:rsid w:val="004B48C2"/>
    <w:rsid w:val="004B4EC3"/>
    <w:rsid w:val="004C0BF6"/>
    <w:rsid w:val="004C11EA"/>
    <w:rsid w:val="004C1525"/>
    <w:rsid w:val="004C3A51"/>
    <w:rsid w:val="004C4464"/>
    <w:rsid w:val="004C4AEA"/>
    <w:rsid w:val="004C57C4"/>
    <w:rsid w:val="004C5EEF"/>
    <w:rsid w:val="004C65E4"/>
    <w:rsid w:val="004C669C"/>
    <w:rsid w:val="004C6901"/>
    <w:rsid w:val="004C6E65"/>
    <w:rsid w:val="004D01D5"/>
    <w:rsid w:val="004D0430"/>
    <w:rsid w:val="004D0AD7"/>
    <w:rsid w:val="004D1517"/>
    <w:rsid w:val="004D1DAA"/>
    <w:rsid w:val="004D20EE"/>
    <w:rsid w:val="004D26FE"/>
    <w:rsid w:val="004D4E9F"/>
    <w:rsid w:val="004D4EB1"/>
    <w:rsid w:val="004D618A"/>
    <w:rsid w:val="004D6863"/>
    <w:rsid w:val="004D7A6E"/>
    <w:rsid w:val="004E003C"/>
    <w:rsid w:val="004E0F9C"/>
    <w:rsid w:val="004E16EB"/>
    <w:rsid w:val="004E22F0"/>
    <w:rsid w:val="004E354E"/>
    <w:rsid w:val="004E3A25"/>
    <w:rsid w:val="004E57BE"/>
    <w:rsid w:val="004E5F40"/>
    <w:rsid w:val="004E6665"/>
    <w:rsid w:val="004E6741"/>
    <w:rsid w:val="004F1ADD"/>
    <w:rsid w:val="004F634E"/>
    <w:rsid w:val="004F67A8"/>
    <w:rsid w:val="00501B67"/>
    <w:rsid w:val="00501E45"/>
    <w:rsid w:val="0050261C"/>
    <w:rsid w:val="00503711"/>
    <w:rsid w:val="0050481A"/>
    <w:rsid w:val="00510480"/>
    <w:rsid w:val="0051575F"/>
    <w:rsid w:val="0051582C"/>
    <w:rsid w:val="00520AB9"/>
    <w:rsid w:val="00522801"/>
    <w:rsid w:val="00522A50"/>
    <w:rsid w:val="00525D5D"/>
    <w:rsid w:val="00525D80"/>
    <w:rsid w:val="00527225"/>
    <w:rsid w:val="005333A9"/>
    <w:rsid w:val="00533804"/>
    <w:rsid w:val="0053491D"/>
    <w:rsid w:val="00534D3A"/>
    <w:rsid w:val="0053557D"/>
    <w:rsid w:val="005410E3"/>
    <w:rsid w:val="005446E5"/>
    <w:rsid w:val="005451F2"/>
    <w:rsid w:val="005460D8"/>
    <w:rsid w:val="005463DE"/>
    <w:rsid w:val="00546DC2"/>
    <w:rsid w:val="00551551"/>
    <w:rsid w:val="0055230E"/>
    <w:rsid w:val="00552AA5"/>
    <w:rsid w:val="0055379C"/>
    <w:rsid w:val="005542E8"/>
    <w:rsid w:val="0055510C"/>
    <w:rsid w:val="00556630"/>
    <w:rsid w:val="0055686D"/>
    <w:rsid w:val="00557F7F"/>
    <w:rsid w:val="00560A70"/>
    <w:rsid w:val="00561208"/>
    <w:rsid w:val="0056192C"/>
    <w:rsid w:val="00562470"/>
    <w:rsid w:val="0056253D"/>
    <w:rsid w:val="00571EB1"/>
    <w:rsid w:val="0057396C"/>
    <w:rsid w:val="00576988"/>
    <w:rsid w:val="005800EE"/>
    <w:rsid w:val="00580525"/>
    <w:rsid w:val="005869D6"/>
    <w:rsid w:val="005932E0"/>
    <w:rsid w:val="0059331E"/>
    <w:rsid w:val="005936EF"/>
    <w:rsid w:val="0059614B"/>
    <w:rsid w:val="00597725"/>
    <w:rsid w:val="005A109C"/>
    <w:rsid w:val="005A11E7"/>
    <w:rsid w:val="005A144D"/>
    <w:rsid w:val="005A291E"/>
    <w:rsid w:val="005A33F6"/>
    <w:rsid w:val="005A495B"/>
    <w:rsid w:val="005A59E5"/>
    <w:rsid w:val="005B072B"/>
    <w:rsid w:val="005B3863"/>
    <w:rsid w:val="005B5E31"/>
    <w:rsid w:val="005B7440"/>
    <w:rsid w:val="005C0CE9"/>
    <w:rsid w:val="005C21C4"/>
    <w:rsid w:val="005C3E50"/>
    <w:rsid w:val="005C547D"/>
    <w:rsid w:val="005C5A7C"/>
    <w:rsid w:val="005C61CD"/>
    <w:rsid w:val="005D1155"/>
    <w:rsid w:val="005D2A11"/>
    <w:rsid w:val="005D5E73"/>
    <w:rsid w:val="005D750C"/>
    <w:rsid w:val="005D7AED"/>
    <w:rsid w:val="005E2150"/>
    <w:rsid w:val="005E2995"/>
    <w:rsid w:val="005E3016"/>
    <w:rsid w:val="005E4996"/>
    <w:rsid w:val="005F0CBA"/>
    <w:rsid w:val="005F1743"/>
    <w:rsid w:val="005F1D23"/>
    <w:rsid w:val="005F2802"/>
    <w:rsid w:val="005F3FEF"/>
    <w:rsid w:val="005F4112"/>
    <w:rsid w:val="005F4BB3"/>
    <w:rsid w:val="005F4ECB"/>
    <w:rsid w:val="005F505E"/>
    <w:rsid w:val="00600C4F"/>
    <w:rsid w:val="00600D16"/>
    <w:rsid w:val="00602192"/>
    <w:rsid w:val="006038A7"/>
    <w:rsid w:val="00603AA8"/>
    <w:rsid w:val="00607F7C"/>
    <w:rsid w:val="006102DA"/>
    <w:rsid w:val="00610AAA"/>
    <w:rsid w:val="00611E89"/>
    <w:rsid w:val="0061217D"/>
    <w:rsid w:val="00616090"/>
    <w:rsid w:val="00616886"/>
    <w:rsid w:val="00617186"/>
    <w:rsid w:val="00617540"/>
    <w:rsid w:val="006243EB"/>
    <w:rsid w:val="00625429"/>
    <w:rsid w:val="006257E2"/>
    <w:rsid w:val="0062735E"/>
    <w:rsid w:val="0062739E"/>
    <w:rsid w:val="006303EC"/>
    <w:rsid w:val="0063142D"/>
    <w:rsid w:val="006315A3"/>
    <w:rsid w:val="0063216F"/>
    <w:rsid w:val="00633B2E"/>
    <w:rsid w:val="00633CFC"/>
    <w:rsid w:val="006415C4"/>
    <w:rsid w:val="00641D36"/>
    <w:rsid w:val="00650CC8"/>
    <w:rsid w:val="00650F48"/>
    <w:rsid w:val="00652145"/>
    <w:rsid w:val="006536CF"/>
    <w:rsid w:val="006579A2"/>
    <w:rsid w:val="00657B7A"/>
    <w:rsid w:val="00660463"/>
    <w:rsid w:val="00660598"/>
    <w:rsid w:val="0066093A"/>
    <w:rsid w:val="006612F4"/>
    <w:rsid w:val="006637F9"/>
    <w:rsid w:val="0066392D"/>
    <w:rsid w:val="0066679C"/>
    <w:rsid w:val="00667C89"/>
    <w:rsid w:val="006711EE"/>
    <w:rsid w:val="00675A77"/>
    <w:rsid w:val="00677E02"/>
    <w:rsid w:val="006809BB"/>
    <w:rsid w:val="006809FD"/>
    <w:rsid w:val="006858C4"/>
    <w:rsid w:val="00690ADC"/>
    <w:rsid w:val="006912A6"/>
    <w:rsid w:val="00691D1F"/>
    <w:rsid w:val="00693C79"/>
    <w:rsid w:val="006973B4"/>
    <w:rsid w:val="00697BAE"/>
    <w:rsid w:val="006A0302"/>
    <w:rsid w:val="006A0CEC"/>
    <w:rsid w:val="006A7541"/>
    <w:rsid w:val="006B0F4A"/>
    <w:rsid w:val="006B1E72"/>
    <w:rsid w:val="006B4DDC"/>
    <w:rsid w:val="006B53DA"/>
    <w:rsid w:val="006B5E55"/>
    <w:rsid w:val="006B6A6F"/>
    <w:rsid w:val="006B70CE"/>
    <w:rsid w:val="006C0329"/>
    <w:rsid w:val="006C1DFD"/>
    <w:rsid w:val="006C3276"/>
    <w:rsid w:val="006C38A3"/>
    <w:rsid w:val="006C4167"/>
    <w:rsid w:val="006C4779"/>
    <w:rsid w:val="006C4DA7"/>
    <w:rsid w:val="006D08DE"/>
    <w:rsid w:val="006D1A43"/>
    <w:rsid w:val="006D1F41"/>
    <w:rsid w:val="006D25A1"/>
    <w:rsid w:val="006D25EA"/>
    <w:rsid w:val="006D2F74"/>
    <w:rsid w:val="006D5D78"/>
    <w:rsid w:val="006E0161"/>
    <w:rsid w:val="006E07DC"/>
    <w:rsid w:val="006E14E9"/>
    <w:rsid w:val="006E24B2"/>
    <w:rsid w:val="006E520C"/>
    <w:rsid w:val="006E7209"/>
    <w:rsid w:val="006E76CA"/>
    <w:rsid w:val="006F09A2"/>
    <w:rsid w:val="006F6856"/>
    <w:rsid w:val="00706C7C"/>
    <w:rsid w:val="00710591"/>
    <w:rsid w:val="00710C1A"/>
    <w:rsid w:val="007118F1"/>
    <w:rsid w:val="00712D67"/>
    <w:rsid w:val="007145D0"/>
    <w:rsid w:val="00715A47"/>
    <w:rsid w:val="007164E8"/>
    <w:rsid w:val="00716F94"/>
    <w:rsid w:val="007173E4"/>
    <w:rsid w:val="007173FB"/>
    <w:rsid w:val="00720224"/>
    <w:rsid w:val="0072058F"/>
    <w:rsid w:val="0072076D"/>
    <w:rsid w:val="00722F9E"/>
    <w:rsid w:val="00723012"/>
    <w:rsid w:val="00723AD9"/>
    <w:rsid w:val="007279B5"/>
    <w:rsid w:val="007312E9"/>
    <w:rsid w:val="007325AB"/>
    <w:rsid w:val="007329C6"/>
    <w:rsid w:val="00733F89"/>
    <w:rsid w:val="00735AC1"/>
    <w:rsid w:val="00752753"/>
    <w:rsid w:val="007545E7"/>
    <w:rsid w:val="00760E12"/>
    <w:rsid w:val="00760E47"/>
    <w:rsid w:val="00761C57"/>
    <w:rsid w:val="007633CA"/>
    <w:rsid w:val="00763CF3"/>
    <w:rsid w:val="00764293"/>
    <w:rsid w:val="007646F7"/>
    <w:rsid w:val="007648BC"/>
    <w:rsid w:val="007655E3"/>
    <w:rsid w:val="00765766"/>
    <w:rsid w:val="00771CC2"/>
    <w:rsid w:val="00772293"/>
    <w:rsid w:val="007726BB"/>
    <w:rsid w:val="007733D5"/>
    <w:rsid w:val="00776981"/>
    <w:rsid w:val="0077785C"/>
    <w:rsid w:val="007812C4"/>
    <w:rsid w:val="00781AE3"/>
    <w:rsid w:val="007821CA"/>
    <w:rsid w:val="00783AB8"/>
    <w:rsid w:val="00783C75"/>
    <w:rsid w:val="00784536"/>
    <w:rsid w:val="00784619"/>
    <w:rsid w:val="0078627B"/>
    <w:rsid w:val="00786298"/>
    <w:rsid w:val="00786FA0"/>
    <w:rsid w:val="00787490"/>
    <w:rsid w:val="0078752F"/>
    <w:rsid w:val="0078765B"/>
    <w:rsid w:val="00793B17"/>
    <w:rsid w:val="00794C09"/>
    <w:rsid w:val="00794C71"/>
    <w:rsid w:val="00794E32"/>
    <w:rsid w:val="00795473"/>
    <w:rsid w:val="00796B17"/>
    <w:rsid w:val="007A0D73"/>
    <w:rsid w:val="007A10FE"/>
    <w:rsid w:val="007A381F"/>
    <w:rsid w:val="007A435A"/>
    <w:rsid w:val="007A527A"/>
    <w:rsid w:val="007A731A"/>
    <w:rsid w:val="007A783A"/>
    <w:rsid w:val="007B0093"/>
    <w:rsid w:val="007B009B"/>
    <w:rsid w:val="007B274E"/>
    <w:rsid w:val="007B2C12"/>
    <w:rsid w:val="007B305A"/>
    <w:rsid w:val="007B53DF"/>
    <w:rsid w:val="007C086E"/>
    <w:rsid w:val="007C087A"/>
    <w:rsid w:val="007C11B0"/>
    <w:rsid w:val="007C141E"/>
    <w:rsid w:val="007C230B"/>
    <w:rsid w:val="007C2804"/>
    <w:rsid w:val="007C53F5"/>
    <w:rsid w:val="007C7160"/>
    <w:rsid w:val="007D06EE"/>
    <w:rsid w:val="007D3318"/>
    <w:rsid w:val="007D4A3C"/>
    <w:rsid w:val="007D5E10"/>
    <w:rsid w:val="007D787F"/>
    <w:rsid w:val="007E00D6"/>
    <w:rsid w:val="007E0257"/>
    <w:rsid w:val="007E575D"/>
    <w:rsid w:val="007E5A8D"/>
    <w:rsid w:val="007E6AEF"/>
    <w:rsid w:val="007F51AE"/>
    <w:rsid w:val="007F53AA"/>
    <w:rsid w:val="007F6AF2"/>
    <w:rsid w:val="007F73CC"/>
    <w:rsid w:val="007F7B2E"/>
    <w:rsid w:val="007F7B87"/>
    <w:rsid w:val="0080183F"/>
    <w:rsid w:val="00804830"/>
    <w:rsid w:val="008118B5"/>
    <w:rsid w:val="00812738"/>
    <w:rsid w:val="00815244"/>
    <w:rsid w:val="00815BA8"/>
    <w:rsid w:val="00815C7D"/>
    <w:rsid w:val="00816951"/>
    <w:rsid w:val="00816B03"/>
    <w:rsid w:val="00817941"/>
    <w:rsid w:val="008229E4"/>
    <w:rsid w:val="00823547"/>
    <w:rsid w:val="0082371B"/>
    <w:rsid w:val="008261AB"/>
    <w:rsid w:val="008269AB"/>
    <w:rsid w:val="00827D77"/>
    <w:rsid w:val="008303FE"/>
    <w:rsid w:val="008305D1"/>
    <w:rsid w:val="00831EDA"/>
    <w:rsid w:val="0083313A"/>
    <w:rsid w:val="00834C91"/>
    <w:rsid w:val="008351B1"/>
    <w:rsid w:val="00835CA7"/>
    <w:rsid w:val="00836622"/>
    <w:rsid w:val="0083687D"/>
    <w:rsid w:val="008370D4"/>
    <w:rsid w:val="008414AD"/>
    <w:rsid w:val="008428D9"/>
    <w:rsid w:val="00846FBB"/>
    <w:rsid w:val="0085122D"/>
    <w:rsid w:val="00852FE0"/>
    <w:rsid w:val="008531EE"/>
    <w:rsid w:val="008542A0"/>
    <w:rsid w:val="008542E3"/>
    <w:rsid w:val="00860F7D"/>
    <w:rsid w:val="00864A69"/>
    <w:rsid w:val="00866030"/>
    <w:rsid w:val="00866ED5"/>
    <w:rsid w:val="008675DA"/>
    <w:rsid w:val="0087360B"/>
    <w:rsid w:val="00873BFE"/>
    <w:rsid w:val="00876CB7"/>
    <w:rsid w:val="008824FF"/>
    <w:rsid w:val="008837C9"/>
    <w:rsid w:val="0088467A"/>
    <w:rsid w:val="00884DB9"/>
    <w:rsid w:val="0088795E"/>
    <w:rsid w:val="00891AD1"/>
    <w:rsid w:val="008941C4"/>
    <w:rsid w:val="00896057"/>
    <w:rsid w:val="008A2695"/>
    <w:rsid w:val="008A2AEC"/>
    <w:rsid w:val="008A4597"/>
    <w:rsid w:val="008A63C1"/>
    <w:rsid w:val="008A749C"/>
    <w:rsid w:val="008B11C2"/>
    <w:rsid w:val="008B38AF"/>
    <w:rsid w:val="008C0927"/>
    <w:rsid w:val="008C16C0"/>
    <w:rsid w:val="008C67D2"/>
    <w:rsid w:val="008C77BD"/>
    <w:rsid w:val="008D01F5"/>
    <w:rsid w:val="008D1211"/>
    <w:rsid w:val="008D35E6"/>
    <w:rsid w:val="008D406F"/>
    <w:rsid w:val="008D5BCC"/>
    <w:rsid w:val="008D6625"/>
    <w:rsid w:val="008D7583"/>
    <w:rsid w:val="008E0683"/>
    <w:rsid w:val="008E1683"/>
    <w:rsid w:val="008E2C69"/>
    <w:rsid w:val="008E48DE"/>
    <w:rsid w:val="008E4B96"/>
    <w:rsid w:val="008E6E7C"/>
    <w:rsid w:val="008E71C6"/>
    <w:rsid w:val="008F219E"/>
    <w:rsid w:val="008F3CFC"/>
    <w:rsid w:val="008F4C4C"/>
    <w:rsid w:val="008F779A"/>
    <w:rsid w:val="00900580"/>
    <w:rsid w:val="00902DD9"/>
    <w:rsid w:val="00911486"/>
    <w:rsid w:val="009129CA"/>
    <w:rsid w:val="00914A1C"/>
    <w:rsid w:val="0091668E"/>
    <w:rsid w:val="009206B6"/>
    <w:rsid w:val="0092089C"/>
    <w:rsid w:val="00920D1A"/>
    <w:rsid w:val="009236CF"/>
    <w:rsid w:val="00924F26"/>
    <w:rsid w:val="009252DC"/>
    <w:rsid w:val="009263C1"/>
    <w:rsid w:val="009276C4"/>
    <w:rsid w:val="0093126B"/>
    <w:rsid w:val="009319DA"/>
    <w:rsid w:val="00935206"/>
    <w:rsid w:val="00941B4F"/>
    <w:rsid w:val="0094254B"/>
    <w:rsid w:val="0094582B"/>
    <w:rsid w:val="0094585B"/>
    <w:rsid w:val="009472DA"/>
    <w:rsid w:val="009478CA"/>
    <w:rsid w:val="009518C0"/>
    <w:rsid w:val="0095230E"/>
    <w:rsid w:val="0095274C"/>
    <w:rsid w:val="0095473E"/>
    <w:rsid w:val="0096153A"/>
    <w:rsid w:val="00963CE3"/>
    <w:rsid w:val="00964F18"/>
    <w:rsid w:val="00972529"/>
    <w:rsid w:val="00974424"/>
    <w:rsid w:val="00974B71"/>
    <w:rsid w:val="00976289"/>
    <w:rsid w:val="0098030B"/>
    <w:rsid w:val="00980C71"/>
    <w:rsid w:val="0098238E"/>
    <w:rsid w:val="00987F76"/>
    <w:rsid w:val="009924C4"/>
    <w:rsid w:val="00993088"/>
    <w:rsid w:val="00994E10"/>
    <w:rsid w:val="0099664F"/>
    <w:rsid w:val="00996E1E"/>
    <w:rsid w:val="00997D5D"/>
    <w:rsid w:val="009A0447"/>
    <w:rsid w:val="009A0A1F"/>
    <w:rsid w:val="009A269D"/>
    <w:rsid w:val="009A2CE5"/>
    <w:rsid w:val="009A4456"/>
    <w:rsid w:val="009B008D"/>
    <w:rsid w:val="009B075F"/>
    <w:rsid w:val="009B20DF"/>
    <w:rsid w:val="009B45F1"/>
    <w:rsid w:val="009B4A51"/>
    <w:rsid w:val="009B4FCC"/>
    <w:rsid w:val="009B5BA6"/>
    <w:rsid w:val="009B67AF"/>
    <w:rsid w:val="009B74AD"/>
    <w:rsid w:val="009C1A5D"/>
    <w:rsid w:val="009C1E24"/>
    <w:rsid w:val="009C228C"/>
    <w:rsid w:val="009C28B1"/>
    <w:rsid w:val="009C405D"/>
    <w:rsid w:val="009C61AD"/>
    <w:rsid w:val="009C7F79"/>
    <w:rsid w:val="009D300B"/>
    <w:rsid w:val="009D373D"/>
    <w:rsid w:val="009D3FDE"/>
    <w:rsid w:val="009D7043"/>
    <w:rsid w:val="009D7B2C"/>
    <w:rsid w:val="009E0801"/>
    <w:rsid w:val="009E0998"/>
    <w:rsid w:val="009E1D05"/>
    <w:rsid w:val="009E3122"/>
    <w:rsid w:val="009E66EA"/>
    <w:rsid w:val="009E767E"/>
    <w:rsid w:val="009F1203"/>
    <w:rsid w:val="009F37C7"/>
    <w:rsid w:val="009F3EA7"/>
    <w:rsid w:val="009F45ED"/>
    <w:rsid w:val="009F6BA2"/>
    <w:rsid w:val="009F720F"/>
    <w:rsid w:val="009F7DE0"/>
    <w:rsid w:val="00A001EB"/>
    <w:rsid w:val="00A027D8"/>
    <w:rsid w:val="00A028F6"/>
    <w:rsid w:val="00A061AD"/>
    <w:rsid w:val="00A063AF"/>
    <w:rsid w:val="00A10DA3"/>
    <w:rsid w:val="00A11819"/>
    <w:rsid w:val="00A11B0C"/>
    <w:rsid w:val="00A141AA"/>
    <w:rsid w:val="00A150E6"/>
    <w:rsid w:val="00A15698"/>
    <w:rsid w:val="00A20E1E"/>
    <w:rsid w:val="00A23A01"/>
    <w:rsid w:val="00A24CC7"/>
    <w:rsid w:val="00A250AD"/>
    <w:rsid w:val="00A32539"/>
    <w:rsid w:val="00A33B35"/>
    <w:rsid w:val="00A33E90"/>
    <w:rsid w:val="00A34A79"/>
    <w:rsid w:val="00A3509F"/>
    <w:rsid w:val="00A36419"/>
    <w:rsid w:val="00A36F08"/>
    <w:rsid w:val="00A3709F"/>
    <w:rsid w:val="00A415AF"/>
    <w:rsid w:val="00A44921"/>
    <w:rsid w:val="00A46B22"/>
    <w:rsid w:val="00A501EE"/>
    <w:rsid w:val="00A514F6"/>
    <w:rsid w:val="00A51C4A"/>
    <w:rsid w:val="00A520A3"/>
    <w:rsid w:val="00A53ECA"/>
    <w:rsid w:val="00A578C2"/>
    <w:rsid w:val="00A61BF0"/>
    <w:rsid w:val="00A61F91"/>
    <w:rsid w:val="00A657FD"/>
    <w:rsid w:val="00A704B9"/>
    <w:rsid w:val="00A72652"/>
    <w:rsid w:val="00A730EB"/>
    <w:rsid w:val="00A755E8"/>
    <w:rsid w:val="00A75BEB"/>
    <w:rsid w:val="00A75D1C"/>
    <w:rsid w:val="00A76349"/>
    <w:rsid w:val="00A76C93"/>
    <w:rsid w:val="00A809AA"/>
    <w:rsid w:val="00A82CD9"/>
    <w:rsid w:val="00A835E1"/>
    <w:rsid w:val="00A843CD"/>
    <w:rsid w:val="00A849B3"/>
    <w:rsid w:val="00A8510D"/>
    <w:rsid w:val="00A86AF3"/>
    <w:rsid w:val="00A86C72"/>
    <w:rsid w:val="00A86EA6"/>
    <w:rsid w:val="00A87AFD"/>
    <w:rsid w:val="00A9085C"/>
    <w:rsid w:val="00A90AFF"/>
    <w:rsid w:val="00A90BDC"/>
    <w:rsid w:val="00A91974"/>
    <w:rsid w:val="00A95006"/>
    <w:rsid w:val="00A95477"/>
    <w:rsid w:val="00A95B80"/>
    <w:rsid w:val="00A9698E"/>
    <w:rsid w:val="00A970A3"/>
    <w:rsid w:val="00A975A9"/>
    <w:rsid w:val="00AA1FA2"/>
    <w:rsid w:val="00AA2322"/>
    <w:rsid w:val="00AA3192"/>
    <w:rsid w:val="00AB0486"/>
    <w:rsid w:val="00AB1D2C"/>
    <w:rsid w:val="00AB2331"/>
    <w:rsid w:val="00AB251E"/>
    <w:rsid w:val="00AB33B2"/>
    <w:rsid w:val="00AB3432"/>
    <w:rsid w:val="00AB3608"/>
    <w:rsid w:val="00AC0960"/>
    <w:rsid w:val="00AC5C48"/>
    <w:rsid w:val="00AC63E3"/>
    <w:rsid w:val="00AC7855"/>
    <w:rsid w:val="00AD1E66"/>
    <w:rsid w:val="00AD3AFC"/>
    <w:rsid w:val="00AD5E61"/>
    <w:rsid w:val="00AD5E78"/>
    <w:rsid w:val="00AD7916"/>
    <w:rsid w:val="00AD7B81"/>
    <w:rsid w:val="00AE1A01"/>
    <w:rsid w:val="00AE27E2"/>
    <w:rsid w:val="00AE41E1"/>
    <w:rsid w:val="00AE4409"/>
    <w:rsid w:val="00AF0CF4"/>
    <w:rsid w:val="00AF2252"/>
    <w:rsid w:val="00AF4AB6"/>
    <w:rsid w:val="00B00B12"/>
    <w:rsid w:val="00B067A8"/>
    <w:rsid w:val="00B07A47"/>
    <w:rsid w:val="00B10D67"/>
    <w:rsid w:val="00B1108B"/>
    <w:rsid w:val="00B1129F"/>
    <w:rsid w:val="00B113D9"/>
    <w:rsid w:val="00B11D61"/>
    <w:rsid w:val="00B12274"/>
    <w:rsid w:val="00B12F51"/>
    <w:rsid w:val="00B13F2C"/>
    <w:rsid w:val="00B17A0B"/>
    <w:rsid w:val="00B21BD8"/>
    <w:rsid w:val="00B21DA1"/>
    <w:rsid w:val="00B22873"/>
    <w:rsid w:val="00B23003"/>
    <w:rsid w:val="00B23AF6"/>
    <w:rsid w:val="00B257F5"/>
    <w:rsid w:val="00B2751E"/>
    <w:rsid w:val="00B2760C"/>
    <w:rsid w:val="00B3500F"/>
    <w:rsid w:val="00B357E8"/>
    <w:rsid w:val="00B3650C"/>
    <w:rsid w:val="00B3725E"/>
    <w:rsid w:val="00B43E2D"/>
    <w:rsid w:val="00B45556"/>
    <w:rsid w:val="00B47055"/>
    <w:rsid w:val="00B51281"/>
    <w:rsid w:val="00B5657A"/>
    <w:rsid w:val="00B622EF"/>
    <w:rsid w:val="00B6348E"/>
    <w:rsid w:val="00B64BFA"/>
    <w:rsid w:val="00B71E63"/>
    <w:rsid w:val="00B726A1"/>
    <w:rsid w:val="00B7627A"/>
    <w:rsid w:val="00B80BA6"/>
    <w:rsid w:val="00B8127B"/>
    <w:rsid w:val="00B815B6"/>
    <w:rsid w:val="00B846BE"/>
    <w:rsid w:val="00B85DE4"/>
    <w:rsid w:val="00B87AAD"/>
    <w:rsid w:val="00B90ECB"/>
    <w:rsid w:val="00B915CE"/>
    <w:rsid w:val="00B91992"/>
    <w:rsid w:val="00B91A31"/>
    <w:rsid w:val="00B92946"/>
    <w:rsid w:val="00B93C4A"/>
    <w:rsid w:val="00B9431F"/>
    <w:rsid w:val="00B971E7"/>
    <w:rsid w:val="00B9770A"/>
    <w:rsid w:val="00BA49A6"/>
    <w:rsid w:val="00BA516D"/>
    <w:rsid w:val="00BA6C28"/>
    <w:rsid w:val="00BA6DB4"/>
    <w:rsid w:val="00BB173D"/>
    <w:rsid w:val="00BB2DDA"/>
    <w:rsid w:val="00BB4A3E"/>
    <w:rsid w:val="00BB602B"/>
    <w:rsid w:val="00BC11F4"/>
    <w:rsid w:val="00BC3F3C"/>
    <w:rsid w:val="00BC406E"/>
    <w:rsid w:val="00BC4495"/>
    <w:rsid w:val="00BC5BB2"/>
    <w:rsid w:val="00BC7E65"/>
    <w:rsid w:val="00BD0AC4"/>
    <w:rsid w:val="00BD0C89"/>
    <w:rsid w:val="00BD4FA7"/>
    <w:rsid w:val="00BE2FCA"/>
    <w:rsid w:val="00BE4324"/>
    <w:rsid w:val="00BE55FD"/>
    <w:rsid w:val="00BE5D8A"/>
    <w:rsid w:val="00BE61E2"/>
    <w:rsid w:val="00BE738E"/>
    <w:rsid w:val="00BF010D"/>
    <w:rsid w:val="00BF11A1"/>
    <w:rsid w:val="00BF3F54"/>
    <w:rsid w:val="00BF6DAA"/>
    <w:rsid w:val="00C00697"/>
    <w:rsid w:val="00C0376C"/>
    <w:rsid w:val="00C06B60"/>
    <w:rsid w:val="00C06D77"/>
    <w:rsid w:val="00C07D75"/>
    <w:rsid w:val="00C102C6"/>
    <w:rsid w:val="00C12922"/>
    <w:rsid w:val="00C145D1"/>
    <w:rsid w:val="00C14AAA"/>
    <w:rsid w:val="00C14BA6"/>
    <w:rsid w:val="00C20F66"/>
    <w:rsid w:val="00C22440"/>
    <w:rsid w:val="00C23A5C"/>
    <w:rsid w:val="00C30AC6"/>
    <w:rsid w:val="00C32737"/>
    <w:rsid w:val="00C32BEF"/>
    <w:rsid w:val="00C33F23"/>
    <w:rsid w:val="00C3485C"/>
    <w:rsid w:val="00C34C1B"/>
    <w:rsid w:val="00C36DFF"/>
    <w:rsid w:val="00C37453"/>
    <w:rsid w:val="00C37DFB"/>
    <w:rsid w:val="00C477C0"/>
    <w:rsid w:val="00C47AE6"/>
    <w:rsid w:val="00C5074B"/>
    <w:rsid w:val="00C51613"/>
    <w:rsid w:val="00C52379"/>
    <w:rsid w:val="00C524E8"/>
    <w:rsid w:val="00C544A4"/>
    <w:rsid w:val="00C54798"/>
    <w:rsid w:val="00C55732"/>
    <w:rsid w:val="00C578F6"/>
    <w:rsid w:val="00C61B15"/>
    <w:rsid w:val="00C632D4"/>
    <w:rsid w:val="00C64B29"/>
    <w:rsid w:val="00C67AAB"/>
    <w:rsid w:val="00C72BB0"/>
    <w:rsid w:val="00C757DF"/>
    <w:rsid w:val="00C7624A"/>
    <w:rsid w:val="00C765DB"/>
    <w:rsid w:val="00C768E5"/>
    <w:rsid w:val="00C86348"/>
    <w:rsid w:val="00C86A6B"/>
    <w:rsid w:val="00C90B8B"/>
    <w:rsid w:val="00CA0DD4"/>
    <w:rsid w:val="00CA12F3"/>
    <w:rsid w:val="00CA2004"/>
    <w:rsid w:val="00CA5B99"/>
    <w:rsid w:val="00CA66F4"/>
    <w:rsid w:val="00CB14B5"/>
    <w:rsid w:val="00CB334D"/>
    <w:rsid w:val="00CB56D5"/>
    <w:rsid w:val="00CC0696"/>
    <w:rsid w:val="00CC0C31"/>
    <w:rsid w:val="00CC2CC5"/>
    <w:rsid w:val="00CC74A6"/>
    <w:rsid w:val="00CD1EA8"/>
    <w:rsid w:val="00CD3A9F"/>
    <w:rsid w:val="00CD4B35"/>
    <w:rsid w:val="00CD50B7"/>
    <w:rsid w:val="00CD5B2D"/>
    <w:rsid w:val="00CE4C25"/>
    <w:rsid w:val="00CE5613"/>
    <w:rsid w:val="00CF1A9E"/>
    <w:rsid w:val="00CF2353"/>
    <w:rsid w:val="00CF5ABD"/>
    <w:rsid w:val="00CF63CE"/>
    <w:rsid w:val="00D01877"/>
    <w:rsid w:val="00D023D8"/>
    <w:rsid w:val="00D02692"/>
    <w:rsid w:val="00D035E4"/>
    <w:rsid w:val="00D04122"/>
    <w:rsid w:val="00D04A04"/>
    <w:rsid w:val="00D05128"/>
    <w:rsid w:val="00D067C1"/>
    <w:rsid w:val="00D10AE2"/>
    <w:rsid w:val="00D11DA1"/>
    <w:rsid w:val="00D13B13"/>
    <w:rsid w:val="00D16B1A"/>
    <w:rsid w:val="00D16E78"/>
    <w:rsid w:val="00D201D3"/>
    <w:rsid w:val="00D21D25"/>
    <w:rsid w:val="00D22CAD"/>
    <w:rsid w:val="00D25438"/>
    <w:rsid w:val="00D26929"/>
    <w:rsid w:val="00D26A64"/>
    <w:rsid w:val="00D27325"/>
    <w:rsid w:val="00D30094"/>
    <w:rsid w:val="00D30815"/>
    <w:rsid w:val="00D3086E"/>
    <w:rsid w:val="00D31D62"/>
    <w:rsid w:val="00D32802"/>
    <w:rsid w:val="00D331CC"/>
    <w:rsid w:val="00D345D4"/>
    <w:rsid w:val="00D3745A"/>
    <w:rsid w:val="00D41F97"/>
    <w:rsid w:val="00D44E1B"/>
    <w:rsid w:val="00D52B9A"/>
    <w:rsid w:val="00D5367E"/>
    <w:rsid w:val="00D53B1E"/>
    <w:rsid w:val="00D564D2"/>
    <w:rsid w:val="00D57C10"/>
    <w:rsid w:val="00D6255C"/>
    <w:rsid w:val="00D6468A"/>
    <w:rsid w:val="00D6666D"/>
    <w:rsid w:val="00D66D8D"/>
    <w:rsid w:val="00D67254"/>
    <w:rsid w:val="00D7028D"/>
    <w:rsid w:val="00D70E93"/>
    <w:rsid w:val="00D7256B"/>
    <w:rsid w:val="00D75750"/>
    <w:rsid w:val="00D80440"/>
    <w:rsid w:val="00D8127C"/>
    <w:rsid w:val="00D84491"/>
    <w:rsid w:val="00D84EF0"/>
    <w:rsid w:val="00D85569"/>
    <w:rsid w:val="00D861ED"/>
    <w:rsid w:val="00D873E0"/>
    <w:rsid w:val="00D90A8E"/>
    <w:rsid w:val="00D93990"/>
    <w:rsid w:val="00D94F8B"/>
    <w:rsid w:val="00D952C5"/>
    <w:rsid w:val="00D95CA6"/>
    <w:rsid w:val="00D95FBF"/>
    <w:rsid w:val="00D96091"/>
    <w:rsid w:val="00DA2284"/>
    <w:rsid w:val="00DA2FAD"/>
    <w:rsid w:val="00DA57CB"/>
    <w:rsid w:val="00DA5988"/>
    <w:rsid w:val="00DB0B52"/>
    <w:rsid w:val="00DB0C39"/>
    <w:rsid w:val="00DB19CF"/>
    <w:rsid w:val="00DB2731"/>
    <w:rsid w:val="00DB4403"/>
    <w:rsid w:val="00DB4E1B"/>
    <w:rsid w:val="00DB58B1"/>
    <w:rsid w:val="00DB6B7F"/>
    <w:rsid w:val="00DB72E1"/>
    <w:rsid w:val="00DB79AB"/>
    <w:rsid w:val="00DB7F78"/>
    <w:rsid w:val="00DC0F62"/>
    <w:rsid w:val="00DC317C"/>
    <w:rsid w:val="00DC3C1E"/>
    <w:rsid w:val="00DC41F6"/>
    <w:rsid w:val="00DC4281"/>
    <w:rsid w:val="00DC4E10"/>
    <w:rsid w:val="00DC4FF2"/>
    <w:rsid w:val="00DC69DF"/>
    <w:rsid w:val="00DC79CC"/>
    <w:rsid w:val="00DD1696"/>
    <w:rsid w:val="00DE506C"/>
    <w:rsid w:val="00DE5F61"/>
    <w:rsid w:val="00DE65B7"/>
    <w:rsid w:val="00DE6AB9"/>
    <w:rsid w:val="00DF011F"/>
    <w:rsid w:val="00DF02FC"/>
    <w:rsid w:val="00DF0DFA"/>
    <w:rsid w:val="00DF583C"/>
    <w:rsid w:val="00DF590C"/>
    <w:rsid w:val="00E005AD"/>
    <w:rsid w:val="00E03AC1"/>
    <w:rsid w:val="00E06699"/>
    <w:rsid w:val="00E07512"/>
    <w:rsid w:val="00E10D39"/>
    <w:rsid w:val="00E11421"/>
    <w:rsid w:val="00E12E38"/>
    <w:rsid w:val="00E134F4"/>
    <w:rsid w:val="00E13ADA"/>
    <w:rsid w:val="00E162E0"/>
    <w:rsid w:val="00E16A83"/>
    <w:rsid w:val="00E200A1"/>
    <w:rsid w:val="00E20D82"/>
    <w:rsid w:val="00E22E9A"/>
    <w:rsid w:val="00E23568"/>
    <w:rsid w:val="00E24178"/>
    <w:rsid w:val="00E2433B"/>
    <w:rsid w:val="00E245B5"/>
    <w:rsid w:val="00E25807"/>
    <w:rsid w:val="00E26956"/>
    <w:rsid w:val="00E31CF3"/>
    <w:rsid w:val="00E330C0"/>
    <w:rsid w:val="00E33470"/>
    <w:rsid w:val="00E33E1B"/>
    <w:rsid w:val="00E34D3E"/>
    <w:rsid w:val="00E41AD0"/>
    <w:rsid w:val="00E46427"/>
    <w:rsid w:val="00E50AD8"/>
    <w:rsid w:val="00E50C06"/>
    <w:rsid w:val="00E52BFB"/>
    <w:rsid w:val="00E53945"/>
    <w:rsid w:val="00E53BAC"/>
    <w:rsid w:val="00E5433F"/>
    <w:rsid w:val="00E6047F"/>
    <w:rsid w:val="00E62043"/>
    <w:rsid w:val="00E67AEA"/>
    <w:rsid w:val="00E67D0C"/>
    <w:rsid w:val="00E67F23"/>
    <w:rsid w:val="00E712FE"/>
    <w:rsid w:val="00E71463"/>
    <w:rsid w:val="00E720E9"/>
    <w:rsid w:val="00E7333F"/>
    <w:rsid w:val="00E750FF"/>
    <w:rsid w:val="00E76BBD"/>
    <w:rsid w:val="00E80326"/>
    <w:rsid w:val="00E81A28"/>
    <w:rsid w:val="00E81C5E"/>
    <w:rsid w:val="00E83B3C"/>
    <w:rsid w:val="00E869DD"/>
    <w:rsid w:val="00E8736B"/>
    <w:rsid w:val="00E87DB1"/>
    <w:rsid w:val="00E90275"/>
    <w:rsid w:val="00E925D4"/>
    <w:rsid w:val="00E97226"/>
    <w:rsid w:val="00E974B6"/>
    <w:rsid w:val="00EA2B44"/>
    <w:rsid w:val="00EA33EF"/>
    <w:rsid w:val="00EA3EE9"/>
    <w:rsid w:val="00EA417A"/>
    <w:rsid w:val="00EA4F7E"/>
    <w:rsid w:val="00EA505A"/>
    <w:rsid w:val="00EA52CF"/>
    <w:rsid w:val="00EA5D23"/>
    <w:rsid w:val="00EB3FAF"/>
    <w:rsid w:val="00EB6811"/>
    <w:rsid w:val="00EC13B9"/>
    <w:rsid w:val="00EC3B52"/>
    <w:rsid w:val="00EC3DBD"/>
    <w:rsid w:val="00EC4B8E"/>
    <w:rsid w:val="00EC4FFD"/>
    <w:rsid w:val="00EC5EFC"/>
    <w:rsid w:val="00EC6704"/>
    <w:rsid w:val="00EC7B39"/>
    <w:rsid w:val="00ED0EA2"/>
    <w:rsid w:val="00ED69B1"/>
    <w:rsid w:val="00EE1C44"/>
    <w:rsid w:val="00EE1CFD"/>
    <w:rsid w:val="00EE2D37"/>
    <w:rsid w:val="00EE7525"/>
    <w:rsid w:val="00EF16F3"/>
    <w:rsid w:val="00EF33CD"/>
    <w:rsid w:val="00EF5AB9"/>
    <w:rsid w:val="00F01B88"/>
    <w:rsid w:val="00F049D3"/>
    <w:rsid w:val="00F05781"/>
    <w:rsid w:val="00F06029"/>
    <w:rsid w:val="00F07244"/>
    <w:rsid w:val="00F07505"/>
    <w:rsid w:val="00F076F6"/>
    <w:rsid w:val="00F1215E"/>
    <w:rsid w:val="00F12924"/>
    <w:rsid w:val="00F1430B"/>
    <w:rsid w:val="00F17BA3"/>
    <w:rsid w:val="00F20C9B"/>
    <w:rsid w:val="00F24533"/>
    <w:rsid w:val="00F24B4E"/>
    <w:rsid w:val="00F300CB"/>
    <w:rsid w:val="00F3092E"/>
    <w:rsid w:val="00F32312"/>
    <w:rsid w:val="00F3408B"/>
    <w:rsid w:val="00F353D5"/>
    <w:rsid w:val="00F35743"/>
    <w:rsid w:val="00F3581B"/>
    <w:rsid w:val="00F35B34"/>
    <w:rsid w:val="00F37FDB"/>
    <w:rsid w:val="00F40161"/>
    <w:rsid w:val="00F41928"/>
    <w:rsid w:val="00F41BBF"/>
    <w:rsid w:val="00F42436"/>
    <w:rsid w:val="00F42894"/>
    <w:rsid w:val="00F42C3A"/>
    <w:rsid w:val="00F42C4A"/>
    <w:rsid w:val="00F443AA"/>
    <w:rsid w:val="00F45D83"/>
    <w:rsid w:val="00F50B5C"/>
    <w:rsid w:val="00F5149D"/>
    <w:rsid w:val="00F51972"/>
    <w:rsid w:val="00F52BCC"/>
    <w:rsid w:val="00F5313F"/>
    <w:rsid w:val="00F548D7"/>
    <w:rsid w:val="00F54B33"/>
    <w:rsid w:val="00F55AC4"/>
    <w:rsid w:val="00F55EB7"/>
    <w:rsid w:val="00F566E6"/>
    <w:rsid w:val="00F57CB4"/>
    <w:rsid w:val="00F630D4"/>
    <w:rsid w:val="00F65EC8"/>
    <w:rsid w:val="00F70BE1"/>
    <w:rsid w:val="00F71A1D"/>
    <w:rsid w:val="00F71E1E"/>
    <w:rsid w:val="00F74FF4"/>
    <w:rsid w:val="00F75D75"/>
    <w:rsid w:val="00F776AD"/>
    <w:rsid w:val="00F779A7"/>
    <w:rsid w:val="00F81803"/>
    <w:rsid w:val="00F81938"/>
    <w:rsid w:val="00F81A48"/>
    <w:rsid w:val="00F83075"/>
    <w:rsid w:val="00F857D0"/>
    <w:rsid w:val="00F919E6"/>
    <w:rsid w:val="00F91B43"/>
    <w:rsid w:val="00F922E5"/>
    <w:rsid w:val="00F927B8"/>
    <w:rsid w:val="00F93C03"/>
    <w:rsid w:val="00F95428"/>
    <w:rsid w:val="00F9679E"/>
    <w:rsid w:val="00F97786"/>
    <w:rsid w:val="00FA09C2"/>
    <w:rsid w:val="00FA19C2"/>
    <w:rsid w:val="00FA4EF2"/>
    <w:rsid w:val="00FA4F4C"/>
    <w:rsid w:val="00FA7375"/>
    <w:rsid w:val="00FB090B"/>
    <w:rsid w:val="00FB288B"/>
    <w:rsid w:val="00FB62BC"/>
    <w:rsid w:val="00FB63A3"/>
    <w:rsid w:val="00FC1398"/>
    <w:rsid w:val="00FC3E1D"/>
    <w:rsid w:val="00FC49D3"/>
    <w:rsid w:val="00FC7AB2"/>
    <w:rsid w:val="00FD17C9"/>
    <w:rsid w:val="00FD1E08"/>
    <w:rsid w:val="00FD2A5B"/>
    <w:rsid w:val="00FD3DD4"/>
    <w:rsid w:val="00FD4712"/>
    <w:rsid w:val="00FE2A35"/>
    <w:rsid w:val="00FE403A"/>
    <w:rsid w:val="00FE4995"/>
    <w:rsid w:val="00FE5A49"/>
    <w:rsid w:val="00FE6A5C"/>
    <w:rsid w:val="00FE7533"/>
    <w:rsid w:val="00FE7F31"/>
    <w:rsid w:val="00FF07E2"/>
    <w:rsid w:val="00FF2EC2"/>
    <w:rsid w:val="00FF4C4A"/>
    <w:rsid w:val="00FF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unhideWhenUsed/>
    <w:qFormat/>
    <w:rsid w:val="009D70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8A2695"/>
    <w:pPr>
      <w:spacing w:after="0" w:line="240" w:lineRule="auto"/>
    </w:pPr>
  </w:style>
  <w:style w:type="character" w:customStyle="1" w:styleId="Heading1Char">
    <w:name w:val="Heading 1 Char"/>
    <w:basedOn w:val="DefaultParagraphFont"/>
    <w:link w:val="Heading1"/>
    <w:uiPriority w:val="9"/>
    <w:rsid w:val="006D1A4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07244"/>
    <w:pPr>
      <w:outlineLvl w:val="9"/>
    </w:pPr>
    <w:rPr>
      <w:lang w:eastAsia="ja-JP"/>
    </w:rPr>
  </w:style>
  <w:style w:type="paragraph" w:styleId="TOC1">
    <w:name w:val="toc 1"/>
    <w:basedOn w:val="Normal"/>
    <w:next w:val="Normal"/>
    <w:autoRedefine/>
    <w:uiPriority w:val="39"/>
    <w:unhideWhenUsed/>
    <w:rsid w:val="00F07244"/>
    <w:pPr>
      <w:spacing w:after="100"/>
    </w:pPr>
  </w:style>
  <w:style w:type="paragraph" w:styleId="TOC2">
    <w:name w:val="toc 2"/>
    <w:basedOn w:val="Normal"/>
    <w:next w:val="Normal"/>
    <w:autoRedefine/>
    <w:uiPriority w:val="39"/>
    <w:unhideWhenUsed/>
    <w:rsid w:val="00F07244"/>
    <w:pPr>
      <w:spacing w:after="100"/>
      <w:ind w:left="220"/>
    </w:pPr>
  </w:style>
  <w:style w:type="character" w:customStyle="1" w:styleId="Heading3Char">
    <w:name w:val="Heading 3 Char"/>
    <w:basedOn w:val="DefaultParagraphFont"/>
    <w:link w:val="Heading3"/>
    <w:uiPriority w:val="9"/>
    <w:rsid w:val="009D704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E06699"/>
    <w:pPr>
      <w:spacing w:after="100"/>
      <w:ind w:left="440"/>
    </w:pPr>
  </w:style>
  <w:style w:type="paragraph" w:styleId="NoSpacing">
    <w:name w:val="No Spacing"/>
    <w:uiPriority w:val="1"/>
    <w:qFormat/>
    <w:rsid w:val="0026096E"/>
    <w:pPr>
      <w:spacing w:after="0" w:line="240" w:lineRule="auto"/>
    </w:pPr>
  </w:style>
  <w:style w:type="character" w:styleId="FollowedHyperlink">
    <w:name w:val="FollowedHyperlink"/>
    <w:basedOn w:val="DefaultParagraphFont"/>
    <w:uiPriority w:val="99"/>
    <w:semiHidden/>
    <w:unhideWhenUsed/>
    <w:rsid w:val="006D08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unhideWhenUsed/>
    <w:qFormat/>
    <w:rsid w:val="009D70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8A2695"/>
    <w:pPr>
      <w:spacing w:after="0" w:line="240" w:lineRule="auto"/>
    </w:pPr>
  </w:style>
  <w:style w:type="character" w:customStyle="1" w:styleId="Heading1Char">
    <w:name w:val="Heading 1 Char"/>
    <w:basedOn w:val="DefaultParagraphFont"/>
    <w:link w:val="Heading1"/>
    <w:uiPriority w:val="9"/>
    <w:rsid w:val="006D1A4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07244"/>
    <w:pPr>
      <w:outlineLvl w:val="9"/>
    </w:pPr>
    <w:rPr>
      <w:lang w:eastAsia="ja-JP"/>
    </w:rPr>
  </w:style>
  <w:style w:type="paragraph" w:styleId="TOC1">
    <w:name w:val="toc 1"/>
    <w:basedOn w:val="Normal"/>
    <w:next w:val="Normal"/>
    <w:autoRedefine/>
    <w:uiPriority w:val="39"/>
    <w:unhideWhenUsed/>
    <w:rsid w:val="00F07244"/>
    <w:pPr>
      <w:spacing w:after="100"/>
    </w:pPr>
  </w:style>
  <w:style w:type="paragraph" w:styleId="TOC2">
    <w:name w:val="toc 2"/>
    <w:basedOn w:val="Normal"/>
    <w:next w:val="Normal"/>
    <w:autoRedefine/>
    <w:uiPriority w:val="39"/>
    <w:unhideWhenUsed/>
    <w:rsid w:val="00F07244"/>
    <w:pPr>
      <w:spacing w:after="100"/>
      <w:ind w:left="220"/>
    </w:pPr>
  </w:style>
  <w:style w:type="character" w:customStyle="1" w:styleId="Heading3Char">
    <w:name w:val="Heading 3 Char"/>
    <w:basedOn w:val="DefaultParagraphFont"/>
    <w:link w:val="Heading3"/>
    <w:uiPriority w:val="9"/>
    <w:rsid w:val="009D704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E06699"/>
    <w:pPr>
      <w:spacing w:after="100"/>
      <w:ind w:left="440"/>
    </w:pPr>
  </w:style>
  <w:style w:type="paragraph" w:styleId="NoSpacing">
    <w:name w:val="No Spacing"/>
    <w:uiPriority w:val="1"/>
    <w:qFormat/>
    <w:rsid w:val="0026096E"/>
    <w:pPr>
      <w:spacing w:after="0" w:line="240" w:lineRule="auto"/>
    </w:pPr>
  </w:style>
  <w:style w:type="character" w:styleId="FollowedHyperlink">
    <w:name w:val="FollowedHyperlink"/>
    <w:basedOn w:val="DefaultParagraphFont"/>
    <w:uiPriority w:val="99"/>
    <w:semiHidden/>
    <w:unhideWhenUsed/>
    <w:rsid w:val="006D0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2753">
      <w:bodyDiv w:val="1"/>
      <w:marLeft w:val="0"/>
      <w:marRight w:val="0"/>
      <w:marTop w:val="0"/>
      <w:marBottom w:val="0"/>
      <w:divBdr>
        <w:top w:val="none" w:sz="0" w:space="0" w:color="auto"/>
        <w:left w:val="none" w:sz="0" w:space="0" w:color="auto"/>
        <w:bottom w:val="none" w:sz="0" w:space="0" w:color="auto"/>
        <w:right w:val="none" w:sz="0" w:space="0" w:color="auto"/>
      </w:divBdr>
    </w:div>
    <w:div w:id="144249538">
      <w:bodyDiv w:val="1"/>
      <w:marLeft w:val="0"/>
      <w:marRight w:val="0"/>
      <w:marTop w:val="0"/>
      <w:marBottom w:val="0"/>
      <w:divBdr>
        <w:top w:val="none" w:sz="0" w:space="0" w:color="auto"/>
        <w:left w:val="none" w:sz="0" w:space="0" w:color="auto"/>
        <w:bottom w:val="none" w:sz="0" w:space="0" w:color="auto"/>
        <w:right w:val="none" w:sz="0" w:space="0" w:color="auto"/>
      </w:divBdr>
    </w:div>
    <w:div w:id="206576261">
      <w:bodyDiv w:val="1"/>
      <w:marLeft w:val="0"/>
      <w:marRight w:val="0"/>
      <w:marTop w:val="0"/>
      <w:marBottom w:val="0"/>
      <w:divBdr>
        <w:top w:val="none" w:sz="0" w:space="0" w:color="auto"/>
        <w:left w:val="none" w:sz="0" w:space="0" w:color="auto"/>
        <w:bottom w:val="none" w:sz="0" w:space="0" w:color="auto"/>
        <w:right w:val="none" w:sz="0" w:space="0" w:color="auto"/>
      </w:divBdr>
    </w:div>
    <w:div w:id="208035489">
      <w:bodyDiv w:val="1"/>
      <w:marLeft w:val="0"/>
      <w:marRight w:val="0"/>
      <w:marTop w:val="0"/>
      <w:marBottom w:val="0"/>
      <w:divBdr>
        <w:top w:val="none" w:sz="0" w:space="0" w:color="auto"/>
        <w:left w:val="none" w:sz="0" w:space="0" w:color="auto"/>
        <w:bottom w:val="none" w:sz="0" w:space="0" w:color="auto"/>
        <w:right w:val="none" w:sz="0" w:space="0" w:color="auto"/>
      </w:divBdr>
    </w:div>
    <w:div w:id="242110697">
      <w:bodyDiv w:val="1"/>
      <w:marLeft w:val="0"/>
      <w:marRight w:val="0"/>
      <w:marTop w:val="0"/>
      <w:marBottom w:val="0"/>
      <w:divBdr>
        <w:top w:val="none" w:sz="0" w:space="0" w:color="auto"/>
        <w:left w:val="none" w:sz="0" w:space="0" w:color="auto"/>
        <w:bottom w:val="none" w:sz="0" w:space="0" w:color="auto"/>
        <w:right w:val="none" w:sz="0" w:space="0" w:color="auto"/>
      </w:divBdr>
      <w:divsChild>
        <w:div w:id="2116438772">
          <w:marLeft w:val="0"/>
          <w:marRight w:val="0"/>
          <w:marTop w:val="0"/>
          <w:marBottom w:val="0"/>
          <w:divBdr>
            <w:top w:val="single" w:sz="2" w:space="0" w:color="2E2E2E"/>
            <w:left w:val="single" w:sz="2" w:space="0" w:color="2E2E2E"/>
            <w:bottom w:val="single" w:sz="2" w:space="0" w:color="2E2E2E"/>
            <w:right w:val="single" w:sz="2" w:space="0" w:color="2E2E2E"/>
          </w:divBdr>
          <w:divsChild>
            <w:div w:id="1344674187">
              <w:marLeft w:val="0"/>
              <w:marRight w:val="0"/>
              <w:marTop w:val="0"/>
              <w:marBottom w:val="0"/>
              <w:divBdr>
                <w:top w:val="single" w:sz="6" w:space="0" w:color="C9C9C9"/>
                <w:left w:val="none" w:sz="0" w:space="0" w:color="auto"/>
                <w:bottom w:val="none" w:sz="0" w:space="0" w:color="auto"/>
                <w:right w:val="none" w:sz="0" w:space="0" w:color="auto"/>
              </w:divBdr>
              <w:divsChild>
                <w:div w:id="688332881">
                  <w:marLeft w:val="0"/>
                  <w:marRight w:val="0"/>
                  <w:marTop w:val="0"/>
                  <w:marBottom w:val="0"/>
                  <w:divBdr>
                    <w:top w:val="none" w:sz="0" w:space="0" w:color="auto"/>
                    <w:left w:val="none" w:sz="0" w:space="0" w:color="auto"/>
                    <w:bottom w:val="none" w:sz="0" w:space="0" w:color="auto"/>
                    <w:right w:val="none" w:sz="0" w:space="0" w:color="auto"/>
                  </w:divBdr>
                  <w:divsChild>
                    <w:div w:id="1597135652">
                      <w:marLeft w:val="0"/>
                      <w:marRight w:val="0"/>
                      <w:marTop w:val="0"/>
                      <w:marBottom w:val="0"/>
                      <w:divBdr>
                        <w:top w:val="none" w:sz="0" w:space="0" w:color="auto"/>
                        <w:left w:val="none" w:sz="0" w:space="0" w:color="auto"/>
                        <w:bottom w:val="none" w:sz="0" w:space="0" w:color="auto"/>
                        <w:right w:val="none" w:sz="0" w:space="0" w:color="auto"/>
                      </w:divBdr>
                      <w:divsChild>
                        <w:div w:id="18037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454388">
      <w:bodyDiv w:val="1"/>
      <w:marLeft w:val="0"/>
      <w:marRight w:val="0"/>
      <w:marTop w:val="0"/>
      <w:marBottom w:val="0"/>
      <w:divBdr>
        <w:top w:val="none" w:sz="0" w:space="0" w:color="auto"/>
        <w:left w:val="none" w:sz="0" w:space="0" w:color="auto"/>
        <w:bottom w:val="none" w:sz="0" w:space="0" w:color="auto"/>
        <w:right w:val="none" w:sz="0" w:space="0" w:color="auto"/>
      </w:divBdr>
    </w:div>
    <w:div w:id="316492676">
      <w:bodyDiv w:val="1"/>
      <w:marLeft w:val="0"/>
      <w:marRight w:val="0"/>
      <w:marTop w:val="0"/>
      <w:marBottom w:val="0"/>
      <w:divBdr>
        <w:top w:val="none" w:sz="0" w:space="0" w:color="auto"/>
        <w:left w:val="none" w:sz="0" w:space="0" w:color="auto"/>
        <w:bottom w:val="none" w:sz="0" w:space="0" w:color="auto"/>
        <w:right w:val="none" w:sz="0" w:space="0" w:color="auto"/>
      </w:divBdr>
    </w:div>
    <w:div w:id="416947274">
      <w:bodyDiv w:val="1"/>
      <w:marLeft w:val="0"/>
      <w:marRight w:val="0"/>
      <w:marTop w:val="0"/>
      <w:marBottom w:val="0"/>
      <w:divBdr>
        <w:top w:val="none" w:sz="0" w:space="0" w:color="auto"/>
        <w:left w:val="none" w:sz="0" w:space="0" w:color="auto"/>
        <w:bottom w:val="none" w:sz="0" w:space="0" w:color="auto"/>
        <w:right w:val="none" w:sz="0" w:space="0" w:color="auto"/>
      </w:divBdr>
    </w:div>
    <w:div w:id="467013802">
      <w:bodyDiv w:val="1"/>
      <w:marLeft w:val="0"/>
      <w:marRight w:val="0"/>
      <w:marTop w:val="0"/>
      <w:marBottom w:val="0"/>
      <w:divBdr>
        <w:top w:val="none" w:sz="0" w:space="0" w:color="auto"/>
        <w:left w:val="none" w:sz="0" w:space="0" w:color="auto"/>
        <w:bottom w:val="none" w:sz="0" w:space="0" w:color="auto"/>
        <w:right w:val="none" w:sz="0" w:space="0" w:color="auto"/>
      </w:divBdr>
    </w:div>
    <w:div w:id="485125628">
      <w:bodyDiv w:val="1"/>
      <w:marLeft w:val="0"/>
      <w:marRight w:val="0"/>
      <w:marTop w:val="0"/>
      <w:marBottom w:val="0"/>
      <w:divBdr>
        <w:top w:val="none" w:sz="0" w:space="0" w:color="auto"/>
        <w:left w:val="none" w:sz="0" w:space="0" w:color="auto"/>
        <w:bottom w:val="none" w:sz="0" w:space="0" w:color="auto"/>
        <w:right w:val="none" w:sz="0" w:space="0" w:color="auto"/>
      </w:divBdr>
    </w:div>
    <w:div w:id="545483261">
      <w:bodyDiv w:val="1"/>
      <w:marLeft w:val="0"/>
      <w:marRight w:val="0"/>
      <w:marTop w:val="0"/>
      <w:marBottom w:val="0"/>
      <w:divBdr>
        <w:top w:val="none" w:sz="0" w:space="0" w:color="auto"/>
        <w:left w:val="none" w:sz="0" w:space="0" w:color="auto"/>
        <w:bottom w:val="none" w:sz="0" w:space="0" w:color="auto"/>
        <w:right w:val="none" w:sz="0" w:space="0" w:color="auto"/>
      </w:divBdr>
    </w:div>
    <w:div w:id="732895375">
      <w:bodyDiv w:val="1"/>
      <w:marLeft w:val="0"/>
      <w:marRight w:val="0"/>
      <w:marTop w:val="0"/>
      <w:marBottom w:val="0"/>
      <w:divBdr>
        <w:top w:val="none" w:sz="0" w:space="0" w:color="auto"/>
        <w:left w:val="none" w:sz="0" w:space="0" w:color="auto"/>
        <w:bottom w:val="none" w:sz="0" w:space="0" w:color="auto"/>
        <w:right w:val="none" w:sz="0" w:space="0" w:color="auto"/>
      </w:divBdr>
    </w:div>
    <w:div w:id="818612797">
      <w:bodyDiv w:val="1"/>
      <w:marLeft w:val="0"/>
      <w:marRight w:val="0"/>
      <w:marTop w:val="0"/>
      <w:marBottom w:val="0"/>
      <w:divBdr>
        <w:top w:val="none" w:sz="0" w:space="0" w:color="auto"/>
        <w:left w:val="none" w:sz="0" w:space="0" w:color="auto"/>
        <w:bottom w:val="none" w:sz="0" w:space="0" w:color="auto"/>
        <w:right w:val="none" w:sz="0" w:space="0" w:color="auto"/>
      </w:divBdr>
    </w:div>
    <w:div w:id="864707456">
      <w:bodyDiv w:val="1"/>
      <w:marLeft w:val="0"/>
      <w:marRight w:val="0"/>
      <w:marTop w:val="0"/>
      <w:marBottom w:val="0"/>
      <w:divBdr>
        <w:top w:val="none" w:sz="0" w:space="0" w:color="auto"/>
        <w:left w:val="none" w:sz="0" w:space="0" w:color="auto"/>
        <w:bottom w:val="none" w:sz="0" w:space="0" w:color="auto"/>
        <w:right w:val="none" w:sz="0" w:space="0" w:color="auto"/>
      </w:divBdr>
    </w:div>
    <w:div w:id="923417248">
      <w:bodyDiv w:val="1"/>
      <w:marLeft w:val="0"/>
      <w:marRight w:val="0"/>
      <w:marTop w:val="0"/>
      <w:marBottom w:val="0"/>
      <w:divBdr>
        <w:top w:val="none" w:sz="0" w:space="0" w:color="auto"/>
        <w:left w:val="none" w:sz="0" w:space="0" w:color="auto"/>
        <w:bottom w:val="none" w:sz="0" w:space="0" w:color="auto"/>
        <w:right w:val="none" w:sz="0" w:space="0" w:color="auto"/>
      </w:divBdr>
    </w:div>
    <w:div w:id="1005673889">
      <w:bodyDiv w:val="1"/>
      <w:marLeft w:val="0"/>
      <w:marRight w:val="0"/>
      <w:marTop w:val="0"/>
      <w:marBottom w:val="0"/>
      <w:divBdr>
        <w:top w:val="none" w:sz="0" w:space="0" w:color="auto"/>
        <w:left w:val="none" w:sz="0" w:space="0" w:color="auto"/>
        <w:bottom w:val="none" w:sz="0" w:space="0" w:color="auto"/>
        <w:right w:val="none" w:sz="0" w:space="0" w:color="auto"/>
      </w:divBdr>
    </w:div>
    <w:div w:id="1063455450">
      <w:bodyDiv w:val="1"/>
      <w:marLeft w:val="0"/>
      <w:marRight w:val="0"/>
      <w:marTop w:val="0"/>
      <w:marBottom w:val="0"/>
      <w:divBdr>
        <w:top w:val="none" w:sz="0" w:space="0" w:color="auto"/>
        <w:left w:val="none" w:sz="0" w:space="0" w:color="auto"/>
        <w:bottom w:val="none" w:sz="0" w:space="0" w:color="auto"/>
        <w:right w:val="none" w:sz="0" w:space="0" w:color="auto"/>
      </w:divBdr>
    </w:div>
    <w:div w:id="1096170845">
      <w:bodyDiv w:val="1"/>
      <w:marLeft w:val="0"/>
      <w:marRight w:val="0"/>
      <w:marTop w:val="0"/>
      <w:marBottom w:val="0"/>
      <w:divBdr>
        <w:top w:val="none" w:sz="0" w:space="0" w:color="auto"/>
        <w:left w:val="none" w:sz="0" w:space="0" w:color="auto"/>
        <w:bottom w:val="none" w:sz="0" w:space="0" w:color="auto"/>
        <w:right w:val="none" w:sz="0" w:space="0" w:color="auto"/>
      </w:divBdr>
    </w:div>
    <w:div w:id="1117289204">
      <w:bodyDiv w:val="1"/>
      <w:marLeft w:val="0"/>
      <w:marRight w:val="0"/>
      <w:marTop w:val="0"/>
      <w:marBottom w:val="0"/>
      <w:divBdr>
        <w:top w:val="none" w:sz="0" w:space="0" w:color="auto"/>
        <w:left w:val="none" w:sz="0" w:space="0" w:color="auto"/>
        <w:bottom w:val="none" w:sz="0" w:space="0" w:color="auto"/>
        <w:right w:val="none" w:sz="0" w:space="0" w:color="auto"/>
      </w:divBdr>
    </w:div>
    <w:div w:id="1309897320">
      <w:bodyDiv w:val="1"/>
      <w:marLeft w:val="0"/>
      <w:marRight w:val="0"/>
      <w:marTop w:val="0"/>
      <w:marBottom w:val="0"/>
      <w:divBdr>
        <w:top w:val="none" w:sz="0" w:space="0" w:color="auto"/>
        <w:left w:val="none" w:sz="0" w:space="0" w:color="auto"/>
        <w:bottom w:val="none" w:sz="0" w:space="0" w:color="auto"/>
        <w:right w:val="none" w:sz="0" w:space="0" w:color="auto"/>
      </w:divBdr>
    </w:div>
    <w:div w:id="1324747396">
      <w:bodyDiv w:val="1"/>
      <w:marLeft w:val="0"/>
      <w:marRight w:val="0"/>
      <w:marTop w:val="0"/>
      <w:marBottom w:val="0"/>
      <w:divBdr>
        <w:top w:val="none" w:sz="0" w:space="0" w:color="auto"/>
        <w:left w:val="none" w:sz="0" w:space="0" w:color="auto"/>
        <w:bottom w:val="none" w:sz="0" w:space="0" w:color="auto"/>
        <w:right w:val="none" w:sz="0" w:space="0" w:color="auto"/>
      </w:divBdr>
    </w:div>
    <w:div w:id="1326279408">
      <w:bodyDiv w:val="1"/>
      <w:marLeft w:val="0"/>
      <w:marRight w:val="0"/>
      <w:marTop w:val="0"/>
      <w:marBottom w:val="0"/>
      <w:divBdr>
        <w:top w:val="none" w:sz="0" w:space="0" w:color="auto"/>
        <w:left w:val="none" w:sz="0" w:space="0" w:color="auto"/>
        <w:bottom w:val="none" w:sz="0" w:space="0" w:color="auto"/>
        <w:right w:val="none" w:sz="0" w:space="0" w:color="auto"/>
      </w:divBdr>
    </w:div>
    <w:div w:id="1332487964">
      <w:bodyDiv w:val="1"/>
      <w:marLeft w:val="0"/>
      <w:marRight w:val="0"/>
      <w:marTop w:val="0"/>
      <w:marBottom w:val="0"/>
      <w:divBdr>
        <w:top w:val="none" w:sz="0" w:space="0" w:color="auto"/>
        <w:left w:val="none" w:sz="0" w:space="0" w:color="auto"/>
        <w:bottom w:val="none" w:sz="0" w:space="0" w:color="auto"/>
        <w:right w:val="none" w:sz="0" w:space="0" w:color="auto"/>
      </w:divBdr>
    </w:div>
    <w:div w:id="1397241264">
      <w:bodyDiv w:val="1"/>
      <w:marLeft w:val="0"/>
      <w:marRight w:val="0"/>
      <w:marTop w:val="0"/>
      <w:marBottom w:val="0"/>
      <w:divBdr>
        <w:top w:val="none" w:sz="0" w:space="0" w:color="auto"/>
        <w:left w:val="none" w:sz="0" w:space="0" w:color="auto"/>
        <w:bottom w:val="none" w:sz="0" w:space="0" w:color="auto"/>
        <w:right w:val="none" w:sz="0" w:space="0" w:color="auto"/>
      </w:divBdr>
    </w:div>
    <w:div w:id="1445542408">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859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iserhealthnews.org/Stories/2012/June/04/electronic-health-records-theft-hacking.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mia.org/sites/amia.org/files/PHIWG-Meningitis-WebinarSlides.pdf" TargetMode="External"/><Relationship Id="rId4" Type="http://schemas.microsoft.com/office/2007/relationships/stylesWithEffects" Target="stylesWithEffects.xml"/><Relationship Id="rId9" Type="http://schemas.openxmlformats.org/officeDocument/2006/relationships/hyperlink" Target="mailto:emothershed@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DEA6-024A-413C-A2F4-8A48D90F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5317</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3</cp:revision>
  <cp:lastPrinted>2015-02-09T13:56:00Z</cp:lastPrinted>
  <dcterms:created xsi:type="dcterms:W3CDTF">2015-02-25T19:20:00Z</dcterms:created>
  <dcterms:modified xsi:type="dcterms:W3CDTF">2015-02-26T18:08:00Z</dcterms:modified>
</cp:coreProperties>
</file>