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AC" w:rsidRDefault="00EC75AC"/>
    <w:p w:rsidR="00EC75AC" w:rsidRDefault="00EC75AC"/>
    <w:p w:rsidR="00EC75AC" w:rsidRDefault="00EC75AC"/>
    <w:p w:rsidR="00EC75AC" w:rsidRDefault="00EC75AC"/>
    <w:p w:rsidR="00EC75AC" w:rsidRDefault="00EC75AC"/>
    <w:p w:rsidR="00EC75AC" w:rsidRDefault="00EC75AC"/>
    <w:p w:rsidR="00E25105" w:rsidRDefault="00E25105" w:rsidP="00E25105">
      <w:pPr>
        <w:jc w:val="center"/>
      </w:pPr>
    </w:p>
    <w:p w:rsidR="00E25105" w:rsidRDefault="00E25105" w:rsidP="00E25105">
      <w:pPr>
        <w:jc w:val="center"/>
      </w:pPr>
      <w:r>
        <w:t xml:space="preserve">Request for Office of Management and Budget Review and Approval </w:t>
      </w:r>
    </w:p>
    <w:p w:rsidR="00E25105" w:rsidRDefault="00E25105" w:rsidP="00E25105">
      <w:pPr>
        <w:jc w:val="center"/>
      </w:pPr>
      <w:proofErr w:type="gramStart"/>
      <w:r>
        <w:t>for</w:t>
      </w:r>
      <w:proofErr w:type="gramEnd"/>
      <w:r>
        <w:t xml:space="preserve"> Federally Sponsored Data Collection</w:t>
      </w:r>
    </w:p>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641A71" w:rsidP="00EC75AC">
      <w:pPr>
        <w:jc w:val="center"/>
        <w:rPr>
          <w:b/>
        </w:rPr>
      </w:pPr>
      <w:r w:rsidRPr="00641A71">
        <w:rPr>
          <w:b/>
        </w:rPr>
        <w:t>Application of a Web-based Health Survey in Schools</w:t>
      </w:r>
    </w:p>
    <w:p w:rsidR="00EC75AC" w:rsidRDefault="00EC75AC" w:rsidP="00EC75AC">
      <w:pPr>
        <w:jc w:val="center"/>
        <w:rPr>
          <w:b/>
        </w:rPr>
      </w:pPr>
    </w:p>
    <w:p w:rsidR="007B43AD" w:rsidRDefault="007B43AD"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25105" w:rsidP="00EC75AC">
      <w:pPr>
        <w:jc w:val="center"/>
        <w:rPr>
          <w:b/>
        </w:rPr>
      </w:pPr>
      <w:r>
        <w:rPr>
          <w:b/>
        </w:rPr>
        <w:t>Section A</w:t>
      </w: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pPr>
      <w:r>
        <w:t>Principal Investigator</w:t>
      </w:r>
      <w:r w:rsidR="003F2243">
        <w:t>s</w:t>
      </w:r>
      <w:r>
        <w:t>:</w:t>
      </w:r>
    </w:p>
    <w:p w:rsidR="00EC75AC" w:rsidRDefault="00EC75AC" w:rsidP="00EC75AC">
      <w:pPr>
        <w:jc w:val="center"/>
      </w:pPr>
    </w:p>
    <w:p w:rsidR="003F2243" w:rsidRDefault="003F2243" w:rsidP="00EC75AC">
      <w:pPr>
        <w:jc w:val="center"/>
      </w:pPr>
      <w:r>
        <w:t>Jean M. Cox-Ganser, PhD</w:t>
      </w:r>
    </w:p>
    <w:p w:rsidR="00A825F1" w:rsidRDefault="00A825F1" w:rsidP="00EC75AC">
      <w:pPr>
        <w:jc w:val="center"/>
      </w:pPr>
      <w:r>
        <w:t>Steven Game, MS</w:t>
      </w:r>
    </w:p>
    <w:p w:rsidR="007B43AD" w:rsidRDefault="007B43AD" w:rsidP="007B43AD">
      <w:pPr>
        <w:jc w:val="center"/>
      </w:pPr>
      <w:r>
        <w:t>Ju-Hyeong Park, ScD, MS, CIH</w:t>
      </w:r>
    </w:p>
    <w:p w:rsidR="00EC75AC" w:rsidRDefault="000C30C2" w:rsidP="00EC75AC">
      <w:pPr>
        <w:jc w:val="center"/>
      </w:pPr>
      <w:r>
        <w:t>National Institute for Occupational Safety and Health</w:t>
      </w:r>
    </w:p>
    <w:p w:rsidR="00EC75AC" w:rsidRDefault="00EC75AC" w:rsidP="00EC75AC">
      <w:pPr>
        <w:jc w:val="center"/>
      </w:pPr>
      <w:r>
        <w:t>Division of Respiratory Disease Studies</w:t>
      </w:r>
    </w:p>
    <w:p w:rsidR="000C30C2" w:rsidRDefault="000C30C2" w:rsidP="00EC75AC">
      <w:pPr>
        <w:jc w:val="center"/>
      </w:pPr>
      <w:r>
        <w:t xml:space="preserve">Email: </w:t>
      </w:r>
      <w:r w:rsidR="00641A71">
        <w:t>gzp8</w:t>
      </w:r>
      <w:r w:rsidR="003F2243">
        <w:t>@cdc.gov</w:t>
      </w:r>
    </w:p>
    <w:p w:rsidR="00EC75AC" w:rsidRDefault="00EC75AC" w:rsidP="00EC75AC">
      <w:pPr>
        <w:jc w:val="center"/>
      </w:pPr>
      <w:r>
        <w:t xml:space="preserve">Phone: </w:t>
      </w:r>
      <w:r w:rsidR="00641A71">
        <w:t>304-285-5967</w:t>
      </w:r>
    </w:p>
    <w:p w:rsidR="00EC75AC" w:rsidRDefault="00EC75AC" w:rsidP="00EC75AC">
      <w:pPr>
        <w:jc w:val="center"/>
      </w:pPr>
      <w:r>
        <w:t>Fax: 304-285-5820</w:t>
      </w:r>
    </w:p>
    <w:p w:rsidR="00EC75AC" w:rsidRDefault="00EC75AC" w:rsidP="00EC75AC">
      <w:pPr>
        <w:jc w:val="center"/>
      </w:pPr>
    </w:p>
    <w:p w:rsidR="00EC75AC" w:rsidRDefault="00EC75AC" w:rsidP="00EC75AC">
      <w:pPr>
        <w:jc w:val="center"/>
      </w:pPr>
    </w:p>
    <w:p w:rsidR="00EC75AC" w:rsidRDefault="00EC75AC" w:rsidP="00EC75AC">
      <w:pPr>
        <w:jc w:val="center"/>
      </w:pPr>
    </w:p>
    <w:p w:rsidR="00EC75AC" w:rsidRDefault="00B82D06" w:rsidP="00EC75AC">
      <w:pPr>
        <w:jc w:val="center"/>
      </w:pPr>
      <w:r>
        <w:t xml:space="preserve">September </w:t>
      </w:r>
      <w:r w:rsidR="00A51FA8">
        <w:t>2014</w:t>
      </w:r>
    </w:p>
    <w:p w:rsidR="0006305B" w:rsidRDefault="0006305B" w:rsidP="00EC75AC">
      <w:pPr>
        <w:jc w:val="center"/>
      </w:pPr>
    </w:p>
    <w:p w:rsidR="0006305B" w:rsidRDefault="0006305B" w:rsidP="00EC75AC">
      <w:pPr>
        <w:jc w:val="center"/>
      </w:pPr>
    </w:p>
    <w:p w:rsidR="0006305B" w:rsidRDefault="0006305B" w:rsidP="00EC75AC">
      <w:pPr>
        <w:jc w:val="center"/>
      </w:pPr>
    </w:p>
    <w:p w:rsidR="0006305B" w:rsidRDefault="0006305B" w:rsidP="00EC75AC">
      <w:pPr>
        <w:jc w:val="center"/>
      </w:pPr>
    </w:p>
    <w:p w:rsidR="00EC75AC" w:rsidRDefault="00EC75AC" w:rsidP="00EC75AC">
      <w:pPr>
        <w:jc w:val="center"/>
      </w:pPr>
    </w:p>
    <w:p w:rsidR="004845E8" w:rsidRDefault="00773DCB" w:rsidP="00514A8D">
      <w:pPr>
        <w:pStyle w:val="TOC1"/>
        <w:rPr>
          <w:sz w:val="24"/>
          <w:szCs w:val="24"/>
        </w:rPr>
      </w:pPr>
      <w:bookmarkStart w:id="0" w:name="_Toc161124059"/>
      <w:bookmarkStart w:id="1" w:name="_Toc161124921"/>
      <w:r w:rsidRPr="008E0A98">
        <w:rPr>
          <w:sz w:val="24"/>
          <w:szCs w:val="24"/>
        </w:rPr>
        <w:lastRenderedPageBreak/>
        <w:t>Table of Contents</w:t>
      </w:r>
    </w:p>
    <w:p w:rsidR="004845E8" w:rsidRPr="004845E8" w:rsidRDefault="004845E8" w:rsidP="00514A8D">
      <w:pPr>
        <w:pStyle w:val="TOC1"/>
        <w:jc w:val="left"/>
        <w:rPr>
          <w:sz w:val="24"/>
          <w:szCs w:val="24"/>
        </w:rPr>
      </w:pPr>
    </w:p>
    <w:p w:rsidR="004845E8" w:rsidRPr="004845E8" w:rsidRDefault="004845E8" w:rsidP="00514A8D">
      <w:pPr>
        <w:pStyle w:val="TOC1"/>
        <w:jc w:val="left"/>
        <w:rPr>
          <w:sz w:val="24"/>
          <w:szCs w:val="24"/>
        </w:rPr>
      </w:pPr>
      <w:r w:rsidRPr="004845E8">
        <w:rPr>
          <w:sz w:val="24"/>
          <w:szCs w:val="24"/>
        </w:rPr>
        <w:t>A</w:t>
      </w:r>
      <w:r w:rsidR="00E75A51">
        <w:rPr>
          <w:sz w:val="24"/>
          <w:szCs w:val="24"/>
        </w:rPr>
        <w:t xml:space="preserve">.  </w:t>
      </w:r>
      <w:r w:rsidRPr="004845E8">
        <w:rPr>
          <w:sz w:val="24"/>
          <w:szCs w:val="24"/>
        </w:rPr>
        <w:t xml:space="preserve"> </w:t>
      </w:r>
      <w:r>
        <w:rPr>
          <w:sz w:val="24"/>
          <w:szCs w:val="24"/>
        </w:rPr>
        <w:t xml:space="preserve"> </w:t>
      </w:r>
      <w:r w:rsidRPr="004845E8">
        <w:rPr>
          <w:sz w:val="24"/>
          <w:szCs w:val="24"/>
        </w:rPr>
        <w:t>Justification</w:t>
      </w:r>
    </w:p>
    <w:p w:rsidR="004845E8" w:rsidRPr="004845E8" w:rsidRDefault="004845E8" w:rsidP="00514A8D">
      <w:pPr>
        <w:pStyle w:val="TOC1"/>
        <w:jc w:val="left"/>
        <w:rPr>
          <w:sz w:val="24"/>
          <w:szCs w:val="24"/>
        </w:rPr>
      </w:pPr>
      <w:r w:rsidRPr="004845E8">
        <w:rPr>
          <w:b w:val="0"/>
          <w:sz w:val="24"/>
          <w:szCs w:val="24"/>
        </w:rPr>
        <w:t>A1</w:t>
      </w:r>
      <w:r w:rsidR="00E75A51">
        <w:rPr>
          <w:b w:val="0"/>
          <w:sz w:val="24"/>
          <w:szCs w:val="24"/>
        </w:rPr>
        <w:t xml:space="preserve">.  </w:t>
      </w:r>
      <w:r>
        <w:rPr>
          <w:b w:val="0"/>
          <w:sz w:val="24"/>
          <w:szCs w:val="24"/>
        </w:rPr>
        <w:t xml:space="preserve"> </w:t>
      </w:r>
      <w:r w:rsidRPr="004845E8">
        <w:rPr>
          <w:b w:val="0"/>
          <w:sz w:val="24"/>
          <w:szCs w:val="24"/>
        </w:rPr>
        <w:t>Circumstances Making the Collection of Information Necessary</w:t>
      </w:r>
      <w:r w:rsidRPr="004845E8">
        <w:rPr>
          <w:sz w:val="24"/>
          <w:szCs w:val="24"/>
        </w:rPr>
        <w:t xml:space="preserve"> </w:t>
      </w:r>
    </w:p>
    <w:p w:rsidR="004845E8" w:rsidRDefault="004845E8" w:rsidP="00514A8D">
      <w:pPr>
        <w:pStyle w:val="TOC1"/>
        <w:jc w:val="left"/>
        <w:rPr>
          <w:sz w:val="24"/>
          <w:szCs w:val="24"/>
        </w:rPr>
      </w:pPr>
      <w:r>
        <w:rPr>
          <w:b w:val="0"/>
          <w:sz w:val="24"/>
          <w:szCs w:val="24"/>
        </w:rPr>
        <w:t>A2</w:t>
      </w:r>
      <w:r w:rsidR="00E75A51">
        <w:rPr>
          <w:b w:val="0"/>
          <w:sz w:val="24"/>
          <w:szCs w:val="24"/>
        </w:rPr>
        <w:t xml:space="preserve">.  </w:t>
      </w:r>
      <w:r>
        <w:rPr>
          <w:b w:val="0"/>
          <w:sz w:val="24"/>
          <w:szCs w:val="24"/>
        </w:rPr>
        <w:t xml:space="preserve"> </w:t>
      </w:r>
      <w:r w:rsidRPr="004845E8">
        <w:rPr>
          <w:b w:val="0"/>
          <w:sz w:val="24"/>
          <w:szCs w:val="24"/>
        </w:rPr>
        <w:t>Purpose and Use of Information Collection</w:t>
      </w:r>
      <w:r w:rsidRPr="004845E8">
        <w:rPr>
          <w:sz w:val="24"/>
          <w:szCs w:val="24"/>
        </w:rPr>
        <w:t xml:space="preserve"> </w:t>
      </w:r>
    </w:p>
    <w:p w:rsidR="004845E8" w:rsidRDefault="004845E8" w:rsidP="00514A8D">
      <w:pPr>
        <w:pStyle w:val="TOC1"/>
        <w:jc w:val="left"/>
        <w:rPr>
          <w:b w:val="0"/>
          <w:sz w:val="24"/>
          <w:szCs w:val="24"/>
        </w:rPr>
      </w:pPr>
      <w:r>
        <w:rPr>
          <w:b w:val="0"/>
          <w:sz w:val="24"/>
          <w:szCs w:val="24"/>
        </w:rPr>
        <w:t>A3</w:t>
      </w:r>
      <w:r w:rsidR="00E75A51">
        <w:rPr>
          <w:b w:val="0"/>
          <w:sz w:val="24"/>
          <w:szCs w:val="24"/>
        </w:rPr>
        <w:t xml:space="preserve">.  </w:t>
      </w:r>
      <w:r>
        <w:rPr>
          <w:b w:val="0"/>
          <w:sz w:val="24"/>
          <w:szCs w:val="24"/>
        </w:rPr>
        <w:t xml:space="preserve"> Use of Improved Information Technology and Burden Reduction</w:t>
      </w:r>
    </w:p>
    <w:p w:rsidR="004845E8" w:rsidRDefault="004845E8" w:rsidP="00514A8D">
      <w:pPr>
        <w:pStyle w:val="TOC1"/>
        <w:jc w:val="left"/>
        <w:rPr>
          <w:b w:val="0"/>
          <w:sz w:val="24"/>
          <w:szCs w:val="24"/>
        </w:rPr>
      </w:pPr>
      <w:r>
        <w:rPr>
          <w:b w:val="0"/>
          <w:sz w:val="24"/>
          <w:szCs w:val="24"/>
        </w:rPr>
        <w:t>A4</w:t>
      </w:r>
      <w:r w:rsidR="00E75A51">
        <w:rPr>
          <w:b w:val="0"/>
          <w:sz w:val="24"/>
          <w:szCs w:val="24"/>
        </w:rPr>
        <w:t xml:space="preserve">.  </w:t>
      </w:r>
      <w:r>
        <w:rPr>
          <w:b w:val="0"/>
          <w:sz w:val="24"/>
          <w:szCs w:val="24"/>
        </w:rPr>
        <w:t xml:space="preserve"> Efforts to Identify Duplication and Use of Similar Information</w:t>
      </w:r>
    </w:p>
    <w:p w:rsidR="004845E8" w:rsidRDefault="004845E8" w:rsidP="00514A8D">
      <w:pPr>
        <w:pStyle w:val="TOC1"/>
        <w:jc w:val="left"/>
        <w:rPr>
          <w:b w:val="0"/>
          <w:sz w:val="24"/>
          <w:szCs w:val="24"/>
        </w:rPr>
      </w:pPr>
      <w:r>
        <w:rPr>
          <w:b w:val="0"/>
          <w:sz w:val="24"/>
          <w:szCs w:val="24"/>
        </w:rPr>
        <w:t>A5</w:t>
      </w:r>
      <w:r w:rsidR="00E75A51">
        <w:rPr>
          <w:b w:val="0"/>
          <w:sz w:val="24"/>
          <w:szCs w:val="24"/>
        </w:rPr>
        <w:t xml:space="preserve">.  </w:t>
      </w:r>
      <w:r>
        <w:rPr>
          <w:b w:val="0"/>
          <w:sz w:val="24"/>
          <w:szCs w:val="24"/>
        </w:rPr>
        <w:t xml:space="preserve"> Impact on Small Businesses or Other Small Entities</w:t>
      </w:r>
    </w:p>
    <w:p w:rsidR="004845E8" w:rsidRDefault="004845E8" w:rsidP="00514A8D">
      <w:pPr>
        <w:pStyle w:val="TOC1"/>
        <w:jc w:val="left"/>
        <w:rPr>
          <w:b w:val="0"/>
          <w:sz w:val="24"/>
          <w:szCs w:val="24"/>
        </w:rPr>
      </w:pPr>
      <w:r>
        <w:rPr>
          <w:b w:val="0"/>
          <w:sz w:val="24"/>
          <w:szCs w:val="24"/>
        </w:rPr>
        <w:t>A6</w:t>
      </w:r>
      <w:r w:rsidR="00E75A51">
        <w:rPr>
          <w:b w:val="0"/>
          <w:sz w:val="24"/>
          <w:szCs w:val="24"/>
        </w:rPr>
        <w:t xml:space="preserve">.  </w:t>
      </w:r>
      <w:r>
        <w:rPr>
          <w:b w:val="0"/>
          <w:sz w:val="24"/>
          <w:szCs w:val="24"/>
        </w:rPr>
        <w:t xml:space="preserve"> Consequences of Collecting the Information Less Frequently</w:t>
      </w:r>
    </w:p>
    <w:p w:rsidR="004845E8" w:rsidRDefault="004845E8" w:rsidP="00514A8D">
      <w:pPr>
        <w:pStyle w:val="TOC1"/>
        <w:jc w:val="left"/>
        <w:rPr>
          <w:b w:val="0"/>
          <w:sz w:val="24"/>
          <w:szCs w:val="24"/>
        </w:rPr>
      </w:pPr>
      <w:r>
        <w:rPr>
          <w:b w:val="0"/>
          <w:sz w:val="24"/>
          <w:szCs w:val="24"/>
        </w:rPr>
        <w:t>A7</w:t>
      </w:r>
      <w:r w:rsidR="00E75A51">
        <w:rPr>
          <w:b w:val="0"/>
          <w:sz w:val="24"/>
          <w:szCs w:val="24"/>
        </w:rPr>
        <w:t xml:space="preserve">.  </w:t>
      </w:r>
      <w:r>
        <w:rPr>
          <w:b w:val="0"/>
          <w:sz w:val="24"/>
          <w:szCs w:val="24"/>
        </w:rPr>
        <w:t xml:space="preserve"> Special Circumstances Relating to the Guidelines of 5 CFR 1320.5</w:t>
      </w:r>
    </w:p>
    <w:p w:rsidR="004845E8" w:rsidRDefault="004845E8" w:rsidP="00514A8D">
      <w:pPr>
        <w:pStyle w:val="TOC1"/>
        <w:ind w:left="540" w:hanging="540"/>
        <w:jc w:val="left"/>
        <w:rPr>
          <w:b w:val="0"/>
          <w:sz w:val="24"/>
          <w:szCs w:val="24"/>
        </w:rPr>
      </w:pPr>
      <w:r>
        <w:rPr>
          <w:b w:val="0"/>
          <w:sz w:val="24"/>
          <w:szCs w:val="24"/>
        </w:rPr>
        <w:t>A8</w:t>
      </w:r>
      <w:r w:rsidR="00E75A51">
        <w:rPr>
          <w:b w:val="0"/>
          <w:sz w:val="24"/>
          <w:szCs w:val="24"/>
        </w:rPr>
        <w:t xml:space="preserve">.  </w:t>
      </w:r>
      <w:r>
        <w:rPr>
          <w:b w:val="0"/>
          <w:sz w:val="24"/>
          <w:szCs w:val="24"/>
        </w:rPr>
        <w:t xml:space="preserve"> Comments in Response to the Federal Register Notice and Efforts to Consult Outside the Agency</w:t>
      </w:r>
    </w:p>
    <w:p w:rsidR="004845E8" w:rsidRDefault="004845E8" w:rsidP="00514A8D">
      <w:pPr>
        <w:pStyle w:val="TOC1"/>
        <w:jc w:val="left"/>
        <w:rPr>
          <w:b w:val="0"/>
          <w:sz w:val="24"/>
          <w:szCs w:val="24"/>
        </w:rPr>
      </w:pPr>
      <w:r>
        <w:rPr>
          <w:b w:val="0"/>
          <w:sz w:val="24"/>
          <w:szCs w:val="24"/>
        </w:rPr>
        <w:t>A9</w:t>
      </w:r>
      <w:r w:rsidR="00E75A51">
        <w:rPr>
          <w:b w:val="0"/>
          <w:sz w:val="24"/>
          <w:szCs w:val="24"/>
        </w:rPr>
        <w:t xml:space="preserve">.  </w:t>
      </w:r>
      <w:r>
        <w:rPr>
          <w:b w:val="0"/>
          <w:sz w:val="24"/>
          <w:szCs w:val="24"/>
        </w:rPr>
        <w:t xml:space="preserve"> Explanation of Any Payment or Gift to Respondents</w:t>
      </w:r>
    </w:p>
    <w:p w:rsidR="004845E8" w:rsidRDefault="004845E8" w:rsidP="00514A8D">
      <w:pPr>
        <w:pStyle w:val="TOC1"/>
        <w:jc w:val="left"/>
        <w:rPr>
          <w:b w:val="0"/>
          <w:sz w:val="24"/>
          <w:szCs w:val="24"/>
        </w:rPr>
      </w:pPr>
      <w:r>
        <w:rPr>
          <w:b w:val="0"/>
          <w:sz w:val="24"/>
          <w:szCs w:val="24"/>
        </w:rPr>
        <w:t>A10</w:t>
      </w:r>
      <w:r w:rsidR="00E75A51">
        <w:rPr>
          <w:b w:val="0"/>
          <w:sz w:val="24"/>
          <w:szCs w:val="24"/>
        </w:rPr>
        <w:t xml:space="preserve">.  </w:t>
      </w:r>
      <w:r>
        <w:rPr>
          <w:b w:val="0"/>
          <w:sz w:val="24"/>
          <w:szCs w:val="24"/>
        </w:rPr>
        <w:t>Assurance of Confidentiality Provided to Respondents</w:t>
      </w:r>
    </w:p>
    <w:p w:rsidR="004845E8" w:rsidRDefault="004845E8" w:rsidP="00514A8D">
      <w:pPr>
        <w:pStyle w:val="TOC1"/>
        <w:jc w:val="left"/>
        <w:rPr>
          <w:b w:val="0"/>
          <w:sz w:val="24"/>
          <w:szCs w:val="24"/>
        </w:rPr>
      </w:pPr>
      <w:r>
        <w:rPr>
          <w:b w:val="0"/>
          <w:sz w:val="24"/>
          <w:szCs w:val="24"/>
        </w:rPr>
        <w:t>A1</w:t>
      </w:r>
      <w:r w:rsidR="00482BA4">
        <w:rPr>
          <w:b w:val="0"/>
          <w:sz w:val="24"/>
          <w:szCs w:val="24"/>
        </w:rPr>
        <w:t>1</w:t>
      </w:r>
      <w:r w:rsidR="00E75A51">
        <w:rPr>
          <w:b w:val="0"/>
          <w:sz w:val="24"/>
          <w:szCs w:val="24"/>
        </w:rPr>
        <w:t xml:space="preserve">.  </w:t>
      </w:r>
      <w:r w:rsidR="00482BA4">
        <w:rPr>
          <w:b w:val="0"/>
          <w:sz w:val="24"/>
          <w:szCs w:val="24"/>
        </w:rPr>
        <w:t>Justification for Sensitive</w:t>
      </w:r>
      <w:r>
        <w:rPr>
          <w:b w:val="0"/>
          <w:sz w:val="24"/>
          <w:szCs w:val="24"/>
        </w:rPr>
        <w:t xml:space="preserve"> Questions</w:t>
      </w:r>
    </w:p>
    <w:p w:rsidR="004845E8" w:rsidRDefault="004845E8" w:rsidP="00514A8D">
      <w:pPr>
        <w:pStyle w:val="TOC1"/>
        <w:jc w:val="left"/>
        <w:rPr>
          <w:b w:val="0"/>
          <w:sz w:val="24"/>
          <w:szCs w:val="24"/>
        </w:rPr>
      </w:pPr>
      <w:r>
        <w:rPr>
          <w:b w:val="0"/>
          <w:sz w:val="24"/>
          <w:szCs w:val="24"/>
        </w:rPr>
        <w:t>A12</w:t>
      </w:r>
      <w:r w:rsidR="00E75A51">
        <w:rPr>
          <w:b w:val="0"/>
          <w:sz w:val="24"/>
          <w:szCs w:val="24"/>
        </w:rPr>
        <w:t xml:space="preserve">.  </w:t>
      </w:r>
      <w:r>
        <w:rPr>
          <w:b w:val="0"/>
          <w:sz w:val="24"/>
          <w:szCs w:val="24"/>
        </w:rPr>
        <w:t>Estimates of Annualized Burden Hours and Costs</w:t>
      </w:r>
    </w:p>
    <w:p w:rsidR="004845E8" w:rsidRDefault="004845E8" w:rsidP="00514A8D">
      <w:pPr>
        <w:pStyle w:val="TOC1"/>
        <w:jc w:val="left"/>
        <w:rPr>
          <w:b w:val="0"/>
          <w:sz w:val="24"/>
          <w:szCs w:val="24"/>
        </w:rPr>
      </w:pPr>
      <w:r>
        <w:rPr>
          <w:b w:val="0"/>
          <w:sz w:val="24"/>
          <w:szCs w:val="24"/>
        </w:rPr>
        <w:t>A13</w:t>
      </w:r>
      <w:r w:rsidR="00E75A51">
        <w:rPr>
          <w:b w:val="0"/>
          <w:sz w:val="24"/>
          <w:szCs w:val="24"/>
        </w:rPr>
        <w:t xml:space="preserve">.  </w:t>
      </w:r>
      <w:r>
        <w:rPr>
          <w:b w:val="0"/>
          <w:sz w:val="24"/>
          <w:szCs w:val="24"/>
        </w:rPr>
        <w:t>Estimates of Other Total Annual Cost Burden to Respondents or Record Keepers</w:t>
      </w:r>
    </w:p>
    <w:p w:rsidR="00482BA4" w:rsidRDefault="004845E8" w:rsidP="00514A8D">
      <w:pPr>
        <w:pStyle w:val="TOC1"/>
        <w:jc w:val="left"/>
        <w:rPr>
          <w:b w:val="0"/>
          <w:sz w:val="24"/>
          <w:szCs w:val="24"/>
        </w:rPr>
      </w:pPr>
      <w:r>
        <w:rPr>
          <w:b w:val="0"/>
          <w:sz w:val="24"/>
          <w:szCs w:val="24"/>
        </w:rPr>
        <w:t>A14</w:t>
      </w:r>
      <w:r w:rsidR="00E75A51">
        <w:rPr>
          <w:b w:val="0"/>
          <w:sz w:val="24"/>
          <w:szCs w:val="24"/>
        </w:rPr>
        <w:t xml:space="preserve">.  </w:t>
      </w:r>
      <w:r>
        <w:rPr>
          <w:b w:val="0"/>
          <w:sz w:val="24"/>
          <w:szCs w:val="24"/>
        </w:rPr>
        <w:t>Annualized Cost to the Government</w:t>
      </w:r>
    </w:p>
    <w:p w:rsidR="00482BA4" w:rsidRDefault="00482BA4" w:rsidP="00514A8D">
      <w:pPr>
        <w:pStyle w:val="TOC1"/>
        <w:jc w:val="left"/>
        <w:rPr>
          <w:b w:val="0"/>
          <w:sz w:val="24"/>
          <w:szCs w:val="24"/>
        </w:rPr>
      </w:pPr>
      <w:r>
        <w:rPr>
          <w:b w:val="0"/>
          <w:sz w:val="24"/>
          <w:szCs w:val="24"/>
        </w:rPr>
        <w:t>A15</w:t>
      </w:r>
      <w:r w:rsidR="00E75A51">
        <w:rPr>
          <w:b w:val="0"/>
          <w:sz w:val="24"/>
          <w:szCs w:val="24"/>
        </w:rPr>
        <w:t xml:space="preserve">.  </w:t>
      </w:r>
      <w:r>
        <w:rPr>
          <w:b w:val="0"/>
          <w:sz w:val="24"/>
          <w:szCs w:val="24"/>
        </w:rPr>
        <w:t>Explanation for Program Changes or Adjustments</w:t>
      </w:r>
    </w:p>
    <w:p w:rsidR="00482BA4" w:rsidRDefault="00482BA4" w:rsidP="00514A8D">
      <w:pPr>
        <w:pStyle w:val="TOC1"/>
        <w:jc w:val="left"/>
        <w:rPr>
          <w:b w:val="0"/>
          <w:sz w:val="24"/>
          <w:szCs w:val="24"/>
        </w:rPr>
      </w:pPr>
      <w:r>
        <w:rPr>
          <w:b w:val="0"/>
          <w:sz w:val="24"/>
          <w:szCs w:val="24"/>
        </w:rPr>
        <w:t>A16</w:t>
      </w:r>
      <w:r w:rsidR="00E75A51">
        <w:rPr>
          <w:b w:val="0"/>
          <w:sz w:val="24"/>
          <w:szCs w:val="24"/>
        </w:rPr>
        <w:t xml:space="preserve">.  </w:t>
      </w:r>
      <w:r>
        <w:rPr>
          <w:b w:val="0"/>
          <w:sz w:val="24"/>
          <w:szCs w:val="24"/>
        </w:rPr>
        <w:t>Plans for Tabulation and Publication and Project Time Schedule</w:t>
      </w:r>
    </w:p>
    <w:p w:rsidR="00482BA4" w:rsidRDefault="00482BA4" w:rsidP="00514A8D">
      <w:pPr>
        <w:pStyle w:val="TOC1"/>
        <w:jc w:val="left"/>
        <w:rPr>
          <w:b w:val="0"/>
          <w:sz w:val="24"/>
          <w:szCs w:val="24"/>
        </w:rPr>
      </w:pPr>
      <w:r>
        <w:rPr>
          <w:b w:val="0"/>
          <w:sz w:val="24"/>
          <w:szCs w:val="24"/>
        </w:rPr>
        <w:t>A17</w:t>
      </w:r>
      <w:r w:rsidR="00E75A51">
        <w:rPr>
          <w:b w:val="0"/>
          <w:sz w:val="24"/>
          <w:szCs w:val="24"/>
        </w:rPr>
        <w:t xml:space="preserve">.  </w:t>
      </w:r>
      <w:r>
        <w:rPr>
          <w:b w:val="0"/>
          <w:sz w:val="24"/>
          <w:szCs w:val="24"/>
        </w:rPr>
        <w:t>Reason(s) Display of OMB Expiration Date is Inappropriate</w:t>
      </w:r>
    </w:p>
    <w:p w:rsidR="00AA7D4F" w:rsidRDefault="00482BA4" w:rsidP="00514A8D">
      <w:pPr>
        <w:pStyle w:val="TOC1"/>
        <w:jc w:val="left"/>
        <w:rPr>
          <w:b w:val="0"/>
          <w:sz w:val="24"/>
          <w:szCs w:val="24"/>
        </w:rPr>
      </w:pPr>
      <w:r>
        <w:rPr>
          <w:b w:val="0"/>
          <w:sz w:val="24"/>
          <w:szCs w:val="24"/>
        </w:rPr>
        <w:t>A18</w:t>
      </w:r>
      <w:r w:rsidR="00E75A51">
        <w:rPr>
          <w:b w:val="0"/>
          <w:sz w:val="24"/>
          <w:szCs w:val="24"/>
        </w:rPr>
        <w:t xml:space="preserve">.  </w:t>
      </w:r>
      <w:r>
        <w:rPr>
          <w:b w:val="0"/>
          <w:sz w:val="24"/>
          <w:szCs w:val="24"/>
        </w:rPr>
        <w:t>Exceptions to Certification for Paperwork Reduction Act Submissions</w:t>
      </w:r>
    </w:p>
    <w:p w:rsidR="00AA7D4F" w:rsidRDefault="00AA7D4F">
      <w:pPr>
        <w:rPr>
          <w:bCs/>
        </w:rPr>
      </w:pPr>
      <w:r>
        <w:rPr>
          <w:b/>
        </w:rPr>
        <w:br w:type="page"/>
      </w:r>
    </w:p>
    <w:p w:rsidR="00627137" w:rsidRPr="00AA7D4F" w:rsidRDefault="00AA7D4F" w:rsidP="00514A8D">
      <w:pPr>
        <w:pStyle w:val="TOC1"/>
        <w:jc w:val="left"/>
        <w:rPr>
          <w:sz w:val="24"/>
          <w:szCs w:val="24"/>
        </w:rPr>
      </w:pPr>
      <w:r>
        <w:rPr>
          <w:sz w:val="24"/>
          <w:szCs w:val="24"/>
        </w:rPr>
        <w:lastRenderedPageBreak/>
        <w:t>Appendices</w:t>
      </w:r>
    </w:p>
    <w:p w:rsidR="00627137" w:rsidRPr="00AE3113" w:rsidRDefault="00627137" w:rsidP="00AE3113">
      <w:pPr>
        <w:pStyle w:val="NoSpacing"/>
      </w:pPr>
      <w:proofErr w:type="gramStart"/>
      <w:r w:rsidRPr="00AE3113">
        <w:t>Appendix A</w:t>
      </w:r>
      <w:r w:rsidR="00C151E8">
        <w:t>.</w:t>
      </w:r>
      <w:proofErr w:type="gramEnd"/>
      <w:r w:rsidR="00C151E8">
        <w:t xml:space="preserve"> </w:t>
      </w:r>
      <w:r w:rsidR="00E75A51" w:rsidRPr="00AE3113">
        <w:t xml:space="preserve">  </w:t>
      </w:r>
      <w:r w:rsidRPr="00AE3113">
        <w:t xml:space="preserve"> </w:t>
      </w:r>
      <w:r w:rsidR="00641A71">
        <w:t xml:space="preserve"> </w:t>
      </w:r>
      <w:r w:rsidR="00591637">
        <w:t xml:space="preserve"> </w:t>
      </w:r>
      <w:r w:rsidRPr="00AE3113">
        <w:t>Occupational Safety and Health Act of 1970 Public Law 91-256</w:t>
      </w:r>
    </w:p>
    <w:p w:rsidR="00627137" w:rsidRDefault="00860C44" w:rsidP="00AE3113">
      <w:pPr>
        <w:pStyle w:val="NoSpacing"/>
      </w:pPr>
      <w:proofErr w:type="gramStart"/>
      <w:r w:rsidRPr="00AE3113">
        <w:t>Appendix B</w:t>
      </w:r>
      <w:r w:rsidR="00C151E8">
        <w:t>.</w:t>
      </w:r>
      <w:proofErr w:type="gramEnd"/>
      <w:r w:rsidR="00FD411E" w:rsidRPr="00AE3113">
        <w:t xml:space="preserve"> </w:t>
      </w:r>
      <w:r w:rsidR="00C151E8">
        <w:t xml:space="preserve"> </w:t>
      </w:r>
      <w:r w:rsidR="00FD411E" w:rsidRPr="00AE3113">
        <w:t xml:space="preserve">  </w:t>
      </w:r>
      <w:r w:rsidR="00591637">
        <w:t xml:space="preserve"> </w:t>
      </w:r>
      <w:r w:rsidR="00FD411E" w:rsidRPr="00AE3113">
        <w:t xml:space="preserve"> </w:t>
      </w:r>
      <w:r w:rsidR="00627137" w:rsidRPr="00AE3113">
        <w:t xml:space="preserve">Federal Register Notice </w:t>
      </w:r>
    </w:p>
    <w:p w:rsidR="00591637" w:rsidRPr="00AE3113" w:rsidRDefault="00591637" w:rsidP="00591637">
      <w:pPr>
        <w:pStyle w:val="NoSpacing"/>
      </w:pPr>
      <w:proofErr w:type="gramStart"/>
      <w:r w:rsidRPr="00AE3113">
        <w:t xml:space="preserve">Appendix </w:t>
      </w:r>
      <w:r>
        <w:t>C.</w:t>
      </w:r>
      <w:proofErr w:type="gramEnd"/>
      <w:r>
        <w:t xml:space="preserve"> </w:t>
      </w:r>
      <w:r w:rsidRPr="00AE3113">
        <w:t xml:space="preserve">   </w:t>
      </w:r>
      <w:r>
        <w:t xml:space="preserve">  </w:t>
      </w:r>
      <w:r w:rsidRPr="00AE3113">
        <w:t>External Review Comments</w:t>
      </w:r>
    </w:p>
    <w:p w:rsidR="00AE3113" w:rsidRDefault="00141483" w:rsidP="00062F9C">
      <w:pPr>
        <w:pStyle w:val="NoSpacing"/>
        <w:tabs>
          <w:tab w:val="left" w:pos="1620"/>
        </w:tabs>
        <w:rPr>
          <w:bCs/>
          <w:szCs w:val="20"/>
        </w:rPr>
      </w:pPr>
      <w:proofErr w:type="gramStart"/>
      <w:r>
        <w:t xml:space="preserve">Appendix </w:t>
      </w:r>
      <w:r w:rsidR="00591637">
        <w:rPr>
          <w:bCs/>
          <w:szCs w:val="20"/>
        </w:rPr>
        <w:t>D</w:t>
      </w:r>
      <w:r w:rsidR="00641A71">
        <w:rPr>
          <w:bCs/>
          <w:szCs w:val="20"/>
        </w:rPr>
        <w:t>.</w:t>
      </w:r>
      <w:proofErr w:type="gramEnd"/>
      <w:r w:rsidR="00641A71">
        <w:rPr>
          <w:bCs/>
          <w:szCs w:val="20"/>
        </w:rPr>
        <w:t xml:space="preserve">  </w:t>
      </w:r>
      <w:r w:rsidR="00591637">
        <w:rPr>
          <w:bCs/>
          <w:szCs w:val="20"/>
        </w:rPr>
        <w:t xml:space="preserve"> </w:t>
      </w:r>
      <w:r w:rsidR="00062F9C">
        <w:rPr>
          <w:bCs/>
          <w:szCs w:val="20"/>
        </w:rPr>
        <w:t xml:space="preserve">   </w:t>
      </w:r>
      <w:r w:rsidR="00AC6F39">
        <w:rPr>
          <w:bCs/>
          <w:szCs w:val="20"/>
        </w:rPr>
        <w:t xml:space="preserve">Elementary School Staff </w:t>
      </w:r>
      <w:r w:rsidR="00AE3113" w:rsidRPr="00AE3113">
        <w:rPr>
          <w:bCs/>
          <w:szCs w:val="20"/>
        </w:rPr>
        <w:t>Questionnaire</w:t>
      </w:r>
    </w:p>
    <w:p w:rsidR="00163EA6" w:rsidRDefault="008510E2" w:rsidP="00AE3113">
      <w:pPr>
        <w:pStyle w:val="NoSpacing"/>
      </w:pPr>
      <w:proofErr w:type="gramStart"/>
      <w:r w:rsidRPr="00AE3113">
        <w:t xml:space="preserve">Appendix </w:t>
      </w:r>
      <w:r w:rsidR="00591637">
        <w:t>E</w:t>
      </w:r>
      <w:r w:rsidR="00C151E8">
        <w:t>.</w:t>
      </w:r>
      <w:proofErr w:type="gramEnd"/>
      <w:r w:rsidR="00C151E8">
        <w:t xml:space="preserve"> </w:t>
      </w:r>
      <w:r w:rsidR="00E75A51" w:rsidRPr="00AE3113">
        <w:t xml:space="preserve">  </w:t>
      </w:r>
      <w:r w:rsidR="001B6B2D" w:rsidRPr="00AE3113">
        <w:t xml:space="preserve"> </w:t>
      </w:r>
      <w:r w:rsidR="005F0696" w:rsidRPr="00AE3113">
        <w:t xml:space="preserve"> </w:t>
      </w:r>
      <w:r w:rsidR="00C151E8">
        <w:t xml:space="preserve"> </w:t>
      </w:r>
      <w:r w:rsidR="00163EA6">
        <w:t xml:space="preserve">Non-respondent Survey Questionnaire </w:t>
      </w:r>
    </w:p>
    <w:p w:rsidR="00627137" w:rsidRPr="00AE3113" w:rsidRDefault="00163EA6" w:rsidP="00AE3113">
      <w:pPr>
        <w:pStyle w:val="NoSpacing"/>
      </w:pPr>
      <w:proofErr w:type="gramStart"/>
      <w:r>
        <w:t>Appendix F.</w:t>
      </w:r>
      <w:proofErr w:type="gramEnd"/>
      <w:r>
        <w:tab/>
        <w:t xml:space="preserve">  </w:t>
      </w:r>
      <w:r w:rsidR="00052831" w:rsidRPr="00AE3113">
        <w:t>IRB</w:t>
      </w:r>
      <w:r w:rsidR="00627137" w:rsidRPr="00AE3113">
        <w:t xml:space="preserve"> Approval Letter</w:t>
      </w:r>
    </w:p>
    <w:p w:rsidR="00AE3113" w:rsidRPr="00AE3113" w:rsidRDefault="00141483" w:rsidP="00641A71">
      <w:pPr>
        <w:pStyle w:val="NoSpacing"/>
      </w:pPr>
      <w:proofErr w:type="gramStart"/>
      <w:r>
        <w:t xml:space="preserve">Appendix </w:t>
      </w:r>
      <w:r w:rsidR="00163EA6">
        <w:t>G</w:t>
      </w:r>
      <w:r w:rsidR="00641A71">
        <w:t>.</w:t>
      </w:r>
      <w:proofErr w:type="gramEnd"/>
      <w:r w:rsidR="00641A71">
        <w:t xml:space="preserve">   </w:t>
      </w:r>
      <w:r w:rsidR="00C151E8">
        <w:t xml:space="preserve"> </w:t>
      </w:r>
      <w:r w:rsidR="00AE3113" w:rsidRPr="00AE3113">
        <w:t xml:space="preserve"> </w:t>
      </w:r>
      <w:r w:rsidR="00B201AA">
        <w:t xml:space="preserve">Invitation Email and </w:t>
      </w:r>
      <w:r w:rsidR="00AE3113" w:rsidRPr="00AE3113">
        <w:t xml:space="preserve">Consent </w:t>
      </w:r>
      <w:r>
        <w:t xml:space="preserve"> </w:t>
      </w:r>
    </w:p>
    <w:p w:rsidR="00AE3113" w:rsidRDefault="005F0696" w:rsidP="00141483">
      <w:pPr>
        <w:pStyle w:val="NoSpacing"/>
      </w:pPr>
      <w:proofErr w:type="gramStart"/>
      <w:r w:rsidRPr="00AE3113">
        <w:t xml:space="preserve">Appendix </w:t>
      </w:r>
      <w:r w:rsidR="00163EA6">
        <w:t>H</w:t>
      </w:r>
      <w:r w:rsidR="00641A71">
        <w:t>.</w:t>
      </w:r>
      <w:proofErr w:type="gramEnd"/>
      <w:r w:rsidR="00641A71">
        <w:t xml:space="preserve">   </w:t>
      </w:r>
      <w:r w:rsidR="00C151E8">
        <w:t xml:space="preserve"> </w:t>
      </w:r>
      <w:r w:rsidR="00AE3113" w:rsidRPr="00AE3113">
        <w:t xml:space="preserve"> </w:t>
      </w:r>
      <w:r w:rsidR="00A01685">
        <w:t>Fact Sheet</w:t>
      </w:r>
      <w:r w:rsidR="00AE3113" w:rsidRPr="00AE3113">
        <w:t xml:space="preserve"> </w:t>
      </w:r>
    </w:p>
    <w:p w:rsidR="00B268A8" w:rsidRDefault="00B268A8" w:rsidP="00141483">
      <w:pPr>
        <w:pStyle w:val="NoSpacing"/>
      </w:pPr>
      <w:proofErr w:type="gramStart"/>
      <w:r>
        <w:t xml:space="preserve">Appendix </w:t>
      </w:r>
      <w:r w:rsidR="00163EA6">
        <w:t>I</w:t>
      </w:r>
      <w:r>
        <w:t>.</w:t>
      </w:r>
      <w:proofErr w:type="gramEnd"/>
      <w:r>
        <w:tab/>
        <w:t xml:space="preserve">  </w:t>
      </w:r>
      <w:r w:rsidR="00B201AA">
        <w:t>Reminder Email</w:t>
      </w:r>
    </w:p>
    <w:p w:rsidR="00EC75AC" w:rsidRPr="004845E8" w:rsidRDefault="00FF0412" w:rsidP="004F7A4D">
      <w:pPr>
        <w:pStyle w:val="NoSpacing"/>
      </w:pPr>
      <w:r w:rsidRPr="004845E8">
        <w:br w:type="page"/>
      </w:r>
      <w:r w:rsidR="00EC75AC" w:rsidRPr="004845E8">
        <w:lastRenderedPageBreak/>
        <w:t>SUPPORTING STATEMENT</w:t>
      </w:r>
      <w:bookmarkEnd w:id="0"/>
      <w:bookmarkEnd w:id="1"/>
    </w:p>
    <w:p w:rsidR="00C00B83" w:rsidRDefault="00C00B83" w:rsidP="003D3A07">
      <w:pPr>
        <w:ind w:firstLine="720"/>
      </w:pPr>
      <w:r>
        <w:t>This is a new data collection, and we ar</w:t>
      </w:r>
      <w:r w:rsidR="00EA13E5">
        <w:t>e seeking</w:t>
      </w:r>
      <w:r w:rsidR="007B43AD">
        <w:t xml:space="preserve"> Office of Management and Budget</w:t>
      </w:r>
      <w:r w:rsidR="00EA13E5">
        <w:t xml:space="preserve"> </w:t>
      </w:r>
      <w:r w:rsidR="007B43AD">
        <w:t>(</w:t>
      </w:r>
      <w:r w:rsidR="00EA13E5">
        <w:t>OMB</w:t>
      </w:r>
      <w:r w:rsidR="007B43AD">
        <w:t>)</w:t>
      </w:r>
      <w:r w:rsidR="00EA13E5">
        <w:t xml:space="preserve"> approval for </w:t>
      </w:r>
      <w:r w:rsidR="005F6314">
        <w:t>one</w:t>
      </w:r>
      <w:r w:rsidR="006E79E9">
        <w:t xml:space="preserve"> </w:t>
      </w:r>
      <w:r w:rsidR="005F6314">
        <w:t>year</w:t>
      </w:r>
      <w:r w:rsidR="00E75A51">
        <w:t xml:space="preserve">.  </w:t>
      </w:r>
      <w:r w:rsidR="0061608C">
        <w:t>Contact with participants</w:t>
      </w:r>
      <w:r w:rsidR="00641A71">
        <w:t xml:space="preserve"> is expected to be</w:t>
      </w:r>
      <w:r w:rsidR="00EA13E5">
        <w:t xml:space="preserve"> during </w:t>
      </w:r>
      <w:r w:rsidR="00B82D06">
        <w:t xml:space="preserve">FY </w:t>
      </w:r>
      <w:r w:rsidR="00EA13E5">
        <w:t>2</w:t>
      </w:r>
      <w:r w:rsidR="00641A71">
        <w:t>01</w:t>
      </w:r>
      <w:r w:rsidR="00B82D06">
        <w:t>5</w:t>
      </w:r>
      <w:r w:rsidR="0061608C">
        <w:t xml:space="preserve"> and </w:t>
      </w:r>
      <w:r w:rsidR="00641A71">
        <w:t>is a one-time collection of data</w:t>
      </w:r>
      <w:r w:rsidR="00E75A51">
        <w:t xml:space="preserve">.  </w:t>
      </w:r>
      <w:r w:rsidR="00876771">
        <w:t xml:space="preserve">The funding </w:t>
      </w:r>
      <w:r w:rsidR="00B82D06">
        <w:t>for this project is provided by the National Institute for Occupational Safety and Health (NIOSH) Public Health Practice (PHP) program.</w:t>
      </w:r>
      <w:r w:rsidR="00C667A2">
        <w:t xml:space="preserve"> </w:t>
      </w:r>
    </w:p>
    <w:p w:rsidR="00876771" w:rsidRPr="00876771" w:rsidRDefault="00876771" w:rsidP="00EC75AC"/>
    <w:p w:rsidR="00EC75AC" w:rsidRDefault="002915E9" w:rsidP="00FA21C0">
      <w:pPr>
        <w:pStyle w:val="Level10"/>
      </w:pPr>
      <w:bookmarkStart w:id="2" w:name="_Toc161124060"/>
      <w:bookmarkStart w:id="3" w:name="_Toc161124922"/>
      <w:bookmarkStart w:id="4" w:name="_Toc179766415"/>
      <w:bookmarkStart w:id="5" w:name="_Toc179774546"/>
      <w:r>
        <w:t>A.</w:t>
      </w:r>
      <w:r>
        <w:tab/>
      </w:r>
      <w:r w:rsidR="00EC75AC" w:rsidRPr="00FA21C0">
        <w:t>JUSTIFICATION</w:t>
      </w:r>
      <w:bookmarkEnd w:id="2"/>
      <w:bookmarkEnd w:id="3"/>
      <w:bookmarkEnd w:id="4"/>
      <w:bookmarkEnd w:id="5"/>
    </w:p>
    <w:p w:rsidR="00EC75AC" w:rsidRDefault="00EC75AC" w:rsidP="00EC75AC">
      <w:pPr>
        <w:rPr>
          <w:b/>
        </w:rPr>
      </w:pPr>
    </w:p>
    <w:p w:rsidR="00EC75AC" w:rsidRDefault="00EC75AC" w:rsidP="00FA21C0">
      <w:pPr>
        <w:pStyle w:val="Level2"/>
      </w:pPr>
      <w:bookmarkStart w:id="6" w:name="_Toc161124061"/>
      <w:bookmarkStart w:id="7" w:name="_Toc161124923"/>
      <w:bookmarkStart w:id="8" w:name="_Toc179766416"/>
      <w:bookmarkStart w:id="9" w:name="_Toc179774547"/>
      <w:r w:rsidRPr="00FA21C0">
        <w:t>1</w:t>
      </w:r>
      <w:r w:rsidR="00E75A51">
        <w:t xml:space="preserve">.  </w:t>
      </w:r>
      <w:r w:rsidRPr="00FA21C0">
        <w:t xml:space="preserve"> </w:t>
      </w:r>
      <w:r w:rsidR="002915E9" w:rsidRPr="00FA21C0">
        <w:tab/>
      </w:r>
      <w:r w:rsidRPr="00FA21C0">
        <w:t>Circumstances Making the Collection of Information Necessary</w:t>
      </w:r>
      <w:bookmarkEnd w:id="6"/>
      <w:bookmarkEnd w:id="7"/>
      <w:bookmarkEnd w:id="8"/>
      <w:bookmarkEnd w:id="9"/>
    </w:p>
    <w:p w:rsidR="00EE4D4A" w:rsidRPr="003D1D05" w:rsidRDefault="00B82D06" w:rsidP="00C42C9E">
      <w:pPr>
        <w:ind w:firstLine="720"/>
        <w:rPr>
          <w:u w:val="single"/>
        </w:rPr>
      </w:pPr>
      <w:r>
        <w:t xml:space="preserve">For this project, </w:t>
      </w:r>
      <w:r w:rsidR="00E9699A" w:rsidRPr="00EC4757">
        <w:t xml:space="preserve">NIOSH </w:t>
      </w:r>
      <w:r w:rsidR="00626C0C" w:rsidRPr="00EC4757">
        <w:t xml:space="preserve">will be conducting a </w:t>
      </w:r>
      <w:r w:rsidR="000917F2" w:rsidRPr="00EC4757">
        <w:t>study</w:t>
      </w:r>
      <w:r w:rsidR="00A825F1">
        <w:t xml:space="preserve"> to</w:t>
      </w:r>
      <w:r w:rsidR="001C0803">
        <w:t xml:space="preserve"> </w:t>
      </w:r>
      <w:r w:rsidR="00153588">
        <w:t>understand associations between health outcomes and dampness/mold scores</w:t>
      </w:r>
      <w:r w:rsidR="00F3346F">
        <w:t xml:space="preserve"> measured using a standardized </w:t>
      </w:r>
      <w:r w:rsidR="002B35BC">
        <w:t>dampness and mold assessment tool</w:t>
      </w:r>
      <w:r w:rsidR="00F3346F">
        <w:t xml:space="preserve">.  </w:t>
      </w:r>
      <w:r w:rsidR="00C667A2">
        <w:t>Working with the American Federation of Teachers</w:t>
      </w:r>
      <w:r w:rsidR="00C42C9E">
        <w:t xml:space="preserve"> and the school district</w:t>
      </w:r>
      <w:r w:rsidR="00C667A2">
        <w:t>, we will</w:t>
      </w:r>
      <w:r w:rsidR="001C0803">
        <w:t xml:space="preserve"> administer an internet-based questionnaire to </w:t>
      </w:r>
      <w:r w:rsidR="00024FCC">
        <w:t xml:space="preserve">school employees </w:t>
      </w:r>
      <w:r w:rsidR="007B43AD">
        <w:t xml:space="preserve">and assess </w:t>
      </w:r>
      <w:r w:rsidR="002E109C">
        <w:t xml:space="preserve">environmental </w:t>
      </w:r>
      <w:r w:rsidR="007B43AD">
        <w:t xml:space="preserve">dampness and mold </w:t>
      </w:r>
      <w:r w:rsidR="00024FCC">
        <w:t xml:space="preserve">at </w:t>
      </w:r>
      <w:r w:rsidR="001C0803" w:rsidRPr="00C667A2">
        <w:t>5</w:t>
      </w:r>
      <w:r w:rsidR="00FD4D24" w:rsidRPr="00C667A2">
        <w:t>0 elementary</w:t>
      </w:r>
      <w:r w:rsidR="00FD4D24">
        <w:t xml:space="preserve"> schools in a large</w:t>
      </w:r>
      <w:r w:rsidR="001C0803">
        <w:t xml:space="preserve"> urban school district</w:t>
      </w:r>
      <w:r w:rsidR="00C667A2">
        <w:t xml:space="preserve"> in the northeastern United States.</w:t>
      </w:r>
      <w:r w:rsidR="001C0803">
        <w:t xml:space="preserve"> </w:t>
      </w:r>
      <w:r w:rsidR="00E75A51" w:rsidRPr="00EC4757">
        <w:t xml:space="preserve"> </w:t>
      </w:r>
      <w:r w:rsidR="00A825F1">
        <w:t>In order to achieve our goal</w:t>
      </w:r>
      <w:r w:rsidR="003304D0" w:rsidRPr="00EC4757">
        <w:t>, we need to collect information</w:t>
      </w:r>
      <w:r w:rsidR="003304D0">
        <w:t xml:space="preserve"> as described in this OMB supporting statement</w:t>
      </w:r>
      <w:r w:rsidR="00E75A51">
        <w:t xml:space="preserve">.  </w:t>
      </w:r>
      <w:r w:rsidR="00E9699A">
        <w:t>The Occupational Safety and Health Act, Public Law 91-596 (section 20[a</w:t>
      </w:r>
      <w:proofErr w:type="gramStart"/>
      <w:r w:rsidR="00E9699A">
        <w:t>][</w:t>
      </w:r>
      <w:proofErr w:type="gramEnd"/>
      <w:r w:rsidR="00E9699A">
        <w:t xml:space="preserve">1]) authorizes NIOSH to conduct research to advance the </w:t>
      </w:r>
      <w:r w:rsidR="00C61FBC">
        <w:t>health and safety of workers (</w:t>
      </w:r>
      <w:r w:rsidR="000C3D18">
        <w:t xml:space="preserve">see </w:t>
      </w:r>
      <w:r w:rsidR="000E18F0" w:rsidRPr="000E18F0">
        <w:t>Appendix A: Occupational Safety and Health Act of 1970 Public Law 91-256</w:t>
      </w:r>
      <w:r w:rsidR="00C61FBC">
        <w:t>).</w:t>
      </w:r>
    </w:p>
    <w:p w:rsidR="00F44FF0" w:rsidRPr="008B69FB" w:rsidRDefault="00B2230D" w:rsidP="00052885">
      <w:pPr>
        <w:pStyle w:val="BodyText3"/>
        <w:ind w:firstLine="720"/>
      </w:pPr>
      <w:r w:rsidRPr="00B2230D">
        <w:t xml:space="preserve">The educational services industry is the second largest U.S. industry with </w:t>
      </w:r>
      <w:r w:rsidR="00034468" w:rsidRPr="00B2230D">
        <w:t>around</w:t>
      </w:r>
      <w:r w:rsidRPr="00B2230D">
        <w:t xml:space="preserve"> 12.9 million </w:t>
      </w:r>
      <w:r w:rsidR="00153588" w:rsidRPr="00B2230D">
        <w:t>workers</w:t>
      </w:r>
      <w:r w:rsidR="007719AF">
        <w:t>;</w:t>
      </w:r>
      <w:r w:rsidR="002F1606">
        <w:t xml:space="preserve"> </w:t>
      </w:r>
      <w:r w:rsidR="002F1606" w:rsidRPr="002F1606">
        <w:t xml:space="preserve">approximately 7 million </w:t>
      </w:r>
      <w:r w:rsidR="00034468">
        <w:t xml:space="preserve">of these workers </w:t>
      </w:r>
      <w:r w:rsidR="00D02605">
        <w:t xml:space="preserve">are </w:t>
      </w:r>
      <w:r w:rsidR="00034468">
        <w:t xml:space="preserve">employed as </w:t>
      </w:r>
      <w:r w:rsidR="002F1606" w:rsidRPr="002F1606">
        <w:t>school teachers (</w:t>
      </w:r>
      <w:r w:rsidR="00034468">
        <w:t xml:space="preserve">BLS 2012; </w:t>
      </w:r>
      <w:r w:rsidR="002F1606" w:rsidRPr="002F1606">
        <w:t xml:space="preserve">U.S. </w:t>
      </w:r>
      <w:r w:rsidR="00034468">
        <w:t xml:space="preserve">Census </w:t>
      </w:r>
      <w:r w:rsidR="002F1606" w:rsidRPr="002F1606">
        <w:t>2006</w:t>
      </w:r>
      <w:r w:rsidR="00034468">
        <w:t>)</w:t>
      </w:r>
      <w:r w:rsidR="004B10C9">
        <w:t xml:space="preserve">.  </w:t>
      </w:r>
      <w:r w:rsidR="002F1606">
        <w:t>A</w:t>
      </w:r>
      <w:r w:rsidR="002F1606" w:rsidRPr="002F1606">
        <w:t xml:space="preserve"> 2010 analysis of data on U.S. working adults indicated that as an occupational group</w:t>
      </w:r>
      <w:r w:rsidR="00153588">
        <w:t>,</w:t>
      </w:r>
      <w:r w:rsidR="002F1606" w:rsidRPr="002F1606">
        <w:t xml:space="preserve"> </w:t>
      </w:r>
      <w:r w:rsidR="00153588">
        <w:t>school teachers</w:t>
      </w:r>
      <w:r w:rsidR="002F1606" w:rsidRPr="002F1606">
        <w:t xml:space="preserve"> had one of the highest prevalences of current asthma at 13.1% (McHugh et al. 2010)</w:t>
      </w:r>
      <w:r w:rsidR="004B10C9">
        <w:t xml:space="preserve">.  </w:t>
      </w:r>
      <w:r w:rsidR="00052885">
        <w:t>Asthma</w:t>
      </w:r>
      <w:r w:rsidR="00C00DE4">
        <w:t xml:space="preserve"> and upper</w:t>
      </w:r>
      <w:r w:rsidR="00052885">
        <w:t xml:space="preserve"> and lower respiratory symptoms have been consistently associated with damp indoor environments.  </w:t>
      </w:r>
      <w:r w:rsidR="00A825F1">
        <w:t>The World Health Organization (WHO) concluded that “the most important means for avoiding adverse health effects is the prevention (or minimization) of persistent dampness and microbial growth on interior surfaces</w:t>
      </w:r>
      <w:r w:rsidR="0052596E">
        <w:t xml:space="preserve"> and in building structure</w:t>
      </w:r>
      <w:r w:rsidR="00024FCC">
        <w:t>”</w:t>
      </w:r>
      <w:r w:rsidR="006262DD">
        <w:t xml:space="preserve">.  </w:t>
      </w:r>
      <w:r w:rsidR="006262DD" w:rsidRPr="0019304C">
        <w:rPr>
          <w:rFonts w:eastAsia="Batang"/>
        </w:rPr>
        <w:t>Sufficient epidemiological evidence is available</w:t>
      </w:r>
      <w:r w:rsidR="00EB657B">
        <w:rPr>
          <w:rFonts w:eastAsia="Batang"/>
        </w:rPr>
        <w:t xml:space="preserve"> that shows </w:t>
      </w:r>
      <w:r w:rsidR="006262DD">
        <w:rPr>
          <w:rFonts w:eastAsia="Batang"/>
        </w:rPr>
        <w:t>occupants of damp or moldy buildings</w:t>
      </w:r>
      <w:r w:rsidR="006262DD" w:rsidRPr="0019304C">
        <w:rPr>
          <w:rFonts w:eastAsia="Batang"/>
        </w:rPr>
        <w:t xml:space="preserve"> are at</w:t>
      </w:r>
      <w:r w:rsidR="006262DD">
        <w:rPr>
          <w:rFonts w:eastAsia="Batang"/>
        </w:rPr>
        <w:t xml:space="preserve"> </w:t>
      </w:r>
      <w:r w:rsidR="006262DD" w:rsidRPr="0019304C">
        <w:rPr>
          <w:rFonts w:eastAsia="Batang"/>
        </w:rPr>
        <w:t>increased risk of respiratory symptoms, respiratory infections</w:t>
      </w:r>
      <w:r w:rsidR="006262DD">
        <w:rPr>
          <w:rFonts w:eastAsia="Batang"/>
        </w:rPr>
        <w:t>,</w:t>
      </w:r>
      <w:r w:rsidR="006262DD" w:rsidRPr="0019304C">
        <w:rPr>
          <w:rFonts w:eastAsia="Batang"/>
        </w:rPr>
        <w:t xml:space="preserve"> and exacerbation of</w:t>
      </w:r>
      <w:r w:rsidR="006262DD">
        <w:rPr>
          <w:rFonts w:eastAsia="Batang"/>
        </w:rPr>
        <w:t xml:space="preserve"> </w:t>
      </w:r>
      <w:r w:rsidR="006262DD" w:rsidRPr="0019304C">
        <w:rPr>
          <w:rFonts w:eastAsia="Batang"/>
        </w:rPr>
        <w:t xml:space="preserve">asthma. Some evidence </w:t>
      </w:r>
      <w:r w:rsidR="006262DD">
        <w:rPr>
          <w:rFonts w:eastAsia="Batang"/>
        </w:rPr>
        <w:t xml:space="preserve">also </w:t>
      </w:r>
      <w:r w:rsidR="006262DD" w:rsidRPr="0019304C">
        <w:rPr>
          <w:rFonts w:eastAsia="Batang"/>
        </w:rPr>
        <w:t>suggests increased risks of allergic rhinitis and asthma.</w:t>
      </w:r>
      <w:r w:rsidR="006262DD">
        <w:rPr>
          <w:rFonts w:eastAsia="Batang"/>
        </w:rPr>
        <w:t xml:space="preserve"> </w:t>
      </w:r>
      <w:r w:rsidR="006262DD" w:rsidRPr="0019304C">
        <w:rPr>
          <w:rFonts w:eastAsia="Batang"/>
        </w:rPr>
        <w:t>Although few intervention studies were available, their results show that</w:t>
      </w:r>
      <w:r w:rsidR="006262DD">
        <w:rPr>
          <w:rFonts w:eastAsia="Batang"/>
        </w:rPr>
        <w:t xml:space="preserve"> </w:t>
      </w:r>
      <w:r w:rsidR="006262DD" w:rsidRPr="0019304C">
        <w:rPr>
          <w:rFonts w:eastAsia="Batang"/>
        </w:rPr>
        <w:t>remediation of dampness can reduce adverse health outcomes.</w:t>
      </w:r>
      <w:r w:rsidR="006262DD">
        <w:rPr>
          <w:rFonts w:eastAsia="Batang"/>
        </w:rPr>
        <w:t xml:space="preserve">  </w:t>
      </w:r>
      <w:r w:rsidR="006262DD" w:rsidRPr="007D0B3A">
        <w:rPr>
          <w:rFonts w:eastAsia="Batang"/>
        </w:rPr>
        <w:t xml:space="preserve">There is </w:t>
      </w:r>
      <w:r w:rsidR="006262DD">
        <w:rPr>
          <w:rFonts w:eastAsia="Batang"/>
        </w:rPr>
        <w:t xml:space="preserve">also </w:t>
      </w:r>
      <w:r w:rsidR="006262DD" w:rsidRPr="007D0B3A">
        <w:rPr>
          <w:rFonts w:eastAsia="Batang"/>
        </w:rPr>
        <w:t>clinical evidence that exposure to mold and other dampness-related microbial agents increases the risks of rare conditions, such as hypersensitivity pneumonitis, chronic rhinosinusitis</w:t>
      </w:r>
      <w:r w:rsidR="006262DD">
        <w:rPr>
          <w:rFonts w:eastAsia="Batang"/>
        </w:rPr>
        <w:t>,</w:t>
      </w:r>
      <w:r w:rsidR="006262DD" w:rsidRPr="007D0B3A">
        <w:rPr>
          <w:rFonts w:eastAsia="Batang"/>
        </w:rPr>
        <w:t xml:space="preserve"> and allergic fungal</w:t>
      </w:r>
      <w:r w:rsidR="006262DD" w:rsidRPr="00491F18">
        <w:rPr>
          <w:rFonts w:eastAsia="Batang"/>
        </w:rPr>
        <w:t xml:space="preserve"> sinusitis</w:t>
      </w:r>
      <w:r w:rsidR="0052596E">
        <w:t xml:space="preserve"> (WHO 2009).</w:t>
      </w:r>
      <w:r w:rsidR="00024FCC">
        <w:t xml:space="preserve">  </w:t>
      </w:r>
      <w:r w:rsidR="00034468">
        <w:t>Although recent data is lacking, t</w:t>
      </w:r>
      <w:r w:rsidR="00034468" w:rsidRPr="004C0451">
        <w:t>he U.S. General Accounting Office reported in 1995 that one-third of schools nationwide need extensive repair or replacement to plumbing, roofs, exterior walls, finishes, windows, or doors, and that more than 40% of schools have unsatisfactory indoor environmental conditions</w:t>
      </w:r>
      <w:r w:rsidR="00D02605">
        <w:t xml:space="preserve"> (GAO 1995)</w:t>
      </w:r>
      <w:r w:rsidR="00024FCC">
        <w:t xml:space="preserve">.  Thus, better understanding of school building conditions related to water damage and associated health effects in school staff is </w:t>
      </w:r>
      <w:r w:rsidR="00C83764">
        <w:t>relevant to</w:t>
      </w:r>
      <w:r w:rsidR="00024FCC">
        <w:t xml:space="preserve"> the </w:t>
      </w:r>
      <w:r w:rsidR="000D3311">
        <w:t>reduc</w:t>
      </w:r>
      <w:r w:rsidR="008A27A4">
        <w:t>tion</w:t>
      </w:r>
      <w:r w:rsidR="000D3311">
        <w:t xml:space="preserve"> </w:t>
      </w:r>
      <w:r w:rsidR="00024FCC">
        <w:t xml:space="preserve">of work-related respiratory </w:t>
      </w:r>
      <w:r w:rsidR="008A27A4">
        <w:t>health effects</w:t>
      </w:r>
      <w:r w:rsidR="00024FCC">
        <w:t xml:space="preserve"> in school buildings.</w:t>
      </w:r>
      <w:r w:rsidR="0052596E">
        <w:t xml:space="preserve">  </w:t>
      </w:r>
    </w:p>
    <w:p w:rsidR="00736248" w:rsidRDefault="00736248" w:rsidP="00A61531">
      <w:pPr>
        <w:pStyle w:val="Level1"/>
        <w:rPr>
          <w:bCs/>
          <w:lang w:eastAsia="ja-JP"/>
        </w:rPr>
      </w:pPr>
      <w:r>
        <w:rPr>
          <w:bCs/>
          <w:lang w:eastAsia="ja-JP"/>
        </w:rPr>
        <w:tab/>
      </w:r>
      <w:r w:rsidR="00153588">
        <w:rPr>
          <w:bCs/>
          <w:lang w:eastAsia="ja-JP"/>
        </w:rPr>
        <w:t xml:space="preserve">We developed an observational dampness and mold assessment </w:t>
      </w:r>
      <w:r w:rsidR="002A4CB0">
        <w:rPr>
          <w:bCs/>
          <w:lang w:eastAsia="ja-JP"/>
        </w:rPr>
        <w:t xml:space="preserve">method </w:t>
      </w:r>
      <w:r w:rsidR="00153588">
        <w:rPr>
          <w:bCs/>
          <w:lang w:eastAsia="ja-JP"/>
        </w:rPr>
        <w:t xml:space="preserve">from previous work that was part of </w:t>
      </w:r>
      <w:r w:rsidR="002A4CB0">
        <w:rPr>
          <w:bCs/>
          <w:lang w:eastAsia="ja-JP"/>
        </w:rPr>
        <w:t>the Health Hazard Evaluation program</w:t>
      </w:r>
      <w:r w:rsidR="002F33C1">
        <w:rPr>
          <w:bCs/>
          <w:lang w:eastAsia="ja-JP"/>
        </w:rPr>
        <w:t xml:space="preserve"> (OMB No. </w:t>
      </w:r>
      <w:r w:rsidR="002F33C1" w:rsidRPr="002F33C1">
        <w:rPr>
          <w:bCs/>
          <w:lang w:eastAsia="ja-JP"/>
        </w:rPr>
        <w:t>0920-0260</w:t>
      </w:r>
      <w:r w:rsidR="002F33C1">
        <w:rPr>
          <w:bCs/>
          <w:lang w:eastAsia="ja-JP"/>
        </w:rPr>
        <w:t>, expiration date 11/30/2014)</w:t>
      </w:r>
      <w:r w:rsidR="002A4CB0">
        <w:rPr>
          <w:bCs/>
          <w:lang w:eastAsia="ja-JP"/>
        </w:rPr>
        <w:t xml:space="preserve">.  </w:t>
      </w:r>
      <w:r w:rsidR="002A4CB0">
        <w:rPr>
          <w:color w:val="000000"/>
        </w:rPr>
        <w:t xml:space="preserve">This method was utilized in studies of a community college and a health care facility with 15 total buildings, which showed that dampness and mold scores were associated with respiratory health outcomes in building occupants </w:t>
      </w:r>
      <w:r w:rsidR="002A4CB0">
        <w:rPr>
          <w:color w:val="000000"/>
        </w:rPr>
        <w:lastRenderedPageBreak/>
        <w:t>(Park et al. 2004; Cox-Ganser et al. 2009).</w:t>
      </w:r>
      <w:r w:rsidR="002A4CB0">
        <w:rPr>
          <w:bCs/>
          <w:lang w:eastAsia="ja-JP"/>
        </w:rPr>
        <w:t xml:space="preserve">  In </w:t>
      </w:r>
      <w:r w:rsidR="00153588">
        <w:rPr>
          <w:bCs/>
          <w:lang w:eastAsia="ja-JP"/>
        </w:rPr>
        <w:t xml:space="preserve">a </w:t>
      </w:r>
      <w:r w:rsidR="002A4CB0">
        <w:rPr>
          <w:bCs/>
          <w:lang w:eastAsia="ja-JP"/>
        </w:rPr>
        <w:t xml:space="preserve">subsequent </w:t>
      </w:r>
      <w:r w:rsidR="00153588">
        <w:rPr>
          <w:bCs/>
          <w:lang w:eastAsia="ja-JP"/>
        </w:rPr>
        <w:t>National Occupational Research Agenda project</w:t>
      </w:r>
      <w:r w:rsidR="000E18F0">
        <w:rPr>
          <w:bCs/>
          <w:lang w:eastAsia="ja-JP"/>
        </w:rPr>
        <w:t xml:space="preserve"> (OMB No. </w:t>
      </w:r>
      <w:r w:rsidR="00271231">
        <w:rPr>
          <w:bCs/>
          <w:lang w:eastAsia="ja-JP"/>
        </w:rPr>
        <w:t>0920-</w:t>
      </w:r>
      <w:r w:rsidR="00B555EC">
        <w:rPr>
          <w:bCs/>
          <w:lang w:eastAsia="ja-JP"/>
        </w:rPr>
        <w:t>0793</w:t>
      </w:r>
      <w:r w:rsidR="004B7542">
        <w:rPr>
          <w:bCs/>
          <w:lang w:eastAsia="ja-JP"/>
        </w:rPr>
        <w:t>, expiration date 10/31/2011</w:t>
      </w:r>
      <w:r w:rsidR="000E18F0">
        <w:rPr>
          <w:bCs/>
          <w:lang w:eastAsia="ja-JP"/>
        </w:rPr>
        <w:t>)</w:t>
      </w:r>
      <w:r w:rsidR="002A4CB0">
        <w:rPr>
          <w:bCs/>
          <w:lang w:eastAsia="ja-JP"/>
        </w:rPr>
        <w:t>, we developed a tool that could be utilized by school maintenance personnel to evaluate dampness and mold in schools</w:t>
      </w:r>
      <w:r w:rsidR="00460D5F">
        <w:rPr>
          <w:bCs/>
          <w:lang w:eastAsia="ja-JP"/>
        </w:rPr>
        <w:t xml:space="preserve">.  </w:t>
      </w:r>
      <w:r w:rsidR="002A4CB0">
        <w:rPr>
          <w:bCs/>
          <w:lang w:eastAsia="ja-JP"/>
        </w:rPr>
        <w:t xml:space="preserve">We then received funding from PHP </w:t>
      </w:r>
      <w:r w:rsidR="00460D5F">
        <w:rPr>
          <w:bCs/>
          <w:lang w:eastAsia="ja-JP"/>
        </w:rPr>
        <w:t xml:space="preserve">(FY 2010-FY2012) </w:t>
      </w:r>
      <w:r w:rsidR="002A4CB0">
        <w:rPr>
          <w:bCs/>
          <w:lang w:eastAsia="ja-JP"/>
        </w:rPr>
        <w:t>to</w:t>
      </w:r>
      <w:r w:rsidR="00460D5F">
        <w:rPr>
          <w:bCs/>
          <w:lang w:eastAsia="ja-JP"/>
        </w:rPr>
        <w:t xml:space="preserve"> develop software of the tool for electronic data collection which </w:t>
      </w:r>
      <w:r w:rsidR="00903777">
        <w:rPr>
          <w:bCs/>
          <w:lang w:eastAsia="ja-JP"/>
        </w:rPr>
        <w:t>did not require OMB approval</w:t>
      </w:r>
      <w:r w:rsidR="00153588">
        <w:rPr>
          <w:bCs/>
          <w:lang w:eastAsia="ja-JP"/>
        </w:rPr>
        <w:t>.</w:t>
      </w:r>
      <w:r>
        <w:rPr>
          <w:bCs/>
          <w:lang w:eastAsia="ja-JP"/>
        </w:rPr>
        <w:t xml:space="preserve"> </w:t>
      </w:r>
      <w:r w:rsidR="00FD4D24">
        <w:rPr>
          <w:bCs/>
          <w:lang w:eastAsia="ja-JP"/>
        </w:rPr>
        <w:t xml:space="preserve"> </w:t>
      </w:r>
      <w:r w:rsidR="00153588">
        <w:rPr>
          <w:bCs/>
          <w:lang w:eastAsia="ja-JP"/>
        </w:rPr>
        <w:t xml:space="preserve">The current tool includes data entry, editing, </w:t>
      </w:r>
      <w:r w:rsidR="007D77FD">
        <w:rPr>
          <w:bCs/>
          <w:lang w:eastAsia="ja-JP"/>
        </w:rPr>
        <w:t xml:space="preserve">reporting, and </w:t>
      </w:r>
      <w:r w:rsidR="00740B3F">
        <w:rPr>
          <w:bCs/>
          <w:lang w:eastAsia="ja-JP"/>
        </w:rPr>
        <w:t xml:space="preserve">data exporting software, which </w:t>
      </w:r>
      <w:r w:rsidR="00153588">
        <w:rPr>
          <w:bCs/>
          <w:lang w:eastAsia="ja-JP"/>
        </w:rPr>
        <w:t xml:space="preserve">provides a </w:t>
      </w:r>
      <w:r w:rsidR="00740B3F">
        <w:rPr>
          <w:bCs/>
          <w:lang w:eastAsia="ja-JP"/>
        </w:rPr>
        <w:t xml:space="preserve">computerized </w:t>
      </w:r>
      <w:r w:rsidR="00153588">
        <w:rPr>
          <w:bCs/>
          <w:lang w:eastAsia="ja-JP"/>
        </w:rPr>
        <w:t>method for</w:t>
      </w:r>
      <w:r w:rsidR="00153588">
        <w:rPr>
          <w:color w:val="000000"/>
        </w:rPr>
        <w:t xml:space="preserve"> </w:t>
      </w:r>
      <w:r w:rsidR="00740B3F">
        <w:rPr>
          <w:color w:val="000000"/>
        </w:rPr>
        <w:t xml:space="preserve">utilizing data collected on </w:t>
      </w:r>
      <w:r w:rsidR="00153588" w:rsidRPr="00ED2E52">
        <w:rPr>
          <w:color w:val="000000"/>
        </w:rPr>
        <w:t>signs of dampness, water damage, mold growth, and musty odors in rooms</w:t>
      </w:r>
      <w:r w:rsidR="00153588">
        <w:rPr>
          <w:color w:val="000000"/>
        </w:rPr>
        <w:t xml:space="preserve"> or areas</w:t>
      </w:r>
      <w:r w:rsidR="00153588" w:rsidRPr="00ED2E52">
        <w:rPr>
          <w:color w:val="000000"/>
        </w:rPr>
        <w:t xml:space="preserve"> </w:t>
      </w:r>
      <w:r w:rsidR="00153588">
        <w:rPr>
          <w:color w:val="000000"/>
        </w:rPr>
        <w:t>in a</w:t>
      </w:r>
      <w:r w:rsidR="00153588" w:rsidRPr="00ED2E52">
        <w:rPr>
          <w:color w:val="000000"/>
        </w:rPr>
        <w:t xml:space="preserve"> school</w:t>
      </w:r>
      <w:r w:rsidR="00153588">
        <w:rPr>
          <w:color w:val="000000"/>
        </w:rPr>
        <w:t xml:space="preserve">. </w:t>
      </w:r>
      <w:r w:rsidR="007D77FD">
        <w:rPr>
          <w:color w:val="000000"/>
        </w:rPr>
        <w:t xml:space="preserve"> This software </w:t>
      </w:r>
      <w:r w:rsidR="007D77FD" w:rsidRPr="007D77FD">
        <w:rPr>
          <w:bCs/>
          <w:lang w:eastAsia="ja-JP"/>
        </w:rPr>
        <w:t xml:space="preserve">has been </w:t>
      </w:r>
      <w:r w:rsidR="007D77FD">
        <w:rPr>
          <w:bCs/>
          <w:lang w:eastAsia="ja-JP"/>
        </w:rPr>
        <w:t xml:space="preserve">recently used by a large urban school district to </w:t>
      </w:r>
      <w:r w:rsidR="007D77FD" w:rsidRPr="007D77FD">
        <w:rPr>
          <w:bCs/>
          <w:lang w:eastAsia="ja-JP"/>
        </w:rPr>
        <w:t xml:space="preserve">assess over 120 schools.  </w:t>
      </w:r>
      <w:r w:rsidR="007D77FD">
        <w:rPr>
          <w:bCs/>
          <w:lang w:eastAsia="ja-JP"/>
        </w:rPr>
        <w:t xml:space="preserve">The district used the data to help guide remediation of dampness and mold in the schools.  </w:t>
      </w:r>
      <w:r w:rsidR="007D77FD" w:rsidRPr="007D77FD">
        <w:rPr>
          <w:bCs/>
          <w:lang w:eastAsia="ja-JP"/>
        </w:rPr>
        <w:t xml:space="preserve">  </w:t>
      </w:r>
      <w:r w:rsidR="007D77FD">
        <w:rPr>
          <w:bCs/>
          <w:lang w:eastAsia="ja-JP"/>
        </w:rPr>
        <w:t xml:space="preserve"> </w:t>
      </w:r>
      <w:r w:rsidR="00153588">
        <w:rPr>
          <w:color w:val="000000"/>
        </w:rPr>
        <w:t xml:space="preserve"> </w:t>
      </w:r>
    </w:p>
    <w:p w:rsidR="002F60E0" w:rsidRDefault="008548E9" w:rsidP="003633EC">
      <w:pPr>
        <w:rPr>
          <w:bCs/>
          <w:szCs w:val="20"/>
          <w:lang w:eastAsia="ja-JP"/>
        </w:rPr>
      </w:pPr>
      <w:r>
        <w:rPr>
          <w:bCs/>
          <w:szCs w:val="20"/>
          <w:lang w:eastAsia="ja-JP"/>
        </w:rPr>
        <w:tab/>
      </w:r>
    </w:p>
    <w:p w:rsidR="00F92682" w:rsidRDefault="0095451F" w:rsidP="003633EC">
      <w:pPr>
        <w:rPr>
          <w:bCs/>
          <w:szCs w:val="20"/>
          <w:u w:val="single"/>
          <w:lang w:eastAsia="ja-JP"/>
        </w:rPr>
      </w:pPr>
      <w:r>
        <w:rPr>
          <w:bCs/>
          <w:szCs w:val="20"/>
          <w:u w:val="single"/>
          <w:lang w:eastAsia="ja-JP"/>
        </w:rPr>
        <w:t xml:space="preserve">1.1 </w:t>
      </w:r>
      <w:r w:rsidR="003633EC">
        <w:rPr>
          <w:bCs/>
          <w:szCs w:val="20"/>
          <w:u w:val="single"/>
          <w:lang w:eastAsia="ja-JP"/>
        </w:rPr>
        <w:t>Privacy Impact Assessment</w:t>
      </w:r>
    </w:p>
    <w:p w:rsidR="00965B80" w:rsidRPr="00BC4018" w:rsidRDefault="00965B80" w:rsidP="00965B80">
      <w:pPr>
        <w:autoSpaceDE w:val="0"/>
        <w:autoSpaceDN w:val="0"/>
        <w:adjustRightInd w:val="0"/>
        <w:rPr>
          <w:bCs/>
          <w:i/>
        </w:rPr>
      </w:pPr>
      <w:r w:rsidRPr="00BC4018">
        <w:rPr>
          <w:bCs/>
          <w:i/>
        </w:rPr>
        <w:t>Overview of the Data Collection System</w:t>
      </w:r>
    </w:p>
    <w:p w:rsidR="00965B80" w:rsidRDefault="00965B80" w:rsidP="00965B80">
      <w:pPr>
        <w:autoSpaceDE w:val="0"/>
        <w:autoSpaceDN w:val="0"/>
        <w:adjustRightInd w:val="0"/>
        <w:rPr>
          <w:bCs/>
        </w:rPr>
      </w:pPr>
      <w:r>
        <w:rPr>
          <w:bCs/>
        </w:rPr>
        <w:tab/>
      </w:r>
      <w:r w:rsidR="00BF58FE">
        <w:rPr>
          <w:bCs/>
        </w:rPr>
        <w:t xml:space="preserve">Participants will be asked to complete </w:t>
      </w:r>
      <w:r w:rsidR="00117DF8">
        <w:rPr>
          <w:bCs/>
        </w:rPr>
        <w:t>an on-line health questionnaire</w:t>
      </w:r>
      <w:r w:rsidR="00062F9C">
        <w:rPr>
          <w:bCs/>
        </w:rPr>
        <w:t xml:space="preserve"> (Appendix D</w:t>
      </w:r>
      <w:r w:rsidR="00AC6F39">
        <w:rPr>
          <w:bCs/>
        </w:rPr>
        <w:t>: Elementary School Staff Questionnaire)</w:t>
      </w:r>
      <w:r w:rsidR="00BF58FE">
        <w:rPr>
          <w:bCs/>
        </w:rPr>
        <w:t>.</w:t>
      </w:r>
      <w:r w:rsidR="006E2971">
        <w:rPr>
          <w:bCs/>
        </w:rPr>
        <w:t xml:space="preserve">  </w:t>
      </w:r>
      <w:r w:rsidR="00CB4ED6">
        <w:rPr>
          <w:bCs/>
        </w:rPr>
        <w:t xml:space="preserve">The employees </w:t>
      </w:r>
      <w:r w:rsidR="006E2971">
        <w:rPr>
          <w:bCs/>
        </w:rPr>
        <w:t xml:space="preserve">will </w:t>
      </w:r>
      <w:r w:rsidR="00CB4ED6">
        <w:rPr>
          <w:bCs/>
        </w:rPr>
        <w:t>receive</w:t>
      </w:r>
      <w:r w:rsidR="006E2971">
        <w:rPr>
          <w:bCs/>
        </w:rPr>
        <w:t xml:space="preserve"> an </w:t>
      </w:r>
      <w:r w:rsidR="00CB4ED6">
        <w:rPr>
          <w:bCs/>
        </w:rPr>
        <w:t xml:space="preserve">invitation </w:t>
      </w:r>
      <w:r w:rsidR="006E2971">
        <w:rPr>
          <w:bCs/>
        </w:rPr>
        <w:t xml:space="preserve">email </w:t>
      </w:r>
      <w:r w:rsidR="00CB4ED6">
        <w:rPr>
          <w:bCs/>
        </w:rPr>
        <w:t>from NIOSH which contains</w:t>
      </w:r>
      <w:r w:rsidR="006E2971">
        <w:rPr>
          <w:bCs/>
        </w:rPr>
        <w:t xml:space="preserve"> </w:t>
      </w:r>
      <w:r w:rsidR="00CB4ED6">
        <w:rPr>
          <w:bCs/>
        </w:rPr>
        <w:t xml:space="preserve">study and consent information, questionnaire instructions, and </w:t>
      </w:r>
      <w:r w:rsidR="006E2971">
        <w:rPr>
          <w:bCs/>
        </w:rPr>
        <w:t>a link</w:t>
      </w:r>
      <w:r w:rsidR="00CB4ED6">
        <w:rPr>
          <w:bCs/>
        </w:rPr>
        <w:t xml:space="preserve"> and unique study identification number to </w:t>
      </w:r>
      <w:r w:rsidR="00A91931">
        <w:rPr>
          <w:bCs/>
        </w:rPr>
        <w:t xml:space="preserve">securely </w:t>
      </w:r>
      <w:r w:rsidR="006E2971">
        <w:rPr>
          <w:bCs/>
        </w:rPr>
        <w:t>access the questionnaire</w:t>
      </w:r>
      <w:r w:rsidR="00CB4ED6">
        <w:rPr>
          <w:bCs/>
        </w:rPr>
        <w:t xml:space="preserve"> on the CDC website</w:t>
      </w:r>
      <w:r w:rsidR="00865169">
        <w:rPr>
          <w:bCs/>
        </w:rPr>
        <w:t xml:space="preserve"> (Appendix </w:t>
      </w:r>
      <w:r w:rsidR="0099434D">
        <w:rPr>
          <w:bCs/>
        </w:rPr>
        <w:t>G</w:t>
      </w:r>
      <w:r w:rsidR="00865169">
        <w:rPr>
          <w:bCs/>
        </w:rPr>
        <w:t>: Invitation Email and Consent)</w:t>
      </w:r>
      <w:r w:rsidR="006E2971">
        <w:rPr>
          <w:bCs/>
        </w:rPr>
        <w:t xml:space="preserve">. </w:t>
      </w:r>
      <w:r w:rsidR="00BF58FE">
        <w:rPr>
          <w:bCs/>
        </w:rPr>
        <w:t xml:space="preserve"> </w:t>
      </w:r>
      <w:r>
        <w:rPr>
          <w:bCs/>
        </w:rPr>
        <w:t xml:space="preserve">All data collected for this project will be </w:t>
      </w:r>
      <w:r w:rsidR="006E2971">
        <w:rPr>
          <w:bCs/>
        </w:rPr>
        <w:t xml:space="preserve">stored on a secure CDC server and </w:t>
      </w:r>
      <w:r>
        <w:rPr>
          <w:bCs/>
        </w:rPr>
        <w:t xml:space="preserve">maintained according to </w:t>
      </w:r>
      <w:r w:rsidR="007719AF">
        <w:rPr>
          <w:bCs/>
        </w:rPr>
        <w:t xml:space="preserve">the </w:t>
      </w:r>
      <w:r>
        <w:rPr>
          <w:bCs/>
        </w:rPr>
        <w:t>CDC record schedule.</w:t>
      </w:r>
    </w:p>
    <w:p w:rsidR="00965B80" w:rsidRDefault="00965B80" w:rsidP="00965B80">
      <w:pPr>
        <w:autoSpaceDE w:val="0"/>
        <w:autoSpaceDN w:val="0"/>
        <w:adjustRightInd w:val="0"/>
        <w:rPr>
          <w:bCs/>
        </w:rPr>
      </w:pPr>
      <w:r w:rsidRPr="00A25AB8">
        <w:rPr>
          <w:bCs/>
          <w:i/>
        </w:rPr>
        <w:t xml:space="preserve">Items of Information to be </w:t>
      </w:r>
      <w:proofErr w:type="gramStart"/>
      <w:r>
        <w:rPr>
          <w:bCs/>
          <w:i/>
        </w:rPr>
        <w:t>C</w:t>
      </w:r>
      <w:r w:rsidRPr="00A25AB8">
        <w:rPr>
          <w:bCs/>
          <w:i/>
        </w:rPr>
        <w:t>ollected</w:t>
      </w:r>
      <w:proofErr w:type="gramEnd"/>
    </w:p>
    <w:p w:rsidR="00EE6E23" w:rsidRDefault="00965B80" w:rsidP="00965B80">
      <w:pPr>
        <w:autoSpaceDE w:val="0"/>
        <w:autoSpaceDN w:val="0"/>
        <w:adjustRightInd w:val="0"/>
        <w:rPr>
          <w:bCs/>
        </w:rPr>
      </w:pPr>
      <w:r>
        <w:rPr>
          <w:bCs/>
        </w:rPr>
        <w:tab/>
      </w:r>
      <w:r w:rsidRPr="004D3359">
        <w:rPr>
          <w:bCs/>
        </w:rPr>
        <w:t xml:space="preserve">Data </w:t>
      </w:r>
      <w:r w:rsidR="00E31710">
        <w:rPr>
          <w:bCs/>
        </w:rPr>
        <w:t xml:space="preserve">will be </w:t>
      </w:r>
      <w:r w:rsidRPr="004D3359">
        <w:rPr>
          <w:bCs/>
        </w:rPr>
        <w:t>collected from participants</w:t>
      </w:r>
      <w:r w:rsidR="00CB4ED6">
        <w:rPr>
          <w:bCs/>
        </w:rPr>
        <w:t xml:space="preserve"> in 50 </w:t>
      </w:r>
      <w:r w:rsidR="00947BA2">
        <w:rPr>
          <w:bCs/>
        </w:rPr>
        <w:t>elementary</w:t>
      </w:r>
      <w:r w:rsidR="00CB4ED6">
        <w:rPr>
          <w:bCs/>
        </w:rPr>
        <w:t xml:space="preserve"> schools</w:t>
      </w:r>
      <w:r w:rsidR="00947BA2">
        <w:rPr>
          <w:bCs/>
        </w:rPr>
        <w:t xml:space="preserve"> in a school district</w:t>
      </w:r>
      <w:r w:rsidR="00E31710">
        <w:rPr>
          <w:bCs/>
        </w:rPr>
        <w:t xml:space="preserve"> through</w:t>
      </w:r>
      <w:r w:rsidRPr="004D3359">
        <w:rPr>
          <w:bCs/>
        </w:rPr>
        <w:t xml:space="preserve"> </w:t>
      </w:r>
      <w:r w:rsidR="009D760F">
        <w:rPr>
          <w:bCs/>
        </w:rPr>
        <w:t>a</w:t>
      </w:r>
      <w:r w:rsidR="00CB4ED6">
        <w:rPr>
          <w:bCs/>
        </w:rPr>
        <w:t>n on-line</w:t>
      </w:r>
      <w:r w:rsidR="00E31710">
        <w:rPr>
          <w:bCs/>
        </w:rPr>
        <w:t xml:space="preserve"> health</w:t>
      </w:r>
      <w:r w:rsidR="009D760F">
        <w:rPr>
          <w:bCs/>
        </w:rPr>
        <w:t xml:space="preserve"> questionnaire</w:t>
      </w:r>
      <w:r w:rsidR="00C90537">
        <w:rPr>
          <w:bCs/>
        </w:rPr>
        <w:t xml:space="preserve"> which will be </w:t>
      </w:r>
      <w:r w:rsidR="00B77771">
        <w:rPr>
          <w:bCs/>
        </w:rPr>
        <w:t>completed</w:t>
      </w:r>
      <w:r w:rsidR="009D760F">
        <w:rPr>
          <w:bCs/>
        </w:rPr>
        <w:t xml:space="preserve"> </w:t>
      </w:r>
      <w:r w:rsidR="00C90537">
        <w:rPr>
          <w:bCs/>
        </w:rPr>
        <w:t>only once</w:t>
      </w:r>
      <w:r w:rsidR="003649ED">
        <w:rPr>
          <w:bCs/>
        </w:rPr>
        <w:t>.</w:t>
      </w:r>
      <w:r w:rsidR="009D760F">
        <w:rPr>
          <w:bCs/>
        </w:rPr>
        <w:t xml:space="preserve">  </w:t>
      </w:r>
      <w:r w:rsidR="008F1583">
        <w:rPr>
          <w:bCs/>
        </w:rPr>
        <w:t>Potentially</w:t>
      </w:r>
      <w:r w:rsidR="00FE6D9A" w:rsidRPr="00A91931">
        <w:rPr>
          <w:bCs/>
        </w:rPr>
        <w:t xml:space="preserve"> </w:t>
      </w:r>
      <w:r w:rsidR="0012443A" w:rsidRPr="00A91931">
        <w:rPr>
          <w:bCs/>
        </w:rPr>
        <w:t>identifiable information will be collected fro</w:t>
      </w:r>
      <w:r w:rsidR="00C90537" w:rsidRPr="00A91931">
        <w:rPr>
          <w:bCs/>
        </w:rPr>
        <w:t xml:space="preserve">m participants, </w:t>
      </w:r>
      <w:r w:rsidR="00BC5416">
        <w:rPr>
          <w:bCs/>
        </w:rPr>
        <w:t>including</w:t>
      </w:r>
      <w:r w:rsidR="00C90537" w:rsidRPr="00A91931">
        <w:rPr>
          <w:bCs/>
        </w:rPr>
        <w:t xml:space="preserve"> date of birth, race, gender, ethnicity, </w:t>
      </w:r>
      <w:r w:rsidR="00BC5416">
        <w:rPr>
          <w:bCs/>
        </w:rPr>
        <w:t>and</w:t>
      </w:r>
      <w:r w:rsidR="00C90537" w:rsidRPr="00A91931">
        <w:rPr>
          <w:bCs/>
        </w:rPr>
        <w:t xml:space="preserve"> employment information.</w:t>
      </w:r>
      <w:r w:rsidR="00714193">
        <w:rPr>
          <w:bCs/>
        </w:rPr>
        <w:t xml:space="preserve">   </w:t>
      </w:r>
    </w:p>
    <w:p w:rsidR="00965B80" w:rsidRDefault="00965B80" w:rsidP="00965B80">
      <w:pPr>
        <w:autoSpaceDE w:val="0"/>
        <w:autoSpaceDN w:val="0"/>
        <w:adjustRightInd w:val="0"/>
        <w:rPr>
          <w:bCs/>
        </w:rPr>
      </w:pPr>
      <w:r>
        <w:rPr>
          <w:bCs/>
        </w:rPr>
        <w:tab/>
        <w:t>Questionnaire data includes:</w:t>
      </w:r>
    </w:p>
    <w:p w:rsidR="00965B80" w:rsidRDefault="00C90537" w:rsidP="00965B80">
      <w:pPr>
        <w:pStyle w:val="ListParagraph"/>
        <w:numPr>
          <w:ilvl w:val="0"/>
          <w:numId w:val="15"/>
        </w:numPr>
        <w:autoSpaceDE w:val="0"/>
        <w:autoSpaceDN w:val="0"/>
        <w:adjustRightInd w:val="0"/>
        <w:rPr>
          <w:bCs/>
          <w:sz w:val="24"/>
          <w:szCs w:val="24"/>
        </w:rPr>
      </w:pPr>
      <w:r>
        <w:rPr>
          <w:bCs/>
          <w:sz w:val="24"/>
          <w:szCs w:val="24"/>
        </w:rPr>
        <w:t>Demographic information</w:t>
      </w:r>
    </w:p>
    <w:p w:rsidR="005F646C" w:rsidRDefault="005F646C" w:rsidP="00965B80">
      <w:pPr>
        <w:pStyle w:val="ListParagraph"/>
        <w:numPr>
          <w:ilvl w:val="0"/>
          <w:numId w:val="15"/>
        </w:numPr>
        <w:autoSpaceDE w:val="0"/>
        <w:autoSpaceDN w:val="0"/>
        <w:adjustRightInd w:val="0"/>
        <w:rPr>
          <w:bCs/>
          <w:sz w:val="24"/>
          <w:szCs w:val="24"/>
        </w:rPr>
      </w:pPr>
      <w:r>
        <w:rPr>
          <w:bCs/>
          <w:sz w:val="24"/>
          <w:szCs w:val="24"/>
        </w:rPr>
        <w:t>Work history</w:t>
      </w:r>
    </w:p>
    <w:p w:rsidR="00965B80" w:rsidRDefault="00C90537" w:rsidP="00965B80">
      <w:pPr>
        <w:pStyle w:val="ListParagraph"/>
        <w:numPr>
          <w:ilvl w:val="0"/>
          <w:numId w:val="15"/>
        </w:numPr>
        <w:autoSpaceDE w:val="0"/>
        <w:autoSpaceDN w:val="0"/>
        <w:adjustRightInd w:val="0"/>
        <w:rPr>
          <w:bCs/>
          <w:sz w:val="24"/>
          <w:szCs w:val="24"/>
        </w:rPr>
      </w:pPr>
      <w:r>
        <w:rPr>
          <w:bCs/>
          <w:sz w:val="24"/>
          <w:szCs w:val="24"/>
        </w:rPr>
        <w:t>Health symptoms</w:t>
      </w:r>
    </w:p>
    <w:p w:rsidR="00C90537" w:rsidRDefault="00C90537" w:rsidP="00965B80">
      <w:pPr>
        <w:pStyle w:val="ListParagraph"/>
        <w:numPr>
          <w:ilvl w:val="0"/>
          <w:numId w:val="15"/>
        </w:numPr>
        <w:autoSpaceDE w:val="0"/>
        <w:autoSpaceDN w:val="0"/>
        <w:adjustRightInd w:val="0"/>
        <w:rPr>
          <w:bCs/>
          <w:sz w:val="24"/>
          <w:szCs w:val="24"/>
        </w:rPr>
      </w:pPr>
      <w:r>
        <w:rPr>
          <w:bCs/>
          <w:sz w:val="24"/>
          <w:szCs w:val="24"/>
        </w:rPr>
        <w:t>Medical conditions</w:t>
      </w:r>
    </w:p>
    <w:p w:rsidR="005F646C" w:rsidRPr="00C90537" w:rsidRDefault="005F646C" w:rsidP="005F646C">
      <w:pPr>
        <w:pStyle w:val="ListParagraph"/>
        <w:numPr>
          <w:ilvl w:val="0"/>
          <w:numId w:val="15"/>
        </w:numPr>
        <w:autoSpaceDE w:val="0"/>
        <w:autoSpaceDN w:val="0"/>
        <w:adjustRightInd w:val="0"/>
        <w:rPr>
          <w:bCs/>
          <w:sz w:val="24"/>
          <w:szCs w:val="24"/>
        </w:rPr>
      </w:pPr>
      <w:r>
        <w:rPr>
          <w:bCs/>
          <w:sz w:val="24"/>
          <w:szCs w:val="24"/>
        </w:rPr>
        <w:t>Home environment related to water damage and mold</w:t>
      </w:r>
    </w:p>
    <w:p w:rsidR="00965B80" w:rsidRDefault="00965B80" w:rsidP="00965B80">
      <w:pPr>
        <w:pStyle w:val="ListParagraph"/>
        <w:numPr>
          <w:ilvl w:val="0"/>
          <w:numId w:val="15"/>
        </w:numPr>
        <w:autoSpaceDE w:val="0"/>
        <w:autoSpaceDN w:val="0"/>
        <w:adjustRightInd w:val="0"/>
        <w:rPr>
          <w:bCs/>
          <w:sz w:val="24"/>
          <w:szCs w:val="24"/>
        </w:rPr>
      </w:pPr>
      <w:r>
        <w:rPr>
          <w:bCs/>
          <w:sz w:val="24"/>
          <w:szCs w:val="24"/>
        </w:rPr>
        <w:t>Smoking history</w:t>
      </w:r>
    </w:p>
    <w:p w:rsidR="00BC58C4" w:rsidRDefault="00EB657B" w:rsidP="009B4A7C">
      <w:pPr>
        <w:autoSpaceDE w:val="0"/>
        <w:autoSpaceDN w:val="0"/>
        <w:adjustRightInd w:val="0"/>
        <w:ind w:firstLine="720"/>
        <w:rPr>
          <w:bCs/>
        </w:rPr>
      </w:pPr>
      <w:bookmarkStart w:id="10" w:name="_Toc161124062"/>
      <w:bookmarkStart w:id="11" w:name="_Toc161124924"/>
      <w:bookmarkStart w:id="12" w:name="_Toc179766417"/>
      <w:bookmarkStart w:id="13" w:name="_Toc179774548"/>
      <w:r>
        <w:rPr>
          <w:bCs/>
        </w:rPr>
        <w:t xml:space="preserve">If </w:t>
      </w:r>
      <w:r w:rsidR="009B4A7C">
        <w:rPr>
          <w:bCs/>
        </w:rPr>
        <w:t>participation is less than 80%, a</w:t>
      </w:r>
      <w:r w:rsidR="00837998">
        <w:rPr>
          <w:bCs/>
        </w:rPr>
        <w:t xml:space="preserve"> short questionnaire will be sent to </w:t>
      </w:r>
      <w:r w:rsidR="000C46FE">
        <w:rPr>
          <w:bCs/>
        </w:rPr>
        <w:t xml:space="preserve">400 (10% of </w:t>
      </w:r>
      <w:r w:rsidR="000C46FE">
        <w:t>the total invited population)</w:t>
      </w:r>
      <w:r w:rsidR="000C46FE">
        <w:rPr>
          <w:bCs/>
        </w:rPr>
        <w:t xml:space="preserve"> employees </w:t>
      </w:r>
      <w:r w:rsidR="00837998">
        <w:rPr>
          <w:bCs/>
        </w:rPr>
        <w:t>that did not participate in the</w:t>
      </w:r>
      <w:r w:rsidR="009C45E8">
        <w:rPr>
          <w:bCs/>
        </w:rPr>
        <w:t xml:space="preserve"> main </w:t>
      </w:r>
      <w:r w:rsidR="00837998">
        <w:rPr>
          <w:bCs/>
        </w:rPr>
        <w:t xml:space="preserve">health questionnaire. </w:t>
      </w:r>
      <w:r w:rsidR="009C45E8">
        <w:rPr>
          <w:bCs/>
        </w:rPr>
        <w:t xml:space="preserve">To ascertain non-response bias, we will collect information on </w:t>
      </w:r>
      <w:r w:rsidR="00837998">
        <w:rPr>
          <w:bCs/>
        </w:rPr>
        <w:t xml:space="preserve">age, race, ethnicity, gender, </w:t>
      </w:r>
      <w:r w:rsidR="000C46FE">
        <w:rPr>
          <w:bCs/>
        </w:rPr>
        <w:t xml:space="preserve">and current job </w:t>
      </w:r>
      <w:r w:rsidR="00837998">
        <w:rPr>
          <w:bCs/>
        </w:rPr>
        <w:t>along with</w:t>
      </w:r>
      <w:r w:rsidR="009C45E8">
        <w:rPr>
          <w:bCs/>
        </w:rPr>
        <w:t xml:space="preserve"> a limited number of health questions.  We will also inquire </w:t>
      </w:r>
      <w:r w:rsidR="009B4A7C">
        <w:rPr>
          <w:bCs/>
        </w:rPr>
        <w:t xml:space="preserve">about why </w:t>
      </w:r>
      <w:r w:rsidR="009C45E8">
        <w:rPr>
          <w:bCs/>
        </w:rPr>
        <w:t>they chose not to participate</w:t>
      </w:r>
      <w:r w:rsidR="00837998">
        <w:rPr>
          <w:bCs/>
        </w:rPr>
        <w:t xml:space="preserve"> </w:t>
      </w:r>
      <w:r w:rsidR="009C45E8">
        <w:rPr>
          <w:bCs/>
        </w:rPr>
        <w:t xml:space="preserve">in the initial questionnaire. </w:t>
      </w:r>
    </w:p>
    <w:p w:rsidR="00EE4D4A" w:rsidRDefault="002915E9" w:rsidP="008E05D4">
      <w:pPr>
        <w:autoSpaceDE w:val="0"/>
        <w:autoSpaceDN w:val="0"/>
        <w:adjustRightInd w:val="0"/>
        <w:rPr>
          <w:b/>
        </w:rPr>
      </w:pPr>
      <w:r w:rsidRPr="00965B80">
        <w:rPr>
          <w:b/>
        </w:rPr>
        <w:t>2.</w:t>
      </w:r>
      <w:r w:rsidRPr="00965B80">
        <w:rPr>
          <w:b/>
        </w:rPr>
        <w:tab/>
      </w:r>
      <w:r w:rsidR="00EE4D4A" w:rsidRPr="00965B80">
        <w:rPr>
          <w:b/>
        </w:rPr>
        <w:t>Purpose and Use of Information Collection</w:t>
      </w:r>
      <w:bookmarkEnd w:id="10"/>
      <w:bookmarkEnd w:id="11"/>
      <w:bookmarkEnd w:id="12"/>
      <w:bookmarkEnd w:id="13"/>
    </w:p>
    <w:p w:rsidR="000737EF" w:rsidRDefault="00E57982" w:rsidP="000737EF">
      <w:pPr>
        <w:ind w:firstLine="720"/>
        <w:rPr>
          <w:bCs/>
        </w:rPr>
      </w:pPr>
      <w:r>
        <w:t xml:space="preserve">This project has been funded by </w:t>
      </w:r>
      <w:r w:rsidR="00021F95">
        <w:t>NIOSH</w:t>
      </w:r>
      <w:r>
        <w:t xml:space="preserve"> for the 2015 fiscal year.  Data collection will be done online and</w:t>
      </w:r>
      <w:bookmarkStart w:id="14" w:name="_GoBack"/>
      <w:bookmarkEnd w:id="14"/>
      <w:r>
        <w:t xml:space="preserve"> will only be performed one time.  </w:t>
      </w:r>
      <w:r w:rsidR="00C94506">
        <w:t>Our aim for the info</w:t>
      </w:r>
      <w:r w:rsidR="003329CA">
        <w:t xml:space="preserve">rmation collection is to </w:t>
      </w:r>
      <w:r w:rsidR="00C94506">
        <w:t>understand associations between health outcomes and dampness/mold scores measured using a standardized dampness and mold assessment tool.</w:t>
      </w:r>
      <w:r w:rsidR="00BD4DCD">
        <w:t xml:space="preserve"> </w:t>
      </w:r>
      <w:r w:rsidR="00E6206A">
        <w:t xml:space="preserve"> </w:t>
      </w:r>
      <w:r w:rsidR="003329CA">
        <w:t xml:space="preserve">NIOSH staff will carry out the dampness and mold assessments of the schools during the period of the questionnaire survey.  </w:t>
      </w:r>
      <w:r w:rsidR="00903777">
        <w:t xml:space="preserve">Since environmental data collection will be done only by NIOSH staff and not involve any study participants, this portion of the study is not </w:t>
      </w:r>
      <w:r w:rsidR="006F5C26">
        <w:t>subject to OMB approval</w:t>
      </w:r>
      <w:r w:rsidR="00903777">
        <w:t xml:space="preserve">.  </w:t>
      </w:r>
      <w:r w:rsidR="00EC5EC5">
        <w:t xml:space="preserve">Results of the study will add to our knowledge of the usefulness of the </w:t>
      </w:r>
      <w:r w:rsidR="00EC5EC5">
        <w:lastRenderedPageBreak/>
        <w:t>dampness and mold assessment tool</w:t>
      </w:r>
      <w:r w:rsidR="00CD7FFB">
        <w:t xml:space="preserve"> scores</w:t>
      </w:r>
      <w:r w:rsidR="00EC5EC5">
        <w:t xml:space="preserve"> in relation to health outcome</w:t>
      </w:r>
      <w:r w:rsidR="002D0084">
        <w:t>s</w:t>
      </w:r>
      <w:r w:rsidR="00EC5EC5">
        <w:t xml:space="preserve">. </w:t>
      </w:r>
      <w:r w:rsidR="000737EF">
        <w:t>Outputs of our data analysis</w:t>
      </w:r>
      <w:r w:rsidR="000737EF">
        <w:rPr>
          <w:bCs/>
        </w:rPr>
        <w:t xml:space="preserve"> will include a report and one or more publications.  </w:t>
      </w:r>
    </w:p>
    <w:p w:rsidR="005820C9" w:rsidRDefault="000737EF" w:rsidP="000737EF">
      <w:pPr>
        <w:ind w:firstLine="720"/>
        <w:rPr>
          <w:bCs/>
        </w:rPr>
      </w:pPr>
      <w:r>
        <w:rPr>
          <w:bCs/>
        </w:rPr>
        <w:t xml:space="preserve">The potential impact of this </w:t>
      </w:r>
      <w:r w:rsidR="00CD7FFB">
        <w:rPr>
          <w:bCs/>
        </w:rPr>
        <w:t>project</w:t>
      </w:r>
      <w:r w:rsidR="00EC5EC5">
        <w:rPr>
          <w:bCs/>
        </w:rPr>
        <w:t xml:space="preserve"> would be improvement </w:t>
      </w:r>
      <w:r w:rsidR="00CD7FFB">
        <w:rPr>
          <w:bCs/>
        </w:rPr>
        <w:t>in</w:t>
      </w:r>
      <w:r w:rsidR="00EC5EC5">
        <w:rPr>
          <w:bCs/>
        </w:rPr>
        <w:t xml:space="preserve"> interpretation of the dampness and mold scores </w:t>
      </w:r>
      <w:r w:rsidR="00CD7FFB">
        <w:rPr>
          <w:bCs/>
        </w:rPr>
        <w:t xml:space="preserve">in relation to health </w:t>
      </w:r>
      <w:r w:rsidR="00EC5EC5">
        <w:rPr>
          <w:bCs/>
        </w:rPr>
        <w:t xml:space="preserve">and the </w:t>
      </w:r>
      <w:r w:rsidR="00302E5C">
        <w:rPr>
          <w:bCs/>
        </w:rPr>
        <w:t xml:space="preserve">future </w:t>
      </w:r>
      <w:r w:rsidR="00EC5EC5">
        <w:rPr>
          <w:bCs/>
        </w:rPr>
        <w:t>addition of a health module to the dampness and mold assessment tool.</w:t>
      </w:r>
      <w:r>
        <w:rPr>
          <w:bCs/>
        </w:rPr>
        <w:t xml:space="preserve"> </w:t>
      </w:r>
      <w:r w:rsidR="00E7463A">
        <w:rPr>
          <w:bCs/>
        </w:rPr>
        <w:t>If the study is not conducted</w:t>
      </w:r>
      <w:r w:rsidR="007812DD">
        <w:rPr>
          <w:bCs/>
        </w:rPr>
        <w:t xml:space="preserve">, </w:t>
      </w:r>
      <w:r w:rsidR="000433DC">
        <w:rPr>
          <w:bCs/>
        </w:rPr>
        <w:t xml:space="preserve">we will not have valuable information from schools with which to evaluate the dampness and mold assessment tool scores in relation to health outcomes.  </w:t>
      </w:r>
    </w:p>
    <w:p w:rsidR="00C65B5E" w:rsidRPr="00A23AA2" w:rsidRDefault="0095451F" w:rsidP="00C65B5E">
      <w:pPr>
        <w:autoSpaceDE w:val="0"/>
        <w:autoSpaceDN w:val="0"/>
        <w:adjustRightInd w:val="0"/>
        <w:rPr>
          <w:bCs/>
          <w:u w:val="single"/>
        </w:rPr>
      </w:pPr>
      <w:r>
        <w:rPr>
          <w:bCs/>
          <w:u w:val="single"/>
        </w:rPr>
        <w:t xml:space="preserve">2.1 </w:t>
      </w:r>
      <w:r w:rsidR="00C65B5E" w:rsidRPr="00A23AA2">
        <w:rPr>
          <w:bCs/>
          <w:u w:val="single"/>
        </w:rPr>
        <w:t xml:space="preserve">Privacy Impact Assessment </w:t>
      </w:r>
    </w:p>
    <w:p w:rsidR="00892A7F" w:rsidRPr="0085449F" w:rsidRDefault="004C193A" w:rsidP="00F92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280"/>
          <w:tab w:val="left" w:pos="8550"/>
          <w:tab w:val="left" w:pos="8640"/>
          <w:tab w:val="left" w:pos="9360"/>
        </w:tabs>
        <w:ind w:right="450" w:firstLine="450"/>
      </w:pPr>
      <w:r>
        <w:rPr>
          <w:bCs/>
        </w:rPr>
        <w:tab/>
      </w:r>
      <w:r w:rsidR="00947E88">
        <w:rPr>
          <w:bCs/>
        </w:rPr>
        <w:t>Some</w:t>
      </w:r>
      <w:r w:rsidR="00C65B5E">
        <w:rPr>
          <w:bCs/>
        </w:rPr>
        <w:t xml:space="preserve"> </w:t>
      </w:r>
      <w:r w:rsidR="00C90537">
        <w:rPr>
          <w:bCs/>
        </w:rPr>
        <w:t xml:space="preserve">potentially </w:t>
      </w:r>
      <w:r w:rsidR="00B04DE1">
        <w:rPr>
          <w:bCs/>
        </w:rPr>
        <w:t xml:space="preserve">identifiable </w:t>
      </w:r>
      <w:r w:rsidR="00C90537">
        <w:rPr>
          <w:bCs/>
        </w:rPr>
        <w:t xml:space="preserve">personal </w:t>
      </w:r>
      <w:r w:rsidR="00C65B5E">
        <w:rPr>
          <w:bCs/>
        </w:rPr>
        <w:t>info</w:t>
      </w:r>
      <w:r w:rsidR="00C90537">
        <w:rPr>
          <w:bCs/>
        </w:rPr>
        <w:t xml:space="preserve">rmation (i.e., </w:t>
      </w:r>
      <w:r w:rsidR="00947E88">
        <w:rPr>
          <w:bCs/>
        </w:rPr>
        <w:t>date of birth</w:t>
      </w:r>
      <w:r w:rsidR="00B66D26">
        <w:rPr>
          <w:bCs/>
        </w:rPr>
        <w:t xml:space="preserve">) </w:t>
      </w:r>
      <w:r w:rsidR="00C65B5E">
        <w:rPr>
          <w:bCs/>
        </w:rPr>
        <w:t>will be coll</w:t>
      </w:r>
      <w:r w:rsidR="00947E88">
        <w:rPr>
          <w:bCs/>
        </w:rPr>
        <w:t xml:space="preserve">ected during this study. </w:t>
      </w:r>
      <w:r w:rsidR="00464E35">
        <w:rPr>
          <w:bCs/>
        </w:rPr>
        <w:t xml:space="preserve"> </w:t>
      </w:r>
      <w:r w:rsidR="00947E88">
        <w:rPr>
          <w:bCs/>
        </w:rPr>
        <w:t>In addition</w:t>
      </w:r>
      <w:r w:rsidR="00C65B5E">
        <w:rPr>
          <w:bCs/>
        </w:rPr>
        <w:t xml:space="preserve">, </w:t>
      </w:r>
      <w:r w:rsidR="004C6698">
        <w:rPr>
          <w:bCs/>
        </w:rPr>
        <w:t xml:space="preserve">we will collect </w:t>
      </w:r>
      <w:r w:rsidR="00C65B5E">
        <w:rPr>
          <w:bCs/>
        </w:rPr>
        <w:t>data such as information on current and past employment</w:t>
      </w:r>
      <w:r w:rsidR="004C6698">
        <w:rPr>
          <w:bCs/>
        </w:rPr>
        <w:t xml:space="preserve">, work locations, </w:t>
      </w:r>
      <w:r w:rsidR="00C65B5E">
        <w:rPr>
          <w:bCs/>
        </w:rPr>
        <w:t>a</w:t>
      </w:r>
      <w:r w:rsidR="008E6E6C">
        <w:rPr>
          <w:bCs/>
        </w:rPr>
        <w:t>nd health state</w:t>
      </w:r>
      <w:r w:rsidR="00C65B5E">
        <w:rPr>
          <w:bCs/>
        </w:rPr>
        <w:t xml:space="preserve">. </w:t>
      </w:r>
      <w:r w:rsidR="00464E35">
        <w:rPr>
          <w:bCs/>
        </w:rPr>
        <w:t xml:space="preserve"> </w:t>
      </w:r>
      <w:r w:rsidR="00E6206A">
        <w:rPr>
          <w:bCs/>
        </w:rPr>
        <w:t>This information could have a</w:t>
      </w:r>
      <w:r w:rsidR="004552C6">
        <w:rPr>
          <w:bCs/>
        </w:rPr>
        <w:t>n</w:t>
      </w:r>
      <w:r w:rsidR="00E6206A">
        <w:rPr>
          <w:bCs/>
        </w:rPr>
        <w:t xml:space="preserve"> effect on the respondent’s privacy if there were a breach of </w:t>
      </w:r>
      <w:r w:rsidR="00E25105">
        <w:rPr>
          <w:bCs/>
        </w:rPr>
        <w:t>security</w:t>
      </w:r>
      <w:r w:rsidR="00E6206A">
        <w:rPr>
          <w:bCs/>
        </w:rPr>
        <w:t xml:space="preserve">. </w:t>
      </w:r>
      <w:r w:rsidR="00464E35">
        <w:rPr>
          <w:bCs/>
        </w:rPr>
        <w:t xml:space="preserve"> </w:t>
      </w:r>
      <w:r w:rsidR="00A51FA8">
        <w:rPr>
          <w:bCs/>
        </w:rPr>
        <w:t>T</w:t>
      </w:r>
      <w:r w:rsidR="009C0495">
        <w:rPr>
          <w:bCs/>
        </w:rPr>
        <w:t xml:space="preserve">o </w:t>
      </w:r>
      <w:r w:rsidR="00F53B48">
        <w:rPr>
          <w:bCs/>
        </w:rPr>
        <w:t>protect</w:t>
      </w:r>
      <w:r w:rsidR="009C0495">
        <w:rPr>
          <w:bCs/>
        </w:rPr>
        <w:t xml:space="preserve"> the security of human subject data, the online survey will be hosted on the CDC website and collected data will be stored on the CDC Mid-Tier Data Center.  </w:t>
      </w:r>
      <w:r w:rsidR="004C6698">
        <w:rPr>
          <w:bCs/>
        </w:rPr>
        <w:t xml:space="preserve">In </w:t>
      </w:r>
      <w:r w:rsidR="009C0495">
        <w:rPr>
          <w:bCs/>
        </w:rPr>
        <w:t xml:space="preserve">addition, in </w:t>
      </w:r>
      <w:r w:rsidR="004C6698">
        <w:rPr>
          <w:bCs/>
        </w:rPr>
        <w:t>all data analyses, we will</w:t>
      </w:r>
      <w:r w:rsidR="00892A7F">
        <w:t xml:space="preserve"> only </w:t>
      </w:r>
      <w:r w:rsidR="004C6698">
        <w:t>use the uniquely assigned</w:t>
      </w:r>
      <w:r w:rsidR="00892A7F">
        <w:t xml:space="preserve"> number</w:t>
      </w:r>
      <w:r w:rsidR="004C6698">
        <w:t xml:space="preserve"> for each study subject</w:t>
      </w:r>
      <w:r w:rsidR="00892A7F">
        <w:t>.</w:t>
      </w:r>
      <w:r w:rsidR="009C0495">
        <w:t xml:space="preserve">  </w:t>
      </w:r>
      <w:r w:rsidR="00A91931">
        <w:t>Privacy</w:t>
      </w:r>
      <w:r w:rsidR="00A91931" w:rsidRPr="0085449F">
        <w:t xml:space="preserve"> </w:t>
      </w:r>
      <w:r w:rsidR="00892A7F" w:rsidRPr="0085449F">
        <w:t xml:space="preserve">is also enhanced through controlled access to the NIOSH facility and </w:t>
      </w:r>
      <w:r w:rsidR="00892A7F">
        <w:t>data files, which is</w:t>
      </w:r>
      <w:r w:rsidR="00892A7F" w:rsidRPr="0085449F">
        <w:t xml:space="preserve"> in accordance with Field Studies Branch procedures for protecting human subject data.  Only NIOSH researchers specifically working on this project will be allowed to view the data.</w:t>
      </w:r>
    </w:p>
    <w:p w:rsidR="00E6206A" w:rsidRDefault="003E52E2" w:rsidP="00E6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E6206A" w:rsidRPr="00685B14">
        <w:t xml:space="preserve">The specific information derived from the participants in this study will be kept </w:t>
      </w:r>
      <w:r w:rsidR="00E25105" w:rsidRPr="00685B14">
        <w:t>secure</w:t>
      </w:r>
      <w:r w:rsidR="00E6206A" w:rsidRPr="00685B14">
        <w:t xml:space="preserve"> and will not be disclosed to others without written consent except as required by law.</w:t>
      </w:r>
      <w:r w:rsidR="00E6206A" w:rsidRPr="009A58B4">
        <w:t xml:space="preserve">  This information will be used for statistical and research purposes in such manner that no individual can be identified.</w:t>
      </w:r>
      <w:r w:rsidR="00A91931">
        <w:t xml:space="preserve"> </w:t>
      </w:r>
    </w:p>
    <w:p w:rsidR="00C151E8" w:rsidRPr="009A58B4" w:rsidRDefault="00C151E8" w:rsidP="00E6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4D4A" w:rsidRDefault="002915E9" w:rsidP="00E25F75">
      <w:pPr>
        <w:pStyle w:val="Level2"/>
      </w:pPr>
      <w:bookmarkStart w:id="15" w:name="_Toc161124063"/>
      <w:bookmarkStart w:id="16" w:name="_Toc161124925"/>
      <w:bookmarkStart w:id="17" w:name="_Toc179766418"/>
      <w:bookmarkStart w:id="18" w:name="_Toc179774549"/>
      <w:r>
        <w:t>3.</w:t>
      </w:r>
      <w:r>
        <w:tab/>
      </w:r>
      <w:r w:rsidR="00EE4D4A">
        <w:t>Use of Improved Information Technology and Burden Reduction</w:t>
      </w:r>
      <w:bookmarkEnd w:id="15"/>
      <w:bookmarkEnd w:id="16"/>
      <w:bookmarkEnd w:id="17"/>
      <w:bookmarkEnd w:id="18"/>
    </w:p>
    <w:p w:rsidR="00A90B75" w:rsidRDefault="009D760F" w:rsidP="00E46420">
      <w:pPr>
        <w:ind w:firstLine="720"/>
      </w:pPr>
      <w:r>
        <w:t>A</w:t>
      </w:r>
      <w:r w:rsidR="00E622FB" w:rsidRPr="00076160">
        <w:t xml:space="preserve">ll information </w:t>
      </w:r>
      <w:r>
        <w:t>(100</w:t>
      </w:r>
      <w:r w:rsidR="00752299" w:rsidRPr="00076160">
        <w:t xml:space="preserve">%) </w:t>
      </w:r>
      <w:r w:rsidR="00343191">
        <w:t xml:space="preserve">for the main health questionnaire </w:t>
      </w:r>
      <w:r w:rsidR="004C6698">
        <w:t>will be</w:t>
      </w:r>
      <w:r w:rsidR="00E622FB" w:rsidRPr="00076160">
        <w:t xml:space="preserve"> collected </w:t>
      </w:r>
      <w:r w:rsidR="005335AD">
        <w:t>electronically</w:t>
      </w:r>
      <w:r w:rsidR="00E75A51">
        <w:t xml:space="preserve">.  </w:t>
      </w:r>
      <w:r w:rsidR="00076160">
        <w:t xml:space="preserve">This is necessary to ensure the accurate </w:t>
      </w:r>
      <w:r w:rsidR="005335AD">
        <w:t xml:space="preserve">and timely </w:t>
      </w:r>
      <w:r w:rsidR="00076160">
        <w:t xml:space="preserve">collection of information.  </w:t>
      </w:r>
    </w:p>
    <w:p w:rsidR="009D446E" w:rsidRPr="00CA668C" w:rsidRDefault="009D446E" w:rsidP="00CA668C">
      <w:pPr>
        <w:ind w:left="720" w:firstLine="720"/>
      </w:pPr>
    </w:p>
    <w:p w:rsidR="00EE4D4A" w:rsidRDefault="002915E9" w:rsidP="00E25F75">
      <w:pPr>
        <w:pStyle w:val="Level2"/>
      </w:pPr>
      <w:bookmarkStart w:id="19" w:name="_Toc161124064"/>
      <w:bookmarkStart w:id="20" w:name="_Toc161124926"/>
      <w:bookmarkStart w:id="21" w:name="_Toc179766419"/>
      <w:bookmarkStart w:id="22" w:name="_Toc179774550"/>
      <w:r>
        <w:t>4.</w:t>
      </w:r>
      <w:r>
        <w:tab/>
      </w:r>
      <w:r w:rsidR="00EE4D4A">
        <w:t>Efforts to Identify Duplication and Use of Similar Information</w:t>
      </w:r>
      <w:bookmarkEnd w:id="19"/>
      <w:bookmarkEnd w:id="20"/>
      <w:bookmarkEnd w:id="21"/>
      <w:bookmarkEnd w:id="22"/>
    </w:p>
    <w:p w:rsidR="00A47746" w:rsidRDefault="00A47746" w:rsidP="00A47746">
      <w:pPr>
        <w:autoSpaceDE w:val="0"/>
        <w:autoSpaceDN w:val="0"/>
        <w:ind w:firstLine="720"/>
      </w:pPr>
      <w:bookmarkStart w:id="23" w:name="_Toc161124065"/>
      <w:bookmarkStart w:id="24" w:name="_Toc161124927"/>
      <w:bookmarkStart w:id="25" w:name="_Toc179766420"/>
      <w:bookmarkStart w:id="26" w:name="_Toc179774551"/>
      <w:r>
        <w:t xml:space="preserve">Several studies have been conducted that </w:t>
      </w:r>
      <w:r w:rsidR="004C6698">
        <w:t xml:space="preserve">have </w:t>
      </w:r>
      <w:r>
        <w:t xml:space="preserve">examined associations between student and employee health and dampness in school buildings (e.g., </w:t>
      </w:r>
      <w:proofErr w:type="spellStart"/>
      <w:r>
        <w:t>Borràs</w:t>
      </w:r>
      <w:proofErr w:type="spellEnd"/>
      <w:r>
        <w:t>-Santos</w:t>
      </w:r>
      <w:r w:rsidR="00CA2517">
        <w:t xml:space="preserve"> et al.</w:t>
      </w:r>
      <w:r>
        <w:t xml:space="preserve"> 2013, </w:t>
      </w:r>
      <w:proofErr w:type="spellStart"/>
      <w:r>
        <w:t>Simoni</w:t>
      </w:r>
      <w:proofErr w:type="spellEnd"/>
      <w:r>
        <w:t xml:space="preserve"> </w:t>
      </w:r>
      <w:r w:rsidR="00CA2517">
        <w:t xml:space="preserve">et al. </w:t>
      </w:r>
      <w:r>
        <w:t xml:space="preserve">2011, </w:t>
      </w:r>
      <w:proofErr w:type="gramStart"/>
      <w:r>
        <w:t>Sahakian</w:t>
      </w:r>
      <w:proofErr w:type="gramEnd"/>
      <w:r>
        <w:t xml:space="preserve"> </w:t>
      </w:r>
      <w:r w:rsidR="00CA2517">
        <w:t xml:space="preserve">et al. </w:t>
      </w:r>
      <w:r>
        <w:t xml:space="preserve">2008).  The EPA developed the </w:t>
      </w:r>
      <w:r>
        <w:rPr>
          <w:i/>
          <w:iCs/>
        </w:rPr>
        <w:t>Indoor Air Quality Tools for Schools</w:t>
      </w:r>
      <w:r>
        <w:t xml:space="preserve"> program that provides guidance on how to reduce exposures from indoor environmental contaminants such as mold in schools.  </w:t>
      </w:r>
      <w:r w:rsidR="00CA2517">
        <w:t xml:space="preserve">However, </w:t>
      </w:r>
      <w:r w:rsidR="002B7CE9">
        <w:t xml:space="preserve">we have not found any </w:t>
      </w:r>
      <w:r>
        <w:t xml:space="preserve">studies that focus on using </w:t>
      </w:r>
      <w:r w:rsidR="002B7CE9">
        <w:t xml:space="preserve">both computerized </w:t>
      </w:r>
      <w:r>
        <w:t xml:space="preserve">observational assessment </w:t>
      </w:r>
      <w:r w:rsidR="00A775BD">
        <w:t xml:space="preserve">for dampness and mold, </w:t>
      </w:r>
      <w:r>
        <w:t xml:space="preserve">and </w:t>
      </w:r>
      <w:r w:rsidR="00A775BD">
        <w:t xml:space="preserve">a </w:t>
      </w:r>
      <w:r w:rsidR="002B7CE9">
        <w:t xml:space="preserve">web-based </w:t>
      </w:r>
      <w:r>
        <w:t xml:space="preserve">health questionnaire to </w:t>
      </w:r>
      <w:r w:rsidR="00F53B48">
        <w:t xml:space="preserve">characterize </w:t>
      </w:r>
      <w:r>
        <w:t xml:space="preserve">possible associations between dampness and mold with employee health in schools.  </w:t>
      </w:r>
    </w:p>
    <w:p w:rsidR="00A47746" w:rsidRDefault="00A47746" w:rsidP="00A47746">
      <w:pPr>
        <w:rPr>
          <w:color w:val="0000CC"/>
          <w:sz w:val="22"/>
          <w:szCs w:val="22"/>
        </w:rPr>
      </w:pPr>
    </w:p>
    <w:p w:rsidR="00EE4D4A" w:rsidRDefault="002915E9" w:rsidP="00E25F75">
      <w:pPr>
        <w:pStyle w:val="Level2"/>
      </w:pPr>
      <w:r w:rsidRPr="0018019C">
        <w:t>5.</w:t>
      </w:r>
      <w:r w:rsidRPr="0018019C">
        <w:tab/>
      </w:r>
      <w:r w:rsidR="00EE4D4A" w:rsidRPr="0018019C">
        <w:t>Impact on Small Businesses or Other Small Entities</w:t>
      </w:r>
      <w:bookmarkEnd w:id="23"/>
      <w:bookmarkEnd w:id="24"/>
      <w:bookmarkEnd w:id="25"/>
      <w:bookmarkEnd w:id="26"/>
    </w:p>
    <w:p w:rsidR="00EE4D4A" w:rsidRDefault="00EE4D4A" w:rsidP="00752B50">
      <w:pPr>
        <w:ind w:firstLine="720"/>
      </w:pPr>
      <w:r>
        <w:t xml:space="preserve">No small businesses will be involved in </w:t>
      </w:r>
      <w:r w:rsidR="000F4CFE">
        <w:t>this data collection</w:t>
      </w:r>
      <w:r>
        <w:t>.</w:t>
      </w:r>
    </w:p>
    <w:p w:rsidR="00EE4D4A" w:rsidRDefault="00EE4D4A" w:rsidP="00EC75AC"/>
    <w:p w:rsidR="00EE4D4A" w:rsidRDefault="002915E9" w:rsidP="00E25F75">
      <w:pPr>
        <w:pStyle w:val="Level2"/>
      </w:pPr>
      <w:bookmarkStart w:id="27" w:name="_Toc161124066"/>
      <w:bookmarkStart w:id="28" w:name="_Toc161124928"/>
      <w:bookmarkStart w:id="29" w:name="_Toc179766421"/>
      <w:bookmarkStart w:id="30" w:name="_Toc179774552"/>
      <w:r w:rsidRPr="00FE2319">
        <w:t>6.</w:t>
      </w:r>
      <w:r w:rsidRPr="00FE2319">
        <w:tab/>
      </w:r>
      <w:r w:rsidR="00EE4D4A" w:rsidRPr="00FE2319">
        <w:t>Consequences of Collecting the Information Less Frequently</w:t>
      </w:r>
      <w:bookmarkEnd w:id="27"/>
      <w:bookmarkEnd w:id="28"/>
      <w:bookmarkEnd w:id="29"/>
      <w:bookmarkEnd w:id="30"/>
    </w:p>
    <w:p w:rsidR="004579E5" w:rsidRPr="004579E5" w:rsidRDefault="004579E5" w:rsidP="004579E5">
      <w:pPr>
        <w:ind w:firstLine="720"/>
        <w:outlineLvl w:val="2"/>
      </w:pPr>
      <w:bookmarkStart w:id="31" w:name="_Toc161124067"/>
      <w:bookmarkStart w:id="32" w:name="_Toc161124929"/>
      <w:r w:rsidRPr="00FE2319">
        <w:t>The activities involve a one-time collection of data.  There ar</w:t>
      </w:r>
      <w:r w:rsidR="000F4CFE" w:rsidRPr="00FE2319">
        <w:t>e no legal obstacles to reduce</w:t>
      </w:r>
      <w:r w:rsidRPr="00FE2319">
        <w:t xml:space="preserve"> the burden.</w:t>
      </w:r>
    </w:p>
    <w:p w:rsidR="00DF3ACA" w:rsidRDefault="00DF3ACA" w:rsidP="008A0509">
      <w:pPr>
        <w:outlineLvl w:val="2"/>
        <w:rPr>
          <w:b/>
        </w:rPr>
      </w:pPr>
    </w:p>
    <w:p w:rsidR="00EE4D4A" w:rsidRDefault="002915E9" w:rsidP="00E25F75">
      <w:pPr>
        <w:pStyle w:val="Level2"/>
      </w:pPr>
      <w:bookmarkStart w:id="33" w:name="_Toc179766422"/>
      <w:bookmarkStart w:id="34" w:name="_Toc179774553"/>
      <w:r>
        <w:t>7.</w:t>
      </w:r>
      <w:r>
        <w:tab/>
      </w:r>
      <w:r w:rsidR="00EE4D4A">
        <w:t>Special Circumstances Relating to the Guidelines of 5 CFR 1320.5</w:t>
      </w:r>
      <w:bookmarkEnd w:id="31"/>
      <w:bookmarkEnd w:id="32"/>
      <w:bookmarkEnd w:id="33"/>
      <w:bookmarkEnd w:id="34"/>
    </w:p>
    <w:p w:rsidR="00EE4D4A" w:rsidRDefault="000F4CFE" w:rsidP="00752B50">
      <w:pPr>
        <w:ind w:left="1080" w:hanging="360"/>
      </w:pPr>
      <w:r>
        <w:t>This request fully complies with the regulation 5 CFR 1320.5.</w:t>
      </w:r>
    </w:p>
    <w:p w:rsidR="00AE5EA5" w:rsidRDefault="00AE5EA5" w:rsidP="00AE5EA5"/>
    <w:p w:rsidR="001B3C56" w:rsidRDefault="002915E9" w:rsidP="00C05226">
      <w:pPr>
        <w:pStyle w:val="Level2"/>
      </w:pPr>
      <w:bookmarkStart w:id="35" w:name="_Toc161124930"/>
      <w:bookmarkStart w:id="36" w:name="_Toc179774554"/>
      <w:r>
        <w:t>8.</w:t>
      </w:r>
      <w:r>
        <w:tab/>
      </w:r>
      <w:r w:rsidR="00AE5EA5" w:rsidRPr="00C05226">
        <w:t>Comments in Response to the Federal Registe</w:t>
      </w:r>
      <w:r w:rsidR="005D1325" w:rsidRPr="00C05226">
        <w:t xml:space="preserve">r Notice and Efforts to Consult </w:t>
      </w:r>
      <w:r w:rsidR="00AE5EA5" w:rsidRPr="00C05226">
        <w:t>Outside the Agency</w:t>
      </w:r>
      <w:bookmarkEnd w:id="35"/>
      <w:bookmarkEnd w:id="36"/>
    </w:p>
    <w:p w:rsidR="004C1C04" w:rsidRDefault="00A61751" w:rsidP="00A61751">
      <w:pPr>
        <w:outlineLvl w:val="2"/>
      </w:pPr>
      <w:r>
        <w:t>A.</w:t>
      </w:r>
      <w:r>
        <w:tab/>
      </w:r>
      <w:r w:rsidR="001B3C56">
        <w:t>Attached is a copy of the Federal Register Notice (</w:t>
      </w:r>
      <w:r w:rsidR="00C50F37">
        <w:t xml:space="preserve">see </w:t>
      </w:r>
      <w:r w:rsidR="001B3C56" w:rsidRPr="004C5B2B">
        <w:t>A</w:t>
      </w:r>
      <w:r w:rsidR="008208B0">
        <w:t>ppendix</w:t>
      </w:r>
      <w:r w:rsidR="001B3C56" w:rsidRPr="004C5B2B">
        <w:t xml:space="preserve"> </w:t>
      </w:r>
      <w:r w:rsidR="00860C44">
        <w:t>B</w:t>
      </w:r>
      <w:r w:rsidR="000E18F0">
        <w:t>: Federal Register Notice</w:t>
      </w:r>
      <w:r w:rsidR="001B3C56" w:rsidRPr="004C5B2B">
        <w:t>)</w:t>
      </w:r>
      <w:r w:rsidR="001B3C56">
        <w:rPr>
          <w:color w:val="FF0000"/>
        </w:rPr>
        <w:t xml:space="preserve"> </w:t>
      </w:r>
      <w:r w:rsidR="001B3C56">
        <w:t>which contains the request for comments on the proposed collection of information</w:t>
      </w:r>
      <w:r w:rsidR="00916CAD">
        <w:t xml:space="preserve">.  </w:t>
      </w:r>
      <w:r w:rsidR="001B3C56">
        <w:t xml:space="preserve">CDC published the notice </w:t>
      </w:r>
      <w:r w:rsidR="001B3C56" w:rsidRPr="004C5B2B">
        <w:t xml:space="preserve">on </w:t>
      </w:r>
      <w:r w:rsidR="00782FFF">
        <w:t xml:space="preserve">October 23, 2013 </w:t>
      </w:r>
      <w:r w:rsidR="001B3C56" w:rsidRPr="004C5B2B">
        <w:t xml:space="preserve">(Volume </w:t>
      </w:r>
      <w:r w:rsidR="009C3CDF">
        <w:t>78</w:t>
      </w:r>
      <w:r w:rsidR="001B3C56" w:rsidRPr="004C5B2B">
        <w:t xml:space="preserve">, Number </w:t>
      </w:r>
      <w:r w:rsidR="009C3CDF">
        <w:t>205</w:t>
      </w:r>
      <w:r w:rsidR="001B3C56" w:rsidRPr="004C5B2B">
        <w:t xml:space="preserve"> (pages </w:t>
      </w:r>
      <w:r w:rsidR="009C3CDF">
        <w:t>63207</w:t>
      </w:r>
      <w:r w:rsidR="009D760F">
        <w:t>-</w:t>
      </w:r>
      <w:r w:rsidR="009C3CDF">
        <w:t>63208</w:t>
      </w:r>
      <w:r w:rsidR="004C1C04">
        <w:t>)</w:t>
      </w:r>
      <w:r w:rsidR="00E75A51">
        <w:t xml:space="preserve">. </w:t>
      </w:r>
      <w:r w:rsidR="00464E35">
        <w:t xml:space="preserve"> </w:t>
      </w:r>
      <w:r w:rsidR="00427C01">
        <w:t>There were n</w:t>
      </w:r>
      <w:r w:rsidR="009D760F">
        <w:t xml:space="preserve">o </w:t>
      </w:r>
      <w:r w:rsidR="00427C01">
        <w:t xml:space="preserve">public </w:t>
      </w:r>
      <w:r w:rsidR="009D760F">
        <w:t xml:space="preserve">comments.  </w:t>
      </w:r>
      <w:r w:rsidR="00D438C4">
        <w:t xml:space="preserve"> </w:t>
      </w:r>
      <w:r w:rsidR="004C1C04">
        <w:t xml:space="preserve"> </w:t>
      </w:r>
    </w:p>
    <w:p w:rsidR="00F92682" w:rsidRDefault="00F92682" w:rsidP="00A61751">
      <w:pPr>
        <w:outlineLvl w:val="2"/>
      </w:pPr>
    </w:p>
    <w:p w:rsidR="00C2179C" w:rsidRDefault="00A61751" w:rsidP="00A61751">
      <w:r>
        <w:t>B.</w:t>
      </w:r>
      <w:r>
        <w:tab/>
      </w:r>
      <w:r w:rsidR="00341935">
        <w:t>We have consulted on this collection of information with</w:t>
      </w:r>
      <w:r w:rsidR="00C2179C">
        <w:t xml:space="preserve">: </w:t>
      </w:r>
    </w:p>
    <w:p w:rsidR="00C2179C" w:rsidRDefault="00C2179C" w:rsidP="00C2179C">
      <w:pPr>
        <w:ind w:firstLine="720"/>
      </w:pPr>
      <w:r>
        <w:t>1)</w:t>
      </w:r>
      <w:r w:rsidR="00A951A7">
        <w:t xml:space="preserve"> T</w:t>
      </w:r>
      <w:r w:rsidR="00341935">
        <w:t xml:space="preserve">he Director of the U.S. Department of Education Green Ribbon Schools </w:t>
      </w:r>
    </w:p>
    <w:p w:rsidR="00C2179C" w:rsidRDefault="00A951A7" w:rsidP="00C2179C">
      <w:pPr>
        <w:ind w:firstLine="720"/>
      </w:pPr>
      <w:r>
        <w:t>Program</w:t>
      </w:r>
      <w:r w:rsidR="00C2179C">
        <w:t>,</w:t>
      </w:r>
    </w:p>
    <w:p w:rsidR="00C2179C" w:rsidRDefault="00C2179C" w:rsidP="00C2179C">
      <w:pPr>
        <w:ind w:firstLine="720"/>
      </w:pPr>
      <w:r>
        <w:t xml:space="preserve">2) </w:t>
      </w:r>
      <w:r w:rsidR="00A951A7">
        <w:t>A</w:t>
      </w:r>
      <w:r w:rsidR="00341935">
        <w:t xml:space="preserve"> staff member from the Occupational Safety and Health Administration, </w:t>
      </w:r>
    </w:p>
    <w:p w:rsidR="00C2179C" w:rsidRDefault="00341935" w:rsidP="00C2179C">
      <w:pPr>
        <w:ind w:firstLine="720"/>
      </w:pPr>
      <w:r>
        <w:t xml:space="preserve">Office of Physical Hazards, Directorate of Standards and Guidance, </w:t>
      </w:r>
    </w:p>
    <w:p w:rsidR="00C2179C" w:rsidRDefault="00C2179C" w:rsidP="00C2179C">
      <w:pPr>
        <w:ind w:firstLine="720"/>
      </w:pPr>
      <w:r>
        <w:t xml:space="preserve">3) </w:t>
      </w:r>
      <w:r w:rsidR="00A951A7">
        <w:t>S</w:t>
      </w:r>
      <w:r w:rsidR="00341935">
        <w:t xml:space="preserve">taff from </w:t>
      </w:r>
      <w:r>
        <w:t>Indoor Environments Division,</w:t>
      </w:r>
      <w:r w:rsidR="00341935">
        <w:t xml:space="preserve"> </w:t>
      </w:r>
      <w:r w:rsidR="00341935" w:rsidRPr="00341935">
        <w:t>Office of Radiation and Indoor Air</w:t>
      </w:r>
      <w:r w:rsidR="00341935">
        <w:t>,</w:t>
      </w:r>
    </w:p>
    <w:p w:rsidR="00C2179C" w:rsidRDefault="00C2179C" w:rsidP="00C2179C">
      <w:pPr>
        <w:ind w:firstLine="720"/>
      </w:pPr>
      <w:r>
        <w:t>U.S. Environmental Protection Agency.</w:t>
      </w:r>
      <w:r w:rsidR="00341935">
        <w:t xml:space="preserve">  </w:t>
      </w:r>
    </w:p>
    <w:p w:rsidR="00E719A8" w:rsidRPr="00E719A8" w:rsidRDefault="00DD5136" w:rsidP="00A61751">
      <w:r>
        <w:t xml:space="preserve">This </w:t>
      </w:r>
      <w:r w:rsidR="00E719A8">
        <w:t xml:space="preserve">project was </w:t>
      </w:r>
      <w:r w:rsidR="00751B8B">
        <w:t xml:space="preserve">also </w:t>
      </w:r>
      <w:r w:rsidR="00E719A8">
        <w:t>subject to revie</w:t>
      </w:r>
      <w:r w:rsidR="007A26E7">
        <w:t xml:space="preserve">w during </w:t>
      </w:r>
      <w:r w:rsidR="008313A4">
        <w:t>a</w:t>
      </w:r>
      <w:r w:rsidR="008E02F7">
        <w:t>n external</w:t>
      </w:r>
      <w:r w:rsidR="008313A4">
        <w:t xml:space="preserve"> </w:t>
      </w:r>
      <w:r w:rsidR="007A26E7">
        <w:t xml:space="preserve">branch review in June 2012.  A summary of this </w:t>
      </w:r>
      <w:r w:rsidR="005335AD">
        <w:t xml:space="preserve">review is provided </w:t>
      </w:r>
      <w:r w:rsidR="000E18F0">
        <w:t>(</w:t>
      </w:r>
      <w:r w:rsidR="00EE6E23">
        <w:t xml:space="preserve">see </w:t>
      </w:r>
      <w:r w:rsidR="000E18F0">
        <w:t>Appendix C: External Review Comments)</w:t>
      </w:r>
      <w:r w:rsidR="007A26E7">
        <w:t>.</w:t>
      </w:r>
      <w:r w:rsidR="00341935">
        <w:t xml:space="preserve">  </w:t>
      </w:r>
    </w:p>
    <w:p w:rsidR="00AE5EA5" w:rsidRDefault="00AE5EA5" w:rsidP="00AE5EA5">
      <w:pPr>
        <w:rPr>
          <w:b/>
        </w:rPr>
      </w:pPr>
    </w:p>
    <w:p w:rsidR="00AE5EA5" w:rsidRDefault="002915E9" w:rsidP="00E25F75">
      <w:pPr>
        <w:pStyle w:val="Level2"/>
      </w:pPr>
      <w:bookmarkStart w:id="37" w:name="_Toc161124931"/>
      <w:bookmarkStart w:id="38" w:name="_Toc179766423"/>
      <w:bookmarkStart w:id="39" w:name="_Toc179774555"/>
      <w:r>
        <w:t>9.</w:t>
      </w:r>
      <w:r>
        <w:tab/>
      </w:r>
      <w:r w:rsidR="00AE5EA5">
        <w:t>Explanation of Any Payment or Gift to Respondents</w:t>
      </w:r>
      <w:bookmarkEnd w:id="37"/>
      <w:bookmarkEnd w:id="38"/>
      <w:bookmarkEnd w:id="39"/>
    </w:p>
    <w:p w:rsidR="008313A4" w:rsidRPr="008313A4" w:rsidRDefault="008313A4" w:rsidP="00F92682"/>
    <w:p w:rsidR="002C6C41" w:rsidRDefault="00DD13B1" w:rsidP="00752B50">
      <w:pPr>
        <w:ind w:firstLine="720"/>
      </w:pPr>
      <w:r>
        <w:t>There will be no payment</w:t>
      </w:r>
      <w:r w:rsidR="006B6F45">
        <w:t>s</w:t>
      </w:r>
      <w:r>
        <w:t xml:space="preserve"> or gift</w:t>
      </w:r>
      <w:r w:rsidR="006B6F45">
        <w:t>s</w:t>
      </w:r>
      <w:r>
        <w:t xml:space="preserve"> to the respondents in this study.</w:t>
      </w:r>
    </w:p>
    <w:p w:rsidR="00DD13B1" w:rsidRPr="002C6C41" w:rsidRDefault="00DD13B1" w:rsidP="00752B50">
      <w:pPr>
        <w:ind w:firstLine="720"/>
      </w:pPr>
    </w:p>
    <w:p w:rsidR="00AE5EA5" w:rsidRDefault="002915E9" w:rsidP="00E25F75">
      <w:pPr>
        <w:pStyle w:val="Level2"/>
      </w:pPr>
      <w:bookmarkStart w:id="40" w:name="_Toc161124932"/>
      <w:bookmarkStart w:id="41" w:name="_Toc179766424"/>
      <w:bookmarkStart w:id="42" w:name="_Toc179774556"/>
      <w:r>
        <w:t>10.</w:t>
      </w:r>
      <w:r>
        <w:tab/>
      </w:r>
      <w:r w:rsidR="00AE5EA5">
        <w:t>Assurance of Confidentiality Provided to Respondents</w:t>
      </w:r>
      <w:bookmarkEnd w:id="40"/>
      <w:bookmarkEnd w:id="41"/>
      <w:bookmarkEnd w:id="42"/>
    </w:p>
    <w:p w:rsidR="008313A4" w:rsidRDefault="008313A4" w:rsidP="00F92682"/>
    <w:p w:rsidR="00CE5EF5" w:rsidRPr="008313A4" w:rsidRDefault="00CE5EF5" w:rsidP="00F92682">
      <w:r w:rsidRPr="0094673A">
        <w:rPr>
          <w:u w:val="single"/>
          <w:lang w:eastAsia="ja-JP"/>
        </w:rPr>
        <w:t>Privacy Impact Assessment Information</w:t>
      </w:r>
    </w:p>
    <w:p w:rsidR="00F52DB7" w:rsidRDefault="009C7112" w:rsidP="00BC3453">
      <w:pPr>
        <w:rPr>
          <w:lang w:eastAsia="ja-JP"/>
        </w:rPr>
      </w:pPr>
      <w:r>
        <w:rPr>
          <w:lang w:eastAsia="ja-JP"/>
        </w:rPr>
        <w:t xml:space="preserve">  </w:t>
      </w:r>
      <w:r>
        <w:rPr>
          <w:lang w:eastAsia="ja-JP"/>
        </w:rPr>
        <w:tab/>
      </w:r>
      <w:r w:rsidR="002564F9">
        <w:rPr>
          <w:lang w:eastAsia="ja-JP"/>
        </w:rPr>
        <w:t xml:space="preserve">This submission has been reviewed by </w:t>
      </w:r>
      <w:r w:rsidR="00865169">
        <w:rPr>
          <w:lang w:eastAsia="ja-JP"/>
        </w:rPr>
        <w:t>CDC</w:t>
      </w:r>
      <w:r w:rsidR="002564F9">
        <w:rPr>
          <w:lang w:eastAsia="ja-JP"/>
        </w:rPr>
        <w:t>, who has determined that the Privacy Act does apply.  The applicable System of Records Notice is 09-20-0147</w:t>
      </w:r>
      <w:r w:rsidR="00BB5F2D">
        <w:rPr>
          <w:lang w:eastAsia="ja-JP"/>
        </w:rPr>
        <w:t>, Occupational Health Epidemiological Studies and EEOICPA Program Records</w:t>
      </w:r>
      <w:r w:rsidR="002564F9">
        <w:rPr>
          <w:lang w:eastAsia="ja-JP"/>
        </w:rPr>
        <w:t xml:space="preserve">. </w:t>
      </w:r>
      <w:r w:rsidR="00821CF8">
        <w:rPr>
          <w:lang w:eastAsia="ja-JP"/>
        </w:rPr>
        <w:t xml:space="preserve"> </w:t>
      </w:r>
      <w:r w:rsidR="00A862A8">
        <w:rPr>
          <w:lang w:eastAsia="ja-JP"/>
        </w:rPr>
        <w:t xml:space="preserve">The collection of this information is covered under the CDC Privacy Act.  </w:t>
      </w:r>
    </w:p>
    <w:p w:rsidR="00F52DB7" w:rsidRDefault="00F52DB7" w:rsidP="00BC3453">
      <w:pPr>
        <w:rPr>
          <w:lang w:eastAsia="ja-JP"/>
        </w:rPr>
      </w:pPr>
      <w:r>
        <w:rPr>
          <w:lang w:eastAsia="ja-JP"/>
        </w:rPr>
        <w:tab/>
        <w:t>NIOSH will receive a list of all employees in the 50 elementary schools with their email addresses</w:t>
      </w:r>
      <w:r w:rsidR="000A408A">
        <w:rPr>
          <w:lang w:eastAsia="ja-JP"/>
        </w:rPr>
        <w:t xml:space="preserve"> from the union and school district</w:t>
      </w:r>
      <w:r>
        <w:rPr>
          <w:lang w:eastAsia="ja-JP"/>
        </w:rPr>
        <w:t xml:space="preserve">.  </w:t>
      </w:r>
      <w:r w:rsidR="00F72170">
        <w:rPr>
          <w:lang w:eastAsia="ja-JP"/>
        </w:rPr>
        <w:t>NIOSH</w:t>
      </w:r>
      <w:r w:rsidR="00894FC2">
        <w:rPr>
          <w:lang w:eastAsia="ja-JP"/>
        </w:rPr>
        <w:t xml:space="preserve"> will randomly assign an ID number to each employee.  Th</w:t>
      </w:r>
      <w:r w:rsidR="00424B4E">
        <w:rPr>
          <w:lang w:eastAsia="ja-JP"/>
        </w:rPr>
        <w:t>e</w:t>
      </w:r>
      <w:r w:rsidR="00894FC2">
        <w:rPr>
          <w:lang w:eastAsia="ja-JP"/>
        </w:rPr>
        <w:t xml:space="preserve"> database which contains the link between </w:t>
      </w:r>
      <w:r w:rsidR="00F72170">
        <w:rPr>
          <w:lang w:eastAsia="ja-JP"/>
        </w:rPr>
        <w:t xml:space="preserve">the unique </w:t>
      </w:r>
      <w:r w:rsidR="00894FC2">
        <w:rPr>
          <w:lang w:eastAsia="ja-JP"/>
        </w:rPr>
        <w:t xml:space="preserve">ID and name will be stored on a secure password-protected CDC server </w:t>
      </w:r>
      <w:r w:rsidR="00F72170">
        <w:rPr>
          <w:lang w:eastAsia="ja-JP"/>
        </w:rPr>
        <w:t>but</w:t>
      </w:r>
      <w:r w:rsidR="00894FC2">
        <w:rPr>
          <w:lang w:eastAsia="ja-JP"/>
        </w:rPr>
        <w:t xml:space="preserve"> will not be merged with the health questionnaire or shared with either the union or school district.  We will maintain this database until the end of the study, after which it will be purged from the server.</w:t>
      </w:r>
    </w:p>
    <w:p w:rsidR="00A862A8" w:rsidRDefault="00894FC2" w:rsidP="001D6C66">
      <w:pPr>
        <w:ind w:firstLine="720"/>
        <w:rPr>
          <w:lang w:eastAsia="ja-JP"/>
        </w:rPr>
      </w:pPr>
      <w:r>
        <w:rPr>
          <w:lang w:eastAsia="ja-JP"/>
        </w:rPr>
        <w:t>In the health questionnaire, p</w:t>
      </w:r>
      <w:r w:rsidR="00F52DB7">
        <w:rPr>
          <w:lang w:eastAsia="ja-JP"/>
        </w:rPr>
        <w:t xml:space="preserve">otentially identifiable information, such as date of birth and work location, will be collected.  </w:t>
      </w:r>
      <w:r w:rsidR="00BC3453">
        <w:rPr>
          <w:bCs/>
        </w:rPr>
        <w:t xml:space="preserve">To ensure the security of the study data, access will be limited to </w:t>
      </w:r>
      <w:r w:rsidR="00BC3453">
        <w:rPr>
          <w:lang w:eastAsia="ja-JP"/>
        </w:rPr>
        <w:t>the NIOSH research team and will be stored in a password-pro</w:t>
      </w:r>
      <w:r w:rsidR="00EA462C">
        <w:rPr>
          <w:lang w:eastAsia="ja-JP"/>
        </w:rPr>
        <w:t>tected database on the CDC</w:t>
      </w:r>
      <w:r w:rsidR="00BC3453">
        <w:rPr>
          <w:lang w:eastAsia="ja-JP"/>
        </w:rPr>
        <w:t xml:space="preserve"> computer network. Furthermore, because the survey will be hosted on the CDC website, all necessary security protocols required by CDC will be implemented. </w:t>
      </w:r>
      <w:r w:rsidR="00F52DB7">
        <w:rPr>
          <w:lang w:eastAsia="ja-JP"/>
        </w:rPr>
        <w:t xml:space="preserve"> </w:t>
      </w:r>
      <w:r w:rsidR="00BC3453">
        <w:rPr>
          <w:lang w:eastAsia="ja-JP"/>
        </w:rPr>
        <w:t xml:space="preserve">Any paper records generated during the course of this study will be stored in a locked file cabinet at the NIOSH Morgantown facility and only accessible by members </w:t>
      </w:r>
      <w:r w:rsidR="00F72170">
        <w:rPr>
          <w:lang w:eastAsia="ja-JP"/>
        </w:rPr>
        <w:t xml:space="preserve">who are directly involved in </w:t>
      </w:r>
      <w:r w:rsidR="00BC3453">
        <w:rPr>
          <w:lang w:eastAsia="ja-JP"/>
        </w:rPr>
        <w:t xml:space="preserve">the </w:t>
      </w:r>
      <w:r w:rsidR="00F72170">
        <w:rPr>
          <w:lang w:eastAsia="ja-JP"/>
        </w:rPr>
        <w:t>study</w:t>
      </w:r>
      <w:r w:rsidR="00BC3453">
        <w:rPr>
          <w:lang w:eastAsia="ja-JP"/>
        </w:rPr>
        <w:t>.</w:t>
      </w:r>
      <w:r w:rsidR="00A862A8">
        <w:rPr>
          <w:lang w:eastAsia="ja-JP"/>
        </w:rPr>
        <w:t xml:space="preserve">  All study data and records will be securely maintained until publication of </w:t>
      </w:r>
      <w:r w:rsidR="00A862A8" w:rsidRPr="0079723A">
        <w:rPr>
          <w:lang w:eastAsia="ja-JP"/>
        </w:rPr>
        <w:t>results, after wh</w:t>
      </w:r>
      <w:r w:rsidR="00A862A8">
        <w:rPr>
          <w:lang w:eastAsia="ja-JP"/>
        </w:rPr>
        <w:t>ich they will be archived according to federal regulations.</w:t>
      </w:r>
    </w:p>
    <w:p w:rsidR="006A74DC" w:rsidRDefault="009C7112" w:rsidP="0094673A">
      <w:pPr>
        <w:autoSpaceDE w:val="0"/>
        <w:autoSpaceDN w:val="0"/>
        <w:adjustRightInd w:val="0"/>
        <w:rPr>
          <w:lang w:eastAsia="ja-JP"/>
        </w:rPr>
      </w:pPr>
      <w:r>
        <w:rPr>
          <w:lang w:eastAsia="ja-JP"/>
        </w:rPr>
        <w:tab/>
      </w:r>
      <w:r w:rsidR="006A74DC">
        <w:rPr>
          <w:lang w:eastAsia="ja-JP"/>
        </w:rPr>
        <w:t xml:space="preserve">This study has been approved by the NIOSH Institutional Review Board; a copy of the approval letter is attached (see Appendix </w:t>
      </w:r>
      <w:r w:rsidR="0099434D">
        <w:rPr>
          <w:lang w:eastAsia="ja-JP"/>
        </w:rPr>
        <w:t>F</w:t>
      </w:r>
      <w:r w:rsidR="00865169">
        <w:rPr>
          <w:lang w:eastAsia="ja-JP"/>
        </w:rPr>
        <w:t>: IRB Approval Letter</w:t>
      </w:r>
      <w:r w:rsidR="006A74DC">
        <w:rPr>
          <w:lang w:eastAsia="ja-JP"/>
        </w:rPr>
        <w:t xml:space="preserve">).  </w:t>
      </w:r>
      <w:r w:rsidR="00D859E3">
        <w:rPr>
          <w:lang w:eastAsia="ja-JP"/>
        </w:rPr>
        <w:t xml:space="preserve">An informed </w:t>
      </w:r>
      <w:r w:rsidR="00D859E3">
        <w:rPr>
          <w:lang w:eastAsia="ja-JP"/>
        </w:rPr>
        <w:lastRenderedPageBreak/>
        <w:t>consent is included in the informational email</w:t>
      </w:r>
      <w:r w:rsidR="00A24A86">
        <w:rPr>
          <w:lang w:eastAsia="ja-JP"/>
        </w:rPr>
        <w:t xml:space="preserve"> (see Appendix G</w:t>
      </w:r>
      <w:r w:rsidR="00865169">
        <w:rPr>
          <w:lang w:eastAsia="ja-JP"/>
        </w:rPr>
        <w:t>: Invitation Email and Consent</w:t>
      </w:r>
      <w:r>
        <w:rPr>
          <w:lang w:eastAsia="ja-JP"/>
        </w:rPr>
        <w:t xml:space="preserve">).  </w:t>
      </w:r>
      <w:r w:rsidR="006A74DC">
        <w:rPr>
          <w:lang w:eastAsia="ja-JP"/>
        </w:rPr>
        <w:t xml:space="preserve">Participation in any part of the NIOSH study is completely voluntary, and participants may withdraw their consent at any time.  </w:t>
      </w:r>
      <w:r w:rsidR="00247823">
        <w:rPr>
          <w:bCs/>
        </w:rPr>
        <w:t xml:space="preserve">There are no consequences if a participant refuses to complete the survey. </w:t>
      </w:r>
      <w:r>
        <w:rPr>
          <w:bCs/>
        </w:rPr>
        <w:t xml:space="preserve">Results will be shared </w:t>
      </w:r>
      <w:r w:rsidR="00F72170">
        <w:rPr>
          <w:bCs/>
        </w:rPr>
        <w:t>with the union and</w:t>
      </w:r>
      <w:r w:rsidR="00541588">
        <w:rPr>
          <w:bCs/>
        </w:rPr>
        <w:t>/or</w:t>
      </w:r>
      <w:r w:rsidR="00F72170">
        <w:rPr>
          <w:bCs/>
        </w:rPr>
        <w:t xml:space="preserve"> the school district </w:t>
      </w:r>
      <w:r>
        <w:rPr>
          <w:bCs/>
        </w:rPr>
        <w:t xml:space="preserve">in summarized form </w:t>
      </w:r>
      <w:r w:rsidR="00541588">
        <w:rPr>
          <w:bCs/>
        </w:rPr>
        <w:t>only, and</w:t>
      </w:r>
      <w:r>
        <w:rPr>
          <w:bCs/>
        </w:rPr>
        <w:t xml:space="preserve"> n</w:t>
      </w:r>
      <w:r w:rsidR="00247823">
        <w:rPr>
          <w:bCs/>
        </w:rPr>
        <w:t>o individual level data will be shared.</w:t>
      </w:r>
      <w:r w:rsidR="00A862A8">
        <w:rPr>
          <w:bCs/>
        </w:rPr>
        <w:t xml:space="preserve">  </w:t>
      </w:r>
    </w:p>
    <w:p w:rsidR="008313A4" w:rsidRPr="00A61751" w:rsidRDefault="008313A4" w:rsidP="00A61751">
      <w:pPr>
        <w:ind w:firstLine="720"/>
        <w:rPr>
          <w:u w:val="single"/>
          <w:lang w:eastAsia="ja-JP"/>
        </w:rPr>
      </w:pPr>
    </w:p>
    <w:p w:rsidR="00AE5EA5" w:rsidRDefault="002915E9" w:rsidP="00E25F75">
      <w:pPr>
        <w:pStyle w:val="Level2"/>
      </w:pPr>
      <w:bookmarkStart w:id="43" w:name="_Toc161124933"/>
      <w:bookmarkStart w:id="44" w:name="_Toc179766425"/>
      <w:bookmarkStart w:id="45" w:name="_Toc179774557"/>
      <w:r>
        <w:t>11.</w:t>
      </w:r>
      <w:r>
        <w:tab/>
      </w:r>
      <w:r w:rsidR="00AE5EA5">
        <w:t>Justi</w:t>
      </w:r>
      <w:r w:rsidR="005D1325">
        <w:t>fication for Sensitive Questions</w:t>
      </w:r>
      <w:bookmarkEnd w:id="43"/>
      <w:bookmarkEnd w:id="44"/>
      <w:bookmarkEnd w:id="45"/>
    </w:p>
    <w:p w:rsidR="00DF4211" w:rsidRDefault="00FE2319" w:rsidP="0065095F">
      <w:pPr>
        <w:ind w:firstLine="720"/>
      </w:pPr>
      <w:r>
        <w:t xml:space="preserve">No questions that are considered sensitive will be used in this study. </w:t>
      </w:r>
      <w:r w:rsidR="00A275F1">
        <w:t xml:space="preserve"> </w:t>
      </w:r>
      <w:r w:rsidR="00C91291">
        <w:t xml:space="preserve">We </w:t>
      </w:r>
      <w:r>
        <w:t xml:space="preserve">do </w:t>
      </w:r>
      <w:r w:rsidR="00C91291">
        <w:t>plan on collecting</w:t>
      </w:r>
      <w:r w:rsidR="0024576D">
        <w:t xml:space="preserve"> </w:t>
      </w:r>
      <w:r w:rsidR="00C91291">
        <w:t>i</w:t>
      </w:r>
      <w:r w:rsidR="007F1CA3">
        <w:t>nformation on race, ethnicity, gender</w:t>
      </w:r>
      <w:r w:rsidR="002E2D5C">
        <w:t xml:space="preserve">, </w:t>
      </w:r>
      <w:r w:rsidR="00C91291">
        <w:t>date of</w:t>
      </w:r>
      <w:r w:rsidR="002E2D5C">
        <w:t xml:space="preserve"> birth, and smoking status for the study population</w:t>
      </w:r>
      <w:r w:rsidR="00E75A51">
        <w:t xml:space="preserve">. </w:t>
      </w:r>
      <w:r w:rsidR="00A275F1">
        <w:t xml:space="preserve"> </w:t>
      </w:r>
      <w:r w:rsidR="00C24CF9">
        <w:t>We need demographic and smoking information to account for potential confounding in</w:t>
      </w:r>
      <w:r w:rsidR="0099740B">
        <w:t xml:space="preserve"> regression models on dampness and mold and health </w:t>
      </w:r>
      <w:r w:rsidR="00C24CF9">
        <w:t>outcomes</w:t>
      </w:r>
      <w:r w:rsidR="0099740B">
        <w:t xml:space="preserve">.  </w:t>
      </w:r>
      <w:r w:rsidR="00F92682">
        <w:t xml:space="preserve">We will also inquire </w:t>
      </w:r>
      <w:r w:rsidR="008B584B">
        <w:t>about</w:t>
      </w:r>
      <w:r w:rsidR="001B570C">
        <w:t xml:space="preserve"> the work locations that participants spend</w:t>
      </w:r>
      <w:r w:rsidR="0099740B">
        <w:t xml:space="preserve"> the</w:t>
      </w:r>
      <w:r w:rsidR="001B570C">
        <w:t xml:space="preserve"> </w:t>
      </w:r>
      <w:r w:rsidR="0099740B">
        <w:t xml:space="preserve">majority of their time in and we arbitrarily chose </w:t>
      </w:r>
      <w:r w:rsidR="006E48E5">
        <w:t>four hours a week</w:t>
      </w:r>
      <w:r w:rsidR="00276EB1">
        <w:t>, so we will be able to link</w:t>
      </w:r>
      <w:r w:rsidR="001B570C">
        <w:t xml:space="preserve"> participant health data </w:t>
      </w:r>
      <w:r w:rsidR="00276EB1">
        <w:t>and</w:t>
      </w:r>
      <w:r w:rsidR="001B570C">
        <w:t xml:space="preserve"> environmental data by the school and room location.</w:t>
      </w:r>
      <w:r w:rsidR="00F92682">
        <w:t xml:space="preserve">  </w:t>
      </w:r>
      <w:r w:rsidR="0065095F">
        <w:t>However, no further identifying information will be collected.</w:t>
      </w:r>
    </w:p>
    <w:p w:rsidR="008B4222" w:rsidRDefault="008B4222" w:rsidP="0065095F">
      <w:pPr>
        <w:ind w:firstLine="720"/>
      </w:pPr>
    </w:p>
    <w:p w:rsidR="005D1325" w:rsidRDefault="002915E9" w:rsidP="00E25F75">
      <w:pPr>
        <w:pStyle w:val="Level2"/>
      </w:pPr>
      <w:bookmarkStart w:id="46" w:name="_Toc161124934"/>
      <w:bookmarkStart w:id="47" w:name="_Toc179766426"/>
      <w:bookmarkStart w:id="48" w:name="_Toc179774558"/>
      <w:r>
        <w:t>12.</w:t>
      </w:r>
      <w:r>
        <w:tab/>
      </w:r>
      <w:r w:rsidR="005D1325">
        <w:t>Estimates of Annualized Burden Hours and Costs</w:t>
      </w:r>
      <w:bookmarkEnd w:id="46"/>
      <w:bookmarkEnd w:id="47"/>
      <w:bookmarkEnd w:id="48"/>
    </w:p>
    <w:p w:rsidR="008313A4" w:rsidRPr="008313A4" w:rsidRDefault="008313A4" w:rsidP="00F92682"/>
    <w:p w:rsidR="005E48FB" w:rsidRDefault="008F0905" w:rsidP="008F0905">
      <w:r>
        <w:rPr>
          <w:b/>
        </w:rPr>
        <w:tab/>
      </w:r>
      <w:r w:rsidRPr="00A951A7">
        <w:t>A.</w:t>
      </w:r>
      <w:r>
        <w:rPr>
          <w:b/>
        </w:rPr>
        <w:t xml:space="preserve"> </w:t>
      </w:r>
      <w:r w:rsidR="007D4140">
        <w:t xml:space="preserve">The study population is comprised of all employees in 50 elementary schools in a large urban school district in the northeastern United States.  This is a convenience sample of elementary schools that have approximately 70-90 staff each, with a total of approximately 4,000 staff.  </w:t>
      </w:r>
      <w:r w:rsidR="00212FBA">
        <w:t xml:space="preserve">Participation in a previous </w:t>
      </w:r>
      <w:r w:rsidR="003D7430">
        <w:t>health questionnaire</w:t>
      </w:r>
      <w:r w:rsidR="00212FBA">
        <w:t xml:space="preserve"> of a school district ranged between 72-75% (OMB No. 0920-07BD, expired 10/31/11).  </w:t>
      </w:r>
      <w:r w:rsidR="007D4140">
        <w:t>In the present study, since we are working closely with the union and the district w</w:t>
      </w:r>
      <w:r w:rsidR="00212FBA">
        <w:t xml:space="preserve">e </w:t>
      </w:r>
      <w:r w:rsidR="007D4140">
        <w:t xml:space="preserve">are </w:t>
      </w:r>
      <w:r w:rsidR="00212FBA">
        <w:t>assum</w:t>
      </w:r>
      <w:r w:rsidR="007D4140">
        <w:t>ing</w:t>
      </w:r>
      <w:r w:rsidR="00212FBA">
        <w:t xml:space="preserve"> </w:t>
      </w:r>
      <w:r w:rsidR="007D4140">
        <w:t>a</w:t>
      </w:r>
      <w:r w:rsidR="00212FBA">
        <w:t xml:space="preserve"> participation rate </w:t>
      </w:r>
      <w:r w:rsidR="007D4140">
        <w:t>of 80%</w:t>
      </w:r>
      <w:r w:rsidR="00212FBA">
        <w:t xml:space="preserve">, </w:t>
      </w:r>
      <w:r w:rsidR="00266EE1">
        <w:t xml:space="preserve">which </w:t>
      </w:r>
      <w:r w:rsidR="007D4140">
        <w:t xml:space="preserve">will </w:t>
      </w:r>
      <w:r w:rsidR="00266EE1">
        <w:t>result in</w:t>
      </w:r>
      <w:r w:rsidR="007D4140">
        <w:t xml:space="preserve"> </w:t>
      </w:r>
      <w:r w:rsidR="00212FBA">
        <w:t>3,</w:t>
      </w:r>
      <w:r w:rsidR="00266EE1">
        <w:t>20</w:t>
      </w:r>
      <w:r w:rsidR="00212FBA">
        <w:t>0</w:t>
      </w:r>
      <w:r w:rsidR="00266EE1">
        <w:t xml:space="preserve"> participants</w:t>
      </w:r>
      <w:r w:rsidR="00212FBA">
        <w:t xml:space="preserve">.  </w:t>
      </w:r>
      <w:r w:rsidR="001E69D2">
        <w:t>T</w:t>
      </w:r>
      <w:r w:rsidR="005D2942">
        <w:t>he internet-based</w:t>
      </w:r>
      <w:r w:rsidR="001E69D2">
        <w:t xml:space="preserve"> questionnaire will be </w:t>
      </w:r>
      <w:r w:rsidR="0007596A">
        <w:t>about</w:t>
      </w:r>
      <w:r w:rsidR="005D2942">
        <w:t xml:space="preserve"> 20 minutes </w:t>
      </w:r>
      <w:r w:rsidR="00276EB1">
        <w:t>or less</w:t>
      </w:r>
      <w:r w:rsidR="00CB4D22">
        <w:t>, resulting in a</w:t>
      </w:r>
      <w:r w:rsidR="00804C13">
        <w:t xml:space="preserve">n </w:t>
      </w:r>
      <w:r w:rsidR="00CB4D22">
        <w:t>annual</w:t>
      </w:r>
      <w:r w:rsidR="001E69D2">
        <w:t xml:space="preserve"> burden of </w:t>
      </w:r>
      <w:r w:rsidR="00804C13">
        <w:t>1,</w:t>
      </w:r>
      <w:r w:rsidR="00266EE1">
        <w:t>067</w:t>
      </w:r>
      <w:r w:rsidR="007872CC">
        <w:t xml:space="preserve"> </w:t>
      </w:r>
      <w:r w:rsidR="005D2942">
        <w:t>hours for school workers.</w:t>
      </w:r>
      <w:r w:rsidR="00052885">
        <w:t xml:space="preserve">  If participation is less than 80%, a </w:t>
      </w:r>
      <w:r w:rsidR="007B1DB3">
        <w:t xml:space="preserve">short </w:t>
      </w:r>
      <w:r w:rsidR="00052885">
        <w:t xml:space="preserve">questionnaire will be sent to </w:t>
      </w:r>
      <w:r w:rsidR="000F6A6F">
        <w:t>400 (10%</w:t>
      </w:r>
      <w:r w:rsidR="00A27CD8" w:rsidRPr="00A27CD8">
        <w:t xml:space="preserve"> </w:t>
      </w:r>
      <w:r w:rsidR="00A27CD8">
        <w:t>of the total invited population</w:t>
      </w:r>
      <w:r w:rsidR="000F6A6F">
        <w:t xml:space="preserve">) </w:t>
      </w:r>
      <w:r w:rsidR="007B1DB3">
        <w:t xml:space="preserve">randomly selected </w:t>
      </w:r>
      <w:r w:rsidR="00E81E7F">
        <w:t>non-respondents</w:t>
      </w:r>
      <w:r w:rsidR="00052885">
        <w:t xml:space="preserve"> </w:t>
      </w:r>
      <w:r w:rsidR="00E81E7F">
        <w:t xml:space="preserve">after the main survey is closed </w:t>
      </w:r>
      <w:r w:rsidR="00052885">
        <w:t>to assess potential non-response bias.</w:t>
      </w:r>
    </w:p>
    <w:p w:rsidR="008F0905" w:rsidRDefault="008F0905" w:rsidP="000E6DFB"/>
    <w:p w:rsidR="00A61751" w:rsidRPr="00A61751" w:rsidRDefault="00A61751" w:rsidP="000A4371">
      <w:pPr>
        <w:rPr>
          <w:u w:val="single"/>
        </w:rPr>
      </w:pPr>
      <w:r w:rsidRPr="00A61751">
        <w:rPr>
          <w:u w:val="single"/>
        </w:rPr>
        <w:t>Estimated Annualized Burden Hours</w:t>
      </w:r>
    </w:p>
    <w:p w:rsidR="00BF58FE" w:rsidRDefault="00BF58FE" w:rsidP="00BF58FE">
      <w:pPr>
        <w:rPr>
          <w:color w:val="1F497D"/>
        </w:rPr>
      </w:pPr>
    </w:p>
    <w:tbl>
      <w:tblPr>
        <w:tblStyle w:val="TableGrid"/>
        <w:tblpPr w:leftFromText="180" w:rightFromText="180" w:vertAnchor="text"/>
        <w:tblW w:w="8928" w:type="dxa"/>
        <w:tblLook w:val="04A0" w:firstRow="1" w:lastRow="0" w:firstColumn="1" w:lastColumn="0" w:noHBand="0" w:noVBand="1"/>
      </w:tblPr>
      <w:tblGrid>
        <w:gridCol w:w="1728"/>
        <w:gridCol w:w="1563"/>
        <w:gridCol w:w="1443"/>
        <w:gridCol w:w="1584"/>
        <w:gridCol w:w="1350"/>
        <w:gridCol w:w="1260"/>
      </w:tblGrid>
      <w:tr w:rsidR="001D6C66" w:rsidTr="001D6C66">
        <w:tc>
          <w:tcPr>
            <w:tcW w:w="1728" w:type="dxa"/>
            <w:hideMark/>
          </w:tcPr>
          <w:p w:rsidR="00BF58FE" w:rsidRPr="00DD13B1" w:rsidRDefault="00BF58FE">
            <w:pPr>
              <w:rPr>
                <w:rFonts w:eastAsiaTheme="minorHAnsi"/>
              </w:rPr>
            </w:pPr>
            <w:r w:rsidRPr="00DD13B1">
              <w:t>Type of Respondents</w:t>
            </w:r>
          </w:p>
        </w:tc>
        <w:tc>
          <w:tcPr>
            <w:tcW w:w="1563" w:type="dxa"/>
            <w:hideMark/>
          </w:tcPr>
          <w:p w:rsidR="00BF58FE" w:rsidRPr="00DD13B1" w:rsidRDefault="003436EC">
            <w:pPr>
              <w:rPr>
                <w:rFonts w:eastAsiaTheme="minorHAnsi"/>
              </w:rPr>
            </w:pPr>
            <w:r w:rsidRPr="00DD13B1">
              <w:t>Form Name</w:t>
            </w:r>
          </w:p>
        </w:tc>
        <w:tc>
          <w:tcPr>
            <w:tcW w:w="1443" w:type="dxa"/>
            <w:hideMark/>
          </w:tcPr>
          <w:p w:rsidR="00BF58FE" w:rsidRPr="00DD13B1" w:rsidRDefault="00BF58FE">
            <w:pPr>
              <w:rPr>
                <w:rFonts w:eastAsiaTheme="minorHAnsi"/>
              </w:rPr>
            </w:pPr>
            <w:r w:rsidRPr="00DD13B1">
              <w:t>No. of Respondents</w:t>
            </w:r>
          </w:p>
        </w:tc>
        <w:tc>
          <w:tcPr>
            <w:tcW w:w="1584" w:type="dxa"/>
            <w:hideMark/>
          </w:tcPr>
          <w:p w:rsidR="00BF58FE" w:rsidRPr="00DD13B1" w:rsidRDefault="00BF58FE">
            <w:pPr>
              <w:rPr>
                <w:rFonts w:eastAsiaTheme="minorHAnsi"/>
              </w:rPr>
            </w:pPr>
            <w:r w:rsidRPr="00DD13B1">
              <w:t>No.  of Responses per Respondent</w:t>
            </w:r>
          </w:p>
        </w:tc>
        <w:tc>
          <w:tcPr>
            <w:tcW w:w="1350" w:type="dxa"/>
            <w:hideMark/>
          </w:tcPr>
          <w:p w:rsidR="00BF58FE" w:rsidRPr="00DD13B1" w:rsidRDefault="00BF58FE">
            <w:pPr>
              <w:rPr>
                <w:rFonts w:eastAsiaTheme="minorHAnsi"/>
              </w:rPr>
            </w:pPr>
            <w:r w:rsidRPr="00DD13B1">
              <w:t>Average burden per response (in hours)</w:t>
            </w:r>
          </w:p>
        </w:tc>
        <w:tc>
          <w:tcPr>
            <w:tcW w:w="1260" w:type="dxa"/>
            <w:hideMark/>
          </w:tcPr>
          <w:p w:rsidR="00BF58FE" w:rsidRPr="00DD13B1" w:rsidRDefault="00BF58FE">
            <w:pPr>
              <w:rPr>
                <w:rFonts w:eastAsiaTheme="minorHAnsi"/>
              </w:rPr>
            </w:pPr>
            <w:r w:rsidRPr="00DD13B1">
              <w:t>Total burden hours</w:t>
            </w:r>
          </w:p>
        </w:tc>
      </w:tr>
      <w:tr w:rsidR="001D6C66" w:rsidTr="001D6C66">
        <w:trPr>
          <w:trHeight w:val="710"/>
        </w:trPr>
        <w:tc>
          <w:tcPr>
            <w:tcW w:w="1728" w:type="dxa"/>
            <w:hideMark/>
          </w:tcPr>
          <w:p w:rsidR="00DD13B1" w:rsidRPr="00DD13B1" w:rsidRDefault="005D2942">
            <w:pPr>
              <w:rPr>
                <w:rFonts w:eastAsiaTheme="minorHAnsi"/>
              </w:rPr>
            </w:pPr>
            <w:r>
              <w:t>School</w:t>
            </w:r>
            <w:r w:rsidR="00DD13B1" w:rsidRPr="00DD13B1">
              <w:t xml:space="preserve"> workers </w:t>
            </w:r>
          </w:p>
        </w:tc>
        <w:tc>
          <w:tcPr>
            <w:tcW w:w="1563" w:type="dxa"/>
          </w:tcPr>
          <w:p w:rsidR="00DD13B1" w:rsidRPr="00DD13B1" w:rsidRDefault="00DD13B1" w:rsidP="00C8291B">
            <w:pPr>
              <w:rPr>
                <w:rFonts w:eastAsiaTheme="minorHAnsi"/>
              </w:rPr>
            </w:pPr>
            <w:r w:rsidRPr="00DD13B1">
              <w:rPr>
                <w:rFonts w:eastAsiaTheme="minorHAnsi"/>
              </w:rPr>
              <w:t>Questionnaire</w:t>
            </w:r>
          </w:p>
        </w:tc>
        <w:tc>
          <w:tcPr>
            <w:tcW w:w="1443" w:type="dxa"/>
            <w:hideMark/>
          </w:tcPr>
          <w:p w:rsidR="00DD13B1" w:rsidRPr="00DD13B1" w:rsidRDefault="00266EE1" w:rsidP="00266EE1">
            <w:r>
              <w:t>3</w:t>
            </w:r>
            <w:r w:rsidR="00771410">
              <w:t>,</w:t>
            </w:r>
            <w:r>
              <w:t>2</w:t>
            </w:r>
            <w:r w:rsidR="00771410">
              <w:t>00</w:t>
            </w:r>
          </w:p>
        </w:tc>
        <w:tc>
          <w:tcPr>
            <w:tcW w:w="1584" w:type="dxa"/>
            <w:hideMark/>
          </w:tcPr>
          <w:p w:rsidR="00DD13B1" w:rsidRPr="00DD13B1" w:rsidRDefault="00DD13B1" w:rsidP="00F57077">
            <w:pPr>
              <w:rPr>
                <w:rFonts w:eastAsiaTheme="minorHAnsi"/>
              </w:rPr>
            </w:pPr>
            <w:r w:rsidRPr="00DD13B1">
              <w:rPr>
                <w:rFonts w:eastAsiaTheme="minorHAnsi"/>
              </w:rPr>
              <w:t>1</w:t>
            </w:r>
          </w:p>
        </w:tc>
        <w:tc>
          <w:tcPr>
            <w:tcW w:w="1350" w:type="dxa"/>
          </w:tcPr>
          <w:p w:rsidR="00DD13B1" w:rsidRPr="00DD13B1" w:rsidRDefault="00DD13B1" w:rsidP="005E3757">
            <w:pPr>
              <w:rPr>
                <w:rFonts w:eastAsiaTheme="minorHAnsi"/>
              </w:rPr>
            </w:pPr>
            <w:r w:rsidRPr="00DD13B1">
              <w:rPr>
                <w:rFonts w:eastAsiaTheme="minorHAnsi"/>
              </w:rPr>
              <w:t>20/60</w:t>
            </w:r>
          </w:p>
        </w:tc>
        <w:tc>
          <w:tcPr>
            <w:tcW w:w="1260" w:type="dxa"/>
          </w:tcPr>
          <w:p w:rsidR="00DD13B1" w:rsidRPr="00DD13B1" w:rsidRDefault="00771410" w:rsidP="00266EE1">
            <w:pPr>
              <w:rPr>
                <w:rFonts w:eastAsiaTheme="minorHAnsi"/>
              </w:rPr>
            </w:pPr>
            <w:r>
              <w:rPr>
                <w:rFonts w:eastAsiaTheme="minorHAnsi"/>
              </w:rPr>
              <w:t>1,</w:t>
            </w:r>
            <w:r w:rsidR="00266EE1">
              <w:rPr>
                <w:rFonts w:eastAsiaTheme="minorHAnsi"/>
              </w:rPr>
              <w:t>067</w:t>
            </w:r>
          </w:p>
        </w:tc>
      </w:tr>
      <w:tr w:rsidR="000D2B34" w:rsidTr="001D6C66">
        <w:tc>
          <w:tcPr>
            <w:tcW w:w="1728" w:type="dxa"/>
          </w:tcPr>
          <w:p w:rsidR="000D2B34" w:rsidRPr="00DD13B1" w:rsidRDefault="000D2B34">
            <w:r>
              <w:t>School workers</w:t>
            </w:r>
          </w:p>
        </w:tc>
        <w:tc>
          <w:tcPr>
            <w:tcW w:w="1563" w:type="dxa"/>
          </w:tcPr>
          <w:p w:rsidR="000D2B34" w:rsidRPr="00DD13B1" w:rsidRDefault="000D2B34">
            <w:pPr>
              <w:rPr>
                <w:rFonts w:eastAsiaTheme="minorHAnsi"/>
              </w:rPr>
            </w:pPr>
            <w:r>
              <w:rPr>
                <w:rFonts w:eastAsiaTheme="minorHAnsi"/>
              </w:rPr>
              <w:t>Non-responder questionnaire</w:t>
            </w:r>
          </w:p>
        </w:tc>
        <w:tc>
          <w:tcPr>
            <w:tcW w:w="1443" w:type="dxa"/>
          </w:tcPr>
          <w:p w:rsidR="000D2B34" w:rsidDel="008F0905" w:rsidRDefault="000F6A6F">
            <w:pPr>
              <w:rPr>
                <w:rFonts w:eastAsiaTheme="minorHAnsi"/>
              </w:rPr>
            </w:pPr>
            <w:r>
              <w:rPr>
                <w:rFonts w:eastAsiaTheme="minorHAnsi"/>
              </w:rPr>
              <w:t>400</w:t>
            </w:r>
          </w:p>
        </w:tc>
        <w:tc>
          <w:tcPr>
            <w:tcW w:w="1584" w:type="dxa"/>
          </w:tcPr>
          <w:p w:rsidR="000D2B34" w:rsidRPr="00DD13B1" w:rsidRDefault="000D2B34">
            <w:pPr>
              <w:rPr>
                <w:rFonts w:eastAsiaTheme="minorHAnsi"/>
              </w:rPr>
            </w:pPr>
            <w:r>
              <w:rPr>
                <w:rFonts w:eastAsiaTheme="minorHAnsi"/>
              </w:rPr>
              <w:t>1</w:t>
            </w:r>
          </w:p>
        </w:tc>
        <w:tc>
          <w:tcPr>
            <w:tcW w:w="1350" w:type="dxa"/>
          </w:tcPr>
          <w:p w:rsidR="000D2B34" w:rsidRPr="00DD13B1" w:rsidRDefault="00A14F40">
            <w:pPr>
              <w:rPr>
                <w:rFonts w:eastAsiaTheme="minorHAnsi"/>
              </w:rPr>
            </w:pPr>
            <w:r>
              <w:rPr>
                <w:rFonts w:eastAsiaTheme="minorHAnsi"/>
              </w:rPr>
              <w:t>5</w:t>
            </w:r>
            <w:r w:rsidR="000D2B34">
              <w:rPr>
                <w:rFonts w:eastAsiaTheme="minorHAnsi"/>
              </w:rPr>
              <w:t>/60</w:t>
            </w:r>
          </w:p>
        </w:tc>
        <w:tc>
          <w:tcPr>
            <w:tcW w:w="1260" w:type="dxa"/>
          </w:tcPr>
          <w:p w:rsidR="000D2B34" w:rsidDel="008F0905" w:rsidRDefault="00A14F40" w:rsidP="007872CC">
            <w:pPr>
              <w:rPr>
                <w:rFonts w:eastAsiaTheme="minorHAnsi"/>
              </w:rPr>
            </w:pPr>
            <w:r>
              <w:rPr>
                <w:rFonts w:eastAsiaTheme="minorHAnsi"/>
              </w:rPr>
              <w:t>33</w:t>
            </w:r>
          </w:p>
        </w:tc>
      </w:tr>
      <w:tr w:rsidR="001D6C66" w:rsidTr="001D6C66">
        <w:tc>
          <w:tcPr>
            <w:tcW w:w="1728" w:type="dxa"/>
            <w:hideMark/>
          </w:tcPr>
          <w:p w:rsidR="00BF58FE" w:rsidRPr="00DD13B1" w:rsidRDefault="00BF58FE">
            <w:pPr>
              <w:rPr>
                <w:rFonts w:eastAsiaTheme="minorHAnsi"/>
              </w:rPr>
            </w:pPr>
            <w:r w:rsidRPr="00DD13B1">
              <w:t>Total</w:t>
            </w:r>
          </w:p>
        </w:tc>
        <w:tc>
          <w:tcPr>
            <w:tcW w:w="1563" w:type="dxa"/>
          </w:tcPr>
          <w:p w:rsidR="00BF58FE" w:rsidRPr="00DD13B1" w:rsidRDefault="00BF58FE">
            <w:pPr>
              <w:rPr>
                <w:rFonts w:eastAsiaTheme="minorHAnsi"/>
              </w:rPr>
            </w:pPr>
          </w:p>
        </w:tc>
        <w:tc>
          <w:tcPr>
            <w:tcW w:w="1443" w:type="dxa"/>
          </w:tcPr>
          <w:p w:rsidR="00BF58FE" w:rsidRPr="00DD13B1" w:rsidRDefault="008F0905" w:rsidP="00A14F40">
            <w:pPr>
              <w:rPr>
                <w:rFonts w:eastAsiaTheme="minorHAnsi"/>
              </w:rPr>
            </w:pPr>
            <w:r>
              <w:rPr>
                <w:rFonts w:eastAsiaTheme="minorHAnsi"/>
              </w:rPr>
              <w:t>3,</w:t>
            </w:r>
            <w:r w:rsidR="00A14F40">
              <w:rPr>
                <w:rFonts w:eastAsiaTheme="minorHAnsi"/>
              </w:rPr>
              <w:t>60</w:t>
            </w:r>
            <w:r>
              <w:rPr>
                <w:rFonts w:eastAsiaTheme="minorHAnsi"/>
              </w:rPr>
              <w:t>0</w:t>
            </w:r>
          </w:p>
        </w:tc>
        <w:tc>
          <w:tcPr>
            <w:tcW w:w="1584" w:type="dxa"/>
          </w:tcPr>
          <w:p w:rsidR="00BF58FE" w:rsidRPr="00DD13B1" w:rsidRDefault="00E81E7F">
            <w:pPr>
              <w:rPr>
                <w:rFonts w:eastAsiaTheme="minorHAnsi"/>
              </w:rPr>
            </w:pPr>
            <w:r>
              <w:rPr>
                <w:rFonts w:eastAsiaTheme="minorHAnsi"/>
              </w:rPr>
              <w:t>1</w:t>
            </w:r>
          </w:p>
        </w:tc>
        <w:tc>
          <w:tcPr>
            <w:tcW w:w="1350" w:type="dxa"/>
          </w:tcPr>
          <w:p w:rsidR="00BF58FE" w:rsidRPr="00DD13B1" w:rsidRDefault="00BF58FE">
            <w:pPr>
              <w:rPr>
                <w:rFonts w:eastAsiaTheme="minorHAnsi"/>
              </w:rPr>
            </w:pPr>
          </w:p>
        </w:tc>
        <w:tc>
          <w:tcPr>
            <w:tcW w:w="1260" w:type="dxa"/>
          </w:tcPr>
          <w:p w:rsidR="00BF58FE" w:rsidRPr="00DD13B1" w:rsidRDefault="008F0905" w:rsidP="00A14F40">
            <w:pPr>
              <w:rPr>
                <w:rFonts w:eastAsiaTheme="minorHAnsi"/>
              </w:rPr>
            </w:pPr>
            <w:r>
              <w:rPr>
                <w:rFonts w:eastAsiaTheme="minorHAnsi"/>
              </w:rPr>
              <w:t>1,</w:t>
            </w:r>
            <w:r w:rsidR="00A14F40">
              <w:rPr>
                <w:rFonts w:eastAsiaTheme="minorHAnsi"/>
              </w:rPr>
              <w:t>10</w:t>
            </w:r>
            <w:r>
              <w:rPr>
                <w:rFonts w:eastAsiaTheme="minorHAnsi"/>
              </w:rPr>
              <w:t>0</w:t>
            </w:r>
          </w:p>
        </w:tc>
      </w:tr>
    </w:tbl>
    <w:p w:rsidR="00B62A4E" w:rsidRDefault="00B62A4E" w:rsidP="000A4371"/>
    <w:p w:rsidR="00EC1562" w:rsidRDefault="000E6DFB" w:rsidP="000A4371">
      <w:r>
        <w:tab/>
      </w:r>
      <w:r w:rsidR="00FC4A1A">
        <w:t xml:space="preserve">B.  </w:t>
      </w:r>
      <w:r>
        <w:t>To estimate annual burden costs, we cons</w:t>
      </w:r>
      <w:r w:rsidR="00443E00">
        <w:t xml:space="preserve">idered the </w:t>
      </w:r>
      <w:r w:rsidR="000D2B34">
        <w:t>proportion</w:t>
      </w:r>
      <w:r w:rsidR="00443E00">
        <w:t xml:space="preserve"> of</w:t>
      </w:r>
      <w:r>
        <w:t xml:space="preserve"> each occupational group</w:t>
      </w:r>
      <w:r w:rsidR="00443E00">
        <w:t xml:space="preserve"> </w:t>
      </w:r>
      <w:r w:rsidR="00FC4A1A">
        <w:t>with</w:t>
      </w:r>
      <w:r w:rsidR="00443E00">
        <w:t>in a school</w:t>
      </w:r>
      <w:r>
        <w:t xml:space="preserve">, including </w:t>
      </w:r>
      <w:r w:rsidR="000D2B34">
        <w:t xml:space="preserve">the average percentage of </w:t>
      </w:r>
      <w:r w:rsidR="005747E4">
        <w:t>teachers (54%)</w:t>
      </w:r>
      <w:r w:rsidR="00F07376">
        <w:t xml:space="preserve">, instructional aides (12%), </w:t>
      </w:r>
      <w:r w:rsidR="00443E00">
        <w:t>administration</w:t>
      </w:r>
      <w:r w:rsidR="005747E4">
        <w:t xml:space="preserve"> (3%)</w:t>
      </w:r>
      <w:r w:rsidR="00443E00">
        <w:t>, guidance counselors</w:t>
      </w:r>
      <w:r w:rsidR="005747E4">
        <w:t xml:space="preserve"> (2%)</w:t>
      </w:r>
      <w:r w:rsidR="00443E00">
        <w:t>, librarians</w:t>
      </w:r>
      <w:r w:rsidR="005747E4">
        <w:t xml:space="preserve"> (1%)</w:t>
      </w:r>
      <w:r w:rsidR="00443E00">
        <w:t xml:space="preserve">, </w:t>
      </w:r>
      <w:r w:rsidR="00F07376">
        <w:t xml:space="preserve">and other school staff (28%) </w:t>
      </w:r>
      <w:proofErr w:type="gramStart"/>
      <w:r w:rsidR="00443E00">
        <w:t>(National Center for Education Statistics, 2007).</w:t>
      </w:r>
      <w:proofErr w:type="gramEnd"/>
      <w:r w:rsidR="00443E00">
        <w:t xml:space="preserve">  </w:t>
      </w:r>
    </w:p>
    <w:p w:rsidR="00080AB3" w:rsidRDefault="00F07376" w:rsidP="000A4371">
      <w:r>
        <w:lastRenderedPageBreak/>
        <w:t>We used the Bureau of Labor Statistics median annual salaries from</w:t>
      </w:r>
      <w:r w:rsidR="00080AB3">
        <w:t xml:space="preserve"> 201</w:t>
      </w:r>
      <w:r w:rsidR="00C66975">
        <w:t>3</w:t>
      </w:r>
      <w:r w:rsidR="00080AB3">
        <w:t xml:space="preserve"> to calculate hourly wages</w:t>
      </w:r>
      <w:r>
        <w:t xml:space="preserve"> (BLS</w:t>
      </w:r>
      <w:r w:rsidR="003D7430">
        <w:t>,</w:t>
      </w:r>
      <w:r w:rsidR="00C66975">
        <w:t xml:space="preserve"> 2013</w:t>
      </w:r>
      <w:r>
        <w:t>)</w:t>
      </w:r>
      <w:r w:rsidR="00D93CCD">
        <w:t xml:space="preserve"> </w:t>
      </w:r>
      <w:r w:rsidR="00FC4A1A">
        <w:t xml:space="preserve">for these occupations </w:t>
      </w:r>
      <w:r w:rsidR="00D93CCD">
        <w:t>based on a</w:t>
      </w:r>
      <w:r w:rsidR="003D7430">
        <w:t>n eight-</w:t>
      </w:r>
      <w:r w:rsidR="00D93CCD">
        <w:t>hou</w:t>
      </w:r>
      <w:r w:rsidR="00FC4A1A">
        <w:t>r work day for 185 days</w:t>
      </w:r>
      <w:r w:rsidR="00D93CCD">
        <w:t>, with the exception of administrators, which were based on a normal 12 month work schedule</w:t>
      </w:r>
      <w:r>
        <w:t>.</w:t>
      </w:r>
      <w:r w:rsidR="00134CAF">
        <w:t xml:space="preserve"> Based on these numbers, we estimate the total respondent cost to be $</w:t>
      </w:r>
      <w:r w:rsidR="00782321">
        <w:t>35,111</w:t>
      </w:r>
      <w:r w:rsidR="00134CAF">
        <w:t xml:space="preserve"> for </w:t>
      </w:r>
      <w:r w:rsidR="00994FC7">
        <w:t>the health questionnaire and $1,158</w:t>
      </w:r>
      <w:r w:rsidR="00134CAF">
        <w:t xml:space="preserve"> for the non-respondent questionnaire.</w:t>
      </w:r>
    </w:p>
    <w:p w:rsidR="00EC1562" w:rsidRDefault="00F07376" w:rsidP="000A4371">
      <w:r>
        <w:t xml:space="preserve">  </w:t>
      </w:r>
    </w:p>
    <w:p w:rsidR="00BD40B9" w:rsidRPr="00A61751" w:rsidRDefault="002C06AE" w:rsidP="0061608C">
      <w:pPr>
        <w:outlineLvl w:val="3"/>
        <w:rPr>
          <w:color w:val="0000FF"/>
          <w:u w:val="single"/>
        </w:rPr>
      </w:pPr>
      <w:r w:rsidRPr="00B672B5">
        <w:rPr>
          <w:u w:val="single"/>
        </w:rPr>
        <w:t xml:space="preserve">Estimated </w:t>
      </w:r>
      <w:r w:rsidR="002E0EC1">
        <w:rPr>
          <w:u w:val="single"/>
        </w:rPr>
        <w:t>A</w:t>
      </w:r>
      <w:r w:rsidR="00B672B5" w:rsidRPr="00B672B5">
        <w:rPr>
          <w:u w:val="single"/>
        </w:rPr>
        <w:t xml:space="preserve">nnualized </w:t>
      </w:r>
      <w:r w:rsidR="002E0EC1">
        <w:rPr>
          <w:u w:val="single"/>
        </w:rPr>
        <w:t xml:space="preserve">Burden </w:t>
      </w:r>
      <w:r w:rsidR="00FE2319">
        <w:rPr>
          <w:u w:val="single"/>
        </w:rPr>
        <w:t>Costs</w:t>
      </w:r>
      <w:r w:rsidR="00A61751">
        <w:rPr>
          <w:rStyle w:val="Hyperlink"/>
        </w:rPr>
        <w:t xml:space="preserve"> </w:t>
      </w:r>
    </w:p>
    <w:p w:rsidR="00CA344A" w:rsidRDefault="002C06AE" w:rsidP="0061608C">
      <w:pPr>
        <w:outlineLvl w:val="3"/>
        <w:rPr>
          <w:b/>
        </w:rPr>
      </w:pPr>
      <w:r>
        <w:rPr>
          <w:b/>
        </w:rPr>
        <w:tab/>
      </w:r>
    </w:p>
    <w:tbl>
      <w:tblPr>
        <w:tblStyle w:val="TableGrid"/>
        <w:tblW w:w="0" w:type="auto"/>
        <w:tblInd w:w="108" w:type="dxa"/>
        <w:tblLook w:val="01E0" w:firstRow="1" w:lastRow="1" w:firstColumn="1" w:lastColumn="1" w:noHBand="0" w:noVBand="0"/>
      </w:tblPr>
      <w:tblGrid>
        <w:gridCol w:w="2520"/>
        <w:gridCol w:w="1968"/>
        <w:gridCol w:w="1337"/>
        <w:gridCol w:w="1512"/>
        <w:gridCol w:w="1411"/>
      </w:tblGrid>
      <w:tr w:rsidR="00243F3E" w:rsidTr="00243F3E">
        <w:tc>
          <w:tcPr>
            <w:tcW w:w="2520" w:type="dxa"/>
          </w:tcPr>
          <w:p w:rsidR="00243F3E" w:rsidRDefault="00243F3E" w:rsidP="00CA344A">
            <w:r>
              <w:t>Type of Respondent</w:t>
            </w:r>
          </w:p>
        </w:tc>
        <w:tc>
          <w:tcPr>
            <w:tcW w:w="1968" w:type="dxa"/>
          </w:tcPr>
          <w:p w:rsidR="00243F3E" w:rsidRDefault="00243F3E" w:rsidP="00CA344A">
            <w:r>
              <w:t>Form name</w:t>
            </w:r>
          </w:p>
        </w:tc>
        <w:tc>
          <w:tcPr>
            <w:tcW w:w="1337" w:type="dxa"/>
          </w:tcPr>
          <w:p w:rsidR="00243F3E" w:rsidRDefault="00243F3E" w:rsidP="00CA344A">
            <w:r>
              <w:t>Total Burden Hours</w:t>
            </w:r>
          </w:p>
        </w:tc>
        <w:tc>
          <w:tcPr>
            <w:tcW w:w="1512" w:type="dxa"/>
          </w:tcPr>
          <w:p w:rsidR="00243F3E" w:rsidRDefault="00243F3E" w:rsidP="00CA344A">
            <w:r>
              <w:t>Hourly Wage Rate</w:t>
            </w:r>
          </w:p>
        </w:tc>
        <w:tc>
          <w:tcPr>
            <w:tcW w:w="1411" w:type="dxa"/>
          </w:tcPr>
          <w:p w:rsidR="00243F3E" w:rsidRDefault="00243F3E" w:rsidP="00CA344A">
            <w:r>
              <w:t>Total Respondent Costs</w:t>
            </w:r>
          </w:p>
        </w:tc>
      </w:tr>
      <w:tr w:rsidR="00243F3E" w:rsidTr="00243F3E">
        <w:tc>
          <w:tcPr>
            <w:tcW w:w="2520" w:type="dxa"/>
            <w:vMerge w:val="restart"/>
          </w:tcPr>
          <w:p w:rsidR="00243F3E" w:rsidRDefault="00243F3E" w:rsidP="003436EC">
            <w:r>
              <w:t>Teachers</w:t>
            </w:r>
          </w:p>
        </w:tc>
        <w:tc>
          <w:tcPr>
            <w:tcW w:w="1968" w:type="dxa"/>
          </w:tcPr>
          <w:p w:rsidR="00243F3E" w:rsidRDefault="00243F3E" w:rsidP="007872CC">
            <w:r>
              <w:t>Questionnaire</w:t>
            </w:r>
          </w:p>
        </w:tc>
        <w:tc>
          <w:tcPr>
            <w:tcW w:w="1337" w:type="dxa"/>
          </w:tcPr>
          <w:p w:rsidR="00243F3E" w:rsidRDefault="00243F3E" w:rsidP="007872CC">
            <w:r>
              <w:t>576</w:t>
            </w:r>
          </w:p>
        </w:tc>
        <w:tc>
          <w:tcPr>
            <w:tcW w:w="1512" w:type="dxa"/>
            <w:vMerge w:val="restart"/>
          </w:tcPr>
          <w:p w:rsidR="00243F3E" w:rsidRDefault="00243F3E" w:rsidP="00E75A51">
            <w:r>
              <w:t>$35.87</w:t>
            </w:r>
          </w:p>
        </w:tc>
        <w:tc>
          <w:tcPr>
            <w:tcW w:w="1411" w:type="dxa"/>
          </w:tcPr>
          <w:p w:rsidR="00243F3E" w:rsidRDefault="00243F3E" w:rsidP="00243F3E">
            <w:r>
              <w:t>$20,662</w:t>
            </w:r>
          </w:p>
        </w:tc>
      </w:tr>
      <w:tr w:rsidR="00243F3E" w:rsidTr="00243F3E">
        <w:tc>
          <w:tcPr>
            <w:tcW w:w="2520" w:type="dxa"/>
            <w:vMerge/>
          </w:tcPr>
          <w:p w:rsidR="00243F3E" w:rsidRDefault="00243F3E" w:rsidP="003436EC"/>
        </w:tc>
        <w:tc>
          <w:tcPr>
            <w:tcW w:w="1968" w:type="dxa"/>
          </w:tcPr>
          <w:p w:rsidR="00243F3E" w:rsidRDefault="00243F3E" w:rsidP="007872CC">
            <w:r>
              <w:t>Non-Respondent</w:t>
            </w:r>
          </w:p>
        </w:tc>
        <w:tc>
          <w:tcPr>
            <w:tcW w:w="1337" w:type="dxa"/>
          </w:tcPr>
          <w:p w:rsidR="00243F3E" w:rsidRDefault="00243F3E" w:rsidP="007872CC">
            <w:r>
              <w:t>18</w:t>
            </w:r>
          </w:p>
        </w:tc>
        <w:tc>
          <w:tcPr>
            <w:tcW w:w="1512" w:type="dxa"/>
            <w:vMerge/>
          </w:tcPr>
          <w:p w:rsidR="00243F3E" w:rsidRDefault="00243F3E" w:rsidP="00C112C3"/>
        </w:tc>
        <w:tc>
          <w:tcPr>
            <w:tcW w:w="1411" w:type="dxa"/>
          </w:tcPr>
          <w:p w:rsidR="00243F3E" w:rsidRDefault="00243F3E" w:rsidP="007872CC">
            <w:r>
              <w:t>$646</w:t>
            </w:r>
          </w:p>
        </w:tc>
      </w:tr>
      <w:tr w:rsidR="00243F3E" w:rsidTr="00243F3E">
        <w:tc>
          <w:tcPr>
            <w:tcW w:w="2520" w:type="dxa"/>
            <w:vMerge w:val="restart"/>
          </w:tcPr>
          <w:p w:rsidR="00243F3E" w:rsidDel="000D2B34" w:rsidRDefault="00243F3E" w:rsidP="003436EC">
            <w:r>
              <w:t>Instructional aides</w:t>
            </w:r>
          </w:p>
        </w:tc>
        <w:tc>
          <w:tcPr>
            <w:tcW w:w="1968" w:type="dxa"/>
          </w:tcPr>
          <w:p w:rsidR="00243F3E" w:rsidRDefault="00243F3E" w:rsidP="007872CC">
            <w:r>
              <w:t>Questionnaire</w:t>
            </w:r>
          </w:p>
        </w:tc>
        <w:tc>
          <w:tcPr>
            <w:tcW w:w="1337" w:type="dxa"/>
          </w:tcPr>
          <w:p w:rsidR="00243F3E" w:rsidDel="00E21638" w:rsidRDefault="00243F3E" w:rsidP="007872CC">
            <w:r>
              <w:t>128</w:t>
            </w:r>
          </w:p>
        </w:tc>
        <w:tc>
          <w:tcPr>
            <w:tcW w:w="1512" w:type="dxa"/>
            <w:vMerge w:val="restart"/>
          </w:tcPr>
          <w:p w:rsidR="00243F3E" w:rsidDel="00E21638" w:rsidRDefault="00243F3E" w:rsidP="00C112C3">
            <w:r>
              <w:t>$15.97</w:t>
            </w:r>
          </w:p>
        </w:tc>
        <w:tc>
          <w:tcPr>
            <w:tcW w:w="1411" w:type="dxa"/>
          </w:tcPr>
          <w:p w:rsidR="00243F3E" w:rsidDel="00E21638" w:rsidRDefault="00243F3E" w:rsidP="007872CC">
            <w:r>
              <w:t>$2,045</w:t>
            </w:r>
          </w:p>
        </w:tc>
      </w:tr>
      <w:tr w:rsidR="00243F3E" w:rsidTr="00243F3E">
        <w:tc>
          <w:tcPr>
            <w:tcW w:w="2520" w:type="dxa"/>
            <w:vMerge/>
          </w:tcPr>
          <w:p w:rsidR="00243F3E" w:rsidRDefault="00243F3E" w:rsidP="003436EC"/>
        </w:tc>
        <w:tc>
          <w:tcPr>
            <w:tcW w:w="1968" w:type="dxa"/>
          </w:tcPr>
          <w:p w:rsidR="00243F3E" w:rsidRDefault="00243F3E" w:rsidP="007872CC">
            <w:r>
              <w:t>Non-Respondent</w:t>
            </w:r>
          </w:p>
        </w:tc>
        <w:tc>
          <w:tcPr>
            <w:tcW w:w="1337" w:type="dxa"/>
          </w:tcPr>
          <w:p w:rsidR="00243F3E" w:rsidRDefault="00243F3E" w:rsidP="007872CC">
            <w:r>
              <w:t>4</w:t>
            </w:r>
          </w:p>
        </w:tc>
        <w:tc>
          <w:tcPr>
            <w:tcW w:w="1512" w:type="dxa"/>
            <w:vMerge/>
          </w:tcPr>
          <w:p w:rsidR="00243F3E" w:rsidRDefault="00243F3E" w:rsidP="00C112C3"/>
        </w:tc>
        <w:tc>
          <w:tcPr>
            <w:tcW w:w="1411" w:type="dxa"/>
          </w:tcPr>
          <w:p w:rsidR="00243F3E" w:rsidRDefault="00243F3E" w:rsidP="007872CC">
            <w:r>
              <w:t>$64</w:t>
            </w:r>
          </w:p>
        </w:tc>
      </w:tr>
      <w:tr w:rsidR="00782321" w:rsidTr="00243F3E">
        <w:tc>
          <w:tcPr>
            <w:tcW w:w="2520" w:type="dxa"/>
            <w:vMerge w:val="restart"/>
          </w:tcPr>
          <w:p w:rsidR="00782321" w:rsidDel="000D2B34" w:rsidRDefault="00782321" w:rsidP="003436EC">
            <w:r>
              <w:t>Administration</w:t>
            </w:r>
          </w:p>
        </w:tc>
        <w:tc>
          <w:tcPr>
            <w:tcW w:w="1968" w:type="dxa"/>
          </w:tcPr>
          <w:p w:rsidR="00782321" w:rsidRDefault="00782321" w:rsidP="007872CC">
            <w:r>
              <w:t>Questionnaire</w:t>
            </w:r>
          </w:p>
        </w:tc>
        <w:tc>
          <w:tcPr>
            <w:tcW w:w="1337" w:type="dxa"/>
          </w:tcPr>
          <w:p w:rsidR="00782321" w:rsidDel="00E21638" w:rsidRDefault="00782321" w:rsidP="007872CC">
            <w:r>
              <w:t>32</w:t>
            </w:r>
          </w:p>
        </w:tc>
        <w:tc>
          <w:tcPr>
            <w:tcW w:w="1512" w:type="dxa"/>
            <w:vMerge w:val="restart"/>
          </w:tcPr>
          <w:p w:rsidR="00782321" w:rsidDel="00E21638" w:rsidRDefault="00782321" w:rsidP="00C112C3">
            <w:r>
              <w:t>$42.19</w:t>
            </w:r>
          </w:p>
        </w:tc>
        <w:tc>
          <w:tcPr>
            <w:tcW w:w="1411" w:type="dxa"/>
          </w:tcPr>
          <w:p w:rsidR="00782321" w:rsidDel="00E21638" w:rsidRDefault="00782321" w:rsidP="005E4B20">
            <w:r>
              <w:t>$1,351</w:t>
            </w:r>
          </w:p>
        </w:tc>
      </w:tr>
      <w:tr w:rsidR="00782321" w:rsidTr="00243F3E">
        <w:tc>
          <w:tcPr>
            <w:tcW w:w="2520" w:type="dxa"/>
            <w:vMerge/>
          </w:tcPr>
          <w:p w:rsidR="00782321" w:rsidRDefault="00782321" w:rsidP="003436EC"/>
        </w:tc>
        <w:tc>
          <w:tcPr>
            <w:tcW w:w="1968" w:type="dxa"/>
          </w:tcPr>
          <w:p w:rsidR="00782321" w:rsidRDefault="00782321" w:rsidP="007872CC">
            <w:r>
              <w:t>Non-Respondent</w:t>
            </w:r>
          </w:p>
        </w:tc>
        <w:tc>
          <w:tcPr>
            <w:tcW w:w="1337" w:type="dxa"/>
          </w:tcPr>
          <w:p w:rsidR="00782321" w:rsidRDefault="00782321" w:rsidP="007872CC">
            <w:r>
              <w:t>1</w:t>
            </w:r>
          </w:p>
        </w:tc>
        <w:tc>
          <w:tcPr>
            <w:tcW w:w="1512" w:type="dxa"/>
            <w:vMerge/>
          </w:tcPr>
          <w:p w:rsidR="00782321" w:rsidRDefault="00782321" w:rsidP="00C112C3"/>
        </w:tc>
        <w:tc>
          <w:tcPr>
            <w:tcW w:w="1411" w:type="dxa"/>
          </w:tcPr>
          <w:p w:rsidR="00782321" w:rsidRDefault="00782321" w:rsidP="007872CC">
            <w:r>
              <w:t>$43</w:t>
            </w:r>
          </w:p>
        </w:tc>
      </w:tr>
      <w:tr w:rsidR="00782321" w:rsidTr="00243F3E">
        <w:tc>
          <w:tcPr>
            <w:tcW w:w="2520" w:type="dxa"/>
            <w:vMerge w:val="restart"/>
          </w:tcPr>
          <w:p w:rsidR="00782321" w:rsidDel="000D2B34" w:rsidRDefault="00782321" w:rsidP="003436EC">
            <w:r>
              <w:t>Guidance counselors</w:t>
            </w:r>
          </w:p>
        </w:tc>
        <w:tc>
          <w:tcPr>
            <w:tcW w:w="1968" w:type="dxa"/>
          </w:tcPr>
          <w:p w:rsidR="00782321" w:rsidRDefault="00782321" w:rsidP="007872CC">
            <w:r>
              <w:t>Questionnaire</w:t>
            </w:r>
          </w:p>
        </w:tc>
        <w:tc>
          <w:tcPr>
            <w:tcW w:w="1337" w:type="dxa"/>
          </w:tcPr>
          <w:p w:rsidR="00782321" w:rsidDel="00E21638" w:rsidRDefault="00782321" w:rsidP="007872CC">
            <w:r>
              <w:t>22</w:t>
            </w:r>
          </w:p>
        </w:tc>
        <w:tc>
          <w:tcPr>
            <w:tcW w:w="1512" w:type="dxa"/>
            <w:vMerge w:val="restart"/>
          </w:tcPr>
          <w:p w:rsidR="00782321" w:rsidDel="00E21638" w:rsidRDefault="00782321" w:rsidP="00C112C3">
            <w:r>
              <w:t>$36.22</w:t>
            </w:r>
          </w:p>
        </w:tc>
        <w:tc>
          <w:tcPr>
            <w:tcW w:w="1411" w:type="dxa"/>
          </w:tcPr>
          <w:p w:rsidR="00782321" w:rsidDel="00E21638" w:rsidRDefault="00782321" w:rsidP="007872CC">
            <w:r>
              <w:t>$797</w:t>
            </w:r>
          </w:p>
        </w:tc>
      </w:tr>
      <w:tr w:rsidR="00782321" w:rsidTr="00243F3E">
        <w:tc>
          <w:tcPr>
            <w:tcW w:w="2520" w:type="dxa"/>
            <w:vMerge/>
          </w:tcPr>
          <w:p w:rsidR="00782321" w:rsidRDefault="00782321" w:rsidP="003436EC"/>
        </w:tc>
        <w:tc>
          <w:tcPr>
            <w:tcW w:w="1968" w:type="dxa"/>
          </w:tcPr>
          <w:p w:rsidR="00782321" w:rsidRDefault="00782321" w:rsidP="007872CC">
            <w:r>
              <w:t>Non-Respondent</w:t>
            </w:r>
          </w:p>
        </w:tc>
        <w:tc>
          <w:tcPr>
            <w:tcW w:w="1337" w:type="dxa"/>
          </w:tcPr>
          <w:p w:rsidR="00782321" w:rsidRDefault="00782321" w:rsidP="007872CC">
            <w:r>
              <w:t>1</w:t>
            </w:r>
          </w:p>
        </w:tc>
        <w:tc>
          <w:tcPr>
            <w:tcW w:w="1512" w:type="dxa"/>
            <w:vMerge/>
          </w:tcPr>
          <w:p w:rsidR="00782321" w:rsidRDefault="00782321" w:rsidP="00E75A51"/>
        </w:tc>
        <w:tc>
          <w:tcPr>
            <w:tcW w:w="1411" w:type="dxa"/>
          </w:tcPr>
          <w:p w:rsidR="00782321" w:rsidRDefault="00782321" w:rsidP="007872CC">
            <w:r>
              <w:t>$37</w:t>
            </w:r>
          </w:p>
        </w:tc>
      </w:tr>
      <w:tr w:rsidR="00782321" w:rsidTr="00243F3E">
        <w:tc>
          <w:tcPr>
            <w:tcW w:w="2520" w:type="dxa"/>
            <w:vMerge w:val="restart"/>
          </w:tcPr>
          <w:p w:rsidR="00782321" w:rsidRDefault="00782321" w:rsidP="003436EC">
            <w:r>
              <w:t>Librarians</w:t>
            </w:r>
          </w:p>
        </w:tc>
        <w:tc>
          <w:tcPr>
            <w:tcW w:w="1968" w:type="dxa"/>
          </w:tcPr>
          <w:p w:rsidR="00782321" w:rsidRDefault="00782321" w:rsidP="007872CC">
            <w:r>
              <w:t>Questionnaire</w:t>
            </w:r>
          </w:p>
        </w:tc>
        <w:tc>
          <w:tcPr>
            <w:tcW w:w="1337" w:type="dxa"/>
          </w:tcPr>
          <w:p w:rsidR="00782321" w:rsidDel="00E21638" w:rsidRDefault="00782321" w:rsidP="007872CC">
            <w:r>
              <w:t>11</w:t>
            </w:r>
          </w:p>
        </w:tc>
        <w:tc>
          <w:tcPr>
            <w:tcW w:w="1512" w:type="dxa"/>
            <w:vMerge w:val="restart"/>
          </w:tcPr>
          <w:p w:rsidR="00782321" w:rsidDel="00E21638" w:rsidRDefault="00782321" w:rsidP="00E75A51">
            <w:r>
              <w:t>$37.41</w:t>
            </w:r>
          </w:p>
        </w:tc>
        <w:tc>
          <w:tcPr>
            <w:tcW w:w="1411" w:type="dxa"/>
          </w:tcPr>
          <w:p w:rsidR="00782321" w:rsidDel="00E21638" w:rsidRDefault="00782321" w:rsidP="007872CC">
            <w:r>
              <w:t>$412</w:t>
            </w:r>
          </w:p>
        </w:tc>
      </w:tr>
      <w:tr w:rsidR="00782321" w:rsidTr="00243F3E">
        <w:tc>
          <w:tcPr>
            <w:tcW w:w="2520" w:type="dxa"/>
            <w:vMerge/>
          </w:tcPr>
          <w:p w:rsidR="00782321" w:rsidRDefault="00782321" w:rsidP="003436EC"/>
        </w:tc>
        <w:tc>
          <w:tcPr>
            <w:tcW w:w="1968" w:type="dxa"/>
          </w:tcPr>
          <w:p w:rsidR="00782321" w:rsidRDefault="00782321" w:rsidP="007872CC">
            <w:r>
              <w:t>Non-Respondent</w:t>
            </w:r>
          </w:p>
        </w:tc>
        <w:tc>
          <w:tcPr>
            <w:tcW w:w="1337" w:type="dxa"/>
          </w:tcPr>
          <w:p w:rsidR="00782321" w:rsidRDefault="00782321" w:rsidP="007872CC">
            <w:r>
              <w:t>1</w:t>
            </w:r>
          </w:p>
        </w:tc>
        <w:tc>
          <w:tcPr>
            <w:tcW w:w="1512" w:type="dxa"/>
            <w:vMerge/>
          </w:tcPr>
          <w:p w:rsidR="00782321" w:rsidRDefault="00782321" w:rsidP="00E75A51"/>
        </w:tc>
        <w:tc>
          <w:tcPr>
            <w:tcW w:w="1411" w:type="dxa"/>
          </w:tcPr>
          <w:p w:rsidR="00782321" w:rsidRDefault="00782321" w:rsidP="007872CC">
            <w:r>
              <w:t>$38</w:t>
            </w:r>
          </w:p>
        </w:tc>
      </w:tr>
      <w:tr w:rsidR="00782321" w:rsidTr="00243F3E">
        <w:tc>
          <w:tcPr>
            <w:tcW w:w="2520" w:type="dxa"/>
            <w:vMerge w:val="restart"/>
          </w:tcPr>
          <w:p w:rsidR="00782321" w:rsidRDefault="00782321" w:rsidP="003436EC">
            <w:r>
              <w:t>Education, training, and library occupation, general</w:t>
            </w:r>
          </w:p>
        </w:tc>
        <w:tc>
          <w:tcPr>
            <w:tcW w:w="1968" w:type="dxa"/>
          </w:tcPr>
          <w:p w:rsidR="00782321" w:rsidRDefault="00782321" w:rsidP="007872CC">
            <w:r>
              <w:t>Questionnaire</w:t>
            </w:r>
          </w:p>
        </w:tc>
        <w:tc>
          <w:tcPr>
            <w:tcW w:w="1337" w:type="dxa"/>
          </w:tcPr>
          <w:p w:rsidR="00782321" w:rsidDel="00E21638" w:rsidRDefault="00782321" w:rsidP="007872CC">
            <w:r>
              <w:t>299</w:t>
            </w:r>
          </w:p>
        </w:tc>
        <w:tc>
          <w:tcPr>
            <w:tcW w:w="1512" w:type="dxa"/>
            <w:vMerge w:val="restart"/>
          </w:tcPr>
          <w:p w:rsidR="00782321" w:rsidRDefault="00782321" w:rsidP="00E75A51">
            <w:r>
              <w:t>$32.92</w:t>
            </w:r>
          </w:p>
        </w:tc>
        <w:tc>
          <w:tcPr>
            <w:tcW w:w="1411" w:type="dxa"/>
          </w:tcPr>
          <w:p w:rsidR="00782321" w:rsidDel="00E21638" w:rsidRDefault="00782321" w:rsidP="00782321">
            <w:r>
              <w:t>$9,844</w:t>
            </w:r>
          </w:p>
        </w:tc>
      </w:tr>
      <w:tr w:rsidR="00782321" w:rsidTr="00243F3E">
        <w:tc>
          <w:tcPr>
            <w:tcW w:w="2520" w:type="dxa"/>
            <w:vMerge/>
          </w:tcPr>
          <w:p w:rsidR="00782321" w:rsidRDefault="00782321" w:rsidP="003F0876"/>
        </w:tc>
        <w:tc>
          <w:tcPr>
            <w:tcW w:w="1968" w:type="dxa"/>
          </w:tcPr>
          <w:p w:rsidR="00782321" w:rsidRDefault="00782321" w:rsidP="007872CC">
            <w:r>
              <w:t>Non-Respondent</w:t>
            </w:r>
          </w:p>
        </w:tc>
        <w:tc>
          <w:tcPr>
            <w:tcW w:w="1337" w:type="dxa"/>
          </w:tcPr>
          <w:p w:rsidR="00782321" w:rsidRDefault="00782321" w:rsidP="007872CC">
            <w:r>
              <w:t>10</w:t>
            </w:r>
          </w:p>
        </w:tc>
        <w:tc>
          <w:tcPr>
            <w:tcW w:w="1512" w:type="dxa"/>
            <w:vMerge/>
          </w:tcPr>
          <w:p w:rsidR="00782321" w:rsidRDefault="00782321" w:rsidP="00E75A51"/>
        </w:tc>
        <w:tc>
          <w:tcPr>
            <w:tcW w:w="1411" w:type="dxa"/>
          </w:tcPr>
          <w:p w:rsidR="00782321" w:rsidRDefault="00782321" w:rsidP="007872CC">
            <w:r>
              <w:t>$330</w:t>
            </w:r>
          </w:p>
        </w:tc>
      </w:tr>
      <w:tr w:rsidR="00243F3E" w:rsidTr="00243F3E">
        <w:tc>
          <w:tcPr>
            <w:tcW w:w="2520" w:type="dxa"/>
          </w:tcPr>
          <w:p w:rsidR="00243F3E" w:rsidRPr="00782321" w:rsidRDefault="00243F3E" w:rsidP="003436EC">
            <w:pPr>
              <w:rPr>
                <w:b/>
              </w:rPr>
            </w:pPr>
            <w:r w:rsidRPr="00782321">
              <w:rPr>
                <w:b/>
              </w:rPr>
              <w:t>Total</w:t>
            </w:r>
          </w:p>
        </w:tc>
        <w:tc>
          <w:tcPr>
            <w:tcW w:w="1968" w:type="dxa"/>
          </w:tcPr>
          <w:p w:rsidR="00243F3E" w:rsidRPr="00782321" w:rsidRDefault="00243F3E" w:rsidP="007872CC">
            <w:pPr>
              <w:rPr>
                <w:b/>
              </w:rPr>
            </w:pPr>
          </w:p>
        </w:tc>
        <w:tc>
          <w:tcPr>
            <w:tcW w:w="1337" w:type="dxa"/>
          </w:tcPr>
          <w:p w:rsidR="00243F3E" w:rsidRPr="00782321" w:rsidRDefault="00243F3E" w:rsidP="007872CC">
            <w:pPr>
              <w:rPr>
                <w:b/>
              </w:rPr>
            </w:pPr>
          </w:p>
        </w:tc>
        <w:tc>
          <w:tcPr>
            <w:tcW w:w="1512" w:type="dxa"/>
          </w:tcPr>
          <w:p w:rsidR="00243F3E" w:rsidRPr="00782321" w:rsidRDefault="00243F3E" w:rsidP="00E75A51">
            <w:pPr>
              <w:rPr>
                <w:b/>
              </w:rPr>
            </w:pPr>
          </w:p>
        </w:tc>
        <w:tc>
          <w:tcPr>
            <w:tcW w:w="1411" w:type="dxa"/>
          </w:tcPr>
          <w:p w:rsidR="00243F3E" w:rsidRPr="00782321" w:rsidRDefault="00243F3E" w:rsidP="007872CC">
            <w:pPr>
              <w:rPr>
                <w:b/>
              </w:rPr>
            </w:pPr>
            <w:r w:rsidRPr="00782321">
              <w:rPr>
                <w:b/>
              </w:rPr>
              <w:t>$</w:t>
            </w:r>
            <w:r w:rsidR="00782321">
              <w:rPr>
                <w:b/>
              </w:rPr>
              <w:t>36,269</w:t>
            </w:r>
          </w:p>
        </w:tc>
      </w:tr>
    </w:tbl>
    <w:p w:rsidR="00A61751" w:rsidRDefault="00120241" w:rsidP="00A61751">
      <w:r>
        <w:tab/>
      </w:r>
    </w:p>
    <w:p w:rsidR="00A61751" w:rsidRDefault="00A61751" w:rsidP="00D759E9"/>
    <w:p w:rsidR="00C61FBC" w:rsidRDefault="002915E9" w:rsidP="00C05226">
      <w:pPr>
        <w:pStyle w:val="Level2"/>
      </w:pPr>
      <w:bookmarkStart w:id="49" w:name="_Toc161124937"/>
      <w:bookmarkStart w:id="50" w:name="_Toc179774559"/>
      <w:r>
        <w:t>13.</w:t>
      </w:r>
      <w:r>
        <w:tab/>
      </w:r>
      <w:r w:rsidR="009F5A1C" w:rsidRPr="00C05226">
        <w:t>Estimates of Other Total Annual Cost Burden to Respondents or Record Keepers</w:t>
      </w:r>
      <w:bookmarkEnd w:id="49"/>
      <w:bookmarkEnd w:id="50"/>
    </w:p>
    <w:p w:rsidR="008313A4" w:rsidRPr="008313A4" w:rsidRDefault="008313A4" w:rsidP="00F92682"/>
    <w:p w:rsidR="009F5A1C" w:rsidRDefault="009F5A1C" w:rsidP="009F5A1C">
      <w:pPr>
        <w:ind w:left="360" w:hanging="360"/>
      </w:pPr>
      <w:r>
        <w:rPr>
          <w:b/>
        </w:rPr>
        <w:tab/>
      </w:r>
      <w:r w:rsidR="001902C9">
        <w:rPr>
          <w:b/>
        </w:rPr>
        <w:tab/>
      </w:r>
      <w:r w:rsidR="001902C9">
        <w:t>Ther</w:t>
      </w:r>
      <w:r w:rsidR="00F346F6">
        <w:t xml:space="preserve">e </w:t>
      </w:r>
      <w:r w:rsidR="00865169">
        <w:t>is no annual cost burden to Respondents or Record Keepers</w:t>
      </w:r>
      <w:r w:rsidR="00F346F6">
        <w:t>.</w:t>
      </w:r>
    </w:p>
    <w:p w:rsidR="00EF1837" w:rsidRDefault="00EF1837" w:rsidP="009F5A1C">
      <w:pPr>
        <w:ind w:left="360" w:hanging="360"/>
      </w:pPr>
    </w:p>
    <w:p w:rsidR="009F5A1C" w:rsidRDefault="002915E9" w:rsidP="00E25F75">
      <w:pPr>
        <w:pStyle w:val="Level2"/>
      </w:pPr>
      <w:bookmarkStart w:id="51" w:name="_Toc161124938"/>
      <w:bookmarkStart w:id="52" w:name="_Toc179766427"/>
      <w:bookmarkStart w:id="53" w:name="_Toc179774560"/>
      <w:r>
        <w:t>14.</w:t>
      </w:r>
      <w:r>
        <w:tab/>
      </w:r>
      <w:r w:rsidR="009F5A1C">
        <w:t>Annualized Cost to the Government</w:t>
      </w:r>
      <w:bookmarkEnd w:id="51"/>
      <w:bookmarkEnd w:id="52"/>
      <w:bookmarkEnd w:id="53"/>
      <w:r w:rsidR="00100B9B">
        <w:t xml:space="preserve"> </w:t>
      </w:r>
    </w:p>
    <w:p w:rsidR="008313A4" w:rsidRPr="008313A4" w:rsidRDefault="008313A4" w:rsidP="00F92682"/>
    <w:p w:rsidR="00866A22" w:rsidRDefault="00E20EA6" w:rsidP="00866A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The annualized cost to th</w:t>
      </w:r>
      <w:r w:rsidR="00C77A14">
        <w:t xml:space="preserve">e government </w:t>
      </w:r>
      <w:r w:rsidR="0031746D">
        <w:t>is</w:t>
      </w:r>
      <w:r w:rsidR="00C77A14">
        <w:t xml:space="preserve"> $</w:t>
      </w:r>
      <w:r w:rsidR="00BC46F3">
        <w:t>120,000</w:t>
      </w:r>
      <w:r w:rsidR="00363687">
        <w:t xml:space="preserve"> </w:t>
      </w:r>
      <w:r w:rsidR="005D2942">
        <w:t>for the</w:t>
      </w:r>
      <w:r w:rsidR="00C77E9A">
        <w:t xml:space="preserve"> </w:t>
      </w:r>
      <w:r w:rsidR="005D2942">
        <w:t>201</w:t>
      </w:r>
      <w:r w:rsidR="00BC46F3">
        <w:t>5</w:t>
      </w:r>
      <w:r w:rsidR="005D2942">
        <w:t xml:space="preserve"> fiscal </w:t>
      </w:r>
      <w:r w:rsidR="00C77E9A">
        <w:t>year</w:t>
      </w:r>
      <w:r w:rsidR="005D2942">
        <w:t>.</w:t>
      </w:r>
      <w:r w:rsidR="00E75A51">
        <w:t xml:space="preserve">  </w:t>
      </w:r>
      <w:r w:rsidR="00BC46F3">
        <w:t>E</w:t>
      </w:r>
      <w:r w:rsidR="00E20B83">
        <w:t xml:space="preserve">quipment and supply costs </w:t>
      </w:r>
      <w:r w:rsidR="00F86B30">
        <w:t>i</w:t>
      </w:r>
      <w:r w:rsidR="00E20B83">
        <w:t>nclude the necessary items</w:t>
      </w:r>
      <w:r w:rsidR="004B5F1E">
        <w:t xml:space="preserve"> to conduct the</w:t>
      </w:r>
      <w:r w:rsidR="00363687">
        <w:t xml:space="preserve"> environmental </w:t>
      </w:r>
      <w:r w:rsidR="00AD679E">
        <w:t>assessment</w:t>
      </w:r>
      <w:r w:rsidR="00E20B83">
        <w:t>, as well as general office supplies</w:t>
      </w:r>
      <w:r w:rsidR="00E75A51">
        <w:t xml:space="preserve">.  </w:t>
      </w:r>
      <w:r w:rsidR="00866A22" w:rsidRPr="00933766">
        <w:t>Contractual costs i</w:t>
      </w:r>
      <w:r w:rsidR="00363687" w:rsidRPr="00933766">
        <w:t>n FY 201</w:t>
      </w:r>
      <w:r w:rsidR="003F1B83" w:rsidRPr="00933766">
        <w:t>5</w:t>
      </w:r>
      <w:r w:rsidR="00363687" w:rsidRPr="00933766">
        <w:t xml:space="preserve"> </w:t>
      </w:r>
      <w:r w:rsidR="00933766" w:rsidRPr="00933766">
        <w:t xml:space="preserve">will </w:t>
      </w:r>
      <w:r w:rsidR="00363687" w:rsidRPr="00933766">
        <w:t>include contract</w:t>
      </w:r>
      <w:r w:rsidR="003F1B83" w:rsidRPr="00933766">
        <w:t>s</w:t>
      </w:r>
      <w:r w:rsidR="00363687" w:rsidRPr="00933766">
        <w:t xml:space="preserve"> with </w:t>
      </w:r>
      <w:r w:rsidR="004B5F1E" w:rsidRPr="00933766">
        <w:t xml:space="preserve">the </w:t>
      </w:r>
      <w:r w:rsidR="003F1B83" w:rsidRPr="00933766">
        <w:t>school district</w:t>
      </w:r>
      <w:r w:rsidR="004B5F1E" w:rsidRPr="00933766">
        <w:t xml:space="preserve"> </w:t>
      </w:r>
      <w:r w:rsidR="00670499" w:rsidRPr="00933766">
        <w:t>and</w:t>
      </w:r>
      <w:r w:rsidR="004B5F1E" w:rsidRPr="00933766">
        <w:t xml:space="preserve"> </w:t>
      </w:r>
      <w:r w:rsidR="003F1B83" w:rsidRPr="00933766">
        <w:t xml:space="preserve">the union </w:t>
      </w:r>
      <w:r w:rsidR="00363687" w:rsidRPr="00933766">
        <w:t xml:space="preserve">to </w:t>
      </w:r>
      <w:r w:rsidR="004B5F1E" w:rsidRPr="00933766">
        <w:t xml:space="preserve">assist with school staff enrollment and training for the online </w:t>
      </w:r>
      <w:r w:rsidR="003F1B83" w:rsidRPr="00933766">
        <w:t xml:space="preserve">survey, </w:t>
      </w:r>
      <w:r w:rsidR="00933766" w:rsidRPr="00933766">
        <w:t xml:space="preserve">as well as to the school district for access to school buildings during after-school hours, </w:t>
      </w:r>
      <w:r w:rsidR="003F1B83" w:rsidRPr="00933766">
        <w:t xml:space="preserve">and </w:t>
      </w:r>
      <w:r w:rsidR="00E20B83" w:rsidRPr="00933766">
        <w:t xml:space="preserve">the funding of a NIOSH fellow to process </w:t>
      </w:r>
      <w:r w:rsidR="00933766" w:rsidRPr="00933766">
        <w:t>environmental assessment data</w:t>
      </w:r>
      <w:r w:rsidR="00E20B83" w:rsidRPr="00933766">
        <w:t>.</w:t>
      </w:r>
      <w:r w:rsidR="00E20B83">
        <w:t xml:space="preserve"> In FY 2015, travel will include</w:t>
      </w:r>
      <w:r w:rsidR="00E60D68">
        <w:t xml:space="preserve"> conducting environmental </w:t>
      </w:r>
      <w:r w:rsidR="00933766">
        <w:t>assessments</w:t>
      </w:r>
      <w:r w:rsidR="00E60D68">
        <w:t xml:space="preserve"> at the </w:t>
      </w:r>
      <w:r w:rsidR="00AD679E">
        <w:t>50</w:t>
      </w:r>
      <w:r w:rsidR="00E60D68">
        <w:t xml:space="preserve"> schools,</w:t>
      </w:r>
      <w:r w:rsidR="00E20B83">
        <w:t xml:space="preserve"> stakeholder meetings</w:t>
      </w:r>
      <w:r w:rsidR="00E60D68">
        <w:t>,</w:t>
      </w:r>
      <w:r w:rsidR="00E20B83">
        <w:t xml:space="preserve"> and attending conferences to present research results.</w:t>
      </w:r>
      <w:r w:rsidR="00E75A51">
        <w:t xml:space="preserve"> </w:t>
      </w:r>
      <w:r w:rsidR="00087C3B">
        <w:t xml:space="preserve"> </w:t>
      </w:r>
    </w:p>
    <w:p w:rsidR="00E54551" w:rsidRPr="009F5A1C" w:rsidRDefault="00E54551" w:rsidP="009F5A1C">
      <w:pPr>
        <w:ind w:left="360" w:hanging="360"/>
        <w:rPr>
          <w:b/>
        </w:rPr>
      </w:pPr>
      <w:r>
        <w:rPr>
          <w:b/>
        </w:rPr>
        <w:tab/>
      </w:r>
    </w:p>
    <w:tbl>
      <w:tblPr>
        <w:tblStyle w:val="TableGrid"/>
        <w:tblW w:w="0" w:type="auto"/>
        <w:tblInd w:w="108" w:type="dxa"/>
        <w:tblLayout w:type="fixed"/>
        <w:tblLook w:val="01E0" w:firstRow="1" w:lastRow="1" w:firstColumn="1" w:lastColumn="1" w:noHBand="0" w:noVBand="0"/>
      </w:tblPr>
      <w:tblGrid>
        <w:gridCol w:w="3780"/>
        <w:gridCol w:w="1350"/>
      </w:tblGrid>
      <w:tr w:rsidR="00BC46F3" w:rsidTr="00670499">
        <w:tc>
          <w:tcPr>
            <w:tcW w:w="3780" w:type="dxa"/>
          </w:tcPr>
          <w:p w:rsidR="00BC46F3" w:rsidRPr="00BA3A6D" w:rsidRDefault="00BC46F3" w:rsidP="009F5A1C">
            <w:pPr>
              <w:rPr>
                <w:b/>
              </w:rPr>
            </w:pPr>
            <w:r w:rsidRPr="00BA3A6D">
              <w:rPr>
                <w:b/>
              </w:rPr>
              <w:t>Item</w:t>
            </w:r>
          </w:p>
        </w:tc>
        <w:tc>
          <w:tcPr>
            <w:tcW w:w="1350" w:type="dxa"/>
          </w:tcPr>
          <w:p w:rsidR="00BC46F3" w:rsidRPr="00BA3A6D" w:rsidRDefault="00BC46F3" w:rsidP="009F5A1C">
            <w:pPr>
              <w:rPr>
                <w:b/>
              </w:rPr>
            </w:pPr>
            <w:r>
              <w:rPr>
                <w:b/>
              </w:rPr>
              <w:t>FY 2015</w:t>
            </w:r>
          </w:p>
        </w:tc>
      </w:tr>
      <w:tr w:rsidR="00BC46F3" w:rsidTr="00670499">
        <w:tc>
          <w:tcPr>
            <w:tcW w:w="3780" w:type="dxa"/>
          </w:tcPr>
          <w:p w:rsidR="00BC46F3" w:rsidRPr="00E54551" w:rsidRDefault="00BC46F3" w:rsidP="009F5A1C">
            <w:r>
              <w:t>Equipment and supplies</w:t>
            </w:r>
          </w:p>
        </w:tc>
        <w:tc>
          <w:tcPr>
            <w:tcW w:w="1350" w:type="dxa"/>
          </w:tcPr>
          <w:p w:rsidR="00BC46F3" w:rsidRDefault="00BC46F3" w:rsidP="009F5A1C">
            <w:r>
              <w:t>$30,000</w:t>
            </w:r>
          </w:p>
        </w:tc>
      </w:tr>
      <w:tr w:rsidR="00BC46F3" w:rsidTr="00670499">
        <w:tc>
          <w:tcPr>
            <w:tcW w:w="3780" w:type="dxa"/>
          </w:tcPr>
          <w:p w:rsidR="00BC46F3" w:rsidRPr="00E54551" w:rsidRDefault="00BC46F3" w:rsidP="009F5A1C">
            <w:r>
              <w:t>Contractual</w:t>
            </w:r>
          </w:p>
        </w:tc>
        <w:tc>
          <w:tcPr>
            <w:tcW w:w="1350" w:type="dxa"/>
          </w:tcPr>
          <w:p w:rsidR="00BC46F3" w:rsidRDefault="00BC46F3" w:rsidP="00BC46F3">
            <w:r>
              <w:t>$60,000</w:t>
            </w:r>
          </w:p>
        </w:tc>
      </w:tr>
      <w:tr w:rsidR="00BC46F3" w:rsidTr="00670499">
        <w:tc>
          <w:tcPr>
            <w:tcW w:w="3780" w:type="dxa"/>
          </w:tcPr>
          <w:p w:rsidR="00BC46F3" w:rsidRPr="00E54551" w:rsidRDefault="00BC46F3" w:rsidP="009F5A1C">
            <w:r>
              <w:lastRenderedPageBreak/>
              <w:t>Travel</w:t>
            </w:r>
          </w:p>
        </w:tc>
        <w:tc>
          <w:tcPr>
            <w:tcW w:w="1350" w:type="dxa"/>
          </w:tcPr>
          <w:p w:rsidR="00BC46F3" w:rsidRDefault="00BC46F3" w:rsidP="00BC46F3">
            <w:r>
              <w:t>$30,000</w:t>
            </w:r>
          </w:p>
        </w:tc>
      </w:tr>
      <w:tr w:rsidR="00BC46F3" w:rsidTr="00670499">
        <w:tc>
          <w:tcPr>
            <w:tcW w:w="3780" w:type="dxa"/>
          </w:tcPr>
          <w:p w:rsidR="00BC46F3" w:rsidRDefault="00BC46F3" w:rsidP="009F5A1C">
            <w:r>
              <w:t>Annualized estimate of federal costs</w:t>
            </w:r>
          </w:p>
        </w:tc>
        <w:tc>
          <w:tcPr>
            <w:tcW w:w="1350" w:type="dxa"/>
          </w:tcPr>
          <w:p w:rsidR="00BC46F3" w:rsidRDefault="00BC46F3" w:rsidP="00BC46F3">
            <w:r>
              <w:t>$120,000</w:t>
            </w:r>
          </w:p>
        </w:tc>
      </w:tr>
    </w:tbl>
    <w:p w:rsidR="004B5F1E" w:rsidRPr="005B61BD" w:rsidRDefault="004B5F1E" w:rsidP="005B61BD">
      <w:pPr>
        <w:ind w:left="720"/>
      </w:pPr>
    </w:p>
    <w:p w:rsidR="00E54551" w:rsidRDefault="002915E9" w:rsidP="00E25F75">
      <w:pPr>
        <w:pStyle w:val="Level2"/>
      </w:pPr>
      <w:bookmarkStart w:id="54" w:name="_Toc161124939"/>
      <w:bookmarkStart w:id="55" w:name="_Toc179766428"/>
      <w:bookmarkStart w:id="56" w:name="_Toc179774561"/>
      <w:r>
        <w:t>15.</w:t>
      </w:r>
      <w:r>
        <w:tab/>
      </w:r>
      <w:r w:rsidR="00E54551">
        <w:t>Explanation for Program Changes or Adjustments</w:t>
      </w:r>
      <w:bookmarkEnd w:id="54"/>
      <w:bookmarkEnd w:id="55"/>
      <w:bookmarkEnd w:id="56"/>
    </w:p>
    <w:p w:rsidR="00EC75AC" w:rsidRDefault="00E54551" w:rsidP="00E54551">
      <w:pPr>
        <w:ind w:left="360" w:hanging="360"/>
      </w:pPr>
      <w:r>
        <w:tab/>
      </w:r>
      <w:r w:rsidR="002915E9">
        <w:tab/>
        <w:t>This is a new data collection.</w:t>
      </w:r>
      <w:r w:rsidR="00C61FBC">
        <w:tab/>
      </w:r>
      <w:r w:rsidR="00EC75AC">
        <w:t xml:space="preserve"> </w:t>
      </w:r>
    </w:p>
    <w:p w:rsidR="002915E9" w:rsidRDefault="002915E9" w:rsidP="00E54551">
      <w:pPr>
        <w:ind w:left="360" w:hanging="360"/>
      </w:pPr>
    </w:p>
    <w:p w:rsidR="002915E9" w:rsidRDefault="002915E9" w:rsidP="00E25F75">
      <w:pPr>
        <w:pStyle w:val="Level2"/>
      </w:pPr>
      <w:bookmarkStart w:id="57" w:name="_Toc161124940"/>
      <w:bookmarkStart w:id="58" w:name="_Toc179766429"/>
      <w:bookmarkStart w:id="59" w:name="_Toc179774562"/>
      <w:r>
        <w:t>16.</w:t>
      </w:r>
      <w:r>
        <w:tab/>
        <w:t>Plans for Tabulation and Publication and Project Time Schedule</w:t>
      </w:r>
      <w:bookmarkEnd w:id="57"/>
      <w:bookmarkEnd w:id="58"/>
      <w:bookmarkEnd w:id="59"/>
    </w:p>
    <w:p w:rsidR="00FF391C" w:rsidRPr="00FF391C" w:rsidRDefault="00210887" w:rsidP="00FF391C">
      <w:pPr>
        <w:rPr>
          <w:rFonts w:eastAsia="Calibri"/>
        </w:rPr>
      </w:pPr>
      <w:r>
        <w:tab/>
      </w:r>
      <w:r w:rsidR="00FF391C" w:rsidRPr="00FF391C">
        <w:rPr>
          <w:rFonts w:eastAsia="Calibri"/>
        </w:rPr>
        <w:t xml:space="preserve">In </w:t>
      </w:r>
      <w:r w:rsidR="00B201AA">
        <w:rPr>
          <w:rFonts w:eastAsia="Calibri"/>
        </w:rPr>
        <w:t xml:space="preserve">the </w:t>
      </w:r>
      <w:r w:rsidR="00CA2517">
        <w:rPr>
          <w:rFonts w:eastAsia="Calibri"/>
        </w:rPr>
        <w:t>spring</w:t>
      </w:r>
      <w:r w:rsidR="00B201AA">
        <w:rPr>
          <w:rFonts w:eastAsia="Calibri"/>
        </w:rPr>
        <w:t xml:space="preserve"> of</w:t>
      </w:r>
      <w:r w:rsidR="00B201AA" w:rsidRPr="00FF391C">
        <w:rPr>
          <w:rFonts w:eastAsia="Calibri"/>
        </w:rPr>
        <w:t xml:space="preserve"> </w:t>
      </w:r>
      <w:r w:rsidR="00FF391C" w:rsidRPr="00FF391C">
        <w:rPr>
          <w:rFonts w:eastAsia="Calibri"/>
        </w:rPr>
        <w:t>201</w:t>
      </w:r>
      <w:r w:rsidR="00E60D68">
        <w:rPr>
          <w:rFonts w:eastAsia="Calibri"/>
        </w:rPr>
        <w:t>5</w:t>
      </w:r>
      <w:r w:rsidR="00FF391C" w:rsidRPr="00FF391C">
        <w:rPr>
          <w:rFonts w:eastAsia="Calibri"/>
        </w:rPr>
        <w:t xml:space="preserve">, after we receive approval from OMB, </w:t>
      </w:r>
      <w:r w:rsidR="00EF123A">
        <w:rPr>
          <w:rFonts w:eastAsia="Calibri"/>
        </w:rPr>
        <w:t>t</w:t>
      </w:r>
      <w:r w:rsidR="00FF391C" w:rsidRPr="00FF391C">
        <w:rPr>
          <w:rFonts w:eastAsia="Calibri"/>
        </w:rPr>
        <w:t xml:space="preserve">he </w:t>
      </w:r>
      <w:r w:rsidR="00E60D68">
        <w:rPr>
          <w:rFonts w:eastAsia="Calibri"/>
        </w:rPr>
        <w:t xml:space="preserve">school district and union </w:t>
      </w:r>
      <w:r w:rsidR="00FF391C" w:rsidRPr="00FF391C">
        <w:rPr>
          <w:rFonts w:eastAsia="Calibri"/>
        </w:rPr>
        <w:t>will collaborate with NIOSH to increase study awareness and understanding of the goals of the study, a</w:t>
      </w:r>
      <w:r w:rsidR="00F92F78">
        <w:rPr>
          <w:rFonts w:eastAsia="Calibri"/>
        </w:rPr>
        <w:t>s well as</w:t>
      </w:r>
      <w:r w:rsidR="00FF391C" w:rsidRPr="00FF391C">
        <w:rPr>
          <w:rFonts w:eastAsia="Calibri"/>
        </w:rPr>
        <w:t xml:space="preserve"> </w:t>
      </w:r>
      <w:r w:rsidR="002474A3">
        <w:rPr>
          <w:rFonts w:eastAsia="Calibri"/>
        </w:rPr>
        <w:t xml:space="preserve">to </w:t>
      </w:r>
      <w:r w:rsidR="00FF391C" w:rsidRPr="00FF391C">
        <w:rPr>
          <w:rFonts w:eastAsia="Calibri"/>
        </w:rPr>
        <w:t>promote participation in the survey</w:t>
      </w:r>
      <w:r w:rsidR="00F92F78">
        <w:rPr>
          <w:rFonts w:eastAsia="Calibri"/>
        </w:rPr>
        <w:t>.  This will be done</w:t>
      </w:r>
      <w:r w:rsidR="00FF391C" w:rsidRPr="00FF391C">
        <w:rPr>
          <w:rFonts w:eastAsia="Calibri"/>
        </w:rPr>
        <w:t xml:space="preserve"> through member/staff emailing, informationa</w:t>
      </w:r>
      <w:r w:rsidR="002C3DE1">
        <w:rPr>
          <w:rFonts w:eastAsia="Calibri"/>
        </w:rPr>
        <w:t>l flyer distribution (Appendi</w:t>
      </w:r>
      <w:r w:rsidR="00F92F78">
        <w:rPr>
          <w:rFonts w:eastAsia="Calibri"/>
        </w:rPr>
        <w:t>x</w:t>
      </w:r>
      <w:r w:rsidR="002C3DE1">
        <w:rPr>
          <w:rFonts w:eastAsia="Calibri"/>
        </w:rPr>
        <w:t xml:space="preserve"> </w:t>
      </w:r>
      <w:r w:rsidR="0099434D">
        <w:rPr>
          <w:rFonts w:eastAsia="Calibri"/>
        </w:rPr>
        <w:t>H</w:t>
      </w:r>
      <w:r w:rsidR="00865169">
        <w:rPr>
          <w:rFonts w:eastAsia="Calibri"/>
        </w:rPr>
        <w:t xml:space="preserve">: </w:t>
      </w:r>
      <w:r w:rsidR="00D629B7">
        <w:rPr>
          <w:rFonts w:eastAsia="Calibri"/>
        </w:rPr>
        <w:t>Fact Sheet</w:t>
      </w:r>
      <w:r w:rsidR="00FF391C" w:rsidRPr="00FF391C">
        <w:rPr>
          <w:rFonts w:eastAsia="Calibri"/>
        </w:rPr>
        <w:t>), and contact with staff at monthly staff meetings held by union stewards or principals at each school</w:t>
      </w:r>
      <w:r w:rsidR="004B10C9">
        <w:rPr>
          <w:rFonts w:eastAsia="Calibri"/>
        </w:rPr>
        <w:t xml:space="preserve">.  </w:t>
      </w:r>
      <w:r w:rsidR="00894FC2">
        <w:rPr>
          <w:rFonts w:eastAsia="Calibri"/>
        </w:rPr>
        <w:t>NIOSH</w:t>
      </w:r>
      <w:r w:rsidR="00FF391C" w:rsidRPr="00FF391C">
        <w:rPr>
          <w:rFonts w:eastAsia="Calibri"/>
        </w:rPr>
        <w:t xml:space="preserve"> will </w:t>
      </w:r>
      <w:r w:rsidR="002474A3">
        <w:rPr>
          <w:rFonts w:eastAsia="Calibri"/>
        </w:rPr>
        <w:t xml:space="preserve">obtain employee lists and email addresses from the union and school district. </w:t>
      </w:r>
      <w:r w:rsidR="001A280D">
        <w:rPr>
          <w:rFonts w:eastAsia="Calibri"/>
        </w:rPr>
        <w:t>In March 2015, w</w:t>
      </w:r>
      <w:r w:rsidR="002474A3">
        <w:rPr>
          <w:rFonts w:eastAsia="Calibri"/>
        </w:rPr>
        <w:t>e will</w:t>
      </w:r>
      <w:r w:rsidR="00894FC2">
        <w:rPr>
          <w:rFonts w:eastAsia="Calibri"/>
        </w:rPr>
        <w:t xml:space="preserve"> </w:t>
      </w:r>
      <w:r w:rsidR="00FF391C" w:rsidRPr="00FF391C">
        <w:rPr>
          <w:rFonts w:eastAsia="Calibri"/>
        </w:rPr>
        <w:t xml:space="preserve">send out email invitations and instructions for participation in the web-based questionnaire survey to all </w:t>
      </w:r>
      <w:r w:rsidR="00894FC2">
        <w:rPr>
          <w:rFonts w:eastAsia="Calibri"/>
        </w:rPr>
        <w:t>employees</w:t>
      </w:r>
      <w:r w:rsidR="00FF391C" w:rsidRPr="00FF391C">
        <w:rPr>
          <w:rFonts w:eastAsia="Calibri"/>
        </w:rPr>
        <w:t xml:space="preserve"> in the 50 </w:t>
      </w:r>
      <w:r w:rsidR="002474A3">
        <w:rPr>
          <w:rFonts w:eastAsia="Calibri"/>
        </w:rPr>
        <w:t xml:space="preserve">elementary </w:t>
      </w:r>
      <w:r w:rsidR="00FF391C" w:rsidRPr="00FF391C">
        <w:rPr>
          <w:rFonts w:eastAsia="Calibri"/>
        </w:rPr>
        <w:t>schools</w:t>
      </w:r>
      <w:r w:rsidR="002474A3">
        <w:rPr>
          <w:rFonts w:eastAsia="Calibri"/>
        </w:rPr>
        <w:t xml:space="preserve"> chosen as described in section 12A</w:t>
      </w:r>
      <w:r w:rsidR="004B10C9">
        <w:rPr>
          <w:rFonts w:eastAsia="Calibri"/>
        </w:rPr>
        <w:t xml:space="preserve">.  </w:t>
      </w:r>
      <w:r w:rsidR="00FF391C" w:rsidRPr="00FF391C">
        <w:rPr>
          <w:rFonts w:eastAsia="Calibri"/>
        </w:rPr>
        <w:t>T</w:t>
      </w:r>
      <w:r w:rsidR="002C3DE1">
        <w:rPr>
          <w:rFonts w:eastAsia="Calibri"/>
        </w:rPr>
        <w:t xml:space="preserve">he invitation email (Appendix </w:t>
      </w:r>
      <w:r w:rsidR="00A24A86">
        <w:rPr>
          <w:rFonts w:eastAsia="Calibri"/>
        </w:rPr>
        <w:t>G</w:t>
      </w:r>
      <w:r w:rsidR="00865169">
        <w:rPr>
          <w:rFonts w:eastAsia="Calibri"/>
        </w:rPr>
        <w:t>: Invitation Email and Consent</w:t>
      </w:r>
      <w:r w:rsidR="00FF391C" w:rsidRPr="00FF391C">
        <w:rPr>
          <w:rFonts w:eastAsia="Calibri"/>
        </w:rPr>
        <w:t xml:space="preserve">) will include </w:t>
      </w:r>
      <w:r w:rsidR="00525FC5">
        <w:rPr>
          <w:rFonts w:eastAsia="Calibri"/>
        </w:rPr>
        <w:t>the</w:t>
      </w:r>
      <w:r w:rsidR="00FF391C" w:rsidRPr="00FF391C">
        <w:rPr>
          <w:rFonts w:eastAsia="Calibri"/>
        </w:rPr>
        <w:t xml:space="preserve"> goals and </w:t>
      </w:r>
      <w:r w:rsidR="00525FC5">
        <w:rPr>
          <w:rFonts w:eastAsia="Calibri"/>
        </w:rPr>
        <w:t xml:space="preserve">a </w:t>
      </w:r>
      <w:r w:rsidR="00FF391C" w:rsidRPr="00FF391C">
        <w:rPr>
          <w:rFonts w:eastAsia="Calibri"/>
        </w:rPr>
        <w:t xml:space="preserve">description of the study, a unique identification number for </w:t>
      </w:r>
      <w:r w:rsidR="007872CC">
        <w:rPr>
          <w:rFonts w:eastAsia="Calibri"/>
        </w:rPr>
        <w:t>secure</w:t>
      </w:r>
      <w:r w:rsidR="007872CC" w:rsidRPr="00FF391C">
        <w:rPr>
          <w:rFonts w:eastAsia="Calibri"/>
        </w:rPr>
        <w:t xml:space="preserve"> </w:t>
      </w:r>
      <w:r w:rsidR="00FF391C" w:rsidRPr="00FF391C">
        <w:rPr>
          <w:rFonts w:eastAsia="Calibri"/>
        </w:rPr>
        <w:t>access to the questionnaire on the CDC website, a link to the questionnaire, and instructions and explanation on consent to participate</w:t>
      </w:r>
      <w:r w:rsidR="004B10C9">
        <w:rPr>
          <w:rFonts w:eastAsia="Calibri"/>
        </w:rPr>
        <w:t xml:space="preserve">.  </w:t>
      </w:r>
      <w:r w:rsidR="00FF391C" w:rsidRPr="00FF391C">
        <w:rPr>
          <w:rFonts w:eastAsia="Calibri"/>
        </w:rPr>
        <w:t xml:space="preserve">The questionnaire will be open for participation during </w:t>
      </w:r>
      <w:r w:rsidR="00751B8B">
        <w:rPr>
          <w:rFonts w:eastAsia="Calibri"/>
        </w:rPr>
        <w:t>April and May</w:t>
      </w:r>
      <w:r w:rsidR="00FF391C" w:rsidRPr="00FF391C">
        <w:rPr>
          <w:rFonts w:eastAsia="Calibri"/>
        </w:rPr>
        <w:t xml:space="preserve"> of 201</w:t>
      </w:r>
      <w:r w:rsidR="00E60D68">
        <w:rPr>
          <w:rFonts w:eastAsia="Calibri"/>
        </w:rPr>
        <w:t>5</w:t>
      </w:r>
      <w:r w:rsidR="00FF391C" w:rsidRPr="00FF391C">
        <w:rPr>
          <w:rFonts w:eastAsia="Calibri"/>
        </w:rPr>
        <w:t>.</w:t>
      </w:r>
    </w:p>
    <w:p w:rsidR="00FF391C" w:rsidRPr="00FF391C" w:rsidRDefault="00FF391C" w:rsidP="00FF391C">
      <w:pPr>
        <w:rPr>
          <w:rFonts w:eastAsia="Calibri"/>
          <w:u w:val="single"/>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80"/>
        <w:gridCol w:w="3600"/>
      </w:tblGrid>
      <w:tr w:rsidR="00FF391C" w:rsidRPr="00FF391C" w:rsidTr="003C3383">
        <w:tc>
          <w:tcPr>
            <w:tcW w:w="4680" w:type="dxa"/>
            <w:tcBorders>
              <w:bottom w:val="single" w:sz="12" w:space="0" w:color="auto"/>
            </w:tcBorders>
            <w:tcMar>
              <w:top w:w="0" w:type="dxa"/>
              <w:left w:w="108" w:type="dxa"/>
              <w:bottom w:w="0" w:type="dxa"/>
              <w:right w:w="108" w:type="dxa"/>
            </w:tcMar>
            <w:hideMark/>
          </w:tcPr>
          <w:p w:rsidR="00FF391C" w:rsidRPr="00FF391C" w:rsidRDefault="00FF391C" w:rsidP="003C3383">
            <w:pPr>
              <w:rPr>
                <w:rFonts w:eastAsia="Calibri"/>
                <w:b/>
                <w:bCs/>
              </w:rPr>
            </w:pPr>
            <w:r w:rsidRPr="00FF391C">
              <w:rPr>
                <w:rFonts w:eastAsia="Calibri"/>
                <w:b/>
                <w:bCs/>
              </w:rPr>
              <w:t>Activity</w:t>
            </w:r>
          </w:p>
        </w:tc>
        <w:tc>
          <w:tcPr>
            <w:tcW w:w="3600" w:type="dxa"/>
            <w:tcBorders>
              <w:bottom w:val="single" w:sz="12" w:space="0" w:color="auto"/>
            </w:tcBorders>
            <w:tcMar>
              <w:top w:w="0" w:type="dxa"/>
              <w:left w:w="108" w:type="dxa"/>
              <w:bottom w:w="0" w:type="dxa"/>
              <w:right w:w="108" w:type="dxa"/>
            </w:tcMar>
            <w:hideMark/>
          </w:tcPr>
          <w:p w:rsidR="00FF391C" w:rsidRPr="00FF391C" w:rsidRDefault="00FF391C" w:rsidP="003C3383">
            <w:pPr>
              <w:rPr>
                <w:rFonts w:eastAsia="Calibri"/>
                <w:b/>
                <w:bCs/>
              </w:rPr>
            </w:pPr>
            <w:r w:rsidRPr="00FF391C">
              <w:rPr>
                <w:rFonts w:eastAsia="Calibri"/>
                <w:b/>
                <w:bCs/>
              </w:rPr>
              <w:t>Time Schedule</w:t>
            </w:r>
          </w:p>
        </w:tc>
      </w:tr>
      <w:tr w:rsidR="00FF391C" w:rsidRPr="00FF391C" w:rsidTr="003C3383">
        <w:tc>
          <w:tcPr>
            <w:tcW w:w="4680" w:type="dxa"/>
            <w:tcBorders>
              <w:top w:val="single" w:sz="12" w:space="0" w:color="auto"/>
            </w:tcBorders>
            <w:tcMar>
              <w:top w:w="0" w:type="dxa"/>
              <w:left w:w="108" w:type="dxa"/>
              <w:bottom w:w="0" w:type="dxa"/>
              <w:right w:w="108" w:type="dxa"/>
            </w:tcMar>
            <w:hideMark/>
          </w:tcPr>
          <w:p w:rsidR="00FF391C" w:rsidRPr="00FF391C" w:rsidRDefault="00FF391C" w:rsidP="003C3383">
            <w:pPr>
              <w:rPr>
                <w:rFonts w:eastAsia="Calibri"/>
              </w:rPr>
            </w:pPr>
            <w:r w:rsidRPr="00FF391C">
              <w:rPr>
                <w:rFonts w:eastAsia="Calibri"/>
              </w:rPr>
              <w:t xml:space="preserve">Notification of study to respondents </w:t>
            </w:r>
          </w:p>
        </w:tc>
        <w:tc>
          <w:tcPr>
            <w:tcW w:w="3600" w:type="dxa"/>
            <w:tcBorders>
              <w:top w:val="single" w:sz="12" w:space="0" w:color="auto"/>
            </w:tcBorders>
            <w:tcMar>
              <w:top w:w="0" w:type="dxa"/>
              <w:left w:w="108" w:type="dxa"/>
              <w:bottom w:w="0" w:type="dxa"/>
              <w:right w:w="108" w:type="dxa"/>
            </w:tcMar>
            <w:hideMark/>
          </w:tcPr>
          <w:p w:rsidR="00FF391C" w:rsidRPr="00FF391C" w:rsidRDefault="00751B8B" w:rsidP="003C3383">
            <w:pPr>
              <w:rPr>
                <w:rFonts w:eastAsia="Calibri"/>
              </w:rPr>
            </w:pPr>
            <w:r>
              <w:rPr>
                <w:rFonts w:eastAsia="Calibri"/>
              </w:rPr>
              <w:t>March 2015</w:t>
            </w:r>
          </w:p>
        </w:tc>
      </w:tr>
      <w:tr w:rsidR="00FF391C" w:rsidRPr="00FF391C" w:rsidTr="003C3383">
        <w:tc>
          <w:tcPr>
            <w:tcW w:w="4680" w:type="dxa"/>
            <w:tcMar>
              <w:top w:w="0" w:type="dxa"/>
              <w:left w:w="108" w:type="dxa"/>
              <w:bottom w:w="0" w:type="dxa"/>
              <w:right w:w="108" w:type="dxa"/>
            </w:tcMar>
            <w:hideMark/>
          </w:tcPr>
          <w:p w:rsidR="00FF391C" w:rsidRPr="00FF391C" w:rsidRDefault="00FF391C" w:rsidP="003C3383">
            <w:pPr>
              <w:rPr>
                <w:rFonts w:eastAsia="Calibri"/>
              </w:rPr>
            </w:pPr>
            <w:r w:rsidRPr="00FF391C">
              <w:rPr>
                <w:rFonts w:eastAsia="Calibri"/>
              </w:rPr>
              <w:t>Web-based questionnaire survey</w:t>
            </w:r>
          </w:p>
        </w:tc>
        <w:tc>
          <w:tcPr>
            <w:tcW w:w="3600" w:type="dxa"/>
            <w:tcMar>
              <w:top w:w="0" w:type="dxa"/>
              <w:left w:w="108" w:type="dxa"/>
              <w:bottom w:w="0" w:type="dxa"/>
              <w:right w:w="108" w:type="dxa"/>
            </w:tcMar>
            <w:hideMark/>
          </w:tcPr>
          <w:p w:rsidR="00FF391C" w:rsidRPr="00FF391C" w:rsidRDefault="00751B8B" w:rsidP="003C3383">
            <w:pPr>
              <w:rPr>
                <w:rFonts w:eastAsia="Calibri"/>
              </w:rPr>
            </w:pPr>
            <w:r>
              <w:rPr>
                <w:rFonts w:eastAsia="Calibri"/>
              </w:rPr>
              <w:t>April – May 2015</w:t>
            </w:r>
          </w:p>
        </w:tc>
      </w:tr>
      <w:tr w:rsidR="007A579A" w:rsidRPr="00FF391C" w:rsidTr="003C3383">
        <w:tc>
          <w:tcPr>
            <w:tcW w:w="4680" w:type="dxa"/>
            <w:tcMar>
              <w:top w:w="0" w:type="dxa"/>
              <w:left w:w="108" w:type="dxa"/>
              <w:bottom w:w="0" w:type="dxa"/>
              <w:right w:w="108" w:type="dxa"/>
            </w:tcMar>
          </w:tcPr>
          <w:p w:rsidR="007A579A" w:rsidRPr="00FF391C" w:rsidRDefault="009B3919" w:rsidP="003C3383">
            <w:pPr>
              <w:rPr>
                <w:rFonts w:eastAsia="Calibri"/>
              </w:rPr>
            </w:pPr>
            <w:r>
              <w:rPr>
                <w:rFonts w:eastAsia="Calibri"/>
              </w:rPr>
              <w:t>Dampness and m</w:t>
            </w:r>
            <w:r w:rsidR="007A579A">
              <w:rPr>
                <w:rFonts w:eastAsia="Calibri"/>
              </w:rPr>
              <w:t>old assessments of the schools</w:t>
            </w:r>
            <w:r w:rsidR="00903777">
              <w:rPr>
                <w:rFonts w:eastAsia="Calibri"/>
              </w:rPr>
              <w:t xml:space="preserve"> by NIOSH staff</w:t>
            </w:r>
          </w:p>
        </w:tc>
        <w:tc>
          <w:tcPr>
            <w:tcW w:w="3600" w:type="dxa"/>
            <w:tcMar>
              <w:top w:w="0" w:type="dxa"/>
              <w:left w:w="108" w:type="dxa"/>
              <w:bottom w:w="0" w:type="dxa"/>
              <w:right w:w="108" w:type="dxa"/>
            </w:tcMar>
          </w:tcPr>
          <w:p w:rsidR="007A579A" w:rsidRPr="00FF391C" w:rsidRDefault="00751B8B" w:rsidP="003C3383">
            <w:pPr>
              <w:rPr>
                <w:rFonts w:eastAsia="Calibri"/>
              </w:rPr>
            </w:pPr>
            <w:r>
              <w:rPr>
                <w:rFonts w:eastAsia="Calibri"/>
              </w:rPr>
              <w:t>May 2015</w:t>
            </w:r>
          </w:p>
        </w:tc>
      </w:tr>
      <w:tr w:rsidR="00FF391C" w:rsidRPr="00FF391C" w:rsidTr="003C3383">
        <w:tc>
          <w:tcPr>
            <w:tcW w:w="4680" w:type="dxa"/>
            <w:tcMar>
              <w:top w:w="0" w:type="dxa"/>
              <w:left w:w="108" w:type="dxa"/>
              <w:bottom w:w="0" w:type="dxa"/>
              <w:right w:w="108" w:type="dxa"/>
            </w:tcMar>
          </w:tcPr>
          <w:p w:rsidR="00FF391C" w:rsidRPr="00FF391C" w:rsidRDefault="00FF391C" w:rsidP="003C3383">
            <w:pPr>
              <w:rPr>
                <w:rFonts w:eastAsia="Calibri"/>
              </w:rPr>
            </w:pPr>
            <w:r w:rsidRPr="00FF391C">
              <w:rPr>
                <w:rFonts w:eastAsia="Calibri"/>
              </w:rPr>
              <w:t>Preparation of health and dampness and mold data for analysis</w:t>
            </w:r>
          </w:p>
        </w:tc>
        <w:tc>
          <w:tcPr>
            <w:tcW w:w="3600" w:type="dxa"/>
            <w:tcMar>
              <w:top w:w="0" w:type="dxa"/>
              <w:left w:w="108" w:type="dxa"/>
              <w:bottom w:w="0" w:type="dxa"/>
              <w:right w:w="108" w:type="dxa"/>
            </w:tcMar>
          </w:tcPr>
          <w:p w:rsidR="00FF391C" w:rsidRPr="00FF391C" w:rsidRDefault="00751B8B" w:rsidP="003C3383">
            <w:pPr>
              <w:rPr>
                <w:rFonts w:eastAsia="Calibri"/>
              </w:rPr>
            </w:pPr>
            <w:r>
              <w:rPr>
                <w:rFonts w:eastAsia="Calibri"/>
              </w:rPr>
              <w:t>1 month after data collection ends</w:t>
            </w:r>
          </w:p>
        </w:tc>
      </w:tr>
      <w:tr w:rsidR="00FF391C" w:rsidRPr="00FF391C" w:rsidTr="003C3383">
        <w:tc>
          <w:tcPr>
            <w:tcW w:w="4680" w:type="dxa"/>
            <w:tcMar>
              <w:top w:w="0" w:type="dxa"/>
              <w:left w:w="108" w:type="dxa"/>
              <w:bottom w:w="0" w:type="dxa"/>
              <w:right w:w="108" w:type="dxa"/>
            </w:tcMar>
          </w:tcPr>
          <w:p w:rsidR="00FF391C" w:rsidRPr="00FF391C" w:rsidRDefault="00FF391C" w:rsidP="003C3383">
            <w:pPr>
              <w:rPr>
                <w:rFonts w:eastAsia="Calibri"/>
              </w:rPr>
            </w:pPr>
            <w:r w:rsidRPr="00FF391C">
              <w:rPr>
                <w:rFonts w:eastAsia="Calibri"/>
              </w:rPr>
              <w:t xml:space="preserve">Data analysis and interpretation </w:t>
            </w:r>
          </w:p>
        </w:tc>
        <w:tc>
          <w:tcPr>
            <w:tcW w:w="3600" w:type="dxa"/>
            <w:tcMar>
              <w:top w:w="0" w:type="dxa"/>
              <w:left w:w="108" w:type="dxa"/>
              <w:bottom w:w="0" w:type="dxa"/>
              <w:right w:w="108" w:type="dxa"/>
            </w:tcMar>
          </w:tcPr>
          <w:p w:rsidR="00FF391C" w:rsidRPr="00FF391C" w:rsidRDefault="00751B8B" w:rsidP="00751B8B">
            <w:pPr>
              <w:rPr>
                <w:rFonts w:eastAsia="Calibri"/>
              </w:rPr>
            </w:pPr>
            <w:r>
              <w:rPr>
                <w:rFonts w:eastAsia="Calibri"/>
              </w:rPr>
              <w:t>4</w:t>
            </w:r>
            <w:r w:rsidR="00FF391C" w:rsidRPr="00FF391C">
              <w:rPr>
                <w:rFonts w:eastAsia="Calibri"/>
              </w:rPr>
              <w:t xml:space="preserve"> months after </w:t>
            </w:r>
            <w:r>
              <w:rPr>
                <w:rFonts w:eastAsia="Calibri"/>
              </w:rPr>
              <w:t>data collection ends</w:t>
            </w:r>
          </w:p>
        </w:tc>
      </w:tr>
      <w:tr w:rsidR="00FF391C" w:rsidRPr="00FF391C" w:rsidTr="003C3383">
        <w:tc>
          <w:tcPr>
            <w:tcW w:w="4680" w:type="dxa"/>
            <w:tcMar>
              <w:top w:w="0" w:type="dxa"/>
              <w:left w:w="108" w:type="dxa"/>
              <w:bottom w:w="0" w:type="dxa"/>
              <w:right w:w="108" w:type="dxa"/>
            </w:tcMar>
          </w:tcPr>
          <w:p w:rsidR="00FF391C" w:rsidRPr="00FF391C" w:rsidRDefault="00FF391C" w:rsidP="003C3383">
            <w:pPr>
              <w:rPr>
                <w:rFonts w:eastAsia="Calibri"/>
              </w:rPr>
            </w:pPr>
            <w:r w:rsidRPr="00FF391C">
              <w:rPr>
                <w:rFonts w:eastAsia="Calibri"/>
              </w:rPr>
              <w:t>Preparation of report for school district and union</w:t>
            </w:r>
          </w:p>
        </w:tc>
        <w:tc>
          <w:tcPr>
            <w:tcW w:w="3600" w:type="dxa"/>
            <w:tcMar>
              <w:top w:w="0" w:type="dxa"/>
              <w:left w:w="108" w:type="dxa"/>
              <w:bottom w:w="0" w:type="dxa"/>
              <w:right w:w="108" w:type="dxa"/>
            </w:tcMar>
          </w:tcPr>
          <w:p w:rsidR="00FF391C" w:rsidRPr="00FF391C" w:rsidRDefault="00751B8B" w:rsidP="00751B8B">
            <w:pPr>
              <w:rPr>
                <w:rFonts w:eastAsia="Calibri"/>
              </w:rPr>
            </w:pPr>
            <w:r>
              <w:rPr>
                <w:rFonts w:eastAsia="Calibri"/>
              </w:rPr>
              <w:t>10</w:t>
            </w:r>
            <w:r w:rsidR="00FF391C" w:rsidRPr="00FF391C">
              <w:rPr>
                <w:rFonts w:eastAsia="Calibri"/>
              </w:rPr>
              <w:t xml:space="preserve"> months after </w:t>
            </w:r>
            <w:r>
              <w:rPr>
                <w:rFonts w:eastAsia="Calibri"/>
              </w:rPr>
              <w:t>data collection ends</w:t>
            </w:r>
          </w:p>
        </w:tc>
      </w:tr>
      <w:tr w:rsidR="00FF391C" w:rsidRPr="00FF391C" w:rsidTr="003C3383">
        <w:tc>
          <w:tcPr>
            <w:tcW w:w="4680" w:type="dxa"/>
            <w:tcMar>
              <w:top w:w="0" w:type="dxa"/>
              <w:left w:w="108" w:type="dxa"/>
              <w:bottom w:w="0" w:type="dxa"/>
              <w:right w:w="108" w:type="dxa"/>
            </w:tcMar>
          </w:tcPr>
          <w:p w:rsidR="00FF391C" w:rsidRPr="00FF391C" w:rsidRDefault="00FF391C" w:rsidP="003C3383">
            <w:pPr>
              <w:rPr>
                <w:rFonts w:eastAsia="Calibri"/>
              </w:rPr>
            </w:pPr>
            <w:r w:rsidRPr="00FF391C">
              <w:rPr>
                <w:rFonts w:eastAsia="Calibri"/>
              </w:rPr>
              <w:t>Preparation of manuscript/s</w:t>
            </w:r>
          </w:p>
        </w:tc>
        <w:tc>
          <w:tcPr>
            <w:tcW w:w="3600" w:type="dxa"/>
            <w:tcMar>
              <w:top w:w="0" w:type="dxa"/>
              <w:left w:w="108" w:type="dxa"/>
              <w:bottom w:w="0" w:type="dxa"/>
              <w:right w:w="108" w:type="dxa"/>
            </w:tcMar>
          </w:tcPr>
          <w:p w:rsidR="00FF391C" w:rsidRPr="00FF391C" w:rsidRDefault="00751B8B" w:rsidP="003C3383">
            <w:pPr>
              <w:rPr>
                <w:rFonts w:eastAsia="Calibri"/>
              </w:rPr>
            </w:pPr>
            <w:r>
              <w:rPr>
                <w:rFonts w:eastAsia="Calibri"/>
              </w:rPr>
              <w:t>12-15 months after data collection ends</w:t>
            </w:r>
          </w:p>
        </w:tc>
      </w:tr>
    </w:tbl>
    <w:p w:rsidR="00FF391C" w:rsidRPr="00FF391C" w:rsidRDefault="00FF391C" w:rsidP="00FF391C">
      <w:pPr>
        <w:rPr>
          <w:rFonts w:eastAsia="Calibri"/>
        </w:rPr>
      </w:pPr>
    </w:p>
    <w:p w:rsidR="00F92F78" w:rsidRPr="00F92F78" w:rsidRDefault="00F92F78" w:rsidP="00F92F78">
      <w:pPr>
        <w:ind w:firstLine="720"/>
        <w:rPr>
          <w:rFonts w:eastAsia="Calibri"/>
        </w:rPr>
      </w:pPr>
      <w:r w:rsidRPr="00F92F78">
        <w:rPr>
          <w:rFonts w:eastAsia="Calibri"/>
        </w:rPr>
        <w:t xml:space="preserve">All data management and analysis will be carried out using statistical software from the SAS Institute, </w:t>
      </w:r>
      <w:proofErr w:type="spellStart"/>
      <w:r w:rsidRPr="00F92F78">
        <w:rPr>
          <w:rFonts w:eastAsia="Calibri"/>
        </w:rPr>
        <w:t>Inc</w:t>
      </w:r>
      <w:proofErr w:type="spellEnd"/>
      <w:r w:rsidRPr="00F92F78">
        <w:rPr>
          <w:rFonts w:eastAsia="Calibri"/>
        </w:rPr>
        <w:t>, Cary, NC.  The following types of statistical analyses will be carried out.</w:t>
      </w:r>
    </w:p>
    <w:p w:rsidR="00F92F78" w:rsidRPr="00F92F78" w:rsidRDefault="00F92F78" w:rsidP="00F92F78">
      <w:pPr>
        <w:ind w:firstLine="720"/>
        <w:rPr>
          <w:rFonts w:eastAsia="Calibri"/>
        </w:rPr>
      </w:pPr>
    </w:p>
    <w:p w:rsidR="00F92F78" w:rsidRPr="00F92F78" w:rsidRDefault="00F92F78" w:rsidP="00F92F78">
      <w:pPr>
        <w:ind w:left="360" w:hanging="360"/>
        <w:rPr>
          <w:rFonts w:eastAsia="Calibri"/>
        </w:rPr>
      </w:pPr>
      <w:r>
        <w:rPr>
          <w:rFonts w:eastAsia="Calibri"/>
        </w:rPr>
        <w:t xml:space="preserve">1. </w:t>
      </w:r>
      <w:r w:rsidR="005D32AB">
        <w:rPr>
          <w:rFonts w:eastAsia="Calibri"/>
        </w:rPr>
        <w:t xml:space="preserve">  Regression models will be performed </w:t>
      </w:r>
      <w:r w:rsidR="005D32AB">
        <w:t>to examine associations between health outcomes and dampness/mold scores measured using a standardized dampness and mold assessment tool.</w:t>
      </w:r>
      <w:r w:rsidR="005D32AB" w:rsidRPr="00F92F78">
        <w:rPr>
          <w:rFonts w:eastAsia="Calibri"/>
        </w:rPr>
        <w:t xml:space="preserve"> </w:t>
      </w:r>
    </w:p>
    <w:p w:rsidR="009D6CA9" w:rsidRDefault="009D6CA9" w:rsidP="00D902D1">
      <w:pPr>
        <w:ind w:left="360" w:hanging="360"/>
        <w:rPr>
          <w:rFonts w:eastAsia="Calibri"/>
        </w:rPr>
      </w:pPr>
    </w:p>
    <w:p w:rsidR="00060E07" w:rsidRDefault="00B3425A" w:rsidP="001E7C32">
      <w:pPr>
        <w:ind w:firstLine="720"/>
        <w:rPr>
          <w:color w:val="000000"/>
          <w:szCs w:val="20"/>
        </w:rPr>
      </w:pPr>
      <w:proofErr w:type="gramStart"/>
      <w:r>
        <w:rPr>
          <w:color w:val="000000"/>
        </w:rPr>
        <w:t>Using PASS</w:t>
      </w:r>
      <w:r w:rsidRPr="00B3425A">
        <w:rPr>
          <w:color w:val="000000"/>
          <w:vertAlign w:val="superscript"/>
        </w:rPr>
        <w:t>13</w:t>
      </w:r>
      <w:r>
        <w:rPr>
          <w:color w:val="000000"/>
        </w:rPr>
        <w:t xml:space="preserve"> software (</w:t>
      </w:r>
      <w:proofErr w:type="spellStart"/>
      <w:r>
        <w:rPr>
          <w:color w:val="000000"/>
        </w:rPr>
        <w:t>Hintze</w:t>
      </w:r>
      <w:proofErr w:type="spellEnd"/>
      <w:r>
        <w:rPr>
          <w:color w:val="000000"/>
        </w:rPr>
        <w:t>, J. 2014</w:t>
      </w:r>
      <w:r w:rsidRPr="00B3425A">
        <w:rPr>
          <w:color w:val="000000"/>
        </w:rPr>
        <w:t>.</w:t>
      </w:r>
      <w:proofErr w:type="gramEnd"/>
      <w:r w:rsidRPr="00B3425A">
        <w:rPr>
          <w:color w:val="000000"/>
        </w:rPr>
        <w:t xml:space="preserve"> PASS 13. NCSS, LLC. Kaysville, Utah, USA. www.ncss.com.</w:t>
      </w:r>
      <w:r>
        <w:rPr>
          <w:color w:val="000000"/>
        </w:rPr>
        <w:t>), p</w:t>
      </w:r>
      <w:r w:rsidR="00571817" w:rsidRPr="00315423">
        <w:rPr>
          <w:color w:val="000000"/>
        </w:rPr>
        <w:t>ower calculation</w:t>
      </w:r>
      <w:r w:rsidR="00060E07">
        <w:rPr>
          <w:color w:val="000000"/>
        </w:rPr>
        <w:t xml:space="preserve">s were run for </w:t>
      </w:r>
      <w:r w:rsidR="00257ED2">
        <w:rPr>
          <w:color w:val="000000"/>
        </w:rPr>
        <w:t xml:space="preserve">multiple </w:t>
      </w:r>
      <w:r w:rsidR="00571817" w:rsidRPr="00315423">
        <w:rPr>
          <w:color w:val="000000"/>
        </w:rPr>
        <w:t>logistic regression model</w:t>
      </w:r>
      <w:r w:rsidR="005E5B7E">
        <w:rPr>
          <w:color w:val="000000"/>
        </w:rPr>
        <w:t>s</w:t>
      </w:r>
      <w:r w:rsidR="00571817" w:rsidRPr="00315423">
        <w:rPr>
          <w:color w:val="000000"/>
        </w:rPr>
        <w:t xml:space="preserve"> for current asthma</w:t>
      </w:r>
      <w:r w:rsidR="00060E07">
        <w:rPr>
          <w:color w:val="000000"/>
        </w:rPr>
        <w:t xml:space="preserve">, wheeze in the last 12 months, acute bronchitis in the last 12 months, </w:t>
      </w:r>
      <w:r w:rsidR="00BA4079">
        <w:rPr>
          <w:color w:val="000000"/>
        </w:rPr>
        <w:t xml:space="preserve">and </w:t>
      </w:r>
      <w:r w:rsidR="00060E07">
        <w:rPr>
          <w:color w:val="000000"/>
        </w:rPr>
        <w:t xml:space="preserve">pneumonia in the last 12 months, as the outcome variables </w:t>
      </w:r>
      <w:r w:rsidR="00257ED2">
        <w:rPr>
          <w:color w:val="000000"/>
        </w:rPr>
        <w:t xml:space="preserve">versus the </w:t>
      </w:r>
      <w:r w:rsidR="00257ED2">
        <w:rPr>
          <w:color w:val="000000"/>
        </w:rPr>
        <w:lastRenderedPageBreak/>
        <w:t xml:space="preserve">dampness and mold score as a continuous </w:t>
      </w:r>
      <w:r w:rsidR="00060E07">
        <w:rPr>
          <w:color w:val="000000"/>
        </w:rPr>
        <w:t xml:space="preserve">explanatory variable </w:t>
      </w:r>
      <w:r w:rsidR="00571817">
        <w:rPr>
          <w:color w:val="000000"/>
        </w:rPr>
        <w:t xml:space="preserve">for </w:t>
      </w:r>
      <w:r w:rsidR="00257ED2">
        <w:rPr>
          <w:color w:val="000000"/>
        </w:rPr>
        <w:t xml:space="preserve">a </w:t>
      </w:r>
      <w:r w:rsidR="00571817">
        <w:rPr>
          <w:color w:val="000000"/>
        </w:rPr>
        <w:t>sample size of 2,000 (50% participation) as well as 3,200 (80% participation)</w:t>
      </w:r>
      <w:r w:rsidR="00E33A04">
        <w:rPr>
          <w:color w:val="000000"/>
        </w:rPr>
        <w:t>.</w:t>
      </w:r>
      <w:r w:rsidR="00571817">
        <w:rPr>
          <w:color w:val="000000"/>
        </w:rPr>
        <w:t xml:space="preserve"> </w:t>
      </w:r>
      <w:r w:rsidR="00E33A04">
        <w:rPr>
          <w:color w:val="000000"/>
          <w:szCs w:val="20"/>
        </w:rPr>
        <w:t xml:space="preserve">We assumed </w:t>
      </w:r>
      <w:r w:rsidR="004E3604">
        <w:rPr>
          <w:color w:val="000000"/>
          <w:szCs w:val="20"/>
        </w:rPr>
        <w:t xml:space="preserve">an alpha of 0.05, and </w:t>
      </w:r>
      <w:r w:rsidR="00E33A04">
        <w:rPr>
          <w:color w:val="000000"/>
          <w:szCs w:val="20"/>
        </w:rPr>
        <w:t xml:space="preserve">that </w:t>
      </w:r>
      <w:r w:rsidR="00DF5F3B">
        <w:rPr>
          <w:color w:val="000000"/>
          <w:szCs w:val="20"/>
        </w:rPr>
        <w:t xml:space="preserve">an </w:t>
      </w:r>
      <w:r w:rsidR="00E33A04">
        <w:rPr>
          <w:color w:val="000000"/>
          <w:szCs w:val="20"/>
        </w:rPr>
        <w:t>R</w:t>
      </w:r>
      <w:r w:rsidR="004E3604" w:rsidRPr="004E3604">
        <w:rPr>
          <w:color w:val="000000"/>
          <w:szCs w:val="20"/>
          <w:vertAlign w:val="superscript"/>
        </w:rPr>
        <w:t>2</w:t>
      </w:r>
      <w:r w:rsidR="00E33A04">
        <w:rPr>
          <w:color w:val="000000"/>
          <w:szCs w:val="20"/>
        </w:rPr>
        <w:t xml:space="preserve"> of 0.1 would be achieved if the dampness and mold score was regressed </w:t>
      </w:r>
      <w:r w:rsidR="00E33A04" w:rsidRPr="00315423">
        <w:rPr>
          <w:color w:val="000000"/>
          <w:szCs w:val="20"/>
        </w:rPr>
        <w:t>on the other independent variables in the logistic regression</w:t>
      </w:r>
      <w:r w:rsidR="00E33A04">
        <w:rPr>
          <w:color w:val="000000"/>
          <w:szCs w:val="20"/>
        </w:rPr>
        <w:t>, sinc</w:t>
      </w:r>
      <w:r w:rsidR="00DF5F3B">
        <w:rPr>
          <w:color w:val="000000"/>
          <w:szCs w:val="20"/>
        </w:rPr>
        <w:t>e there is little reason to exp</w:t>
      </w:r>
      <w:r w:rsidR="00E33A04">
        <w:rPr>
          <w:color w:val="000000"/>
          <w:szCs w:val="20"/>
        </w:rPr>
        <w:t xml:space="preserve">ect that the dampness and mold score will be highly correlated with any </w:t>
      </w:r>
      <w:r w:rsidR="00DF5F3B">
        <w:rPr>
          <w:color w:val="000000"/>
          <w:szCs w:val="20"/>
        </w:rPr>
        <w:t xml:space="preserve">smoking and demographic variables.  We assumed baseline prevalences for the outcomes as follows: </w:t>
      </w:r>
      <w:r w:rsidR="00444310">
        <w:rPr>
          <w:color w:val="000000"/>
          <w:szCs w:val="20"/>
        </w:rPr>
        <w:t>current asthma 10% (BRFSS</w:t>
      </w:r>
      <w:r w:rsidR="00DF5F3B">
        <w:rPr>
          <w:color w:val="000000"/>
          <w:szCs w:val="20"/>
        </w:rPr>
        <w:t>); wheeze in the last 12 months 16% (</w:t>
      </w:r>
      <w:proofErr w:type="spellStart"/>
      <w:r w:rsidR="00DF5F3B">
        <w:rPr>
          <w:color w:val="000000"/>
          <w:szCs w:val="20"/>
        </w:rPr>
        <w:t>Arif</w:t>
      </w:r>
      <w:proofErr w:type="spellEnd"/>
      <w:r w:rsidR="00DF5F3B">
        <w:rPr>
          <w:color w:val="000000"/>
          <w:szCs w:val="20"/>
        </w:rPr>
        <w:t xml:space="preserve"> et al. 2003); </w:t>
      </w:r>
      <w:r w:rsidR="00BA4079">
        <w:rPr>
          <w:color w:val="000000"/>
          <w:szCs w:val="20"/>
        </w:rPr>
        <w:t xml:space="preserve">acute bronchitis in the last 12 months 5% (Wenzel and Fowler 2006); and </w:t>
      </w:r>
      <w:r w:rsidR="00DF5F3B">
        <w:rPr>
          <w:color w:val="000000"/>
          <w:szCs w:val="20"/>
        </w:rPr>
        <w:t>pneumonia in the last 12 months 2.1% (</w:t>
      </w:r>
      <w:proofErr w:type="spellStart"/>
      <w:r w:rsidR="00DF5F3B">
        <w:rPr>
          <w:color w:val="000000"/>
          <w:szCs w:val="20"/>
        </w:rPr>
        <w:t>Nie</w:t>
      </w:r>
      <w:r w:rsidR="00BA4079">
        <w:rPr>
          <w:color w:val="000000"/>
          <w:szCs w:val="20"/>
        </w:rPr>
        <w:t>derman</w:t>
      </w:r>
      <w:proofErr w:type="spellEnd"/>
      <w:r w:rsidR="00BA4079">
        <w:rPr>
          <w:color w:val="000000"/>
          <w:szCs w:val="20"/>
        </w:rPr>
        <w:t xml:space="preserve"> et al. 1998).</w:t>
      </w:r>
      <w:r w:rsidR="00DF5F3B">
        <w:rPr>
          <w:color w:val="000000"/>
          <w:szCs w:val="20"/>
        </w:rPr>
        <w:t xml:space="preserve"> </w:t>
      </w:r>
      <w:r w:rsidR="005E5B7E">
        <w:rPr>
          <w:color w:val="000000"/>
          <w:szCs w:val="20"/>
        </w:rPr>
        <w:t>R</w:t>
      </w:r>
      <w:r w:rsidR="00B00DF9">
        <w:rPr>
          <w:color w:val="000000"/>
          <w:szCs w:val="20"/>
        </w:rPr>
        <w:t>esults of the power analyses are</w:t>
      </w:r>
      <w:r w:rsidR="005E5B7E">
        <w:rPr>
          <w:color w:val="000000"/>
          <w:szCs w:val="20"/>
        </w:rPr>
        <w:t xml:space="preserve"> shown in</w:t>
      </w:r>
      <w:r w:rsidR="00D24763">
        <w:rPr>
          <w:color w:val="000000"/>
          <w:szCs w:val="20"/>
        </w:rPr>
        <w:t xml:space="preserve"> the table below</w:t>
      </w:r>
      <w:r w:rsidR="004E3604">
        <w:rPr>
          <w:color w:val="000000"/>
          <w:szCs w:val="20"/>
        </w:rPr>
        <w:t xml:space="preserve"> as the odds ratios that can be detected when the dampness and mold score increases one standard deviation above the mean at a sample size of either 200</w:t>
      </w:r>
      <w:r w:rsidR="00BD026A">
        <w:rPr>
          <w:color w:val="000000"/>
          <w:szCs w:val="20"/>
        </w:rPr>
        <w:t>0</w:t>
      </w:r>
      <w:r w:rsidR="004E3604">
        <w:rPr>
          <w:color w:val="000000"/>
          <w:szCs w:val="20"/>
        </w:rPr>
        <w:t xml:space="preserve"> or 32</w:t>
      </w:r>
      <w:r w:rsidR="00BD026A">
        <w:rPr>
          <w:color w:val="000000"/>
          <w:szCs w:val="20"/>
        </w:rPr>
        <w:t xml:space="preserve">00 and a power of </w:t>
      </w:r>
      <w:r w:rsidR="004E3604">
        <w:rPr>
          <w:color w:val="000000"/>
          <w:szCs w:val="20"/>
        </w:rPr>
        <w:t>90%</w:t>
      </w:r>
      <w:r w:rsidR="00D24763">
        <w:rPr>
          <w:color w:val="000000"/>
          <w:szCs w:val="20"/>
        </w:rPr>
        <w:t>.</w:t>
      </w:r>
    </w:p>
    <w:p w:rsidR="00D24763" w:rsidRDefault="00D24763" w:rsidP="001E7C32">
      <w:pPr>
        <w:ind w:firstLine="720"/>
        <w:rPr>
          <w:color w:val="000000"/>
          <w:szCs w:val="20"/>
        </w:rPr>
      </w:pPr>
    </w:p>
    <w:tbl>
      <w:tblPr>
        <w:tblStyle w:val="TableGrid"/>
        <w:tblW w:w="0" w:type="auto"/>
        <w:jc w:val="center"/>
        <w:tblLook w:val="04A0" w:firstRow="1" w:lastRow="0" w:firstColumn="1" w:lastColumn="0" w:noHBand="0" w:noVBand="1"/>
      </w:tblPr>
      <w:tblGrid>
        <w:gridCol w:w="3869"/>
        <w:gridCol w:w="830"/>
        <w:gridCol w:w="696"/>
        <w:gridCol w:w="1303"/>
      </w:tblGrid>
      <w:tr w:rsidR="004E3604" w:rsidTr="00CF7BC6">
        <w:trPr>
          <w:jc w:val="center"/>
        </w:trPr>
        <w:tc>
          <w:tcPr>
            <w:tcW w:w="0" w:type="auto"/>
            <w:tcBorders>
              <w:bottom w:val="single" w:sz="4" w:space="0" w:color="auto"/>
            </w:tcBorders>
          </w:tcPr>
          <w:p w:rsidR="004E3604" w:rsidRDefault="004E3604" w:rsidP="00D24763">
            <w:pPr>
              <w:rPr>
                <w:color w:val="000000"/>
                <w:szCs w:val="20"/>
              </w:rPr>
            </w:pPr>
            <w:r>
              <w:rPr>
                <w:color w:val="000000"/>
                <w:szCs w:val="20"/>
              </w:rPr>
              <w:t>Health Outcome</w:t>
            </w:r>
          </w:p>
        </w:tc>
        <w:tc>
          <w:tcPr>
            <w:tcW w:w="0" w:type="auto"/>
          </w:tcPr>
          <w:p w:rsidR="004E3604" w:rsidRDefault="004E3604" w:rsidP="00D24763">
            <w:pPr>
              <w:rPr>
                <w:color w:val="000000"/>
                <w:szCs w:val="20"/>
              </w:rPr>
            </w:pPr>
            <w:r>
              <w:rPr>
                <w:color w:val="000000"/>
                <w:szCs w:val="20"/>
              </w:rPr>
              <w:t>Power</w:t>
            </w:r>
          </w:p>
        </w:tc>
        <w:tc>
          <w:tcPr>
            <w:tcW w:w="0" w:type="auto"/>
          </w:tcPr>
          <w:p w:rsidR="004E3604" w:rsidRDefault="004E3604" w:rsidP="00D24763">
            <w:pPr>
              <w:rPr>
                <w:color w:val="000000"/>
                <w:szCs w:val="20"/>
              </w:rPr>
            </w:pPr>
            <w:r>
              <w:rPr>
                <w:color w:val="000000"/>
                <w:szCs w:val="20"/>
              </w:rPr>
              <w:t>N</w:t>
            </w:r>
          </w:p>
        </w:tc>
        <w:tc>
          <w:tcPr>
            <w:tcW w:w="0" w:type="auto"/>
          </w:tcPr>
          <w:p w:rsidR="004E3604" w:rsidRDefault="004E3604" w:rsidP="00D24763">
            <w:pPr>
              <w:rPr>
                <w:color w:val="000000"/>
                <w:szCs w:val="20"/>
              </w:rPr>
            </w:pPr>
            <w:r>
              <w:rPr>
                <w:color w:val="000000"/>
                <w:szCs w:val="20"/>
              </w:rPr>
              <w:t>Odds Ratio</w:t>
            </w:r>
          </w:p>
        </w:tc>
      </w:tr>
      <w:tr w:rsidR="004E3604" w:rsidTr="00CF7BC6">
        <w:trPr>
          <w:jc w:val="center"/>
        </w:trPr>
        <w:tc>
          <w:tcPr>
            <w:tcW w:w="0" w:type="auto"/>
            <w:tcBorders>
              <w:bottom w:val="nil"/>
            </w:tcBorders>
          </w:tcPr>
          <w:p w:rsidR="004E3604" w:rsidRDefault="00BD026A" w:rsidP="00D24763">
            <w:pPr>
              <w:rPr>
                <w:color w:val="000000"/>
                <w:szCs w:val="20"/>
              </w:rPr>
            </w:pPr>
            <w:r>
              <w:rPr>
                <w:color w:val="000000"/>
                <w:szCs w:val="20"/>
              </w:rPr>
              <w:t>Current asthma</w:t>
            </w:r>
          </w:p>
        </w:tc>
        <w:tc>
          <w:tcPr>
            <w:tcW w:w="0" w:type="auto"/>
          </w:tcPr>
          <w:p w:rsidR="004E3604" w:rsidRDefault="004E3604" w:rsidP="00D24763">
            <w:pPr>
              <w:rPr>
                <w:color w:val="000000"/>
                <w:szCs w:val="20"/>
              </w:rPr>
            </w:pPr>
            <w:r>
              <w:rPr>
                <w:color w:val="000000"/>
                <w:szCs w:val="20"/>
              </w:rPr>
              <w:t>90%</w:t>
            </w:r>
          </w:p>
        </w:tc>
        <w:tc>
          <w:tcPr>
            <w:tcW w:w="0" w:type="auto"/>
          </w:tcPr>
          <w:p w:rsidR="004E3604" w:rsidRDefault="004E3604" w:rsidP="00D24763">
            <w:pPr>
              <w:rPr>
                <w:color w:val="000000"/>
                <w:szCs w:val="20"/>
              </w:rPr>
            </w:pPr>
            <w:r>
              <w:rPr>
                <w:color w:val="000000"/>
                <w:szCs w:val="20"/>
              </w:rPr>
              <w:t>2000</w:t>
            </w:r>
          </w:p>
        </w:tc>
        <w:tc>
          <w:tcPr>
            <w:tcW w:w="0" w:type="auto"/>
          </w:tcPr>
          <w:p w:rsidR="004E3604" w:rsidRDefault="00BD026A" w:rsidP="00D24763">
            <w:pPr>
              <w:rPr>
                <w:color w:val="000000"/>
                <w:szCs w:val="20"/>
              </w:rPr>
            </w:pPr>
            <w:r>
              <w:rPr>
                <w:color w:val="000000"/>
                <w:szCs w:val="20"/>
              </w:rPr>
              <w:t>1.29</w:t>
            </w:r>
          </w:p>
        </w:tc>
      </w:tr>
      <w:tr w:rsidR="004E3604" w:rsidTr="00CF7BC6">
        <w:trPr>
          <w:jc w:val="center"/>
        </w:trPr>
        <w:tc>
          <w:tcPr>
            <w:tcW w:w="0" w:type="auto"/>
            <w:tcBorders>
              <w:top w:val="nil"/>
              <w:bottom w:val="single" w:sz="4" w:space="0" w:color="auto"/>
            </w:tcBorders>
          </w:tcPr>
          <w:p w:rsidR="004E3604" w:rsidRDefault="004E3604" w:rsidP="00D24763">
            <w:pPr>
              <w:rPr>
                <w:color w:val="000000"/>
                <w:szCs w:val="20"/>
              </w:rPr>
            </w:pPr>
          </w:p>
        </w:tc>
        <w:tc>
          <w:tcPr>
            <w:tcW w:w="0" w:type="auto"/>
          </w:tcPr>
          <w:p w:rsidR="004E3604" w:rsidRDefault="004E3604" w:rsidP="00D24763">
            <w:pPr>
              <w:rPr>
                <w:color w:val="000000"/>
                <w:szCs w:val="20"/>
              </w:rPr>
            </w:pPr>
            <w:r>
              <w:rPr>
                <w:color w:val="000000"/>
                <w:szCs w:val="20"/>
              </w:rPr>
              <w:t>90%</w:t>
            </w:r>
          </w:p>
        </w:tc>
        <w:tc>
          <w:tcPr>
            <w:tcW w:w="0" w:type="auto"/>
          </w:tcPr>
          <w:p w:rsidR="004E3604" w:rsidRDefault="004E3604" w:rsidP="00D24763">
            <w:pPr>
              <w:rPr>
                <w:color w:val="000000"/>
                <w:szCs w:val="20"/>
              </w:rPr>
            </w:pPr>
            <w:r>
              <w:rPr>
                <w:color w:val="000000"/>
                <w:szCs w:val="20"/>
              </w:rPr>
              <w:t>3200</w:t>
            </w:r>
          </w:p>
        </w:tc>
        <w:tc>
          <w:tcPr>
            <w:tcW w:w="0" w:type="auto"/>
          </w:tcPr>
          <w:p w:rsidR="004E3604" w:rsidRDefault="00BD026A" w:rsidP="00D24763">
            <w:pPr>
              <w:rPr>
                <w:color w:val="000000"/>
                <w:szCs w:val="20"/>
              </w:rPr>
            </w:pPr>
            <w:r>
              <w:rPr>
                <w:color w:val="000000"/>
                <w:szCs w:val="20"/>
              </w:rPr>
              <w:t>1.22</w:t>
            </w:r>
          </w:p>
        </w:tc>
      </w:tr>
      <w:tr w:rsidR="004E3604" w:rsidTr="00CF7BC6">
        <w:trPr>
          <w:jc w:val="center"/>
        </w:trPr>
        <w:tc>
          <w:tcPr>
            <w:tcW w:w="0" w:type="auto"/>
            <w:tcBorders>
              <w:bottom w:val="nil"/>
            </w:tcBorders>
          </w:tcPr>
          <w:p w:rsidR="004E3604" w:rsidRDefault="00BD026A" w:rsidP="00D24763">
            <w:pPr>
              <w:rPr>
                <w:color w:val="000000"/>
                <w:szCs w:val="20"/>
              </w:rPr>
            </w:pPr>
            <w:r>
              <w:rPr>
                <w:color w:val="000000"/>
                <w:szCs w:val="20"/>
              </w:rPr>
              <w:t>Wheeze in the last 12 months</w:t>
            </w:r>
          </w:p>
        </w:tc>
        <w:tc>
          <w:tcPr>
            <w:tcW w:w="0" w:type="auto"/>
          </w:tcPr>
          <w:p w:rsidR="004E3604" w:rsidRDefault="00BD026A" w:rsidP="00D24763">
            <w:pPr>
              <w:rPr>
                <w:color w:val="000000"/>
                <w:szCs w:val="20"/>
              </w:rPr>
            </w:pPr>
            <w:r>
              <w:rPr>
                <w:color w:val="000000"/>
                <w:szCs w:val="20"/>
              </w:rPr>
              <w:t>90%</w:t>
            </w:r>
          </w:p>
        </w:tc>
        <w:tc>
          <w:tcPr>
            <w:tcW w:w="0" w:type="auto"/>
          </w:tcPr>
          <w:p w:rsidR="004E3604" w:rsidRDefault="00BD026A" w:rsidP="00D24763">
            <w:pPr>
              <w:rPr>
                <w:color w:val="000000"/>
                <w:szCs w:val="20"/>
              </w:rPr>
            </w:pPr>
            <w:r>
              <w:rPr>
                <w:color w:val="000000"/>
                <w:szCs w:val="20"/>
              </w:rPr>
              <w:t>2000</w:t>
            </w:r>
          </w:p>
        </w:tc>
        <w:tc>
          <w:tcPr>
            <w:tcW w:w="0" w:type="auto"/>
          </w:tcPr>
          <w:p w:rsidR="004E3604" w:rsidRDefault="00BD026A" w:rsidP="00D24763">
            <w:pPr>
              <w:rPr>
                <w:color w:val="000000"/>
                <w:szCs w:val="20"/>
              </w:rPr>
            </w:pPr>
            <w:r>
              <w:rPr>
                <w:color w:val="000000"/>
                <w:szCs w:val="20"/>
              </w:rPr>
              <w:t>1.23</w:t>
            </w:r>
          </w:p>
        </w:tc>
      </w:tr>
      <w:tr w:rsidR="00BD026A" w:rsidTr="00CF7BC6">
        <w:trPr>
          <w:jc w:val="center"/>
        </w:trPr>
        <w:tc>
          <w:tcPr>
            <w:tcW w:w="0" w:type="auto"/>
            <w:tcBorders>
              <w:top w:val="nil"/>
              <w:bottom w:val="single" w:sz="4" w:space="0" w:color="auto"/>
            </w:tcBorders>
          </w:tcPr>
          <w:p w:rsidR="00BD026A" w:rsidRDefault="00BD026A" w:rsidP="00D24763">
            <w:pPr>
              <w:rPr>
                <w:color w:val="000000"/>
                <w:szCs w:val="20"/>
              </w:rPr>
            </w:pPr>
          </w:p>
        </w:tc>
        <w:tc>
          <w:tcPr>
            <w:tcW w:w="0" w:type="auto"/>
          </w:tcPr>
          <w:p w:rsidR="00BD026A" w:rsidRDefault="00BD026A" w:rsidP="00D24763">
            <w:pPr>
              <w:rPr>
                <w:color w:val="000000"/>
                <w:szCs w:val="20"/>
              </w:rPr>
            </w:pPr>
            <w:r>
              <w:rPr>
                <w:color w:val="000000"/>
                <w:szCs w:val="20"/>
              </w:rPr>
              <w:t>90%</w:t>
            </w:r>
          </w:p>
        </w:tc>
        <w:tc>
          <w:tcPr>
            <w:tcW w:w="0" w:type="auto"/>
          </w:tcPr>
          <w:p w:rsidR="00BD026A" w:rsidRDefault="00BD026A" w:rsidP="00D24763">
            <w:pPr>
              <w:rPr>
                <w:color w:val="000000"/>
                <w:szCs w:val="20"/>
              </w:rPr>
            </w:pPr>
            <w:r>
              <w:rPr>
                <w:color w:val="000000"/>
                <w:szCs w:val="20"/>
              </w:rPr>
              <w:t>3200</w:t>
            </w:r>
          </w:p>
        </w:tc>
        <w:tc>
          <w:tcPr>
            <w:tcW w:w="0" w:type="auto"/>
          </w:tcPr>
          <w:p w:rsidR="00BD026A" w:rsidRDefault="00BD026A" w:rsidP="00D24763">
            <w:pPr>
              <w:rPr>
                <w:color w:val="000000"/>
                <w:szCs w:val="20"/>
              </w:rPr>
            </w:pPr>
            <w:r>
              <w:rPr>
                <w:color w:val="000000"/>
                <w:szCs w:val="20"/>
              </w:rPr>
              <w:t>1.18</w:t>
            </w:r>
          </w:p>
        </w:tc>
      </w:tr>
      <w:tr w:rsidR="00BD026A" w:rsidTr="00CF7BC6">
        <w:trPr>
          <w:jc w:val="center"/>
        </w:trPr>
        <w:tc>
          <w:tcPr>
            <w:tcW w:w="0" w:type="auto"/>
            <w:tcBorders>
              <w:bottom w:val="nil"/>
            </w:tcBorders>
          </w:tcPr>
          <w:p w:rsidR="00BD026A" w:rsidRDefault="00BD026A" w:rsidP="00D24763">
            <w:pPr>
              <w:rPr>
                <w:color w:val="000000"/>
                <w:szCs w:val="20"/>
              </w:rPr>
            </w:pPr>
            <w:r>
              <w:rPr>
                <w:color w:val="000000"/>
                <w:szCs w:val="20"/>
              </w:rPr>
              <w:t>Acute bronchitis in the last 12 months</w:t>
            </w:r>
          </w:p>
        </w:tc>
        <w:tc>
          <w:tcPr>
            <w:tcW w:w="0" w:type="auto"/>
          </w:tcPr>
          <w:p w:rsidR="00BD026A" w:rsidRDefault="00BD026A" w:rsidP="00D24763">
            <w:pPr>
              <w:rPr>
                <w:color w:val="000000"/>
                <w:szCs w:val="20"/>
              </w:rPr>
            </w:pPr>
            <w:r>
              <w:rPr>
                <w:color w:val="000000"/>
                <w:szCs w:val="20"/>
              </w:rPr>
              <w:t>90%</w:t>
            </w:r>
          </w:p>
        </w:tc>
        <w:tc>
          <w:tcPr>
            <w:tcW w:w="0" w:type="auto"/>
          </w:tcPr>
          <w:p w:rsidR="00BD026A" w:rsidRDefault="00BD026A" w:rsidP="00D24763">
            <w:pPr>
              <w:rPr>
                <w:color w:val="000000"/>
                <w:szCs w:val="20"/>
              </w:rPr>
            </w:pPr>
            <w:r>
              <w:rPr>
                <w:color w:val="000000"/>
                <w:szCs w:val="20"/>
              </w:rPr>
              <w:t>2000</w:t>
            </w:r>
          </w:p>
        </w:tc>
        <w:tc>
          <w:tcPr>
            <w:tcW w:w="0" w:type="auto"/>
          </w:tcPr>
          <w:p w:rsidR="00BD026A" w:rsidRDefault="00BD026A" w:rsidP="00D24763">
            <w:pPr>
              <w:rPr>
                <w:color w:val="000000"/>
                <w:szCs w:val="20"/>
              </w:rPr>
            </w:pPr>
            <w:r>
              <w:rPr>
                <w:color w:val="000000"/>
                <w:szCs w:val="20"/>
              </w:rPr>
              <w:t>1.42</w:t>
            </w:r>
          </w:p>
        </w:tc>
      </w:tr>
      <w:tr w:rsidR="00BD026A" w:rsidTr="00CF7BC6">
        <w:trPr>
          <w:jc w:val="center"/>
        </w:trPr>
        <w:tc>
          <w:tcPr>
            <w:tcW w:w="0" w:type="auto"/>
            <w:tcBorders>
              <w:top w:val="nil"/>
              <w:bottom w:val="single" w:sz="4" w:space="0" w:color="auto"/>
            </w:tcBorders>
          </w:tcPr>
          <w:p w:rsidR="00BD026A" w:rsidRDefault="00BD026A" w:rsidP="00D24763">
            <w:pPr>
              <w:rPr>
                <w:color w:val="000000"/>
                <w:szCs w:val="20"/>
              </w:rPr>
            </w:pPr>
          </w:p>
        </w:tc>
        <w:tc>
          <w:tcPr>
            <w:tcW w:w="0" w:type="auto"/>
          </w:tcPr>
          <w:p w:rsidR="00BD026A" w:rsidRDefault="00BD026A" w:rsidP="00D24763">
            <w:pPr>
              <w:rPr>
                <w:color w:val="000000"/>
                <w:szCs w:val="20"/>
              </w:rPr>
            </w:pPr>
            <w:r>
              <w:rPr>
                <w:color w:val="000000"/>
                <w:szCs w:val="20"/>
              </w:rPr>
              <w:t>90%</w:t>
            </w:r>
          </w:p>
        </w:tc>
        <w:tc>
          <w:tcPr>
            <w:tcW w:w="0" w:type="auto"/>
          </w:tcPr>
          <w:p w:rsidR="00BD026A" w:rsidRDefault="00BD026A" w:rsidP="00D24763">
            <w:pPr>
              <w:rPr>
                <w:color w:val="000000"/>
                <w:szCs w:val="20"/>
              </w:rPr>
            </w:pPr>
            <w:r>
              <w:rPr>
                <w:color w:val="000000"/>
                <w:szCs w:val="20"/>
              </w:rPr>
              <w:t>3200</w:t>
            </w:r>
          </w:p>
        </w:tc>
        <w:tc>
          <w:tcPr>
            <w:tcW w:w="0" w:type="auto"/>
          </w:tcPr>
          <w:p w:rsidR="00BD026A" w:rsidRDefault="00BD026A" w:rsidP="00D24763">
            <w:pPr>
              <w:rPr>
                <w:color w:val="000000"/>
                <w:szCs w:val="20"/>
              </w:rPr>
            </w:pPr>
            <w:r>
              <w:rPr>
                <w:color w:val="000000"/>
                <w:szCs w:val="20"/>
              </w:rPr>
              <w:t>1.32</w:t>
            </w:r>
          </w:p>
        </w:tc>
      </w:tr>
      <w:tr w:rsidR="00BD026A" w:rsidTr="00CF7BC6">
        <w:trPr>
          <w:trHeight w:val="296"/>
          <w:jc w:val="center"/>
        </w:trPr>
        <w:tc>
          <w:tcPr>
            <w:tcW w:w="0" w:type="auto"/>
            <w:tcBorders>
              <w:bottom w:val="nil"/>
            </w:tcBorders>
          </w:tcPr>
          <w:p w:rsidR="00BD026A" w:rsidRDefault="00BD026A" w:rsidP="00D24763">
            <w:pPr>
              <w:rPr>
                <w:color w:val="000000"/>
                <w:szCs w:val="20"/>
              </w:rPr>
            </w:pPr>
            <w:r>
              <w:rPr>
                <w:color w:val="000000"/>
                <w:szCs w:val="20"/>
              </w:rPr>
              <w:t>Pneumonia in the last 12 months</w:t>
            </w:r>
          </w:p>
        </w:tc>
        <w:tc>
          <w:tcPr>
            <w:tcW w:w="0" w:type="auto"/>
          </w:tcPr>
          <w:p w:rsidR="00BD026A" w:rsidRDefault="00BD026A" w:rsidP="00D24763">
            <w:pPr>
              <w:rPr>
                <w:color w:val="000000"/>
                <w:szCs w:val="20"/>
              </w:rPr>
            </w:pPr>
            <w:r>
              <w:rPr>
                <w:color w:val="000000"/>
                <w:szCs w:val="20"/>
              </w:rPr>
              <w:t>90%</w:t>
            </w:r>
          </w:p>
        </w:tc>
        <w:tc>
          <w:tcPr>
            <w:tcW w:w="0" w:type="auto"/>
          </w:tcPr>
          <w:p w:rsidR="00BD026A" w:rsidRDefault="00BD026A" w:rsidP="00D24763">
            <w:pPr>
              <w:rPr>
                <w:color w:val="000000"/>
                <w:szCs w:val="20"/>
              </w:rPr>
            </w:pPr>
            <w:r>
              <w:rPr>
                <w:color w:val="000000"/>
                <w:szCs w:val="20"/>
              </w:rPr>
              <w:t>2000</w:t>
            </w:r>
          </w:p>
        </w:tc>
        <w:tc>
          <w:tcPr>
            <w:tcW w:w="0" w:type="auto"/>
          </w:tcPr>
          <w:p w:rsidR="00BD026A" w:rsidRDefault="00BD026A" w:rsidP="00D24763">
            <w:pPr>
              <w:rPr>
                <w:color w:val="000000"/>
                <w:szCs w:val="20"/>
              </w:rPr>
            </w:pPr>
            <w:r>
              <w:rPr>
                <w:color w:val="000000"/>
                <w:szCs w:val="20"/>
              </w:rPr>
              <w:t>1</w:t>
            </w:r>
            <w:r w:rsidRPr="00CF7BC6">
              <w:rPr>
                <w:i/>
                <w:color w:val="000000"/>
                <w:szCs w:val="20"/>
              </w:rPr>
              <w:t>.7</w:t>
            </w:r>
            <w:r>
              <w:rPr>
                <w:color w:val="000000"/>
                <w:szCs w:val="20"/>
              </w:rPr>
              <w:t>0</w:t>
            </w:r>
          </w:p>
        </w:tc>
      </w:tr>
      <w:tr w:rsidR="004E3604" w:rsidTr="00CF7BC6">
        <w:trPr>
          <w:jc w:val="center"/>
        </w:trPr>
        <w:tc>
          <w:tcPr>
            <w:tcW w:w="0" w:type="auto"/>
            <w:tcBorders>
              <w:top w:val="nil"/>
            </w:tcBorders>
          </w:tcPr>
          <w:p w:rsidR="004E3604" w:rsidRDefault="004E3604" w:rsidP="00D24763">
            <w:pPr>
              <w:rPr>
                <w:color w:val="000000"/>
                <w:szCs w:val="20"/>
              </w:rPr>
            </w:pPr>
          </w:p>
        </w:tc>
        <w:tc>
          <w:tcPr>
            <w:tcW w:w="0" w:type="auto"/>
          </w:tcPr>
          <w:p w:rsidR="004E3604" w:rsidRDefault="00BD026A" w:rsidP="00D24763">
            <w:pPr>
              <w:rPr>
                <w:color w:val="000000"/>
                <w:szCs w:val="20"/>
              </w:rPr>
            </w:pPr>
            <w:r>
              <w:rPr>
                <w:color w:val="000000"/>
                <w:szCs w:val="20"/>
              </w:rPr>
              <w:t>90%</w:t>
            </w:r>
          </w:p>
        </w:tc>
        <w:tc>
          <w:tcPr>
            <w:tcW w:w="0" w:type="auto"/>
          </w:tcPr>
          <w:p w:rsidR="004E3604" w:rsidRDefault="00BD026A" w:rsidP="00D24763">
            <w:pPr>
              <w:rPr>
                <w:color w:val="000000"/>
                <w:szCs w:val="20"/>
              </w:rPr>
            </w:pPr>
            <w:r>
              <w:rPr>
                <w:color w:val="000000"/>
                <w:szCs w:val="20"/>
              </w:rPr>
              <w:t>3200</w:t>
            </w:r>
          </w:p>
        </w:tc>
        <w:tc>
          <w:tcPr>
            <w:tcW w:w="0" w:type="auto"/>
          </w:tcPr>
          <w:p w:rsidR="004E3604" w:rsidRDefault="00BD026A" w:rsidP="00D24763">
            <w:pPr>
              <w:rPr>
                <w:color w:val="000000"/>
                <w:szCs w:val="20"/>
              </w:rPr>
            </w:pPr>
            <w:r>
              <w:rPr>
                <w:color w:val="000000"/>
                <w:szCs w:val="20"/>
              </w:rPr>
              <w:t>1.52</w:t>
            </w:r>
          </w:p>
        </w:tc>
      </w:tr>
    </w:tbl>
    <w:p w:rsidR="00D24763" w:rsidRDefault="00D24763" w:rsidP="00D24763">
      <w:pPr>
        <w:rPr>
          <w:color w:val="000000"/>
        </w:rPr>
      </w:pPr>
      <w:r>
        <w:rPr>
          <w:color w:val="000000"/>
          <w:szCs w:val="20"/>
        </w:rPr>
        <w:tab/>
      </w:r>
      <w:r>
        <w:rPr>
          <w:color w:val="000000"/>
          <w:szCs w:val="20"/>
        </w:rPr>
        <w:tab/>
      </w:r>
    </w:p>
    <w:p w:rsidR="00B127E8" w:rsidRDefault="00B127E8" w:rsidP="001E7C32">
      <w:pPr>
        <w:ind w:firstLine="720"/>
        <w:rPr>
          <w:color w:val="000000"/>
          <w:szCs w:val="20"/>
        </w:rPr>
      </w:pPr>
    </w:p>
    <w:p w:rsidR="00571817" w:rsidRDefault="00571817" w:rsidP="001E7C32">
      <w:pPr>
        <w:ind w:firstLine="720"/>
      </w:pPr>
    </w:p>
    <w:p w:rsidR="002915E9" w:rsidRDefault="002915E9" w:rsidP="00E25F75">
      <w:pPr>
        <w:pStyle w:val="Level2"/>
      </w:pPr>
      <w:bookmarkStart w:id="60" w:name="_Toc161124941"/>
      <w:bookmarkStart w:id="61" w:name="_Toc179766430"/>
      <w:bookmarkStart w:id="62" w:name="_Toc179774563"/>
      <w:r>
        <w:t>17.</w:t>
      </w:r>
      <w:r>
        <w:tab/>
        <w:t>Reason(s) Display of OMB Expiration is Inappropriate</w:t>
      </w:r>
      <w:bookmarkEnd w:id="60"/>
      <w:bookmarkEnd w:id="61"/>
      <w:bookmarkEnd w:id="62"/>
    </w:p>
    <w:p w:rsidR="00F92F78" w:rsidRPr="00F92F78" w:rsidRDefault="00F92F78" w:rsidP="00F92F78"/>
    <w:p w:rsidR="002915E9" w:rsidRDefault="002915E9" w:rsidP="00E54551">
      <w:pPr>
        <w:ind w:left="360" w:hanging="360"/>
      </w:pPr>
      <w:r>
        <w:rPr>
          <w:b/>
        </w:rPr>
        <w:tab/>
      </w:r>
      <w:r>
        <w:rPr>
          <w:b/>
        </w:rPr>
        <w:tab/>
      </w:r>
      <w:r w:rsidR="00865169">
        <w:t>The display of the OMB expiration date is not inappropriate.</w:t>
      </w:r>
    </w:p>
    <w:p w:rsidR="002915E9" w:rsidRDefault="002915E9" w:rsidP="00E54551">
      <w:pPr>
        <w:ind w:left="360" w:hanging="360"/>
      </w:pPr>
    </w:p>
    <w:p w:rsidR="002915E9" w:rsidRDefault="002915E9" w:rsidP="00E25F75">
      <w:pPr>
        <w:pStyle w:val="Level2"/>
      </w:pPr>
      <w:bookmarkStart w:id="63" w:name="_Toc161124942"/>
      <w:bookmarkStart w:id="64" w:name="_Toc179766431"/>
      <w:bookmarkStart w:id="65" w:name="_Toc179774564"/>
      <w:r>
        <w:t>18.</w:t>
      </w:r>
      <w:r>
        <w:tab/>
      </w:r>
      <w:r w:rsidRPr="00E25F75">
        <w:t>Exceptions to Certification for Paperwork Reduction Act Submissions</w:t>
      </w:r>
      <w:bookmarkEnd w:id="63"/>
      <w:bookmarkEnd w:id="64"/>
      <w:bookmarkEnd w:id="65"/>
    </w:p>
    <w:p w:rsidR="00F92F78" w:rsidRPr="00F92F78" w:rsidRDefault="00F92F78" w:rsidP="00F92F78"/>
    <w:p w:rsidR="008A0509" w:rsidRDefault="002915E9" w:rsidP="00E54551">
      <w:pPr>
        <w:ind w:left="360" w:hanging="360"/>
      </w:pPr>
      <w:r>
        <w:rPr>
          <w:b/>
        </w:rPr>
        <w:tab/>
      </w:r>
      <w:r>
        <w:rPr>
          <w:b/>
        </w:rPr>
        <w:tab/>
      </w:r>
      <w:r>
        <w:t>There are no exceptions to the certification.</w:t>
      </w:r>
      <w:r w:rsidR="00BD40B9" w:rsidDel="00BD40B9">
        <w:t xml:space="preserve"> </w:t>
      </w:r>
    </w:p>
    <w:sectPr w:rsidR="008A0509" w:rsidSect="00D52195">
      <w:footerReference w:type="even" r:id="rId9"/>
      <w:footerReference w:type="default" r:id="rId10"/>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F5" w:rsidRDefault="00C43DF5">
      <w:r>
        <w:separator/>
      </w:r>
    </w:p>
  </w:endnote>
  <w:endnote w:type="continuationSeparator" w:id="0">
    <w:p w:rsidR="00C43DF5" w:rsidRDefault="00C4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80" w:rsidRDefault="00257D80"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7D80" w:rsidRDefault="00257D80"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80" w:rsidRDefault="00257D80"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F5" w:rsidRDefault="00C43DF5">
      <w:r>
        <w:separator/>
      </w:r>
    </w:p>
  </w:footnote>
  <w:footnote w:type="continuationSeparator" w:id="0">
    <w:p w:rsidR="00C43DF5" w:rsidRDefault="00C43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3EB2F3C"/>
    <w:multiLevelType w:val="hybridMultilevel"/>
    <w:tmpl w:val="E7B00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AB50273"/>
    <w:multiLevelType w:val="hybridMultilevel"/>
    <w:tmpl w:val="398C3D6A"/>
    <w:lvl w:ilvl="0" w:tplc="83F276F8">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9C4639"/>
    <w:multiLevelType w:val="hybridMultilevel"/>
    <w:tmpl w:val="90AC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1A6D66"/>
    <w:multiLevelType w:val="hybridMultilevel"/>
    <w:tmpl w:val="151AC422"/>
    <w:lvl w:ilvl="0" w:tplc="8698DF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7"/>
  </w:num>
  <w:num w:numId="4">
    <w:abstractNumId w:val="5"/>
  </w:num>
  <w:num w:numId="5">
    <w:abstractNumId w:val="9"/>
  </w:num>
  <w:num w:numId="6">
    <w:abstractNumId w:val="11"/>
  </w:num>
  <w:num w:numId="7">
    <w:abstractNumId w:val="6"/>
  </w:num>
  <w:num w:numId="8">
    <w:abstractNumId w:val="0"/>
  </w:num>
  <w:num w:numId="9">
    <w:abstractNumId w:val="1"/>
  </w:num>
  <w:num w:numId="10">
    <w:abstractNumId w:val="8"/>
  </w:num>
  <w:num w:numId="11">
    <w:abstractNumId w:val="2"/>
  </w:num>
  <w:num w:numId="12">
    <w:abstractNumId w:val="3"/>
  </w:num>
  <w:num w:numId="13">
    <w:abstractNumId w:val="4"/>
  </w:num>
  <w:num w:numId="14">
    <w:abstractNumId w:val="12"/>
  </w:num>
  <w:num w:numId="15">
    <w:abstractNumId w:val="14"/>
  </w:num>
  <w:num w:numId="16">
    <w:abstractNumId w:val="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481E"/>
    <w:rsid w:val="000066F7"/>
    <w:rsid w:val="000071DF"/>
    <w:rsid w:val="00010701"/>
    <w:rsid w:val="00010CE1"/>
    <w:rsid w:val="00011842"/>
    <w:rsid w:val="00016AA4"/>
    <w:rsid w:val="00017D13"/>
    <w:rsid w:val="00021F95"/>
    <w:rsid w:val="00024FCC"/>
    <w:rsid w:val="000275EF"/>
    <w:rsid w:val="00027D77"/>
    <w:rsid w:val="00032D2C"/>
    <w:rsid w:val="00034468"/>
    <w:rsid w:val="0003769D"/>
    <w:rsid w:val="0003779B"/>
    <w:rsid w:val="000430FC"/>
    <w:rsid w:val="000433DC"/>
    <w:rsid w:val="00044A4A"/>
    <w:rsid w:val="0004629B"/>
    <w:rsid w:val="00046939"/>
    <w:rsid w:val="00052831"/>
    <w:rsid w:val="00052885"/>
    <w:rsid w:val="00054458"/>
    <w:rsid w:val="000566EA"/>
    <w:rsid w:val="00060E07"/>
    <w:rsid w:val="00062F9C"/>
    <w:rsid w:val="0006305B"/>
    <w:rsid w:val="00063CDB"/>
    <w:rsid w:val="00066C68"/>
    <w:rsid w:val="00067CCF"/>
    <w:rsid w:val="000722A5"/>
    <w:rsid w:val="000737EF"/>
    <w:rsid w:val="0007396D"/>
    <w:rsid w:val="00073A55"/>
    <w:rsid w:val="0007596A"/>
    <w:rsid w:val="00075DB7"/>
    <w:rsid w:val="00076160"/>
    <w:rsid w:val="0007693E"/>
    <w:rsid w:val="00080182"/>
    <w:rsid w:val="00080AB3"/>
    <w:rsid w:val="0008156F"/>
    <w:rsid w:val="000829F5"/>
    <w:rsid w:val="00083453"/>
    <w:rsid w:val="000872D5"/>
    <w:rsid w:val="00087C3B"/>
    <w:rsid w:val="000902C3"/>
    <w:rsid w:val="000917F2"/>
    <w:rsid w:val="00094FBD"/>
    <w:rsid w:val="00095489"/>
    <w:rsid w:val="0009585B"/>
    <w:rsid w:val="00096A68"/>
    <w:rsid w:val="0009741E"/>
    <w:rsid w:val="000A0260"/>
    <w:rsid w:val="000A28D0"/>
    <w:rsid w:val="000A39B2"/>
    <w:rsid w:val="000A39B4"/>
    <w:rsid w:val="000A408A"/>
    <w:rsid w:val="000A4371"/>
    <w:rsid w:val="000A5F92"/>
    <w:rsid w:val="000B0047"/>
    <w:rsid w:val="000B1018"/>
    <w:rsid w:val="000B22BC"/>
    <w:rsid w:val="000B4335"/>
    <w:rsid w:val="000B4C68"/>
    <w:rsid w:val="000B4CA6"/>
    <w:rsid w:val="000B768E"/>
    <w:rsid w:val="000B7ADA"/>
    <w:rsid w:val="000B7C4C"/>
    <w:rsid w:val="000C30C2"/>
    <w:rsid w:val="000C3B66"/>
    <w:rsid w:val="000C3D18"/>
    <w:rsid w:val="000C44B6"/>
    <w:rsid w:val="000C46FE"/>
    <w:rsid w:val="000D2B34"/>
    <w:rsid w:val="000D3311"/>
    <w:rsid w:val="000D57FF"/>
    <w:rsid w:val="000E18F0"/>
    <w:rsid w:val="000E303A"/>
    <w:rsid w:val="000E3123"/>
    <w:rsid w:val="000E670E"/>
    <w:rsid w:val="000E6DFB"/>
    <w:rsid w:val="000E7F32"/>
    <w:rsid w:val="000F1349"/>
    <w:rsid w:val="000F3127"/>
    <w:rsid w:val="000F36D9"/>
    <w:rsid w:val="000F4ADC"/>
    <w:rsid w:val="000F4CFE"/>
    <w:rsid w:val="000F4E9E"/>
    <w:rsid w:val="000F538B"/>
    <w:rsid w:val="000F5EAB"/>
    <w:rsid w:val="000F6A6F"/>
    <w:rsid w:val="00100B9B"/>
    <w:rsid w:val="00101CE3"/>
    <w:rsid w:val="00101D1B"/>
    <w:rsid w:val="00104E69"/>
    <w:rsid w:val="001051FF"/>
    <w:rsid w:val="00113F39"/>
    <w:rsid w:val="0011687E"/>
    <w:rsid w:val="001171C2"/>
    <w:rsid w:val="00117DF8"/>
    <w:rsid w:val="00120241"/>
    <w:rsid w:val="00122D11"/>
    <w:rsid w:val="00123FAF"/>
    <w:rsid w:val="0012443A"/>
    <w:rsid w:val="001248F1"/>
    <w:rsid w:val="001270F4"/>
    <w:rsid w:val="00130A03"/>
    <w:rsid w:val="001327C0"/>
    <w:rsid w:val="00132D9C"/>
    <w:rsid w:val="001338B2"/>
    <w:rsid w:val="00134CAF"/>
    <w:rsid w:val="001355BB"/>
    <w:rsid w:val="00136BD6"/>
    <w:rsid w:val="00141483"/>
    <w:rsid w:val="00142B14"/>
    <w:rsid w:val="00144919"/>
    <w:rsid w:val="00151B02"/>
    <w:rsid w:val="00153588"/>
    <w:rsid w:val="00153E02"/>
    <w:rsid w:val="0015526E"/>
    <w:rsid w:val="001554CF"/>
    <w:rsid w:val="00162816"/>
    <w:rsid w:val="00163EA6"/>
    <w:rsid w:val="00165850"/>
    <w:rsid w:val="00166D83"/>
    <w:rsid w:val="0017271B"/>
    <w:rsid w:val="00173F8B"/>
    <w:rsid w:val="001757C1"/>
    <w:rsid w:val="0018019C"/>
    <w:rsid w:val="00180D86"/>
    <w:rsid w:val="00184AF9"/>
    <w:rsid w:val="001857B1"/>
    <w:rsid w:val="00186434"/>
    <w:rsid w:val="001902C9"/>
    <w:rsid w:val="00193F6B"/>
    <w:rsid w:val="00196A67"/>
    <w:rsid w:val="00197E0A"/>
    <w:rsid w:val="001A280D"/>
    <w:rsid w:val="001A2E3D"/>
    <w:rsid w:val="001A4C71"/>
    <w:rsid w:val="001A7A78"/>
    <w:rsid w:val="001B19B3"/>
    <w:rsid w:val="001B30A9"/>
    <w:rsid w:val="001B3C56"/>
    <w:rsid w:val="001B570C"/>
    <w:rsid w:val="001B6B2D"/>
    <w:rsid w:val="001B7D01"/>
    <w:rsid w:val="001C0803"/>
    <w:rsid w:val="001C08E1"/>
    <w:rsid w:val="001C326A"/>
    <w:rsid w:val="001C4ACB"/>
    <w:rsid w:val="001C4D16"/>
    <w:rsid w:val="001C6493"/>
    <w:rsid w:val="001D0318"/>
    <w:rsid w:val="001D0C26"/>
    <w:rsid w:val="001D1903"/>
    <w:rsid w:val="001D24A4"/>
    <w:rsid w:val="001D6C66"/>
    <w:rsid w:val="001E3ED0"/>
    <w:rsid w:val="001E5AB1"/>
    <w:rsid w:val="001E658F"/>
    <w:rsid w:val="001E69D2"/>
    <w:rsid w:val="001E7C32"/>
    <w:rsid w:val="001F1B7B"/>
    <w:rsid w:val="001F5939"/>
    <w:rsid w:val="001F7FAA"/>
    <w:rsid w:val="002007F7"/>
    <w:rsid w:val="002017ED"/>
    <w:rsid w:val="0020186A"/>
    <w:rsid w:val="00204016"/>
    <w:rsid w:val="002048D6"/>
    <w:rsid w:val="00210887"/>
    <w:rsid w:val="00211309"/>
    <w:rsid w:val="002119C9"/>
    <w:rsid w:val="002121F9"/>
    <w:rsid w:val="00212FBA"/>
    <w:rsid w:val="00213DED"/>
    <w:rsid w:val="0021532A"/>
    <w:rsid w:val="0022270D"/>
    <w:rsid w:val="00222EFC"/>
    <w:rsid w:val="00225CD5"/>
    <w:rsid w:val="002279BB"/>
    <w:rsid w:val="00235596"/>
    <w:rsid w:val="00240D7D"/>
    <w:rsid w:val="00241D77"/>
    <w:rsid w:val="00243F3E"/>
    <w:rsid w:val="0024576D"/>
    <w:rsid w:val="002474A3"/>
    <w:rsid w:val="002474CF"/>
    <w:rsid w:val="00247823"/>
    <w:rsid w:val="002512E8"/>
    <w:rsid w:val="00251FA8"/>
    <w:rsid w:val="00252B71"/>
    <w:rsid w:val="002539BE"/>
    <w:rsid w:val="00254CA4"/>
    <w:rsid w:val="00254DA5"/>
    <w:rsid w:val="0025584F"/>
    <w:rsid w:val="002564F9"/>
    <w:rsid w:val="00257D80"/>
    <w:rsid w:val="00257ED2"/>
    <w:rsid w:val="00260387"/>
    <w:rsid w:val="00262E2F"/>
    <w:rsid w:val="00263DFE"/>
    <w:rsid w:val="002640DC"/>
    <w:rsid w:val="002652FC"/>
    <w:rsid w:val="00266EE1"/>
    <w:rsid w:val="00270635"/>
    <w:rsid w:val="00270E2D"/>
    <w:rsid w:val="00271231"/>
    <w:rsid w:val="002719A8"/>
    <w:rsid w:val="0027396F"/>
    <w:rsid w:val="00274DB0"/>
    <w:rsid w:val="002762A3"/>
    <w:rsid w:val="00276EB1"/>
    <w:rsid w:val="002770FC"/>
    <w:rsid w:val="00282D78"/>
    <w:rsid w:val="00286DA8"/>
    <w:rsid w:val="00286E76"/>
    <w:rsid w:val="0029050B"/>
    <w:rsid w:val="002915E9"/>
    <w:rsid w:val="002926BD"/>
    <w:rsid w:val="00295C73"/>
    <w:rsid w:val="00297165"/>
    <w:rsid w:val="002A2CEA"/>
    <w:rsid w:val="002A3579"/>
    <w:rsid w:val="002A4A75"/>
    <w:rsid w:val="002A4CB0"/>
    <w:rsid w:val="002A52B9"/>
    <w:rsid w:val="002A5AAD"/>
    <w:rsid w:val="002A5F84"/>
    <w:rsid w:val="002B1173"/>
    <w:rsid w:val="002B180A"/>
    <w:rsid w:val="002B35BC"/>
    <w:rsid w:val="002B67C4"/>
    <w:rsid w:val="002B7CE9"/>
    <w:rsid w:val="002C06AE"/>
    <w:rsid w:val="002C3DE1"/>
    <w:rsid w:val="002C4472"/>
    <w:rsid w:val="002C5B21"/>
    <w:rsid w:val="002C6C41"/>
    <w:rsid w:val="002C7827"/>
    <w:rsid w:val="002C7ED6"/>
    <w:rsid w:val="002D0084"/>
    <w:rsid w:val="002D5501"/>
    <w:rsid w:val="002D7368"/>
    <w:rsid w:val="002D7C32"/>
    <w:rsid w:val="002E0690"/>
    <w:rsid w:val="002E0EC1"/>
    <w:rsid w:val="002E0EE7"/>
    <w:rsid w:val="002E109C"/>
    <w:rsid w:val="002E2D5C"/>
    <w:rsid w:val="002E4248"/>
    <w:rsid w:val="002E4F1E"/>
    <w:rsid w:val="002F1606"/>
    <w:rsid w:val="002F18BC"/>
    <w:rsid w:val="002F33C1"/>
    <w:rsid w:val="002F3B72"/>
    <w:rsid w:val="002F3BCC"/>
    <w:rsid w:val="002F60E0"/>
    <w:rsid w:val="003002EA"/>
    <w:rsid w:val="0030101B"/>
    <w:rsid w:val="00301FEA"/>
    <w:rsid w:val="00302E5C"/>
    <w:rsid w:val="0031240C"/>
    <w:rsid w:val="00314D8A"/>
    <w:rsid w:val="0031746D"/>
    <w:rsid w:val="003260E5"/>
    <w:rsid w:val="003304D0"/>
    <w:rsid w:val="00331BA9"/>
    <w:rsid w:val="003322C9"/>
    <w:rsid w:val="003329CA"/>
    <w:rsid w:val="003379B2"/>
    <w:rsid w:val="0034148E"/>
    <w:rsid w:val="003416B9"/>
    <w:rsid w:val="00341935"/>
    <w:rsid w:val="00343191"/>
    <w:rsid w:val="003435D8"/>
    <w:rsid w:val="003436EC"/>
    <w:rsid w:val="00343D63"/>
    <w:rsid w:val="00346D0D"/>
    <w:rsid w:val="0035014A"/>
    <w:rsid w:val="0035783B"/>
    <w:rsid w:val="003633EC"/>
    <w:rsid w:val="00363687"/>
    <w:rsid w:val="003649ED"/>
    <w:rsid w:val="003806D0"/>
    <w:rsid w:val="00380D1B"/>
    <w:rsid w:val="003811F3"/>
    <w:rsid w:val="00383800"/>
    <w:rsid w:val="00387449"/>
    <w:rsid w:val="0039044F"/>
    <w:rsid w:val="003949D9"/>
    <w:rsid w:val="003A19AB"/>
    <w:rsid w:val="003A1B6A"/>
    <w:rsid w:val="003B2B8B"/>
    <w:rsid w:val="003B2C99"/>
    <w:rsid w:val="003B4F55"/>
    <w:rsid w:val="003B67F0"/>
    <w:rsid w:val="003B6ECD"/>
    <w:rsid w:val="003C6DC9"/>
    <w:rsid w:val="003D1D05"/>
    <w:rsid w:val="003D3A07"/>
    <w:rsid w:val="003D4D99"/>
    <w:rsid w:val="003D7430"/>
    <w:rsid w:val="003D75DF"/>
    <w:rsid w:val="003D79DB"/>
    <w:rsid w:val="003E0BB7"/>
    <w:rsid w:val="003E234A"/>
    <w:rsid w:val="003E3736"/>
    <w:rsid w:val="003E37BC"/>
    <w:rsid w:val="003E38B6"/>
    <w:rsid w:val="003E52E2"/>
    <w:rsid w:val="003F1B83"/>
    <w:rsid w:val="003F2243"/>
    <w:rsid w:val="003F2306"/>
    <w:rsid w:val="003F3D15"/>
    <w:rsid w:val="003F3DCF"/>
    <w:rsid w:val="003F3E15"/>
    <w:rsid w:val="003F6AFA"/>
    <w:rsid w:val="00400255"/>
    <w:rsid w:val="00400E60"/>
    <w:rsid w:val="004012B9"/>
    <w:rsid w:val="00401B6D"/>
    <w:rsid w:val="00401E82"/>
    <w:rsid w:val="00402AB3"/>
    <w:rsid w:val="00406E56"/>
    <w:rsid w:val="00410ADD"/>
    <w:rsid w:val="00410F90"/>
    <w:rsid w:val="0041226A"/>
    <w:rsid w:val="00413FCC"/>
    <w:rsid w:val="00424B4E"/>
    <w:rsid w:val="00426391"/>
    <w:rsid w:val="00427C01"/>
    <w:rsid w:val="00436A78"/>
    <w:rsid w:val="00441CC6"/>
    <w:rsid w:val="00443E00"/>
    <w:rsid w:val="00444310"/>
    <w:rsid w:val="004446A9"/>
    <w:rsid w:val="004472BC"/>
    <w:rsid w:val="0045061C"/>
    <w:rsid w:val="004552C6"/>
    <w:rsid w:val="004579E5"/>
    <w:rsid w:val="00457E2F"/>
    <w:rsid w:val="00460D5F"/>
    <w:rsid w:val="00461486"/>
    <w:rsid w:val="00463BAC"/>
    <w:rsid w:val="00464E35"/>
    <w:rsid w:val="00466F0A"/>
    <w:rsid w:val="00471554"/>
    <w:rsid w:val="00472014"/>
    <w:rsid w:val="00482733"/>
    <w:rsid w:val="00482882"/>
    <w:rsid w:val="00482BA4"/>
    <w:rsid w:val="004845E8"/>
    <w:rsid w:val="004902A3"/>
    <w:rsid w:val="004913F4"/>
    <w:rsid w:val="004A0D2C"/>
    <w:rsid w:val="004A1319"/>
    <w:rsid w:val="004A2BC1"/>
    <w:rsid w:val="004A680E"/>
    <w:rsid w:val="004A6FE9"/>
    <w:rsid w:val="004A7B2C"/>
    <w:rsid w:val="004B10C9"/>
    <w:rsid w:val="004B1ACE"/>
    <w:rsid w:val="004B3718"/>
    <w:rsid w:val="004B43B3"/>
    <w:rsid w:val="004B46D3"/>
    <w:rsid w:val="004B5F1E"/>
    <w:rsid w:val="004B7542"/>
    <w:rsid w:val="004C026A"/>
    <w:rsid w:val="004C079B"/>
    <w:rsid w:val="004C193A"/>
    <w:rsid w:val="004C1C04"/>
    <w:rsid w:val="004C245D"/>
    <w:rsid w:val="004C2B59"/>
    <w:rsid w:val="004C37A1"/>
    <w:rsid w:val="004C3A7A"/>
    <w:rsid w:val="004C54DB"/>
    <w:rsid w:val="004C6698"/>
    <w:rsid w:val="004D03B2"/>
    <w:rsid w:val="004D3359"/>
    <w:rsid w:val="004D4E5C"/>
    <w:rsid w:val="004D4FAB"/>
    <w:rsid w:val="004D63B7"/>
    <w:rsid w:val="004E2175"/>
    <w:rsid w:val="004E3604"/>
    <w:rsid w:val="004E42ED"/>
    <w:rsid w:val="004E7C7D"/>
    <w:rsid w:val="004F438B"/>
    <w:rsid w:val="004F4FAB"/>
    <w:rsid w:val="004F7A4D"/>
    <w:rsid w:val="00507780"/>
    <w:rsid w:val="0051391B"/>
    <w:rsid w:val="00514A8D"/>
    <w:rsid w:val="0051534B"/>
    <w:rsid w:val="005157F1"/>
    <w:rsid w:val="005221DB"/>
    <w:rsid w:val="005224DC"/>
    <w:rsid w:val="00523319"/>
    <w:rsid w:val="0052596E"/>
    <w:rsid w:val="00525FC5"/>
    <w:rsid w:val="00526DA8"/>
    <w:rsid w:val="00527985"/>
    <w:rsid w:val="00527BFF"/>
    <w:rsid w:val="0053166D"/>
    <w:rsid w:val="00531CC8"/>
    <w:rsid w:val="005335AD"/>
    <w:rsid w:val="00535D03"/>
    <w:rsid w:val="00541588"/>
    <w:rsid w:val="00543432"/>
    <w:rsid w:val="00555266"/>
    <w:rsid w:val="00555B1A"/>
    <w:rsid w:val="00555FCE"/>
    <w:rsid w:val="00560BB1"/>
    <w:rsid w:val="00561A27"/>
    <w:rsid w:val="0056333A"/>
    <w:rsid w:val="00566EB8"/>
    <w:rsid w:val="00571817"/>
    <w:rsid w:val="005747E4"/>
    <w:rsid w:val="00574B1A"/>
    <w:rsid w:val="00580920"/>
    <w:rsid w:val="005820C9"/>
    <w:rsid w:val="005829F4"/>
    <w:rsid w:val="005837F4"/>
    <w:rsid w:val="00587F2E"/>
    <w:rsid w:val="00590330"/>
    <w:rsid w:val="00591637"/>
    <w:rsid w:val="00592260"/>
    <w:rsid w:val="00592D93"/>
    <w:rsid w:val="0059447E"/>
    <w:rsid w:val="00595637"/>
    <w:rsid w:val="005978D2"/>
    <w:rsid w:val="005A23A1"/>
    <w:rsid w:val="005A2D58"/>
    <w:rsid w:val="005A3360"/>
    <w:rsid w:val="005A3F04"/>
    <w:rsid w:val="005B1140"/>
    <w:rsid w:val="005B1528"/>
    <w:rsid w:val="005B47DA"/>
    <w:rsid w:val="005B61BD"/>
    <w:rsid w:val="005C302A"/>
    <w:rsid w:val="005C5E72"/>
    <w:rsid w:val="005D1325"/>
    <w:rsid w:val="005D2942"/>
    <w:rsid w:val="005D32AB"/>
    <w:rsid w:val="005E48FB"/>
    <w:rsid w:val="005E4B20"/>
    <w:rsid w:val="005E5B7E"/>
    <w:rsid w:val="005F0696"/>
    <w:rsid w:val="005F41A3"/>
    <w:rsid w:val="005F4901"/>
    <w:rsid w:val="005F5A70"/>
    <w:rsid w:val="005F5F37"/>
    <w:rsid w:val="005F6314"/>
    <w:rsid w:val="005F646C"/>
    <w:rsid w:val="005F66FE"/>
    <w:rsid w:val="005F77A4"/>
    <w:rsid w:val="0060055B"/>
    <w:rsid w:val="00607BAA"/>
    <w:rsid w:val="0061608C"/>
    <w:rsid w:val="006201CB"/>
    <w:rsid w:val="00621545"/>
    <w:rsid w:val="0062164D"/>
    <w:rsid w:val="006262DD"/>
    <w:rsid w:val="00626949"/>
    <w:rsid w:val="00626C0C"/>
    <w:rsid w:val="00627137"/>
    <w:rsid w:val="00627711"/>
    <w:rsid w:val="006316F1"/>
    <w:rsid w:val="00633795"/>
    <w:rsid w:val="0063481C"/>
    <w:rsid w:val="006379F5"/>
    <w:rsid w:val="00641A71"/>
    <w:rsid w:val="00645B52"/>
    <w:rsid w:val="00646C33"/>
    <w:rsid w:val="0065024D"/>
    <w:rsid w:val="0065095F"/>
    <w:rsid w:val="00651497"/>
    <w:rsid w:val="00653048"/>
    <w:rsid w:val="0065399D"/>
    <w:rsid w:val="00654C71"/>
    <w:rsid w:val="0065568E"/>
    <w:rsid w:val="00657650"/>
    <w:rsid w:val="006601E4"/>
    <w:rsid w:val="00664530"/>
    <w:rsid w:val="00666999"/>
    <w:rsid w:val="00670499"/>
    <w:rsid w:val="00685B14"/>
    <w:rsid w:val="0068637F"/>
    <w:rsid w:val="00686BCA"/>
    <w:rsid w:val="006925D7"/>
    <w:rsid w:val="00693339"/>
    <w:rsid w:val="00697747"/>
    <w:rsid w:val="006A08F9"/>
    <w:rsid w:val="006A11BF"/>
    <w:rsid w:val="006A3FD6"/>
    <w:rsid w:val="006A4139"/>
    <w:rsid w:val="006A6920"/>
    <w:rsid w:val="006A74DC"/>
    <w:rsid w:val="006A769F"/>
    <w:rsid w:val="006B1A3B"/>
    <w:rsid w:val="006B42A4"/>
    <w:rsid w:val="006B6F45"/>
    <w:rsid w:val="006C243F"/>
    <w:rsid w:val="006C2DD4"/>
    <w:rsid w:val="006C55ED"/>
    <w:rsid w:val="006D150E"/>
    <w:rsid w:val="006D20A4"/>
    <w:rsid w:val="006D2E6E"/>
    <w:rsid w:val="006D3530"/>
    <w:rsid w:val="006D3CE9"/>
    <w:rsid w:val="006D5B0F"/>
    <w:rsid w:val="006E2971"/>
    <w:rsid w:val="006E3140"/>
    <w:rsid w:val="006E3A3F"/>
    <w:rsid w:val="006E41C7"/>
    <w:rsid w:val="006E48E5"/>
    <w:rsid w:val="006E79E9"/>
    <w:rsid w:val="006F0E7F"/>
    <w:rsid w:val="006F2504"/>
    <w:rsid w:val="006F59A4"/>
    <w:rsid w:val="006F5C26"/>
    <w:rsid w:val="00701042"/>
    <w:rsid w:val="00702A07"/>
    <w:rsid w:val="0070300E"/>
    <w:rsid w:val="007030D2"/>
    <w:rsid w:val="00706941"/>
    <w:rsid w:val="0071187D"/>
    <w:rsid w:val="00713299"/>
    <w:rsid w:val="00714193"/>
    <w:rsid w:val="00715719"/>
    <w:rsid w:val="007207E3"/>
    <w:rsid w:val="00720A8E"/>
    <w:rsid w:val="00722964"/>
    <w:rsid w:val="007273E7"/>
    <w:rsid w:val="00730E66"/>
    <w:rsid w:val="00732EE4"/>
    <w:rsid w:val="00734FA7"/>
    <w:rsid w:val="00735BC0"/>
    <w:rsid w:val="00736248"/>
    <w:rsid w:val="00740B3F"/>
    <w:rsid w:val="00746DB7"/>
    <w:rsid w:val="00751B8B"/>
    <w:rsid w:val="00752299"/>
    <w:rsid w:val="00752B50"/>
    <w:rsid w:val="00753611"/>
    <w:rsid w:val="00754944"/>
    <w:rsid w:val="00761515"/>
    <w:rsid w:val="00762454"/>
    <w:rsid w:val="0076317F"/>
    <w:rsid w:val="00766A33"/>
    <w:rsid w:val="00771410"/>
    <w:rsid w:val="007719AF"/>
    <w:rsid w:val="00772E41"/>
    <w:rsid w:val="00773DCB"/>
    <w:rsid w:val="00774BE5"/>
    <w:rsid w:val="00777089"/>
    <w:rsid w:val="00777114"/>
    <w:rsid w:val="00780081"/>
    <w:rsid w:val="00780FC2"/>
    <w:rsid w:val="007812DD"/>
    <w:rsid w:val="00781873"/>
    <w:rsid w:val="00782321"/>
    <w:rsid w:val="00782FFF"/>
    <w:rsid w:val="007872CC"/>
    <w:rsid w:val="00791310"/>
    <w:rsid w:val="00791731"/>
    <w:rsid w:val="00793017"/>
    <w:rsid w:val="00794455"/>
    <w:rsid w:val="00794F69"/>
    <w:rsid w:val="007954E4"/>
    <w:rsid w:val="00795E0C"/>
    <w:rsid w:val="00797F20"/>
    <w:rsid w:val="007A26E7"/>
    <w:rsid w:val="007A39F8"/>
    <w:rsid w:val="007A579A"/>
    <w:rsid w:val="007A5FA6"/>
    <w:rsid w:val="007A60EE"/>
    <w:rsid w:val="007B012C"/>
    <w:rsid w:val="007B1091"/>
    <w:rsid w:val="007B1DB3"/>
    <w:rsid w:val="007B25D9"/>
    <w:rsid w:val="007B3AEE"/>
    <w:rsid w:val="007B43AD"/>
    <w:rsid w:val="007B7966"/>
    <w:rsid w:val="007C49FA"/>
    <w:rsid w:val="007C532D"/>
    <w:rsid w:val="007C5CF1"/>
    <w:rsid w:val="007C648E"/>
    <w:rsid w:val="007C665A"/>
    <w:rsid w:val="007C7CD0"/>
    <w:rsid w:val="007D2E23"/>
    <w:rsid w:val="007D37F3"/>
    <w:rsid w:val="007D4140"/>
    <w:rsid w:val="007D5572"/>
    <w:rsid w:val="007D5ADC"/>
    <w:rsid w:val="007D77FD"/>
    <w:rsid w:val="007D7B0B"/>
    <w:rsid w:val="007E02CF"/>
    <w:rsid w:val="007E3ADD"/>
    <w:rsid w:val="007E6B97"/>
    <w:rsid w:val="007F1CA3"/>
    <w:rsid w:val="007F31CC"/>
    <w:rsid w:val="007F7627"/>
    <w:rsid w:val="00804C13"/>
    <w:rsid w:val="0081383D"/>
    <w:rsid w:val="00814C50"/>
    <w:rsid w:val="008169C1"/>
    <w:rsid w:val="0082004F"/>
    <w:rsid w:val="008208B0"/>
    <w:rsid w:val="00821CF8"/>
    <w:rsid w:val="008249C3"/>
    <w:rsid w:val="008300F3"/>
    <w:rsid w:val="008313A4"/>
    <w:rsid w:val="008314A3"/>
    <w:rsid w:val="0083283A"/>
    <w:rsid w:val="008356B9"/>
    <w:rsid w:val="00837998"/>
    <w:rsid w:val="0084123A"/>
    <w:rsid w:val="008418C9"/>
    <w:rsid w:val="00843EF3"/>
    <w:rsid w:val="008444AD"/>
    <w:rsid w:val="008451E0"/>
    <w:rsid w:val="008510E2"/>
    <w:rsid w:val="008548E9"/>
    <w:rsid w:val="0086025A"/>
    <w:rsid w:val="00860AC4"/>
    <w:rsid w:val="00860C44"/>
    <w:rsid w:val="008610BE"/>
    <w:rsid w:val="00863D59"/>
    <w:rsid w:val="00865169"/>
    <w:rsid w:val="00866A22"/>
    <w:rsid w:val="00870976"/>
    <w:rsid w:val="00871E73"/>
    <w:rsid w:val="00873254"/>
    <w:rsid w:val="0087326F"/>
    <w:rsid w:val="00873DA0"/>
    <w:rsid w:val="00875E53"/>
    <w:rsid w:val="00876771"/>
    <w:rsid w:val="00880421"/>
    <w:rsid w:val="00892A7F"/>
    <w:rsid w:val="00893024"/>
    <w:rsid w:val="00894FC2"/>
    <w:rsid w:val="0089565F"/>
    <w:rsid w:val="0089630F"/>
    <w:rsid w:val="008A0509"/>
    <w:rsid w:val="008A06B7"/>
    <w:rsid w:val="008A0819"/>
    <w:rsid w:val="008A2305"/>
    <w:rsid w:val="008A27A4"/>
    <w:rsid w:val="008A3639"/>
    <w:rsid w:val="008A6C23"/>
    <w:rsid w:val="008A751F"/>
    <w:rsid w:val="008B4222"/>
    <w:rsid w:val="008B584B"/>
    <w:rsid w:val="008B6CF0"/>
    <w:rsid w:val="008B73D9"/>
    <w:rsid w:val="008C1261"/>
    <w:rsid w:val="008C2D86"/>
    <w:rsid w:val="008C4038"/>
    <w:rsid w:val="008C7494"/>
    <w:rsid w:val="008D1BBD"/>
    <w:rsid w:val="008D4B57"/>
    <w:rsid w:val="008D58A3"/>
    <w:rsid w:val="008D5A60"/>
    <w:rsid w:val="008D767F"/>
    <w:rsid w:val="008D7E47"/>
    <w:rsid w:val="008E02F7"/>
    <w:rsid w:val="008E05D4"/>
    <w:rsid w:val="008E0A98"/>
    <w:rsid w:val="008E20B5"/>
    <w:rsid w:val="008E470D"/>
    <w:rsid w:val="008E6E6C"/>
    <w:rsid w:val="008E7080"/>
    <w:rsid w:val="008F0905"/>
    <w:rsid w:val="008F0CED"/>
    <w:rsid w:val="008F11BF"/>
    <w:rsid w:val="008F1583"/>
    <w:rsid w:val="00901539"/>
    <w:rsid w:val="009028C5"/>
    <w:rsid w:val="00903777"/>
    <w:rsid w:val="00904011"/>
    <w:rsid w:val="00906A29"/>
    <w:rsid w:val="0091211C"/>
    <w:rsid w:val="00914E9A"/>
    <w:rsid w:val="00916CAD"/>
    <w:rsid w:val="00916F04"/>
    <w:rsid w:val="00924685"/>
    <w:rsid w:val="0092791E"/>
    <w:rsid w:val="00930B47"/>
    <w:rsid w:val="00933766"/>
    <w:rsid w:val="00940E1E"/>
    <w:rsid w:val="00943924"/>
    <w:rsid w:val="00946680"/>
    <w:rsid w:val="0094673A"/>
    <w:rsid w:val="0094730C"/>
    <w:rsid w:val="00947BA2"/>
    <w:rsid w:val="00947E88"/>
    <w:rsid w:val="00953E3C"/>
    <w:rsid w:val="0095451F"/>
    <w:rsid w:val="009558A3"/>
    <w:rsid w:val="00956458"/>
    <w:rsid w:val="00956BC1"/>
    <w:rsid w:val="009573A5"/>
    <w:rsid w:val="009578E6"/>
    <w:rsid w:val="00957F8E"/>
    <w:rsid w:val="009603A9"/>
    <w:rsid w:val="00961D13"/>
    <w:rsid w:val="009625C9"/>
    <w:rsid w:val="00964CE7"/>
    <w:rsid w:val="00965B80"/>
    <w:rsid w:val="009665EE"/>
    <w:rsid w:val="00970648"/>
    <w:rsid w:val="00971854"/>
    <w:rsid w:val="009722C3"/>
    <w:rsid w:val="00974265"/>
    <w:rsid w:val="00977AD0"/>
    <w:rsid w:val="0098492E"/>
    <w:rsid w:val="00986494"/>
    <w:rsid w:val="00990C1D"/>
    <w:rsid w:val="00993B78"/>
    <w:rsid w:val="0099434D"/>
    <w:rsid w:val="00994482"/>
    <w:rsid w:val="00994FC7"/>
    <w:rsid w:val="009961AF"/>
    <w:rsid w:val="0099740B"/>
    <w:rsid w:val="009A0059"/>
    <w:rsid w:val="009A302F"/>
    <w:rsid w:val="009B0EE3"/>
    <w:rsid w:val="009B1329"/>
    <w:rsid w:val="009B151C"/>
    <w:rsid w:val="009B3919"/>
    <w:rsid w:val="009B4A7C"/>
    <w:rsid w:val="009B4ECD"/>
    <w:rsid w:val="009B51AD"/>
    <w:rsid w:val="009B635C"/>
    <w:rsid w:val="009C0495"/>
    <w:rsid w:val="009C2B37"/>
    <w:rsid w:val="009C3CDF"/>
    <w:rsid w:val="009C45E8"/>
    <w:rsid w:val="009C5560"/>
    <w:rsid w:val="009C7112"/>
    <w:rsid w:val="009C7449"/>
    <w:rsid w:val="009C7A37"/>
    <w:rsid w:val="009D183F"/>
    <w:rsid w:val="009D446E"/>
    <w:rsid w:val="009D67BA"/>
    <w:rsid w:val="009D6CA9"/>
    <w:rsid w:val="009D760F"/>
    <w:rsid w:val="009D7908"/>
    <w:rsid w:val="009D7A1D"/>
    <w:rsid w:val="009E2932"/>
    <w:rsid w:val="009E46FE"/>
    <w:rsid w:val="009F08FF"/>
    <w:rsid w:val="009F0CC4"/>
    <w:rsid w:val="009F39D8"/>
    <w:rsid w:val="009F5A1C"/>
    <w:rsid w:val="009F7A14"/>
    <w:rsid w:val="009F7ACB"/>
    <w:rsid w:val="009F7D94"/>
    <w:rsid w:val="00A009E2"/>
    <w:rsid w:val="00A00E75"/>
    <w:rsid w:val="00A01685"/>
    <w:rsid w:val="00A0578D"/>
    <w:rsid w:val="00A0674F"/>
    <w:rsid w:val="00A0695B"/>
    <w:rsid w:val="00A079A7"/>
    <w:rsid w:val="00A10AE7"/>
    <w:rsid w:val="00A10F5E"/>
    <w:rsid w:val="00A12FB2"/>
    <w:rsid w:val="00A13AE6"/>
    <w:rsid w:val="00A13B73"/>
    <w:rsid w:val="00A14F40"/>
    <w:rsid w:val="00A21F8E"/>
    <w:rsid w:val="00A22A40"/>
    <w:rsid w:val="00A24A86"/>
    <w:rsid w:val="00A275F1"/>
    <w:rsid w:val="00A276CF"/>
    <w:rsid w:val="00A27CD8"/>
    <w:rsid w:val="00A30D09"/>
    <w:rsid w:val="00A315BE"/>
    <w:rsid w:val="00A32405"/>
    <w:rsid w:val="00A40233"/>
    <w:rsid w:val="00A42921"/>
    <w:rsid w:val="00A43DEC"/>
    <w:rsid w:val="00A45D33"/>
    <w:rsid w:val="00A47746"/>
    <w:rsid w:val="00A507AF"/>
    <w:rsid w:val="00A51FA8"/>
    <w:rsid w:val="00A553D9"/>
    <w:rsid w:val="00A56229"/>
    <w:rsid w:val="00A56248"/>
    <w:rsid w:val="00A57696"/>
    <w:rsid w:val="00A606D9"/>
    <w:rsid w:val="00A61531"/>
    <w:rsid w:val="00A61751"/>
    <w:rsid w:val="00A6309A"/>
    <w:rsid w:val="00A65215"/>
    <w:rsid w:val="00A674B5"/>
    <w:rsid w:val="00A70ECB"/>
    <w:rsid w:val="00A70F49"/>
    <w:rsid w:val="00A72631"/>
    <w:rsid w:val="00A733E3"/>
    <w:rsid w:val="00A75A43"/>
    <w:rsid w:val="00A76352"/>
    <w:rsid w:val="00A775BD"/>
    <w:rsid w:val="00A802AA"/>
    <w:rsid w:val="00A80803"/>
    <w:rsid w:val="00A825F1"/>
    <w:rsid w:val="00A8448B"/>
    <w:rsid w:val="00A85452"/>
    <w:rsid w:val="00A862A8"/>
    <w:rsid w:val="00A87FB9"/>
    <w:rsid w:val="00A90B75"/>
    <w:rsid w:val="00A91931"/>
    <w:rsid w:val="00A951A7"/>
    <w:rsid w:val="00AA6AB4"/>
    <w:rsid w:val="00AA7D4F"/>
    <w:rsid w:val="00AA7D5B"/>
    <w:rsid w:val="00AB322E"/>
    <w:rsid w:val="00AC651C"/>
    <w:rsid w:val="00AC6F39"/>
    <w:rsid w:val="00AD4D81"/>
    <w:rsid w:val="00AD679E"/>
    <w:rsid w:val="00AE3113"/>
    <w:rsid w:val="00AE5EA5"/>
    <w:rsid w:val="00AF01C1"/>
    <w:rsid w:val="00AF55AD"/>
    <w:rsid w:val="00B00DF9"/>
    <w:rsid w:val="00B01F94"/>
    <w:rsid w:val="00B026CF"/>
    <w:rsid w:val="00B04DE1"/>
    <w:rsid w:val="00B113FF"/>
    <w:rsid w:val="00B127E8"/>
    <w:rsid w:val="00B159FC"/>
    <w:rsid w:val="00B1762C"/>
    <w:rsid w:val="00B201AA"/>
    <w:rsid w:val="00B22261"/>
    <w:rsid w:val="00B2230D"/>
    <w:rsid w:val="00B268A8"/>
    <w:rsid w:val="00B30FCA"/>
    <w:rsid w:val="00B32716"/>
    <w:rsid w:val="00B32ABD"/>
    <w:rsid w:val="00B32EA0"/>
    <w:rsid w:val="00B33265"/>
    <w:rsid w:val="00B3425A"/>
    <w:rsid w:val="00B407A1"/>
    <w:rsid w:val="00B41457"/>
    <w:rsid w:val="00B42D80"/>
    <w:rsid w:val="00B43CB0"/>
    <w:rsid w:val="00B454A3"/>
    <w:rsid w:val="00B547E0"/>
    <w:rsid w:val="00B555EC"/>
    <w:rsid w:val="00B55A1A"/>
    <w:rsid w:val="00B617CF"/>
    <w:rsid w:val="00B62A4E"/>
    <w:rsid w:val="00B63FF5"/>
    <w:rsid w:val="00B66D26"/>
    <w:rsid w:val="00B672B5"/>
    <w:rsid w:val="00B71A27"/>
    <w:rsid w:val="00B731E6"/>
    <w:rsid w:val="00B75AD3"/>
    <w:rsid w:val="00B77771"/>
    <w:rsid w:val="00B80F0C"/>
    <w:rsid w:val="00B81F48"/>
    <w:rsid w:val="00B82AF7"/>
    <w:rsid w:val="00B82D06"/>
    <w:rsid w:val="00B82E2C"/>
    <w:rsid w:val="00B83753"/>
    <w:rsid w:val="00B84A58"/>
    <w:rsid w:val="00B85A5B"/>
    <w:rsid w:val="00B876A9"/>
    <w:rsid w:val="00B91232"/>
    <w:rsid w:val="00B9378B"/>
    <w:rsid w:val="00B95965"/>
    <w:rsid w:val="00B96762"/>
    <w:rsid w:val="00B97799"/>
    <w:rsid w:val="00BA199C"/>
    <w:rsid w:val="00BA2BE3"/>
    <w:rsid w:val="00BA3263"/>
    <w:rsid w:val="00BA3A6D"/>
    <w:rsid w:val="00BA4079"/>
    <w:rsid w:val="00BA50C4"/>
    <w:rsid w:val="00BA61BA"/>
    <w:rsid w:val="00BA6C3D"/>
    <w:rsid w:val="00BA7C9F"/>
    <w:rsid w:val="00BB35AB"/>
    <w:rsid w:val="00BB374A"/>
    <w:rsid w:val="00BB5F2D"/>
    <w:rsid w:val="00BB65D6"/>
    <w:rsid w:val="00BB6B61"/>
    <w:rsid w:val="00BB7513"/>
    <w:rsid w:val="00BC1DC6"/>
    <w:rsid w:val="00BC242A"/>
    <w:rsid w:val="00BC24C4"/>
    <w:rsid w:val="00BC2D85"/>
    <w:rsid w:val="00BC3200"/>
    <w:rsid w:val="00BC3453"/>
    <w:rsid w:val="00BC42C8"/>
    <w:rsid w:val="00BC46C1"/>
    <w:rsid w:val="00BC46F3"/>
    <w:rsid w:val="00BC5416"/>
    <w:rsid w:val="00BC58C4"/>
    <w:rsid w:val="00BC6C29"/>
    <w:rsid w:val="00BC752D"/>
    <w:rsid w:val="00BD026A"/>
    <w:rsid w:val="00BD0C08"/>
    <w:rsid w:val="00BD1BB9"/>
    <w:rsid w:val="00BD40B9"/>
    <w:rsid w:val="00BD4DCD"/>
    <w:rsid w:val="00BD7E56"/>
    <w:rsid w:val="00BE07EE"/>
    <w:rsid w:val="00BE175F"/>
    <w:rsid w:val="00BE1B2A"/>
    <w:rsid w:val="00BE54A7"/>
    <w:rsid w:val="00BF01E7"/>
    <w:rsid w:val="00BF318B"/>
    <w:rsid w:val="00BF353F"/>
    <w:rsid w:val="00BF4FF7"/>
    <w:rsid w:val="00BF58FE"/>
    <w:rsid w:val="00C00B83"/>
    <w:rsid w:val="00C00DE4"/>
    <w:rsid w:val="00C05226"/>
    <w:rsid w:val="00C10384"/>
    <w:rsid w:val="00C112C3"/>
    <w:rsid w:val="00C12815"/>
    <w:rsid w:val="00C151E8"/>
    <w:rsid w:val="00C2179C"/>
    <w:rsid w:val="00C21CF0"/>
    <w:rsid w:val="00C21D37"/>
    <w:rsid w:val="00C24CF9"/>
    <w:rsid w:val="00C25811"/>
    <w:rsid w:val="00C259F2"/>
    <w:rsid w:val="00C32038"/>
    <w:rsid w:val="00C35292"/>
    <w:rsid w:val="00C41234"/>
    <w:rsid w:val="00C42C9E"/>
    <w:rsid w:val="00C43DF5"/>
    <w:rsid w:val="00C46814"/>
    <w:rsid w:val="00C47960"/>
    <w:rsid w:val="00C47C38"/>
    <w:rsid w:val="00C50F37"/>
    <w:rsid w:val="00C54425"/>
    <w:rsid w:val="00C608B3"/>
    <w:rsid w:val="00C61FBC"/>
    <w:rsid w:val="00C6550E"/>
    <w:rsid w:val="00C65B5E"/>
    <w:rsid w:val="00C6614A"/>
    <w:rsid w:val="00C6669F"/>
    <w:rsid w:val="00C667A2"/>
    <w:rsid w:val="00C66975"/>
    <w:rsid w:val="00C70473"/>
    <w:rsid w:val="00C70CA8"/>
    <w:rsid w:val="00C7236D"/>
    <w:rsid w:val="00C7387C"/>
    <w:rsid w:val="00C75762"/>
    <w:rsid w:val="00C764E4"/>
    <w:rsid w:val="00C77A14"/>
    <w:rsid w:val="00C77E9A"/>
    <w:rsid w:val="00C82FC9"/>
    <w:rsid w:val="00C8320E"/>
    <w:rsid w:val="00C83764"/>
    <w:rsid w:val="00C8460C"/>
    <w:rsid w:val="00C85835"/>
    <w:rsid w:val="00C863D7"/>
    <w:rsid w:val="00C90537"/>
    <w:rsid w:val="00C91291"/>
    <w:rsid w:val="00C91CCC"/>
    <w:rsid w:val="00C93A74"/>
    <w:rsid w:val="00C93D2E"/>
    <w:rsid w:val="00C94506"/>
    <w:rsid w:val="00C96872"/>
    <w:rsid w:val="00C96D24"/>
    <w:rsid w:val="00C97ACC"/>
    <w:rsid w:val="00C97BB2"/>
    <w:rsid w:val="00CA2517"/>
    <w:rsid w:val="00CA344A"/>
    <w:rsid w:val="00CA668C"/>
    <w:rsid w:val="00CA6C70"/>
    <w:rsid w:val="00CB04F0"/>
    <w:rsid w:val="00CB15CD"/>
    <w:rsid w:val="00CB27C0"/>
    <w:rsid w:val="00CB289D"/>
    <w:rsid w:val="00CB4D22"/>
    <w:rsid w:val="00CB4ED6"/>
    <w:rsid w:val="00CC0466"/>
    <w:rsid w:val="00CC2860"/>
    <w:rsid w:val="00CC4D5E"/>
    <w:rsid w:val="00CD341A"/>
    <w:rsid w:val="00CD3FE0"/>
    <w:rsid w:val="00CD66B9"/>
    <w:rsid w:val="00CD6DAB"/>
    <w:rsid w:val="00CD73F2"/>
    <w:rsid w:val="00CD7AF3"/>
    <w:rsid w:val="00CD7FFB"/>
    <w:rsid w:val="00CE372A"/>
    <w:rsid w:val="00CE5EF5"/>
    <w:rsid w:val="00CE635A"/>
    <w:rsid w:val="00CE67A0"/>
    <w:rsid w:val="00CF2D6C"/>
    <w:rsid w:val="00CF356C"/>
    <w:rsid w:val="00CF5CDA"/>
    <w:rsid w:val="00CF6619"/>
    <w:rsid w:val="00CF7BC6"/>
    <w:rsid w:val="00D0163F"/>
    <w:rsid w:val="00D02605"/>
    <w:rsid w:val="00D03CC3"/>
    <w:rsid w:val="00D077F6"/>
    <w:rsid w:val="00D07B12"/>
    <w:rsid w:val="00D1308F"/>
    <w:rsid w:val="00D22CD1"/>
    <w:rsid w:val="00D24763"/>
    <w:rsid w:val="00D2634F"/>
    <w:rsid w:val="00D321A5"/>
    <w:rsid w:val="00D326C6"/>
    <w:rsid w:val="00D33DD4"/>
    <w:rsid w:val="00D34752"/>
    <w:rsid w:val="00D3494F"/>
    <w:rsid w:val="00D4310E"/>
    <w:rsid w:val="00D438C4"/>
    <w:rsid w:val="00D45F38"/>
    <w:rsid w:val="00D4753F"/>
    <w:rsid w:val="00D52195"/>
    <w:rsid w:val="00D5281F"/>
    <w:rsid w:val="00D5493B"/>
    <w:rsid w:val="00D564AC"/>
    <w:rsid w:val="00D629B7"/>
    <w:rsid w:val="00D63491"/>
    <w:rsid w:val="00D72C75"/>
    <w:rsid w:val="00D73E8C"/>
    <w:rsid w:val="00D7415B"/>
    <w:rsid w:val="00D74432"/>
    <w:rsid w:val="00D7474C"/>
    <w:rsid w:val="00D759E9"/>
    <w:rsid w:val="00D75A2D"/>
    <w:rsid w:val="00D761D5"/>
    <w:rsid w:val="00D808FE"/>
    <w:rsid w:val="00D81A9E"/>
    <w:rsid w:val="00D83267"/>
    <w:rsid w:val="00D835C4"/>
    <w:rsid w:val="00D848BD"/>
    <w:rsid w:val="00D859E3"/>
    <w:rsid w:val="00D861B2"/>
    <w:rsid w:val="00D87C1F"/>
    <w:rsid w:val="00D902D1"/>
    <w:rsid w:val="00D92509"/>
    <w:rsid w:val="00D93CCD"/>
    <w:rsid w:val="00D952E6"/>
    <w:rsid w:val="00D9729D"/>
    <w:rsid w:val="00DA174F"/>
    <w:rsid w:val="00DA346A"/>
    <w:rsid w:val="00DA38B4"/>
    <w:rsid w:val="00DA55D5"/>
    <w:rsid w:val="00DB28D2"/>
    <w:rsid w:val="00DB425F"/>
    <w:rsid w:val="00DB7257"/>
    <w:rsid w:val="00DC1B22"/>
    <w:rsid w:val="00DC1DEE"/>
    <w:rsid w:val="00DC6148"/>
    <w:rsid w:val="00DD006F"/>
    <w:rsid w:val="00DD08C3"/>
    <w:rsid w:val="00DD13B1"/>
    <w:rsid w:val="00DD5136"/>
    <w:rsid w:val="00DD5C2E"/>
    <w:rsid w:val="00DD787E"/>
    <w:rsid w:val="00DD796C"/>
    <w:rsid w:val="00DE1044"/>
    <w:rsid w:val="00DE133D"/>
    <w:rsid w:val="00DE1B01"/>
    <w:rsid w:val="00DE2555"/>
    <w:rsid w:val="00DE4DFD"/>
    <w:rsid w:val="00DE6851"/>
    <w:rsid w:val="00DE70B7"/>
    <w:rsid w:val="00DF3ACA"/>
    <w:rsid w:val="00DF4211"/>
    <w:rsid w:val="00DF5F3B"/>
    <w:rsid w:val="00E0334D"/>
    <w:rsid w:val="00E05B41"/>
    <w:rsid w:val="00E05EA2"/>
    <w:rsid w:val="00E06786"/>
    <w:rsid w:val="00E10E6D"/>
    <w:rsid w:val="00E116DD"/>
    <w:rsid w:val="00E12068"/>
    <w:rsid w:val="00E159B3"/>
    <w:rsid w:val="00E16CF0"/>
    <w:rsid w:val="00E17984"/>
    <w:rsid w:val="00E20B83"/>
    <w:rsid w:val="00E20EA6"/>
    <w:rsid w:val="00E21638"/>
    <w:rsid w:val="00E25105"/>
    <w:rsid w:val="00E25F75"/>
    <w:rsid w:val="00E31710"/>
    <w:rsid w:val="00E319FD"/>
    <w:rsid w:val="00E32EF2"/>
    <w:rsid w:val="00E33A04"/>
    <w:rsid w:val="00E36913"/>
    <w:rsid w:val="00E36B14"/>
    <w:rsid w:val="00E41871"/>
    <w:rsid w:val="00E45542"/>
    <w:rsid w:val="00E45766"/>
    <w:rsid w:val="00E46420"/>
    <w:rsid w:val="00E50BD6"/>
    <w:rsid w:val="00E54518"/>
    <w:rsid w:val="00E54551"/>
    <w:rsid w:val="00E57580"/>
    <w:rsid w:val="00E57982"/>
    <w:rsid w:val="00E60D68"/>
    <w:rsid w:val="00E60D99"/>
    <w:rsid w:val="00E60FB0"/>
    <w:rsid w:val="00E6206A"/>
    <w:rsid w:val="00E622F7"/>
    <w:rsid w:val="00E622FB"/>
    <w:rsid w:val="00E62396"/>
    <w:rsid w:val="00E637B0"/>
    <w:rsid w:val="00E63BA5"/>
    <w:rsid w:val="00E65407"/>
    <w:rsid w:val="00E66268"/>
    <w:rsid w:val="00E70B37"/>
    <w:rsid w:val="00E719A8"/>
    <w:rsid w:val="00E72859"/>
    <w:rsid w:val="00E7463A"/>
    <w:rsid w:val="00E75A51"/>
    <w:rsid w:val="00E761FD"/>
    <w:rsid w:val="00E80B22"/>
    <w:rsid w:val="00E80D08"/>
    <w:rsid w:val="00E81E7F"/>
    <w:rsid w:val="00E81F99"/>
    <w:rsid w:val="00E8546D"/>
    <w:rsid w:val="00E90F9B"/>
    <w:rsid w:val="00E95FAA"/>
    <w:rsid w:val="00E968D8"/>
    <w:rsid w:val="00E9699A"/>
    <w:rsid w:val="00E970AA"/>
    <w:rsid w:val="00E975CF"/>
    <w:rsid w:val="00EA13E5"/>
    <w:rsid w:val="00EA462C"/>
    <w:rsid w:val="00EB0ACC"/>
    <w:rsid w:val="00EB49CE"/>
    <w:rsid w:val="00EB4BEB"/>
    <w:rsid w:val="00EB657B"/>
    <w:rsid w:val="00EB73D0"/>
    <w:rsid w:val="00EB7858"/>
    <w:rsid w:val="00EC1562"/>
    <w:rsid w:val="00EC4757"/>
    <w:rsid w:val="00EC4891"/>
    <w:rsid w:val="00EC5EC5"/>
    <w:rsid w:val="00EC75AC"/>
    <w:rsid w:val="00ED0519"/>
    <w:rsid w:val="00ED1F04"/>
    <w:rsid w:val="00ED2977"/>
    <w:rsid w:val="00EE0034"/>
    <w:rsid w:val="00EE2659"/>
    <w:rsid w:val="00EE4D4A"/>
    <w:rsid w:val="00EE50D1"/>
    <w:rsid w:val="00EE6E23"/>
    <w:rsid w:val="00EF0075"/>
    <w:rsid w:val="00EF123A"/>
    <w:rsid w:val="00EF14AB"/>
    <w:rsid w:val="00EF1837"/>
    <w:rsid w:val="00EF2A2E"/>
    <w:rsid w:val="00F01646"/>
    <w:rsid w:val="00F06F36"/>
    <w:rsid w:val="00F07376"/>
    <w:rsid w:val="00F12ECB"/>
    <w:rsid w:val="00F14A21"/>
    <w:rsid w:val="00F20E0B"/>
    <w:rsid w:val="00F2330C"/>
    <w:rsid w:val="00F266A5"/>
    <w:rsid w:val="00F27EBE"/>
    <w:rsid w:val="00F304D3"/>
    <w:rsid w:val="00F305B3"/>
    <w:rsid w:val="00F32D77"/>
    <w:rsid w:val="00F32E41"/>
    <w:rsid w:val="00F33431"/>
    <w:rsid w:val="00F3346F"/>
    <w:rsid w:val="00F33BF9"/>
    <w:rsid w:val="00F346F6"/>
    <w:rsid w:val="00F3618D"/>
    <w:rsid w:val="00F3671A"/>
    <w:rsid w:val="00F42242"/>
    <w:rsid w:val="00F43A6F"/>
    <w:rsid w:val="00F44FF0"/>
    <w:rsid w:val="00F50D02"/>
    <w:rsid w:val="00F52DB7"/>
    <w:rsid w:val="00F53B48"/>
    <w:rsid w:val="00F61FA6"/>
    <w:rsid w:val="00F66AED"/>
    <w:rsid w:val="00F72170"/>
    <w:rsid w:val="00F72CC0"/>
    <w:rsid w:val="00F7327B"/>
    <w:rsid w:val="00F769BC"/>
    <w:rsid w:val="00F86B30"/>
    <w:rsid w:val="00F92682"/>
    <w:rsid w:val="00F92A91"/>
    <w:rsid w:val="00F92F78"/>
    <w:rsid w:val="00F940B7"/>
    <w:rsid w:val="00F9795C"/>
    <w:rsid w:val="00F97F47"/>
    <w:rsid w:val="00FA0C34"/>
    <w:rsid w:val="00FA21C0"/>
    <w:rsid w:val="00FA2E6F"/>
    <w:rsid w:val="00FA5E8F"/>
    <w:rsid w:val="00FA69A3"/>
    <w:rsid w:val="00FA74CC"/>
    <w:rsid w:val="00FB0DD8"/>
    <w:rsid w:val="00FB4EB8"/>
    <w:rsid w:val="00FC014D"/>
    <w:rsid w:val="00FC103A"/>
    <w:rsid w:val="00FC4A1A"/>
    <w:rsid w:val="00FC5772"/>
    <w:rsid w:val="00FC74A2"/>
    <w:rsid w:val="00FD411E"/>
    <w:rsid w:val="00FD4D24"/>
    <w:rsid w:val="00FD7124"/>
    <w:rsid w:val="00FD7D29"/>
    <w:rsid w:val="00FD7FB1"/>
    <w:rsid w:val="00FE1C7C"/>
    <w:rsid w:val="00FE2319"/>
    <w:rsid w:val="00FE2E27"/>
    <w:rsid w:val="00FE4F94"/>
    <w:rsid w:val="00FE4FBE"/>
    <w:rsid w:val="00FE68D6"/>
    <w:rsid w:val="00FE6D9A"/>
    <w:rsid w:val="00FF0412"/>
    <w:rsid w:val="00FF1271"/>
    <w:rsid w:val="00FF1697"/>
    <w:rsid w:val="00FF391C"/>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character" w:styleId="FollowedHyperlink">
    <w:name w:val="FollowedHyperlink"/>
    <w:basedOn w:val="DefaultParagraphFont"/>
    <w:rsid w:val="00D861B2"/>
    <w:rPr>
      <w:color w:val="800080" w:themeColor="followedHyperlink"/>
      <w:u w:val="single"/>
    </w:rPr>
  </w:style>
  <w:style w:type="paragraph" w:styleId="ListParagraph">
    <w:name w:val="List Paragraph"/>
    <w:basedOn w:val="Normal"/>
    <w:uiPriority w:val="34"/>
    <w:qFormat/>
    <w:rsid w:val="00965B80"/>
    <w:pPr>
      <w:ind w:left="720"/>
      <w:contextualSpacing/>
    </w:pPr>
    <w:rPr>
      <w:sz w:val="20"/>
      <w:szCs w:val="20"/>
    </w:rPr>
  </w:style>
  <w:style w:type="paragraph" w:styleId="List2">
    <w:name w:val="List 2"/>
    <w:basedOn w:val="Normal"/>
    <w:rsid w:val="00C65B5E"/>
    <w:pPr>
      <w:ind w:left="720" w:hanging="360"/>
    </w:pPr>
  </w:style>
  <w:style w:type="paragraph" w:styleId="BodyText">
    <w:name w:val="Body Text"/>
    <w:basedOn w:val="Normal"/>
    <w:link w:val="BodyTextChar"/>
    <w:rsid w:val="00735BC0"/>
    <w:pPr>
      <w:spacing w:after="120"/>
    </w:pPr>
  </w:style>
  <w:style w:type="character" w:customStyle="1" w:styleId="BodyTextChar">
    <w:name w:val="Body Text Char"/>
    <w:basedOn w:val="DefaultParagraphFont"/>
    <w:link w:val="BodyText"/>
    <w:rsid w:val="00735BC0"/>
    <w:rPr>
      <w:sz w:val="24"/>
      <w:szCs w:val="24"/>
    </w:rPr>
  </w:style>
  <w:style w:type="paragraph" w:styleId="NoSpacing">
    <w:name w:val="No Spacing"/>
    <w:uiPriority w:val="1"/>
    <w:qFormat/>
    <w:rsid w:val="00AE3113"/>
    <w:rPr>
      <w:sz w:val="24"/>
      <w:szCs w:val="24"/>
    </w:rPr>
  </w:style>
  <w:style w:type="paragraph" w:customStyle="1" w:styleId="Default">
    <w:name w:val="Default"/>
    <w:rsid w:val="006D3CE9"/>
    <w:pPr>
      <w:autoSpaceDE w:val="0"/>
      <w:autoSpaceDN w:val="0"/>
      <w:adjustRightInd w:val="0"/>
    </w:pPr>
    <w:rPr>
      <w:color w:val="000000"/>
      <w:sz w:val="24"/>
      <w:szCs w:val="24"/>
    </w:rPr>
  </w:style>
  <w:style w:type="character" w:styleId="Emphasis">
    <w:name w:val="Emphasis"/>
    <w:basedOn w:val="DefaultParagraphFont"/>
    <w:uiPriority w:val="20"/>
    <w:qFormat/>
    <w:rsid w:val="00821CF8"/>
    <w:rPr>
      <w:b/>
      <w:bCs/>
      <w:i w:val="0"/>
      <w:iCs w:val="0"/>
    </w:rPr>
  </w:style>
  <w:style w:type="character" w:customStyle="1" w:styleId="st1">
    <w:name w:val="st1"/>
    <w:basedOn w:val="DefaultParagraphFont"/>
    <w:rsid w:val="00821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character" w:styleId="FollowedHyperlink">
    <w:name w:val="FollowedHyperlink"/>
    <w:basedOn w:val="DefaultParagraphFont"/>
    <w:rsid w:val="00D861B2"/>
    <w:rPr>
      <w:color w:val="800080" w:themeColor="followedHyperlink"/>
      <w:u w:val="single"/>
    </w:rPr>
  </w:style>
  <w:style w:type="paragraph" w:styleId="ListParagraph">
    <w:name w:val="List Paragraph"/>
    <w:basedOn w:val="Normal"/>
    <w:uiPriority w:val="34"/>
    <w:qFormat/>
    <w:rsid w:val="00965B80"/>
    <w:pPr>
      <w:ind w:left="720"/>
      <w:contextualSpacing/>
    </w:pPr>
    <w:rPr>
      <w:sz w:val="20"/>
      <w:szCs w:val="20"/>
    </w:rPr>
  </w:style>
  <w:style w:type="paragraph" w:styleId="List2">
    <w:name w:val="List 2"/>
    <w:basedOn w:val="Normal"/>
    <w:rsid w:val="00C65B5E"/>
    <w:pPr>
      <w:ind w:left="720" w:hanging="360"/>
    </w:pPr>
  </w:style>
  <w:style w:type="paragraph" w:styleId="BodyText">
    <w:name w:val="Body Text"/>
    <w:basedOn w:val="Normal"/>
    <w:link w:val="BodyTextChar"/>
    <w:rsid w:val="00735BC0"/>
    <w:pPr>
      <w:spacing w:after="120"/>
    </w:pPr>
  </w:style>
  <w:style w:type="character" w:customStyle="1" w:styleId="BodyTextChar">
    <w:name w:val="Body Text Char"/>
    <w:basedOn w:val="DefaultParagraphFont"/>
    <w:link w:val="BodyText"/>
    <w:rsid w:val="00735BC0"/>
    <w:rPr>
      <w:sz w:val="24"/>
      <w:szCs w:val="24"/>
    </w:rPr>
  </w:style>
  <w:style w:type="paragraph" w:styleId="NoSpacing">
    <w:name w:val="No Spacing"/>
    <w:uiPriority w:val="1"/>
    <w:qFormat/>
    <w:rsid w:val="00AE3113"/>
    <w:rPr>
      <w:sz w:val="24"/>
      <w:szCs w:val="24"/>
    </w:rPr>
  </w:style>
  <w:style w:type="paragraph" w:customStyle="1" w:styleId="Default">
    <w:name w:val="Default"/>
    <w:rsid w:val="006D3CE9"/>
    <w:pPr>
      <w:autoSpaceDE w:val="0"/>
      <w:autoSpaceDN w:val="0"/>
      <w:adjustRightInd w:val="0"/>
    </w:pPr>
    <w:rPr>
      <w:color w:val="000000"/>
      <w:sz w:val="24"/>
      <w:szCs w:val="24"/>
    </w:rPr>
  </w:style>
  <w:style w:type="character" w:styleId="Emphasis">
    <w:name w:val="Emphasis"/>
    <w:basedOn w:val="DefaultParagraphFont"/>
    <w:uiPriority w:val="20"/>
    <w:qFormat/>
    <w:rsid w:val="00821CF8"/>
    <w:rPr>
      <w:b/>
      <w:bCs/>
      <w:i w:val="0"/>
      <w:iCs w:val="0"/>
    </w:rPr>
  </w:style>
  <w:style w:type="character" w:customStyle="1" w:styleId="st1">
    <w:name w:val="st1"/>
    <w:basedOn w:val="DefaultParagraphFont"/>
    <w:rsid w:val="0082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242">
      <w:bodyDiv w:val="1"/>
      <w:marLeft w:val="0"/>
      <w:marRight w:val="0"/>
      <w:marTop w:val="0"/>
      <w:marBottom w:val="0"/>
      <w:divBdr>
        <w:top w:val="none" w:sz="0" w:space="0" w:color="auto"/>
        <w:left w:val="none" w:sz="0" w:space="0" w:color="auto"/>
        <w:bottom w:val="none" w:sz="0" w:space="0" w:color="auto"/>
        <w:right w:val="none" w:sz="0" w:space="0" w:color="auto"/>
      </w:divBdr>
    </w:div>
    <w:div w:id="437336858">
      <w:bodyDiv w:val="1"/>
      <w:marLeft w:val="0"/>
      <w:marRight w:val="0"/>
      <w:marTop w:val="0"/>
      <w:marBottom w:val="0"/>
      <w:divBdr>
        <w:top w:val="none" w:sz="0" w:space="0" w:color="auto"/>
        <w:left w:val="none" w:sz="0" w:space="0" w:color="auto"/>
        <w:bottom w:val="none" w:sz="0" w:space="0" w:color="auto"/>
        <w:right w:val="none" w:sz="0" w:space="0" w:color="auto"/>
      </w:divBdr>
    </w:div>
    <w:div w:id="1162543806">
      <w:bodyDiv w:val="1"/>
      <w:marLeft w:val="0"/>
      <w:marRight w:val="0"/>
      <w:marTop w:val="0"/>
      <w:marBottom w:val="0"/>
      <w:divBdr>
        <w:top w:val="none" w:sz="0" w:space="0" w:color="auto"/>
        <w:left w:val="none" w:sz="0" w:space="0" w:color="auto"/>
        <w:bottom w:val="none" w:sz="0" w:space="0" w:color="auto"/>
        <w:right w:val="none" w:sz="0" w:space="0" w:color="auto"/>
      </w:divBdr>
    </w:div>
    <w:div w:id="1172526702">
      <w:bodyDiv w:val="1"/>
      <w:marLeft w:val="0"/>
      <w:marRight w:val="0"/>
      <w:marTop w:val="0"/>
      <w:marBottom w:val="0"/>
      <w:divBdr>
        <w:top w:val="none" w:sz="0" w:space="0" w:color="auto"/>
        <w:left w:val="none" w:sz="0" w:space="0" w:color="auto"/>
        <w:bottom w:val="none" w:sz="0" w:space="0" w:color="auto"/>
        <w:right w:val="none" w:sz="0" w:space="0" w:color="auto"/>
      </w:divBdr>
      <w:divsChild>
        <w:div w:id="1593078840">
          <w:marLeft w:val="0"/>
          <w:marRight w:val="1"/>
          <w:marTop w:val="0"/>
          <w:marBottom w:val="0"/>
          <w:divBdr>
            <w:top w:val="none" w:sz="0" w:space="0" w:color="auto"/>
            <w:left w:val="none" w:sz="0" w:space="0" w:color="auto"/>
            <w:bottom w:val="none" w:sz="0" w:space="0" w:color="auto"/>
            <w:right w:val="none" w:sz="0" w:space="0" w:color="auto"/>
          </w:divBdr>
          <w:divsChild>
            <w:div w:id="1026911599">
              <w:marLeft w:val="0"/>
              <w:marRight w:val="0"/>
              <w:marTop w:val="0"/>
              <w:marBottom w:val="0"/>
              <w:divBdr>
                <w:top w:val="none" w:sz="0" w:space="0" w:color="auto"/>
                <w:left w:val="none" w:sz="0" w:space="0" w:color="auto"/>
                <w:bottom w:val="none" w:sz="0" w:space="0" w:color="auto"/>
                <w:right w:val="none" w:sz="0" w:space="0" w:color="auto"/>
              </w:divBdr>
              <w:divsChild>
                <w:div w:id="1041591542">
                  <w:marLeft w:val="0"/>
                  <w:marRight w:val="1"/>
                  <w:marTop w:val="0"/>
                  <w:marBottom w:val="0"/>
                  <w:divBdr>
                    <w:top w:val="none" w:sz="0" w:space="0" w:color="auto"/>
                    <w:left w:val="none" w:sz="0" w:space="0" w:color="auto"/>
                    <w:bottom w:val="none" w:sz="0" w:space="0" w:color="auto"/>
                    <w:right w:val="none" w:sz="0" w:space="0" w:color="auto"/>
                  </w:divBdr>
                  <w:divsChild>
                    <w:div w:id="735739034">
                      <w:marLeft w:val="0"/>
                      <w:marRight w:val="0"/>
                      <w:marTop w:val="0"/>
                      <w:marBottom w:val="0"/>
                      <w:divBdr>
                        <w:top w:val="none" w:sz="0" w:space="0" w:color="auto"/>
                        <w:left w:val="none" w:sz="0" w:space="0" w:color="auto"/>
                        <w:bottom w:val="none" w:sz="0" w:space="0" w:color="auto"/>
                        <w:right w:val="none" w:sz="0" w:space="0" w:color="auto"/>
                      </w:divBdr>
                      <w:divsChild>
                        <w:div w:id="1697148917">
                          <w:marLeft w:val="0"/>
                          <w:marRight w:val="0"/>
                          <w:marTop w:val="0"/>
                          <w:marBottom w:val="0"/>
                          <w:divBdr>
                            <w:top w:val="none" w:sz="0" w:space="0" w:color="auto"/>
                            <w:left w:val="none" w:sz="0" w:space="0" w:color="auto"/>
                            <w:bottom w:val="none" w:sz="0" w:space="0" w:color="auto"/>
                            <w:right w:val="none" w:sz="0" w:space="0" w:color="auto"/>
                          </w:divBdr>
                          <w:divsChild>
                            <w:div w:id="1937395340">
                              <w:marLeft w:val="0"/>
                              <w:marRight w:val="0"/>
                              <w:marTop w:val="120"/>
                              <w:marBottom w:val="360"/>
                              <w:divBdr>
                                <w:top w:val="none" w:sz="0" w:space="0" w:color="auto"/>
                                <w:left w:val="none" w:sz="0" w:space="0" w:color="auto"/>
                                <w:bottom w:val="none" w:sz="0" w:space="0" w:color="auto"/>
                                <w:right w:val="none" w:sz="0" w:space="0" w:color="auto"/>
                              </w:divBdr>
                              <w:divsChild>
                                <w:div w:id="1784643137">
                                  <w:marLeft w:val="0"/>
                                  <w:marRight w:val="0"/>
                                  <w:marTop w:val="0"/>
                                  <w:marBottom w:val="0"/>
                                  <w:divBdr>
                                    <w:top w:val="none" w:sz="0" w:space="0" w:color="auto"/>
                                    <w:left w:val="none" w:sz="0" w:space="0" w:color="auto"/>
                                    <w:bottom w:val="none" w:sz="0" w:space="0" w:color="auto"/>
                                    <w:right w:val="none" w:sz="0" w:space="0" w:color="auto"/>
                                  </w:divBdr>
                                </w:div>
                                <w:div w:id="5737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855180">
      <w:bodyDiv w:val="1"/>
      <w:marLeft w:val="0"/>
      <w:marRight w:val="0"/>
      <w:marTop w:val="0"/>
      <w:marBottom w:val="0"/>
      <w:divBdr>
        <w:top w:val="none" w:sz="0" w:space="0" w:color="auto"/>
        <w:left w:val="none" w:sz="0" w:space="0" w:color="auto"/>
        <w:bottom w:val="none" w:sz="0" w:space="0" w:color="auto"/>
        <w:right w:val="none" w:sz="0" w:space="0" w:color="auto"/>
      </w:divBdr>
    </w:div>
    <w:div w:id="1369136663">
      <w:bodyDiv w:val="1"/>
      <w:marLeft w:val="0"/>
      <w:marRight w:val="0"/>
      <w:marTop w:val="0"/>
      <w:marBottom w:val="0"/>
      <w:divBdr>
        <w:top w:val="none" w:sz="0" w:space="0" w:color="auto"/>
        <w:left w:val="none" w:sz="0" w:space="0" w:color="auto"/>
        <w:bottom w:val="none" w:sz="0" w:space="0" w:color="auto"/>
        <w:right w:val="none" w:sz="0" w:space="0" w:color="auto"/>
      </w:divBdr>
    </w:div>
    <w:div w:id="1450126269">
      <w:bodyDiv w:val="1"/>
      <w:marLeft w:val="0"/>
      <w:marRight w:val="0"/>
      <w:marTop w:val="0"/>
      <w:marBottom w:val="0"/>
      <w:divBdr>
        <w:top w:val="none" w:sz="0" w:space="0" w:color="auto"/>
        <w:left w:val="none" w:sz="0" w:space="0" w:color="auto"/>
        <w:bottom w:val="none" w:sz="0" w:space="0" w:color="auto"/>
        <w:right w:val="none" w:sz="0" w:space="0" w:color="auto"/>
      </w:divBdr>
    </w:div>
    <w:div w:id="18894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06807-7DA8-41EA-8921-BDFE6D47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3566</Words>
  <Characters>20330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23849</CharactersWithSpaces>
  <SharedDoc>false</SharedDoc>
  <HLinks>
    <vt:vector size="6" baseType="variant">
      <vt:variant>
        <vt:i4>3407959</vt:i4>
      </vt:variant>
      <vt:variant>
        <vt:i4>0</vt:i4>
      </vt:variant>
      <vt:variant>
        <vt:i4>0</vt:i4>
      </vt:variant>
      <vt:variant>
        <vt:i4>5</vt:i4>
      </vt:variant>
      <vt:variant>
        <vt:lpwstr>http://www.bls.gov/oes/current/naics4_611100.htm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2</cp:revision>
  <cp:lastPrinted>2014-09-04T14:43:00Z</cp:lastPrinted>
  <dcterms:created xsi:type="dcterms:W3CDTF">2014-10-08T16:17:00Z</dcterms:created>
  <dcterms:modified xsi:type="dcterms:W3CDTF">2014-10-08T16:17:00Z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