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3F18B" w14:textId="77777777" w:rsidR="00215FFA" w:rsidRPr="00F12794" w:rsidRDefault="00215FFA">
      <w:pPr>
        <w:rPr>
          <w:b/>
          <w:bCs/>
          <w:sz w:val="24"/>
          <w:szCs w:val="24"/>
        </w:rPr>
      </w:pPr>
      <w:bookmarkStart w:id="0" w:name="_GoBack"/>
      <w:bookmarkEnd w:id="0"/>
    </w:p>
    <w:p w14:paraId="40D65D34" w14:textId="776CBF60" w:rsidR="00215FFA" w:rsidRPr="00356A7B" w:rsidRDefault="006B193C">
      <w:pPr>
        <w:rPr>
          <w:bCs/>
          <w:sz w:val="24"/>
          <w:szCs w:val="24"/>
        </w:rPr>
      </w:pPr>
      <w:r>
        <w:rPr>
          <w:b/>
          <w:bCs/>
          <w:sz w:val="24"/>
          <w:szCs w:val="24"/>
        </w:rPr>
        <w:t>Project Description</w:t>
      </w:r>
      <w:r w:rsidR="00356A7B">
        <w:rPr>
          <w:b/>
          <w:bCs/>
          <w:sz w:val="24"/>
          <w:szCs w:val="24"/>
        </w:rPr>
        <w:t xml:space="preserve">: </w:t>
      </w:r>
      <w:r w:rsidR="001E127F" w:rsidRPr="001E127F">
        <w:rPr>
          <w:bCs/>
          <w:sz w:val="24"/>
          <w:szCs w:val="24"/>
        </w:rPr>
        <w:t>Air Quality Information Initiative</w:t>
      </w:r>
    </w:p>
    <w:p w14:paraId="7AC26975" w14:textId="77777777" w:rsidR="00215FFA" w:rsidRPr="00F12794" w:rsidRDefault="00215FFA">
      <w:pPr>
        <w:rPr>
          <w:b/>
          <w:bCs/>
          <w:sz w:val="24"/>
          <w:szCs w:val="24"/>
        </w:rPr>
      </w:pPr>
    </w:p>
    <w:p w14:paraId="4DE6A9AD" w14:textId="6D9400C6" w:rsidR="000903B8" w:rsidRPr="00F12794" w:rsidRDefault="00966BBD" w:rsidP="000903B8">
      <w:pPr>
        <w:rPr>
          <w:b/>
          <w:bCs/>
          <w:sz w:val="24"/>
          <w:szCs w:val="24"/>
        </w:rPr>
      </w:pPr>
      <w:r>
        <w:rPr>
          <w:b/>
          <w:bCs/>
          <w:sz w:val="24"/>
          <w:szCs w:val="24"/>
        </w:rPr>
        <w:t>December 20</w:t>
      </w:r>
      <w:r w:rsidR="00D15CC7">
        <w:rPr>
          <w:b/>
          <w:bCs/>
          <w:sz w:val="24"/>
          <w:szCs w:val="24"/>
        </w:rPr>
        <w:t>, 2017</w:t>
      </w:r>
    </w:p>
    <w:p w14:paraId="25083820" w14:textId="77777777" w:rsidR="00872422" w:rsidRPr="00F12794" w:rsidRDefault="00872422">
      <w:pPr>
        <w:rPr>
          <w:b/>
          <w:bCs/>
          <w:sz w:val="24"/>
          <w:szCs w:val="24"/>
        </w:rPr>
      </w:pPr>
    </w:p>
    <w:p w14:paraId="475DFB24" w14:textId="77777777" w:rsidR="00215FFA" w:rsidRPr="00F12794" w:rsidRDefault="006945E5">
      <w:pPr>
        <w:rPr>
          <w:b/>
          <w:bCs/>
          <w:sz w:val="24"/>
          <w:szCs w:val="24"/>
        </w:rPr>
      </w:pPr>
      <w:r w:rsidRPr="00F12794">
        <w:rPr>
          <w:b/>
          <w:bCs/>
          <w:sz w:val="24"/>
          <w:szCs w:val="24"/>
        </w:rPr>
        <w:t>Introduction</w:t>
      </w:r>
    </w:p>
    <w:p w14:paraId="622BEE39" w14:textId="404FA16E" w:rsidR="00C32693" w:rsidRDefault="00C32693" w:rsidP="00C32693">
      <w:pPr>
        <w:spacing w:after="120" w:line="320" w:lineRule="exact"/>
        <w:ind w:firstLine="360"/>
        <w:rPr>
          <w:sz w:val="24"/>
          <w:szCs w:val="24"/>
        </w:rPr>
      </w:pPr>
      <w:r>
        <w:rPr>
          <w:sz w:val="24"/>
          <w:szCs w:val="24"/>
        </w:rPr>
        <w:t xml:space="preserve">Exposure to indoor and outdoor air pollutants—such as wildfire smoke, industrial particle pollution, and ozone—is a significant public health concern and can have especially adverse effects on individuals with asthma, cardiovascular disease, </w:t>
      </w:r>
      <w:r w:rsidR="00880BD8">
        <w:rPr>
          <w:sz w:val="24"/>
          <w:szCs w:val="24"/>
        </w:rPr>
        <w:t>chronic obstructive pulmonary disease (</w:t>
      </w:r>
      <w:r>
        <w:rPr>
          <w:sz w:val="24"/>
          <w:szCs w:val="24"/>
        </w:rPr>
        <w:t>COPD</w:t>
      </w:r>
      <w:r w:rsidR="00880BD8">
        <w:rPr>
          <w:sz w:val="24"/>
          <w:szCs w:val="24"/>
        </w:rPr>
        <w:t>)</w:t>
      </w:r>
      <w:r>
        <w:rPr>
          <w:sz w:val="24"/>
          <w:szCs w:val="24"/>
        </w:rPr>
        <w:t>, and other respiratory illnesses. Even short-term exposure to air pollution can cause symptoms, including both respiratory effects (e.g., cough</w:t>
      </w:r>
      <w:r w:rsidR="00880BD8">
        <w:rPr>
          <w:sz w:val="24"/>
          <w:szCs w:val="24"/>
        </w:rPr>
        <w:t>ing</w:t>
      </w:r>
      <w:r>
        <w:rPr>
          <w:sz w:val="24"/>
          <w:szCs w:val="24"/>
        </w:rPr>
        <w:t>, wheezing, shortness of breath) and cardiovascular effects (e.g., chest pain, fatigue, palpitations), and prolonged exposure can lead to premature death among individuals already suffering from respiratory illnesses (Cohen et al., 2017; Johnson et al., 2017).</w:t>
      </w:r>
    </w:p>
    <w:p w14:paraId="4A5EEC4E" w14:textId="0AD382D9" w:rsidR="00C32693" w:rsidRDefault="00C32693" w:rsidP="00C32693">
      <w:pPr>
        <w:spacing w:after="120" w:line="320" w:lineRule="exact"/>
        <w:ind w:firstLine="360"/>
        <w:rPr>
          <w:sz w:val="24"/>
          <w:szCs w:val="24"/>
        </w:rPr>
      </w:pPr>
      <w:r>
        <w:rPr>
          <w:sz w:val="24"/>
          <w:szCs w:val="24"/>
        </w:rPr>
        <w:t>Fortunately, access to information about air pollution and air quality has improved substantially in the past decade. Both the U.S. Centers for Disease Control and Prevention (CDC) Air Pollution and Respiratory Health Branch (APRHB) and the U.S. Environmental Protection Agency (EPA) have developed multiple resources to educate consumers about the effects of air pollution and alert them to current air quality in their area. This includes resources such as the EPA’s AirNow</w:t>
      </w:r>
      <w:r w:rsidR="00A23CD8">
        <w:rPr>
          <w:sz w:val="24"/>
          <w:szCs w:val="24"/>
        </w:rPr>
        <w:t>.gov</w:t>
      </w:r>
      <w:r>
        <w:rPr>
          <w:sz w:val="24"/>
          <w:szCs w:val="24"/>
        </w:rPr>
        <w:t xml:space="preserve"> interactive real-time database of air quality information as well as multiple CDC toolkits, flyers, and educational materials.</w:t>
      </w:r>
    </w:p>
    <w:p w14:paraId="570397B2" w14:textId="0B01105F" w:rsidR="00215FFA" w:rsidRPr="00202191" w:rsidRDefault="00C32693" w:rsidP="00C32693">
      <w:pPr>
        <w:spacing w:after="120" w:line="320" w:lineRule="exact"/>
        <w:ind w:firstLine="360"/>
        <w:rPr>
          <w:iCs/>
          <w:caps/>
          <w:sz w:val="24"/>
          <w:szCs w:val="24"/>
        </w:rPr>
      </w:pPr>
      <w:r>
        <w:rPr>
          <w:sz w:val="24"/>
          <w:szCs w:val="24"/>
        </w:rPr>
        <w:t xml:space="preserve">Despite the availability of these resources, most consumers—including those with respiratory illnesses—are unaware </w:t>
      </w:r>
      <w:r w:rsidR="00A23CD8">
        <w:rPr>
          <w:sz w:val="24"/>
          <w:szCs w:val="24"/>
        </w:rPr>
        <w:t xml:space="preserve">that </w:t>
      </w:r>
      <w:r>
        <w:rPr>
          <w:sz w:val="24"/>
          <w:szCs w:val="24"/>
        </w:rPr>
        <w:t xml:space="preserve">they exist or </w:t>
      </w:r>
      <w:r w:rsidR="00F73D54">
        <w:rPr>
          <w:sz w:val="24"/>
          <w:szCs w:val="24"/>
        </w:rPr>
        <w:t xml:space="preserve">are </w:t>
      </w:r>
      <w:r>
        <w:rPr>
          <w:sz w:val="24"/>
          <w:szCs w:val="24"/>
        </w:rPr>
        <w:t>unsure how to access them. Thus, CDC’s current challenge is to ensure that vulnerable populations are aware of the tools and resources available and use these tools to adopt protective behaviors that can prevent additional respiratory symptoms (e.g., changing physical activity routine, moving activities indoors, deactivat</w:t>
      </w:r>
      <w:r w:rsidR="00F73D54">
        <w:rPr>
          <w:sz w:val="24"/>
          <w:szCs w:val="24"/>
        </w:rPr>
        <w:t>ing</w:t>
      </w:r>
      <w:r>
        <w:rPr>
          <w:sz w:val="24"/>
          <w:szCs w:val="24"/>
        </w:rPr>
        <w:t xml:space="preserve"> air intake on air conditioning units).</w:t>
      </w:r>
    </w:p>
    <w:p w14:paraId="6209F075" w14:textId="23BE0A15" w:rsidR="00202191" w:rsidRDefault="00202191">
      <w:pPr>
        <w:rPr>
          <w:i/>
          <w:iCs/>
          <w:caps/>
          <w:sz w:val="24"/>
          <w:szCs w:val="24"/>
        </w:rPr>
      </w:pPr>
    </w:p>
    <w:p w14:paraId="3FDF70CA" w14:textId="77777777" w:rsidR="00215FFA" w:rsidRPr="00F12794" w:rsidRDefault="006945E5">
      <w:pPr>
        <w:rPr>
          <w:b/>
          <w:bCs/>
          <w:sz w:val="24"/>
          <w:szCs w:val="24"/>
        </w:rPr>
      </w:pPr>
      <w:r w:rsidRPr="00F12794">
        <w:rPr>
          <w:b/>
          <w:bCs/>
          <w:sz w:val="24"/>
          <w:szCs w:val="24"/>
        </w:rPr>
        <w:t>Background and Objectives</w:t>
      </w:r>
    </w:p>
    <w:p w14:paraId="4DBF8055" w14:textId="46070D4E" w:rsidR="00370554" w:rsidRDefault="00C32693" w:rsidP="00C32693">
      <w:pPr>
        <w:spacing w:after="120" w:line="320" w:lineRule="exact"/>
        <w:ind w:firstLine="360"/>
        <w:rPr>
          <w:sz w:val="24"/>
          <w:szCs w:val="24"/>
        </w:rPr>
      </w:pPr>
      <w:r>
        <w:rPr>
          <w:sz w:val="24"/>
          <w:szCs w:val="24"/>
        </w:rPr>
        <w:t xml:space="preserve">The purpose of this project is to leverage existing CDC and EPA resources for respiratory health by developing materials that connect individuals with asthma, COPD, or heart failure with those resources. </w:t>
      </w:r>
      <w:r w:rsidR="00A23CD8">
        <w:rPr>
          <w:sz w:val="24"/>
          <w:szCs w:val="24"/>
        </w:rPr>
        <w:t>CDC and its partners</w:t>
      </w:r>
      <w:r>
        <w:rPr>
          <w:sz w:val="24"/>
          <w:szCs w:val="24"/>
        </w:rPr>
        <w:t xml:space="preserve"> will develop these new communication materials and then employ an iterative process to test the materials with individuals who have respiratory illnesses and refine them based on audience feedback. By developing </w:t>
      </w:r>
      <w:r w:rsidR="000C3FA1">
        <w:rPr>
          <w:sz w:val="24"/>
          <w:szCs w:val="24"/>
        </w:rPr>
        <w:t xml:space="preserve">and testing </w:t>
      </w:r>
      <w:r>
        <w:rPr>
          <w:sz w:val="24"/>
          <w:szCs w:val="24"/>
        </w:rPr>
        <w:t>new communication materials, CDC can ensure that consumers take advantage of existing resources and can help vulnerable populations to reduce the negative effects of air pollution on their health.</w:t>
      </w:r>
    </w:p>
    <w:p w14:paraId="0B8FB9DC" w14:textId="69E82BA2" w:rsidR="00D735AF" w:rsidRPr="00202191" w:rsidRDefault="00370554" w:rsidP="00C32693">
      <w:pPr>
        <w:spacing w:after="120" w:line="320" w:lineRule="exact"/>
        <w:ind w:firstLine="360"/>
        <w:rPr>
          <w:bCs/>
          <w:sz w:val="24"/>
          <w:szCs w:val="24"/>
        </w:rPr>
      </w:pPr>
      <w:r>
        <w:rPr>
          <w:sz w:val="24"/>
          <w:szCs w:val="24"/>
        </w:rPr>
        <w:t>To accomplish these objectives, CDC has contracted with Better World Advertising (BWA), a creative design firm, and RTI International, a non-profit research institute. BWA will develop the communication materials, and RTI will test the materials with consumers.</w:t>
      </w:r>
    </w:p>
    <w:p w14:paraId="0242B7D7" w14:textId="77777777" w:rsidR="00202191" w:rsidRPr="00F12794" w:rsidRDefault="00202191">
      <w:pPr>
        <w:rPr>
          <w:b/>
          <w:bCs/>
          <w:sz w:val="24"/>
          <w:szCs w:val="24"/>
        </w:rPr>
      </w:pPr>
    </w:p>
    <w:p w14:paraId="23D9D490" w14:textId="77777777" w:rsidR="00215FFA" w:rsidRPr="00F12794" w:rsidRDefault="006945E5">
      <w:pPr>
        <w:rPr>
          <w:b/>
          <w:bCs/>
          <w:sz w:val="24"/>
          <w:szCs w:val="24"/>
        </w:rPr>
      </w:pPr>
      <w:r w:rsidRPr="00F12794">
        <w:rPr>
          <w:b/>
          <w:bCs/>
          <w:sz w:val="24"/>
          <w:szCs w:val="24"/>
        </w:rPr>
        <w:t xml:space="preserve">Methods and Study Population </w:t>
      </w:r>
    </w:p>
    <w:p w14:paraId="3B61F24E" w14:textId="1B6E703B" w:rsidR="00267A99" w:rsidRPr="00267A99" w:rsidRDefault="00C87996" w:rsidP="00267A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ind w:firstLine="360"/>
        <w:rPr>
          <w:rFonts w:asciiTheme="minorBidi" w:hAnsiTheme="minorBidi" w:cstheme="minorBidi"/>
          <w:sz w:val="24"/>
          <w:szCs w:val="24"/>
        </w:rPr>
      </w:pPr>
      <w:r>
        <w:rPr>
          <w:rFonts w:asciiTheme="minorBidi" w:hAnsiTheme="minorBidi" w:cstheme="minorBidi"/>
          <w:sz w:val="24"/>
          <w:szCs w:val="24"/>
        </w:rPr>
        <w:t xml:space="preserve">RTI </w:t>
      </w:r>
      <w:r w:rsidR="00267A99" w:rsidRPr="00267A99">
        <w:rPr>
          <w:rFonts w:asciiTheme="minorBidi" w:hAnsiTheme="minorBidi" w:cstheme="minorBidi"/>
          <w:sz w:val="24"/>
          <w:szCs w:val="24"/>
        </w:rPr>
        <w:t xml:space="preserve">will conduct 9 one-hour </w:t>
      </w:r>
      <w:r w:rsidR="00370554">
        <w:rPr>
          <w:rFonts w:asciiTheme="minorBidi" w:hAnsiTheme="minorBidi" w:cstheme="minorBidi"/>
          <w:sz w:val="24"/>
          <w:szCs w:val="24"/>
        </w:rPr>
        <w:t>focus groups</w:t>
      </w:r>
      <w:r w:rsidR="00267A99" w:rsidRPr="00267A99">
        <w:rPr>
          <w:rFonts w:asciiTheme="minorBidi" w:hAnsiTheme="minorBidi" w:cstheme="minorBidi"/>
          <w:sz w:val="24"/>
          <w:szCs w:val="24"/>
        </w:rPr>
        <w:t xml:space="preserve"> with consumers (</w:t>
      </w:r>
      <w:r w:rsidR="00267A99" w:rsidRPr="00267A99">
        <w:rPr>
          <w:rFonts w:asciiTheme="minorBidi" w:hAnsiTheme="minorBidi" w:cstheme="minorBidi"/>
          <w:i/>
          <w:sz w:val="24"/>
          <w:szCs w:val="24"/>
        </w:rPr>
        <w:t>n</w:t>
      </w:r>
      <w:r w:rsidR="00267A99" w:rsidRPr="00267A99">
        <w:rPr>
          <w:rFonts w:asciiTheme="minorBidi" w:hAnsiTheme="minorBidi" w:cstheme="minorBidi"/>
          <w:sz w:val="24"/>
          <w:szCs w:val="24"/>
        </w:rPr>
        <w:t xml:space="preserve">=3 per </w:t>
      </w:r>
      <w:r w:rsidR="00370554">
        <w:rPr>
          <w:rFonts w:asciiTheme="minorBidi" w:hAnsiTheme="minorBidi" w:cstheme="minorBidi"/>
          <w:sz w:val="24"/>
          <w:szCs w:val="24"/>
        </w:rPr>
        <w:t>group</w:t>
      </w:r>
      <w:r w:rsidR="00267A99" w:rsidRPr="00267A99">
        <w:rPr>
          <w:rFonts w:asciiTheme="minorBidi" w:hAnsiTheme="minorBidi" w:cstheme="minorBidi"/>
          <w:sz w:val="24"/>
          <w:szCs w:val="24"/>
        </w:rPr>
        <w:t xml:space="preserve">; </w:t>
      </w:r>
      <w:r w:rsidR="00267A99" w:rsidRPr="00267A99">
        <w:rPr>
          <w:rFonts w:asciiTheme="minorBidi" w:hAnsiTheme="minorBidi" w:cstheme="minorBidi"/>
          <w:i/>
          <w:sz w:val="24"/>
          <w:szCs w:val="24"/>
        </w:rPr>
        <w:t>n</w:t>
      </w:r>
      <w:r w:rsidR="00267A99" w:rsidRPr="00267A99">
        <w:rPr>
          <w:rFonts w:asciiTheme="minorBidi" w:hAnsiTheme="minorBidi" w:cstheme="minorBidi"/>
          <w:sz w:val="24"/>
          <w:szCs w:val="24"/>
        </w:rPr>
        <w:t xml:space="preserve">=27 total) </w:t>
      </w:r>
      <w:r w:rsidR="00E33F6E">
        <w:rPr>
          <w:rFonts w:asciiTheme="minorBidi" w:hAnsiTheme="minorBidi" w:cstheme="minorBidi"/>
          <w:sz w:val="24"/>
          <w:szCs w:val="24"/>
        </w:rPr>
        <w:t xml:space="preserve">recruited </w:t>
      </w:r>
      <w:r w:rsidR="00267A99" w:rsidRPr="00267A99">
        <w:rPr>
          <w:rFonts w:asciiTheme="minorBidi" w:hAnsiTheme="minorBidi" w:cstheme="minorBidi"/>
          <w:sz w:val="24"/>
          <w:szCs w:val="24"/>
        </w:rPr>
        <w:t>in Atlanta, GA; Detroit, MI; and Denver, CO</w:t>
      </w:r>
      <w:r>
        <w:rPr>
          <w:rFonts w:asciiTheme="minorBidi" w:hAnsiTheme="minorBidi" w:cstheme="minorBidi"/>
          <w:sz w:val="24"/>
          <w:szCs w:val="24"/>
        </w:rPr>
        <w:t xml:space="preserve"> to test prototype education materials</w:t>
      </w:r>
      <w:r w:rsidR="001C43A0">
        <w:rPr>
          <w:rFonts w:asciiTheme="minorBidi" w:hAnsiTheme="minorBidi" w:cstheme="minorBidi"/>
          <w:sz w:val="24"/>
          <w:szCs w:val="24"/>
        </w:rPr>
        <w:t xml:space="preserve"> (see </w:t>
      </w:r>
      <w:r w:rsidR="001C43A0">
        <w:rPr>
          <w:rFonts w:asciiTheme="minorBidi" w:hAnsiTheme="minorBidi" w:cstheme="minorBidi"/>
          <w:sz w:val="24"/>
          <w:szCs w:val="24"/>
        </w:rPr>
        <w:lastRenderedPageBreak/>
        <w:t>Table 1.)</w:t>
      </w:r>
      <w:r w:rsidR="00267A99" w:rsidRPr="00267A99">
        <w:rPr>
          <w:rFonts w:asciiTheme="minorBidi" w:hAnsiTheme="minorBidi" w:cstheme="minorBidi"/>
          <w:sz w:val="24"/>
          <w:szCs w:val="24"/>
        </w:rPr>
        <w:t xml:space="preserve">. </w:t>
      </w:r>
      <w:r>
        <w:rPr>
          <w:rFonts w:asciiTheme="minorBidi" w:hAnsiTheme="minorBidi" w:cstheme="minorBidi"/>
          <w:sz w:val="24"/>
          <w:szCs w:val="24"/>
        </w:rPr>
        <w:t>RTI</w:t>
      </w:r>
      <w:r w:rsidR="00267A99" w:rsidRPr="00267A99">
        <w:rPr>
          <w:rFonts w:asciiTheme="minorBidi" w:hAnsiTheme="minorBidi" w:cstheme="minorBidi"/>
          <w:sz w:val="24"/>
          <w:szCs w:val="24"/>
        </w:rPr>
        <w:t xml:space="preserve"> will conduct the </w:t>
      </w:r>
      <w:r w:rsidR="00370554">
        <w:rPr>
          <w:rFonts w:asciiTheme="minorBidi" w:hAnsiTheme="minorBidi" w:cstheme="minorBidi"/>
          <w:sz w:val="24"/>
          <w:szCs w:val="24"/>
        </w:rPr>
        <w:t>focus groups</w:t>
      </w:r>
      <w:r w:rsidR="00370554" w:rsidRPr="00267A99">
        <w:rPr>
          <w:rFonts w:asciiTheme="minorBidi" w:hAnsiTheme="minorBidi" w:cstheme="minorBidi"/>
          <w:sz w:val="24"/>
          <w:szCs w:val="24"/>
        </w:rPr>
        <w:t xml:space="preserve"> </w:t>
      </w:r>
      <w:r w:rsidR="00267A99" w:rsidRPr="00267A99">
        <w:rPr>
          <w:rFonts w:asciiTheme="minorBidi" w:hAnsiTheme="minorBidi" w:cstheme="minorBidi"/>
          <w:sz w:val="24"/>
          <w:szCs w:val="24"/>
        </w:rPr>
        <w:t>with consumers who have</w:t>
      </w:r>
      <w:r w:rsidR="00ED3744">
        <w:rPr>
          <w:rFonts w:asciiTheme="minorBidi" w:hAnsiTheme="minorBidi" w:cstheme="minorBidi"/>
          <w:sz w:val="24"/>
          <w:szCs w:val="24"/>
        </w:rPr>
        <w:t xml:space="preserve"> </w:t>
      </w:r>
      <w:r w:rsidR="00267A99" w:rsidRPr="00267A99">
        <w:rPr>
          <w:rFonts w:asciiTheme="minorBidi" w:hAnsiTheme="minorBidi" w:cstheme="minorBidi"/>
          <w:sz w:val="24"/>
          <w:szCs w:val="24"/>
        </w:rPr>
        <w:t>been medically diagnosed with one of the following health conditions:</w:t>
      </w:r>
    </w:p>
    <w:p w14:paraId="3799753A" w14:textId="7CC95DD8" w:rsidR="00267A99" w:rsidRPr="00267A99" w:rsidRDefault="00267A99" w:rsidP="00267A9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contextualSpacing w:val="0"/>
        <w:rPr>
          <w:rFonts w:asciiTheme="minorBidi" w:hAnsiTheme="minorBidi" w:cstheme="minorBidi"/>
          <w:sz w:val="24"/>
          <w:szCs w:val="24"/>
        </w:rPr>
      </w:pPr>
      <w:r w:rsidRPr="00267A99">
        <w:rPr>
          <w:rFonts w:asciiTheme="minorBidi" w:hAnsiTheme="minorBidi" w:cstheme="minorBidi"/>
          <w:sz w:val="24"/>
          <w:szCs w:val="24"/>
        </w:rPr>
        <w:t xml:space="preserve">Asthma (3 </w:t>
      </w:r>
      <w:r w:rsidR="00370554">
        <w:rPr>
          <w:rFonts w:asciiTheme="minorBidi" w:hAnsiTheme="minorBidi" w:cstheme="minorBidi"/>
          <w:sz w:val="24"/>
          <w:szCs w:val="24"/>
        </w:rPr>
        <w:t>groups</w:t>
      </w:r>
      <w:r w:rsidRPr="00267A99">
        <w:rPr>
          <w:rFonts w:asciiTheme="minorBidi" w:hAnsiTheme="minorBidi" w:cstheme="minorBidi"/>
          <w:sz w:val="24"/>
          <w:szCs w:val="24"/>
        </w:rPr>
        <w:t>)</w:t>
      </w:r>
    </w:p>
    <w:p w14:paraId="1532F236" w14:textId="54223528" w:rsidR="00267A99" w:rsidRPr="00267A99" w:rsidRDefault="00267A99" w:rsidP="00267A9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contextualSpacing w:val="0"/>
        <w:rPr>
          <w:rFonts w:asciiTheme="minorBidi" w:hAnsiTheme="minorBidi" w:cstheme="minorBidi"/>
          <w:sz w:val="24"/>
          <w:szCs w:val="24"/>
        </w:rPr>
      </w:pPr>
      <w:r w:rsidRPr="00267A99">
        <w:rPr>
          <w:rFonts w:asciiTheme="minorBidi" w:hAnsiTheme="minorBidi" w:cstheme="minorBidi"/>
          <w:sz w:val="24"/>
          <w:szCs w:val="24"/>
        </w:rPr>
        <w:t xml:space="preserve">Chronic obstructive pulmonary disease (3 </w:t>
      </w:r>
      <w:r w:rsidR="00370554">
        <w:rPr>
          <w:rFonts w:asciiTheme="minorBidi" w:hAnsiTheme="minorBidi" w:cstheme="minorBidi"/>
          <w:sz w:val="24"/>
          <w:szCs w:val="24"/>
        </w:rPr>
        <w:t>groups</w:t>
      </w:r>
      <w:r w:rsidRPr="00267A99">
        <w:rPr>
          <w:rFonts w:asciiTheme="minorBidi" w:hAnsiTheme="minorBidi" w:cstheme="minorBidi"/>
          <w:sz w:val="24"/>
          <w:szCs w:val="24"/>
        </w:rPr>
        <w:t>)</w:t>
      </w:r>
    </w:p>
    <w:p w14:paraId="5E82C7AC" w14:textId="3F5E2BF4" w:rsidR="00267A99" w:rsidRPr="00267A99" w:rsidRDefault="00267A99" w:rsidP="00267A9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contextualSpacing w:val="0"/>
        <w:rPr>
          <w:rFonts w:asciiTheme="minorBidi" w:hAnsiTheme="minorBidi" w:cstheme="minorBidi"/>
          <w:sz w:val="24"/>
          <w:szCs w:val="24"/>
        </w:rPr>
      </w:pPr>
      <w:r w:rsidRPr="00267A99">
        <w:rPr>
          <w:rFonts w:asciiTheme="minorBidi" w:hAnsiTheme="minorBidi" w:cstheme="minorBidi"/>
          <w:sz w:val="24"/>
          <w:szCs w:val="24"/>
        </w:rPr>
        <w:t xml:space="preserve">Heart failure (3 </w:t>
      </w:r>
      <w:r w:rsidR="00370554">
        <w:rPr>
          <w:rFonts w:asciiTheme="minorBidi" w:hAnsiTheme="minorBidi" w:cstheme="minorBidi"/>
          <w:sz w:val="24"/>
          <w:szCs w:val="24"/>
        </w:rPr>
        <w:t>groups</w:t>
      </w:r>
      <w:r w:rsidRPr="00267A99">
        <w:rPr>
          <w:rFonts w:asciiTheme="minorBidi" w:hAnsiTheme="minorBidi" w:cstheme="minorBidi"/>
          <w:sz w:val="24"/>
          <w:szCs w:val="24"/>
        </w:rPr>
        <w:t>)</w:t>
      </w:r>
    </w:p>
    <w:p w14:paraId="3AB40D8E" w14:textId="643063CF" w:rsidR="001C43A0" w:rsidRDefault="00C87996" w:rsidP="00C879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320" w:lineRule="exact"/>
        <w:ind w:firstLine="360"/>
        <w:rPr>
          <w:sz w:val="24"/>
        </w:rPr>
      </w:pPr>
      <w:r>
        <w:rPr>
          <w:sz w:val="24"/>
        </w:rPr>
        <w:t>RTI</w:t>
      </w:r>
      <w:r w:rsidRPr="00016EEA">
        <w:rPr>
          <w:sz w:val="24"/>
        </w:rPr>
        <w:t xml:space="preserve"> will conduct </w:t>
      </w:r>
      <w:r w:rsidR="000C3FA1">
        <w:rPr>
          <w:sz w:val="24"/>
        </w:rPr>
        <w:t xml:space="preserve">and moderate </w:t>
      </w:r>
      <w:r w:rsidRPr="00016EEA">
        <w:rPr>
          <w:sz w:val="24"/>
        </w:rPr>
        <w:t xml:space="preserve">the </w:t>
      </w:r>
      <w:r w:rsidR="00370554">
        <w:rPr>
          <w:sz w:val="24"/>
        </w:rPr>
        <w:t>focus groups</w:t>
      </w:r>
      <w:r w:rsidR="000C3FA1">
        <w:rPr>
          <w:sz w:val="24"/>
        </w:rPr>
        <w:t xml:space="preserve"> in the selected cities</w:t>
      </w:r>
      <w:r w:rsidRPr="00016EEA">
        <w:rPr>
          <w:sz w:val="24"/>
        </w:rPr>
        <w:t xml:space="preserve">. </w:t>
      </w:r>
      <w:r>
        <w:rPr>
          <w:sz w:val="24"/>
        </w:rPr>
        <w:t>O</w:t>
      </w:r>
      <w:r w:rsidRPr="00016EEA">
        <w:rPr>
          <w:sz w:val="24"/>
        </w:rPr>
        <w:t xml:space="preserve">ne of </w:t>
      </w:r>
      <w:r>
        <w:rPr>
          <w:sz w:val="24"/>
        </w:rPr>
        <w:t>two</w:t>
      </w:r>
      <w:r w:rsidRPr="00016EEA">
        <w:rPr>
          <w:sz w:val="24"/>
        </w:rPr>
        <w:t xml:space="preserve"> </w:t>
      </w:r>
      <w:r>
        <w:rPr>
          <w:sz w:val="24"/>
        </w:rPr>
        <w:t>trained</w:t>
      </w:r>
      <w:r w:rsidRPr="00016EEA">
        <w:rPr>
          <w:sz w:val="24"/>
        </w:rPr>
        <w:t xml:space="preserve"> moderators will facilitate </w:t>
      </w:r>
      <w:r>
        <w:rPr>
          <w:sz w:val="24"/>
        </w:rPr>
        <w:t>each discussion (both of whom have more than</w:t>
      </w:r>
      <w:r w:rsidRPr="00016EEA">
        <w:rPr>
          <w:sz w:val="24"/>
        </w:rPr>
        <w:t xml:space="preserve"> 15 years of experience in qualitative research</w:t>
      </w:r>
      <w:r>
        <w:rPr>
          <w:sz w:val="24"/>
        </w:rPr>
        <w:t>)</w:t>
      </w:r>
      <w:r w:rsidRPr="00016EEA">
        <w:rPr>
          <w:sz w:val="24"/>
        </w:rPr>
        <w:t xml:space="preserve">. During each </w:t>
      </w:r>
      <w:r w:rsidR="00370554">
        <w:rPr>
          <w:sz w:val="24"/>
        </w:rPr>
        <w:t>group</w:t>
      </w:r>
      <w:r w:rsidRPr="00016EEA">
        <w:rPr>
          <w:sz w:val="24"/>
        </w:rPr>
        <w:t>, the moderator will provide a brief explanation of the study, administer written informed consent</w:t>
      </w:r>
      <w:r w:rsidR="001C43A0">
        <w:rPr>
          <w:sz w:val="24"/>
        </w:rPr>
        <w:t xml:space="preserve"> (</w:t>
      </w:r>
      <w:r w:rsidR="00A64DD6">
        <w:rPr>
          <w:b/>
          <w:i/>
          <w:sz w:val="24"/>
        </w:rPr>
        <w:t>Attachment</w:t>
      </w:r>
      <w:r w:rsidR="001C43A0" w:rsidRPr="001C43A0">
        <w:rPr>
          <w:b/>
          <w:i/>
          <w:sz w:val="24"/>
        </w:rPr>
        <w:t xml:space="preserve"> </w:t>
      </w:r>
      <w:r w:rsidR="009763A5">
        <w:rPr>
          <w:b/>
          <w:i/>
          <w:sz w:val="24"/>
        </w:rPr>
        <w:t>B</w:t>
      </w:r>
      <w:r w:rsidR="001C43A0">
        <w:rPr>
          <w:sz w:val="24"/>
        </w:rPr>
        <w:t>)</w:t>
      </w:r>
      <w:r w:rsidRPr="00016EEA">
        <w:rPr>
          <w:sz w:val="24"/>
        </w:rPr>
        <w:t>, and lead the participants through an interactive group discus</w:t>
      </w:r>
      <w:r>
        <w:rPr>
          <w:sz w:val="24"/>
        </w:rPr>
        <w:t>sion</w:t>
      </w:r>
      <w:r w:rsidR="001C43A0">
        <w:rPr>
          <w:sz w:val="24"/>
        </w:rPr>
        <w:t xml:space="preserve"> using a semi-structured moderator guide (</w:t>
      </w:r>
      <w:r w:rsidR="00A64DD6">
        <w:rPr>
          <w:b/>
          <w:i/>
          <w:sz w:val="24"/>
        </w:rPr>
        <w:t>Attachment</w:t>
      </w:r>
      <w:r w:rsidR="001C43A0" w:rsidRPr="001C43A0">
        <w:rPr>
          <w:b/>
          <w:i/>
          <w:sz w:val="24"/>
        </w:rPr>
        <w:t xml:space="preserve"> </w:t>
      </w:r>
      <w:r w:rsidR="009763A5">
        <w:rPr>
          <w:b/>
          <w:i/>
          <w:sz w:val="24"/>
        </w:rPr>
        <w:t>C</w:t>
      </w:r>
      <w:r w:rsidR="001C43A0">
        <w:rPr>
          <w:sz w:val="24"/>
        </w:rPr>
        <w:t>)</w:t>
      </w:r>
      <w:r>
        <w:rPr>
          <w:sz w:val="24"/>
        </w:rPr>
        <w:t>.</w:t>
      </w:r>
      <w:r w:rsidR="001C43A0">
        <w:rPr>
          <w:sz w:val="24"/>
        </w:rPr>
        <w:t xml:space="preserve"> During the groups, CDC staff will observe either </w:t>
      </w:r>
      <w:r w:rsidR="00A24B7D">
        <w:rPr>
          <w:sz w:val="24"/>
        </w:rPr>
        <w:t>via phone link</w:t>
      </w:r>
      <w:r w:rsidR="001C43A0">
        <w:rPr>
          <w:sz w:val="24"/>
        </w:rPr>
        <w:t xml:space="preserve"> or via a live audio recording.</w:t>
      </w:r>
    </w:p>
    <w:p w14:paraId="44EA7709" w14:textId="6A1FF9D0" w:rsidR="00202191" w:rsidRDefault="00C87996" w:rsidP="00C879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320" w:lineRule="exact"/>
        <w:ind w:firstLine="360"/>
        <w:rPr>
          <w:sz w:val="24"/>
        </w:rPr>
      </w:pPr>
      <w:r>
        <w:rPr>
          <w:sz w:val="24"/>
        </w:rPr>
        <w:t>Throughout the discussion, the moderator</w:t>
      </w:r>
      <w:r w:rsidRPr="00016EEA">
        <w:rPr>
          <w:sz w:val="24"/>
        </w:rPr>
        <w:t xml:space="preserve"> will document major </w:t>
      </w:r>
      <w:r>
        <w:rPr>
          <w:sz w:val="24"/>
        </w:rPr>
        <w:t>themes in participant responses</w:t>
      </w:r>
      <w:r w:rsidRPr="00016EEA">
        <w:rPr>
          <w:sz w:val="24"/>
        </w:rPr>
        <w:t xml:space="preserve"> as well as reactions to the </w:t>
      </w:r>
      <w:r>
        <w:rPr>
          <w:sz w:val="24"/>
        </w:rPr>
        <w:t>prototype materials.</w:t>
      </w:r>
      <w:r w:rsidRPr="00016EEA">
        <w:rPr>
          <w:sz w:val="24"/>
        </w:rPr>
        <w:t xml:space="preserve"> </w:t>
      </w:r>
      <w:r>
        <w:rPr>
          <w:sz w:val="24"/>
        </w:rPr>
        <w:t>The moderator</w:t>
      </w:r>
      <w:r w:rsidRPr="00016EEA">
        <w:rPr>
          <w:sz w:val="24"/>
        </w:rPr>
        <w:t xml:space="preserve"> will audio record the sessions</w:t>
      </w:r>
      <w:r w:rsidR="001C43A0">
        <w:rPr>
          <w:sz w:val="24"/>
        </w:rPr>
        <w:t>,</w:t>
      </w:r>
      <w:r>
        <w:rPr>
          <w:sz w:val="24"/>
        </w:rPr>
        <w:t xml:space="preserve"> and </w:t>
      </w:r>
      <w:r w:rsidR="001C43A0">
        <w:rPr>
          <w:sz w:val="24"/>
        </w:rPr>
        <w:t xml:space="preserve">RTI will </w:t>
      </w:r>
      <w:r>
        <w:rPr>
          <w:sz w:val="24"/>
        </w:rPr>
        <w:t>produce verbatim</w:t>
      </w:r>
      <w:r w:rsidRPr="00016EEA">
        <w:rPr>
          <w:sz w:val="24"/>
        </w:rPr>
        <w:t xml:space="preserve"> transcripts of each session </w:t>
      </w:r>
      <w:r>
        <w:rPr>
          <w:sz w:val="24"/>
        </w:rPr>
        <w:t xml:space="preserve">that </w:t>
      </w:r>
      <w:r w:rsidRPr="00016EEA">
        <w:rPr>
          <w:sz w:val="24"/>
        </w:rPr>
        <w:t>will be used</w:t>
      </w:r>
      <w:r>
        <w:rPr>
          <w:sz w:val="24"/>
        </w:rPr>
        <w:t xml:space="preserve"> for later analysis.</w:t>
      </w:r>
      <w:r w:rsidR="001C43A0">
        <w:rPr>
          <w:sz w:val="24"/>
        </w:rPr>
        <w:t xml:space="preserve">  At the end of each 60-minute </w:t>
      </w:r>
      <w:r w:rsidR="00B1244E">
        <w:rPr>
          <w:sz w:val="24"/>
        </w:rPr>
        <w:t>focus group</w:t>
      </w:r>
      <w:r w:rsidR="001C43A0">
        <w:rPr>
          <w:sz w:val="24"/>
        </w:rPr>
        <w:t>, the moderator will provide participants with a token of appreciation for their time and travel.</w:t>
      </w:r>
    </w:p>
    <w:p w14:paraId="12DA70E3" w14:textId="77777777" w:rsidR="009763A5" w:rsidRDefault="009763A5" w:rsidP="00C879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320" w:lineRule="exact"/>
        <w:ind w:firstLine="360"/>
        <w:rPr>
          <w:rFonts w:eastAsia="Arial Unicode MS"/>
          <w:sz w:val="24"/>
          <w:szCs w:val="24"/>
        </w:rPr>
      </w:pPr>
    </w:p>
    <w:p w14:paraId="728603D3" w14:textId="5297166F" w:rsidR="00C51D24" w:rsidRPr="00E422CE" w:rsidRDefault="00C77AF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b/>
          <w:i/>
          <w:sz w:val="24"/>
          <w:szCs w:val="24"/>
        </w:rPr>
      </w:pPr>
      <w:r w:rsidRPr="00267A99">
        <w:rPr>
          <w:rFonts w:eastAsia="Arial Unicode MS"/>
          <w:b/>
          <w:i/>
          <w:sz w:val="24"/>
          <w:szCs w:val="24"/>
        </w:rPr>
        <w:t>Table 1. Focus Group Locations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3153"/>
        <w:gridCol w:w="3153"/>
      </w:tblGrid>
      <w:tr w:rsidR="00C51D24" w:rsidRPr="00C51D24" w14:paraId="073D410A" w14:textId="0034BBBB" w:rsidTr="00A24B7D">
        <w:trPr>
          <w:trHeight w:val="91"/>
        </w:trPr>
        <w:tc>
          <w:tcPr>
            <w:tcW w:w="2055" w:type="dxa"/>
          </w:tcPr>
          <w:p w14:paraId="1A4DB243" w14:textId="25C70FA2" w:rsidR="00C51D24" w:rsidRPr="00267A99" w:rsidRDefault="00DB025E" w:rsidP="00267A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b/>
                <w:sz w:val="24"/>
                <w:szCs w:val="24"/>
              </w:rPr>
            </w:pPr>
            <w:r>
              <w:rPr>
                <w:rFonts w:eastAsia="Arial Unicode MS"/>
                <w:b/>
                <w:sz w:val="24"/>
                <w:szCs w:val="24"/>
              </w:rPr>
              <w:t>WAVE</w:t>
            </w:r>
          </w:p>
        </w:tc>
        <w:tc>
          <w:tcPr>
            <w:tcW w:w="3153" w:type="dxa"/>
          </w:tcPr>
          <w:p w14:paraId="31BC6A84" w14:textId="4AB63F7D" w:rsidR="00C51D24" w:rsidRPr="00267A99" w:rsidRDefault="00C51D24" w:rsidP="00267A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b/>
                <w:sz w:val="24"/>
                <w:szCs w:val="24"/>
              </w:rPr>
            </w:pPr>
            <w:r w:rsidRPr="00267A99">
              <w:rPr>
                <w:rFonts w:eastAsia="Arial Unicode MS"/>
                <w:b/>
                <w:sz w:val="24"/>
                <w:szCs w:val="24"/>
              </w:rPr>
              <w:t>REGION</w:t>
            </w:r>
          </w:p>
        </w:tc>
        <w:tc>
          <w:tcPr>
            <w:tcW w:w="3153" w:type="dxa"/>
          </w:tcPr>
          <w:p w14:paraId="244F09F2" w14:textId="5EAF253F" w:rsidR="00C51D24" w:rsidRPr="00267A99" w:rsidRDefault="00E422CE" w:rsidP="00267A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b/>
                <w:sz w:val="24"/>
                <w:szCs w:val="24"/>
              </w:rPr>
            </w:pPr>
            <w:r>
              <w:rPr>
                <w:rFonts w:eastAsia="Arial Unicode MS"/>
                <w:b/>
                <w:sz w:val="24"/>
                <w:szCs w:val="24"/>
              </w:rPr>
              <w:t>CITY</w:t>
            </w:r>
          </w:p>
        </w:tc>
      </w:tr>
      <w:tr w:rsidR="00C51D24" w:rsidRPr="00C51D24" w14:paraId="6613015D" w14:textId="644E6033" w:rsidTr="00A24B7D">
        <w:trPr>
          <w:trHeight w:val="91"/>
        </w:trPr>
        <w:tc>
          <w:tcPr>
            <w:tcW w:w="2055" w:type="dxa"/>
          </w:tcPr>
          <w:p w14:paraId="53F4D1FB" w14:textId="1F9A43EB" w:rsidR="00C51D24" w:rsidRPr="00C51D24" w:rsidRDefault="00267A99"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Pr>
                <w:rFonts w:eastAsia="Arial Unicode MS"/>
                <w:sz w:val="24"/>
                <w:szCs w:val="24"/>
              </w:rPr>
              <w:t>1</w:t>
            </w:r>
          </w:p>
        </w:tc>
        <w:tc>
          <w:tcPr>
            <w:tcW w:w="3153" w:type="dxa"/>
          </w:tcPr>
          <w:p w14:paraId="7228709C" w14:textId="4950DBBE" w:rsidR="00C51D24" w:rsidRPr="00C51D24" w:rsidRDefault="00267A99"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South</w:t>
            </w:r>
          </w:p>
        </w:tc>
        <w:tc>
          <w:tcPr>
            <w:tcW w:w="3153" w:type="dxa"/>
          </w:tcPr>
          <w:p w14:paraId="1474F621" w14:textId="41513AED" w:rsidR="00C51D24" w:rsidRPr="00C51D24" w:rsidRDefault="00267A99"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Atlanta, GA</w:t>
            </w:r>
          </w:p>
        </w:tc>
      </w:tr>
      <w:tr w:rsidR="00C51D24" w:rsidRPr="00C51D24" w14:paraId="35078C86" w14:textId="1E0E9252" w:rsidTr="00A24B7D">
        <w:trPr>
          <w:trHeight w:val="91"/>
        </w:trPr>
        <w:tc>
          <w:tcPr>
            <w:tcW w:w="2055" w:type="dxa"/>
          </w:tcPr>
          <w:p w14:paraId="02284187" w14:textId="3E5BC346" w:rsidR="00C51D24" w:rsidRPr="00C51D24" w:rsidRDefault="00267A99"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Pr>
                <w:rFonts w:eastAsia="Arial Unicode MS"/>
                <w:sz w:val="24"/>
                <w:szCs w:val="24"/>
              </w:rPr>
              <w:t>2</w:t>
            </w:r>
          </w:p>
        </w:tc>
        <w:tc>
          <w:tcPr>
            <w:tcW w:w="3153" w:type="dxa"/>
          </w:tcPr>
          <w:p w14:paraId="5D668B5E" w14:textId="19769626" w:rsidR="00C51D24" w:rsidRPr="00C51D24" w:rsidRDefault="00267A99"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Midwest</w:t>
            </w:r>
          </w:p>
        </w:tc>
        <w:tc>
          <w:tcPr>
            <w:tcW w:w="3153" w:type="dxa"/>
          </w:tcPr>
          <w:p w14:paraId="41FD7F40" w14:textId="23195640" w:rsidR="00C51D24" w:rsidRPr="00C51D24" w:rsidRDefault="00267A99"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Detroit, MI</w:t>
            </w:r>
          </w:p>
        </w:tc>
      </w:tr>
      <w:tr w:rsidR="00C51D24" w:rsidRPr="00C51D24" w14:paraId="11047E49" w14:textId="7C2940D1" w:rsidTr="00A24B7D">
        <w:trPr>
          <w:trHeight w:val="91"/>
        </w:trPr>
        <w:tc>
          <w:tcPr>
            <w:tcW w:w="2055" w:type="dxa"/>
          </w:tcPr>
          <w:p w14:paraId="7DA6B516" w14:textId="722A2AEA" w:rsidR="00C51D24" w:rsidRPr="00C51D24" w:rsidRDefault="00267A99"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Pr>
                <w:rFonts w:eastAsia="Arial Unicode MS"/>
                <w:sz w:val="24"/>
                <w:szCs w:val="24"/>
              </w:rPr>
              <w:t>3</w:t>
            </w:r>
          </w:p>
        </w:tc>
        <w:tc>
          <w:tcPr>
            <w:tcW w:w="3153" w:type="dxa"/>
          </w:tcPr>
          <w:p w14:paraId="7F7E06F9" w14:textId="37E073C8" w:rsidR="00C51D24" w:rsidRPr="00C51D24" w:rsidRDefault="00267A99"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West</w:t>
            </w:r>
          </w:p>
        </w:tc>
        <w:tc>
          <w:tcPr>
            <w:tcW w:w="3153" w:type="dxa"/>
          </w:tcPr>
          <w:p w14:paraId="20DE7392" w14:textId="3557962E" w:rsidR="00C51D24" w:rsidRPr="00C51D24" w:rsidRDefault="00267A99"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Denver, CO</w:t>
            </w:r>
          </w:p>
        </w:tc>
      </w:tr>
    </w:tbl>
    <w:p w14:paraId="746D6C9D" w14:textId="55A89786" w:rsidR="000139E8" w:rsidRPr="00F1279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r w:rsidRPr="00C51D24">
        <w:rPr>
          <w:rFonts w:eastAsia="Arial Unicode MS"/>
          <w:sz w:val="24"/>
          <w:szCs w:val="24"/>
        </w:rPr>
        <w:t xml:space="preserve"> </w:t>
      </w:r>
    </w:p>
    <w:p w14:paraId="24ECC8C9" w14:textId="77777777" w:rsidR="00215FFA" w:rsidRPr="00F12794" w:rsidRDefault="006945E5">
      <w:pPr>
        <w:rPr>
          <w:b/>
          <w:bCs/>
          <w:sz w:val="24"/>
          <w:szCs w:val="24"/>
        </w:rPr>
      </w:pPr>
      <w:r w:rsidRPr="00F12794">
        <w:rPr>
          <w:b/>
          <w:bCs/>
          <w:sz w:val="24"/>
          <w:szCs w:val="24"/>
        </w:rPr>
        <w:t>Recruitment Plan and Screening Procedure</w:t>
      </w:r>
    </w:p>
    <w:p w14:paraId="3B16E0D9" w14:textId="7FC67FB5" w:rsidR="00E422CE" w:rsidRDefault="00E422CE" w:rsidP="00E422CE">
      <w:pPr>
        <w:spacing w:after="120" w:line="320" w:lineRule="exact"/>
        <w:ind w:firstLine="360"/>
        <w:rPr>
          <w:sz w:val="24"/>
          <w:szCs w:val="24"/>
        </w:rPr>
      </w:pPr>
      <w:r w:rsidRPr="00E422CE">
        <w:rPr>
          <w:sz w:val="24"/>
          <w:szCs w:val="24"/>
        </w:rPr>
        <w:t xml:space="preserve">RTI will work closely with local market research </w:t>
      </w:r>
      <w:r w:rsidR="00A24B7D">
        <w:rPr>
          <w:sz w:val="24"/>
          <w:szCs w:val="24"/>
        </w:rPr>
        <w:t>firms</w:t>
      </w:r>
      <w:r w:rsidR="00A24B7D" w:rsidRPr="00E422CE">
        <w:rPr>
          <w:sz w:val="24"/>
          <w:szCs w:val="24"/>
        </w:rPr>
        <w:t xml:space="preserve"> </w:t>
      </w:r>
      <w:r w:rsidRPr="00E422CE">
        <w:rPr>
          <w:sz w:val="24"/>
          <w:szCs w:val="24"/>
        </w:rPr>
        <w:t xml:space="preserve">in each city to recruit individuals who meet the study’s eligibility criteria. </w:t>
      </w:r>
      <w:r w:rsidR="00ED3744">
        <w:rPr>
          <w:sz w:val="24"/>
          <w:szCs w:val="24"/>
        </w:rPr>
        <w:t xml:space="preserve"> </w:t>
      </w:r>
      <w:r w:rsidR="00C36FFE">
        <w:rPr>
          <w:sz w:val="24"/>
          <w:szCs w:val="24"/>
        </w:rPr>
        <w:t xml:space="preserve">Recruiting </w:t>
      </w:r>
      <w:r>
        <w:rPr>
          <w:sz w:val="24"/>
          <w:szCs w:val="24"/>
        </w:rPr>
        <w:t>staff may use media advertisements or healthcare provider referrals to identify potential participants.</w:t>
      </w:r>
    </w:p>
    <w:p w14:paraId="4396DAF0" w14:textId="36E5D105" w:rsidR="00E422CE" w:rsidRDefault="00E422CE" w:rsidP="00E422CE">
      <w:pPr>
        <w:spacing w:after="120" w:line="320" w:lineRule="exact"/>
        <w:ind w:firstLine="360"/>
        <w:rPr>
          <w:sz w:val="24"/>
          <w:szCs w:val="24"/>
        </w:rPr>
      </w:pPr>
      <w:r w:rsidRPr="00E422CE">
        <w:rPr>
          <w:sz w:val="24"/>
          <w:szCs w:val="24"/>
        </w:rPr>
        <w:t xml:space="preserve">Once the </w:t>
      </w:r>
      <w:r w:rsidR="00A24B7D" w:rsidRPr="00E422CE">
        <w:rPr>
          <w:sz w:val="24"/>
          <w:szCs w:val="24"/>
        </w:rPr>
        <w:t xml:space="preserve">market research </w:t>
      </w:r>
      <w:r w:rsidR="00A24B7D">
        <w:rPr>
          <w:sz w:val="24"/>
          <w:szCs w:val="24"/>
        </w:rPr>
        <w:t>firms</w:t>
      </w:r>
      <w:r w:rsidRPr="00E422CE">
        <w:rPr>
          <w:sz w:val="24"/>
          <w:szCs w:val="24"/>
        </w:rPr>
        <w:t xml:space="preserve"> have contacted individuals, they will assess their eligibility using a telephone screener (</w:t>
      </w:r>
      <w:r w:rsidR="00A64DD6">
        <w:rPr>
          <w:b/>
          <w:bCs/>
          <w:i/>
          <w:sz w:val="24"/>
          <w:szCs w:val="24"/>
        </w:rPr>
        <w:t>Attachment</w:t>
      </w:r>
      <w:r w:rsidRPr="00E422CE">
        <w:rPr>
          <w:b/>
          <w:bCs/>
          <w:i/>
          <w:sz w:val="24"/>
          <w:szCs w:val="24"/>
        </w:rPr>
        <w:t xml:space="preserve"> </w:t>
      </w:r>
      <w:r w:rsidR="009763A5">
        <w:rPr>
          <w:b/>
          <w:bCs/>
          <w:i/>
          <w:sz w:val="24"/>
          <w:szCs w:val="24"/>
        </w:rPr>
        <w:t>A</w:t>
      </w:r>
      <w:r w:rsidRPr="00E422CE">
        <w:rPr>
          <w:sz w:val="24"/>
          <w:szCs w:val="24"/>
        </w:rPr>
        <w:t xml:space="preserve">). If eligible, participants will be invited to participate in the </w:t>
      </w:r>
      <w:r w:rsidR="00370554">
        <w:rPr>
          <w:sz w:val="24"/>
          <w:szCs w:val="24"/>
        </w:rPr>
        <w:t>focus groups</w:t>
      </w:r>
      <w:r w:rsidRPr="00E422CE">
        <w:rPr>
          <w:sz w:val="24"/>
          <w:szCs w:val="24"/>
        </w:rPr>
        <w:t>.</w:t>
      </w:r>
      <w:r w:rsidR="00ED3744">
        <w:rPr>
          <w:sz w:val="24"/>
          <w:szCs w:val="24"/>
        </w:rPr>
        <w:t xml:space="preserve"> </w:t>
      </w:r>
      <w:r w:rsidRPr="00E422CE">
        <w:rPr>
          <w:sz w:val="24"/>
          <w:szCs w:val="24"/>
        </w:rPr>
        <w:t xml:space="preserve"> </w:t>
      </w:r>
    </w:p>
    <w:p w14:paraId="31BD73BD" w14:textId="77777777" w:rsidR="00E422CE" w:rsidRPr="00E422CE" w:rsidRDefault="00E422CE" w:rsidP="00E422CE">
      <w:pPr>
        <w:ind w:firstLine="360"/>
        <w:rPr>
          <w:sz w:val="24"/>
          <w:szCs w:val="24"/>
        </w:rPr>
      </w:pPr>
    </w:p>
    <w:p w14:paraId="25EAE272" w14:textId="65B8BD68" w:rsidR="00215FFA" w:rsidRDefault="006945E5">
      <w:pPr>
        <w:pStyle w:val="Default"/>
        <w:rPr>
          <w:b/>
          <w:bCs/>
        </w:rPr>
      </w:pPr>
      <w:r w:rsidRPr="00F12794">
        <w:rPr>
          <w:b/>
          <w:bCs/>
        </w:rPr>
        <w:t>Incentives</w:t>
      </w:r>
    </w:p>
    <w:p w14:paraId="2C7A2E14" w14:textId="5CC5482B" w:rsidR="00ED3744" w:rsidRPr="00ED3744" w:rsidRDefault="00E422CE" w:rsidP="00ED3744">
      <w:pPr>
        <w:spacing w:after="120" w:line="320" w:lineRule="exact"/>
        <w:ind w:firstLine="360"/>
        <w:rPr>
          <w:sz w:val="24"/>
          <w:szCs w:val="24"/>
        </w:rPr>
      </w:pPr>
      <w:r>
        <w:rPr>
          <w:sz w:val="24"/>
          <w:szCs w:val="24"/>
        </w:rPr>
        <w:t>RTI will provide e</w:t>
      </w:r>
      <w:r w:rsidR="00AD666E" w:rsidRPr="002A357E">
        <w:rPr>
          <w:sz w:val="24"/>
          <w:szCs w:val="24"/>
        </w:rPr>
        <w:t>ligible par</w:t>
      </w:r>
      <w:r w:rsidR="00AD666E">
        <w:rPr>
          <w:sz w:val="24"/>
          <w:szCs w:val="24"/>
        </w:rPr>
        <w:t xml:space="preserve">ticipants who </w:t>
      </w:r>
      <w:r>
        <w:rPr>
          <w:sz w:val="24"/>
          <w:szCs w:val="24"/>
        </w:rPr>
        <w:t>complete</w:t>
      </w:r>
      <w:r w:rsidR="00AD666E">
        <w:rPr>
          <w:sz w:val="24"/>
          <w:szCs w:val="24"/>
        </w:rPr>
        <w:t xml:space="preserve"> </w:t>
      </w:r>
      <w:r>
        <w:rPr>
          <w:sz w:val="24"/>
          <w:szCs w:val="24"/>
        </w:rPr>
        <w:t xml:space="preserve">the </w:t>
      </w:r>
      <w:r w:rsidR="00370554">
        <w:rPr>
          <w:sz w:val="24"/>
          <w:szCs w:val="24"/>
        </w:rPr>
        <w:t xml:space="preserve">focus groups </w:t>
      </w:r>
      <w:r>
        <w:rPr>
          <w:sz w:val="24"/>
          <w:szCs w:val="24"/>
        </w:rPr>
        <w:t>with a</w:t>
      </w:r>
      <w:r w:rsidR="00AD666E">
        <w:rPr>
          <w:sz w:val="24"/>
          <w:szCs w:val="24"/>
        </w:rPr>
        <w:t xml:space="preserve"> </w:t>
      </w:r>
      <w:r w:rsidR="00AD666E" w:rsidRPr="002A357E">
        <w:rPr>
          <w:sz w:val="24"/>
          <w:szCs w:val="24"/>
        </w:rPr>
        <w:t>$</w:t>
      </w:r>
      <w:r w:rsidR="00A24B7D">
        <w:rPr>
          <w:sz w:val="24"/>
          <w:szCs w:val="24"/>
        </w:rPr>
        <w:t xml:space="preserve">40 </w:t>
      </w:r>
      <w:r w:rsidR="00ED3744">
        <w:rPr>
          <w:sz w:val="24"/>
          <w:szCs w:val="24"/>
        </w:rPr>
        <w:t xml:space="preserve">token of appreciation </w:t>
      </w:r>
      <w:r w:rsidR="00AD666E">
        <w:rPr>
          <w:sz w:val="24"/>
          <w:szCs w:val="24"/>
        </w:rPr>
        <w:t>for their time</w:t>
      </w:r>
      <w:r w:rsidR="009763A5">
        <w:rPr>
          <w:sz w:val="24"/>
          <w:szCs w:val="24"/>
        </w:rPr>
        <w:t xml:space="preserve"> (see Table 2</w:t>
      </w:r>
      <w:r w:rsidR="00835F45">
        <w:rPr>
          <w:sz w:val="24"/>
          <w:szCs w:val="24"/>
        </w:rPr>
        <w:t>)</w:t>
      </w:r>
      <w:r w:rsidR="00AD666E">
        <w:rPr>
          <w:sz w:val="24"/>
          <w:szCs w:val="24"/>
        </w:rPr>
        <w:t>.</w:t>
      </w:r>
      <w:r>
        <w:rPr>
          <w:sz w:val="24"/>
          <w:szCs w:val="24"/>
        </w:rPr>
        <w:t xml:space="preserve"> </w:t>
      </w:r>
      <w:r w:rsidR="00ED3744" w:rsidRPr="00ED3744">
        <w:rPr>
          <w:sz w:val="24"/>
          <w:szCs w:val="24"/>
        </w:rPr>
        <w:t xml:space="preserve">The incentive amounts were identified based on (1) the level of involvement needed to participate in the </w:t>
      </w:r>
      <w:r w:rsidR="00A24B7D">
        <w:rPr>
          <w:sz w:val="24"/>
          <w:szCs w:val="24"/>
        </w:rPr>
        <w:t>60</w:t>
      </w:r>
      <w:r w:rsidR="00ED3744" w:rsidRPr="00ED3744">
        <w:rPr>
          <w:sz w:val="24"/>
          <w:szCs w:val="24"/>
        </w:rPr>
        <w:t>-minute focus group</w:t>
      </w:r>
      <w:r w:rsidR="00861DC2">
        <w:rPr>
          <w:sz w:val="24"/>
          <w:szCs w:val="24"/>
        </w:rPr>
        <w:t>;</w:t>
      </w:r>
      <w:r w:rsidR="00ED3744" w:rsidRPr="00ED3744">
        <w:rPr>
          <w:sz w:val="24"/>
          <w:szCs w:val="24"/>
        </w:rPr>
        <w:t xml:space="preserve"> (2) the sensitive nature of the discussion topics regarding personal health</w:t>
      </w:r>
      <w:r w:rsidR="00861DC2">
        <w:rPr>
          <w:sz w:val="24"/>
          <w:szCs w:val="24"/>
        </w:rPr>
        <w:t>;</w:t>
      </w:r>
      <w:r w:rsidR="00ED3744" w:rsidRPr="00ED3744">
        <w:rPr>
          <w:sz w:val="24"/>
          <w:szCs w:val="24"/>
        </w:rPr>
        <w:t xml:space="preserve"> </w:t>
      </w:r>
      <w:r w:rsidR="00861DC2">
        <w:rPr>
          <w:sz w:val="24"/>
          <w:szCs w:val="24"/>
        </w:rPr>
        <w:t xml:space="preserve">and </w:t>
      </w:r>
      <w:r w:rsidR="00ED3744" w:rsidRPr="00ED3744">
        <w:rPr>
          <w:sz w:val="24"/>
          <w:szCs w:val="24"/>
        </w:rPr>
        <w:t>(3) the potential recruiting difficulties with identifying potential respondents who fit the inclusion criteria and are willing to s</w:t>
      </w:r>
      <w:r w:rsidR="00861DC2">
        <w:rPr>
          <w:sz w:val="24"/>
          <w:szCs w:val="24"/>
        </w:rPr>
        <w:t>hare their personal experiences</w:t>
      </w:r>
      <w:r w:rsidR="00ED3744" w:rsidRPr="00ED3744">
        <w:rPr>
          <w:sz w:val="24"/>
          <w:szCs w:val="24"/>
        </w:rPr>
        <w:t xml:space="preserve">. The proposed amount will be provided to participants for their entire burden time, which includes screening time, obtaining informed consent, and participating in the </w:t>
      </w:r>
      <w:r w:rsidR="00A24B7D">
        <w:rPr>
          <w:sz w:val="24"/>
          <w:szCs w:val="24"/>
        </w:rPr>
        <w:t>60</w:t>
      </w:r>
      <w:r w:rsidR="00ED3744" w:rsidRPr="00ED3744">
        <w:rPr>
          <w:sz w:val="24"/>
          <w:szCs w:val="24"/>
        </w:rPr>
        <w:t>-minute focus group session.</w:t>
      </w:r>
      <w:r w:rsidR="00ED3744">
        <w:rPr>
          <w:sz w:val="24"/>
          <w:szCs w:val="24"/>
        </w:rPr>
        <w:t xml:space="preserve">  </w:t>
      </w:r>
      <w:r w:rsidR="00ED3744" w:rsidRPr="00ED3744">
        <w:rPr>
          <w:sz w:val="24"/>
          <w:szCs w:val="24"/>
        </w:rPr>
        <w:t xml:space="preserve">In the context of this </w:t>
      </w:r>
      <w:r w:rsidR="00ED3744">
        <w:rPr>
          <w:sz w:val="24"/>
          <w:szCs w:val="24"/>
        </w:rPr>
        <w:t>project</w:t>
      </w:r>
      <w:r w:rsidR="00ED3744" w:rsidRPr="00ED3744">
        <w:rPr>
          <w:sz w:val="24"/>
          <w:szCs w:val="24"/>
        </w:rPr>
        <w:t xml:space="preserve">, the target population is considered a harder-to-recruit population </w:t>
      </w:r>
      <w:r w:rsidR="00D1431A">
        <w:rPr>
          <w:sz w:val="24"/>
          <w:szCs w:val="24"/>
        </w:rPr>
        <w:t xml:space="preserve">than the general public </w:t>
      </w:r>
      <w:r w:rsidR="00ED3744" w:rsidRPr="00ED3744">
        <w:rPr>
          <w:sz w:val="24"/>
          <w:szCs w:val="24"/>
        </w:rPr>
        <w:t xml:space="preserve">because of the screening criteria (i.e., </w:t>
      </w:r>
      <w:r w:rsidR="00861DC2">
        <w:rPr>
          <w:sz w:val="24"/>
          <w:szCs w:val="24"/>
        </w:rPr>
        <w:lastRenderedPageBreak/>
        <w:t>medically diagnosed with asthma, COPD, or heart failure</w:t>
      </w:r>
      <w:r w:rsidR="00ED3744" w:rsidRPr="00ED3744">
        <w:rPr>
          <w:sz w:val="24"/>
          <w:szCs w:val="24"/>
        </w:rPr>
        <w:t xml:space="preserve">) and </w:t>
      </w:r>
      <w:r w:rsidR="00861DC2">
        <w:rPr>
          <w:sz w:val="24"/>
          <w:szCs w:val="24"/>
        </w:rPr>
        <w:t xml:space="preserve">the </w:t>
      </w:r>
      <w:r w:rsidR="00ED3744" w:rsidRPr="00ED3744">
        <w:rPr>
          <w:sz w:val="24"/>
          <w:szCs w:val="24"/>
        </w:rPr>
        <w:t>absence of an existing research panel from where potential participants could be recruited.</w:t>
      </w:r>
    </w:p>
    <w:p w14:paraId="2D1838FA" w14:textId="4037C81F" w:rsidR="00C77AF4" w:rsidRPr="00C77AF4" w:rsidRDefault="00E422CE" w:rsidP="00316C50">
      <w:pPr>
        <w:spacing w:after="120" w:line="320" w:lineRule="exact"/>
        <w:ind w:firstLine="360"/>
        <w:rPr>
          <w:sz w:val="24"/>
          <w:szCs w:val="24"/>
        </w:rPr>
      </w:pPr>
      <w:r>
        <w:rPr>
          <w:sz w:val="24"/>
          <w:szCs w:val="24"/>
        </w:rPr>
        <w:t>This incentive amount will be consistent across all three cities.</w:t>
      </w:r>
      <w:r w:rsidR="00AD666E">
        <w:rPr>
          <w:sz w:val="24"/>
          <w:szCs w:val="24"/>
        </w:rPr>
        <w:t xml:space="preserve"> </w:t>
      </w:r>
      <w:r w:rsidR="00316C50">
        <w:rPr>
          <w:sz w:val="24"/>
          <w:szCs w:val="24"/>
        </w:rPr>
        <w:t xml:space="preserve">We will provide </w:t>
      </w:r>
      <w:r w:rsidR="00ED3744">
        <w:rPr>
          <w:sz w:val="24"/>
          <w:szCs w:val="24"/>
        </w:rPr>
        <w:t>the token of appreciation</w:t>
      </w:r>
      <w:r w:rsidR="00316C50">
        <w:rPr>
          <w:sz w:val="24"/>
          <w:szCs w:val="24"/>
        </w:rPr>
        <w:t xml:space="preserve"> directly to participants at the conclusion of each </w:t>
      </w:r>
      <w:r w:rsidR="00BF6E14">
        <w:rPr>
          <w:sz w:val="24"/>
          <w:szCs w:val="24"/>
        </w:rPr>
        <w:t>focus group</w:t>
      </w:r>
      <w:r w:rsidR="00316C50">
        <w:rPr>
          <w:sz w:val="24"/>
          <w:szCs w:val="24"/>
        </w:rPr>
        <w:t>.</w:t>
      </w:r>
    </w:p>
    <w:p w14:paraId="154E8B5E" w14:textId="3EC73A7B" w:rsidR="00C77AF4" w:rsidRPr="00E422CE" w:rsidRDefault="00C77AF4" w:rsidP="00E422CE">
      <w:pPr>
        <w:spacing w:line="276" w:lineRule="auto"/>
        <w:rPr>
          <w:b/>
          <w:i/>
          <w:sz w:val="24"/>
          <w:szCs w:val="24"/>
        </w:rPr>
      </w:pPr>
      <w:r w:rsidRPr="00E422CE">
        <w:rPr>
          <w:b/>
          <w:i/>
          <w:sz w:val="24"/>
          <w:szCs w:val="24"/>
        </w:rPr>
        <w:t xml:space="preserve">Table 2. Recommended </w:t>
      </w:r>
      <w:r w:rsidR="002E3CE3">
        <w:rPr>
          <w:b/>
          <w:i/>
          <w:sz w:val="24"/>
          <w:szCs w:val="24"/>
        </w:rPr>
        <w:t>Incentive Amounts</w:t>
      </w:r>
    </w:p>
    <w:tbl>
      <w:tblPr>
        <w:tblStyle w:val="TableGrid"/>
        <w:tblW w:w="0" w:type="auto"/>
        <w:tblInd w:w="-5" w:type="dxa"/>
        <w:tblLook w:val="04A0" w:firstRow="1" w:lastRow="0" w:firstColumn="1" w:lastColumn="0" w:noHBand="0" w:noVBand="1"/>
      </w:tblPr>
      <w:tblGrid>
        <w:gridCol w:w="2250"/>
        <w:gridCol w:w="2700"/>
      </w:tblGrid>
      <w:tr w:rsidR="00C77AF4" w:rsidRPr="00C77AF4" w14:paraId="1A370FA0" w14:textId="040B8600" w:rsidTr="002E3CE3">
        <w:tc>
          <w:tcPr>
            <w:tcW w:w="2250" w:type="dxa"/>
            <w:shd w:val="clear" w:color="auto" w:fill="auto"/>
            <w:vAlign w:val="center"/>
          </w:tcPr>
          <w:p w14:paraId="01453FA3" w14:textId="40A335E5" w:rsidR="00C77AF4" w:rsidRPr="00E422CE" w:rsidRDefault="00E422CE" w:rsidP="007D5B3D">
            <w:pPr>
              <w:spacing w:line="276" w:lineRule="auto"/>
              <w:jc w:val="center"/>
              <w:rPr>
                <w:b/>
                <w:color w:val="auto"/>
                <w:sz w:val="24"/>
                <w:szCs w:val="24"/>
              </w:rPr>
            </w:pPr>
            <w:r>
              <w:rPr>
                <w:b/>
                <w:color w:val="auto"/>
                <w:sz w:val="24"/>
                <w:szCs w:val="24"/>
              </w:rPr>
              <w:t>LOCATION</w:t>
            </w:r>
          </w:p>
        </w:tc>
        <w:tc>
          <w:tcPr>
            <w:tcW w:w="2700" w:type="dxa"/>
            <w:shd w:val="clear" w:color="auto" w:fill="auto"/>
            <w:vAlign w:val="center"/>
          </w:tcPr>
          <w:p w14:paraId="58A70351" w14:textId="448D83F1" w:rsidR="00C77AF4" w:rsidRPr="00E422CE" w:rsidRDefault="002E3CE3" w:rsidP="007D5B3D">
            <w:pPr>
              <w:spacing w:line="276" w:lineRule="auto"/>
              <w:jc w:val="center"/>
              <w:rPr>
                <w:b/>
                <w:color w:val="auto"/>
                <w:sz w:val="24"/>
                <w:szCs w:val="24"/>
              </w:rPr>
            </w:pPr>
            <w:r>
              <w:rPr>
                <w:b/>
                <w:sz w:val="24"/>
                <w:szCs w:val="24"/>
              </w:rPr>
              <w:t>INCENTIVE</w:t>
            </w:r>
          </w:p>
        </w:tc>
      </w:tr>
      <w:tr w:rsidR="00C77AF4" w:rsidRPr="00C77AF4" w14:paraId="60BB9DA0" w14:textId="17DAF210" w:rsidTr="002E3CE3">
        <w:trPr>
          <w:trHeight w:val="288"/>
        </w:trPr>
        <w:tc>
          <w:tcPr>
            <w:tcW w:w="2250" w:type="dxa"/>
            <w:shd w:val="clear" w:color="auto" w:fill="auto"/>
            <w:vAlign w:val="center"/>
          </w:tcPr>
          <w:p w14:paraId="4D5F19DB" w14:textId="7CD4D9A2" w:rsidR="00C77AF4" w:rsidRPr="00C77AF4" w:rsidRDefault="002E3CE3" w:rsidP="007D5B3D">
            <w:pPr>
              <w:spacing w:line="276" w:lineRule="auto"/>
              <w:rPr>
                <w:sz w:val="24"/>
                <w:szCs w:val="24"/>
              </w:rPr>
            </w:pPr>
            <w:r>
              <w:rPr>
                <w:sz w:val="24"/>
                <w:szCs w:val="24"/>
              </w:rPr>
              <w:t>Atlanta, GA</w:t>
            </w:r>
          </w:p>
        </w:tc>
        <w:tc>
          <w:tcPr>
            <w:tcW w:w="2700" w:type="dxa"/>
            <w:shd w:val="clear" w:color="auto" w:fill="auto"/>
            <w:vAlign w:val="center"/>
          </w:tcPr>
          <w:p w14:paraId="546FD141" w14:textId="60CB9027" w:rsidR="00C77AF4" w:rsidRPr="00C77AF4" w:rsidRDefault="00BE4F33" w:rsidP="007D5B3D">
            <w:pPr>
              <w:spacing w:line="276" w:lineRule="auto"/>
              <w:jc w:val="center"/>
              <w:rPr>
                <w:sz w:val="24"/>
                <w:szCs w:val="24"/>
              </w:rPr>
            </w:pPr>
            <w:r>
              <w:rPr>
                <w:sz w:val="24"/>
                <w:szCs w:val="24"/>
              </w:rPr>
              <w:t>$40</w:t>
            </w:r>
          </w:p>
        </w:tc>
      </w:tr>
      <w:tr w:rsidR="00C77AF4" w:rsidRPr="00C77AF4" w14:paraId="2916B5FF" w14:textId="5E72AD2A" w:rsidTr="002E3CE3">
        <w:trPr>
          <w:trHeight w:val="288"/>
        </w:trPr>
        <w:tc>
          <w:tcPr>
            <w:tcW w:w="2250" w:type="dxa"/>
            <w:shd w:val="clear" w:color="auto" w:fill="auto"/>
            <w:vAlign w:val="center"/>
          </w:tcPr>
          <w:p w14:paraId="189AFC5D" w14:textId="1EF81039" w:rsidR="00C77AF4" w:rsidRPr="00C77AF4" w:rsidRDefault="002E3CE3" w:rsidP="007D5B3D">
            <w:pPr>
              <w:spacing w:line="276" w:lineRule="auto"/>
              <w:rPr>
                <w:sz w:val="24"/>
                <w:szCs w:val="24"/>
              </w:rPr>
            </w:pPr>
            <w:r>
              <w:rPr>
                <w:sz w:val="24"/>
                <w:szCs w:val="24"/>
              </w:rPr>
              <w:t>Detroit, MI</w:t>
            </w:r>
          </w:p>
        </w:tc>
        <w:tc>
          <w:tcPr>
            <w:tcW w:w="2700" w:type="dxa"/>
            <w:shd w:val="clear" w:color="auto" w:fill="auto"/>
            <w:vAlign w:val="center"/>
          </w:tcPr>
          <w:p w14:paraId="0CD02B38" w14:textId="47BCB86D" w:rsidR="00C77AF4" w:rsidRPr="00C77AF4" w:rsidRDefault="00BE4F33" w:rsidP="007D5B3D">
            <w:pPr>
              <w:spacing w:line="276" w:lineRule="auto"/>
              <w:jc w:val="center"/>
              <w:rPr>
                <w:sz w:val="24"/>
                <w:szCs w:val="24"/>
              </w:rPr>
            </w:pPr>
            <w:r>
              <w:rPr>
                <w:sz w:val="24"/>
                <w:szCs w:val="24"/>
              </w:rPr>
              <w:t>$40</w:t>
            </w:r>
          </w:p>
        </w:tc>
      </w:tr>
      <w:tr w:rsidR="00C77AF4" w:rsidRPr="00C77AF4" w14:paraId="45416B79" w14:textId="6C8D24FB" w:rsidTr="002E3CE3">
        <w:trPr>
          <w:trHeight w:val="288"/>
        </w:trPr>
        <w:tc>
          <w:tcPr>
            <w:tcW w:w="2250" w:type="dxa"/>
            <w:shd w:val="clear" w:color="auto" w:fill="auto"/>
            <w:vAlign w:val="center"/>
          </w:tcPr>
          <w:p w14:paraId="6750C962" w14:textId="2D993E78" w:rsidR="00C77AF4" w:rsidRPr="00C77AF4" w:rsidRDefault="002E3CE3" w:rsidP="007D5B3D">
            <w:pPr>
              <w:spacing w:line="276" w:lineRule="auto"/>
              <w:rPr>
                <w:sz w:val="24"/>
                <w:szCs w:val="24"/>
              </w:rPr>
            </w:pPr>
            <w:r>
              <w:rPr>
                <w:sz w:val="24"/>
                <w:szCs w:val="24"/>
              </w:rPr>
              <w:t>Denver, CO</w:t>
            </w:r>
          </w:p>
        </w:tc>
        <w:tc>
          <w:tcPr>
            <w:tcW w:w="2700" w:type="dxa"/>
            <w:shd w:val="clear" w:color="auto" w:fill="auto"/>
            <w:vAlign w:val="center"/>
          </w:tcPr>
          <w:p w14:paraId="214A94F6" w14:textId="4FBD58B4" w:rsidR="00C77AF4" w:rsidRPr="00C77AF4" w:rsidRDefault="00BE4F33" w:rsidP="007D5B3D">
            <w:pPr>
              <w:spacing w:line="276" w:lineRule="auto"/>
              <w:jc w:val="center"/>
              <w:rPr>
                <w:sz w:val="24"/>
                <w:szCs w:val="24"/>
              </w:rPr>
            </w:pPr>
            <w:r>
              <w:rPr>
                <w:sz w:val="24"/>
                <w:szCs w:val="24"/>
              </w:rPr>
              <w:t>$40</w:t>
            </w:r>
          </w:p>
        </w:tc>
      </w:tr>
    </w:tbl>
    <w:p w14:paraId="0DFC8D74" w14:textId="77777777" w:rsidR="00C77AF4" w:rsidRDefault="00C77AF4" w:rsidP="00AD666E">
      <w:pPr>
        <w:rPr>
          <w:sz w:val="24"/>
          <w:szCs w:val="24"/>
        </w:rPr>
      </w:pPr>
    </w:p>
    <w:p w14:paraId="0A983DDF" w14:textId="1337C1CC" w:rsidR="00015AED" w:rsidRPr="00ED3744" w:rsidRDefault="00015AED" w:rsidP="00ED3744">
      <w:pPr>
        <w:spacing w:after="120" w:line="320" w:lineRule="exact"/>
        <w:ind w:firstLine="360"/>
        <w:rPr>
          <w:sz w:val="24"/>
          <w:szCs w:val="24"/>
        </w:rPr>
      </w:pPr>
      <w:r>
        <w:rPr>
          <w:rFonts w:eastAsia="Arial Unicode MS"/>
          <w:sz w:val="24"/>
          <w:szCs w:val="24"/>
        </w:rPr>
        <w:t>Because</w:t>
      </w:r>
      <w:r w:rsidR="007D7A4B" w:rsidRPr="007D7A4B">
        <w:rPr>
          <w:rFonts w:eastAsia="Arial Unicode MS"/>
          <w:sz w:val="24"/>
          <w:szCs w:val="24"/>
        </w:rPr>
        <w:t xml:space="preserve"> participants often have competing demands for their time, incentives are </w:t>
      </w:r>
      <w:r>
        <w:rPr>
          <w:rFonts w:eastAsia="Arial Unicode MS"/>
          <w:sz w:val="24"/>
          <w:szCs w:val="24"/>
        </w:rPr>
        <w:t>an effective strategy for encouraging</w:t>
      </w:r>
      <w:r w:rsidR="007D7A4B" w:rsidRPr="007D7A4B">
        <w:rPr>
          <w:rFonts w:eastAsia="Arial Unicode MS"/>
          <w:sz w:val="24"/>
          <w:szCs w:val="24"/>
        </w:rPr>
        <w:t xml:space="preserve"> participation in </w:t>
      </w:r>
      <w:r w:rsidR="006B1AE0">
        <w:rPr>
          <w:rFonts w:eastAsia="Arial Unicode MS"/>
          <w:sz w:val="24"/>
          <w:szCs w:val="24"/>
        </w:rPr>
        <w:t>projects</w:t>
      </w:r>
      <w:r w:rsidR="007D7A4B" w:rsidRPr="007D7A4B">
        <w:rPr>
          <w:rFonts w:eastAsia="Arial Unicode MS"/>
          <w:sz w:val="24"/>
          <w:szCs w:val="24"/>
        </w:rPr>
        <w:t xml:space="preserve">. When reasonable </w:t>
      </w:r>
      <w:r>
        <w:rPr>
          <w:rFonts w:eastAsia="Arial Unicode MS"/>
          <w:sz w:val="24"/>
          <w:szCs w:val="24"/>
        </w:rPr>
        <w:t>in amount</w:t>
      </w:r>
      <w:r w:rsidR="007D7A4B" w:rsidRPr="007D7A4B">
        <w:rPr>
          <w:rFonts w:eastAsia="Arial Unicode MS"/>
          <w:sz w:val="24"/>
          <w:szCs w:val="24"/>
        </w:rPr>
        <w:t>, incentives treat participants with respect</w:t>
      </w:r>
      <w:r w:rsidR="00316C50">
        <w:rPr>
          <w:rFonts w:eastAsia="Arial Unicode MS"/>
          <w:sz w:val="24"/>
          <w:szCs w:val="24"/>
        </w:rPr>
        <w:t>,</w:t>
      </w:r>
      <w:r w:rsidR="007D7A4B" w:rsidRPr="007D7A4B">
        <w:rPr>
          <w:rFonts w:eastAsia="Arial Unicode MS"/>
          <w:sz w:val="24"/>
          <w:szCs w:val="24"/>
        </w:rPr>
        <w:t xml:space="preserve"> and </w:t>
      </w:r>
      <w:r w:rsidR="00316C50">
        <w:rPr>
          <w:rFonts w:eastAsia="Arial Unicode MS"/>
          <w:sz w:val="24"/>
          <w:szCs w:val="24"/>
        </w:rPr>
        <w:t xml:space="preserve">they </w:t>
      </w:r>
      <w:r>
        <w:rPr>
          <w:rFonts w:eastAsia="Arial Unicode MS"/>
          <w:sz w:val="24"/>
          <w:szCs w:val="24"/>
        </w:rPr>
        <w:t>recognize and acknowledge the time and effort individuals</w:t>
      </w:r>
      <w:r w:rsidR="007D7A4B" w:rsidRPr="00823786">
        <w:rPr>
          <w:rFonts w:eastAsia="Arial Unicode MS"/>
          <w:sz w:val="24"/>
          <w:szCs w:val="24"/>
        </w:rPr>
        <w:t xml:space="preserve"> expend to participate</w:t>
      </w:r>
      <w:r>
        <w:rPr>
          <w:rFonts w:eastAsia="Arial Unicode MS"/>
          <w:sz w:val="24"/>
          <w:szCs w:val="24"/>
        </w:rPr>
        <w:t xml:space="preserve"> in the research</w:t>
      </w:r>
      <w:r w:rsidR="007D7A4B" w:rsidRPr="00823786">
        <w:rPr>
          <w:rFonts w:eastAsia="Arial Unicode MS"/>
          <w:sz w:val="24"/>
          <w:szCs w:val="24"/>
        </w:rPr>
        <w:t>.</w:t>
      </w:r>
      <w:r w:rsidR="00823786" w:rsidRPr="00823786">
        <w:rPr>
          <w:rFonts w:eastAsia="Arial Unicode MS"/>
          <w:sz w:val="24"/>
          <w:szCs w:val="24"/>
        </w:rPr>
        <w:t xml:space="preserve"> </w:t>
      </w:r>
      <w:r>
        <w:rPr>
          <w:sz w:val="24"/>
          <w:szCs w:val="24"/>
        </w:rPr>
        <w:t>Evidence suggests that</w:t>
      </w:r>
      <w:r w:rsidR="00E32E48" w:rsidRPr="00823786">
        <w:rPr>
          <w:sz w:val="24"/>
          <w:szCs w:val="24"/>
        </w:rPr>
        <w:t xml:space="preserve"> providing incentives reduces the likelihood of no-shows</w:t>
      </w:r>
      <w:r>
        <w:rPr>
          <w:sz w:val="24"/>
          <w:szCs w:val="24"/>
        </w:rPr>
        <w:t>,</w:t>
      </w:r>
      <w:r w:rsidR="00E32E48" w:rsidRPr="00823786">
        <w:rPr>
          <w:sz w:val="24"/>
          <w:szCs w:val="24"/>
        </w:rPr>
        <w:t xml:space="preserve"> </w:t>
      </w:r>
      <w:r>
        <w:rPr>
          <w:sz w:val="24"/>
          <w:szCs w:val="24"/>
        </w:rPr>
        <w:t>decreases</w:t>
      </w:r>
      <w:r w:rsidR="00E32E48" w:rsidRPr="00823786">
        <w:rPr>
          <w:sz w:val="24"/>
          <w:szCs w:val="24"/>
        </w:rPr>
        <w:t xml:space="preserve"> recruiting efforts and costs</w:t>
      </w:r>
      <w:r>
        <w:rPr>
          <w:sz w:val="24"/>
          <w:szCs w:val="24"/>
        </w:rPr>
        <w:t xml:space="preserve">, and improves data quality by ensuring that participants reflect a diverse cross-section of </w:t>
      </w:r>
      <w:r w:rsidRPr="00F07452">
        <w:rPr>
          <w:sz w:val="24"/>
          <w:szCs w:val="24"/>
        </w:rPr>
        <w:t>the study population (</w:t>
      </w:r>
      <w:r w:rsidR="00F07452" w:rsidRPr="00F07452">
        <w:rPr>
          <w:rFonts w:cstheme="minorHAnsi"/>
          <w:sz w:val="24"/>
          <w:szCs w:val="24"/>
        </w:rPr>
        <w:t>Castiglioni &amp; Pforr, 2007; Groves et al., 2006; Guyll et al., 2003; Singer, 2006</w:t>
      </w:r>
      <w:r w:rsidRPr="00F07452">
        <w:rPr>
          <w:sz w:val="24"/>
          <w:szCs w:val="24"/>
        </w:rPr>
        <w:t>).</w:t>
      </w:r>
      <w:r w:rsidR="00ED3744">
        <w:rPr>
          <w:sz w:val="24"/>
          <w:szCs w:val="24"/>
        </w:rPr>
        <w:t xml:space="preserve">  </w:t>
      </w:r>
      <w:r w:rsidR="00ED3744" w:rsidRPr="00ED3744">
        <w:rPr>
          <w:sz w:val="24"/>
          <w:szCs w:val="24"/>
        </w:rPr>
        <w:t>In this particular information collection, we will be asking respondents to share personal experiences and perspectives as well as provide thought-intensive, open-ended responses that require a high level of participation.</w:t>
      </w:r>
    </w:p>
    <w:p w14:paraId="4EDF789C" w14:textId="67F9249C" w:rsidR="00E32E48" w:rsidRPr="00823786" w:rsidRDefault="00183401" w:rsidP="00F07452">
      <w:pPr>
        <w:spacing w:after="120" w:line="320" w:lineRule="exact"/>
        <w:ind w:firstLine="360"/>
        <w:rPr>
          <w:sz w:val="24"/>
          <w:szCs w:val="24"/>
        </w:rPr>
      </w:pPr>
      <w:r>
        <w:rPr>
          <w:sz w:val="24"/>
          <w:szCs w:val="24"/>
        </w:rPr>
        <w:t>To be effective, i</w:t>
      </w:r>
      <w:r w:rsidR="00E32E48" w:rsidRPr="00823786">
        <w:rPr>
          <w:sz w:val="24"/>
          <w:szCs w:val="24"/>
        </w:rPr>
        <w:t>ncentive</w:t>
      </w:r>
      <w:r w:rsidR="00316C50">
        <w:rPr>
          <w:sz w:val="24"/>
          <w:szCs w:val="24"/>
        </w:rPr>
        <w:t xml:space="preserve"> amount</w:t>
      </w:r>
      <w:r w:rsidR="00E32E48" w:rsidRPr="00823786">
        <w:rPr>
          <w:sz w:val="24"/>
          <w:szCs w:val="24"/>
        </w:rPr>
        <w:t xml:space="preserve">s must be high enough to equalize the burden on </w:t>
      </w:r>
      <w:r>
        <w:rPr>
          <w:sz w:val="24"/>
          <w:szCs w:val="24"/>
        </w:rPr>
        <w:t>participants (e.g., time, travel costs)</w:t>
      </w:r>
      <w:r w:rsidR="00E32E48" w:rsidRPr="00823786">
        <w:rPr>
          <w:sz w:val="24"/>
          <w:szCs w:val="24"/>
        </w:rPr>
        <w:t xml:space="preserve"> as well as </w:t>
      </w:r>
      <w:r>
        <w:rPr>
          <w:sz w:val="24"/>
          <w:szCs w:val="24"/>
        </w:rPr>
        <w:t>motivate them</w:t>
      </w:r>
      <w:r w:rsidR="00E32E48" w:rsidRPr="00823786">
        <w:rPr>
          <w:sz w:val="24"/>
          <w:szCs w:val="24"/>
        </w:rPr>
        <w:t xml:space="preserve"> to participate in the study rather than another activity (Russell, 2000). If the incentive</w:t>
      </w:r>
      <w:r>
        <w:rPr>
          <w:sz w:val="24"/>
          <w:szCs w:val="24"/>
        </w:rPr>
        <w:t xml:space="preserve"> amount</w:t>
      </w:r>
      <w:r w:rsidR="00E32E48" w:rsidRPr="00823786">
        <w:rPr>
          <w:sz w:val="24"/>
          <w:szCs w:val="24"/>
        </w:rPr>
        <w:t xml:space="preserve"> is </w:t>
      </w:r>
      <w:r>
        <w:rPr>
          <w:sz w:val="24"/>
          <w:szCs w:val="24"/>
        </w:rPr>
        <w:t>too low</w:t>
      </w:r>
      <w:r w:rsidR="00E32E48" w:rsidRPr="00823786">
        <w:rPr>
          <w:sz w:val="24"/>
          <w:szCs w:val="24"/>
        </w:rPr>
        <w:t xml:space="preserve">, </w:t>
      </w:r>
      <w:r>
        <w:rPr>
          <w:sz w:val="24"/>
          <w:szCs w:val="24"/>
        </w:rPr>
        <w:t>individuals</w:t>
      </w:r>
      <w:r w:rsidR="00E32E48" w:rsidRPr="00823786">
        <w:rPr>
          <w:sz w:val="24"/>
          <w:szCs w:val="24"/>
        </w:rPr>
        <w:t xml:space="preserve"> may agree to participate </w:t>
      </w:r>
      <w:r>
        <w:rPr>
          <w:sz w:val="24"/>
          <w:szCs w:val="24"/>
        </w:rPr>
        <w:t>but</w:t>
      </w:r>
      <w:r w:rsidR="00E32E48" w:rsidRPr="00823786">
        <w:rPr>
          <w:sz w:val="24"/>
          <w:szCs w:val="24"/>
        </w:rPr>
        <w:t xml:space="preserve"> </w:t>
      </w:r>
      <w:r>
        <w:rPr>
          <w:sz w:val="24"/>
          <w:szCs w:val="24"/>
        </w:rPr>
        <w:t xml:space="preserve">ultimately </w:t>
      </w:r>
      <w:r w:rsidR="00E32E48" w:rsidRPr="00823786">
        <w:rPr>
          <w:sz w:val="24"/>
          <w:szCs w:val="24"/>
        </w:rPr>
        <w:t xml:space="preserve">not show up or </w:t>
      </w:r>
      <w:r>
        <w:rPr>
          <w:sz w:val="24"/>
          <w:szCs w:val="24"/>
        </w:rPr>
        <w:t>cancel</w:t>
      </w:r>
      <w:r w:rsidR="00E32E48" w:rsidRPr="00823786">
        <w:rPr>
          <w:sz w:val="24"/>
          <w:szCs w:val="24"/>
        </w:rPr>
        <w:t xml:space="preserve">. </w:t>
      </w:r>
      <w:r>
        <w:rPr>
          <w:sz w:val="24"/>
          <w:szCs w:val="24"/>
        </w:rPr>
        <w:t>An insufficient number of participants</w:t>
      </w:r>
      <w:r w:rsidR="00E32E48" w:rsidRPr="00823786">
        <w:rPr>
          <w:sz w:val="24"/>
          <w:szCs w:val="24"/>
        </w:rPr>
        <w:t xml:space="preserve"> may result in </w:t>
      </w:r>
      <w:r>
        <w:rPr>
          <w:sz w:val="24"/>
          <w:szCs w:val="24"/>
        </w:rPr>
        <w:t>poor data quality</w:t>
      </w:r>
      <w:r w:rsidR="00E32E48" w:rsidRPr="00823786">
        <w:rPr>
          <w:sz w:val="24"/>
          <w:szCs w:val="24"/>
        </w:rPr>
        <w:t xml:space="preserve"> or</w:t>
      </w:r>
      <w:r>
        <w:rPr>
          <w:sz w:val="24"/>
          <w:szCs w:val="24"/>
        </w:rPr>
        <w:t xml:space="preserve"> </w:t>
      </w:r>
      <w:r w:rsidR="00E32E48" w:rsidRPr="00823786">
        <w:rPr>
          <w:sz w:val="24"/>
          <w:szCs w:val="24"/>
        </w:rPr>
        <w:t>loss of government funds associated with recruitment, facility fees, and moderator and observer time (Morgan, 1998). Incentives</w:t>
      </w:r>
      <w:r w:rsidR="00DD5B55">
        <w:rPr>
          <w:sz w:val="24"/>
          <w:szCs w:val="24"/>
        </w:rPr>
        <w:t xml:space="preserve"> also</w:t>
      </w:r>
      <w:r w:rsidR="00E32E48" w:rsidRPr="00823786">
        <w:rPr>
          <w:sz w:val="24"/>
          <w:szCs w:val="24"/>
        </w:rPr>
        <w:t xml:space="preserve"> are necessary to ensure adeq</w:t>
      </w:r>
      <w:r w:rsidR="00DD5B55">
        <w:rPr>
          <w:sz w:val="24"/>
          <w:szCs w:val="24"/>
        </w:rPr>
        <w:t>uate representation among hard</w:t>
      </w:r>
      <w:r w:rsidR="00E32E48" w:rsidRPr="00823786">
        <w:rPr>
          <w:sz w:val="24"/>
          <w:szCs w:val="24"/>
        </w:rPr>
        <w:t>-to-rec</w:t>
      </w:r>
      <w:r w:rsidR="00316C50">
        <w:rPr>
          <w:sz w:val="24"/>
          <w:szCs w:val="24"/>
        </w:rPr>
        <w:t>ruit populations</w:t>
      </w:r>
      <w:r w:rsidR="00DD5B55">
        <w:rPr>
          <w:sz w:val="24"/>
          <w:szCs w:val="24"/>
        </w:rPr>
        <w:t>, such as adults with serious health conditions (</w:t>
      </w:r>
      <w:r w:rsidR="00F07452" w:rsidRPr="00F07452">
        <w:rPr>
          <w:rFonts w:cstheme="minorHAnsi"/>
          <w:sz w:val="24"/>
          <w:szCs w:val="24"/>
        </w:rPr>
        <w:t>Guyll et al., 2003</w:t>
      </w:r>
      <w:r w:rsidR="00DD5B55">
        <w:rPr>
          <w:sz w:val="24"/>
          <w:szCs w:val="24"/>
        </w:rPr>
        <w:t>).</w:t>
      </w:r>
    </w:p>
    <w:p w14:paraId="0821361A" w14:textId="7DB4FFE3" w:rsidR="00823786" w:rsidRDefault="00823786">
      <w:pPr>
        <w:rPr>
          <w:rFonts w:eastAsia="Arial Unicode MS"/>
        </w:rPr>
      </w:pPr>
    </w:p>
    <w:p w14:paraId="5B171CD2" w14:textId="77777777" w:rsidR="00215FFA" w:rsidRPr="00F12794" w:rsidRDefault="007200C7">
      <w:pPr>
        <w:rPr>
          <w:b/>
          <w:bCs/>
          <w:sz w:val="24"/>
          <w:szCs w:val="24"/>
        </w:rPr>
      </w:pPr>
      <w:r w:rsidRPr="00F12794">
        <w:rPr>
          <w:b/>
          <w:bCs/>
          <w:sz w:val="24"/>
          <w:szCs w:val="24"/>
        </w:rPr>
        <w:t>Assurance of Privacy Provided to Participants</w:t>
      </w:r>
      <w:r w:rsidR="006945E5" w:rsidRPr="00F12794">
        <w:rPr>
          <w:b/>
          <w:bCs/>
          <w:sz w:val="24"/>
          <w:szCs w:val="24"/>
        </w:rPr>
        <w:t xml:space="preserve"> </w:t>
      </w:r>
    </w:p>
    <w:p w14:paraId="27C20ACC" w14:textId="71FE533A" w:rsidR="00BE7A42" w:rsidRPr="00BE7A42" w:rsidRDefault="00BE7A42" w:rsidP="00BE7A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ind w:firstLine="360"/>
        <w:rPr>
          <w:sz w:val="24"/>
          <w:szCs w:val="24"/>
        </w:rPr>
      </w:pPr>
      <w:r w:rsidRPr="00BE7A42">
        <w:rPr>
          <w:sz w:val="24"/>
          <w:szCs w:val="24"/>
        </w:rPr>
        <w:t xml:space="preserve">At the beginning of each </w:t>
      </w:r>
      <w:r w:rsidR="00370554">
        <w:rPr>
          <w:sz w:val="24"/>
          <w:szCs w:val="24"/>
        </w:rPr>
        <w:t>focus group</w:t>
      </w:r>
      <w:r w:rsidRPr="00BE7A42">
        <w:rPr>
          <w:sz w:val="24"/>
          <w:szCs w:val="24"/>
        </w:rPr>
        <w:t xml:space="preserve">, </w:t>
      </w:r>
      <w:r>
        <w:rPr>
          <w:sz w:val="24"/>
          <w:szCs w:val="24"/>
        </w:rPr>
        <w:t>the moderator</w:t>
      </w:r>
      <w:r w:rsidRPr="00BE7A42">
        <w:rPr>
          <w:sz w:val="24"/>
          <w:szCs w:val="24"/>
        </w:rPr>
        <w:t xml:space="preserve"> will explain</w:t>
      </w:r>
      <w:r>
        <w:rPr>
          <w:sz w:val="24"/>
          <w:szCs w:val="24"/>
        </w:rPr>
        <w:t xml:space="preserve"> to participants</w:t>
      </w:r>
      <w:r w:rsidRPr="00BE7A42">
        <w:rPr>
          <w:sz w:val="24"/>
          <w:szCs w:val="24"/>
        </w:rPr>
        <w:t xml:space="preserve"> the importance of protecting one another’s </w:t>
      </w:r>
      <w:r w:rsidR="00370554">
        <w:rPr>
          <w:sz w:val="24"/>
          <w:szCs w:val="24"/>
        </w:rPr>
        <w:t>information</w:t>
      </w:r>
      <w:r w:rsidRPr="00BE7A42">
        <w:rPr>
          <w:sz w:val="24"/>
          <w:szCs w:val="24"/>
        </w:rPr>
        <w:t xml:space="preserve">. </w:t>
      </w:r>
      <w:r>
        <w:rPr>
          <w:sz w:val="24"/>
          <w:szCs w:val="24"/>
        </w:rPr>
        <w:t>The moderator</w:t>
      </w:r>
      <w:r w:rsidRPr="00BE7A42">
        <w:rPr>
          <w:sz w:val="24"/>
          <w:szCs w:val="24"/>
        </w:rPr>
        <w:t xml:space="preserve"> also</w:t>
      </w:r>
      <w:r>
        <w:rPr>
          <w:sz w:val="24"/>
          <w:szCs w:val="24"/>
        </w:rPr>
        <w:t xml:space="preserve"> will</w:t>
      </w:r>
      <w:r w:rsidRPr="00BE7A42">
        <w:rPr>
          <w:sz w:val="24"/>
          <w:szCs w:val="24"/>
        </w:rPr>
        <w:t xml:space="preserve"> make sure participants understand that their participation is voluntary and that they can decide to skip questions or stop participating at any time. </w:t>
      </w:r>
      <w:r>
        <w:rPr>
          <w:sz w:val="24"/>
          <w:szCs w:val="24"/>
        </w:rPr>
        <w:t>RTI</w:t>
      </w:r>
      <w:r w:rsidRPr="00BE7A42">
        <w:rPr>
          <w:sz w:val="24"/>
          <w:szCs w:val="24"/>
        </w:rPr>
        <w:t xml:space="preserve"> will protect participants’ </w:t>
      </w:r>
      <w:r w:rsidR="00370554">
        <w:rPr>
          <w:sz w:val="24"/>
          <w:szCs w:val="24"/>
        </w:rPr>
        <w:t>information</w:t>
      </w:r>
      <w:r w:rsidR="00370554" w:rsidRPr="00BE7A42">
        <w:rPr>
          <w:sz w:val="24"/>
          <w:szCs w:val="24"/>
        </w:rPr>
        <w:t xml:space="preserve"> </w:t>
      </w:r>
      <w:r w:rsidRPr="00BE7A42">
        <w:rPr>
          <w:sz w:val="24"/>
          <w:szCs w:val="24"/>
        </w:rPr>
        <w:t xml:space="preserve">by not using names in </w:t>
      </w:r>
      <w:r>
        <w:rPr>
          <w:sz w:val="24"/>
          <w:szCs w:val="24"/>
        </w:rPr>
        <w:t>the</w:t>
      </w:r>
      <w:r w:rsidRPr="00BE7A42">
        <w:rPr>
          <w:sz w:val="24"/>
          <w:szCs w:val="24"/>
        </w:rPr>
        <w:t xml:space="preserve"> notes and by storing all notes </w:t>
      </w:r>
      <w:r>
        <w:rPr>
          <w:sz w:val="24"/>
          <w:szCs w:val="24"/>
        </w:rPr>
        <w:t>and</w:t>
      </w:r>
      <w:r w:rsidRPr="00BE7A42">
        <w:rPr>
          <w:sz w:val="24"/>
          <w:szCs w:val="24"/>
        </w:rPr>
        <w:t xml:space="preserve"> recordings in a locked filing cabinet in the project director’s office (hardcopy) or on a password protected project server (electronic). </w:t>
      </w:r>
      <w:r>
        <w:rPr>
          <w:sz w:val="24"/>
          <w:szCs w:val="24"/>
        </w:rPr>
        <w:t>The moderator also</w:t>
      </w:r>
      <w:r w:rsidRPr="00BE7A42">
        <w:rPr>
          <w:sz w:val="24"/>
          <w:szCs w:val="24"/>
        </w:rPr>
        <w:t xml:space="preserve"> will assure participants that </w:t>
      </w:r>
      <w:r w:rsidR="006B1AE0">
        <w:rPr>
          <w:sz w:val="24"/>
          <w:szCs w:val="24"/>
        </w:rPr>
        <w:t>project</w:t>
      </w:r>
      <w:r w:rsidR="006B1AE0" w:rsidRPr="00BE7A42">
        <w:rPr>
          <w:sz w:val="24"/>
          <w:szCs w:val="24"/>
        </w:rPr>
        <w:t xml:space="preserve"> </w:t>
      </w:r>
      <w:r w:rsidRPr="00BE7A42">
        <w:rPr>
          <w:sz w:val="24"/>
          <w:szCs w:val="24"/>
        </w:rPr>
        <w:t>findings and reports will not contain any personal information.</w:t>
      </w:r>
    </w:p>
    <w:p w14:paraId="5A24F393" w14:textId="589A64EA" w:rsidR="00BE7A42" w:rsidRPr="00BE7A42" w:rsidRDefault="00BE7A42" w:rsidP="00BE7A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ind w:firstLine="360"/>
        <w:rPr>
          <w:sz w:val="24"/>
          <w:szCs w:val="24"/>
        </w:rPr>
      </w:pPr>
      <w:r w:rsidRPr="00BE7A42">
        <w:rPr>
          <w:sz w:val="24"/>
          <w:szCs w:val="24"/>
        </w:rPr>
        <w:t xml:space="preserve">The recruitment </w:t>
      </w:r>
      <w:r>
        <w:rPr>
          <w:sz w:val="24"/>
          <w:szCs w:val="24"/>
        </w:rPr>
        <w:t>facilities</w:t>
      </w:r>
      <w:r w:rsidRPr="00BE7A42">
        <w:rPr>
          <w:sz w:val="24"/>
          <w:szCs w:val="24"/>
        </w:rPr>
        <w:t xml:space="preserve"> will store screening information in locked file cabinets (hardcopy) or on a password protected computer (electronic) in order to invite respondents and send them reminder letters and calls. Only the recruitment </w:t>
      </w:r>
      <w:r>
        <w:rPr>
          <w:sz w:val="24"/>
          <w:szCs w:val="24"/>
        </w:rPr>
        <w:t>facilities</w:t>
      </w:r>
      <w:r w:rsidRPr="00BE7A42">
        <w:rPr>
          <w:sz w:val="24"/>
          <w:szCs w:val="24"/>
        </w:rPr>
        <w:t xml:space="preserve"> will have access to this information; RTI </w:t>
      </w:r>
      <w:r>
        <w:rPr>
          <w:sz w:val="24"/>
          <w:szCs w:val="24"/>
        </w:rPr>
        <w:t xml:space="preserve">and CDC </w:t>
      </w:r>
      <w:r w:rsidRPr="00BE7A42">
        <w:rPr>
          <w:sz w:val="24"/>
          <w:szCs w:val="24"/>
        </w:rPr>
        <w:t>will be provided de-identified screening data for participants (i.e., first names only, no other contact info). Names of participants will be used solely to facilitate conta</w:t>
      </w:r>
      <w:r>
        <w:rPr>
          <w:sz w:val="24"/>
          <w:szCs w:val="24"/>
        </w:rPr>
        <w:t>ct. After the study is complete</w:t>
      </w:r>
      <w:r w:rsidRPr="00BE7A42">
        <w:rPr>
          <w:sz w:val="24"/>
          <w:szCs w:val="24"/>
        </w:rPr>
        <w:t xml:space="preserve">, the </w:t>
      </w:r>
      <w:r>
        <w:rPr>
          <w:sz w:val="24"/>
          <w:szCs w:val="24"/>
        </w:rPr>
        <w:t>facilities</w:t>
      </w:r>
      <w:r w:rsidRPr="00BE7A42">
        <w:rPr>
          <w:sz w:val="24"/>
          <w:szCs w:val="24"/>
        </w:rPr>
        <w:t xml:space="preserve"> will destroy the screening responses and will be permitted to keep only participant demographic information on file (i.e., age, sex, race, education).</w:t>
      </w:r>
    </w:p>
    <w:p w14:paraId="56A12279" w14:textId="0E016088" w:rsidR="00BE7A42" w:rsidRPr="00BE7A42" w:rsidRDefault="00BE7A42" w:rsidP="00BE7A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20" w:lineRule="exact"/>
        <w:ind w:firstLine="360"/>
        <w:rPr>
          <w:sz w:val="24"/>
          <w:szCs w:val="24"/>
        </w:rPr>
      </w:pPr>
      <w:r w:rsidRPr="00BE7A42">
        <w:rPr>
          <w:sz w:val="24"/>
          <w:szCs w:val="24"/>
        </w:rPr>
        <w:t xml:space="preserve">RTI </w:t>
      </w:r>
      <w:r>
        <w:rPr>
          <w:sz w:val="24"/>
          <w:szCs w:val="24"/>
        </w:rPr>
        <w:t xml:space="preserve">and CDC </w:t>
      </w:r>
      <w:r w:rsidRPr="00BE7A42">
        <w:rPr>
          <w:sz w:val="24"/>
          <w:szCs w:val="24"/>
        </w:rPr>
        <w:t>will not have the full names or any contact information for any of the participants. Therefore, there will be no link between the data collected and the participants’ identities.</w:t>
      </w:r>
    </w:p>
    <w:p w14:paraId="6DE293E3" w14:textId="2E9BB481" w:rsidR="005048C8" w:rsidRPr="00F12794" w:rsidRDefault="005048C8">
      <w:pPr>
        <w:rPr>
          <w:b/>
          <w:bCs/>
          <w:sz w:val="24"/>
          <w:szCs w:val="24"/>
        </w:rPr>
      </w:pPr>
    </w:p>
    <w:p w14:paraId="285058A3" w14:textId="77777777" w:rsidR="00215FFA" w:rsidRPr="00F12794" w:rsidRDefault="006945E5">
      <w:pPr>
        <w:rPr>
          <w:b/>
          <w:bCs/>
          <w:sz w:val="24"/>
          <w:szCs w:val="24"/>
        </w:rPr>
      </w:pPr>
      <w:r w:rsidRPr="00F12794">
        <w:rPr>
          <w:b/>
          <w:bCs/>
          <w:sz w:val="24"/>
          <w:szCs w:val="24"/>
        </w:rPr>
        <w:t xml:space="preserve">Justification for Sensitive Questions </w:t>
      </w:r>
    </w:p>
    <w:p w14:paraId="1E3124C8" w14:textId="5725433E" w:rsidR="00F12794" w:rsidRPr="00F12794" w:rsidRDefault="00520AE6" w:rsidP="00520AE6">
      <w:pPr>
        <w:spacing w:after="120" w:line="320" w:lineRule="exact"/>
        <w:ind w:firstLine="360"/>
        <w:rPr>
          <w:sz w:val="24"/>
          <w:szCs w:val="24"/>
        </w:rPr>
      </w:pPr>
      <w:r>
        <w:rPr>
          <w:sz w:val="24"/>
          <w:szCs w:val="24"/>
        </w:rPr>
        <w:t xml:space="preserve">RTI and CDC do not plan to ask any questions that would elicit sensitive information. During the </w:t>
      </w:r>
      <w:r w:rsidR="00BF6E14">
        <w:rPr>
          <w:sz w:val="24"/>
          <w:szCs w:val="24"/>
        </w:rPr>
        <w:t>focus groups</w:t>
      </w:r>
      <w:r>
        <w:rPr>
          <w:sz w:val="24"/>
          <w:szCs w:val="24"/>
        </w:rPr>
        <w:t xml:space="preserve">, we will ask participants about their current health condition, their understanding of how air quality affects their health, and their feedback on the prototype materials. Although we do not anticipate that participants will perceive these questions as intrusive, it is possible that some participants may be reluctant to talk about their health. Consequently, we will remind participants—at the time of consent and during the </w:t>
      </w:r>
      <w:r w:rsidR="00BF6E14">
        <w:rPr>
          <w:sz w:val="24"/>
          <w:szCs w:val="24"/>
        </w:rPr>
        <w:t>group</w:t>
      </w:r>
      <w:r>
        <w:rPr>
          <w:sz w:val="24"/>
          <w:szCs w:val="24"/>
        </w:rPr>
        <w:t>—that they are welcome to skip any questions that they find uncomfortable.</w:t>
      </w:r>
    </w:p>
    <w:p w14:paraId="5E5CC454" w14:textId="20F3FA03" w:rsidR="00F12794" w:rsidRPr="00F12794" w:rsidRDefault="00520AE6" w:rsidP="00520AE6">
      <w:pPr>
        <w:spacing w:after="120" w:line="320" w:lineRule="exact"/>
        <w:ind w:firstLine="360"/>
        <w:rPr>
          <w:sz w:val="24"/>
          <w:szCs w:val="24"/>
        </w:rPr>
      </w:pPr>
      <w:r>
        <w:rPr>
          <w:sz w:val="24"/>
          <w:szCs w:val="24"/>
        </w:rPr>
        <w:t>These questions are</w:t>
      </w:r>
      <w:r w:rsidR="00F12794" w:rsidRPr="00F12794">
        <w:rPr>
          <w:sz w:val="24"/>
          <w:szCs w:val="24"/>
        </w:rPr>
        <w:t xml:space="preserve"> necessary to gain insight into </w:t>
      </w:r>
      <w:r>
        <w:rPr>
          <w:sz w:val="24"/>
          <w:szCs w:val="24"/>
        </w:rPr>
        <w:t>participants’ understanding of air quality and their feedback on the educational materials.</w:t>
      </w:r>
    </w:p>
    <w:p w14:paraId="27E4A2C8" w14:textId="77777777" w:rsidR="006C35BC" w:rsidRPr="00F12794" w:rsidRDefault="006C35BC">
      <w:pPr>
        <w:rPr>
          <w:sz w:val="24"/>
          <w:szCs w:val="24"/>
        </w:rPr>
      </w:pPr>
    </w:p>
    <w:p w14:paraId="18870FE7" w14:textId="77777777" w:rsidR="00215FFA" w:rsidRPr="00F12794" w:rsidRDefault="006945E5">
      <w:pPr>
        <w:rPr>
          <w:b/>
          <w:bCs/>
          <w:sz w:val="24"/>
          <w:szCs w:val="24"/>
        </w:rPr>
      </w:pPr>
      <w:r w:rsidRPr="00F12794">
        <w:rPr>
          <w:b/>
          <w:bCs/>
          <w:sz w:val="24"/>
          <w:szCs w:val="24"/>
        </w:rPr>
        <w:t>Data Analysis</w:t>
      </w:r>
    </w:p>
    <w:p w14:paraId="1384AC58" w14:textId="706B2D4C" w:rsidR="00DB025E" w:rsidRPr="00016EEA" w:rsidRDefault="00DB025E" w:rsidP="00887635">
      <w:pPr>
        <w:spacing w:after="120" w:line="320" w:lineRule="exact"/>
        <w:ind w:firstLine="360"/>
        <w:rPr>
          <w:sz w:val="24"/>
        </w:rPr>
      </w:pPr>
      <w:r>
        <w:rPr>
          <w:sz w:val="24"/>
        </w:rPr>
        <w:t>When summarizing the findings from each round of materials testing</w:t>
      </w:r>
      <w:r w:rsidRPr="00016EEA">
        <w:rPr>
          <w:sz w:val="24"/>
        </w:rPr>
        <w:t xml:space="preserve">, </w:t>
      </w:r>
      <w:r>
        <w:rPr>
          <w:sz w:val="24"/>
        </w:rPr>
        <w:t>RTI will conduct</w:t>
      </w:r>
      <w:r w:rsidRPr="00016EEA">
        <w:rPr>
          <w:sz w:val="24"/>
        </w:rPr>
        <w:t xml:space="preserve"> thematic analysis to identify trends in participant responses, including </w:t>
      </w:r>
      <w:r>
        <w:rPr>
          <w:sz w:val="24"/>
        </w:rPr>
        <w:t>comprehension, credibility, relevance</w:t>
      </w:r>
      <w:r w:rsidRPr="00016EEA">
        <w:rPr>
          <w:sz w:val="24"/>
        </w:rPr>
        <w:t xml:space="preserve">, and </w:t>
      </w:r>
      <w:r>
        <w:rPr>
          <w:sz w:val="24"/>
        </w:rPr>
        <w:t xml:space="preserve">other </w:t>
      </w:r>
      <w:r w:rsidRPr="00016EEA">
        <w:rPr>
          <w:sz w:val="24"/>
        </w:rPr>
        <w:t>feedback on the</w:t>
      </w:r>
      <w:r>
        <w:rPr>
          <w:sz w:val="24"/>
        </w:rPr>
        <w:t xml:space="preserve"> prototype materials</w:t>
      </w:r>
      <w:r w:rsidRPr="00016EEA">
        <w:rPr>
          <w:sz w:val="24"/>
        </w:rPr>
        <w:t xml:space="preserve">. </w:t>
      </w:r>
      <w:r>
        <w:rPr>
          <w:sz w:val="24"/>
        </w:rPr>
        <w:t>RTI will create a meta-matrix that organizes participant responses by audience segment and topic (e.g., COPD x comprehension), and they will populate the matrix with responses from the v</w:t>
      </w:r>
      <w:r w:rsidRPr="00016EEA">
        <w:rPr>
          <w:sz w:val="24"/>
        </w:rPr>
        <w:t xml:space="preserve">erbatim transcripts. The moderators will </w:t>
      </w:r>
      <w:r>
        <w:rPr>
          <w:sz w:val="24"/>
        </w:rPr>
        <w:t xml:space="preserve">then </w:t>
      </w:r>
      <w:r w:rsidRPr="00016EEA">
        <w:rPr>
          <w:sz w:val="24"/>
        </w:rPr>
        <w:t xml:space="preserve">analyze responses to determine what </w:t>
      </w:r>
      <w:r>
        <w:rPr>
          <w:sz w:val="24"/>
        </w:rPr>
        <w:t>perceptions</w:t>
      </w:r>
      <w:r w:rsidRPr="00016EEA">
        <w:rPr>
          <w:sz w:val="24"/>
        </w:rPr>
        <w:t xml:space="preserve"> and reactions are consistent across </w:t>
      </w:r>
      <w:r>
        <w:rPr>
          <w:sz w:val="24"/>
        </w:rPr>
        <w:t>the entire audience</w:t>
      </w:r>
      <w:r w:rsidRPr="00016EEA">
        <w:rPr>
          <w:sz w:val="24"/>
        </w:rPr>
        <w:t xml:space="preserve"> and which differ by </w:t>
      </w:r>
      <w:r>
        <w:rPr>
          <w:sz w:val="24"/>
        </w:rPr>
        <w:t>population.</w:t>
      </w:r>
    </w:p>
    <w:p w14:paraId="0E765F03" w14:textId="491244C2" w:rsidR="00DB025E" w:rsidRDefault="00DB025E" w:rsidP="00DB025E">
      <w:pPr>
        <w:pStyle w:val="NormalWeb"/>
        <w:spacing w:before="0" w:beforeAutospacing="0" w:after="120" w:afterAutospacing="0" w:line="320" w:lineRule="exact"/>
        <w:ind w:firstLine="360"/>
      </w:pPr>
      <w:r>
        <w:t xml:space="preserve">After completing analysis, RTI will develop and submit to CDC a topline memo summarizing the purpose, methods, findings, illustrative quotations, and recommendations from each round of testing. </w:t>
      </w:r>
      <w:r w:rsidRPr="00016EEA">
        <w:t xml:space="preserve">This </w:t>
      </w:r>
      <w:r>
        <w:t>memo</w:t>
      </w:r>
      <w:r w:rsidRPr="00016EEA">
        <w:t xml:space="preserve"> will summarize </w:t>
      </w:r>
      <w:r>
        <w:t>both quantitative results (e.g., receptivity rankings) as well as</w:t>
      </w:r>
      <w:r w:rsidRPr="00016EEA">
        <w:t xml:space="preserve"> </w:t>
      </w:r>
      <w:r>
        <w:t xml:space="preserve">qualitative feedback on the materials, and </w:t>
      </w:r>
      <w:r w:rsidR="000E3B19">
        <w:t>RTI</w:t>
      </w:r>
      <w:r w:rsidRPr="00016EEA">
        <w:t xml:space="preserve"> </w:t>
      </w:r>
      <w:r>
        <w:t>will especially</w:t>
      </w:r>
      <w:r w:rsidRPr="00016EEA">
        <w:t xml:space="preserve"> focus on recommendations for refining </w:t>
      </w:r>
      <w:r>
        <w:t xml:space="preserve">the </w:t>
      </w:r>
      <w:r w:rsidRPr="00016EEA">
        <w:t xml:space="preserve">materials before the next round of testing. </w:t>
      </w:r>
      <w:r w:rsidR="000E3B19">
        <w:t>RTI</w:t>
      </w:r>
      <w:r w:rsidRPr="00016EEA">
        <w:t xml:space="preserve"> will send draft </w:t>
      </w:r>
      <w:r>
        <w:t>memos</w:t>
      </w:r>
      <w:r w:rsidRPr="00016EEA">
        <w:t xml:space="preserve"> to CDC for review and will revise them based on CDC’s written and verbal comments.</w:t>
      </w:r>
    </w:p>
    <w:p w14:paraId="53B23A76" w14:textId="77777777" w:rsidR="00887635" w:rsidRDefault="00887635" w:rsidP="00585C2F">
      <w:pPr>
        <w:rPr>
          <w:sz w:val="24"/>
          <w:szCs w:val="24"/>
        </w:rPr>
      </w:pPr>
    </w:p>
    <w:p w14:paraId="7CA4888A" w14:textId="6B9935D2" w:rsidR="00887635" w:rsidRDefault="006945E5" w:rsidP="00887635">
      <w:pPr>
        <w:spacing w:line="320" w:lineRule="exact"/>
        <w:rPr>
          <w:sz w:val="24"/>
          <w:szCs w:val="24"/>
        </w:rPr>
      </w:pPr>
      <w:r w:rsidRPr="00F12794">
        <w:rPr>
          <w:b/>
          <w:bCs/>
          <w:sz w:val="24"/>
          <w:szCs w:val="24"/>
        </w:rPr>
        <w:t>Assessment and Reporting of Protocol Deviations and Adverse Events</w:t>
      </w:r>
    </w:p>
    <w:p w14:paraId="16B40A37" w14:textId="24F1EEBF" w:rsidR="00887635" w:rsidRDefault="00F12794" w:rsidP="00887635">
      <w:pPr>
        <w:spacing w:after="120" w:line="320" w:lineRule="exact"/>
        <w:ind w:firstLine="360"/>
        <w:rPr>
          <w:sz w:val="24"/>
          <w:szCs w:val="24"/>
        </w:rPr>
      </w:pPr>
      <w:r w:rsidRPr="00F12794">
        <w:rPr>
          <w:sz w:val="24"/>
          <w:szCs w:val="24"/>
        </w:rPr>
        <w:t xml:space="preserve">The </w:t>
      </w:r>
      <w:r w:rsidR="00887635">
        <w:rPr>
          <w:sz w:val="24"/>
          <w:szCs w:val="24"/>
        </w:rPr>
        <w:t>RTI and CDC team leads</w:t>
      </w:r>
      <w:r w:rsidRPr="00F12794">
        <w:rPr>
          <w:sz w:val="24"/>
          <w:szCs w:val="24"/>
        </w:rPr>
        <w:t xml:space="preserve"> will ensure that appropriate oversight systems are in place to monitor all </w:t>
      </w:r>
      <w:r w:rsidR="006B1AE0">
        <w:rPr>
          <w:sz w:val="24"/>
          <w:szCs w:val="24"/>
        </w:rPr>
        <w:t>project</w:t>
      </w:r>
      <w:r w:rsidR="006B1AE0" w:rsidRPr="00F12794">
        <w:rPr>
          <w:sz w:val="24"/>
          <w:szCs w:val="24"/>
        </w:rPr>
        <w:t xml:space="preserve"> </w:t>
      </w:r>
      <w:r w:rsidRPr="00F12794">
        <w:rPr>
          <w:sz w:val="24"/>
          <w:szCs w:val="24"/>
        </w:rPr>
        <w:t xml:space="preserve">activities and identify any adverse events or deviations from the study protocol. </w:t>
      </w:r>
      <w:r w:rsidR="002E0590" w:rsidRPr="00F12794">
        <w:rPr>
          <w:sz w:val="24"/>
          <w:szCs w:val="24"/>
        </w:rPr>
        <w:t xml:space="preserve">Because this is a low-risk study, </w:t>
      </w:r>
      <w:r w:rsidR="00887635">
        <w:rPr>
          <w:sz w:val="24"/>
          <w:szCs w:val="24"/>
        </w:rPr>
        <w:t>the team does</w:t>
      </w:r>
      <w:r w:rsidR="002E0590" w:rsidRPr="00F12794">
        <w:rPr>
          <w:sz w:val="24"/>
          <w:szCs w:val="24"/>
        </w:rPr>
        <w:t xml:space="preserve"> not anticipate any adverse eve</w:t>
      </w:r>
      <w:r w:rsidR="00887635">
        <w:rPr>
          <w:sz w:val="24"/>
          <w:szCs w:val="24"/>
        </w:rPr>
        <w:t>nts or unintended consequences.</w:t>
      </w:r>
    </w:p>
    <w:p w14:paraId="7474C3EA" w14:textId="4C2356AA" w:rsidR="00887635" w:rsidRDefault="00F12794" w:rsidP="00887635">
      <w:pPr>
        <w:spacing w:after="120" w:line="320" w:lineRule="exact"/>
        <w:ind w:firstLine="360"/>
        <w:rPr>
          <w:b/>
          <w:bCs/>
          <w:sz w:val="24"/>
          <w:szCs w:val="24"/>
        </w:rPr>
      </w:pPr>
      <w:r w:rsidRPr="00F12794">
        <w:rPr>
          <w:sz w:val="24"/>
          <w:szCs w:val="24"/>
        </w:rPr>
        <w:t xml:space="preserve">All protocol deviations will be reviewed by </w:t>
      </w:r>
      <w:r w:rsidR="00887635">
        <w:rPr>
          <w:sz w:val="24"/>
          <w:szCs w:val="24"/>
        </w:rPr>
        <w:t>CDC</w:t>
      </w:r>
      <w:r w:rsidRPr="00F12794">
        <w:rPr>
          <w:sz w:val="24"/>
          <w:szCs w:val="24"/>
        </w:rPr>
        <w:t xml:space="preserve"> to assess whether participant safety or study integrity has been affected and to what extent the deviation has affected the project. If the deviation is a protocol violation, appropriate measures will be taken to address the occurrence, which may include the development of a corrective action plan.</w:t>
      </w:r>
      <w:r w:rsidR="000B2E20">
        <w:rPr>
          <w:sz w:val="24"/>
          <w:szCs w:val="24"/>
        </w:rPr>
        <w:t xml:space="preserve"> </w:t>
      </w:r>
      <w:r w:rsidR="006B1AE0">
        <w:rPr>
          <w:sz w:val="24"/>
          <w:szCs w:val="24"/>
        </w:rPr>
        <w:t xml:space="preserve"> </w:t>
      </w:r>
      <w:r w:rsidR="00887635">
        <w:rPr>
          <w:sz w:val="24"/>
          <w:szCs w:val="24"/>
        </w:rPr>
        <w:t>Participant</w:t>
      </w:r>
      <w:r w:rsidRPr="00F12794">
        <w:rPr>
          <w:sz w:val="24"/>
          <w:szCs w:val="24"/>
        </w:rPr>
        <w:t xml:space="preserve"> privacy and data </w:t>
      </w:r>
      <w:r w:rsidR="00871257">
        <w:rPr>
          <w:sz w:val="24"/>
          <w:szCs w:val="24"/>
        </w:rPr>
        <w:t>security</w:t>
      </w:r>
      <w:r w:rsidR="00871257" w:rsidRPr="00887635">
        <w:rPr>
          <w:sz w:val="24"/>
          <w:szCs w:val="24"/>
        </w:rPr>
        <w:t xml:space="preserve"> </w:t>
      </w:r>
      <w:r w:rsidRPr="00887635">
        <w:rPr>
          <w:sz w:val="24"/>
          <w:szCs w:val="24"/>
        </w:rPr>
        <w:t xml:space="preserve">breaches are serious risks and will be reported </w:t>
      </w:r>
      <w:r w:rsidRPr="00887635">
        <w:rPr>
          <w:bCs/>
          <w:sz w:val="24"/>
          <w:szCs w:val="24"/>
        </w:rPr>
        <w:t>within one hour of discovery</w:t>
      </w:r>
      <w:r w:rsidRPr="00887635">
        <w:rPr>
          <w:sz w:val="24"/>
          <w:szCs w:val="24"/>
        </w:rPr>
        <w:t xml:space="preserve"> </w:t>
      </w:r>
      <w:r w:rsidRPr="00887635">
        <w:rPr>
          <w:bCs/>
          <w:sz w:val="24"/>
          <w:szCs w:val="24"/>
        </w:rPr>
        <w:t xml:space="preserve">to </w:t>
      </w:r>
      <w:r w:rsidR="00887635" w:rsidRPr="00887635">
        <w:rPr>
          <w:bCs/>
          <w:sz w:val="24"/>
          <w:szCs w:val="24"/>
        </w:rPr>
        <w:t>CDC.</w:t>
      </w:r>
    </w:p>
    <w:p w14:paraId="79BDD753" w14:textId="77777777" w:rsidR="00887635" w:rsidRDefault="00887635">
      <w:pPr>
        <w:spacing w:line="276" w:lineRule="auto"/>
        <w:rPr>
          <w:sz w:val="24"/>
          <w:szCs w:val="24"/>
        </w:rPr>
      </w:pPr>
    </w:p>
    <w:p w14:paraId="269A1A3E" w14:textId="0124BEF1" w:rsidR="00215FFA" w:rsidRDefault="00AD097D">
      <w:pPr>
        <w:spacing w:line="276" w:lineRule="auto"/>
        <w:rPr>
          <w:b/>
          <w:bCs/>
          <w:sz w:val="24"/>
          <w:szCs w:val="24"/>
        </w:rPr>
      </w:pPr>
      <w:r>
        <w:rPr>
          <w:b/>
          <w:bCs/>
          <w:sz w:val="24"/>
          <w:szCs w:val="24"/>
        </w:rPr>
        <w:t>References:</w:t>
      </w:r>
    </w:p>
    <w:p w14:paraId="603B7D08" w14:textId="0C5DEF9A" w:rsidR="00A83810" w:rsidRDefault="00A83810" w:rsidP="00C32693">
      <w:pPr>
        <w:pBdr>
          <w:top w:val="none" w:sz="0" w:space="0" w:color="auto"/>
          <w:left w:val="none" w:sz="0" w:space="0" w:color="auto"/>
          <w:bottom w:val="none" w:sz="0" w:space="0" w:color="auto"/>
          <w:right w:val="none" w:sz="0" w:space="0" w:color="auto"/>
          <w:between w:val="none" w:sz="0" w:space="0" w:color="auto"/>
          <w:bar w:val="none" w:sz="0" w:color="auto"/>
        </w:pBdr>
        <w:spacing w:after="120" w:line="320" w:lineRule="exact"/>
        <w:ind w:left="360" w:hanging="360"/>
        <w:rPr>
          <w:sz w:val="24"/>
          <w:szCs w:val="24"/>
        </w:rPr>
      </w:pPr>
      <w:r w:rsidRPr="00A83810">
        <w:rPr>
          <w:sz w:val="24"/>
          <w:szCs w:val="24"/>
        </w:rPr>
        <w:t xml:space="preserve">Castiglioni, L., &amp; Pforr, K. (2007). The effect of incentives in reducing non-response bias in a multi-actor survey. </w:t>
      </w:r>
      <w:r w:rsidRPr="00A83810">
        <w:rPr>
          <w:i/>
          <w:sz w:val="24"/>
          <w:szCs w:val="24"/>
        </w:rPr>
        <w:t>Presented at the 2nd annual European Survey Research Association Conference</w:t>
      </w:r>
      <w:r w:rsidRPr="00A83810">
        <w:rPr>
          <w:sz w:val="24"/>
          <w:szCs w:val="24"/>
        </w:rPr>
        <w:t>, Prague, Czech Republic, June, 2007.</w:t>
      </w:r>
    </w:p>
    <w:p w14:paraId="447DF7B5" w14:textId="6142F19A" w:rsidR="00C32693" w:rsidRPr="00C32693" w:rsidRDefault="00C32693" w:rsidP="00C32693">
      <w:pPr>
        <w:pBdr>
          <w:top w:val="none" w:sz="0" w:space="0" w:color="auto"/>
          <w:left w:val="none" w:sz="0" w:space="0" w:color="auto"/>
          <w:bottom w:val="none" w:sz="0" w:space="0" w:color="auto"/>
          <w:right w:val="none" w:sz="0" w:space="0" w:color="auto"/>
          <w:between w:val="none" w:sz="0" w:space="0" w:color="auto"/>
          <w:bar w:val="none" w:sz="0" w:color="auto"/>
        </w:pBdr>
        <w:spacing w:after="120" w:line="320" w:lineRule="exact"/>
        <w:ind w:left="360" w:hanging="360"/>
        <w:rPr>
          <w:sz w:val="24"/>
          <w:szCs w:val="24"/>
        </w:rPr>
      </w:pPr>
      <w:r w:rsidRPr="00C32693">
        <w:rPr>
          <w:sz w:val="24"/>
          <w:szCs w:val="24"/>
        </w:rPr>
        <w:t xml:space="preserve">Cohen, A.J., Brauer, M., Burnett, R., et al. (2017). Estimates and 25-year trends of the global burden of disease attributable to ambient air pollution: An analysis of data from the Global Burden of Diseases Study 2015. </w:t>
      </w:r>
      <w:r w:rsidRPr="00C32693">
        <w:rPr>
          <w:i/>
          <w:sz w:val="24"/>
          <w:szCs w:val="24"/>
        </w:rPr>
        <w:t>Lancet</w:t>
      </w:r>
      <w:r w:rsidRPr="00C32693">
        <w:rPr>
          <w:sz w:val="24"/>
          <w:szCs w:val="24"/>
        </w:rPr>
        <w:t>, 389(10082), 1907-1918.</w:t>
      </w:r>
    </w:p>
    <w:p w14:paraId="6E947ADE" w14:textId="29379679" w:rsidR="00A83810" w:rsidRDefault="00A83810" w:rsidP="00DD5B55">
      <w:pPr>
        <w:pBdr>
          <w:top w:val="none" w:sz="0" w:space="0" w:color="auto"/>
          <w:left w:val="none" w:sz="0" w:space="0" w:color="auto"/>
          <w:bottom w:val="none" w:sz="0" w:space="0" w:color="auto"/>
          <w:right w:val="none" w:sz="0" w:space="0" w:color="auto"/>
          <w:between w:val="none" w:sz="0" w:space="0" w:color="auto"/>
          <w:bar w:val="none" w:sz="0" w:color="auto"/>
        </w:pBdr>
        <w:spacing w:after="120" w:line="320" w:lineRule="exact"/>
        <w:ind w:left="360" w:hanging="360"/>
        <w:rPr>
          <w:sz w:val="24"/>
          <w:szCs w:val="24"/>
        </w:rPr>
      </w:pPr>
      <w:r w:rsidRPr="00A83810">
        <w:rPr>
          <w:sz w:val="24"/>
          <w:szCs w:val="24"/>
        </w:rPr>
        <w:t xml:space="preserve">Groves, R., Couper, M., Presser, S., Singer, E., Tourangeau, R., Acosta, G., &amp; Nelson, L. (2006). Experiments in producing nonresponse bias. </w:t>
      </w:r>
      <w:r w:rsidRPr="00A83810">
        <w:rPr>
          <w:i/>
          <w:sz w:val="24"/>
          <w:szCs w:val="24"/>
        </w:rPr>
        <w:t>Public Opinion Quarterly</w:t>
      </w:r>
      <w:r w:rsidRPr="00A83810">
        <w:rPr>
          <w:sz w:val="24"/>
          <w:szCs w:val="24"/>
        </w:rPr>
        <w:t>, 70(5), 720-736.</w:t>
      </w:r>
    </w:p>
    <w:p w14:paraId="4F9F9341" w14:textId="4A4A29AD" w:rsidR="00A83810" w:rsidRDefault="00A83810" w:rsidP="00DD5B55">
      <w:pPr>
        <w:pBdr>
          <w:top w:val="none" w:sz="0" w:space="0" w:color="auto"/>
          <w:left w:val="none" w:sz="0" w:space="0" w:color="auto"/>
          <w:bottom w:val="none" w:sz="0" w:space="0" w:color="auto"/>
          <w:right w:val="none" w:sz="0" w:space="0" w:color="auto"/>
          <w:between w:val="none" w:sz="0" w:space="0" w:color="auto"/>
          <w:bar w:val="none" w:sz="0" w:color="auto"/>
        </w:pBdr>
        <w:spacing w:after="120" w:line="320" w:lineRule="exact"/>
        <w:ind w:left="360" w:hanging="360"/>
        <w:rPr>
          <w:sz w:val="24"/>
          <w:szCs w:val="24"/>
        </w:rPr>
      </w:pPr>
      <w:r w:rsidRPr="00A83810">
        <w:rPr>
          <w:sz w:val="24"/>
          <w:szCs w:val="24"/>
        </w:rPr>
        <w:t xml:space="preserve">Guyll, M., Spoth, R., &amp; Redmond, C. (2003). The effects of incentives and research requirements on participation rates for a community-based preventive intervention research study. </w:t>
      </w:r>
      <w:r w:rsidRPr="00A83810">
        <w:rPr>
          <w:i/>
          <w:sz w:val="24"/>
          <w:szCs w:val="24"/>
        </w:rPr>
        <w:t>Journal of Primary Prevention</w:t>
      </w:r>
      <w:r w:rsidRPr="00A83810">
        <w:rPr>
          <w:sz w:val="24"/>
          <w:szCs w:val="24"/>
        </w:rPr>
        <w:t>, 24(1), 25-41.</w:t>
      </w:r>
    </w:p>
    <w:p w14:paraId="5A1E13B2" w14:textId="448579D4" w:rsidR="00C32693" w:rsidRPr="00DD5B55" w:rsidRDefault="00C32693" w:rsidP="00DD5B55">
      <w:pPr>
        <w:pBdr>
          <w:top w:val="none" w:sz="0" w:space="0" w:color="auto"/>
          <w:left w:val="none" w:sz="0" w:space="0" w:color="auto"/>
          <w:bottom w:val="none" w:sz="0" w:space="0" w:color="auto"/>
          <w:right w:val="none" w:sz="0" w:space="0" w:color="auto"/>
          <w:between w:val="none" w:sz="0" w:space="0" w:color="auto"/>
          <w:bar w:val="none" w:sz="0" w:color="auto"/>
        </w:pBdr>
        <w:spacing w:after="120" w:line="320" w:lineRule="exact"/>
        <w:ind w:left="360" w:hanging="360"/>
        <w:rPr>
          <w:sz w:val="24"/>
          <w:szCs w:val="24"/>
        </w:rPr>
      </w:pPr>
      <w:r w:rsidRPr="00C32693">
        <w:rPr>
          <w:sz w:val="24"/>
          <w:szCs w:val="24"/>
        </w:rPr>
        <w:t xml:space="preserve">Johnson, J.E., Bael, D.L., Sample, J.M., Lindgren, P.G., &amp; Kvale, D.L. (2017). Estimating the public health impact of air pollution for informing policy in the Twin Cities: A Minnesota tracking collaboration. </w:t>
      </w:r>
      <w:r w:rsidRPr="00C32693">
        <w:rPr>
          <w:i/>
          <w:sz w:val="24"/>
          <w:szCs w:val="24"/>
        </w:rPr>
        <w:t>Journal of Public Health Management and Practice</w:t>
      </w:r>
      <w:r w:rsidRPr="00C32693">
        <w:rPr>
          <w:sz w:val="24"/>
          <w:szCs w:val="24"/>
        </w:rPr>
        <w:t>, 23(Suppl 5), S45-S52.</w:t>
      </w:r>
    </w:p>
    <w:p w14:paraId="67E2BA5B" w14:textId="1593575B" w:rsidR="009D2206" w:rsidRPr="00DD5B55" w:rsidRDefault="009D2206" w:rsidP="00DD5B55">
      <w:pPr>
        <w:spacing w:after="120" w:line="320" w:lineRule="exact"/>
        <w:ind w:left="360" w:hanging="360"/>
        <w:rPr>
          <w:sz w:val="24"/>
          <w:szCs w:val="24"/>
        </w:rPr>
      </w:pPr>
      <w:r w:rsidRPr="00DD5B55">
        <w:rPr>
          <w:sz w:val="24"/>
          <w:szCs w:val="24"/>
        </w:rPr>
        <w:t>Morgan, D</w:t>
      </w:r>
      <w:r w:rsidR="00DD5B55" w:rsidRPr="00DD5B55">
        <w:rPr>
          <w:sz w:val="24"/>
          <w:szCs w:val="24"/>
        </w:rPr>
        <w:t>.</w:t>
      </w:r>
      <w:r w:rsidRPr="00DD5B55">
        <w:rPr>
          <w:sz w:val="24"/>
          <w:szCs w:val="24"/>
        </w:rPr>
        <w:t xml:space="preserve">L., </w:t>
      </w:r>
      <w:r w:rsidR="00DD5B55" w:rsidRPr="00DD5B55">
        <w:rPr>
          <w:sz w:val="24"/>
          <w:szCs w:val="24"/>
        </w:rPr>
        <w:t xml:space="preserve">&amp; </w:t>
      </w:r>
      <w:r w:rsidRPr="00DD5B55">
        <w:rPr>
          <w:sz w:val="24"/>
          <w:szCs w:val="24"/>
        </w:rPr>
        <w:t>Scannell, A</w:t>
      </w:r>
      <w:r w:rsidR="00DD5B55" w:rsidRPr="00DD5B55">
        <w:rPr>
          <w:sz w:val="24"/>
          <w:szCs w:val="24"/>
        </w:rPr>
        <w:t>.</w:t>
      </w:r>
      <w:r w:rsidRPr="00DD5B55">
        <w:rPr>
          <w:sz w:val="24"/>
          <w:szCs w:val="24"/>
        </w:rPr>
        <w:t xml:space="preserve">U. (1998). </w:t>
      </w:r>
      <w:r w:rsidRPr="00DD5B55">
        <w:rPr>
          <w:i/>
          <w:sz w:val="24"/>
          <w:szCs w:val="24"/>
        </w:rPr>
        <w:t>Planning Focus Groups</w:t>
      </w:r>
      <w:r w:rsidRPr="00DD5B55">
        <w:rPr>
          <w:sz w:val="24"/>
          <w:szCs w:val="24"/>
        </w:rPr>
        <w:t>. Thousand Oaks, CA: Sage.</w:t>
      </w:r>
    </w:p>
    <w:p w14:paraId="76562EE2" w14:textId="69D8E2C3" w:rsidR="009D2206" w:rsidRDefault="00DD5B55" w:rsidP="00DD5B55">
      <w:pPr>
        <w:pStyle w:val="NormalWeb"/>
        <w:spacing w:before="0" w:beforeAutospacing="0" w:after="120" w:afterAutospacing="0" w:line="320" w:lineRule="exact"/>
        <w:ind w:left="360" w:hanging="360"/>
        <w:rPr>
          <w:lang w:val="en"/>
        </w:rPr>
      </w:pPr>
      <w:r w:rsidRPr="00DD5B55">
        <w:rPr>
          <w:lang w:val="en"/>
        </w:rPr>
        <w:t xml:space="preserve">Russell, </w:t>
      </w:r>
      <w:r w:rsidR="009D2206" w:rsidRPr="00DD5B55">
        <w:rPr>
          <w:lang w:val="en"/>
        </w:rPr>
        <w:t>M</w:t>
      </w:r>
      <w:r w:rsidRPr="00DD5B55">
        <w:rPr>
          <w:lang w:val="en"/>
        </w:rPr>
        <w:t>.</w:t>
      </w:r>
      <w:r w:rsidR="009D2206" w:rsidRPr="00DD5B55">
        <w:rPr>
          <w:lang w:val="en"/>
        </w:rPr>
        <w:t>L., Moralejo, D</w:t>
      </w:r>
      <w:r w:rsidRPr="00DD5B55">
        <w:rPr>
          <w:lang w:val="en"/>
        </w:rPr>
        <w:t>.</w:t>
      </w:r>
      <w:r w:rsidR="009D2206" w:rsidRPr="00DD5B55">
        <w:rPr>
          <w:lang w:val="en"/>
        </w:rPr>
        <w:t>G.,</w:t>
      </w:r>
      <w:r w:rsidRPr="00DD5B55">
        <w:rPr>
          <w:lang w:val="en"/>
        </w:rPr>
        <w:t xml:space="preserve"> &amp;</w:t>
      </w:r>
      <w:r w:rsidR="009D2206" w:rsidRPr="00DD5B55">
        <w:rPr>
          <w:lang w:val="en"/>
        </w:rPr>
        <w:t xml:space="preserve"> Burgess, ED. (2000). Paying research subjects: Participants’ perspectives. </w:t>
      </w:r>
      <w:r w:rsidR="009D2206" w:rsidRPr="00DD5B55">
        <w:rPr>
          <w:i/>
          <w:lang w:val="en"/>
        </w:rPr>
        <w:t>Journal of Medical Ethics, 26</w:t>
      </w:r>
      <w:r w:rsidR="009D2206" w:rsidRPr="00DD5B55">
        <w:rPr>
          <w:lang w:val="en"/>
        </w:rPr>
        <w:t>(2), 126–130.</w:t>
      </w:r>
    </w:p>
    <w:p w14:paraId="40804E9F" w14:textId="1ECF2E6C" w:rsidR="00A83810" w:rsidRPr="009D2206" w:rsidRDefault="00A83810" w:rsidP="00DD5B55">
      <w:pPr>
        <w:pStyle w:val="NormalWeb"/>
        <w:spacing w:before="0" w:beforeAutospacing="0" w:after="120" w:afterAutospacing="0" w:line="320" w:lineRule="exact"/>
        <w:ind w:left="360" w:hanging="360"/>
        <w:rPr>
          <w:lang w:val="en"/>
        </w:rPr>
      </w:pPr>
      <w:r w:rsidRPr="00A83810">
        <w:rPr>
          <w:lang w:val="en"/>
        </w:rPr>
        <w:t xml:space="preserve">Singer, E. (2006). Nonresponse bias in household surveys. </w:t>
      </w:r>
      <w:r w:rsidRPr="00A83810">
        <w:rPr>
          <w:i/>
          <w:lang w:val="en"/>
        </w:rPr>
        <w:t>Public Opinion Quarterly</w:t>
      </w:r>
      <w:r w:rsidRPr="00A83810">
        <w:rPr>
          <w:lang w:val="en"/>
        </w:rPr>
        <w:t>, 70(5), 637-645.</w:t>
      </w:r>
    </w:p>
    <w:p w14:paraId="00ED92FF" w14:textId="77777777" w:rsidR="00366240" w:rsidRPr="00F12794" w:rsidRDefault="00366240" w:rsidP="00313B28">
      <w:pPr>
        <w:rPr>
          <w:b/>
          <w:bCs/>
          <w:sz w:val="24"/>
          <w:szCs w:val="24"/>
        </w:rPr>
      </w:pPr>
    </w:p>
    <w:p w14:paraId="352CE547" w14:textId="50E8FF70" w:rsidR="00313B28" w:rsidRPr="00F12794" w:rsidRDefault="00366240" w:rsidP="00313B28">
      <w:pPr>
        <w:rPr>
          <w:b/>
          <w:bCs/>
          <w:sz w:val="24"/>
          <w:szCs w:val="24"/>
        </w:rPr>
      </w:pPr>
      <w:r w:rsidRPr="00F12794">
        <w:rPr>
          <w:b/>
          <w:bCs/>
          <w:sz w:val="24"/>
          <w:szCs w:val="24"/>
        </w:rPr>
        <w:t xml:space="preserve">List of Study Material </w:t>
      </w:r>
      <w:r w:rsidR="002747A1">
        <w:rPr>
          <w:b/>
          <w:bCs/>
          <w:sz w:val="24"/>
          <w:szCs w:val="24"/>
        </w:rPr>
        <w:t>Attachments</w:t>
      </w:r>
      <w:r w:rsidR="00313B28" w:rsidRPr="00F12794">
        <w:rPr>
          <w:b/>
          <w:bCs/>
          <w:sz w:val="24"/>
          <w:szCs w:val="24"/>
        </w:rPr>
        <w:t>:</w:t>
      </w:r>
    </w:p>
    <w:p w14:paraId="7ABFB937" w14:textId="4F2E8599" w:rsidR="00D845B6" w:rsidRDefault="00A64DD6" w:rsidP="00050C21">
      <w:pPr>
        <w:spacing w:after="120" w:line="320" w:lineRule="exact"/>
        <w:rPr>
          <w:sz w:val="24"/>
          <w:szCs w:val="24"/>
        </w:rPr>
      </w:pPr>
      <w:r>
        <w:rPr>
          <w:sz w:val="24"/>
          <w:szCs w:val="24"/>
        </w:rPr>
        <w:t>Attachment</w:t>
      </w:r>
      <w:r w:rsidR="00DB025E">
        <w:rPr>
          <w:sz w:val="24"/>
          <w:szCs w:val="24"/>
        </w:rPr>
        <w:t xml:space="preserve"> A – Recruitment Screener</w:t>
      </w:r>
    </w:p>
    <w:p w14:paraId="22A9B3EE" w14:textId="32CA2D38" w:rsidR="00DB025E" w:rsidRDefault="00A64DD6" w:rsidP="00050C21">
      <w:pPr>
        <w:spacing w:after="120" w:line="320" w:lineRule="exact"/>
        <w:rPr>
          <w:sz w:val="24"/>
          <w:szCs w:val="24"/>
        </w:rPr>
      </w:pPr>
      <w:r>
        <w:rPr>
          <w:sz w:val="24"/>
          <w:szCs w:val="24"/>
        </w:rPr>
        <w:t>Attachment</w:t>
      </w:r>
      <w:r w:rsidR="00DB025E">
        <w:rPr>
          <w:sz w:val="24"/>
          <w:szCs w:val="24"/>
        </w:rPr>
        <w:t xml:space="preserve"> B – Informed Consent Form</w:t>
      </w:r>
    </w:p>
    <w:p w14:paraId="3F66CEA2" w14:textId="2EAD1F63" w:rsidR="00DB025E" w:rsidRDefault="00A64DD6" w:rsidP="00050C21">
      <w:pPr>
        <w:spacing w:after="120" w:line="320" w:lineRule="exact"/>
        <w:rPr>
          <w:sz w:val="24"/>
          <w:szCs w:val="24"/>
        </w:rPr>
      </w:pPr>
      <w:r>
        <w:rPr>
          <w:sz w:val="24"/>
          <w:szCs w:val="24"/>
        </w:rPr>
        <w:t>Attachment</w:t>
      </w:r>
      <w:r w:rsidR="00DB025E">
        <w:rPr>
          <w:sz w:val="24"/>
          <w:szCs w:val="24"/>
        </w:rPr>
        <w:t xml:space="preserve"> C – Moderator Guide</w:t>
      </w:r>
    </w:p>
    <w:p w14:paraId="3EB806C4" w14:textId="77777777" w:rsidR="00A21900" w:rsidRPr="00F12794" w:rsidRDefault="00A21900">
      <w:pPr>
        <w:rPr>
          <w:sz w:val="24"/>
          <w:szCs w:val="24"/>
        </w:rPr>
      </w:pPr>
    </w:p>
    <w:p w14:paraId="035EDC2C" w14:textId="77777777" w:rsidR="00215FFA" w:rsidRPr="00F12794" w:rsidRDefault="00215FFA">
      <w:pPr>
        <w:jc w:val="center"/>
        <w:rPr>
          <w:sz w:val="24"/>
          <w:szCs w:val="24"/>
          <w:u w:val="single"/>
        </w:rPr>
      </w:pPr>
    </w:p>
    <w:sectPr w:rsidR="00215FFA" w:rsidRPr="00F12794" w:rsidSect="00C82BE3">
      <w:footerReference w:type="default" r:id="rId9"/>
      <w:pgSz w:w="12240" w:h="15840"/>
      <w:pgMar w:top="835"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A4F8D" w14:textId="77777777" w:rsidR="002C5C31" w:rsidRDefault="002C5C31">
      <w:r>
        <w:separator/>
      </w:r>
    </w:p>
  </w:endnote>
  <w:endnote w:type="continuationSeparator" w:id="0">
    <w:p w14:paraId="78E13257" w14:textId="77777777" w:rsidR="002C5C31" w:rsidRDefault="002C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30E1" w14:textId="7016692C" w:rsidR="00676962" w:rsidRDefault="00676962">
    <w:pPr>
      <w:pStyle w:val="Footer"/>
      <w:jc w:val="right"/>
    </w:pPr>
    <w:r>
      <w:fldChar w:fldCharType="begin"/>
    </w:r>
    <w:r>
      <w:instrText xml:space="preserve"> PAGE </w:instrText>
    </w:r>
    <w:r>
      <w:fldChar w:fldCharType="separate"/>
    </w:r>
    <w:r w:rsidR="009C6C6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7F43C" w14:textId="77777777" w:rsidR="002C5C31" w:rsidRDefault="002C5C31">
      <w:r>
        <w:separator/>
      </w:r>
    </w:p>
  </w:footnote>
  <w:footnote w:type="continuationSeparator" w:id="0">
    <w:p w14:paraId="0F767DDF" w14:textId="77777777" w:rsidR="002C5C31" w:rsidRDefault="002C5C31">
      <w:r>
        <w:continuationSeparator/>
      </w:r>
    </w:p>
  </w:footnote>
  <w:footnote w:type="continuationNotice" w:id="1">
    <w:p w14:paraId="35E4A9BA" w14:textId="77777777" w:rsidR="002C5C31" w:rsidRDefault="002C5C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98"/>
    <w:multiLevelType w:val="hybridMultilevel"/>
    <w:tmpl w:val="B4FC9A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3D1217"/>
    <w:multiLevelType w:val="multilevel"/>
    <w:tmpl w:val="3F60CB7C"/>
    <w:styleLink w:val="List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nsid w:val="05F125C8"/>
    <w:multiLevelType w:val="hybridMultilevel"/>
    <w:tmpl w:val="512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D3004"/>
    <w:multiLevelType w:val="multilevel"/>
    <w:tmpl w:val="898E90AA"/>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
    <w:nsid w:val="220A0E1F"/>
    <w:multiLevelType w:val="multilevel"/>
    <w:tmpl w:val="BA583B04"/>
    <w:lvl w:ilvl="0">
      <w:start w:val="1"/>
      <w:numFmt w:val="decimal"/>
      <w:lvlText w:val="%1)"/>
      <w:lvlJc w:val="left"/>
      <w:pPr>
        <w:tabs>
          <w:tab w:val="num" w:pos="1080"/>
        </w:tabs>
        <w:ind w:left="1080" w:hanging="360"/>
      </w:pPr>
      <w:rPr>
        <w:color w:val="000000"/>
        <w:position w:val="0"/>
        <w:sz w:val="24"/>
        <w:szCs w:val="24"/>
        <w:u w:color="000000"/>
        <w:rtl w:val="0"/>
      </w:rPr>
    </w:lvl>
    <w:lvl w:ilvl="1">
      <w:start w:val="1"/>
      <w:numFmt w:val="lowerLetter"/>
      <w:lvlText w:val="%2."/>
      <w:lvlJc w:val="left"/>
      <w:pPr>
        <w:tabs>
          <w:tab w:val="num" w:pos="1800"/>
        </w:tabs>
        <w:ind w:left="1800" w:hanging="360"/>
      </w:pPr>
      <w:rPr>
        <w:color w:val="000000"/>
        <w:position w:val="0"/>
        <w:sz w:val="24"/>
        <w:szCs w:val="24"/>
        <w:u w:color="000000"/>
        <w:rtl w:val="0"/>
      </w:rPr>
    </w:lvl>
    <w:lvl w:ilvl="2">
      <w:start w:val="1"/>
      <w:numFmt w:val="lowerRoman"/>
      <w:lvlText w:val="%3."/>
      <w:lvlJc w:val="left"/>
      <w:pPr>
        <w:tabs>
          <w:tab w:val="num" w:pos="2520"/>
        </w:tabs>
        <w:ind w:left="2520" w:hanging="296"/>
      </w:pPr>
      <w:rPr>
        <w:color w:val="000000"/>
        <w:position w:val="0"/>
        <w:sz w:val="24"/>
        <w:szCs w:val="24"/>
        <w:u w:color="000000"/>
        <w:rtl w:val="0"/>
      </w:rPr>
    </w:lvl>
    <w:lvl w:ilvl="3">
      <w:start w:val="1"/>
      <w:numFmt w:val="decimal"/>
      <w:lvlText w:val="%4."/>
      <w:lvlJc w:val="left"/>
      <w:pPr>
        <w:tabs>
          <w:tab w:val="num" w:pos="3240"/>
        </w:tabs>
        <w:ind w:left="3240" w:hanging="360"/>
      </w:pPr>
      <w:rPr>
        <w:color w:val="000000"/>
        <w:position w:val="0"/>
        <w:sz w:val="24"/>
        <w:szCs w:val="24"/>
        <w:u w:color="000000"/>
        <w:rtl w:val="0"/>
      </w:rPr>
    </w:lvl>
    <w:lvl w:ilvl="4">
      <w:start w:val="1"/>
      <w:numFmt w:val="lowerLetter"/>
      <w:lvlText w:val="%5."/>
      <w:lvlJc w:val="left"/>
      <w:pPr>
        <w:tabs>
          <w:tab w:val="num" w:pos="3960"/>
        </w:tabs>
        <w:ind w:left="3960" w:hanging="360"/>
      </w:pPr>
      <w:rPr>
        <w:color w:val="000000"/>
        <w:position w:val="0"/>
        <w:sz w:val="24"/>
        <w:szCs w:val="24"/>
        <w:u w:color="000000"/>
        <w:rtl w:val="0"/>
      </w:rPr>
    </w:lvl>
    <w:lvl w:ilvl="5">
      <w:start w:val="1"/>
      <w:numFmt w:val="lowerRoman"/>
      <w:lvlText w:val="%6."/>
      <w:lvlJc w:val="left"/>
      <w:pPr>
        <w:tabs>
          <w:tab w:val="num" w:pos="4680"/>
        </w:tabs>
        <w:ind w:left="4680" w:hanging="296"/>
      </w:pPr>
      <w:rPr>
        <w:color w:val="000000"/>
        <w:position w:val="0"/>
        <w:sz w:val="24"/>
        <w:szCs w:val="24"/>
        <w:u w:color="000000"/>
        <w:rtl w:val="0"/>
      </w:rPr>
    </w:lvl>
    <w:lvl w:ilvl="6">
      <w:start w:val="1"/>
      <w:numFmt w:val="decimal"/>
      <w:lvlText w:val="%7."/>
      <w:lvlJc w:val="left"/>
      <w:pPr>
        <w:tabs>
          <w:tab w:val="num" w:pos="5400"/>
        </w:tabs>
        <w:ind w:left="5400" w:hanging="360"/>
      </w:pPr>
      <w:rPr>
        <w:color w:val="000000"/>
        <w:position w:val="0"/>
        <w:sz w:val="24"/>
        <w:szCs w:val="24"/>
        <w:u w:color="000000"/>
        <w:rtl w:val="0"/>
      </w:rPr>
    </w:lvl>
    <w:lvl w:ilvl="7">
      <w:start w:val="1"/>
      <w:numFmt w:val="lowerLetter"/>
      <w:lvlText w:val="%8."/>
      <w:lvlJc w:val="left"/>
      <w:pPr>
        <w:tabs>
          <w:tab w:val="num" w:pos="6120"/>
        </w:tabs>
        <w:ind w:left="6120" w:hanging="360"/>
      </w:pPr>
      <w:rPr>
        <w:color w:val="000000"/>
        <w:position w:val="0"/>
        <w:sz w:val="24"/>
        <w:szCs w:val="24"/>
        <w:u w:color="000000"/>
        <w:rtl w:val="0"/>
      </w:rPr>
    </w:lvl>
    <w:lvl w:ilvl="8">
      <w:start w:val="1"/>
      <w:numFmt w:val="lowerRoman"/>
      <w:lvlText w:val="%9."/>
      <w:lvlJc w:val="left"/>
      <w:pPr>
        <w:tabs>
          <w:tab w:val="num" w:pos="6840"/>
        </w:tabs>
        <w:ind w:left="6840" w:hanging="296"/>
      </w:pPr>
      <w:rPr>
        <w:color w:val="000000"/>
        <w:position w:val="0"/>
        <w:sz w:val="24"/>
        <w:szCs w:val="24"/>
        <w:u w:color="000000"/>
        <w:rtl w:val="0"/>
      </w:rPr>
    </w:lvl>
  </w:abstractNum>
  <w:abstractNum w:abstractNumId="5">
    <w:nsid w:val="23CF72A6"/>
    <w:multiLevelType w:val="multilevel"/>
    <w:tmpl w:val="201C16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29D170C6"/>
    <w:multiLevelType w:val="multilevel"/>
    <w:tmpl w:val="42343248"/>
    <w:styleLink w:val="List31"/>
    <w:lvl w:ilvl="0">
      <w:start w:val="1"/>
      <w:numFmt w:val="bullet"/>
      <w:lvlText w:val="•"/>
      <w:lvlJc w:val="left"/>
      <w:pPr>
        <w:tabs>
          <w:tab w:val="num" w:pos="720"/>
        </w:tabs>
        <w:ind w:left="720" w:hanging="360"/>
      </w:pPr>
      <w:rPr>
        <w:b/>
        <w:bCs/>
        <w:color w:val="000000"/>
        <w:position w:val="0"/>
        <w:sz w:val="20"/>
        <w:szCs w:val="20"/>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7">
    <w:nsid w:val="2D125A29"/>
    <w:multiLevelType w:val="multilevel"/>
    <w:tmpl w:val="1CA2CF0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305D1F17"/>
    <w:multiLevelType w:val="multilevel"/>
    <w:tmpl w:val="EA6493F2"/>
    <w:styleLink w:val="List0"/>
    <w:lvl w:ilvl="0">
      <w:start w:val="1"/>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9">
    <w:nsid w:val="3E075E2C"/>
    <w:multiLevelType w:val="multilevel"/>
    <w:tmpl w:val="36F6D9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44B80839"/>
    <w:multiLevelType w:val="hybridMultilevel"/>
    <w:tmpl w:val="4EE4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74DBC"/>
    <w:multiLevelType w:val="multilevel"/>
    <w:tmpl w:val="F528A7CE"/>
    <w:lvl w:ilvl="0">
      <w:start w:val="1"/>
      <w:numFmt w:val="bullet"/>
      <w:lvlText w:val="•"/>
      <w:lvlJc w:val="left"/>
      <w:pPr>
        <w:tabs>
          <w:tab w:val="num" w:pos="720"/>
        </w:tabs>
        <w:ind w:left="720" w:hanging="360"/>
      </w:pPr>
      <w:rPr>
        <w:b/>
        <w:bCs/>
        <w:color w:val="000000"/>
        <w:position w:val="0"/>
        <w:sz w:val="24"/>
        <w:szCs w:val="24"/>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2">
    <w:nsid w:val="4AC7666D"/>
    <w:multiLevelType w:val="multilevel"/>
    <w:tmpl w:val="718ECB3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4ED346A4"/>
    <w:multiLevelType w:val="hybridMultilevel"/>
    <w:tmpl w:val="B60A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B2AEB"/>
    <w:multiLevelType w:val="multilevel"/>
    <w:tmpl w:val="755CE54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50BC7389"/>
    <w:multiLevelType w:val="multilevel"/>
    <w:tmpl w:val="195638EA"/>
    <w:styleLink w:val="List51"/>
    <w:lvl w:ilvl="0">
      <w:start w:val="1"/>
      <w:numFmt w:val="bullet"/>
      <w:lvlText w:val="•"/>
      <w:lvlJc w:val="left"/>
      <w:pPr>
        <w:tabs>
          <w:tab w:val="num" w:pos="720"/>
        </w:tabs>
        <w:ind w:left="720" w:hanging="360"/>
      </w:pPr>
      <w:rPr>
        <w:b/>
        <w:bCs/>
        <w:color w:val="000000"/>
        <w:position w:val="0"/>
        <w:sz w:val="20"/>
        <w:szCs w:val="20"/>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6">
    <w:nsid w:val="53133480"/>
    <w:multiLevelType w:val="multilevel"/>
    <w:tmpl w:val="95E4F75E"/>
    <w:styleLink w:val="List41"/>
    <w:lvl w:ilvl="0">
      <w:start w:val="1"/>
      <w:numFmt w:val="decimal"/>
      <w:lvlText w:val="%1)"/>
      <w:lvlJc w:val="left"/>
      <w:pPr>
        <w:tabs>
          <w:tab w:val="num" w:pos="1080"/>
        </w:tabs>
        <w:ind w:left="1080" w:hanging="360"/>
      </w:pPr>
      <w:rPr>
        <w:color w:val="000000"/>
        <w:position w:val="0"/>
        <w:sz w:val="24"/>
        <w:szCs w:val="24"/>
        <w:u w:color="000000"/>
        <w:rtl w:val="0"/>
      </w:rPr>
    </w:lvl>
    <w:lvl w:ilvl="1">
      <w:start w:val="1"/>
      <w:numFmt w:val="lowerLetter"/>
      <w:lvlText w:val="%2."/>
      <w:lvlJc w:val="left"/>
      <w:pPr>
        <w:tabs>
          <w:tab w:val="num" w:pos="1800"/>
        </w:tabs>
        <w:ind w:left="1800" w:hanging="360"/>
      </w:pPr>
      <w:rPr>
        <w:color w:val="000000"/>
        <w:position w:val="0"/>
        <w:sz w:val="24"/>
        <w:szCs w:val="24"/>
        <w:u w:color="000000"/>
        <w:rtl w:val="0"/>
      </w:rPr>
    </w:lvl>
    <w:lvl w:ilvl="2">
      <w:start w:val="1"/>
      <w:numFmt w:val="lowerRoman"/>
      <w:lvlText w:val="%3."/>
      <w:lvlJc w:val="left"/>
      <w:pPr>
        <w:tabs>
          <w:tab w:val="num" w:pos="2520"/>
        </w:tabs>
        <w:ind w:left="2520" w:hanging="296"/>
      </w:pPr>
      <w:rPr>
        <w:color w:val="000000"/>
        <w:position w:val="0"/>
        <w:sz w:val="24"/>
        <w:szCs w:val="24"/>
        <w:u w:color="000000"/>
        <w:rtl w:val="0"/>
      </w:rPr>
    </w:lvl>
    <w:lvl w:ilvl="3">
      <w:start w:val="1"/>
      <w:numFmt w:val="decimal"/>
      <w:lvlText w:val="%4."/>
      <w:lvlJc w:val="left"/>
      <w:pPr>
        <w:tabs>
          <w:tab w:val="num" w:pos="3240"/>
        </w:tabs>
        <w:ind w:left="3240" w:hanging="360"/>
      </w:pPr>
      <w:rPr>
        <w:color w:val="000000"/>
        <w:position w:val="0"/>
        <w:sz w:val="24"/>
        <w:szCs w:val="24"/>
        <w:u w:color="000000"/>
        <w:rtl w:val="0"/>
      </w:rPr>
    </w:lvl>
    <w:lvl w:ilvl="4">
      <w:start w:val="1"/>
      <w:numFmt w:val="lowerLetter"/>
      <w:lvlText w:val="%5."/>
      <w:lvlJc w:val="left"/>
      <w:pPr>
        <w:tabs>
          <w:tab w:val="num" w:pos="3960"/>
        </w:tabs>
        <w:ind w:left="3960" w:hanging="360"/>
      </w:pPr>
      <w:rPr>
        <w:color w:val="000000"/>
        <w:position w:val="0"/>
        <w:sz w:val="24"/>
        <w:szCs w:val="24"/>
        <w:u w:color="000000"/>
        <w:rtl w:val="0"/>
      </w:rPr>
    </w:lvl>
    <w:lvl w:ilvl="5">
      <w:start w:val="1"/>
      <w:numFmt w:val="lowerRoman"/>
      <w:lvlText w:val="%6."/>
      <w:lvlJc w:val="left"/>
      <w:pPr>
        <w:tabs>
          <w:tab w:val="num" w:pos="4680"/>
        </w:tabs>
        <w:ind w:left="4680" w:hanging="296"/>
      </w:pPr>
      <w:rPr>
        <w:color w:val="000000"/>
        <w:position w:val="0"/>
        <w:sz w:val="24"/>
        <w:szCs w:val="24"/>
        <w:u w:color="000000"/>
        <w:rtl w:val="0"/>
      </w:rPr>
    </w:lvl>
    <w:lvl w:ilvl="6">
      <w:start w:val="1"/>
      <w:numFmt w:val="decimal"/>
      <w:lvlText w:val="%7."/>
      <w:lvlJc w:val="left"/>
      <w:pPr>
        <w:tabs>
          <w:tab w:val="num" w:pos="5400"/>
        </w:tabs>
        <w:ind w:left="5400" w:hanging="360"/>
      </w:pPr>
      <w:rPr>
        <w:color w:val="000000"/>
        <w:position w:val="0"/>
        <w:sz w:val="24"/>
        <w:szCs w:val="24"/>
        <w:u w:color="000000"/>
        <w:rtl w:val="0"/>
      </w:rPr>
    </w:lvl>
    <w:lvl w:ilvl="7">
      <w:start w:val="1"/>
      <w:numFmt w:val="lowerLetter"/>
      <w:lvlText w:val="%8."/>
      <w:lvlJc w:val="left"/>
      <w:pPr>
        <w:tabs>
          <w:tab w:val="num" w:pos="6120"/>
        </w:tabs>
        <w:ind w:left="6120" w:hanging="360"/>
      </w:pPr>
      <w:rPr>
        <w:color w:val="000000"/>
        <w:position w:val="0"/>
        <w:sz w:val="24"/>
        <w:szCs w:val="24"/>
        <w:u w:color="000000"/>
        <w:rtl w:val="0"/>
      </w:rPr>
    </w:lvl>
    <w:lvl w:ilvl="8">
      <w:start w:val="1"/>
      <w:numFmt w:val="lowerRoman"/>
      <w:lvlText w:val="%9."/>
      <w:lvlJc w:val="left"/>
      <w:pPr>
        <w:tabs>
          <w:tab w:val="num" w:pos="6840"/>
        </w:tabs>
        <w:ind w:left="6840" w:hanging="296"/>
      </w:pPr>
      <w:rPr>
        <w:color w:val="000000"/>
        <w:position w:val="0"/>
        <w:sz w:val="24"/>
        <w:szCs w:val="24"/>
        <w:u w:color="000000"/>
        <w:rtl w:val="0"/>
      </w:rPr>
    </w:lvl>
  </w:abstractNum>
  <w:abstractNum w:abstractNumId="17">
    <w:nsid w:val="57F33FD5"/>
    <w:multiLevelType w:val="hybridMultilevel"/>
    <w:tmpl w:val="CA1AF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3766F9"/>
    <w:multiLevelType w:val="hybridMultilevel"/>
    <w:tmpl w:val="49DA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0E15"/>
    <w:multiLevelType w:val="hybridMultilevel"/>
    <w:tmpl w:val="FC3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1A5860"/>
    <w:multiLevelType w:val="multilevel"/>
    <w:tmpl w:val="3566E710"/>
    <w:styleLink w:val="List2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1">
    <w:nsid w:val="78703904"/>
    <w:multiLevelType w:val="multilevel"/>
    <w:tmpl w:val="28D00F98"/>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2">
    <w:nsid w:val="79BC71A0"/>
    <w:multiLevelType w:val="multilevel"/>
    <w:tmpl w:val="9DC87162"/>
    <w:lvl w:ilvl="0">
      <w:start w:val="1"/>
      <w:numFmt w:val="bullet"/>
      <w:lvlText w:val="•"/>
      <w:lvlJc w:val="left"/>
      <w:pPr>
        <w:tabs>
          <w:tab w:val="num" w:pos="720"/>
        </w:tabs>
        <w:ind w:left="720" w:hanging="360"/>
      </w:pPr>
      <w:rPr>
        <w:color w:val="000000"/>
        <w:position w:val="0"/>
        <w:sz w:val="24"/>
        <w:szCs w:val="24"/>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23">
    <w:nsid w:val="7BC04947"/>
    <w:multiLevelType w:val="multilevel"/>
    <w:tmpl w:val="BE0C82D4"/>
    <w:lvl w:ilvl="0">
      <w:start w:val="1"/>
      <w:numFmt w:val="bullet"/>
      <w:lvlText w:val="•"/>
      <w:lvlJc w:val="left"/>
      <w:pPr>
        <w:tabs>
          <w:tab w:val="num" w:pos="720"/>
        </w:tabs>
        <w:ind w:left="720" w:hanging="360"/>
      </w:pPr>
      <w:rPr>
        <w:b/>
        <w:bCs/>
        <w:color w:val="000000"/>
        <w:position w:val="0"/>
        <w:sz w:val="24"/>
        <w:szCs w:val="24"/>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24">
    <w:nsid w:val="7D033E84"/>
    <w:multiLevelType w:val="multilevel"/>
    <w:tmpl w:val="3B98CA6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22"/>
  </w:num>
  <w:num w:numId="2">
    <w:abstractNumId w:val="7"/>
  </w:num>
  <w:num w:numId="3">
    <w:abstractNumId w:val="8"/>
  </w:num>
  <w:num w:numId="4">
    <w:abstractNumId w:val="3"/>
  </w:num>
  <w:num w:numId="5">
    <w:abstractNumId w:val="5"/>
  </w:num>
  <w:num w:numId="6">
    <w:abstractNumId w:val="1"/>
  </w:num>
  <w:num w:numId="7">
    <w:abstractNumId w:val="21"/>
  </w:num>
  <w:num w:numId="8">
    <w:abstractNumId w:val="9"/>
  </w:num>
  <w:num w:numId="9">
    <w:abstractNumId w:val="20"/>
  </w:num>
  <w:num w:numId="10">
    <w:abstractNumId w:val="23"/>
  </w:num>
  <w:num w:numId="11">
    <w:abstractNumId w:val="14"/>
  </w:num>
  <w:num w:numId="12">
    <w:abstractNumId w:val="6"/>
  </w:num>
  <w:num w:numId="13">
    <w:abstractNumId w:val="4"/>
  </w:num>
  <w:num w:numId="14">
    <w:abstractNumId w:val="12"/>
  </w:num>
  <w:num w:numId="15">
    <w:abstractNumId w:val="16"/>
  </w:num>
  <w:num w:numId="16">
    <w:abstractNumId w:val="11"/>
  </w:num>
  <w:num w:numId="17">
    <w:abstractNumId w:val="24"/>
  </w:num>
  <w:num w:numId="18">
    <w:abstractNumId w:val="15"/>
  </w:num>
  <w:num w:numId="19">
    <w:abstractNumId w:val="18"/>
  </w:num>
  <w:num w:numId="20">
    <w:abstractNumId w:val="0"/>
  </w:num>
  <w:num w:numId="21">
    <w:abstractNumId w:val="19"/>
  </w:num>
  <w:num w:numId="22">
    <w:abstractNumId w:val="2"/>
  </w:num>
  <w:num w:numId="23">
    <w:abstractNumId w:val="10"/>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FA"/>
    <w:rsid w:val="000071FE"/>
    <w:rsid w:val="000120D1"/>
    <w:rsid w:val="00012ACB"/>
    <w:rsid w:val="000139E8"/>
    <w:rsid w:val="000146A2"/>
    <w:rsid w:val="00014708"/>
    <w:rsid w:val="00015AED"/>
    <w:rsid w:val="0002351F"/>
    <w:rsid w:val="00025A65"/>
    <w:rsid w:val="00031637"/>
    <w:rsid w:val="000413BB"/>
    <w:rsid w:val="00043BDC"/>
    <w:rsid w:val="00045B4C"/>
    <w:rsid w:val="00046F28"/>
    <w:rsid w:val="00050C21"/>
    <w:rsid w:val="00065084"/>
    <w:rsid w:val="000675CE"/>
    <w:rsid w:val="00067840"/>
    <w:rsid w:val="00073735"/>
    <w:rsid w:val="000767E2"/>
    <w:rsid w:val="00076AB5"/>
    <w:rsid w:val="0008147D"/>
    <w:rsid w:val="00081613"/>
    <w:rsid w:val="000828F5"/>
    <w:rsid w:val="0008297E"/>
    <w:rsid w:val="00085DE7"/>
    <w:rsid w:val="000903B8"/>
    <w:rsid w:val="000A0B52"/>
    <w:rsid w:val="000A55E1"/>
    <w:rsid w:val="000A5BB4"/>
    <w:rsid w:val="000B2E20"/>
    <w:rsid w:val="000B7383"/>
    <w:rsid w:val="000C316E"/>
    <w:rsid w:val="000C3FA1"/>
    <w:rsid w:val="000D2A64"/>
    <w:rsid w:val="000D64A8"/>
    <w:rsid w:val="000E3B19"/>
    <w:rsid w:val="000E4AFD"/>
    <w:rsid w:val="000F2175"/>
    <w:rsid w:val="000F4891"/>
    <w:rsid w:val="00126512"/>
    <w:rsid w:val="00126F5D"/>
    <w:rsid w:val="00127158"/>
    <w:rsid w:val="001440D7"/>
    <w:rsid w:val="001447E3"/>
    <w:rsid w:val="0014640C"/>
    <w:rsid w:val="001504C6"/>
    <w:rsid w:val="001514A6"/>
    <w:rsid w:val="0015595A"/>
    <w:rsid w:val="00155B98"/>
    <w:rsid w:val="0016236E"/>
    <w:rsid w:val="001646FD"/>
    <w:rsid w:val="00173A1A"/>
    <w:rsid w:val="001753F2"/>
    <w:rsid w:val="00183401"/>
    <w:rsid w:val="0019009E"/>
    <w:rsid w:val="001919DE"/>
    <w:rsid w:val="001A3B51"/>
    <w:rsid w:val="001A5094"/>
    <w:rsid w:val="001B3D21"/>
    <w:rsid w:val="001B4DAC"/>
    <w:rsid w:val="001B71F7"/>
    <w:rsid w:val="001C43A0"/>
    <w:rsid w:val="001C65E1"/>
    <w:rsid w:val="001E0A8C"/>
    <w:rsid w:val="001E127F"/>
    <w:rsid w:val="001E23F5"/>
    <w:rsid w:val="001E2A5C"/>
    <w:rsid w:val="001E6BE6"/>
    <w:rsid w:val="001F2F86"/>
    <w:rsid w:val="001F42E6"/>
    <w:rsid w:val="00200D11"/>
    <w:rsid w:val="00202191"/>
    <w:rsid w:val="00203353"/>
    <w:rsid w:val="002037F8"/>
    <w:rsid w:val="00204142"/>
    <w:rsid w:val="00214C08"/>
    <w:rsid w:val="00215FFA"/>
    <w:rsid w:val="00216F66"/>
    <w:rsid w:val="002213FB"/>
    <w:rsid w:val="00221F50"/>
    <w:rsid w:val="00234CB7"/>
    <w:rsid w:val="00235234"/>
    <w:rsid w:val="00236247"/>
    <w:rsid w:val="0024019C"/>
    <w:rsid w:val="0024349F"/>
    <w:rsid w:val="00243B10"/>
    <w:rsid w:val="002506EC"/>
    <w:rsid w:val="00252D44"/>
    <w:rsid w:val="00257555"/>
    <w:rsid w:val="00257685"/>
    <w:rsid w:val="00257F11"/>
    <w:rsid w:val="00260186"/>
    <w:rsid w:val="0026160F"/>
    <w:rsid w:val="00263FF9"/>
    <w:rsid w:val="002676DD"/>
    <w:rsid w:val="00267A99"/>
    <w:rsid w:val="0027051B"/>
    <w:rsid w:val="00270630"/>
    <w:rsid w:val="002747A1"/>
    <w:rsid w:val="00276D9F"/>
    <w:rsid w:val="00282141"/>
    <w:rsid w:val="002831CA"/>
    <w:rsid w:val="00286FDF"/>
    <w:rsid w:val="00296B4C"/>
    <w:rsid w:val="002A357E"/>
    <w:rsid w:val="002A3B75"/>
    <w:rsid w:val="002A587B"/>
    <w:rsid w:val="002A7648"/>
    <w:rsid w:val="002B2075"/>
    <w:rsid w:val="002B37C9"/>
    <w:rsid w:val="002B6E67"/>
    <w:rsid w:val="002C5214"/>
    <w:rsid w:val="002C5C31"/>
    <w:rsid w:val="002C5E13"/>
    <w:rsid w:val="002C7DA5"/>
    <w:rsid w:val="002D2CAB"/>
    <w:rsid w:val="002E0590"/>
    <w:rsid w:val="002E3CE3"/>
    <w:rsid w:val="002E720F"/>
    <w:rsid w:val="002F0214"/>
    <w:rsid w:val="002F1936"/>
    <w:rsid w:val="002F413B"/>
    <w:rsid w:val="002F66DF"/>
    <w:rsid w:val="00302B20"/>
    <w:rsid w:val="00303B56"/>
    <w:rsid w:val="00306AC4"/>
    <w:rsid w:val="0030735A"/>
    <w:rsid w:val="003139B0"/>
    <w:rsid w:val="00313B28"/>
    <w:rsid w:val="00316C50"/>
    <w:rsid w:val="00322D48"/>
    <w:rsid w:val="00323477"/>
    <w:rsid w:val="00331116"/>
    <w:rsid w:val="00344D25"/>
    <w:rsid w:val="00356A7B"/>
    <w:rsid w:val="00357C75"/>
    <w:rsid w:val="00361BCA"/>
    <w:rsid w:val="00366240"/>
    <w:rsid w:val="00370554"/>
    <w:rsid w:val="0037478A"/>
    <w:rsid w:val="003752D1"/>
    <w:rsid w:val="00380F14"/>
    <w:rsid w:val="003827A9"/>
    <w:rsid w:val="003877D9"/>
    <w:rsid w:val="003A2F9D"/>
    <w:rsid w:val="003B6912"/>
    <w:rsid w:val="003C02C6"/>
    <w:rsid w:val="003D114D"/>
    <w:rsid w:val="003F2C38"/>
    <w:rsid w:val="003F3E11"/>
    <w:rsid w:val="00400130"/>
    <w:rsid w:val="004014F6"/>
    <w:rsid w:val="00413465"/>
    <w:rsid w:val="004155C1"/>
    <w:rsid w:val="00420861"/>
    <w:rsid w:val="00423BFC"/>
    <w:rsid w:val="00425892"/>
    <w:rsid w:val="00426E22"/>
    <w:rsid w:val="00432C78"/>
    <w:rsid w:val="00432ECE"/>
    <w:rsid w:val="004338AD"/>
    <w:rsid w:val="004444DF"/>
    <w:rsid w:val="00447D8F"/>
    <w:rsid w:val="00461A79"/>
    <w:rsid w:val="004656A4"/>
    <w:rsid w:val="00466347"/>
    <w:rsid w:val="00473D2C"/>
    <w:rsid w:val="004753D9"/>
    <w:rsid w:val="00476D99"/>
    <w:rsid w:val="004862C1"/>
    <w:rsid w:val="004A1243"/>
    <w:rsid w:val="004A1414"/>
    <w:rsid w:val="004A221B"/>
    <w:rsid w:val="004A2D26"/>
    <w:rsid w:val="004A2D80"/>
    <w:rsid w:val="004B1A7E"/>
    <w:rsid w:val="004B6F0A"/>
    <w:rsid w:val="004C6AA7"/>
    <w:rsid w:val="004D0196"/>
    <w:rsid w:val="004F197E"/>
    <w:rsid w:val="004F2F70"/>
    <w:rsid w:val="004F4528"/>
    <w:rsid w:val="004F5E7B"/>
    <w:rsid w:val="004F616F"/>
    <w:rsid w:val="004F688C"/>
    <w:rsid w:val="00501B29"/>
    <w:rsid w:val="005048C8"/>
    <w:rsid w:val="0051611A"/>
    <w:rsid w:val="0051774F"/>
    <w:rsid w:val="00517E0E"/>
    <w:rsid w:val="00520AE6"/>
    <w:rsid w:val="00521942"/>
    <w:rsid w:val="00522ADC"/>
    <w:rsid w:val="00524A38"/>
    <w:rsid w:val="005279EA"/>
    <w:rsid w:val="00531C54"/>
    <w:rsid w:val="00531CFC"/>
    <w:rsid w:val="00535897"/>
    <w:rsid w:val="00547976"/>
    <w:rsid w:val="00552286"/>
    <w:rsid w:val="0056182A"/>
    <w:rsid w:val="00565932"/>
    <w:rsid w:val="0056605D"/>
    <w:rsid w:val="00567CA5"/>
    <w:rsid w:val="00580BB9"/>
    <w:rsid w:val="00581BFB"/>
    <w:rsid w:val="0058253F"/>
    <w:rsid w:val="00585C2F"/>
    <w:rsid w:val="005A1BF7"/>
    <w:rsid w:val="005B11D4"/>
    <w:rsid w:val="005B29F3"/>
    <w:rsid w:val="005B315C"/>
    <w:rsid w:val="005D629B"/>
    <w:rsid w:val="005D62DC"/>
    <w:rsid w:val="005E1229"/>
    <w:rsid w:val="005F08AF"/>
    <w:rsid w:val="006016F5"/>
    <w:rsid w:val="006026BA"/>
    <w:rsid w:val="00603534"/>
    <w:rsid w:val="00604E7D"/>
    <w:rsid w:val="00607C6A"/>
    <w:rsid w:val="006165D9"/>
    <w:rsid w:val="00617209"/>
    <w:rsid w:val="00624E55"/>
    <w:rsid w:val="00626880"/>
    <w:rsid w:val="006333E0"/>
    <w:rsid w:val="00633983"/>
    <w:rsid w:val="006367B9"/>
    <w:rsid w:val="00636D4D"/>
    <w:rsid w:val="0064520F"/>
    <w:rsid w:val="00652543"/>
    <w:rsid w:val="00652DBD"/>
    <w:rsid w:val="006539C8"/>
    <w:rsid w:val="0066040B"/>
    <w:rsid w:val="00662F5D"/>
    <w:rsid w:val="006641AD"/>
    <w:rsid w:val="00672B22"/>
    <w:rsid w:val="00673047"/>
    <w:rsid w:val="0067333F"/>
    <w:rsid w:val="00673EB0"/>
    <w:rsid w:val="00676962"/>
    <w:rsid w:val="006847DF"/>
    <w:rsid w:val="00684F31"/>
    <w:rsid w:val="00687878"/>
    <w:rsid w:val="00692D32"/>
    <w:rsid w:val="006934E5"/>
    <w:rsid w:val="006945E5"/>
    <w:rsid w:val="00695144"/>
    <w:rsid w:val="006962EA"/>
    <w:rsid w:val="006A073A"/>
    <w:rsid w:val="006B0ABA"/>
    <w:rsid w:val="006B193C"/>
    <w:rsid w:val="006B1AE0"/>
    <w:rsid w:val="006B22F3"/>
    <w:rsid w:val="006B7012"/>
    <w:rsid w:val="006B7560"/>
    <w:rsid w:val="006C35BC"/>
    <w:rsid w:val="006C5BB0"/>
    <w:rsid w:val="006C5BDA"/>
    <w:rsid w:val="006D5167"/>
    <w:rsid w:val="006E22D6"/>
    <w:rsid w:val="006E6BE0"/>
    <w:rsid w:val="006E7BAF"/>
    <w:rsid w:val="00702177"/>
    <w:rsid w:val="00705738"/>
    <w:rsid w:val="0071178C"/>
    <w:rsid w:val="0071284C"/>
    <w:rsid w:val="00712997"/>
    <w:rsid w:val="00717156"/>
    <w:rsid w:val="00717E56"/>
    <w:rsid w:val="007200C7"/>
    <w:rsid w:val="00720446"/>
    <w:rsid w:val="007227E2"/>
    <w:rsid w:val="0072504B"/>
    <w:rsid w:val="00725343"/>
    <w:rsid w:val="00725653"/>
    <w:rsid w:val="00727E5A"/>
    <w:rsid w:val="00730205"/>
    <w:rsid w:val="00730B7B"/>
    <w:rsid w:val="00732909"/>
    <w:rsid w:val="00733A5F"/>
    <w:rsid w:val="007378D3"/>
    <w:rsid w:val="00743842"/>
    <w:rsid w:val="00772D7B"/>
    <w:rsid w:val="00773047"/>
    <w:rsid w:val="007738A4"/>
    <w:rsid w:val="00787F97"/>
    <w:rsid w:val="0079144D"/>
    <w:rsid w:val="0079309C"/>
    <w:rsid w:val="00793C79"/>
    <w:rsid w:val="007A2D1B"/>
    <w:rsid w:val="007B0E12"/>
    <w:rsid w:val="007B2B83"/>
    <w:rsid w:val="007B4C24"/>
    <w:rsid w:val="007C0DB1"/>
    <w:rsid w:val="007C366A"/>
    <w:rsid w:val="007C472A"/>
    <w:rsid w:val="007C72FC"/>
    <w:rsid w:val="007C752B"/>
    <w:rsid w:val="007D1991"/>
    <w:rsid w:val="007D7953"/>
    <w:rsid w:val="007D7A4B"/>
    <w:rsid w:val="007E3C5B"/>
    <w:rsid w:val="007F5105"/>
    <w:rsid w:val="007F5E02"/>
    <w:rsid w:val="00801939"/>
    <w:rsid w:val="008077D3"/>
    <w:rsid w:val="00807E42"/>
    <w:rsid w:val="00810602"/>
    <w:rsid w:val="00812953"/>
    <w:rsid w:val="00814984"/>
    <w:rsid w:val="008157D0"/>
    <w:rsid w:val="0081730B"/>
    <w:rsid w:val="00823786"/>
    <w:rsid w:val="00823D64"/>
    <w:rsid w:val="00824535"/>
    <w:rsid w:val="00826228"/>
    <w:rsid w:val="00833751"/>
    <w:rsid w:val="008338DA"/>
    <w:rsid w:val="00835F45"/>
    <w:rsid w:val="0084544F"/>
    <w:rsid w:val="00854515"/>
    <w:rsid w:val="00855089"/>
    <w:rsid w:val="0086151B"/>
    <w:rsid w:val="00861DC2"/>
    <w:rsid w:val="00870609"/>
    <w:rsid w:val="00870AF7"/>
    <w:rsid w:val="0087111A"/>
    <w:rsid w:val="00871257"/>
    <w:rsid w:val="00872422"/>
    <w:rsid w:val="0088095C"/>
    <w:rsid w:val="00880BD8"/>
    <w:rsid w:val="00886344"/>
    <w:rsid w:val="00887635"/>
    <w:rsid w:val="008927C2"/>
    <w:rsid w:val="00892ABD"/>
    <w:rsid w:val="00895EE0"/>
    <w:rsid w:val="0089773D"/>
    <w:rsid w:val="008A00E0"/>
    <w:rsid w:val="008A1F17"/>
    <w:rsid w:val="008A6011"/>
    <w:rsid w:val="008A77CF"/>
    <w:rsid w:val="008C044F"/>
    <w:rsid w:val="008D128F"/>
    <w:rsid w:val="008D3F69"/>
    <w:rsid w:val="008D7D98"/>
    <w:rsid w:val="008F4AF0"/>
    <w:rsid w:val="008F5D57"/>
    <w:rsid w:val="008F6C13"/>
    <w:rsid w:val="00903F8D"/>
    <w:rsid w:val="00907A29"/>
    <w:rsid w:val="009152F3"/>
    <w:rsid w:val="009213CF"/>
    <w:rsid w:val="009222DE"/>
    <w:rsid w:val="0092451E"/>
    <w:rsid w:val="00925F5A"/>
    <w:rsid w:val="00926A37"/>
    <w:rsid w:val="009303F7"/>
    <w:rsid w:val="00934D41"/>
    <w:rsid w:val="009360A1"/>
    <w:rsid w:val="00944694"/>
    <w:rsid w:val="009479AC"/>
    <w:rsid w:val="00953476"/>
    <w:rsid w:val="00953DA5"/>
    <w:rsid w:val="00956562"/>
    <w:rsid w:val="009600E8"/>
    <w:rsid w:val="00966BBD"/>
    <w:rsid w:val="009747FC"/>
    <w:rsid w:val="009763A5"/>
    <w:rsid w:val="009765DA"/>
    <w:rsid w:val="00985A0F"/>
    <w:rsid w:val="009871A7"/>
    <w:rsid w:val="0098758A"/>
    <w:rsid w:val="00990867"/>
    <w:rsid w:val="00995CDC"/>
    <w:rsid w:val="00996F2A"/>
    <w:rsid w:val="009B12B0"/>
    <w:rsid w:val="009B4EC1"/>
    <w:rsid w:val="009B6D39"/>
    <w:rsid w:val="009C1639"/>
    <w:rsid w:val="009C6C61"/>
    <w:rsid w:val="009D2206"/>
    <w:rsid w:val="009D29FA"/>
    <w:rsid w:val="009E4630"/>
    <w:rsid w:val="009E54EA"/>
    <w:rsid w:val="009F3BBB"/>
    <w:rsid w:val="009F64A6"/>
    <w:rsid w:val="00A00B70"/>
    <w:rsid w:val="00A02430"/>
    <w:rsid w:val="00A03B00"/>
    <w:rsid w:val="00A17B20"/>
    <w:rsid w:val="00A21538"/>
    <w:rsid w:val="00A21900"/>
    <w:rsid w:val="00A23CD8"/>
    <w:rsid w:val="00A240A9"/>
    <w:rsid w:val="00A24145"/>
    <w:rsid w:val="00A24B7D"/>
    <w:rsid w:val="00A25BEF"/>
    <w:rsid w:val="00A3399A"/>
    <w:rsid w:val="00A365F1"/>
    <w:rsid w:val="00A41AEF"/>
    <w:rsid w:val="00A47508"/>
    <w:rsid w:val="00A55045"/>
    <w:rsid w:val="00A61B24"/>
    <w:rsid w:val="00A64DD6"/>
    <w:rsid w:val="00A6534D"/>
    <w:rsid w:val="00A71B1A"/>
    <w:rsid w:val="00A72D0B"/>
    <w:rsid w:val="00A73DD4"/>
    <w:rsid w:val="00A778B8"/>
    <w:rsid w:val="00A83810"/>
    <w:rsid w:val="00A84973"/>
    <w:rsid w:val="00A938E9"/>
    <w:rsid w:val="00A97ABA"/>
    <w:rsid w:val="00AA15BF"/>
    <w:rsid w:val="00AA4C21"/>
    <w:rsid w:val="00AA591B"/>
    <w:rsid w:val="00AB112B"/>
    <w:rsid w:val="00AB3039"/>
    <w:rsid w:val="00AB4617"/>
    <w:rsid w:val="00AB5FC6"/>
    <w:rsid w:val="00AB7C9F"/>
    <w:rsid w:val="00AC1446"/>
    <w:rsid w:val="00AC7EE4"/>
    <w:rsid w:val="00AD01FC"/>
    <w:rsid w:val="00AD097D"/>
    <w:rsid w:val="00AD666E"/>
    <w:rsid w:val="00AE5366"/>
    <w:rsid w:val="00AF0DF5"/>
    <w:rsid w:val="00AF467E"/>
    <w:rsid w:val="00AF7658"/>
    <w:rsid w:val="00B00A03"/>
    <w:rsid w:val="00B022CC"/>
    <w:rsid w:val="00B11816"/>
    <w:rsid w:val="00B1244E"/>
    <w:rsid w:val="00B1637D"/>
    <w:rsid w:val="00B309C2"/>
    <w:rsid w:val="00B373B1"/>
    <w:rsid w:val="00B419E0"/>
    <w:rsid w:val="00B43D9A"/>
    <w:rsid w:val="00B55679"/>
    <w:rsid w:val="00B56A2A"/>
    <w:rsid w:val="00B636F9"/>
    <w:rsid w:val="00B66B98"/>
    <w:rsid w:val="00B66C49"/>
    <w:rsid w:val="00B727C4"/>
    <w:rsid w:val="00B74397"/>
    <w:rsid w:val="00B80437"/>
    <w:rsid w:val="00B80806"/>
    <w:rsid w:val="00B83FB0"/>
    <w:rsid w:val="00B9409A"/>
    <w:rsid w:val="00B943BF"/>
    <w:rsid w:val="00B947F7"/>
    <w:rsid w:val="00B94F4F"/>
    <w:rsid w:val="00B97A7C"/>
    <w:rsid w:val="00BB7177"/>
    <w:rsid w:val="00BB74A9"/>
    <w:rsid w:val="00BB773B"/>
    <w:rsid w:val="00BC2EBD"/>
    <w:rsid w:val="00BC6294"/>
    <w:rsid w:val="00BD1344"/>
    <w:rsid w:val="00BD2171"/>
    <w:rsid w:val="00BD3950"/>
    <w:rsid w:val="00BD3F9E"/>
    <w:rsid w:val="00BD4284"/>
    <w:rsid w:val="00BE404B"/>
    <w:rsid w:val="00BE4F33"/>
    <w:rsid w:val="00BE7A42"/>
    <w:rsid w:val="00BF2247"/>
    <w:rsid w:val="00BF65F4"/>
    <w:rsid w:val="00BF6E14"/>
    <w:rsid w:val="00C00175"/>
    <w:rsid w:val="00C0645D"/>
    <w:rsid w:val="00C07CBB"/>
    <w:rsid w:val="00C13018"/>
    <w:rsid w:val="00C26849"/>
    <w:rsid w:val="00C278EC"/>
    <w:rsid w:val="00C32693"/>
    <w:rsid w:val="00C36FFE"/>
    <w:rsid w:val="00C4737E"/>
    <w:rsid w:val="00C51D24"/>
    <w:rsid w:val="00C5658C"/>
    <w:rsid w:val="00C77AF4"/>
    <w:rsid w:val="00C82BE3"/>
    <w:rsid w:val="00C87996"/>
    <w:rsid w:val="00C91DA0"/>
    <w:rsid w:val="00C92A65"/>
    <w:rsid w:val="00C94730"/>
    <w:rsid w:val="00C96269"/>
    <w:rsid w:val="00CA0701"/>
    <w:rsid w:val="00CB1C79"/>
    <w:rsid w:val="00CB76AC"/>
    <w:rsid w:val="00CC25C2"/>
    <w:rsid w:val="00CC3711"/>
    <w:rsid w:val="00CC7DA5"/>
    <w:rsid w:val="00CE0A0A"/>
    <w:rsid w:val="00CE2F94"/>
    <w:rsid w:val="00CF371A"/>
    <w:rsid w:val="00CF4ABD"/>
    <w:rsid w:val="00CF5814"/>
    <w:rsid w:val="00D0214B"/>
    <w:rsid w:val="00D06932"/>
    <w:rsid w:val="00D1182E"/>
    <w:rsid w:val="00D11E93"/>
    <w:rsid w:val="00D13B6E"/>
    <w:rsid w:val="00D1431A"/>
    <w:rsid w:val="00D15CC7"/>
    <w:rsid w:val="00D1764E"/>
    <w:rsid w:val="00D240CF"/>
    <w:rsid w:val="00D25674"/>
    <w:rsid w:val="00D26F43"/>
    <w:rsid w:val="00D27E29"/>
    <w:rsid w:val="00D340E1"/>
    <w:rsid w:val="00D355C8"/>
    <w:rsid w:val="00D40D3E"/>
    <w:rsid w:val="00D456C1"/>
    <w:rsid w:val="00D45E84"/>
    <w:rsid w:val="00D47119"/>
    <w:rsid w:val="00D4744C"/>
    <w:rsid w:val="00D4751B"/>
    <w:rsid w:val="00D53CE8"/>
    <w:rsid w:val="00D65C36"/>
    <w:rsid w:val="00D664B5"/>
    <w:rsid w:val="00D67766"/>
    <w:rsid w:val="00D735AF"/>
    <w:rsid w:val="00D7642A"/>
    <w:rsid w:val="00D845B6"/>
    <w:rsid w:val="00D94B3B"/>
    <w:rsid w:val="00D94FC0"/>
    <w:rsid w:val="00DA1716"/>
    <w:rsid w:val="00DA1DC5"/>
    <w:rsid w:val="00DA2AE5"/>
    <w:rsid w:val="00DA3558"/>
    <w:rsid w:val="00DA6639"/>
    <w:rsid w:val="00DB025E"/>
    <w:rsid w:val="00DB1788"/>
    <w:rsid w:val="00DB254A"/>
    <w:rsid w:val="00DB7FC1"/>
    <w:rsid w:val="00DC1BEC"/>
    <w:rsid w:val="00DC62E4"/>
    <w:rsid w:val="00DD0309"/>
    <w:rsid w:val="00DD348D"/>
    <w:rsid w:val="00DD4D96"/>
    <w:rsid w:val="00DD5B55"/>
    <w:rsid w:val="00DD5CB7"/>
    <w:rsid w:val="00DE2DBC"/>
    <w:rsid w:val="00DF1E92"/>
    <w:rsid w:val="00DF4776"/>
    <w:rsid w:val="00E01C98"/>
    <w:rsid w:val="00E06BAE"/>
    <w:rsid w:val="00E06BC4"/>
    <w:rsid w:val="00E078BF"/>
    <w:rsid w:val="00E21495"/>
    <w:rsid w:val="00E22C47"/>
    <w:rsid w:val="00E2759C"/>
    <w:rsid w:val="00E31DFC"/>
    <w:rsid w:val="00E32E48"/>
    <w:rsid w:val="00E3331C"/>
    <w:rsid w:val="00E33F6E"/>
    <w:rsid w:val="00E34972"/>
    <w:rsid w:val="00E34C8B"/>
    <w:rsid w:val="00E40A10"/>
    <w:rsid w:val="00E422CE"/>
    <w:rsid w:val="00E511A3"/>
    <w:rsid w:val="00E511A8"/>
    <w:rsid w:val="00E515C0"/>
    <w:rsid w:val="00E526E9"/>
    <w:rsid w:val="00E54CA5"/>
    <w:rsid w:val="00E60256"/>
    <w:rsid w:val="00E60789"/>
    <w:rsid w:val="00E64207"/>
    <w:rsid w:val="00E67502"/>
    <w:rsid w:val="00E762B8"/>
    <w:rsid w:val="00E76E10"/>
    <w:rsid w:val="00E86100"/>
    <w:rsid w:val="00E87DDA"/>
    <w:rsid w:val="00E92E3B"/>
    <w:rsid w:val="00EA60A4"/>
    <w:rsid w:val="00EA6C69"/>
    <w:rsid w:val="00EB4EC3"/>
    <w:rsid w:val="00ED1B6B"/>
    <w:rsid w:val="00ED3744"/>
    <w:rsid w:val="00EE1300"/>
    <w:rsid w:val="00EE7581"/>
    <w:rsid w:val="00EF33FD"/>
    <w:rsid w:val="00EF7221"/>
    <w:rsid w:val="00EF7CE1"/>
    <w:rsid w:val="00EF7E71"/>
    <w:rsid w:val="00F03EB7"/>
    <w:rsid w:val="00F04F16"/>
    <w:rsid w:val="00F07452"/>
    <w:rsid w:val="00F11B9A"/>
    <w:rsid w:val="00F120F2"/>
    <w:rsid w:val="00F12636"/>
    <w:rsid w:val="00F12794"/>
    <w:rsid w:val="00F15DAA"/>
    <w:rsid w:val="00F173A7"/>
    <w:rsid w:val="00F1764E"/>
    <w:rsid w:val="00F25B35"/>
    <w:rsid w:val="00F275E9"/>
    <w:rsid w:val="00F27FA0"/>
    <w:rsid w:val="00F30AB4"/>
    <w:rsid w:val="00F35D0D"/>
    <w:rsid w:val="00F366BF"/>
    <w:rsid w:val="00F36D7C"/>
    <w:rsid w:val="00F36FFC"/>
    <w:rsid w:val="00F42C91"/>
    <w:rsid w:val="00F60EF4"/>
    <w:rsid w:val="00F63B16"/>
    <w:rsid w:val="00F70FC8"/>
    <w:rsid w:val="00F73545"/>
    <w:rsid w:val="00F73D54"/>
    <w:rsid w:val="00F76A5D"/>
    <w:rsid w:val="00F903CA"/>
    <w:rsid w:val="00F97F78"/>
    <w:rsid w:val="00FB37DF"/>
    <w:rsid w:val="00FB6DA8"/>
    <w:rsid w:val="00FB7BCB"/>
    <w:rsid w:val="00FC3926"/>
    <w:rsid w:val="00FD1A97"/>
    <w:rsid w:val="00FD32A0"/>
    <w:rsid w:val="00FE4B20"/>
    <w:rsid w:val="00FE6B0D"/>
    <w:rsid w:val="00FF1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2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u w:color="000000"/>
    </w:rPr>
  </w:style>
  <w:style w:type="paragraph" w:styleId="Heading3">
    <w:name w:val="heading 3"/>
    <w:next w:val="Normal"/>
    <w:pPr>
      <w:keepNext/>
      <w:tabs>
        <w:tab w:val="left" w:pos="7200"/>
      </w:tabs>
      <w:outlineLvl w:val="2"/>
    </w:pPr>
    <w:rPr>
      <w:rFonts w:ascii="Arial" w:eastAsia="Arial" w:hAnsi="Arial" w:cs="Arial"/>
      <w:b/>
      <w:bCs/>
      <w:color w:val="000000"/>
      <w:sz w:val="16"/>
      <w:szCs w:val="16"/>
      <w:u w:color="000000"/>
    </w:rPr>
  </w:style>
  <w:style w:type="paragraph" w:styleId="Heading4">
    <w:name w:val="heading 4"/>
    <w:next w:val="Normal"/>
    <w:pPr>
      <w:keepNext/>
      <w:tabs>
        <w:tab w:val="left" w:pos="7200"/>
        <w:tab w:val="left" w:pos="8190"/>
      </w:tabs>
      <w:outlineLvl w:val="3"/>
    </w:pPr>
    <w:rPr>
      <w:rFonts w:ascii="Arial" w:eastAsia="Arial" w:hAnsi="Arial" w:cs="Arial"/>
      <w:b/>
      <w:bCs/>
      <w:color w:val="000000"/>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u w:color="000000"/>
    </w:rPr>
  </w:style>
  <w:style w:type="paragraph" w:styleId="FootnoteText">
    <w:name w:val="footnote text"/>
    <w:rPr>
      <w:rFonts w:eastAsia="Times New Roman"/>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MediumGrid1-Accent21">
    <w:name w:val="Medium Grid 1 - Accent 21"/>
    <w:pPr>
      <w:ind w:left="720"/>
    </w:pPr>
    <w:rPr>
      <w:rFonts w:eastAsia="Times New Roman"/>
      <w:color w:val="000000"/>
      <w:sz w:val="24"/>
      <w:szCs w:val="24"/>
      <w:u w:color="000000"/>
    </w:rPr>
  </w:style>
  <w:style w:type="paragraph" w:customStyle="1" w:styleId="Default">
    <w:name w:val="Default"/>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bodytextpsg">
    <w:name w:val="bodytextpsg"/>
    <w:pPr>
      <w:spacing w:after="120" w:line="360" w:lineRule="auto"/>
      <w:ind w:firstLine="720"/>
    </w:pPr>
    <w:rPr>
      <w:rFonts w:eastAsia="Times New Roman"/>
      <w:color w:val="000000"/>
      <w:sz w:val="24"/>
      <w:szCs w:val="24"/>
      <w:u w:color="000000"/>
    </w:rPr>
  </w:style>
  <w:style w:type="character" w:customStyle="1" w:styleId="Hyperlink1">
    <w:name w:val="Hyperlink.1"/>
    <w:basedOn w:val="Link"/>
    <w:rPr>
      <w:b/>
      <w:bCs/>
      <w:color w:val="0000FF"/>
      <w:sz w:val="24"/>
      <w:szCs w:val="24"/>
      <w:u w:val="single" w:color="0000FF"/>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character" w:customStyle="1" w:styleId="Hyperlink2">
    <w:name w:val="Hyperlink.2"/>
    <w:basedOn w:val="Link"/>
    <w:rPr>
      <w:color w:val="0000FF"/>
      <w:sz w:val="24"/>
      <w:szCs w:val="24"/>
      <w:u w:val="single" w:color="0000FF"/>
      <w:lang w:val="fr-FR"/>
    </w:rPr>
  </w:style>
  <w:style w:type="character" w:customStyle="1" w:styleId="Hyperlink3">
    <w:name w:val="Hyperlink.3"/>
    <w:basedOn w:val="Link"/>
    <w:rPr>
      <w:color w:val="0000FF"/>
      <w:sz w:val="24"/>
      <w:szCs w:val="24"/>
      <w:u w:val="none" w:color="0000FF"/>
    </w:rPr>
  </w:style>
  <w:style w:type="table" w:styleId="TableGrid">
    <w:name w:val="Table Grid"/>
    <w:basedOn w:val="TableNormal"/>
    <w:rsid w:val="00B9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16F66"/>
    <w:rPr>
      <w:vertAlign w:val="superscript"/>
    </w:rPr>
  </w:style>
  <w:style w:type="paragraph" w:styleId="Header">
    <w:name w:val="header"/>
    <w:basedOn w:val="Normal"/>
    <w:link w:val="HeaderChar"/>
    <w:uiPriority w:val="99"/>
    <w:unhideWhenUsed/>
    <w:rsid w:val="00886344"/>
    <w:pPr>
      <w:tabs>
        <w:tab w:val="center" w:pos="4680"/>
        <w:tab w:val="right" w:pos="9360"/>
      </w:tabs>
    </w:pPr>
  </w:style>
  <w:style w:type="character" w:customStyle="1" w:styleId="HeaderChar">
    <w:name w:val="Header Char"/>
    <w:basedOn w:val="DefaultParagraphFont"/>
    <w:link w:val="Header"/>
    <w:uiPriority w:val="99"/>
    <w:rsid w:val="00886344"/>
    <w:rPr>
      <w:rFonts w:eastAsia="Times New Roman"/>
      <w:color w:val="000000"/>
      <w:u w:color="000000"/>
    </w:rPr>
  </w:style>
  <w:style w:type="paragraph" w:styleId="CommentText">
    <w:name w:val="annotation text"/>
    <w:basedOn w:val="Normal"/>
    <w:link w:val="CommentTextChar"/>
    <w:uiPriority w:val="99"/>
    <w:unhideWhenUsed/>
    <w:rsid w:val="007B0E12"/>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character" w:customStyle="1" w:styleId="CommentTextChar">
    <w:name w:val="Comment Text Char"/>
    <w:basedOn w:val="DefaultParagraphFont"/>
    <w:link w:val="CommentText"/>
    <w:uiPriority w:val="99"/>
    <w:rsid w:val="007B0E12"/>
    <w:rPr>
      <w:rFonts w:eastAsia="Times New Roman"/>
      <w:color w:val="000000"/>
      <w:u w:color="000000"/>
      <w:bdr w:val="none" w:sz="0" w:space="0" w:color="auto"/>
    </w:rPr>
  </w:style>
  <w:style w:type="character" w:styleId="CommentReference">
    <w:name w:val="annotation reference"/>
    <w:basedOn w:val="DefaultParagraphFont"/>
    <w:uiPriority w:val="99"/>
    <w:semiHidden/>
    <w:unhideWhenUsed/>
    <w:rsid w:val="007B0E12"/>
    <w:rPr>
      <w:sz w:val="16"/>
      <w:szCs w:val="16"/>
    </w:rPr>
  </w:style>
  <w:style w:type="paragraph" w:styleId="BalloonText">
    <w:name w:val="Balloon Text"/>
    <w:basedOn w:val="Normal"/>
    <w:link w:val="BalloonTextChar"/>
    <w:uiPriority w:val="99"/>
    <w:semiHidden/>
    <w:unhideWhenUsed/>
    <w:rsid w:val="007B0E12"/>
    <w:rPr>
      <w:rFonts w:ascii="Tahoma" w:hAnsi="Tahoma" w:cs="Tahoma"/>
      <w:sz w:val="16"/>
      <w:szCs w:val="16"/>
    </w:rPr>
  </w:style>
  <w:style w:type="character" w:customStyle="1" w:styleId="BalloonTextChar">
    <w:name w:val="Balloon Text Char"/>
    <w:basedOn w:val="DefaultParagraphFont"/>
    <w:link w:val="BalloonText"/>
    <w:uiPriority w:val="99"/>
    <w:semiHidden/>
    <w:rsid w:val="007B0E12"/>
    <w:rPr>
      <w:rFonts w:ascii="Tahoma" w:eastAsia="Times New Roman" w:hAnsi="Tahoma" w:cs="Tahoma"/>
      <w:color w:val="000000"/>
      <w:sz w:val="16"/>
      <w:szCs w:val="16"/>
      <w:u w:color="000000"/>
    </w:rPr>
  </w:style>
  <w:style w:type="paragraph" w:styleId="ListParagraph">
    <w:name w:val="List Paragraph"/>
    <w:basedOn w:val="Normal"/>
    <w:uiPriority w:val="34"/>
    <w:qFormat/>
    <w:rsid w:val="004753D9"/>
    <w:pPr>
      <w:ind w:left="720"/>
      <w:contextualSpacing/>
    </w:pPr>
  </w:style>
  <w:style w:type="paragraph" w:styleId="CommentSubject">
    <w:name w:val="annotation subject"/>
    <w:basedOn w:val="CommentText"/>
    <w:next w:val="CommentText"/>
    <w:link w:val="CommentSubjectChar"/>
    <w:uiPriority w:val="99"/>
    <w:semiHidden/>
    <w:unhideWhenUsed/>
    <w:rsid w:val="006B0ABA"/>
    <w:pPr>
      <w:pBdr>
        <w:top w:val="nil"/>
        <w:left w:val="nil"/>
        <w:bottom w:val="nil"/>
        <w:right w:val="nil"/>
        <w:between w:val="nil"/>
        <w:bar w:val="nil"/>
      </w:pBdr>
    </w:pPr>
    <w:rPr>
      <w:b/>
      <w:bCs/>
      <w:bdr w:val="nil"/>
    </w:rPr>
  </w:style>
  <w:style w:type="character" w:customStyle="1" w:styleId="CommentSubjectChar">
    <w:name w:val="Comment Subject Char"/>
    <w:basedOn w:val="CommentTextChar"/>
    <w:link w:val="CommentSubject"/>
    <w:uiPriority w:val="99"/>
    <w:semiHidden/>
    <w:rsid w:val="006B0ABA"/>
    <w:rPr>
      <w:rFonts w:eastAsia="Times New Roman"/>
      <w:b/>
      <w:bCs/>
      <w:color w:val="000000"/>
      <w:u w:color="000000"/>
      <w:bdr w:val="none" w:sz="0" w:space="0" w:color="auto"/>
    </w:rPr>
  </w:style>
  <w:style w:type="paragraph" w:styleId="NormalWeb">
    <w:name w:val="Normal (Web)"/>
    <w:basedOn w:val="Normal"/>
    <w:uiPriority w:val="99"/>
    <w:semiHidden/>
    <w:unhideWhenUsed/>
    <w:rsid w:val="00720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olor w:val="auto"/>
      <w:sz w:val="24"/>
      <w:szCs w:val="24"/>
      <w:bdr w:val="none" w:sz="0" w:space="0" w:color="auto"/>
    </w:rPr>
  </w:style>
  <w:style w:type="paragraph" w:styleId="Revision">
    <w:name w:val="Revision"/>
    <w:hidden/>
    <w:uiPriority w:val="99"/>
    <w:semiHidden/>
    <w:rsid w:val="00A0243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u w:color="000000"/>
    </w:rPr>
  </w:style>
  <w:style w:type="paragraph" w:styleId="Heading3">
    <w:name w:val="heading 3"/>
    <w:next w:val="Normal"/>
    <w:pPr>
      <w:keepNext/>
      <w:tabs>
        <w:tab w:val="left" w:pos="7200"/>
      </w:tabs>
      <w:outlineLvl w:val="2"/>
    </w:pPr>
    <w:rPr>
      <w:rFonts w:ascii="Arial" w:eastAsia="Arial" w:hAnsi="Arial" w:cs="Arial"/>
      <w:b/>
      <w:bCs/>
      <w:color w:val="000000"/>
      <w:sz w:val="16"/>
      <w:szCs w:val="16"/>
      <w:u w:color="000000"/>
    </w:rPr>
  </w:style>
  <w:style w:type="paragraph" w:styleId="Heading4">
    <w:name w:val="heading 4"/>
    <w:next w:val="Normal"/>
    <w:pPr>
      <w:keepNext/>
      <w:tabs>
        <w:tab w:val="left" w:pos="7200"/>
        <w:tab w:val="left" w:pos="8190"/>
      </w:tabs>
      <w:outlineLvl w:val="3"/>
    </w:pPr>
    <w:rPr>
      <w:rFonts w:ascii="Arial" w:eastAsia="Arial" w:hAnsi="Arial" w:cs="Arial"/>
      <w:b/>
      <w:bCs/>
      <w:color w:val="000000"/>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u w:color="000000"/>
    </w:rPr>
  </w:style>
  <w:style w:type="paragraph" w:styleId="FootnoteText">
    <w:name w:val="footnote text"/>
    <w:rPr>
      <w:rFonts w:eastAsia="Times New Roman"/>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MediumGrid1-Accent21">
    <w:name w:val="Medium Grid 1 - Accent 21"/>
    <w:pPr>
      <w:ind w:left="720"/>
    </w:pPr>
    <w:rPr>
      <w:rFonts w:eastAsia="Times New Roman"/>
      <w:color w:val="000000"/>
      <w:sz w:val="24"/>
      <w:szCs w:val="24"/>
      <w:u w:color="000000"/>
    </w:rPr>
  </w:style>
  <w:style w:type="paragraph" w:customStyle="1" w:styleId="Default">
    <w:name w:val="Default"/>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bodytextpsg">
    <w:name w:val="bodytextpsg"/>
    <w:pPr>
      <w:spacing w:after="120" w:line="360" w:lineRule="auto"/>
      <w:ind w:firstLine="720"/>
    </w:pPr>
    <w:rPr>
      <w:rFonts w:eastAsia="Times New Roman"/>
      <w:color w:val="000000"/>
      <w:sz w:val="24"/>
      <w:szCs w:val="24"/>
      <w:u w:color="000000"/>
    </w:rPr>
  </w:style>
  <w:style w:type="character" w:customStyle="1" w:styleId="Hyperlink1">
    <w:name w:val="Hyperlink.1"/>
    <w:basedOn w:val="Link"/>
    <w:rPr>
      <w:b/>
      <w:bCs/>
      <w:color w:val="0000FF"/>
      <w:sz w:val="24"/>
      <w:szCs w:val="24"/>
      <w:u w:val="single" w:color="0000FF"/>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character" w:customStyle="1" w:styleId="Hyperlink2">
    <w:name w:val="Hyperlink.2"/>
    <w:basedOn w:val="Link"/>
    <w:rPr>
      <w:color w:val="0000FF"/>
      <w:sz w:val="24"/>
      <w:szCs w:val="24"/>
      <w:u w:val="single" w:color="0000FF"/>
      <w:lang w:val="fr-FR"/>
    </w:rPr>
  </w:style>
  <w:style w:type="character" w:customStyle="1" w:styleId="Hyperlink3">
    <w:name w:val="Hyperlink.3"/>
    <w:basedOn w:val="Link"/>
    <w:rPr>
      <w:color w:val="0000FF"/>
      <w:sz w:val="24"/>
      <w:szCs w:val="24"/>
      <w:u w:val="none" w:color="0000FF"/>
    </w:rPr>
  </w:style>
  <w:style w:type="table" w:styleId="TableGrid">
    <w:name w:val="Table Grid"/>
    <w:basedOn w:val="TableNormal"/>
    <w:rsid w:val="00B9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16F66"/>
    <w:rPr>
      <w:vertAlign w:val="superscript"/>
    </w:rPr>
  </w:style>
  <w:style w:type="paragraph" w:styleId="Header">
    <w:name w:val="header"/>
    <w:basedOn w:val="Normal"/>
    <w:link w:val="HeaderChar"/>
    <w:uiPriority w:val="99"/>
    <w:unhideWhenUsed/>
    <w:rsid w:val="00886344"/>
    <w:pPr>
      <w:tabs>
        <w:tab w:val="center" w:pos="4680"/>
        <w:tab w:val="right" w:pos="9360"/>
      </w:tabs>
    </w:pPr>
  </w:style>
  <w:style w:type="character" w:customStyle="1" w:styleId="HeaderChar">
    <w:name w:val="Header Char"/>
    <w:basedOn w:val="DefaultParagraphFont"/>
    <w:link w:val="Header"/>
    <w:uiPriority w:val="99"/>
    <w:rsid w:val="00886344"/>
    <w:rPr>
      <w:rFonts w:eastAsia="Times New Roman"/>
      <w:color w:val="000000"/>
      <w:u w:color="000000"/>
    </w:rPr>
  </w:style>
  <w:style w:type="paragraph" w:styleId="CommentText">
    <w:name w:val="annotation text"/>
    <w:basedOn w:val="Normal"/>
    <w:link w:val="CommentTextChar"/>
    <w:uiPriority w:val="99"/>
    <w:unhideWhenUsed/>
    <w:rsid w:val="007B0E12"/>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character" w:customStyle="1" w:styleId="CommentTextChar">
    <w:name w:val="Comment Text Char"/>
    <w:basedOn w:val="DefaultParagraphFont"/>
    <w:link w:val="CommentText"/>
    <w:uiPriority w:val="99"/>
    <w:rsid w:val="007B0E12"/>
    <w:rPr>
      <w:rFonts w:eastAsia="Times New Roman"/>
      <w:color w:val="000000"/>
      <w:u w:color="000000"/>
      <w:bdr w:val="none" w:sz="0" w:space="0" w:color="auto"/>
    </w:rPr>
  </w:style>
  <w:style w:type="character" w:styleId="CommentReference">
    <w:name w:val="annotation reference"/>
    <w:basedOn w:val="DefaultParagraphFont"/>
    <w:uiPriority w:val="99"/>
    <w:semiHidden/>
    <w:unhideWhenUsed/>
    <w:rsid w:val="007B0E12"/>
    <w:rPr>
      <w:sz w:val="16"/>
      <w:szCs w:val="16"/>
    </w:rPr>
  </w:style>
  <w:style w:type="paragraph" w:styleId="BalloonText">
    <w:name w:val="Balloon Text"/>
    <w:basedOn w:val="Normal"/>
    <w:link w:val="BalloonTextChar"/>
    <w:uiPriority w:val="99"/>
    <w:semiHidden/>
    <w:unhideWhenUsed/>
    <w:rsid w:val="007B0E12"/>
    <w:rPr>
      <w:rFonts w:ascii="Tahoma" w:hAnsi="Tahoma" w:cs="Tahoma"/>
      <w:sz w:val="16"/>
      <w:szCs w:val="16"/>
    </w:rPr>
  </w:style>
  <w:style w:type="character" w:customStyle="1" w:styleId="BalloonTextChar">
    <w:name w:val="Balloon Text Char"/>
    <w:basedOn w:val="DefaultParagraphFont"/>
    <w:link w:val="BalloonText"/>
    <w:uiPriority w:val="99"/>
    <w:semiHidden/>
    <w:rsid w:val="007B0E12"/>
    <w:rPr>
      <w:rFonts w:ascii="Tahoma" w:eastAsia="Times New Roman" w:hAnsi="Tahoma" w:cs="Tahoma"/>
      <w:color w:val="000000"/>
      <w:sz w:val="16"/>
      <w:szCs w:val="16"/>
      <w:u w:color="000000"/>
    </w:rPr>
  </w:style>
  <w:style w:type="paragraph" w:styleId="ListParagraph">
    <w:name w:val="List Paragraph"/>
    <w:basedOn w:val="Normal"/>
    <w:uiPriority w:val="34"/>
    <w:qFormat/>
    <w:rsid w:val="004753D9"/>
    <w:pPr>
      <w:ind w:left="720"/>
      <w:contextualSpacing/>
    </w:pPr>
  </w:style>
  <w:style w:type="paragraph" w:styleId="CommentSubject">
    <w:name w:val="annotation subject"/>
    <w:basedOn w:val="CommentText"/>
    <w:next w:val="CommentText"/>
    <w:link w:val="CommentSubjectChar"/>
    <w:uiPriority w:val="99"/>
    <w:semiHidden/>
    <w:unhideWhenUsed/>
    <w:rsid w:val="006B0ABA"/>
    <w:pPr>
      <w:pBdr>
        <w:top w:val="nil"/>
        <w:left w:val="nil"/>
        <w:bottom w:val="nil"/>
        <w:right w:val="nil"/>
        <w:between w:val="nil"/>
        <w:bar w:val="nil"/>
      </w:pBdr>
    </w:pPr>
    <w:rPr>
      <w:b/>
      <w:bCs/>
      <w:bdr w:val="nil"/>
    </w:rPr>
  </w:style>
  <w:style w:type="character" w:customStyle="1" w:styleId="CommentSubjectChar">
    <w:name w:val="Comment Subject Char"/>
    <w:basedOn w:val="CommentTextChar"/>
    <w:link w:val="CommentSubject"/>
    <w:uiPriority w:val="99"/>
    <w:semiHidden/>
    <w:rsid w:val="006B0ABA"/>
    <w:rPr>
      <w:rFonts w:eastAsia="Times New Roman"/>
      <w:b/>
      <w:bCs/>
      <w:color w:val="000000"/>
      <w:u w:color="000000"/>
      <w:bdr w:val="none" w:sz="0" w:space="0" w:color="auto"/>
    </w:rPr>
  </w:style>
  <w:style w:type="paragraph" w:styleId="NormalWeb">
    <w:name w:val="Normal (Web)"/>
    <w:basedOn w:val="Normal"/>
    <w:uiPriority w:val="99"/>
    <w:semiHidden/>
    <w:unhideWhenUsed/>
    <w:rsid w:val="00720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olor w:val="auto"/>
      <w:sz w:val="24"/>
      <w:szCs w:val="24"/>
      <w:bdr w:val="none" w:sz="0" w:space="0" w:color="auto"/>
    </w:rPr>
  </w:style>
  <w:style w:type="paragraph" w:styleId="Revision">
    <w:name w:val="Revision"/>
    <w:hidden/>
    <w:uiPriority w:val="99"/>
    <w:semiHidden/>
    <w:rsid w:val="00A0243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642">
      <w:bodyDiv w:val="1"/>
      <w:marLeft w:val="0"/>
      <w:marRight w:val="0"/>
      <w:marTop w:val="0"/>
      <w:marBottom w:val="0"/>
      <w:divBdr>
        <w:top w:val="none" w:sz="0" w:space="0" w:color="auto"/>
        <w:left w:val="none" w:sz="0" w:space="0" w:color="auto"/>
        <w:bottom w:val="none" w:sz="0" w:space="0" w:color="auto"/>
        <w:right w:val="none" w:sz="0" w:space="0" w:color="auto"/>
      </w:divBdr>
    </w:div>
    <w:div w:id="114375494">
      <w:bodyDiv w:val="1"/>
      <w:marLeft w:val="0"/>
      <w:marRight w:val="0"/>
      <w:marTop w:val="0"/>
      <w:marBottom w:val="0"/>
      <w:divBdr>
        <w:top w:val="none" w:sz="0" w:space="0" w:color="auto"/>
        <w:left w:val="none" w:sz="0" w:space="0" w:color="auto"/>
        <w:bottom w:val="none" w:sz="0" w:space="0" w:color="auto"/>
        <w:right w:val="none" w:sz="0" w:space="0" w:color="auto"/>
      </w:divBdr>
    </w:div>
    <w:div w:id="477573712">
      <w:bodyDiv w:val="1"/>
      <w:marLeft w:val="0"/>
      <w:marRight w:val="0"/>
      <w:marTop w:val="0"/>
      <w:marBottom w:val="0"/>
      <w:divBdr>
        <w:top w:val="none" w:sz="0" w:space="0" w:color="auto"/>
        <w:left w:val="none" w:sz="0" w:space="0" w:color="auto"/>
        <w:bottom w:val="none" w:sz="0" w:space="0" w:color="auto"/>
        <w:right w:val="none" w:sz="0" w:space="0" w:color="auto"/>
      </w:divBdr>
    </w:div>
    <w:div w:id="522281449">
      <w:bodyDiv w:val="1"/>
      <w:marLeft w:val="0"/>
      <w:marRight w:val="0"/>
      <w:marTop w:val="0"/>
      <w:marBottom w:val="0"/>
      <w:divBdr>
        <w:top w:val="none" w:sz="0" w:space="0" w:color="auto"/>
        <w:left w:val="none" w:sz="0" w:space="0" w:color="auto"/>
        <w:bottom w:val="none" w:sz="0" w:space="0" w:color="auto"/>
        <w:right w:val="none" w:sz="0" w:space="0" w:color="auto"/>
      </w:divBdr>
    </w:div>
    <w:div w:id="738526976">
      <w:bodyDiv w:val="1"/>
      <w:marLeft w:val="0"/>
      <w:marRight w:val="0"/>
      <w:marTop w:val="0"/>
      <w:marBottom w:val="0"/>
      <w:divBdr>
        <w:top w:val="none" w:sz="0" w:space="0" w:color="auto"/>
        <w:left w:val="none" w:sz="0" w:space="0" w:color="auto"/>
        <w:bottom w:val="none" w:sz="0" w:space="0" w:color="auto"/>
        <w:right w:val="none" w:sz="0" w:space="0" w:color="auto"/>
      </w:divBdr>
    </w:div>
    <w:div w:id="1041589170">
      <w:bodyDiv w:val="1"/>
      <w:marLeft w:val="0"/>
      <w:marRight w:val="0"/>
      <w:marTop w:val="0"/>
      <w:marBottom w:val="0"/>
      <w:divBdr>
        <w:top w:val="none" w:sz="0" w:space="0" w:color="auto"/>
        <w:left w:val="none" w:sz="0" w:space="0" w:color="auto"/>
        <w:bottom w:val="none" w:sz="0" w:space="0" w:color="auto"/>
        <w:right w:val="none" w:sz="0" w:space="0" w:color="auto"/>
      </w:divBdr>
    </w:div>
    <w:div w:id="1189879953">
      <w:bodyDiv w:val="1"/>
      <w:marLeft w:val="0"/>
      <w:marRight w:val="0"/>
      <w:marTop w:val="0"/>
      <w:marBottom w:val="0"/>
      <w:divBdr>
        <w:top w:val="none" w:sz="0" w:space="0" w:color="auto"/>
        <w:left w:val="none" w:sz="0" w:space="0" w:color="auto"/>
        <w:bottom w:val="none" w:sz="0" w:space="0" w:color="auto"/>
        <w:right w:val="none" w:sz="0" w:space="0" w:color="auto"/>
      </w:divBdr>
    </w:div>
    <w:div w:id="1362123363">
      <w:bodyDiv w:val="1"/>
      <w:marLeft w:val="0"/>
      <w:marRight w:val="0"/>
      <w:marTop w:val="0"/>
      <w:marBottom w:val="0"/>
      <w:divBdr>
        <w:top w:val="none" w:sz="0" w:space="0" w:color="auto"/>
        <w:left w:val="none" w:sz="0" w:space="0" w:color="auto"/>
        <w:bottom w:val="none" w:sz="0" w:space="0" w:color="auto"/>
        <w:right w:val="none" w:sz="0" w:space="0" w:color="auto"/>
      </w:divBdr>
    </w:div>
    <w:div w:id="1398553049">
      <w:bodyDiv w:val="1"/>
      <w:marLeft w:val="0"/>
      <w:marRight w:val="0"/>
      <w:marTop w:val="0"/>
      <w:marBottom w:val="0"/>
      <w:divBdr>
        <w:top w:val="none" w:sz="0" w:space="0" w:color="auto"/>
        <w:left w:val="none" w:sz="0" w:space="0" w:color="auto"/>
        <w:bottom w:val="none" w:sz="0" w:space="0" w:color="auto"/>
        <w:right w:val="none" w:sz="0" w:space="0" w:color="auto"/>
      </w:divBdr>
    </w:div>
    <w:div w:id="1767265536">
      <w:bodyDiv w:val="1"/>
      <w:marLeft w:val="0"/>
      <w:marRight w:val="0"/>
      <w:marTop w:val="0"/>
      <w:marBottom w:val="0"/>
      <w:divBdr>
        <w:top w:val="none" w:sz="0" w:space="0" w:color="auto"/>
        <w:left w:val="none" w:sz="0" w:space="0" w:color="auto"/>
        <w:bottom w:val="none" w:sz="0" w:space="0" w:color="auto"/>
        <w:right w:val="none" w:sz="0" w:space="0" w:color="auto"/>
      </w:divBdr>
    </w:div>
    <w:div w:id="201368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8DEE-A2CF-4B51-9F41-DF4477CB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SYSTEM</cp:lastModifiedBy>
  <cp:revision>2</cp:revision>
  <cp:lastPrinted>2018-02-27T18:03:00Z</cp:lastPrinted>
  <dcterms:created xsi:type="dcterms:W3CDTF">2018-02-28T17:43:00Z</dcterms:created>
  <dcterms:modified xsi:type="dcterms:W3CDTF">2018-02-28T17:43:00Z</dcterms:modified>
</cp:coreProperties>
</file>