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E23B" w14:textId="3232CD8E" w:rsidR="00E12084" w:rsidRPr="009D5CEF" w:rsidRDefault="00CD799B" w:rsidP="00E12084">
      <w:pPr>
        <w:spacing w:line="276" w:lineRule="auto"/>
        <w:jc w:val="center"/>
        <w:rPr>
          <w:b/>
        </w:rPr>
      </w:pPr>
      <w:bookmarkStart w:id="0" w:name="_GoBack"/>
      <w:bookmarkEnd w:id="0"/>
      <w:r>
        <w:rPr>
          <w:b/>
        </w:rPr>
        <w:t>Attachment B</w:t>
      </w:r>
      <w:r w:rsidR="00354BC7">
        <w:rPr>
          <w:b/>
        </w:rPr>
        <w:t xml:space="preserve"> </w:t>
      </w:r>
      <w:r w:rsidR="00E12084">
        <w:rPr>
          <w:b/>
        </w:rPr>
        <w:t>–</w:t>
      </w:r>
      <w:r w:rsidR="00354BC7">
        <w:rPr>
          <w:b/>
        </w:rPr>
        <w:t xml:space="preserve"> </w:t>
      </w:r>
      <w:r w:rsidR="00E12084" w:rsidRPr="00B53AF4">
        <w:rPr>
          <w:b/>
        </w:rPr>
        <w:t xml:space="preserve">Project </w:t>
      </w:r>
      <w:r w:rsidR="00E12084">
        <w:rPr>
          <w:b/>
        </w:rPr>
        <w:t>Description</w:t>
      </w:r>
    </w:p>
    <w:p w14:paraId="6CC11921" w14:textId="7C643E9C" w:rsidR="00E12084" w:rsidRDefault="00E12084" w:rsidP="00354BC7">
      <w:pPr>
        <w:jc w:val="center"/>
        <w:rPr>
          <w:b/>
        </w:rPr>
      </w:pPr>
    </w:p>
    <w:p w14:paraId="0276DBE5" w14:textId="33978BF7" w:rsidR="00B46F2C" w:rsidRDefault="00354BC7" w:rsidP="00354BC7">
      <w:pPr>
        <w:jc w:val="center"/>
        <w:rPr>
          <w:b/>
        </w:rPr>
      </w:pPr>
      <w:r w:rsidRPr="00354BC7">
        <w:rPr>
          <w:b/>
        </w:rPr>
        <w:t xml:space="preserve">Older Adult Mobility Planning </w:t>
      </w:r>
      <w:r w:rsidR="00A86A3C">
        <w:rPr>
          <w:b/>
        </w:rPr>
        <w:t xml:space="preserve">Brochure </w:t>
      </w:r>
    </w:p>
    <w:p w14:paraId="39A5CBDC" w14:textId="77777777" w:rsidR="00354BC7" w:rsidRPr="00354BC7" w:rsidRDefault="00354BC7" w:rsidP="00354BC7">
      <w:pPr>
        <w:jc w:val="center"/>
        <w:rPr>
          <w:b/>
        </w:rPr>
      </w:pPr>
    </w:p>
    <w:p w14:paraId="24DE84C2" w14:textId="580C3AA1" w:rsidR="00B46F2C" w:rsidRPr="00302906" w:rsidRDefault="00354BC7" w:rsidP="00840FCA">
      <w:pPr>
        <w:rPr>
          <w:b/>
        </w:rPr>
      </w:pPr>
      <w:r>
        <w:rPr>
          <w:b/>
        </w:rPr>
        <w:t>Project Description</w:t>
      </w:r>
      <w:r w:rsidR="00B46F2C" w:rsidRPr="00302906">
        <w:rPr>
          <w:b/>
        </w:rPr>
        <w:t>:</w:t>
      </w:r>
    </w:p>
    <w:p w14:paraId="6CAAFCB8" w14:textId="6A8A5DC6" w:rsidR="0059705B" w:rsidRDefault="003271C3" w:rsidP="003271C3">
      <w:pPr>
        <w:pStyle w:val="Header"/>
      </w:pPr>
      <w:r w:rsidRPr="00302906">
        <w:t>“Mobility” refers to all types of movement, such as walking, biking, and driving within and between environments to accomplish daily living tasks</w:t>
      </w:r>
      <w:r w:rsidR="00264772" w:rsidRPr="00302906">
        <w:t>.</w:t>
      </w:r>
      <w:r w:rsidR="005D71FF" w:rsidRPr="00302906">
        <w:rPr>
          <w:rStyle w:val="FootnoteReference"/>
        </w:rPr>
        <w:footnoteReference w:id="2"/>
      </w:r>
      <w:r w:rsidRPr="00302906">
        <w:t xml:space="preserve"> Optimal mobility (an individual’s ability to safely and reliably move to chosen locations by desired means) is an important component of healthy aging and is critically important for maintai</w:t>
      </w:r>
      <w:r w:rsidR="005D71FF" w:rsidRPr="00302906">
        <w:t>ning physical and mental health.</w:t>
      </w:r>
      <w:r w:rsidR="005D71FF" w:rsidRPr="00302906">
        <w:rPr>
          <w:rStyle w:val="FootnoteReference"/>
        </w:rPr>
        <w:footnoteReference w:id="3"/>
      </w:r>
      <w:r w:rsidRPr="00302906">
        <w:t xml:space="preserve"> As noted in the Centers for Disease Control and Prevention’s (CDC’s) 2013 </w:t>
      </w:r>
      <w:r w:rsidR="00AA70D6">
        <w:t>“</w:t>
      </w:r>
      <w:r w:rsidRPr="00302906">
        <w:t>State of Aging and Health in America</w:t>
      </w:r>
      <w:r w:rsidR="00AA70D6">
        <w:t>”</w:t>
      </w:r>
      <w:r w:rsidRPr="00302906">
        <w:t xml:space="preserve"> report, ensuring that mobility for older adults is addressed effectively has signifi</w:t>
      </w:r>
      <w:r w:rsidR="005D71FF" w:rsidRPr="00302906">
        <w:t>cant public health implications.</w:t>
      </w:r>
      <w:r w:rsidR="005D71FF" w:rsidRPr="00302906">
        <w:rPr>
          <w:rStyle w:val="FootnoteReference"/>
        </w:rPr>
        <w:footnoteReference w:id="4"/>
      </w:r>
      <w:r w:rsidRPr="00302906">
        <w:t xml:space="preserve"> U.S. Census projections indicate that by the year 2030, when the last baby boomer turns 65, approximately 20% of Americans—about 72 mill</w:t>
      </w:r>
      <w:r w:rsidR="005D71FF" w:rsidRPr="00302906">
        <w:t>ion people—will be older adults.</w:t>
      </w:r>
      <w:r w:rsidR="005D71FF" w:rsidRPr="00302906">
        <w:rPr>
          <w:rStyle w:val="FootnoteReference"/>
        </w:rPr>
        <w:footnoteReference w:id="5"/>
      </w:r>
      <w:r w:rsidRPr="00302906">
        <w:t>To address the needs of this rapidly growing population, CDC developed the Mobility Planning Tool (</w:t>
      </w:r>
      <w:r w:rsidR="00A22B03">
        <w:t>“MyMobility”</w:t>
      </w:r>
      <w:r w:rsidR="00AA70D6">
        <w:t>;</w:t>
      </w:r>
      <w:r w:rsidR="00B00E7F">
        <w:t xml:space="preserve"> </w:t>
      </w:r>
      <w:r w:rsidR="00E745C9">
        <w:t>A</w:t>
      </w:r>
      <w:r w:rsidR="00AA70D6">
        <w:t>ttachment</w:t>
      </w:r>
      <w:r w:rsidR="00E745C9">
        <w:t xml:space="preserve"> A)</w:t>
      </w:r>
      <w:r w:rsidR="0059705B">
        <w:t xml:space="preserve">. </w:t>
      </w:r>
    </w:p>
    <w:p w14:paraId="4BDBACC5" w14:textId="77777777" w:rsidR="0059705B" w:rsidRDefault="0059705B" w:rsidP="003271C3">
      <w:pPr>
        <w:pStyle w:val="Header"/>
      </w:pPr>
    </w:p>
    <w:p w14:paraId="1539313D" w14:textId="32A826C4" w:rsidR="002279F2" w:rsidRDefault="0059705B" w:rsidP="003271C3">
      <w:pPr>
        <w:pStyle w:val="Header"/>
        <w:rPr>
          <w:sz w:val="22"/>
          <w:szCs w:val="22"/>
        </w:rPr>
      </w:pPr>
      <w:r w:rsidRPr="009D5E2A">
        <w:t xml:space="preserve">The purpose of this request is </w:t>
      </w:r>
      <w:r w:rsidR="00400B1E">
        <w:t>to r</w:t>
      </w:r>
      <w:r w:rsidR="00400B1E" w:rsidRPr="00400B1E">
        <w:t xml:space="preserve">efine message concepts and to test </w:t>
      </w:r>
      <w:r w:rsidR="00400B1E">
        <w:t>informative</w:t>
      </w:r>
      <w:r w:rsidR="00400B1E" w:rsidRPr="00400B1E">
        <w:t xml:space="preserve"> m</w:t>
      </w:r>
      <w:r w:rsidR="00400B1E">
        <w:t xml:space="preserve">aterials for clarity, </w:t>
      </w:r>
      <w:r w:rsidR="00400B1E" w:rsidRPr="00400B1E">
        <w:t xml:space="preserve">appeal, and </w:t>
      </w:r>
      <w:r w:rsidR="00400B1E">
        <w:t xml:space="preserve">usability of the </w:t>
      </w:r>
      <w:r w:rsidR="006C075A">
        <w:t xml:space="preserve">MyMobility </w:t>
      </w:r>
      <w:r w:rsidR="00400B1E">
        <w:t>brochure</w:t>
      </w:r>
      <w:r w:rsidR="006C075A">
        <w:t xml:space="preserve">, as well as the best ways for CDC to disseminate the </w:t>
      </w:r>
      <w:r w:rsidR="00C776F1">
        <w:t>brochure</w:t>
      </w:r>
      <w:r w:rsidR="006C075A">
        <w:t xml:space="preserve">. </w:t>
      </w:r>
      <w:r w:rsidR="00671FD3">
        <w:t>This information will be collected through a series of six focus groups</w:t>
      </w:r>
      <w:r w:rsidR="00F96352">
        <w:t xml:space="preserve"> </w:t>
      </w:r>
      <w:r w:rsidR="00B00E7F">
        <w:t xml:space="preserve">CDC will use </w:t>
      </w:r>
      <w:r w:rsidR="000A757F">
        <w:t xml:space="preserve">findings </w:t>
      </w:r>
      <w:r w:rsidR="00B00E7F">
        <w:t xml:space="preserve">from the </w:t>
      </w:r>
      <w:r w:rsidR="006956FB">
        <w:t xml:space="preserve">data collected </w:t>
      </w:r>
      <w:r w:rsidR="000A757F">
        <w:t xml:space="preserve">to refine the </w:t>
      </w:r>
      <w:r w:rsidR="00400B1E" w:rsidRPr="00400B1E">
        <w:t xml:space="preserve">effectiveness of messages for </w:t>
      </w:r>
      <w:r w:rsidR="00E47EEA">
        <w:t xml:space="preserve">the </w:t>
      </w:r>
      <w:r w:rsidR="00400B1E" w:rsidRPr="00400B1E">
        <w:t>intended audiences</w:t>
      </w:r>
      <w:r w:rsidR="00400B1E">
        <w:t xml:space="preserve"> </w:t>
      </w:r>
      <w:r w:rsidR="00B54A22">
        <w:t>through</w:t>
      </w:r>
      <w:r w:rsidR="00AA70D6">
        <w:t xml:space="preserve"> the</w:t>
      </w:r>
      <w:r w:rsidR="00B54A22">
        <w:t xml:space="preserve"> </w:t>
      </w:r>
      <w:r w:rsidR="00A22B03">
        <w:t xml:space="preserve">MyMobility </w:t>
      </w:r>
      <w:r w:rsidR="00400B1E">
        <w:t>brochure</w:t>
      </w:r>
      <w:r w:rsidR="000A757F">
        <w:t>.</w:t>
      </w:r>
      <w:r w:rsidR="00D17E04" w:rsidRPr="00D17E04">
        <w:t xml:space="preserve"> </w:t>
      </w:r>
      <w:r w:rsidR="00D17E04">
        <w:t xml:space="preserve">Feedback gathered, including </w:t>
      </w:r>
      <w:r w:rsidR="00400B1E">
        <w:t>message</w:t>
      </w:r>
      <w:r w:rsidR="00D17E04">
        <w:t xml:space="preserve"> delivery and content, </w:t>
      </w:r>
      <w:r w:rsidR="006C075A">
        <w:t xml:space="preserve">dissemination strategies, partners to assist with dissemination efforts, and dissemination channels </w:t>
      </w:r>
      <w:r w:rsidR="006956FB">
        <w:t xml:space="preserve">will help </w:t>
      </w:r>
      <w:r w:rsidR="00D17E04" w:rsidRPr="009D5E2A">
        <w:t xml:space="preserve">ensure </w:t>
      </w:r>
      <w:r w:rsidR="00D17E04">
        <w:t>NCIPC</w:t>
      </w:r>
      <w:r w:rsidR="00D17E04" w:rsidRPr="009D5E2A">
        <w:t xml:space="preserve"> is pr</w:t>
      </w:r>
      <w:r w:rsidR="00400B1E">
        <w:t xml:space="preserve">oviding </w:t>
      </w:r>
      <w:r w:rsidR="00400B1E" w:rsidRPr="00400B1E">
        <w:t xml:space="preserve">quality </w:t>
      </w:r>
      <w:r w:rsidR="00400B1E">
        <w:t xml:space="preserve">messages </w:t>
      </w:r>
      <w:r w:rsidR="00400B1E" w:rsidRPr="00400B1E">
        <w:t>and prevent waste in the dissemination of health information by CDC to the public</w:t>
      </w:r>
      <w:r w:rsidR="00400B1E">
        <w:t>.</w:t>
      </w:r>
    </w:p>
    <w:p w14:paraId="4EF5002C" w14:textId="2B41D1D7" w:rsidR="00400B1E" w:rsidRDefault="00400B1E" w:rsidP="003271C3">
      <w:pPr>
        <w:pStyle w:val="Header"/>
      </w:pPr>
    </w:p>
    <w:p w14:paraId="1386FEB3" w14:textId="77777777" w:rsidR="00E12084" w:rsidRDefault="00E12084" w:rsidP="00E12084">
      <w:pPr>
        <w:rPr>
          <w:b/>
        </w:rPr>
      </w:pPr>
      <w:r w:rsidRPr="00FE0243">
        <w:rPr>
          <w:b/>
        </w:rPr>
        <w:t>Who are we trying to influence?</w:t>
      </w:r>
    </w:p>
    <w:p w14:paraId="3CE5DCD7" w14:textId="77777777" w:rsidR="00E12084" w:rsidRPr="00584D7B" w:rsidRDefault="00E12084" w:rsidP="00E12084">
      <w:pPr>
        <w:rPr>
          <w:b/>
        </w:rPr>
      </w:pPr>
    </w:p>
    <w:p w14:paraId="5955E657" w14:textId="012B7BDD" w:rsidR="00E12084" w:rsidRPr="00FE0243" w:rsidRDefault="00E12084" w:rsidP="00E12084">
      <w:pPr>
        <w:pStyle w:val="Default"/>
        <w:spacing w:before="8"/>
        <w:rPr>
          <w:rFonts w:ascii="Times New Roman" w:hAnsi="Times New Roman" w:cs="Times New Roman"/>
          <w:color w:val="auto"/>
        </w:rPr>
      </w:pPr>
      <w:r w:rsidRPr="00FE0243">
        <w:rPr>
          <w:rFonts w:ascii="Times New Roman" w:hAnsi="Times New Roman" w:cs="Times New Roman"/>
          <w:b/>
          <w:color w:val="auto"/>
        </w:rPr>
        <w:t>Primary Audience:</w:t>
      </w:r>
      <w:r w:rsidRPr="00FE0243">
        <w:rPr>
          <w:rFonts w:ascii="Times New Roman" w:hAnsi="Times New Roman" w:cs="Times New Roman"/>
          <w:color w:val="auto"/>
        </w:rPr>
        <w:t xml:space="preserve"> </w:t>
      </w:r>
      <w:r w:rsidRPr="00E12084">
        <w:rPr>
          <w:rFonts w:ascii="Times New Roman" w:hAnsi="Times New Roman" w:cs="Times New Roman"/>
          <w:color w:val="auto"/>
        </w:rPr>
        <w:t>Respondents will be community-dwelling, English-speaking U.S. residents aged 60 to 74 years old living independently with good or very good self-rated mobility</w:t>
      </w:r>
      <w:r w:rsidR="00D25F8B">
        <w:rPr>
          <w:rFonts w:ascii="Times New Roman" w:hAnsi="Times New Roman" w:cs="Times New Roman"/>
          <w:color w:val="auto"/>
        </w:rPr>
        <w:t xml:space="preserve">, with a diverse racial/ethnicity composition. </w:t>
      </w:r>
    </w:p>
    <w:p w14:paraId="4F728753" w14:textId="77777777" w:rsidR="00E12084" w:rsidRPr="00FE0243" w:rsidRDefault="00E12084" w:rsidP="00E12084">
      <w:pPr>
        <w:pStyle w:val="Default"/>
        <w:spacing w:before="8"/>
        <w:ind w:right="1637"/>
        <w:rPr>
          <w:spacing w:val="-2"/>
        </w:rPr>
      </w:pPr>
    </w:p>
    <w:p w14:paraId="77BE4E52" w14:textId="77777777" w:rsidR="00E12084" w:rsidRPr="00FE0243" w:rsidRDefault="00E12084" w:rsidP="00E12084">
      <w:pPr>
        <w:rPr>
          <w:b/>
        </w:rPr>
      </w:pPr>
      <w:r w:rsidRPr="00FE0243">
        <w:rPr>
          <w:b/>
        </w:rPr>
        <w:t xml:space="preserve">What do we want them to DO as a result of this communication? </w:t>
      </w:r>
    </w:p>
    <w:p w14:paraId="1F8E790C" w14:textId="2F1D8E7A" w:rsidR="00A43543" w:rsidRDefault="00E12084" w:rsidP="00A43543">
      <w:pPr>
        <w:pStyle w:val="Header"/>
      </w:pPr>
      <w:r>
        <w:t>We will get their reactions to existing materials</w:t>
      </w:r>
      <w:r w:rsidR="00E47EEA">
        <w:t xml:space="preserve"> (MyMobility brochure, Att. A).</w:t>
      </w:r>
      <w:r>
        <w:t xml:space="preserve"> We will use what we learn from focus group discussions to adapt existing messages or </w:t>
      </w:r>
      <w:r w:rsidR="00A43543">
        <w:t>refine the message provided through the MyMobility brochure.</w:t>
      </w:r>
      <w:r w:rsidR="00A43543" w:rsidRPr="00D17E04">
        <w:t xml:space="preserve"> </w:t>
      </w:r>
      <w:r w:rsidR="00DA3485">
        <w:t>Feedback gathered, included</w:t>
      </w:r>
      <w:r w:rsidR="00A43543">
        <w:t xml:space="preserve"> satisfaction with delivery and content, dissemination strategies, partners to assist with dissemination efforts, and dissemination channels.</w:t>
      </w:r>
    </w:p>
    <w:p w14:paraId="2F205263" w14:textId="618AA951" w:rsidR="00E12084" w:rsidRDefault="00E12084" w:rsidP="00E12084">
      <w:pPr>
        <w:spacing w:line="276" w:lineRule="auto"/>
      </w:pPr>
    </w:p>
    <w:p w14:paraId="4ED7BEAC" w14:textId="77777777" w:rsidR="00E12084" w:rsidRPr="00FE0243" w:rsidRDefault="00E12084" w:rsidP="00E12084">
      <w:pPr>
        <w:rPr>
          <w:b/>
        </w:rPr>
      </w:pPr>
      <w:r w:rsidRPr="00FE0243">
        <w:rPr>
          <w:b/>
        </w:rPr>
        <w:t xml:space="preserve">How do we expect communications to work towards achieving this? </w:t>
      </w:r>
    </w:p>
    <w:p w14:paraId="45BAACFE" w14:textId="77777777" w:rsidR="00E12084" w:rsidRPr="00A43543" w:rsidRDefault="00E12084" w:rsidP="00E12084">
      <w:pPr>
        <w:pStyle w:val="BodyText"/>
        <w:rPr>
          <w:i w:val="0"/>
          <w:iCs w:val="0"/>
          <w:sz w:val="24"/>
          <w:szCs w:val="24"/>
        </w:rPr>
      </w:pPr>
      <w:r w:rsidRPr="00A43543">
        <w:rPr>
          <w:i w:val="0"/>
          <w:iCs w:val="0"/>
          <w:sz w:val="24"/>
          <w:szCs w:val="24"/>
        </w:rPr>
        <w:t>Content strategy will include:</w:t>
      </w:r>
    </w:p>
    <w:p w14:paraId="258B6451" w14:textId="7125B57A" w:rsidR="00E12084" w:rsidRPr="00A43543" w:rsidRDefault="00E12084" w:rsidP="00E12084">
      <w:pPr>
        <w:pStyle w:val="BodyText"/>
        <w:numPr>
          <w:ilvl w:val="0"/>
          <w:numId w:val="32"/>
        </w:numPr>
        <w:tabs>
          <w:tab w:val="left" w:pos="340"/>
        </w:tabs>
        <w:suppressAutoHyphens/>
        <w:autoSpaceDE w:val="0"/>
        <w:autoSpaceDN w:val="0"/>
        <w:adjustRightInd w:val="0"/>
        <w:spacing w:line="276" w:lineRule="auto"/>
        <w:textAlignment w:val="center"/>
        <w:rPr>
          <w:i w:val="0"/>
          <w:iCs w:val="0"/>
          <w:sz w:val="24"/>
          <w:szCs w:val="24"/>
        </w:rPr>
      </w:pPr>
      <w:r w:rsidRPr="00A43543">
        <w:rPr>
          <w:i w:val="0"/>
          <w:iCs w:val="0"/>
          <w:sz w:val="24"/>
          <w:szCs w:val="24"/>
        </w:rPr>
        <w:t xml:space="preserve">Time-saving — focus on </w:t>
      </w:r>
      <w:r w:rsidR="00DA3485">
        <w:rPr>
          <w:i w:val="0"/>
          <w:iCs w:val="0"/>
          <w:sz w:val="24"/>
          <w:szCs w:val="24"/>
        </w:rPr>
        <w:t>the</w:t>
      </w:r>
      <w:r w:rsidRPr="00A43543">
        <w:rPr>
          <w:i w:val="0"/>
          <w:iCs w:val="0"/>
          <w:sz w:val="24"/>
          <w:szCs w:val="24"/>
        </w:rPr>
        <w:t xml:space="preserve"> messages and useful tips / tools / facts that are easy to </w:t>
      </w:r>
      <w:r w:rsidRPr="00A43543">
        <w:rPr>
          <w:i w:val="0"/>
          <w:iCs w:val="0"/>
          <w:sz w:val="24"/>
          <w:szCs w:val="24"/>
        </w:rPr>
        <w:lastRenderedPageBreak/>
        <w:t xml:space="preserve">absorb given our </w:t>
      </w:r>
      <w:r w:rsidR="00DA3485">
        <w:rPr>
          <w:i w:val="0"/>
          <w:iCs w:val="0"/>
          <w:sz w:val="24"/>
          <w:szCs w:val="24"/>
        </w:rPr>
        <w:t>audience</w:t>
      </w:r>
      <w:r w:rsidR="00946E15">
        <w:rPr>
          <w:i w:val="0"/>
          <w:iCs w:val="0"/>
          <w:sz w:val="24"/>
          <w:szCs w:val="24"/>
        </w:rPr>
        <w:t>.</w:t>
      </w:r>
    </w:p>
    <w:p w14:paraId="6F943B4F" w14:textId="373B57B3" w:rsidR="00E12084" w:rsidRPr="00A43543" w:rsidRDefault="00E12084" w:rsidP="00E12084">
      <w:pPr>
        <w:pStyle w:val="BodyText"/>
        <w:numPr>
          <w:ilvl w:val="0"/>
          <w:numId w:val="32"/>
        </w:numPr>
        <w:tabs>
          <w:tab w:val="left" w:pos="340"/>
        </w:tabs>
        <w:suppressAutoHyphens/>
        <w:autoSpaceDE w:val="0"/>
        <w:autoSpaceDN w:val="0"/>
        <w:adjustRightInd w:val="0"/>
        <w:spacing w:line="276" w:lineRule="auto"/>
        <w:textAlignment w:val="center"/>
        <w:rPr>
          <w:i w:val="0"/>
          <w:iCs w:val="0"/>
          <w:sz w:val="24"/>
          <w:szCs w:val="24"/>
        </w:rPr>
      </w:pPr>
      <w:r w:rsidRPr="00A43543">
        <w:rPr>
          <w:i w:val="0"/>
          <w:iCs w:val="0"/>
          <w:sz w:val="24"/>
          <w:szCs w:val="24"/>
        </w:rPr>
        <w:t>Relevance — ensure new or revised materials meet our audiences’ current needs</w:t>
      </w:r>
      <w:r w:rsidR="00DA3485">
        <w:rPr>
          <w:i w:val="0"/>
          <w:iCs w:val="0"/>
          <w:sz w:val="24"/>
          <w:szCs w:val="24"/>
        </w:rPr>
        <w:t xml:space="preserve"> for o</w:t>
      </w:r>
      <w:r w:rsidR="00DA3485" w:rsidRPr="00DA3485">
        <w:rPr>
          <w:i w:val="0"/>
          <w:iCs w:val="0"/>
          <w:sz w:val="24"/>
          <w:szCs w:val="24"/>
        </w:rPr>
        <w:t>ptimal mobility as an important component of healthy aging and critically for maintaining physical and mental health</w:t>
      </w:r>
      <w:r w:rsidR="00946E15">
        <w:rPr>
          <w:i w:val="0"/>
          <w:iCs w:val="0"/>
          <w:sz w:val="24"/>
          <w:szCs w:val="24"/>
        </w:rPr>
        <w:t>.</w:t>
      </w:r>
    </w:p>
    <w:p w14:paraId="24B43545" w14:textId="77777777" w:rsidR="00E12084" w:rsidRPr="00A43543" w:rsidRDefault="00E12084" w:rsidP="00E12084">
      <w:pPr>
        <w:pStyle w:val="BodyText"/>
        <w:numPr>
          <w:ilvl w:val="0"/>
          <w:numId w:val="32"/>
        </w:numPr>
        <w:tabs>
          <w:tab w:val="left" w:pos="340"/>
        </w:tabs>
        <w:suppressAutoHyphens/>
        <w:autoSpaceDE w:val="0"/>
        <w:autoSpaceDN w:val="0"/>
        <w:adjustRightInd w:val="0"/>
        <w:spacing w:line="276" w:lineRule="auto"/>
        <w:textAlignment w:val="center"/>
        <w:rPr>
          <w:i w:val="0"/>
          <w:iCs w:val="0"/>
          <w:sz w:val="24"/>
          <w:szCs w:val="24"/>
        </w:rPr>
      </w:pPr>
      <w:r w:rsidRPr="00A43543">
        <w:rPr>
          <w:i w:val="0"/>
          <w:iCs w:val="0"/>
          <w:sz w:val="24"/>
          <w:szCs w:val="24"/>
        </w:rPr>
        <w:t>Accessible — ensure the tone is direct, clear, real and salient with our audiences.</w:t>
      </w:r>
    </w:p>
    <w:p w14:paraId="306C5D60" w14:textId="77777777" w:rsidR="00E12084" w:rsidRPr="00A43543" w:rsidRDefault="00E12084" w:rsidP="00E12084">
      <w:pPr>
        <w:pStyle w:val="BodyText"/>
        <w:spacing w:line="276" w:lineRule="auto"/>
        <w:ind w:left="720"/>
        <w:rPr>
          <w:i w:val="0"/>
          <w:iCs w:val="0"/>
          <w:sz w:val="24"/>
          <w:szCs w:val="24"/>
        </w:rPr>
      </w:pPr>
    </w:p>
    <w:p w14:paraId="67CCEDFC" w14:textId="77777777" w:rsidR="00E12084" w:rsidRPr="00FE0243" w:rsidRDefault="00E12084" w:rsidP="00E12084">
      <w:pPr>
        <w:rPr>
          <w:b/>
        </w:rPr>
      </w:pPr>
      <w:r w:rsidRPr="00FE0243">
        <w:rPr>
          <w:b/>
        </w:rPr>
        <w:t>What are we trying to convey?</w:t>
      </w:r>
    </w:p>
    <w:p w14:paraId="13D4E35F" w14:textId="6A91C9DD" w:rsidR="00A43543" w:rsidRPr="00302906" w:rsidRDefault="00A43543" w:rsidP="00A43543">
      <w:r>
        <w:t>In our planned focus groups, our goal is to learn opinions about the health messages contained in the Mobility Planning brochure</w:t>
      </w:r>
      <w:r w:rsidR="00E47EEA">
        <w:t xml:space="preserve"> (Att. </w:t>
      </w:r>
      <w:r>
        <w:t>A)</w:t>
      </w:r>
      <w:r w:rsidR="00E47EEA">
        <w:t>. We</w:t>
      </w:r>
      <w:r>
        <w:t xml:space="preserve"> want to get subjects’ reactions to the materials and to determine if they are receiving and understanding these messages.  We also want to determine the best channels for dissemination of the Mobility Planning Tool to older adults.  We will use what we learn from focus groups to 1.  Refine the Mobility Planning brochure to create the final version for distribution; and 2. Understand the best methods and places to disseminate the Mobility Planning brochure to older adults. </w:t>
      </w:r>
    </w:p>
    <w:p w14:paraId="171BE459" w14:textId="77777777" w:rsidR="00E12084" w:rsidRDefault="00E12084" w:rsidP="003271C3">
      <w:pPr>
        <w:pStyle w:val="Header"/>
      </w:pPr>
    </w:p>
    <w:p w14:paraId="667A3F2A" w14:textId="77777777" w:rsidR="003644A0" w:rsidRDefault="003644A0" w:rsidP="0023773D">
      <w:pPr>
        <w:pStyle w:val="ListParagraph"/>
        <w:ind w:left="0"/>
        <w:rPr>
          <w:b/>
        </w:rPr>
      </w:pPr>
      <w:r>
        <w:rPr>
          <w:b/>
        </w:rPr>
        <w:t>Recruitment of Participants</w:t>
      </w:r>
    </w:p>
    <w:p w14:paraId="44D519A1" w14:textId="50195156" w:rsidR="00A22B03" w:rsidRPr="00302906" w:rsidRDefault="001310A7" w:rsidP="0023773D">
      <w:pPr>
        <w:pStyle w:val="ListParagraph"/>
        <w:ind w:left="0"/>
      </w:pPr>
      <w:r>
        <w:t>A third-party vendor</w:t>
      </w:r>
      <w:r w:rsidR="00671FD3">
        <w:t xml:space="preserve">, </w:t>
      </w:r>
      <w:r>
        <w:t xml:space="preserve">will identify prospective respondents meeting the </w:t>
      </w:r>
      <w:r w:rsidR="00671FD3">
        <w:t xml:space="preserve">inclusion </w:t>
      </w:r>
      <w:r>
        <w:t xml:space="preserve">criteria using their database of individuals who have expressed an interest in participating in </w:t>
      </w:r>
      <w:r w:rsidR="00671FD3">
        <w:t>projects</w:t>
      </w:r>
      <w:r>
        <w:t>. Contact information including name</w:t>
      </w:r>
      <w:r w:rsidR="007E204C">
        <w:t>, and</w:t>
      </w:r>
      <w:r>
        <w:t xml:space="preserve"> address </w:t>
      </w:r>
      <w:r w:rsidRPr="00691454">
        <w:t xml:space="preserve">of those respondents who wish to </w:t>
      </w:r>
      <w:r>
        <w:t xml:space="preserve">participate will be used to communicate location of the </w:t>
      </w:r>
      <w:r w:rsidR="005455A6">
        <w:t xml:space="preserve">focus group </w:t>
      </w:r>
      <w:r>
        <w:t>(</w:t>
      </w:r>
      <w:r w:rsidR="00734B71">
        <w:t xml:space="preserve">Att. </w:t>
      </w:r>
      <w:r w:rsidR="00E47EEA">
        <w:t>E</w:t>
      </w:r>
      <w:r>
        <w:t>). Also, s</w:t>
      </w:r>
      <w:r w:rsidR="00C9674F" w:rsidRPr="00302906">
        <w:t>igned consent forms</w:t>
      </w:r>
      <w:r w:rsidR="000048E8">
        <w:t xml:space="preserve"> from </w:t>
      </w:r>
      <w:r w:rsidR="00671FD3">
        <w:t xml:space="preserve">focus group </w:t>
      </w:r>
      <w:r w:rsidR="000048E8">
        <w:t>participants</w:t>
      </w:r>
      <w:r w:rsidR="00E745C9">
        <w:t xml:space="preserve"> (A</w:t>
      </w:r>
      <w:r w:rsidR="00734B71">
        <w:t>tt.</w:t>
      </w:r>
      <w:r w:rsidR="00E745C9">
        <w:t xml:space="preserve"> </w:t>
      </w:r>
      <w:r w:rsidR="0037393B">
        <w:t>D</w:t>
      </w:r>
      <w:r w:rsidR="00E745C9">
        <w:t>)</w:t>
      </w:r>
      <w:r w:rsidR="00CD3849">
        <w:t xml:space="preserve"> will be collected</w:t>
      </w:r>
      <w:r w:rsidR="00C9674F" w:rsidRPr="00302906">
        <w:t xml:space="preserve">. </w:t>
      </w:r>
      <w:r w:rsidR="00A22B03">
        <w:t xml:space="preserve">Signed consent forms will be kept by the </w:t>
      </w:r>
      <w:r w:rsidR="00716A0C">
        <w:t>interviewer</w:t>
      </w:r>
      <w:r w:rsidR="00A22B03">
        <w:t xml:space="preserve"> and stored in locked fil</w:t>
      </w:r>
      <w:r w:rsidR="00716A0C">
        <w:t>ing</w:t>
      </w:r>
      <w:r w:rsidR="00A22B03">
        <w:t xml:space="preserve"> cabinets at Battelle offices</w:t>
      </w:r>
      <w:r w:rsidR="00FD40A2">
        <w:t>, contractor</w:t>
      </w:r>
      <w:r w:rsidR="00A22B03">
        <w:t xml:space="preserve">. These forms will be stored separately from other </w:t>
      </w:r>
      <w:r w:rsidR="00671FD3">
        <w:t xml:space="preserve">project </w:t>
      </w:r>
      <w:r w:rsidR="00A22B03">
        <w:t xml:space="preserve">records so that names are not stored in the same folders. </w:t>
      </w:r>
      <w:r w:rsidR="003D74C6">
        <w:t xml:space="preserve">During the focus groups, respondents will be referred to only by first name. Focus group recordings will be transcribed. </w:t>
      </w:r>
      <w:r w:rsidR="00B25451">
        <w:t xml:space="preserve">All identifiers will be stripped from the recordings and transcripts.  </w:t>
      </w:r>
      <w:r w:rsidR="00A22B03" w:rsidRPr="00BD0DCB">
        <w:t xml:space="preserve">At no time will personal information be linked or linkable to </w:t>
      </w:r>
      <w:r w:rsidR="00FD10F2">
        <w:t>focus group</w:t>
      </w:r>
      <w:r w:rsidR="00FD10F2" w:rsidRPr="00BD0DCB">
        <w:t xml:space="preserve"> </w:t>
      </w:r>
      <w:r w:rsidR="00A22B03" w:rsidRPr="00BD0DCB">
        <w:t xml:space="preserve">data. </w:t>
      </w:r>
      <w:r w:rsidR="0023773D" w:rsidRPr="00691454">
        <w:t xml:space="preserve">At </w:t>
      </w:r>
      <w:r w:rsidR="0023773D">
        <w:t xml:space="preserve">no time does CDC have access to, </w:t>
      </w:r>
      <w:r w:rsidR="0023773D" w:rsidRPr="00691454">
        <w:t xml:space="preserve">or </w:t>
      </w:r>
      <w:r w:rsidR="0023773D">
        <w:t xml:space="preserve">will </w:t>
      </w:r>
      <w:r w:rsidR="0023773D" w:rsidRPr="00691454">
        <w:t>receive</w:t>
      </w:r>
      <w:r w:rsidR="0023773D">
        <w:t>,</w:t>
      </w:r>
      <w:r w:rsidR="0023773D" w:rsidRPr="00691454">
        <w:t xml:space="preserve"> potentially identifiable information. At no time </w:t>
      </w:r>
      <w:r w:rsidR="0023773D">
        <w:t>is</w:t>
      </w:r>
      <w:r w:rsidR="0023773D" w:rsidRPr="00691454">
        <w:t xml:space="preserve"> this information linked or linkable to </w:t>
      </w:r>
      <w:r w:rsidR="00FD10F2">
        <w:t>focus group</w:t>
      </w:r>
      <w:r w:rsidR="00FD10F2" w:rsidRPr="00691454">
        <w:t xml:space="preserve"> </w:t>
      </w:r>
      <w:r w:rsidR="0023773D" w:rsidRPr="00691454">
        <w:t>information.</w:t>
      </w:r>
      <w:r w:rsidR="0023773D">
        <w:t xml:space="preserve"> </w:t>
      </w:r>
    </w:p>
    <w:p w14:paraId="3578C094" w14:textId="77777777" w:rsidR="0052566E" w:rsidRPr="00302906" w:rsidRDefault="0052566E" w:rsidP="00C86E91">
      <w:pPr>
        <w:pStyle w:val="ListParagraph"/>
        <w:ind w:left="0"/>
        <w:rPr>
          <w:b/>
        </w:rPr>
      </w:pPr>
    </w:p>
    <w:p w14:paraId="7480C32E" w14:textId="09E953A1" w:rsidR="00B46F2C" w:rsidRPr="00302906" w:rsidRDefault="003644A0" w:rsidP="00C86E91">
      <w:pPr>
        <w:pStyle w:val="ListParagraph"/>
        <w:ind w:left="0"/>
        <w:rPr>
          <w:b/>
        </w:rPr>
      </w:pPr>
      <w:r>
        <w:rPr>
          <w:b/>
        </w:rPr>
        <w:t>Incentives</w:t>
      </w:r>
    </w:p>
    <w:p w14:paraId="0ACCBE9D" w14:textId="77777777" w:rsidR="001D0776" w:rsidRPr="00302906" w:rsidRDefault="00B46F2C">
      <w:r w:rsidRPr="00302906">
        <w:t xml:space="preserve">Is an incentive (e.g., money or reimbursement of expenses, token of appreciation) provided to participants?  [ </w:t>
      </w:r>
      <w:r w:rsidR="0052566E" w:rsidRPr="00302906">
        <w:t>X</w:t>
      </w:r>
      <w:r w:rsidRPr="00302906">
        <w:t xml:space="preserve"> ] Yes [  ] No</w:t>
      </w:r>
    </w:p>
    <w:p w14:paraId="6BB94D19" w14:textId="77777777" w:rsidR="0052566E" w:rsidRPr="00302906" w:rsidRDefault="0052566E"/>
    <w:p w14:paraId="18F57D19" w14:textId="0E904089" w:rsidR="00C431CF" w:rsidRPr="00C431CF" w:rsidRDefault="005455A6" w:rsidP="00C431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focus group </w:t>
      </w:r>
      <w:r w:rsidRPr="00302906">
        <w:t>participant will receive $</w:t>
      </w:r>
      <w:r>
        <w:t>75</w:t>
      </w:r>
      <w:r w:rsidRPr="00302906">
        <w:t xml:space="preserve"> </w:t>
      </w:r>
      <w:r w:rsidR="00E47EEA" w:rsidRPr="00E47EEA">
        <w:t>in cash for their participation</w:t>
      </w:r>
      <w:r>
        <w:t>.</w:t>
      </w:r>
      <w:r w:rsidRPr="00302906">
        <w:t xml:space="preserve"> The amount of th</w:t>
      </w:r>
      <w:r>
        <w:t>is</w:t>
      </w:r>
      <w:r w:rsidRPr="00302906">
        <w:t xml:space="preserve"> </w:t>
      </w:r>
      <w:r>
        <w:t>incentive</w:t>
      </w:r>
      <w:r w:rsidRPr="00302906">
        <w:t xml:space="preserve"> align</w:t>
      </w:r>
      <w:r>
        <w:t>s</w:t>
      </w:r>
      <w:r w:rsidRPr="00302906">
        <w:t xml:space="preserve"> with the general limitations of the o</w:t>
      </w:r>
      <w:r w:rsidR="00C431CF">
        <w:t>verarching Generic ICR</w:t>
      </w:r>
      <w:r w:rsidRPr="00302906">
        <w:t xml:space="preserve">. Providing incentives to respondents is necessary to successfully recruit individuals for qualitative </w:t>
      </w:r>
      <w:r w:rsidR="00671FD3">
        <w:t>projects</w:t>
      </w:r>
      <w:r w:rsidRPr="00302906">
        <w:t xml:space="preserve"> conducted in person</w:t>
      </w:r>
      <w:r>
        <w:rPr>
          <w:rStyle w:val="FootnoteReference"/>
        </w:rPr>
        <w:footnoteReference w:id="6"/>
      </w:r>
      <w:r w:rsidRPr="00302906">
        <w:t xml:space="preserve"> </w:t>
      </w:r>
      <w:r>
        <w:rPr>
          <w:rStyle w:val="FootnoteReference"/>
        </w:rPr>
        <w:footnoteReference w:id="7"/>
      </w:r>
      <w:r w:rsidRPr="00302906">
        <w:t xml:space="preserve">. </w:t>
      </w:r>
      <w:r w:rsidR="00C431CF">
        <w:t xml:space="preserve">Review of </w:t>
      </w:r>
      <w:r w:rsidR="00C431CF" w:rsidRPr="00C431CF">
        <w:t xml:space="preserve">literature </w:t>
      </w:r>
      <w:r w:rsidR="00C431CF">
        <w:t xml:space="preserve">reveals </w:t>
      </w:r>
      <w:r w:rsidR="00E47EEA">
        <w:t>that</w:t>
      </w:r>
      <w:r w:rsidR="00C431CF" w:rsidRPr="00C431CF">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14:paraId="5572E542" w14:textId="5604924B" w:rsidR="005455A6" w:rsidRDefault="005455A6" w:rsidP="00C86E91"/>
    <w:p w14:paraId="1DB84D81" w14:textId="684DA2B8" w:rsidR="003644A0" w:rsidRDefault="003644A0" w:rsidP="00C86E91"/>
    <w:p w14:paraId="32FCDFDF" w14:textId="7A10AE77" w:rsidR="003644A0" w:rsidRPr="003644A0" w:rsidRDefault="003644A0" w:rsidP="003644A0">
      <w:pPr>
        <w:rPr>
          <w:b/>
        </w:rPr>
      </w:pPr>
      <w:r w:rsidRPr="003644A0">
        <w:rPr>
          <w:b/>
        </w:rPr>
        <w:t>Protection of the Privacy and Confidentiality of Information Provided by Respondents</w:t>
      </w:r>
    </w:p>
    <w:p w14:paraId="4901079F" w14:textId="0084FDD4" w:rsidR="00BB6003" w:rsidRPr="00302906" w:rsidRDefault="003644A0" w:rsidP="00BB6003">
      <w:pPr>
        <w:pStyle w:val="ListParagraph"/>
        <w:ind w:left="0"/>
      </w:pPr>
      <w:r>
        <w:t>The NCIPC-CIO has determined that the Privacy</w:t>
      </w:r>
      <w:r w:rsidR="00BB6003">
        <w:t xml:space="preserve"> </w:t>
      </w:r>
      <w:r w:rsidR="00347B54">
        <w:t xml:space="preserve">Act does </w:t>
      </w:r>
      <w:r w:rsidR="00C431CF">
        <w:t xml:space="preserve">not </w:t>
      </w:r>
      <w:r w:rsidR="00347B54">
        <w:t>apply</w:t>
      </w:r>
      <w:r w:rsidR="00C431CF">
        <w:t>.</w:t>
      </w:r>
      <w:r w:rsidR="00347B54">
        <w:t xml:space="preserve"> </w:t>
      </w:r>
      <w:r w:rsidR="00BB6003">
        <w:t xml:space="preserve">Contact information including name, and address </w:t>
      </w:r>
      <w:r w:rsidR="00BB6003" w:rsidRPr="00691454">
        <w:t xml:space="preserve">of those respondents who wish to </w:t>
      </w:r>
      <w:r w:rsidR="00BB6003">
        <w:t xml:space="preserve">participate is secondary data already collected by a third-party vendor. </w:t>
      </w:r>
      <w:r w:rsidR="00BB6003" w:rsidRPr="00BD0DCB">
        <w:t xml:space="preserve">At no time will personal information be linked or linkable to </w:t>
      </w:r>
      <w:r w:rsidR="00BB6003">
        <w:t>focus group</w:t>
      </w:r>
      <w:r w:rsidR="00BB6003" w:rsidRPr="00BD0DCB">
        <w:t xml:space="preserve"> data. </w:t>
      </w:r>
      <w:r w:rsidR="00BB6003">
        <w:t xml:space="preserve">All identifiers will be stripped from the recordings and transcripts. </w:t>
      </w:r>
      <w:r w:rsidR="00BB6003" w:rsidRPr="00691454">
        <w:t xml:space="preserve">At </w:t>
      </w:r>
      <w:r w:rsidR="00BB6003">
        <w:t xml:space="preserve">no time does CDC have access to, </w:t>
      </w:r>
      <w:r w:rsidR="00BB6003" w:rsidRPr="00691454">
        <w:t xml:space="preserve">or </w:t>
      </w:r>
      <w:r w:rsidR="00BB6003">
        <w:t xml:space="preserve">will </w:t>
      </w:r>
      <w:r w:rsidR="00BB6003" w:rsidRPr="00691454">
        <w:t>receive</w:t>
      </w:r>
      <w:r w:rsidR="00BB6003">
        <w:t>,</w:t>
      </w:r>
      <w:r w:rsidR="00BB6003" w:rsidRPr="00691454">
        <w:t xml:space="preserve"> potentially identifiable information. At no time </w:t>
      </w:r>
      <w:r w:rsidR="00BB6003">
        <w:t>is</w:t>
      </w:r>
      <w:r w:rsidR="00BB6003" w:rsidRPr="00691454">
        <w:t xml:space="preserve"> this information linked or linkable to </w:t>
      </w:r>
      <w:r w:rsidR="00BB6003">
        <w:t>focus group</w:t>
      </w:r>
      <w:r w:rsidR="00BB6003" w:rsidRPr="00691454">
        <w:t xml:space="preserve"> information.</w:t>
      </w:r>
      <w:r w:rsidR="00BB6003">
        <w:t xml:space="preserve"> </w:t>
      </w:r>
    </w:p>
    <w:p w14:paraId="478E4976" w14:textId="77777777" w:rsidR="00BB6003" w:rsidRPr="00302906" w:rsidRDefault="00BB6003" w:rsidP="00BB6003">
      <w:pPr>
        <w:pStyle w:val="ListParagraph"/>
        <w:ind w:left="0"/>
        <w:rPr>
          <w:b/>
        </w:rPr>
      </w:pPr>
    </w:p>
    <w:p w14:paraId="1D709594" w14:textId="61CE9410" w:rsidR="005455A6" w:rsidRDefault="00347B54" w:rsidP="00C86E91">
      <w:r w:rsidRPr="001A4EAB">
        <w:t xml:space="preserve">All data will be reported in aggregate </w:t>
      </w:r>
      <w:r>
        <w:t>un</w:t>
      </w:r>
      <w:r w:rsidRPr="001A4EAB">
        <w:t>linked form. All procedures have been developed, in accordance with federal, state, and local guidelines, to ensure that the rights and privacy of respondents will be protected and maintained</w:t>
      </w:r>
      <w:r w:rsidR="00946E15">
        <w:t>.</w:t>
      </w:r>
    </w:p>
    <w:p w14:paraId="442F6D2C" w14:textId="4B5DFB52" w:rsidR="00B46F2C" w:rsidRDefault="00B46F2C">
      <w:pPr>
        <w:rPr>
          <w:b/>
          <w:bCs/>
          <w:u w:val="single"/>
        </w:rPr>
      </w:pPr>
    </w:p>
    <w:p w14:paraId="44E0AB19" w14:textId="77777777" w:rsidR="00E12084" w:rsidRPr="00302906" w:rsidRDefault="00E12084" w:rsidP="00E12084">
      <w:pPr>
        <w:rPr>
          <w:i/>
        </w:rPr>
      </w:pPr>
      <w:r w:rsidRPr="00302906">
        <w:rPr>
          <w:b/>
        </w:rPr>
        <w:t>BURDEN HOURS</w:t>
      </w:r>
      <w:r w:rsidRPr="00302906">
        <w:t xml:space="preserve"> </w:t>
      </w:r>
    </w:p>
    <w:p w14:paraId="7A10AFD3" w14:textId="77777777" w:rsidR="00E12084" w:rsidRPr="00302906" w:rsidRDefault="00E12084" w:rsidP="00E12084">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12084" w:rsidRPr="00302906" w14:paraId="7E0A5AE3" w14:textId="77777777" w:rsidTr="00A2483C">
        <w:trPr>
          <w:trHeight w:val="274"/>
        </w:trPr>
        <w:tc>
          <w:tcPr>
            <w:tcW w:w="5418" w:type="dxa"/>
          </w:tcPr>
          <w:p w14:paraId="6D36385F" w14:textId="77777777" w:rsidR="00E12084" w:rsidRPr="00302906" w:rsidRDefault="00E12084" w:rsidP="00A2483C">
            <w:pPr>
              <w:rPr>
                <w:b/>
              </w:rPr>
            </w:pPr>
            <w:r w:rsidRPr="00302906">
              <w:rPr>
                <w:b/>
              </w:rPr>
              <w:t xml:space="preserve">Category of Respondent </w:t>
            </w:r>
          </w:p>
        </w:tc>
        <w:tc>
          <w:tcPr>
            <w:tcW w:w="1530" w:type="dxa"/>
          </w:tcPr>
          <w:p w14:paraId="541D8521" w14:textId="77777777" w:rsidR="00E12084" w:rsidRPr="00302906" w:rsidRDefault="00E12084" w:rsidP="00A2483C">
            <w:pPr>
              <w:rPr>
                <w:b/>
              </w:rPr>
            </w:pPr>
            <w:r w:rsidRPr="00302906">
              <w:rPr>
                <w:b/>
              </w:rPr>
              <w:t>No. of Respondents</w:t>
            </w:r>
          </w:p>
        </w:tc>
        <w:tc>
          <w:tcPr>
            <w:tcW w:w="1710" w:type="dxa"/>
          </w:tcPr>
          <w:p w14:paraId="0B891D21" w14:textId="77777777" w:rsidR="00E12084" w:rsidRPr="00302906" w:rsidRDefault="00E12084" w:rsidP="00A2483C">
            <w:pPr>
              <w:rPr>
                <w:b/>
              </w:rPr>
            </w:pPr>
            <w:r w:rsidRPr="00302906">
              <w:rPr>
                <w:b/>
              </w:rPr>
              <w:t>Participation Time</w:t>
            </w:r>
            <w:r>
              <w:rPr>
                <w:b/>
              </w:rPr>
              <w:t xml:space="preserve"> (Hours)</w:t>
            </w:r>
          </w:p>
        </w:tc>
        <w:tc>
          <w:tcPr>
            <w:tcW w:w="1003" w:type="dxa"/>
          </w:tcPr>
          <w:p w14:paraId="262F422C" w14:textId="77777777" w:rsidR="00E12084" w:rsidRPr="00302906" w:rsidRDefault="00E12084" w:rsidP="00A2483C">
            <w:pPr>
              <w:rPr>
                <w:b/>
              </w:rPr>
            </w:pPr>
            <w:r w:rsidRPr="00302906">
              <w:rPr>
                <w:b/>
              </w:rPr>
              <w:t>Burden</w:t>
            </w:r>
          </w:p>
        </w:tc>
      </w:tr>
      <w:tr w:rsidR="00E12084" w:rsidRPr="00302906" w14:paraId="149A1462" w14:textId="77777777" w:rsidTr="00A2483C">
        <w:trPr>
          <w:trHeight w:val="274"/>
        </w:trPr>
        <w:tc>
          <w:tcPr>
            <w:tcW w:w="5418" w:type="dxa"/>
          </w:tcPr>
          <w:p w14:paraId="6E4DAC8D" w14:textId="02CB5CA1" w:rsidR="00E12084" w:rsidRPr="00302906" w:rsidRDefault="00E12084" w:rsidP="00A2483C">
            <w:r>
              <w:t>Individuals -  Recruitm</w:t>
            </w:r>
            <w:r w:rsidR="00856369">
              <w:t>ent/Screening Phone Call (Att. C</w:t>
            </w:r>
            <w:r>
              <w:t xml:space="preserve"> - Participant Screener)</w:t>
            </w:r>
          </w:p>
        </w:tc>
        <w:tc>
          <w:tcPr>
            <w:tcW w:w="1530" w:type="dxa"/>
          </w:tcPr>
          <w:p w14:paraId="34E18141" w14:textId="77777777" w:rsidR="00E12084" w:rsidRPr="00302906" w:rsidRDefault="00E12084" w:rsidP="00A2483C">
            <w:r>
              <w:t>300</w:t>
            </w:r>
          </w:p>
        </w:tc>
        <w:tc>
          <w:tcPr>
            <w:tcW w:w="1710" w:type="dxa"/>
          </w:tcPr>
          <w:p w14:paraId="4A2860F8" w14:textId="77777777" w:rsidR="00E12084" w:rsidRPr="00302906" w:rsidRDefault="00E12084" w:rsidP="00A2483C">
            <w:r>
              <w:t>5/60</w:t>
            </w:r>
          </w:p>
        </w:tc>
        <w:tc>
          <w:tcPr>
            <w:tcW w:w="1003" w:type="dxa"/>
          </w:tcPr>
          <w:p w14:paraId="0A1CF971" w14:textId="77777777" w:rsidR="00E12084" w:rsidRPr="00302906" w:rsidRDefault="00E12084" w:rsidP="00A2483C">
            <w:r>
              <w:t>25</w:t>
            </w:r>
          </w:p>
        </w:tc>
      </w:tr>
      <w:tr w:rsidR="00E12084" w:rsidRPr="00302906" w14:paraId="6B8C50CE" w14:textId="77777777" w:rsidTr="00A2483C">
        <w:trPr>
          <w:trHeight w:val="274"/>
        </w:trPr>
        <w:tc>
          <w:tcPr>
            <w:tcW w:w="5418" w:type="dxa"/>
          </w:tcPr>
          <w:p w14:paraId="760CAD25" w14:textId="29E198E7" w:rsidR="00E12084" w:rsidRDefault="00E12084" w:rsidP="00A2483C">
            <w:r>
              <w:t xml:space="preserve">Individuals – </w:t>
            </w:r>
            <w:r w:rsidRPr="00A95188">
              <w:t>Confirmatory Letter</w:t>
            </w:r>
            <w:r w:rsidDel="008712D9">
              <w:t xml:space="preserve"> </w:t>
            </w:r>
            <w:r w:rsidR="00856369">
              <w:t>(Att. E</w:t>
            </w:r>
            <w:r>
              <w:t xml:space="preserve">) </w:t>
            </w:r>
          </w:p>
        </w:tc>
        <w:tc>
          <w:tcPr>
            <w:tcW w:w="1530" w:type="dxa"/>
          </w:tcPr>
          <w:p w14:paraId="5F5B5176" w14:textId="77777777" w:rsidR="00E12084" w:rsidRPr="00302906" w:rsidDel="00AA70D6" w:rsidRDefault="00E12084" w:rsidP="00A2483C">
            <w:r>
              <w:t>36</w:t>
            </w:r>
          </w:p>
        </w:tc>
        <w:tc>
          <w:tcPr>
            <w:tcW w:w="1710" w:type="dxa"/>
          </w:tcPr>
          <w:p w14:paraId="4D5100CC" w14:textId="77777777" w:rsidR="00E12084" w:rsidRPr="00302906" w:rsidDel="00AA70D6" w:rsidRDefault="00E12084" w:rsidP="00A2483C">
            <w:r>
              <w:t>15/60</w:t>
            </w:r>
          </w:p>
        </w:tc>
        <w:tc>
          <w:tcPr>
            <w:tcW w:w="1003" w:type="dxa"/>
          </w:tcPr>
          <w:p w14:paraId="37985F49" w14:textId="77777777" w:rsidR="00E12084" w:rsidRPr="00302906" w:rsidRDefault="00E12084" w:rsidP="00A2483C">
            <w:r>
              <w:t>9</w:t>
            </w:r>
          </w:p>
        </w:tc>
      </w:tr>
      <w:tr w:rsidR="00E12084" w:rsidRPr="00302906" w14:paraId="6BB0650E" w14:textId="77777777" w:rsidTr="00A2483C">
        <w:trPr>
          <w:trHeight w:val="274"/>
        </w:trPr>
        <w:tc>
          <w:tcPr>
            <w:tcW w:w="5418" w:type="dxa"/>
          </w:tcPr>
          <w:p w14:paraId="0104CE26" w14:textId="1111DB86" w:rsidR="00E12084" w:rsidRPr="00302906" w:rsidRDefault="00E12084" w:rsidP="00A2483C">
            <w:r>
              <w:t xml:space="preserve">Individuals – Focus Group Moderator Guide (Att. </w:t>
            </w:r>
            <w:r w:rsidR="00914711">
              <w:t>F</w:t>
            </w:r>
            <w:r>
              <w:t>)</w:t>
            </w:r>
          </w:p>
        </w:tc>
        <w:tc>
          <w:tcPr>
            <w:tcW w:w="1530" w:type="dxa"/>
          </w:tcPr>
          <w:p w14:paraId="30653D14" w14:textId="77777777" w:rsidR="00E12084" w:rsidRPr="00302906" w:rsidRDefault="00E12084" w:rsidP="00A2483C">
            <w:r>
              <w:t>36</w:t>
            </w:r>
          </w:p>
        </w:tc>
        <w:tc>
          <w:tcPr>
            <w:tcW w:w="1710" w:type="dxa"/>
          </w:tcPr>
          <w:p w14:paraId="36E507BA" w14:textId="77777777" w:rsidR="00E12084" w:rsidRPr="00302906" w:rsidRDefault="00E12084" w:rsidP="00A2483C">
            <w:r>
              <w:t>2</w:t>
            </w:r>
          </w:p>
        </w:tc>
        <w:tc>
          <w:tcPr>
            <w:tcW w:w="1003" w:type="dxa"/>
          </w:tcPr>
          <w:p w14:paraId="0B663949" w14:textId="77777777" w:rsidR="00E12084" w:rsidRPr="00302906" w:rsidRDefault="00E12084" w:rsidP="00A2483C">
            <w:r>
              <w:t>72</w:t>
            </w:r>
          </w:p>
        </w:tc>
      </w:tr>
      <w:tr w:rsidR="00E12084" w:rsidRPr="00302906" w14:paraId="58E80138" w14:textId="77777777" w:rsidTr="00A2483C">
        <w:trPr>
          <w:trHeight w:val="289"/>
        </w:trPr>
        <w:tc>
          <w:tcPr>
            <w:tcW w:w="5418" w:type="dxa"/>
          </w:tcPr>
          <w:p w14:paraId="6921CB7C" w14:textId="77777777" w:rsidR="00E12084" w:rsidRPr="00302906" w:rsidRDefault="00E12084" w:rsidP="00A2483C">
            <w:pPr>
              <w:rPr>
                <w:b/>
              </w:rPr>
            </w:pPr>
            <w:r w:rsidRPr="00302906">
              <w:rPr>
                <w:b/>
              </w:rPr>
              <w:t>Totals</w:t>
            </w:r>
          </w:p>
        </w:tc>
        <w:tc>
          <w:tcPr>
            <w:tcW w:w="1530" w:type="dxa"/>
          </w:tcPr>
          <w:p w14:paraId="5088488F" w14:textId="77777777" w:rsidR="00E12084" w:rsidRPr="00302906" w:rsidRDefault="00E12084" w:rsidP="00A2483C">
            <w:pPr>
              <w:rPr>
                <w:b/>
              </w:rPr>
            </w:pPr>
          </w:p>
        </w:tc>
        <w:tc>
          <w:tcPr>
            <w:tcW w:w="1710" w:type="dxa"/>
          </w:tcPr>
          <w:p w14:paraId="17548119" w14:textId="77777777" w:rsidR="00E12084" w:rsidRPr="00302906" w:rsidRDefault="00E12084" w:rsidP="00A2483C"/>
        </w:tc>
        <w:tc>
          <w:tcPr>
            <w:tcW w:w="1003" w:type="dxa"/>
          </w:tcPr>
          <w:p w14:paraId="1FE96C2F" w14:textId="77777777" w:rsidR="00E12084" w:rsidRPr="00302906" w:rsidRDefault="00E12084" w:rsidP="00A2483C">
            <w:pPr>
              <w:rPr>
                <w:b/>
              </w:rPr>
            </w:pPr>
            <w:r>
              <w:rPr>
                <w:b/>
              </w:rPr>
              <w:t>106</w:t>
            </w:r>
          </w:p>
        </w:tc>
      </w:tr>
    </w:tbl>
    <w:p w14:paraId="57839962" w14:textId="77777777" w:rsidR="00E12084" w:rsidRPr="00302906" w:rsidRDefault="00E12084" w:rsidP="00E12084"/>
    <w:p w14:paraId="6F7F692E" w14:textId="77777777" w:rsidR="00E12084" w:rsidRPr="00302906" w:rsidRDefault="00E12084">
      <w:pPr>
        <w:rPr>
          <w:b/>
          <w:bCs/>
          <w:u w:val="single"/>
        </w:rPr>
      </w:pPr>
    </w:p>
    <w:sectPr w:rsidR="00E12084" w:rsidRPr="00302906" w:rsidSect="00194AC6">
      <w:footerReference w:type="default" r:id="rId9"/>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09151" w16cid:durableId="1D8B0B4B"/>
  <w16cid:commentId w16cid:paraId="4C2ADFB0" w16cid:durableId="1D8B0B53"/>
  <w16cid:commentId w16cid:paraId="19D2B04F" w16cid:durableId="1D8B0B4C"/>
  <w16cid:commentId w16cid:paraId="02994ADC" w16cid:durableId="1D8B0B4D"/>
  <w16cid:commentId w16cid:paraId="20A176D3" w16cid:durableId="1D8B0B4E"/>
  <w16cid:commentId w16cid:paraId="2E53DF82" w16cid:durableId="1D8B0B4F"/>
  <w16cid:commentId w16cid:paraId="18A87DEB" w16cid:durableId="1D8B0B50"/>
  <w16cid:commentId w16cid:paraId="01AA9CF2" w16cid:durableId="1D8B0B51"/>
  <w16cid:commentId w16cid:paraId="7409F4C5" w16cid:durableId="1D8B0D15"/>
  <w16cid:commentId w16cid:paraId="5D2D7FCD" w16cid:durableId="1D8B0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960B2" w14:textId="77777777" w:rsidR="004B7FF0" w:rsidRDefault="004B7FF0">
      <w:r>
        <w:separator/>
      </w:r>
    </w:p>
  </w:endnote>
  <w:endnote w:type="continuationSeparator" w:id="0">
    <w:p w14:paraId="3BEC1DD5" w14:textId="77777777" w:rsidR="004B7FF0" w:rsidRDefault="004B7FF0">
      <w:r>
        <w:continuationSeparator/>
      </w:r>
    </w:p>
  </w:endnote>
  <w:endnote w:type="continuationNotice" w:id="1">
    <w:p w14:paraId="1DCA89E4" w14:textId="77777777" w:rsidR="004B7FF0" w:rsidRDefault="004B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2356" w14:textId="0ABFECE1" w:rsidR="00F11C9A" w:rsidRDefault="00F11C9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09D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F20B7" w14:textId="77777777" w:rsidR="004B7FF0" w:rsidRDefault="004B7FF0">
      <w:r>
        <w:separator/>
      </w:r>
    </w:p>
  </w:footnote>
  <w:footnote w:type="continuationSeparator" w:id="0">
    <w:p w14:paraId="2E9B1139" w14:textId="77777777" w:rsidR="004B7FF0" w:rsidRDefault="004B7FF0">
      <w:r>
        <w:continuationSeparator/>
      </w:r>
    </w:p>
  </w:footnote>
  <w:footnote w:type="continuationNotice" w:id="1">
    <w:p w14:paraId="60E71B36" w14:textId="77777777" w:rsidR="004B7FF0" w:rsidRDefault="004B7FF0"/>
  </w:footnote>
  <w:footnote w:id="2">
    <w:p w14:paraId="7219443F" w14:textId="0C941A6E" w:rsidR="00F11C9A" w:rsidRPr="00C9674F" w:rsidRDefault="00F11C9A">
      <w:pPr>
        <w:pStyle w:val="FootnoteText"/>
        <w:rPr>
          <w:color w:val="A6A6A6" w:themeColor="background1" w:themeShade="A6"/>
          <w:sz w:val="16"/>
          <w:szCs w:val="16"/>
        </w:rPr>
      </w:pPr>
      <w:r w:rsidRPr="00C9674F">
        <w:rPr>
          <w:rStyle w:val="FootnoteReference"/>
          <w:color w:val="A6A6A6" w:themeColor="background1" w:themeShade="A6"/>
          <w:sz w:val="16"/>
          <w:szCs w:val="16"/>
        </w:rPr>
        <w:footnoteRef/>
      </w:r>
      <w:r w:rsidRPr="00C9674F">
        <w:rPr>
          <w:color w:val="A6A6A6" w:themeColor="background1" w:themeShade="A6"/>
          <w:sz w:val="16"/>
          <w:szCs w:val="16"/>
        </w:rPr>
        <w:t xml:space="preserve"> Prochaska TR, Anderson IA, Hooker SP, Hughes SI &amp; Belza B (2011) Mobility and aging: Transference to transportation. Journal of Aging Research, 2011, 1-3. Doi: 10.4061/2011/392751.</w:t>
      </w:r>
    </w:p>
  </w:footnote>
  <w:footnote w:id="3">
    <w:p w14:paraId="6A53E5DB" w14:textId="40B45E0F" w:rsidR="00F11C9A" w:rsidRPr="00C9674F" w:rsidRDefault="00F11C9A">
      <w:pPr>
        <w:pStyle w:val="FootnoteText"/>
        <w:rPr>
          <w:color w:val="A6A6A6" w:themeColor="background1" w:themeShade="A6"/>
          <w:sz w:val="16"/>
          <w:szCs w:val="16"/>
        </w:rPr>
      </w:pPr>
      <w:r w:rsidRPr="00C9674F">
        <w:rPr>
          <w:rStyle w:val="FootnoteReference"/>
          <w:color w:val="A6A6A6" w:themeColor="background1" w:themeShade="A6"/>
          <w:sz w:val="16"/>
          <w:szCs w:val="16"/>
        </w:rPr>
        <w:footnoteRef/>
      </w:r>
      <w:r w:rsidRPr="00C9674F">
        <w:rPr>
          <w:color w:val="A6A6A6" w:themeColor="background1" w:themeShade="A6"/>
          <w:sz w:val="16"/>
          <w:szCs w:val="16"/>
        </w:rPr>
        <w:t xml:space="preserve"> Satariano WA, Guralnik JM, Jackson RJ, Marottoli RA, Phelan FA, &amp; Prochaska TR (2012). Mobility and aging: New directions for public health action. American Journal of Public Health, 102: 1508-1515.</w:t>
      </w:r>
    </w:p>
  </w:footnote>
  <w:footnote w:id="4">
    <w:p w14:paraId="2995B61C" w14:textId="48C396AB" w:rsidR="00F11C9A" w:rsidRPr="00C9674F" w:rsidRDefault="00F11C9A">
      <w:pPr>
        <w:pStyle w:val="FootnoteText"/>
        <w:rPr>
          <w:color w:val="A6A6A6" w:themeColor="background1" w:themeShade="A6"/>
          <w:sz w:val="16"/>
          <w:szCs w:val="16"/>
        </w:rPr>
      </w:pPr>
      <w:r w:rsidRPr="00C9674F">
        <w:rPr>
          <w:rStyle w:val="FootnoteReference"/>
          <w:color w:val="A6A6A6" w:themeColor="background1" w:themeShade="A6"/>
          <w:sz w:val="16"/>
          <w:szCs w:val="16"/>
        </w:rPr>
        <w:footnoteRef/>
      </w:r>
      <w:r w:rsidRPr="00C9674F">
        <w:rPr>
          <w:color w:val="A6A6A6" w:themeColor="background1" w:themeShade="A6"/>
          <w:sz w:val="16"/>
          <w:szCs w:val="16"/>
        </w:rPr>
        <w:t xml:space="preserve"> Centers for Disease Control and Prevention, The State of Aging and Health in America 2013. Atlanta, GA: Centers for Disease Control and Prevention, US Dept of Health and Human Services; 2015.</w:t>
      </w:r>
    </w:p>
  </w:footnote>
  <w:footnote w:id="5">
    <w:p w14:paraId="488C1156" w14:textId="37EA806E" w:rsidR="00F11C9A" w:rsidRDefault="00F11C9A">
      <w:pPr>
        <w:pStyle w:val="FootnoteText"/>
      </w:pPr>
      <w:r w:rsidRPr="00C9674F">
        <w:rPr>
          <w:rStyle w:val="FootnoteReference"/>
          <w:color w:val="A6A6A6" w:themeColor="background1" w:themeShade="A6"/>
          <w:sz w:val="16"/>
          <w:szCs w:val="16"/>
        </w:rPr>
        <w:footnoteRef/>
      </w:r>
      <w:r w:rsidRPr="00C9674F">
        <w:rPr>
          <w:color w:val="A6A6A6" w:themeColor="background1" w:themeShade="A6"/>
          <w:sz w:val="16"/>
          <w:szCs w:val="16"/>
        </w:rPr>
        <w:t xml:space="preserve"> Wan H, Sengupta M, Velkoff VA, DeBarrow KA. 65+ in the United States: 2005 Current Population Reports. P23-209. Washington, DC: US Census Bureau; 2005. http://www.census.gov/prod/2006pubs/p23-209.pdf.</w:t>
      </w:r>
    </w:p>
  </w:footnote>
  <w:footnote w:id="6">
    <w:p w14:paraId="7A848F99" w14:textId="77777777" w:rsidR="005455A6" w:rsidRPr="003C2579" w:rsidRDefault="005455A6" w:rsidP="005455A6">
      <w:pPr>
        <w:pStyle w:val="FootnoteText"/>
      </w:pPr>
      <w:r>
        <w:rPr>
          <w:rStyle w:val="FootnoteReference"/>
        </w:rPr>
        <w:footnoteRef/>
      </w:r>
      <w:r>
        <w:t xml:space="preserve"> </w:t>
      </w:r>
      <w:r w:rsidRPr="003C2579">
        <w:t>National Cancer Institute. (2001)</w:t>
      </w:r>
      <w:r w:rsidRPr="003C2579">
        <w:rPr>
          <w:i/>
          <w:iCs/>
        </w:rPr>
        <w:t xml:space="preserve"> Making Health Communication Programs Work</w:t>
      </w:r>
      <w:r w:rsidRPr="003C2579">
        <w:t xml:space="preserve">, </w:t>
      </w:r>
      <w:hyperlink r:id="rId1" w:history="1">
        <w:r w:rsidRPr="003C2579">
          <w:rPr>
            <w:rStyle w:val="Hyperlink"/>
          </w:rPr>
          <w:t>http://www.cancer.gov/cancertopics/cancerlibrary/pinkbook/Pink_Book.pdf</w:t>
        </w:r>
      </w:hyperlink>
    </w:p>
    <w:p w14:paraId="4A85DD30" w14:textId="77777777" w:rsidR="005455A6" w:rsidRDefault="005455A6" w:rsidP="005455A6">
      <w:pPr>
        <w:pStyle w:val="FootnoteText"/>
      </w:pPr>
    </w:p>
  </w:footnote>
  <w:footnote w:id="7">
    <w:p w14:paraId="0C8356FA" w14:textId="77777777" w:rsidR="005455A6" w:rsidRDefault="005455A6" w:rsidP="005455A6">
      <w:pPr>
        <w:pStyle w:val="FootnoteText"/>
      </w:pPr>
      <w:r>
        <w:rPr>
          <w:rStyle w:val="FootnoteReference"/>
        </w:rPr>
        <w:footnoteRef/>
      </w:r>
      <w:r>
        <w:t xml:space="preserve"> </w:t>
      </w:r>
      <w:r w:rsidRPr="003C2579">
        <w:t>Krueger, RA and Casey, MA. (2008). </w:t>
      </w:r>
      <w:r w:rsidRPr="003C2579">
        <w:rPr>
          <w:i/>
          <w:iCs/>
        </w:rPr>
        <w:t>Focus Groups: A Practical Guide for Applied Research, 4</w:t>
      </w:r>
      <w:r w:rsidRPr="003C2579">
        <w:rPr>
          <w:i/>
          <w:iCs/>
          <w:vertAlign w:val="superscript"/>
        </w:rPr>
        <w:t>th</w:t>
      </w:r>
      <w:r w:rsidRPr="003C2579">
        <w:rPr>
          <w:i/>
          <w:iCs/>
        </w:rPr>
        <w:t xml:space="preserve"> ed</w:t>
      </w:r>
      <w:r w:rsidRPr="003C2579">
        <w:t>.  Sage Publications, Inc., Thousand Oaks, 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547ECB"/>
    <w:multiLevelType w:val="hybridMultilevel"/>
    <w:tmpl w:val="EAB2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54ED3"/>
    <w:multiLevelType w:val="hybridMultilevel"/>
    <w:tmpl w:val="8C58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A846A62"/>
    <w:multiLevelType w:val="hybridMultilevel"/>
    <w:tmpl w:val="B19C60F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BE286E"/>
    <w:multiLevelType w:val="hybridMultilevel"/>
    <w:tmpl w:val="785E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2B055F4"/>
    <w:multiLevelType w:val="hybridMultilevel"/>
    <w:tmpl w:val="DEE8EECA"/>
    <w:lvl w:ilvl="0" w:tplc="BC963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D48FA"/>
    <w:multiLevelType w:val="hybridMultilevel"/>
    <w:tmpl w:val="E800D500"/>
    <w:lvl w:ilvl="0" w:tplc="896A20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1D4AFB"/>
    <w:multiLevelType w:val="hybridMultilevel"/>
    <w:tmpl w:val="353484A2"/>
    <w:lvl w:ilvl="0" w:tplc="E0360D3A">
      <w:start w:val="1"/>
      <w:numFmt w:val="upperLetter"/>
      <w:pStyle w:val="TOC1"/>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36B3F8B"/>
    <w:multiLevelType w:val="hybridMultilevel"/>
    <w:tmpl w:val="1BB40BD8"/>
    <w:lvl w:ilvl="0" w:tplc="7C80B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0535D"/>
    <w:multiLevelType w:val="hybridMultilevel"/>
    <w:tmpl w:val="9114142C"/>
    <w:lvl w:ilvl="0" w:tplc="69985064">
      <w:start w:val="10"/>
      <w:numFmt w:val="bullet"/>
      <w:lvlText w:val="•"/>
      <w:lvlJc w:val="left"/>
      <w:pPr>
        <w:ind w:left="3405" w:hanging="3045"/>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6E201BB1"/>
    <w:multiLevelType w:val="hybridMultilevel"/>
    <w:tmpl w:val="20E0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5656FF4"/>
    <w:multiLevelType w:val="hybridMultilevel"/>
    <w:tmpl w:val="D5C2FD14"/>
    <w:lvl w:ilvl="0" w:tplc="5FA00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DE7373"/>
    <w:multiLevelType w:val="hybridMultilevel"/>
    <w:tmpl w:val="87E84890"/>
    <w:lvl w:ilvl="0" w:tplc="70FE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6B15EA"/>
    <w:multiLevelType w:val="hybridMultilevel"/>
    <w:tmpl w:val="C10ED538"/>
    <w:lvl w:ilvl="0" w:tplc="205E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9"/>
  </w:num>
  <w:num w:numId="3">
    <w:abstractNumId w:val="28"/>
  </w:num>
  <w:num w:numId="4">
    <w:abstractNumId w:val="30"/>
  </w:num>
  <w:num w:numId="5">
    <w:abstractNumId w:val="6"/>
  </w:num>
  <w:num w:numId="6">
    <w:abstractNumId w:val="2"/>
  </w:num>
  <w:num w:numId="7">
    <w:abstractNumId w:val="15"/>
  </w:num>
  <w:num w:numId="8">
    <w:abstractNumId w:val="23"/>
  </w:num>
  <w:num w:numId="9">
    <w:abstractNumId w:val="16"/>
  </w:num>
  <w:num w:numId="10">
    <w:abstractNumId w:val="3"/>
  </w:num>
  <w:num w:numId="11">
    <w:abstractNumId w:val="10"/>
  </w:num>
  <w:num w:numId="12">
    <w:abstractNumId w:val="12"/>
  </w:num>
  <w:num w:numId="13">
    <w:abstractNumId w:val="0"/>
  </w:num>
  <w:num w:numId="14">
    <w:abstractNumId w:val="25"/>
  </w:num>
  <w:num w:numId="15">
    <w:abstractNumId w:val="22"/>
  </w:num>
  <w:num w:numId="16">
    <w:abstractNumId w:val="19"/>
  </w:num>
  <w:num w:numId="17">
    <w:abstractNumId w:val="7"/>
  </w:num>
  <w:num w:numId="18">
    <w:abstractNumId w:val="8"/>
  </w:num>
  <w:num w:numId="19">
    <w:abstractNumId w:val="11"/>
  </w:num>
  <w:num w:numId="20">
    <w:abstractNumId w:val="21"/>
  </w:num>
  <w:num w:numId="21">
    <w:abstractNumId w:val="31"/>
  </w:num>
  <w:num w:numId="22">
    <w:abstractNumId w:val="27"/>
  </w:num>
  <w:num w:numId="23">
    <w:abstractNumId w:val="20"/>
  </w:num>
  <w:num w:numId="24">
    <w:abstractNumId w:val="13"/>
  </w:num>
  <w:num w:numId="25">
    <w:abstractNumId w:val="26"/>
  </w:num>
  <w:num w:numId="26">
    <w:abstractNumId w:val="5"/>
  </w:num>
  <w:num w:numId="27">
    <w:abstractNumId w:val="14"/>
  </w:num>
  <w:num w:numId="28">
    <w:abstractNumId w:val="18"/>
  </w:num>
  <w:num w:numId="29">
    <w:abstractNumId w:val="9"/>
  </w:num>
  <w:num w:numId="30">
    <w:abstractNumId w:val="1"/>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FA"/>
    <w:rsid w:val="000048E8"/>
    <w:rsid w:val="00007D70"/>
    <w:rsid w:val="00023A57"/>
    <w:rsid w:val="0002797D"/>
    <w:rsid w:val="00040DA6"/>
    <w:rsid w:val="00047A64"/>
    <w:rsid w:val="00053D2C"/>
    <w:rsid w:val="00067329"/>
    <w:rsid w:val="00095214"/>
    <w:rsid w:val="00097CA2"/>
    <w:rsid w:val="000A3CA6"/>
    <w:rsid w:val="000A757F"/>
    <w:rsid w:val="000B00AF"/>
    <w:rsid w:val="000B2838"/>
    <w:rsid w:val="000B3B9D"/>
    <w:rsid w:val="000B4C75"/>
    <w:rsid w:val="000D44CA"/>
    <w:rsid w:val="000E200B"/>
    <w:rsid w:val="000F68BE"/>
    <w:rsid w:val="000F7BAB"/>
    <w:rsid w:val="00120229"/>
    <w:rsid w:val="001310A7"/>
    <w:rsid w:val="00132DD4"/>
    <w:rsid w:val="00154469"/>
    <w:rsid w:val="00185D84"/>
    <w:rsid w:val="001927A4"/>
    <w:rsid w:val="00194AC6"/>
    <w:rsid w:val="001A23B0"/>
    <w:rsid w:val="001A25CC"/>
    <w:rsid w:val="001B0AAA"/>
    <w:rsid w:val="001B1CC7"/>
    <w:rsid w:val="001B451B"/>
    <w:rsid w:val="001C31D9"/>
    <w:rsid w:val="001C39F7"/>
    <w:rsid w:val="001C3E6E"/>
    <w:rsid w:val="001D0776"/>
    <w:rsid w:val="001D62AE"/>
    <w:rsid w:val="001F042B"/>
    <w:rsid w:val="002046F7"/>
    <w:rsid w:val="00214928"/>
    <w:rsid w:val="002279F2"/>
    <w:rsid w:val="0023773D"/>
    <w:rsid w:val="00237B48"/>
    <w:rsid w:val="0024521E"/>
    <w:rsid w:val="00263C3D"/>
    <w:rsid w:val="00264772"/>
    <w:rsid w:val="00274D0B"/>
    <w:rsid w:val="002821FF"/>
    <w:rsid w:val="00293B77"/>
    <w:rsid w:val="002A227A"/>
    <w:rsid w:val="002B3C95"/>
    <w:rsid w:val="002C41AB"/>
    <w:rsid w:val="002C4727"/>
    <w:rsid w:val="002D0B92"/>
    <w:rsid w:val="002D7D9B"/>
    <w:rsid w:val="00302906"/>
    <w:rsid w:val="003271C3"/>
    <w:rsid w:val="00345D4B"/>
    <w:rsid w:val="00347B54"/>
    <w:rsid w:val="00354BC7"/>
    <w:rsid w:val="00357144"/>
    <w:rsid w:val="00363AB0"/>
    <w:rsid w:val="003644A0"/>
    <w:rsid w:val="003675DB"/>
    <w:rsid w:val="0037393B"/>
    <w:rsid w:val="00390C18"/>
    <w:rsid w:val="003C2579"/>
    <w:rsid w:val="003D3775"/>
    <w:rsid w:val="003D5BBE"/>
    <w:rsid w:val="003D7257"/>
    <w:rsid w:val="003D74C6"/>
    <w:rsid w:val="003E3C61"/>
    <w:rsid w:val="003F1C5B"/>
    <w:rsid w:val="00400B1E"/>
    <w:rsid w:val="0041337D"/>
    <w:rsid w:val="00434E33"/>
    <w:rsid w:val="00441434"/>
    <w:rsid w:val="004439ED"/>
    <w:rsid w:val="0045264C"/>
    <w:rsid w:val="00464535"/>
    <w:rsid w:val="00472252"/>
    <w:rsid w:val="004876EC"/>
    <w:rsid w:val="004A09DA"/>
    <w:rsid w:val="004B337A"/>
    <w:rsid w:val="004B7FF0"/>
    <w:rsid w:val="004C4AF7"/>
    <w:rsid w:val="004D6E14"/>
    <w:rsid w:val="005009B0"/>
    <w:rsid w:val="00512CA7"/>
    <w:rsid w:val="0052566E"/>
    <w:rsid w:val="0052601B"/>
    <w:rsid w:val="005278BE"/>
    <w:rsid w:val="005311EC"/>
    <w:rsid w:val="00532B89"/>
    <w:rsid w:val="005455A6"/>
    <w:rsid w:val="005515E9"/>
    <w:rsid w:val="00552524"/>
    <w:rsid w:val="0059705B"/>
    <w:rsid w:val="005A1006"/>
    <w:rsid w:val="005C35E0"/>
    <w:rsid w:val="005D3296"/>
    <w:rsid w:val="005D71FF"/>
    <w:rsid w:val="005D7737"/>
    <w:rsid w:val="005E067E"/>
    <w:rsid w:val="005E714A"/>
    <w:rsid w:val="00602CF7"/>
    <w:rsid w:val="006140A0"/>
    <w:rsid w:val="00636621"/>
    <w:rsid w:val="00642B49"/>
    <w:rsid w:val="00642B7F"/>
    <w:rsid w:val="00650BCB"/>
    <w:rsid w:val="00671CC1"/>
    <w:rsid w:val="00671FD3"/>
    <w:rsid w:val="006774B8"/>
    <w:rsid w:val="006832D9"/>
    <w:rsid w:val="0069403B"/>
    <w:rsid w:val="006956FB"/>
    <w:rsid w:val="006B7F59"/>
    <w:rsid w:val="006C075A"/>
    <w:rsid w:val="006D5FAC"/>
    <w:rsid w:val="006E12B5"/>
    <w:rsid w:val="006F3DDE"/>
    <w:rsid w:val="00704678"/>
    <w:rsid w:val="00716A0C"/>
    <w:rsid w:val="00720517"/>
    <w:rsid w:val="00734B71"/>
    <w:rsid w:val="00735905"/>
    <w:rsid w:val="00735CD4"/>
    <w:rsid w:val="007407A2"/>
    <w:rsid w:val="007425E7"/>
    <w:rsid w:val="0074684C"/>
    <w:rsid w:val="0075154F"/>
    <w:rsid w:val="007526BB"/>
    <w:rsid w:val="007537F5"/>
    <w:rsid w:val="007608A0"/>
    <w:rsid w:val="007672F5"/>
    <w:rsid w:val="007A00C3"/>
    <w:rsid w:val="007A4766"/>
    <w:rsid w:val="007A7B57"/>
    <w:rsid w:val="007C1A3A"/>
    <w:rsid w:val="007D022D"/>
    <w:rsid w:val="007D5494"/>
    <w:rsid w:val="007E204C"/>
    <w:rsid w:val="007F2DE3"/>
    <w:rsid w:val="00800EB1"/>
    <w:rsid w:val="00802607"/>
    <w:rsid w:val="008101A5"/>
    <w:rsid w:val="00821533"/>
    <w:rsid w:val="00822664"/>
    <w:rsid w:val="00840FCA"/>
    <w:rsid w:val="00843796"/>
    <w:rsid w:val="00854037"/>
    <w:rsid w:val="00856369"/>
    <w:rsid w:val="00857D96"/>
    <w:rsid w:val="00895229"/>
    <w:rsid w:val="008B0F2F"/>
    <w:rsid w:val="008D5371"/>
    <w:rsid w:val="008E45F3"/>
    <w:rsid w:val="008E4BA3"/>
    <w:rsid w:val="008E57E6"/>
    <w:rsid w:val="008F0203"/>
    <w:rsid w:val="008F50D4"/>
    <w:rsid w:val="009034EB"/>
    <w:rsid w:val="00914711"/>
    <w:rsid w:val="00922EE3"/>
    <w:rsid w:val="009239AA"/>
    <w:rsid w:val="00935ADA"/>
    <w:rsid w:val="00946B6C"/>
    <w:rsid w:val="00946E15"/>
    <w:rsid w:val="009470E7"/>
    <w:rsid w:val="00955A71"/>
    <w:rsid w:val="0096108F"/>
    <w:rsid w:val="00976D62"/>
    <w:rsid w:val="00997E86"/>
    <w:rsid w:val="009B4ECB"/>
    <w:rsid w:val="009C13B9"/>
    <w:rsid w:val="009D01A2"/>
    <w:rsid w:val="009E5D74"/>
    <w:rsid w:val="009F40D8"/>
    <w:rsid w:val="009F4DDF"/>
    <w:rsid w:val="009F5923"/>
    <w:rsid w:val="009F66BB"/>
    <w:rsid w:val="00A0569F"/>
    <w:rsid w:val="00A071AD"/>
    <w:rsid w:val="00A11BD0"/>
    <w:rsid w:val="00A15183"/>
    <w:rsid w:val="00A214FA"/>
    <w:rsid w:val="00A22825"/>
    <w:rsid w:val="00A22B03"/>
    <w:rsid w:val="00A403BB"/>
    <w:rsid w:val="00A41A7B"/>
    <w:rsid w:val="00A43543"/>
    <w:rsid w:val="00A5348A"/>
    <w:rsid w:val="00A56487"/>
    <w:rsid w:val="00A57A61"/>
    <w:rsid w:val="00A674DF"/>
    <w:rsid w:val="00A83879"/>
    <w:rsid w:val="00A83AA6"/>
    <w:rsid w:val="00A86A3C"/>
    <w:rsid w:val="00A95188"/>
    <w:rsid w:val="00A96C15"/>
    <w:rsid w:val="00AA0718"/>
    <w:rsid w:val="00AA2E67"/>
    <w:rsid w:val="00AA70D6"/>
    <w:rsid w:val="00AB7305"/>
    <w:rsid w:val="00AD0641"/>
    <w:rsid w:val="00AE1809"/>
    <w:rsid w:val="00AE6FDF"/>
    <w:rsid w:val="00B00E7F"/>
    <w:rsid w:val="00B21E1C"/>
    <w:rsid w:val="00B25451"/>
    <w:rsid w:val="00B46F2C"/>
    <w:rsid w:val="00B51C38"/>
    <w:rsid w:val="00B54A22"/>
    <w:rsid w:val="00B55002"/>
    <w:rsid w:val="00B80D76"/>
    <w:rsid w:val="00BA0886"/>
    <w:rsid w:val="00BA2105"/>
    <w:rsid w:val="00BA7E06"/>
    <w:rsid w:val="00BA7EE5"/>
    <w:rsid w:val="00BB43B5"/>
    <w:rsid w:val="00BB6003"/>
    <w:rsid w:val="00BB6219"/>
    <w:rsid w:val="00BB6DB1"/>
    <w:rsid w:val="00BC2711"/>
    <w:rsid w:val="00BD290F"/>
    <w:rsid w:val="00BE3495"/>
    <w:rsid w:val="00C14CC4"/>
    <w:rsid w:val="00C33C52"/>
    <w:rsid w:val="00C40D8B"/>
    <w:rsid w:val="00C431CF"/>
    <w:rsid w:val="00C5017B"/>
    <w:rsid w:val="00C7484C"/>
    <w:rsid w:val="00C76CA6"/>
    <w:rsid w:val="00C776F1"/>
    <w:rsid w:val="00C80AD9"/>
    <w:rsid w:val="00C811A6"/>
    <w:rsid w:val="00C82967"/>
    <w:rsid w:val="00C8407A"/>
    <w:rsid w:val="00C8488C"/>
    <w:rsid w:val="00C85EE5"/>
    <w:rsid w:val="00C86319"/>
    <w:rsid w:val="00C86E91"/>
    <w:rsid w:val="00C87D82"/>
    <w:rsid w:val="00C916B2"/>
    <w:rsid w:val="00C956E6"/>
    <w:rsid w:val="00C9674F"/>
    <w:rsid w:val="00CA2650"/>
    <w:rsid w:val="00CB1078"/>
    <w:rsid w:val="00CC0BFD"/>
    <w:rsid w:val="00CC6FAF"/>
    <w:rsid w:val="00CD3849"/>
    <w:rsid w:val="00CD799B"/>
    <w:rsid w:val="00CF70AA"/>
    <w:rsid w:val="00D17E04"/>
    <w:rsid w:val="00D24698"/>
    <w:rsid w:val="00D25F8B"/>
    <w:rsid w:val="00D60F0D"/>
    <w:rsid w:val="00D6383F"/>
    <w:rsid w:val="00D71221"/>
    <w:rsid w:val="00D71B43"/>
    <w:rsid w:val="00D7229A"/>
    <w:rsid w:val="00D80847"/>
    <w:rsid w:val="00DA3485"/>
    <w:rsid w:val="00DB59D0"/>
    <w:rsid w:val="00DC0663"/>
    <w:rsid w:val="00DC33D3"/>
    <w:rsid w:val="00DF1317"/>
    <w:rsid w:val="00E00A82"/>
    <w:rsid w:val="00E12084"/>
    <w:rsid w:val="00E1661C"/>
    <w:rsid w:val="00E2594A"/>
    <w:rsid w:val="00E26329"/>
    <w:rsid w:val="00E40B50"/>
    <w:rsid w:val="00E47EEA"/>
    <w:rsid w:val="00E50293"/>
    <w:rsid w:val="00E65142"/>
    <w:rsid w:val="00E65FFC"/>
    <w:rsid w:val="00E745C9"/>
    <w:rsid w:val="00E76B1C"/>
    <w:rsid w:val="00E80951"/>
    <w:rsid w:val="00E83D1C"/>
    <w:rsid w:val="00E854FE"/>
    <w:rsid w:val="00E86CC6"/>
    <w:rsid w:val="00E96ED2"/>
    <w:rsid w:val="00EA4141"/>
    <w:rsid w:val="00EB56B3"/>
    <w:rsid w:val="00ED6492"/>
    <w:rsid w:val="00ED64D6"/>
    <w:rsid w:val="00EF2095"/>
    <w:rsid w:val="00F06866"/>
    <w:rsid w:val="00F11C9A"/>
    <w:rsid w:val="00F1254F"/>
    <w:rsid w:val="00F15956"/>
    <w:rsid w:val="00F169BC"/>
    <w:rsid w:val="00F24CFC"/>
    <w:rsid w:val="00F3170F"/>
    <w:rsid w:val="00F4017B"/>
    <w:rsid w:val="00F50E91"/>
    <w:rsid w:val="00F62152"/>
    <w:rsid w:val="00F8281D"/>
    <w:rsid w:val="00F875F9"/>
    <w:rsid w:val="00F96352"/>
    <w:rsid w:val="00F96C8E"/>
    <w:rsid w:val="00F976B0"/>
    <w:rsid w:val="00FA5289"/>
    <w:rsid w:val="00FA6DE7"/>
    <w:rsid w:val="00FB5EE7"/>
    <w:rsid w:val="00FC0A8E"/>
    <w:rsid w:val="00FC2CA7"/>
    <w:rsid w:val="00FD10F2"/>
    <w:rsid w:val="00FD40A2"/>
    <w:rsid w:val="00FE0E6D"/>
    <w:rsid w:val="00FE2FA6"/>
    <w:rsid w:val="00FE3DF2"/>
    <w:rsid w:val="00FE6B82"/>
    <w:rsid w:val="00FE7F8B"/>
    <w:rsid w:val="00FF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5EA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styleId="BodyTextIndent2">
    <w:name w:val="Body Text Indent 2"/>
    <w:basedOn w:val="Normal"/>
    <w:link w:val="BodyTextIndent2Char"/>
    <w:uiPriority w:val="99"/>
    <w:semiHidden/>
    <w:unhideWhenUsed/>
    <w:rsid w:val="003271C3"/>
    <w:pPr>
      <w:spacing w:after="120" w:line="480" w:lineRule="auto"/>
      <w:ind w:left="360"/>
    </w:pPr>
  </w:style>
  <w:style w:type="character" w:customStyle="1" w:styleId="BodyTextIndent2Char">
    <w:name w:val="Body Text Indent 2 Char"/>
    <w:basedOn w:val="DefaultParagraphFont"/>
    <w:link w:val="BodyTextIndent2"/>
    <w:uiPriority w:val="99"/>
    <w:semiHidden/>
    <w:rsid w:val="003271C3"/>
    <w:rPr>
      <w:sz w:val="24"/>
      <w:szCs w:val="24"/>
    </w:rPr>
  </w:style>
  <w:style w:type="paragraph" w:styleId="FootnoteText">
    <w:name w:val="footnote text"/>
    <w:basedOn w:val="Normal"/>
    <w:link w:val="FootnoteTextChar"/>
    <w:uiPriority w:val="99"/>
    <w:semiHidden/>
    <w:unhideWhenUsed/>
    <w:rsid w:val="00264772"/>
    <w:rPr>
      <w:sz w:val="20"/>
      <w:szCs w:val="20"/>
    </w:rPr>
  </w:style>
  <w:style w:type="character" w:customStyle="1" w:styleId="FootnoteTextChar">
    <w:name w:val="Footnote Text Char"/>
    <w:basedOn w:val="DefaultParagraphFont"/>
    <w:link w:val="FootnoteText"/>
    <w:uiPriority w:val="99"/>
    <w:semiHidden/>
    <w:rsid w:val="00264772"/>
    <w:rPr>
      <w:sz w:val="20"/>
      <w:szCs w:val="20"/>
    </w:rPr>
  </w:style>
  <w:style w:type="character" w:styleId="FootnoteReference">
    <w:name w:val="footnote reference"/>
    <w:basedOn w:val="DefaultParagraphFont"/>
    <w:uiPriority w:val="99"/>
    <w:semiHidden/>
    <w:unhideWhenUsed/>
    <w:rsid w:val="00264772"/>
    <w:rPr>
      <w:vertAlign w:val="superscript"/>
    </w:rPr>
  </w:style>
  <w:style w:type="character" w:styleId="Hyperlink">
    <w:name w:val="Hyperlink"/>
    <w:basedOn w:val="DefaultParagraphFont"/>
    <w:uiPriority w:val="99"/>
    <w:unhideWhenUsed/>
    <w:rsid w:val="003C2579"/>
    <w:rPr>
      <w:color w:val="0000FF" w:themeColor="hyperlink"/>
      <w:u w:val="single"/>
    </w:rPr>
  </w:style>
  <w:style w:type="character" w:customStyle="1" w:styleId="ListParagraphChar">
    <w:name w:val="List Paragraph Char"/>
    <w:basedOn w:val="DefaultParagraphFont"/>
    <w:link w:val="ListParagraph"/>
    <w:uiPriority w:val="34"/>
    <w:rsid w:val="00E745C9"/>
    <w:rPr>
      <w:sz w:val="24"/>
      <w:szCs w:val="24"/>
    </w:rPr>
  </w:style>
  <w:style w:type="paragraph" w:styleId="TOCHeading">
    <w:name w:val="TOC Heading"/>
    <w:basedOn w:val="Heading1"/>
    <w:next w:val="Normal"/>
    <w:uiPriority w:val="39"/>
    <w:unhideWhenUsed/>
    <w:qFormat/>
    <w:rsid w:val="00E745C9"/>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745C9"/>
    <w:pPr>
      <w:numPr>
        <w:numId w:val="28"/>
      </w:numPr>
      <w:spacing w:after="100"/>
      <w:outlineLvl w:val="0"/>
    </w:pPr>
    <w:rPr>
      <w:rFonts w:ascii="Arial" w:hAnsi="Arial"/>
      <w:b/>
      <w:szCs w:val="20"/>
    </w:rPr>
  </w:style>
  <w:style w:type="paragraph" w:styleId="TOC3">
    <w:name w:val="toc 3"/>
    <w:basedOn w:val="Normal"/>
    <w:next w:val="Normal"/>
    <w:autoRedefine/>
    <w:uiPriority w:val="39"/>
    <w:unhideWhenUsed/>
    <w:rsid w:val="00E745C9"/>
    <w:pPr>
      <w:spacing w:after="100"/>
      <w:ind w:left="480"/>
    </w:pPr>
    <w:rPr>
      <w:rFonts w:ascii="Arial" w:hAnsi="Arial"/>
      <w:szCs w:val="20"/>
    </w:rPr>
  </w:style>
  <w:style w:type="paragraph" w:styleId="Revision">
    <w:name w:val="Revision"/>
    <w:hidden/>
    <w:uiPriority w:val="99"/>
    <w:semiHidden/>
    <w:rsid w:val="00CC0BFD"/>
    <w:rPr>
      <w:sz w:val="24"/>
      <w:szCs w:val="24"/>
    </w:rPr>
  </w:style>
  <w:style w:type="paragraph" w:styleId="BodyText2">
    <w:name w:val="Body Text 2"/>
    <w:basedOn w:val="Normal"/>
    <w:link w:val="BodyText2Char"/>
    <w:uiPriority w:val="99"/>
    <w:semiHidden/>
    <w:unhideWhenUsed/>
    <w:rsid w:val="00C82967"/>
    <w:pPr>
      <w:spacing w:after="120" w:line="480" w:lineRule="auto"/>
    </w:pPr>
  </w:style>
  <w:style w:type="character" w:customStyle="1" w:styleId="BodyText2Char">
    <w:name w:val="Body Text 2 Char"/>
    <w:basedOn w:val="DefaultParagraphFont"/>
    <w:link w:val="BodyText2"/>
    <w:uiPriority w:val="99"/>
    <w:semiHidden/>
    <w:rsid w:val="00C82967"/>
    <w:rPr>
      <w:sz w:val="24"/>
      <w:szCs w:val="24"/>
    </w:rPr>
  </w:style>
  <w:style w:type="paragraph" w:customStyle="1" w:styleId="SL-FlLftSgl">
    <w:name w:val="SL-Fl Lft Sgl"/>
    <w:rsid w:val="00C82967"/>
    <w:pPr>
      <w:spacing w:line="240" w:lineRule="atLeast"/>
    </w:pPr>
    <w:rPr>
      <w:sz w:val="24"/>
      <w:szCs w:val="24"/>
    </w:rPr>
  </w:style>
  <w:style w:type="paragraph" w:customStyle="1" w:styleId="Default">
    <w:name w:val="Default"/>
    <w:rsid w:val="00E12084"/>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styleId="BodyTextIndent2">
    <w:name w:val="Body Text Indent 2"/>
    <w:basedOn w:val="Normal"/>
    <w:link w:val="BodyTextIndent2Char"/>
    <w:uiPriority w:val="99"/>
    <w:semiHidden/>
    <w:unhideWhenUsed/>
    <w:rsid w:val="003271C3"/>
    <w:pPr>
      <w:spacing w:after="120" w:line="480" w:lineRule="auto"/>
      <w:ind w:left="360"/>
    </w:pPr>
  </w:style>
  <w:style w:type="character" w:customStyle="1" w:styleId="BodyTextIndent2Char">
    <w:name w:val="Body Text Indent 2 Char"/>
    <w:basedOn w:val="DefaultParagraphFont"/>
    <w:link w:val="BodyTextIndent2"/>
    <w:uiPriority w:val="99"/>
    <w:semiHidden/>
    <w:rsid w:val="003271C3"/>
    <w:rPr>
      <w:sz w:val="24"/>
      <w:szCs w:val="24"/>
    </w:rPr>
  </w:style>
  <w:style w:type="paragraph" w:styleId="FootnoteText">
    <w:name w:val="footnote text"/>
    <w:basedOn w:val="Normal"/>
    <w:link w:val="FootnoteTextChar"/>
    <w:uiPriority w:val="99"/>
    <w:semiHidden/>
    <w:unhideWhenUsed/>
    <w:rsid w:val="00264772"/>
    <w:rPr>
      <w:sz w:val="20"/>
      <w:szCs w:val="20"/>
    </w:rPr>
  </w:style>
  <w:style w:type="character" w:customStyle="1" w:styleId="FootnoteTextChar">
    <w:name w:val="Footnote Text Char"/>
    <w:basedOn w:val="DefaultParagraphFont"/>
    <w:link w:val="FootnoteText"/>
    <w:uiPriority w:val="99"/>
    <w:semiHidden/>
    <w:rsid w:val="00264772"/>
    <w:rPr>
      <w:sz w:val="20"/>
      <w:szCs w:val="20"/>
    </w:rPr>
  </w:style>
  <w:style w:type="character" w:styleId="FootnoteReference">
    <w:name w:val="footnote reference"/>
    <w:basedOn w:val="DefaultParagraphFont"/>
    <w:uiPriority w:val="99"/>
    <w:semiHidden/>
    <w:unhideWhenUsed/>
    <w:rsid w:val="00264772"/>
    <w:rPr>
      <w:vertAlign w:val="superscript"/>
    </w:rPr>
  </w:style>
  <w:style w:type="character" w:styleId="Hyperlink">
    <w:name w:val="Hyperlink"/>
    <w:basedOn w:val="DefaultParagraphFont"/>
    <w:uiPriority w:val="99"/>
    <w:unhideWhenUsed/>
    <w:rsid w:val="003C2579"/>
    <w:rPr>
      <w:color w:val="0000FF" w:themeColor="hyperlink"/>
      <w:u w:val="single"/>
    </w:rPr>
  </w:style>
  <w:style w:type="character" w:customStyle="1" w:styleId="ListParagraphChar">
    <w:name w:val="List Paragraph Char"/>
    <w:basedOn w:val="DefaultParagraphFont"/>
    <w:link w:val="ListParagraph"/>
    <w:uiPriority w:val="34"/>
    <w:rsid w:val="00E745C9"/>
    <w:rPr>
      <w:sz w:val="24"/>
      <w:szCs w:val="24"/>
    </w:rPr>
  </w:style>
  <w:style w:type="paragraph" w:styleId="TOCHeading">
    <w:name w:val="TOC Heading"/>
    <w:basedOn w:val="Heading1"/>
    <w:next w:val="Normal"/>
    <w:uiPriority w:val="39"/>
    <w:unhideWhenUsed/>
    <w:qFormat/>
    <w:rsid w:val="00E745C9"/>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745C9"/>
    <w:pPr>
      <w:numPr>
        <w:numId w:val="28"/>
      </w:numPr>
      <w:spacing w:after="100"/>
      <w:outlineLvl w:val="0"/>
    </w:pPr>
    <w:rPr>
      <w:rFonts w:ascii="Arial" w:hAnsi="Arial"/>
      <w:b/>
      <w:szCs w:val="20"/>
    </w:rPr>
  </w:style>
  <w:style w:type="paragraph" w:styleId="TOC3">
    <w:name w:val="toc 3"/>
    <w:basedOn w:val="Normal"/>
    <w:next w:val="Normal"/>
    <w:autoRedefine/>
    <w:uiPriority w:val="39"/>
    <w:unhideWhenUsed/>
    <w:rsid w:val="00E745C9"/>
    <w:pPr>
      <w:spacing w:after="100"/>
      <w:ind w:left="480"/>
    </w:pPr>
    <w:rPr>
      <w:rFonts w:ascii="Arial" w:hAnsi="Arial"/>
      <w:szCs w:val="20"/>
    </w:rPr>
  </w:style>
  <w:style w:type="paragraph" w:styleId="Revision">
    <w:name w:val="Revision"/>
    <w:hidden/>
    <w:uiPriority w:val="99"/>
    <w:semiHidden/>
    <w:rsid w:val="00CC0BFD"/>
    <w:rPr>
      <w:sz w:val="24"/>
      <w:szCs w:val="24"/>
    </w:rPr>
  </w:style>
  <w:style w:type="paragraph" w:styleId="BodyText2">
    <w:name w:val="Body Text 2"/>
    <w:basedOn w:val="Normal"/>
    <w:link w:val="BodyText2Char"/>
    <w:uiPriority w:val="99"/>
    <w:semiHidden/>
    <w:unhideWhenUsed/>
    <w:rsid w:val="00C82967"/>
    <w:pPr>
      <w:spacing w:after="120" w:line="480" w:lineRule="auto"/>
    </w:pPr>
  </w:style>
  <w:style w:type="character" w:customStyle="1" w:styleId="BodyText2Char">
    <w:name w:val="Body Text 2 Char"/>
    <w:basedOn w:val="DefaultParagraphFont"/>
    <w:link w:val="BodyText2"/>
    <w:uiPriority w:val="99"/>
    <w:semiHidden/>
    <w:rsid w:val="00C82967"/>
    <w:rPr>
      <w:sz w:val="24"/>
      <w:szCs w:val="24"/>
    </w:rPr>
  </w:style>
  <w:style w:type="paragraph" w:customStyle="1" w:styleId="SL-FlLftSgl">
    <w:name w:val="SL-Fl Lft Sgl"/>
    <w:rsid w:val="00C82967"/>
    <w:pPr>
      <w:spacing w:line="240" w:lineRule="atLeast"/>
    </w:pPr>
    <w:rPr>
      <w:sz w:val="24"/>
      <w:szCs w:val="24"/>
    </w:rPr>
  </w:style>
  <w:style w:type="paragraph" w:customStyle="1" w:styleId="Default">
    <w:name w:val="Default"/>
    <w:rsid w:val="00E1208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ancer.gov/cancertopics/cancerlibrary/pinkbook/Pink_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FAB7-720E-4A9E-B8ED-B65462B1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2018-01-11T16:42:00Z</dcterms:created>
  <dcterms:modified xsi:type="dcterms:W3CDTF">2018-01-11T16:42:00Z</dcterms:modified>
</cp:coreProperties>
</file>