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4C07" w14:textId="77777777" w:rsidR="00354001" w:rsidRPr="002839C9" w:rsidRDefault="00354001" w:rsidP="00354001">
      <w:pPr>
        <w:pStyle w:val="NoSpacing"/>
        <w:jc w:val="center"/>
        <w:rPr>
          <w:rFonts w:cs="Arial"/>
          <w:b/>
          <w:sz w:val="24"/>
        </w:rPr>
      </w:pPr>
      <w:bookmarkStart w:id="0" w:name="_GoBack"/>
      <w:bookmarkEnd w:id="0"/>
      <w:r w:rsidRPr="002839C9">
        <w:rPr>
          <w:rFonts w:cs="Arial"/>
          <w:b/>
          <w:sz w:val="24"/>
        </w:rPr>
        <w:t>Message Testing for CDC’s Division of Nutrition, Physical Activity, and Obesity</w:t>
      </w:r>
    </w:p>
    <w:p w14:paraId="6BFE7292" w14:textId="77777777" w:rsidR="00354001" w:rsidRPr="002839C9" w:rsidRDefault="00354001" w:rsidP="00354001">
      <w:pPr>
        <w:pStyle w:val="NoSpacing"/>
        <w:jc w:val="center"/>
        <w:rPr>
          <w:rFonts w:cs="Arial"/>
          <w:b/>
          <w:sz w:val="24"/>
        </w:rPr>
      </w:pPr>
    </w:p>
    <w:p w14:paraId="1B7E3690" w14:textId="77777777" w:rsidR="00354001" w:rsidRPr="002839C9" w:rsidRDefault="00354001" w:rsidP="00354001">
      <w:pPr>
        <w:pStyle w:val="NoSpacing"/>
        <w:jc w:val="center"/>
        <w:rPr>
          <w:rFonts w:cs="Arial"/>
          <w:b/>
          <w:sz w:val="24"/>
        </w:rPr>
      </w:pPr>
      <w:r w:rsidRPr="002839C9">
        <w:rPr>
          <w:rFonts w:cs="Arial"/>
          <w:b/>
          <w:sz w:val="24"/>
        </w:rPr>
        <w:t>Supplement to the HMTS Expedited Review Form</w:t>
      </w:r>
    </w:p>
    <w:p w14:paraId="53FFFEF7" w14:textId="77777777" w:rsidR="00354001" w:rsidRPr="002839C9" w:rsidRDefault="00354001" w:rsidP="00354001">
      <w:pPr>
        <w:pStyle w:val="NoSpacing"/>
        <w:rPr>
          <w:rFonts w:cs="Arial"/>
          <w:sz w:val="24"/>
        </w:rPr>
      </w:pPr>
    </w:p>
    <w:p w14:paraId="568715BD" w14:textId="77777777" w:rsidR="00354001" w:rsidRPr="002839C9" w:rsidRDefault="00354001" w:rsidP="00354001">
      <w:pPr>
        <w:pStyle w:val="NoSpacing"/>
        <w:rPr>
          <w:rFonts w:cs="Arial"/>
          <w:sz w:val="24"/>
        </w:rPr>
      </w:pPr>
    </w:p>
    <w:tbl>
      <w:tblPr>
        <w:tblStyle w:val="TableGrid"/>
        <w:tblW w:w="0" w:type="auto"/>
        <w:tblLook w:val="04A0" w:firstRow="1" w:lastRow="0" w:firstColumn="1" w:lastColumn="0" w:noHBand="0" w:noVBand="1"/>
      </w:tblPr>
      <w:tblGrid>
        <w:gridCol w:w="4675"/>
        <w:gridCol w:w="1800"/>
      </w:tblGrid>
      <w:tr w:rsidR="00354001" w:rsidRPr="002839C9" w14:paraId="0D87D994" w14:textId="77777777" w:rsidTr="00AE2AA0">
        <w:tc>
          <w:tcPr>
            <w:tcW w:w="4675" w:type="dxa"/>
          </w:tcPr>
          <w:p w14:paraId="1759CCAE" w14:textId="77777777" w:rsidR="00354001" w:rsidRPr="002839C9" w:rsidRDefault="00354001" w:rsidP="00354001">
            <w:pPr>
              <w:pStyle w:val="NoSpacing"/>
              <w:rPr>
                <w:rFonts w:cs="Arial"/>
                <w:sz w:val="24"/>
              </w:rPr>
            </w:pPr>
          </w:p>
        </w:tc>
        <w:tc>
          <w:tcPr>
            <w:tcW w:w="1800" w:type="dxa"/>
          </w:tcPr>
          <w:p w14:paraId="6B0DDA98" w14:textId="77777777" w:rsidR="00354001" w:rsidRPr="00AE2AA0" w:rsidRDefault="00354001" w:rsidP="00354001">
            <w:pPr>
              <w:pStyle w:val="NoSpacing"/>
              <w:rPr>
                <w:rFonts w:cs="Arial"/>
                <w:b/>
                <w:sz w:val="24"/>
              </w:rPr>
            </w:pPr>
            <w:r w:rsidRPr="00AE2AA0">
              <w:rPr>
                <w:rFonts w:cs="Arial"/>
                <w:b/>
                <w:sz w:val="24"/>
              </w:rPr>
              <w:t>Page Number</w:t>
            </w:r>
          </w:p>
        </w:tc>
      </w:tr>
      <w:tr w:rsidR="00354001" w:rsidRPr="002839C9" w14:paraId="5B912850" w14:textId="77777777" w:rsidTr="00AE2AA0">
        <w:tc>
          <w:tcPr>
            <w:tcW w:w="4675" w:type="dxa"/>
          </w:tcPr>
          <w:p w14:paraId="2FB2CD05" w14:textId="77777777" w:rsidR="00354001" w:rsidRPr="00AE2AA0" w:rsidRDefault="00354001" w:rsidP="00354001">
            <w:pPr>
              <w:pStyle w:val="NoSpacing"/>
              <w:rPr>
                <w:rFonts w:cs="Arial"/>
                <w:b/>
                <w:sz w:val="24"/>
              </w:rPr>
            </w:pPr>
            <w:r w:rsidRPr="00AE2AA0">
              <w:rPr>
                <w:rFonts w:cs="Arial"/>
                <w:b/>
                <w:sz w:val="24"/>
              </w:rPr>
              <w:t>Project Summary</w:t>
            </w:r>
          </w:p>
        </w:tc>
        <w:tc>
          <w:tcPr>
            <w:tcW w:w="1800" w:type="dxa"/>
          </w:tcPr>
          <w:p w14:paraId="797012E1" w14:textId="4F780E1D" w:rsidR="00354001" w:rsidRPr="002839C9" w:rsidRDefault="006F4548" w:rsidP="00354001">
            <w:pPr>
              <w:pStyle w:val="NoSpacing"/>
              <w:rPr>
                <w:rFonts w:cs="Arial"/>
                <w:sz w:val="24"/>
              </w:rPr>
            </w:pPr>
            <w:r>
              <w:rPr>
                <w:rFonts w:cs="Arial"/>
                <w:sz w:val="24"/>
              </w:rPr>
              <w:t>1</w:t>
            </w:r>
          </w:p>
        </w:tc>
      </w:tr>
      <w:tr w:rsidR="00354001" w:rsidRPr="002839C9" w14:paraId="477E11DA" w14:textId="77777777" w:rsidTr="00AE2AA0">
        <w:tc>
          <w:tcPr>
            <w:tcW w:w="4675" w:type="dxa"/>
          </w:tcPr>
          <w:p w14:paraId="6AC47886" w14:textId="77777777" w:rsidR="00354001" w:rsidRPr="00AE2AA0" w:rsidRDefault="00354001" w:rsidP="00354001">
            <w:pPr>
              <w:pStyle w:val="NoSpacing"/>
              <w:rPr>
                <w:rFonts w:cs="Arial"/>
                <w:b/>
                <w:sz w:val="24"/>
              </w:rPr>
            </w:pPr>
            <w:r w:rsidRPr="00AE2AA0">
              <w:rPr>
                <w:rFonts w:cs="Arial"/>
                <w:b/>
                <w:sz w:val="24"/>
              </w:rPr>
              <w:t>Background</w:t>
            </w:r>
          </w:p>
        </w:tc>
        <w:tc>
          <w:tcPr>
            <w:tcW w:w="1800" w:type="dxa"/>
          </w:tcPr>
          <w:p w14:paraId="0E50A95D" w14:textId="167196EF" w:rsidR="00354001" w:rsidRPr="002839C9" w:rsidRDefault="00BE2283" w:rsidP="00354001">
            <w:pPr>
              <w:pStyle w:val="NoSpacing"/>
              <w:rPr>
                <w:rFonts w:cs="Arial"/>
                <w:sz w:val="24"/>
              </w:rPr>
            </w:pPr>
            <w:r>
              <w:rPr>
                <w:rFonts w:cs="Arial"/>
                <w:sz w:val="24"/>
              </w:rPr>
              <w:t>1</w:t>
            </w:r>
          </w:p>
        </w:tc>
      </w:tr>
      <w:tr w:rsidR="00354001" w:rsidRPr="002839C9" w14:paraId="4B78D6DD" w14:textId="77777777" w:rsidTr="00AE2AA0">
        <w:tc>
          <w:tcPr>
            <w:tcW w:w="4675" w:type="dxa"/>
          </w:tcPr>
          <w:p w14:paraId="4A7FB375" w14:textId="77777777" w:rsidR="00354001" w:rsidRPr="00AE2AA0" w:rsidRDefault="00354001" w:rsidP="00354001">
            <w:pPr>
              <w:pStyle w:val="NoSpacing"/>
              <w:rPr>
                <w:rFonts w:cs="Arial"/>
                <w:b/>
                <w:sz w:val="24"/>
              </w:rPr>
            </w:pPr>
            <w:r w:rsidRPr="00AE2AA0">
              <w:rPr>
                <w:rFonts w:cs="Arial"/>
                <w:b/>
                <w:sz w:val="24"/>
              </w:rPr>
              <w:t>Methodology</w:t>
            </w:r>
          </w:p>
        </w:tc>
        <w:tc>
          <w:tcPr>
            <w:tcW w:w="1800" w:type="dxa"/>
          </w:tcPr>
          <w:p w14:paraId="2014727D" w14:textId="62C5A08A" w:rsidR="00354001" w:rsidRPr="002839C9" w:rsidRDefault="006F4548" w:rsidP="00354001">
            <w:pPr>
              <w:pStyle w:val="NoSpacing"/>
              <w:rPr>
                <w:rFonts w:cs="Arial"/>
                <w:sz w:val="24"/>
              </w:rPr>
            </w:pPr>
            <w:r>
              <w:rPr>
                <w:rFonts w:cs="Arial"/>
                <w:sz w:val="24"/>
              </w:rPr>
              <w:t>2</w:t>
            </w:r>
          </w:p>
        </w:tc>
      </w:tr>
      <w:tr w:rsidR="00354001" w:rsidRPr="002839C9" w14:paraId="47075AB5" w14:textId="77777777" w:rsidTr="00AE2AA0">
        <w:tc>
          <w:tcPr>
            <w:tcW w:w="4675" w:type="dxa"/>
          </w:tcPr>
          <w:p w14:paraId="75D7B1A0" w14:textId="77777777" w:rsidR="00354001" w:rsidRPr="00AE2AA0" w:rsidRDefault="00354001" w:rsidP="00354001">
            <w:pPr>
              <w:pStyle w:val="NoSpacing"/>
              <w:rPr>
                <w:rFonts w:cs="Arial"/>
                <w:b/>
                <w:sz w:val="24"/>
              </w:rPr>
            </w:pPr>
            <w:r w:rsidRPr="00AE2AA0">
              <w:rPr>
                <w:rFonts w:cs="Arial"/>
                <w:b/>
                <w:sz w:val="24"/>
              </w:rPr>
              <w:t>Modes for Testing</w:t>
            </w:r>
          </w:p>
        </w:tc>
        <w:tc>
          <w:tcPr>
            <w:tcW w:w="1800" w:type="dxa"/>
          </w:tcPr>
          <w:p w14:paraId="6EC6430E" w14:textId="1EB80DD7" w:rsidR="00354001" w:rsidRPr="002839C9" w:rsidRDefault="00BE2283" w:rsidP="00354001">
            <w:pPr>
              <w:pStyle w:val="NoSpacing"/>
              <w:rPr>
                <w:rFonts w:cs="Arial"/>
                <w:sz w:val="24"/>
              </w:rPr>
            </w:pPr>
            <w:r>
              <w:rPr>
                <w:rFonts w:cs="Arial"/>
                <w:sz w:val="24"/>
              </w:rPr>
              <w:t>2</w:t>
            </w:r>
          </w:p>
        </w:tc>
      </w:tr>
      <w:tr w:rsidR="00354001" w:rsidRPr="002839C9" w14:paraId="46766C8A" w14:textId="77777777" w:rsidTr="00AE2AA0">
        <w:tc>
          <w:tcPr>
            <w:tcW w:w="4675" w:type="dxa"/>
          </w:tcPr>
          <w:p w14:paraId="002FBDE1" w14:textId="7822A3CF" w:rsidR="00354001" w:rsidRPr="00AE2AA0" w:rsidRDefault="00354001" w:rsidP="00354001">
            <w:pPr>
              <w:pStyle w:val="NoSpacing"/>
              <w:rPr>
                <w:rFonts w:cs="Arial"/>
                <w:b/>
                <w:sz w:val="24"/>
              </w:rPr>
            </w:pPr>
            <w:r w:rsidRPr="00AE2AA0">
              <w:rPr>
                <w:rFonts w:cs="Arial"/>
                <w:b/>
                <w:sz w:val="24"/>
              </w:rPr>
              <w:t xml:space="preserve">Overview of </w:t>
            </w:r>
            <w:r w:rsidR="006F4548">
              <w:rPr>
                <w:rFonts w:cs="Arial"/>
                <w:b/>
                <w:sz w:val="24"/>
              </w:rPr>
              <w:t>Data Collection</w:t>
            </w:r>
          </w:p>
        </w:tc>
        <w:tc>
          <w:tcPr>
            <w:tcW w:w="1800" w:type="dxa"/>
          </w:tcPr>
          <w:p w14:paraId="42941856" w14:textId="15F7C1BB" w:rsidR="00354001" w:rsidRPr="002839C9" w:rsidRDefault="00BE2283" w:rsidP="00354001">
            <w:pPr>
              <w:pStyle w:val="NoSpacing"/>
              <w:rPr>
                <w:rFonts w:cs="Arial"/>
                <w:sz w:val="24"/>
              </w:rPr>
            </w:pPr>
            <w:r>
              <w:rPr>
                <w:rFonts w:cs="Arial"/>
                <w:sz w:val="24"/>
              </w:rPr>
              <w:t>3</w:t>
            </w:r>
          </w:p>
        </w:tc>
      </w:tr>
      <w:tr w:rsidR="00354001" w:rsidRPr="002839C9" w14:paraId="7B18A0E6" w14:textId="77777777" w:rsidTr="00AE2AA0">
        <w:tc>
          <w:tcPr>
            <w:tcW w:w="4675" w:type="dxa"/>
          </w:tcPr>
          <w:p w14:paraId="482ED56E" w14:textId="136E0D64" w:rsidR="00354001" w:rsidRPr="00AE2AA0" w:rsidRDefault="00746C38" w:rsidP="00354001">
            <w:pPr>
              <w:pStyle w:val="NoSpacing"/>
              <w:rPr>
                <w:rFonts w:cs="Arial"/>
                <w:b/>
                <w:sz w:val="24"/>
              </w:rPr>
            </w:pPr>
            <w:r w:rsidRPr="00AE2AA0">
              <w:rPr>
                <w:rFonts w:cs="Arial"/>
                <w:b/>
                <w:sz w:val="24"/>
              </w:rPr>
              <w:t>Incentives</w:t>
            </w:r>
          </w:p>
        </w:tc>
        <w:tc>
          <w:tcPr>
            <w:tcW w:w="1800" w:type="dxa"/>
          </w:tcPr>
          <w:p w14:paraId="47BEBAFF" w14:textId="2EF0AE55" w:rsidR="00354001" w:rsidRPr="002839C9" w:rsidRDefault="006F4548" w:rsidP="00354001">
            <w:pPr>
              <w:pStyle w:val="NoSpacing"/>
              <w:rPr>
                <w:rFonts w:cs="Arial"/>
                <w:sz w:val="24"/>
              </w:rPr>
            </w:pPr>
            <w:r>
              <w:rPr>
                <w:rFonts w:cs="Arial"/>
                <w:sz w:val="24"/>
              </w:rPr>
              <w:t>4</w:t>
            </w:r>
          </w:p>
        </w:tc>
      </w:tr>
      <w:tr w:rsidR="00354001" w:rsidRPr="002839C9" w14:paraId="59E603AB" w14:textId="77777777" w:rsidTr="00AE2AA0">
        <w:tc>
          <w:tcPr>
            <w:tcW w:w="4675" w:type="dxa"/>
          </w:tcPr>
          <w:p w14:paraId="7AE196B4" w14:textId="3B6347F8" w:rsidR="00354001" w:rsidRPr="00AE2AA0" w:rsidRDefault="00354001" w:rsidP="00354001">
            <w:pPr>
              <w:pStyle w:val="NoSpacing"/>
              <w:rPr>
                <w:rFonts w:cs="Arial"/>
                <w:b/>
                <w:sz w:val="24"/>
              </w:rPr>
            </w:pPr>
            <w:r w:rsidRPr="00AE2AA0">
              <w:rPr>
                <w:rFonts w:cs="Arial"/>
                <w:b/>
                <w:sz w:val="24"/>
              </w:rPr>
              <w:t xml:space="preserve">Duration of </w:t>
            </w:r>
            <w:r w:rsidR="006F4548">
              <w:rPr>
                <w:rFonts w:cs="Arial"/>
                <w:b/>
                <w:sz w:val="24"/>
              </w:rPr>
              <w:t xml:space="preserve">Survey and </w:t>
            </w:r>
            <w:r w:rsidRPr="00AE2AA0">
              <w:rPr>
                <w:rFonts w:cs="Arial"/>
                <w:b/>
                <w:sz w:val="24"/>
              </w:rPr>
              <w:t>Focus Groups</w:t>
            </w:r>
          </w:p>
        </w:tc>
        <w:tc>
          <w:tcPr>
            <w:tcW w:w="1800" w:type="dxa"/>
          </w:tcPr>
          <w:p w14:paraId="3B5F8109" w14:textId="625CB962" w:rsidR="00354001" w:rsidRPr="002839C9" w:rsidRDefault="00BE2283" w:rsidP="00354001">
            <w:pPr>
              <w:pStyle w:val="NoSpacing"/>
              <w:rPr>
                <w:rFonts w:cs="Arial"/>
                <w:sz w:val="24"/>
              </w:rPr>
            </w:pPr>
            <w:r>
              <w:rPr>
                <w:rFonts w:cs="Arial"/>
                <w:sz w:val="24"/>
              </w:rPr>
              <w:t>4</w:t>
            </w:r>
          </w:p>
        </w:tc>
      </w:tr>
      <w:tr w:rsidR="00354001" w:rsidRPr="002839C9" w14:paraId="47D96A7D" w14:textId="77777777" w:rsidTr="00AE2AA0">
        <w:tc>
          <w:tcPr>
            <w:tcW w:w="4675" w:type="dxa"/>
          </w:tcPr>
          <w:p w14:paraId="6827A94F" w14:textId="77777777" w:rsidR="00354001" w:rsidRPr="00AE2AA0" w:rsidRDefault="00354001" w:rsidP="00354001">
            <w:pPr>
              <w:pStyle w:val="NoSpacing"/>
              <w:rPr>
                <w:rFonts w:cs="Arial"/>
                <w:b/>
                <w:sz w:val="24"/>
              </w:rPr>
            </w:pPr>
            <w:r w:rsidRPr="00AE2AA0">
              <w:rPr>
                <w:rFonts w:cs="Arial"/>
                <w:b/>
                <w:sz w:val="24"/>
              </w:rPr>
              <w:t>Burden</w:t>
            </w:r>
          </w:p>
        </w:tc>
        <w:tc>
          <w:tcPr>
            <w:tcW w:w="1800" w:type="dxa"/>
          </w:tcPr>
          <w:p w14:paraId="54973502" w14:textId="1A40E1E2" w:rsidR="00354001" w:rsidRPr="002839C9" w:rsidRDefault="00BE2283" w:rsidP="00354001">
            <w:pPr>
              <w:pStyle w:val="NoSpacing"/>
              <w:rPr>
                <w:rFonts w:cs="Arial"/>
                <w:sz w:val="24"/>
              </w:rPr>
            </w:pPr>
            <w:r>
              <w:rPr>
                <w:rFonts w:cs="Arial"/>
                <w:sz w:val="24"/>
              </w:rPr>
              <w:t>4</w:t>
            </w:r>
          </w:p>
        </w:tc>
      </w:tr>
    </w:tbl>
    <w:p w14:paraId="169E0278" w14:textId="77777777" w:rsidR="00354001" w:rsidRPr="002839C9" w:rsidRDefault="00354001" w:rsidP="00354001">
      <w:pPr>
        <w:pStyle w:val="NoSpacing"/>
        <w:rPr>
          <w:rFonts w:cs="Arial"/>
          <w:sz w:val="24"/>
        </w:rPr>
      </w:pPr>
    </w:p>
    <w:p w14:paraId="46D18398" w14:textId="77777777" w:rsidR="00354001" w:rsidRPr="002839C9" w:rsidRDefault="00354001" w:rsidP="00354001">
      <w:pPr>
        <w:pStyle w:val="NoSpacing"/>
        <w:rPr>
          <w:rFonts w:cs="Arial"/>
          <w:sz w:val="24"/>
        </w:rPr>
      </w:pPr>
    </w:p>
    <w:p w14:paraId="6EB23B6D" w14:textId="67A44FD5" w:rsidR="00354001" w:rsidRPr="00D1420E" w:rsidRDefault="009E573B" w:rsidP="00354001">
      <w:pPr>
        <w:pStyle w:val="NoSpacing"/>
        <w:rPr>
          <w:rFonts w:cs="Arial"/>
          <w:b/>
          <w:sz w:val="28"/>
          <w:szCs w:val="28"/>
          <w:u w:val="single"/>
        </w:rPr>
      </w:pPr>
      <w:r w:rsidRPr="00D1420E">
        <w:rPr>
          <w:rFonts w:cs="Arial"/>
          <w:b/>
          <w:sz w:val="28"/>
          <w:szCs w:val="28"/>
          <w:u w:val="single"/>
        </w:rPr>
        <w:t>Appendices</w:t>
      </w:r>
    </w:p>
    <w:p w14:paraId="25977B97" w14:textId="77777777" w:rsidR="00CC1ED8" w:rsidRPr="00CC1ED8" w:rsidRDefault="00CC1ED8" w:rsidP="00354001">
      <w:pPr>
        <w:pStyle w:val="NoSpacing"/>
        <w:rPr>
          <w:rFonts w:cs="Arial"/>
          <w:sz w:val="23"/>
          <w:szCs w:val="23"/>
        </w:rPr>
      </w:pPr>
    </w:p>
    <w:p w14:paraId="469EC34D" w14:textId="2AEF33A6" w:rsidR="009E573B" w:rsidRPr="00CC1ED8" w:rsidRDefault="00CC1ED8" w:rsidP="00CC1ED8">
      <w:pPr>
        <w:pStyle w:val="NoSpacing"/>
        <w:rPr>
          <w:rFonts w:cs="Arial"/>
          <w:sz w:val="23"/>
          <w:szCs w:val="23"/>
        </w:rPr>
      </w:pPr>
      <w:r w:rsidRPr="00CC1ED8">
        <w:rPr>
          <w:rFonts w:cs="Arial"/>
          <w:b/>
          <w:sz w:val="23"/>
          <w:szCs w:val="23"/>
        </w:rPr>
        <w:t>Appendix A:</w:t>
      </w:r>
      <w:r w:rsidRPr="00CC1ED8">
        <w:rPr>
          <w:rFonts w:cs="Arial"/>
          <w:sz w:val="23"/>
          <w:szCs w:val="23"/>
        </w:rPr>
        <w:t xml:space="preserve"> M</w:t>
      </w:r>
      <w:r w:rsidR="00BF6B22" w:rsidRPr="00CC1ED8">
        <w:rPr>
          <w:rFonts w:cs="Arial"/>
          <w:sz w:val="23"/>
          <w:szCs w:val="23"/>
        </w:rPr>
        <w:t>essages to be Tested</w:t>
      </w:r>
    </w:p>
    <w:p w14:paraId="2E15C978" w14:textId="77777777" w:rsidR="00F12EE1" w:rsidRDefault="00F12EE1" w:rsidP="00CC1ED8">
      <w:pPr>
        <w:pStyle w:val="NoSpacing"/>
        <w:rPr>
          <w:rFonts w:cs="Arial"/>
          <w:b/>
          <w:sz w:val="23"/>
          <w:szCs w:val="23"/>
        </w:rPr>
      </w:pPr>
    </w:p>
    <w:p w14:paraId="0A16DD10" w14:textId="6DD61923" w:rsidR="00F12EE1" w:rsidRPr="00CC1ED8" w:rsidRDefault="00F12EE1" w:rsidP="00F12EE1">
      <w:pPr>
        <w:pStyle w:val="NoSpacing"/>
        <w:rPr>
          <w:rFonts w:cs="Arial"/>
          <w:sz w:val="23"/>
          <w:szCs w:val="23"/>
        </w:rPr>
      </w:pPr>
      <w:r w:rsidRPr="00CC1ED8">
        <w:rPr>
          <w:rFonts w:cs="Arial"/>
          <w:b/>
          <w:sz w:val="23"/>
          <w:szCs w:val="23"/>
        </w:rPr>
        <w:t xml:space="preserve">Appendix </w:t>
      </w:r>
      <w:r>
        <w:rPr>
          <w:rFonts w:cs="Arial"/>
          <w:b/>
          <w:sz w:val="23"/>
          <w:szCs w:val="23"/>
        </w:rPr>
        <w:t>B</w:t>
      </w:r>
      <w:r w:rsidRPr="00CC1ED8">
        <w:rPr>
          <w:rFonts w:cs="Arial"/>
          <w:b/>
          <w:sz w:val="23"/>
          <w:szCs w:val="23"/>
        </w:rPr>
        <w:t>:</w:t>
      </w:r>
      <w:r w:rsidRPr="00CC1ED8">
        <w:rPr>
          <w:rFonts w:cs="Arial"/>
          <w:sz w:val="23"/>
          <w:szCs w:val="23"/>
        </w:rPr>
        <w:t xml:space="preserve">  </w:t>
      </w:r>
      <w:r w:rsidR="00DF3317">
        <w:rPr>
          <w:rFonts w:cs="Arial"/>
          <w:sz w:val="23"/>
          <w:szCs w:val="23"/>
        </w:rPr>
        <w:t>Materials</w:t>
      </w:r>
      <w:r w:rsidRPr="00CC1ED8">
        <w:rPr>
          <w:rFonts w:cs="Arial"/>
          <w:sz w:val="23"/>
          <w:szCs w:val="23"/>
        </w:rPr>
        <w:t xml:space="preserve"> for </w:t>
      </w:r>
      <w:r>
        <w:rPr>
          <w:rFonts w:cs="Arial"/>
          <w:sz w:val="23"/>
          <w:szCs w:val="23"/>
        </w:rPr>
        <w:t xml:space="preserve">Online Survey </w:t>
      </w:r>
      <w:r w:rsidRPr="00CC1ED8">
        <w:rPr>
          <w:rFonts w:cs="Arial"/>
          <w:sz w:val="23"/>
          <w:szCs w:val="23"/>
        </w:rPr>
        <w:t>with Mothers</w:t>
      </w:r>
    </w:p>
    <w:p w14:paraId="2A2B5268" w14:textId="258B699C" w:rsidR="00F12EE1" w:rsidRPr="00CC1ED8" w:rsidRDefault="00DB4AFB" w:rsidP="00631B96">
      <w:pPr>
        <w:pStyle w:val="NoSpacing"/>
        <w:numPr>
          <w:ilvl w:val="0"/>
          <w:numId w:val="26"/>
        </w:numPr>
        <w:rPr>
          <w:rFonts w:cs="Arial"/>
          <w:sz w:val="23"/>
          <w:szCs w:val="23"/>
        </w:rPr>
      </w:pPr>
      <w:r>
        <w:rPr>
          <w:rFonts w:cs="Arial"/>
          <w:sz w:val="23"/>
          <w:szCs w:val="23"/>
        </w:rPr>
        <w:t>Survey S</w:t>
      </w:r>
      <w:r w:rsidR="00D1420E">
        <w:rPr>
          <w:rFonts w:cs="Arial"/>
          <w:sz w:val="23"/>
          <w:szCs w:val="23"/>
        </w:rPr>
        <w:t>creener</w:t>
      </w:r>
    </w:p>
    <w:p w14:paraId="05DEA5CB" w14:textId="77777777" w:rsidR="00F12EE1" w:rsidRDefault="00F12EE1" w:rsidP="00631B96">
      <w:pPr>
        <w:pStyle w:val="NoSpacing"/>
        <w:numPr>
          <w:ilvl w:val="0"/>
          <w:numId w:val="26"/>
        </w:numPr>
        <w:rPr>
          <w:rFonts w:cs="Arial"/>
          <w:sz w:val="23"/>
          <w:szCs w:val="23"/>
        </w:rPr>
      </w:pPr>
      <w:r w:rsidRPr="00CC1ED8">
        <w:rPr>
          <w:rFonts w:cs="Arial"/>
          <w:sz w:val="23"/>
          <w:szCs w:val="23"/>
        </w:rPr>
        <w:t>Online Survey (including consent language)</w:t>
      </w:r>
    </w:p>
    <w:p w14:paraId="3FB47C71" w14:textId="7C9CBB1A" w:rsidR="00F12EE1" w:rsidRPr="00F12EE1" w:rsidRDefault="00F12EE1" w:rsidP="00631B96">
      <w:pPr>
        <w:pStyle w:val="NoSpacing"/>
        <w:numPr>
          <w:ilvl w:val="0"/>
          <w:numId w:val="26"/>
        </w:numPr>
        <w:rPr>
          <w:rFonts w:cs="Arial"/>
          <w:sz w:val="23"/>
          <w:szCs w:val="23"/>
        </w:rPr>
      </w:pPr>
      <w:r w:rsidRPr="00F12EE1">
        <w:rPr>
          <w:rFonts w:cs="Arial"/>
          <w:sz w:val="23"/>
          <w:szCs w:val="23"/>
        </w:rPr>
        <w:t xml:space="preserve">Screenshots of </w:t>
      </w:r>
      <w:r w:rsidR="00095CD4">
        <w:rPr>
          <w:rFonts w:cs="Arial"/>
          <w:sz w:val="23"/>
          <w:szCs w:val="23"/>
        </w:rPr>
        <w:t>Screener and Survey Questions/Messages</w:t>
      </w:r>
      <w:r w:rsidRPr="00F12EE1">
        <w:rPr>
          <w:rFonts w:cs="Arial"/>
          <w:sz w:val="23"/>
          <w:szCs w:val="23"/>
        </w:rPr>
        <w:t xml:space="preserve"> to be Shown on Screen (</w:t>
      </w:r>
      <w:r w:rsidRPr="00C34C6D">
        <w:rPr>
          <w:rFonts w:cs="Arial"/>
          <w:i/>
          <w:sz w:val="23"/>
          <w:szCs w:val="23"/>
        </w:rPr>
        <w:t>as will be seen on the online survey platform by participants</w:t>
      </w:r>
      <w:r w:rsidRPr="00F12EE1">
        <w:rPr>
          <w:rFonts w:cs="Arial"/>
          <w:sz w:val="23"/>
          <w:szCs w:val="23"/>
        </w:rPr>
        <w:t>)</w:t>
      </w:r>
    </w:p>
    <w:p w14:paraId="7975F565" w14:textId="222B6CCF" w:rsidR="00BF6B22" w:rsidRPr="00CC1ED8" w:rsidRDefault="00F12EE1" w:rsidP="00CC1ED8">
      <w:pPr>
        <w:pStyle w:val="NoSpacing"/>
        <w:rPr>
          <w:rFonts w:cs="Arial"/>
          <w:sz w:val="23"/>
          <w:szCs w:val="23"/>
        </w:rPr>
      </w:pPr>
      <w:r>
        <w:rPr>
          <w:rFonts w:cs="Arial"/>
          <w:b/>
          <w:sz w:val="23"/>
          <w:szCs w:val="23"/>
        </w:rPr>
        <w:t>Appendix C</w:t>
      </w:r>
      <w:r w:rsidR="00CC1ED8" w:rsidRPr="00CC1ED8">
        <w:rPr>
          <w:rFonts w:cs="Arial"/>
          <w:sz w:val="23"/>
          <w:szCs w:val="23"/>
        </w:rPr>
        <w:t xml:space="preserve">: </w:t>
      </w:r>
      <w:r w:rsidR="00DF3317">
        <w:rPr>
          <w:rFonts w:cs="Arial"/>
          <w:sz w:val="23"/>
          <w:szCs w:val="23"/>
        </w:rPr>
        <w:t>Materials</w:t>
      </w:r>
      <w:r w:rsidR="00BF6B22" w:rsidRPr="00CC1ED8">
        <w:rPr>
          <w:rFonts w:cs="Arial"/>
          <w:sz w:val="23"/>
          <w:szCs w:val="23"/>
        </w:rPr>
        <w:t xml:space="preserve"> for Focus Groups with Mothers</w:t>
      </w:r>
    </w:p>
    <w:p w14:paraId="3B0424D0" w14:textId="315F24DE" w:rsidR="00BF6B22" w:rsidRPr="00CC1ED8" w:rsidRDefault="00DB4AFB" w:rsidP="00631B96">
      <w:pPr>
        <w:pStyle w:val="NoSpacing"/>
        <w:numPr>
          <w:ilvl w:val="1"/>
          <w:numId w:val="27"/>
        </w:numPr>
        <w:rPr>
          <w:rFonts w:cs="Arial"/>
          <w:sz w:val="23"/>
          <w:szCs w:val="23"/>
        </w:rPr>
      </w:pPr>
      <w:r>
        <w:rPr>
          <w:rFonts w:cs="Arial"/>
          <w:sz w:val="23"/>
          <w:szCs w:val="23"/>
        </w:rPr>
        <w:t>Focus G</w:t>
      </w:r>
      <w:r w:rsidR="00D1420E">
        <w:rPr>
          <w:rFonts w:cs="Arial"/>
          <w:sz w:val="23"/>
          <w:szCs w:val="23"/>
        </w:rPr>
        <w:t xml:space="preserve">roup </w:t>
      </w:r>
      <w:r>
        <w:rPr>
          <w:rFonts w:cs="Arial"/>
          <w:sz w:val="23"/>
          <w:szCs w:val="23"/>
        </w:rPr>
        <w:t>S</w:t>
      </w:r>
      <w:r w:rsidR="00BF6B22" w:rsidRPr="00CC1ED8">
        <w:rPr>
          <w:rFonts w:cs="Arial"/>
          <w:sz w:val="23"/>
          <w:szCs w:val="23"/>
        </w:rPr>
        <w:t>creener</w:t>
      </w:r>
    </w:p>
    <w:p w14:paraId="298C8EC7" w14:textId="40A2885A" w:rsidR="000A57FA" w:rsidRPr="000A57FA" w:rsidRDefault="000A57FA" w:rsidP="00631B96">
      <w:pPr>
        <w:pStyle w:val="NoSpacing"/>
        <w:numPr>
          <w:ilvl w:val="1"/>
          <w:numId w:val="27"/>
        </w:numPr>
        <w:rPr>
          <w:rFonts w:cs="Arial"/>
          <w:sz w:val="23"/>
          <w:szCs w:val="23"/>
        </w:rPr>
      </w:pPr>
      <w:r w:rsidRPr="00CC1ED8">
        <w:rPr>
          <w:rFonts w:cs="Arial"/>
          <w:sz w:val="23"/>
          <w:szCs w:val="23"/>
        </w:rPr>
        <w:t>Consent Form</w:t>
      </w:r>
    </w:p>
    <w:p w14:paraId="1E8F2ECE" w14:textId="51A7B30B" w:rsidR="00BF6B22" w:rsidRPr="00CC1ED8" w:rsidRDefault="00BF6B22" w:rsidP="00631B96">
      <w:pPr>
        <w:pStyle w:val="NoSpacing"/>
        <w:numPr>
          <w:ilvl w:val="1"/>
          <w:numId w:val="27"/>
        </w:numPr>
        <w:rPr>
          <w:rFonts w:cs="Arial"/>
          <w:sz w:val="23"/>
          <w:szCs w:val="23"/>
        </w:rPr>
      </w:pPr>
      <w:r w:rsidRPr="00CC1ED8">
        <w:rPr>
          <w:rFonts w:cs="Arial"/>
          <w:sz w:val="23"/>
          <w:szCs w:val="23"/>
        </w:rPr>
        <w:t>Moderator Guide</w:t>
      </w:r>
    </w:p>
    <w:p w14:paraId="695B54A0" w14:textId="30BE8D5A" w:rsidR="006F4548" w:rsidRDefault="000A57FA" w:rsidP="00631B96">
      <w:pPr>
        <w:pStyle w:val="NoSpacing"/>
        <w:numPr>
          <w:ilvl w:val="1"/>
          <w:numId w:val="27"/>
        </w:numPr>
        <w:rPr>
          <w:rFonts w:cs="Arial"/>
          <w:sz w:val="23"/>
          <w:szCs w:val="23"/>
        </w:rPr>
      </w:pPr>
      <w:r>
        <w:rPr>
          <w:rFonts w:cs="Arial"/>
          <w:sz w:val="23"/>
          <w:szCs w:val="23"/>
        </w:rPr>
        <w:t>M</w:t>
      </w:r>
      <w:r w:rsidR="00BF6B22" w:rsidRPr="00CC1ED8">
        <w:rPr>
          <w:rFonts w:cs="Arial"/>
          <w:sz w:val="23"/>
          <w:szCs w:val="23"/>
        </w:rPr>
        <w:t>essages to be tested (</w:t>
      </w:r>
      <w:r w:rsidR="00BF6B22" w:rsidRPr="00C34C6D">
        <w:rPr>
          <w:rFonts w:cs="Arial"/>
          <w:i/>
          <w:sz w:val="23"/>
          <w:szCs w:val="23"/>
        </w:rPr>
        <w:t xml:space="preserve">as will be seen </w:t>
      </w:r>
      <w:r w:rsidR="00CC1ED8" w:rsidRPr="00C34C6D">
        <w:rPr>
          <w:rFonts w:cs="Arial"/>
          <w:i/>
          <w:sz w:val="23"/>
          <w:szCs w:val="23"/>
        </w:rPr>
        <w:t xml:space="preserve">in-person </w:t>
      </w:r>
      <w:r w:rsidR="00BF6B22" w:rsidRPr="00C34C6D">
        <w:rPr>
          <w:rFonts w:cs="Arial"/>
          <w:i/>
          <w:sz w:val="23"/>
          <w:szCs w:val="23"/>
        </w:rPr>
        <w:t>by participants</w:t>
      </w:r>
      <w:r w:rsidR="00C34C6D">
        <w:rPr>
          <w:rFonts w:cs="Arial"/>
          <w:sz w:val="23"/>
          <w:szCs w:val="23"/>
        </w:rPr>
        <w:t>)</w:t>
      </w:r>
    </w:p>
    <w:p w14:paraId="42273EAF" w14:textId="77777777" w:rsidR="006F4548" w:rsidRDefault="006F4548" w:rsidP="006F4548">
      <w:pPr>
        <w:pStyle w:val="NoSpacing"/>
        <w:ind w:left="1800"/>
        <w:rPr>
          <w:rFonts w:cs="Arial"/>
          <w:sz w:val="23"/>
          <w:szCs w:val="23"/>
        </w:rPr>
      </w:pPr>
    </w:p>
    <w:p w14:paraId="50E2B063" w14:textId="4626698D" w:rsidR="00BF6B22" w:rsidRPr="00CC1ED8" w:rsidRDefault="00BF6B22" w:rsidP="006F4548">
      <w:pPr>
        <w:pStyle w:val="NoSpacing"/>
        <w:ind w:left="1800"/>
        <w:rPr>
          <w:rFonts w:cs="Arial"/>
          <w:sz w:val="23"/>
          <w:szCs w:val="23"/>
        </w:rPr>
      </w:pPr>
    </w:p>
    <w:p w14:paraId="0AD5553E" w14:textId="77777777" w:rsidR="006F4548" w:rsidRDefault="006F4548" w:rsidP="00F12EE1">
      <w:pPr>
        <w:pStyle w:val="NoSpacing"/>
        <w:ind w:left="1800"/>
        <w:rPr>
          <w:rFonts w:cs="Arial"/>
          <w:sz w:val="23"/>
          <w:szCs w:val="23"/>
        </w:rPr>
        <w:sectPr w:rsidR="006F4548" w:rsidSect="006F4548">
          <w:footerReference w:type="default" r:id="rId9"/>
          <w:pgSz w:w="12240" w:h="15840"/>
          <w:pgMar w:top="1440" w:right="1440" w:bottom="1440" w:left="1440" w:header="720" w:footer="720" w:gutter="0"/>
          <w:pgNumType w:start="1"/>
          <w:cols w:space="720"/>
          <w:titlePg/>
          <w:docGrid w:linePitch="360"/>
        </w:sectPr>
      </w:pPr>
    </w:p>
    <w:p w14:paraId="53B740CE" w14:textId="4408AAC6" w:rsidR="009E573B" w:rsidRPr="00C268CC" w:rsidRDefault="009E573B" w:rsidP="009E573B">
      <w:pPr>
        <w:pStyle w:val="NoSpacing"/>
        <w:rPr>
          <w:rFonts w:cs="Arial"/>
          <w:b/>
          <w:sz w:val="28"/>
          <w:szCs w:val="28"/>
          <w:u w:val="single"/>
        </w:rPr>
      </w:pPr>
      <w:r w:rsidRPr="00C268CC">
        <w:rPr>
          <w:rFonts w:cs="Arial"/>
          <w:b/>
          <w:sz w:val="28"/>
          <w:szCs w:val="28"/>
          <w:u w:val="single"/>
        </w:rPr>
        <w:lastRenderedPageBreak/>
        <w:t>Project Summary</w:t>
      </w:r>
    </w:p>
    <w:p w14:paraId="5020FF53" w14:textId="77777777" w:rsidR="00612347" w:rsidRPr="00CC1ED8" w:rsidRDefault="00612347" w:rsidP="009E573B">
      <w:pPr>
        <w:pStyle w:val="NoSpacing"/>
        <w:rPr>
          <w:rFonts w:cs="Arial"/>
          <w:b/>
          <w:sz w:val="23"/>
          <w:szCs w:val="23"/>
        </w:rPr>
      </w:pPr>
    </w:p>
    <w:p w14:paraId="383E04E4" w14:textId="5BF48F0E" w:rsidR="009E573B" w:rsidRPr="00CC1ED8" w:rsidRDefault="002839C9" w:rsidP="009E573B">
      <w:pPr>
        <w:pStyle w:val="NoSpacing"/>
        <w:rPr>
          <w:rFonts w:cs="Arial"/>
          <w:sz w:val="23"/>
          <w:szCs w:val="23"/>
        </w:rPr>
      </w:pPr>
      <w:r w:rsidRPr="00CC1ED8">
        <w:rPr>
          <w:rFonts w:cs="Arial"/>
          <w:b/>
          <w:sz w:val="23"/>
          <w:szCs w:val="23"/>
        </w:rPr>
        <w:t>Goal:</w:t>
      </w:r>
      <w:r w:rsidRPr="00CC1ED8">
        <w:rPr>
          <w:rFonts w:cs="Arial"/>
          <w:sz w:val="23"/>
          <w:szCs w:val="23"/>
        </w:rPr>
        <w:t xml:space="preserve"> </w:t>
      </w:r>
      <w:r w:rsidR="001668FE" w:rsidRPr="00CC1ED8">
        <w:rPr>
          <w:rFonts w:cs="Arial"/>
          <w:sz w:val="23"/>
          <w:szCs w:val="23"/>
        </w:rPr>
        <w:t>To conduct</w:t>
      </w:r>
      <w:r w:rsidR="00E73B27" w:rsidRPr="00CC1ED8">
        <w:rPr>
          <w:rFonts w:cs="Arial"/>
          <w:sz w:val="23"/>
          <w:szCs w:val="23"/>
        </w:rPr>
        <w:t xml:space="preserve"> message testing </w:t>
      </w:r>
      <w:r w:rsidR="00E73B27" w:rsidRPr="00CC1ED8">
        <w:rPr>
          <w:sz w:val="23"/>
          <w:szCs w:val="23"/>
        </w:rPr>
        <w:t xml:space="preserve">to help inform the communication efforts across DNPAO with identified key audiences and around key obesity-related topics.  </w:t>
      </w:r>
    </w:p>
    <w:p w14:paraId="74D4ADEF" w14:textId="1E219B45" w:rsidR="002839C9" w:rsidRPr="00CC1ED8" w:rsidRDefault="002839C9" w:rsidP="009E573B">
      <w:pPr>
        <w:pStyle w:val="NoSpacing"/>
        <w:rPr>
          <w:rFonts w:cs="Arial"/>
          <w:sz w:val="23"/>
          <w:szCs w:val="23"/>
        </w:rPr>
      </w:pPr>
    </w:p>
    <w:p w14:paraId="0A4E59D8" w14:textId="154E32DC" w:rsidR="002839C9" w:rsidRPr="00CC1ED8" w:rsidRDefault="002839C9" w:rsidP="009E573B">
      <w:pPr>
        <w:pStyle w:val="NoSpacing"/>
        <w:rPr>
          <w:sz w:val="23"/>
          <w:szCs w:val="23"/>
        </w:rPr>
      </w:pPr>
      <w:r w:rsidRPr="00CC1ED8">
        <w:rPr>
          <w:rFonts w:cs="Arial"/>
          <w:b/>
          <w:sz w:val="23"/>
          <w:szCs w:val="23"/>
        </w:rPr>
        <w:t>How Information Will Be Used</w:t>
      </w:r>
      <w:r w:rsidRPr="00CC1ED8">
        <w:rPr>
          <w:rFonts w:cs="Arial"/>
          <w:sz w:val="23"/>
          <w:szCs w:val="23"/>
        </w:rPr>
        <w:t xml:space="preserve">: </w:t>
      </w:r>
      <w:r w:rsidR="00772E43" w:rsidRPr="00CC1ED8">
        <w:rPr>
          <w:rFonts w:cs="Arial"/>
          <w:sz w:val="23"/>
          <w:szCs w:val="23"/>
        </w:rPr>
        <w:t xml:space="preserve"> Findings from this message testing effort will be used by DNPAO to inform how to best communicate with </w:t>
      </w:r>
      <w:r w:rsidR="000E0B52">
        <w:rPr>
          <w:rFonts w:cs="Arial"/>
          <w:sz w:val="23"/>
          <w:szCs w:val="23"/>
        </w:rPr>
        <w:t>key</w:t>
      </w:r>
      <w:r w:rsidR="00772E43" w:rsidRPr="00CC1ED8">
        <w:rPr>
          <w:rFonts w:cs="Arial"/>
          <w:sz w:val="23"/>
          <w:szCs w:val="23"/>
        </w:rPr>
        <w:t xml:space="preserve"> audiences</w:t>
      </w:r>
      <w:r w:rsidR="000E0B52">
        <w:rPr>
          <w:rFonts w:cs="Arial"/>
          <w:sz w:val="23"/>
          <w:szCs w:val="23"/>
        </w:rPr>
        <w:t xml:space="preserve"> for</w:t>
      </w:r>
      <w:r w:rsidR="00FA2109" w:rsidRPr="00CC1ED8">
        <w:rPr>
          <w:rFonts w:cs="Arial"/>
          <w:sz w:val="23"/>
          <w:szCs w:val="23"/>
        </w:rPr>
        <w:t xml:space="preserve"> DNPAO obesity prevention efforts</w:t>
      </w:r>
      <w:r w:rsidR="000E0B52">
        <w:rPr>
          <w:rFonts w:cs="Arial"/>
          <w:sz w:val="23"/>
          <w:szCs w:val="23"/>
        </w:rPr>
        <w:t>. This work will help</w:t>
      </w:r>
      <w:r w:rsidR="00FA2109" w:rsidRPr="00CC1ED8">
        <w:rPr>
          <w:rFonts w:cs="Arial"/>
          <w:sz w:val="23"/>
          <w:szCs w:val="23"/>
        </w:rPr>
        <w:t xml:space="preserve"> increase the likelihood that messages</w:t>
      </w:r>
      <w:r w:rsidR="00772E43" w:rsidRPr="00CC1ED8">
        <w:rPr>
          <w:rFonts w:cs="Arial"/>
          <w:sz w:val="23"/>
          <w:szCs w:val="23"/>
        </w:rPr>
        <w:t xml:space="preserve"> </w:t>
      </w:r>
      <w:r w:rsidR="00FA2109" w:rsidRPr="00CC1ED8">
        <w:rPr>
          <w:rFonts w:cs="Arial"/>
          <w:sz w:val="23"/>
          <w:szCs w:val="23"/>
        </w:rPr>
        <w:t>will</w:t>
      </w:r>
      <w:r w:rsidR="00772E43" w:rsidRPr="00CC1ED8">
        <w:rPr>
          <w:rFonts w:cs="Arial"/>
          <w:sz w:val="23"/>
          <w:szCs w:val="23"/>
        </w:rPr>
        <w:t xml:space="preserve"> resonate</w:t>
      </w:r>
      <w:r w:rsidR="00FA2109" w:rsidRPr="00CC1ED8">
        <w:rPr>
          <w:rFonts w:cs="Arial"/>
          <w:sz w:val="23"/>
          <w:szCs w:val="23"/>
        </w:rPr>
        <w:t xml:space="preserve"> and </w:t>
      </w:r>
      <w:r w:rsidR="000E0B52">
        <w:rPr>
          <w:rFonts w:cs="Arial"/>
          <w:sz w:val="23"/>
          <w:szCs w:val="23"/>
        </w:rPr>
        <w:t>be understood as intended</w:t>
      </w:r>
      <w:r w:rsidR="00FA2109" w:rsidRPr="00CC1ED8">
        <w:rPr>
          <w:rFonts w:cs="Arial"/>
          <w:sz w:val="23"/>
          <w:szCs w:val="23"/>
        </w:rPr>
        <w:t>.</w:t>
      </w:r>
    </w:p>
    <w:p w14:paraId="5236EF6F" w14:textId="70B85614" w:rsidR="002839C9" w:rsidRPr="00CC1ED8" w:rsidRDefault="002839C9" w:rsidP="009E573B">
      <w:pPr>
        <w:pStyle w:val="NoSpacing"/>
        <w:rPr>
          <w:rFonts w:cs="Arial"/>
          <w:sz w:val="23"/>
          <w:szCs w:val="23"/>
        </w:rPr>
      </w:pPr>
    </w:p>
    <w:p w14:paraId="6FA0DA41" w14:textId="3FE1F3B7" w:rsidR="002839C9" w:rsidRPr="00CC1ED8" w:rsidRDefault="002839C9" w:rsidP="009E573B">
      <w:pPr>
        <w:pStyle w:val="NoSpacing"/>
        <w:rPr>
          <w:rFonts w:cs="Arial"/>
          <w:sz w:val="23"/>
          <w:szCs w:val="23"/>
        </w:rPr>
      </w:pPr>
      <w:r w:rsidRPr="00CC1ED8">
        <w:rPr>
          <w:rFonts w:cs="Arial"/>
          <w:b/>
          <w:sz w:val="23"/>
          <w:szCs w:val="23"/>
        </w:rPr>
        <w:t>Methods</w:t>
      </w:r>
      <w:r w:rsidRPr="00CC1ED8">
        <w:rPr>
          <w:rFonts w:cs="Arial"/>
          <w:sz w:val="23"/>
          <w:szCs w:val="23"/>
        </w:rPr>
        <w:t xml:space="preserve">: </w:t>
      </w:r>
      <w:r w:rsidR="00AC7EFC">
        <w:rPr>
          <w:rFonts w:cs="Arial"/>
          <w:sz w:val="23"/>
          <w:szCs w:val="23"/>
        </w:rPr>
        <w:t xml:space="preserve">Messages will be tested via </w:t>
      </w:r>
      <w:r w:rsidR="00917639" w:rsidRPr="00CC1ED8">
        <w:rPr>
          <w:rFonts w:cs="Arial"/>
          <w:sz w:val="23"/>
          <w:szCs w:val="23"/>
        </w:rPr>
        <w:t xml:space="preserve">2,000 online surveys. </w:t>
      </w:r>
      <w:r w:rsidR="00AC7EFC">
        <w:rPr>
          <w:rFonts w:cs="Arial"/>
          <w:sz w:val="23"/>
          <w:szCs w:val="23"/>
        </w:rPr>
        <w:t xml:space="preserve">A total of </w:t>
      </w:r>
      <w:r w:rsidR="00AC7EFC" w:rsidRPr="00CC1ED8">
        <w:rPr>
          <w:rFonts w:cs="Arial"/>
          <w:sz w:val="23"/>
          <w:szCs w:val="23"/>
        </w:rPr>
        <w:t>16 focus groups</w:t>
      </w:r>
      <w:r w:rsidR="00AC7EFC">
        <w:rPr>
          <w:rFonts w:cs="Arial"/>
          <w:sz w:val="23"/>
          <w:szCs w:val="23"/>
        </w:rPr>
        <w:t xml:space="preserve"> will be conducted to validate the findings from the survey. </w:t>
      </w:r>
      <w:r w:rsidR="00B7306F" w:rsidRPr="00CC1ED8">
        <w:rPr>
          <w:sz w:val="23"/>
          <w:szCs w:val="23"/>
        </w:rPr>
        <w:t>The fo</w:t>
      </w:r>
      <w:r w:rsidR="000E0B52">
        <w:rPr>
          <w:sz w:val="23"/>
          <w:szCs w:val="23"/>
        </w:rPr>
        <w:t xml:space="preserve">cus groups will be coordinated by a </w:t>
      </w:r>
      <w:r w:rsidR="00B7306F" w:rsidRPr="00CC1ED8">
        <w:rPr>
          <w:sz w:val="23"/>
          <w:szCs w:val="23"/>
        </w:rPr>
        <w:t xml:space="preserve">professional </w:t>
      </w:r>
      <w:r w:rsidR="000E0B52">
        <w:rPr>
          <w:sz w:val="23"/>
          <w:szCs w:val="23"/>
        </w:rPr>
        <w:t xml:space="preserve">market </w:t>
      </w:r>
      <w:r w:rsidR="00B7306F" w:rsidRPr="00CC1ED8">
        <w:rPr>
          <w:sz w:val="23"/>
          <w:szCs w:val="23"/>
        </w:rPr>
        <w:t xml:space="preserve">research </w:t>
      </w:r>
      <w:r w:rsidR="000E0B52">
        <w:rPr>
          <w:sz w:val="23"/>
          <w:szCs w:val="23"/>
        </w:rPr>
        <w:t xml:space="preserve">firm. The online panel </w:t>
      </w:r>
      <w:r w:rsidR="00B7306F" w:rsidRPr="00CC1ED8">
        <w:rPr>
          <w:sz w:val="23"/>
          <w:szCs w:val="23"/>
        </w:rPr>
        <w:t>survey will be conducted remotely through an online survey platform.</w:t>
      </w:r>
    </w:p>
    <w:p w14:paraId="77193293" w14:textId="1CB6326F" w:rsidR="002839C9" w:rsidRPr="00CC1ED8" w:rsidRDefault="002839C9" w:rsidP="009E573B">
      <w:pPr>
        <w:pStyle w:val="NoSpacing"/>
        <w:rPr>
          <w:rFonts w:cs="Arial"/>
          <w:sz w:val="23"/>
          <w:szCs w:val="23"/>
        </w:rPr>
      </w:pPr>
    </w:p>
    <w:p w14:paraId="14B9831A" w14:textId="11417CA4" w:rsidR="002839C9" w:rsidRPr="00CC1ED8" w:rsidRDefault="002839C9" w:rsidP="009E573B">
      <w:pPr>
        <w:pStyle w:val="NoSpacing"/>
        <w:rPr>
          <w:rFonts w:cs="Arial"/>
          <w:sz w:val="23"/>
          <w:szCs w:val="23"/>
        </w:rPr>
      </w:pPr>
      <w:r w:rsidRPr="00CC1ED8">
        <w:rPr>
          <w:rFonts w:cs="Arial"/>
          <w:b/>
          <w:sz w:val="23"/>
          <w:szCs w:val="23"/>
        </w:rPr>
        <w:t>Respondent Population</w:t>
      </w:r>
      <w:r w:rsidRPr="00CC1ED8">
        <w:rPr>
          <w:rFonts w:cs="Arial"/>
          <w:sz w:val="23"/>
          <w:szCs w:val="23"/>
        </w:rPr>
        <w:t>:</w:t>
      </w:r>
      <w:r w:rsidR="00B7306F" w:rsidRPr="00CC1ED8">
        <w:rPr>
          <w:rFonts w:cs="Arial"/>
          <w:sz w:val="23"/>
          <w:szCs w:val="23"/>
        </w:rPr>
        <w:t xml:space="preserve"> </w:t>
      </w:r>
      <w:r w:rsidR="001450FB" w:rsidRPr="00CC1ED8">
        <w:rPr>
          <w:rFonts w:cs="Arial"/>
          <w:sz w:val="23"/>
          <w:szCs w:val="23"/>
        </w:rPr>
        <w:t>The target audiences are mothers, segmented as follows:</w:t>
      </w:r>
    </w:p>
    <w:p w14:paraId="6844595E" w14:textId="48F2C3DB" w:rsidR="001450FB" w:rsidRPr="00CC1ED8" w:rsidRDefault="009907C3" w:rsidP="001450FB">
      <w:pPr>
        <w:pStyle w:val="NoSpacing"/>
        <w:numPr>
          <w:ilvl w:val="0"/>
          <w:numId w:val="3"/>
        </w:numPr>
        <w:rPr>
          <w:rFonts w:cs="Arial"/>
          <w:sz w:val="23"/>
          <w:szCs w:val="23"/>
        </w:rPr>
      </w:pPr>
      <w:r>
        <w:rPr>
          <w:rFonts w:cs="Arial"/>
          <w:sz w:val="23"/>
          <w:szCs w:val="23"/>
        </w:rPr>
        <w:t>Mothers with children ages 1</w:t>
      </w:r>
      <w:r w:rsidR="000E0B52">
        <w:rPr>
          <w:rFonts w:cs="Arial"/>
          <w:sz w:val="23"/>
          <w:szCs w:val="23"/>
        </w:rPr>
        <w:t>-</w:t>
      </w:r>
      <w:r>
        <w:rPr>
          <w:rFonts w:cs="Arial"/>
          <w:sz w:val="23"/>
          <w:szCs w:val="23"/>
        </w:rPr>
        <w:t>8</w:t>
      </w:r>
      <w:r w:rsidR="001450FB" w:rsidRPr="00CC1ED8">
        <w:rPr>
          <w:rFonts w:cs="Arial"/>
          <w:sz w:val="23"/>
          <w:szCs w:val="23"/>
        </w:rPr>
        <w:t xml:space="preserve"> – recruited to include a mix by race/ethnicity and income</w:t>
      </w:r>
    </w:p>
    <w:p w14:paraId="6BC96751" w14:textId="2761A906" w:rsidR="001450FB" w:rsidRPr="00BE6346" w:rsidRDefault="001450FB" w:rsidP="001450FB">
      <w:pPr>
        <w:pStyle w:val="NoSpacing"/>
        <w:numPr>
          <w:ilvl w:val="1"/>
          <w:numId w:val="3"/>
        </w:numPr>
        <w:rPr>
          <w:rFonts w:cs="Arial"/>
          <w:sz w:val="23"/>
          <w:szCs w:val="23"/>
        </w:rPr>
      </w:pPr>
      <w:r w:rsidRPr="00BE6346">
        <w:rPr>
          <w:rFonts w:cs="Arial"/>
          <w:sz w:val="23"/>
          <w:szCs w:val="23"/>
        </w:rPr>
        <w:t>Segmented by weight status: he</w:t>
      </w:r>
      <w:r w:rsidR="00A050CA" w:rsidRPr="00BE6346">
        <w:rPr>
          <w:rFonts w:cs="Arial"/>
          <w:sz w:val="23"/>
          <w:szCs w:val="23"/>
        </w:rPr>
        <w:t>althy weight</w:t>
      </w:r>
      <w:r w:rsidR="00CE3C57" w:rsidRPr="00BE6346">
        <w:rPr>
          <w:rFonts w:cs="Arial"/>
          <w:sz w:val="23"/>
          <w:szCs w:val="23"/>
        </w:rPr>
        <w:t xml:space="preserve"> (BMI= 18.5-24.9)</w:t>
      </w:r>
      <w:r w:rsidR="00A050CA" w:rsidRPr="00BE6346">
        <w:rPr>
          <w:rFonts w:cs="Arial"/>
          <w:sz w:val="23"/>
          <w:szCs w:val="23"/>
        </w:rPr>
        <w:t xml:space="preserve">, </w:t>
      </w:r>
      <w:r w:rsidRPr="00BE6346">
        <w:rPr>
          <w:rFonts w:cs="Arial"/>
          <w:sz w:val="23"/>
          <w:szCs w:val="23"/>
        </w:rPr>
        <w:t>overweight</w:t>
      </w:r>
      <w:r w:rsidR="009907C3" w:rsidRPr="00BE6346">
        <w:rPr>
          <w:rFonts w:cs="Arial"/>
          <w:sz w:val="23"/>
          <w:szCs w:val="23"/>
        </w:rPr>
        <w:t>/</w:t>
      </w:r>
      <w:r w:rsidR="0055479C">
        <w:rPr>
          <w:rFonts w:cs="Arial"/>
          <w:sz w:val="23"/>
          <w:szCs w:val="23"/>
        </w:rPr>
        <w:t>obesity</w:t>
      </w:r>
      <w:r w:rsidR="009907C3" w:rsidRPr="00BE6346">
        <w:rPr>
          <w:rFonts w:cs="Arial"/>
          <w:sz w:val="23"/>
          <w:szCs w:val="23"/>
        </w:rPr>
        <w:t xml:space="preserve"> (</w:t>
      </w:r>
      <w:r w:rsidR="00CE3C57" w:rsidRPr="00BE6346">
        <w:rPr>
          <w:rFonts w:cs="Arial"/>
          <w:sz w:val="23"/>
          <w:szCs w:val="23"/>
        </w:rPr>
        <w:t xml:space="preserve">BMI= 25-34.9; only class 1 </w:t>
      </w:r>
      <w:r w:rsidR="0055479C">
        <w:rPr>
          <w:rFonts w:cs="Arial"/>
          <w:sz w:val="23"/>
          <w:szCs w:val="23"/>
        </w:rPr>
        <w:t>obesity</w:t>
      </w:r>
      <w:r w:rsidR="00CE3C57" w:rsidRPr="00BE6346">
        <w:rPr>
          <w:rFonts w:cs="Arial"/>
          <w:sz w:val="23"/>
          <w:szCs w:val="23"/>
        </w:rPr>
        <w:t xml:space="preserve"> will be included</w:t>
      </w:r>
      <w:r w:rsidR="009907C3" w:rsidRPr="00BE6346">
        <w:rPr>
          <w:rFonts w:cs="Arial"/>
          <w:sz w:val="23"/>
          <w:szCs w:val="23"/>
        </w:rPr>
        <w:t>)</w:t>
      </w:r>
    </w:p>
    <w:p w14:paraId="03963168" w14:textId="3AA634C8" w:rsidR="001450FB" w:rsidRPr="00BE6346" w:rsidRDefault="001450FB" w:rsidP="001450FB">
      <w:pPr>
        <w:pStyle w:val="NoSpacing"/>
        <w:numPr>
          <w:ilvl w:val="1"/>
          <w:numId w:val="3"/>
        </w:numPr>
        <w:rPr>
          <w:rFonts w:cs="Arial"/>
          <w:sz w:val="23"/>
          <w:szCs w:val="23"/>
        </w:rPr>
      </w:pPr>
      <w:r w:rsidRPr="00BE6346">
        <w:rPr>
          <w:rFonts w:cs="Arial"/>
          <w:sz w:val="23"/>
          <w:szCs w:val="23"/>
        </w:rPr>
        <w:t>Segmented by type of location</w:t>
      </w:r>
      <w:r w:rsidR="00746C38" w:rsidRPr="00BE6346">
        <w:rPr>
          <w:rFonts w:cs="Arial"/>
          <w:sz w:val="23"/>
          <w:szCs w:val="23"/>
        </w:rPr>
        <w:t xml:space="preserve"> (focus groups)</w:t>
      </w:r>
      <w:r w:rsidRPr="00BE6346">
        <w:rPr>
          <w:rFonts w:cs="Arial"/>
          <w:sz w:val="23"/>
          <w:szCs w:val="23"/>
        </w:rPr>
        <w:t xml:space="preserve">: </w:t>
      </w:r>
      <w:r w:rsidR="00A050CA" w:rsidRPr="00BE6346">
        <w:rPr>
          <w:rFonts w:cs="Arial"/>
          <w:sz w:val="23"/>
          <w:szCs w:val="23"/>
        </w:rPr>
        <w:t>mid-size city and suburbs, small city/town and outlying areas</w:t>
      </w:r>
      <w:r w:rsidR="00C268CC" w:rsidRPr="00BE6346">
        <w:rPr>
          <w:rFonts w:cs="Arial"/>
          <w:sz w:val="23"/>
          <w:szCs w:val="23"/>
        </w:rPr>
        <w:t>. Specifically,</w:t>
      </w:r>
    </w:p>
    <w:p w14:paraId="4F9233E4" w14:textId="31DE7979" w:rsidR="00C268CC" w:rsidRPr="00BE6346" w:rsidRDefault="00F53B85" w:rsidP="00BE6346">
      <w:pPr>
        <w:pStyle w:val="NoSpacing"/>
        <w:numPr>
          <w:ilvl w:val="2"/>
          <w:numId w:val="3"/>
        </w:numPr>
        <w:rPr>
          <w:rFonts w:cs="Arial"/>
          <w:sz w:val="23"/>
          <w:szCs w:val="23"/>
        </w:rPr>
      </w:pPr>
      <w:r w:rsidRPr="00BE6346">
        <w:rPr>
          <w:rFonts w:cs="Arial"/>
          <w:sz w:val="23"/>
          <w:szCs w:val="23"/>
        </w:rPr>
        <w:t>Mid-size city</w:t>
      </w:r>
      <w:r w:rsidR="00240E9B" w:rsidRPr="00BE6346">
        <w:rPr>
          <w:rFonts w:cs="Arial"/>
          <w:sz w:val="23"/>
          <w:szCs w:val="23"/>
        </w:rPr>
        <w:t xml:space="preserve"> and</w:t>
      </w:r>
      <w:r w:rsidRPr="00BE6346">
        <w:rPr>
          <w:rFonts w:cs="Arial"/>
          <w:sz w:val="23"/>
          <w:szCs w:val="23"/>
        </w:rPr>
        <w:t xml:space="preserve"> </w:t>
      </w:r>
      <w:r w:rsidR="00240E9B" w:rsidRPr="00BE6346">
        <w:rPr>
          <w:rFonts w:cs="Arial"/>
          <w:sz w:val="23"/>
          <w:szCs w:val="23"/>
        </w:rPr>
        <w:t>small city/towns and outlying areas</w:t>
      </w:r>
      <w:r w:rsidR="00BE6346" w:rsidRPr="00BE6346">
        <w:rPr>
          <w:rFonts w:cs="Arial"/>
          <w:sz w:val="23"/>
          <w:szCs w:val="23"/>
        </w:rPr>
        <w:t xml:space="preserve"> </w:t>
      </w:r>
      <w:r w:rsidR="00C268CC" w:rsidRPr="00BE6346">
        <w:rPr>
          <w:rFonts w:cs="Arial"/>
          <w:sz w:val="23"/>
          <w:szCs w:val="23"/>
        </w:rPr>
        <w:t>in 2 regions:</w:t>
      </w:r>
      <w:r w:rsidR="00BE6346" w:rsidRPr="00BE6346">
        <w:rPr>
          <w:rFonts w:cs="Arial"/>
          <w:sz w:val="23"/>
          <w:szCs w:val="23"/>
        </w:rPr>
        <w:t xml:space="preserve"> </w:t>
      </w:r>
      <w:r w:rsidR="00240E9B" w:rsidRPr="00BE6346">
        <w:rPr>
          <w:rFonts w:cs="Arial"/>
          <w:sz w:val="23"/>
          <w:szCs w:val="23"/>
        </w:rPr>
        <w:t xml:space="preserve">Mid-Atlantic/Midwest and Southern regions. </w:t>
      </w:r>
    </w:p>
    <w:p w14:paraId="7F59B563" w14:textId="393FC266" w:rsidR="00F53B85" w:rsidRPr="00BE6346" w:rsidRDefault="00C268CC" w:rsidP="00C268CC">
      <w:pPr>
        <w:pStyle w:val="NoSpacing"/>
        <w:numPr>
          <w:ilvl w:val="2"/>
          <w:numId w:val="3"/>
        </w:numPr>
        <w:rPr>
          <w:rFonts w:cs="Arial"/>
          <w:sz w:val="23"/>
          <w:szCs w:val="23"/>
        </w:rPr>
      </w:pPr>
      <w:r w:rsidRPr="00BE6346">
        <w:t>8 groups will be conducted in the Midwest/Mid-Atlantic</w:t>
      </w:r>
      <w:r w:rsidR="00BE6346">
        <w:t xml:space="preserve"> region</w:t>
      </w:r>
      <w:r w:rsidRPr="00BE6346">
        <w:t xml:space="preserve"> and 8 groups in the South</w:t>
      </w:r>
      <w:r w:rsidR="00BE6346">
        <w:t xml:space="preserve">ern region (with up to 4 locations per </w:t>
      </w:r>
      <w:r w:rsidRPr="00BE6346">
        <w:t>region)</w:t>
      </w:r>
      <w:r w:rsidRPr="00BE6346">
        <w:rPr>
          <w:rFonts w:cs="Arial"/>
          <w:sz w:val="23"/>
          <w:szCs w:val="23"/>
        </w:rPr>
        <w:t>.</w:t>
      </w:r>
      <w:r w:rsidR="00F53B85" w:rsidRPr="00BE6346">
        <w:rPr>
          <w:rFonts w:cs="Arial"/>
          <w:sz w:val="23"/>
          <w:szCs w:val="23"/>
        </w:rPr>
        <w:t xml:space="preserve"> </w:t>
      </w:r>
    </w:p>
    <w:p w14:paraId="5B54B88A" w14:textId="03716866" w:rsidR="002839C9" w:rsidRPr="00CC1ED8" w:rsidRDefault="002839C9" w:rsidP="009E573B">
      <w:pPr>
        <w:pStyle w:val="NoSpacing"/>
        <w:rPr>
          <w:rFonts w:cs="Arial"/>
          <w:sz w:val="23"/>
          <w:szCs w:val="23"/>
        </w:rPr>
      </w:pPr>
    </w:p>
    <w:p w14:paraId="2D59AAED" w14:textId="14EE0356" w:rsidR="002839C9" w:rsidRPr="00CC1ED8" w:rsidRDefault="002839C9" w:rsidP="009E573B">
      <w:pPr>
        <w:pStyle w:val="NoSpacing"/>
        <w:rPr>
          <w:rFonts w:cs="Arial"/>
          <w:sz w:val="23"/>
          <w:szCs w:val="23"/>
        </w:rPr>
      </w:pPr>
      <w:r w:rsidRPr="00CC1ED8">
        <w:rPr>
          <w:rFonts w:cs="Arial"/>
          <w:b/>
          <w:sz w:val="23"/>
          <w:szCs w:val="23"/>
        </w:rPr>
        <w:t>Analysis Techniques:</w:t>
      </w:r>
      <w:r w:rsidRPr="00CC1ED8">
        <w:rPr>
          <w:rFonts w:cs="Arial"/>
          <w:sz w:val="23"/>
          <w:szCs w:val="23"/>
        </w:rPr>
        <w:t xml:space="preserve"> </w:t>
      </w:r>
      <w:r w:rsidR="00DA0FC3" w:rsidRPr="00CC1ED8">
        <w:rPr>
          <w:rFonts w:cs="Arial"/>
          <w:sz w:val="23"/>
          <w:szCs w:val="23"/>
        </w:rPr>
        <w:t xml:space="preserve">Focus group notes will be analyzed to identify major themes. </w:t>
      </w:r>
      <w:r w:rsidR="00AC7EFC" w:rsidRPr="00CC1ED8">
        <w:rPr>
          <w:rFonts w:cs="Arial"/>
          <w:sz w:val="23"/>
          <w:szCs w:val="23"/>
        </w:rPr>
        <w:t>Survey data will be analyzed using qualitative analysis software (e.g., SPSS, SASS).</w:t>
      </w:r>
      <w:r w:rsidR="00AC7EFC">
        <w:rPr>
          <w:rFonts w:cs="Arial"/>
          <w:sz w:val="23"/>
          <w:szCs w:val="23"/>
        </w:rPr>
        <w:t xml:space="preserve"> </w:t>
      </w:r>
      <w:r w:rsidR="00DA0FC3" w:rsidRPr="00CC1ED8">
        <w:rPr>
          <w:rFonts w:cs="Arial"/>
          <w:sz w:val="23"/>
          <w:szCs w:val="23"/>
        </w:rPr>
        <w:t>The themes and details will additionally be explo</w:t>
      </w:r>
      <w:r w:rsidR="004911F5" w:rsidRPr="00CC1ED8">
        <w:rPr>
          <w:rFonts w:cs="Arial"/>
          <w:sz w:val="23"/>
          <w:szCs w:val="23"/>
        </w:rPr>
        <w:t xml:space="preserve">red to identify similarities and differences regarding reactions to the messages tested overall </w:t>
      </w:r>
      <w:r w:rsidR="0089296D" w:rsidRPr="00CC1ED8">
        <w:rPr>
          <w:rFonts w:cs="Arial"/>
          <w:sz w:val="23"/>
          <w:szCs w:val="23"/>
        </w:rPr>
        <w:t xml:space="preserve">as well as across the aforementioned </w:t>
      </w:r>
      <w:r w:rsidR="00FF488B" w:rsidRPr="00CC1ED8">
        <w:rPr>
          <w:rFonts w:cs="Arial"/>
          <w:sz w:val="23"/>
          <w:szCs w:val="23"/>
        </w:rPr>
        <w:t>segmented groups among</w:t>
      </w:r>
      <w:r w:rsidR="0089296D" w:rsidRPr="00CC1ED8">
        <w:rPr>
          <w:rFonts w:cs="Arial"/>
          <w:sz w:val="23"/>
          <w:szCs w:val="23"/>
        </w:rPr>
        <w:t xml:space="preserve"> mothers.</w:t>
      </w:r>
      <w:r w:rsidR="00DD0B90" w:rsidRPr="00CC1ED8">
        <w:rPr>
          <w:rFonts w:cs="Arial"/>
          <w:sz w:val="23"/>
          <w:szCs w:val="23"/>
        </w:rPr>
        <w:t xml:space="preserve"> </w:t>
      </w:r>
    </w:p>
    <w:p w14:paraId="5AEB6B98" w14:textId="23482399" w:rsidR="00D77ACE" w:rsidRDefault="00D77ACE" w:rsidP="009E573B">
      <w:pPr>
        <w:pStyle w:val="NoSpacing"/>
        <w:rPr>
          <w:rFonts w:cs="Arial"/>
        </w:rPr>
      </w:pPr>
    </w:p>
    <w:p w14:paraId="20145B76" w14:textId="77777777" w:rsidR="00C268CC" w:rsidRDefault="00C268CC" w:rsidP="009E573B">
      <w:pPr>
        <w:pStyle w:val="NoSpacing"/>
        <w:rPr>
          <w:rFonts w:cs="Arial"/>
        </w:rPr>
      </w:pPr>
    </w:p>
    <w:p w14:paraId="5FFCF1E2" w14:textId="45F89E45" w:rsidR="009E573B" w:rsidRPr="00C268CC" w:rsidRDefault="009E573B" w:rsidP="009E573B">
      <w:pPr>
        <w:pStyle w:val="NoSpacing"/>
        <w:rPr>
          <w:rFonts w:cs="Arial"/>
          <w:b/>
          <w:sz w:val="28"/>
          <w:szCs w:val="28"/>
          <w:u w:val="single"/>
        </w:rPr>
      </w:pPr>
      <w:r w:rsidRPr="00C268CC">
        <w:rPr>
          <w:rFonts w:cs="Arial"/>
          <w:b/>
          <w:sz w:val="28"/>
          <w:szCs w:val="28"/>
          <w:u w:val="single"/>
        </w:rPr>
        <w:t>Background</w:t>
      </w:r>
    </w:p>
    <w:p w14:paraId="05D85009" w14:textId="78C1587C" w:rsidR="009E573B" w:rsidRPr="00CC1ED8" w:rsidRDefault="009E573B" w:rsidP="009E573B">
      <w:pPr>
        <w:pStyle w:val="NoSpacing"/>
        <w:rPr>
          <w:rFonts w:cs="Arial"/>
          <w:sz w:val="23"/>
          <w:szCs w:val="23"/>
        </w:rPr>
      </w:pPr>
    </w:p>
    <w:p w14:paraId="2C6C792C" w14:textId="0E812416" w:rsidR="00BB04FC" w:rsidRPr="00CC1ED8" w:rsidRDefault="00BB04FC" w:rsidP="009E573B">
      <w:pPr>
        <w:pStyle w:val="NoSpacing"/>
        <w:rPr>
          <w:sz w:val="23"/>
          <w:szCs w:val="23"/>
        </w:rPr>
      </w:pPr>
      <w:r w:rsidRPr="00CC1ED8">
        <w:rPr>
          <w:sz w:val="23"/>
          <w:szCs w:val="23"/>
        </w:rPr>
        <w:t xml:space="preserve">The Division of Nutrition, Physical Activity, and Obesity (DNPAO) at the Centers for Disease Control and Prevention (CDC) is conducting </w:t>
      </w:r>
      <w:r w:rsidR="00AC7EFC">
        <w:rPr>
          <w:sz w:val="23"/>
          <w:szCs w:val="23"/>
        </w:rPr>
        <w:t>audience research</w:t>
      </w:r>
      <w:r w:rsidRPr="00CC1ED8">
        <w:rPr>
          <w:sz w:val="23"/>
          <w:szCs w:val="23"/>
        </w:rPr>
        <w:t xml:space="preserve"> to better understand how to most effectively communicate with key stakeholders of DNPAO’s </w:t>
      </w:r>
      <w:r w:rsidR="00FA2109" w:rsidRPr="00CC1ED8">
        <w:rPr>
          <w:sz w:val="23"/>
          <w:szCs w:val="23"/>
        </w:rPr>
        <w:t xml:space="preserve">obesity prevention </w:t>
      </w:r>
      <w:r w:rsidRPr="00CC1ED8">
        <w:rPr>
          <w:sz w:val="23"/>
          <w:szCs w:val="23"/>
        </w:rPr>
        <w:t xml:space="preserve">efforts. </w:t>
      </w:r>
      <w:r w:rsidR="00AC7EFC">
        <w:rPr>
          <w:sz w:val="23"/>
          <w:szCs w:val="23"/>
        </w:rPr>
        <w:t xml:space="preserve">The </w:t>
      </w:r>
      <w:r w:rsidRPr="00CC1ED8">
        <w:rPr>
          <w:sz w:val="23"/>
          <w:szCs w:val="23"/>
        </w:rPr>
        <w:t xml:space="preserve">proposed approach for this data collection effort </w:t>
      </w:r>
      <w:r w:rsidR="00AC7EFC">
        <w:rPr>
          <w:sz w:val="23"/>
          <w:szCs w:val="23"/>
        </w:rPr>
        <w:t>will</w:t>
      </w:r>
      <w:r w:rsidRPr="00CC1ED8">
        <w:rPr>
          <w:sz w:val="23"/>
          <w:szCs w:val="23"/>
        </w:rPr>
        <w:t xml:space="preserve"> help inform the communication efforts across DNPAO with identified key audiences and around key obesity-related topics.  </w:t>
      </w:r>
    </w:p>
    <w:p w14:paraId="0E5D76B3" w14:textId="329F62B5" w:rsidR="00826888" w:rsidRPr="00CC1ED8" w:rsidRDefault="00826888" w:rsidP="009E573B">
      <w:pPr>
        <w:pStyle w:val="NoSpacing"/>
        <w:rPr>
          <w:sz w:val="23"/>
          <w:szCs w:val="23"/>
        </w:rPr>
      </w:pPr>
    </w:p>
    <w:p w14:paraId="279A7DA4" w14:textId="3FE51205" w:rsidR="00826888" w:rsidRPr="00CC1ED8" w:rsidRDefault="00826888" w:rsidP="00826888">
      <w:pPr>
        <w:rPr>
          <w:rFonts w:eastAsia="Times New Roman"/>
          <w:sz w:val="23"/>
          <w:szCs w:val="23"/>
        </w:rPr>
      </w:pPr>
      <w:r w:rsidRPr="0083609B">
        <w:rPr>
          <w:sz w:val="23"/>
          <w:szCs w:val="23"/>
        </w:rPr>
        <w:t xml:space="preserve">See </w:t>
      </w:r>
      <w:r w:rsidR="0083609B" w:rsidRPr="0083609B">
        <w:rPr>
          <w:b/>
          <w:sz w:val="23"/>
          <w:szCs w:val="23"/>
        </w:rPr>
        <w:t>Appendix A</w:t>
      </w:r>
      <w:r w:rsidRPr="0083609B">
        <w:rPr>
          <w:sz w:val="23"/>
          <w:szCs w:val="23"/>
        </w:rPr>
        <w:t xml:space="preserve"> for the messages to be tested.</w:t>
      </w:r>
    </w:p>
    <w:p w14:paraId="27FE1658" w14:textId="7E9B9F55" w:rsidR="00D52786" w:rsidRPr="00CC1ED8" w:rsidRDefault="00D52786" w:rsidP="009E573B">
      <w:pPr>
        <w:pStyle w:val="NoSpacing"/>
        <w:rPr>
          <w:rFonts w:cs="Arial"/>
          <w:sz w:val="23"/>
          <w:szCs w:val="23"/>
        </w:rPr>
      </w:pPr>
    </w:p>
    <w:p w14:paraId="4873FFF0" w14:textId="77777777" w:rsidR="00BE2283" w:rsidRDefault="00BE2283">
      <w:pPr>
        <w:spacing w:after="160" w:line="259" w:lineRule="auto"/>
        <w:rPr>
          <w:rFonts w:eastAsiaTheme="minorHAnsi" w:cs="Arial"/>
          <w:b/>
          <w:sz w:val="28"/>
          <w:szCs w:val="28"/>
          <w:u w:val="single"/>
        </w:rPr>
      </w:pPr>
      <w:r>
        <w:rPr>
          <w:rFonts w:cs="Arial"/>
          <w:b/>
          <w:sz w:val="28"/>
          <w:szCs w:val="28"/>
          <w:u w:val="single"/>
        </w:rPr>
        <w:br w:type="page"/>
      </w:r>
    </w:p>
    <w:p w14:paraId="7D0CD2E9" w14:textId="720F1A61" w:rsidR="009E573B" w:rsidRPr="00C268CC" w:rsidRDefault="009E573B" w:rsidP="009E573B">
      <w:pPr>
        <w:pStyle w:val="NoSpacing"/>
        <w:rPr>
          <w:rFonts w:cs="Arial"/>
          <w:b/>
          <w:sz w:val="28"/>
          <w:szCs w:val="28"/>
          <w:u w:val="single"/>
        </w:rPr>
      </w:pPr>
      <w:r w:rsidRPr="00C268CC">
        <w:rPr>
          <w:rFonts w:cs="Arial"/>
          <w:b/>
          <w:sz w:val="28"/>
          <w:szCs w:val="28"/>
          <w:u w:val="single"/>
        </w:rPr>
        <w:lastRenderedPageBreak/>
        <w:t>Methodology</w:t>
      </w:r>
    </w:p>
    <w:p w14:paraId="70043A50" w14:textId="36BA2596" w:rsidR="009E573B" w:rsidRPr="00CC1ED8" w:rsidRDefault="009E573B" w:rsidP="009E573B">
      <w:pPr>
        <w:pStyle w:val="NoSpacing"/>
        <w:rPr>
          <w:rFonts w:cs="Arial"/>
          <w:sz w:val="23"/>
          <w:szCs w:val="23"/>
        </w:rPr>
      </w:pPr>
    </w:p>
    <w:p w14:paraId="6D5069AB" w14:textId="1907FEB3" w:rsidR="00581125" w:rsidRPr="00BE6346" w:rsidRDefault="004B6899" w:rsidP="00581125">
      <w:pPr>
        <w:pStyle w:val="NoSpacing"/>
        <w:rPr>
          <w:rFonts w:cs="Arial"/>
          <w:sz w:val="23"/>
          <w:szCs w:val="23"/>
        </w:rPr>
      </w:pPr>
      <w:r w:rsidRPr="00CC1ED8">
        <w:rPr>
          <w:rFonts w:cs="Arial"/>
          <w:sz w:val="23"/>
          <w:szCs w:val="23"/>
        </w:rPr>
        <w:t>Through a combination of</w:t>
      </w:r>
      <w:r w:rsidR="00AC7EFC">
        <w:rPr>
          <w:rFonts w:cs="Arial"/>
          <w:sz w:val="23"/>
          <w:szCs w:val="23"/>
        </w:rPr>
        <w:t xml:space="preserve"> surveys and</w:t>
      </w:r>
      <w:r w:rsidRPr="00CC1ED8">
        <w:rPr>
          <w:rFonts w:cs="Arial"/>
          <w:sz w:val="23"/>
          <w:szCs w:val="23"/>
        </w:rPr>
        <w:t xml:space="preserve"> f</w:t>
      </w:r>
      <w:r w:rsidR="003362D0" w:rsidRPr="00CC1ED8">
        <w:rPr>
          <w:rFonts w:cs="Arial"/>
          <w:sz w:val="23"/>
          <w:szCs w:val="23"/>
        </w:rPr>
        <w:t>ocus groups</w:t>
      </w:r>
      <w:r w:rsidRPr="00CC1ED8">
        <w:rPr>
          <w:rFonts w:cs="Arial"/>
          <w:sz w:val="23"/>
          <w:szCs w:val="23"/>
        </w:rPr>
        <w:t xml:space="preserve">, data will be collected from </w:t>
      </w:r>
      <w:r w:rsidR="003362D0" w:rsidRPr="00CC1ED8">
        <w:rPr>
          <w:rFonts w:cs="Arial"/>
          <w:sz w:val="23"/>
          <w:szCs w:val="23"/>
        </w:rPr>
        <w:t>m</w:t>
      </w:r>
      <w:r w:rsidR="009907C3">
        <w:rPr>
          <w:rFonts w:cs="Arial"/>
          <w:sz w:val="23"/>
          <w:szCs w:val="23"/>
        </w:rPr>
        <w:t>others of children ages 1-8</w:t>
      </w:r>
      <w:r w:rsidRPr="00CC1ED8">
        <w:rPr>
          <w:rFonts w:cs="Arial"/>
          <w:sz w:val="23"/>
          <w:szCs w:val="23"/>
        </w:rPr>
        <w:t xml:space="preserve">. </w:t>
      </w:r>
      <w:r w:rsidR="00AC7EFC">
        <w:rPr>
          <w:rFonts w:cs="Arial"/>
          <w:sz w:val="23"/>
          <w:szCs w:val="23"/>
        </w:rPr>
        <w:t xml:space="preserve">Specifically, </w:t>
      </w:r>
      <w:r w:rsidR="00683581" w:rsidRPr="00CC1ED8">
        <w:rPr>
          <w:sz w:val="23"/>
          <w:szCs w:val="23"/>
        </w:rPr>
        <w:t>a</w:t>
      </w:r>
      <w:r w:rsidR="00AC7EFC">
        <w:rPr>
          <w:sz w:val="23"/>
          <w:szCs w:val="23"/>
        </w:rPr>
        <w:t>n</w:t>
      </w:r>
      <w:r w:rsidR="00683581" w:rsidRPr="00CC1ED8">
        <w:rPr>
          <w:sz w:val="23"/>
          <w:szCs w:val="23"/>
        </w:rPr>
        <w:t xml:space="preserve"> online survey </w:t>
      </w:r>
      <w:r w:rsidR="00AC7EFC">
        <w:rPr>
          <w:sz w:val="23"/>
          <w:szCs w:val="23"/>
        </w:rPr>
        <w:t xml:space="preserve">will be conducted </w:t>
      </w:r>
      <w:r w:rsidR="00683581" w:rsidRPr="00CC1ED8">
        <w:rPr>
          <w:sz w:val="23"/>
          <w:szCs w:val="23"/>
        </w:rPr>
        <w:t>with a national sample of 2000 mothers</w:t>
      </w:r>
      <w:r w:rsidR="00AC7EFC">
        <w:rPr>
          <w:sz w:val="23"/>
          <w:szCs w:val="23"/>
        </w:rPr>
        <w:t xml:space="preserve">. </w:t>
      </w:r>
      <w:r w:rsidR="00AC7EFC">
        <w:rPr>
          <w:rFonts w:cs="Arial"/>
          <w:sz w:val="23"/>
          <w:szCs w:val="23"/>
        </w:rPr>
        <w:t xml:space="preserve">Survey findings will be validated through </w:t>
      </w:r>
      <w:r w:rsidR="00AC7EFC">
        <w:rPr>
          <w:rFonts w:ascii="Calibri" w:hAnsi="Calibri"/>
          <w:sz w:val="23"/>
          <w:szCs w:val="23"/>
        </w:rPr>
        <w:t xml:space="preserve">sixteen </w:t>
      </w:r>
      <w:r w:rsidR="00AC7EFC" w:rsidRPr="00CC1ED8">
        <w:rPr>
          <w:rFonts w:ascii="Calibri" w:hAnsi="Calibri"/>
          <w:sz w:val="23"/>
          <w:szCs w:val="23"/>
        </w:rPr>
        <w:t>(16)</w:t>
      </w:r>
      <w:r w:rsidR="00AC7EFC">
        <w:rPr>
          <w:rFonts w:ascii="Calibri" w:hAnsi="Calibri"/>
          <w:sz w:val="23"/>
          <w:szCs w:val="23"/>
        </w:rPr>
        <w:t xml:space="preserve"> focus groups</w:t>
      </w:r>
      <w:r w:rsidR="0083609B">
        <w:rPr>
          <w:sz w:val="23"/>
          <w:szCs w:val="23"/>
        </w:rPr>
        <w:t>.</w:t>
      </w:r>
      <w:r w:rsidR="00581125">
        <w:rPr>
          <w:sz w:val="23"/>
          <w:szCs w:val="23"/>
        </w:rPr>
        <w:t xml:space="preserve"> </w:t>
      </w:r>
      <w:r w:rsidR="00581125">
        <w:rPr>
          <w:rFonts w:cs="Arial"/>
          <w:sz w:val="23"/>
          <w:szCs w:val="23"/>
        </w:rPr>
        <w:t>Focus groups will be segmented by type of location. Half will be conducted in mid-size cities and suburbs and half in small cities</w:t>
      </w:r>
      <w:r w:rsidR="00581125" w:rsidRPr="00BE6346">
        <w:rPr>
          <w:rFonts w:cs="Arial"/>
          <w:sz w:val="23"/>
          <w:szCs w:val="23"/>
        </w:rPr>
        <w:t>/town</w:t>
      </w:r>
      <w:r w:rsidR="00581125">
        <w:rPr>
          <w:rFonts w:cs="Arial"/>
          <w:sz w:val="23"/>
          <w:szCs w:val="23"/>
        </w:rPr>
        <w:t>s</w:t>
      </w:r>
      <w:r w:rsidR="00581125" w:rsidRPr="00BE6346">
        <w:rPr>
          <w:rFonts w:cs="Arial"/>
          <w:sz w:val="23"/>
          <w:szCs w:val="23"/>
        </w:rPr>
        <w:t xml:space="preserve"> and outlying areas</w:t>
      </w:r>
      <w:r w:rsidR="00581125">
        <w:rPr>
          <w:rFonts w:cs="Arial"/>
          <w:sz w:val="23"/>
          <w:szCs w:val="23"/>
        </w:rPr>
        <w:t xml:space="preserve">. They will be conducted </w:t>
      </w:r>
      <w:r w:rsidR="00581125" w:rsidRPr="00BE6346">
        <w:rPr>
          <w:rFonts w:cs="Arial"/>
          <w:sz w:val="23"/>
          <w:szCs w:val="23"/>
        </w:rPr>
        <w:t xml:space="preserve">in </w:t>
      </w:r>
      <w:r w:rsidR="00581125">
        <w:rPr>
          <w:rFonts w:cs="Arial"/>
          <w:sz w:val="23"/>
          <w:szCs w:val="23"/>
        </w:rPr>
        <w:t xml:space="preserve">two </w:t>
      </w:r>
      <w:r w:rsidR="00581125" w:rsidRPr="00BE6346">
        <w:rPr>
          <w:rFonts w:cs="Arial"/>
          <w:sz w:val="23"/>
          <w:szCs w:val="23"/>
        </w:rPr>
        <w:t xml:space="preserve">2 regions: Mid-Atlantic/Midwest and Southern regions. </w:t>
      </w:r>
      <w:r w:rsidR="00581125">
        <w:rPr>
          <w:rFonts w:cs="Arial"/>
          <w:sz w:val="23"/>
          <w:szCs w:val="23"/>
        </w:rPr>
        <w:t>Eight (</w:t>
      </w:r>
      <w:r w:rsidR="00581125" w:rsidRPr="00BE6346">
        <w:t>8</w:t>
      </w:r>
      <w:r w:rsidR="00581125">
        <w:t>)</w:t>
      </w:r>
      <w:r w:rsidR="00581125" w:rsidRPr="00BE6346">
        <w:t xml:space="preserve"> groups will be conducted in the Midwest/Mid-Atlantic</w:t>
      </w:r>
      <w:r w:rsidR="00581125">
        <w:t xml:space="preserve"> region</w:t>
      </w:r>
      <w:r w:rsidR="00581125" w:rsidRPr="00BE6346">
        <w:t xml:space="preserve"> and </w:t>
      </w:r>
      <w:r w:rsidR="00581125">
        <w:t>eight (</w:t>
      </w:r>
      <w:r w:rsidR="00581125" w:rsidRPr="00BE6346">
        <w:t>8</w:t>
      </w:r>
      <w:r w:rsidR="008A5CCA">
        <w:t xml:space="preserve">) </w:t>
      </w:r>
      <w:r w:rsidR="00581125" w:rsidRPr="00BE6346">
        <w:t>groups in the South</w:t>
      </w:r>
      <w:r w:rsidR="00581125">
        <w:t xml:space="preserve">ern region (with up to 4 locations per </w:t>
      </w:r>
      <w:r w:rsidR="00581125" w:rsidRPr="00BE6346">
        <w:t>region)</w:t>
      </w:r>
      <w:r w:rsidR="00581125" w:rsidRPr="00BE6346">
        <w:rPr>
          <w:rFonts w:cs="Arial"/>
          <w:sz w:val="23"/>
          <w:szCs w:val="23"/>
        </w:rPr>
        <w:t xml:space="preserve">. </w:t>
      </w:r>
    </w:p>
    <w:p w14:paraId="098BECEB" w14:textId="4BD12BEB" w:rsidR="00AC7EFC" w:rsidRDefault="00AC7EFC" w:rsidP="00AC7EFC">
      <w:pPr>
        <w:pStyle w:val="NoSpacing"/>
        <w:rPr>
          <w:sz w:val="23"/>
          <w:szCs w:val="23"/>
        </w:rPr>
      </w:pPr>
    </w:p>
    <w:p w14:paraId="1BFF13AB" w14:textId="77777777" w:rsidR="00516196" w:rsidRDefault="00516196" w:rsidP="00AC7EFC">
      <w:pPr>
        <w:pStyle w:val="NoSpacing"/>
        <w:rPr>
          <w:sz w:val="23"/>
          <w:szCs w:val="23"/>
        </w:rPr>
      </w:pPr>
    </w:p>
    <w:p w14:paraId="180D6529" w14:textId="77777777" w:rsidR="00581125" w:rsidRDefault="00683581" w:rsidP="00AC7EFC">
      <w:pPr>
        <w:pStyle w:val="NoSpacing"/>
        <w:rPr>
          <w:rFonts w:ascii="Calibri" w:hAnsi="Calibri"/>
          <w:sz w:val="23"/>
          <w:szCs w:val="23"/>
        </w:rPr>
      </w:pPr>
      <w:r w:rsidRPr="00CC1ED8">
        <w:rPr>
          <w:sz w:val="23"/>
          <w:szCs w:val="23"/>
        </w:rPr>
        <w:t>Mothers have been identified as a key audience for message testing because D</w:t>
      </w:r>
      <w:r w:rsidR="00401E5A" w:rsidRPr="00CC1ED8">
        <w:rPr>
          <w:rFonts w:ascii="Calibri" w:hAnsi="Calibri"/>
          <w:sz w:val="23"/>
          <w:szCs w:val="23"/>
        </w:rPr>
        <w:t xml:space="preserve">NPAO’s efforts ultimately seek to benefit </w:t>
      </w:r>
      <w:r w:rsidR="00B12424">
        <w:rPr>
          <w:rFonts w:ascii="Calibri" w:hAnsi="Calibri"/>
          <w:sz w:val="23"/>
          <w:szCs w:val="23"/>
        </w:rPr>
        <w:t xml:space="preserve">the public, and </w:t>
      </w:r>
      <w:r w:rsidRPr="00CC1ED8">
        <w:rPr>
          <w:rFonts w:ascii="Calibri" w:hAnsi="Calibri"/>
          <w:sz w:val="23"/>
          <w:szCs w:val="23"/>
        </w:rPr>
        <w:t>m</w:t>
      </w:r>
      <w:r w:rsidR="00401E5A" w:rsidRPr="00CC1ED8">
        <w:rPr>
          <w:rFonts w:ascii="Calibri" w:hAnsi="Calibri"/>
          <w:sz w:val="23"/>
          <w:szCs w:val="23"/>
        </w:rPr>
        <w:t>others are a segment of the public among the most likely to be in a position of influence in their families and communities. Testing m</w:t>
      </w:r>
      <w:r w:rsidR="004B6899" w:rsidRPr="00CC1ED8">
        <w:rPr>
          <w:rFonts w:ascii="Calibri" w:hAnsi="Calibri"/>
          <w:sz w:val="23"/>
          <w:szCs w:val="23"/>
        </w:rPr>
        <w:t>essages with this audience will</w:t>
      </w:r>
      <w:r w:rsidR="00401E5A" w:rsidRPr="00CC1ED8">
        <w:rPr>
          <w:rFonts w:ascii="Calibri" w:hAnsi="Calibri"/>
          <w:sz w:val="23"/>
          <w:szCs w:val="23"/>
        </w:rPr>
        <w:t xml:space="preserve"> provide valuable insight regarding how this audience understands and reacts to the messages. Specifically, </w:t>
      </w:r>
      <w:r w:rsidR="004B6899" w:rsidRPr="00CC1ED8">
        <w:rPr>
          <w:rFonts w:ascii="Calibri" w:hAnsi="Calibri"/>
          <w:sz w:val="23"/>
          <w:szCs w:val="23"/>
        </w:rPr>
        <w:t xml:space="preserve">messages </w:t>
      </w:r>
      <w:r w:rsidR="00401E5A" w:rsidRPr="00CC1ED8">
        <w:rPr>
          <w:rFonts w:ascii="Calibri" w:hAnsi="Calibri"/>
          <w:sz w:val="23"/>
          <w:szCs w:val="23"/>
        </w:rPr>
        <w:t xml:space="preserve">testing </w:t>
      </w:r>
      <w:r w:rsidR="004B6899" w:rsidRPr="00CC1ED8">
        <w:rPr>
          <w:rFonts w:ascii="Calibri" w:hAnsi="Calibri"/>
          <w:sz w:val="23"/>
          <w:szCs w:val="23"/>
        </w:rPr>
        <w:t xml:space="preserve">will be conducted </w:t>
      </w:r>
      <w:r w:rsidR="009907C3">
        <w:rPr>
          <w:rFonts w:ascii="Calibri" w:hAnsi="Calibri"/>
          <w:sz w:val="23"/>
          <w:szCs w:val="23"/>
        </w:rPr>
        <w:t>with mothers of children ages 1-8</w:t>
      </w:r>
      <w:r w:rsidR="00401E5A" w:rsidRPr="00CC1ED8">
        <w:rPr>
          <w:rFonts w:ascii="Calibri" w:hAnsi="Calibri"/>
          <w:sz w:val="23"/>
          <w:szCs w:val="23"/>
        </w:rPr>
        <w:t xml:space="preserve"> as this is a stage in which parents may be more likely to be able to influence obesity-related behaviors in their children</w:t>
      </w:r>
      <w:r w:rsidR="00777434" w:rsidRPr="00CC1ED8">
        <w:rPr>
          <w:rFonts w:ascii="Calibri" w:hAnsi="Calibri"/>
          <w:sz w:val="23"/>
          <w:szCs w:val="23"/>
        </w:rPr>
        <w:t xml:space="preserve">. </w:t>
      </w:r>
    </w:p>
    <w:p w14:paraId="178B8BAC" w14:textId="77777777" w:rsidR="00581125" w:rsidRDefault="00581125" w:rsidP="00AC7EFC">
      <w:pPr>
        <w:pStyle w:val="NoSpacing"/>
        <w:rPr>
          <w:rFonts w:ascii="Calibri" w:hAnsi="Calibri"/>
          <w:sz w:val="23"/>
          <w:szCs w:val="23"/>
        </w:rPr>
      </w:pPr>
    </w:p>
    <w:p w14:paraId="3A3B18BE" w14:textId="18753DB8" w:rsidR="00F83E67" w:rsidRDefault="00581125" w:rsidP="00AC7EFC">
      <w:pPr>
        <w:pStyle w:val="NoSpacing"/>
        <w:rPr>
          <w:rFonts w:ascii="Calibri" w:hAnsi="Calibri"/>
          <w:sz w:val="23"/>
          <w:szCs w:val="23"/>
        </w:rPr>
      </w:pPr>
      <w:r>
        <w:rPr>
          <w:rFonts w:ascii="Calibri" w:hAnsi="Calibri"/>
          <w:sz w:val="23"/>
          <w:szCs w:val="23"/>
        </w:rPr>
        <w:t xml:space="preserve">The online survey and focus groups will be segmented by maternal BMI status. </w:t>
      </w:r>
      <w:r w:rsidR="00777434" w:rsidRPr="00CC1ED8">
        <w:rPr>
          <w:rFonts w:ascii="Calibri" w:hAnsi="Calibri"/>
          <w:sz w:val="23"/>
          <w:szCs w:val="23"/>
        </w:rPr>
        <w:t xml:space="preserve">Research suggests that having </w:t>
      </w:r>
      <w:r w:rsidR="0055479C" w:rsidRPr="00CC1ED8">
        <w:rPr>
          <w:rFonts w:ascii="Calibri" w:hAnsi="Calibri"/>
          <w:sz w:val="23"/>
          <w:szCs w:val="23"/>
        </w:rPr>
        <w:t xml:space="preserve">parents </w:t>
      </w:r>
      <w:r w:rsidR="0055479C">
        <w:rPr>
          <w:rFonts w:ascii="Calibri" w:hAnsi="Calibri"/>
          <w:sz w:val="23"/>
          <w:szCs w:val="23"/>
        </w:rPr>
        <w:t xml:space="preserve">who are </w:t>
      </w:r>
      <w:r w:rsidR="00777434" w:rsidRPr="00CC1ED8">
        <w:rPr>
          <w:rFonts w:ascii="Calibri" w:hAnsi="Calibri"/>
          <w:sz w:val="23"/>
          <w:szCs w:val="23"/>
        </w:rPr>
        <w:t>overweight</w:t>
      </w:r>
      <w:r w:rsidR="0055479C">
        <w:rPr>
          <w:rFonts w:ascii="Calibri" w:hAnsi="Calibri"/>
          <w:sz w:val="23"/>
          <w:szCs w:val="23"/>
        </w:rPr>
        <w:t xml:space="preserve"> or have obesity</w:t>
      </w:r>
      <w:r w:rsidR="00777434" w:rsidRPr="00CC1ED8">
        <w:rPr>
          <w:rFonts w:ascii="Calibri" w:hAnsi="Calibri"/>
          <w:sz w:val="23"/>
          <w:szCs w:val="23"/>
        </w:rPr>
        <w:t xml:space="preserve"> is associated with greater risk of child obesity—and that the association is stronger for maternal weight compared to paternal weight.</w:t>
      </w:r>
      <w:r w:rsidR="00FA2109" w:rsidRPr="00CC1ED8">
        <w:rPr>
          <w:rStyle w:val="FootnoteReference"/>
          <w:rFonts w:ascii="Calibri" w:hAnsi="Calibri"/>
          <w:sz w:val="23"/>
          <w:szCs w:val="23"/>
        </w:rPr>
        <w:footnoteReference w:id="1"/>
      </w:r>
      <w:r w:rsidR="00777434" w:rsidRPr="00CC1ED8">
        <w:rPr>
          <w:rFonts w:ascii="Calibri" w:hAnsi="Calibri"/>
          <w:sz w:val="23"/>
          <w:szCs w:val="23"/>
        </w:rPr>
        <w:t xml:space="preserve"> Therefore, segmenting based on maternal weight—specifically</w:t>
      </w:r>
      <w:r w:rsidR="00CE3C57">
        <w:rPr>
          <w:rFonts w:ascii="Calibri" w:hAnsi="Calibri"/>
          <w:sz w:val="23"/>
          <w:szCs w:val="23"/>
        </w:rPr>
        <w:t xml:space="preserve"> </w:t>
      </w:r>
      <w:r w:rsidR="00777434" w:rsidRPr="00CC1ED8">
        <w:rPr>
          <w:rFonts w:ascii="Calibri" w:hAnsi="Calibri"/>
          <w:sz w:val="23"/>
          <w:szCs w:val="23"/>
        </w:rPr>
        <w:t>overweight</w:t>
      </w:r>
      <w:r w:rsidR="00CE3C57">
        <w:rPr>
          <w:rFonts w:ascii="Calibri" w:hAnsi="Calibri"/>
          <w:sz w:val="23"/>
          <w:szCs w:val="23"/>
        </w:rPr>
        <w:t>/obes</w:t>
      </w:r>
      <w:r w:rsidR="0055479C">
        <w:rPr>
          <w:rFonts w:ascii="Calibri" w:hAnsi="Calibri"/>
          <w:sz w:val="23"/>
          <w:szCs w:val="23"/>
        </w:rPr>
        <w:t>ity in mothers</w:t>
      </w:r>
      <w:r w:rsidR="00CE3C57">
        <w:rPr>
          <w:rFonts w:ascii="Calibri" w:hAnsi="Calibri"/>
          <w:sz w:val="23"/>
          <w:szCs w:val="23"/>
        </w:rPr>
        <w:t xml:space="preserve"> </w:t>
      </w:r>
      <w:r w:rsidR="00777434" w:rsidRPr="00CC1ED8">
        <w:rPr>
          <w:rFonts w:ascii="Calibri" w:hAnsi="Calibri"/>
          <w:sz w:val="23"/>
          <w:szCs w:val="23"/>
        </w:rPr>
        <w:t>versus healthy weight—will allow for exploring the potential similarities and differences in reactions to obesity messages between these groups and whether distinct messages may be needed to influence intended attitudes and</w:t>
      </w:r>
      <w:r w:rsidR="00EF29E1" w:rsidRPr="00CC1ED8">
        <w:rPr>
          <w:rFonts w:ascii="Calibri" w:hAnsi="Calibri"/>
          <w:sz w:val="23"/>
          <w:szCs w:val="23"/>
        </w:rPr>
        <w:t xml:space="preserve"> behaviors.</w:t>
      </w:r>
    </w:p>
    <w:p w14:paraId="029478EE" w14:textId="52334C4B" w:rsidR="0083609B" w:rsidRDefault="0083609B" w:rsidP="00AC7EFC">
      <w:pPr>
        <w:pStyle w:val="NoSpacing"/>
        <w:rPr>
          <w:rFonts w:ascii="Calibri" w:hAnsi="Calibri"/>
          <w:sz w:val="23"/>
          <w:szCs w:val="23"/>
        </w:rPr>
      </w:pPr>
    </w:p>
    <w:p w14:paraId="2B950DF0" w14:textId="77777777" w:rsidR="007356A6" w:rsidRDefault="007356A6" w:rsidP="009E573B">
      <w:pPr>
        <w:pStyle w:val="NoSpacing"/>
        <w:rPr>
          <w:rFonts w:cs="Arial"/>
          <w:sz w:val="23"/>
          <w:szCs w:val="23"/>
        </w:rPr>
      </w:pPr>
    </w:p>
    <w:p w14:paraId="0121725A" w14:textId="77777777" w:rsidR="009E573B" w:rsidRPr="00C268CC" w:rsidRDefault="009E573B" w:rsidP="009E573B">
      <w:pPr>
        <w:pStyle w:val="NoSpacing"/>
        <w:rPr>
          <w:rFonts w:cs="Arial"/>
          <w:b/>
          <w:sz w:val="28"/>
          <w:szCs w:val="28"/>
          <w:u w:val="single"/>
        </w:rPr>
      </w:pPr>
      <w:r w:rsidRPr="00C268CC">
        <w:rPr>
          <w:rFonts w:cs="Arial"/>
          <w:b/>
          <w:sz w:val="28"/>
          <w:szCs w:val="28"/>
          <w:u w:val="single"/>
        </w:rPr>
        <w:t>Modes for Testing</w:t>
      </w:r>
    </w:p>
    <w:p w14:paraId="7B2C8A95" w14:textId="3616420D" w:rsidR="009E573B" w:rsidRPr="00CC1ED8" w:rsidRDefault="009E573B" w:rsidP="009E573B">
      <w:pPr>
        <w:pStyle w:val="NoSpacing"/>
        <w:rPr>
          <w:rFonts w:cs="Arial"/>
          <w:sz w:val="23"/>
          <w:szCs w:val="23"/>
        </w:rPr>
      </w:pPr>
    </w:p>
    <w:p w14:paraId="0EF0BDF3" w14:textId="2A8E85C4" w:rsidR="00334571" w:rsidRPr="00CC1ED8" w:rsidRDefault="00CC2EF3" w:rsidP="009E573B">
      <w:pPr>
        <w:pStyle w:val="NoSpacing"/>
        <w:rPr>
          <w:rFonts w:ascii="Calibri" w:hAnsi="Calibri"/>
          <w:sz w:val="23"/>
          <w:szCs w:val="23"/>
        </w:rPr>
      </w:pPr>
      <w:r w:rsidRPr="00CC1ED8">
        <w:rPr>
          <w:rFonts w:ascii="Calibri" w:hAnsi="Calibri"/>
          <w:sz w:val="23"/>
          <w:szCs w:val="23"/>
        </w:rPr>
        <w:t xml:space="preserve">DNPAO is proposing data collection using </w:t>
      </w:r>
      <w:r w:rsidR="00686804">
        <w:rPr>
          <w:rFonts w:ascii="Calibri" w:hAnsi="Calibri"/>
          <w:sz w:val="23"/>
          <w:szCs w:val="23"/>
        </w:rPr>
        <w:t>two</w:t>
      </w:r>
      <w:r w:rsidR="00AC7EFC">
        <w:rPr>
          <w:rFonts w:ascii="Calibri" w:hAnsi="Calibri"/>
          <w:sz w:val="23"/>
          <w:szCs w:val="23"/>
        </w:rPr>
        <w:t xml:space="preserve"> </w:t>
      </w:r>
      <w:r w:rsidRPr="00CC1ED8">
        <w:rPr>
          <w:rFonts w:ascii="Calibri" w:hAnsi="Calibri"/>
          <w:sz w:val="23"/>
          <w:szCs w:val="23"/>
        </w:rPr>
        <w:t>modes</w:t>
      </w:r>
      <w:r w:rsidR="006B37B3" w:rsidRPr="00CC1ED8">
        <w:rPr>
          <w:rFonts w:ascii="Calibri" w:hAnsi="Calibri"/>
          <w:sz w:val="23"/>
          <w:szCs w:val="23"/>
        </w:rPr>
        <w:t xml:space="preserve">: </w:t>
      </w:r>
      <w:r w:rsidR="00AC7EFC">
        <w:rPr>
          <w:rFonts w:ascii="Calibri" w:hAnsi="Calibri"/>
          <w:sz w:val="23"/>
          <w:szCs w:val="23"/>
        </w:rPr>
        <w:t xml:space="preserve">an online survey and </w:t>
      </w:r>
      <w:r w:rsidR="006B37B3" w:rsidRPr="00CC1ED8">
        <w:rPr>
          <w:rFonts w:ascii="Calibri" w:hAnsi="Calibri"/>
          <w:sz w:val="23"/>
          <w:szCs w:val="23"/>
        </w:rPr>
        <w:t>focus groups</w:t>
      </w:r>
      <w:r w:rsidR="00AC7EFC">
        <w:rPr>
          <w:rFonts w:ascii="Calibri" w:hAnsi="Calibri"/>
          <w:sz w:val="23"/>
          <w:szCs w:val="23"/>
        </w:rPr>
        <w:t>.</w:t>
      </w:r>
    </w:p>
    <w:p w14:paraId="39D5061D" w14:textId="3C586984" w:rsidR="00A5279B" w:rsidRPr="00CC1ED8" w:rsidRDefault="00A5279B" w:rsidP="009E573B">
      <w:pPr>
        <w:pStyle w:val="NoSpacing"/>
        <w:rPr>
          <w:rFonts w:ascii="Calibri" w:hAnsi="Calibri"/>
          <w:sz w:val="23"/>
          <w:szCs w:val="23"/>
        </w:rPr>
      </w:pPr>
    </w:p>
    <w:p w14:paraId="6C61DA83" w14:textId="35CC7A03" w:rsidR="00AC7EFC" w:rsidRPr="00CC1ED8" w:rsidRDefault="00AC7EFC" w:rsidP="00AC7EFC">
      <w:pPr>
        <w:pStyle w:val="NoSpacing"/>
        <w:rPr>
          <w:rFonts w:ascii="Calibri" w:hAnsi="Calibri"/>
          <w:sz w:val="23"/>
          <w:szCs w:val="23"/>
        </w:rPr>
      </w:pPr>
      <w:r w:rsidRPr="00CC1ED8">
        <w:rPr>
          <w:rFonts w:ascii="Calibri" w:hAnsi="Calibri"/>
          <w:sz w:val="23"/>
          <w:szCs w:val="23"/>
        </w:rPr>
        <w:t xml:space="preserve">The online survey will be conducted remotely through an online survey platform. Standard procedures will be used by the online survey company to contact likely eligible online panel participants to confirm they meet the study criteria. Potentially eligible participants will </w:t>
      </w:r>
      <w:r>
        <w:rPr>
          <w:rFonts w:ascii="Calibri" w:hAnsi="Calibri"/>
          <w:sz w:val="23"/>
          <w:szCs w:val="23"/>
        </w:rPr>
        <w:t xml:space="preserve">complete </w:t>
      </w:r>
      <w:r w:rsidRPr="00CC1ED8">
        <w:rPr>
          <w:rFonts w:ascii="Calibri" w:hAnsi="Calibri"/>
          <w:sz w:val="23"/>
          <w:szCs w:val="23"/>
        </w:rPr>
        <w:t>an online screening questionnaire to confirm their eligibility prior to taking the survey. Once confirme</w:t>
      </w:r>
      <w:r w:rsidR="001637A5">
        <w:rPr>
          <w:rFonts w:ascii="Calibri" w:hAnsi="Calibri"/>
          <w:sz w:val="23"/>
          <w:szCs w:val="23"/>
        </w:rPr>
        <w:t>d, participants will continue</w:t>
      </w:r>
      <w:r w:rsidRPr="00CC1ED8">
        <w:rPr>
          <w:rFonts w:ascii="Calibri" w:hAnsi="Calibri"/>
          <w:sz w:val="23"/>
          <w:szCs w:val="23"/>
        </w:rPr>
        <w:t xml:space="preserve"> to the survey questions. Before taking the survey, the first screen will include consent language. Proceeding to take the survey will be </w:t>
      </w:r>
      <w:r w:rsidRPr="00581125">
        <w:rPr>
          <w:rFonts w:ascii="Calibri" w:hAnsi="Calibri"/>
          <w:sz w:val="23"/>
          <w:szCs w:val="23"/>
        </w:rPr>
        <w:t xml:space="preserve">confirmation that they have read the consent language and agree to participate. See </w:t>
      </w:r>
      <w:r w:rsidR="00581125" w:rsidRPr="00581125">
        <w:rPr>
          <w:rFonts w:ascii="Calibri" w:hAnsi="Calibri"/>
          <w:b/>
          <w:sz w:val="23"/>
          <w:szCs w:val="23"/>
        </w:rPr>
        <w:t>Appendix B</w:t>
      </w:r>
      <w:r w:rsidRPr="00581125">
        <w:rPr>
          <w:rFonts w:ascii="Calibri" w:hAnsi="Calibri"/>
          <w:sz w:val="23"/>
          <w:szCs w:val="23"/>
        </w:rPr>
        <w:t xml:space="preserve"> for instruments</w:t>
      </w:r>
      <w:r w:rsidRPr="00CC1ED8">
        <w:rPr>
          <w:rFonts w:ascii="Calibri" w:hAnsi="Calibri"/>
          <w:sz w:val="23"/>
          <w:szCs w:val="23"/>
        </w:rPr>
        <w:t xml:space="preserve"> and other documentation for the online survey— including the eligibility screener, online survey, and screenshots of how the survey and messages will be viewed online by participants.</w:t>
      </w:r>
    </w:p>
    <w:p w14:paraId="54FF9772" w14:textId="0108B53A" w:rsidR="00AC7EFC" w:rsidRDefault="00AC7EFC" w:rsidP="00CC1ED8">
      <w:pPr>
        <w:spacing w:after="0" w:line="240" w:lineRule="auto"/>
        <w:rPr>
          <w:rFonts w:eastAsiaTheme="minorHAnsi"/>
          <w:color w:val="000000"/>
          <w:sz w:val="23"/>
          <w:szCs w:val="23"/>
        </w:rPr>
      </w:pPr>
    </w:p>
    <w:p w14:paraId="42F8D521" w14:textId="61FEA509" w:rsidR="00AD707B" w:rsidRDefault="00A5279B" w:rsidP="00CC1ED8">
      <w:pPr>
        <w:spacing w:after="0" w:line="240" w:lineRule="auto"/>
        <w:rPr>
          <w:rFonts w:eastAsiaTheme="minorHAnsi"/>
          <w:sz w:val="23"/>
          <w:szCs w:val="23"/>
        </w:rPr>
      </w:pPr>
      <w:r w:rsidRPr="00CC1ED8">
        <w:rPr>
          <w:rFonts w:eastAsiaTheme="minorHAnsi"/>
          <w:color w:val="000000"/>
          <w:sz w:val="23"/>
          <w:szCs w:val="23"/>
        </w:rPr>
        <w:t>The focus groups with mothers will be completed in-person at a professional research facility</w:t>
      </w:r>
      <w:r w:rsidR="00826888" w:rsidRPr="00CC1ED8">
        <w:rPr>
          <w:rFonts w:eastAsiaTheme="minorHAnsi"/>
          <w:color w:val="000000"/>
          <w:sz w:val="23"/>
          <w:szCs w:val="23"/>
        </w:rPr>
        <w:t xml:space="preserve">. Before being scheduled for the focus groups, participants will be screened by the research facility </w:t>
      </w:r>
      <w:r w:rsidR="00BF6007" w:rsidRPr="00CC1ED8">
        <w:rPr>
          <w:rFonts w:eastAsiaTheme="minorHAnsi"/>
          <w:color w:val="000000"/>
          <w:sz w:val="23"/>
          <w:szCs w:val="23"/>
        </w:rPr>
        <w:t>recruiters for eligibility.</w:t>
      </w:r>
      <w:r w:rsidR="00AC7EFC">
        <w:rPr>
          <w:rFonts w:eastAsiaTheme="minorHAnsi"/>
          <w:color w:val="000000"/>
          <w:sz w:val="23"/>
          <w:szCs w:val="23"/>
        </w:rPr>
        <w:t xml:space="preserve"> </w:t>
      </w:r>
      <w:r w:rsidR="00AC7EFC" w:rsidRPr="00CC1ED8">
        <w:rPr>
          <w:rFonts w:ascii="Calibri" w:hAnsi="Calibri"/>
          <w:sz w:val="23"/>
          <w:szCs w:val="23"/>
        </w:rPr>
        <w:t xml:space="preserve">The </w:t>
      </w:r>
      <w:r w:rsidR="00AC7EFC">
        <w:rPr>
          <w:rFonts w:ascii="Calibri" w:hAnsi="Calibri"/>
          <w:sz w:val="23"/>
          <w:szCs w:val="23"/>
        </w:rPr>
        <w:t xml:space="preserve">focus groups </w:t>
      </w:r>
      <w:r w:rsidR="00AC7EFC" w:rsidRPr="00CC1ED8">
        <w:rPr>
          <w:rFonts w:ascii="Calibri" w:hAnsi="Calibri"/>
          <w:sz w:val="23"/>
          <w:szCs w:val="23"/>
        </w:rPr>
        <w:t xml:space="preserve">will be conducted with </w:t>
      </w:r>
      <w:r w:rsidR="00AC7EFC">
        <w:rPr>
          <w:rFonts w:ascii="Calibri" w:hAnsi="Calibri"/>
          <w:sz w:val="23"/>
          <w:szCs w:val="23"/>
        </w:rPr>
        <w:t xml:space="preserve">a sample of </w:t>
      </w:r>
      <w:r w:rsidR="00581125">
        <w:rPr>
          <w:rFonts w:ascii="Calibri" w:hAnsi="Calibri"/>
          <w:sz w:val="23"/>
          <w:szCs w:val="23"/>
        </w:rPr>
        <w:t>mothers of children ages 1-8</w:t>
      </w:r>
      <w:r w:rsidR="00AC7EFC" w:rsidRPr="00CC1ED8">
        <w:rPr>
          <w:rFonts w:ascii="Calibri" w:hAnsi="Calibri"/>
          <w:sz w:val="23"/>
          <w:szCs w:val="23"/>
        </w:rPr>
        <w:t xml:space="preserve">. </w:t>
      </w:r>
      <w:r w:rsidR="00BF6007" w:rsidRPr="00CC1ED8">
        <w:rPr>
          <w:rFonts w:eastAsiaTheme="minorHAnsi"/>
          <w:color w:val="000000"/>
          <w:sz w:val="23"/>
          <w:szCs w:val="23"/>
        </w:rPr>
        <w:t xml:space="preserve"> </w:t>
      </w:r>
      <w:r w:rsidR="00826888" w:rsidRPr="00CC1ED8">
        <w:rPr>
          <w:rFonts w:eastAsiaTheme="minorHAnsi"/>
          <w:color w:val="000000"/>
          <w:sz w:val="23"/>
          <w:szCs w:val="23"/>
        </w:rPr>
        <w:t xml:space="preserve">During the focus group, individual messages will be presented on separate sheets of paper to the </w:t>
      </w:r>
      <w:r w:rsidR="00BF6007" w:rsidRPr="00CC1ED8">
        <w:rPr>
          <w:rFonts w:eastAsiaTheme="minorHAnsi"/>
          <w:color w:val="000000"/>
          <w:sz w:val="23"/>
          <w:szCs w:val="23"/>
        </w:rPr>
        <w:t xml:space="preserve">participants. </w:t>
      </w:r>
      <w:r w:rsidR="00826888" w:rsidRPr="00CC1ED8">
        <w:rPr>
          <w:rFonts w:eastAsiaTheme="minorHAnsi"/>
          <w:color w:val="000000"/>
          <w:sz w:val="23"/>
          <w:szCs w:val="23"/>
        </w:rPr>
        <w:t xml:space="preserve">A </w:t>
      </w:r>
      <w:r w:rsidR="007E1712" w:rsidRPr="00CC1ED8">
        <w:rPr>
          <w:rFonts w:eastAsiaTheme="minorHAnsi"/>
          <w:color w:val="000000"/>
          <w:sz w:val="23"/>
          <w:szCs w:val="23"/>
        </w:rPr>
        <w:t>m</w:t>
      </w:r>
      <w:r w:rsidR="00826888" w:rsidRPr="00CC1ED8">
        <w:rPr>
          <w:rFonts w:eastAsiaTheme="minorHAnsi"/>
          <w:color w:val="000000"/>
          <w:sz w:val="23"/>
          <w:szCs w:val="23"/>
        </w:rPr>
        <w:t>oderator</w:t>
      </w:r>
      <w:r w:rsidR="009B498C">
        <w:rPr>
          <w:rFonts w:eastAsiaTheme="minorHAnsi"/>
          <w:color w:val="000000"/>
          <w:sz w:val="23"/>
          <w:szCs w:val="23"/>
        </w:rPr>
        <w:t>’s</w:t>
      </w:r>
      <w:r w:rsidR="00826888" w:rsidRPr="00CC1ED8">
        <w:rPr>
          <w:rFonts w:eastAsiaTheme="minorHAnsi"/>
          <w:color w:val="000000"/>
          <w:sz w:val="23"/>
          <w:szCs w:val="23"/>
        </w:rPr>
        <w:t xml:space="preserve"> guide will be used to facilitate the focus groups with mothers</w:t>
      </w:r>
      <w:r w:rsidR="007E1712" w:rsidRPr="00CC1ED8">
        <w:rPr>
          <w:rFonts w:eastAsiaTheme="minorHAnsi"/>
          <w:color w:val="000000"/>
          <w:sz w:val="23"/>
          <w:szCs w:val="23"/>
        </w:rPr>
        <w:t>. Participants will review and sign a consent form prio</w:t>
      </w:r>
      <w:r w:rsidR="00BF6007" w:rsidRPr="00CC1ED8">
        <w:rPr>
          <w:rFonts w:eastAsiaTheme="minorHAnsi"/>
          <w:color w:val="000000"/>
          <w:sz w:val="23"/>
          <w:szCs w:val="23"/>
        </w:rPr>
        <w:t xml:space="preserve">r to beginning the focus </w:t>
      </w:r>
      <w:r w:rsidR="00BF6007" w:rsidRPr="00581125">
        <w:rPr>
          <w:rFonts w:eastAsiaTheme="minorHAnsi"/>
          <w:color w:val="000000"/>
          <w:sz w:val="23"/>
          <w:szCs w:val="23"/>
        </w:rPr>
        <w:t xml:space="preserve">groups. See </w:t>
      </w:r>
      <w:r w:rsidR="00581125" w:rsidRPr="00581125">
        <w:rPr>
          <w:rFonts w:eastAsiaTheme="minorHAnsi"/>
          <w:b/>
          <w:color w:val="000000"/>
          <w:sz w:val="23"/>
          <w:szCs w:val="23"/>
        </w:rPr>
        <w:t>Appendix C</w:t>
      </w:r>
      <w:r w:rsidR="00BF6007" w:rsidRPr="00581125">
        <w:rPr>
          <w:rFonts w:eastAsiaTheme="minorHAnsi"/>
          <w:color w:val="000000"/>
          <w:sz w:val="23"/>
          <w:szCs w:val="23"/>
        </w:rPr>
        <w:t xml:space="preserve"> for instruments and</w:t>
      </w:r>
      <w:r w:rsidR="00BF6007" w:rsidRPr="00CC1ED8">
        <w:rPr>
          <w:rFonts w:eastAsiaTheme="minorHAnsi"/>
          <w:color w:val="000000"/>
          <w:sz w:val="23"/>
          <w:szCs w:val="23"/>
        </w:rPr>
        <w:t xml:space="preserve"> other documentation for the focus groups with mothers</w:t>
      </w:r>
      <w:r w:rsidR="00264CA3" w:rsidRPr="00CC1ED8">
        <w:rPr>
          <w:rFonts w:eastAsiaTheme="minorHAnsi"/>
          <w:color w:val="000000"/>
          <w:sz w:val="23"/>
          <w:szCs w:val="23"/>
        </w:rPr>
        <w:t>— including the screener, moderator’s guide, consent form, and individual sheet</w:t>
      </w:r>
      <w:r w:rsidR="00581125">
        <w:rPr>
          <w:rFonts w:eastAsiaTheme="minorHAnsi"/>
          <w:color w:val="000000"/>
          <w:sz w:val="23"/>
          <w:szCs w:val="23"/>
        </w:rPr>
        <w:t>s</w:t>
      </w:r>
      <w:r w:rsidR="00264CA3" w:rsidRPr="00CC1ED8">
        <w:rPr>
          <w:rFonts w:eastAsiaTheme="minorHAnsi"/>
          <w:color w:val="000000"/>
          <w:sz w:val="23"/>
          <w:szCs w:val="23"/>
        </w:rPr>
        <w:t xml:space="preserve"> with the messages to be tested</w:t>
      </w:r>
      <w:r w:rsidR="00BF6007" w:rsidRPr="00CC1ED8">
        <w:rPr>
          <w:rFonts w:eastAsiaTheme="minorHAnsi"/>
          <w:sz w:val="23"/>
          <w:szCs w:val="23"/>
        </w:rPr>
        <w:t>.</w:t>
      </w:r>
    </w:p>
    <w:p w14:paraId="1B4E7790" w14:textId="77777777" w:rsidR="00AC7EFC" w:rsidRDefault="00AC7EFC" w:rsidP="006077D5">
      <w:pPr>
        <w:spacing w:after="160" w:line="259" w:lineRule="auto"/>
        <w:rPr>
          <w:rFonts w:cs="Arial"/>
        </w:rPr>
      </w:pPr>
    </w:p>
    <w:p w14:paraId="434A17B4" w14:textId="0069166E" w:rsidR="009E573B" w:rsidRPr="00C268CC" w:rsidRDefault="009E573B" w:rsidP="009E573B">
      <w:pPr>
        <w:pStyle w:val="NoSpacing"/>
        <w:rPr>
          <w:rFonts w:cs="Arial"/>
          <w:b/>
          <w:sz w:val="28"/>
          <w:szCs w:val="28"/>
          <w:u w:val="single"/>
        </w:rPr>
      </w:pPr>
      <w:r w:rsidRPr="00C268CC">
        <w:rPr>
          <w:rFonts w:cs="Arial"/>
          <w:b/>
          <w:sz w:val="28"/>
          <w:szCs w:val="28"/>
          <w:u w:val="single"/>
        </w:rPr>
        <w:t xml:space="preserve">Overview of </w:t>
      </w:r>
      <w:r w:rsidR="00AA1780" w:rsidRPr="00C268CC">
        <w:rPr>
          <w:rFonts w:cs="Arial"/>
          <w:b/>
          <w:sz w:val="28"/>
          <w:szCs w:val="28"/>
          <w:u w:val="single"/>
        </w:rPr>
        <w:t>Data Collection</w:t>
      </w:r>
    </w:p>
    <w:p w14:paraId="0C7C2072" w14:textId="31AB8A9E" w:rsidR="009E573B" w:rsidRDefault="009E573B" w:rsidP="009E573B">
      <w:pPr>
        <w:pStyle w:val="NoSpacing"/>
        <w:rPr>
          <w:rFonts w:cs="Arial"/>
        </w:rPr>
      </w:pPr>
    </w:p>
    <w:tbl>
      <w:tblPr>
        <w:tblStyle w:val="TableGrid"/>
        <w:tblW w:w="10351" w:type="dxa"/>
        <w:tblLook w:val="04A0" w:firstRow="1" w:lastRow="0" w:firstColumn="1" w:lastColumn="0" w:noHBand="0" w:noVBand="1"/>
      </w:tblPr>
      <w:tblGrid>
        <w:gridCol w:w="1087"/>
        <w:gridCol w:w="1449"/>
        <w:gridCol w:w="2400"/>
        <w:gridCol w:w="1137"/>
        <w:gridCol w:w="1138"/>
        <w:gridCol w:w="1154"/>
        <w:gridCol w:w="928"/>
        <w:gridCol w:w="1058"/>
      </w:tblGrid>
      <w:tr w:rsidR="00756E79" w:rsidRPr="00F62840" w14:paraId="315977DE" w14:textId="77777777" w:rsidTr="00756E79">
        <w:trPr>
          <w:trHeight w:val="1520"/>
        </w:trPr>
        <w:tc>
          <w:tcPr>
            <w:tcW w:w="1087" w:type="dxa"/>
            <w:vMerge w:val="restart"/>
            <w:shd w:val="clear" w:color="auto" w:fill="BDD6EE" w:themeFill="accent1" w:themeFillTint="66"/>
            <w:vAlign w:val="center"/>
          </w:tcPr>
          <w:p w14:paraId="721BA147" w14:textId="77777777" w:rsidR="00756E79" w:rsidRPr="00A1656A" w:rsidRDefault="00756E79" w:rsidP="00FD33F2">
            <w:pPr>
              <w:keepNext/>
              <w:keepLines/>
              <w:rPr>
                <w:b/>
              </w:rPr>
            </w:pPr>
            <w:r w:rsidRPr="00A1656A">
              <w:rPr>
                <w:b/>
              </w:rPr>
              <w:t>Audience</w:t>
            </w:r>
          </w:p>
        </w:tc>
        <w:tc>
          <w:tcPr>
            <w:tcW w:w="1449" w:type="dxa"/>
            <w:vMerge w:val="restart"/>
            <w:shd w:val="clear" w:color="auto" w:fill="BDD6EE" w:themeFill="accent1" w:themeFillTint="66"/>
            <w:vAlign w:val="center"/>
          </w:tcPr>
          <w:p w14:paraId="29070486" w14:textId="77777777" w:rsidR="00756E79" w:rsidRPr="00A1656A" w:rsidRDefault="00756E79" w:rsidP="00E70FB1">
            <w:pPr>
              <w:pStyle w:val="NoSpacing"/>
              <w:jc w:val="center"/>
              <w:rPr>
                <w:b/>
              </w:rPr>
            </w:pPr>
            <w:r w:rsidRPr="00A1656A">
              <w:rPr>
                <w:b/>
              </w:rPr>
              <w:t>Data Collection Methodology</w:t>
            </w:r>
          </w:p>
        </w:tc>
        <w:tc>
          <w:tcPr>
            <w:tcW w:w="2400" w:type="dxa"/>
            <w:vMerge w:val="restart"/>
            <w:shd w:val="clear" w:color="auto" w:fill="BDD6EE" w:themeFill="accent1" w:themeFillTint="66"/>
            <w:vAlign w:val="center"/>
          </w:tcPr>
          <w:p w14:paraId="29E90D81" w14:textId="77777777" w:rsidR="00756E79" w:rsidRPr="00A1656A" w:rsidRDefault="00756E79" w:rsidP="00746C38">
            <w:pPr>
              <w:pStyle w:val="NoSpacing"/>
              <w:jc w:val="center"/>
              <w:rPr>
                <w:b/>
              </w:rPr>
            </w:pPr>
            <w:r w:rsidRPr="00A1656A">
              <w:rPr>
                <w:b/>
              </w:rPr>
              <w:t xml:space="preserve">Participants </w:t>
            </w:r>
          </w:p>
          <w:p w14:paraId="0D455988" w14:textId="5DEF14C8" w:rsidR="00756E79" w:rsidRPr="00A1656A" w:rsidRDefault="00756E79" w:rsidP="00746C38">
            <w:pPr>
              <w:pStyle w:val="NoSpacing"/>
              <w:jc w:val="center"/>
              <w:rPr>
                <w:b/>
              </w:rPr>
            </w:pPr>
          </w:p>
        </w:tc>
        <w:tc>
          <w:tcPr>
            <w:tcW w:w="4357" w:type="dxa"/>
            <w:gridSpan w:val="4"/>
            <w:shd w:val="clear" w:color="auto" w:fill="BDD6EE" w:themeFill="accent1" w:themeFillTint="66"/>
            <w:vAlign w:val="center"/>
          </w:tcPr>
          <w:p w14:paraId="38886982" w14:textId="77777777" w:rsidR="00756E79" w:rsidRPr="00A1656A" w:rsidRDefault="00756E79" w:rsidP="00E70FB1">
            <w:pPr>
              <w:pStyle w:val="NoSpacing"/>
              <w:jc w:val="center"/>
              <w:rPr>
                <w:b/>
              </w:rPr>
            </w:pPr>
            <w:r w:rsidRPr="00A1656A">
              <w:rPr>
                <w:b/>
              </w:rPr>
              <w:t>Type of Location</w:t>
            </w:r>
          </w:p>
        </w:tc>
        <w:tc>
          <w:tcPr>
            <w:tcW w:w="1058" w:type="dxa"/>
            <w:vMerge w:val="restart"/>
            <w:shd w:val="clear" w:color="auto" w:fill="BDD6EE" w:themeFill="accent1" w:themeFillTint="66"/>
            <w:vAlign w:val="center"/>
          </w:tcPr>
          <w:p w14:paraId="2B203FF3" w14:textId="77777777" w:rsidR="00756E79" w:rsidRPr="00A1656A" w:rsidRDefault="00756E79" w:rsidP="00E70FB1">
            <w:pPr>
              <w:pStyle w:val="NoSpacing"/>
              <w:jc w:val="center"/>
              <w:rPr>
                <w:b/>
              </w:rPr>
            </w:pPr>
            <w:r w:rsidRPr="00A1656A">
              <w:rPr>
                <w:b/>
              </w:rPr>
              <w:t>Totals</w:t>
            </w:r>
          </w:p>
          <w:p w14:paraId="6444756B" w14:textId="109724A6" w:rsidR="00756E79" w:rsidRPr="00A1656A" w:rsidRDefault="00756E79" w:rsidP="00ED4983">
            <w:pPr>
              <w:pStyle w:val="NoSpacing"/>
              <w:jc w:val="center"/>
              <w:rPr>
                <w:b/>
              </w:rPr>
            </w:pPr>
          </w:p>
        </w:tc>
      </w:tr>
      <w:tr w:rsidR="00756E79" w:rsidRPr="00F62840" w14:paraId="0EFB7D81" w14:textId="77777777" w:rsidTr="00A1656A">
        <w:trPr>
          <w:trHeight w:val="70"/>
        </w:trPr>
        <w:tc>
          <w:tcPr>
            <w:tcW w:w="1087" w:type="dxa"/>
            <w:vMerge/>
            <w:shd w:val="clear" w:color="auto" w:fill="BDD6EE" w:themeFill="accent1" w:themeFillTint="66"/>
            <w:vAlign w:val="center"/>
          </w:tcPr>
          <w:p w14:paraId="77CDEBC8" w14:textId="574F8ED7" w:rsidR="00756E79" w:rsidRPr="00D96719" w:rsidRDefault="00756E79" w:rsidP="00A1656A">
            <w:pPr>
              <w:jc w:val="center"/>
              <w:rPr>
                <w:b/>
                <w:sz w:val="20"/>
                <w:szCs w:val="20"/>
              </w:rPr>
            </w:pPr>
          </w:p>
        </w:tc>
        <w:tc>
          <w:tcPr>
            <w:tcW w:w="1449" w:type="dxa"/>
            <w:vMerge/>
            <w:shd w:val="clear" w:color="auto" w:fill="BDD6EE" w:themeFill="accent1" w:themeFillTint="66"/>
            <w:vAlign w:val="center"/>
          </w:tcPr>
          <w:p w14:paraId="05784B87" w14:textId="7E6A375F" w:rsidR="00756E79" w:rsidRPr="00D96719" w:rsidRDefault="00756E79" w:rsidP="00756E79">
            <w:pPr>
              <w:jc w:val="center"/>
              <w:rPr>
                <w:b/>
                <w:sz w:val="20"/>
                <w:szCs w:val="20"/>
              </w:rPr>
            </w:pPr>
          </w:p>
        </w:tc>
        <w:tc>
          <w:tcPr>
            <w:tcW w:w="2400" w:type="dxa"/>
            <w:vMerge/>
            <w:shd w:val="clear" w:color="auto" w:fill="BDD6EE" w:themeFill="accent1" w:themeFillTint="66"/>
            <w:vAlign w:val="center"/>
          </w:tcPr>
          <w:p w14:paraId="72F629B2" w14:textId="6CE2E72B" w:rsidR="00756E79" w:rsidRPr="00ED4983" w:rsidRDefault="00756E79" w:rsidP="00746C38">
            <w:pPr>
              <w:pStyle w:val="NoSpacing"/>
              <w:jc w:val="center"/>
              <w:rPr>
                <w:b/>
                <w:sz w:val="16"/>
              </w:rPr>
            </w:pPr>
          </w:p>
        </w:tc>
        <w:tc>
          <w:tcPr>
            <w:tcW w:w="4357" w:type="dxa"/>
            <w:gridSpan w:val="4"/>
            <w:shd w:val="clear" w:color="auto" w:fill="BDD6EE" w:themeFill="accent1" w:themeFillTint="66"/>
            <w:vAlign w:val="center"/>
          </w:tcPr>
          <w:p w14:paraId="07C5B86A" w14:textId="77777777" w:rsidR="00756E79" w:rsidRDefault="00756E79" w:rsidP="00ED4983">
            <w:pPr>
              <w:pStyle w:val="NoSpacing"/>
              <w:jc w:val="center"/>
              <w:rPr>
                <w:b/>
                <w:sz w:val="20"/>
                <w:szCs w:val="20"/>
              </w:rPr>
            </w:pPr>
            <w:r w:rsidRPr="00746C38">
              <w:rPr>
                <w:b/>
                <w:sz w:val="20"/>
                <w:szCs w:val="20"/>
              </w:rPr>
              <w:t>National Sample</w:t>
            </w:r>
          </w:p>
          <w:p w14:paraId="68AA7F95" w14:textId="0EF211E9" w:rsidR="0067671D" w:rsidRPr="00746C38" w:rsidRDefault="0067671D" w:rsidP="00ED4983">
            <w:pPr>
              <w:pStyle w:val="NoSpacing"/>
              <w:jc w:val="center"/>
              <w:rPr>
                <w:b/>
                <w:sz w:val="20"/>
                <w:szCs w:val="20"/>
              </w:rPr>
            </w:pPr>
            <w:r>
              <w:rPr>
                <w:b/>
                <w:sz w:val="20"/>
                <w:szCs w:val="20"/>
              </w:rPr>
              <w:t xml:space="preserve">(approximately 250 in each of the following U.S. </w:t>
            </w:r>
            <w:r w:rsidR="002351D7">
              <w:rPr>
                <w:b/>
                <w:sz w:val="20"/>
                <w:szCs w:val="20"/>
              </w:rPr>
              <w:t>R</w:t>
            </w:r>
            <w:r>
              <w:rPr>
                <w:b/>
                <w:sz w:val="20"/>
                <w:szCs w:val="20"/>
              </w:rPr>
              <w:t>egions: Northeast, West, South, Midwest)</w:t>
            </w:r>
          </w:p>
        </w:tc>
        <w:tc>
          <w:tcPr>
            <w:tcW w:w="1058" w:type="dxa"/>
            <w:vMerge/>
            <w:shd w:val="clear" w:color="auto" w:fill="BDD6EE" w:themeFill="accent1" w:themeFillTint="66"/>
            <w:vAlign w:val="center"/>
          </w:tcPr>
          <w:p w14:paraId="00F9ECBB" w14:textId="5F892368" w:rsidR="00756E79" w:rsidRPr="00746C38" w:rsidRDefault="00756E79" w:rsidP="00ED4983">
            <w:pPr>
              <w:pStyle w:val="NoSpacing"/>
              <w:jc w:val="center"/>
              <w:rPr>
                <w:b/>
                <w:sz w:val="20"/>
                <w:szCs w:val="20"/>
              </w:rPr>
            </w:pPr>
          </w:p>
        </w:tc>
      </w:tr>
      <w:tr w:rsidR="0067671D" w:rsidRPr="00F62840" w14:paraId="357EA57F" w14:textId="77777777" w:rsidTr="00ED48FF">
        <w:trPr>
          <w:trHeight w:val="70"/>
        </w:trPr>
        <w:tc>
          <w:tcPr>
            <w:tcW w:w="1087" w:type="dxa"/>
            <w:vMerge w:val="restart"/>
            <w:shd w:val="clear" w:color="auto" w:fill="BDD6EE" w:themeFill="accent1" w:themeFillTint="66"/>
            <w:vAlign w:val="center"/>
          </w:tcPr>
          <w:p w14:paraId="610A80D9" w14:textId="3F35E364" w:rsidR="0067671D" w:rsidRPr="003F6560" w:rsidRDefault="0067671D" w:rsidP="00756E79">
            <w:pPr>
              <w:jc w:val="center"/>
              <w:rPr>
                <w:b/>
                <w:sz w:val="16"/>
                <w:szCs w:val="16"/>
              </w:rPr>
            </w:pPr>
            <w:r w:rsidRPr="00D96719">
              <w:rPr>
                <w:b/>
                <w:sz w:val="20"/>
                <w:szCs w:val="20"/>
              </w:rPr>
              <w:t>Mothers</w:t>
            </w:r>
            <w:r>
              <w:rPr>
                <w:b/>
                <w:sz w:val="20"/>
              </w:rPr>
              <w:t xml:space="preserve"> of Children Ages 1-8</w:t>
            </w:r>
          </w:p>
        </w:tc>
        <w:tc>
          <w:tcPr>
            <w:tcW w:w="1449" w:type="dxa"/>
            <w:vMerge w:val="restart"/>
            <w:shd w:val="clear" w:color="auto" w:fill="BDD6EE" w:themeFill="accent1" w:themeFillTint="66"/>
          </w:tcPr>
          <w:p w14:paraId="43C1321F" w14:textId="77777777" w:rsidR="0067671D" w:rsidRPr="00D96719" w:rsidRDefault="0067671D" w:rsidP="00756E79">
            <w:pPr>
              <w:jc w:val="center"/>
              <w:rPr>
                <w:b/>
                <w:sz w:val="20"/>
                <w:szCs w:val="20"/>
              </w:rPr>
            </w:pPr>
            <w:r w:rsidRPr="00D96719">
              <w:rPr>
                <w:b/>
                <w:sz w:val="20"/>
                <w:szCs w:val="20"/>
              </w:rPr>
              <w:t>Online Survey</w:t>
            </w:r>
          </w:p>
          <w:p w14:paraId="6AFDF902" w14:textId="77777777" w:rsidR="0067671D" w:rsidRPr="003F6560" w:rsidRDefault="0067671D" w:rsidP="00FD33F2">
            <w:pPr>
              <w:rPr>
                <w:i/>
                <w:sz w:val="16"/>
                <w:szCs w:val="16"/>
              </w:rPr>
            </w:pPr>
          </w:p>
        </w:tc>
        <w:tc>
          <w:tcPr>
            <w:tcW w:w="2400" w:type="dxa"/>
            <w:shd w:val="clear" w:color="auto" w:fill="auto"/>
            <w:vAlign w:val="center"/>
          </w:tcPr>
          <w:p w14:paraId="4A8AB389" w14:textId="589AC3A5" w:rsidR="0067671D" w:rsidRPr="003F6560" w:rsidRDefault="0055479C" w:rsidP="0055479C">
            <w:pPr>
              <w:pStyle w:val="NoSpacing"/>
              <w:jc w:val="center"/>
              <w:rPr>
                <w:b/>
              </w:rPr>
            </w:pPr>
            <w:r w:rsidRPr="00322732">
              <w:rPr>
                <w:sz w:val="16"/>
              </w:rPr>
              <w:t xml:space="preserve">Mothers </w:t>
            </w:r>
            <w:r>
              <w:rPr>
                <w:sz w:val="16"/>
              </w:rPr>
              <w:t xml:space="preserve">with </w:t>
            </w:r>
            <w:r w:rsidR="0067671D" w:rsidRPr="00322732">
              <w:rPr>
                <w:sz w:val="16"/>
              </w:rPr>
              <w:t>Overweight</w:t>
            </w:r>
            <w:r>
              <w:rPr>
                <w:sz w:val="16"/>
              </w:rPr>
              <w:t>/Obesity</w:t>
            </w:r>
            <w:r w:rsidR="0067671D" w:rsidRPr="00322732">
              <w:rPr>
                <w:sz w:val="16"/>
              </w:rPr>
              <w:t xml:space="preserve"> </w:t>
            </w:r>
          </w:p>
        </w:tc>
        <w:tc>
          <w:tcPr>
            <w:tcW w:w="4357" w:type="dxa"/>
            <w:gridSpan w:val="4"/>
            <w:shd w:val="clear" w:color="auto" w:fill="auto"/>
            <w:vAlign w:val="center"/>
          </w:tcPr>
          <w:p w14:paraId="0F27E2AB" w14:textId="747C49B8" w:rsidR="0067671D" w:rsidRPr="00322732" w:rsidRDefault="0067671D" w:rsidP="0067671D">
            <w:pPr>
              <w:pStyle w:val="NoSpacing"/>
              <w:jc w:val="center"/>
              <w:rPr>
                <w:sz w:val="16"/>
              </w:rPr>
            </w:pPr>
            <w:r>
              <w:rPr>
                <w:sz w:val="16"/>
              </w:rPr>
              <w:t>1000</w:t>
            </w:r>
            <w:r w:rsidRPr="00ED4983">
              <w:rPr>
                <w:sz w:val="16"/>
              </w:rPr>
              <w:t xml:space="preserve"> surveys</w:t>
            </w:r>
          </w:p>
        </w:tc>
        <w:tc>
          <w:tcPr>
            <w:tcW w:w="1058" w:type="dxa"/>
            <w:shd w:val="clear" w:color="auto" w:fill="auto"/>
            <w:vAlign w:val="center"/>
          </w:tcPr>
          <w:p w14:paraId="2132D0BD" w14:textId="1ACDAF51" w:rsidR="0067671D" w:rsidRPr="00ED4983" w:rsidRDefault="0067671D" w:rsidP="00322732">
            <w:pPr>
              <w:pStyle w:val="NoSpacing"/>
              <w:jc w:val="center"/>
              <w:rPr>
                <w:sz w:val="16"/>
              </w:rPr>
            </w:pPr>
            <w:r w:rsidRPr="00ED4983">
              <w:rPr>
                <w:sz w:val="16"/>
              </w:rPr>
              <w:t>1,000 Surveys</w:t>
            </w:r>
          </w:p>
        </w:tc>
      </w:tr>
      <w:tr w:rsidR="0067671D" w:rsidRPr="00F62840" w14:paraId="2A0B73E8" w14:textId="77777777" w:rsidTr="004D5420">
        <w:trPr>
          <w:trHeight w:val="70"/>
        </w:trPr>
        <w:tc>
          <w:tcPr>
            <w:tcW w:w="1087" w:type="dxa"/>
            <w:vMerge/>
            <w:shd w:val="clear" w:color="auto" w:fill="BDD6EE" w:themeFill="accent1" w:themeFillTint="66"/>
            <w:vAlign w:val="center"/>
          </w:tcPr>
          <w:p w14:paraId="569FD3E0" w14:textId="573FA1FA" w:rsidR="0067671D" w:rsidRPr="003F6560" w:rsidRDefault="0067671D" w:rsidP="006C744E">
            <w:pPr>
              <w:rPr>
                <w:b/>
                <w:sz w:val="16"/>
                <w:szCs w:val="16"/>
              </w:rPr>
            </w:pPr>
          </w:p>
        </w:tc>
        <w:tc>
          <w:tcPr>
            <w:tcW w:w="1449" w:type="dxa"/>
            <w:vMerge/>
            <w:shd w:val="clear" w:color="auto" w:fill="BDD6EE" w:themeFill="accent1" w:themeFillTint="66"/>
          </w:tcPr>
          <w:p w14:paraId="4C9010F1" w14:textId="77777777" w:rsidR="0067671D" w:rsidRPr="003F6560" w:rsidRDefault="0067671D" w:rsidP="00FD33F2">
            <w:pPr>
              <w:rPr>
                <w:sz w:val="16"/>
                <w:szCs w:val="16"/>
              </w:rPr>
            </w:pPr>
          </w:p>
        </w:tc>
        <w:tc>
          <w:tcPr>
            <w:tcW w:w="2400" w:type="dxa"/>
            <w:shd w:val="clear" w:color="auto" w:fill="auto"/>
            <w:vAlign w:val="center"/>
          </w:tcPr>
          <w:p w14:paraId="32F90154" w14:textId="16F9D6A3" w:rsidR="0067671D" w:rsidRPr="003F6560" w:rsidRDefault="0067671D" w:rsidP="00FD33F2">
            <w:pPr>
              <w:jc w:val="center"/>
              <w:rPr>
                <w:b/>
                <w:sz w:val="16"/>
                <w:szCs w:val="16"/>
              </w:rPr>
            </w:pPr>
            <w:r w:rsidRPr="00322732">
              <w:rPr>
                <w:sz w:val="16"/>
              </w:rPr>
              <w:t>Healthy Weight Mothers</w:t>
            </w:r>
          </w:p>
        </w:tc>
        <w:tc>
          <w:tcPr>
            <w:tcW w:w="4357" w:type="dxa"/>
            <w:gridSpan w:val="4"/>
            <w:shd w:val="clear" w:color="auto" w:fill="auto"/>
            <w:vAlign w:val="center"/>
          </w:tcPr>
          <w:p w14:paraId="03F85E74" w14:textId="029ECB7A" w:rsidR="0067671D" w:rsidRPr="00322732" w:rsidRDefault="0067671D" w:rsidP="0067671D">
            <w:pPr>
              <w:pStyle w:val="NoSpacing"/>
              <w:jc w:val="center"/>
              <w:rPr>
                <w:sz w:val="16"/>
              </w:rPr>
            </w:pPr>
            <w:r>
              <w:rPr>
                <w:sz w:val="16"/>
              </w:rPr>
              <w:t>10</w:t>
            </w:r>
            <w:r w:rsidRPr="00ED4983">
              <w:rPr>
                <w:sz w:val="16"/>
              </w:rPr>
              <w:t>00 surveys</w:t>
            </w:r>
          </w:p>
        </w:tc>
        <w:tc>
          <w:tcPr>
            <w:tcW w:w="1058" w:type="dxa"/>
            <w:shd w:val="clear" w:color="auto" w:fill="auto"/>
            <w:vAlign w:val="center"/>
          </w:tcPr>
          <w:p w14:paraId="0C440F4B" w14:textId="4191EC4C" w:rsidR="0067671D" w:rsidRPr="00ED4983" w:rsidRDefault="0067671D" w:rsidP="00322732">
            <w:pPr>
              <w:pStyle w:val="NoSpacing"/>
              <w:jc w:val="center"/>
              <w:rPr>
                <w:sz w:val="16"/>
              </w:rPr>
            </w:pPr>
            <w:r w:rsidRPr="00ED4983">
              <w:rPr>
                <w:sz w:val="16"/>
              </w:rPr>
              <w:t>1,000 Surveys</w:t>
            </w:r>
          </w:p>
        </w:tc>
      </w:tr>
      <w:tr w:rsidR="00756E79" w:rsidRPr="00F62840" w14:paraId="766F363E" w14:textId="77777777" w:rsidTr="00D96719">
        <w:trPr>
          <w:trHeight w:val="558"/>
        </w:trPr>
        <w:tc>
          <w:tcPr>
            <w:tcW w:w="1087" w:type="dxa"/>
            <w:vMerge/>
            <w:shd w:val="clear" w:color="auto" w:fill="BDD6EE" w:themeFill="accent1" w:themeFillTint="66"/>
            <w:vAlign w:val="center"/>
          </w:tcPr>
          <w:p w14:paraId="146A65F3" w14:textId="73466DF3" w:rsidR="00756E79" w:rsidRPr="003F6560" w:rsidRDefault="00756E79" w:rsidP="006C744E">
            <w:pPr>
              <w:rPr>
                <w:sz w:val="16"/>
                <w:szCs w:val="16"/>
              </w:rPr>
            </w:pPr>
          </w:p>
        </w:tc>
        <w:tc>
          <w:tcPr>
            <w:tcW w:w="1449" w:type="dxa"/>
            <w:vMerge/>
            <w:shd w:val="clear" w:color="auto" w:fill="BDD6EE" w:themeFill="accent1" w:themeFillTint="66"/>
          </w:tcPr>
          <w:p w14:paraId="50D5C683" w14:textId="77777777" w:rsidR="00756E79" w:rsidRPr="003F6560" w:rsidRDefault="00756E79" w:rsidP="00FD33F2">
            <w:pPr>
              <w:rPr>
                <w:sz w:val="16"/>
                <w:szCs w:val="16"/>
              </w:rPr>
            </w:pPr>
          </w:p>
        </w:tc>
        <w:tc>
          <w:tcPr>
            <w:tcW w:w="2400" w:type="dxa"/>
            <w:shd w:val="clear" w:color="auto" w:fill="auto"/>
            <w:vAlign w:val="center"/>
          </w:tcPr>
          <w:p w14:paraId="342D6203" w14:textId="77777777" w:rsidR="00756E79" w:rsidRPr="00ED4983" w:rsidRDefault="00756E79" w:rsidP="00ED4983">
            <w:pPr>
              <w:pStyle w:val="NoSpacing"/>
              <w:jc w:val="right"/>
              <w:rPr>
                <w:b/>
                <w:sz w:val="16"/>
              </w:rPr>
            </w:pPr>
            <w:r w:rsidRPr="00ED4983">
              <w:rPr>
                <w:b/>
                <w:sz w:val="16"/>
              </w:rPr>
              <w:t>Total</w:t>
            </w:r>
          </w:p>
        </w:tc>
        <w:tc>
          <w:tcPr>
            <w:tcW w:w="2275" w:type="dxa"/>
            <w:gridSpan w:val="2"/>
            <w:shd w:val="clear" w:color="auto" w:fill="auto"/>
            <w:vAlign w:val="center"/>
          </w:tcPr>
          <w:p w14:paraId="7E299710" w14:textId="77777777" w:rsidR="00756E79" w:rsidRPr="00ED4983" w:rsidRDefault="00756E79" w:rsidP="00322732">
            <w:pPr>
              <w:pStyle w:val="NoSpacing"/>
              <w:jc w:val="center"/>
              <w:rPr>
                <w:b/>
                <w:sz w:val="16"/>
              </w:rPr>
            </w:pPr>
            <w:r w:rsidRPr="00ED4983">
              <w:rPr>
                <w:b/>
                <w:sz w:val="16"/>
              </w:rPr>
              <w:t>1,000 surveys</w:t>
            </w:r>
          </w:p>
        </w:tc>
        <w:tc>
          <w:tcPr>
            <w:tcW w:w="2082" w:type="dxa"/>
            <w:gridSpan w:val="2"/>
            <w:shd w:val="clear" w:color="auto" w:fill="auto"/>
            <w:vAlign w:val="center"/>
          </w:tcPr>
          <w:p w14:paraId="235F5A0D" w14:textId="16A1D7E3" w:rsidR="00756E79" w:rsidRPr="00ED4983" w:rsidRDefault="00756E79" w:rsidP="00322732">
            <w:pPr>
              <w:pStyle w:val="NoSpacing"/>
              <w:jc w:val="center"/>
              <w:rPr>
                <w:b/>
                <w:sz w:val="16"/>
              </w:rPr>
            </w:pPr>
            <w:r w:rsidRPr="00ED4983">
              <w:rPr>
                <w:b/>
                <w:sz w:val="16"/>
              </w:rPr>
              <w:t>1,000 surveys</w:t>
            </w:r>
          </w:p>
        </w:tc>
        <w:tc>
          <w:tcPr>
            <w:tcW w:w="1058" w:type="dxa"/>
            <w:shd w:val="clear" w:color="auto" w:fill="auto"/>
            <w:vAlign w:val="center"/>
          </w:tcPr>
          <w:p w14:paraId="1C0E57FA" w14:textId="1A348E63" w:rsidR="00756E79" w:rsidRPr="00ED4983" w:rsidRDefault="00756E79" w:rsidP="00322732">
            <w:pPr>
              <w:pStyle w:val="NoSpacing"/>
              <w:jc w:val="center"/>
              <w:rPr>
                <w:b/>
                <w:sz w:val="16"/>
              </w:rPr>
            </w:pPr>
            <w:r>
              <w:rPr>
                <w:b/>
                <w:sz w:val="16"/>
              </w:rPr>
              <w:t>2</w:t>
            </w:r>
            <w:r w:rsidRPr="00ED4983">
              <w:rPr>
                <w:b/>
                <w:sz w:val="16"/>
              </w:rPr>
              <w:t>,000</w:t>
            </w:r>
          </w:p>
          <w:p w14:paraId="6D51CE96" w14:textId="73E39EF3" w:rsidR="00756E79" w:rsidRPr="00ED4983" w:rsidRDefault="00756E79" w:rsidP="00322732">
            <w:pPr>
              <w:pStyle w:val="NoSpacing"/>
              <w:jc w:val="center"/>
              <w:rPr>
                <w:b/>
                <w:sz w:val="16"/>
              </w:rPr>
            </w:pPr>
            <w:r w:rsidRPr="00ED4983">
              <w:rPr>
                <w:b/>
                <w:sz w:val="16"/>
              </w:rPr>
              <w:t>Surveys</w:t>
            </w:r>
          </w:p>
        </w:tc>
      </w:tr>
      <w:tr w:rsidR="00756E79" w:rsidRPr="00F62840" w14:paraId="4498DF3C" w14:textId="77777777" w:rsidTr="00A1656A">
        <w:trPr>
          <w:trHeight w:val="558"/>
        </w:trPr>
        <w:tc>
          <w:tcPr>
            <w:tcW w:w="1087" w:type="dxa"/>
            <w:vMerge/>
            <w:shd w:val="clear" w:color="auto" w:fill="BDD6EE" w:themeFill="accent1" w:themeFillTint="66"/>
            <w:vAlign w:val="center"/>
          </w:tcPr>
          <w:p w14:paraId="6749D473" w14:textId="77777777" w:rsidR="00756E79" w:rsidRPr="003F6560" w:rsidRDefault="00756E79" w:rsidP="00482ABA">
            <w:pPr>
              <w:rPr>
                <w:sz w:val="16"/>
                <w:szCs w:val="16"/>
              </w:rPr>
            </w:pPr>
          </w:p>
        </w:tc>
        <w:tc>
          <w:tcPr>
            <w:tcW w:w="1449" w:type="dxa"/>
            <w:vMerge w:val="restart"/>
            <w:shd w:val="clear" w:color="auto" w:fill="BDD6EE" w:themeFill="accent1" w:themeFillTint="66"/>
          </w:tcPr>
          <w:p w14:paraId="16682CE0" w14:textId="46CF5E93" w:rsidR="00756E79" w:rsidRPr="00756E79" w:rsidRDefault="00756E79" w:rsidP="00482ABA">
            <w:pPr>
              <w:rPr>
                <w:b/>
                <w:sz w:val="20"/>
                <w:szCs w:val="20"/>
              </w:rPr>
            </w:pPr>
            <w:r w:rsidRPr="00756E79">
              <w:rPr>
                <w:b/>
                <w:sz w:val="20"/>
                <w:szCs w:val="20"/>
              </w:rPr>
              <w:t>Focus Groups</w:t>
            </w:r>
          </w:p>
        </w:tc>
        <w:tc>
          <w:tcPr>
            <w:tcW w:w="2400" w:type="dxa"/>
            <w:vMerge w:val="restart"/>
            <w:shd w:val="clear" w:color="auto" w:fill="BDD6EE" w:themeFill="accent1" w:themeFillTint="66"/>
            <w:vAlign w:val="center"/>
          </w:tcPr>
          <w:p w14:paraId="358E52D6" w14:textId="584E79AE" w:rsidR="00756E79" w:rsidRPr="00ED4983" w:rsidRDefault="00756E79" w:rsidP="00482ABA">
            <w:pPr>
              <w:pStyle w:val="NoSpacing"/>
              <w:jc w:val="center"/>
              <w:rPr>
                <w:b/>
                <w:sz w:val="16"/>
              </w:rPr>
            </w:pPr>
          </w:p>
        </w:tc>
        <w:tc>
          <w:tcPr>
            <w:tcW w:w="2275" w:type="dxa"/>
            <w:gridSpan w:val="2"/>
            <w:shd w:val="clear" w:color="auto" w:fill="BDD6EE" w:themeFill="accent1" w:themeFillTint="66"/>
            <w:vAlign w:val="center"/>
          </w:tcPr>
          <w:p w14:paraId="3C2D88C2" w14:textId="77777777" w:rsidR="00756E79" w:rsidRPr="00E70FB1" w:rsidRDefault="00756E79" w:rsidP="00482ABA">
            <w:pPr>
              <w:pStyle w:val="NoSpacing"/>
              <w:jc w:val="center"/>
              <w:rPr>
                <w:b/>
                <w:sz w:val="16"/>
                <w:szCs w:val="16"/>
              </w:rPr>
            </w:pPr>
            <w:r w:rsidRPr="00E70FB1">
              <w:rPr>
                <w:b/>
                <w:sz w:val="16"/>
                <w:szCs w:val="16"/>
              </w:rPr>
              <w:t>Mid-Size City and Suburbs</w:t>
            </w:r>
          </w:p>
          <w:p w14:paraId="300C9DD5" w14:textId="39E45E48" w:rsidR="00756E79" w:rsidRPr="00ED4983" w:rsidRDefault="00756E79" w:rsidP="00482ABA">
            <w:pPr>
              <w:pStyle w:val="NoSpacing"/>
              <w:jc w:val="center"/>
              <w:rPr>
                <w:b/>
                <w:sz w:val="16"/>
              </w:rPr>
            </w:pPr>
            <w:r w:rsidRPr="00E70FB1">
              <w:rPr>
                <w:b/>
                <w:sz w:val="16"/>
                <w:szCs w:val="16"/>
              </w:rPr>
              <w:t>(100-250K people)</w:t>
            </w:r>
          </w:p>
        </w:tc>
        <w:tc>
          <w:tcPr>
            <w:tcW w:w="2082" w:type="dxa"/>
            <w:gridSpan w:val="2"/>
            <w:shd w:val="clear" w:color="auto" w:fill="BDD6EE" w:themeFill="accent1" w:themeFillTint="66"/>
            <w:vAlign w:val="center"/>
          </w:tcPr>
          <w:p w14:paraId="0901C7E7" w14:textId="77777777" w:rsidR="00756E79" w:rsidRPr="00E70FB1" w:rsidRDefault="00756E79" w:rsidP="00482ABA">
            <w:pPr>
              <w:pStyle w:val="NoSpacing"/>
              <w:jc w:val="center"/>
              <w:rPr>
                <w:b/>
                <w:sz w:val="16"/>
                <w:szCs w:val="16"/>
              </w:rPr>
            </w:pPr>
            <w:r w:rsidRPr="00E70FB1">
              <w:rPr>
                <w:b/>
                <w:sz w:val="16"/>
                <w:szCs w:val="16"/>
              </w:rPr>
              <w:t>Small City/Town and Outlying Areas</w:t>
            </w:r>
          </w:p>
          <w:p w14:paraId="6F0FAFCB" w14:textId="245E90EF" w:rsidR="00756E79" w:rsidRPr="00ED4983" w:rsidRDefault="00756E79" w:rsidP="00482ABA">
            <w:pPr>
              <w:pStyle w:val="NoSpacing"/>
              <w:jc w:val="center"/>
              <w:rPr>
                <w:b/>
                <w:sz w:val="16"/>
              </w:rPr>
            </w:pPr>
            <w:r w:rsidRPr="00E70FB1">
              <w:rPr>
                <w:b/>
                <w:sz w:val="16"/>
                <w:szCs w:val="16"/>
              </w:rPr>
              <w:t>(100K people or less)</w:t>
            </w:r>
          </w:p>
        </w:tc>
        <w:tc>
          <w:tcPr>
            <w:tcW w:w="1058" w:type="dxa"/>
            <w:vMerge w:val="restart"/>
            <w:shd w:val="clear" w:color="auto" w:fill="BDD6EE" w:themeFill="accent1" w:themeFillTint="66"/>
            <w:vAlign w:val="center"/>
          </w:tcPr>
          <w:p w14:paraId="47D80086" w14:textId="0E51FFD4" w:rsidR="00756E79" w:rsidRDefault="00756E79" w:rsidP="00482ABA">
            <w:pPr>
              <w:pStyle w:val="NoSpacing"/>
              <w:jc w:val="center"/>
              <w:rPr>
                <w:b/>
                <w:sz w:val="16"/>
              </w:rPr>
            </w:pPr>
          </w:p>
        </w:tc>
      </w:tr>
      <w:tr w:rsidR="00756E79" w:rsidRPr="00F62840" w14:paraId="15DBBD47" w14:textId="77777777" w:rsidTr="00597102">
        <w:trPr>
          <w:trHeight w:val="558"/>
        </w:trPr>
        <w:tc>
          <w:tcPr>
            <w:tcW w:w="1087" w:type="dxa"/>
            <w:vMerge/>
            <w:shd w:val="clear" w:color="auto" w:fill="BDD6EE" w:themeFill="accent1" w:themeFillTint="66"/>
            <w:vAlign w:val="center"/>
          </w:tcPr>
          <w:p w14:paraId="5F193D67" w14:textId="77777777" w:rsidR="00756E79" w:rsidRPr="003F6560" w:rsidRDefault="00756E79" w:rsidP="00482ABA">
            <w:pPr>
              <w:rPr>
                <w:sz w:val="16"/>
                <w:szCs w:val="16"/>
              </w:rPr>
            </w:pPr>
          </w:p>
        </w:tc>
        <w:tc>
          <w:tcPr>
            <w:tcW w:w="1449" w:type="dxa"/>
            <w:vMerge/>
            <w:shd w:val="clear" w:color="auto" w:fill="BDD6EE" w:themeFill="accent1" w:themeFillTint="66"/>
          </w:tcPr>
          <w:p w14:paraId="66558E6E" w14:textId="77777777" w:rsidR="00756E79" w:rsidRPr="003F6560" w:rsidRDefault="00756E79" w:rsidP="00482ABA">
            <w:pPr>
              <w:rPr>
                <w:sz w:val="16"/>
                <w:szCs w:val="16"/>
              </w:rPr>
            </w:pPr>
          </w:p>
        </w:tc>
        <w:tc>
          <w:tcPr>
            <w:tcW w:w="2400" w:type="dxa"/>
            <w:vMerge/>
            <w:shd w:val="clear" w:color="auto" w:fill="auto"/>
            <w:vAlign w:val="center"/>
          </w:tcPr>
          <w:p w14:paraId="7B45EF05" w14:textId="77777777" w:rsidR="00756E79" w:rsidRPr="00322732" w:rsidRDefault="00756E79" w:rsidP="00482ABA">
            <w:pPr>
              <w:pStyle w:val="NoSpacing"/>
              <w:jc w:val="right"/>
              <w:rPr>
                <w:sz w:val="16"/>
              </w:rPr>
            </w:pPr>
          </w:p>
        </w:tc>
        <w:tc>
          <w:tcPr>
            <w:tcW w:w="1137" w:type="dxa"/>
            <w:shd w:val="clear" w:color="auto" w:fill="BDD6EE" w:themeFill="accent1" w:themeFillTint="66"/>
            <w:vAlign w:val="center"/>
          </w:tcPr>
          <w:p w14:paraId="603A1396" w14:textId="7E8DC81E" w:rsidR="00756E79" w:rsidRDefault="00756E79" w:rsidP="00482ABA">
            <w:pPr>
              <w:pStyle w:val="NoSpacing"/>
              <w:jc w:val="center"/>
              <w:rPr>
                <w:b/>
                <w:sz w:val="16"/>
                <w:szCs w:val="16"/>
              </w:rPr>
            </w:pPr>
            <w:r w:rsidRPr="00E70FB1">
              <w:rPr>
                <w:b/>
                <w:sz w:val="16"/>
                <w:szCs w:val="16"/>
              </w:rPr>
              <w:t>Midwest</w:t>
            </w:r>
            <w:r>
              <w:rPr>
                <w:b/>
                <w:sz w:val="16"/>
                <w:szCs w:val="16"/>
              </w:rPr>
              <w:t>/</w:t>
            </w:r>
          </w:p>
          <w:p w14:paraId="44EF8395" w14:textId="1B1B0697" w:rsidR="00756E79" w:rsidRPr="00322732" w:rsidRDefault="00597102" w:rsidP="00482ABA">
            <w:pPr>
              <w:pStyle w:val="NoSpacing"/>
              <w:jc w:val="center"/>
              <w:rPr>
                <w:sz w:val="16"/>
              </w:rPr>
            </w:pPr>
            <w:r>
              <w:rPr>
                <w:b/>
                <w:sz w:val="16"/>
                <w:szCs w:val="16"/>
              </w:rPr>
              <w:t>Mid-Atlantic Locations</w:t>
            </w:r>
          </w:p>
        </w:tc>
        <w:tc>
          <w:tcPr>
            <w:tcW w:w="1138" w:type="dxa"/>
            <w:shd w:val="clear" w:color="auto" w:fill="BDD6EE" w:themeFill="accent1" w:themeFillTint="66"/>
            <w:vAlign w:val="center"/>
          </w:tcPr>
          <w:p w14:paraId="3397D335" w14:textId="685B6248" w:rsidR="00756E79" w:rsidRPr="00322732" w:rsidRDefault="00756E79" w:rsidP="00482ABA">
            <w:pPr>
              <w:pStyle w:val="NoSpacing"/>
              <w:jc w:val="center"/>
              <w:rPr>
                <w:sz w:val="16"/>
              </w:rPr>
            </w:pPr>
            <w:r>
              <w:rPr>
                <w:b/>
                <w:sz w:val="16"/>
                <w:szCs w:val="16"/>
              </w:rPr>
              <w:t>South</w:t>
            </w:r>
            <w:r w:rsidR="00597102">
              <w:rPr>
                <w:b/>
                <w:sz w:val="16"/>
                <w:szCs w:val="16"/>
              </w:rPr>
              <w:t>ern Locations</w:t>
            </w:r>
          </w:p>
        </w:tc>
        <w:tc>
          <w:tcPr>
            <w:tcW w:w="1154" w:type="dxa"/>
            <w:shd w:val="clear" w:color="auto" w:fill="BDD6EE" w:themeFill="accent1" w:themeFillTint="66"/>
            <w:vAlign w:val="center"/>
          </w:tcPr>
          <w:p w14:paraId="149260EE" w14:textId="77777777" w:rsidR="00597102" w:rsidRDefault="00597102" w:rsidP="00597102">
            <w:pPr>
              <w:pStyle w:val="NoSpacing"/>
              <w:jc w:val="center"/>
              <w:rPr>
                <w:b/>
                <w:sz w:val="16"/>
                <w:szCs w:val="16"/>
              </w:rPr>
            </w:pPr>
            <w:r w:rsidRPr="00E70FB1">
              <w:rPr>
                <w:b/>
                <w:sz w:val="16"/>
                <w:szCs w:val="16"/>
              </w:rPr>
              <w:t>Midwest</w:t>
            </w:r>
            <w:r>
              <w:rPr>
                <w:b/>
                <w:sz w:val="16"/>
                <w:szCs w:val="16"/>
              </w:rPr>
              <w:t>/</w:t>
            </w:r>
          </w:p>
          <w:p w14:paraId="628E5731" w14:textId="4E9D5072" w:rsidR="00756E79" w:rsidRPr="00322732" w:rsidRDefault="00597102" w:rsidP="00597102">
            <w:pPr>
              <w:pStyle w:val="NoSpacing"/>
              <w:jc w:val="center"/>
              <w:rPr>
                <w:sz w:val="16"/>
              </w:rPr>
            </w:pPr>
            <w:r>
              <w:rPr>
                <w:b/>
                <w:sz w:val="16"/>
                <w:szCs w:val="16"/>
              </w:rPr>
              <w:t>Mid-Atlantic Locations</w:t>
            </w:r>
          </w:p>
        </w:tc>
        <w:tc>
          <w:tcPr>
            <w:tcW w:w="928" w:type="dxa"/>
            <w:shd w:val="clear" w:color="auto" w:fill="BDD6EE" w:themeFill="accent1" w:themeFillTint="66"/>
            <w:vAlign w:val="center"/>
          </w:tcPr>
          <w:p w14:paraId="09B3E2D2" w14:textId="3C0C632A" w:rsidR="00756E79" w:rsidRPr="00322732" w:rsidRDefault="00597102" w:rsidP="00482ABA">
            <w:pPr>
              <w:pStyle w:val="NoSpacing"/>
              <w:jc w:val="center"/>
              <w:rPr>
                <w:sz w:val="16"/>
              </w:rPr>
            </w:pPr>
            <w:r>
              <w:rPr>
                <w:b/>
                <w:sz w:val="16"/>
                <w:szCs w:val="16"/>
              </w:rPr>
              <w:t>Southern Locations</w:t>
            </w:r>
          </w:p>
        </w:tc>
        <w:tc>
          <w:tcPr>
            <w:tcW w:w="1058" w:type="dxa"/>
            <w:vMerge/>
            <w:shd w:val="clear" w:color="auto" w:fill="auto"/>
            <w:vAlign w:val="center"/>
          </w:tcPr>
          <w:p w14:paraId="55115AF8" w14:textId="77777777" w:rsidR="00756E79" w:rsidRPr="00322732" w:rsidRDefault="00756E79" w:rsidP="00482ABA">
            <w:pPr>
              <w:pStyle w:val="NoSpacing"/>
              <w:jc w:val="center"/>
              <w:rPr>
                <w:b/>
                <w:sz w:val="16"/>
              </w:rPr>
            </w:pPr>
          </w:p>
        </w:tc>
      </w:tr>
      <w:tr w:rsidR="0055479C" w:rsidRPr="00F62840" w14:paraId="604E7F69" w14:textId="77777777" w:rsidTr="00597102">
        <w:trPr>
          <w:trHeight w:val="558"/>
        </w:trPr>
        <w:tc>
          <w:tcPr>
            <w:tcW w:w="1087" w:type="dxa"/>
            <w:vMerge/>
            <w:shd w:val="clear" w:color="auto" w:fill="BDD6EE" w:themeFill="accent1" w:themeFillTint="66"/>
            <w:vAlign w:val="center"/>
          </w:tcPr>
          <w:p w14:paraId="3C1EF392" w14:textId="77777777" w:rsidR="0055479C" w:rsidRPr="003F6560" w:rsidRDefault="0055479C" w:rsidP="0055479C">
            <w:pPr>
              <w:rPr>
                <w:sz w:val="16"/>
                <w:szCs w:val="16"/>
              </w:rPr>
            </w:pPr>
          </w:p>
        </w:tc>
        <w:tc>
          <w:tcPr>
            <w:tcW w:w="1449" w:type="dxa"/>
            <w:vMerge/>
            <w:shd w:val="clear" w:color="auto" w:fill="BDD6EE" w:themeFill="accent1" w:themeFillTint="66"/>
          </w:tcPr>
          <w:p w14:paraId="0A73081A" w14:textId="77777777" w:rsidR="0055479C" w:rsidRPr="003F6560" w:rsidRDefault="0055479C" w:rsidP="0055479C">
            <w:pPr>
              <w:rPr>
                <w:sz w:val="16"/>
                <w:szCs w:val="16"/>
              </w:rPr>
            </w:pPr>
          </w:p>
        </w:tc>
        <w:tc>
          <w:tcPr>
            <w:tcW w:w="2400" w:type="dxa"/>
            <w:shd w:val="clear" w:color="auto" w:fill="auto"/>
            <w:vAlign w:val="center"/>
          </w:tcPr>
          <w:p w14:paraId="7A0A7BAC" w14:textId="00D00023" w:rsidR="0055479C" w:rsidRPr="00ED4983" w:rsidRDefault="0055479C" w:rsidP="0055479C">
            <w:pPr>
              <w:pStyle w:val="NoSpacing"/>
              <w:jc w:val="center"/>
              <w:rPr>
                <w:b/>
                <w:sz w:val="16"/>
              </w:rPr>
            </w:pPr>
            <w:r w:rsidRPr="00322732">
              <w:rPr>
                <w:sz w:val="16"/>
              </w:rPr>
              <w:t xml:space="preserve">Mothers </w:t>
            </w:r>
            <w:r>
              <w:rPr>
                <w:sz w:val="16"/>
              </w:rPr>
              <w:t xml:space="preserve">with </w:t>
            </w:r>
            <w:r w:rsidRPr="00322732">
              <w:rPr>
                <w:sz w:val="16"/>
              </w:rPr>
              <w:t>Overweight</w:t>
            </w:r>
            <w:r>
              <w:rPr>
                <w:sz w:val="16"/>
              </w:rPr>
              <w:t>/Obesity</w:t>
            </w:r>
          </w:p>
        </w:tc>
        <w:tc>
          <w:tcPr>
            <w:tcW w:w="1137" w:type="dxa"/>
            <w:shd w:val="clear" w:color="auto" w:fill="auto"/>
            <w:vAlign w:val="center"/>
          </w:tcPr>
          <w:p w14:paraId="6095AA17" w14:textId="602F5A11" w:rsidR="0055479C" w:rsidRPr="00ED4983" w:rsidRDefault="0055479C" w:rsidP="0055479C">
            <w:pPr>
              <w:pStyle w:val="NoSpacing"/>
              <w:jc w:val="center"/>
              <w:rPr>
                <w:b/>
                <w:sz w:val="16"/>
              </w:rPr>
            </w:pPr>
            <w:r w:rsidRPr="00322732">
              <w:rPr>
                <w:sz w:val="16"/>
              </w:rPr>
              <w:t>2 focus group</w:t>
            </w:r>
            <w:r>
              <w:rPr>
                <w:sz w:val="16"/>
              </w:rPr>
              <w:t>s</w:t>
            </w:r>
          </w:p>
        </w:tc>
        <w:tc>
          <w:tcPr>
            <w:tcW w:w="1138" w:type="dxa"/>
            <w:shd w:val="clear" w:color="auto" w:fill="auto"/>
            <w:vAlign w:val="center"/>
          </w:tcPr>
          <w:p w14:paraId="7F377875" w14:textId="139F1AB7" w:rsidR="0055479C" w:rsidRPr="00ED4983" w:rsidRDefault="0055479C" w:rsidP="0055479C">
            <w:pPr>
              <w:pStyle w:val="NoSpacing"/>
              <w:jc w:val="center"/>
              <w:rPr>
                <w:b/>
                <w:sz w:val="16"/>
              </w:rPr>
            </w:pPr>
            <w:r w:rsidRPr="00322732">
              <w:rPr>
                <w:sz w:val="16"/>
              </w:rPr>
              <w:t>2 focus group</w:t>
            </w:r>
            <w:r>
              <w:rPr>
                <w:sz w:val="16"/>
              </w:rPr>
              <w:t>s</w:t>
            </w:r>
          </w:p>
        </w:tc>
        <w:tc>
          <w:tcPr>
            <w:tcW w:w="1154" w:type="dxa"/>
            <w:shd w:val="clear" w:color="auto" w:fill="auto"/>
            <w:vAlign w:val="center"/>
          </w:tcPr>
          <w:p w14:paraId="1622B362" w14:textId="59D09E78" w:rsidR="0055479C" w:rsidRPr="00ED4983" w:rsidRDefault="0055479C" w:rsidP="0055479C">
            <w:pPr>
              <w:pStyle w:val="NoSpacing"/>
              <w:jc w:val="center"/>
              <w:rPr>
                <w:b/>
                <w:sz w:val="16"/>
              </w:rPr>
            </w:pPr>
            <w:r w:rsidRPr="00322732">
              <w:rPr>
                <w:sz w:val="16"/>
              </w:rPr>
              <w:t>2 focus group</w:t>
            </w:r>
            <w:r>
              <w:rPr>
                <w:sz w:val="16"/>
              </w:rPr>
              <w:t>s</w:t>
            </w:r>
          </w:p>
        </w:tc>
        <w:tc>
          <w:tcPr>
            <w:tcW w:w="928" w:type="dxa"/>
            <w:shd w:val="clear" w:color="auto" w:fill="auto"/>
            <w:vAlign w:val="center"/>
          </w:tcPr>
          <w:p w14:paraId="0E150DD4" w14:textId="335C4014" w:rsidR="0055479C" w:rsidRPr="00ED4983" w:rsidRDefault="0055479C" w:rsidP="0055479C">
            <w:pPr>
              <w:pStyle w:val="NoSpacing"/>
              <w:jc w:val="center"/>
              <w:rPr>
                <w:b/>
                <w:sz w:val="16"/>
              </w:rPr>
            </w:pPr>
            <w:r w:rsidRPr="00322732">
              <w:rPr>
                <w:sz w:val="16"/>
              </w:rPr>
              <w:t>2 focus group</w:t>
            </w:r>
            <w:r>
              <w:rPr>
                <w:sz w:val="16"/>
              </w:rPr>
              <w:t>s</w:t>
            </w:r>
          </w:p>
        </w:tc>
        <w:tc>
          <w:tcPr>
            <w:tcW w:w="1058" w:type="dxa"/>
            <w:shd w:val="clear" w:color="auto" w:fill="auto"/>
            <w:vAlign w:val="center"/>
          </w:tcPr>
          <w:p w14:paraId="75131AFA" w14:textId="77777777" w:rsidR="0055479C" w:rsidRPr="00322732" w:rsidRDefault="0055479C" w:rsidP="0055479C">
            <w:pPr>
              <w:pStyle w:val="NoSpacing"/>
              <w:jc w:val="center"/>
              <w:rPr>
                <w:b/>
                <w:sz w:val="16"/>
              </w:rPr>
            </w:pPr>
            <w:r w:rsidRPr="00322732">
              <w:rPr>
                <w:b/>
                <w:sz w:val="16"/>
              </w:rPr>
              <w:t>8 FGs</w:t>
            </w:r>
          </w:p>
          <w:p w14:paraId="58C03217" w14:textId="77777777" w:rsidR="0055479C" w:rsidRDefault="0055479C" w:rsidP="0055479C">
            <w:pPr>
              <w:pStyle w:val="NoSpacing"/>
              <w:jc w:val="center"/>
              <w:rPr>
                <w:b/>
                <w:sz w:val="16"/>
              </w:rPr>
            </w:pPr>
          </w:p>
        </w:tc>
      </w:tr>
      <w:tr w:rsidR="0055479C" w:rsidRPr="00F62840" w14:paraId="4C8E51C1" w14:textId="77777777" w:rsidTr="00597102">
        <w:trPr>
          <w:trHeight w:val="558"/>
        </w:trPr>
        <w:tc>
          <w:tcPr>
            <w:tcW w:w="1087" w:type="dxa"/>
            <w:vMerge/>
            <w:shd w:val="clear" w:color="auto" w:fill="BDD6EE" w:themeFill="accent1" w:themeFillTint="66"/>
            <w:vAlign w:val="center"/>
          </w:tcPr>
          <w:p w14:paraId="79C6734E" w14:textId="77777777" w:rsidR="0055479C" w:rsidRPr="003F6560" w:rsidRDefault="0055479C" w:rsidP="0055479C">
            <w:pPr>
              <w:rPr>
                <w:sz w:val="16"/>
                <w:szCs w:val="16"/>
              </w:rPr>
            </w:pPr>
          </w:p>
        </w:tc>
        <w:tc>
          <w:tcPr>
            <w:tcW w:w="1449" w:type="dxa"/>
            <w:vMerge/>
            <w:shd w:val="clear" w:color="auto" w:fill="BDD6EE" w:themeFill="accent1" w:themeFillTint="66"/>
          </w:tcPr>
          <w:p w14:paraId="4D427B6F" w14:textId="77777777" w:rsidR="0055479C" w:rsidRPr="003F6560" w:rsidRDefault="0055479C" w:rsidP="0055479C">
            <w:pPr>
              <w:rPr>
                <w:sz w:val="16"/>
                <w:szCs w:val="16"/>
              </w:rPr>
            </w:pPr>
          </w:p>
        </w:tc>
        <w:tc>
          <w:tcPr>
            <w:tcW w:w="2400" w:type="dxa"/>
            <w:shd w:val="clear" w:color="auto" w:fill="auto"/>
            <w:vAlign w:val="center"/>
          </w:tcPr>
          <w:p w14:paraId="0A863429" w14:textId="78FECF3F" w:rsidR="0055479C" w:rsidRPr="00ED4983" w:rsidRDefault="0055479C" w:rsidP="0055479C">
            <w:pPr>
              <w:pStyle w:val="NoSpacing"/>
              <w:jc w:val="center"/>
              <w:rPr>
                <w:b/>
                <w:sz w:val="16"/>
              </w:rPr>
            </w:pPr>
            <w:r w:rsidRPr="00322732">
              <w:rPr>
                <w:sz w:val="16"/>
              </w:rPr>
              <w:t>Healthy Weight Mothers</w:t>
            </w:r>
          </w:p>
        </w:tc>
        <w:tc>
          <w:tcPr>
            <w:tcW w:w="1137" w:type="dxa"/>
            <w:shd w:val="clear" w:color="auto" w:fill="auto"/>
            <w:vAlign w:val="center"/>
          </w:tcPr>
          <w:p w14:paraId="598BAC69" w14:textId="6261896A" w:rsidR="0055479C" w:rsidRPr="00ED4983" w:rsidRDefault="0055479C" w:rsidP="0055479C">
            <w:pPr>
              <w:pStyle w:val="NoSpacing"/>
              <w:jc w:val="center"/>
              <w:rPr>
                <w:b/>
                <w:sz w:val="16"/>
              </w:rPr>
            </w:pPr>
            <w:r w:rsidRPr="00C11A5A">
              <w:rPr>
                <w:sz w:val="16"/>
              </w:rPr>
              <w:t>2 focus groups</w:t>
            </w:r>
          </w:p>
        </w:tc>
        <w:tc>
          <w:tcPr>
            <w:tcW w:w="1138" w:type="dxa"/>
            <w:shd w:val="clear" w:color="auto" w:fill="auto"/>
            <w:vAlign w:val="center"/>
          </w:tcPr>
          <w:p w14:paraId="5E6215BA" w14:textId="52E18624" w:rsidR="0055479C" w:rsidRPr="00ED4983" w:rsidRDefault="0055479C" w:rsidP="0055479C">
            <w:pPr>
              <w:pStyle w:val="NoSpacing"/>
              <w:jc w:val="center"/>
              <w:rPr>
                <w:b/>
                <w:sz w:val="16"/>
              </w:rPr>
            </w:pPr>
            <w:r w:rsidRPr="00C11A5A">
              <w:rPr>
                <w:sz w:val="16"/>
              </w:rPr>
              <w:t>2 focus groups</w:t>
            </w:r>
          </w:p>
        </w:tc>
        <w:tc>
          <w:tcPr>
            <w:tcW w:w="1154" w:type="dxa"/>
            <w:shd w:val="clear" w:color="auto" w:fill="auto"/>
            <w:vAlign w:val="center"/>
          </w:tcPr>
          <w:p w14:paraId="73E87BC0" w14:textId="30E3FCBA" w:rsidR="0055479C" w:rsidRPr="00ED4983" w:rsidRDefault="0055479C" w:rsidP="0055479C">
            <w:pPr>
              <w:pStyle w:val="NoSpacing"/>
              <w:jc w:val="center"/>
              <w:rPr>
                <w:b/>
                <w:sz w:val="16"/>
              </w:rPr>
            </w:pPr>
            <w:r w:rsidRPr="00C11A5A">
              <w:rPr>
                <w:sz w:val="16"/>
              </w:rPr>
              <w:t>2 focus groups</w:t>
            </w:r>
          </w:p>
        </w:tc>
        <w:tc>
          <w:tcPr>
            <w:tcW w:w="928" w:type="dxa"/>
            <w:shd w:val="clear" w:color="auto" w:fill="auto"/>
            <w:vAlign w:val="center"/>
          </w:tcPr>
          <w:p w14:paraId="38E06644" w14:textId="356349C2" w:rsidR="0055479C" w:rsidRPr="00ED4983" w:rsidRDefault="0055479C" w:rsidP="0055479C">
            <w:pPr>
              <w:pStyle w:val="NoSpacing"/>
              <w:jc w:val="center"/>
              <w:rPr>
                <w:b/>
                <w:sz w:val="16"/>
              </w:rPr>
            </w:pPr>
            <w:r w:rsidRPr="00C11A5A">
              <w:rPr>
                <w:sz w:val="16"/>
              </w:rPr>
              <w:t>2 focus groups</w:t>
            </w:r>
          </w:p>
        </w:tc>
        <w:tc>
          <w:tcPr>
            <w:tcW w:w="1058" w:type="dxa"/>
            <w:shd w:val="clear" w:color="auto" w:fill="auto"/>
            <w:vAlign w:val="center"/>
          </w:tcPr>
          <w:p w14:paraId="13C01FBD" w14:textId="3D115751" w:rsidR="0055479C" w:rsidRDefault="0055479C" w:rsidP="0055479C">
            <w:pPr>
              <w:pStyle w:val="NoSpacing"/>
              <w:jc w:val="center"/>
              <w:rPr>
                <w:b/>
                <w:sz w:val="16"/>
              </w:rPr>
            </w:pPr>
            <w:r w:rsidRPr="00C11A5A">
              <w:rPr>
                <w:b/>
                <w:sz w:val="16"/>
              </w:rPr>
              <w:t>8 FGs</w:t>
            </w:r>
          </w:p>
        </w:tc>
      </w:tr>
      <w:tr w:rsidR="0055479C" w:rsidRPr="00F62840" w14:paraId="3CD1EE66" w14:textId="77777777" w:rsidTr="00597102">
        <w:trPr>
          <w:trHeight w:val="558"/>
        </w:trPr>
        <w:tc>
          <w:tcPr>
            <w:tcW w:w="1087" w:type="dxa"/>
            <w:vMerge/>
            <w:shd w:val="clear" w:color="auto" w:fill="BDD6EE" w:themeFill="accent1" w:themeFillTint="66"/>
            <w:vAlign w:val="center"/>
          </w:tcPr>
          <w:p w14:paraId="32A6D4D6" w14:textId="77777777" w:rsidR="0055479C" w:rsidRPr="003F6560" w:rsidRDefault="0055479C" w:rsidP="0055479C">
            <w:pPr>
              <w:rPr>
                <w:sz w:val="16"/>
                <w:szCs w:val="16"/>
              </w:rPr>
            </w:pPr>
          </w:p>
        </w:tc>
        <w:tc>
          <w:tcPr>
            <w:tcW w:w="1449" w:type="dxa"/>
            <w:vMerge/>
            <w:shd w:val="clear" w:color="auto" w:fill="BDD6EE" w:themeFill="accent1" w:themeFillTint="66"/>
          </w:tcPr>
          <w:p w14:paraId="453FEAF0" w14:textId="77777777" w:rsidR="0055479C" w:rsidRPr="003F6560" w:rsidRDefault="0055479C" w:rsidP="0055479C">
            <w:pPr>
              <w:rPr>
                <w:sz w:val="16"/>
                <w:szCs w:val="16"/>
              </w:rPr>
            </w:pPr>
          </w:p>
        </w:tc>
        <w:tc>
          <w:tcPr>
            <w:tcW w:w="2400" w:type="dxa"/>
            <w:shd w:val="clear" w:color="auto" w:fill="auto"/>
            <w:vAlign w:val="center"/>
          </w:tcPr>
          <w:p w14:paraId="4024C0D2" w14:textId="5D4F8EF9" w:rsidR="0055479C" w:rsidRPr="00ED4983" w:rsidRDefault="0055479C" w:rsidP="0055479C">
            <w:pPr>
              <w:pStyle w:val="NoSpacing"/>
              <w:jc w:val="right"/>
              <w:rPr>
                <w:b/>
                <w:sz w:val="16"/>
              </w:rPr>
            </w:pPr>
            <w:r w:rsidRPr="00322732">
              <w:rPr>
                <w:b/>
                <w:sz w:val="16"/>
              </w:rPr>
              <w:t>Total</w:t>
            </w:r>
          </w:p>
        </w:tc>
        <w:tc>
          <w:tcPr>
            <w:tcW w:w="1137" w:type="dxa"/>
            <w:shd w:val="clear" w:color="auto" w:fill="auto"/>
            <w:vAlign w:val="center"/>
          </w:tcPr>
          <w:p w14:paraId="5D0604A4" w14:textId="502CCA69" w:rsidR="0055479C" w:rsidRPr="00ED4983" w:rsidRDefault="0055479C" w:rsidP="0055479C">
            <w:pPr>
              <w:pStyle w:val="NoSpacing"/>
              <w:jc w:val="center"/>
              <w:rPr>
                <w:b/>
                <w:sz w:val="16"/>
              </w:rPr>
            </w:pPr>
            <w:r w:rsidRPr="00322732">
              <w:rPr>
                <w:b/>
                <w:sz w:val="16"/>
              </w:rPr>
              <w:t>4 FGs</w:t>
            </w:r>
          </w:p>
        </w:tc>
        <w:tc>
          <w:tcPr>
            <w:tcW w:w="1138" w:type="dxa"/>
            <w:shd w:val="clear" w:color="auto" w:fill="auto"/>
            <w:vAlign w:val="center"/>
          </w:tcPr>
          <w:p w14:paraId="4AECE4F0" w14:textId="615E03D2" w:rsidR="0055479C" w:rsidRPr="00ED4983" w:rsidRDefault="0055479C" w:rsidP="0055479C">
            <w:pPr>
              <w:pStyle w:val="NoSpacing"/>
              <w:jc w:val="center"/>
              <w:rPr>
                <w:b/>
                <w:sz w:val="16"/>
              </w:rPr>
            </w:pPr>
            <w:r w:rsidRPr="00322732">
              <w:rPr>
                <w:b/>
                <w:sz w:val="16"/>
              </w:rPr>
              <w:t>4 FGs</w:t>
            </w:r>
          </w:p>
        </w:tc>
        <w:tc>
          <w:tcPr>
            <w:tcW w:w="1154" w:type="dxa"/>
            <w:shd w:val="clear" w:color="auto" w:fill="auto"/>
            <w:vAlign w:val="center"/>
          </w:tcPr>
          <w:p w14:paraId="7D17B176" w14:textId="6EC57BC8" w:rsidR="0055479C" w:rsidRPr="00ED4983" w:rsidRDefault="0055479C" w:rsidP="0055479C">
            <w:pPr>
              <w:pStyle w:val="NoSpacing"/>
              <w:jc w:val="center"/>
              <w:rPr>
                <w:b/>
                <w:sz w:val="16"/>
              </w:rPr>
            </w:pPr>
            <w:r w:rsidRPr="00322732">
              <w:rPr>
                <w:b/>
                <w:sz w:val="16"/>
              </w:rPr>
              <w:t>4 FGs</w:t>
            </w:r>
          </w:p>
        </w:tc>
        <w:tc>
          <w:tcPr>
            <w:tcW w:w="928" w:type="dxa"/>
            <w:shd w:val="clear" w:color="auto" w:fill="auto"/>
            <w:vAlign w:val="center"/>
          </w:tcPr>
          <w:p w14:paraId="10FFF9C0" w14:textId="292AA876" w:rsidR="0055479C" w:rsidRPr="00ED4983" w:rsidRDefault="0055479C" w:rsidP="0055479C">
            <w:pPr>
              <w:pStyle w:val="NoSpacing"/>
              <w:jc w:val="center"/>
              <w:rPr>
                <w:b/>
                <w:sz w:val="16"/>
              </w:rPr>
            </w:pPr>
            <w:r w:rsidRPr="00322732">
              <w:rPr>
                <w:b/>
                <w:sz w:val="16"/>
              </w:rPr>
              <w:t>4 FGs</w:t>
            </w:r>
          </w:p>
        </w:tc>
        <w:tc>
          <w:tcPr>
            <w:tcW w:w="1058" w:type="dxa"/>
            <w:shd w:val="clear" w:color="auto" w:fill="auto"/>
            <w:vAlign w:val="center"/>
          </w:tcPr>
          <w:p w14:paraId="471CF438" w14:textId="648D73A2" w:rsidR="0055479C" w:rsidRDefault="0055479C" w:rsidP="0055479C">
            <w:pPr>
              <w:pStyle w:val="NoSpacing"/>
              <w:jc w:val="center"/>
              <w:rPr>
                <w:b/>
                <w:sz w:val="16"/>
              </w:rPr>
            </w:pPr>
            <w:r w:rsidRPr="00322732">
              <w:rPr>
                <w:b/>
                <w:sz w:val="16"/>
              </w:rPr>
              <w:t>16 FGs</w:t>
            </w:r>
          </w:p>
        </w:tc>
      </w:tr>
    </w:tbl>
    <w:p w14:paraId="42828E61" w14:textId="133A499A" w:rsidR="00C268CC" w:rsidRDefault="00C268CC" w:rsidP="009E573B">
      <w:pPr>
        <w:pStyle w:val="NoSpacing"/>
        <w:rPr>
          <w:rFonts w:cs="Arial"/>
        </w:rPr>
      </w:pPr>
    </w:p>
    <w:p w14:paraId="6ACCF727" w14:textId="77777777" w:rsidR="0083609B" w:rsidRDefault="0083609B" w:rsidP="009E573B">
      <w:pPr>
        <w:pStyle w:val="NoSpacing"/>
        <w:rPr>
          <w:rFonts w:cs="Arial"/>
        </w:rPr>
      </w:pPr>
    </w:p>
    <w:p w14:paraId="2B3266A6" w14:textId="77777777" w:rsidR="00C268CC" w:rsidRPr="002839C9" w:rsidRDefault="00C268CC" w:rsidP="009E573B">
      <w:pPr>
        <w:pStyle w:val="NoSpacing"/>
        <w:rPr>
          <w:rFonts w:cs="Arial"/>
        </w:rPr>
      </w:pPr>
    </w:p>
    <w:p w14:paraId="1BB4E2BD" w14:textId="77777777" w:rsidR="00BE2283" w:rsidRDefault="00BE2283">
      <w:pPr>
        <w:spacing w:after="160" w:line="259" w:lineRule="auto"/>
        <w:rPr>
          <w:rFonts w:eastAsiaTheme="minorHAnsi" w:cs="Arial"/>
          <w:b/>
          <w:sz w:val="28"/>
          <w:szCs w:val="28"/>
          <w:u w:val="single"/>
        </w:rPr>
      </w:pPr>
      <w:r>
        <w:rPr>
          <w:rFonts w:cs="Arial"/>
          <w:b/>
          <w:sz w:val="28"/>
          <w:szCs w:val="28"/>
          <w:u w:val="single"/>
        </w:rPr>
        <w:br w:type="page"/>
      </w:r>
    </w:p>
    <w:p w14:paraId="33DF4C51" w14:textId="611FCAD3" w:rsidR="009E573B" w:rsidRPr="00C268CC" w:rsidRDefault="00746C38" w:rsidP="009E573B">
      <w:pPr>
        <w:pStyle w:val="NoSpacing"/>
        <w:rPr>
          <w:rFonts w:cs="Arial"/>
          <w:b/>
          <w:sz w:val="28"/>
          <w:szCs w:val="28"/>
          <w:u w:val="single"/>
        </w:rPr>
      </w:pPr>
      <w:r w:rsidRPr="00C268CC">
        <w:rPr>
          <w:rFonts w:cs="Arial"/>
          <w:b/>
          <w:sz w:val="28"/>
          <w:szCs w:val="28"/>
          <w:u w:val="single"/>
        </w:rPr>
        <w:t>Incentives</w:t>
      </w:r>
    </w:p>
    <w:p w14:paraId="187F9572" w14:textId="2E6DECF9" w:rsidR="009E573B" w:rsidRPr="00B12424" w:rsidRDefault="009E573B" w:rsidP="009E573B">
      <w:pPr>
        <w:pStyle w:val="NoSpacing"/>
        <w:rPr>
          <w:rFonts w:cs="Arial"/>
          <w:sz w:val="23"/>
          <w:szCs w:val="23"/>
        </w:rPr>
      </w:pPr>
    </w:p>
    <w:p w14:paraId="1BC57992" w14:textId="2DD2DFF3" w:rsidR="00CC1ED8" w:rsidRPr="00B12424" w:rsidRDefault="007C378E" w:rsidP="00746C38">
      <w:pPr>
        <w:spacing w:after="0" w:line="240" w:lineRule="auto"/>
        <w:rPr>
          <w:i/>
          <w:sz w:val="23"/>
          <w:szCs w:val="23"/>
        </w:rPr>
      </w:pPr>
      <w:r>
        <w:rPr>
          <w:sz w:val="23"/>
          <w:szCs w:val="23"/>
        </w:rPr>
        <w:t xml:space="preserve">Mothers, a segment of the general population, have competing demands (e.g., childcare) that can make it challenging to take part in in-person focus groups. </w:t>
      </w:r>
      <w:r w:rsidR="00FB40AC" w:rsidRPr="00B12424">
        <w:rPr>
          <w:sz w:val="23"/>
          <w:szCs w:val="23"/>
        </w:rPr>
        <w:t xml:space="preserve">All mothers who participate in the </w:t>
      </w:r>
      <w:r w:rsidR="00067E42">
        <w:rPr>
          <w:sz w:val="23"/>
          <w:szCs w:val="23"/>
        </w:rPr>
        <w:t xml:space="preserve">in-person </w:t>
      </w:r>
      <w:r w:rsidR="00FB40AC" w:rsidRPr="00B12424">
        <w:rPr>
          <w:sz w:val="23"/>
          <w:szCs w:val="23"/>
        </w:rPr>
        <w:t>focus groups will receive $</w:t>
      </w:r>
      <w:r w:rsidR="00ED5EE6">
        <w:rPr>
          <w:sz w:val="23"/>
          <w:szCs w:val="23"/>
        </w:rPr>
        <w:t>75</w:t>
      </w:r>
      <w:r w:rsidR="00FB40AC" w:rsidRPr="00B12424">
        <w:rPr>
          <w:sz w:val="23"/>
          <w:szCs w:val="23"/>
        </w:rPr>
        <w:t xml:space="preserve"> to show appreciation for their participation. </w:t>
      </w:r>
    </w:p>
    <w:p w14:paraId="7B6D7791" w14:textId="77777777" w:rsidR="00CC1ED8" w:rsidRPr="00B12424" w:rsidRDefault="00CC1ED8" w:rsidP="00746C38">
      <w:pPr>
        <w:spacing w:after="0" w:line="240" w:lineRule="auto"/>
        <w:rPr>
          <w:i/>
          <w:sz w:val="23"/>
          <w:szCs w:val="23"/>
        </w:rPr>
      </w:pPr>
    </w:p>
    <w:p w14:paraId="75B2C41A" w14:textId="2CF3BAD6" w:rsidR="00CC1ED8" w:rsidRPr="00236C2F" w:rsidRDefault="000D184C" w:rsidP="00746C38">
      <w:pPr>
        <w:spacing w:line="240" w:lineRule="auto"/>
        <w:rPr>
          <w:rFonts w:eastAsia="Times New Roman"/>
          <w:sz w:val="23"/>
          <w:szCs w:val="23"/>
        </w:rPr>
      </w:pPr>
      <w:r w:rsidRPr="00B12424">
        <w:rPr>
          <w:sz w:val="23"/>
          <w:szCs w:val="23"/>
        </w:rPr>
        <w:t>Appropriate incentives are key to the success of research efforts and to preventing over-burdening the public. In other words, even when individuals agree to participate, insufficient incentive may result in a greater likelihood of participants not showing up to participate in the discussion (i.e., “no-shows”). This may not only negatively impact the ability to gather the necessary data but, additionally, the time that would have already been spent in the recruitment of these participants would therefore translate into unnecessary burden to the public. Additionally, because there are costs associated with recruiting each participant (even for no-shows), when participants are no-shows it involves expenditures t</w:t>
      </w:r>
      <w:r w:rsidR="007C378E">
        <w:rPr>
          <w:sz w:val="23"/>
          <w:szCs w:val="23"/>
        </w:rPr>
        <w:t>hat could otherwise be avoided.</w:t>
      </w:r>
      <w:r w:rsidRPr="00B12424">
        <w:rPr>
          <w:sz w:val="23"/>
          <w:szCs w:val="23"/>
        </w:rPr>
        <w:t xml:space="preserve">   </w:t>
      </w:r>
      <w:r w:rsidR="00062B59" w:rsidRPr="00B12424">
        <w:rPr>
          <w:sz w:val="23"/>
          <w:szCs w:val="23"/>
        </w:rPr>
        <w:t xml:space="preserve"> </w:t>
      </w:r>
    </w:p>
    <w:p w14:paraId="79855C5A" w14:textId="25FD1AB3" w:rsidR="001252F0" w:rsidRPr="00B12424" w:rsidRDefault="001252F0" w:rsidP="00746C38">
      <w:pPr>
        <w:pStyle w:val="NoSpacing"/>
        <w:rPr>
          <w:rFonts w:cs="Arial"/>
          <w:sz w:val="23"/>
          <w:szCs w:val="23"/>
        </w:rPr>
      </w:pPr>
      <w:r w:rsidRPr="00B12424">
        <w:rPr>
          <w:rFonts w:cs="Arial"/>
          <w:sz w:val="23"/>
          <w:szCs w:val="23"/>
        </w:rPr>
        <w:t xml:space="preserve">Online survey participants will receive reward points </w:t>
      </w:r>
      <w:r w:rsidR="009B498C">
        <w:rPr>
          <w:rFonts w:cs="Arial"/>
          <w:sz w:val="23"/>
          <w:szCs w:val="23"/>
        </w:rPr>
        <w:t>valued at approximately $0.50 to $1.50 from the survey company</w:t>
      </w:r>
      <w:r w:rsidRPr="00B12424">
        <w:rPr>
          <w:rFonts w:cs="Arial"/>
          <w:sz w:val="23"/>
          <w:szCs w:val="23"/>
        </w:rPr>
        <w:t xml:space="preserve">. </w:t>
      </w:r>
      <w:r w:rsidR="00581125">
        <w:rPr>
          <w:rFonts w:cs="Arial"/>
          <w:sz w:val="23"/>
          <w:szCs w:val="23"/>
        </w:rPr>
        <w:t>P</w:t>
      </w:r>
      <w:r w:rsidRPr="00B12424">
        <w:rPr>
          <w:rFonts w:cs="Arial"/>
          <w:sz w:val="23"/>
          <w:szCs w:val="23"/>
        </w:rPr>
        <w:t>articipants will be recruited from an existing online panel of potential participants</w:t>
      </w:r>
      <w:r w:rsidR="00581125">
        <w:rPr>
          <w:rFonts w:cs="Arial"/>
          <w:sz w:val="23"/>
          <w:szCs w:val="23"/>
        </w:rPr>
        <w:t xml:space="preserve"> who have agreed to</w:t>
      </w:r>
      <w:r w:rsidRPr="00B12424">
        <w:rPr>
          <w:rFonts w:cs="Arial"/>
          <w:sz w:val="23"/>
          <w:szCs w:val="23"/>
        </w:rPr>
        <w:t xml:space="preserve"> receive points for completing surveys which they can accumulate and exchange for rewards.  </w:t>
      </w:r>
    </w:p>
    <w:p w14:paraId="4015AE5A" w14:textId="751C47C6" w:rsidR="000D184C" w:rsidRDefault="000D184C" w:rsidP="009E573B">
      <w:pPr>
        <w:pStyle w:val="NoSpacing"/>
        <w:rPr>
          <w:rFonts w:cs="Arial"/>
          <w:b/>
          <w:sz w:val="23"/>
          <w:szCs w:val="23"/>
          <w:u w:val="single"/>
        </w:rPr>
      </w:pPr>
    </w:p>
    <w:p w14:paraId="58FA727C" w14:textId="77777777" w:rsidR="00BE2283" w:rsidRPr="00B12424" w:rsidRDefault="00BE2283" w:rsidP="009E573B">
      <w:pPr>
        <w:pStyle w:val="NoSpacing"/>
        <w:rPr>
          <w:rFonts w:cs="Arial"/>
          <w:b/>
          <w:sz w:val="23"/>
          <w:szCs w:val="23"/>
          <w:u w:val="single"/>
        </w:rPr>
      </w:pPr>
    </w:p>
    <w:p w14:paraId="7BDFFED6" w14:textId="457A95DD" w:rsidR="009E573B" w:rsidRPr="00C268CC" w:rsidRDefault="003F714B" w:rsidP="009E573B">
      <w:pPr>
        <w:pStyle w:val="NoSpacing"/>
        <w:rPr>
          <w:rFonts w:cs="Arial"/>
          <w:b/>
          <w:sz w:val="28"/>
          <w:szCs w:val="28"/>
          <w:u w:val="single"/>
        </w:rPr>
      </w:pPr>
      <w:r w:rsidRPr="00C268CC">
        <w:rPr>
          <w:rFonts w:cs="Arial"/>
          <w:b/>
          <w:sz w:val="28"/>
          <w:szCs w:val="28"/>
          <w:u w:val="single"/>
        </w:rPr>
        <w:t xml:space="preserve">Duration of </w:t>
      </w:r>
      <w:r w:rsidR="00236C2F" w:rsidRPr="00C268CC">
        <w:rPr>
          <w:rFonts w:cs="Arial"/>
          <w:b/>
          <w:sz w:val="28"/>
          <w:szCs w:val="28"/>
          <w:u w:val="single"/>
        </w:rPr>
        <w:t>Survey and Focus Groups</w:t>
      </w:r>
    </w:p>
    <w:p w14:paraId="5B405FBC" w14:textId="5F455EE1" w:rsidR="009E573B" w:rsidRPr="00B12424" w:rsidRDefault="009E573B" w:rsidP="009E573B">
      <w:pPr>
        <w:pStyle w:val="NoSpacing"/>
        <w:rPr>
          <w:rFonts w:cs="Arial"/>
          <w:sz w:val="23"/>
          <w:szCs w:val="23"/>
        </w:rPr>
      </w:pPr>
    </w:p>
    <w:p w14:paraId="6F5D2A4D" w14:textId="67F73993" w:rsidR="00516196" w:rsidRPr="00516196" w:rsidRDefault="00516196" w:rsidP="00516196">
      <w:pPr>
        <w:pStyle w:val="NoSpacing"/>
        <w:numPr>
          <w:ilvl w:val="0"/>
          <w:numId w:val="7"/>
        </w:numPr>
        <w:rPr>
          <w:rFonts w:cs="Arial"/>
          <w:sz w:val="23"/>
          <w:szCs w:val="23"/>
        </w:rPr>
      </w:pPr>
      <w:r w:rsidRPr="00B12424">
        <w:rPr>
          <w:rFonts w:cs="Arial"/>
          <w:sz w:val="23"/>
          <w:szCs w:val="23"/>
        </w:rPr>
        <w:t xml:space="preserve">The online survey will take approximately 10 minutes to complete. </w:t>
      </w:r>
    </w:p>
    <w:p w14:paraId="6B9C5CF2" w14:textId="18C6BAAE" w:rsidR="003F714B" w:rsidRPr="00ED5EE6" w:rsidRDefault="00B57DA1" w:rsidP="00ED5EE6">
      <w:pPr>
        <w:pStyle w:val="NoSpacing"/>
        <w:numPr>
          <w:ilvl w:val="0"/>
          <w:numId w:val="7"/>
        </w:numPr>
        <w:rPr>
          <w:rFonts w:cs="Arial"/>
          <w:sz w:val="23"/>
          <w:szCs w:val="23"/>
        </w:rPr>
      </w:pPr>
      <w:r w:rsidRPr="00B12424">
        <w:rPr>
          <w:rFonts w:cs="Arial"/>
          <w:sz w:val="23"/>
          <w:szCs w:val="23"/>
        </w:rPr>
        <w:t>Each focus group</w:t>
      </w:r>
      <w:r w:rsidR="00941D19" w:rsidRPr="00B12424">
        <w:rPr>
          <w:rFonts w:cs="Arial"/>
          <w:sz w:val="23"/>
          <w:szCs w:val="23"/>
        </w:rPr>
        <w:t xml:space="preserve"> with mothers</w:t>
      </w:r>
      <w:r w:rsidRPr="00B12424">
        <w:rPr>
          <w:rFonts w:cs="Arial"/>
          <w:sz w:val="23"/>
          <w:szCs w:val="23"/>
        </w:rPr>
        <w:t xml:space="preserve"> will last approximately 90 minutes</w:t>
      </w:r>
      <w:r w:rsidR="003F714B" w:rsidRPr="00B12424">
        <w:rPr>
          <w:rFonts w:cs="Arial"/>
          <w:sz w:val="23"/>
          <w:szCs w:val="23"/>
        </w:rPr>
        <w:t>.</w:t>
      </w:r>
    </w:p>
    <w:p w14:paraId="36C345D4" w14:textId="77777777" w:rsidR="003F714B" w:rsidRPr="00B12424" w:rsidRDefault="003F714B" w:rsidP="003F714B">
      <w:pPr>
        <w:pStyle w:val="NoSpacing"/>
        <w:rPr>
          <w:rFonts w:cs="Arial"/>
          <w:sz w:val="23"/>
          <w:szCs w:val="23"/>
        </w:rPr>
      </w:pPr>
    </w:p>
    <w:p w14:paraId="68ADF6F3" w14:textId="3D567B41" w:rsidR="00AE45F4" w:rsidRPr="00B12424" w:rsidRDefault="00B57DA1" w:rsidP="00AE45F4">
      <w:pPr>
        <w:rPr>
          <w:rFonts w:cs="Arial"/>
          <w:sz w:val="23"/>
          <w:szCs w:val="23"/>
        </w:rPr>
      </w:pPr>
      <w:r w:rsidRPr="00B12424">
        <w:rPr>
          <w:rFonts w:cs="Arial"/>
          <w:sz w:val="23"/>
          <w:szCs w:val="23"/>
        </w:rPr>
        <w:t xml:space="preserve">The focus groups will be held at a convenient time of day for working people – e.g., at noon or in the late afternoon and evening. All discussions will be conducted by an experienced moderator.  </w:t>
      </w:r>
    </w:p>
    <w:p w14:paraId="64769049" w14:textId="77777777" w:rsidR="00C268CC" w:rsidRDefault="00C268CC" w:rsidP="002839C9">
      <w:pPr>
        <w:pStyle w:val="NoSpacing"/>
        <w:rPr>
          <w:rFonts w:cs="Arial"/>
          <w:b/>
          <w:sz w:val="28"/>
          <w:szCs w:val="28"/>
          <w:u w:val="single"/>
        </w:rPr>
      </w:pPr>
    </w:p>
    <w:p w14:paraId="7CE1024D" w14:textId="38350110" w:rsidR="009930B7" w:rsidRPr="00C268CC" w:rsidRDefault="009E573B" w:rsidP="002839C9">
      <w:pPr>
        <w:pStyle w:val="NoSpacing"/>
        <w:rPr>
          <w:rFonts w:cs="Arial"/>
          <w:b/>
          <w:sz w:val="28"/>
          <w:szCs w:val="28"/>
          <w:u w:val="single"/>
        </w:rPr>
      </w:pPr>
      <w:r w:rsidRPr="00C268CC">
        <w:rPr>
          <w:rFonts w:cs="Arial"/>
          <w:b/>
          <w:sz w:val="28"/>
          <w:szCs w:val="28"/>
          <w:u w:val="single"/>
        </w:rPr>
        <w:t>Burden</w:t>
      </w:r>
    </w:p>
    <w:p w14:paraId="7E5059C0" w14:textId="77777777" w:rsidR="002839C9" w:rsidRPr="002839C9" w:rsidRDefault="002839C9" w:rsidP="002839C9">
      <w:pPr>
        <w:pStyle w:val="NoSpacing"/>
        <w:rPr>
          <w:rFonts w:cs="Arial"/>
          <w:b/>
          <w:u w:val="single"/>
        </w:rPr>
      </w:pPr>
    </w:p>
    <w:tbl>
      <w:tblPr>
        <w:tblStyle w:val="TableGrid"/>
        <w:tblW w:w="0" w:type="auto"/>
        <w:tblLook w:val="04A0" w:firstRow="1" w:lastRow="0" w:firstColumn="1" w:lastColumn="0" w:noHBand="0" w:noVBand="1"/>
      </w:tblPr>
      <w:tblGrid>
        <w:gridCol w:w="1575"/>
        <w:gridCol w:w="2600"/>
        <w:gridCol w:w="1434"/>
        <w:gridCol w:w="1506"/>
        <w:gridCol w:w="1241"/>
        <w:gridCol w:w="994"/>
      </w:tblGrid>
      <w:tr w:rsidR="009930B7" w:rsidRPr="00645B71" w14:paraId="23EA0836" w14:textId="77777777" w:rsidTr="00D97334">
        <w:trPr>
          <w:trHeight w:val="1160"/>
        </w:trPr>
        <w:tc>
          <w:tcPr>
            <w:tcW w:w="1575" w:type="dxa"/>
            <w:shd w:val="clear" w:color="auto" w:fill="F2F2F2" w:themeFill="background1" w:themeFillShade="F2"/>
            <w:vAlign w:val="center"/>
          </w:tcPr>
          <w:p w14:paraId="5F2247D8" w14:textId="77777777" w:rsidR="009930B7" w:rsidRPr="00645B71" w:rsidRDefault="009930B7" w:rsidP="00D97334">
            <w:pPr>
              <w:pStyle w:val="NoSpacing"/>
              <w:jc w:val="center"/>
            </w:pPr>
            <w:r w:rsidRPr="00645B71">
              <w:t>Type of Respondents</w:t>
            </w:r>
          </w:p>
        </w:tc>
        <w:tc>
          <w:tcPr>
            <w:tcW w:w="2600" w:type="dxa"/>
            <w:shd w:val="clear" w:color="auto" w:fill="F2F2F2" w:themeFill="background1" w:themeFillShade="F2"/>
            <w:vAlign w:val="center"/>
          </w:tcPr>
          <w:p w14:paraId="412B1DAF" w14:textId="77777777" w:rsidR="009930B7" w:rsidRPr="00645B71" w:rsidRDefault="009930B7" w:rsidP="00D97334">
            <w:pPr>
              <w:pStyle w:val="NoSpacing"/>
              <w:jc w:val="center"/>
            </w:pPr>
            <w:r w:rsidRPr="00645B71">
              <w:t>Form Name</w:t>
            </w:r>
          </w:p>
        </w:tc>
        <w:tc>
          <w:tcPr>
            <w:tcW w:w="1434" w:type="dxa"/>
            <w:shd w:val="clear" w:color="auto" w:fill="F2F2F2" w:themeFill="background1" w:themeFillShade="F2"/>
            <w:vAlign w:val="center"/>
          </w:tcPr>
          <w:p w14:paraId="2E1E91DA" w14:textId="77777777" w:rsidR="009930B7" w:rsidRPr="00645B71" w:rsidRDefault="009930B7" w:rsidP="00D97334">
            <w:pPr>
              <w:pStyle w:val="NoSpacing"/>
              <w:jc w:val="center"/>
            </w:pPr>
            <w:r w:rsidRPr="00645B71">
              <w:t>Number of Respondents</w:t>
            </w:r>
          </w:p>
        </w:tc>
        <w:tc>
          <w:tcPr>
            <w:tcW w:w="1506" w:type="dxa"/>
            <w:shd w:val="clear" w:color="auto" w:fill="F2F2F2" w:themeFill="background1" w:themeFillShade="F2"/>
            <w:vAlign w:val="center"/>
          </w:tcPr>
          <w:p w14:paraId="65CE126A" w14:textId="77777777" w:rsidR="009930B7" w:rsidRPr="00645B71" w:rsidRDefault="009930B7" w:rsidP="00D97334">
            <w:pPr>
              <w:pStyle w:val="NoSpacing"/>
              <w:jc w:val="center"/>
            </w:pPr>
            <w:r w:rsidRPr="00645B71">
              <w:t>Number of Responses per Respondent</w:t>
            </w:r>
          </w:p>
        </w:tc>
        <w:tc>
          <w:tcPr>
            <w:tcW w:w="1241" w:type="dxa"/>
            <w:shd w:val="clear" w:color="auto" w:fill="F2F2F2" w:themeFill="background1" w:themeFillShade="F2"/>
            <w:vAlign w:val="center"/>
          </w:tcPr>
          <w:p w14:paraId="2DA54B85" w14:textId="77777777" w:rsidR="009930B7" w:rsidRPr="00645B71" w:rsidRDefault="009930B7" w:rsidP="00D97334">
            <w:pPr>
              <w:pStyle w:val="NoSpacing"/>
              <w:jc w:val="center"/>
            </w:pPr>
            <w:r w:rsidRPr="00645B71">
              <w:t>Burden per Response (in hr)</w:t>
            </w:r>
          </w:p>
        </w:tc>
        <w:tc>
          <w:tcPr>
            <w:tcW w:w="994" w:type="dxa"/>
            <w:shd w:val="clear" w:color="auto" w:fill="F2F2F2" w:themeFill="background1" w:themeFillShade="F2"/>
            <w:vAlign w:val="center"/>
          </w:tcPr>
          <w:p w14:paraId="394EED15" w14:textId="77777777" w:rsidR="009930B7" w:rsidRPr="00645B71" w:rsidRDefault="009930B7" w:rsidP="00D97334">
            <w:pPr>
              <w:pStyle w:val="NoSpacing"/>
              <w:jc w:val="center"/>
            </w:pPr>
            <w:r w:rsidRPr="00645B71">
              <w:t>Total Burden (in hr)</w:t>
            </w:r>
          </w:p>
        </w:tc>
      </w:tr>
      <w:tr w:rsidR="005159B7" w:rsidRPr="00684A5B" w14:paraId="4EFA5D07" w14:textId="77777777" w:rsidTr="00D97334">
        <w:tc>
          <w:tcPr>
            <w:tcW w:w="1575" w:type="dxa"/>
            <w:vMerge w:val="restart"/>
            <w:vAlign w:val="center"/>
          </w:tcPr>
          <w:p w14:paraId="6449C154" w14:textId="2C19509A" w:rsidR="005159B7" w:rsidRPr="00684A5B" w:rsidRDefault="005159B7" w:rsidP="00D97334">
            <w:pPr>
              <w:pStyle w:val="NoSpacing"/>
              <w:jc w:val="center"/>
            </w:pPr>
            <w:r w:rsidRPr="00684A5B">
              <w:t>Mothers</w:t>
            </w:r>
          </w:p>
        </w:tc>
        <w:tc>
          <w:tcPr>
            <w:tcW w:w="2600" w:type="dxa"/>
            <w:vAlign w:val="center"/>
          </w:tcPr>
          <w:p w14:paraId="7C8A98D1" w14:textId="7BEC4236" w:rsidR="005159B7" w:rsidRPr="00684A5B" w:rsidRDefault="00465B8A" w:rsidP="00D97334">
            <w:pPr>
              <w:pStyle w:val="NoSpacing"/>
              <w:jc w:val="center"/>
              <w:rPr>
                <w:sz w:val="20"/>
              </w:rPr>
            </w:pPr>
            <w:r>
              <w:rPr>
                <w:sz w:val="20"/>
              </w:rPr>
              <w:t>Focus</w:t>
            </w:r>
            <w:r w:rsidR="005159B7" w:rsidRPr="00684A5B">
              <w:rPr>
                <w:sz w:val="20"/>
              </w:rPr>
              <w:t xml:space="preserve"> Group Recruitment Screener</w:t>
            </w:r>
          </w:p>
        </w:tc>
        <w:tc>
          <w:tcPr>
            <w:tcW w:w="1434" w:type="dxa"/>
            <w:vAlign w:val="center"/>
          </w:tcPr>
          <w:p w14:paraId="6C1579F1" w14:textId="50B4AAE5" w:rsidR="005159B7" w:rsidRPr="00684A5B" w:rsidRDefault="005159B7" w:rsidP="00D97334">
            <w:pPr>
              <w:pStyle w:val="NoSpacing"/>
              <w:jc w:val="center"/>
              <w:rPr>
                <w:sz w:val="20"/>
              </w:rPr>
            </w:pPr>
            <w:r>
              <w:rPr>
                <w:sz w:val="20"/>
              </w:rPr>
              <w:t>160</w:t>
            </w:r>
          </w:p>
        </w:tc>
        <w:tc>
          <w:tcPr>
            <w:tcW w:w="1506" w:type="dxa"/>
            <w:vAlign w:val="center"/>
          </w:tcPr>
          <w:p w14:paraId="0EF401AC" w14:textId="77777777" w:rsidR="005159B7" w:rsidRPr="00684A5B" w:rsidRDefault="005159B7" w:rsidP="00D97334">
            <w:pPr>
              <w:pStyle w:val="NoSpacing"/>
              <w:jc w:val="center"/>
              <w:rPr>
                <w:sz w:val="20"/>
              </w:rPr>
            </w:pPr>
            <w:r w:rsidRPr="00684A5B">
              <w:rPr>
                <w:sz w:val="20"/>
              </w:rPr>
              <w:t>1</w:t>
            </w:r>
          </w:p>
        </w:tc>
        <w:tc>
          <w:tcPr>
            <w:tcW w:w="1241" w:type="dxa"/>
            <w:vAlign w:val="center"/>
          </w:tcPr>
          <w:p w14:paraId="41F0E559" w14:textId="77777777" w:rsidR="005159B7" w:rsidRPr="00684A5B" w:rsidRDefault="005159B7" w:rsidP="00D97334">
            <w:pPr>
              <w:pStyle w:val="NoSpacing"/>
              <w:jc w:val="center"/>
              <w:rPr>
                <w:sz w:val="20"/>
              </w:rPr>
            </w:pPr>
            <w:r w:rsidRPr="00684A5B">
              <w:rPr>
                <w:sz w:val="20"/>
              </w:rPr>
              <w:t>10/60</w:t>
            </w:r>
          </w:p>
        </w:tc>
        <w:tc>
          <w:tcPr>
            <w:tcW w:w="994" w:type="dxa"/>
            <w:vAlign w:val="center"/>
          </w:tcPr>
          <w:p w14:paraId="519B5435" w14:textId="03DBB0BA" w:rsidR="005159B7" w:rsidRPr="00684A5B" w:rsidRDefault="003F714B" w:rsidP="00D97334">
            <w:pPr>
              <w:pStyle w:val="NoSpacing"/>
              <w:jc w:val="center"/>
              <w:rPr>
                <w:sz w:val="20"/>
              </w:rPr>
            </w:pPr>
            <w:r>
              <w:rPr>
                <w:sz w:val="20"/>
              </w:rPr>
              <w:t xml:space="preserve">27 </w:t>
            </w:r>
          </w:p>
        </w:tc>
      </w:tr>
      <w:tr w:rsidR="005159B7" w:rsidRPr="00684A5B" w14:paraId="06E58D72" w14:textId="77777777" w:rsidTr="00D97334">
        <w:tc>
          <w:tcPr>
            <w:tcW w:w="1575" w:type="dxa"/>
            <w:vMerge/>
            <w:vAlign w:val="center"/>
          </w:tcPr>
          <w:p w14:paraId="75CFC555" w14:textId="77777777" w:rsidR="005159B7" w:rsidRPr="00684A5B" w:rsidRDefault="005159B7" w:rsidP="00D97334">
            <w:pPr>
              <w:pStyle w:val="NoSpacing"/>
              <w:jc w:val="center"/>
            </w:pPr>
          </w:p>
        </w:tc>
        <w:tc>
          <w:tcPr>
            <w:tcW w:w="2600" w:type="dxa"/>
            <w:vAlign w:val="center"/>
          </w:tcPr>
          <w:p w14:paraId="3ED24E62" w14:textId="4CAC9DD6" w:rsidR="005159B7" w:rsidRPr="00684A5B" w:rsidRDefault="00465B8A" w:rsidP="00D97334">
            <w:pPr>
              <w:pStyle w:val="NoSpacing"/>
              <w:jc w:val="center"/>
              <w:rPr>
                <w:sz w:val="20"/>
              </w:rPr>
            </w:pPr>
            <w:r>
              <w:rPr>
                <w:sz w:val="20"/>
              </w:rPr>
              <w:t>Focus Group</w:t>
            </w:r>
            <w:r w:rsidRPr="00684A5B">
              <w:rPr>
                <w:sz w:val="20"/>
              </w:rPr>
              <w:t xml:space="preserve"> </w:t>
            </w:r>
            <w:r w:rsidR="005159B7" w:rsidRPr="00684A5B">
              <w:rPr>
                <w:sz w:val="20"/>
              </w:rPr>
              <w:t xml:space="preserve">Moderator’s Guide </w:t>
            </w:r>
          </w:p>
        </w:tc>
        <w:tc>
          <w:tcPr>
            <w:tcW w:w="1434" w:type="dxa"/>
            <w:vAlign w:val="center"/>
          </w:tcPr>
          <w:p w14:paraId="2515CCDC" w14:textId="56D06B23" w:rsidR="005159B7" w:rsidRPr="00684A5B" w:rsidRDefault="005159B7" w:rsidP="00D97334">
            <w:pPr>
              <w:pStyle w:val="NoSpacing"/>
              <w:jc w:val="center"/>
              <w:rPr>
                <w:sz w:val="20"/>
              </w:rPr>
            </w:pPr>
            <w:r>
              <w:rPr>
                <w:sz w:val="20"/>
              </w:rPr>
              <w:t>160</w:t>
            </w:r>
          </w:p>
        </w:tc>
        <w:tc>
          <w:tcPr>
            <w:tcW w:w="1506" w:type="dxa"/>
            <w:vAlign w:val="center"/>
          </w:tcPr>
          <w:p w14:paraId="5060E3CB" w14:textId="77777777" w:rsidR="005159B7" w:rsidRPr="00684A5B" w:rsidRDefault="005159B7" w:rsidP="00D97334">
            <w:pPr>
              <w:pStyle w:val="NoSpacing"/>
              <w:jc w:val="center"/>
              <w:rPr>
                <w:sz w:val="20"/>
              </w:rPr>
            </w:pPr>
            <w:r w:rsidRPr="00684A5B">
              <w:rPr>
                <w:sz w:val="20"/>
              </w:rPr>
              <w:t>1</w:t>
            </w:r>
          </w:p>
        </w:tc>
        <w:tc>
          <w:tcPr>
            <w:tcW w:w="1241" w:type="dxa"/>
            <w:vAlign w:val="center"/>
          </w:tcPr>
          <w:p w14:paraId="300FD4B7" w14:textId="77777777" w:rsidR="005159B7" w:rsidRPr="00684A5B" w:rsidRDefault="005159B7" w:rsidP="00D97334">
            <w:pPr>
              <w:pStyle w:val="NoSpacing"/>
              <w:jc w:val="center"/>
              <w:rPr>
                <w:sz w:val="20"/>
              </w:rPr>
            </w:pPr>
            <w:r w:rsidRPr="00684A5B">
              <w:rPr>
                <w:sz w:val="20"/>
              </w:rPr>
              <w:t>90/60</w:t>
            </w:r>
          </w:p>
        </w:tc>
        <w:tc>
          <w:tcPr>
            <w:tcW w:w="994" w:type="dxa"/>
            <w:vAlign w:val="center"/>
          </w:tcPr>
          <w:p w14:paraId="6A602E85" w14:textId="388408A7" w:rsidR="005159B7" w:rsidRPr="00684A5B" w:rsidRDefault="003F714B" w:rsidP="00D97334">
            <w:pPr>
              <w:pStyle w:val="NoSpacing"/>
              <w:jc w:val="center"/>
              <w:rPr>
                <w:sz w:val="20"/>
              </w:rPr>
            </w:pPr>
            <w:r>
              <w:rPr>
                <w:sz w:val="20"/>
              </w:rPr>
              <w:t>240</w:t>
            </w:r>
          </w:p>
        </w:tc>
      </w:tr>
      <w:tr w:rsidR="005159B7" w:rsidRPr="00684A5B" w14:paraId="7BF9CD9D" w14:textId="77777777" w:rsidTr="00D97334">
        <w:tc>
          <w:tcPr>
            <w:tcW w:w="1575" w:type="dxa"/>
            <w:vMerge/>
            <w:vAlign w:val="center"/>
          </w:tcPr>
          <w:p w14:paraId="7391ED05" w14:textId="77777777" w:rsidR="005159B7" w:rsidRPr="00684A5B" w:rsidRDefault="005159B7" w:rsidP="00D97334">
            <w:pPr>
              <w:pStyle w:val="NoSpacing"/>
              <w:jc w:val="center"/>
            </w:pPr>
          </w:p>
        </w:tc>
        <w:tc>
          <w:tcPr>
            <w:tcW w:w="2600" w:type="dxa"/>
            <w:vAlign w:val="center"/>
          </w:tcPr>
          <w:p w14:paraId="403ED606" w14:textId="152FE932" w:rsidR="005159B7" w:rsidRPr="00684A5B" w:rsidRDefault="005159B7" w:rsidP="00D97334">
            <w:pPr>
              <w:pStyle w:val="NoSpacing"/>
              <w:jc w:val="center"/>
              <w:rPr>
                <w:sz w:val="20"/>
              </w:rPr>
            </w:pPr>
            <w:r>
              <w:rPr>
                <w:sz w:val="20"/>
              </w:rPr>
              <w:t xml:space="preserve">Eligibility Screener for Online Survey </w:t>
            </w:r>
          </w:p>
        </w:tc>
        <w:tc>
          <w:tcPr>
            <w:tcW w:w="1434" w:type="dxa"/>
            <w:vAlign w:val="center"/>
          </w:tcPr>
          <w:p w14:paraId="45A56BBC" w14:textId="5B5645D1" w:rsidR="005159B7" w:rsidRDefault="005159B7" w:rsidP="00D97334">
            <w:pPr>
              <w:pStyle w:val="NoSpacing"/>
              <w:jc w:val="center"/>
              <w:rPr>
                <w:sz w:val="20"/>
              </w:rPr>
            </w:pPr>
            <w:r>
              <w:rPr>
                <w:sz w:val="20"/>
              </w:rPr>
              <w:t>2,000</w:t>
            </w:r>
          </w:p>
        </w:tc>
        <w:tc>
          <w:tcPr>
            <w:tcW w:w="1506" w:type="dxa"/>
            <w:vAlign w:val="center"/>
          </w:tcPr>
          <w:p w14:paraId="7622F70A" w14:textId="53FFB839" w:rsidR="005159B7" w:rsidRPr="00684A5B" w:rsidRDefault="005159B7" w:rsidP="00D97334">
            <w:pPr>
              <w:pStyle w:val="NoSpacing"/>
              <w:jc w:val="center"/>
              <w:rPr>
                <w:sz w:val="20"/>
              </w:rPr>
            </w:pPr>
            <w:r>
              <w:rPr>
                <w:sz w:val="20"/>
              </w:rPr>
              <w:t>1</w:t>
            </w:r>
          </w:p>
        </w:tc>
        <w:tc>
          <w:tcPr>
            <w:tcW w:w="1241" w:type="dxa"/>
            <w:vAlign w:val="center"/>
          </w:tcPr>
          <w:p w14:paraId="366C427B" w14:textId="5E29D421" w:rsidR="005159B7" w:rsidRPr="00684A5B" w:rsidRDefault="00BE7785" w:rsidP="00D97334">
            <w:pPr>
              <w:pStyle w:val="NoSpacing"/>
              <w:jc w:val="center"/>
              <w:rPr>
                <w:sz w:val="20"/>
              </w:rPr>
            </w:pPr>
            <w:r>
              <w:rPr>
                <w:sz w:val="20"/>
              </w:rPr>
              <w:t>3/6</w:t>
            </w:r>
            <w:r w:rsidR="005159B7">
              <w:rPr>
                <w:sz w:val="20"/>
              </w:rPr>
              <w:t>0</w:t>
            </w:r>
          </w:p>
        </w:tc>
        <w:tc>
          <w:tcPr>
            <w:tcW w:w="994" w:type="dxa"/>
            <w:vAlign w:val="center"/>
          </w:tcPr>
          <w:p w14:paraId="723F284C" w14:textId="5F6C2898" w:rsidR="005159B7" w:rsidRPr="00684A5B" w:rsidRDefault="00465B8A" w:rsidP="00D97334">
            <w:pPr>
              <w:pStyle w:val="NoSpacing"/>
              <w:jc w:val="center"/>
              <w:rPr>
                <w:sz w:val="20"/>
              </w:rPr>
            </w:pPr>
            <w:r>
              <w:rPr>
                <w:sz w:val="20"/>
              </w:rPr>
              <w:t>100</w:t>
            </w:r>
          </w:p>
        </w:tc>
      </w:tr>
      <w:tr w:rsidR="005159B7" w:rsidRPr="00684A5B" w14:paraId="569883A3" w14:textId="77777777" w:rsidTr="00D97334">
        <w:tc>
          <w:tcPr>
            <w:tcW w:w="1575" w:type="dxa"/>
            <w:vMerge/>
            <w:vAlign w:val="center"/>
          </w:tcPr>
          <w:p w14:paraId="6A352A41" w14:textId="77777777" w:rsidR="005159B7" w:rsidRPr="00684A5B" w:rsidRDefault="005159B7" w:rsidP="00D97334">
            <w:pPr>
              <w:pStyle w:val="NoSpacing"/>
              <w:jc w:val="center"/>
            </w:pPr>
          </w:p>
        </w:tc>
        <w:tc>
          <w:tcPr>
            <w:tcW w:w="2600" w:type="dxa"/>
            <w:vAlign w:val="center"/>
          </w:tcPr>
          <w:p w14:paraId="14A2E212" w14:textId="54B0CBB0" w:rsidR="005159B7" w:rsidRPr="00684A5B" w:rsidRDefault="00465B8A" w:rsidP="00D97334">
            <w:pPr>
              <w:pStyle w:val="NoSpacing"/>
              <w:jc w:val="center"/>
              <w:rPr>
                <w:sz w:val="20"/>
              </w:rPr>
            </w:pPr>
            <w:r>
              <w:rPr>
                <w:sz w:val="20"/>
              </w:rPr>
              <w:t>Online Survey</w:t>
            </w:r>
          </w:p>
        </w:tc>
        <w:tc>
          <w:tcPr>
            <w:tcW w:w="1434" w:type="dxa"/>
            <w:vAlign w:val="center"/>
          </w:tcPr>
          <w:p w14:paraId="47C799F1" w14:textId="755B8B66" w:rsidR="005159B7" w:rsidRDefault="005159B7" w:rsidP="00D97334">
            <w:pPr>
              <w:pStyle w:val="NoSpacing"/>
              <w:jc w:val="center"/>
              <w:rPr>
                <w:sz w:val="20"/>
              </w:rPr>
            </w:pPr>
            <w:r>
              <w:rPr>
                <w:sz w:val="20"/>
              </w:rPr>
              <w:t>2,000</w:t>
            </w:r>
          </w:p>
        </w:tc>
        <w:tc>
          <w:tcPr>
            <w:tcW w:w="1506" w:type="dxa"/>
            <w:vAlign w:val="center"/>
          </w:tcPr>
          <w:p w14:paraId="4F697E61" w14:textId="144B3967" w:rsidR="005159B7" w:rsidRPr="00684A5B" w:rsidRDefault="005159B7" w:rsidP="00D97334">
            <w:pPr>
              <w:pStyle w:val="NoSpacing"/>
              <w:jc w:val="center"/>
              <w:rPr>
                <w:sz w:val="20"/>
              </w:rPr>
            </w:pPr>
            <w:r>
              <w:rPr>
                <w:sz w:val="20"/>
              </w:rPr>
              <w:t>1</w:t>
            </w:r>
          </w:p>
        </w:tc>
        <w:tc>
          <w:tcPr>
            <w:tcW w:w="1241" w:type="dxa"/>
            <w:vAlign w:val="center"/>
          </w:tcPr>
          <w:p w14:paraId="1D222230" w14:textId="6D51E351" w:rsidR="005159B7" w:rsidRPr="00684A5B" w:rsidRDefault="00465B8A" w:rsidP="00D97334">
            <w:pPr>
              <w:pStyle w:val="NoSpacing"/>
              <w:jc w:val="center"/>
              <w:rPr>
                <w:sz w:val="20"/>
              </w:rPr>
            </w:pPr>
            <w:r>
              <w:rPr>
                <w:sz w:val="20"/>
              </w:rPr>
              <w:t>12</w:t>
            </w:r>
            <w:r w:rsidR="005159B7">
              <w:rPr>
                <w:sz w:val="20"/>
              </w:rPr>
              <w:t>/60</w:t>
            </w:r>
          </w:p>
        </w:tc>
        <w:tc>
          <w:tcPr>
            <w:tcW w:w="994" w:type="dxa"/>
            <w:vAlign w:val="center"/>
          </w:tcPr>
          <w:p w14:paraId="418641D6" w14:textId="793ACA34" w:rsidR="005159B7" w:rsidRPr="00684A5B" w:rsidRDefault="00465B8A" w:rsidP="00D97334">
            <w:pPr>
              <w:pStyle w:val="NoSpacing"/>
              <w:jc w:val="center"/>
              <w:rPr>
                <w:sz w:val="20"/>
              </w:rPr>
            </w:pPr>
            <w:r>
              <w:rPr>
                <w:sz w:val="20"/>
              </w:rPr>
              <w:t>400</w:t>
            </w:r>
          </w:p>
        </w:tc>
      </w:tr>
      <w:tr w:rsidR="009930B7" w:rsidRPr="00684A5B" w14:paraId="2172C405" w14:textId="77777777" w:rsidTr="00645B71">
        <w:trPr>
          <w:trHeight w:val="377"/>
        </w:trPr>
        <w:tc>
          <w:tcPr>
            <w:tcW w:w="9350" w:type="dxa"/>
            <w:gridSpan w:val="6"/>
            <w:tcBorders>
              <w:bottom w:val="single" w:sz="4" w:space="0" w:color="auto"/>
            </w:tcBorders>
            <w:vAlign w:val="center"/>
          </w:tcPr>
          <w:p w14:paraId="1C025B3C" w14:textId="500A7B55" w:rsidR="009930B7" w:rsidRPr="00684A5B" w:rsidRDefault="009930B7" w:rsidP="00645B71">
            <w:pPr>
              <w:pStyle w:val="NoSpacing"/>
              <w:jc w:val="right"/>
              <w:rPr>
                <w:b/>
              </w:rPr>
            </w:pPr>
            <w:r w:rsidRPr="00684A5B">
              <w:rPr>
                <w:b/>
              </w:rPr>
              <w:t xml:space="preserve">Total: </w:t>
            </w:r>
            <w:r w:rsidR="00465B8A">
              <w:rPr>
                <w:b/>
                <w:sz w:val="24"/>
                <w:szCs w:val="24"/>
              </w:rPr>
              <w:t>767</w:t>
            </w:r>
            <w:r w:rsidR="003F714B" w:rsidRPr="003F714B">
              <w:rPr>
                <w:b/>
                <w:sz w:val="24"/>
                <w:szCs w:val="24"/>
              </w:rPr>
              <w:t xml:space="preserve"> HOURS</w:t>
            </w:r>
          </w:p>
        </w:tc>
      </w:tr>
    </w:tbl>
    <w:p w14:paraId="5F22C16B" w14:textId="28DCA717" w:rsidR="00DB0F93" w:rsidRDefault="00DB0F93" w:rsidP="009E573B">
      <w:pPr>
        <w:pStyle w:val="NoSpacing"/>
        <w:rPr>
          <w:rFonts w:ascii="Arial" w:hAnsi="Arial" w:cs="Arial"/>
          <w:sz w:val="24"/>
        </w:rPr>
      </w:pPr>
    </w:p>
    <w:sectPr w:rsidR="00DB0F93" w:rsidSect="006F4548">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F4599" w14:textId="77777777" w:rsidR="00CC5296" w:rsidRDefault="00CC5296" w:rsidP="00777434">
      <w:pPr>
        <w:spacing w:after="0" w:line="240" w:lineRule="auto"/>
      </w:pPr>
      <w:r>
        <w:separator/>
      </w:r>
    </w:p>
  </w:endnote>
  <w:endnote w:type="continuationSeparator" w:id="0">
    <w:p w14:paraId="5271BE65" w14:textId="77777777" w:rsidR="00CC5296" w:rsidRDefault="00CC5296" w:rsidP="0077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96769"/>
      <w:docPartObj>
        <w:docPartGallery w:val="Page Numbers (Bottom of Page)"/>
        <w:docPartUnique/>
      </w:docPartObj>
    </w:sdtPr>
    <w:sdtEndPr>
      <w:rPr>
        <w:noProof/>
      </w:rPr>
    </w:sdtEndPr>
    <w:sdtContent>
      <w:p w14:paraId="3181FD0D" w14:textId="17E5305D" w:rsidR="00746C38" w:rsidRDefault="00746C38">
        <w:pPr>
          <w:pStyle w:val="Footer"/>
          <w:jc w:val="right"/>
        </w:pPr>
        <w:r>
          <w:fldChar w:fldCharType="begin"/>
        </w:r>
        <w:r>
          <w:instrText xml:space="preserve"> PAGE   \* MERGEFORMAT </w:instrText>
        </w:r>
        <w:r>
          <w:fldChar w:fldCharType="separate"/>
        </w:r>
        <w:r w:rsidR="006077D5">
          <w:rPr>
            <w:noProof/>
          </w:rPr>
          <w:t>4</w:t>
        </w:r>
        <w:r>
          <w:rPr>
            <w:noProof/>
          </w:rPr>
          <w:fldChar w:fldCharType="end"/>
        </w:r>
      </w:p>
    </w:sdtContent>
  </w:sdt>
  <w:p w14:paraId="6EB5B4B4" w14:textId="77777777" w:rsidR="00746C38" w:rsidRDefault="00746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83958"/>
      <w:docPartObj>
        <w:docPartGallery w:val="Page Numbers (Bottom of Page)"/>
        <w:docPartUnique/>
      </w:docPartObj>
    </w:sdtPr>
    <w:sdtEndPr>
      <w:rPr>
        <w:noProof/>
      </w:rPr>
    </w:sdtEndPr>
    <w:sdtContent>
      <w:p w14:paraId="17C8F09A" w14:textId="0BA6691E" w:rsidR="006F4548" w:rsidRDefault="006F4548">
        <w:pPr>
          <w:pStyle w:val="Footer"/>
          <w:jc w:val="right"/>
        </w:pPr>
        <w:r>
          <w:fldChar w:fldCharType="begin"/>
        </w:r>
        <w:r>
          <w:instrText xml:space="preserve"> PAGE   \* MERGEFORMAT </w:instrText>
        </w:r>
        <w:r>
          <w:fldChar w:fldCharType="separate"/>
        </w:r>
        <w:r w:rsidR="008B5D66">
          <w:rPr>
            <w:noProof/>
          </w:rPr>
          <w:t>1</w:t>
        </w:r>
        <w:r>
          <w:rPr>
            <w:noProof/>
          </w:rPr>
          <w:fldChar w:fldCharType="end"/>
        </w:r>
      </w:p>
    </w:sdtContent>
  </w:sdt>
  <w:p w14:paraId="01514BA2" w14:textId="77777777" w:rsidR="006F4548" w:rsidRDefault="006F4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16DFD" w14:textId="77777777" w:rsidR="00CC5296" w:rsidRDefault="00CC5296" w:rsidP="00777434">
      <w:pPr>
        <w:spacing w:after="0" w:line="240" w:lineRule="auto"/>
      </w:pPr>
      <w:r>
        <w:separator/>
      </w:r>
    </w:p>
  </w:footnote>
  <w:footnote w:type="continuationSeparator" w:id="0">
    <w:p w14:paraId="7A3AD8C6" w14:textId="77777777" w:rsidR="00CC5296" w:rsidRDefault="00CC5296" w:rsidP="00777434">
      <w:pPr>
        <w:spacing w:after="0" w:line="240" w:lineRule="auto"/>
      </w:pPr>
      <w:r>
        <w:continuationSeparator/>
      </w:r>
    </w:p>
  </w:footnote>
  <w:footnote w:id="1">
    <w:p w14:paraId="057D9189" w14:textId="6013FD1B" w:rsidR="00FA2109" w:rsidRDefault="00FA2109">
      <w:pPr>
        <w:pStyle w:val="FootnoteText"/>
      </w:pPr>
      <w:r>
        <w:rPr>
          <w:rStyle w:val="FootnoteReference"/>
        </w:rPr>
        <w:footnoteRef/>
      </w:r>
      <w:r>
        <w:t xml:space="preserve"> </w:t>
      </w:r>
      <w:r w:rsidRPr="001851FA">
        <w:rPr>
          <w:color w:val="000000"/>
          <w:sz w:val="18"/>
          <w:szCs w:val="18"/>
          <w:shd w:val="clear" w:color="auto" w:fill="FFFFFF"/>
        </w:rPr>
        <w:t>Whitaker KL, Jarvis MJ, Beeken RJ, Boniface D, Wardle J. Comparing maternal and paternal intergenerational transmission of obesity risk in a large population-based sample. Am J Clin Nutr. 2010 [epub]. Epub 2010/04/09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94"/>
    <w:multiLevelType w:val="hybridMultilevel"/>
    <w:tmpl w:val="878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432F7"/>
    <w:multiLevelType w:val="hybridMultilevel"/>
    <w:tmpl w:val="95682B26"/>
    <w:lvl w:ilvl="0" w:tplc="BF3266F6">
      <w:start w:val="1"/>
      <w:numFmt w:val="upperLetter"/>
      <w:lvlText w:val="%1."/>
      <w:lvlJc w:val="left"/>
      <w:pPr>
        <w:ind w:left="720" w:hanging="360"/>
      </w:pPr>
      <w:rPr>
        <w:rFonts w:ascii="Arial" w:eastAsiaTheme="minorHAnsi"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4813"/>
    <w:multiLevelType w:val="hybridMultilevel"/>
    <w:tmpl w:val="934C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A78EC"/>
    <w:multiLevelType w:val="hybridMultilevel"/>
    <w:tmpl w:val="9090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54D4"/>
    <w:multiLevelType w:val="hybridMultilevel"/>
    <w:tmpl w:val="B75E0342"/>
    <w:lvl w:ilvl="0" w:tplc="3B2C98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B81137B"/>
    <w:multiLevelType w:val="hybridMultilevel"/>
    <w:tmpl w:val="2D907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2F1B73"/>
    <w:multiLevelType w:val="hybridMultilevel"/>
    <w:tmpl w:val="8048B42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D356340"/>
    <w:multiLevelType w:val="hybridMultilevel"/>
    <w:tmpl w:val="F0F6AE2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32CF0"/>
    <w:multiLevelType w:val="hybridMultilevel"/>
    <w:tmpl w:val="CA42F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9505C"/>
    <w:multiLevelType w:val="hybridMultilevel"/>
    <w:tmpl w:val="61D47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3A790A"/>
    <w:multiLevelType w:val="hybridMultilevel"/>
    <w:tmpl w:val="7D44FDB8"/>
    <w:lvl w:ilvl="0" w:tplc="B0F66940">
      <w:start w:val="1"/>
      <w:numFmt w:val="upp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9448C7"/>
    <w:multiLevelType w:val="hybridMultilevel"/>
    <w:tmpl w:val="6BD8C238"/>
    <w:lvl w:ilvl="0" w:tplc="9BA0EE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7B3A9A"/>
    <w:multiLevelType w:val="hybridMultilevel"/>
    <w:tmpl w:val="8CD8D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A557F"/>
    <w:multiLevelType w:val="hybridMultilevel"/>
    <w:tmpl w:val="8AF0994A"/>
    <w:lvl w:ilvl="0" w:tplc="2932C040">
      <w:start w:val="1"/>
      <w:numFmt w:val="decimal"/>
      <w:lvlText w:val="%1."/>
      <w:lvlJc w:val="left"/>
      <w:pPr>
        <w:ind w:left="360" w:hanging="360"/>
      </w:pPr>
      <w:rPr>
        <w:rFonts w:hint="default"/>
        <w:b/>
        <w:i w:val="0"/>
        <w:sz w:val="24"/>
        <w:szCs w:val="24"/>
      </w:rPr>
    </w:lvl>
    <w:lvl w:ilvl="1" w:tplc="04090005">
      <w:start w:val="1"/>
      <w:numFmt w:val="bullet"/>
      <w:lvlText w:val=""/>
      <w:lvlJc w:val="left"/>
      <w:pPr>
        <w:ind w:left="1080" w:hanging="360"/>
      </w:pPr>
      <w:rPr>
        <w:rFonts w:ascii="Wingdings" w:hAnsi="Wingding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F16A88"/>
    <w:multiLevelType w:val="hybridMultilevel"/>
    <w:tmpl w:val="41AAA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F0723"/>
    <w:multiLevelType w:val="hybridMultilevel"/>
    <w:tmpl w:val="2672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555AB"/>
    <w:multiLevelType w:val="hybridMultilevel"/>
    <w:tmpl w:val="2D907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044B5E"/>
    <w:multiLevelType w:val="hybridMultilevel"/>
    <w:tmpl w:val="249E2B94"/>
    <w:lvl w:ilvl="0" w:tplc="04090019">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BD655A"/>
    <w:multiLevelType w:val="hybridMultilevel"/>
    <w:tmpl w:val="D81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7735F"/>
    <w:multiLevelType w:val="hybridMultilevel"/>
    <w:tmpl w:val="ADA0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620F1"/>
    <w:multiLevelType w:val="hybridMultilevel"/>
    <w:tmpl w:val="F514C1C6"/>
    <w:lvl w:ilvl="0" w:tplc="04090003">
      <w:start w:val="1"/>
      <w:numFmt w:val="bullet"/>
      <w:lvlText w:val="o"/>
      <w:lvlJc w:val="left"/>
      <w:pPr>
        <w:ind w:left="1080" w:hanging="360"/>
      </w:pPr>
      <w:rPr>
        <w:rFonts w:ascii="Courier New" w:hAnsi="Courier New" w:cs="Courier New" w:hint="default"/>
      </w:rPr>
    </w:lvl>
    <w:lvl w:ilvl="1" w:tplc="0B2032F4">
      <w:start w:val="1"/>
      <w:numFmt w:val="lowerLetter"/>
      <w:lvlText w:val="%2)"/>
      <w:lvlJc w:val="left"/>
      <w:pPr>
        <w:ind w:left="1800" w:hanging="360"/>
      </w:pPr>
      <w:rPr>
        <w:rFonts w:hint="default"/>
        <w:i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847090"/>
    <w:multiLevelType w:val="multilevel"/>
    <w:tmpl w:val="68A86C7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60DF6"/>
    <w:multiLevelType w:val="hybridMultilevel"/>
    <w:tmpl w:val="07E6639C"/>
    <w:lvl w:ilvl="0" w:tplc="9BA0EEE8">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3">
    <w:nsid w:val="6A4529B6"/>
    <w:multiLevelType w:val="hybridMultilevel"/>
    <w:tmpl w:val="CA42F4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38C03ED"/>
    <w:multiLevelType w:val="multilevel"/>
    <w:tmpl w:val="39281192"/>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06BBC"/>
    <w:multiLevelType w:val="hybridMultilevel"/>
    <w:tmpl w:val="601EC3BE"/>
    <w:lvl w:ilvl="0" w:tplc="B0F6694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2D194B"/>
    <w:multiLevelType w:val="hybridMultilevel"/>
    <w:tmpl w:val="1F84747E"/>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0"/>
  </w:num>
  <w:num w:numId="3">
    <w:abstractNumId w:val="14"/>
  </w:num>
  <w:num w:numId="4">
    <w:abstractNumId w:val="12"/>
  </w:num>
  <w:num w:numId="5">
    <w:abstractNumId w:val="20"/>
  </w:num>
  <w:num w:numId="6">
    <w:abstractNumId w:val="17"/>
  </w:num>
  <w:num w:numId="7">
    <w:abstractNumId w:val="3"/>
  </w:num>
  <w:num w:numId="8">
    <w:abstractNumId w:val="15"/>
  </w:num>
  <w:num w:numId="9">
    <w:abstractNumId w:val="25"/>
  </w:num>
  <w:num w:numId="10">
    <w:abstractNumId w:val="23"/>
  </w:num>
  <w:num w:numId="11">
    <w:abstractNumId w:val="5"/>
  </w:num>
  <w:num w:numId="12">
    <w:abstractNumId w:val="9"/>
  </w:num>
  <w:num w:numId="13">
    <w:abstractNumId w:val="8"/>
  </w:num>
  <w:num w:numId="14">
    <w:abstractNumId w:val="16"/>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4"/>
  </w:num>
  <w:num w:numId="19">
    <w:abstractNumId w:val="21"/>
  </w:num>
  <w:num w:numId="20">
    <w:abstractNumId w:val="1"/>
  </w:num>
  <w:num w:numId="21">
    <w:abstractNumId w:val="7"/>
  </w:num>
  <w:num w:numId="22">
    <w:abstractNumId w:val="26"/>
  </w:num>
  <w:num w:numId="23">
    <w:abstractNumId w:val="22"/>
  </w:num>
  <w:num w:numId="24">
    <w:abstractNumId w:val="11"/>
  </w:num>
  <w:num w:numId="25">
    <w:abstractNumId w:val="19"/>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01"/>
    <w:rsid w:val="00004A38"/>
    <w:rsid w:val="00062B59"/>
    <w:rsid w:val="00067E42"/>
    <w:rsid w:val="00095CD4"/>
    <w:rsid w:val="000A57FA"/>
    <w:rsid w:val="000B3937"/>
    <w:rsid w:val="000C189D"/>
    <w:rsid w:val="000D184C"/>
    <w:rsid w:val="000E0B52"/>
    <w:rsid w:val="000E681E"/>
    <w:rsid w:val="000F6682"/>
    <w:rsid w:val="00106D17"/>
    <w:rsid w:val="00117120"/>
    <w:rsid w:val="00122E9D"/>
    <w:rsid w:val="001252F0"/>
    <w:rsid w:val="001450FB"/>
    <w:rsid w:val="001637A5"/>
    <w:rsid w:val="001668FE"/>
    <w:rsid w:val="001A1BB3"/>
    <w:rsid w:val="00226CE9"/>
    <w:rsid w:val="002351D7"/>
    <w:rsid w:val="00236C2F"/>
    <w:rsid w:val="00240E9B"/>
    <w:rsid w:val="00256C41"/>
    <w:rsid w:val="00264CA3"/>
    <w:rsid w:val="002839C9"/>
    <w:rsid w:val="00285856"/>
    <w:rsid w:val="00290D48"/>
    <w:rsid w:val="002B14D6"/>
    <w:rsid w:val="002C4A5C"/>
    <w:rsid w:val="002D0481"/>
    <w:rsid w:val="002F2E42"/>
    <w:rsid w:val="003067CF"/>
    <w:rsid w:val="00322732"/>
    <w:rsid w:val="0033128A"/>
    <w:rsid w:val="00334571"/>
    <w:rsid w:val="003362D0"/>
    <w:rsid w:val="00337F70"/>
    <w:rsid w:val="00354001"/>
    <w:rsid w:val="003E66F2"/>
    <w:rsid w:val="003F714B"/>
    <w:rsid w:val="00401E5A"/>
    <w:rsid w:val="00433EA3"/>
    <w:rsid w:val="00465B8A"/>
    <w:rsid w:val="00482ABA"/>
    <w:rsid w:val="004911F5"/>
    <w:rsid w:val="0049123B"/>
    <w:rsid w:val="004B57DC"/>
    <w:rsid w:val="004B6899"/>
    <w:rsid w:val="004F16A4"/>
    <w:rsid w:val="005159B7"/>
    <w:rsid w:val="00516196"/>
    <w:rsid w:val="0052356B"/>
    <w:rsid w:val="00523AAA"/>
    <w:rsid w:val="0055479C"/>
    <w:rsid w:val="005666DC"/>
    <w:rsid w:val="00581125"/>
    <w:rsid w:val="00593E95"/>
    <w:rsid w:val="00597102"/>
    <w:rsid w:val="005C3849"/>
    <w:rsid w:val="006077D5"/>
    <w:rsid w:val="00612347"/>
    <w:rsid w:val="006157C6"/>
    <w:rsid w:val="00631B96"/>
    <w:rsid w:val="006360E5"/>
    <w:rsid w:val="00645B71"/>
    <w:rsid w:val="00663922"/>
    <w:rsid w:val="0067671D"/>
    <w:rsid w:val="00683581"/>
    <w:rsid w:val="00684A5B"/>
    <w:rsid w:val="00686804"/>
    <w:rsid w:val="00695288"/>
    <w:rsid w:val="006B37B3"/>
    <w:rsid w:val="006C744E"/>
    <w:rsid w:val="006E3376"/>
    <w:rsid w:val="006F4548"/>
    <w:rsid w:val="00725B0E"/>
    <w:rsid w:val="007356A6"/>
    <w:rsid w:val="00746C38"/>
    <w:rsid w:val="00756E79"/>
    <w:rsid w:val="00772E43"/>
    <w:rsid w:val="00777434"/>
    <w:rsid w:val="007865F7"/>
    <w:rsid w:val="00791D30"/>
    <w:rsid w:val="007B0AD1"/>
    <w:rsid w:val="007B5AF6"/>
    <w:rsid w:val="007C378E"/>
    <w:rsid w:val="007E1712"/>
    <w:rsid w:val="00826888"/>
    <w:rsid w:val="0083609B"/>
    <w:rsid w:val="0084606C"/>
    <w:rsid w:val="00863A39"/>
    <w:rsid w:val="00891553"/>
    <w:rsid w:val="0089296D"/>
    <w:rsid w:val="008A5CCA"/>
    <w:rsid w:val="008B5D66"/>
    <w:rsid w:val="008D432B"/>
    <w:rsid w:val="008F16AC"/>
    <w:rsid w:val="00902471"/>
    <w:rsid w:val="00911462"/>
    <w:rsid w:val="00917639"/>
    <w:rsid w:val="00941D19"/>
    <w:rsid w:val="00950516"/>
    <w:rsid w:val="00962904"/>
    <w:rsid w:val="009629E5"/>
    <w:rsid w:val="009907C3"/>
    <w:rsid w:val="009930B7"/>
    <w:rsid w:val="009B498C"/>
    <w:rsid w:val="009B6F87"/>
    <w:rsid w:val="009E573B"/>
    <w:rsid w:val="009F32E2"/>
    <w:rsid w:val="009F3514"/>
    <w:rsid w:val="009F5B29"/>
    <w:rsid w:val="00A050CA"/>
    <w:rsid w:val="00A1656A"/>
    <w:rsid w:val="00A22F28"/>
    <w:rsid w:val="00A244D0"/>
    <w:rsid w:val="00A45EF7"/>
    <w:rsid w:val="00A5146F"/>
    <w:rsid w:val="00A5279B"/>
    <w:rsid w:val="00A56191"/>
    <w:rsid w:val="00A62B90"/>
    <w:rsid w:val="00AA1780"/>
    <w:rsid w:val="00AA6F08"/>
    <w:rsid w:val="00AC7EFC"/>
    <w:rsid w:val="00AD707B"/>
    <w:rsid w:val="00AE2AA0"/>
    <w:rsid w:val="00AE45F4"/>
    <w:rsid w:val="00AF303D"/>
    <w:rsid w:val="00B12424"/>
    <w:rsid w:val="00B378D7"/>
    <w:rsid w:val="00B40E49"/>
    <w:rsid w:val="00B57DA1"/>
    <w:rsid w:val="00B7306F"/>
    <w:rsid w:val="00B800CF"/>
    <w:rsid w:val="00BB04FC"/>
    <w:rsid w:val="00BB6852"/>
    <w:rsid w:val="00BD7FB1"/>
    <w:rsid w:val="00BE2283"/>
    <w:rsid w:val="00BE6346"/>
    <w:rsid w:val="00BE7785"/>
    <w:rsid w:val="00BF6007"/>
    <w:rsid w:val="00BF6B22"/>
    <w:rsid w:val="00C11A5A"/>
    <w:rsid w:val="00C16A63"/>
    <w:rsid w:val="00C268CC"/>
    <w:rsid w:val="00C34C6D"/>
    <w:rsid w:val="00C71E06"/>
    <w:rsid w:val="00C92A7B"/>
    <w:rsid w:val="00CC1ED8"/>
    <w:rsid w:val="00CC2EF3"/>
    <w:rsid w:val="00CC5296"/>
    <w:rsid w:val="00CE3C57"/>
    <w:rsid w:val="00D1420E"/>
    <w:rsid w:val="00D20EE1"/>
    <w:rsid w:val="00D52786"/>
    <w:rsid w:val="00D678AA"/>
    <w:rsid w:val="00D77ACE"/>
    <w:rsid w:val="00D91C48"/>
    <w:rsid w:val="00D96719"/>
    <w:rsid w:val="00D97334"/>
    <w:rsid w:val="00DA0FC3"/>
    <w:rsid w:val="00DB0F93"/>
    <w:rsid w:val="00DB4AFB"/>
    <w:rsid w:val="00DB7C79"/>
    <w:rsid w:val="00DC5014"/>
    <w:rsid w:val="00DD0B90"/>
    <w:rsid w:val="00DE039A"/>
    <w:rsid w:val="00DF3317"/>
    <w:rsid w:val="00E24D33"/>
    <w:rsid w:val="00E4254C"/>
    <w:rsid w:val="00E70FB1"/>
    <w:rsid w:val="00E73B27"/>
    <w:rsid w:val="00E8091B"/>
    <w:rsid w:val="00E82041"/>
    <w:rsid w:val="00E92A2E"/>
    <w:rsid w:val="00E93A93"/>
    <w:rsid w:val="00E94B93"/>
    <w:rsid w:val="00ED2638"/>
    <w:rsid w:val="00ED4983"/>
    <w:rsid w:val="00ED5EE6"/>
    <w:rsid w:val="00EF29E1"/>
    <w:rsid w:val="00F0094A"/>
    <w:rsid w:val="00F12EE1"/>
    <w:rsid w:val="00F215C6"/>
    <w:rsid w:val="00F53B85"/>
    <w:rsid w:val="00F83E67"/>
    <w:rsid w:val="00FA2109"/>
    <w:rsid w:val="00FA370F"/>
    <w:rsid w:val="00FB40AC"/>
    <w:rsid w:val="00FF488B"/>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0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001"/>
    <w:pPr>
      <w:spacing w:after="0" w:line="240" w:lineRule="auto"/>
    </w:pPr>
  </w:style>
  <w:style w:type="table" w:styleId="TableGrid">
    <w:name w:val="Table Grid"/>
    <w:basedOn w:val="TableNormal"/>
    <w:uiPriority w:val="59"/>
    <w:rsid w:val="0035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0B7"/>
    <w:rPr>
      <w:sz w:val="16"/>
      <w:szCs w:val="16"/>
    </w:rPr>
  </w:style>
  <w:style w:type="paragraph" w:styleId="CommentText">
    <w:name w:val="annotation text"/>
    <w:basedOn w:val="Normal"/>
    <w:link w:val="CommentTextChar"/>
    <w:uiPriority w:val="99"/>
    <w:semiHidden/>
    <w:unhideWhenUsed/>
    <w:rsid w:val="009930B7"/>
    <w:pPr>
      <w:spacing w:line="240" w:lineRule="auto"/>
    </w:pPr>
    <w:rPr>
      <w:sz w:val="20"/>
      <w:szCs w:val="20"/>
    </w:rPr>
  </w:style>
  <w:style w:type="character" w:customStyle="1" w:styleId="CommentTextChar">
    <w:name w:val="Comment Text Char"/>
    <w:basedOn w:val="DefaultParagraphFont"/>
    <w:link w:val="CommentText"/>
    <w:uiPriority w:val="99"/>
    <w:semiHidden/>
    <w:rsid w:val="009930B7"/>
    <w:rPr>
      <w:rFonts w:eastAsiaTheme="minorEastAsia"/>
      <w:sz w:val="20"/>
      <w:szCs w:val="20"/>
    </w:rPr>
  </w:style>
  <w:style w:type="paragraph" w:styleId="BalloonText">
    <w:name w:val="Balloon Text"/>
    <w:basedOn w:val="Normal"/>
    <w:link w:val="BalloonTextChar"/>
    <w:uiPriority w:val="99"/>
    <w:semiHidden/>
    <w:unhideWhenUsed/>
    <w:rsid w:val="0099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B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40E49"/>
    <w:rPr>
      <w:b/>
      <w:bCs/>
    </w:rPr>
  </w:style>
  <w:style w:type="character" w:customStyle="1" w:styleId="CommentSubjectChar">
    <w:name w:val="Comment Subject Char"/>
    <w:basedOn w:val="CommentTextChar"/>
    <w:link w:val="CommentSubject"/>
    <w:uiPriority w:val="99"/>
    <w:semiHidden/>
    <w:rsid w:val="00B40E49"/>
    <w:rPr>
      <w:rFonts w:eastAsiaTheme="minorEastAsia"/>
      <w:b/>
      <w:bCs/>
      <w:sz w:val="20"/>
      <w:szCs w:val="20"/>
    </w:rPr>
  </w:style>
  <w:style w:type="paragraph" w:styleId="ListParagraph">
    <w:name w:val="List Paragraph"/>
    <w:basedOn w:val="Normal"/>
    <w:link w:val="ListParagraphChar"/>
    <w:uiPriority w:val="34"/>
    <w:qFormat/>
    <w:rsid w:val="00777434"/>
    <w:pPr>
      <w:ind w:left="720"/>
      <w:contextualSpacing/>
    </w:pPr>
  </w:style>
  <w:style w:type="paragraph" w:styleId="FootnoteText">
    <w:name w:val="footnote text"/>
    <w:basedOn w:val="Normal"/>
    <w:link w:val="FootnoteTextChar"/>
    <w:uiPriority w:val="99"/>
    <w:semiHidden/>
    <w:unhideWhenUsed/>
    <w:rsid w:val="007774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7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434"/>
    <w:rPr>
      <w:vertAlign w:val="superscript"/>
    </w:rPr>
  </w:style>
  <w:style w:type="paragraph" w:styleId="Header">
    <w:name w:val="header"/>
    <w:basedOn w:val="Normal"/>
    <w:link w:val="HeaderChar"/>
    <w:uiPriority w:val="99"/>
    <w:unhideWhenUsed/>
    <w:rsid w:val="0074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8"/>
    <w:rPr>
      <w:rFonts w:eastAsiaTheme="minorEastAsia"/>
    </w:rPr>
  </w:style>
  <w:style w:type="paragraph" w:styleId="Footer">
    <w:name w:val="footer"/>
    <w:basedOn w:val="Normal"/>
    <w:link w:val="FooterChar"/>
    <w:uiPriority w:val="99"/>
    <w:unhideWhenUsed/>
    <w:rsid w:val="007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8"/>
    <w:rPr>
      <w:rFonts w:eastAsiaTheme="minorEastAsia"/>
    </w:rPr>
  </w:style>
  <w:style w:type="character" w:customStyle="1" w:styleId="apple-converted-space">
    <w:name w:val="apple-converted-space"/>
    <w:basedOn w:val="DefaultParagraphFont"/>
    <w:rsid w:val="00B378D7"/>
  </w:style>
  <w:style w:type="character" w:customStyle="1" w:styleId="ListParagraphChar">
    <w:name w:val="List Paragraph Char"/>
    <w:basedOn w:val="DefaultParagraphFont"/>
    <w:link w:val="ListParagraph"/>
    <w:uiPriority w:val="34"/>
    <w:locked/>
    <w:rsid w:val="00B378D7"/>
    <w:rPr>
      <w:rFonts w:eastAsiaTheme="minorEastAsia"/>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93E9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593E95"/>
    <w:rPr>
      <w:rFonts w:ascii="Calibri" w:eastAsia="Calibri" w:hAnsi="Calibri" w:cs="Consolas"/>
      <w:szCs w:val="21"/>
    </w:rPr>
  </w:style>
  <w:style w:type="table" w:customStyle="1" w:styleId="TableGrid1">
    <w:name w:val="Table Grid1"/>
    <w:basedOn w:val="TableNormal"/>
    <w:next w:val="TableGrid"/>
    <w:uiPriority w:val="59"/>
    <w:rsid w:val="0089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283"/>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0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001"/>
    <w:pPr>
      <w:spacing w:after="0" w:line="240" w:lineRule="auto"/>
    </w:pPr>
  </w:style>
  <w:style w:type="table" w:styleId="TableGrid">
    <w:name w:val="Table Grid"/>
    <w:basedOn w:val="TableNormal"/>
    <w:uiPriority w:val="59"/>
    <w:rsid w:val="0035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0B7"/>
    <w:rPr>
      <w:sz w:val="16"/>
      <w:szCs w:val="16"/>
    </w:rPr>
  </w:style>
  <w:style w:type="paragraph" w:styleId="CommentText">
    <w:name w:val="annotation text"/>
    <w:basedOn w:val="Normal"/>
    <w:link w:val="CommentTextChar"/>
    <w:uiPriority w:val="99"/>
    <w:semiHidden/>
    <w:unhideWhenUsed/>
    <w:rsid w:val="009930B7"/>
    <w:pPr>
      <w:spacing w:line="240" w:lineRule="auto"/>
    </w:pPr>
    <w:rPr>
      <w:sz w:val="20"/>
      <w:szCs w:val="20"/>
    </w:rPr>
  </w:style>
  <w:style w:type="character" w:customStyle="1" w:styleId="CommentTextChar">
    <w:name w:val="Comment Text Char"/>
    <w:basedOn w:val="DefaultParagraphFont"/>
    <w:link w:val="CommentText"/>
    <w:uiPriority w:val="99"/>
    <w:semiHidden/>
    <w:rsid w:val="009930B7"/>
    <w:rPr>
      <w:rFonts w:eastAsiaTheme="minorEastAsia"/>
      <w:sz w:val="20"/>
      <w:szCs w:val="20"/>
    </w:rPr>
  </w:style>
  <w:style w:type="paragraph" w:styleId="BalloonText">
    <w:name w:val="Balloon Text"/>
    <w:basedOn w:val="Normal"/>
    <w:link w:val="BalloonTextChar"/>
    <w:uiPriority w:val="99"/>
    <w:semiHidden/>
    <w:unhideWhenUsed/>
    <w:rsid w:val="0099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B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40E49"/>
    <w:rPr>
      <w:b/>
      <w:bCs/>
    </w:rPr>
  </w:style>
  <w:style w:type="character" w:customStyle="1" w:styleId="CommentSubjectChar">
    <w:name w:val="Comment Subject Char"/>
    <w:basedOn w:val="CommentTextChar"/>
    <w:link w:val="CommentSubject"/>
    <w:uiPriority w:val="99"/>
    <w:semiHidden/>
    <w:rsid w:val="00B40E49"/>
    <w:rPr>
      <w:rFonts w:eastAsiaTheme="minorEastAsia"/>
      <w:b/>
      <w:bCs/>
      <w:sz w:val="20"/>
      <w:szCs w:val="20"/>
    </w:rPr>
  </w:style>
  <w:style w:type="paragraph" w:styleId="ListParagraph">
    <w:name w:val="List Paragraph"/>
    <w:basedOn w:val="Normal"/>
    <w:link w:val="ListParagraphChar"/>
    <w:uiPriority w:val="34"/>
    <w:qFormat/>
    <w:rsid w:val="00777434"/>
    <w:pPr>
      <w:ind w:left="720"/>
      <w:contextualSpacing/>
    </w:pPr>
  </w:style>
  <w:style w:type="paragraph" w:styleId="FootnoteText">
    <w:name w:val="footnote text"/>
    <w:basedOn w:val="Normal"/>
    <w:link w:val="FootnoteTextChar"/>
    <w:uiPriority w:val="99"/>
    <w:semiHidden/>
    <w:unhideWhenUsed/>
    <w:rsid w:val="007774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7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434"/>
    <w:rPr>
      <w:vertAlign w:val="superscript"/>
    </w:rPr>
  </w:style>
  <w:style w:type="paragraph" w:styleId="Header">
    <w:name w:val="header"/>
    <w:basedOn w:val="Normal"/>
    <w:link w:val="HeaderChar"/>
    <w:uiPriority w:val="99"/>
    <w:unhideWhenUsed/>
    <w:rsid w:val="0074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8"/>
    <w:rPr>
      <w:rFonts w:eastAsiaTheme="minorEastAsia"/>
    </w:rPr>
  </w:style>
  <w:style w:type="paragraph" w:styleId="Footer">
    <w:name w:val="footer"/>
    <w:basedOn w:val="Normal"/>
    <w:link w:val="FooterChar"/>
    <w:uiPriority w:val="99"/>
    <w:unhideWhenUsed/>
    <w:rsid w:val="007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8"/>
    <w:rPr>
      <w:rFonts w:eastAsiaTheme="minorEastAsia"/>
    </w:rPr>
  </w:style>
  <w:style w:type="character" w:customStyle="1" w:styleId="apple-converted-space">
    <w:name w:val="apple-converted-space"/>
    <w:basedOn w:val="DefaultParagraphFont"/>
    <w:rsid w:val="00B378D7"/>
  </w:style>
  <w:style w:type="character" w:customStyle="1" w:styleId="ListParagraphChar">
    <w:name w:val="List Paragraph Char"/>
    <w:basedOn w:val="DefaultParagraphFont"/>
    <w:link w:val="ListParagraph"/>
    <w:uiPriority w:val="34"/>
    <w:locked/>
    <w:rsid w:val="00B378D7"/>
    <w:rPr>
      <w:rFonts w:eastAsiaTheme="minorEastAsia"/>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93E9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593E95"/>
    <w:rPr>
      <w:rFonts w:ascii="Calibri" w:eastAsia="Calibri" w:hAnsi="Calibri" w:cs="Consolas"/>
      <w:szCs w:val="21"/>
    </w:rPr>
  </w:style>
  <w:style w:type="table" w:customStyle="1" w:styleId="TableGrid1">
    <w:name w:val="Table Grid1"/>
    <w:basedOn w:val="TableNormal"/>
    <w:next w:val="TableGrid"/>
    <w:uiPriority w:val="59"/>
    <w:rsid w:val="0089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28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449">
      <w:bodyDiv w:val="1"/>
      <w:marLeft w:val="0"/>
      <w:marRight w:val="0"/>
      <w:marTop w:val="0"/>
      <w:marBottom w:val="0"/>
      <w:divBdr>
        <w:top w:val="none" w:sz="0" w:space="0" w:color="auto"/>
        <w:left w:val="none" w:sz="0" w:space="0" w:color="auto"/>
        <w:bottom w:val="none" w:sz="0" w:space="0" w:color="auto"/>
        <w:right w:val="none" w:sz="0" w:space="0" w:color="auto"/>
      </w:divBdr>
    </w:div>
    <w:div w:id="410854890">
      <w:bodyDiv w:val="1"/>
      <w:marLeft w:val="0"/>
      <w:marRight w:val="0"/>
      <w:marTop w:val="0"/>
      <w:marBottom w:val="0"/>
      <w:divBdr>
        <w:top w:val="none" w:sz="0" w:space="0" w:color="auto"/>
        <w:left w:val="none" w:sz="0" w:space="0" w:color="auto"/>
        <w:bottom w:val="none" w:sz="0" w:space="0" w:color="auto"/>
        <w:right w:val="none" w:sz="0" w:space="0" w:color="auto"/>
      </w:divBdr>
    </w:div>
    <w:div w:id="1037314181">
      <w:bodyDiv w:val="1"/>
      <w:marLeft w:val="0"/>
      <w:marRight w:val="0"/>
      <w:marTop w:val="0"/>
      <w:marBottom w:val="0"/>
      <w:divBdr>
        <w:top w:val="none" w:sz="0" w:space="0" w:color="auto"/>
        <w:left w:val="none" w:sz="0" w:space="0" w:color="auto"/>
        <w:bottom w:val="none" w:sz="0" w:space="0" w:color="auto"/>
        <w:right w:val="none" w:sz="0" w:space="0" w:color="auto"/>
      </w:divBdr>
    </w:div>
    <w:div w:id="1601179603">
      <w:bodyDiv w:val="1"/>
      <w:marLeft w:val="0"/>
      <w:marRight w:val="0"/>
      <w:marTop w:val="0"/>
      <w:marBottom w:val="0"/>
      <w:divBdr>
        <w:top w:val="none" w:sz="0" w:space="0" w:color="auto"/>
        <w:left w:val="none" w:sz="0" w:space="0" w:color="auto"/>
        <w:bottom w:val="none" w:sz="0" w:space="0" w:color="auto"/>
        <w:right w:val="none" w:sz="0" w:space="0" w:color="auto"/>
      </w:divBdr>
    </w:div>
    <w:div w:id="1619143747">
      <w:bodyDiv w:val="1"/>
      <w:marLeft w:val="0"/>
      <w:marRight w:val="0"/>
      <w:marTop w:val="0"/>
      <w:marBottom w:val="0"/>
      <w:divBdr>
        <w:top w:val="none" w:sz="0" w:space="0" w:color="auto"/>
        <w:left w:val="none" w:sz="0" w:space="0" w:color="auto"/>
        <w:bottom w:val="none" w:sz="0" w:space="0" w:color="auto"/>
        <w:right w:val="none" w:sz="0" w:space="0" w:color="auto"/>
      </w:divBdr>
    </w:div>
    <w:div w:id="1684093328">
      <w:bodyDiv w:val="1"/>
      <w:marLeft w:val="0"/>
      <w:marRight w:val="0"/>
      <w:marTop w:val="0"/>
      <w:marBottom w:val="0"/>
      <w:divBdr>
        <w:top w:val="none" w:sz="0" w:space="0" w:color="auto"/>
        <w:left w:val="none" w:sz="0" w:space="0" w:color="auto"/>
        <w:bottom w:val="none" w:sz="0" w:space="0" w:color="auto"/>
        <w:right w:val="none" w:sz="0" w:space="0" w:color="auto"/>
      </w:divBdr>
    </w:div>
    <w:div w:id="2033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017F-49EA-47B6-97F2-9D07B81F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Elkins</dc:creator>
  <cp:keywords/>
  <dc:description/>
  <cp:lastModifiedBy>SYSTEM</cp:lastModifiedBy>
  <cp:revision>2</cp:revision>
  <dcterms:created xsi:type="dcterms:W3CDTF">2017-11-02T16:32:00Z</dcterms:created>
  <dcterms:modified xsi:type="dcterms:W3CDTF">2017-11-02T16:32:00Z</dcterms:modified>
</cp:coreProperties>
</file>