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85" w:rsidRPr="009823B7" w:rsidRDefault="00967285" w:rsidP="00270D97">
      <w:pPr>
        <w:spacing w:line="360" w:lineRule="auto"/>
        <w:jc w:val="center"/>
      </w:pPr>
      <w:r w:rsidRPr="009823B7">
        <w:t xml:space="preserve">Submission under </w:t>
      </w:r>
    </w:p>
    <w:p w:rsidR="00967285" w:rsidRPr="009823B7" w:rsidRDefault="00967285" w:rsidP="00270D97">
      <w:pPr>
        <w:spacing w:line="360" w:lineRule="auto"/>
        <w:jc w:val="center"/>
      </w:pPr>
      <w:r w:rsidRPr="009823B7">
        <w:t>0920-0572 Health Message Testing System</w:t>
      </w:r>
    </w:p>
    <w:p w:rsidR="00967285" w:rsidRDefault="00967285" w:rsidP="00270D97">
      <w:pPr>
        <w:spacing w:line="360" w:lineRule="auto"/>
        <w:jc w:val="center"/>
      </w:pPr>
      <w:r>
        <w:t>Expiration</w:t>
      </w:r>
      <w:r w:rsidR="000A6E79">
        <w:t xml:space="preserve"> 3/3</w:t>
      </w:r>
      <w:r w:rsidR="007E26E1">
        <w:t>1</w:t>
      </w:r>
      <w:r w:rsidR="000A6E79">
        <w:t>/2018</w:t>
      </w:r>
    </w:p>
    <w:p w:rsidR="00967285" w:rsidRDefault="00967285" w:rsidP="00270D97">
      <w:pPr>
        <w:spacing w:line="360" w:lineRule="auto"/>
        <w:jc w:val="center"/>
      </w:pPr>
    </w:p>
    <w:p w:rsidR="00967285" w:rsidRDefault="00967285" w:rsidP="00270D97">
      <w:pPr>
        <w:spacing w:line="360" w:lineRule="auto"/>
        <w:jc w:val="center"/>
        <w:rPr>
          <w:bCs/>
          <w:iCs/>
        </w:rPr>
      </w:pPr>
    </w:p>
    <w:p w:rsidR="0078744D" w:rsidRDefault="0078744D" w:rsidP="00270D97">
      <w:pPr>
        <w:spacing w:line="360" w:lineRule="auto"/>
        <w:jc w:val="center"/>
        <w:rPr>
          <w:b/>
          <w:sz w:val="22"/>
        </w:rPr>
      </w:pPr>
      <w:r w:rsidRPr="0078744D">
        <w:rPr>
          <w:b/>
          <w:sz w:val="22"/>
        </w:rPr>
        <w:t xml:space="preserve">Domestic Readiness Initiative on Zika Virus Disease </w:t>
      </w:r>
    </w:p>
    <w:p w:rsidR="00967285" w:rsidRDefault="0078744D" w:rsidP="00270D97">
      <w:pPr>
        <w:spacing w:line="360" w:lineRule="auto"/>
        <w:jc w:val="center"/>
        <w:rPr>
          <w:b/>
        </w:rPr>
      </w:pPr>
      <w:r w:rsidRPr="006A35FB">
        <w:rPr>
          <w:b/>
          <w:sz w:val="22"/>
        </w:rPr>
        <w:t xml:space="preserve">Consumer </w:t>
      </w:r>
      <w:r>
        <w:rPr>
          <w:b/>
          <w:sz w:val="22"/>
        </w:rPr>
        <w:t xml:space="preserve">and Provider </w:t>
      </w:r>
      <w:r w:rsidRPr="006A35FB">
        <w:rPr>
          <w:b/>
          <w:bCs/>
          <w:sz w:val="22"/>
        </w:rPr>
        <w:t xml:space="preserve">Message Testing for </w:t>
      </w:r>
      <w:r w:rsidRPr="006A35FB">
        <w:rPr>
          <w:b/>
          <w:sz w:val="22"/>
        </w:rPr>
        <w:t>Zika Response Project</w:t>
      </w:r>
      <w:r w:rsidRPr="00270D97" w:rsidDel="0078744D">
        <w:rPr>
          <w:b/>
        </w:rPr>
        <w:t xml:space="preserve"> </w:t>
      </w:r>
    </w:p>
    <w:p w:rsidR="00967285" w:rsidRDefault="00967285" w:rsidP="00270D97">
      <w:pPr>
        <w:spacing w:line="360" w:lineRule="auto"/>
        <w:jc w:val="center"/>
        <w:rPr>
          <w:color w:val="000000"/>
        </w:rPr>
      </w:pPr>
    </w:p>
    <w:p w:rsidR="00967285" w:rsidRDefault="00967285" w:rsidP="00270D97">
      <w:pPr>
        <w:spacing w:line="360" w:lineRule="auto"/>
        <w:jc w:val="center"/>
        <w:rPr>
          <w:color w:val="000000"/>
        </w:rPr>
      </w:pPr>
    </w:p>
    <w:p w:rsidR="00967285" w:rsidRPr="000C7A20" w:rsidRDefault="00967285" w:rsidP="00270D97">
      <w:pPr>
        <w:spacing w:line="360" w:lineRule="auto"/>
        <w:jc w:val="center"/>
        <w:rPr>
          <w:b/>
          <w:color w:val="000000"/>
        </w:rPr>
      </w:pPr>
      <w:r w:rsidRPr="000C7A20">
        <w:rPr>
          <w:b/>
          <w:color w:val="000000"/>
        </w:rPr>
        <w:t xml:space="preserve">Attachment </w:t>
      </w:r>
      <w:r w:rsidR="008308C0">
        <w:rPr>
          <w:b/>
          <w:color w:val="000000"/>
        </w:rPr>
        <w:t>9</w:t>
      </w:r>
    </w:p>
    <w:p w:rsidR="00967285" w:rsidRPr="000C7A20" w:rsidRDefault="00967285" w:rsidP="00270D97">
      <w:pPr>
        <w:spacing w:line="360" w:lineRule="auto"/>
        <w:jc w:val="center"/>
        <w:rPr>
          <w:b/>
          <w:color w:val="000000"/>
        </w:rPr>
      </w:pPr>
      <w:bookmarkStart w:id="0" w:name="_GoBack"/>
      <w:bookmarkEnd w:id="0"/>
      <w:r w:rsidRPr="000C7A20">
        <w:rPr>
          <w:b/>
          <w:color w:val="000000"/>
        </w:rPr>
        <w:t xml:space="preserve">Justification for </w:t>
      </w:r>
      <w:r w:rsidR="00561BDF" w:rsidRPr="000C7A20">
        <w:rPr>
          <w:b/>
          <w:color w:val="000000"/>
        </w:rPr>
        <w:t>Remuneration of Respondents</w:t>
      </w:r>
    </w:p>
    <w:p w:rsidR="00967285" w:rsidRPr="000C7A20" w:rsidRDefault="00967285" w:rsidP="00270D97">
      <w:pPr>
        <w:spacing w:line="360" w:lineRule="auto"/>
        <w:jc w:val="center"/>
        <w:rPr>
          <w:color w:val="000000"/>
        </w:rPr>
      </w:pPr>
    </w:p>
    <w:p w:rsidR="00967285" w:rsidRPr="000C7A20" w:rsidRDefault="00967285" w:rsidP="00270D97">
      <w:pPr>
        <w:spacing w:line="360" w:lineRule="auto"/>
        <w:jc w:val="center"/>
        <w:rPr>
          <w:color w:val="000000"/>
        </w:rPr>
      </w:pPr>
    </w:p>
    <w:p w:rsidR="00967285" w:rsidRDefault="00E80E8E" w:rsidP="00270D97">
      <w:pPr>
        <w:spacing w:line="360" w:lineRule="auto"/>
        <w:jc w:val="center"/>
        <w:rPr>
          <w:color w:val="000000"/>
        </w:rPr>
      </w:pPr>
      <w:r>
        <w:rPr>
          <w:color w:val="000000"/>
        </w:rPr>
        <w:t>January 10</w:t>
      </w:r>
      <w:r w:rsidR="0000530E">
        <w:rPr>
          <w:color w:val="000000"/>
        </w:rPr>
        <w:t>, 2017</w:t>
      </w:r>
    </w:p>
    <w:p w:rsidR="00967285" w:rsidRDefault="00967285" w:rsidP="00270D97">
      <w:pPr>
        <w:spacing w:line="360" w:lineRule="auto"/>
        <w:jc w:val="center"/>
        <w:rPr>
          <w:color w:val="000000"/>
        </w:rPr>
      </w:pPr>
    </w:p>
    <w:p w:rsidR="00967285" w:rsidRDefault="00967285" w:rsidP="00270D97">
      <w:pPr>
        <w:spacing w:line="360" w:lineRule="auto"/>
        <w:jc w:val="center"/>
        <w:rPr>
          <w:color w:val="000000"/>
        </w:rPr>
      </w:pPr>
    </w:p>
    <w:p w:rsidR="000C7A20" w:rsidRPr="008F2984" w:rsidRDefault="000C7A20" w:rsidP="000C7A20">
      <w:pPr>
        <w:spacing w:line="360" w:lineRule="auto"/>
        <w:jc w:val="center"/>
        <w:rPr>
          <w:color w:val="000000"/>
        </w:rPr>
      </w:pPr>
      <w:r w:rsidRPr="00854193">
        <w:rPr>
          <w:color w:val="000000"/>
        </w:rPr>
        <w:t>Fred Fridinger, DrPH, CHES</w:t>
      </w:r>
      <w:r>
        <w:rPr>
          <w:color w:val="000000"/>
        </w:rPr>
        <w:t xml:space="preserve"> </w:t>
      </w:r>
    </w:p>
    <w:p w:rsidR="000C7A20" w:rsidRDefault="000C7A20" w:rsidP="000C7A20">
      <w:pPr>
        <w:spacing w:line="360" w:lineRule="auto"/>
        <w:jc w:val="center"/>
      </w:pPr>
      <w:r>
        <w:t>Strategic Communications</w:t>
      </w:r>
    </w:p>
    <w:p w:rsidR="000C7A20" w:rsidRDefault="000C7A20" w:rsidP="000C7A20">
      <w:pPr>
        <w:spacing w:line="360" w:lineRule="auto"/>
        <w:jc w:val="center"/>
      </w:pPr>
      <w:r>
        <w:t>Division of Communication Services</w:t>
      </w:r>
    </w:p>
    <w:p w:rsidR="000C7A20" w:rsidRPr="008F2984" w:rsidRDefault="000C7A20" w:rsidP="000C7A20">
      <w:pPr>
        <w:spacing w:line="360" w:lineRule="auto"/>
        <w:jc w:val="center"/>
      </w:pPr>
      <w:r>
        <w:t>Office of the Associate Director for Communication</w:t>
      </w:r>
    </w:p>
    <w:p w:rsidR="000C7A20" w:rsidRPr="008F2984" w:rsidRDefault="000C7A20" w:rsidP="000C7A20">
      <w:pPr>
        <w:spacing w:line="360" w:lineRule="auto"/>
        <w:jc w:val="center"/>
        <w:rPr>
          <w:color w:val="000000"/>
        </w:rPr>
      </w:pPr>
      <w:r w:rsidRPr="008F2984">
        <w:rPr>
          <w:color w:val="000000"/>
        </w:rPr>
        <w:t>Centers for Disease Control and Prevention</w:t>
      </w:r>
    </w:p>
    <w:p w:rsidR="000C7A20" w:rsidRPr="008F2984" w:rsidRDefault="000C7A20" w:rsidP="000C7A20">
      <w:pPr>
        <w:spacing w:line="360" w:lineRule="auto"/>
        <w:jc w:val="center"/>
        <w:rPr>
          <w:color w:val="000000"/>
        </w:rPr>
      </w:pPr>
      <w:r w:rsidRPr="008F2984">
        <w:rPr>
          <w:color w:val="000000"/>
        </w:rPr>
        <w:t xml:space="preserve">1600 Clifton Rd. NE </w:t>
      </w:r>
    </w:p>
    <w:p w:rsidR="000C7A20" w:rsidRPr="008F2984" w:rsidRDefault="000C7A20" w:rsidP="000C7A20">
      <w:pPr>
        <w:spacing w:line="360" w:lineRule="auto"/>
        <w:jc w:val="center"/>
        <w:rPr>
          <w:color w:val="000000"/>
        </w:rPr>
      </w:pPr>
      <w:r w:rsidRPr="008F2984">
        <w:rPr>
          <w:color w:val="000000"/>
        </w:rPr>
        <w:t>Mailstop E-49</w:t>
      </w:r>
    </w:p>
    <w:p w:rsidR="000C7A20" w:rsidRPr="008F2984" w:rsidRDefault="000C7A20" w:rsidP="000C7A20">
      <w:pPr>
        <w:spacing w:line="360" w:lineRule="auto"/>
        <w:jc w:val="center"/>
        <w:rPr>
          <w:color w:val="000000"/>
        </w:rPr>
      </w:pPr>
      <w:r w:rsidRPr="008F2984">
        <w:rPr>
          <w:color w:val="000000"/>
        </w:rPr>
        <w:t>Atlanta, GA 30329</w:t>
      </w:r>
    </w:p>
    <w:p w:rsidR="000C7A20" w:rsidRPr="008F2984" w:rsidRDefault="000C7A20" w:rsidP="000C7A20">
      <w:pPr>
        <w:spacing w:line="360" w:lineRule="auto"/>
        <w:jc w:val="center"/>
        <w:rPr>
          <w:color w:val="000000"/>
        </w:rPr>
      </w:pPr>
      <w:r w:rsidRPr="008F2984">
        <w:rPr>
          <w:color w:val="000000"/>
        </w:rPr>
        <w:t xml:space="preserve">Telephone: </w:t>
      </w:r>
      <w:r w:rsidRPr="00854193">
        <w:rPr>
          <w:color w:val="000000"/>
        </w:rPr>
        <w:t>(404) 639-0632</w:t>
      </w:r>
      <w:r>
        <w:rPr>
          <w:color w:val="000000"/>
        </w:rPr>
        <w:t xml:space="preserve">; </w:t>
      </w:r>
      <w:r w:rsidRPr="00854193">
        <w:rPr>
          <w:color w:val="000000"/>
        </w:rPr>
        <w:t>Telework Fridays (770) 298-0170</w:t>
      </w:r>
    </w:p>
    <w:p w:rsidR="00270D97" w:rsidRDefault="000C7A20" w:rsidP="000C7A20">
      <w:pPr>
        <w:spacing w:line="360" w:lineRule="auto"/>
        <w:jc w:val="center"/>
      </w:pPr>
      <w:r w:rsidRPr="008F2984">
        <w:t xml:space="preserve">E-mail: </w:t>
      </w:r>
      <w:r w:rsidRPr="00854193">
        <w:t>ffridinger@cdc.gov</w:t>
      </w:r>
    </w:p>
    <w:p w:rsidR="000C7A20" w:rsidRDefault="000C7A2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67285" w:rsidRPr="00951C76" w:rsidRDefault="00967285" w:rsidP="00270D97">
      <w:pPr>
        <w:rPr>
          <w:b/>
        </w:rPr>
      </w:pPr>
      <w:r w:rsidRPr="00951C76">
        <w:rPr>
          <w:b/>
        </w:rPr>
        <w:lastRenderedPageBreak/>
        <w:t>Explanation of Any Payment or Gift to Respondents</w:t>
      </w:r>
    </w:p>
    <w:p w:rsidR="00967285" w:rsidRDefault="00967285" w:rsidP="00270D97"/>
    <w:p w:rsidR="000A6E79" w:rsidRDefault="000A6E79" w:rsidP="000A6E79">
      <w:r>
        <w:rPr>
          <w:i/>
        </w:rPr>
        <w:t>Qualitative and Quantitative Research</w:t>
      </w:r>
    </w:p>
    <w:p w:rsidR="00967285" w:rsidRDefault="00967285" w:rsidP="00270D97">
      <w:pPr>
        <w:pStyle w:val="ListParagraph"/>
        <w:numPr>
          <w:ilvl w:val="0"/>
          <w:numId w:val="1"/>
        </w:numPr>
      </w:pPr>
      <w:r>
        <w:t xml:space="preserve">Consumers </w:t>
      </w:r>
      <w:r w:rsidR="008308C0">
        <w:t xml:space="preserve">in CONUS </w:t>
      </w:r>
      <w:r w:rsidR="00D605CA">
        <w:t xml:space="preserve">will be </w:t>
      </w:r>
      <w:r w:rsidR="00D0648F">
        <w:t>provided a token of appreciation of</w:t>
      </w:r>
      <w:r w:rsidR="00337E4A">
        <w:t xml:space="preserve"> </w:t>
      </w:r>
      <w:r w:rsidR="00D605CA">
        <w:t>$</w:t>
      </w:r>
      <w:r w:rsidR="0000530E">
        <w:t>2</w:t>
      </w:r>
      <w:r w:rsidR="000950A8">
        <w:t>5</w:t>
      </w:r>
      <w:r w:rsidR="00B42C38">
        <w:t xml:space="preserve"> </w:t>
      </w:r>
      <w:r w:rsidR="00D605CA">
        <w:t>for their 1 hour participation in the in-depth interviews</w:t>
      </w:r>
      <w:r w:rsidR="00D0648F">
        <w:t xml:space="preserve"> (conducted online)</w:t>
      </w:r>
    </w:p>
    <w:p w:rsidR="000A6E79" w:rsidRPr="00270D97" w:rsidRDefault="000A6E79" w:rsidP="004E3DA1">
      <w:pPr>
        <w:pStyle w:val="ListParagraph"/>
        <w:numPr>
          <w:ilvl w:val="0"/>
          <w:numId w:val="1"/>
        </w:numPr>
      </w:pPr>
      <w:r>
        <w:t xml:space="preserve">Consumers in Puerto Rico will be </w:t>
      </w:r>
      <w:r w:rsidR="00D0648F">
        <w:t>provided a token of appreciation of</w:t>
      </w:r>
      <w:r w:rsidR="00337E4A">
        <w:t xml:space="preserve"> </w:t>
      </w:r>
      <w:r>
        <w:t>$</w:t>
      </w:r>
      <w:r w:rsidR="00B42C38">
        <w:t xml:space="preserve">75 </w:t>
      </w:r>
      <w:r>
        <w:t>for their 1.5 hour participation in the</w:t>
      </w:r>
      <w:r w:rsidR="00D0648F">
        <w:t xml:space="preserve"> in-person</w:t>
      </w:r>
      <w:r>
        <w:t xml:space="preserve"> focus groups with a supplemental handout</w:t>
      </w:r>
    </w:p>
    <w:p w:rsidR="000A6E79" w:rsidRDefault="000A6E79" w:rsidP="000A6E79">
      <w:pPr>
        <w:pStyle w:val="ListParagraph"/>
        <w:numPr>
          <w:ilvl w:val="0"/>
          <w:numId w:val="1"/>
        </w:numPr>
      </w:pPr>
      <w:r w:rsidRPr="00270D97">
        <w:t xml:space="preserve">Health care providers </w:t>
      </w:r>
      <w:r w:rsidR="008308C0">
        <w:t xml:space="preserve">in CONUS and Puerto Rico </w:t>
      </w:r>
      <w:r>
        <w:t xml:space="preserve">will be </w:t>
      </w:r>
      <w:r w:rsidR="00D0648F">
        <w:t>provided a token of appreciation of</w:t>
      </w:r>
      <w:r w:rsidR="00337E4A">
        <w:t xml:space="preserve"> </w:t>
      </w:r>
      <w:r>
        <w:t xml:space="preserve">$75 for their 30 minute participation in the survey </w:t>
      </w:r>
      <w:r w:rsidR="00D0648F">
        <w:t>(conducted online)</w:t>
      </w:r>
    </w:p>
    <w:p w:rsidR="00270D97" w:rsidRPr="00270D97" w:rsidRDefault="00270D97" w:rsidP="00270D97"/>
    <w:p w:rsidR="009647D5" w:rsidRPr="00C64797" w:rsidRDefault="00967285" w:rsidP="00270D97">
      <w:r>
        <w:t xml:space="preserve">Numerous empirical studies indicate honoraria significantly increase response rates (e.g., Abreu &amp; Winters, 1999; Dickert &amp; Grady, 1999; Shettle &amp; Mooney, 1999). The token of appreciation amounts for consumers and </w:t>
      </w:r>
      <w:r w:rsidR="00A06DE5">
        <w:t>health care providers</w:t>
      </w:r>
      <w:r>
        <w:t xml:space="preserve"> were determined through discussions with </w:t>
      </w:r>
      <w:r w:rsidR="00561BDF">
        <w:t xml:space="preserve">Abt </w:t>
      </w:r>
      <w:r w:rsidR="000A6E79">
        <w:t>Associates</w:t>
      </w:r>
      <w:r w:rsidR="00561BDF">
        <w:t xml:space="preserve"> </w:t>
      </w:r>
      <w:r>
        <w:t xml:space="preserve">and CDC staff with expertise in </w:t>
      </w:r>
      <w:r w:rsidRPr="00C64797">
        <w:t xml:space="preserve">conducting </w:t>
      </w:r>
      <w:r w:rsidR="00561BDF" w:rsidRPr="00C64797">
        <w:t>in</w:t>
      </w:r>
      <w:r w:rsidR="000A6E79" w:rsidRPr="00C64797">
        <w:t>-</w:t>
      </w:r>
      <w:r w:rsidR="00561BDF" w:rsidRPr="00C64797">
        <w:t xml:space="preserve">depth and intercept </w:t>
      </w:r>
      <w:r w:rsidRPr="00C64797">
        <w:t>interviews</w:t>
      </w:r>
      <w:r w:rsidR="00561BDF" w:rsidRPr="00C64797">
        <w:t>, focus groups, surveys and</w:t>
      </w:r>
      <w:r w:rsidRPr="00C64797">
        <w:t xml:space="preserve"> about </w:t>
      </w:r>
      <w:r w:rsidR="00561BDF" w:rsidRPr="00C64797">
        <w:t xml:space="preserve">Zika and other health topics </w:t>
      </w:r>
      <w:r w:rsidRPr="00C64797">
        <w:t xml:space="preserve">with </w:t>
      </w:r>
      <w:r w:rsidR="00561BDF" w:rsidRPr="00C64797">
        <w:t xml:space="preserve">similar consumer </w:t>
      </w:r>
      <w:r w:rsidRPr="00C64797">
        <w:t>populations</w:t>
      </w:r>
      <w:r w:rsidR="00561BDF" w:rsidRPr="00C64797">
        <w:t xml:space="preserve"> in the continental U</w:t>
      </w:r>
      <w:r w:rsidR="003A355A" w:rsidRPr="00C64797">
        <w:t>.</w:t>
      </w:r>
      <w:r w:rsidR="00561BDF" w:rsidRPr="00C64797">
        <w:t>S</w:t>
      </w:r>
      <w:r w:rsidR="003A355A" w:rsidRPr="00C64797">
        <w:t>.</w:t>
      </w:r>
      <w:r w:rsidR="00561BDF" w:rsidRPr="00C64797">
        <w:t xml:space="preserve"> and Puerto Rico</w:t>
      </w:r>
      <w:r w:rsidRPr="00C64797">
        <w:t xml:space="preserve">. </w:t>
      </w:r>
    </w:p>
    <w:p w:rsidR="009647D5" w:rsidRPr="00C64797" w:rsidRDefault="009647D5" w:rsidP="00270D97"/>
    <w:p w:rsidR="008308C0" w:rsidRDefault="008308C0" w:rsidP="00421DFD">
      <w:pPr>
        <w:rPr>
          <w:b/>
        </w:rPr>
      </w:pPr>
      <w:r w:rsidRPr="00C64797">
        <w:rPr>
          <w:b/>
        </w:rPr>
        <w:t>$25 Token of Appreciation for Online Interviews with Consumers in CONUS:</w:t>
      </w:r>
      <w:r w:rsidRPr="00C64797">
        <w:t xml:space="preserve"> Female and male participants in online interviews will receive a token of appreciation of $25 for their one hour participation. The $25 token of appreciation takes into account the burden of time</w:t>
      </w:r>
      <w:r w:rsidRPr="00C64797">
        <w:rPr>
          <w:b/>
        </w:rPr>
        <w:t xml:space="preserve"> </w:t>
      </w:r>
      <w:r w:rsidRPr="00C64797">
        <w:t>that is being requeste</w:t>
      </w:r>
      <w:r>
        <w:t>d of the interview participants</w:t>
      </w:r>
      <w:r w:rsidRPr="00C64797">
        <w:t>, as well as the need to complete the proposed work in a very short timeframe with specific audiences.</w:t>
      </w:r>
      <w:r w:rsidRPr="00C64797">
        <w:rPr>
          <w:b/>
        </w:rPr>
        <w:t xml:space="preserve"> </w:t>
      </w:r>
    </w:p>
    <w:p w:rsidR="008308C0" w:rsidRDefault="008308C0" w:rsidP="00421DFD">
      <w:pPr>
        <w:rPr>
          <w:b/>
        </w:rPr>
      </w:pPr>
    </w:p>
    <w:p w:rsidR="00421DFD" w:rsidRPr="00C64797" w:rsidRDefault="009647D5" w:rsidP="00421DFD">
      <w:r w:rsidRPr="00C64797">
        <w:rPr>
          <w:b/>
        </w:rPr>
        <w:t>$75 Token of Appreciation for In-Person Focus Groups with Consumers in Puerto Rico:</w:t>
      </w:r>
      <w:r w:rsidRPr="00C64797">
        <w:t xml:space="preserve"> </w:t>
      </w:r>
      <w:r w:rsidR="00421DFD" w:rsidRPr="00C64797">
        <w:t xml:space="preserve">Consumer participants in Puerto Rico will be </w:t>
      </w:r>
      <w:r w:rsidR="00D0648F">
        <w:t>provided</w:t>
      </w:r>
      <w:r w:rsidR="00421DFD" w:rsidRPr="00C64797">
        <w:t xml:space="preserve"> $75</w:t>
      </w:r>
      <w:r w:rsidR="00D0648F">
        <w:t xml:space="preserve"> as a token of appreciation</w:t>
      </w:r>
      <w:r w:rsidR="00421DFD" w:rsidRPr="00C64797">
        <w:t xml:space="preserve"> for their 1.5 hour participation in face to face focus groups. This token of appreciation will account for travel to, and participation in, a 90 minute face to face focus group, for which</w:t>
      </w:r>
      <w:r w:rsidR="00911171" w:rsidRPr="00C64797">
        <w:t xml:space="preserve"> dependent or</w:t>
      </w:r>
      <w:r w:rsidR="00421DFD" w:rsidRPr="00C64797">
        <w:t xml:space="preserve"> child care arrangements may need to be secured or expenses for travel may be incurred such as parking or public transportation. These challenges can present a significant burden to participants.</w:t>
      </w:r>
    </w:p>
    <w:p w:rsidR="009647D5" w:rsidRPr="00C64797" w:rsidRDefault="009647D5" w:rsidP="00270D97"/>
    <w:p w:rsidR="00967285" w:rsidRPr="00C64797" w:rsidRDefault="009647D5" w:rsidP="00270D97">
      <w:r w:rsidRPr="00C64797">
        <w:rPr>
          <w:b/>
        </w:rPr>
        <w:t xml:space="preserve">$75 Token of Appreciation for Online </w:t>
      </w:r>
      <w:r w:rsidR="00421DFD" w:rsidRPr="00C64797">
        <w:rPr>
          <w:b/>
        </w:rPr>
        <w:t xml:space="preserve">Surveys </w:t>
      </w:r>
      <w:r w:rsidRPr="00C64797">
        <w:rPr>
          <w:b/>
        </w:rPr>
        <w:t>with Health Care Providers in CONUS and Puerto Rico:</w:t>
      </w:r>
      <w:r w:rsidRPr="00C64797">
        <w:t xml:space="preserve"> </w:t>
      </w:r>
      <w:r w:rsidR="00421DFD" w:rsidRPr="00C64797">
        <w:t xml:space="preserve">Health care provider participants in CONUS and Puerto Rico will receive a token of appreciation of $75 for their 30 minute participation in online surveys. </w:t>
      </w:r>
      <w:r w:rsidRPr="00C64797">
        <w:t xml:space="preserve">The $75 token of appreciation takes into account the </w:t>
      </w:r>
      <w:r w:rsidR="00AE4AF6" w:rsidRPr="00C64797">
        <w:t xml:space="preserve">burden of </w:t>
      </w:r>
      <w:r w:rsidRPr="00C64797">
        <w:t>time needed to</w:t>
      </w:r>
      <w:r w:rsidR="00AE4AF6" w:rsidRPr="00C64797">
        <w:t xml:space="preserve"> complete the survey instrument, and the amount that providers generally receive for similar survey completion requests. </w:t>
      </w:r>
      <w:r w:rsidRPr="00C64797">
        <w:t xml:space="preserve"> </w:t>
      </w:r>
      <w:r w:rsidR="00967285" w:rsidRPr="00C64797">
        <w:t xml:space="preserve">Experience from previous studies indicates that physicians are frequently </w:t>
      </w:r>
      <w:r w:rsidR="00586013" w:rsidRPr="00C64797">
        <w:t>inundated</w:t>
      </w:r>
      <w:r w:rsidR="00967285" w:rsidRPr="00C64797">
        <w:t xml:space="preserve"> by numerous entities requesting interviews, surveys, or time for pharmaceutical sales presentations. As a result, physicians often decline to participate. Our experience has shown that a smaller </w:t>
      </w:r>
      <w:r w:rsidRPr="00C64797">
        <w:t xml:space="preserve">token of appreciation </w:t>
      </w:r>
      <w:r w:rsidR="00967285" w:rsidRPr="00C64797">
        <w:t xml:space="preserve">does not appear sufficiently attractive to physicians. Suggested standard </w:t>
      </w:r>
      <w:r w:rsidRPr="00C64797">
        <w:t xml:space="preserve">token of appreciation </w:t>
      </w:r>
      <w:r w:rsidR="00967285" w:rsidRPr="00C64797">
        <w:t xml:space="preserve">rates range from $200 to $350 for physicians depending on specialty and geographic location. This amount is consistent with quotes </w:t>
      </w:r>
      <w:r w:rsidR="00561BDF" w:rsidRPr="00C64797">
        <w:t xml:space="preserve">CDC </w:t>
      </w:r>
      <w:r w:rsidR="00967285" w:rsidRPr="00C64797">
        <w:t>received in 2014 from recruitment firms for recruit</w:t>
      </w:r>
      <w:r w:rsidR="00162374" w:rsidRPr="00C64797">
        <w:t>ing primary care providers and infectious disease s</w:t>
      </w:r>
      <w:r w:rsidR="00967285" w:rsidRPr="00C64797">
        <w:t xml:space="preserve">pecialists. </w:t>
      </w:r>
      <w:r w:rsidRPr="00C64797">
        <w:t>Because we understand that the providers will not need to physically travel to a location, however, the token of appreciation is substantially lower than what is generally offered.</w:t>
      </w:r>
      <w:r w:rsidR="00AE4AF6" w:rsidRPr="00C64797">
        <w:t xml:space="preserve"> Finally, because the work being proposed needs to be completed in such a short timeframe, and with a specific sub-segment of providers, offering a token of appreciation to providers can help ensure that the work is completed within the time allotted. </w:t>
      </w:r>
    </w:p>
    <w:p w:rsidR="00AE4AF6" w:rsidRPr="00C64797" w:rsidRDefault="00AE4AF6">
      <w:pPr>
        <w:spacing w:after="200" w:line="276" w:lineRule="auto"/>
        <w:rPr>
          <w:b/>
        </w:rPr>
      </w:pPr>
    </w:p>
    <w:p w:rsidR="00550637" w:rsidRPr="00C64797" w:rsidRDefault="00550637" w:rsidP="00421DFD">
      <w:pPr>
        <w:spacing w:after="200"/>
        <w:rPr>
          <w:b/>
        </w:rPr>
      </w:pPr>
      <w:r w:rsidRPr="00C64797">
        <w:rPr>
          <w:b/>
        </w:rPr>
        <w:br w:type="page"/>
      </w:r>
    </w:p>
    <w:p w:rsidR="00270D97" w:rsidRPr="00C64797" w:rsidRDefault="00270D97" w:rsidP="00270D97">
      <w:pPr>
        <w:rPr>
          <w:b/>
        </w:rPr>
      </w:pPr>
    </w:p>
    <w:p w:rsidR="00967285" w:rsidRPr="00051B3F" w:rsidRDefault="00967285" w:rsidP="00270D97">
      <w:pPr>
        <w:rPr>
          <w:b/>
        </w:rPr>
      </w:pPr>
      <w:r w:rsidRPr="00051B3F">
        <w:rPr>
          <w:b/>
        </w:rPr>
        <w:t>References</w:t>
      </w:r>
    </w:p>
    <w:p w:rsidR="00270D97" w:rsidRDefault="00270D97" w:rsidP="00270D97">
      <w:pPr>
        <w:keepLines/>
        <w:ind w:left="720" w:hanging="720"/>
        <w:rPr>
          <w:szCs w:val="22"/>
        </w:rPr>
      </w:pPr>
    </w:p>
    <w:p w:rsidR="00967285" w:rsidRDefault="00967285" w:rsidP="00270D97">
      <w:pPr>
        <w:keepLines/>
        <w:ind w:left="720" w:hanging="720"/>
        <w:rPr>
          <w:szCs w:val="22"/>
        </w:rPr>
      </w:pPr>
      <w:r w:rsidRPr="00051B3F">
        <w:rPr>
          <w:szCs w:val="22"/>
        </w:rPr>
        <w:t xml:space="preserve">Abreu, D. A., &amp; Winters, F. (1999). Using monetary incentives to reduce attrition in the survey of income and program participation. </w:t>
      </w:r>
      <w:r w:rsidRPr="00051B3F">
        <w:rPr>
          <w:i/>
          <w:szCs w:val="22"/>
        </w:rPr>
        <w:t>Proceedings of the Survey Research Methods Section of the American Statistical Association</w:t>
      </w:r>
      <w:r w:rsidRPr="00051B3F">
        <w:rPr>
          <w:szCs w:val="22"/>
        </w:rPr>
        <w:t>.</w:t>
      </w:r>
    </w:p>
    <w:p w:rsidR="00270D97" w:rsidRDefault="00270D97" w:rsidP="00270D97">
      <w:pPr>
        <w:pStyle w:val="EndNoteBibliography"/>
        <w:ind w:left="720" w:hanging="720"/>
      </w:pPr>
    </w:p>
    <w:p w:rsidR="00967285" w:rsidRDefault="00967285" w:rsidP="00270D97">
      <w:pPr>
        <w:pStyle w:val="EndNoteBibliography"/>
        <w:ind w:left="720" w:hanging="720"/>
      </w:pPr>
      <w:r w:rsidRPr="00AA1432">
        <w:t xml:space="preserve">Dickert , N., &amp; Grady , C. (1999). What's the Price of a Research Subject? Approaches to Payment for Research Participation. </w:t>
      </w:r>
      <w:r w:rsidRPr="00AA1432">
        <w:rPr>
          <w:i/>
        </w:rPr>
        <w:t>New England Journal of Medicine, 341</w:t>
      </w:r>
      <w:r w:rsidRPr="00AA1432">
        <w:t xml:space="preserve">(3), 198-203. </w:t>
      </w:r>
    </w:p>
    <w:p w:rsidR="00967285" w:rsidRPr="00AA1432" w:rsidRDefault="00967285" w:rsidP="00270D97">
      <w:pPr>
        <w:pStyle w:val="EndNoteBibliography"/>
        <w:ind w:left="720" w:hanging="720"/>
      </w:pPr>
    </w:p>
    <w:p w:rsidR="00967285" w:rsidRPr="00051B3F" w:rsidRDefault="00967285" w:rsidP="00270D97">
      <w:pPr>
        <w:keepLines/>
        <w:ind w:left="720" w:hanging="720"/>
        <w:rPr>
          <w:szCs w:val="22"/>
        </w:rPr>
      </w:pPr>
      <w:r w:rsidRPr="00051B3F">
        <w:rPr>
          <w:szCs w:val="22"/>
        </w:rPr>
        <w:t xml:space="preserve">Shettle, C., &amp; Mooney, G. (1999). Monetary incentives in U.S. government surveys. </w:t>
      </w:r>
      <w:r w:rsidRPr="00051B3F">
        <w:rPr>
          <w:i/>
          <w:szCs w:val="22"/>
        </w:rPr>
        <w:t>Journal of Official Statistics, 15</w:t>
      </w:r>
      <w:r w:rsidRPr="00051B3F">
        <w:rPr>
          <w:szCs w:val="22"/>
        </w:rPr>
        <w:t xml:space="preserve">, 231–250. </w:t>
      </w:r>
    </w:p>
    <w:p w:rsidR="00DC57CC" w:rsidRDefault="00DC57CC" w:rsidP="00270D97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AB" w:rsidRDefault="004B4DAB" w:rsidP="008B5D54">
      <w:r>
        <w:separator/>
      </w:r>
    </w:p>
  </w:endnote>
  <w:endnote w:type="continuationSeparator" w:id="0">
    <w:p w:rsidR="004B4DAB" w:rsidRDefault="004B4DAB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AB" w:rsidRDefault="004B4DAB" w:rsidP="008B5D54">
      <w:r>
        <w:separator/>
      </w:r>
    </w:p>
  </w:footnote>
  <w:footnote w:type="continuationSeparator" w:id="0">
    <w:p w:rsidR="004B4DAB" w:rsidRDefault="004B4DAB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9CD"/>
    <w:multiLevelType w:val="hybridMultilevel"/>
    <w:tmpl w:val="6B9E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B6571"/>
    <w:multiLevelType w:val="hybridMultilevel"/>
    <w:tmpl w:val="BDC6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67285"/>
    <w:rsid w:val="0000530E"/>
    <w:rsid w:val="000163E6"/>
    <w:rsid w:val="00064AE0"/>
    <w:rsid w:val="00067EB6"/>
    <w:rsid w:val="0009164C"/>
    <w:rsid w:val="000950A8"/>
    <w:rsid w:val="000A6E79"/>
    <w:rsid w:val="000C7A20"/>
    <w:rsid w:val="000F01EF"/>
    <w:rsid w:val="001026AC"/>
    <w:rsid w:val="00162374"/>
    <w:rsid w:val="001F602D"/>
    <w:rsid w:val="0020318A"/>
    <w:rsid w:val="00205DBA"/>
    <w:rsid w:val="002432FC"/>
    <w:rsid w:val="002465BF"/>
    <w:rsid w:val="00270D97"/>
    <w:rsid w:val="00282504"/>
    <w:rsid w:val="002E66D5"/>
    <w:rsid w:val="003220E6"/>
    <w:rsid w:val="00337E4A"/>
    <w:rsid w:val="00373878"/>
    <w:rsid w:val="003A355A"/>
    <w:rsid w:val="00421DFD"/>
    <w:rsid w:val="004452E1"/>
    <w:rsid w:val="004B4DAB"/>
    <w:rsid w:val="004E3DA1"/>
    <w:rsid w:val="00547B13"/>
    <w:rsid w:val="00550637"/>
    <w:rsid w:val="00557057"/>
    <w:rsid w:val="00560E1F"/>
    <w:rsid w:val="00561BDF"/>
    <w:rsid w:val="00586013"/>
    <w:rsid w:val="005C537D"/>
    <w:rsid w:val="005E09B2"/>
    <w:rsid w:val="005E7384"/>
    <w:rsid w:val="00620120"/>
    <w:rsid w:val="00693F49"/>
    <w:rsid w:val="006C6578"/>
    <w:rsid w:val="006F367A"/>
    <w:rsid w:val="00781F22"/>
    <w:rsid w:val="0078744D"/>
    <w:rsid w:val="007E26E1"/>
    <w:rsid w:val="007E3554"/>
    <w:rsid w:val="007F5B58"/>
    <w:rsid w:val="008308C0"/>
    <w:rsid w:val="008B5D54"/>
    <w:rsid w:val="00911171"/>
    <w:rsid w:val="00935793"/>
    <w:rsid w:val="009647D5"/>
    <w:rsid w:val="00967285"/>
    <w:rsid w:val="00A06DE5"/>
    <w:rsid w:val="00A12096"/>
    <w:rsid w:val="00A207AF"/>
    <w:rsid w:val="00AE4AF6"/>
    <w:rsid w:val="00B42C38"/>
    <w:rsid w:val="00B55735"/>
    <w:rsid w:val="00B608AC"/>
    <w:rsid w:val="00BB47BE"/>
    <w:rsid w:val="00C10E9D"/>
    <w:rsid w:val="00C64797"/>
    <w:rsid w:val="00CA7CD6"/>
    <w:rsid w:val="00CB3FF9"/>
    <w:rsid w:val="00D0648F"/>
    <w:rsid w:val="00D605CA"/>
    <w:rsid w:val="00DC57CC"/>
    <w:rsid w:val="00E80E8E"/>
    <w:rsid w:val="00E90291"/>
    <w:rsid w:val="00EC78FB"/>
    <w:rsid w:val="00ED2463"/>
    <w:rsid w:val="00ED6494"/>
    <w:rsid w:val="00EE3C52"/>
    <w:rsid w:val="00EE625A"/>
    <w:rsid w:val="00F215E3"/>
    <w:rsid w:val="00F92894"/>
    <w:rsid w:val="00F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1092B10-0ED4-4F17-9D2D-EF80CD0C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2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2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7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2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285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6728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67285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6728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67285"/>
    <w:rPr>
      <w:rFonts w:ascii="Times New Roman" w:eastAsia="Times New Roman" w:hAnsi="Times New Roman" w:cs="Times New Roman"/>
      <w:noProof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3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F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FF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FF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60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B558-21F5-4EA3-BE94-D7D8BB25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Jocelyn (CDC/OID/NCHHSTP)</dc:creator>
  <cp:lastModifiedBy>Conner, Catina (CDC/OD/OADS)</cp:lastModifiedBy>
  <cp:revision>2</cp:revision>
  <dcterms:created xsi:type="dcterms:W3CDTF">2017-01-19T19:15:00Z</dcterms:created>
  <dcterms:modified xsi:type="dcterms:W3CDTF">2017-01-19T19:15:00Z</dcterms:modified>
</cp:coreProperties>
</file>