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93" w:rsidRDefault="00EC1942" w:rsidP="0068422E">
      <w:pPr>
        <w:tabs>
          <w:tab w:val="center" w:pos="4680"/>
        </w:tabs>
        <w:jc w:val="center"/>
        <w:rPr>
          <w:rFonts w:ascii="Times New Roman" w:hAnsi="Times New Roman"/>
          <w:sz w:val="28"/>
          <w:szCs w:val="28"/>
        </w:rPr>
      </w:pPr>
      <w:bookmarkStart w:id="0" w:name="OLE_LINK5"/>
      <w:bookmarkStart w:id="1" w:name="OLE_LINK6"/>
      <w:r>
        <w:rPr>
          <w:rFonts w:ascii="Times New Roman" w:hAnsi="Times New Roman"/>
          <w:sz w:val="28"/>
          <w:szCs w:val="28"/>
        </w:rPr>
        <w:t>H</w:t>
      </w:r>
      <w:r w:rsidR="004B4393" w:rsidRPr="0011189E">
        <w:rPr>
          <w:rFonts w:ascii="Times New Roman" w:hAnsi="Times New Roman"/>
          <w:sz w:val="28"/>
          <w:szCs w:val="28"/>
        </w:rPr>
        <w:t>ealth Message Testing System</w:t>
      </w:r>
      <w:r w:rsidR="00433E82">
        <w:rPr>
          <w:rFonts w:ascii="Times New Roman" w:hAnsi="Times New Roman"/>
          <w:sz w:val="28"/>
          <w:szCs w:val="28"/>
        </w:rPr>
        <w:t xml:space="preserve"> (HMTS)</w:t>
      </w:r>
    </w:p>
    <w:p w:rsidR="004B4393" w:rsidRDefault="004B4393" w:rsidP="0068422E">
      <w:pPr>
        <w:tabs>
          <w:tab w:val="center" w:pos="4680"/>
        </w:tabs>
        <w:jc w:val="center"/>
        <w:rPr>
          <w:rFonts w:ascii="Times New Roman" w:hAnsi="Times New Roman"/>
          <w:sz w:val="28"/>
          <w:szCs w:val="28"/>
        </w:rPr>
      </w:pPr>
      <w:r>
        <w:rPr>
          <w:rFonts w:ascii="Times New Roman" w:hAnsi="Times New Roman"/>
          <w:sz w:val="28"/>
          <w:szCs w:val="28"/>
        </w:rPr>
        <w:t xml:space="preserve">OMB No. </w:t>
      </w:r>
      <w:r w:rsidRPr="0011189E">
        <w:rPr>
          <w:rFonts w:ascii="Times New Roman" w:hAnsi="Times New Roman"/>
          <w:sz w:val="28"/>
          <w:szCs w:val="28"/>
        </w:rPr>
        <w:t>0920-0572</w:t>
      </w:r>
    </w:p>
    <w:p w:rsidR="00B96461" w:rsidRDefault="00B96461" w:rsidP="00B96461">
      <w:pPr>
        <w:tabs>
          <w:tab w:val="center" w:pos="4680"/>
        </w:tabs>
        <w:jc w:val="center"/>
        <w:rPr>
          <w:rFonts w:ascii="Times New Roman" w:hAnsi="Times New Roman"/>
          <w:sz w:val="28"/>
          <w:szCs w:val="28"/>
        </w:rPr>
      </w:pPr>
      <w:r>
        <w:rPr>
          <w:rFonts w:ascii="Times New Roman" w:hAnsi="Times New Roman"/>
          <w:sz w:val="28"/>
          <w:szCs w:val="28"/>
        </w:rPr>
        <w:t>Expiration Date:  February 28, 2015</w:t>
      </w:r>
    </w:p>
    <w:p w:rsidR="00C5338D" w:rsidRDefault="00C5338D" w:rsidP="0068422E">
      <w:pPr>
        <w:tabs>
          <w:tab w:val="center" w:pos="4680"/>
        </w:tabs>
        <w:jc w:val="center"/>
        <w:rPr>
          <w:rFonts w:ascii="Times New Roman" w:hAnsi="Times New Roman"/>
          <w:sz w:val="28"/>
          <w:szCs w:val="28"/>
        </w:rPr>
      </w:pPr>
    </w:p>
    <w:p w:rsidR="00433E82" w:rsidRDefault="00433E82" w:rsidP="0068422E">
      <w:pPr>
        <w:tabs>
          <w:tab w:val="center" w:pos="4680"/>
        </w:tabs>
        <w:jc w:val="center"/>
        <w:rPr>
          <w:rFonts w:ascii="Times New Roman" w:hAnsi="Times New Roman"/>
          <w:sz w:val="28"/>
          <w:szCs w:val="28"/>
        </w:rPr>
      </w:pPr>
      <w:r>
        <w:rPr>
          <w:rFonts w:ascii="Times New Roman" w:hAnsi="Times New Roman"/>
          <w:sz w:val="28"/>
          <w:szCs w:val="28"/>
        </w:rPr>
        <w:t>Part A</w:t>
      </w:r>
    </w:p>
    <w:p w:rsidR="00433E82" w:rsidRDefault="00433E82" w:rsidP="0068422E">
      <w:pPr>
        <w:tabs>
          <w:tab w:val="center" w:pos="4680"/>
        </w:tabs>
        <w:jc w:val="center"/>
        <w:rPr>
          <w:rFonts w:ascii="Times New Roman" w:hAnsi="Times New Roman"/>
          <w:sz w:val="28"/>
          <w:szCs w:val="28"/>
        </w:rPr>
      </w:pPr>
    </w:p>
    <w:bookmarkEnd w:id="0"/>
    <w:bookmarkEnd w:id="1"/>
    <w:p w:rsidR="004B4393" w:rsidRPr="0011189E" w:rsidRDefault="004B4393" w:rsidP="0068422E">
      <w:pPr>
        <w:tabs>
          <w:tab w:val="center" w:pos="4680"/>
        </w:tabs>
        <w:rPr>
          <w:rFonts w:ascii="Times New Roman" w:hAnsi="Times New Roman"/>
          <w:sz w:val="32"/>
        </w:rPr>
      </w:pPr>
    </w:p>
    <w:p w:rsidR="004B4393" w:rsidRDefault="004B4393" w:rsidP="0068422E">
      <w:pPr>
        <w:rPr>
          <w:rFonts w:ascii="Times New Roman" w:hAnsi="Times New Roman"/>
          <w:sz w:val="32"/>
        </w:rPr>
      </w:pPr>
    </w:p>
    <w:p w:rsidR="004B4393" w:rsidRDefault="004B4393" w:rsidP="0068422E">
      <w:pPr>
        <w:tabs>
          <w:tab w:val="center" w:pos="4680"/>
        </w:tabs>
        <w:rPr>
          <w:rFonts w:ascii="Times New Roman" w:hAnsi="Times New Roman"/>
          <w:sz w:val="32"/>
        </w:rPr>
      </w:pPr>
      <w:r>
        <w:rPr>
          <w:rFonts w:ascii="Times New Roman" w:hAnsi="Times New Roman"/>
          <w:sz w:val="32"/>
        </w:rPr>
        <w:tab/>
      </w:r>
    </w:p>
    <w:p w:rsidR="004B4393" w:rsidRDefault="004B4393" w:rsidP="0068422E">
      <w:pPr>
        <w:tabs>
          <w:tab w:val="center" w:pos="4680"/>
        </w:tabs>
        <w:rPr>
          <w:rFonts w:ascii="Times New Roman" w:hAnsi="Times New Roman"/>
          <w:sz w:val="32"/>
        </w:rPr>
      </w:pPr>
      <w:r>
        <w:rPr>
          <w:rFonts w:ascii="Times New Roman" w:hAnsi="Times New Roman"/>
          <w:b/>
          <w:sz w:val="32"/>
        </w:rPr>
        <w:tab/>
      </w:r>
    </w:p>
    <w:p w:rsidR="004B4393" w:rsidRDefault="004B4393" w:rsidP="0068422E">
      <w:pPr>
        <w:rPr>
          <w:rFonts w:ascii="Times New Roman" w:hAnsi="Times New Roman"/>
        </w:rPr>
      </w:pPr>
    </w:p>
    <w:p w:rsidR="004B4393" w:rsidRDefault="004B4393" w:rsidP="0068422E">
      <w:pPr>
        <w:pStyle w:val="Footer"/>
        <w:tabs>
          <w:tab w:val="clear" w:pos="4320"/>
          <w:tab w:val="clear" w:pos="8640"/>
        </w:tabs>
        <w:rPr>
          <w:rFonts w:ascii="Times New Roman" w:hAnsi="Times New Roman"/>
        </w:rPr>
      </w:pPr>
    </w:p>
    <w:p w:rsidR="003347BB" w:rsidRDefault="003347BB" w:rsidP="0068422E">
      <w:pPr>
        <w:pStyle w:val="Footer"/>
        <w:tabs>
          <w:tab w:val="clear" w:pos="4320"/>
          <w:tab w:val="clear" w:pos="8640"/>
        </w:tabs>
        <w:rPr>
          <w:rFonts w:ascii="Times New Roman" w:hAnsi="Times New Roman"/>
        </w:rPr>
      </w:pPr>
    </w:p>
    <w:p w:rsidR="00C5338D" w:rsidRDefault="00C5338D" w:rsidP="0068422E">
      <w:pPr>
        <w:pStyle w:val="Footer"/>
        <w:tabs>
          <w:tab w:val="clear" w:pos="4320"/>
          <w:tab w:val="clear" w:pos="8640"/>
        </w:tabs>
        <w:rPr>
          <w:rFonts w:ascii="Times New Roman" w:hAnsi="Times New Roman"/>
        </w:rPr>
      </w:pPr>
    </w:p>
    <w:p w:rsidR="00C5338D" w:rsidRDefault="00C5338D" w:rsidP="0068422E">
      <w:pPr>
        <w:pStyle w:val="Footer"/>
        <w:tabs>
          <w:tab w:val="clear" w:pos="4320"/>
          <w:tab w:val="clear" w:pos="8640"/>
        </w:tabs>
        <w:rPr>
          <w:rFonts w:ascii="Times New Roman" w:hAnsi="Times New Roman"/>
        </w:rPr>
      </w:pPr>
    </w:p>
    <w:p w:rsidR="00C5338D" w:rsidRDefault="00C5338D" w:rsidP="0068422E">
      <w:pPr>
        <w:pStyle w:val="Footer"/>
        <w:tabs>
          <w:tab w:val="clear" w:pos="4320"/>
          <w:tab w:val="clear" w:pos="8640"/>
        </w:tabs>
        <w:rPr>
          <w:rFonts w:ascii="Times New Roman" w:hAnsi="Times New Roman"/>
        </w:rPr>
      </w:pPr>
    </w:p>
    <w:p w:rsidR="00850A82" w:rsidRDefault="00850A82" w:rsidP="0068422E">
      <w:pPr>
        <w:pStyle w:val="Footer"/>
        <w:tabs>
          <w:tab w:val="clear" w:pos="4320"/>
          <w:tab w:val="clear" w:pos="8640"/>
        </w:tabs>
        <w:rPr>
          <w:rFonts w:ascii="Times New Roman" w:hAnsi="Times New Roman"/>
        </w:rPr>
      </w:pPr>
    </w:p>
    <w:p w:rsidR="006C6606" w:rsidRDefault="006C6606" w:rsidP="0068422E">
      <w:pPr>
        <w:pStyle w:val="Footer"/>
        <w:tabs>
          <w:tab w:val="clear" w:pos="4320"/>
          <w:tab w:val="clear" w:pos="8640"/>
        </w:tabs>
        <w:rPr>
          <w:rFonts w:ascii="Times New Roman" w:hAnsi="Times New Roman"/>
        </w:rPr>
      </w:pPr>
    </w:p>
    <w:p w:rsidR="006C6606" w:rsidRDefault="006C6606" w:rsidP="0068422E">
      <w:pPr>
        <w:pStyle w:val="Footer"/>
        <w:tabs>
          <w:tab w:val="clear" w:pos="4320"/>
          <w:tab w:val="clear" w:pos="8640"/>
        </w:tabs>
        <w:rPr>
          <w:rFonts w:ascii="Times New Roman" w:hAnsi="Times New Roman"/>
        </w:rPr>
      </w:pPr>
    </w:p>
    <w:p w:rsidR="006C6606" w:rsidRDefault="006C6606" w:rsidP="0068422E">
      <w:pPr>
        <w:pStyle w:val="Footer"/>
        <w:tabs>
          <w:tab w:val="clear" w:pos="4320"/>
          <w:tab w:val="clear" w:pos="8640"/>
        </w:tabs>
        <w:rPr>
          <w:rFonts w:ascii="Times New Roman" w:hAnsi="Times New Roman"/>
        </w:rPr>
      </w:pPr>
    </w:p>
    <w:p w:rsidR="00850A82" w:rsidRDefault="00850A82" w:rsidP="0068422E">
      <w:pPr>
        <w:pStyle w:val="Footer"/>
        <w:tabs>
          <w:tab w:val="clear" w:pos="4320"/>
          <w:tab w:val="clear" w:pos="8640"/>
        </w:tabs>
        <w:rPr>
          <w:rFonts w:ascii="Times New Roman" w:hAnsi="Times New Roman"/>
        </w:rPr>
      </w:pPr>
    </w:p>
    <w:p w:rsidR="00850A82" w:rsidRDefault="00850A82" w:rsidP="0068422E">
      <w:pPr>
        <w:pStyle w:val="Footer"/>
        <w:tabs>
          <w:tab w:val="clear" w:pos="4320"/>
          <w:tab w:val="clear" w:pos="8640"/>
        </w:tabs>
        <w:rPr>
          <w:rFonts w:ascii="Times New Roman" w:hAnsi="Times New Roman"/>
        </w:rPr>
      </w:pPr>
    </w:p>
    <w:p w:rsidR="00850A82" w:rsidRDefault="00850A82" w:rsidP="0068422E">
      <w:pPr>
        <w:pStyle w:val="Footer"/>
        <w:tabs>
          <w:tab w:val="clear" w:pos="4320"/>
          <w:tab w:val="clear" w:pos="8640"/>
        </w:tabs>
        <w:rPr>
          <w:rFonts w:ascii="Times New Roman" w:hAnsi="Times New Roman"/>
        </w:rPr>
      </w:pPr>
    </w:p>
    <w:p w:rsidR="003347BB" w:rsidRDefault="003347BB" w:rsidP="0068422E">
      <w:pPr>
        <w:pStyle w:val="Footer"/>
        <w:tabs>
          <w:tab w:val="clear" w:pos="4320"/>
          <w:tab w:val="clear" w:pos="8640"/>
        </w:tabs>
        <w:rPr>
          <w:rFonts w:ascii="Times New Roman" w:hAnsi="Times New Roman"/>
        </w:rPr>
      </w:pPr>
    </w:p>
    <w:p w:rsidR="006C6606" w:rsidRDefault="006C6606" w:rsidP="0068422E">
      <w:pPr>
        <w:pStyle w:val="Footer"/>
        <w:tabs>
          <w:tab w:val="clear" w:pos="4320"/>
          <w:tab w:val="clear" w:pos="8640"/>
        </w:tabs>
        <w:rPr>
          <w:rFonts w:ascii="Times New Roman" w:hAnsi="Times New Roman"/>
        </w:rPr>
      </w:pPr>
    </w:p>
    <w:p w:rsidR="006C6606" w:rsidRDefault="006C6606" w:rsidP="0068422E">
      <w:pPr>
        <w:pStyle w:val="Footer"/>
        <w:tabs>
          <w:tab w:val="clear" w:pos="4320"/>
          <w:tab w:val="clear" w:pos="8640"/>
        </w:tabs>
        <w:rPr>
          <w:rFonts w:ascii="Times New Roman" w:hAnsi="Times New Roman"/>
        </w:rPr>
      </w:pPr>
    </w:p>
    <w:p w:rsidR="004B4393" w:rsidRDefault="004B4393" w:rsidP="0068422E">
      <w:pPr>
        <w:pStyle w:val="Footer"/>
        <w:tabs>
          <w:tab w:val="clear" w:pos="4320"/>
          <w:tab w:val="clear" w:pos="8640"/>
        </w:tabs>
        <w:rPr>
          <w:rFonts w:ascii="Times New Roman" w:hAnsi="Times New Roman"/>
        </w:rPr>
      </w:pPr>
    </w:p>
    <w:p w:rsidR="008303E2" w:rsidRDefault="004B4393" w:rsidP="0068422E">
      <w:pPr>
        <w:pStyle w:val="Footer"/>
        <w:tabs>
          <w:tab w:val="clear" w:pos="4320"/>
          <w:tab w:val="clear" w:pos="8640"/>
        </w:tabs>
        <w:rPr>
          <w:rFonts w:ascii="Times New Roman" w:hAnsi="Times New Roman"/>
        </w:rPr>
      </w:pPr>
      <w:r>
        <w:rPr>
          <w:rFonts w:ascii="Times New Roman" w:hAnsi="Times New Roman"/>
        </w:rPr>
        <w:t>Project Manager:</w:t>
      </w:r>
      <w:r w:rsidR="00E055C2">
        <w:rPr>
          <w:rFonts w:ascii="Times New Roman" w:hAnsi="Times New Roman"/>
        </w:rPr>
        <w:t xml:space="preserve"> Barbara M. Morrison</w:t>
      </w:r>
    </w:p>
    <w:p w:rsidR="00124AF5" w:rsidRDefault="00124AF5" w:rsidP="0068422E">
      <w:pPr>
        <w:pStyle w:val="Footer"/>
        <w:tabs>
          <w:tab w:val="clear" w:pos="4320"/>
          <w:tab w:val="clear" w:pos="8640"/>
        </w:tabs>
        <w:rPr>
          <w:rFonts w:ascii="Times New Roman" w:hAnsi="Times New Roman"/>
        </w:rPr>
      </w:pPr>
      <w:r>
        <w:rPr>
          <w:rFonts w:ascii="Times New Roman" w:hAnsi="Times New Roman"/>
        </w:rPr>
        <w:t>Program Analyst</w:t>
      </w:r>
    </w:p>
    <w:p w:rsidR="006C6606" w:rsidRDefault="006C6606" w:rsidP="0068422E">
      <w:pPr>
        <w:pStyle w:val="Footer"/>
        <w:tabs>
          <w:tab w:val="clear" w:pos="4320"/>
          <w:tab w:val="clear" w:pos="8640"/>
        </w:tabs>
        <w:rPr>
          <w:rFonts w:ascii="Times New Roman" w:hAnsi="Times New Roman"/>
        </w:rPr>
      </w:pPr>
      <w:r>
        <w:rPr>
          <w:rFonts w:ascii="Times New Roman" w:hAnsi="Times New Roman"/>
        </w:rPr>
        <w:t>Office of the Associate Director for Communication</w:t>
      </w:r>
      <w:r w:rsidR="00384EB0">
        <w:rPr>
          <w:rFonts w:ascii="Times New Roman" w:hAnsi="Times New Roman"/>
        </w:rPr>
        <w:t xml:space="preserve"> (OADC)</w:t>
      </w:r>
    </w:p>
    <w:p w:rsidR="004B4393" w:rsidRDefault="00850A82" w:rsidP="0068422E">
      <w:pPr>
        <w:pStyle w:val="Footer"/>
        <w:tabs>
          <w:tab w:val="clear" w:pos="4320"/>
          <w:tab w:val="clear" w:pos="8640"/>
        </w:tabs>
        <w:rPr>
          <w:rFonts w:ascii="Times New Roman" w:hAnsi="Times New Roman"/>
        </w:rPr>
      </w:pPr>
      <w:r>
        <w:rPr>
          <w:rFonts w:ascii="Times New Roman" w:hAnsi="Times New Roman"/>
        </w:rPr>
        <w:t>Phone</w:t>
      </w:r>
      <w:r w:rsidRPr="00AC513B">
        <w:rPr>
          <w:rFonts w:ascii="Times New Roman" w:hAnsi="Times New Roman"/>
        </w:rPr>
        <w:t xml:space="preserve">:  (404) </w:t>
      </w:r>
      <w:r w:rsidR="00E055C2">
        <w:rPr>
          <w:rFonts w:ascii="Times New Roman" w:hAnsi="Times New Roman"/>
        </w:rPr>
        <w:t>498-2218</w:t>
      </w:r>
    </w:p>
    <w:p w:rsidR="004B4393" w:rsidRDefault="004B4393" w:rsidP="0068422E">
      <w:pPr>
        <w:pStyle w:val="Footer"/>
        <w:tabs>
          <w:tab w:val="clear" w:pos="4320"/>
          <w:tab w:val="clear" w:pos="8640"/>
        </w:tabs>
        <w:rPr>
          <w:rFonts w:ascii="Times New Roman" w:hAnsi="Times New Roman"/>
        </w:rPr>
      </w:pPr>
      <w:r>
        <w:rPr>
          <w:rFonts w:ascii="Times New Roman" w:hAnsi="Times New Roman"/>
        </w:rPr>
        <w:t>Fax:</w:t>
      </w:r>
      <w:r w:rsidRPr="009D59B1">
        <w:rPr>
          <w:rFonts w:ascii="Times New Roman" w:hAnsi="Times New Roman"/>
        </w:rPr>
        <w:tab/>
        <w:t xml:space="preserve"> (404) </w:t>
      </w:r>
      <w:r w:rsidR="00E055C2">
        <w:rPr>
          <w:rFonts w:ascii="Times New Roman" w:hAnsi="Times New Roman"/>
        </w:rPr>
        <w:t>498-2221</w:t>
      </w:r>
    </w:p>
    <w:p w:rsidR="004B4393" w:rsidRDefault="004B4393" w:rsidP="0068422E">
      <w:pPr>
        <w:pStyle w:val="Footer"/>
        <w:tabs>
          <w:tab w:val="clear" w:pos="4320"/>
          <w:tab w:val="clear" w:pos="8640"/>
        </w:tabs>
        <w:rPr>
          <w:rFonts w:ascii="Times New Roman" w:hAnsi="Times New Roman"/>
        </w:rPr>
      </w:pPr>
      <w:r>
        <w:rPr>
          <w:rFonts w:ascii="Times New Roman" w:hAnsi="Times New Roman"/>
        </w:rPr>
        <w:t>Email address:</w:t>
      </w:r>
      <w:r w:rsidRPr="00AC513B">
        <w:rPr>
          <w:rFonts w:ascii="Times New Roman" w:hAnsi="Times New Roman"/>
        </w:rPr>
        <w:tab/>
        <w:t xml:space="preserve">   </w:t>
      </w:r>
      <w:r w:rsidR="00E055C2">
        <w:rPr>
          <w:rFonts w:ascii="Times New Roman" w:hAnsi="Times New Roman"/>
        </w:rPr>
        <w:t>bmm1@cdc.gov</w:t>
      </w:r>
    </w:p>
    <w:p w:rsidR="004B4393" w:rsidRDefault="004B4393" w:rsidP="0068422E">
      <w:pPr>
        <w:rPr>
          <w:rFonts w:ascii="Times New Roman" w:hAnsi="Times New Roman"/>
        </w:rPr>
      </w:pPr>
      <w:r>
        <w:rPr>
          <w:rFonts w:ascii="Times New Roman" w:hAnsi="Times New Roman"/>
        </w:rPr>
        <w:t>Centers for Disease Control and Prevention</w:t>
      </w:r>
    </w:p>
    <w:p w:rsidR="00DE3927" w:rsidRDefault="00E055C2" w:rsidP="0068422E">
      <w:pPr>
        <w:rPr>
          <w:rFonts w:ascii="Times New Roman" w:hAnsi="Times New Roman"/>
        </w:rPr>
      </w:pPr>
      <w:r>
        <w:rPr>
          <w:rFonts w:ascii="Times New Roman" w:hAnsi="Times New Roman"/>
        </w:rPr>
        <w:t xml:space="preserve">2500 </w:t>
      </w:r>
      <w:r w:rsidR="00DE3927">
        <w:rPr>
          <w:rFonts w:ascii="Times New Roman" w:hAnsi="Times New Roman"/>
        </w:rPr>
        <w:t>Century Blvd.</w:t>
      </w:r>
    </w:p>
    <w:p w:rsidR="004B4393" w:rsidRDefault="004B4393" w:rsidP="0068422E">
      <w:pPr>
        <w:rPr>
          <w:rFonts w:ascii="Times New Roman" w:hAnsi="Times New Roman"/>
        </w:rPr>
      </w:pPr>
      <w:r>
        <w:rPr>
          <w:rFonts w:ascii="Times New Roman" w:hAnsi="Times New Roman"/>
        </w:rPr>
        <w:t>Atlanta GA  303</w:t>
      </w:r>
      <w:r w:rsidR="00DE3927">
        <w:rPr>
          <w:rFonts w:ascii="Times New Roman" w:hAnsi="Times New Roman"/>
        </w:rPr>
        <w:t>45</w:t>
      </w:r>
    </w:p>
    <w:p w:rsidR="00850A82" w:rsidRDefault="00850A82" w:rsidP="0068422E">
      <w:pPr>
        <w:rPr>
          <w:rFonts w:ascii="Times New Roman" w:hAnsi="Times New Roman"/>
        </w:rPr>
      </w:pPr>
    </w:p>
    <w:p w:rsidR="00850A82" w:rsidRDefault="007452BF" w:rsidP="0068422E">
      <w:pPr>
        <w:rPr>
          <w:rFonts w:ascii="Times New Roman" w:hAnsi="Times New Roman"/>
        </w:rPr>
      </w:pPr>
      <w:r>
        <w:rPr>
          <w:rFonts w:ascii="Times New Roman" w:hAnsi="Times New Roman"/>
        </w:rPr>
        <w:t>February 03, 2015</w:t>
      </w:r>
    </w:p>
    <w:p w:rsidR="006C6606" w:rsidRDefault="006C6606" w:rsidP="0068422E">
      <w:pPr>
        <w:rPr>
          <w:rFonts w:ascii="Times New Roman" w:hAnsi="Times New Roman"/>
        </w:rPr>
      </w:pPr>
    </w:p>
    <w:p w:rsidR="006C6606" w:rsidRDefault="006C6606" w:rsidP="0068422E">
      <w:pPr>
        <w:rPr>
          <w:rFonts w:ascii="Times New Roman" w:hAnsi="Times New Roman"/>
        </w:rPr>
      </w:pPr>
    </w:p>
    <w:p w:rsidR="00850A82" w:rsidRDefault="00C5338D" w:rsidP="0068422E">
      <w:pPr>
        <w:rPr>
          <w:rFonts w:ascii="Times New Roman" w:hAnsi="Times New Roman"/>
        </w:rPr>
      </w:pPr>
      <w:r>
        <w:rPr>
          <w:rFonts w:ascii="Times New Roman" w:hAnsi="Times New Roman"/>
        </w:rPr>
        <w:br w:type="page"/>
      </w:r>
    </w:p>
    <w:p w:rsidR="008303E2" w:rsidRDefault="008303E2" w:rsidP="0068422E">
      <w:pPr>
        <w:rPr>
          <w:rFonts w:ascii="Times New Roman" w:hAnsi="Times New Roman"/>
        </w:rPr>
      </w:pPr>
    </w:p>
    <w:p w:rsidR="004B4393" w:rsidRDefault="004B4393" w:rsidP="0068422E">
      <w:pPr>
        <w:rPr>
          <w:rFonts w:ascii="Times New Roman" w:hAnsi="Times New Roman"/>
        </w:rPr>
      </w:pPr>
    </w:p>
    <w:p w:rsidR="004B4393" w:rsidRPr="00A24EEC" w:rsidRDefault="004B4393" w:rsidP="00194CAB">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RDefault="004B4393" w:rsidP="0068422E">
      <w:pPr>
        <w:tabs>
          <w:tab w:val="left" w:pos="0"/>
          <w:tab w:val="left" w:pos="8640"/>
          <w:tab w:val="left" w:pos="9360"/>
        </w:tabs>
        <w:spacing w:line="240" w:lineRule="exact"/>
        <w:rPr>
          <w:rFonts w:ascii="Times New Roman" w:hAnsi="Times New Roman"/>
        </w:rPr>
      </w:pPr>
      <w:r>
        <w:rPr>
          <w:rFonts w:ascii="Times New Roman" w:hAnsi="Times New Roman"/>
        </w:rPr>
        <w:t xml:space="preserve">        </w:t>
      </w:r>
    </w:p>
    <w:p w:rsidR="005C2A9F" w:rsidRDefault="004B4393" w:rsidP="0068422E">
      <w:pPr>
        <w:tabs>
          <w:tab w:val="left" w:pos="0"/>
          <w:tab w:val="left" w:pos="8640"/>
          <w:tab w:val="left" w:pos="9360"/>
        </w:tabs>
        <w:spacing w:line="240" w:lineRule="exact"/>
        <w:rPr>
          <w:rFonts w:ascii="Times New Roman" w:hAnsi="Times New Roman"/>
          <w:b/>
        </w:rPr>
      </w:pPr>
      <w:r>
        <w:rPr>
          <w:rFonts w:ascii="Times New Roman" w:hAnsi="Times New Roman"/>
        </w:rPr>
        <w:t xml:space="preserve">        </w:t>
      </w:r>
      <w:r>
        <w:rPr>
          <w:rFonts w:ascii="Times New Roman" w:hAnsi="Times New Roman"/>
          <w:b/>
        </w:rPr>
        <w:t>Section</w:t>
      </w:r>
    </w:p>
    <w:p w:rsidR="004B4393" w:rsidRDefault="005C2A9F" w:rsidP="0068422E">
      <w:pPr>
        <w:tabs>
          <w:tab w:val="left" w:pos="0"/>
          <w:tab w:val="left" w:pos="8640"/>
          <w:tab w:val="left" w:pos="9360"/>
        </w:tabs>
        <w:spacing w:line="240" w:lineRule="exact"/>
        <w:rPr>
          <w:rFonts w:ascii="Times New Roman" w:hAnsi="Times New Roman"/>
          <w:b/>
        </w:rPr>
      </w:pPr>
      <w:r>
        <w:rPr>
          <w:rFonts w:ascii="Times New Roman" w:hAnsi="Times New Roman"/>
          <w:b/>
        </w:rPr>
        <w:tab/>
      </w:r>
      <w:r w:rsidR="004B4393">
        <w:rPr>
          <w:rFonts w:ascii="Times New Roman" w:hAnsi="Times New Roman"/>
          <w:b/>
        </w:rPr>
        <w:t>Page</w:t>
      </w:r>
    </w:p>
    <w:p w:rsidR="004B4393" w:rsidRDefault="004B4393" w:rsidP="0068422E">
      <w:pPr>
        <w:tabs>
          <w:tab w:val="left" w:pos="0"/>
          <w:tab w:val="left" w:pos="8640"/>
          <w:tab w:val="left" w:pos="9360"/>
        </w:tabs>
        <w:spacing w:line="240" w:lineRule="exact"/>
        <w:rPr>
          <w:rFonts w:ascii="Times New Roman" w:hAnsi="Times New Roman"/>
        </w:rPr>
      </w:pPr>
      <w:r>
        <w:rPr>
          <w:rFonts w:ascii="Times New Roman" w:hAnsi="Times New Roman"/>
          <w:b/>
        </w:rPr>
        <w:t xml:space="preserve">        </w:t>
      </w:r>
    </w:p>
    <w:p w:rsidR="004B4393" w:rsidRPr="002D5826" w:rsidRDefault="004B4393" w:rsidP="0068422E">
      <w:pPr>
        <w:tabs>
          <w:tab w:val="left" w:pos="0"/>
          <w:tab w:val="left" w:pos="288"/>
          <w:tab w:val="left" w:pos="1170"/>
          <w:tab w:val="right" w:leader="dot" w:pos="8208"/>
          <w:tab w:val="left" w:pos="8640"/>
          <w:tab w:val="left" w:pos="9360"/>
        </w:tabs>
        <w:spacing w:line="240" w:lineRule="exact"/>
        <w:ind w:left="288" w:firstLine="882"/>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7</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sidR="00413A66">
        <w:rPr>
          <w:rFonts w:ascii="Times New Roman" w:hAnsi="Times New Roman"/>
          <w:sz w:val="22"/>
          <w:szCs w:val="22"/>
        </w:rPr>
        <w:t>7</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RDefault="00FF540D"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9C0EC6">
        <w:rPr>
          <w:rFonts w:ascii="Times New Roman" w:hAnsi="Times New Roman"/>
          <w:sz w:val="22"/>
          <w:szCs w:val="22"/>
        </w:rPr>
        <w:t>ayment or Gift to Respondents</w:t>
      </w:r>
      <w:r w:rsidR="009C0EC6">
        <w:rPr>
          <w:rFonts w:ascii="Times New Roman" w:hAnsi="Times New Roman"/>
          <w:sz w:val="22"/>
          <w:szCs w:val="22"/>
        </w:rPr>
        <w:tab/>
      </w:r>
      <w:r w:rsidR="009C0EC6">
        <w:rPr>
          <w:rFonts w:ascii="Times New Roman" w:hAnsi="Times New Roman"/>
          <w:sz w:val="22"/>
          <w:szCs w:val="22"/>
        </w:rPr>
        <w:tab/>
      </w:r>
      <w:r w:rsidR="00413A66">
        <w:rPr>
          <w:rFonts w:ascii="Times New Roman" w:hAnsi="Times New Roman"/>
          <w:sz w:val="22"/>
          <w:szCs w:val="22"/>
        </w:rPr>
        <w:t>9</w:t>
      </w:r>
    </w:p>
    <w:p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00413A66">
        <w:rPr>
          <w:rFonts w:ascii="Times New Roman" w:hAnsi="Times New Roman"/>
          <w:sz w:val="22"/>
          <w:szCs w:val="22"/>
        </w:rPr>
        <w:tab/>
      </w:r>
      <w:r w:rsidR="009C0EC6">
        <w:rPr>
          <w:rFonts w:ascii="Times New Roman" w:hAnsi="Times New Roman"/>
          <w:sz w:val="22"/>
          <w:szCs w:val="22"/>
        </w:rPr>
        <w:t>1</w:t>
      </w:r>
      <w:r w:rsidR="00413A66">
        <w:rPr>
          <w:rFonts w:ascii="Times New Roman" w:hAnsi="Times New Roman"/>
          <w:sz w:val="22"/>
          <w:szCs w:val="22"/>
        </w:rPr>
        <w:t>1</w:t>
      </w:r>
    </w:p>
    <w:p w:rsidR="00C95ECB" w:rsidRPr="002D5826" w:rsidRDefault="00C95ECB"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A.10.1  Privacy Impact Assessment Information…………………………….</w:t>
      </w:r>
      <w:r>
        <w:rPr>
          <w:rFonts w:ascii="Times New Roman" w:hAnsi="Times New Roman"/>
          <w:sz w:val="22"/>
          <w:szCs w:val="22"/>
        </w:rPr>
        <w:tab/>
        <w:t xml:space="preserve">        </w:t>
      </w:r>
      <w:r w:rsidR="009C0EC6">
        <w:rPr>
          <w:rFonts w:ascii="Times New Roman" w:hAnsi="Times New Roman"/>
          <w:sz w:val="22"/>
          <w:szCs w:val="22"/>
        </w:rPr>
        <w:t>11</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9C0EC6">
        <w:rPr>
          <w:rFonts w:ascii="Times New Roman" w:hAnsi="Times New Roman"/>
          <w:sz w:val="22"/>
          <w:szCs w:val="22"/>
        </w:rPr>
        <w:t>3</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w:t>
      </w:r>
      <w:r w:rsidR="009C0EC6">
        <w:rPr>
          <w:rFonts w:ascii="Times New Roman" w:hAnsi="Times New Roman"/>
          <w:sz w:val="22"/>
          <w:szCs w:val="22"/>
        </w:rPr>
        <w:t>urden Hours and Cost</w:t>
      </w:r>
      <w:r w:rsidR="009C0EC6">
        <w:rPr>
          <w:rFonts w:ascii="Times New Roman" w:hAnsi="Times New Roman"/>
          <w:sz w:val="22"/>
          <w:szCs w:val="22"/>
        </w:rPr>
        <w:tab/>
      </w:r>
      <w:r w:rsidR="009C0EC6">
        <w:rPr>
          <w:rFonts w:ascii="Times New Roman" w:hAnsi="Times New Roman"/>
          <w:sz w:val="22"/>
          <w:szCs w:val="22"/>
        </w:rPr>
        <w:tab/>
        <w:t>14</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004B4393" w:rsidRPr="002D5826" w:rsidRDefault="009C0EC6" w:rsidP="0068422E">
      <w:pPr>
        <w:tabs>
          <w:tab w:val="left" w:pos="0"/>
          <w:tab w:val="left" w:pos="1440"/>
          <w:tab w:val="left" w:pos="2160"/>
          <w:tab w:val="right" w:leader="dot" w:pos="8208"/>
          <w:tab w:val="left" w:pos="8640"/>
          <w:tab w:val="left" w:pos="9360"/>
        </w:tabs>
        <w:spacing w:line="240" w:lineRule="exact"/>
        <w:ind w:left="2160"/>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9C0EC6">
        <w:rPr>
          <w:rFonts w:ascii="Times New Roman" w:hAnsi="Times New Roman"/>
          <w:sz w:val="22"/>
          <w:szCs w:val="22"/>
        </w:rPr>
        <w:t>st to the Federal Government</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9C0EC6">
        <w:rPr>
          <w:rFonts w:ascii="Times New Roman" w:hAnsi="Times New Roman"/>
          <w:sz w:val="22"/>
          <w:szCs w:val="22"/>
        </w:rPr>
        <w:t>ogram Changes or Adjustments</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413A66">
        <w:rPr>
          <w:rFonts w:ascii="Times New Roman" w:hAnsi="Times New Roman"/>
          <w:sz w:val="22"/>
          <w:szCs w:val="22"/>
        </w:rPr>
        <w:t>ration Date is Inappropriate</w:t>
      </w:r>
      <w:r w:rsidR="00413A66">
        <w:rPr>
          <w:rFonts w:ascii="Times New Roman" w:hAnsi="Times New Roman"/>
          <w:sz w:val="22"/>
          <w:szCs w:val="22"/>
        </w:rPr>
        <w:tab/>
      </w:r>
      <w:r w:rsidR="00413A66">
        <w:rPr>
          <w:rFonts w:ascii="Times New Roman" w:hAnsi="Times New Roman"/>
          <w:sz w:val="22"/>
          <w:szCs w:val="22"/>
        </w:rPr>
        <w:tab/>
        <w:t>15</w:t>
      </w:r>
    </w:p>
    <w:p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rsidR="004B4393" w:rsidRDefault="004B4393" w:rsidP="0068422E">
      <w:pPr>
        <w:tabs>
          <w:tab w:val="left" w:pos="0"/>
          <w:tab w:val="right" w:leader="dot" w:pos="8208"/>
          <w:tab w:val="left" w:pos="8640"/>
          <w:tab w:val="left" w:pos="9360"/>
        </w:tabs>
        <w:spacing w:line="240" w:lineRule="exact"/>
        <w:rPr>
          <w:rFonts w:ascii="Times New Roman" w:hAnsi="Times New Roman"/>
          <w:b/>
        </w:rPr>
      </w:pPr>
    </w:p>
    <w:p w:rsidR="004B4393" w:rsidRDefault="004B4393" w:rsidP="0068422E">
      <w:pPr>
        <w:tabs>
          <w:tab w:val="left" w:pos="0"/>
          <w:tab w:val="right" w:leader="dot" w:pos="8208"/>
          <w:tab w:val="left" w:pos="8640"/>
          <w:tab w:val="left" w:pos="9360"/>
        </w:tabs>
        <w:spacing w:line="240" w:lineRule="exact"/>
        <w:rPr>
          <w:rFonts w:ascii="Times New Roman" w:hAnsi="Times New Roman"/>
        </w:rPr>
      </w:pPr>
      <w:r>
        <w:rPr>
          <w:rFonts w:ascii="Times New Roman" w:hAnsi="Times New Roman"/>
          <w:b/>
        </w:rPr>
        <w:t>List of Tables</w:t>
      </w:r>
    </w:p>
    <w:p w:rsidR="004B4393" w:rsidRDefault="004B4393" w:rsidP="0068422E">
      <w:pPr>
        <w:tabs>
          <w:tab w:val="left" w:pos="0"/>
          <w:tab w:val="left" w:pos="288"/>
          <w:tab w:val="right" w:leader="dot" w:pos="8208"/>
          <w:tab w:val="left" w:pos="8640"/>
          <w:tab w:val="left" w:pos="9360"/>
        </w:tabs>
        <w:spacing w:line="240" w:lineRule="exact"/>
        <w:ind w:left="288"/>
        <w:rPr>
          <w:rFonts w:ascii="Times New Roman" w:hAnsi="Times New Roman"/>
        </w:rPr>
      </w:pPr>
      <w:r>
        <w:rPr>
          <w:rFonts w:ascii="Times New Roman" w:hAnsi="Times New Roman"/>
        </w:rPr>
        <w:t xml:space="preserve">      </w:t>
      </w:r>
    </w:p>
    <w:p w:rsidR="004B4393" w:rsidRPr="002D5826" w:rsidRDefault="004B4393" w:rsidP="0068422E">
      <w:pPr>
        <w:tabs>
          <w:tab w:val="left" w:pos="0"/>
          <w:tab w:val="left" w:pos="288"/>
          <w:tab w:val="right" w:leader="dot" w:pos="8208"/>
          <w:tab w:val="left" w:pos="8640"/>
          <w:tab w:val="left" w:pos="9360"/>
        </w:tabs>
        <w:spacing w:line="240" w:lineRule="exact"/>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14</w:t>
      </w:r>
    </w:p>
    <w:p w:rsidR="004B4393" w:rsidRPr="002D5826" w:rsidRDefault="004B4393" w:rsidP="0068422E">
      <w:pPr>
        <w:tabs>
          <w:tab w:val="left" w:pos="0"/>
          <w:tab w:val="left" w:pos="288"/>
          <w:tab w:val="right" w:leader="dot" w:pos="8208"/>
          <w:tab w:val="left" w:pos="8640"/>
          <w:tab w:val="left" w:pos="9360"/>
        </w:tabs>
        <w:spacing w:line="240" w:lineRule="exact"/>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w:t>
      </w:r>
      <w:r w:rsidR="002B74C5">
        <w:rPr>
          <w:rFonts w:ascii="Times New Roman" w:hAnsi="Times New Roman"/>
          <w:sz w:val="22"/>
          <w:szCs w:val="22"/>
        </w:rPr>
        <w:t>4</w:t>
      </w:r>
    </w:p>
    <w:p w:rsidR="004B4393" w:rsidRDefault="004B4393" w:rsidP="0068422E">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u w:val="single"/>
        </w:rPr>
      </w:pPr>
    </w:p>
    <w:p w:rsidR="004B4393" w:rsidRPr="00FB64B9" w:rsidRDefault="004B4393" w:rsidP="0068422E">
      <w:pPr>
        <w:tabs>
          <w:tab w:val="left" w:pos="0"/>
          <w:tab w:val="left" w:pos="288"/>
          <w:tab w:val="right" w:leader="dot" w:pos="8208"/>
          <w:tab w:val="left" w:pos="8640"/>
          <w:tab w:val="left" w:pos="9360"/>
        </w:tabs>
        <w:spacing w:line="240" w:lineRule="exact"/>
        <w:ind w:left="288"/>
        <w:rPr>
          <w:rFonts w:ascii="Times New Roman" w:hAnsi="Times New Roman"/>
          <w:sz w:val="22"/>
          <w:szCs w:val="22"/>
        </w:rPr>
      </w:pPr>
    </w:p>
    <w:p w:rsidR="009C0EC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009C0EC6">
        <w:rPr>
          <w:rFonts w:ascii="Times New Roman" w:hAnsi="Times New Roman"/>
          <w:sz w:val="22"/>
          <w:szCs w:val="22"/>
        </w:rPr>
        <w:t>1</w:t>
      </w:r>
      <w:r w:rsidR="002B74C5">
        <w:rPr>
          <w:rFonts w:ascii="Times New Roman" w:hAnsi="Times New Roman"/>
          <w:sz w:val="22"/>
          <w:szCs w:val="22"/>
        </w:rPr>
        <w:t>6</w:t>
      </w:r>
    </w:p>
    <w:p w:rsidR="009C0EC6" w:rsidRDefault="009C0EC6"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FB64B9"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RDefault="004B4393" w:rsidP="0068422E">
      <w:pPr>
        <w:pStyle w:val="Heading2"/>
        <w:tabs>
          <w:tab w:val="clear" w:pos="1080"/>
          <w:tab w:val="left" w:pos="720"/>
        </w:tabs>
      </w:pPr>
    </w:p>
    <w:p w:rsidR="004B4393" w:rsidRDefault="004B4393" w:rsidP="0068422E">
      <w:pPr>
        <w:pStyle w:val="Heading2"/>
        <w:tabs>
          <w:tab w:val="clear" w:pos="1080"/>
          <w:tab w:val="left" w:pos="720"/>
        </w:tabs>
      </w:pPr>
    </w:p>
    <w:p w:rsidR="005A154E" w:rsidRDefault="004B4393" w:rsidP="0068422E">
      <w:pPr>
        <w:tabs>
          <w:tab w:val="left" w:pos="0"/>
        </w:tabs>
        <w:ind w:left="720" w:hanging="720"/>
        <w:outlineLvl w:val="1"/>
      </w:pPr>
      <w:r>
        <w:br w:type="page"/>
      </w:r>
    </w:p>
    <w:p w:rsidR="005A154E" w:rsidRDefault="00044D80" w:rsidP="0068422E">
      <w:pPr>
        <w:tabs>
          <w:tab w:val="left" w:pos="0"/>
        </w:tabs>
        <w:ind w:left="720" w:hanging="720"/>
        <w:outlineLvl w:val="1"/>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25pt;margin-top:-74.55pt;width:500.85pt;height:183.7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7F4847" w:rsidRDefault="005A154E" w:rsidP="002B0F40">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sidR="007F4847">
                    <w:rPr>
                      <w:rFonts w:ascii="Times New Roman" w:hAnsi="Times New Roman"/>
                      <w:sz w:val="22"/>
                      <w:szCs w:val="22"/>
                    </w:rPr>
                    <w:t xml:space="preserve"> goal of the </w:t>
                  </w:r>
                  <w:r w:rsidRPr="008D3811">
                    <w:rPr>
                      <w:rFonts w:ascii="Times New Roman" w:hAnsi="Times New Roman"/>
                      <w:sz w:val="22"/>
                      <w:szCs w:val="22"/>
                    </w:rPr>
                    <w:t>Health Message Testing System (HMTS)</w:t>
                  </w:r>
                  <w:r w:rsidR="007F4847">
                    <w:rPr>
                      <w:rFonts w:ascii="Times New Roman" w:hAnsi="Times New Roman"/>
                      <w:sz w:val="22"/>
                      <w:szCs w:val="22"/>
                    </w:rPr>
                    <w:t xml:space="preserve"> is to enable CDC programs to test health messages in a timely manner for clarity, salience, appeal and </w:t>
                  </w:r>
                  <w:r w:rsidR="007F4847">
                    <w:rPr>
                      <w:rFonts w:cs="Courier New"/>
                    </w:rPr>
                    <w:t>persuasiveness to target audiences.</w:t>
                  </w:r>
                </w:p>
                <w:p w:rsidR="000F069E" w:rsidRDefault="000F069E" w:rsidP="007F4847">
                  <w:pPr>
                    <w:tabs>
                      <w:tab w:val="left" w:pos="0"/>
                      <w:tab w:val="left" w:pos="720"/>
                    </w:tabs>
                    <w:autoSpaceDN w:val="0"/>
                    <w:snapToGrid w:val="0"/>
                    <w:jc w:val="both"/>
                    <w:outlineLvl w:val="1"/>
                    <w:rPr>
                      <w:rFonts w:cs="Courier New"/>
                    </w:rPr>
                  </w:pPr>
                </w:p>
                <w:p w:rsidR="000F069E" w:rsidRDefault="000F069E"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F069E" w:rsidRDefault="000F069E"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F069E" w:rsidRDefault="000F069E"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sidR="00B57312">
                    <w:rPr>
                      <w:rFonts w:ascii="Times New Roman" w:hAnsi="Times New Roman"/>
                      <w:sz w:val="22"/>
                      <w:szCs w:val="22"/>
                    </w:rPr>
                    <w:t>.</w:t>
                  </w:r>
                </w:p>
                <w:p w:rsidR="00B57312" w:rsidRDefault="00B57312"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57312" w:rsidRPr="002D5826" w:rsidRDefault="00B57312" w:rsidP="00B573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B57312" w:rsidRDefault="00B57312"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57312" w:rsidRDefault="00B57312"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F069E" w:rsidRPr="003F279D" w:rsidRDefault="000F069E"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F069E" w:rsidRDefault="000F069E" w:rsidP="007F4847">
                  <w:pPr>
                    <w:tabs>
                      <w:tab w:val="left" w:pos="0"/>
                      <w:tab w:val="left" w:pos="720"/>
                    </w:tabs>
                    <w:autoSpaceDN w:val="0"/>
                    <w:snapToGrid w:val="0"/>
                    <w:jc w:val="both"/>
                    <w:outlineLvl w:val="1"/>
                    <w:rPr>
                      <w:rFonts w:cs="Courier New"/>
                    </w:rPr>
                  </w:pPr>
                </w:p>
                <w:p w:rsidR="007F4847" w:rsidRDefault="007F4847"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7F4847" w:rsidRDefault="007F4847"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RDefault="005A154E"/>
              </w:txbxContent>
            </v:textbox>
          </v:shape>
        </w:pict>
      </w:r>
    </w:p>
    <w:p w:rsidR="005A154E" w:rsidRDefault="005A154E" w:rsidP="0068422E">
      <w:pPr>
        <w:tabs>
          <w:tab w:val="left" w:pos="0"/>
        </w:tabs>
        <w:ind w:left="720" w:hanging="720"/>
        <w:outlineLvl w:val="1"/>
      </w:pPr>
    </w:p>
    <w:p w:rsidR="005A154E" w:rsidRDefault="005A154E" w:rsidP="0068422E">
      <w:pPr>
        <w:tabs>
          <w:tab w:val="left" w:pos="0"/>
        </w:tabs>
        <w:ind w:left="720" w:hanging="720"/>
        <w:outlineLvl w:val="1"/>
      </w:pPr>
    </w:p>
    <w:p w:rsidR="005A154E" w:rsidRDefault="005A154E" w:rsidP="0068422E">
      <w:pPr>
        <w:tabs>
          <w:tab w:val="left" w:pos="0"/>
        </w:tabs>
        <w:ind w:left="720" w:hanging="720"/>
        <w:outlineLvl w:val="1"/>
      </w:pPr>
    </w:p>
    <w:p w:rsidR="005A154E" w:rsidRDefault="005A154E" w:rsidP="0068422E">
      <w:pPr>
        <w:tabs>
          <w:tab w:val="left" w:pos="0"/>
        </w:tabs>
        <w:ind w:left="720" w:hanging="720"/>
        <w:outlineLvl w:val="1"/>
        <w:rPr>
          <w:b/>
          <w:sz w:val="26"/>
          <w:szCs w:val="26"/>
        </w:rPr>
      </w:pPr>
    </w:p>
    <w:p w:rsidR="005A154E" w:rsidRDefault="005A154E" w:rsidP="0068422E">
      <w:pPr>
        <w:tabs>
          <w:tab w:val="left" w:pos="0"/>
        </w:tabs>
        <w:ind w:left="720" w:hanging="720"/>
        <w:outlineLvl w:val="1"/>
        <w:rPr>
          <w:b/>
          <w:sz w:val="26"/>
          <w:szCs w:val="26"/>
        </w:rPr>
      </w:pPr>
    </w:p>
    <w:p w:rsidR="005A154E" w:rsidRDefault="005A154E" w:rsidP="0068422E">
      <w:pPr>
        <w:tabs>
          <w:tab w:val="left" w:pos="0"/>
        </w:tabs>
        <w:ind w:left="720" w:hanging="720"/>
        <w:outlineLvl w:val="1"/>
        <w:rPr>
          <w:b/>
          <w:sz w:val="26"/>
          <w:szCs w:val="26"/>
        </w:rPr>
      </w:pPr>
    </w:p>
    <w:p w:rsidR="005A154E" w:rsidRDefault="005A154E" w:rsidP="0068422E">
      <w:pPr>
        <w:tabs>
          <w:tab w:val="left" w:pos="0"/>
        </w:tabs>
        <w:ind w:left="720" w:hanging="720"/>
        <w:outlineLvl w:val="1"/>
        <w:rPr>
          <w:b/>
          <w:sz w:val="26"/>
          <w:szCs w:val="26"/>
        </w:rPr>
      </w:pPr>
    </w:p>
    <w:p w:rsidR="005A154E" w:rsidRDefault="005A154E" w:rsidP="0068422E">
      <w:pPr>
        <w:tabs>
          <w:tab w:val="left" w:pos="0"/>
        </w:tabs>
        <w:ind w:left="720" w:hanging="720"/>
        <w:outlineLvl w:val="1"/>
        <w:rPr>
          <w:b/>
          <w:sz w:val="26"/>
          <w:szCs w:val="26"/>
        </w:rPr>
      </w:pPr>
    </w:p>
    <w:p w:rsidR="004B4393" w:rsidRPr="00C4002F" w:rsidRDefault="004B4393" w:rsidP="0068422E">
      <w:pPr>
        <w:tabs>
          <w:tab w:val="left" w:pos="0"/>
        </w:tabs>
        <w:ind w:left="720" w:hanging="720"/>
        <w:outlineLvl w:val="1"/>
        <w:rPr>
          <w:b/>
          <w:sz w:val="26"/>
          <w:szCs w:val="26"/>
        </w:rPr>
      </w:pPr>
      <w:r w:rsidRPr="00C4002F">
        <w:rPr>
          <w:b/>
          <w:sz w:val="26"/>
          <w:szCs w:val="26"/>
        </w:rPr>
        <w:t>A.</w:t>
      </w:r>
      <w:r w:rsidRPr="00C4002F">
        <w:rPr>
          <w:b/>
          <w:sz w:val="26"/>
          <w:szCs w:val="26"/>
        </w:rPr>
        <w:tab/>
        <w:t>Justification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2D5826" w:rsidRDefault="004B4393" w:rsidP="0068422E">
      <w:pPr>
        <w:pStyle w:val="Heading2"/>
        <w:tabs>
          <w:tab w:val="clear" w:pos="1080"/>
          <w:tab w:val="left" w:pos="720"/>
        </w:tabs>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2B0C"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E2B0C">
        <w:rPr>
          <w:rFonts w:ascii="Times New Roman" w:hAnsi="Times New Roman"/>
          <w:sz w:val="22"/>
          <w:szCs w:val="22"/>
          <w:u w:val="single"/>
        </w:rPr>
        <w:t>Background</w:t>
      </w:r>
    </w:p>
    <w:p w:rsidR="00AE2B0C"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00AE2B0C" w:rsidRPr="00F91B2A"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This is </w:t>
      </w:r>
      <w:r w:rsidR="009E08E9">
        <w:rPr>
          <w:rFonts w:ascii="Times New Roman" w:hAnsi="Times New Roman"/>
          <w:sz w:val="22"/>
          <w:szCs w:val="22"/>
        </w:rPr>
        <w:t>a</w:t>
      </w:r>
      <w:r w:rsidR="00F91B2A">
        <w:rPr>
          <w:rFonts w:ascii="Times New Roman" w:hAnsi="Times New Roman"/>
          <w:sz w:val="22"/>
          <w:szCs w:val="22"/>
        </w:rPr>
        <w:t xml:space="preserve">n extension </w:t>
      </w:r>
      <w:r>
        <w:rPr>
          <w:rFonts w:ascii="Times New Roman" w:hAnsi="Times New Roman"/>
          <w:sz w:val="22"/>
          <w:szCs w:val="22"/>
        </w:rPr>
        <w:t xml:space="preserve">of a currently approved data collection, Health Message Testing System (HMTS), 0920-0572, which expires on </w:t>
      </w:r>
      <w:r w:rsidR="00245AC3">
        <w:rPr>
          <w:rFonts w:ascii="Times New Roman" w:hAnsi="Times New Roman"/>
          <w:sz w:val="22"/>
          <w:szCs w:val="22"/>
        </w:rPr>
        <w:t>February 28, 2015.</w:t>
      </w:r>
      <w:r>
        <w:rPr>
          <w:rFonts w:ascii="Times New Roman" w:hAnsi="Times New Roman"/>
          <w:sz w:val="22"/>
          <w:szCs w:val="22"/>
        </w:rPr>
        <w:t xml:space="preserve">  </w:t>
      </w:r>
      <w:r w:rsidR="00C57B30" w:rsidRPr="002D5826">
        <w:rPr>
          <w:rFonts w:ascii="Times New Roman" w:hAnsi="Times New Roman"/>
          <w:sz w:val="22"/>
          <w:szCs w:val="22"/>
        </w:rPr>
        <w:t xml:space="preserve">CDC is resubmitting </w:t>
      </w:r>
      <w:r w:rsidR="00C57B30">
        <w:rPr>
          <w:rFonts w:ascii="Times New Roman" w:hAnsi="Times New Roman"/>
          <w:sz w:val="22"/>
          <w:szCs w:val="22"/>
        </w:rPr>
        <w:t>its</w:t>
      </w:r>
      <w:r w:rsidR="00C57B30" w:rsidRPr="002D5826">
        <w:rPr>
          <w:rFonts w:ascii="Times New Roman" w:hAnsi="Times New Roman"/>
          <w:sz w:val="22"/>
          <w:szCs w:val="22"/>
        </w:rPr>
        <w:t xml:space="preserve"> generic clearance of </w:t>
      </w:r>
      <w:r w:rsidR="00C57B30">
        <w:rPr>
          <w:rFonts w:ascii="Times New Roman" w:hAnsi="Times New Roman"/>
          <w:sz w:val="22"/>
          <w:szCs w:val="22"/>
        </w:rPr>
        <w:t>the</w:t>
      </w:r>
      <w:r w:rsidR="00C57B30" w:rsidRPr="002D5826">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00C57B30" w:rsidRPr="002D5826">
        <w:rPr>
          <w:rFonts w:ascii="Times New Roman" w:hAnsi="Times New Roman"/>
          <w:sz w:val="22"/>
          <w:szCs w:val="22"/>
        </w:rPr>
        <w:t>ears</w:t>
      </w:r>
      <w:r w:rsidR="00C57B30">
        <w:rPr>
          <w:rFonts w:ascii="Times New Roman" w:hAnsi="Times New Roman"/>
          <w:sz w:val="22"/>
          <w:szCs w:val="22"/>
        </w:rPr>
        <w:t xml:space="preserve">. </w:t>
      </w:r>
      <w:r w:rsidR="00257A00" w:rsidRPr="00F91B2A">
        <w:rPr>
          <w:rFonts w:ascii="Times New Roman" w:hAnsi="Times New Roman"/>
          <w:sz w:val="22"/>
          <w:szCs w:val="22"/>
        </w:rPr>
        <w:t>I</w:t>
      </w:r>
      <w:r w:rsidRPr="00F91B2A">
        <w:rPr>
          <w:rFonts w:ascii="Times New Roman" w:hAnsi="Times New Roman"/>
          <w:sz w:val="22"/>
          <w:szCs w:val="22"/>
        </w:rPr>
        <w:t xml:space="preserve">n a conference call on June 8, 2011, OMB staff indicated </w:t>
      </w:r>
      <w:r w:rsidR="00FB40A9" w:rsidRPr="00F91B2A">
        <w:rPr>
          <w:rFonts w:ascii="Times New Roman" w:hAnsi="Times New Roman"/>
          <w:sz w:val="22"/>
          <w:szCs w:val="22"/>
        </w:rPr>
        <w:t>that after November 30, 2011, and contingent on its approval, all requests under the revised generic w</w:t>
      </w:r>
      <w:r w:rsidR="00956F97">
        <w:rPr>
          <w:rFonts w:ascii="Times New Roman" w:hAnsi="Times New Roman"/>
          <w:sz w:val="22"/>
          <w:szCs w:val="22"/>
        </w:rPr>
        <w:t xml:space="preserve">ould </w:t>
      </w:r>
      <w:r w:rsidR="00FB40A9" w:rsidRPr="00F91B2A">
        <w:rPr>
          <w:rFonts w:ascii="Times New Roman" w:hAnsi="Times New Roman"/>
          <w:sz w:val="22"/>
          <w:szCs w:val="22"/>
        </w:rPr>
        <w:t xml:space="preserve">be reviewed by OMB.  </w:t>
      </w:r>
      <w:r w:rsidRPr="00F91B2A">
        <w:rPr>
          <w:rFonts w:ascii="Times New Roman" w:hAnsi="Times New Roman"/>
          <w:sz w:val="22"/>
          <w:szCs w:val="22"/>
        </w:rPr>
        <w:t>Upon re-approval, CDC program staff w</w:t>
      </w:r>
      <w:r w:rsidR="00956F97">
        <w:rPr>
          <w:rFonts w:ascii="Times New Roman" w:hAnsi="Times New Roman"/>
          <w:sz w:val="22"/>
          <w:szCs w:val="22"/>
        </w:rPr>
        <w:t xml:space="preserve">ould </w:t>
      </w:r>
      <w:r w:rsidRPr="00F91B2A">
        <w:rPr>
          <w:rFonts w:ascii="Times New Roman" w:hAnsi="Times New Roman"/>
          <w:sz w:val="22"/>
          <w:szCs w:val="22"/>
        </w:rPr>
        <w:t>submit requests to OMB for review a</w:t>
      </w:r>
      <w:r w:rsidR="00E76D39">
        <w:rPr>
          <w:rFonts w:ascii="Times New Roman" w:hAnsi="Times New Roman"/>
          <w:sz w:val="22"/>
          <w:szCs w:val="22"/>
        </w:rPr>
        <w:t>nd approval.  Each submission would</w:t>
      </w:r>
      <w:r w:rsidRPr="00F91B2A">
        <w:rPr>
          <w:rFonts w:ascii="Times New Roman" w:hAnsi="Times New Roman"/>
          <w:sz w:val="22"/>
          <w:szCs w:val="22"/>
        </w:rPr>
        <w:t xml:space="preserve"> consist of an approved template containing relevant information about the planned data collection and copies of the data collection instruments.  </w:t>
      </w:r>
    </w:p>
    <w:p w:rsidR="00AE2B0C" w:rsidRPr="00F91B2A"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sidRPr="002D5826">
        <w:rPr>
          <w:rStyle w:val="FootnoteReference"/>
          <w:rFonts w:ascii="Times New Roman" w:hAnsi="Times New Roman"/>
          <w:sz w:val="22"/>
          <w:szCs w:val="22"/>
          <w:vertAlign w:val="superscript"/>
        </w:rPr>
        <w:footnoteReference w:id="1"/>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sidRPr="002D5826">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and provisional versions of the messages must be tested with members of the target audience.</w:t>
      </w:r>
      <w:r w:rsidRPr="002D5826">
        <w:rPr>
          <w:rStyle w:val="FootnoteReference"/>
          <w:rFonts w:ascii="Times New Roman" w:hAnsi="Times New Roman"/>
          <w:sz w:val="22"/>
          <w:szCs w:val="22"/>
          <w:vertAlign w:val="superscript"/>
        </w:rPr>
        <w:footnoteReference w:id="3"/>
      </w:r>
      <w:r w:rsidRPr="002D5826">
        <w:rPr>
          <w:rFonts w:ascii="Times New Roman" w:hAnsi="Times New Roman"/>
          <w:sz w:val="22"/>
          <w:szCs w:val="22"/>
          <w:vertAlign w:val="superscript"/>
        </w:rPr>
        <w:t xml:space="preserve">, </w:t>
      </w:r>
      <w:r w:rsidRPr="002D5826">
        <w:rPr>
          <w:rStyle w:val="FootnoteReference"/>
          <w:rFonts w:ascii="Times New Roman" w:hAnsi="Times New Roman"/>
          <w:sz w:val="22"/>
          <w:szCs w:val="22"/>
          <w:vertAlign w:val="superscript"/>
        </w:rPr>
        <w:footnoteReference w:id="4"/>
      </w:r>
    </w:p>
    <w:p w:rsidR="004B4393" w:rsidRDefault="007C5F92" w:rsidP="0068422E">
      <w:pPr>
        <w:pStyle w:val="BodyText"/>
        <w:jc w:val="left"/>
        <w:rPr>
          <w:sz w:val="22"/>
          <w:szCs w:val="22"/>
        </w:rPr>
      </w:pPr>
      <w:r>
        <w:rPr>
          <w:sz w:val="22"/>
          <w:szCs w:val="22"/>
        </w:rPr>
        <w:t>I</w:t>
      </w:r>
      <w:r w:rsidR="004B4393"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RDefault="001C394F"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w:t>
      </w:r>
      <w:r w:rsidRPr="002D5826">
        <w:rPr>
          <w:rFonts w:ascii="Times New Roman" w:hAnsi="Times New Roman"/>
          <w:sz w:val="22"/>
          <w:szCs w:val="22"/>
        </w:rPr>
        <w:lastRenderedPageBreak/>
        <w:t>because the messages can be perceived as unclear or irrelevant.</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Untested messages can also have unintended consequences, such as jeopardizing the credibility of Federal health officials.</w:t>
      </w:r>
      <w:r w:rsidRPr="002D5826">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w:t>
      </w:r>
    </w:p>
    <w:p w:rsidR="005A154E" w:rsidRDefault="005A154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RDefault="005A154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It is very important to extend the HMTS package to:</w:t>
      </w:r>
    </w:p>
    <w:p w:rsidR="0068422E" w:rsidRPr="002D5826" w:rsidRDefault="0068422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RPr="002D5826" w:rsidRDefault="005A154E"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005A154E" w:rsidRPr="002D5826" w:rsidRDefault="005A154E"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008D3811" w:rsidRPr="008D3811" w:rsidRDefault="008D3811" w:rsidP="0068422E">
      <w:pPr>
        <w:tabs>
          <w:tab w:val="left" w:pos="0"/>
          <w:tab w:val="left" w:pos="720"/>
        </w:tabs>
        <w:snapToGrid w:val="0"/>
        <w:ind w:left="360"/>
        <w:outlineLvl w:val="1"/>
        <w:rPr>
          <w:rFonts w:ascii="Times New Roman" w:hAnsi="Times New Roman"/>
          <w:sz w:val="22"/>
          <w:szCs w:val="22"/>
        </w:rPr>
      </w:pPr>
    </w:p>
    <w:p w:rsidR="008D3811" w:rsidRPr="008D3811" w:rsidRDefault="008D3811" w:rsidP="0068422E">
      <w:pPr>
        <w:tabs>
          <w:tab w:val="left" w:pos="0"/>
          <w:tab w:val="left" w:pos="720"/>
        </w:tabs>
        <w:snapToGrid w:val="0"/>
        <w:outlineLvl w:val="1"/>
        <w:rPr>
          <w:rFonts w:ascii="Times New Roman" w:hAnsi="Times New Roman"/>
          <w:snapToGrid/>
          <w:sz w:val="22"/>
          <w:szCs w:val="22"/>
        </w:rPr>
      </w:pPr>
      <w:r w:rsidRPr="008D3811">
        <w:rPr>
          <w:rFonts w:ascii="Times New Roman" w:hAnsi="Times New Roman"/>
          <w:sz w:val="22"/>
          <w:szCs w:val="22"/>
        </w:rPr>
        <w:t>For many years CDC programs have used HMTS to test and refine</w:t>
      </w:r>
      <w:r>
        <w:rPr>
          <w:rFonts w:ascii="Times New Roman" w:hAnsi="Times New Roman"/>
          <w:sz w:val="22"/>
          <w:szCs w:val="22"/>
        </w:rPr>
        <w:t xml:space="preserve"> </w:t>
      </w:r>
      <w:r w:rsidRPr="008D3811">
        <w:rPr>
          <w:rFonts w:ascii="Times New Roman" w:hAnsi="Times New Roman"/>
          <w:sz w:val="22"/>
          <w:szCs w:val="22"/>
        </w:rPr>
        <w:t xml:space="preserve">message concepts and test draft materials for clarity, salience, appeal, and persuasiveness to target audiences.  Having this generic clearance available has enabled them to test their information and get critical health information out to the public quickly.  Over the last three years, more than 20 messages have been tested using this clearance.  For example:  </w:t>
      </w:r>
      <w:r w:rsidRPr="008D3811">
        <w:rPr>
          <w:rFonts w:ascii="Times New Roman" w:hAnsi="Times New Roman"/>
          <w:i/>
          <w:sz w:val="22"/>
          <w:szCs w:val="22"/>
        </w:rPr>
        <w:t>Evaluation of</w:t>
      </w:r>
      <w:r w:rsidRPr="008D3811">
        <w:rPr>
          <w:rFonts w:ascii="Times New Roman" w:hAnsi="Times New Roman"/>
          <w:sz w:val="22"/>
          <w:szCs w:val="22"/>
        </w:rPr>
        <w:t xml:space="preserve"> </w:t>
      </w:r>
      <w:r w:rsidRPr="008D3811">
        <w:rPr>
          <w:rFonts w:ascii="Times New Roman" w:hAnsi="Times New Roman"/>
          <w:i/>
          <w:sz w:val="22"/>
          <w:szCs w:val="22"/>
        </w:rPr>
        <w:t>Emergency Preparedness Materials for Limited English Proficient Spanish Speakers</w:t>
      </w:r>
      <w:r w:rsidRPr="008D3811">
        <w:rPr>
          <w:rFonts w:ascii="Times New Roman" w:hAnsi="Times New Roman"/>
          <w:sz w:val="22"/>
          <w:szCs w:val="22"/>
        </w:rPr>
        <w:t>.  Risk communication is a top priority in CDC’s anthrax preparedness activities. The Anthrax Management Team developed materials to provide LEP Spanish-speakers with information needed to increase the chances for survival in the event that bioterrorists attacked the U.S. using anthrax.  Once refined, based on participant feedback, these materials will be used in creating additional public education materials to be utilized during an anthrax emergency. The lessons learned about communication with vulnerable populations have application to others who are seeking to improve communication during a domestic or global public health emergency.</w:t>
      </w: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 xml:space="preserve">The Division of Diabetes Translation obtained OMB approval through HMTS for </w:t>
      </w:r>
      <w:r w:rsidRPr="008D3811">
        <w:rPr>
          <w:rFonts w:ascii="Times New Roman" w:hAnsi="Times New Roman"/>
          <w:i/>
          <w:sz w:val="22"/>
          <w:szCs w:val="22"/>
        </w:rPr>
        <w:t xml:space="preserve">Testing of Brand Concepts, Messages and Materials </w:t>
      </w:r>
      <w:r w:rsidRPr="008D3811">
        <w:rPr>
          <w:rFonts w:ascii="Times New Roman" w:hAnsi="Times New Roman"/>
          <w:sz w:val="22"/>
          <w:szCs w:val="22"/>
        </w:rPr>
        <w:t>for CDC’s National Diabetes Prevention Program (National DPP).  Materials testing was conducted with multiple audiences, and provided the detailed level of feedback needed to make materials that resonate with each audience.  Findings have also been used to inform the development and testing of a new brand for the National DPP which will be launched in 2015.</w:t>
      </w: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CF1974"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 xml:space="preserve">The National Institute for Occupational Safety and Health (NIOSH) conducted a field study, </w:t>
      </w:r>
      <w:r w:rsidRPr="008D3811">
        <w:rPr>
          <w:rFonts w:ascii="Times New Roman" w:hAnsi="Times New Roman"/>
          <w:i/>
          <w:sz w:val="22"/>
          <w:szCs w:val="22"/>
        </w:rPr>
        <w:t>Spanish Trench Safety CD-ROM</w:t>
      </w:r>
      <w:r w:rsidRPr="008D3811">
        <w:rPr>
          <w:rFonts w:ascii="Times New Roman" w:hAnsi="Times New Roman"/>
          <w:sz w:val="22"/>
          <w:szCs w:val="22"/>
        </w:rPr>
        <w:t>, to determine the most effective way to disseminate t</w:t>
      </w:r>
      <w:r w:rsidR="00CF1974">
        <w:rPr>
          <w:rFonts w:ascii="Times New Roman" w:hAnsi="Times New Roman"/>
          <w:sz w:val="22"/>
          <w:szCs w:val="22"/>
        </w:rPr>
        <w:t xml:space="preserve">rench safety information </w:t>
      </w:r>
      <w:r w:rsidRPr="008D3811">
        <w:rPr>
          <w:rFonts w:ascii="Times New Roman" w:hAnsi="Times New Roman"/>
          <w:sz w:val="22"/>
          <w:szCs w:val="22"/>
        </w:rPr>
        <w:t xml:space="preserve">to Latino immigrant workers using computer-based training.  Using results of this study, NIOSH produced the CD-ROM and are preparing to field test the product.  As part of this project, a tutorial was also created for workers with limited computer literacy teaching them how to use the computer. </w:t>
      </w:r>
    </w:p>
    <w:p w:rsidR="00CF1974" w:rsidRDefault="00CF1974"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tutorial has been field tested and the English and Spanish versions will become NIOSH numbered publications.</w:t>
      </w: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8D3811">
        <w:rPr>
          <w:rFonts w:ascii="Times New Roman" w:hAnsi="Times New Roman"/>
          <w:sz w:val="22"/>
          <w:szCs w:val="22"/>
        </w:rPr>
        <w:t xml:space="preserve">Over 12,000 respondents were queried and over 5,500 burden hours used during this time period.  Because the availability of this ICR has been so critical to programs in disseminating their materials and information to the public in a timely manner, </w:t>
      </w:r>
      <w:r w:rsidRPr="008D3811">
        <w:rPr>
          <w:rFonts w:ascii="Times New Roman" w:hAnsi="Times New Roman"/>
          <w:color w:val="000000"/>
          <w:sz w:val="22"/>
          <w:szCs w:val="22"/>
        </w:rPr>
        <w:t xml:space="preserve">OADC is requesting a three year extension of this information collection. </w:t>
      </w:r>
    </w:p>
    <w:p w:rsidR="00B402E0" w:rsidRDefault="00B402E0"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0404D9"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sidRPr="000404D9">
        <w:rPr>
          <w:sz w:val="22"/>
          <w:szCs w:val="22"/>
        </w:rPr>
        <w:t xml:space="preserve">(see </w:t>
      </w:r>
      <w:r w:rsidRPr="000404D9">
        <w:rPr>
          <w:i/>
          <w:sz w:val="22"/>
          <w:szCs w:val="22"/>
        </w:rPr>
        <w:t>Attachment 1</w:t>
      </w:r>
      <w:r w:rsidRPr="000404D9">
        <w:rPr>
          <w:sz w:val="22"/>
          <w:szCs w:val="22"/>
        </w:rPr>
        <w:t>).</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A.2.</w:t>
      </w:r>
      <w:r>
        <w:rPr>
          <w:b/>
        </w:rPr>
        <w:tab/>
      </w:r>
      <w:r w:rsidRPr="003F279D">
        <w:rPr>
          <w:b/>
        </w:rPr>
        <w:t>Purposes and Use of Information Collection</w:t>
      </w:r>
    </w:p>
    <w:p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Health Message Testing System (HMTS), a generic information collection, enables</w:t>
      </w:r>
      <w:r>
        <w:rPr>
          <w:rFonts w:cs="Courier New"/>
        </w:rPr>
        <w:t xml:space="preserve"> programs </w:t>
      </w:r>
      <w:r w:rsidRPr="008D3811">
        <w:rPr>
          <w:rFonts w:ascii="Times New Roman" w:hAnsi="Times New Roman"/>
          <w:sz w:val="22"/>
          <w:szCs w:val="22"/>
        </w:rPr>
        <w:t>across CDC to collect the information they require in a timely manner</w:t>
      </w:r>
      <w:r>
        <w:rPr>
          <w:rFonts w:ascii="Times New Roman" w:hAnsi="Times New Roman"/>
          <w:sz w:val="22"/>
          <w:szCs w:val="22"/>
        </w:rPr>
        <w:t xml:space="preserve"> </w:t>
      </w:r>
      <w:r w:rsidRPr="008D3811">
        <w:rPr>
          <w:rFonts w:ascii="Times New Roman" w:hAnsi="Times New Roman"/>
          <w:sz w:val="22"/>
          <w:szCs w:val="22"/>
        </w:rPr>
        <w:t>to:</w:t>
      </w:r>
    </w:p>
    <w:p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83D0E"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Ensure quality and prevent waste in the dissemination of health information by CDC to the public.  </w:t>
      </w:r>
    </w:p>
    <w:p w:rsidR="00C83D0E"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Refine message concepts and to test draft materials for clarity, salience, appeal, and persuasiveness to target audiences.</w:t>
      </w:r>
    </w:p>
    <w:p w:rsidR="00C83D0E" w:rsidRPr="008D3811"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Guide the action of health communication officials who are responding to health emergencies, Congressionally-mandated campaigns with short timeframes, media-generated public concern, time-limited communication opportunities, trends, and the need to refresh materials or dissemination strategies in an ongoing campaign.</w:t>
      </w:r>
    </w:p>
    <w:p w:rsidR="00C83D0E" w:rsidRPr="008D3811" w:rsidRDefault="00C83D0E" w:rsidP="0068422E">
      <w:pPr>
        <w:tabs>
          <w:tab w:val="left" w:pos="0"/>
          <w:tab w:val="left" w:pos="720"/>
        </w:tabs>
        <w:snapToGrid w:val="0"/>
        <w:ind w:left="360"/>
        <w:outlineLvl w:val="1"/>
        <w:rPr>
          <w:rFonts w:ascii="Times New Roman" w:hAnsi="Times New Roman"/>
          <w:sz w:val="22"/>
          <w:szCs w:val="22"/>
        </w:rPr>
      </w:pPr>
    </w:p>
    <w:p w:rsidR="00C83D0E" w:rsidRPr="008D3811"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C83D0E" w:rsidRPr="008D3811"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p>
    <w:p w:rsidR="00C83D0E" w:rsidRPr="003F279D"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F91B2A">
        <w:rPr>
          <w:rFonts w:ascii="Times New Roman" w:hAnsi="Times New Roman"/>
          <w:b/>
          <w:i/>
          <w:sz w:val="22"/>
          <w:szCs w:val="22"/>
        </w:rPr>
        <w:t xml:space="preserve"> </w:t>
      </w:r>
      <w:r w:rsidRPr="00F91B2A">
        <w:rPr>
          <w:rFonts w:ascii="Times New Roman" w:hAnsi="Times New Roman"/>
          <w:sz w:val="22"/>
          <w:szCs w:val="22"/>
        </w:rPr>
        <w:t>data collection instruments</w:t>
      </w:r>
      <w:r w:rsidRPr="00574EBF">
        <w:rPr>
          <w:rFonts w:ascii="Times New Roman" w:hAnsi="Times New Roman"/>
          <w:b/>
          <w:i/>
          <w:sz w:val="22"/>
          <w:szCs w:val="22"/>
        </w:rPr>
        <w:t>.</w:t>
      </w:r>
      <w:r w:rsidR="001C394F" w:rsidRPr="00574EBF">
        <w:rPr>
          <w:rFonts w:ascii="Times New Roman" w:hAnsi="Times New Roman"/>
          <w:sz w:val="22"/>
          <w:szCs w:val="22"/>
        </w:rPr>
        <w:t xml:space="preserve"> (See </w:t>
      </w:r>
      <w:r w:rsidR="001C394F" w:rsidRPr="00574EBF">
        <w:rPr>
          <w:rFonts w:ascii="Times New Roman" w:hAnsi="Times New Roman"/>
          <w:i/>
          <w:sz w:val="22"/>
          <w:szCs w:val="22"/>
        </w:rPr>
        <w:t>Attachments 3-</w:t>
      </w:r>
      <w:r w:rsidR="00B01A17" w:rsidRPr="00574EBF">
        <w:rPr>
          <w:rFonts w:ascii="Times New Roman" w:hAnsi="Times New Roman"/>
          <w:i/>
          <w:sz w:val="22"/>
          <w:szCs w:val="22"/>
        </w:rPr>
        <w:t>10</w:t>
      </w:r>
      <w:r w:rsidR="001C394F" w:rsidRPr="00574EBF">
        <w:rPr>
          <w:rFonts w:ascii="Times New Roman" w:hAnsi="Times New Roman"/>
          <w:i/>
          <w:sz w:val="22"/>
          <w:szCs w:val="22"/>
        </w:rPr>
        <w:t>)</w:t>
      </w:r>
      <w:r w:rsidRPr="00245AC3">
        <w:rPr>
          <w:rFonts w:ascii="Times New Roman" w:hAnsi="Times New Roman"/>
          <w:b/>
          <w:i/>
          <w:color w:val="FF0000"/>
          <w:sz w:val="22"/>
          <w:szCs w:val="22"/>
        </w:rPr>
        <w:t xml:space="preserve">  </w:t>
      </w:r>
      <w:r w:rsidRPr="00F91B2A">
        <w:rPr>
          <w:rFonts w:ascii="Times New Roman" w:hAnsi="Times New Roman"/>
          <w:sz w:val="22"/>
          <w:szCs w:val="22"/>
        </w:rPr>
        <w:t xml:space="preserve">These include a list of screening questions, comprised of demographic and introductory questions, along with other questions that can be used to create </w:t>
      </w:r>
      <w:r w:rsidR="001C394F" w:rsidRPr="00F91B2A">
        <w:rPr>
          <w:rFonts w:ascii="Times New Roman" w:hAnsi="Times New Roman"/>
          <w:sz w:val="22"/>
          <w:szCs w:val="22"/>
        </w:rPr>
        <w:t xml:space="preserve">a mix of relevant questions </w:t>
      </w:r>
      <w:r w:rsidRPr="00F91B2A">
        <w:rPr>
          <w:rFonts w:ascii="Times New Roman" w:hAnsi="Times New Roman"/>
          <w:sz w:val="22"/>
          <w:szCs w:val="22"/>
        </w:rPr>
        <w:t>for each proposed message testing data collection method.</w:t>
      </w:r>
      <w:r w:rsidRPr="002D5826">
        <w:rPr>
          <w:rFonts w:ascii="Times New Roman" w:hAnsi="Times New Roman"/>
          <w:sz w:val="22"/>
          <w:szCs w:val="22"/>
        </w:rPr>
        <w:t xml:space="preserve">  </w:t>
      </w:r>
      <w:r w:rsidR="001C394F">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004B4393" w:rsidRPr="002D5826" w:rsidRDefault="004B4393" w:rsidP="0068422E">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in order to reduce respondent burden and to make data processing and reporting maximally efficient.  </w:t>
      </w:r>
      <w:r>
        <w:rPr>
          <w:rFonts w:ascii="Times New Roman" w:hAnsi="Times New Roman"/>
          <w:sz w:val="22"/>
          <w:szCs w:val="22"/>
        </w:rPr>
        <w:t xml:space="preserve">Particular emphasis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CATI Telephone Interviews</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383A88" w:rsidRPr="002D5826" w:rsidRDefault="00383A88"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Brief screening questionnaires will precede message testing questions to allow quick ascertainment of an individual’s membership in a targeted audience segment; calls to ineligibles can be terminated immediately.  In some cases, ESRI GSI and mapping software will be used to determine where </w:t>
      </w:r>
      <w:r w:rsidRPr="002D5826">
        <w:rPr>
          <w:rFonts w:ascii="Times New Roman" w:hAnsi="Times New Roman"/>
          <w:sz w:val="22"/>
          <w:szCs w:val="22"/>
        </w:rPr>
        <w:lastRenderedPageBreak/>
        <w:t>individuals from audience segments of interest are most likely to live and work.  Random digit dialing (RDD) in these geographic areas will limit calls to ineligible individuals.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2D5826" w:rsidRDefault="004B4393" w:rsidP="0068422E">
      <w:pPr>
        <w:pStyle w:val="Heading3"/>
        <w:rPr>
          <w:b/>
          <w:sz w:val="22"/>
          <w:szCs w:val="22"/>
        </w:rPr>
      </w:pPr>
      <w:r w:rsidRPr="002D5826">
        <w:rPr>
          <w:b/>
          <w:sz w:val="22"/>
          <w:szCs w:val="22"/>
        </w:rPr>
        <w:t>Online Research (Individual Surveys and Focus Groups)</w:t>
      </w:r>
    </w:p>
    <w:p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sidRPr="002D5826">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004B4393" w:rsidRPr="002D5826" w:rsidRDefault="004B4393" w:rsidP="0068422E">
      <w:pPr>
        <w:widowControl/>
        <w:rPr>
          <w:rFonts w:ascii="Times New Roman" w:hAnsi="Times New Roman"/>
          <w:sz w:val="22"/>
          <w:szCs w:val="22"/>
        </w:rPr>
      </w:pPr>
    </w:p>
    <w:p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004B4393" w:rsidRPr="002D5826" w:rsidRDefault="004B4393" w:rsidP="0068422E">
      <w:pPr>
        <w:widowControl/>
        <w:rPr>
          <w:rFonts w:ascii="Times New Roman" w:hAnsi="Times New Roman"/>
          <w:sz w:val="22"/>
          <w:szCs w:val="22"/>
        </w:rPr>
      </w:pPr>
    </w:p>
    <w:p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004B4393" w:rsidRPr="002D5826" w:rsidRDefault="004B4393" w:rsidP="0068422E">
      <w:pPr>
        <w:widowControl/>
        <w:rPr>
          <w:rFonts w:ascii="Times New Roman" w:hAnsi="Times New Roman"/>
          <w:sz w:val="22"/>
          <w:szCs w:val="22"/>
        </w:rPr>
      </w:pPr>
    </w:p>
    <w:p w:rsidR="004B4393" w:rsidRDefault="004B4393" w:rsidP="0068422E">
      <w:pPr>
        <w:widowControl/>
        <w:shd w:val="clear" w:color="auto" w:fill="FFFFFF"/>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004B4393" w:rsidRPr="002D5826" w:rsidRDefault="004B4393" w:rsidP="0068422E">
      <w:pPr>
        <w:widowControl/>
        <w:shd w:val="clear" w:color="auto" w:fill="FFFFFF"/>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004B4393" w:rsidRPr="002D5826" w:rsidRDefault="004B4393" w:rsidP="0068422E">
      <w:pPr>
        <w:widowControl/>
        <w:rPr>
          <w:rFonts w:ascii="Times New Roman" w:hAnsi="Times New Roman"/>
          <w:sz w:val="22"/>
          <w:szCs w:val="22"/>
        </w:rPr>
      </w:pPr>
    </w:p>
    <w:p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RDefault="004B4393" w:rsidP="0068422E">
      <w:pPr>
        <w:widowControl/>
        <w:rPr>
          <w:rFonts w:ascii="Times New Roman" w:hAnsi="Times New Roman"/>
          <w:sz w:val="22"/>
          <w:szCs w:val="22"/>
        </w:rPr>
      </w:pPr>
    </w:p>
    <w:p w:rsidR="004B4393" w:rsidRPr="002D5826" w:rsidRDefault="004B4393" w:rsidP="0068422E">
      <w:pPr>
        <w:widowControl/>
        <w:ind w:left="720"/>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004B4393" w:rsidRPr="002D5826" w:rsidRDefault="004B4393" w:rsidP="0068422E">
      <w:pPr>
        <w:widowControl/>
        <w:rPr>
          <w:rFonts w:ascii="Times New Roman" w:hAnsi="Times New Roman"/>
          <w:sz w:val="22"/>
          <w:szCs w:val="22"/>
        </w:rPr>
      </w:pPr>
    </w:p>
    <w:p w:rsidR="004B4393" w:rsidRPr="002D5826" w:rsidRDefault="004B4393" w:rsidP="0068422E">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004B4393" w:rsidRPr="0062072B" w:rsidRDefault="004B4393" w:rsidP="0068422E">
      <w:pPr>
        <w:widowControl/>
        <w:tabs>
          <w:tab w:val="left" w:pos="-1440"/>
          <w:tab w:val="left" w:pos="-720"/>
          <w:tab w:val="left" w:pos="1080"/>
        </w:tabs>
        <w:rPr>
          <w:rFonts w:ascii="Times New Roman" w:hAnsi="Times New Roman"/>
          <w:b/>
          <w:sz w:val="22"/>
          <w:szCs w:val="22"/>
        </w:rPr>
      </w:pPr>
    </w:p>
    <w:p w:rsidR="004B4393" w:rsidRPr="002D5826" w:rsidRDefault="004B4393" w:rsidP="0068422E">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lastRenderedPageBreak/>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sidRPr="002D5826">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RDefault="004B4393" w:rsidP="0068422E">
      <w:pPr>
        <w:widowControl/>
        <w:tabs>
          <w:tab w:val="left" w:pos="-1440"/>
          <w:tab w:val="left" w:pos="-720"/>
          <w:tab w:val="left" w:pos="1080"/>
        </w:tabs>
        <w:ind w:left="720"/>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RDefault="00B01A17" w:rsidP="0068422E">
      <w:pPr>
        <w:widowControl/>
        <w:tabs>
          <w:tab w:val="left" w:pos="-1440"/>
          <w:tab w:val="left" w:pos="-720"/>
          <w:tab w:val="left" w:pos="1080"/>
        </w:tabs>
        <w:ind w:left="720"/>
        <w:rPr>
          <w:rFonts w:ascii="Times New Roman" w:hAnsi="Times New Roman"/>
          <w:sz w:val="22"/>
          <w:szCs w:val="22"/>
        </w:rPr>
      </w:pPr>
    </w:p>
    <w:p w:rsidR="00B01A17" w:rsidRPr="002D5826" w:rsidRDefault="00B01A17" w:rsidP="0068422E">
      <w:pPr>
        <w:pStyle w:val="BodyTextIndent2"/>
        <w:widowControl/>
        <w:tabs>
          <w:tab w:val="left" w:pos="-1440"/>
          <w:tab w:val="left" w:pos="-720"/>
          <w:tab w:val="left" w:pos="0"/>
          <w:tab w:val="left" w:pos="720"/>
          <w:tab w:val="left" w:pos="1080"/>
        </w:tabs>
        <w:ind w:firstLine="0"/>
        <w:rPr>
          <w:b/>
          <w:i/>
          <w:sz w:val="22"/>
          <w:szCs w:val="22"/>
        </w:rPr>
      </w:pPr>
      <w:r w:rsidRPr="002D5826">
        <w:rPr>
          <w:b/>
          <w:i/>
          <w:sz w:val="22"/>
          <w:szCs w:val="22"/>
        </w:rPr>
        <w:t>Online Studies</w:t>
      </w:r>
    </w:p>
    <w:p w:rsidR="00B01A17" w:rsidRDefault="00B01A17" w:rsidP="0068422E">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RDefault="00B01A17" w:rsidP="0068422E">
      <w:pPr>
        <w:pStyle w:val="BodyTextIndent2"/>
        <w:widowControl/>
        <w:tabs>
          <w:tab w:val="left" w:pos="-1440"/>
          <w:tab w:val="left" w:pos="-720"/>
          <w:tab w:val="left" w:pos="0"/>
          <w:tab w:val="left" w:pos="720"/>
          <w:tab w:val="left" w:pos="1080"/>
        </w:tabs>
        <w:ind w:firstLine="0"/>
        <w:rPr>
          <w:sz w:val="22"/>
          <w:szCs w:val="22"/>
        </w:rPr>
      </w:pPr>
    </w:p>
    <w:p w:rsidR="00B01A17" w:rsidRPr="002D5826" w:rsidRDefault="00B01A17" w:rsidP="0068422E">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00B01A17" w:rsidRPr="002D5826" w:rsidRDefault="00B01A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Pr="002D5826"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lastRenderedPageBreak/>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There are no legal obstacles to reduce the burden.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003016DA" w:rsidRPr="002D5826" w:rsidRDefault="003016D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193876" w:rsidRDefault="00193876"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A.8.a.</w:t>
      </w:r>
      <w:r w:rsidRPr="002D5826">
        <w:rPr>
          <w:rFonts w:ascii="Times New Roman" w:hAnsi="Times New Roman"/>
          <w:b/>
          <w:sz w:val="22"/>
          <w:szCs w:val="22"/>
        </w:rPr>
        <w:tab/>
        <w:t>Federal Register Notice</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B4393" w:rsidRPr="0019387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74EBF">
        <w:rPr>
          <w:rFonts w:ascii="Times New Roman" w:hAnsi="Times New Roman"/>
          <w:sz w:val="22"/>
          <w:szCs w:val="22"/>
        </w:rPr>
        <w:t xml:space="preserve">A </w:t>
      </w:r>
      <w:r w:rsidR="00FC0DAB" w:rsidRPr="00574EBF">
        <w:rPr>
          <w:rFonts w:ascii="Times New Roman" w:hAnsi="Times New Roman"/>
          <w:sz w:val="22"/>
          <w:szCs w:val="22"/>
        </w:rPr>
        <w:t>6</w:t>
      </w:r>
      <w:r w:rsidRPr="00574EBF">
        <w:rPr>
          <w:rFonts w:ascii="Times New Roman" w:hAnsi="Times New Roman"/>
          <w:sz w:val="22"/>
          <w:szCs w:val="22"/>
        </w:rPr>
        <w:t xml:space="preserve">0-day Federal Register Notice was published in the </w:t>
      </w:r>
      <w:r w:rsidRPr="00574EBF">
        <w:rPr>
          <w:rFonts w:ascii="Times New Roman" w:hAnsi="Times New Roman"/>
          <w:i/>
          <w:sz w:val="22"/>
          <w:szCs w:val="22"/>
        </w:rPr>
        <w:t xml:space="preserve">Federal Register </w:t>
      </w:r>
      <w:r w:rsidRPr="00574EBF">
        <w:rPr>
          <w:rFonts w:ascii="Times New Roman" w:hAnsi="Times New Roman"/>
          <w:sz w:val="22"/>
          <w:szCs w:val="22"/>
        </w:rPr>
        <w:t>on</w:t>
      </w:r>
      <w:r w:rsidR="00CF1974">
        <w:rPr>
          <w:rFonts w:ascii="Times New Roman" w:hAnsi="Times New Roman"/>
          <w:sz w:val="22"/>
          <w:szCs w:val="22"/>
        </w:rPr>
        <w:t xml:space="preserve"> </w:t>
      </w:r>
      <w:r w:rsidR="00193876">
        <w:rPr>
          <w:rFonts w:ascii="Times New Roman" w:hAnsi="Times New Roman"/>
          <w:sz w:val="22"/>
          <w:szCs w:val="22"/>
        </w:rPr>
        <w:t xml:space="preserve">Friday, </w:t>
      </w:r>
      <w:r w:rsidR="00CF1974">
        <w:rPr>
          <w:rFonts w:ascii="Times New Roman" w:hAnsi="Times New Roman"/>
          <w:sz w:val="22"/>
          <w:szCs w:val="22"/>
        </w:rPr>
        <w:t>November 21, 2014, Vol. 79, No. 225, Page</w:t>
      </w:r>
      <w:r w:rsidR="00193876">
        <w:rPr>
          <w:rFonts w:ascii="Times New Roman" w:hAnsi="Times New Roman"/>
          <w:sz w:val="22"/>
          <w:szCs w:val="22"/>
        </w:rPr>
        <w:t>(</w:t>
      </w:r>
      <w:r w:rsidR="00CF1974">
        <w:rPr>
          <w:rFonts w:ascii="Times New Roman" w:hAnsi="Times New Roman"/>
          <w:sz w:val="22"/>
          <w:szCs w:val="22"/>
        </w:rPr>
        <w:t>s</w:t>
      </w:r>
      <w:r w:rsidR="00193876">
        <w:rPr>
          <w:rFonts w:ascii="Times New Roman" w:hAnsi="Times New Roman"/>
          <w:sz w:val="22"/>
          <w:szCs w:val="22"/>
        </w:rPr>
        <w:t>)</w:t>
      </w:r>
      <w:r w:rsidR="00CF1974">
        <w:rPr>
          <w:rFonts w:ascii="Times New Roman" w:hAnsi="Times New Roman"/>
          <w:sz w:val="22"/>
          <w:szCs w:val="22"/>
        </w:rPr>
        <w:t xml:space="preserve"> 69478-69480</w:t>
      </w:r>
      <w:r w:rsidR="003B6395" w:rsidRPr="00574EBF">
        <w:rPr>
          <w:rFonts w:ascii="Times New Roman" w:hAnsi="Times New Roman"/>
          <w:sz w:val="22"/>
          <w:szCs w:val="22"/>
        </w:rPr>
        <w:t>.</w:t>
      </w:r>
      <w:r w:rsidR="00A778A6" w:rsidRPr="00574EBF">
        <w:rPr>
          <w:rFonts w:ascii="Times New Roman" w:hAnsi="Times New Roman"/>
          <w:sz w:val="22"/>
          <w:szCs w:val="22"/>
        </w:rPr>
        <w:t xml:space="preserve"> </w:t>
      </w:r>
      <w:r w:rsidRPr="00574EBF">
        <w:rPr>
          <w:rFonts w:ascii="Times New Roman" w:hAnsi="Times New Roman"/>
          <w:sz w:val="22"/>
          <w:szCs w:val="22"/>
        </w:rPr>
        <w:t xml:space="preserve"> </w:t>
      </w:r>
      <w:r w:rsidR="00A778A6" w:rsidRPr="00574EBF">
        <w:rPr>
          <w:rFonts w:ascii="Times New Roman" w:hAnsi="Times New Roman"/>
          <w:sz w:val="22"/>
          <w:szCs w:val="22"/>
        </w:rPr>
        <w:t xml:space="preserve"> </w:t>
      </w:r>
      <w:r w:rsidRPr="00574EBF">
        <w:rPr>
          <w:rFonts w:ascii="Times New Roman" w:hAnsi="Times New Roman"/>
          <w:sz w:val="22"/>
          <w:szCs w:val="22"/>
        </w:rPr>
        <w:t>(</w:t>
      </w:r>
      <w:r w:rsidR="00AC513B" w:rsidRPr="00574EBF">
        <w:rPr>
          <w:rFonts w:ascii="Times New Roman" w:hAnsi="Times New Roman"/>
          <w:sz w:val="22"/>
          <w:szCs w:val="22"/>
        </w:rPr>
        <w:t>See</w:t>
      </w:r>
      <w:r w:rsidRPr="00574EBF">
        <w:rPr>
          <w:rFonts w:ascii="Times New Roman" w:hAnsi="Times New Roman"/>
          <w:sz w:val="22"/>
          <w:szCs w:val="22"/>
        </w:rPr>
        <w:t xml:space="preserve"> Attachment 2)</w:t>
      </w:r>
      <w:r w:rsidR="008D0767">
        <w:rPr>
          <w:rFonts w:ascii="Times New Roman" w:hAnsi="Times New Roman"/>
          <w:sz w:val="22"/>
          <w:szCs w:val="22"/>
        </w:rPr>
        <w:t xml:space="preserve"> </w:t>
      </w:r>
      <w:r w:rsidR="00A778A6" w:rsidRPr="00574EBF">
        <w:rPr>
          <w:rFonts w:ascii="Times New Roman" w:hAnsi="Times New Roman"/>
          <w:sz w:val="22"/>
          <w:szCs w:val="22"/>
        </w:rPr>
        <w:t xml:space="preserve"> </w:t>
      </w:r>
      <w:r w:rsidR="008D0767">
        <w:rPr>
          <w:rFonts w:ascii="Times New Roman" w:hAnsi="Times New Roman"/>
          <w:sz w:val="22"/>
          <w:szCs w:val="22"/>
        </w:rPr>
        <w:t>No public comments were received.</w:t>
      </w:r>
      <w:r w:rsidRPr="00574EBF">
        <w:rPr>
          <w:rFonts w:ascii="Times New Roman" w:hAnsi="Times New Roman"/>
          <w:b/>
          <w:sz w:val="22"/>
          <w:szCs w:val="22"/>
        </w:rPr>
        <w:t xml:space="preserve"> </w:t>
      </w:r>
    </w:p>
    <w:p w:rsidR="00F91B2A" w:rsidRPr="00245AC3" w:rsidRDefault="00F91B2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RDefault="004B4393" w:rsidP="0068422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 Consultation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1E46BA" w:rsidRDefault="009A41A2"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004B4393"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004B4393"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004B4393" w:rsidRPr="001E46BA"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1E46BA"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815FE9" w:rsidRPr="001E46BA">
        <w:rPr>
          <w:rFonts w:ascii="Times New Roman" w:hAnsi="Times New Roman"/>
          <w:sz w:val="22"/>
          <w:szCs w:val="22"/>
        </w:rPr>
        <w:t>OADC</w:t>
      </w:r>
      <w:r w:rsidRPr="001E46BA">
        <w:rPr>
          <w:rFonts w:ascii="Times New Roman" w:hAnsi="Times New Roman"/>
          <w:sz w:val="22"/>
          <w:szCs w:val="22"/>
        </w:rPr>
        <w:t xml:space="preserve"> Communication Services Contract Mechanism, if needed:</w:t>
      </w:r>
    </w:p>
    <w:p w:rsidR="004B4393"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RPr="004A1C5E" w:rsidRDefault="004B4393" w:rsidP="0068422E">
      <w:pPr>
        <w:numPr>
          <w:ilvl w:val="0"/>
          <w:numId w:val="3"/>
        </w:numPr>
        <w:tabs>
          <w:tab w:val="left" w:pos="0"/>
          <w:tab w:val="left" w:pos="720"/>
        </w:tabs>
        <w:outlineLvl w:val="1"/>
        <w:rPr>
          <w:rFonts w:ascii="Times New Roman" w:hAnsi="Times New Roman"/>
          <w:sz w:val="22"/>
          <w:szCs w:val="22"/>
        </w:rPr>
      </w:pPr>
      <w:r>
        <w:rPr>
          <w:sz w:val="22"/>
          <w:szCs w:val="22"/>
        </w:rPr>
        <w:t>AED, AIR, Battelle,</w:t>
      </w:r>
      <w:r w:rsidR="000D0CCE">
        <w:rPr>
          <w:sz w:val="22"/>
          <w:szCs w:val="22"/>
        </w:rPr>
        <w:t xml:space="preserve"> </w:t>
      </w:r>
      <w:r>
        <w:rPr>
          <w:sz w:val="22"/>
          <w:szCs w:val="22"/>
        </w:rPr>
        <w:t xml:space="preserve">Danya, ESI, Hager Sharp, HMA, Ketchum, NOVA, Ogilvy PR, ORAU, ORC Macro, PRR, RTI, </w:t>
      </w:r>
      <w:r w:rsidR="000D0CCE">
        <w:rPr>
          <w:sz w:val="22"/>
          <w:szCs w:val="22"/>
        </w:rPr>
        <w:t>SRA International,</w:t>
      </w:r>
      <w:r>
        <w:rPr>
          <w:sz w:val="22"/>
          <w:szCs w:val="22"/>
        </w:rPr>
        <w:t>Weber Shandwick, and Westat.</w:t>
      </w:r>
    </w:p>
    <w:p w:rsidR="004B4393" w:rsidRPr="004A1C5E" w:rsidRDefault="004B4393" w:rsidP="0068422E">
      <w:pPr>
        <w:tabs>
          <w:tab w:val="left" w:pos="0"/>
          <w:tab w:val="left" w:pos="720"/>
        </w:tabs>
        <w:ind w:left="720"/>
        <w:outlineLvl w:val="1"/>
        <w:rPr>
          <w:rFonts w:ascii="Times New Roman" w:hAnsi="Times New Roman"/>
          <w:sz w:val="22"/>
          <w:szCs w:val="22"/>
        </w:rPr>
      </w:pPr>
      <w:r w:rsidRPr="002D5826">
        <w:rPr>
          <w:sz w:val="22"/>
          <w:szCs w:val="22"/>
        </w:rPr>
        <w:t xml:space="preserve"> </w:t>
      </w:r>
    </w:p>
    <w:p w:rsidR="005E2253" w:rsidRDefault="004B4393" w:rsidP="0068422E">
      <w:pPr>
        <w:pStyle w:val="BodyText3"/>
        <w:pBdr>
          <w:left w:val="single" w:sz="6" w:space="9" w:color="FFFFFF"/>
        </w:pBdr>
        <w:rPr>
          <w:szCs w:val="22"/>
        </w:rPr>
      </w:pPr>
      <w:smartTag w:uri="urn:schemas-microsoft-com:office:smarttags" w:element="place">
        <w:smartTag w:uri="urn:schemas-microsoft-com:office:smarttags" w:element="PlaceName">
          <w:r w:rsidRPr="002D5826">
            <w:rPr>
              <w:szCs w:val="22"/>
            </w:rPr>
            <w:t>CDC</w:t>
          </w:r>
        </w:smartTag>
        <w:r w:rsidRPr="002D5826">
          <w:rPr>
            <w:szCs w:val="22"/>
          </w:rPr>
          <w:t xml:space="preserve"> </w:t>
        </w:r>
        <w:smartTag w:uri="urn:schemas-microsoft-com:office:smarttags" w:element="PlaceType">
          <w:r w:rsidRPr="002D5826">
            <w:rPr>
              <w:szCs w:val="22"/>
            </w:rPr>
            <w:t>Center</w:t>
          </w:r>
        </w:smartTag>
      </w:smartTag>
      <w:r w:rsidRPr="002D5826">
        <w:rPr>
          <w:szCs w:val="22"/>
        </w:rPr>
        <w:t xml:space="preserve"> and </w:t>
      </w:r>
      <w:r>
        <w:rPr>
          <w:szCs w:val="22"/>
        </w:rPr>
        <w:t>Office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009261B3" w:rsidRPr="00245AC3" w:rsidRDefault="009261B3" w:rsidP="0068422E">
      <w:pPr>
        <w:pStyle w:val="BodyText3"/>
        <w:pBdr>
          <w:left w:val="single" w:sz="6" w:space="9" w:color="FFFFFF"/>
        </w:pBdr>
        <w:rPr>
          <w:color w:val="FF0000"/>
          <w:szCs w:val="22"/>
        </w:rPr>
      </w:pPr>
    </w:p>
    <w:p w:rsidR="005E2253" w:rsidRPr="007024FD" w:rsidRDefault="005E2253" w:rsidP="0068422E">
      <w:pPr>
        <w:pStyle w:val="BodyText3"/>
        <w:pBdr>
          <w:left w:val="single" w:sz="6" w:space="9" w:color="FFFFFF"/>
        </w:pBd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88"/>
        <w:gridCol w:w="2250"/>
        <w:gridCol w:w="2538"/>
      </w:tblGrid>
      <w:tr w:rsidR="007024FD" w:rsidRPr="007024FD" w:rsidTr="001F521C">
        <w:tc>
          <w:tcPr>
            <w:tcW w:w="4788" w:type="dxa"/>
          </w:tcPr>
          <w:p w:rsidR="00994AC9" w:rsidRPr="007024FD" w:rsidRDefault="00C264F7" w:rsidP="0068422E">
            <w:pPr>
              <w:pStyle w:val="BodyText3"/>
              <w:pBdr>
                <w:top w:val="none" w:sz="0" w:space="0" w:color="auto"/>
                <w:left w:val="none" w:sz="0" w:space="0" w:color="auto"/>
                <w:bottom w:val="none" w:sz="0" w:space="0" w:color="auto"/>
                <w:right w:val="none" w:sz="0" w:space="0" w:color="auto"/>
              </w:pBdr>
              <w:tabs>
                <w:tab w:val="left" w:pos="396"/>
                <w:tab w:val="center" w:pos="2286"/>
              </w:tabs>
              <w:rPr>
                <w:rFonts w:eastAsia="Calibri"/>
                <w:szCs w:val="22"/>
              </w:rPr>
            </w:pPr>
            <w:r w:rsidRPr="007024FD">
              <w:rPr>
                <w:szCs w:val="22"/>
              </w:rPr>
              <w:tab/>
            </w:r>
            <w:r w:rsidRPr="007024FD">
              <w:rPr>
                <w:szCs w:val="22"/>
              </w:rPr>
              <w:tab/>
            </w:r>
            <w:r w:rsidRPr="007024FD">
              <w:rPr>
                <w:szCs w:val="22"/>
              </w:rPr>
              <w:tab/>
            </w:r>
            <w:r w:rsidRPr="007024FD">
              <w:rPr>
                <w:szCs w:val="22"/>
              </w:rPr>
              <w:tab/>
            </w:r>
            <w:r w:rsidR="005E2253" w:rsidRPr="007024FD">
              <w:rPr>
                <w:szCs w:val="22"/>
              </w:rPr>
              <w:br w:type="page"/>
            </w:r>
            <w:r w:rsidR="001F521C" w:rsidRPr="007024FD">
              <w:rPr>
                <w:b/>
              </w:rPr>
              <w:t>Center/Office</w:t>
            </w:r>
          </w:p>
        </w:tc>
        <w:tc>
          <w:tcPr>
            <w:tcW w:w="2250" w:type="dxa"/>
          </w:tcPr>
          <w:p w:rsidR="00994AC9" w:rsidRPr="007024FD" w:rsidRDefault="001F521C" w:rsidP="0068422E">
            <w:pPr>
              <w:pStyle w:val="BodyText3"/>
              <w:pBdr>
                <w:top w:val="none" w:sz="0" w:space="0" w:color="auto"/>
                <w:left w:val="none" w:sz="0" w:space="0" w:color="auto"/>
                <w:bottom w:val="none" w:sz="0" w:space="0" w:color="auto"/>
                <w:right w:val="none" w:sz="0" w:space="0" w:color="auto"/>
              </w:pBdr>
              <w:rPr>
                <w:rFonts w:eastAsia="Calibri"/>
                <w:szCs w:val="22"/>
              </w:rPr>
            </w:pPr>
            <w:r w:rsidRPr="007024FD">
              <w:rPr>
                <w:b/>
              </w:rPr>
              <w:t>ADCS</w:t>
            </w:r>
          </w:p>
        </w:tc>
        <w:tc>
          <w:tcPr>
            <w:tcW w:w="2538" w:type="dxa"/>
          </w:tcPr>
          <w:p w:rsidR="00994AC9" w:rsidRPr="007024FD" w:rsidRDefault="001F521C" w:rsidP="0068422E">
            <w:pPr>
              <w:pStyle w:val="BodyText3"/>
              <w:pBdr>
                <w:top w:val="none" w:sz="0" w:space="0" w:color="auto"/>
                <w:left w:val="none" w:sz="0" w:space="0" w:color="auto"/>
                <w:bottom w:val="none" w:sz="0" w:space="0" w:color="auto"/>
                <w:right w:val="none" w:sz="0" w:space="0" w:color="auto"/>
              </w:pBdr>
              <w:rPr>
                <w:rFonts w:eastAsia="Calibri"/>
                <w:szCs w:val="22"/>
              </w:rPr>
            </w:pPr>
            <w:r w:rsidRPr="007024FD">
              <w:rPr>
                <w:b/>
              </w:rPr>
              <w:t>E-Mail/Work#2</w:t>
            </w:r>
          </w:p>
        </w:tc>
      </w:tr>
      <w:tr w:rsidR="007024FD" w:rsidRPr="007024FD" w:rsidTr="001F521C">
        <w:tc>
          <w:tcPr>
            <w:tcW w:w="4788" w:type="dxa"/>
            <w:vAlign w:val="center"/>
          </w:tcPr>
          <w:p w:rsidR="001F521C" w:rsidRPr="007024FD" w:rsidRDefault="001F521C" w:rsidP="0068422E">
            <w:pPr>
              <w:rPr>
                <w:sz w:val="22"/>
                <w:szCs w:val="22"/>
              </w:rPr>
            </w:pPr>
            <w:r w:rsidRPr="007024FD">
              <w:rPr>
                <w:sz w:val="22"/>
                <w:szCs w:val="22"/>
              </w:rPr>
              <w:t>Associate Director for Communication</w:t>
            </w:r>
            <w:r w:rsidR="00384EB0" w:rsidRPr="007024FD">
              <w:rPr>
                <w:sz w:val="22"/>
                <w:szCs w:val="22"/>
              </w:rPr>
              <w:t xml:space="preserve"> Science</w:t>
            </w:r>
            <w:r w:rsidRPr="007024FD">
              <w:rPr>
                <w:sz w:val="22"/>
                <w:szCs w:val="22"/>
              </w:rPr>
              <w:t xml:space="preserve"> (OADC)</w:t>
            </w:r>
          </w:p>
        </w:tc>
        <w:tc>
          <w:tcPr>
            <w:tcW w:w="2250" w:type="dxa"/>
            <w:vAlign w:val="center"/>
          </w:tcPr>
          <w:p w:rsidR="001F521C" w:rsidRPr="007024FD" w:rsidRDefault="001F521C" w:rsidP="0068422E">
            <w:pPr>
              <w:rPr>
                <w:sz w:val="22"/>
                <w:szCs w:val="22"/>
              </w:rPr>
            </w:pPr>
            <w:r w:rsidRPr="007024FD">
              <w:rPr>
                <w:sz w:val="22"/>
                <w:szCs w:val="22"/>
              </w:rPr>
              <w:t>Dogan Eroglu</w:t>
            </w:r>
          </w:p>
        </w:tc>
        <w:tc>
          <w:tcPr>
            <w:tcW w:w="2538" w:type="dxa"/>
            <w:vAlign w:val="center"/>
          </w:tcPr>
          <w:p w:rsidR="001F521C" w:rsidRDefault="00044D80" w:rsidP="0068422E">
            <w:pPr>
              <w:rPr>
                <w:sz w:val="22"/>
                <w:szCs w:val="22"/>
              </w:rPr>
            </w:pPr>
            <w:hyperlink r:id="rId9" w:history="1">
              <w:r w:rsidR="004839C2" w:rsidRPr="007024FD">
                <w:rPr>
                  <w:rStyle w:val="Hyperlink"/>
                  <w:color w:val="auto"/>
                  <w:sz w:val="22"/>
                  <w:szCs w:val="22"/>
                </w:rPr>
                <w:t>dde@cdc.gov</w:t>
              </w:r>
            </w:hyperlink>
          </w:p>
          <w:p w:rsidR="001F521C" w:rsidRPr="007024FD" w:rsidRDefault="001F521C" w:rsidP="0068422E">
            <w:pPr>
              <w:rPr>
                <w:sz w:val="22"/>
                <w:szCs w:val="22"/>
              </w:rPr>
            </w:pPr>
            <w:r w:rsidRPr="007024FD">
              <w:rPr>
                <w:sz w:val="22"/>
                <w:szCs w:val="22"/>
              </w:rPr>
              <w:t>404-498</w:t>
            </w:r>
            <w:r w:rsidR="004839C2" w:rsidRPr="007024FD">
              <w:rPr>
                <w:sz w:val="22"/>
                <w:szCs w:val="22"/>
              </w:rPr>
              <w:t>-</w:t>
            </w:r>
            <w:r w:rsidRPr="007024FD">
              <w:rPr>
                <w:sz w:val="22"/>
                <w:szCs w:val="22"/>
              </w:rPr>
              <w:t>6119</w:t>
            </w:r>
          </w:p>
        </w:tc>
      </w:tr>
      <w:tr w:rsidR="007024FD" w:rsidRPr="007024FD" w:rsidTr="001F521C">
        <w:tc>
          <w:tcPr>
            <w:tcW w:w="4788" w:type="dxa"/>
            <w:vAlign w:val="center"/>
          </w:tcPr>
          <w:p w:rsidR="00384EB0" w:rsidRPr="007024FD" w:rsidRDefault="00384EB0" w:rsidP="0068422E">
            <w:pPr>
              <w:rPr>
                <w:sz w:val="22"/>
                <w:szCs w:val="22"/>
              </w:rPr>
            </w:pPr>
            <w:r w:rsidRPr="007024FD">
              <w:rPr>
                <w:sz w:val="22"/>
                <w:szCs w:val="22"/>
              </w:rPr>
              <w:t>Center for Global Health (CGH)</w:t>
            </w:r>
          </w:p>
        </w:tc>
        <w:tc>
          <w:tcPr>
            <w:tcW w:w="2250" w:type="dxa"/>
            <w:vAlign w:val="center"/>
          </w:tcPr>
          <w:p w:rsidR="00384EB0" w:rsidRPr="007024FD" w:rsidRDefault="00384EB0" w:rsidP="0068422E">
            <w:pPr>
              <w:rPr>
                <w:sz w:val="22"/>
                <w:szCs w:val="22"/>
              </w:rPr>
            </w:pPr>
            <w:r w:rsidRPr="007024FD">
              <w:rPr>
                <w:sz w:val="22"/>
                <w:szCs w:val="22"/>
              </w:rPr>
              <w:t>Marsha Vanderford</w:t>
            </w:r>
          </w:p>
        </w:tc>
        <w:tc>
          <w:tcPr>
            <w:tcW w:w="2538" w:type="dxa"/>
            <w:vAlign w:val="center"/>
          </w:tcPr>
          <w:p w:rsidR="00384EB0" w:rsidRPr="007024FD" w:rsidRDefault="00044D80" w:rsidP="0068422E">
            <w:pPr>
              <w:rPr>
                <w:sz w:val="22"/>
                <w:szCs w:val="22"/>
              </w:rPr>
            </w:pPr>
            <w:hyperlink r:id="rId10" w:history="1">
              <w:r w:rsidR="004839C2" w:rsidRPr="007024FD">
                <w:rPr>
                  <w:rStyle w:val="Hyperlink"/>
                  <w:color w:val="auto"/>
                  <w:sz w:val="22"/>
                  <w:szCs w:val="22"/>
                </w:rPr>
                <w:t>mev7@cdc.gov</w:t>
              </w:r>
            </w:hyperlink>
          </w:p>
          <w:p w:rsidR="00384EB0" w:rsidRPr="007024FD" w:rsidRDefault="00384EB0" w:rsidP="0068422E">
            <w:pPr>
              <w:rPr>
                <w:sz w:val="22"/>
                <w:szCs w:val="22"/>
              </w:rPr>
            </w:pPr>
            <w:r w:rsidRPr="007024FD">
              <w:rPr>
                <w:sz w:val="22"/>
                <w:szCs w:val="22"/>
              </w:rPr>
              <w:t>404-639-7531</w:t>
            </w:r>
          </w:p>
        </w:tc>
      </w:tr>
      <w:tr w:rsidR="007024FD" w:rsidRPr="007024FD" w:rsidTr="001F521C">
        <w:tc>
          <w:tcPr>
            <w:tcW w:w="4788" w:type="dxa"/>
            <w:vAlign w:val="center"/>
          </w:tcPr>
          <w:p w:rsidR="00384EB0" w:rsidRPr="007024FD" w:rsidRDefault="004839C2" w:rsidP="0068422E">
            <w:pPr>
              <w:rPr>
                <w:sz w:val="22"/>
                <w:szCs w:val="22"/>
              </w:rPr>
            </w:pPr>
            <w:r w:rsidRPr="007024FD">
              <w:rPr>
                <w:sz w:val="22"/>
                <w:szCs w:val="22"/>
              </w:rPr>
              <w:t>Center for Surveillance, Epidemiology and Laboratory Services (</w:t>
            </w:r>
            <w:r w:rsidR="00384EB0" w:rsidRPr="007024FD">
              <w:rPr>
                <w:sz w:val="22"/>
                <w:szCs w:val="22"/>
              </w:rPr>
              <w:t>CSELS</w:t>
            </w:r>
            <w:r w:rsidRPr="007024FD">
              <w:rPr>
                <w:sz w:val="22"/>
                <w:szCs w:val="22"/>
              </w:rPr>
              <w:t>)</w:t>
            </w:r>
          </w:p>
        </w:tc>
        <w:tc>
          <w:tcPr>
            <w:tcW w:w="2250" w:type="dxa"/>
            <w:vAlign w:val="center"/>
          </w:tcPr>
          <w:p w:rsidR="00384EB0" w:rsidRPr="007024FD" w:rsidRDefault="00384EB0" w:rsidP="0068422E">
            <w:pPr>
              <w:rPr>
                <w:sz w:val="22"/>
                <w:szCs w:val="22"/>
              </w:rPr>
            </w:pPr>
            <w:r w:rsidRPr="007024FD">
              <w:rPr>
                <w:sz w:val="22"/>
                <w:szCs w:val="22"/>
              </w:rPr>
              <w:t>John Anderton</w:t>
            </w:r>
          </w:p>
        </w:tc>
        <w:tc>
          <w:tcPr>
            <w:tcW w:w="2538" w:type="dxa"/>
            <w:vAlign w:val="center"/>
          </w:tcPr>
          <w:p w:rsidR="00384EB0" w:rsidRPr="007024FD" w:rsidRDefault="00044D80" w:rsidP="0068422E">
            <w:pPr>
              <w:rPr>
                <w:sz w:val="22"/>
                <w:szCs w:val="22"/>
              </w:rPr>
            </w:pPr>
            <w:hyperlink r:id="rId11" w:history="1">
              <w:r w:rsidR="004839C2" w:rsidRPr="007024FD">
                <w:rPr>
                  <w:rStyle w:val="Hyperlink"/>
                  <w:color w:val="auto"/>
                  <w:sz w:val="22"/>
                  <w:szCs w:val="22"/>
                </w:rPr>
                <w:t>jpa0@cdc.gov</w:t>
              </w:r>
            </w:hyperlink>
          </w:p>
          <w:p w:rsidR="00384EB0" w:rsidRPr="007024FD" w:rsidRDefault="00384EB0" w:rsidP="0068422E">
            <w:pPr>
              <w:rPr>
                <w:sz w:val="22"/>
                <w:szCs w:val="22"/>
              </w:rPr>
            </w:pPr>
            <w:r w:rsidRPr="007024FD">
              <w:rPr>
                <w:sz w:val="22"/>
                <w:szCs w:val="22"/>
              </w:rPr>
              <w:t>404-498-6145</w:t>
            </w:r>
          </w:p>
        </w:tc>
      </w:tr>
      <w:tr w:rsidR="004839C2" w:rsidRPr="007024FD" w:rsidTr="00987040">
        <w:tc>
          <w:tcPr>
            <w:tcW w:w="4788" w:type="dxa"/>
          </w:tcPr>
          <w:p w:rsidR="004839C2" w:rsidRPr="007024FD" w:rsidRDefault="004839C2" w:rsidP="0068422E">
            <w:r w:rsidRPr="007024FD">
              <w:rPr>
                <w:sz w:val="22"/>
                <w:szCs w:val="22"/>
              </w:rPr>
              <w:t xml:space="preserve">National Center on Birth Defects and Developmental Disabilities (NCBDDD) </w:t>
            </w:r>
          </w:p>
        </w:tc>
        <w:tc>
          <w:tcPr>
            <w:tcW w:w="2250" w:type="dxa"/>
          </w:tcPr>
          <w:p w:rsidR="004839C2" w:rsidRPr="007024FD" w:rsidRDefault="004839C2" w:rsidP="0068422E">
            <w:pPr>
              <w:rPr>
                <w:sz w:val="22"/>
                <w:szCs w:val="22"/>
              </w:rPr>
            </w:pPr>
            <w:r w:rsidRPr="007024FD">
              <w:rPr>
                <w:sz w:val="22"/>
                <w:szCs w:val="22"/>
              </w:rPr>
              <w:t>Betsy Mitchell</w:t>
            </w:r>
          </w:p>
        </w:tc>
        <w:tc>
          <w:tcPr>
            <w:tcW w:w="2538" w:type="dxa"/>
          </w:tcPr>
          <w:p w:rsidR="004839C2" w:rsidRPr="007024FD" w:rsidRDefault="00044D80" w:rsidP="0068422E">
            <w:pPr>
              <w:rPr>
                <w:sz w:val="22"/>
                <w:szCs w:val="22"/>
              </w:rPr>
            </w:pPr>
            <w:hyperlink r:id="rId12" w:history="1">
              <w:r w:rsidR="004839C2" w:rsidRPr="007024FD">
                <w:rPr>
                  <w:rStyle w:val="Hyperlink"/>
                  <w:color w:val="auto"/>
                  <w:sz w:val="22"/>
                  <w:szCs w:val="22"/>
                </w:rPr>
                <w:t>bhm0@cdc.gov</w:t>
              </w:r>
            </w:hyperlink>
          </w:p>
          <w:p w:rsidR="004839C2" w:rsidRPr="007024FD" w:rsidRDefault="004839C2" w:rsidP="0068422E">
            <w:pPr>
              <w:rPr>
                <w:sz w:val="22"/>
                <w:szCs w:val="22"/>
              </w:rPr>
            </w:pPr>
            <w:r w:rsidRPr="007024FD">
              <w:rPr>
                <w:sz w:val="22"/>
                <w:szCs w:val="22"/>
              </w:rPr>
              <w:t>404-498-0251</w:t>
            </w:r>
          </w:p>
        </w:tc>
      </w:tr>
      <w:tr w:rsidR="007024FD" w:rsidRPr="007024FD" w:rsidTr="00F82070">
        <w:tc>
          <w:tcPr>
            <w:tcW w:w="4788" w:type="dxa"/>
            <w:vAlign w:val="center"/>
          </w:tcPr>
          <w:p w:rsidR="004839C2" w:rsidRPr="007024FD" w:rsidRDefault="004839C2" w:rsidP="0068422E">
            <w:pPr>
              <w:rPr>
                <w:sz w:val="22"/>
                <w:szCs w:val="22"/>
              </w:rPr>
            </w:pPr>
            <w:r w:rsidRPr="007024FD">
              <w:rPr>
                <w:sz w:val="22"/>
                <w:szCs w:val="22"/>
              </w:rPr>
              <w:t>National Center for Chronic Disease Prevention and Health Promotion (NCCDPHP)</w:t>
            </w:r>
          </w:p>
        </w:tc>
        <w:tc>
          <w:tcPr>
            <w:tcW w:w="2250" w:type="dxa"/>
            <w:vAlign w:val="center"/>
          </w:tcPr>
          <w:p w:rsidR="004839C2" w:rsidRPr="007024FD" w:rsidRDefault="004839C2" w:rsidP="0068422E">
            <w:pPr>
              <w:rPr>
                <w:sz w:val="22"/>
                <w:szCs w:val="22"/>
              </w:rPr>
            </w:pPr>
            <w:r w:rsidRPr="007024FD">
              <w:rPr>
                <w:sz w:val="22"/>
                <w:szCs w:val="22"/>
              </w:rPr>
              <w:t>Jeff McKenna</w:t>
            </w:r>
          </w:p>
        </w:tc>
        <w:tc>
          <w:tcPr>
            <w:tcW w:w="2538" w:type="dxa"/>
            <w:vAlign w:val="center"/>
          </w:tcPr>
          <w:p w:rsidR="004839C2" w:rsidRPr="007024FD" w:rsidRDefault="00044D80" w:rsidP="0068422E">
            <w:pPr>
              <w:rPr>
                <w:sz w:val="22"/>
                <w:szCs w:val="22"/>
              </w:rPr>
            </w:pPr>
            <w:hyperlink r:id="rId13" w:history="1">
              <w:r w:rsidR="004839C2" w:rsidRPr="007024FD">
                <w:rPr>
                  <w:rStyle w:val="Hyperlink"/>
                  <w:color w:val="auto"/>
                  <w:sz w:val="22"/>
                  <w:szCs w:val="22"/>
                </w:rPr>
                <w:t>jwm0@cdc.gov</w:t>
              </w:r>
            </w:hyperlink>
          </w:p>
          <w:p w:rsidR="004839C2" w:rsidRPr="007024FD" w:rsidRDefault="004839C2" w:rsidP="0068422E">
            <w:pPr>
              <w:rPr>
                <w:sz w:val="22"/>
                <w:szCs w:val="22"/>
              </w:rPr>
            </w:pPr>
            <w:r w:rsidRPr="007024FD">
              <w:rPr>
                <w:sz w:val="22"/>
                <w:szCs w:val="22"/>
              </w:rPr>
              <w:t>770-488-8238</w:t>
            </w:r>
          </w:p>
        </w:tc>
      </w:tr>
      <w:tr w:rsidR="007024FD" w:rsidRPr="007024FD" w:rsidTr="00F82070">
        <w:tc>
          <w:tcPr>
            <w:tcW w:w="4788" w:type="dxa"/>
            <w:vAlign w:val="center"/>
          </w:tcPr>
          <w:p w:rsidR="004839C2" w:rsidRPr="007024FD" w:rsidRDefault="004839C2" w:rsidP="0068422E">
            <w:pPr>
              <w:rPr>
                <w:sz w:val="22"/>
                <w:szCs w:val="22"/>
              </w:rPr>
            </w:pPr>
            <w:r w:rsidRPr="007024FD">
              <w:rPr>
                <w:sz w:val="22"/>
                <w:szCs w:val="22"/>
              </w:rPr>
              <w:t>National Center for Environmental Health (NCEH)/Agency for Toxic Substances and Disease Registry (ATSDR)</w:t>
            </w:r>
          </w:p>
        </w:tc>
        <w:tc>
          <w:tcPr>
            <w:tcW w:w="2250" w:type="dxa"/>
            <w:vAlign w:val="center"/>
          </w:tcPr>
          <w:p w:rsidR="004839C2" w:rsidRPr="007024FD" w:rsidRDefault="004839C2" w:rsidP="0068422E">
            <w:pPr>
              <w:rPr>
                <w:sz w:val="22"/>
                <w:szCs w:val="22"/>
              </w:rPr>
            </w:pPr>
            <w:r w:rsidRPr="007024FD">
              <w:rPr>
                <w:sz w:val="22"/>
                <w:szCs w:val="22"/>
              </w:rPr>
              <w:t>Kathryn Harben</w:t>
            </w:r>
          </w:p>
        </w:tc>
        <w:tc>
          <w:tcPr>
            <w:tcW w:w="2538" w:type="dxa"/>
            <w:vAlign w:val="center"/>
          </w:tcPr>
          <w:p w:rsidR="004839C2" w:rsidRPr="007024FD" w:rsidRDefault="00044D80" w:rsidP="0068422E">
            <w:hyperlink r:id="rId14" w:history="1">
              <w:r w:rsidR="004839C2" w:rsidRPr="007024FD">
                <w:rPr>
                  <w:rStyle w:val="Hyperlink"/>
                  <w:color w:val="auto"/>
                </w:rPr>
                <w:t>kxh9@cdc.gov</w:t>
              </w:r>
            </w:hyperlink>
          </w:p>
          <w:p w:rsidR="004839C2" w:rsidRPr="007024FD" w:rsidRDefault="004839C2" w:rsidP="0068422E">
            <w:r w:rsidRPr="007024FD">
              <w:t>770-488-0578</w:t>
            </w:r>
          </w:p>
          <w:p w:rsidR="004839C2" w:rsidRPr="007024FD" w:rsidRDefault="004839C2" w:rsidP="0068422E"/>
        </w:tc>
      </w:tr>
      <w:tr w:rsidR="007024FD" w:rsidRPr="007024FD" w:rsidTr="00F82070">
        <w:tc>
          <w:tcPr>
            <w:tcW w:w="4788" w:type="dxa"/>
            <w:vAlign w:val="center"/>
          </w:tcPr>
          <w:p w:rsidR="004839C2" w:rsidRPr="007024FD" w:rsidRDefault="004839C2" w:rsidP="0068422E">
            <w:pPr>
              <w:rPr>
                <w:sz w:val="22"/>
                <w:szCs w:val="22"/>
              </w:rPr>
            </w:pPr>
            <w:r w:rsidRPr="007024FD">
              <w:rPr>
                <w:sz w:val="22"/>
                <w:szCs w:val="22"/>
              </w:rPr>
              <w:t>National Center for Emerging and Zoonotic Infectious Diseases (NCEZID)</w:t>
            </w:r>
          </w:p>
        </w:tc>
        <w:tc>
          <w:tcPr>
            <w:tcW w:w="2250" w:type="dxa"/>
            <w:vAlign w:val="center"/>
          </w:tcPr>
          <w:p w:rsidR="004839C2" w:rsidRPr="007024FD" w:rsidRDefault="004839C2" w:rsidP="0068422E">
            <w:pPr>
              <w:rPr>
                <w:sz w:val="22"/>
                <w:szCs w:val="22"/>
              </w:rPr>
            </w:pPr>
            <w:r w:rsidRPr="007024FD">
              <w:rPr>
                <w:sz w:val="22"/>
                <w:szCs w:val="22"/>
              </w:rPr>
              <w:t>John O’Connor</w:t>
            </w:r>
          </w:p>
        </w:tc>
        <w:tc>
          <w:tcPr>
            <w:tcW w:w="2538" w:type="dxa"/>
            <w:vAlign w:val="center"/>
          </w:tcPr>
          <w:p w:rsidR="004839C2" w:rsidRPr="007024FD" w:rsidRDefault="00044D80" w:rsidP="0068422E">
            <w:pPr>
              <w:rPr>
                <w:sz w:val="22"/>
                <w:szCs w:val="22"/>
              </w:rPr>
            </w:pPr>
            <w:hyperlink r:id="rId15" w:history="1">
              <w:r w:rsidR="00E00948" w:rsidRPr="007024FD">
                <w:rPr>
                  <w:rStyle w:val="Hyperlink"/>
                  <w:color w:val="auto"/>
                  <w:sz w:val="22"/>
                  <w:szCs w:val="22"/>
                </w:rPr>
                <w:t>jpo2@cdc.gov</w:t>
              </w:r>
            </w:hyperlink>
          </w:p>
          <w:p w:rsidR="004839C2" w:rsidRPr="007024FD" w:rsidRDefault="004839C2" w:rsidP="0068422E">
            <w:pPr>
              <w:rPr>
                <w:sz w:val="22"/>
                <w:szCs w:val="22"/>
              </w:rPr>
            </w:pPr>
            <w:r w:rsidRPr="007024FD">
              <w:rPr>
                <w:sz w:val="22"/>
                <w:szCs w:val="22"/>
              </w:rPr>
              <w:t>404639-2769</w:t>
            </w:r>
          </w:p>
        </w:tc>
      </w:tr>
      <w:tr w:rsidR="007024FD" w:rsidRPr="007024FD" w:rsidTr="00F82070">
        <w:tc>
          <w:tcPr>
            <w:tcW w:w="4788" w:type="dxa"/>
            <w:vAlign w:val="center"/>
          </w:tcPr>
          <w:p w:rsidR="004839C2" w:rsidRPr="007024FD" w:rsidRDefault="004839C2" w:rsidP="0068422E">
            <w:pPr>
              <w:rPr>
                <w:sz w:val="22"/>
                <w:szCs w:val="22"/>
              </w:rPr>
            </w:pPr>
            <w:r w:rsidRPr="007024FD">
              <w:rPr>
                <w:sz w:val="22"/>
                <w:szCs w:val="22"/>
              </w:rPr>
              <w:t>National Center for HIV/AIDS, Viral Hepatitis, STD, and TB Prevention (NCHHSTP)</w:t>
            </w:r>
          </w:p>
        </w:tc>
        <w:tc>
          <w:tcPr>
            <w:tcW w:w="2250" w:type="dxa"/>
            <w:vAlign w:val="center"/>
          </w:tcPr>
          <w:p w:rsidR="004839C2" w:rsidRPr="007024FD" w:rsidRDefault="004839C2" w:rsidP="0068422E">
            <w:pPr>
              <w:rPr>
                <w:sz w:val="22"/>
                <w:szCs w:val="22"/>
              </w:rPr>
            </w:pPr>
            <w:r w:rsidRPr="007024FD">
              <w:rPr>
                <w:sz w:val="22"/>
                <w:szCs w:val="22"/>
              </w:rPr>
              <w:t>Susan Robinson</w:t>
            </w:r>
          </w:p>
        </w:tc>
        <w:tc>
          <w:tcPr>
            <w:tcW w:w="2538" w:type="dxa"/>
            <w:vAlign w:val="center"/>
          </w:tcPr>
          <w:p w:rsidR="004839C2" w:rsidRPr="007024FD" w:rsidRDefault="00044D80" w:rsidP="0068422E">
            <w:pPr>
              <w:rPr>
                <w:sz w:val="22"/>
                <w:szCs w:val="22"/>
              </w:rPr>
            </w:pPr>
            <w:hyperlink r:id="rId16" w:history="1">
              <w:r w:rsidR="00E00948" w:rsidRPr="007024FD">
                <w:rPr>
                  <w:rStyle w:val="Hyperlink"/>
                  <w:color w:val="auto"/>
                  <w:sz w:val="22"/>
                  <w:szCs w:val="22"/>
                </w:rPr>
                <w:t>sjr2@cdc.gov</w:t>
              </w:r>
            </w:hyperlink>
          </w:p>
          <w:p w:rsidR="004839C2" w:rsidRPr="007024FD" w:rsidRDefault="004839C2" w:rsidP="0068422E">
            <w:pPr>
              <w:rPr>
                <w:sz w:val="22"/>
                <w:szCs w:val="22"/>
              </w:rPr>
            </w:pPr>
            <w:r w:rsidRPr="007024FD">
              <w:rPr>
                <w:sz w:val="22"/>
                <w:szCs w:val="22"/>
              </w:rPr>
              <w:t>404-639-8025</w:t>
            </w:r>
          </w:p>
        </w:tc>
      </w:tr>
      <w:tr w:rsidR="007024FD" w:rsidRPr="007024FD" w:rsidTr="00F82070">
        <w:tc>
          <w:tcPr>
            <w:tcW w:w="4788" w:type="dxa"/>
            <w:vAlign w:val="center"/>
          </w:tcPr>
          <w:p w:rsidR="004839C2" w:rsidRPr="007024FD" w:rsidRDefault="004839C2" w:rsidP="0068422E">
            <w:pPr>
              <w:rPr>
                <w:sz w:val="22"/>
                <w:szCs w:val="22"/>
              </w:rPr>
            </w:pPr>
            <w:r w:rsidRPr="007024FD">
              <w:rPr>
                <w:sz w:val="22"/>
                <w:szCs w:val="22"/>
              </w:rPr>
              <w:t>National Center for Health Statistics (NCHS)</w:t>
            </w:r>
          </w:p>
        </w:tc>
        <w:tc>
          <w:tcPr>
            <w:tcW w:w="2250" w:type="dxa"/>
            <w:vAlign w:val="center"/>
          </w:tcPr>
          <w:p w:rsidR="004839C2" w:rsidRPr="007024FD" w:rsidRDefault="004839C2" w:rsidP="0068422E">
            <w:pPr>
              <w:rPr>
                <w:sz w:val="22"/>
                <w:szCs w:val="22"/>
              </w:rPr>
            </w:pPr>
            <w:r w:rsidRPr="007024FD">
              <w:rPr>
                <w:sz w:val="22"/>
                <w:szCs w:val="22"/>
              </w:rPr>
              <w:t>Jeff Lancashire</w:t>
            </w:r>
          </w:p>
        </w:tc>
        <w:tc>
          <w:tcPr>
            <w:tcW w:w="2538" w:type="dxa"/>
            <w:vAlign w:val="center"/>
          </w:tcPr>
          <w:p w:rsidR="004839C2" w:rsidRPr="007024FD" w:rsidRDefault="00044D80" w:rsidP="0068422E">
            <w:pPr>
              <w:rPr>
                <w:sz w:val="22"/>
                <w:szCs w:val="22"/>
              </w:rPr>
            </w:pPr>
            <w:hyperlink r:id="rId17" w:history="1">
              <w:r w:rsidR="00E00948" w:rsidRPr="007024FD">
                <w:rPr>
                  <w:rStyle w:val="Hyperlink"/>
                  <w:color w:val="auto"/>
                  <w:sz w:val="22"/>
                  <w:szCs w:val="22"/>
                </w:rPr>
                <w:t>jhl1@cdc.gov</w:t>
              </w:r>
            </w:hyperlink>
          </w:p>
          <w:p w:rsidR="004839C2" w:rsidRPr="007024FD" w:rsidRDefault="004839C2" w:rsidP="0068422E">
            <w:pPr>
              <w:rPr>
                <w:sz w:val="22"/>
                <w:szCs w:val="22"/>
              </w:rPr>
            </w:pPr>
            <w:r w:rsidRPr="007024FD">
              <w:rPr>
                <w:sz w:val="22"/>
                <w:szCs w:val="22"/>
              </w:rPr>
              <w:t>301-458-4334</w:t>
            </w:r>
          </w:p>
        </w:tc>
      </w:tr>
      <w:tr w:rsidR="007024FD" w:rsidRPr="007024FD" w:rsidTr="007A7248">
        <w:tc>
          <w:tcPr>
            <w:tcW w:w="4788" w:type="dxa"/>
          </w:tcPr>
          <w:p w:rsidR="007024FD" w:rsidRPr="007024FD" w:rsidRDefault="007024FD" w:rsidP="0068422E">
            <w:pPr>
              <w:rPr>
                <w:sz w:val="22"/>
                <w:szCs w:val="22"/>
              </w:rPr>
            </w:pPr>
            <w:r w:rsidRPr="007024FD">
              <w:rPr>
                <w:sz w:val="22"/>
                <w:szCs w:val="22"/>
              </w:rPr>
              <w:t>National Center for Injury Prevention and Control (NCIPC)</w:t>
            </w:r>
          </w:p>
        </w:tc>
        <w:tc>
          <w:tcPr>
            <w:tcW w:w="2250" w:type="dxa"/>
          </w:tcPr>
          <w:p w:rsidR="007024FD" w:rsidRPr="007024FD" w:rsidRDefault="007024FD" w:rsidP="0068422E">
            <w:pPr>
              <w:rPr>
                <w:sz w:val="22"/>
                <w:szCs w:val="22"/>
              </w:rPr>
            </w:pPr>
            <w:r w:rsidRPr="007024FD">
              <w:rPr>
                <w:sz w:val="22"/>
                <w:szCs w:val="22"/>
              </w:rPr>
              <w:t>Erin Connelly</w:t>
            </w:r>
          </w:p>
        </w:tc>
        <w:tc>
          <w:tcPr>
            <w:tcW w:w="2538" w:type="dxa"/>
          </w:tcPr>
          <w:p w:rsidR="007024FD" w:rsidRPr="007024FD" w:rsidRDefault="00044D80" w:rsidP="0068422E">
            <w:hyperlink r:id="rId18" w:history="1">
              <w:r w:rsidR="007024FD" w:rsidRPr="007024FD">
                <w:rPr>
                  <w:rStyle w:val="Hyperlink"/>
                  <w:color w:val="auto"/>
                </w:rPr>
                <w:t>efd5@cdc.gov</w:t>
              </w:r>
            </w:hyperlink>
          </w:p>
          <w:p w:rsidR="007024FD" w:rsidRPr="007024FD" w:rsidRDefault="007024FD" w:rsidP="0068422E">
            <w:pPr>
              <w:rPr>
                <w:sz w:val="22"/>
                <w:szCs w:val="22"/>
              </w:rPr>
            </w:pPr>
            <w:r w:rsidRPr="007024FD">
              <w:rPr>
                <w:sz w:val="22"/>
                <w:szCs w:val="22"/>
              </w:rPr>
              <w:t>770-488-1043</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National Center for Immunization and Respiratory Diseases (NCIRD)</w:t>
            </w:r>
          </w:p>
        </w:tc>
        <w:tc>
          <w:tcPr>
            <w:tcW w:w="2250" w:type="dxa"/>
            <w:vAlign w:val="center"/>
          </w:tcPr>
          <w:p w:rsidR="007024FD" w:rsidRPr="007024FD" w:rsidRDefault="007024FD" w:rsidP="0068422E">
            <w:pPr>
              <w:rPr>
                <w:sz w:val="22"/>
                <w:szCs w:val="22"/>
              </w:rPr>
            </w:pPr>
            <w:r w:rsidRPr="007024FD">
              <w:rPr>
                <w:sz w:val="22"/>
                <w:szCs w:val="22"/>
              </w:rPr>
              <w:t>Kris Sheedy</w:t>
            </w:r>
          </w:p>
        </w:tc>
        <w:tc>
          <w:tcPr>
            <w:tcW w:w="2538" w:type="dxa"/>
            <w:vAlign w:val="center"/>
          </w:tcPr>
          <w:p w:rsidR="007024FD" w:rsidRPr="007024FD" w:rsidRDefault="00044D80" w:rsidP="0068422E">
            <w:pPr>
              <w:rPr>
                <w:sz w:val="22"/>
                <w:szCs w:val="22"/>
              </w:rPr>
            </w:pPr>
            <w:hyperlink r:id="rId19" w:history="1">
              <w:r w:rsidR="007024FD" w:rsidRPr="007024FD">
                <w:rPr>
                  <w:rStyle w:val="Hyperlink"/>
                  <w:color w:val="auto"/>
                  <w:sz w:val="22"/>
                  <w:szCs w:val="22"/>
                </w:rPr>
                <w:t>Kjs8@cdc.gov</w:t>
              </w:r>
            </w:hyperlink>
          </w:p>
          <w:p w:rsidR="007024FD" w:rsidRPr="007024FD" w:rsidRDefault="007024FD" w:rsidP="0068422E">
            <w:pPr>
              <w:rPr>
                <w:sz w:val="22"/>
                <w:szCs w:val="22"/>
              </w:rPr>
            </w:pPr>
            <w:r w:rsidRPr="007024FD">
              <w:rPr>
                <w:sz w:val="22"/>
                <w:szCs w:val="22"/>
              </w:rPr>
              <w:t>404-639-6482</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National Institute for Occupational Safety and Health (NIOSH)</w:t>
            </w:r>
          </w:p>
        </w:tc>
        <w:tc>
          <w:tcPr>
            <w:tcW w:w="2250" w:type="dxa"/>
            <w:vAlign w:val="center"/>
          </w:tcPr>
          <w:p w:rsidR="007024FD" w:rsidRPr="007024FD" w:rsidRDefault="007024FD" w:rsidP="0068422E">
            <w:pPr>
              <w:rPr>
                <w:sz w:val="22"/>
                <w:szCs w:val="22"/>
              </w:rPr>
            </w:pPr>
            <w:r w:rsidRPr="007024FD">
              <w:rPr>
                <w:sz w:val="22"/>
                <w:szCs w:val="22"/>
              </w:rPr>
              <w:t xml:space="preserve">Fred Blosser </w:t>
            </w:r>
          </w:p>
        </w:tc>
        <w:tc>
          <w:tcPr>
            <w:tcW w:w="2538" w:type="dxa"/>
            <w:vAlign w:val="center"/>
          </w:tcPr>
          <w:p w:rsidR="007024FD" w:rsidRPr="00315948" w:rsidRDefault="00044D80" w:rsidP="0068422E">
            <w:pPr>
              <w:rPr>
                <w:sz w:val="22"/>
                <w:szCs w:val="22"/>
              </w:rPr>
            </w:pPr>
            <w:hyperlink r:id="rId20" w:history="1">
              <w:r w:rsidR="00315948" w:rsidRPr="00315948">
                <w:rPr>
                  <w:rStyle w:val="Hyperlink"/>
                  <w:color w:val="auto"/>
                  <w:sz w:val="22"/>
                  <w:szCs w:val="22"/>
                </w:rPr>
                <w:t>fbb0@cdc.gov</w:t>
              </w:r>
            </w:hyperlink>
          </w:p>
          <w:p w:rsidR="007024FD" w:rsidRPr="007024FD" w:rsidRDefault="007024FD" w:rsidP="0068422E">
            <w:pPr>
              <w:rPr>
                <w:sz w:val="22"/>
                <w:szCs w:val="22"/>
              </w:rPr>
            </w:pPr>
            <w:r w:rsidRPr="007024FD">
              <w:rPr>
                <w:sz w:val="22"/>
                <w:szCs w:val="22"/>
              </w:rPr>
              <w:t>202-245-0645</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Office of the Chief Operating Officer</w:t>
            </w:r>
          </w:p>
        </w:tc>
        <w:tc>
          <w:tcPr>
            <w:tcW w:w="2250" w:type="dxa"/>
            <w:vAlign w:val="center"/>
          </w:tcPr>
          <w:p w:rsidR="007024FD" w:rsidRPr="007024FD" w:rsidRDefault="007024FD" w:rsidP="0068422E">
            <w:pPr>
              <w:rPr>
                <w:sz w:val="22"/>
                <w:szCs w:val="22"/>
              </w:rPr>
            </w:pPr>
            <w:r w:rsidRPr="007024FD">
              <w:rPr>
                <w:sz w:val="22"/>
                <w:szCs w:val="22"/>
              </w:rPr>
              <w:t>Karen Morrione</w:t>
            </w:r>
          </w:p>
        </w:tc>
        <w:tc>
          <w:tcPr>
            <w:tcW w:w="2538" w:type="dxa"/>
            <w:vAlign w:val="center"/>
          </w:tcPr>
          <w:p w:rsidR="007024FD" w:rsidRPr="007024FD" w:rsidRDefault="00044D80" w:rsidP="0068422E">
            <w:pPr>
              <w:rPr>
                <w:sz w:val="22"/>
                <w:szCs w:val="22"/>
              </w:rPr>
            </w:pPr>
            <w:hyperlink r:id="rId21" w:history="1">
              <w:r w:rsidR="007024FD" w:rsidRPr="007024FD">
                <w:rPr>
                  <w:rStyle w:val="Hyperlink"/>
                  <w:color w:val="auto"/>
                  <w:sz w:val="22"/>
                  <w:szCs w:val="22"/>
                </w:rPr>
                <w:t>ayi4@cdc.gov</w:t>
              </w:r>
            </w:hyperlink>
          </w:p>
          <w:p w:rsidR="007024FD" w:rsidRPr="007024FD" w:rsidRDefault="007024FD" w:rsidP="0068422E">
            <w:pPr>
              <w:rPr>
                <w:sz w:val="22"/>
                <w:szCs w:val="22"/>
              </w:rPr>
            </w:pPr>
            <w:r w:rsidRPr="007024FD">
              <w:rPr>
                <w:sz w:val="22"/>
                <w:szCs w:val="22"/>
              </w:rPr>
              <w:t>404-639-7526</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Office of Infectious Diseases (OID)</w:t>
            </w:r>
          </w:p>
        </w:tc>
        <w:tc>
          <w:tcPr>
            <w:tcW w:w="2250" w:type="dxa"/>
            <w:vAlign w:val="center"/>
          </w:tcPr>
          <w:p w:rsidR="007024FD" w:rsidRPr="007024FD" w:rsidRDefault="007024FD" w:rsidP="0068422E">
            <w:pPr>
              <w:rPr>
                <w:sz w:val="22"/>
                <w:szCs w:val="22"/>
              </w:rPr>
            </w:pPr>
            <w:r w:rsidRPr="007024FD">
              <w:rPr>
                <w:sz w:val="22"/>
                <w:szCs w:val="22"/>
              </w:rPr>
              <w:t>Robin Moseley</w:t>
            </w:r>
          </w:p>
        </w:tc>
        <w:tc>
          <w:tcPr>
            <w:tcW w:w="2538" w:type="dxa"/>
            <w:vAlign w:val="center"/>
          </w:tcPr>
          <w:p w:rsidR="007024FD" w:rsidRPr="007024FD" w:rsidRDefault="00044D80" w:rsidP="0068422E">
            <w:pPr>
              <w:rPr>
                <w:sz w:val="22"/>
                <w:szCs w:val="22"/>
              </w:rPr>
            </w:pPr>
            <w:hyperlink r:id="rId22" w:history="1">
              <w:r w:rsidR="007024FD" w:rsidRPr="007024FD">
                <w:rPr>
                  <w:rStyle w:val="Hyperlink"/>
                  <w:color w:val="auto"/>
                  <w:sz w:val="22"/>
                  <w:szCs w:val="22"/>
                </w:rPr>
                <w:t>rrm1@cdc.gov</w:t>
              </w:r>
            </w:hyperlink>
          </w:p>
          <w:p w:rsidR="007024FD" w:rsidRPr="007024FD" w:rsidRDefault="007024FD" w:rsidP="0068422E">
            <w:pPr>
              <w:rPr>
                <w:sz w:val="22"/>
                <w:szCs w:val="22"/>
              </w:rPr>
            </w:pPr>
            <w:r w:rsidRPr="007024FD">
              <w:rPr>
                <w:sz w:val="22"/>
                <w:szCs w:val="22"/>
              </w:rPr>
              <w:t>404-639-4461</w:t>
            </w:r>
          </w:p>
        </w:tc>
      </w:tr>
      <w:tr w:rsidR="007024FD" w:rsidRPr="007024FD" w:rsidTr="009431DF">
        <w:tc>
          <w:tcPr>
            <w:tcW w:w="4788" w:type="dxa"/>
          </w:tcPr>
          <w:p w:rsidR="007024FD" w:rsidRPr="007024FD" w:rsidRDefault="007024FD" w:rsidP="0068422E">
            <w:r w:rsidRPr="007024FD">
              <w:rPr>
                <w:szCs w:val="22"/>
              </w:rPr>
              <w:t>Office of Noncommunicable Diseases, Injury, and Environmental Health (ONDIEH)</w:t>
            </w:r>
          </w:p>
        </w:tc>
        <w:tc>
          <w:tcPr>
            <w:tcW w:w="2250" w:type="dxa"/>
          </w:tcPr>
          <w:p w:rsidR="007024FD" w:rsidRPr="007024FD" w:rsidRDefault="007024FD" w:rsidP="0068422E">
            <w:pPr>
              <w:rPr>
                <w:sz w:val="22"/>
                <w:szCs w:val="22"/>
              </w:rPr>
            </w:pPr>
            <w:r w:rsidRPr="007024FD">
              <w:rPr>
                <w:sz w:val="22"/>
                <w:szCs w:val="22"/>
              </w:rPr>
              <w:t>Sandra Bonzo</w:t>
            </w:r>
          </w:p>
        </w:tc>
        <w:tc>
          <w:tcPr>
            <w:tcW w:w="2538" w:type="dxa"/>
          </w:tcPr>
          <w:p w:rsidR="007024FD" w:rsidRPr="007024FD" w:rsidRDefault="00044D80" w:rsidP="0068422E">
            <w:pPr>
              <w:rPr>
                <w:sz w:val="22"/>
                <w:szCs w:val="22"/>
              </w:rPr>
            </w:pPr>
            <w:hyperlink r:id="rId23" w:history="1">
              <w:r w:rsidR="007024FD" w:rsidRPr="007024FD">
                <w:rPr>
                  <w:rStyle w:val="Hyperlink"/>
                  <w:color w:val="auto"/>
                  <w:sz w:val="22"/>
                  <w:szCs w:val="22"/>
                </w:rPr>
                <w:t>seb2@cdc.gov</w:t>
              </w:r>
            </w:hyperlink>
          </w:p>
          <w:p w:rsidR="007024FD" w:rsidRPr="007024FD" w:rsidRDefault="007024FD" w:rsidP="0068422E">
            <w:pPr>
              <w:rPr>
                <w:sz w:val="22"/>
                <w:szCs w:val="22"/>
              </w:rPr>
            </w:pPr>
            <w:r w:rsidRPr="007024FD">
              <w:rPr>
                <w:sz w:val="22"/>
                <w:szCs w:val="22"/>
              </w:rPr>
              <w:t>770-488-0523</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Office of Public Health Preparedness and Response (OPHPR)</w:t>
            </w:r>
          </w:p>
        </w:tc>
        <w:tc>
          <w:tcPr>
            <w:tcW w:w="2250" w:type="dxa"/>
            <w:vAlign w:val="center"/>
          </w:tcPr>
          <w:p w:rsidR="007024FD" w:rsidRPr="007024FD" w:rsidRDefault="007024FD" w:rsidP="0068422E">
            <w:pPr>
              <w:rPr>
                <w:sz w:val="22"/>
                <w:szCs w:val="22"/>
              </w:rPr>
            </w:pPr>
            <w:r w:rsidRPr="007024FD">
              <w:rPr>
                <w:sz w:val="22"/>
                <w:szCs w:val="22"/>
              </w:rPr>
              <w:t>David Daigle</w:t>
            </w:r>
          </w:p>
        </w:tc>
        <w:tc>
          <w:tcPr>
            <w:tcW w:w="2538" w:type="dxa"/>
            <w:vAlign w:val="center"/>
          </w:tcPr>
          <w:p w:rsidR="007024FD" w:rsidRPr="007024FD" w:rsidRDefault="00044D80" w:rsidP="0068422E">
            <w:pPr>
              <w:rPr>
                <w:sz w:val="22"/>
                <w:szCs w:val="22"/>
              </w:rPr>
            </w:pPr>
            <w:hyperlink r:id="rId24" w:history="1">
              <w:r w:rsidR="007024FD" w:rsidRPr="007024FD">
                <w:rPr>
                  <w:rStyle w:val="Hyperlink"/>
                  <w:color w:val="auto"/>
                  <w:sz w:val="22"/>
                  <w:szCs w:val="22"/>
                </w:rPr>
                <w:t>drd4@cdc.gov</w:t>
              </w:r>
            </w:hyperlink>
          </w:p>
          <w:p w:rsidR="007024FD" w:rsidRPr="007024FD" w:rsidRDefault="007024FD" w:rsidP="0068422E">
            <w:pPr>
              <w:rPr>
                <w:sz w:val="22"/>
                <w:szCs w:val="22"/>
              </w:rPr>
            </w:pPr>
            <w:r w:rsidRPr="007024FD">
              <w:rPr>
                <w:sz w:val="22"/>
                <w:szCs w:val="22"/>
              </w:rPr>
              <w:t>404-639-1143</w:t>
            </w:r>
          </w:p>
        </w:tc>
      </w:tr>
      <w:tr w:rsidR="007024FD" w:rsidRPr="007024FD" w:rsidTr="00F82070">
        <w:tc>
          <w:tcPr>
            <w:tcW w:w="4788" w:type="dxa"/>
            <w:vAlign w:val="center"/>
          </w:tcPr>
          <w:p w:rsidR="007024FD" w:rsidRPr="007024FD" w:rsidRDefault="007024FD" w:rsidP="0068422E">
            <w:pPr>
              <w:rPr>
                <w:sz w:val="22"/>
                <w:szCs w:val="22"/>
              </w:rPr>
            </w:pPr>
            <w:r w:rsidRPr="007024FD">
              <w:rPr>
                <w:sz w:val="22"/>
                <w:szCs w:val="22"/>
              </w:rPr>
              <w:t>Office for State, Tribal, Local, and Territorial Support (OSTLTS)</w:t>
            </w:r>
          </w:p>
        </w:tc>
        <w:tc>
          <w:tcPr>
            <w:tcW w:w="2250" w:type="dxa"/>
            <w:vAlign w:val="center"/>
          </w:tcPr>
          <w:p w:rsidR="007024FD" w:rsidRPr="007024FD" w:rsidRDefault="007024FD" w:rsidP="0068422E">
            <w:pPr>
              <w:rPr>
                <w:sz w:val="22"/>
                <w:szCs w:val="22"/>
              </w:rPr>
            </w:pPr>
            <w:r w:rsidRPr="007024FD">
              <w:rPr>
                <w:sz w:val="22"/>
                <w:szCs w:val="22"/>
              </w:rPr>
              <w:t>Dagn Olivares</w:t>
            </w:r>
          </w:p>
        </w:tc>
        <w:tc>
          <w:tcPr>
            <w:tcW w:w="2538" w:type="dxa"/>
            <w:vAlign w:val="center"/>
          </w:tcPr>
          <w:p w:rsidR="007024FD" w:rsidRPr="007024FD" w:rsidRDefault="00044D80" w:rsidP="0068422E">
            <w:pPr>
              <w:rPr>
                <w:sz w:val="22"/>
                <w:szCs w:val="22"/>
              </w:rPr>
            </w:pPr>
            <w:hyperlink r:id="rId25" w:history="1">
              <w:r w:rsidR="007024FD" w:rsidRPr="007024FD">
                <w:rPr>
                  <w:rStyle w:val="Hyperlink"/>
                  <w:color w:val="auto"/>
                  <w:sz w:val="22"/>
                  <w:szCs w:val="22"/>
                </w:rPr>
                <w:t>dvp2@cdc.gov</w:t>
              </w:r>
            </w:hyperlink>
          </w:p>
          <w:p w:rsidR="007024FD" w:rsidRPr="007024FD" w:rsidRDefault="007024FD" w:rsidP="0068422E">
            <w:pPr>
              <w:rPr>
                <w:sz w:val="22"/>
                <w:szCs w:val="22"/>
              </w:rPr>
            </w:pPr>
            <w:r w:rsidRPr="007024FD">
              <w:rPr>
                <w:sz w:val="22"/>
                <w:szCs w:val="22"/>
              </w:rPr>
              <w:t>404-639-3180</w:t>
            </w:r>
          </w:p>
        </w:tc>
      </w:tr>
    </w:tbl>
    <w:p w:rsidR="0062072B" w:rsidRPr="007024FD" w:rsidRDefault="0062072B" w:rsidP="0068422E">
      <w:pPr>
        <w:pStyle w:val="BodyText3"/>
        <w:pBdr>
          <w:left w:val="single" w:sz="6" w:space="9" w:color="FFFFFF"/>
        </w:pBdr>
        <w:rPr>
          <w:szCs w:val="22"/>
        </w:rPr>
      </w:pPr>
    </w:p>
    <w:p w:rsidR="0062072B" w:rsidRPr="007024FD" w:rsidRDefault="0062072B" w:rsidP="0068422E">
      <w:pPr>
        <w:pStyle w:val="BodyText3"/>
        <w:pBdr>
          <w:left w:val="single" w:sz="6" w:space="9" w:color="FFFFFF"/>
        </w:pBdr>
        <w:rPr>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t>
      </w:r>
      <w:r w:rsidR="00D4233F">
        <w:rPr>
          <w:rFonts w:ascii="Times New Roman" w:hAnsi="Times New Roman"/>
          <w:sz w:val="22"/>
          <w:szCs w:val="22"/>
        </w:rPr>
        <w:t>may</w:t>
      </w:r>
      <w:r w:rsidRPr="002D5826">
        <w:rPr>
          <w:rFonts w:ascii="Times New Roman" w:hAnsi="Times New Roman"/>
          <w:sz w:val="22"/>
          <w:szCs w:val="22"/>
        </w:rPr>
        <w:t xml:space="preserve"> receive</w:t>
      </w:r>
      <w:r w:rsidR="00D4233F">
        <w:rPr>
          <w:rFonts w:ascii="Times New Roman" w:hAnsi="Times New Roman"/>
          <w:sz w:val="22"/>
          <w:szCs w:val="22"/>
        </w:rPr>
        <w:t xml:space="preserve">, if warranted and justified, </w:t>
      </w:r>
      <w:r w:rsidRPr="002D5826">
        <w:rPr>
          <w:rFonts w:ascii="Times New Roman" w:hAnsi="Times New Roman"/>
          <w:sz w:val="22"/>
          <w:szCs w:val="22"/>
        </w:rPr>
        <w:t>$</w:t>
      </w:r>
      <w:r w:rsidR="00D4233F">
        <w:rPr>
          <w:rFonts w:ascii="Times New Roman" w:hAnsi="Times New Roman"/>
          <w:sz w:val="22"/>
          <w:szCs w:val="22"/>
        </w:rPr>
        <w:t>0</w:t>
      </w:r>
      <w:r w:rsidRPr="002D5826">
        <w:rPr>
          <w:rFonts w:ascii="Times New Roman" w:hAnsi="Times New Roman"/>
          <w:sz w:val="22"/>
          <w:szCs w:val="22"/>
        </w:rPr>
        <w:t xml:space="preserve">-$75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w:t>
      </w:r>
    </w:p>
    <w:p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lastRenderedPageBreak/>
        <w:t xml:space="preserve">to improve response rates and maintain membership. Study-for-study, incentives are in line with the others that will be offered under the HMTS. </w:t>
      </w:r>
      <w:r w:rsidR="00A94E7E">
        <w:rPr>
          <w:rFonts w:ascii="Times New Roman" w:hAnsi="Times New Roman"/>
          <w:sz w:val="22"/>
          <w:szCs w:val="22"/>
        </w:rPr>
        <w:t xml:space="preserve"> However, the default for the government is not to offer incentives for interviews and surveys.</w:t>
      </w:r>
    </w:p>
    <w:p w:rsidR="00A14095" w:rsidRDefault="00A1409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RDefault="0062072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0C48B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Doryn </w:t>
      </w:r>
      <w:r w:rsidR="004B4393" w:rsidRPr="004B4393">
        <w:rPr>
          <w:sz w:val="22"/>
          <w:szCs w:val="22"/>
        </w:rPr>
        <w:t>C</w:t>
      </w:r>
      <w:r w:rsidR="004253D8">
        <w:rPr>
          <w:sz w:val="22"/>
          <w:szCs w:val="22"/>
        </w:rPr>
        <w:t xml:space="preserve">hervin, Ph.D., [(404) 321-3211] </w:t>
      </w:r>
      <w:r w:rsidR="004B4393" w:rsidRPr="004B4393">
        <w:rPr>
          <w:sz w:val="22"/>
          <w:szCs w:val="22"/>
        </w:rPr>
        <w:t xml:space="preserve">a spokesperson from </w:t>
      </w:r>
      <w:r w:rsidR="004B4393" w:rsidRPr="00E011A8">
        <w:rPr>
          <w:sz w:val="22"/>
          <w:szCs w:val="22"/>
        </w:rPr>
        <w:t>Macro International, Inc.</w:t>
      </w:r>
      <w:r w:rsidR="00E011A8">
        <w:rPr>
          <w:sz w:val="22"/>
          <w:szCs w:val="22"/>
        </w:rPr>
        <w:t xml:space="preserve"> (ICF Macro)</w:t>
      </w:r>
      <w:r w:rsidR="004B4393" w:rsidRPr="00E011A8">
        <w:rPr>
          <w:sz w:val="22"/>
          <w:szCs w:val="22"/>
        </w:rPr>
        <w:t>,</w:t>
      </w:r>
      <w:r w:rsidR="004B4393"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4393" w:rsidRDefault="004B4393" w:rsidP="0068422E">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720"/>
          <w:tab w:val="left" w:pos="-90"/>
          <w:tab w:val="left" w:pos="0"/>
          <w:tab w:val="left" w:pos="1080"/>
        </w:tabs>
        <w:ind w:left="0"/>
      </w:pPr>
      <w:r w:rsidRPr="002D5826">
        <w:t>Background on the Use of Response Incentives</w:t>
      </w: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sidRPr="002D5826">
        <w:rPr>
          <w:rStyle w:val="FootnoteReference"/>
          <w:rFonts w:ascii="Times New Roman" w:hAnsi="Times New Roman"/>
          <w:sz w:val="22"/>
          <w:szCs w:val="22"/>
          <w:vertAlign w:val="superscript"/>
        </w:rPr>
        <w:footnoteReference w:id="9"/>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RDefault="0062072B"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p>
    <w:p w:rsidR="004B4393" w:rsidRPr="002D5826" w:rsidRDefault="004B4393" w:rsidP="0068422E">
      <w:pPr>
        <w:tabs>
          <w:tab w:val="left" w:pos="90"/>
        </w:tabs>
        <w:rPr>
          <w:b/>
          <w:i/>
          <w:sz w:val="22"/>
          <w:szCs w:val="22"/>
        </w:rPr>
      </w:pPr>
      <w:r w:rsidRPr="002D5826">
        <w:rPr>
          <w:b/>
          <w:i/>
          <w:sz w:val="22"/>
          <w:szCs w:val="22"/>
        </w:rPr>
        <w:t>Level of Incentive Payment</w:t>
      </w:r>
    </w:p>
    <w:p w:rsidR="004B4393" w:rsidRPr="00C22338" w:rsidRDefault="004B4393" w:rsidP="0068422E">
      <w:pPr>
        <w:tabs>
          <w:tab w:val="left" w:pos="90"/>
        </w:tabs>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Schaible</w:t>
      </w:r>
      <w:r w:rsidRPr="00C22338">
        <w:rPr>
          <w:rStyle w:val="FootnoteReference"/>
          <w:rFonts w:ascii="Times New Roman" w:hAnsi="Times New Roman"/>
          <w:sz w:val="22"/>
          <w:szCs w:val="22"/>
          <w:vertAlign w:val="superscript"/>
        </w:rPr>
        <w:footnoteReference w:id="10"/>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2"/>
          <w:szCs w:val="22"/>
        </w:rPr>
      </w:pP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sidRPr="002D5826">
        <w:rPr>
          <w:rStyle w:val="FootnoteReference"/>
          <w:rFonts w:ascii="Times New Roman" w:hAnsi="Times New Roman"/>
          <w:sz w:val="22"/>
          <w:szCs w:val="22"/>
          <w:vertAlign w:val="superscript"/>
        </w:rPr>
        <w:footnoteReference w:id="11"/>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w:t>
      </w:r>
      <w:r w:rsidRPr="002D5826">
        <w:rPr>
          <w:rFonts w:ascii="Times New Roman" w:hAnsi="Times New Roman"/>
          <w:sz w:val="22"/>
          <w:szCs w:val="22"/>
        </w:rPr>
        <w:lastRenderedPageBreak/>
        <w:t xml:space="preserve">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sidRPr="002D5826">
        <w:rPr>
          <w:rStyle w:val="FootnoteReference"/>
          <w:rFonts w:ascii="Times New Roman" w:hAnsi="Times New Roman"/>
          <w:sz w:val="22"/>
          <w:szCs w:val="22"/>
          <w:vertAlign w:val="superscript"/>
        </w:rPr>
        <w:footnoteReference w:id="12"/>
      </w:r>
      <w:r w:rsidRPr="002D5826">
        <w:rPr>
          <w:rFonts w:ascii="Times New Roman" w:hAnsi="Times New Roman"/>
          <w:sz w:val="22"/>
          <w:szCs w:val="22"/>
        </w:rPr>
        <w:t xml:space="preserve">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Times New Roman" w:hAnsi="Times New Roman"/>
          <w:b/>
          <w:i/>
          <w:sz w:val="22"/>
          <w:szCs w:val="22"/>
        </w:rPr>
      </w:pPr>
      <w:r w:rsidRPr="002D5826">
        <w:rPr>
          <w:rFonts w:ascii="Times New Roman" w:hAnsi="Times New Roman"/>
          <w:b/>
          <w:i/>
          <w:sz w:val="22"/>
          <w:szCs w:val="22"/>
        </w:rPr>
        <w:t xml:space="preserve">Reduced Bias </w:t>
      </w:r>
    </w:p>
    <w:p w:rsidR="004B4393" w:rsidRPr="002D5826" w:rsidRDefault="004B4393" w:rsidP="0068422E">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w:t>
      </w:r>
      <w:r w:rsidRPr="00956F97">
        <w:rPr>
          <w:rFonts w:ascii="Times New Roman" w:hAnsi="Times New Roman"/>
          <w:sz w:val="22"/>
          <w:szCs w:val="22"/>
        </w:rPr>
        <w:t xml:space="preserve">procedures </w:t>
      </w:r>
      <w:r>
        <w:rPr>
          <w:rFonts w:ascii="Times New Roman" w:hAnsi="Times New Roman"/>
          <w:sz w:val="22"/>
          <w:szCs w:val="22"/>
        </w:rPr>
        <w:t xml:space="preserve">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956F97">
        <w:rPr>
          <w:rFonts w:ascii="Times New Roman" w:hAnsi="Times New Roman"/>
          <w:b/>
          <w:sz w:val="22"/>
          <w:szCs w:val="22"/>
        </w:rPr>
        <w:t>A.10.1</w:t>
      </w:r>
      <w:r>
        <w:rPr>
          <w:rFonts w:ascii="Times New Roman" w:hAnsi="Times New Roman"/>
          <w:b/>
          <w:sz w:val="22"/>
          <w:szCs w:val="22"/>
        </w:rPr>
        <w:tab/>
        <w:t>Privacy Impact Assessment Information</w:t>
      </w:r>
    </w:p>
    <w:p w:rsidR="00D20F65" w:rsidRDefault="00D20F6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D20F65" w:rsidRDefault="00D20F6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sidR="00F276B2">
        <w:rPr>
          <w:rFonts w:ascii="Times New Roman" w:hAnsi="Times New Roman"/>
          <w:sz w:val="22"/>
          <w:szCs w:val="22"/>
        </w:rPr>
        <w:t>.</w:t>
      </w:r>
    </w:p>
    <w:p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C513B">
        <w:rPr>
          <w:rFonts w:ascii="Times New Roman" w:hAnsi="Times New Roman"/>
          <w:sz w:val="22"/>
          <w:szCs w:val="22"/>
        </w:rPr>
        <w:t>All data provided by respondents will be treated in a secure manner and will not be disclosed, unless otherwise compelled by law.</w:t>
      </w:r>
      <w:r w:rsidRPr="002D5826">
        <w:rPr>
          <w:rFonts w:ascii="Times New Roman" w:hAnsi="Times New Roman"/>
          <w:sz w:val="22"/>
          <w:szCs w:val="22"/>
        </w:rPr>
        <w:t xml:space="preserve"> Respondents will be informed prior to participation that their responses will be treated in a </w:t>
      </w:r>
      <w:r>
        <w:rPr>
          <w:rFonts w:ascii="Times New Roman" w:hAnsi="Times New Roman"/>
          <w:sz w:val="22"/>
          <w:szCs w:val="22"/>
        </w:rPr>
        <w:t xml:space="preserve">secure </w:t>
      </w:r>
      <w:r w:rsidRPr="002D5826">
        <w:rPr>
          <w:rFonts w:ascii="Times New Roman" w:hAnsi="Times New Roman"/>
          <w:sz w:val="22"/>
          <w:szCs w:val="22"/>
        </w:rPr>
        <w:t>manner.</w:t>
      </w:r>
    </w:p>
    <w:p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u w:val="single"/>
        </w:rPr>
        <w:t>Overview of the Data Collection System</w:t>
      </w:r>
    </w:p>
    <w:p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D1017" w:rsidRPr="00574EBF"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An overview of the data collection system and methods of collection may vary with each GenIC</w:t>
      </w:r>
      <w:r w:rsidRPr="00574EBF">
        <w:rPr>
          <w:sz w:val="22"/>
          <w:szCs w:val="22"/>
        </w:rPr>
        <w:t>.  The approved template includes a section to identify the audience and methods for each data collection.  (Attachment 3)</w:t>
      </w:r>
    </w:p>
    <w:p w:rsidR="009D1017" w:rsidRPr="00574EBF"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w:t>
      </w:r>
      <w:r w:rsidR="0083777B">
        <w:rPr>
          <w:rFonts w:ascii="Times New Roman" w:hAnsi="Times New Roman"/>
          <w:sz w:val="22"/>
          <w:szCs w:val="22"/>
        </w:rPr>
        <w:t>any</w:t>
      </w:r>
      <w:r>
        <w:rPr>
          <w:rFonts w:ascii="Times New Roman" w:hAnsi="Times New Roman"/>
          <w:sz w:val="22"/>
          <w:szCs w:val="22"/>
        </w:rPr>
        <w:t xml:space="preserve">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lastRenderedPageBreak/>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Danya,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Westat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Danya,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r w:rsidRPr="002D5826">
        <w:rPr>
          <w:rFonts w:ascii="Times New Roman" w:hAnsi="Times New Roman"/>
          <w:sz w:val="22"/>
          <w:szCs w:val="22"/>
        </w:rPr>
        <w:t>Westat</w:t>
      </w:r>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000E7C7D" w:rsidRPr="00AC513B">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000E7C7D" w:rsidRPr="00AC513B">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000E7C7D" w:rsidRPr="00AC513B">
        <w:rPr>
          <w:rFonts w:ascii="Times New Roman" w:hAnsi="Times New Roman"/>
          <w:sz w:val="22"/>
          <w:szCs w:val="22"/>
        </w:rPr>
        <w:t xml:space="preserve"> OMB control number 0920-0572</w:t>
      </w:r>
      <w:r w:rsidR="00A14095">
        <w:rPr>
          <w:rFonts w:ascii="Times New Roman" w:hAnsi="Times New Roman"/>
          <w:sz w:val="22"/>
          <w:szCs w:val="22"/>
        </w:rPr>
        <w:t>,</w:t>
      </w:r>
      <w:r w:rsidR="000E7C7D" w:rsidRPr="00AC513B">
        <w:rPr>
          <w:rFonts w:ascii="Times New Roman" w:hAnsi="Times New Roman"/>
          <w:sz w:val="22"/>
          <w:szCs w:val="22"/>
        </w:rPr>
        <w:t xml:space="preserve"> are not research and, therefore, do not require IRB review.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574EBF"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w:t>
      </w:r>
      <w:r w:rsidRPr="00574EBF">
        <w:rPr>
          <w:rFonts w:ascii="Times New Roman" w:hAnsi="Times New Roman"/>
          <w:sz w:val="22"/>
          <w:szCs w:val="22"/>
        </w:rPr>
        <w:t xml:space="preserve">(see </w:t>
      </w:r>
      <w:r w:rsidRPr="00574EBF">
        <w:rPr>
          <w:rFonts w:ascii="Times New Roman" w:hAnsi="Times New Roman"/>
          <w:i/>
          <w:sz w:val="22"/>
          <w:szCs w:val="22"/>
        </w:rPr>
        <w:t>Attachment 11</w:t>
      </w:r>
      <w:r w:rsidRPr="00574EBF">
        <w:rPr>
          <w:rFonts w:ascii="Times New Roman" w:hAnsi="Times New Roman"/>
          <w:b/>
          <w:i/>
          <w:sz w:val="22"/>
          <w:szCs w:val="22"/>
        </w:rPr>
        <w:t xml:space="preserve"> </w:t>
      </w:r>
      <w:r w:rsidRPr="00574EBF">
        <w:rPr>
          <w:rFonts w:ascii="Times New Roman" w:hAnsi="Times New Roman"/>
          <w:sz w:val="22"/>
          <w:szCs w:val="22"/>
        </w:rPr>
        <w:t xml:space="preserve">for the judgment from </w:t>
      </w:r>
      <w:r w:rsidR="0083777B" w:rsidRPr="00574EBF">
        <w:rPr>
          <w:rFonts w:ascii="Times New Roman" w:hAnsi="Times New Roman"/>
          <w:sz w:val="22"/>
          <w:szCs w:val="22"/>
        </w:rPr>
        <w:t>OADC</w:t>
      </w:r>
      <w:r w:rsidR="00FF04E6" w:rsidRPr="00574EBF">
        <w:rPr>
          <w:rFonts w:ascii="Times New Roman" w:hAnsi="Times New Roman"/>
          <w:sz w:val="22"/>
          <w:szCs w:val="22"/>
        </w:rPr>
        <w:t xml:space="preserve"> </w:t>
      </w:r>
      <w:r w:rsidRPr="00574EBF">
        <w:rPr>
          <w:rFonts w:ascii="Times New Roman" w:hAnsi="Times New Roman"/>
          <w:sz w:val="22"/>
          <w:szCs w:val="22"/>
        </w:rPr>
        <w:t>Associate Director for</w:t>
      </w:r>
      <w:r w:rsidR="0083777B" w:rsidRPr="00574EBF">
        <w:rPr>
          <w:rFonts w:ascii="Times New Roman" w:hAnsi="Times New Roman"/>
          <w:sz w:val="22"/>
          <w:szCs w:val="22"/>
        </w:rPr>
        <w:t xml:space="preserve"> Communication</w:t>
      </w:r>
      <w:r w:rsidRPr="00574EBF">
        <w:rPr>
          <w:rFonts w:ascii="Times New Roman" w:hAnsi="Times New Roman"/>
          <w:sz w:val="22"/>
          <w:szCs w:val="22"/>
        </w:rPr>
        <w:t xml:space="preserve"> Science).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by touch-screen technology, email, or by coding paper records) will be handled as described in the section </w:t>
      </w:r>
    </w:p>
    <w:p w:rsidR="004B4393" w:rsidRPr="00937787"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0062072B" w:rsidRPr="00AC513B">
        <w:rPr>
          <w:rFonts w:ascii="Times New Roman" w:hAnsi="Times New Roman"/>
          <w:sz w:val="22"/>
          <w:szCs w:val="22"/>
        </w:rPr>
        <w:t>not include identifiable information on respondents.</w:t>
      </w:r>
      <w:r w:rsidR="0062072B" w:rsidRPr="00937787">
        <w:rPr>
          <w:rFonts w:ascii="Times New Roman" w:hAnsi="Times New Roman"/>
          <w:color w:val="FF0000"/>
          <w:sz w:val="22"/>
          <w:szCs w:val="22"/>
        </w:rPr>
        <w:t xml:space="preserve"> </w:t>
      </w:r>
    </w:p>
    <w:p w:rsidR="0062072B" w:rsidRDefault="0062072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 xml:space="preserve">Telephone Interviews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w:t>
      </w:r>
      <w:r w:rsidR="00F276B2">
        <w:rPr>
          <w:rFonts w:ascii="Times New Roman" w:hAnsi="Times New Roman"/>
          <w:sz w:val="22"/>
          <w:szCs w:val="22"/>
        </w:rPr>
        <w:t>secure</w:t>
      </w:r>
      <w:r w:rsidRPr="002D5826">
        <w:rPr>
          <w:rFonts w:ascii="Times New Roman" w:hAnsi="Times New Roman"/>
          <w:sz w:val="22"/>
          <w:szCs w:val="22"/>
        </w:rPr>
        <w:t xml:space="preserve">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004B4393" w:rsidRPr="002D5826" w:rsidRDefault="004B4393" w:rsidP="0068422E">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b w:val="0"/>
          <w:i w:val="0"/>
          <w:sz w:val="22"/>
          <w:szCs w:val="22"/>
          <w:u w:val="single"/>
        </w:rPr>
      </w:pPr>
    </w:p>
    <w:p w:rsidR="004B4393" w:rsidRDefault="004B4393" w:rsidP="0068422E">
      <w:pPr>
        <w:widowControl/>
        <w:tabs>
          <w:tab w:val="left" w:pos="-720"/>
        </w:tabs>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 xml:space="preserve">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w:t>
      </w:r>
      <w:r w:rsidRPr="002D5826">
        <w:rPr>
          <w:rFonts w:ascii="Times New Roman" w:hAnsi="Times New Roman"/>
          <w:sz w:val="22"/>
          <w:szCs w:val="22"/>
        </w:rPr>
        <w:lastRenderedPageBreak/>
        <w:t>of confidentiality, particularly as it relates to handling requests for information from respondents, and in providing assurance to respondents about the protection of their responses.</w:t>
      </w:r>
    </w:p>
    <w:p w:rsidR="009738D2" w:rsidRPr="002D5826" w:rsidRDefault="009738D2" w:rsidP="0068422E">
      <w:pPr>
        <w:widowControl/>
        <w:tabs>
          <w:tab w:val="left" w:pos="-720"/>
        </w:tabs>
        <w:rPr>
          <w:rFonts w:ascii="Times New Roman" w:hAnsi="Times New Roman"/>
          <w:sz w:val="22"/>
          <w:szCs w:val="22"/>
        </w:rPr>
      </w:pPr>
    </w:p>
    <w:p w:rsidR="004B4393" w:rsidRPr="002D5826" w:rsidRDefault="008F3126" w:rsidP="0068422E">
      <w:pPr>
        <w:widowControl/>
        <w:tabs>
          <w:tab w:val="left" w:pos="-720"/>
        </w:tabs>
        <w:rPr>
          <w:rFonts w:ascii="Times New Roman" w:hAnsi="Times New Roman"/>
          <w:sz w:val="22"/>
          <w:szCs w:val="22"/>
        </w:rPr>
      </w:pPr>
      <w:r w:rsidRPr="002D5826">
        <w:rPr>
          <w:rFonts w:ascii="Times New Roman" w:hAnsi="Times New Roman"/>
          <w:sz w:val="22"/>
          <w:szCs w:val="22"/>
        </w:rPr>
        <w:fldChar w:fldCharType="begin"/>
      </w:r>
      <w:r w:rsidR="004B4393"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004B4393"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004B4393"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004B4393" w:rsidRPr="002D5826">
        <w:rPr>
          <w:rFonts w:ascii="Times New Roman" w:hAnsi="Times New Roman"/>
          <w:sz w:val="22"/>
          <w:szCs w:val="22"/>
        </w:rPr>
        <w:t>mail address of the sender.  These surveys will be forwarded to other staff for data analysis.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Justification for Sensitive </w:t>
      </w:r>
      <w:r w:rsidRPr="002D5826">
        <w:rPr>
          <w:rFonts w:ascii="Times New Roman" w:hAnsi="Times New Roman"/>
          <w:b/>
          <w:sz w:val="22"/>
          <w:szCs w:val="22"/>
        </w:rPr>
        <w:t xml:space="preserve">Questions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RDefault="00383A88"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000E7C7D" w:rsidRPr="00AC513B">
        <w:rPr>
          <w:rFonts w:ascii="Times New Roman" w:hAnsi="Times New Roman"/>
          <w:sz w:val="22"/>
          <w:szCs w:val="22"/>
        </w:rPr>
        <w:t xml:space="preserve">all data provided by respondents will be treated in a secure manner and will not be disclosed, unless otherwise compelled by law. </w:t>
      </w:r>
    </w:p>
    <w:p w:rsidR="000E7C7D" w:rsidRPr="000E7C7D" w:rsidRDefault="000E7C7D"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00A11036" w:rsidRPr="002D5826" w:rsidRDefault="00A11036" w:rsidP="0068422E">
      <w:pPr>
        <w:tabs>
          <w:tab w:val="left" w:pos="0"/>
          <w:tab w:val="left" w:pos="720"/>
        </w:tabs>
        <w:ind w:left="1080"/>
        <w:outlineLvl w:val="1"/>
        <w:rPr>
          <w:rFonts w:ascii="Times New Roman" w:hAnsi="Times New Roman"/>
          <w:sz w:val="22"/>
          <w:szCs w:val="22"/>
        </w:rPr>
      </w:pPr>
    </w:p>
    <w:p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rsidR="003016DA" w:rsidRPr="002D5826" w:rsidRDefault="003016DA" w:rsidP="0068422E">
      <w:pPr>
        <w:tabs>
          <w:tab w:val="left" w:pos="0"/>
          <w:tab w:val="left" w:pos="720"/>
        </w:tabs>
        <w:ind w:left="1080"/>
        <w:outlineLvl w:val="1"/>
        <w:rPr>
          <w:rFonts w:ascii="Times New Roman" w:hAnsi="Times New Roman"/>
          <w:sz w:val="22"/>
          <w:szCs w:val="22"/>
        </w:rPr>
      </w:pPr>
    </w:p>
    <w:p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rsidR="005828BC" w:rsidRPr="002D5826" w:rsidRDefault="005828BC" w:rsidP="0068422E">
      <w:pPr>
        <w:tabs>
          <w:tab w:val="left" w:pos="0"/>
          <w:tab w:val="left" w:pos="720"/>
        </w:tabs>
        <w:outlineLvl w:val="1"/>
        <w:rPr>
          <w:rFonts w:ascii="Times New Roman" w:hAnsi="Times New Roman"/>
          <w:sz w:val="22"/>
          <w:szCs w:val="22"/>
        </w:rPr>
      </w:pPr>
    </w:p>
    <w:p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4253D8" w:rsidRPr="002D5826" w:rsidRDefault="004253D8" w:rsidP="0068422E">
      <w:pPr>
        <w:tabs>
          <w:tab w:val="left" w:pos="0"/>
          <w:tab w:val="left" w:pos="720"/>
        </w:tabs>
        <w:ind w:left="1080"/>
        <w:outlineLvl w:val="1"/>
        <w:rPr>
          <w:rFonts w:ascii="Times New Roman" w:hAnsi="Times New Roman"/>
          <w:sz w:val="22"/>
          <w:szCs w:val="22"/>
        </w:rPr>
      </w:pPr>
    </w:p>
    <w:p w:rsidR="004B4393" w:rsidRPr="002D5826"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2"/>
          <w:szCs w:val="22"/>
        </w:rPr>
      </w:pPr>
    </w:p>
    <w:p w:rsidR="004B4393" w:rsidRPr="009C076E" w:rsidRDefault="004B4393" w:rsidP="0068422E">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 xml:space="preserve">Additionally, respondents can toggle between the survey and another web page to further protect their </w:t>
      </w:r>
      <w:r w:rsidR="00915B9A">
        <w:rPr>
          <w:sz w:val="22"/>
          <w:szCs w:val="22"/>
        </w:rPr>
        <w:t xml:space="preserve">privacy </w:t>
      </w:r>
      <w:r w:rsidRPr="009C076E">
        <w:rPr>
          <w:sz w:val="22"/>
          <w:szCs w:val="22"/>
        </w:rPr>
        <w:t>and change the view on the screen if a household member enters the room. Analyses of response timing have shown that respondents take advantage of the ability to respond to surveys at any hour.</w:t>
      </w:r>
    </w:p>
    <w:p w:rsidR="004B4393" w:rsidRPr="002D5826" w:rsidRDefault="004B4393" w:rsidP="0068422E">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pPr>
    </w:p>
    <w:p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lastRenderedPageBreak/>
        <w:t>A.12.</w:t>
      </w:r>
      <w:r>
        <w:rPr>
          <w:rFonts w:ascii="Times New Roman" w:hAnsi="Times New Roman"/>
          <w:b/>
          <w:sz w:val="22"/>
          <w:szCs w:val="22"/>
        </w:rPr>
        <w:t xml:space="preserve">       </w:t>
      </w:r>
      <w:r w:rsidRPr="002D5826">
        <w:rPr>
          <w:rFonts w:ascii="Times New Roman" w:hAnsi="Times New Roman"/>
          <w:b/>
          <w:sz w:val="22"/>
          <w:szCs w:val="22"/>
        </w:rPr>
        <w:t>Estimate</w:t>
      </w:r>
      <w:r>
        <w:rPr>
          <w:rFonts w:ascii="Times New Roman" w:hAnsi="Times New Roman"/>
          <w:b/>
          <w:sz w:val="22"/>
          <w:szCs w:val="22"/>
        </w:rPr>
        <w:t>d</w:t>
      </w:r>
      <w:r w:rsidRPr="002D5826">
        <w:rPr>
          <w:rFonts w:ascii="Times New Roman" w:hAnsi="Times New Roman"/>
          <w:b/>
          <w:sz w:val="22"/>
          <w:szCs w:val="22"/>
        </w:rPr>
        <w:t xml:space="preserve"> Annualized Burden Hours and Cost</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RDefault="00870F2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400"/>
        <w:gridCol w:w="1590"/>
        <w:gridCol w:w="1530"/>
        <w:gridCol w:w="1800"/>
        <w:gridCol w:w="1440"/>
      </w:tblGrid>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i/>
                <w:sz w:val="20"/>
              </w:rPr>
            </w:pPr>
          </w:p>
          <w:p w:rsidR="004B4393" w:rsidRDefault="004B4393" w:rsidP="0068422E">
            <w:pPr>
              <w:spacing w:after="58"/>
              <w:rPr>
                <w:rFonts w:ascii="Times New Roman" w:hAnsi="Times New Roman"/>
                <w:i/>
                <w:sz w:val="20"/>
              </w:rPr>
            </w:pPr>
          </w:p>
          <w:p w:rsidR="004B4393" w:rsidRPr="00C26A42" w:rsidRDefault="004B4393" w:rsidP="0068422E">
            <w:pPr>
              <w:spacing w:after="58"/>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i/>
                <w:sz w:val="20"/>
              </w:rPr>
            </w:pPr>
          </w:p>
          <w:p w:rsidR="004B4393" w:rsidRPr="00C26A42" w:rsidRDefault="004B4393" w:rsidP="0068422E">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i/>
                <w:sz w:val="20"/>
              </w:rPr>
            </w:pPr>
          </w:p>
          <w:p w:rsidR="004B4393" w:rsidRPr="00C26A42" w:rsidRDefault="004B4393" w:rsidP="0068422E">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i/>
                <w:sz w:val="20"/>
              </w:rPr>
            </w:pPr>
          </w:p>
          <w:p w:rsidR="004B4393" w:rsidRPr="00C26A42" w:rsidRDefault="004B4393" w:rsidP="0068422E">
            <w:pPr>
              <w:spacing w:after="58"/>
              <w:rPr>
                <w:rFonts w:ascii="Times New Roman" w:hAnsi="Times New Roman"/>
                <w:i/>
                <w:sz w:val="20"/>
              </w:rPr>
            </w:pPr>
            <w:r w:rsidRPr="00C26A42">
              <w:rPr>
                <w:rFonts w:ascii="Times New Roman" w:hAnsi="Times New Roman"/>
                <w:i/>
                <w:sz w:val="20"/>
              </w:rPr>
              <w:t>Average Burden Per Response</w:t>
            </w:r>
          </w:p>
          <w:p w:rsidR="004B4393" w:rsidRPr="00C26A42" w:rsidRDefault="004B4393" w:rsidP="0068422E">
            <w:pPr>
              <w:spacing w:after="58"/>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i/>
                <w:sz w:val="20"/>
              </w:rPr>
            </w:pPr>
          </w:p>
          <w:p w:rsidR="004B4393" w:rsidRPr="00C26A42" w:rsidRDefault="004B4393" w:rsidP="0068422E">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3F4049" w:rsidP="0068422E">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E95B8A" w:rsidP="0068422E">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E95B8A" w:rsidP="0068422E">
            <w:pPr>
              <w:spacing w:after="58"/>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E95B8A" w:rsidP="0068422E">
            <w:pPr>
              <w:spacing w:after="58"/>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rsidR="004B4393" w:rsidRPr="00F472DC" w:rsidRDefault="00E95B8A" w:rsidP="0068422E">
            <w:pPr>
              <w:rPr>
                <w:sz w:val="20"/>
              </w:rPr>
            </w:pPr>
            <w:r>
              <w:rPr>
                <w:sz w:val="20"/>
              </w:rPr>
              <w:t>2, 470</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4B4393" w:rsidP="0068422E">
            <w:pPr>
              <w:spacing w:after="58"/>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3F4049" w:rsidP="0068422E">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4B4393" w:rsidP="0068422E">
            <w:pPr>
              <w:spacing w:after="58"/>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4B4393" w:rsidP="0068422E">
            <w:pPr>
              <w:spacing w:after="58"/>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4B4393" w:rsidRPr="00924958" w:rsidRDefault="004B4393" w:rsidP="0068422E">
            <w:pPr>
              <w:rPr>
                <w:sz w:val="12"/>
                <w:szCs w:val="12"/>
              </w:rPr>
            </w:pPr>
          </w:p>
          <w:p w:rsidR="004B4393" w:rsidRPr="00924958" w:rsidRDefault="003347BB" w:rsidP="0068422E">
            <w:pPr>
              <w:rPr>
                <w:sz w:val="20"/>
              </w:rPr>
            </w:pPr>
            <w:r>
              <w:rPr>
                <w:sz w:val="20"/>
              </w:rPr>
              <w:t>2</w:t>
            </w:r>
            <w:r w:rsidR="004B4393">
              <w:rPr>
                <w:sz w:val="20"/>
              </w:rPr>
              <w:t>,</w:t>
            </w:r>
            <w:r>
              <w:rPr>
                <w:sz w:val="20"/>
              </w:rPr>
              <w:t>470</w:t>
            </w:r>
          </w:p>
        </w:tc>
      </w:tr>
    </w:tbl>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The total estimated annualized</w:t>
      </w:r>
      <w:r w:rsidR="00245AC3" w:rsidRPr="00F91B2A">
        <w:rPr>
          <w:rFonts w:ascii="Times New Roman" w:hAnsi="Times New Roman"/>
          <w:sz w:val="22"/>
          <w:szCs w:val="22"/>
        </w:rPr>
        <w:t xml:space="preserve"> </w:t>
      </w:r>
      <w:r w:rsidRPr="00F91B2A">
        <w:rPr>
          <w:rFonts w:ascii="Times New Roman" w:hAnsi="Times New Roman"/>
          <w:sz w:val="22"/>
          <w:szCs w:val="22"/>
        </w:rPr>
        <w:t xml:space="preserve">hourly burden anticipated for all data collection methods would be approximately </w:t>
      </w:r>
      <w:r w:rsidR="003347BB" w:rsidRPr="00F91B2A">
        <w:rPr>
          <w:rFonts w:ascii="Times New Roman" w:hAnsi="Times New Roman"/>
          <w:sz w:val="22"/>
          <w:szCs w:val="22"/>
        </w:rPr>
        <w:t>2,470</w:t>
      </w:r>
      <w:r w:rsidRPr="00F91B2A">
        <w:rPr>
          <w:rFonts w:ascii="Times New Roman" w:hAnsi="Times New Roman"/>
          <w:sz w:val="22"/>
          <w:szCs w:val="22"/>
        </w:rPr>
        <w:t xml:space="preserve"> hours.  A total of 7,</w:t>
      </w:r>
      <w:r w:rsidR="006E722D" w:rsidRPr="00F91B2A">
        <w:rPr>
          <w:rFonts w:ascii="Times New Roman" w:hAnsi="Times New Roman"/>
          <w:sz w:val="22"/>
          <w:szCs w:val="22"/>
        </w:rPr>
        <w:t>41</w:t>
      </w:r>
      <w:r w:rsidRPr="00F91B2A">
        <w:rPr>
          <w:rFonts w:ascii="Times New Roman" w:hAnsi="Times New Roman"/>
          <w:sz w:val="22"/>
          <w:szCs w:val="22"/>
        </w:rPr>
        <w:t>0 burden hours w</w:t>
      </w:r>
      <w:r w:rsidR="00574EBF">
        <w:rPr>
          <w:rFonts w:ascii="Times New Roman" w:hAnsi="Times New Roman"/>
          <w:sz w:val="22"/>
          <w:szCs w:val="22"/>
        </w:rPr>
        <w:t>as</w:t>
      </w:r>
      <w:r w:rsidRPr="00F91B2A">
        <w:rPr>
          <w:rFonts w:ascii="Times New Roman" w:hAnsi="Times New Roman"/>
          <w:sz w:val="22"/>
          <w:szCs w:val="22"/>
        </w:rPr>
        <w:t xml:space="preserve"> approved under the existing HMTS package covering a three-year period from </w:t>
      </w:r>
      <w:r w:rsidR="00F91B2A" w:rsidRPr="00F91B2A">
        <w:rPr>
          <w:rFonts w:ascii="Times New Roman" w:hAnsi="Times New Roman"/>
          <w:sz w:val="22"/>
          <w:szCs w:val="22"/>
        </w:rPr>
        <w:t xml:space="preserve">February 06, 2012 – February 28, 2015. </w:t>
      </w:r>
      <w:r w:rsidR="003347BB" w:rsidRPr="00F91B2A">
        <w:rPr>
          <w:rFonts w:ascii="Times New Roman" w:hAnsi="Times New Roman"/>
          <w:sz w:val="22"/>
          <w:szCs w:val="22"/>
        </w:rPr>
        <w:t>Based on our projections, we</w:t>
      </w:r>
      <w:r w:rsidRPr="00F91B2A">
        <w:rPr>
          <w:rFonts w:ascii="Times New Roman" w:hAnsi="Times New Roman"/>
          <w:sz w:val="22"/>
          <w:szCs w:val="22"/>
        </w:rPr>
        <w:t xml:space="preserve"> request </w:t>
      </w:r>
      <w:r w:rsidR="00712974" w:rsidRPr="00F91B2A">
        <w:rPr>
          <w:rFonts w:ascii="Times New Roman" w:hAnsi="Times New Roman"/>
          <w:sz w:val="22"/>
          <w:szCs w:val="22"/>
        </w:rPr>
        <w:t xml:space="preserve">7,410 </w:t>
      </w:r>
      <w:r w:rsidRPr="00F91B2A">
        <w:rPr>
          <w:rFonts w:ascii="Times New Roman" w:hAnsi="Times New Roman"/>
          <w:sz w:val="22"/>
          <w:szCs w:val="22"/>
        </w:rPr>
        <w:t xml:space="preserve">burden hours </w:t>
      </w:r>
      <w:r w:rsidR="003347BB" w:rsidRPr="00F91B2A">
        <w:rPr>
          <w:rFonts w:ascii="Times New Roman" w:hAnsi="Times New Roman"/>
          <w:sz w:val="22"/>
          <w:szCs w:val="22"/>
        </w:rPr>
        <w:t>for this revised</w:t>
      </w:r>
      <w:r w:rsidRPr="00F91B2A">
        <w:rPr>
          <w:rFonts w:ascii="Times New Roman" w:hAnsi="Times New Roman"/>
          <w:sz w:val="22"/>
          <w:szCs w:val="22"/>
        </w:rPr>
        <w:t xml:space="preserve"> HMTS package covering a three-year period</w:t>
      </w:r>
      <w:r w:rsidR="00712974" w:rsidRPr="00F91B2A">
        <w:rPr>
          <w:rFonts w:ascii="Times New Roman" w:hAnsi="Times New Roman"/>
          <w:sz w:val="22"/>
          <w:szCs w:val="22"/>
        </w:rPr>
        <w:t>.</w:t>
      </w:r>
      <w:r w:rsidRPr="00F91B2A">
        <w:rPr>
          <w:rFonts w:ascii="Times New Roman" w:hAnsi="Times New Roman"/>
          <w:sz w:val="22"/>
          <w:szCs w:val="22"/>
        </w:rPr>
        <w:t xml:space="preserve"> </w:t>
      </w:r>
    </w:p>
    <w:p w:rsidR="004B4393"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53D8"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 xml:space="preserve">Each National Center or </w:t>
      </w:r>
      <w:r w:rsidR="003347BB" w:rsidRPr="00F91B2A">
        <w:rPr>
          <w:rFonts w:ascii="Times New Roman" w:hAnsi="Times New Roman"/>
          <w:sz w:val="22"/>
          <w:szCs w:val="22"/>
        </w:rPr>
        <w:t xml:space="preserve">National Institute (see page </w:t>
      </w:r>
      <w:r w:rsidR="00152E4F" w:rsidRPr="00F91B2A">
        <w:rPr>
          <w:rFonts w:ascii="Times New Roman" w:hAnsi="Times New Roman"/>
          <w:sz w:val="22"/>
          <w:szCs w:val="22"/>
        </w:rPr>
        <w:t>8</w:t>
      </w:r>
      <w:r w:rsidR="003347BB" w:rsidRPr="00F91B2A">
        <w:rPr>
          <w:rFonts w:ascii="Times New Roman" w:hAnsi="Times New Roman"/>
          <w:sz w:val="22"/>
          <w:szCs w:val="22"/>
        </w:rPr>
        <w:t xml:space="preserve">) </w:t>
      </w:r>
      <w:r w:rsidRPr="00F91B2A">
        <w:rPr>
          <w:rFonts w:ascii="Times New Roman" w:hAnsi="Times New Roman"/>
          <w:sz w:val="22"/>
          <w:szCs w:val="22"/>
        </w:rPr>
        <w:t xml:space="preserve">specializes in a particular health area (e.g., chronic disease prevention, environmental health).  It is assumed that 10 of the </w:t>
      </w:r>
      <w:r w:rsidR="00152E4F" w:rsidRPr="00F91B2A">
        <w:rPr>
          <w:rFonts w:ascii="Times New Roman" w:hAnsi="Times New Roman"/>
          <w:sz w:val="22"/>
          <w:szCs w:val="22"/>
        </w:rPr>
        <w:t>2</w:t>
      </w:r>
      <w:r w:rsidRPr="00F91B2A">
        <w:rPr>
          <w:rFonts w:ascii="Times New Roman" w:hAnsi="Times New Roman"/>
          <w:sz w:val="22"/>
          <w:szCs w:val="22"/>
        </w:rPr>
        <w:t xml:space="preserve">1 would initiate two or three message-testing activities each over the course of a year.    </w:t>
      </w:r>
    </w:p>
    <w:p w:rsidR="00F91B2A" w:rsidRDefault="00F91B2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9120" w:type="dxa"/>
        <w:jc w:val="center"/>
        <w:tblInd w:w="122" w:type="dxa"/>
        <w:tblLayout w:type="fixed"/>
        <w:tblCellMar>
          <w:left w:w="122" w:type="dxa"/>
          <w:right w:w="122" w:type="dxa"/>
        </w:tblCellMar>
        <w:tblLook w:val="0000" w:firstRow="0" w:lastRow="0" w:firstColumn="0" w:lastColumn="0" w:noHBand="0" w:noVBand="0"/>
      </w:tblPr>
      <w:tblGrid>
        <w:gridCol w:w="2280"/>
        <w:gridCol w:w="1320"/>
        <w:gridCol w:w="1320"/>
        <w:gridCol w:w="1200"/>
        <w:gridCol w:w="840"/>
        <w:gridCol w:w="840"/>
        <w:gridCol w:w="1320"/>
      </w:tblGrid>
      <w:tr w:rsidR="004B4393" w:rsidRPr="008B1849" w:rsidTr="00AC513B">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68422E">
            <w:pPr>
              <w:spacing w:line="19" w:lineRule="exact"/>
              <w:rPr>
                <w:rFonts w:ascii="Times New Roman" w:hAnsi="Times New Roman"/>
                <w:i/>
                <w:sz w:val="20"/>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Data</w:t>
            </w: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68422E">
            <w:pPr>
              <w:spacing w:line="19" w:lineRule="exact"/>
              <w:rPr>
                <w:rFonts w:ascii="Times New Roman" w:hAnsi="Times New Roman"/>
                <w:i/>
                <w:sz w:val="20"/>
              </w:rPr>
            </w:pP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C26A42" w:rsidRDefault="004B4393" w:rsidP="0068422E">
            <w:pPr>
              <w:spacing w:line="120" w:lineRule="exact"/>
              <w:rPr>
                <w:rFonts w:ascii="Times New Roman" w:hAnsi="Times New Roman"/>
                <w:i/>
                <w:sz w:val="20"/>
              </w:rPr>
            </w:pPr>
          </w:p>
          <w:p w:rsidR="0086551F" w:rsidRDefault="0086551F" w:rsidP="0068422E">
            <w:pPr>
              <w:spacing w:after="58"/>
              <w:rPr>
                <w:rFonts w:ascii="Times New Roman" w:hAnsi="Times New Roman"/>
                <w:i/>
                <w:sz w:val="20"/>
              </w:rPr>
            </w:pPr>
            <w:r>
              <w:rPr>
                <w:rFonts w:ascii="Times New Roman" w:hAnsi="Times New Roman"/>
                <w:i/>
                <w:sz w:val="20"/>
              </w:rPr>
              <w:t>No. Responses per</w:t>
            </w:r>
          </w:p>
          <w:p w:rsidR="004B4393" w:rsidRPr="00C26A42" w:rsidRDefault="004B4393" w:rsidP="0068422E">
            <w:pPr>
              <w:spacing w:after="58"/>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68422E">
            <w:pPr>
              <w:spacing w:line="19" w:lineRule="exact"/>
              <w:rPr>
                <w:rFonts w:ascii="Times New Roman" w:hAnsi="Times New Roman"/>
                <w:i/>
                <w:sz w:val="20"/>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Average</w:t>
            </w: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68422E">
            <w:pPr>
              <w:spacing w:line="19" w:lineRule="exact"/>
              <w:rPr>
                <w:rFonts w:ascii="Times New Roman" w:hAnsi="Times New Roman"/>
                <w:i/>
                <w:sz w:val="20"/>
              </w:rPr>
            </w:pPr>
          </w:p>
          <w:p w:rsidR="004B4393" w:rsidRPr="004C0F4B" w:rsidRDefault="004B4393" w:rsidP="0068422E">
            <w:pPr>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68422E">
            <w:pPr>
              <w:spacing w:line="19" w:lineRule="exact"/>
              <w:rPr>
                <w:rFonts w:ascii="Times New Roman" w:hAnsi="Times New Roman"/>
                <w:i/>
                <w:sz w:val="20"/>
              </w:rPr>
            </w:pP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68422E">
            <w:pPr>
              <w:spacing w:line="19" w:lineRule="exact"/>
              <w:rPr>
                <w:rFonts w:ascii="Times New Roman" w:hAnsi="Times New Roman"/>
                <w:i/>
                <w:sz w:val="20"/>
              </w:rPr>
            </w:pPr>
          </w:p>
          <w:p w:rsidR="004B4393" w:rsidRPr="009A0CAD" w:rsidRDefault="004B4393" w:rsidP="0068422E">
            <w:pPr>
              <w:rPr>
                <w:rFonts w:ascii="Times New Roman" w:hAnsi="Times New Roman"/>
                <w:i/>
                <w:sz w:val="20"/>
              </w:rPr>
            </w:pPr>
            <w:r>
              <w:rPr>
                <w:rFonts w:ascii="Times New Roman" w:hAnsi="Times New Roman"/>
                <w:i/>
                <w:sz w:val="20"/>
              </w:rPr>
              <w:t>Total Respondents Costs</w:t>
            </w:r>
          </w:p>
        </w:tc>
      </w:tr>
      <w:tr w:rsidR="004B4393" w:rsidRPr="008B1849" w:rsidTr="00AC513B">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rsidR="004B4393" w:rsidRPr="00B3517B" w:rsidRDefault="0042617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rsidR="004B4393" w:rsidRPr="00C26A42" w:rsidRDefault="00426173" w:rsidP="0068422E">
            <w:pPr>
              <w:spacing w:after="58"/>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rsidR="004B4393" w:rsidRPr="00C26A42" w:rsidRDefault="00426173" w:rsidP="0068422E">
            <w:pPr>
              <w:spacing w:after="58"/>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rsidR="004B4393" w:rsidRPr="00C26A42" w:rsidRDefault="00426173" w:rsidP="0068422E">
            <w:pPr>
              <w:spacing w:after="58"/>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rsidR="004B4393" w:rsidRPr="00F472DC" w:rsidRDefault="00426173" w:rsidP="0068422E">
            <w:pPr>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rsidR="004B4393" w:rsidRPr="00CD76F7" w:rsidRDefault="00334C6B" w:rsidP="0068422E">
            <w:pPr>
              <w:rPr>
                <w:sz w:val="20"/>
              </w:rPr>
            </w:pPr>
            <w:r w:rsidRPr="00CD76F7">
              <w:rPr>
                <w:sz w:val="20"/>
              </w:rPr>
              <w:t>$</w:t>
            </w:r>
            <w:r w:rsidR="00F41752" w:rsidRPr="00CD76F7">
              <w:rPr>
                <w:sz w:val="20"/>
              </w:rPr>
              <w:t>2</w:t>
            </w:r>
            <w:r w:rsidR="00257A00" w:rsidRPr="00CD76F7">
              <w:rPr>
                <w:sz w:val="20"/>
              </w:rPr>
              <w:t>2.33</w:t>
            </w:r>
          </w:p>
        </w:tc>
        <w:tc>
          <w:tcPr>
            <w:tcW w:w="1320" w:type="dxa"/>
            <w:tcBorders>
              <w:top w:val="single" w:sz="8" w:space="0" w:color="000000"/>
              <w:left w:val="single" w:sz="7" w:space="0" w:color="000000"/>
              <w:bottom w:val="single" w:sz="6" w:space="0" w:color="FFFFFF"/>
              <w:right w:val="single" w:sz="7" w:space="0" w:color="000000"/>
            </w:tcBorders>
          </w:tcPr>
          <w:p w:rsidR="004B4393" w:rsidRPr="00CD76F7" w:rsidRDefault="00334C6B" w:rsidP="0068422E">
            <w:pPr>
              <w:rPr>
                <w:sz w:val="20"/>
              </w:rPr>
            </w:pPr>
            <w:r w:rsidRPr="00CD76F7">
              <w:rPr>
                <w:sz w:val="20"/>
              </w:rPr>
              <w:t>$</w:t>
            </w:r>
            <w:r w:rsidR="00F41752" w:rsidRPr="00CD76F7">
              <w:rPr>
                <w:sz w:val="20"/>
              </w:rPr>
              <w:t>5</w:t>
            </w:r>
            <w:r w:rsidR="00F91B2A" w:rsidRPr="00CD76F7">
              <w:rPr>
                <w:sz w:val="20"/>
              </w:rPr>
              <w:t>5,155.10</w:t>
            </w:r>
          </w:p>
        </w:tc>
      </w:tr>
      <w:tr w:rsidR="004B4393" w:rsidRPr="008B1849" w:rsidTr="00AC513B">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rsidR="004B4393" w:rsidRPr="009A0CAD"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p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rsidR="004B4393" w:rsidRPr="00C26A42" w:rsidRDefault="004B4393" w:rsidP="0068422E">
            <w:pPr>
              <w:spacing w:line="120" w:lineRule="exact"/>
              <w:rPr>
                <w:rFonts w:ascii="Times New Roman" w:hAnsi="Times New Roman"/>
                <w:sz w:val="20"/>
              </w:rPr>
            </w:pPr>
          </w:p>
          <w:p w:rsidR="004B4393" w:rsidRPr="00C26A42" w:rsidRDefault="00426173" w:rsidP="0068422E">
            <w:pPr>
              <w:spacing w:after="58"/>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rsidR="004B4393" w:rsidRPr="00B3517B" w:rsidRDefault="004B4393" w:rsidP="0068422E">
            <w:pPr>
              <w:spacing w:line="19" w:lineRule="exact"/>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rsidR="004B4393" w:rsidRPr="00C26A42" w:rsidRDefault="004B4393" w:rsidP="0068422E">
            <w:pPr>
              <w:spacing w:line="120" w:lineRule="exact"/>
              <w:rPr>
                <w:rFonts w:ascii="Times New Roman" w:hAnsi="Times New Roman"/>
                <w:sz w:val="20"/>
              </w:rPr>
            </w:pPr>
          </w:p>
          <w:p w:rsidR="004B4393" w:rsidRPr="00C26A42" w:rsidRDefault="004B4393" w:rsidP="0068422E">
            <w:pPr>
              <w:spacing w:after="58"/>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924958" w:rsidRDefault="004B4393" w:rsidP="0068422E">
            <w:pPr>
              <w:rPr>
                <w:sz w:val="12"/>
                <w:szCs w:val="12"/>
              </w:rPr>
            </w:pPr>
          </w:p>
          <w:p w:rsidR="004B4393" w:rsidRPr="00924958" w:rsidRDefault="004B4393" w:rsidP="0068422E">
            <w:pPr>
              <w:rPr>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CD76F7"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rsidR="001A691B" w:rsidRPr="00CD76F7" w:rsidRDefault="001A691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12"/>
                <w:szCs w:val="12"/>
              </w:rPr>
            </w:pPr>
          </w:p>
          <w:p w:rsidR="004B4393" w:rsidRPr="00CD76F7" w:rsidRDefault="0042617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sidRPr="00CD76F7">
              <w:rPr>
                <w:rFonts w:ascii="Times New Roman" w:hAnsi="Times New Roman"/>
                <w:sz w:val="20"/>
              </w:rPr>
              <w:t>$</w:t>
            </w:r>
            <w:r w:rsidR="00F91B2A" w:rsidRPr="00CD76F7">
              <w:rPr>
                <w:rFonts w:ascii="Times New Roman" w:hAnsi="Times New Roman"/>
                <w:sz w:val="20"/>
              </w:rPr>
              <w:t>55,155.10</w:t>
            </w:r>
          </w:p>
        </w:tc>
      </w:tr>
    </w:tbl>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p>
    <w:p w:rsidR="006E722D"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sidR="006E722D">
        <w:rPr>
          <w:rFonts w:ascii="Times New Roman" w:hAnsi="Times New Roman"/>
          <w:sz w:val="22"/>
          <w:szCs w:val="22"/>
        </w:rPr>
        <w:t>.</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lastRenderedPageBreak/>
        <w:t>According to the U.S. Department of Labor</w:t>
      </w:r>
      <w:r>
        <w:rPr>
          <w:rFonts w:ascii="Times New Roman" w:hAnsi="Times New Roman"/>
          <w:sz w:val="22"/>
          <w:szCs w:val="22"/>
        </w:rPr>
        <w:t xml:space="preserve"> (DOL</w:t>
      </w:r>
      <w:r w:rsidRPr="00CD76F7">
        <w:rPr>
          <w:rFonts w:ascii="Times New Roman" w:hAnsi="Times New Roman"/>
          <w:sz w:val="22"/>
          <w:szCs w:val="22"/>
        </w:rPr>
        <w:t xml:space="preserve">) </w:t>
      </w:r>
      <w:r w:rsidR="00F41752" w:rsidRPr="00CD76F7">
        <w:rPr>
          <w:rFonts w:ascii="Times New Roman" w:hAnsi="Times New Roman"/>
          <w:sz w:val="22"/>
          <w:szCs w:val="22"/>
        </w:rPr>
        <w:t>May 201</w:t>
      </w:r>
      <w:r w:rsidR="00257A00" w:rsidRPr="00CD76F7">
        <w:rPr>
          <w:rFonts w:ascii="Times New Roman" w:hAnsi="Times New Roman"/>
          <w:sz w:val="22"/>
          <w:szCs w:val="22"/>
        </w:rPr>
        <w:t>3</w:t>
      </w:r>
      <w:r w:rsidR="00F41752" w:rsidRPr="00CD76F7">
        <w:rPr>
          <w:rFonts w:ascii="Times New Roman" w:hAnsi="Times New Roman"/>
          <w:sz w:val="22"/>
          <w:szCs w:val="22"/>
        </w:rPr>
        <w:t xml:space="preserve"> National Occupational Employment and Wage Estimates </w:t>
      </w:r>
      <w:r w:rsidRPr="00CD76F7">
        <w:rPr>
          <w:rFonts w:ascii="Times New Roman" w:hAnsi="Times New Roman"/>
          <w:sz w:val="22"/>
          <w:szCs w:val="22"/>
        </w:rPr>
        <w:t>the average hourly wage is $</w:t>
      </w:r>
      <w:r w:rsidR="00E762E2" w:rsidRPr="00CD76F7">
        <w:rPr>
          <w:rFonts w:ascii="Times New Roman" w:hAnsi="Times New Roman"/>
          <w:sz w:val="22"/>
          <w:szCs w:val="22"/>
        </w:rPr>
        <w:t>2</w:t>
      </w:r>
      <w:r w:rsidR="00257A00" w:rsidRPr="00CD76F7">
        <w:rPr>
          <w:rFonts w:ascii="Times New Roman" w:hAnsi="Times New Roman"/>
          <w:sz w:val="22"/>
          <w:szCs w:val="22"/>
        </w:rPr>
        <w:t>2.33</w:t>
      </w:r>
      <w:r w:rsidRPr="00CD76F7">
        <w:rPr>
          <w:rFonts w:ascii="Times New Roman" w:hAnsi="Times New Roman"/>
          <w:sz w:val="22"/>
          <w:szCs w:val="22"/>
        </w:rPr>
        <w:t>. Because of the scope of this generic clearance and the variety of the types of participants, this average salary</w:t>
      </w:r>
      <w:r>
        <w:rPr>
          <w:rFonts w:ascii="Times New Roman" w:hAnsi="Times New Roman"/>
          <w:sz w:val="22"/>
          <w:szCs w:val="22"/>
        </w:rPr>
        <w:t xml:space="preserve">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w:t>
      </w:r>
      <w:r w:rsidR="00F91B2A">
        <w:rPr>
          <w:rFonts w:ascii="Times New Roman" w:hAnsi="Times New Roman"/>
          <w:sz w:val="22"/>
          <w:szCs w:val="22"/>
        </w:rPr>
        <w:t>5,155.10</w:t>
      </w:r>
      <w:r w:rsidRPr="002D5826">
        <w:rPr>
          <w:rFonts w:ascii="Times New Roman" w:hAnsi="Times New Roman"/>
          <w:sz w:val="22"/>
          <w:szCs w:val="22"/>
        </w:rPr>
        <w:t xml:space="preserve"> per year.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044D80" w:rsidRDefault="00044D80" w:rsidP="00044D80">
      <w:pPr>
        <w:snapToGrid w:val="0"/>
        <w:ind w:left="361"/>
        <w:rPr>
          <w:rFonts w:ascii="Times New Roman" w:hAnsi="Times New Roman"/>
          <w:szCs w:val="24"/>
        </w:rPr>
      </w:pPr>
    </w:p>
    <w:p w:rsidR="00044D80" w:rsidRDefault="00044D80" w:rsidP="00044D80">
      <w:pPr>
        <w:snapToGrid w:val="0"/>
        <w:rPr>
          <w:rFonts w:ascii="Times New Roman" w:hAnsi="Times New Roman"/>
          <w:szCs w:val="24"/>
        </w:rPr>
      </w:pPr>
      <w:r>
        <w:rPr>
          <w:rFonts w:ascii="Times New Roman" w:hAnsi="Times New Roman"/>
          <w:szCs w:val="24"/>
        </w:rPr>
        <w:t>There are no capital/start-up or ongoing operation/maintenance costs associated wi</w:t>
      </w:r>
      <w:r>
        <w:rPr>
          <w:rFonts w:ascii="Times New Roman" w:hAnsi="Times New Roman"/>
          <w:szCs w:val="24"/>
        </w:rPr>
        <w:t>th this information collection.</w:t>
      </w:r>
      <w:bookmarkStart w:id="2" w:name="_GoBack"/>
      <w:bookmarkEnd w:id="2"/>
    </w:p>
    <w:p w:rsidR="00044D80" w:rsidRDefault="00044D80"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253D8"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This is a </w:t>
      </w:r>
      <w:r w:rsidR="00481B52">
        <w:rPr>
          <w:rFonts w:ascii="Times New Roman" w:hAnsi="Times New Roman"/>
          <w:sz w:val="22"/>
          <w:szCs w:val="22"/>
        </w:rPr>
        <w:t xml:space="preserve">request for approval of a </w:t>
      </w:r>
      <w:r w:rsidRPr="002D5826">
        <w:rPr>
          <w:rFonts w:ascii="Times New Roman" w:hAnsi="Times New Roman"/>
          <w:sz w:val="22"/>
          <w:szCs w:val="22"/>
        </w:rPr>
        <w:t xml:space="preserve">currently approved </w:t>
      </w:r>
      <w:r w:rsidR="00481B52">
        <w:rPr>
          <w:rFonts w:ascii="Times New Roman" w:hAnsi="Times New Roman"/>
          <w:sz w:val="22"/>
          <w:szCs w:val="22"/>
        </w:rPr>
        <w:t xml:space="preserve">GENERIC </w:t>
      </w:r>
      <w:r w:rsidRPr="002D5826">
        <w:rPr>
          <w:rFonts w:ascii="Times New Roman" w:hAnsi="Times New Roman"/>
          <w:sz w:val="22"/>
          <w:szCs w:val="22"/>
        </w:rPr>
        <w:t>data collection</w:t>
      </w:r>
      <w:r w:rsidR="00E42592">
        <w:rPr>
          <w:rFonts w:ascii="Times New Roman" w:hAnsi="Times New Roman"/>
          <w:sz w:val="22"/>
          <w:szCs w:val="22"/>
        </w:rPr>
        <w:t>.  Each GenIC will</w:t>
      </w:r>
      <w:r w:rsidR="00F6111D">
        <w:rPr>
          <w:rFonts w:ascii="Times New Roman" w:hAnsi="Times New Roman"/>
          <w:sz w:val="22"/>
          <w:szCs w:val="22"/>
        </w:rPr>
        <w:t xml:space="preserve"> be </w:t>
      </w:r>
      <w:r w:rsidR="00E42592">
        <w:rPr>
          <w:rFonts w:ascii="Times New Roman" w:hAnsi="Times New Roman"/>
          <w:sz w:val="22"/>
          <w:szCs w:val="22"/>
        </w:rPr>
        <w:t xml:space="preserve">submitted using a template approved by OMB during a conference call on June 8, 2011.  This template, </w:t>
      </w:r>
      <w:r w:rsidR="00481B52">
        <w:rPr>
          <w:rFonts w:ascii="Times New Roman" w:hAnsi="Times New Roman"/>
          <w:sz w:val="22"/>
          <w:szCs w:val="22"/>
        </w:rPr>
        <w:t>“Health Message Testing System Expedited Review Form” (Attachment 3), w</w:t>
      </w:r>
      <w:r w:rsidR="00E42592">
        <w:rPr>
          <w:rFonts w:ascii="Times New Roman" w:hAnsi="Times New Roman"/>
          <w:sz w:val="22"/>
          <w:szCs w:val="22"/>
        </w:rPr>
        <w:t xml:space="preserve">ill contain </w:t>
      </w:r>
      <w:r w:rsidR="005B0588">
        <w:rPr>
          <w:rFonts w:ascii="Times New Roman" w:hAnsi="Times New Roman"/>
          <w:sz w:val="22"/>
          <w:szCs w:val="22"/>
        </w:rPr>
        <w:t xml:space="preserve">relevant information about </w:t>
      </w:r>
      <w:r w:rsidR="00481B52">
        <w:rPr>
          <w:rFonts w:ascii="Times New Roman" w:hAnsi="Times New Roman"/>
          <w:sz w:val="22"/>
          <w:szCs w:val="22"/>
        </w:rPr>
        <w:t>the proposed</w:t>
      </w:r>
      <w:r w:rsidR="005B0588">
        <w:rPr>
          <w:rFonts w:ascii="Times New Roman" w:hAnsi="Times New Roman"/>
          <w:sz w:val="22"/>
          <w:szCs w:val="22"/>
        </w:rPr>
        <w:t xml:space="preserve"> </w:t>
      </w:r>
      <w:r w:rsidR="00481B52">
        <w:rPr>
          <w:rFonts w:ascii="Times New Roman" w:hAnsi="Times New Roman"/>
          <w:sz w:val="22"/>
          <w:szCs w:val="22"/>
        </w:rPr>
        <w:t>information</w:t>
      </w:r>
      <w:r w:rsidR="005B0588">
        <w:rPr>
          <w:rFonts w:ascii="Times New Roman" w:hAnsi="Times New Roman"/>
          <w:sz w:val="22"/>
          <w:szCs w:val="22"/>
        </w:rPr>
        <w:t xml:space="preserve"> collection </w:t>
      </w:r>
      <w:r w:rsidR="00870E75">
        <w:rPr>
          <w:rFonts w:ascii="Times New Roman" w:hAnsi="Times New Roman"/>
          <w:sz w:val="22"/>
          <w:szCs w:val="22"/>
        </w:rPr>
        <w:t>and</w:t>
      </w:r>
      <w:r w:rsidR="005B0588">
        <w:rPr>
          <w:rFonts w:ascii="Times New Roman" w:hAnsi="Times New Roman"/>
          <w:sz w:val="22"/>
          <w:szCs w:val="22"/>
        </w:rPr>
        <w:t xml:space="preserve"> </w:t>
      </w:r>
      <w:r w:rsidR="00E42592">
        <w:rPr>
          <w:rFonts w:ascii="Times New Roman" w:hAnsi="Times New Roman"/>
          <w:sz w:val="22"/>
          <w:szCs w:val="22"/>
        </w:rPr>
        <w:t xml:space="preserve">will be submitted along with </w:t>
      </w:r>
      <w:r w:rsidR="005B0588">
        <w:rPr>
          <w:rFonts w:ascii="Times New Roman" w:hAnsi="Times New Roman"/>
          <w:sz w:val="22"/>
          <w:szCs w:val="22"/>
        </w:rPr>
        <w:t>copies of the data collection instruments</w:t>
      </w:r>
      <w:r w:rsidR="00E42592">
        <w:rPr>
          <w:rFonts w:ascii="Times New Roman" w:hAnsi="Times New Roman"/>
          <w:sz w:val="22"/>
          <w:szCs w:val="22"/>
        </w:rPr>
        <w:t xml:space="preserve"> and other pertinent information</w:t>
      </w:r>
      <w:r w:rsidR="005B0588">
        <w:rPr>
          <w:rFonts w:ascii="Times New Roman" w:hAnsi="Times New Roman"/>
          <w:sz w:val="22"/>
          <w:szCs w:val="22"/>
        </w:rPr>
        <w:t>.</w:t>
      </w:r>
      <w:r w:rsidR="004C18D0">
        <w:rPr>
          <w:rFonts w:ascii="Times New Roman" w:hAnsi="Times New Roman"/>
          <w:sz w:val="22"/>
          <w:szCs w:val="22"/>
        </w:rPr>
        <w:t xml:space="preserve">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 w:val="22"/>
          <w:szCs w:val="22"/>
        </w:rPr>
      </w:pPr>
    </w:p>
    <w:p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sidDel="005626D1">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pStyle w:val="BodyText2"/>
        <w:tabs>
          <w:tab w:val="left" w:pos="1170"/>
        </w:tabs>
        <w:rPr>
          <w:sz w:val="22"/>
          <w:szCs w:val="22"/>
        </w:rPr>
      </w:pPr>
      <w:r w:rsidRPr="002D5826">
        <w:rPr>
          <w:sz w:val="22"/>
          <w:szCs w:val="22"/>
        </w:rPr>
        <w:t xml:space="preserve">All data collection instruments will display the expiration date for OMB approval of the information collection. </w:t>
      </w:r>
    </w:p>
    <w:p w:rsidR="004B4393"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imes New Roman" w:hAnsi="Times New Roman"/>
          <w:sz w:val="22"/>
          <w:szCs w:val="22"/>
        </w:rPr>
      </w:pPr>
    </w:p>
    <w:p w:rsidR="004B4393" w:rsidRDefault="004B4393" w:rsidP="0068422E">
      <w:pPr>
        <w:pStyle w:val="BodyText2"/>
        <w:tabs>
          <w:tab w:val="left" w:pos="1170"/>
        </w:tabs>
        <w:rPr>
          <w:sz w:val="22"/>
          <w:szCs w:val="22"/>
        </w:rPr>
      </w:pPr>
      <w:r w:rsidRPr="002D5826">
        <w:rPr>
          <w:sz w:val="22"/>
          <w:szCs w:val="22"/>
        </w:rPr>
        <w:t>No exceptions to the certification statement are being sought.</w:t>
      </w:r>
    </w:p>
    <w:p w:rsidR="002E3632" w:rsidRDefault="002E3632" w:rsidP="0068422E">
      <w:pPr>
        <w:pStyle w:val="BodyText2"/>
        <w:tabs>
          <w:tab w:val="left" w:pos="1170"/>
        </w:tabs>
        <w:rPr>
          <w:sz w:val="22"/>
          <w:szCs w:val="22"/>
        </w:rPr>
      </w:pPr>
    </w:p>
    <w:p w:rsidR="002E3632" w:rsidRDefault="00870F25"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p>
    <w:p w:rsidR="00903A85" w:rsidRDefault="00903A85" w:rsidP="0068422E"/>
    <w:p w:rsidR="00903A85" w:rsidRPr="00D5435D" w:rsidRDefault="00903A85" w:rsidP="0068422E">
      <w:pPr>
        <w:rPr>
          <w:b/>
          <w:sz w:val="26"/>
          <w:szCs w:val="26"/>
        </w:rPr>
      </w:pPr>
      <w:r>
        <w:br w:type="page"/>
      </w:r>
      <w:r w:rsidRPr="00D5435D">
        <w:rPr>
          <w:b/>
          <w:sz w:val="26"/>
          <w:szCs w:val="26"/>
        </w:rPr>
        <w:lastRenderedPageBreak/>
        <w:t>List of Attachments</w:t>
      </w:r>
    </w:p>
    <w:p w:rsidR="00903A85" w:rsidRPr="002D5826" w:rsidRDefault="00903A85" w:rsidP="0068422E">
      <w:pPr>
        <w:rPr>
          <w:b/>
          <w:sz w:val="22"/>
          <w:szCs w:val="22"/>
        </w:rPr>
      </w:pPr>
    </w:p>
    <w:p w:rsidR="00903A85" w:rsidRDefault="00903A85" w:rsidP="0068422E">
      <w:pPr>
        <w:rPr>
          <w:szCs w:val="24"/>
        </w:rPr>
      </w:pPr>
      <w:r w:rsidRPr="00D5435D">
        <w:rPr>
          <w:szCs w:val="24"/>
        </w:rPr>
        <w:t>Attachment 1:</w:t>
      </w:r>
      <w:r w:rsidRPr="00D5435D">
        <w:rPr>
          <w:szCs w:val="24"/>
        </w:rPr>
        <w:tab/>
        <w:t xml:space="preserve">Authorizing Legislation </w:t>
      </w:r>
    </w:p>
    <w:p w:rsidR="00903A85" w:rsidRPr="007E492C" w:rsidRDefault="00903A85" w:rsidP="0068422E">
      <w:pPr>
        <w:rPr>
          <w:sz w:val="16"/>
          <w:szCs w:val="16"/>
        </w:rPr>
      </w:pPr>
    </w:p>
    <w:p w:rsidR="00903A85" w:rsidRDefault="00903A85" w:rsidP="0068422E">
      <w:pPr>
        <w:rPr>
          <w:szCs w:val="24"/>
        </w:rPr>
      </w:pPr>
      <w:r w:rsidRPr="00D5435D">
        <w:rPr>
          <w:szCs w:val="24"/>
        </w:rPr>
        <w:t>A</w:t>
      </w:r>
      <w:r>
        <w:rPr>
          <w:szCs w:val="24"/>
        </w:rPr>
        <w:t>ttachment 2</w:t>
      </w:r>
      <w:r w:rsidRPr="00D5435D">
        <w:rPr>
          <w:szCs w:val="24"/>
        </w:rPr>
        <w:t>:</w:t>
      </w:r>
      <w:r w:rsidRPr="00D5435D">
        <w:rPr>
          <w:szCs w:val="24"/>
        </w:rPr>
        <w:tab/>
        <w:t>Federal Register Notice</w:t>
      </w:r>
    </w:p>
    <w:p w:rsidR="00903A85" w:rsidRPr="00D5435D" w:rsidRDefault="00903A85" w:rsidP="0068422E">
      <w:pPr>
        <w:rPr>
          <w:sz w:val="16"/>
          <w:szCs w:val="16"/>
        </w:rPr>
      </w:pPr>
    </w:p>
    <w:p w:rsidR="00903A85" w:rsidRDefault="00903A85" w:rsidP="0068422E">
      <w:pPr>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00903A85" w:rsidRPr="00D5435D" w:rsidRDefault="00903A85" w:rsidP="0068422E">
      <w:pPr>
        <w:rPr>
          <w:sz w:val="16"/>
          <w:szCs w:val="16"/>
        </w:rPr>
      </w:pPr>
    </w:p>
    <w:p w:rsidR="00903A85" w:rsidRDefault="00903A85" w:rsidP="0068422E">
      <w:pPr>
        <w:rPr>
          <w:szCs w:val="24"/>
        </w:rPr>
      </w:pPr>
      <w:r w:rsidRPr="00D5435D">
        <w:rPr>
          <w:szCs w:val="24"/>
        </w:rPr>
        <w:t>A</w:t>
      </w:r>
      <w:r>
        <w:rPr>
          <w:szCs w:val="24"/>
        </w:rPr>
        <w:t>ttachment 4</w:t>
      </w:r>
      <w:r w:rsidRPr="00D5435D">
        <w:rPr>
          <w:szCs w:val="24"/>
        </w:rPr>
        <w:t>:</w:t>
      </w:r>
      <w:r w:rsidRPr="00D5435D">
        <w:rPr>
          <w:szCs w:val="24"/>
        </w:rPr>
        <w:tab/>
        <w:t>Demographic Questions</w:t>
      </w:r>
    </w:p>
    <w:p w:rsidR="00903A85" w:rsidRPr="00D5435D" w:rsidRDefault="00903A85" w:rsidP="0068422E">
      <w:pPr>
        <w:rPr>
          <w:sz w:val="16"/>
          <w:szCs w:val="16"/>
        </w:rPr>
      </w:pPr>
    </w:p>
    <w:p w:rsidR="00903A85" w:rsidRDefault="00903A85" w:rsidP="0068422E">
      <w:pPr>
        <w:rPr>
          <w:szCs w:val="24"/>
        </w:rPr>
      </w:pPr>
      <w:r w:rsidRPr="00D5435D">
        <w:rPr>
          <w:szCs w:val="24"/>
        </w:rPr>
        <w:t>A</w:t>
      </w:r>
      <w:r>
        <w:rPr>
          <w:szCs w:val="24"/>
        </w:rPr>
        <w:t>ttachment 5</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00903A85" w:rsidRPr="007E492C" w:rsidRDefault="00903A85" w:rsidP="0068422E">
      <w:pPr>
        <w:rPr>
          <w:sz w:val="16"/>
          <w:szCs w:val="16"/>
        </w:rPr>
      </w:pPr>
    </w:p>
    <w:p w:rsidR="00903A85" w:rsidRDefault="00903A85" w:rsidP="0068422E">
      <w:pPr>
        <w:rPr>
          <w:szCs w:val="24"/>
        </w:rPr>
      </w:pPr>
      <w:r>
        <w:rPr>
          <w:szCs w:val="24"/>
        </w:rPr>
        <w:t>Attachment 6:  Introductory Questions</w:t>
      </w:r>
    </w:p>
    <w:p w:rsidR="00903A85" w:rsidRPr="007E492C" w:rsidRDefault="00903A85" w:rsidP="0068422E">
      <w:pPr>
        <w:rPr>
          <w:sz w:val="16"/>
          <w:szCs w:val="16"/>
        </w:rPr>
      </w:pPr>
    </w:p>
    <w:p w:rsidR="00903A85" w:rsidRDefault="00903A85" w:rsidP="0068422E">
      <w:pPr>
        <w:rPr>
          <w:szCs w:val="24"/>
        </w:rPr>
      </w:pPr>
      <w:r>
        <w:rPr>
          <w:szCs w:val="24"/>
        </w:rPr>
        <w:t>Attachment 7:  Core Questions</w:t>
      </w:r>
    </w:p>
    <w:p w:rsidR="00903A85" w:rsidRPr="00D5435D" w:rsidRDefault="00903A85" w:rsidP="0068422E">
      <w:pPr>
        <w:rPr>
          <w:sz w:val="16"/>
          <w:szCs w:val="16"/>
        </w:rPr>
      </w:pPr>
    </w:p>
    <w:p w:rsidR="00903A85" w:rsidRDefault="00903A85" w:rsidP="0068422E">
      <w:pPr>
        <w:rPr>
          <w:szCs w:val="24"/>
        </w:rPr>
      </w:pPr>
      <w:r w:rsidRPr="00D5435D">
        <w:rPr>
          <w:szCs w:val="24"/>
        </w:rPr>
        <w:t>A</w:t>
      </w:r>
      <w:r>
        <w:rPr>
          <w:szCs w:val="24"/>
        </w:rPr>
        <w:t>ttachment 8</w:t>
      </w:r>
      <w:r w:rsidRPr="00D5435D">
        <w:rPr>
          <w:szCs w:val="24"/>
        </w:rPr>
        <w:t>:</w:t>
      </w:r>
      <w:r w:rsidRPr="00D5435D">
        <w:rPr>
          <w:szCs w:val="24"/>
        </w:rPr>
        <w:tab/>
        <w:t>Activity/Task Questions</w:t>
      </w:r>
    </w:p>
    <w:p w:rsidR="00903A85" w:rsidRPr="00D5435D" w:rsidRDefault="00903A85" w:rsidP="0068422E">
      <w:pPr>
        <w:rPr>
          <w:sz w:val="16"/>
          <w:szCs w:val="16"/>
        </w:rPr>
      </w:pPr>
    </w:p>
    <w:p w:rsidR="00903A85" w:rsidRDefault="00903A85" w:rsidP="0068422E">
      <w:pPr>
        <w:rPr>
          <w:szCs w:val="24"/>
        </w:rPr>
      </w:pPr>
      <w:r w:rsidRPr="00D5435D">
        <w:rPr>
          <w:szCs w:val="24"/>
        </w:rPr>
        <w:t>A</w:t>
      </w:r>
      <w:r>
        <w:rPr>
          <w:szCs w:val="24"/>
        </w:rPr>
        <w:t>ttachment 9</w:t>
      </w:r>
      <w:r w:rsidRPr="00D5435D">
        <w:rPr>
          <w:szCs w:val="24"/>
        </w:rPr>
        <w:t>:</w:t>
      </w:r>
      <w:r w:rsidRPr="00D5435D">
        <w:rPr>
          <w:szCs w:val="24"/>
        </w:rPr>
        <w:tab/>
        <w:t>Follow-Up Questions</w:t>
      </w:r>
    </w:p>
    <w:p w:rsidR="00903A85" w:rsidRPr="00D5435D" w:rsidRDefault="00903A85" w:rsidP="0068422E">
      <w:pPr>
        <w:rPr>
          <w:sz w:val="16"/>
          <w:szCs w:val="16"/>
        </w:rPr>
      </w:pPr>
    </w:p>
    <w:p w:rsidR="00903A85" w:rsidRDefault="00903A85" w:rsidP="0068422E">
      <w:pPr>
        <w:rPr>
          <w:szCs w:val="24"/>
        </w:rPr>
      </w:pPr>
      <w:r w:rsidRPr="00D5435D">
        <w:rPr>
          <w:szCs w:val="24"/>
        </w:rPr>
        <w:t>A</w:t>
      </w:r>
      <w:r>
        <w:rPr>
          <w:szCs w:val="24"/>
        </w:rPr>
        <w:t xml:space="preserve">ttachment 10:  </w:t>
      </w:r>
      <w:r w:rsidRPr="00D5435D">
        <w:rPr>
          <w:szCs w:val="24"/>
        </w:rPr>
        <w:t>Examples:</w:t>
      </w:r>
    </w:p>
    <w:p w:rsidR="00903A85" w:rsidRPr="00D5435D" w:rsidRDefault="00903A85" w:rsidP="0068422E">
      <w:pPr>
        <w:rPr>
          <w:szCs w:val="24"/>
        </w:rPr>
      </w:pPr>
    </w:p>
    <w:p w:rsidR="00903A85" w:rsidRPr="00D5435D" w:rsidRDefault="00903A85" w:rsidP="0068422E">
      <w:pPr>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RDefault="00903A85" w:rsidP="0068422E">
      <w:pPr>
        <w:rPr>
          <w:szCs w:val="24"/>
        </w:rPr>
      </w:pPr>
      <w:r w:rsidRPr="00D5435D">
        <w:rPr>
          <w:szCs w:val="24"/>
        </w:rPr>
        <w:tab/>
        <w:t xml:space="preserve">Example </w:t>
      </w:r>
      <w:r>
        <w:rPr>
          <w:szCs w:val="24"/>
        </w:rPr>
        <w:t>2</w:t>
      </w:r>
      <w:r w:rsidRPr="00D5435D">
        <w:rPr>
          <w:szCs w:val="24"/>
        </w:rPr>
        <w:t>: Telephone Interview</w:t>
      </w:r>
    </w:p>
    <w:p w:rsidR="00903A85" w:rsidRPr="00D5435D" w:rsidRDefault="00903A85" w:rsidP="0068422E">
      <w:pPr>
        <w:rPr>
          <w:szCs w:val="24"/>
        </w:rPr>
      </w:pPr>
      <w:r>
        <w:rPr>
          <w:szCs w:val="24"/>
        </w:rPr>
        <w:tab/>
        <w:t>Example 3:  Individual In-depth Interview (Cognitive Interview)</w:t>
      </w:r>
    </w:p>
    <w:p w:rsidR="00903A85" w:rsidRPr="00D5435D" w:rsidRDefault="00903A85" w:rsidP="0068422E">
      <w:pPr>
        <w:rPr>
          <w:szCs w:val="24"/>
        </w:rPr>
      </w:pPr>
      <w:r w:rsidRPr="00D5435D">
        <w:rPr>
          <w:szCs w:val="24"/>
        </w:rPr>
        <w:tab/>
        <w:t xml:space="preserve">Example </w:t>
      </w:r>
      <w:r>
        <w:rPr>
          <w:szCs w:val="24"/>
        </w:rPr>
        <w:t>4</w:t>
      </w:r>
      <w:r w:rsidRPr="00D5435D">
        <w:rPr>
          <w:szCs w:val="24"/>
        </w:rPr>
        <w:t>: Screener Questions for Focus Group Testing</w:t>
      </w:r>
    </w:p>
    <w:p w:rsidR="00903A85" w:rsidRDefault="00903A85" w:rsidP="0068422E">
      <w:pPr>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RDefault="00903A85" w:rsidP="0068422E">
      <w:pPr>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00903A85" w:rsidRPr="00571393" w:rsidRDefault="00903A85" w:rsidP="0068422E">
      <w:pPr>
        <w:rPr>
          <w:sz w:val="16"/>
          <w:szCs w:val="16"/>
        </w:rPr>
      </w:pPr>
    </w:p>
    <w:p w:rsidR="00903A85" w:rsidRDefault="00903A85" w:rsidP="0068422E">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r w:rsidRPr="00D5435D">
        <w:rPr>
          <w:szCs w:val="24"/>
        </w:rPr>
        <w:t>A</w:t>
      </w:r>
      <w:r>
        <w:rPr>
          <w:szCs w:val="24"/>
        </w:rPr>
        <w:t xml:space="preserve">ttachment 11: </w:t>
      </w:r>
      <w:r w:rsidRPr="00D5435D">
        <w:rPr>
          <w:szCs w:val="24"/>
        </w:rPr>
        <w:t xml:space="preserve"> IRB Ruling</w:t>
      </w:r>
    </w:p>
    <w:p w:rsidR="00903A85" w:rsidRDefault="00903A85" w:rsidP="0068422E">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p>
    <w:p w:rsidR="00903A85" w:rsidRDefault="00903A85" w:rsidP="0068422E"/>
    <w:p w:rsidR="004B4393" w:rsidRDefault="004B4393" w:rsidP="0068422E"/>
    <w:sectPr w:rsidR="004B4393" w:rsidSect="00F72B6D">
      <w:footerReference w:type="even"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1D" w:rsidRDefault="00F6111D">
      <w:r>
        <w:separator/>
      </w:r>
    </w:p>
  </w:endnote>
  <w:endnote w:type="continuationSeparator" w:id="0">
    <w:p w:rsidR="00F6111D" w:rsidRDefault="00F6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D" w:rsidRDefault="00F6111D"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11D" w:rsidRDefault="00F61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D" w:rsidRPr="004B4393" w:rsidRDefault="00F6111D"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044D80">
      <w:rPr>
        <w:rStyle w:val="PageNumber"/>
        <w:noProof/>
        <w:sz w:val="18"/>
        <w:szCs w:val="18"/>
      </w:rPr>
      <w:t>15</w:t>
    </w:r>
    <w:r w:rsidRPr="004B4393">
      <w:rPr>
        <w:rStyle w:val="PageNumber"/>
        <w:sz w:val="18"/>
        <w:szCs w:val="18"/>
      </w:rPr>
      <w:fldChar w:fldCharType="end"/>
    </w:r>
  </w:p>
  <w:p w:rsidR="00F6111D" w:rsidRDefault="00F6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1D" w:rsidRDefault="00F6111D">
      <w:r>
        <w:separator/>
      </w:r>
    </w:p>
  </w:footnote>
  <w:footnote w:type="continuationSeparator" w:id="0">
    <w:p w:rsidR="00F6111D" w:rsidRDefault="00F6111D">
      <w:r>
        <w:continuationSeparator/>
      </w:r>
    </w:p>
  </w:footnote>
  <w:footnote w:id="1">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Pechman, C. (2001) A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rsidR="00F6111D" w:rsidRDefault="00F6111D" w:rsidP="004B4393">
      <w:pPr>
        <w:pStyle w:val="FootnoteText"/>
        <w:rPr>
          <w:rFonts w:ascii="Times New Roman" w:hAnsi="Times New Roman"/>
        </w:rPr>
      </w:pPr>
    </w:p>
  </w:footnote>
  <w:footnote w:id="2">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rsidR="00F6111D" w:rsidRDefault="00F6111D" w:rsidP="004B4393">
      <w:pPr>
        <w:pStyle w:val="FootnoteText"/>
        <w:rPr>
          <w:rFonts w:ascii="Times New Roman" w:hAnsi="Times New Roman"/>
        </w:rPr>
      </w:pPr>
    </w:p>
  </w:footnote>
  <w:footnote w:id="3">
    <w:p w:rsidR="00F6111D" w:rsidRDefault="00F6111D" w:rsidP="004B4393">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Pr>
          <w:rFonts w:ascii="Times New Roman" w:hAnsi="Times New Roman"/>
          <w:sz w:val="20"/>
        </w:rPr>
        <w:t xml:space="preserve">Andreasen, A. 1995 </w:t>
      </w:r>
      <w:r>
        <w:rPr>
          <w:rFonts w:ascii="Times New Roman" w:hAnsi="Times New Roman"/>
          <w:i/>
          <w:sz w:val="20"/>
        </w:rPr>
        <w:t>Marketing Social Change</w:t>
      </w:r>
      <w:r>
        <w:rPr>
          <w:rFonts w:ascii="Times New Roman" w:hAnsi="Times New Roman"/>
          <w:sz w:val="20"/>
        </w:rPr>
        <w:t xml:space="preserve">. San Francisco, Jossey-Bass.  </w:t>
      </w:r>
    </w:p>
  </w:footnote>
  <w:footnote w:id="4">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Coster, D.C. (2001) Using social marketing to develop and test tailored messages.  </w:t>
      </w:r>
      <w:r>
        <w:rPr>
          <w:rFonts w:ascii="Times New Roman" w:hAnsi="Times New Roman"/>
          <w:i/>
        </w:rPr>
        <w:t>American Journal of Health Behavior, 25(3)</w:t>
      </w:r>
      <w:r>
        <w:rPr>
          <w:rFonts w:ascii="Times New Roman" w:hAnsi="Times New Roman"/>
        </w:rPr>
        <w:t>: 260-271.</w:t>
      </w:r>
    </w:p>
    <w:p w:rsidR="00F6111D" w:rsidRDefault="00F6111D" w:rsidP="004B4393">
      <w:pPr>
        <w:pStyle w:val="FootnoteText"/>
        <w:rPr>
          <w:rFonts w:ascii="Times New Roman" w:hAnsi="Times New Roman"/>
        </w:rPr>
      </w:pPr>
    </w:p>
  </w:footnote>
  <w:footnote w:id="5">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Wallendorf, M. (2001) Literally literacy.  </w:t>
      </w:r>
      <w:r>
        <w:rPr>
          <w:rFonts w:ascii="Times New Roman" w:hAnsi="Times New Roman"/>
          <w:i/>
        </w:rPr>
        <w:t>The Journal of Consumer Research, 27(4)</w:t>
      </w:r>
      <w:r>
        <w:rPr>
          <w:rFonts w:ascii="Times New Roman" w:hAnsi="Times New Roman"/>
        </w:rPr>
        <w:t>: 505-511.</w:t>
      </w:r>
    </w:p>
    <w:p w:rsidR="00F6111D" w:rsidRDefault="00F6111D" w:rsidP="004B4393">
      <w:pPr>
        <w:pStyle w:val="FootnoteText"/>
        <w:rPr>
          <w:rFonts w:ascii="Times New Roman" w:hAnsi="Times New Roman"/>
        </w:rPr>
      </w:pPr>
    </w:p>
  </w:footnote>
  <w:footnote w:id="6">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Harris-Kojetin,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Sangl,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7">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Stempel,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8">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9">
    <w:p w:rsidR="00F6111D" w:rsidRDefault="00F6111D" w:rsidP="004B4393">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Church, A.H. (1993).  Estimating the Effect of Incentives on Mail  Survey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10">
    <w:p w:rsidR="00F6111D" w:rsidRDefault="00F6111D" w:rsidP="004B4393">
      <w:pPr>
        <w:pStyle w:val="FootnoteText"/>
        <w:ind w:firstLine="720"/>
      </w:pPr>
      <w:r>
        <w:rPr>
          <w:rStyle w:val="FootnoteReference"/>
          <w:vertAlign w:val="superscript"/>
        </w:rPr>
        <w:footnoteRef/>
      </w:r>
      <w:r>
        <w:t xml:space="preserve"> Findlay, J.S., &amp; Shaible,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rsidR="00F6111D" w:rsidRPr="00A848BC" w:rsidRDefault="00F6111D" w:rsidP="004B4393">
      <w:pPr>
        <w:pStyle w:val="FootnoteText"/>
        <w:ind w:firstLine="720"/>
        <w:rPr>
          <w:sz w:val="12"/>
          <w:szCs w:val="12"/>
        </w:rPr>
      </w:pPr>
    </w:p>
  </w:footnote>
  <w:footnote w:id="11">
    <w:p w:rsidR="00F6111D" w:rsidRDefault="00F6111D" w:rsidP="004B4393">
      <w:pPr>
        <w:pStyle w:val="FootnoteText"/>
        <w:ind w:firstLine="720"/>
      </w:pPr>
      <w:r>
        <w:rPr>
          <w:rStyle w:val="FootnoteReference"/>
          <w:vertAlign w:val="superscript"/>
        </w:rPr>
        <w:footnoteRef/>
      </w:r>
      <w:r>
        <w:rPr>
          <w:vertAlign w:val="superscript"/>
        </w:rPr>
        <w:t xml:space="preserve"> </w:t>
      </w:r>
      <w:r>
        <w:t>Kulka (1994).</w:t>
      </w:r>
    </w:p>
    <w:p w:rsidR="00F6111D" w:rsidRPr="00A848BC" w:rsidRDefault="00F6111D" w:rsidP="004B4393">
      <w:pPr>
        <w:pStyle w:val="FootnoteText"/>
        <w:ind w:firstLine="720"/>
        <w:rPr>
          <w:sz w:val="12"/>
          <w:szCs w:val="12"/>
        </w:rPr>
      </w:pPr>
    </w:p>
  </w:footnote>
  <w:footnote w:id="12">
    <w:p w:rsidR="00F6111D" w:rsidRDefault="00F6111D" w:rsidP="004B4393">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Mohadjer, L., Waksberg,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rsidR="00F6111D" w:rsidRDefault="00F6111D" w:rsidP="004B439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895FAF"/>
    <w:multiLevelType w:val="hybridMultilevel"/>
    <w:tmpl w:val="293E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433178"/>
    <w:multiLevelType w:val="hybridMultilevel"/>
    <w:tmpl w:val="74F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9"/>
  </w:num>
  <w:num w:numId="8">
    <w:abstractNumId w:val="26"/>
  </w:num>
  <w:num w:numId="9">
    <w:abstractNumId w:val="10"/>
  </w:num>
  <w:num w:numId="10">
    <w:abstractNumId w:val="3"/>
  </w:num>
  <w:num w:numId="11">
    <w:abstractNumId w:val="19"/>
  </w:num>
  <w:num w:numId="12">
    <w:abstractNumId w:val="17"/>
  </w:num>
  <w:num w:numId="13">
    <w:abstractNumId w:val="43"/>
  </w:num>
  <w:num w:numId="14">
    <w:abstractNumId w:val="18"/>
  </w:num>
  <w:num w:numId="15">
    <w:abstractNumId w:val="7"/>
  </w:num>
  <w:num w:numId="16">
    <w:abstractNumId w:val="32"/>
  </w:num>
  <w:num w:numId="17">
    <w:abstractNumId w:val="36"/>
  </w:num>
  <w:num w:numId="18">
    <w:abstractNumId w:val="5"/>
  </w:num>
  <w:num w:numId="19">
    <w:abstractNumId w:val="4"/>
  </w:num>
  <w:num w:numId="20">
    <w:abstractNumId w:val="35"/>
  </w:num>
  <w:num w:numId="21">
    <w:abstractNumId w:val="25"/>
  </w:num>
  <w:num w:numId="22">
    <w:abstractNumId w:val="8"/>
  </w:num>
  <w:num w:numId="23">
    <w:abstractNumId w:val="14"/>
  </w:num>
  <w:num w:numId="24">
    <w:abstractNumId w:val="37"/>
  </w:num>
  <w:num w:numId="25">
    <w:abstractNumId w:val="1"/>
  </w:num>
  <w:num w:numId="26">
    <w:abstractNumId w:val="27"/>
  </w:num>
  <w:num w:numId="27">
    <w:abstractNumId w:val="13"/>
  </w:num>
  <w:num w:numId="28">
    <w:abstractNumId w:val="22"/>
  </w:num>
  <w:num w:numId="29">
    <w:abstractNumId w:val="33"/>
  </w:num>
  <w:num w:numId="30">
    <w:abstractNumId w:val="41"/>
  </w:num>
  <w:num w:numId="31">
    <w:abstractNumId w:val="24"/>
  </w:num>
  <w:num w:numId="32">
    <w:abstractNumId w:val="12"/>
  </w:num>
  <w:num w:numId="33">
    <w:abstractNumId w:val="23"/>
  </w:num>
  <w:num w:numId="34">
    <w:abstractNumId w:val="31"/>
  </w:num>
  <w:num w:numId="35">
    <w:abstractNumId w:val="38"/>
  </w:num>
  <w:num w:numId="36">
    <w:abstractNumId w:val="9"/>
  </w:num>
  <w:num w:numId="37">
    <w:abstractNumId w:val="21"/>
  </w:num>
  <w:num w:numId="38">
    <w:abstractNumId w:val="11"/>
  </w:num>
  <w:num w:numId="39">
    <w:abstractNumId w:val="40"/>
  </w:num>
  <w:num w:numId="40">
    <w:abstractNumId w:val="42"/>
  </w:num>
  <w:num w:numId="41">
    <w:abstractNumId w:val="16"/>
  </w:num>
  <w:num w:numId="42">
    <w:abstractNumId w:val="29"/>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393"/>
    <w:rsid w:val="00010594"/>
    <w:rsid w:val="000404D9"/>
    <w:rsid w:val="00044D80"/>
    <w:rsid w:val="00063E45"/>
    <w:rsid w:val="000804DB"/>
    <w:rsid w:val="00093F1B"/>
    <w:rsid w:val="000B7923"/>
    <w:rsid w:val="000C10A6"/>
    <w:rsid w:val="000C48BA"/>
    <w:rsid w:val="000D0CCE"/>
    <w:rsid w:val="000D761F"/>
    <w:rsid w:val="000E38CC"/>
    <w:rsid w:val="000E7C7D"/>
    <w:rsid w:val="000F01B9"/>
    <w:rsid w:val="000F069E"/>
    <w:rsid w:val="000F48FA"/>
    <w:rsid w:val="000F748C"/>
    <w:rsid w:val="00121B5A"/>
    <w:rsid w:val="00124AF5"/>
    <w:rsid w:val="00127360"/>
    <w:rsid w:val="00147E4C"/>
    <w:rsid w:val="00150C47"/>
    <w:rsid w:val="00152E4F"/>
    <w:rsid w:val="0015576E"/>
    <w:rsid w:val="00193876"/>
    <w:rsid w:val="00194CAB"/>
    <w:rsid w:val="001A1CB5"/>
    <w:rsid w:val="001A691B"/>
    <w:rsid w:val="001C394F"/>
    <w:rsid w:val="001D43F3"/>
    <w:rsid w:val="001D4656"/>
    <w:rsid w:val="001E46BA"/>
    <w:rsid w:val="001F521C"/>
    <w:rsid w:val="00200287"/>
    <w:rsid w:val="00202526"/>
    <w:rsid w:val="00210D32"/>
    <w:rsid w:val="00245AC3"/>
    <w:rsid w:val="00257A00"/>
    <w:rsid w:val="0028004B"/>
    <w:rsid w:val="00281AA1"/>
    <w:rsid w:val="002B0F40"/>
    <w:rsid w:val="002B74C5"/>
    <w:rsid w:val="002D7574"/>
    <w:rsid w:val="002E2EF5"/>
    <w:rsid w:val="002E3632"/>
    <w:rsid w:val="003016DA"/>
    <w:rsid w:val="00310105"/>
    <w:rsid w:val="00315948"/>
    <w:rsid w:val="003347BB"/>
    <w:rsid w:val="00334C6B"/>
    <w:rsid w:val="00377870"/>
    <w:rsid w:val="00383A88"/>
    <w:rsid w:val="00384EB0"/>
    <w:rsid w:val="00387879"/>
    <w:rsid w:val="003B241E"/>
    <w:rsid w:val="003B6395"/>
    <w:rsid w:val="003E245A"/>
    <w:rsid w:val="003E4314"/>
    <w:rsid w:val="003F4049"/>
    <w:rsid w:val="004042FA"/>
    <w:rsid w:val="00413A66"/>
    <w:rsid w:val="004253D8"/>
    <w:rsid w:val="00426173"/>
    <w:rsid w:val="00433E82"/>
    <w:rsid w:val="00460B7F"/>
    <w:rsid w:val="00481B52"/>
    <w:rsid w:val="004839C2"/>
    <w:rsid w:val="004923AD"/>
    <w:rsid w:val="004B4393"/>
    <w:rsid w:val="004C18D0"/>
    <w:rsid w:val="004F4C17"/>
    <w:rsid w:val="00516943"/>
    <w:rsid w:val="00520677"/>
    <w:rsid w:val="00526A3C"/>
    <w:rsid w:val="00574EBF"/>
    <w:rsid w:val="005828BC"/>
    <w:rsid w:val="005864B7"/>
    <w:rsid w:val="005A154E"/>
    <w:rsid w:val="005A24E3"/>
    <w:rsid w:val="005A37CB"/>
    <w:rsid w:val="005A457B"/>
    <w:rsid w:val="005B04F9"/>
    <w:rsid w:val="005B0588"/>
    <w:rsid w:val="005B3890"/>
    <w:rsid w:val="005C2A9F"/>
    <w:rsid w:val="005D0B07"/>
    <w:rsid w:val="005E0482"/>
    <w:rsid w:val="005E2253"/>
    <w:rsid w:val="005F108F"/>
    <w:rsid w:val="005F54ED"/>
    <w:rsid w:val="006057D5"/>
    <w:rsid w:val="0062072B"/>
    <w:rsid w:val="00640997"/>
    <w:rsid w:val="00645414"/>
    <w:rsid w:val="0065453C"/>
    <w:rsid w:val="00673A24"/>
    <w:rsid w:val="00677134"/>
    <w:rsid w:val="0068422E"/>
    <w:rsid w:val="00686FBD"/>
    <w:rsid w:val="00686FDA"/>
    <w:rsid w:val="006B0B15"/>
    <w:rsid w:val="006C6606"/>
    <w:rsid w:val="006D333E"/>
    <w:rsid w:val="006D6B61"/>
    <w:rsid w:val="006E722D"/>
    <w:rsid w:val="007024FD"/>
    <w:rsid w:val="00712974"/>
    <w:rsid w:val="00731174"/>
    <w:rsid w:val="007452BF"/>
    <w:rsid w:val="00750AD2"/>
    <w:rsid w:val="00773859"/>
    <w:rsid w:val="007A73A3"/>
    <w:rsid w:val="007C1042"/>
    <w:rsid w:val="007C5F92"/>
    <w:rsid w:val="007E421E"/>
    <w:rsid w:val="007F4847"/>
    <w:rsid w:val="00805C76"/>
    <w:rsid w:val="00814472"/>
    <w:rsid w:val="00815FE9"/>
    <w:rsid w:val="008303E2"/>
    <w:rsid w:val="0083777B"/>
    <w:rsid w:val="00850A82"/>
    <w:rsid w:val="00851330"/>
    <w:rsid w:val="00856934"/>
    <w:rsid w:val="008617BC"/>
    <w:rsid w:val="0086551F"/>
    <w:rsid w:val="00867C37"/>
    <w:rsid w:val="00870E75"/>
    <w:rsid w:val="00870F25"/>
    <w:rsid w:val="008854D6"/>
    <w:rsid w:val="008B6D07"/>
    <w:rsid w:val="008D0767"/>
    <w:rsid w:val="008D3811"/>
    <w:rsid w:val="008F3126"/>
    <w:rsid w:val="0090330A"/>
    <w:rsid w:val="00903A85"/>
    <w:rsid w:val="00905B74"/>
    <w:rsid w:val="00913368"/>
    <w:rsid w:val="00915B9A"/>
    <w:rsid w:val="009261B3"/>
    <w:rsid w:val="00937787"/>
    <w:rsid w:val="00955C3B"/>
    <w:rsid w:val="00956F97"/>
    <w:rsid w:val="00963891"/>
    <w:rsid w:val="00964E2C"/>
    <w:rsid w:val="009738D2"/>
    <w:rsid w:val="00994AC9"/>
    <w:rsid w:val="009A41A2"/>
    <w:rsid w:val="009A5235"/>
    <w:rsid w:val="009C0EC6"/>
    <w:rsid w:val="009D1017"/>
    <w:rsid w:val="009D59B1"/>
    <w:rsid w:val="009D7C2A"/>
    <w:rsid w:val="009E08E9"/>
    <w:rsid w:val="00A11036"/>
    <w:rsid w:val="00A14095"/>
    <w:rsid w:val="00A21798"/>
    <w:rsid w:val="00A221DC"/>
    <w:rsid w:val="00A66D8D"/>
    <w:rsid w:val="00A772F8"/>
    <w:rsid w:val="00A778A6"/>
    <w:rsid w:val="00A94E7E"/>
    <w:rsid w:val="00AB60DD"/>
    <w:rsid w:val="00AC513B"/>
    <w:rsid w:val="00AE15A8"/>
    <w:rsid w:val="00AE2B0C"/>
    <w:rsid w:val="00B0024C"/>
    <w:rsid w:val="00B01A17"/>
    <w:rsid w:val="00B12E23"/>
    <w:rsid w:val="00B25EE2"/>
    <w:rsid w:val="00B402E0"/>
    <w:rsid w:val="00B57312"/>
    <w:rsid w:val="00B6068A"/>
    <w:rsid w:val="00B6088F"/>
    <w:rsid w:val="00B64151"/>
    <w:rsid w:val="00B704E4"/>
    <w:rsid w:val="00B83DC8"/>
    <w:rsid w:val="00B96461"/>
    <w:rsid w:val="00BE53A6"/>
    <w:rsid w:val="00BF5842"/>
    <w:rsid w:val="00BF6893"/>
    <w:rsid w:val="00C22847"/>
    <w:rsid w:val="00C264F7"/>
    <w:rsid w:val="00C5338D"/>
    <w:rsid w:val="00C57B30"/>
    <w:rsid w:val="00C7028B"/>
    <w:rsid w:val="00C83D0E"/>
    <w:rsid w:val="00C95ECB"/>
    <w:rsid w:val="00CA2048"/>
    <w:rsid w:val="00CA5E86"/>
    <w:rsid w:val="00CC6BEE"/>
    <w:rsid w:val="00CD4AF3"/>
    <w:rsid w:val="00CD76F7"/>
    <w:rsid w:val="00CE1462"/>
    <w:rsid w:val="00CF1974"/>
    <w:rsid w:val="00D047B6"/>
    <w:rsid w:val="00D13C10"/>
    <w:rsid w:val="00D20F65"/>
    <w:rsid w:val="00D4233F"/>
    <w:rsid w:val="00D5180A"/>
    <w:rsid w:val="00D54291"/>
    <w:rsid w:val="00D649A7"/>
    <w:rsid w:val="00D7471A"/>
    <w:rsid w:val="00D97422"/>
    <w:rsid w:val="00DB23FC"/>
    <w:rsid w:val="00DC310F"/>
    <w:rsid w:val="00DD333C"/>
    <w:rsid w:val="00DD3B1F"/>
    <w:rsid w:val="00DD6DD4"/>
    <w:rsid w:val="00DE3927"/>
    <w:rsid w:val="00DE501F"/>
    <w:rsid w:val="00E00948"/>
    <w:rsid w:val="00E011A8"/>
    <w:rsid w:val="00E015C2"/>
    <w:rsid w:val="00E055C2"/>
    <w:rsid w:val="00E30FAA"/>
    <w:rsid w:val="00E42592"/>
    <w:rsid w:val="00E62AD5"/>
    <w:rsid w:val="00E64620"/>
    <w:rsid w:val="00E762E2"/>
    <w:rsid w:val="00E76D39"/>
    <w:rsid w:val="00E83198"/>
    <w:rsid w:val="00E95928"/>
    <w:rsid w:val="00E95B8A"/>
    <w:rsid w:val="00EA7E06"/>
    <w:rsid w:val="00EB3969"/>
    <w:rsid w:val="00EB6A55"/>
    <w:rsid w:val="00EC1942"/>
    <w:rsid w:val="00EC4D4E"/>
    <w:rsid w:val="00ED4365"/>
    <w:rsid w:val="00ED77F2"/>
    <w:rsid w:val="00EE25C2"/>
    <w:rsid w:val="00EE5434"/>
    <w:rsid w:val="00F07C5A"/>
    <w:rsid w:val="00F243F9"/>
    <w:rsid w:val="00F2472C"/>
    <w:rsid w:val="00F276B2"/>
    <w:rsid w:val="00F27E22"/>
    <w:rsid w:val="00F41315"/>
    <w:rsid w:val="00F41752"/>
    <w:rsid w:val="00F4185B"/>
    <w:rsid w:val="00F6111D"/>
    <w:rsid w:val="00F72B6D"/>
    <w:rsid w:val="00F82070"/>
    <w:rsid w:val="00F90E68"/>
    <w:rsid w:val="00F91B2A"/>
    <w:rsid w:val="00FA17D8"/>
    <w:rsid w:val="00FB40A9"/>
    <w:rsid w:val="00FB5668"/>
    <w:rsid w:val="00FB64B9"/>
    <w:rsid w:val="00FC0DAB"/>
    <w:rsid w:val="00FC263D"/>
    <w:rsid w:val="00FC3DAA"/>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84767">
      <w:bodyDiv w:val="1"/>
      <w:marLeft w:val="0"/>
      <w:marRight w:val="0"/>
      <w:marTop w:val="0"/>
      <w:marBottom w:val="0"/>
      <w:divBdr>
        <w:top w:val="none" w:sz="0" w:space="0" w:color="auto"/>
        <w:left w:val="none" w:sz="0" w:space="0" w:color="auto"/>
        <w:bottom w:val="none" w:sz="0" w:space="0" w:color="auto"/>
        <w:right w:val="none" w:sz="0" w:space="0" w:color="auto"/>
      </w:divBdr>
    </w:div>
    <w:div w:id="1381201145">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21428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wm0@cdc.gov" TargetMode="External"/><Relationship Id="rId18" Type="http://schemas.openxmlformats.org/officeDocument/2006/relationships/hyperlink" Target="mailto:efd5@cdc.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yi4@cdc.gov" TargetMode="External"/><Relationship Id="rId7" Type="http://schemas.openxmlformats.org/officeDocument/2006/relationships/footnotes" Target="footnotes.xml"/><Relationship Id="rId12" Type="http://schemas.openxmlformats.org/officeDocument/2006/relationships/hyperlink" Target="mailto:bhm0@cdc.gov" TargetMode="External"/><Relationship Id="rId17" Type="http://schemas.openxmlformats.org/officeDocument/2006/relationships/hyperlink" Target="mailto:jhl1@cdc.gov" TargetMode="External"/><Relationship Id="rId25" Type="http://schemas.openxmlformats.org/officeDocument/2006/relationships/hyperlink" Target="mailto:dvp2@cdc.gov" TargetMode="External"/><Relationship Id="rId2" Type="http://schemas.openxmlformats.org/officeDocument/2006/relationships/numbering" Target="numbering.xml"/><Relationship Id="rId16" Type="http://schemas.openxmlformats.org/officeDocument/2006/relationships/hyperlink" Target="mailto:sjr2@cdc.gov" TargetMode="External"/><Relationship Id="rId20" Type="http://schemas.openxmlformats.org/officeDocument/2006/relationships/hyperlink" Target="mailto:fbb0@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a0@cdc.gov" TargetMode="External"/><Relationship Id="rId24" Type="http://schemas.openxmlformats.org/officeDocument/2006/relationships/hyperlink" Target="mailto:drd4@cdc.gov" TargetMode="External"/><Relationship Id="rId5" Type="http://schemas.openxmlformats.org/officeDocument/2006/relationships/settings" Target="settings.xml"/><Relationship Id="rId15" Type="http://schemas.openxmlformats.org/officeDocument/2006/relationships/hyperlink" Target="mailto:jpo2@cdc.gov" TargetMode="External"/><Relationship Id="rId23" Type="http://schemas.openxmlformats.org/officeDocument/2006/relationships/hyperlink" Target="mailto:seb2@cdc.gov" TargetMode="External"/><Relationship Id="rId28" Type="http://schemas.openxmlformats.org/officeDocument/2006/relationships/fontTable" Target="fontTable.xml"/><Relationship Id="rId10" Type="http://schemas.openxmlformats.org/officeDocument/2006/relationships/hyperlink" Target="mailto:mev7@cdc.gov" TargetMode="External"/><Relationship Id="rId19" Type="http://schemas.openxmlformats.org/officeDocument/2006/relationships/hyperlink" Target="mailto:Kjs8@cdc.gov" TargetMode="External"/><Relationship Id="rId4" Type="http://schemas.microsoft.com/office/2007/relationships/stylesWithEffects" Target="stylesWithEffects.xml"/><Relationship Id="rId9" Type="http://schemas.openxmlformats.org/officeDocument/2006/relationships/hyperlink" Target="mailto:dde@cdc.gov" TargetMode="External"/><Relationship Id="rId14" Type="http://schemas.openxmlformats.org/officeDocument/2006/relationships/hyperlink" Target="mailto:kxh9@cdc.gov" TargetMode="External"/><Relationship Id="rId22" Type="http://schemas.openxmlformats.org/officeDocument/2006/relationships/hyperlink" Target="mailto:rrm1@cdc.gov"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4972-3888-448E-9FCC-665AF3EF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16</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41918</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59</cp:revision>
  <cp:lastPrinted>2015-02-03T15:09:00Z</cp:lastPrinted>
  <dcterms:created xsi:type="dcterms:W3CDTF">2014-07-31T14:12:00Z</dcterms:created>
  <dcterms:modified xsi:type="dcterms:W3CDTF">2015-02-09T16:41:00Z</dcterms:modified>
</cp:coreProperties>
</file>