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1600E5"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HRSA Office of Regional Operations (ORO) </w:t>
      </w:r>
      <w:r w:rsidR="00D7442C">
        <w:rPr>
          <w:rFonts w:ascii="Times New Roman" w:hAnsi="Times New Roman"/>
          <w:b/>
          <w:bCs/>
          <w:sz w:val="24"/>
          <w:szCs w:val="24"/>
        </w:rPr>
        <w:t xml:space="preserve">Outreach &amp; </w:t>
      </w:r>
      <w:r w:rsidR="005A7152">
        <w:rPr>
          <w:rFonts w:ascii="Times New Roman" w:hAnsi="Times New Roman"/>
          <w:b/>
          <w:bCs/>
          <w:sz w:val="24"/>
          <w:szCs w:val="24"/>
        </w:rPr>
        <w:t>Education</w:t>
      </w:r>
      <w:r w:rsidR="00D7442C">
        <w:rPr>
          <w:rFonts w:ascii="Times New Roman" w:hAnsi="Times New Roman"/>
          <w:b/>
          <w:bCs/>
          <w:sz w:val="24"/>
          <w:szCs w:val="24"/>
        </w:rPr>
        <w:t xml:space="preserve"> Generic Survey Tool</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CD3621" w:rsidRPr="00DC2E6B" w:rsidRDefault="00CD3621" w:rsidP="00CD3621">
      <w:pPr>
        <w:tabs>
          <w:tab w:val="left" w:pos="-720"/>
        </w:tabs>
        <w:rPr>
          <w:rFonts w:ascii="Times New Roman" w:hAnsi="Times New Roman"/>
          <w:sz w:val="24"/>
          <w:szCs w:val="24"/>
        </w:rPr>
      </w:pPr>
      <w:r w:rsidRPr="00DC2E6B">
        <w:rPr>
          <w:rFonts w:ascii="Times New Roman" w:hAnsi="Times New Roman"/>
          <w:sz w:val="24"/>
          <w:szCs w:val="24"/>
        </w:rPr>
        <w:t xml:space="preserve">This is a request for OMB approval of a qualitative voluntary customer satisfaction survey under HRSA’s generic clearance.  </w:t>
      </w:r>
    </w:p>
    <w:p w:rsidR="00CD3621" w:rsidRPr="00DC2E6B" w:rsidRDefault="00CD3621" w:rsidP="00CD3621">
      <w:pPr>
        <w:pStyle w:val="ListParagraph"/>
        <w:ind w:left="0"/>
        <w:contextualSpacing/>
        <w:rPr>
          <w:rFonts w:ascii="Times New Roman" w:hAnsi="Times New Roman"/>
          <w:sz w:val="24"/>
          <w:szCs w:val="24"/>
        </w:rPr>
      </w:pPr>
    </w:p>
    <w:p w:rsidR="00DC2E6B" w:rsidRPr="00DC2E6B" w:rsidRDefault="00CD3621" w:rsidP="00DC2E6B">
      <w:pPr>
        <w:rPr>
          <w:rFonts w:ascii="Times New Roman" w:hAnsi="Times New Roman"/>
          <w:iCs/>
          <w:sz w:val="24"/>
          <w:szCs w:val="24"/>
        </w:rPr>
      </w:pPr>
      <w:r w:rsidRPr="00DC2E6B">
        <w:rPr>
          <w:rFonts w:ascii="Times New Roman" w:hAnsi="Times New Roman"/>
          <w:sz w:val="24"/>
          <w:szCs w:val="24"/>
        </w:rPr>
        <w:t>The Health Resources and</w:t>
      </w:r>
      <w:r w:rsidR="00AF6393">
        <w:rPr>
          <w:rFonts w:ascii="Times New Roman" w:hAnsi="Times New Roman"/>
          <w:sz w:val="24"/>
          <w:szCs w:val="24"/>
        </w:rPr>
        <w:t xml:space="preserve"> Services Administration (HRSA)</w:t>
      </w:r>
      <w:r w:rsidRPr="00DC2E6B">
        <w:rPr>
          <w:rFonts w:ascii="Times New Roman" w:hAnsi="Times New Roman"/>
          <w:sz w:val="24"/>
          <w:szCs w:val="24"/>
        </w:rPr>
        <w:t xml:space="preserve"> is the primary Federal agency for improving access to health care services for people who are uninsured, isolated or medically vulnerable.  Within HRSA is the Office of Regional Operations (ORO</w:t>
      </w:r>
      <w:r w:rsidR="00390E64" w:rsidRPr="00DC2E6B">
        <w:rPr>
          <w:rFonts w:ascii="Times New Roman" w:hAnsi="Times New Roman"/>
          <w:sz w:val="24"/>
          <w:szCs w:val="24"/>
        </w:rPr>
        <w:t xml:space="preserve">), </w:t>
      </w:r>
      <w:r w:rsidR="00DC2E6B" w:rsidRPr="00DC2E6B">
        <w:rPr>
          <w:rFonts w:ascii="Times New Roman" w:hAnsi="Times New Roman"/>
          <w:sz w:val="24"/>
          <w:szCs w:val="24"/>
        </w:rPr>
        <w:t xml:space="preserve">which </w:t>
      </w:r>
      <w:r w:rsidR="00DC2E6B" w:rsidRPr="00DC2E6B">
        <w:rPr>
          <w:rFonts w:ascii="Times New Roman" w:hAnsi="Times New Roman"/>
          <w:sz w:val="24"/>
          <w:szCs w:val="24"/>
          <w:lang w:val="en"/>
        </w:rPr>
        <w:t xml:space="preserve">seeks to improve health in underserved communities through on-the-ground outreach, education, technical assistance, and partnerships with local, state, and federal organizations. </w:t>
      </w:r>
      <w:r w:rsidR="008C5D3D" w:rsidRPr="008C5D3D">
        <w:rPr>
          <w:rFonts w:ascii="Times New Roman" w:hAnsi="Times New Roman"/>
          <w:sz w:val="24"/>
          <w:szCs w:val="24"/>
        </w:rPr>
        <w:t xml:space="preserve">With 10 regional offices across the country, </w:t>
      </w:r>
      <w:r w:rsidR="008C5D3D">
        <w:rPr>
          <w:rFonts w:ascii="Times New Roman" w:hAnsi="Times New Roman"/>
          <w:sz w:val="24"/>
          <w:szCs w:val="24"/>
        </w:rPr>
        <w:t xml:space="preserve">ORO is </w:t>
      </w:r>
      <w:r w:rsidR="008C5D3D" w:rsidRPr="008C5D3D">
        <w:rPr>
          <w:rFonts w:ascii="Times New Roman" w:hAnsi="Times New Roman"/>
          <w:sz w:val="24"/>
          <w:szCs w:val="24"/>
        </w:rPr>
        <w:t xml:space="preserve">the face of HRSA in communities, states and regions.  </w:t>
      </w:r>
      <w:r w:rsidR="00DC2E6B" w:rsidRPr="00DC2E6B">
        <w:rPr>
          <w:rStyle w:val="A1"/>
          <w:rFonts w:ascii="Times New Roman" w:hAnsi="Times New Roman"/>
          <w:sz w:val="24"/>
          <w:szCs w:val="24"/>
        </w:rPr>
        <w:t>ORO extends the reach of HRSA’s programs through knowledge of the regional landscape, geographic proximity to HRSA’s grantees and stakeholders, and leveraging local, state, and federal partners.</w:t>
      </w:r>
      <w:r w:rsidR="00DC2E6B" w:rsidRPr="00DC2E6B">
        <w:rPr>
          <w:rFonts w:ascii="Times New Roman" w:hAnsi="Times New Roman"/>
          <w:sz w:val="24"/>
          <w:szCs w:val="24"/>
          <w:lang w:val="en"/>
        </w:rPr>
        <w:t xml:space="preserve"> </w:t>
      </w:r>
    </w:p>
    <w:p w:rsidR="00AF6393" w:rsidRDefault="00DC2E6B" w:rsidP="00DC2E6B">
      <w:pPr>
        <w:pStyle w:val="NormalWeb"/>
        <w:spacing w:before="0" w:beforeAutospacing="0" w:after="0" w:afterAutospacing="0"/>
        <w:rPr>
          <w:bCs/>
          <w:color w:val="323E4F"/>
        </w:rPr>
      </w:pPr>
      <w:r w:rsidRPr="00AF6393">
        <w:rPr>
          <w:bCs/>
          <w:color w:val="323E4F"/>
        </w:rPr>
        <w:t>ORO</w:t>
      </w:r>
      <w:r w:rsidR="00AF6393">
        <w:rPr>
          <w:bCs/>
          <w:color w:val="323E4F"/>
        </w:rPr>
        <w:t xml:space="preserve"> does the following:</w:t>
      </w:r>
    </w:p>
    <w:p w:rsidR="00DC2E6B" w:rsidRPr="00AF6393" w:rsidRDefault="00DC2E6B" w:rsidP="00DC2E6B">
      <w:pPr>
        <w:pStyle w:val="NormalWeb"/>
        <w:spacing w:before="0" w:beforeAutospacing="0" w:after="0" w:afterAutospacing="0"/>
        <w:rPr>
          <w:bCs/>
          <w:color w:val="323E4F"/>
        </w:rPr>
      </w:pPr>
      <w:r w:rsidRPr="00AF6393">
        <w:rPr>
          <w:bCs/>
          <w:color w:val="323E4F"/>
        </w:rPr>
        <w:t xml:space="preserve"> </w:t>
      </w:r>
    </w:p>
    <w:p w:rsidR="00DC2E6B" w:rsidRPr="00DC2E6B" w:rsidRDefault="00DC2E6B" w:rsidP="00DC2E6B">
      <w:pPr>
        <w:pStyle w:val="ListParagraph"/>
        <w:numPr>
          <w:ilvl w:val="0"/>
          <w:numId w:val="12"/>
        </w:numPr>
        <w:rPr>
          <w:rFonts w:ascii="Times New Roman" w:hAnsi="Times New Roman"/>
          <w:sz w:val="24"/>
          <w:szCs w:val="24"/>
          <w:lang w:val="en"/>
        </w:rPr>
      </w:pPr>
      <w:r w:rsidRPr="00DC2E6B">
        <w:rPr>
          <w:rFonts w:ascii="Times New Roman" w:hAnsi="Times New Roman"/>
          <w:sz w:val="24"/>
          <w:szCs w:val="24"/>
          <w:lang w:val="en"/>
        </w:rPr>
        <w:t>Serves as the HRSA liaison and regional leader, conducting outreach to expand knowledge about HRSA's programs and priorities;</w:t>
      </w:r>
    </w:p>
    <w:p w:rsidR="00DC2E6B" w:rsidRPr="00DC2E6B" w:rsidRDefault="00DC2E6B" w:rsidP="00DC2E6B">
      <w:pPr>
        <w:pStyle w:val="ListParagraph"/>
        <w:numPr>
          <w:ilvl w:val="0"/>
          <w:numId w:val="12"/>
        </w:numPr>
        <w:rPr>
          <w:rFonts w:ascii="Times New Roman" w:hAnsi="Times New Roman"/>
          <w:sz w:val="24"/>
          <w:szCs w:val="24"/>
          <w:lang w:val="en"/>
        </w:rPr>
      </w:pPr>
      <w:r w:rsidRPr="00DC2E6B">
        <w:rPr>
          <w:rFonts w:ascii="Times New Roman" w:hAnsi="Times New Roman"/>
          <w:sz w:val="24"/>
          <w:szCs w:val="24"/>
          <w:lang w:val="en"/>
        </w:rPr>
        <w:t>Engages federal, state, and community partners and brokers relationships to advance HHS/HRSA priorities and implementation;</w:t>
      </w:r>
    </w:p>
    <w:p w:rsidR="00DC2E6B" w:rsidRPr="00DC2E6B" w:rsidRDefault="00DC2E6B" w:rsidP="00DC2E6B">
      <w:pPr>
        <w:pStyle w:val="ListParagraph"/>
        <w:numPr>
          <w:ilvl w:val="0"/>
          <w:numId w:val="12"/>
        </w:numPr>
        <w:rPr>
          <w:rFonts w:ascii="Times New Roman" w:hAnsi="Times New Roman"/>
          <w:sz w:val="24"/>
          <w:szCs w:val="24"/>
          <w:lang w:val="en"/>
        </w:rPr>
      </w:pPr>
      <w:r w:rsidRPr="00DC2E6B">
        <w:rPr>
          <w:rFonts w:ascii="Times New Roman" w:hAnsi="Times New Roman"/>
          <w:sz w:val="24"/>
          <w:szCs w:val="24"/>
          <w:lang w:val="en"/>
        </w:rPr>
        <w:t>Identifies and reports critical ground-level information about regional/state trends to inform HRSA's operations, decision-making, and allocation of resources; and</w:t>
      </w:r>
    </w:p>
    <w:p w:rsidR="00DC2E6B" w:rsidRPr="00DC2E6B" w:rsidRDefault="00DC2E6B" w:rsidP="00DC2E6B">
      <w:pPr>
        <w:pStyle w:val="ListParagraph"/>
        <w:numPr>
          <w:ilvl w:val="0"/>
          <w:numId w:val="12"/>
        </w:numPr>
        <w:rPr>
          <w:rFonts w:ascii="Times New Roman" w:hAnsi="Times New Roman"/>
          <w:sz w:val="24"/>
          <w:szCs w:val="24"/>
          <w:lang w:val="en"/>
        </w:rPr>
      </w:pPr>
      <w:r w:rsidRPr="00DC2E6B">
        <w:rPr>
          <w:rFonts w:ascii="Times New Roman" w:hAnsi="Times New Roman"/>
          <w:sz w:val="24"/>
          <w:szCs w:val="24"/>
          <w:lang w:val="en"/>
        </w:rPr>
        <w:t>Provides administrative management to ensure the efficacy of HRSA's regional human capital, technology, and facilities resources.</w:t>
      </w:r>
    </w:p>
    <w:p w:rsidR="00CD3621" w:rsidRPr="00DC2E6B" w:rsidRDefault="00CD3621">
      <w:pPr>
        <w:tabs>
          <w:tab w:val="left" w:pos="-720"/>
        </w:tabs>
        <w:rPr>
          <w:rFonts w:ascii="Times New Roman" w:hAnsi="Times New Roman"/>
          <w:sz w:val="24"/>
          <w:szCs w:val="24"/>
        </w:rPr>
      </w:pPr>
    </w:p>
    <w:p w:rsidR="00663F42" w:rsidRPr="00390E64" w:rsidRDefault="00DC2E6B" w:rsidP="00663F42">
      <w:pPr>
        <w:pStyle w:val="ListParagraph"/>
        <w:ind w:left="0"/>
        <w:contextualSpacing/>
        <w:rPr>
          <w:rFonts w:ascii="Times New Roman" w:hAnsi="Times New Roman"/>
          <w:sz w:val="24"/>
          <w:szCs w:val="24"/>
        </w:rPr>
      </w:pPr>
      <w:r w:rsidRPr="00390E64">
        <w:rPr>
          <w:rFonts w:ascii="Times New Roman" w:hAnsi="Times New Roman"/>
          <w:sz w:val="24"/>
          <w:szCs w:val="24"/>
        </w:rPr>
        <w:t>ORO customers include but are not limited to</w:t>
      </w:r>
      <w:r w:rsidR="00AF6393">
        <w:rPr>
          <w:rFonts w:ascii="Times New Roman" w:hAnsi="Times New Roman"/>
          <w:sz w:val="24"/>
          <w:szCs w:val="24"/>
        </w:rPr>
        <w:t xml:space="preserve"> the following</w:t>
      </w:r>
      <w:r w:rsidRPr="00390E64">
        <w:rPr>
          <w:rFonts w:ascii="Times New Roman" w:hAnsi="Times New Roman"/>
          <w:sz w:val="24"/>
          <w:szCs w:val="24"/>
        </w:rPr>
        <w:t xml:space="preserve">: healthcare and human service providers including physicians, physician assistants, nurse practitioners, nurse midwives, nurses, counselors, social workers, case managers, and other staff who interact with patients, who work in multiple types of settings including primary care, geriatric care, maternal and child health care, Head Start programs, STD/HIV &amp; reproductive health care, mental health, addictions, health departments, hospitals, health centers, schools and community health settings; state health leadership; academic institutions; tribal organizations, community and faith-based organizations and private </w:t>
      </w:r>
      <w:r w:rsidRPr="00390E64">
        <w:rPr>
          <w:rFonts w:ascii="Times New Roman" w:hAnsi="Times New Roman"/>
          <w:sz w:val="24"/>
          <w:szCs w:val="24"/>
        </w:rPr>
        <w:lastRenderedPageBreak/>
        <w:t>secto</w:t>
      </w:r>
      <w:r>
        <w:rPr>
          <w:rFonts w:ascii="Times New Roman" w:hAnsi="Times New Roman"/>
          <w:sz w:val="24"/>
          <w:szCs w:val="24"/>
        </w:rPr>
        <w:t xml:space="preserve">r organizations and foundations.  Many of HRSA customers are also </w:t>
      </w:r>
      <w:r w:rsidRPr="00390E64">
        <w:rPr>
          <w:rFonts w:ascii="Times New Roman" w:hAnsi="Times New Roman"/>
          <w:sz w:val="24"/>
          <w:szCs w:val="24"/>
        </w:rPr>
        <w:t xml:space="preserve">HRSA grantees.   </w:t>
      </w:r>
      <w:r w:rsidR="00663F42" w:rsidRPr="00390E64">
        <w:rPr>
          <w:rFonts w:ascii="Times New Roman" w:hAnsi="Times New Roman"/>
          <w:sz w:val="24"/>
          <w:szCs w:val="24"/>
        </w:rPr>
        <w:t xml:space="preserve">The goal of ORO’s outreach and education efforts is to </w:t>
      </w:r>
      <w:r w:rsidR="0037278D" w:rsidRPr="00390E64">
        <w:rPr>
          <w:rFonts w:ascii="Times New Roman" w:hAnsi="Times New Roman"/>
          <w:sz w:val="24"/>
          <w:szCs w:val="24"/>
        </w:rPr>
        <w:t xml:space="preserve">improve </w:t>
      </w:r>
      <w:r>
        <w:rPr>
          <w:rFonts w:ascii="Times New Roman" w:hAnsi="Times New Roman"/>
          <w:sz w:val="24"/>
          <w:szCs w:val="24"/>
        </w:rPr>
        <w:t>customer</w:t>
      </w:r>
      <w:r w:rsidR="00390E64" w:rsidRPr="00390E64">
        <w:rPr>
          <w:rFonts w:ascii="Times New Roman" w:hAnsi="Times New Roman"/>
          <w:sz w:val="24"/>
          <w:szCs w:val="24"/>
        </w:rPr>
        <w:t>s</w:t>
      </w:r>
      <w:r>
        <w:rPr>
          <w:rFonts w:ascii="Times New Roman" w:hAnsi="Times New Roman"/>
          <w:sz w:val="24"/>
          <w:szCs w:val="24"/>
        </w:rPr>
        <w:t>’</w:t>
      </w:r>
      <w:r w:rsidR="0037278D" w:rsidRPr="00390E64">
        <w:rPr>
          <w:rFonts w:ascii="Times New Roman" w:hAnsi="Times New Roman"/>
          <w:sz w:val="24"/>
          <w:szCs w:val="24"/>
        </w:rPr>
        <w:t xml:space="preserve"> knowledge and awareness of HRSA resources and provide information on health topics that attendees can then use to inform their work as it relates to increasing access and improving the quality of care of populations served by HRSA.  </w:t>
      </w:r>
      <w:r w:rsidR="00663F42" w:rsidRPr="00390E64">
        <w:rPr>
          <w:rFonts w:ascii="Times New Roman" w:hAnsi="Times New Roman"/>
          <w:sz w:val="24"/>
          <w:szCs w:val="24"/>
        </w:rPr>
        <w:t xml:space="preserve">ORO’s outreach and education customer reach is expansive and include local, state and federal stakeholders.  </w:t>
      </w:r>
    </w:p>
    <w:p w:rsidR="00663F42" w:rsidRPr="00390E64" w:rsidRDefault="00663F42" w:rsidP="00663F42">
      <w:pPr>
        <w:pStyle w:val="ListParagraph"/>
        <w:ind w:left="0"/>
        <w:contextualSpacing/>
        <w:rPr>
          <w:rFonts w:ascii="Times New Roman" w:hAnsi="Times New Roman"/>
          <w:sz w:val="24"/>
          <w:szCs w:val="24"/>
        </w:rPr>
      </w:pPr>
    </w:p>
    <w:p w:rsidR="00CD3621" w:rsidRPr="00390E64" w:rsidRDefault="00CD3621" w:rsidP="00CD3621">
      <w:pPr>
        <w:pStyle w:val="ListParagraph"/>
        <w:ind w:left="0"/>
        <w:contextualSpacing/>
        <w:rPr>
          <w:rFonts w:ascii="Times New Roman" w:hAnsi="Times New Roman"/>
          <w:sz w:val="24"/>
          <w:szCs w:val="24"/>
        </w:rPr>
      </w:pPr>
      <w:r w:rsidRPr="00390E64">
        <w:rPr>
          <w:rFonts w:ascii="Times New Roman" w:hAnsi="Times New Roman"/>
          <w:sz w:val="24"/>
          <w:szCs w:val="24"/>
        </w:rPr>
        <w:t xml:space="preserve">For the past three years, ORO has strategically developed methods by which to define and measure ORO’s benefit to HRSA and </w:t>
      </w:r>
      <w:r w:rsidR="00663F42" w:rsidRPr="00390E64">
        <w:rPr>
          <w:rFonts w:ascii="Times New Roman" w:hAnsi="Times New Roman"/>
          <w:sz w:val="24"/>
          <w:szCs w:val="24"/>
        </w:rPr>
        <w:t>ORO’s customer base</w:t>
      </w:r>
      <w:r w:rsidRPr="00390E64">
        <w:rPr>
          <w:rFonts w:ascii="Times New Roman" w:hAnsi="Times New Roman"/>
          <w:sz w:val="24"/>
          <w:szCs w:val="24"/>
        </w:rPr>
        <w:t xml:space="preserve">.  To that end, ORO formed an Evaluation Committee to improve the organization’s ability to measure and document results. In absence of readily available systems or metrics, ORO’s Evaluation Committee developed a logic model and tools to guide, document, collect, and assess the impact and effectiveness of ORO’s regional efforts.  The Committee trained regional senior leadership on the model’s key inputs, outputs, and outcomes and prepared a strategy to build ORO’s measurement and evaluation capacity. </w:t>
      </w:r>
      <w:r w:rsidR="003D6B44" w:rsidRPr="00390E64">
        <w:rPr>
          <w:rFonts w:ascii="Times New Roman" w:hAnsi="Times New Roman"/>
          <w:sz w:val="24"/>
          <w:szCs w:val="24"/>
        </w:rPr>
        <w:t>One such tool that the Evaluation Committee developed is this proposed</w:t>
      </w:r>
      <w:r w:rsidRPr="00390E64">
        <w:rPr>
          <w:rFonts w:ascii="Times New Roman" w:hAnsi="Times New Roman"/>
          <w:sz w:val="24"/>
          <w:szCs w:val="24"/>
        </w:rPr>
        <w:t xml:space="preserve"> generic survey instrument</w:t>
      </w:r>
      <w:r w:rsidR="003D6B44" w:rsidRPr="00390E64">
        <w:rPr>
          <w:rFonts w:ascii="Times New Roman" w:hAnsi="Times New Roman"/>
          <w:sz w:val="24"/>
          <w:szCs w:val="24"/>
        </w:rPr>
        <w:t xml:space="preserve"> that will be used to assess the effectiveness of ORO’s outreach </w:t>
      </w:r>
      <w:r w:rsidR="00663F42" w:rsidRPr="00390E64">
        <w:rPr>
          <w:rFonts w:ascii="Times New Roman" w:hAnsi="Times New Roman"/>
          <w:sz w:val="24"/>
          <w:szCs w:val="24"/>
        </w:rPr>
        <w:t xml:space="preserve">and education </w:t>
      </w:r>
      <w:r w:rsidR="003D6B44" w:rsidRPr="00390E64">
        <w:rPr>
          <w:rFonts w:ascii="Times New Roman" w:hAnsi="Times New Roman"/>
          <w:sz w:val="24"/>
          <w:szCs w:val="24"/>
        </w:rPr>
        <w:t xml:space="preserve">activities </w:t>
      </w:r>
      <w:r w:rsidR="00390E64" w:rsidRPr="00390E64">
        <w:rPr>
          <w:rFonts w:ascii="Times New Roman" w:hAnsi="Times New Roman"/>
          <w:sz w:val="24"/>
          <w:szCs w:val="24"/>
        </w:rPr>
        <w:t>in all 10 ORO Regional Offices</w:t>
      </w:r>
      <w:r w:rsidR="003D6B44" w:rsidRPr="00390E64">
        <w:rPr>
          <w:rFonts w:ascii="Times New Roman" w:hAnsi="Times New Roman"/>
          <w:sz w:val="24"/>
          <w:szCs w:val="24"/>
        </w:rPr>
        <w:t>.</w:t>
      </w:r>
      <w:r w:rsidR="00390E64" w:rsidRPr="00390E64">
        <w:rPr>
          <w:rFonts w:ascii="Times New Roman" w:hAnsi="Times New Roman"/>
          <w:sz w:val="24"/>
          <w:szCs w:val="24"/>
        </w:rPr>
        <w:t xml:space="preserve">  The tool is labeled “generic” because it is meant to be an al</w:t>
      </w:r>
      <w:r w:rsidR="008C5D3D">
        <w:rPr>
          <w:rFonts w:ascii="Times New Roman" w:hAnsi="Times New Roman"/>
          <w:sz w:val="24"/>
          <w:szCs w:val="24"/>
        </w:rPr>
        <w:t>l-purpose survey that will be used to help evaluate</w:t>
      </w:r>
      <w:r w:rsidR="00390E64" w:rsidRPr="00390E64">
        <w:rPr>
          <w:rFonts w:ascii="Times New Roman" w:hAnsi="Times New Roman"/>
          <w:sz w:val="24"/>
          <w:szCs w:val="24"/>
        </w:rPr>
        <w:t xml:space="preserve"> various types of </w:t>
      </w:r>
      <w:r w:rsidR="008C5D3D">
        <w:rPr>
          <w:rFonts w:ascii="Times New Roman" w:hAnsi="Times New Roman"/>
          <w:sz w:val="24"/>
          <w:szCs w:val="24"/>
        </w:rPr>
        <w:t xml:space="preserve">ORO </w:t>
      </w:r>
      <w:r w:rsidR="00390E64" w:rsidRPr="00390E64">
        <w:rPr>
          <w:rFonts w:ascii="Times New Roman" w:hAnsi="Times New Roman"/>
          <w:sz w:val="24"/>
          <w:szCs w:val="24"/>
        </w:rPr>
        <w:t>outreach events including grant workshops, topical education sessions, webinars, etc.  The tool is broad enough to be used for these various events but specific enough to capture key information that will help inform the quality of ORO’s outreach and education efforts.</w:t>
      </w:r>
      <w:r w:rsidR="003D6B44" w:rsidRPr="00390E64">
        <w:rPr>
          <w:rFonts w:ascii="Times New Roman" w:hAnsi="Times New Roman"/>
          <w:sz w:val="24"/>
          <w:szCs w:val="24"/>
        </w:rPr>
        <w:t xml:space="preserve"> </w:t>
      </w:r>
    </w:p>
    <w:p w:rsidR="00D7442C" w:rsidRPr="00390E64" w:rsidRDefault="00D7442C" w:rsidP="00CD3621">
      <w:pPr>
        <w:pStyle w:val="ListParagraph"/>
        <w:ind w:left="0"/>
        <w:contextualSpacing/>
        <w:rPr>
          <w:rFonts w:ascii="Times New Roman" w:hAnsi="Times New Roman"/>
          <w:sz w:val="24"/>
          <w:szCs w:val="24"/>
        </w:rPr>
      </w:pPr>
    </w:p>
    <w:p w:rsidR="003D6B44" w:rsidRPr="00390E64" w:rsidRDefault="003D6B44" w:rsidP="00CD3621">
      <w:pPr>
        <w:pStyle w:val="ListParagraph"/>
        <w:ind w:left="0"/>
        <w:contextualSpacing/>
        <w:rPr>
          <w:rFonts w:ascii="Times New Roman" w:hAnsi="Times New Roman"/>
          <w:sz w:val="24"/>
          <w:szCs w:val="24"/>
        </w:rPr>
      </w:pPr>
      <w:r w:rsidRPr="00390E64">
        <w:rPr>
          <w:rFonts w:ascii="Times New Roman" w:hAnsi="Times New Roman"/>
          <w:sz w:val="24"/>
          <w:szCs w:val="24"/>
        </w:rPr>
        <w:t xml:space="preserve">Below are examples of </w:t>
      </w:r>
      <w:r w:rsidR="00663F42" w:rsidRPr="00390E64">
        <w:rPr>
          <w:rFonts w:ascii="Times New Roman" w:hAnsi="Times New Roman"/>
          <w:sz w:val="24"/>
          <w:szCs w:val="24"/>
        </w:rPr>
        <w:t xml:space="preserve">outreach and education </w:t>
      </w:r>
      <w:r w:rsidRPr="00390E64">
        <w:rPr>
          <w:rFonts w:ascii="Times New Roman" w:hAnsi="Times New Roman"/>
          <w:sz w:val="24"/>
          <w:szCs w:val="24"/>
        </w:rPr>
        <w:t>activities conducted by ORO in FY 2016:</w:t>
      </w:r>
    </w:p>
    <w:p w:rsidR="003D6B44" w:rsidRPr="00390E64" w:rsidRDefault="003D6B44" w:rsidP="003D6B44">
      <w:pPr>
        <w:widowControl/>
        <w:numPr>
          <w:ilvl w:val="0"/>
          <w:numId w:val="13"/>
        </w:numPr>
        <w:shd w:val="clear" w:color="auto" w:fill="FFFFFF" w:themeFill="background1"/>
        <w:autoSpaceDE/>
        <w:autoSpaceDN/>
        <w:adjustRightInd/>
        <w:contextualSpacing/>
        <w:rPr>
          <w:rFonts w:ascii="Times New Roman" w:hAnsi="Times New Roman"/>
          <w:sz w:val="24"/>
          <w:szCs w:val="24"/>
        </w:rPr>
      </w:pPr>
      <w:r w:rsidRPr="00390E64">
        <w:rPr>
          <w:rFonts w:ascii="Times New Roman" w:hAnsi="Times New Roman"/>
          <w:sz w:val="24"/>
          <w:szCs w:val="24"/>
          <w:lang w:val="en"/>
        </w:rPr>
        <w:t>Educated</w:t>
      </w:r>
      <w:r w:rsidRPr="00390E64">
        <w:rPr>
          <w:rFonts w:ascii="Times New Roman" w:hAnsi="Times New Roman"/>
          <w:sz w:val="24"/>
          <w:szCs w:val="24"/>
        </w:rPr>
        <w:t xml:space="preserve"> approximately 11,625 individuals from 610 organizations on HRSA’s programs.</w:t>
      </w:r>
    </w:p>
    <w:p w:rsidR="003D6B44" w:rsidRPr="00390E64" w:rsidRDefault="003D6B44" w:rsidP="003D6B44">
      <w:pPr>
        <w:widowControl/>
        <w:numPr>
          <w:ilvl w:val="0"/>
          <w:numId w:val="13"/>
        </w:numPr>
        <w:autoSpaceDE/>
        <w:autoSpaceDN/>
        <w:adjustRightInd/>
        <w:contextualSpacing/>
        <w:rPr>
          <w:rFonts w:ascii="Times New Roman" w:hAnsi="Times New Roman"/>
          <w:sz w:val="24"/>
          <w:szCs w:val="24"/>
        </w:rPr>
      </w:pPr>
      <w:r w:rsidRPr="00390E64">
        <w:rPr>
          <w:rFonts w:ascii="Times New Roman" w:hAnsi="Times New Roman"/>
          <w:sz w:val="24"/>
          <w:szCs w:val="24"/>
        </w:rPr>
        <w:t>Delivered 30 webinars on topics including telehealth, chronic health conditions, and substance abuse, reaching nearly 6,000 HRSA grantees and stakeholders.</w:t>
      </w:r>
    </w:p>
    <w:p w:rsidR="003D6B44" w:rsidRPr="00390E64" w:rsidRDefault="003D6B44" w:rsidP="003D6B44">
      <w:pPr>
        <w:pStyle w:val="ListParagraph"/>
        <w:numPr>
          <w:ilvl w:val="0"/>
          <w:numId w:val="13"/>
        </w:numPr>
        <w:rPr>
          <w:rFonts w:ascii="Times New Roman" w:hAnsi="Times New Roman"/>
          <w:sz w:val="24"/>
          <w:szCs w:val="24"/>
        </w:rPr>
      </w:pPr>
      <w:r w:rsidRPr="00390E64">
        <w:rPr>
          <w:rFonts w:ascii="Times New Roman" w:hAnsi="Times New Roman"/>
          <w:sz w:val="24"/>
          <w:szCs w:val="24"/>
        </w:rPr>
        <w:t xml:space="preserve">Convened or presented at 63 events focused on behavioral health services integration into primary care and other healthcare settings, reaching approximately 6,500 individuals. </w:t>
      </w:r>
    </w:p>
    <w:p w:rsidR="003D6B44" w:rsidRPr="00390E64" w:rsidRDefault="003D6B44" w:rsidP="003D6B44">
      <w:pPr>
        <w:widowControl/>
        <w:numPr>
          <w:ilvl w:val="0"/>
          <w:numId w:val="14"/>
        </w:numPr>
        <w:autoSpaceDE/>
        <w:autoSpaceDN/>
        <w:adjustRightInd/>
        <w:ind w:left="360"/>
        <w:contextualSpacing/>
        <w:rPr>
          <w:rFonts w:ascii="Times New Roman" w:hAnsi="Times New Roman"/>
          <w:sz w:val="24"/>
          <w:szCs w:val="24"/>
          <w:lang w:val="en"/>
        </w:rPr>
      </w:pPr>
      <w:r w:rsidRPr="00390E64">
        <w:rPr>
          <w:rFonts w:ascii="Times New Roman" w:hAnsi="Times New Roman"/>
          <w:sz w:val="24"/>
          <w:szCs w:val="24"/>
        </w:rPr>
        <w:t>Supported efforts in states and communities to address the opioid crisis, collaborated with SAMHSA to educate providers through Drug Addiction Treatment Act (DATA) Wavier trainings in 14 States, facilitated in-person trainings, and promoted HRSA funding opportunities to address overdoses.</w:t>
      </w:r>
    </w:p>
    <w:p w:rsidR="003D6B44" w:rsidRPr="00390E64" w:rsidRDefault="003D6B44" w:rsidP="00CD3621">
      <w:pPr>
        <w:pStyle w:val="ListParagraph"/>
        <w:ind w:left="0"/>
        <w:contextualSpacing/>
        <w:rPr>
          <w:rFonts w:ascii="Times New Roman" w:hAnsi="Times New Roman"/>
          <w:sz w:val="24"/>
          <w:szCs w:val="24"/>
        </w:rPr>
      </w:pPr>
    </w:p>
    <w:p w:rsidR="0037278D" w:rsidRPr="00390E64" w:rsidRDefault="003D6B44" w:rsidP="0037278D">
      <w:pPr>
        <w:pStyle w:val="ListParagraph"/>
        <w:ind w:left="0"/>
        <w:contextualSpacing/>
        <w:rPr>
          <w:rFonts w:ascii="Times New Roman" w:hAnsi="Times New Roman"/>
          <w:sz w:val="24"/>
          <w:szCs w:val="24"/>
        </w:rPr>
      </w:pPr>
      <w:r w:rsidRPr="00390E64">
        <w:rPr>
          <w:rFonts w:ascii="Times New Roman" w:hAnsi="Times New Roman"/>
          <w:sz w:val="24"/>
          <w:szCs w:val="24"/>
        </w:rPr>
        <w:t xml:space="preserve">Aside from the output measures noted above (number of events; number </w:t>
      </w:r>
      <w:r w:rsidR="00663F42" w:rsidRPr="00390E64">
        <w:rPr>
          <w:rFonts w:ascii="Times New Roman" w:hAnsi="Times New Roman"/>
          <w:sz w:val="24"/>
          <w:szCs w:val="24"/>
        </w:rPr>
        <w:t xml:space="preserve">of individuals </w:t>
      </w:r>
      <w:r w:rsidRPr="00390E64">
        <w:rPr>
          <w:rFonts w:ascii="Times New Roman" w:hAnsi="Times New Roman"/>
          <w:sz w:val="24"/>
          <w:szCs w:val="24"/>
        </w:rPr>
        <w:t>touched), ORO does not have any qualitative information about the</w:t>
      </w:r>
      <w:r w:rsidR="00D7442C" w:rsidRPr="00390E64">
        <w:rPr>
          <w:rFonts w:ascii="Times New Roman" w:hAnsi="Times New Roman"/>
          <w:sz w:val="24"/>
          <w:szCs w:val="24"/>
        </w:rPr>
        <w:t>se</w:t>
      </w:r>
      <w:r w:rsidRPr="00390E64">
        <w:rPr>
          <w:rFonts w:ascii="Times New Roman" w:hAnsi="Times New Roman"/>
          <w:sz w:val="24"/>
          <w:szCs w:val="24"/>
        </w:rPr>
        <w:t xml:space="preserve"> activities because currently there is no </w:t>
      </w:r>
      <w:r w:rsidR="00663F42" w:rsidRPr="00390E64">
        <w:rPr>
          <w:rFonts w:ascii="Times New Roman" w:hAnsi="Times New Roman"/>
          <w:sz w:val="24"/>
          <w:szCs w:val="24"/>
        </w:rPr>
        <w:t xml:space="preserve">formal </w:t>
      </w:r>
      <w:r w:rsidRPr="00390E64">
        <w:rPr>
          <w:rFonts w:ascii="Times New Roman" w:hAnsi="Times New Roman"/>
          <w:sz w:val="24"/>
          <w:szCs w:val="24"/>
        </w:rPr>
        <w:t>way to collect feedback from the participants of the events and activities that ORO conducts.  With</w:t>
      </w:r>
      <w:r w:rsidR="00D7442C" w:rsidRPr="00390E64">
        <w:rPr>
          <w:rFonts w:ascii="Times New Roman" w:hAnsi="Times New Roman"/>
          <w:sz w:val="24"/>
          <w:szCs w:val="24"/>
        </w:rPr>
        <w:t>out qualitative information collected from participants</w:t>
      </w:r>
      <w:r w:rsidRPr="00390E64">
        <w:rPr>
          <w:rFonts w:ascii="Times New Roman" w:hAnsi="Times New Roman"/>
          <w:sz w:val="24"/>
          <w:szCs w:val="24"/>
        </w:rPr>
        <w:t xml:space="preserve">, ORO is not able to </w:t>
      </w:r>
      <w:r w:rsidR="00D7442C" w:rsidRPr="00390E64">
        <w:rPr>
          <w:rFonts w:ascii="Times New Roman" w:hAnsi="Times New Roman"/>
          <w:sz w:val="24"/>
          <w:szCs w:val="24"/>
        </w:rPr>
        <w:t>fulfill Executive Order 12862, “Setting Customer Service Standards,” which directs Agencies to continually reform their management practices and operations to provide service to the public that matches or exceeds the best service available in the private sector.</w:t>
      </w:r>
      <w:r w:rsidR="00663F42" w:rsidRPr="00390E64">
        <w:rPr>
          <w:rFonts w:ascii="Times New Roman" w:hAnsi="Times New Roman"/>
          <w:sz w:val="24"/>
          <w:szCs w:val="24"/>
        </w:rPr>
        <w:t xml:space="preserve">  This proposed generic survey would allow ORO to formally collect information from customers who participate in ORO outreach and education events.  Ultimately, ORO will be able to respond to customer feedback and improve the quality of outreach and educations events offered.</w:t>
      </w:r>
      <w:r w:rsidR="0037278D" w:rsidRPr="00390E64">
        <w:rPr>
          <w:rFonts w:ascii="Times New Roman" w:hAnsi="Times New Roman"/>
          <w:sz w:val="24"/>
          <w:szCs w:val="24"/>
        </w:rPr>
        <w:t xml:space="preserve">  </w:t>
      </w:r>
    </w:p>
    <w:p w:rsidR="0037278D" w:rsidRPr="00390E64" w:rsidRDefault="0037278D" w:rsidP="0037278D">
      <w:pPr>
        <w:pStyle w:val="ListParagraph"/>
        <w:ind w:left="0"/>
        <w:contextualSpacing/>
        <w:rPr>
          <w:rFonts w:ascii="Times New Roman" w:hAnsi="Times New Roman"/>
          <w:sz w:val="24"/>
          <w:szCs w:val="24"/>
        </w:rPr>
      </w:pPr>
    </w:p>
    <w:p w:rsidR="00FA4FEE" w:rsidRPr="00390E64" w:rsidRDefault="0037278D" w:rsidP="0037278D">
      <w:pPr>
        <w:pStyle w:val="ListParagraph"/>
        <w:ind w:left="0"/>
        <w:contextualSpacing/>
        <w:rPr>
          <w:rFonts w:ascii="Times New Roman" w:hAnsi="Times New Roman"/>
          <w:sz w:val="24"/>
          <w:szCs w:val="24"/>
        </w:rPr>
      </w:pPr>
      <w:r w:rsidRPr="00390E64">
        <w:rPr>
          <w:rFonts w:ascii="Times New Roman" w:hAnsi="Times New Roman"/>
          <w:sz w:val="24"/>
          <w:szCs w:val="24"/>
        </w:rPr>
        <w:lastRenderedPageBreak/>
        <w:t xml:space="preserve">ORO proposes to use this generic survey tool to </w:t>
      </w:r>
      <w:r w:rsidR="00190FE2" w:rsidRPr="00390E64">
        <w:rPr>
          <w:rFonts w:ascii="Times New Roman" w:eastAsiaTheme="minorEastAsia" w:hAnsi="Times New Roman"/>
          <w:sz w:val="24"/>
          <w:szCs w:val="24"/>
        </w:rPr>
        <w:t xml:space="preserve">collect, analyze, and interpret information gathered to identify strengths and weaknesses of </w:t>
      </w:r>
      <w:r w:rsidR="005A7152" w:rsidRPr="00390E64">
        <w:rPr>
          <w:rFonts w:ascii="Times New Roman" w:eastAsiaTheme="minorEastAsia" w:hAnsi="Times New Roman"/>
          <w:sz w:val="24"/>
          <w:szCs w:val="24"/>
        </w:rPr>
        <w:t>educational event</w:t>
      </w:r>
      <w:r w:rsidRPr="00390E64">
        <w:rPr>
          <w:rFonts w:ascii="Times New Roman" w:eastAsiaTheme="minorEastAsia" w:hAnsi="Times New Roman"/>
          <w:sz w:val="24"/>
          <w:szCs w:val="24"/>
        </w:rPr>
        <w:t>s</w:t>
      </w:r>
      <w:r w:rsidR="00190FE2" w:rsidRPr="00390E64">
        <w:rPr>
          <w:rFonts w:ascii="Times New Roman" w:eastAsiaTheme="minorEastAsia" w:hAnsi="Times New Roman"/>
          <w:sz w:val="24"/>
          <w:szCs w:val="24"/>
        </w:rPr>
        <w:t xml:space="preserve"> and make improvements in service delivery based on feedback.  Specifically, </w:t>
      </w:r>
      <w:r w:rsidRPr="00390E64">
        <w:rPr>
          <w:rFonts w:ascii="Times New Roman" w:eastAsiaTheme="minorEastAsia" w:hAnsi="Times New Roman"/>
          <w:sz w:val="24"/>
          <w:szCs w:val="24"/>
        </w:rPr>
        <w:t xml:space="preserve">ORO </w:t>
      </w:r>
      <w:r w:rsidR="00190FE2" w:rsidRPr="00390E64">
        <w:rPr>
          <w:rFonts w:ascii="Times New Roman" w:eastAsiaTheme="minorEastAsia" w:hAnsi="Times New Roman"/>
          <w:sz w:val="24"/>
          <w:szCs w:val="24"/>
        </w:rPr>
        <w:t>will</w:t>
      </w:r>
      <w:r w:rsidR="00090E64" w:rsidRPr="00390E64">
        <w:rPr>
          <w:rFonts w:ascii="Times New Roman" w:hAnsi="Times New Roman"/>
          <w:sz w:val="24"/>
          <w:szCs w:val="24"/>
        </w:rPr>
        <w:t xml:space="preserve"> assess whether attendance improved attendees’ knowledge about and awareness of </w:t>
      </w:r>
      <w:r w:rsidR="00067F7F" w:rsidRPr="00390E64">
        <w:rPr>
          <w:rFonts w:ascii="Times New Roman" w:hAnsi="Times New Roman"/>
          <w:sz w:val="24"/>
          <w:szCs w:val="24"/>
        </w:rPr>
        <w:t>the</w:t>
      </w:r>
      <w:r w:rsidR="00090E64" w:rsidRPr="00390E64">
        <w:rPr>
          <w:rFonts w:ascii="Times New Roman" w:hAnsi="Times New Roman"/>
          <w:sz w:val="24"/>
          <w:szCs w:val="24"/>
        </w:rPr>
        <w:t xml:space="preserve"> </w:t>
      </w:r>
      <w:r w:rsidR="00067F7F" w:rsidRPr="00390E64">
        <w:rPr>
          <w:rFonts w:ascii="Times New Roman" w:hAnsi="Times New Roman"/>
          <w:sz w:val="24"/>
          <w:szCs w:val="24"/>
        </w:rPr>
        <w:t>topic discussed</w:t>
      </w:r>
      <w:r w:rsidR="00090E64" w:rsidRPr="00390E64">
        <w:rPr>
          <w:rFonts w:ascii="Times New Roman" w:hAnsi="Times New Roman"/>
          <w:sz w:val="24"/>
          <w:szCs w:val="24"/>
        </w:rPr>
        <w:t>; assess the degree to which attendees found such content useful; and</w:t>
      </w:r>
      <w:r w:rsidR="00A52872" w:rsidRPr="00390E64">
        <w:rPr>
          <w:rFonts w:ascii="Times New Roman" w:hAnsi="Times New Roman"/>
          <w:sz w:val="24"/>
          <w:szCs w:val="24"/>
        </w:rPr>
        <w:t xml:space="preserve"> determine</w:t>
      </w:r>
      <w:r w:rsidR="00090E64" w:rsidRPr="00390E64">
        <w:rPr>
          <w:rFonts w:ascii="Times New Roman" w:hAnsi="Times New Roman"/>
          <w:sz w:val="24"/>
          <w:szCs w:val="24"/>
        </w:rPr>
        <w:t xml:space="preserve"> whether or not participation in all or part of th</w:t>
      </w:r>
      <w:r w:rsidR="00490BAB" w:rsidRPr="00390E64">
        <w:rPr>
          <w:rFonts w:ascii="Times New Roman" w:hAnsi="Times New Roman"/>
          <w:sz w:val="24"/>
          <w:szCs w:val="24"/>
        </w:rPr>
        <w:t xml:space="preserve">e </w:t>
      </w:r>
      <w:r w:rsidR="005A7152" w:rsidRPr="00390E64">
        <w:rPr>
          <w:rFonts w:ascii="Times New Roman" w:hAnsi="Times New Roman"/>
          <w:sz w:val="24"/>
          <w:szCs w:val="24"/>
        </w:rPr>
        <w:t>event</w:t>
      </w:r>
      <w:r w:rsidR="00090E64" w:rsidRPr="00390E64">
        <w:rPr>
          <w:rFonts w:ascii="Times New Roman" w:hAnsi="Times New Roman"/>
          <w:sz w:val="24"/>
          <w:szCs w:val="24"/>
        </w:rPr>
        <w:t xml:space="preserve"> </w:t>
      </w:r>
      <w:r w:rsidR="003C64FF" w:rsidRPr="00390E64">
        <w:rPr>
          <w:rFonts w:ascii="Times New Roman" w:hAnsi="Times New Roman"/>
          <w:sz w:val="24"/>
          <w:szCs w:val="24"/>
        </w:rPr>
        <w:t>is correlated with</w:t>
      </w:r>
      <w:r w:rsidR="00090E64" w:rsidRPr="00390E64">
        <w:rPr>
          <w:rFonts w:ascii="Times New Roman" w:hAnsi="Times New Roman"/>
          <w:sz w:val="24"/>
          <w:szCs w:val="24"/>
        </w:rPr>
        <w:t xml:space="preserve"> </w:t>
      </w:r>
      <w:r w:rsidRPr="00390E64">
        <w:rPr>
          <w:rFonts w:ascii="Times New Roman" w:hAnsi="Times New Roman"/>
          <w:sz w:val="24"/>
          <w:szCs w:val="24"/>
        </w:rPr>
        <w:t>an anticipated change in the attendee’s approach to their work</w:t>
      </w:r>
      <w:r w:rsidR="00A52872" w:rsidRPr="00390E64">
        <w:rPr>
          <w:rFonts w:ascii="Times New Roman" w:hAnsi="Times New Roman"/>
          <w:sz w:val="24"/>
          <w:szCs w:val="24"/>
        </w:rPr>
        <w:t xml:space="preserve">. </w:t>
      </w:r>
      <w:r w:rsidRPr="00390E64">
        <w:rPr>
          <w:rFonts w:ascii="Times New Roman" w:eastAsiaTheme="minorEastAsia" w:hAnsi="Times New Roman"/>
          <w:sz w:val="24"/>
          <w:szCs w:val="24"/>
        </w:rPr>
        <w:t xml:space="preserve">Further, this survey tool will be utilized by all 10 Regional Offices streamlining information collection and allow for </w:t>
      </w:r>
      <w:r w:rsidR="0020146C">
        <w:rPr>
          <w:rFonts w:ascii="Times New Roman" w:eastAsiaTheme="minorEastAsia" w:hAnsi="Times New Roman"/>
          <w:sz w:val="24"/>
          <w:szCs w:val="24"/>
        </w:rPr>
        <w:t xml:space="preserve">comparative </w:t>
      </w:r>
      <w:r w:rsidR="00390E64" w:rsidRPr="00390E64">
        <w:rPr>
          <w:rFonts w:ascii="Times New Roman" w:eastAsiaTheme="minorEastAsia" w:hAnsi="Times New Roman"/>
          <w:sz w:val="24"/>
          <w:szCs w:val="24"/>
        </w:rPr>
        <w:t xml:space="preserve">analysis of survey results.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8E176A" w:rsidRDefault="006F747E" w:rsidP="00A24E14">
      <w:pPr>
        <w:tabs>
          <w:tab w:val="left" w:pos="-720"/>
        </w:tabs>
        <w:rPr>
          <w:rFonts w:ascii="Times New Roman" w:hAnsi="Times New Roman"/>
          <w:sz w:val="24"/>
          <w:szCs w:val="24"/>
        </w:rPr>
      </w:pPr>
      <w:r>
        <w:rPr>
          <w:rFonts w:ascii="Times New Roman" w:hAnsi="Times New Roman"/>
          <w:sz w:val="24"/>
          <w:szCs w:val="24"/>
        </w:rPr>
        <w:t xml:space="preserve">The </w:t>
      </w:r>
      <w:r w:rsidR="003C3A77">
        <w:rPr>
          <w:rFonts w:ascii="Times New Roman" w:hAnsi="Times New Roman"/>
          <w:sz w:val="24"/>
          <w:szCs w:val="24"/>
        </w:rPr>
        <w:t>information collected will serve</w:t>
      </w:r>
      <w:r>
        <w:rPr>
          <w:rFonts w:ascii="Times New Roman" w:hAnsi="Times New Roman"/>
          <w:sz w:val="24"/>
          <w:szCs w:val="24"/>
        </w:rPr>
        <w:t xml:space="preserve"> to identify how well the </w:t>
      </w:r>
      <w:r w:rsidR="005A7152">
        <w:rPr>
          <w:rFonts w:ascii="Times New Roman" w:hAnsi="Times New Roman"/>
          <w:sz w:val="24"/>
          <w:szCs w:val="24"/>
        </w:rPr>
        <w:t>educational event</w:t>
      </w:r>
      <w:r>
        <w:rPr>
          <w:rFonts w:ascii="Times New Roman" w:hAnsi="Times New Roman"/>
          <w:sz w:val="24"/>
          <w:szCs w:val="24"/>
        </w:rPr>
        <w:t xml:space="preserve"> attain</w:t>
      </w:r>
      <w:r w:rsidR="008B26BE">
        <w:rPr>
          <w:rFonts w:ascii="Times New Roman" w:hAnsi="Times New Roman"/>
          <w:sz w:val="24"/>
          <w:szCs w:val="24"/>
        </w:rPr>
        <w:t>ed</w:t>
      </w:r>
      <w:r>
        <w:rPr>
          <w:rFonts w:ascii="Times New Roman" w:hAnsi="Times New Roman"/>
          <w:sz w:val="24"/>
          <w:szCs w:val="24"/>
        </w:rPr>
        <w:t xml:space="preserve"> its goals</w:t>
      </w:r>
      <w:r w:rsidR="003111D1">
        <w:rPr>
          <w:rFonts w:ascii="Times New Roman" w:hAnsi="Times New Roman"/>
          <w:sz w:val="24"/>
          <w:szCs w:val="24"/>
        </w:rPr>
        <w:t xml:space="preserve"> of</w:t>
      </w:r>
      <w:r>
        <w:rPr>
          <w:rFonts w:ascii="Times New Roman" w:hAnsi="Times New Roman"/>
          <w:sz w:val="24"/>
          <w:szCs w:val="24"/>
        </w:rPr>
        <w:t xml:space="preserve"> improving providers’ knowledge and awareness of health </w:t>
      </w:r>
      <w:r w:rsidR="005A7152">
        <w:rPr>
          <w:rFonts w:ascii="Times New Roman" w:hAnsi="Times New Roman"/>
          <w:sz w:val="24"/>
          <w:szCs w:val="24"/>
        </w:rPr>
        <w:t xml:space="preserve">care </w:t>
      </w:r>
      <w:r>
        <w:rPr>
          <w:rFonts w:ascii="Times New Roman" w:hAnsi="Times New Roman"/>
          <w:sz w:val="24"/>
          <w:szCs w:val="24"/>
        </w:rPr>
        <w:t>services</w:t>
      </w:r>
      <w:r w:rsidR="00643FD8">
        <w:rPr>
          <w:rFonts w:ascii="Times New Roman" w:hAnsi="Times New Roman"/>
          <w:sz w:val="24"/>
          <w:szCs w:val="24"/>
        </w:rPr>
        <w:t>,</w:t>
      </w:r>
      <w:r w:rsidR="00A24E14">
        <w:rPr>
          <w:rFonts w:ascii="Times New Roman" w:hAnsi="Times New Roman"/>
          <w:sz w:val="24"/>
          <w:szCs w:val="24"/>
        </w:rPr>
        <w:t xml:space="preserve"> providing information on </w:t>
      </w:r>
      <w:r w:rsidR="005A7152">
        <w:rPr>
          <w:rFonts w:ascii="Times New Roman" w:hAnsi="Times New Roman"/>
          <w:sz w:val="24"/>
          <w:szCs w:val="24"/>
        </w:rPr>
        <w:t>a</w:t>
      </w:r>
      <w:r w:rsidR="00A24E14">
        <w:rPr>
          <w:rFonts w:ascii="Times New Roman" w:hAnsi="Times New Roman"/>
          <w:sz w:val="24"/>
          <w:szCs w:val="24"/>
        </w:rPr>
        <w:t xml:space="preserve"> health </w:t>
      </w:r>
      <w:r w:rsidR="005A7152">
        <w:rPr>
          <w:rFonts w:ascii="Times New Roman" w:hAnsi="Times New Roman"/>
          <w:sz w:val="24"/>
          <w:szCs w:val="24"/>
        </w:rPr>
        <w:t xml:space="preserve">care topic </w:t>
      </w:r>
      <w:r w:rsidR="00A24E14">
        <w:rPr>
          <w:rFonts w:ascii="Times New Roman" w:hAnsi="Times New Roman"/>
          <w:sz w:val="24"/>
          <w:szCs w:val="24"/>
        </w:rPr>
        <w:t>that attendees perceive as useful</w:t>
      </w:r>
      <w:r w:rsidR="00643FD8">
        <w:rPr>
          <w:rFonts w:ascii="Times New Roman" w:hAnsi="Times New Roman"/>
          <w:sz w:val="24"/>
          <w:szCs w:val="24"/>
        </w:rPr>
        <w:t>,</w:t>
      </w:r>
      <w:r w:rsidR="00A24E14">
        <w:rPr>
          <w:rFonts w:ascii="Times New Roman" w:hAnsi="Times New Roman"/>
          <w:sz w:val="24"/>
          <w:szCs w:val="24"/>
        </w:rPr>
        <w:t xml:space="preserve"> and increasing the amount of health </w:t>
      </w:r>
      <w:r w:rsidR="005A7152">
        <w:rPr>
          <w:rFonts w:ascii="Times New Roman" w:hAnsi="Times New Roman"/>
          <w:sz w:val="24"/>
          <w:szCs w:val="24"/>
        </w:rPr>
        <w:t xml:space="preserve">care </w:t>
      </w:r>
      <w:r w:rsidR="00A24E14">
        <w:rPr>
          <w:rFonts w:ascii="Times New Roman" w:hAnsi="Times New Roman"/>
          <w:sz w:val="24"/>
          <w:szCs w:val="24"/>
        </w:rPr>
        <w:t xml:space="preserve">services provided by attendee organizations. </w:t>
      </w:r>
      <w:r w:rsidR="003268C6">
        <w:rPr>
          <w:rFonts w:ascii="Times New Roman" w:hAnsi="Times New Roman"/>
          <w:sz w:val="24"/>
          <w:szCs w:val="24"/>
        </w:rPr>
        <w:t>ORO staff will use t</w:t>
      </w:r>
      <w:r w:rsidR="008B26BE">
        <w:rPr>
          <w:rFonts w:ascii="Times New Roman" w:hAnsi="Times New Roman"/>
          <w:sz w:val="24"/>
          <w:szCs w:val="24"/>
        </w:rPr>
        <w:t xml:space="preserve">he </w:t>
      </w:r>
      <w:r w:rsidR="00643FD8">
        <w:rPr>
          <w:rFonts w:ascii="Times New Roman" w:hAnsi="Times New Roman"/>
          <w:sz w:val="24"/>
          <w:szCs w:val="24"/>
        </w:rPr>
        <w:t xml:space="preserve">information collected </w:t>
      </w:r>
      <w:r w:rsidR="00A24E14">
        <w:rPr>
          <w:rFonts w:ascii="Times New Roman" w:hAnsi="Times New Roman"/>
          <w:sz w:val="24"/>
          <w:szCs w:val="24"/>
        </w:rPr>
        <w:t xml:space="preserve">to determine if similar </w:t>
      </w:r>
      <w:r w:rsidR="005A7152">
        <w:rPr>
          <w:rFonts w:ascii="Times New Roman" w:hAnsi="Times New Roman"/>
          <w:sz w:val="24"/>
          <w:szCs w:val="24"/>
        </w:rPr>
        <w:t xml:space="preserve">educational events </w:t>
      </w:r>
      <w:r w:rsidR="003C3A77">
        <w:rPr>
          <w:rFonts w:ascii="Times New Roman" w:hAnsi="Times New Roman"/>
          <w:sz w:val="24"/>
          <w:szCs w:val="24"/>
        </w:rPr>
        <w:t>are necessary,</w:t>
      </w:r>
      <w:r w:rsidR="00A24E14">
        <w:rPr>
          <w:rFonts w:ascii="Times New Roman" w:hAnsi="Times New Roman"/>
          <w:sz w:val="24"/>
          <w:szCs w:val="24"/>
        </w:rPr>
        <w:t xml:space="preserve"> and if changes might help to better attain the stated goals. Similarly, </w:t>
      </w:r>
      <w:r w:rsidR="003268C6">
        <w:rPr>
          <w:rFonts w:ascii="Times New Roman" w:hAnsi="Times New Roman"/>
          <w:sz w:val="24"/>
          <w:szCs w:val="24"/>
        </w:rPr>
        <w:t xml:space="preserve">ORO staff will use </w:t>
      </w:r>
      <w:r w:rsidR="00A24E14">
        <w:rPr>
          <w:rFonts w:ascii="Times New Roman" w:hAnsi="Times New Roman"/>
          <w:sz w:val="24"/>
          <w:szCs w:val="24"/>
        </w:rPr>
        <w:t>information provi</w:t>
      </w:r>
      <w:r w:rsidR="0020146C">
        <w:rPr>
          <w:rFonts w:ascii="Times New Roman" w:hAnsi="Times New Roman"/>
          <w:sz w:val="24"/>
          <w:szCs w:val="24"/>
        </w:rPr>
        <w:t xml:space="preserve">ded to make informed decisions about continuing, eliminating reformatting/redesigning ORO outreach and education events. </w:t>
      </w:r>
    </w:p>
    <w:p w:rsidR="0020146C" w:rsidRDefault="0020146C" w:rsidP="00A24E14">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8B26BE" w:rsidRDefault="0034509C" w:rsidP="00A5212C">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 generic survey tool will be </w:t>
      </w:r>
      <w:r w:rsidR="00C4301B">
        <w:rPr>
          <w:rFonts w:ascii="Times New Roman" w:hAnsi="Times New Roman"/>
          <w:sz w:val="24"/>
          <w:szCs w:val="24"/>
        </w:rPr>
        <w:t>made available</w:t>
      </w:r>
      <w:r>
        <w:rPr>
          <w:rFonts w:ascii="Times New Roman" w:hAnsi="Times New Roman"/>
          <w:sz w:val="24"/>
          <w:szCs w:val="24"/>
        </w:rPr>
        <w:t xml:space="preserve"> electronically (via email</w:t>
      </w:r>
      <w:r w:rsidR="00A5212C">
        <w:rPr>
          <w:rFonts w:ascii="Times New Roman" w:hAnsi="Times New Roman"/>
          <w:sz w:val="24"/>
          <w:szCs w:val="24"/>
        </w:rPr>
        <w:t xml:space="preserve">, or a web based survey platform) for all </w:t>
      </w:r>
      <w:r>
        <w:rPr>
          <w:rFonts w:ascii="Times New Roman" w:hAnsi="Times New Roman"/>
          <w:sz w:val="24"/>
          <w:szCs w:val="24"/>
        </w:rPr>
        <w:t xml:space="preserve">events.  </w:t>
      </w:r>
      <w:r w:rsidR="00A5212C">
        <w:rPr>
          <w:rFonts w:ascii="Times New Roman" w:hAnsi="Times New Roman"/>
          <w:sz w:val="24"/>
          <w:szCs w:val="24"/>
        </w:rPr>
        <w:t xml:space="preserve">ORO conducts outreach and education across the </w:t>
      </w:r>
      <w:r w:rsidR="000026E9">
        <w:rPr>
          <w:rFonts w:ascii="Times New Roman" w:hAnsi="Times New Roman"/>
          <w:sz w:val="24"/>
          <w:szCs w:val="24"/>
        </w:rPr>
        <w:t>nation and for</w:t>
      </w:r>
      <w:r w:rsidR="00A5212C">
        <w:rPr>
          <w:rFonts w:ascii="Times New Roman" w:hAnsi="Times New Roman"/>
          <w:sz w:val="24"/>
          <w:szCs w:val="24"/>
        </w:rPr>
        <w:t xml:space="preserve"> some areas/populations/customers access to technology (e.g. internet) is a</w:t>
      </w:r>
      <w:r w:rsidR="00C4301B">
        <w:rPr>
          <w:rFonts w:ascii="Times New Roman" w:hAnsi="Times New Roman"/>
          <w:sz w:val="24"/>
          <w:szCs w:val="24"/>
        </w:rPr>
        <w:t xml:space="preserve"> challenge and/or is not the preferred method of communication</w:t>
      </w:r>
      <w:r w:rsidR="00A5212C">
        <w:rPr>
          <w:rFonts w:ascii="Times New Roman" w:hAnsi="Times New Roman"/>
          <w:sz w:val="24"/>
          <w:szCs w:val="24"/>
        </w:rPr>
        <w:t xml:space="preserve">.  </w:t>
      </w:r>
      <w:r w:rsidR="00C4301B">
        <w:rPr>
          <w:rFonts w:ascii="Times New Roman" w:hAnsi="Times New Roman"/>
          <w:sz w:val="24"/>
          <w:szCs w:val="24"/>
        </w:rPr>
        <w:t>Some of the customers/populations ORO serves (e.g. Tribal organizations) request face to face transactions. As such, f</w:t>
      </w:r>
      <w:r w:rsidR="00A5212C">
        <w:rPr>
          <w:rFonts w:ascii="Times New Roman" w:hAnsi="Times New Roman"/>
          <w:sz w:val="24"/>
          <w:szCs w:val="24"/>
        </w:rPr>
        <w:t>or events that may have limited access to an electronic means to complete the survey</w:t>
      </w:r>
      <w:r w:rsidR="00C4301B">
        <w:rPr>
          <w:rFonts w:ascii="Times New Roman" w:hAnsi="Times New Roman"/>
          <w:sz w:val="24"/>
          <w:szCs w:val="24"/>
        </w:rPr>
        <w:t xml:space="preserve"> or request to receive the survey in hard copy</w:t>
      </w:r>
      <w:r w:rsidR="00A5212C">
        <w:rPr>
          <w:rFonts w:ascii="Times New Roman" w:hAnsi="Times New Roman"/>
          <w:sz w:val="24"/>
          <w:szCs w:val="24"/>
        </w:rPr>
        <w:t xml:space="preserve">, the </w:t>
      </w:r>
      <w:r>
        <w:rPr>
          <w:rFonts w:ascii="Times New Roman" w:hAnsi="Times New Roman"/>
          <w:sz w:val="24"/>
          <w:szCs w:val="24"/>
        </w:rPr>
        <w:t xml:space="preserve">tool will administered </w:t>
      </w:r>
      <w:r w:rsidR="00A5212C">
        <w:rPr>
          <w:rFonts w:ascii="Times New Roman" w:hAnsi="Times New Roman"/>
          <w:sz w:val="24"/>
          <w:szCs w:val="24"/>
        </w:rPr>
        <w:t xml:space="preserve">in hard copy.  </w:t>
      </w:r>
    </w:p>
    <w:p w:rsidR="00896384" w:rsidRPr="00896384" w:rsidRDefault="00896384" w:rsidP="00896384">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C65941" w:rsidRDefault="00C65941">
      <w:pPr>
        <w:tabs>
          <w:tab w:val="left" w:pos="-720"/>
          <w:tab w:val="left" w:pos="720"/>
          <w:tab w:val="right" w:pos="8648"/>
        </w:tabs>
        <w:rPr>
          <w:rFonts w:ascii="Times New Roman" w:hAnsi="Times New Roman"/>
          <w:sz w:val="24"/>
          <w:szCs w:val="24"/>
        </w:rPr>
      </w:pPr>
    </w:p>
    <w:p w:rsidR="000026E9" w:rsidRDefault="00F078F5">
      <w:pPr>
        <w:tabs>
          <w:tab w:val="left" w:pos="-720"/>
          <w:tab w:val="left" w:pos="720"/>
          <w:tab w:val="right" w:pos="8648"/>
        </w:tabs>
        <w:rPr>
          <w:rFonts w:ascii="Times New Roman" w:hAnsi="Times New Roman"/>
          <w:sz w:val="24"/>
          <w:szCs w:val="24"/>
        </w:rPr>
      </w:pPr>
      <w:r>
        <w:rPr>
          <w:rFonts w:ascii="Times New Roman" w:hAnsi="Times New Roman"/>
          <w:sz w:val="24"/>
          <w:szCs w:val="24"/>
        </w:rPr>
        <w:t>The survey is designed to</w:t>
      </w:r>
      <w:r w:rsidR="000026E9">
        <w:rPr>
          <w:rFonts w:ascii="Times New Roman" w:hAnsi="Times New Roman"/>
          <w:sz w:val="24"/>
          <w:szCs w:val="24"/>
        </w:rPr>
        <w:t xml:space="preserve"> assess the quality </w:t>
      </w:r>
      <w:r w:rsidR="008B26BE">
        <w:rPr>
          <w:rFonts w:ascii="Times New Roman" w:hAnsi="Times New Roman"/>
          <w:sz w:val="24"/>
          <w:szCs w:val="24"/>
        </w:rPr>
        <w:t xml:space="preserve">of </w:t>
      </w:r>
      <w:r w:rsidR="00A5212C">
        <w:rPr>
          <w:rFonts w:ascii="Times New Roman" w:hAnsi="Times New Roman"/>
          <w:sz w:val="24"/>
          <w:szCs w:val="24"/>
        </w:rPr>
        <w:t>outreach and</w:t>
      </w:r>
      <w:r w:rsidR="008B26BE">
        <w:rPr>
          <w:rFonts w:ascii="Times New Roman" w:hAnsi="Times New Roman"/>
          <w:sz w:val="24"/>
          <w:szCs w:val="24"/>
        </w:rPr>
        <w:t xml:space="preserve"> </w:t>
      </w:r>
      <w:r w:rsidR="00A5212C">
        <w:rPr>
          <w:rFonts w:ascii="Times New Roman" w:hAnsi="Times New Roman"/>
          <w:sz w:val="24"/>
          <w:szCs w:val="24"/>
        </w:rPr>
        <w:t xml:space="preserve">education </w:t>
      </w:r>
      <w:r w:rsidR="003268C6">
        <w:rPr>
          <w:rFonts w:ascii="Times New Roman" w:hAnsi="Times New Roman"/>
          <w:sz w:val="24"/>
          <w:szCs w:val="24"/>
        </w:rPr>
        <w:t>event</w:t>
      </w:r>
      <w:r w:rsidR="0020146C">
        <w:rPr>
          <w:rFonts w:ascii="Times New Roman" w:hAnsi="Times New Roman"/>
          <w:sz w:val="24"/>
          <w:szCs w:val="24"/>
        </w:rPr>
        <w:t>s</w:t>
      </w:r>
      <w:r w:rsidR="008B26BE">
        <w:rPr>
          <w:rFonts w:ascii="Times New Roman" w:hAnsi="Times New Roman"/>
          <w:sz w:val="24"/>
          <w:szCs w:val="24"/>
        </w:rPr>
        <w:t xml:space="preserve"> offered by HRSA</w:t>
      </w:r>
      <w:r w:rsidR="003268C6">
        <w:rPr>
          <w:rFonts w:ascii="Times New Roman" w:hAnsi="Times New Roman"/>
          <w:sz w:val="24"/>
          <w:szCs w:val="24"/>
        </w:rPr>
        <w:t>/ORO</w:t>
      </w:r>
      <w:r w:rsidR="00643FD8">
        <w:rPr>
          <w:rFonts w:ascii="Times New Roman" w:hAnsi="Times New Roman"/>
          <w:sz w:val="24"/>
          <w:szCs w:val="24"/>
        </w:rPr>
        <w:t>.  No</w:t>
      </w:r>
      <w:r w:rsidR="008B26BE">
        <w:rPr>
          <w:rFonts w:ascii="Times New Roman" w:hAnsi="Times New Roman"/>
          <w:sz w:val="24"/>
          <w:szCs w:val="24"/>
        </w:rPr>
        <w:t xml:space="preserve"> other organization is collect</w:t>
      </w:r>
      <w:r w:rsidR="00A5212C">
        <w:rPr>
          <w:rFonts w:ascii="Times New Roman" w:hAnsi="Times New Roman"/>
          <w:sz w:val="24"/>
          <w:szCs w:val="24"/>
        </w:rPr>
        <w:t>ing information on these activities</w:t>
      </w:r>
      <w:r w:rsidR="008B26BE">
        <w:rPr>
          <w:rFonts w:ascii="Times New Roman" w:hAnsi="Times New Roman"/>
          <w:sz w:val="24"/>
          <w:szCs w:val="24"/>
        </w:rPr>
        <w:t xml:space="preserve">. </w:t>
      </w:r>
    </w:p>
    <w:p w:rsidR="000026E9" w:rsidRDefault="000026E9">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C65941" w:rsidRDefault="00C65941">
      <w:pPr>
        <w:tabs>
          <w:tab w:val="left" w:pos="-720"/>
          <w:tab w:val="left" w:pos="720"/>
          <w:tab w:val="right" w:pos="8648"/>
        </w:tabs>
        <w:rPr>
          <w:rFonts w:ascii="Times New Roman" w:hAnsi="Times New Roman"/>
          <w:sz w:val="24"/>
          <w:szCs w:val="24"/>
        </w:rPr>
      </w:pPr>
    </w:p>
    <w:p w:rsidR="00E931BF" w:rsidRPr="00EC2243" w:rsidRDefault="00723C2F" w:rsidP="00E931BF">
      <w:pPr>
        <w:tabs>
          <w:tab w:val="left" w:pos="-720"/>
        </w:tabs>
        <w:rPr>
          <w:rFonts w:ascii="Times New Roman" w:hAnsi="Times New Roman"/>
          <w:sz w:val="24"/>
          <w:szCs w:val="24"/>
        </w:rPr>
      </w:pPr>
      <w:r>
        <w:rPr>
          <w:rFonts w:ascii="Times New Roman" w:hAnsi="Times New Roman"/>
          <w:sz w:val="24"/>
          <w:szCs w:val="24"/>
        </w:rPr>
        <w:t xml:space="preserve">No small businesses will be involved in these educational events. </w:t>
      </w:r>
      <w:r w:rsidR="00E931BF" w:rsidRPr="00EC2243">
        <w:rPr>
          <w:rFonts w:ascii="Times New Roman" w:hAnsi="Times New Roman"/>
          <w:sz w:val="24"/>
          <w:szCs w:val="24"/>
        </w:rPr>
        <w:t xml:space="preserve">This activity does not have significant impact on small entities. </w:t>
      </w:r>
    </w:p>
    <w:p w:rsidR="00643FD8" w:rsidRDefault="00643FD8">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C65941" w:rsidRDefault="00C65941">
      <w:pPr>
        <w:tabs>
          <w:tab w:val="left" w:pos="-720"/>
          <w:tab w:val="left" w:pos="720"/>
          <w:tab w:val="right" w:pos="8648"/>
        </w:tabs>
        <w:rPr>
          <w:rFonts w:ascii="Times New Roman" w:hAnsi="Times New Roman"/>
          <w:sz w:val="24"/>
          <w:szCs w:val="24"/>
        </w:rPr>
      </w:pPr>
    </w:p>
    <w:p w:rsidR="001879E5" w:rsidRDefault="00C65941">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survey is a one-time evaluation of the relevance, usefulness, and effectiveness of a time-limited </w:t>
      </w:r>
      <w:r w:rsidR="003268C6">
        <w:rPr>
          <w:rFonts w:ascii="Times New Roman" w:hAnsi="Times New Roman"/>
          <w:sz w:val="24"/>
          <w:szCs w:val="24"/>
        </w:rPr>
        <w:t>educational event</w:t>
      </w:r>
      <w:r>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public comments were received.  </w:t>
      </w:r>
    </w:p>
    <w:p w:rsidR="009B5A14" w:rsidRDefault="009B5A14">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C65941" w:rsidRDefault="00C65941">
      <w:pPr>
        <w:tabs>
          <w:tab w:val="left" w:pos="720"/>
          <w:tab w:val="right" w:pos="8677"/>
        </w:tabs>
        <w:rPr>
          <w:rFonts w:ascii="Times New Roman" w:hAnsi="Times New Roman"/>
          <w:sz w:val="24"/>
          <w:szCs w:val="24"/>
        </w:rPr>
      </w:pPr>
      <w:r>
        <w:rPr>
          <w:rFonts w:ascii="Times New Roman" w:hAnsi="Times New Roman"/>
          <w:sz w:val="24"/>
          <w:szCs w:val="24"/>
        </w:rPr>
        <w:t>Not applicable.</w:t>
      </w:r>
    </w:p>
    <w:p w:rsidR="0033551D" w:rsidRDefault="0033551D">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8C13E2" w:rsidRDefault="00C65941">
      <w:pPr>
        <w:tabs>
          <w:tab w:val="left" w:pos="-720"/>
        </w:tabs>
        <w:rPr>
          <w:rFonts w:ascii="Times New Roman" w:hAnsi="Times New Roman"/>
          <w:sz w:val="24"/>
          <w:szCs w:val="24"/>
        </w:rPr>
      </w:pPr>
      <w:r>
        <w:rPr>
          <w:rFonts w:ascii="Times New Roman" w:hAnsi="Times New Roman"/>
          <w:sz w:val="24"/>
          <w:szCs w:val="24"/>
        </w:rPr>
        <w:t xml:space="preserve">This survey will not collect any PII; participation will be voluntary and responses are anonymous.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896384" w:rsidRDefault="00896384" w:rsidP="00C65941">
      <w:pPr>
        <w:widowControl/>
        <w:spacing w:before="120"/>
        <w:rPr>
          <w:rFonts w:ascii="Times New Roman" w:hAnsi="Times New Roman"/>
          <w:sz w:val="24"/>
          <w:szCs w:val="24"/>
        </w:rPr>
      </w:pPr>
    </w:p>
    <w:p w:rsidR="00C65941" w:rsidRPr="00896384" w:rsidRDefault="00C65941" w:rsidP="00C65941">
      <w:pPr>
        <w:widowControl/>
        <w:spacing w:before="120"/>
        <w:rPr>
          <w:rFonts w:ascii="Times New Roman" w:hAnsi="Times New Roman"/>
          <w:sz w:val="24"/>
          <w:highlight w:val="yellow"/>
        </w:rPr>
      </w:pPr>
      <w:r>
        <w:rPr>
          <w:rFonts w:ascii="Times New Roman" w:hAnsi="Times New Roman"/>
          <w:sz w:val="24"/>
          <w:szCs w:val="24"/>
        </w:rPr>
        <w:t>The survey does not contain</w:t>
      </w:r>
      <w:r w:rsidR="00924018">
        <w:rPr>
          <w:rFonts w:ascii="Times New Roman" w:hAnsi="Times New Roman"/>
          <w:sz w:val="24"/>
          <w:szCs w:val="24"/>
        </w:rPr>
        <w:t xml:space="preserve"> questions of a sensitive nature.</w:t>
      </w:r>
    </w:p>
    <w:p w:rsidR="001879E5" w:rsidRDefault="001879E5">
      <w:pPr>
        <w:tabs>
          <w:tab w:val="left" w:pos="-720"/>
        </w:tabs>
        <w:rPr>
          <w:rFonts w:ascii="Times New Roman" w:hAnsi="Times New Roman"/>
          <w:sz w:val="24"/>
          <w:szCs w:val="24"/>
        </w:rPr>
      </w:pP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rsidR="00924018" w:rsidRDefault="00924018" w:rsidP="00176576">
      <w:pPr>
        <w:pStyle w:val="NormalSS"/>
        <w:ind w:firstLine="0"/>
        <w:jc w:val="left"/>
        <w:rPr>
          <w:szCs w:val="24"/>
        </w:rPr>
      </w:pPr>
    </w:p>
    <w:p w:rsidR="00924018" w:rsidRDefault="00190FE2" w:rsidP="00176576">
      <w:pPr>
        <w:pStyle w:val="NormalSS"/>
        <w:ind w:firstLine="0"/>
        <w:jc w:val="left"/>
        <w:rPr>
          <w:szCs w:val="24"/>
        </w:rPr>
      </w:pPr>
      <w:r>
        <w:rPr>
          <w:szCs w:val="24"/>
        </w:rPr>
        <w:t>R</w:t>
      </w:r>
      <w:r w:rsidR="00924018">
        <w:rPr>
          <w:szCs w:val="24"/>
        </w:rPr>
        <w:t xml:space="preserve">espondents will be </w:t>
      </w:r>
      <w:r>
        <w:rPr>
          <w:szCs w:val="24"/>
        </w:rPr>
        <w:t>all</w:t>
      </w:r>
      <w:r w:rsidR="00924018">
        <w:rPr>
          <w:szCs w:val="24"/>
        </w:rPr>
        <w:t xml:space="preserve"> </w:t>
      </w:r>
      <w:r w:rsidR="006F4DA1">
        <w:rPr>
          <w:szCs w:val="24"/>
        </w:rPr>
        <w:t xml:space="preserve">educational event </w:t>
      </w:r>
      <w:r w:rsidR="00924018">
        <w:rPr>
          <w:szCs w:val="24"/>
        </w:rPr>
        <w:t xml:space="preserve">participants who voluntarily complete the </w:t>
      </w:r>
      <w:r w:rsidR="00D42765">
        <w:rPr>
          <w:szCs w:val="24"/>
        </w:rPr>
        <w:t xml:space="preserve">survey after the event.  The respondent will only be contacted one time to respond to the survey for a particular event.  ORO estimates that outreach and education events in a given fiscal year will reach approximately 10,000 participants.  ORO intends to solicit surveys </w:t>
      </w:r>
      <w:r w:rsidR="006D2A2A">
        <w:rPr>
          <w:szCs w:val="24"/>
        </w:rPr>
        <w:t xml:space="preserve">from each of these participants.  </w:t>
      </w:r>
    </w:p>
    <w:p w:rsidR="006D2A2A" w:rsidRDefault="006D2A2A" w:rsidP="00176576">
      <w:pPr>
        <w:pStyle w:val="NormalSS"/>
        <w:ind w:firstLine="0"/>
        <w:jc w:val="left"/>
        <w:rPr>
          <w:szCs w:val="24"/>
        </w:rPr>
      </w:pPr>
    </w:p>
    <w:p w:rsidR="00924018" w:rsidRDefault="00BC057E" w:rsidP="00176576">
      <w:pPr>
        <w:pStyle w:val="NormalSS"/>
        <w:ind w:firstLine="0"/>
        <w:jc w:val="left"/>
        <w:rPr>
          <w:i/>
          <w:szCs w:val="24"/>
        </w:rPr>
      </w:pPr>
      <w:r>
        <w:rPr>
          <w:i/>
          <w:szCs w:val="24"/>
        </w:rPr>
        <w:t>Annual burden estimates:</w:t>
      </w:r>
    </w:p>
    <w:p w:rsidR="00BC057E" w:rsidRDefault="00BC057E" w:rsidP="00176576">
      <w:pPr>
        <w:pStyle w:val="NormalSS"/>
        <w:ind w:firstLine="0"/>
        <w:jc w:val="left"/>
        <w:rPr>
          <w:szCs w:val="24"/>
        </w:rPr>
      </w:pPr>
    </w:p>
    <w:p w:rsidR="00FA4C3B" w:rsidRDefault="00805500" w:rsidP="00FA4C3B">
      <w:pPr>
        <w:pStyle w:val="NormalSS"/>
        <w:ind w:firstLine="0"/>
        <w:jc w:val="left"/>
        <w:rPr>
          <w:szCs w:val="24"/>
        </w:rPr>
      </w:pPr>
      <w:r w:rsidRPr="0082468A">
        <w:rPr>
          <w:szCs w:val="24"/>
        </w:rPr>
        <w:t xml:space="preserve">The estimated annual burden for the one-time customer satisfaction survey for </w:t>
      </w:r>
      <w:r w:rsidR="006D2A2A">
        <w:rPr>
          <w:szCs w:val="24"/>
        </w:rPr>
        <w:t xml:space="preserve">the </w:t>
      </w:r>
      <w:r w:rsidRPr="0082468A">
        <w:rPr>
          <w:szCs w:val="24"/>
        </w:rPr>
        <w:t xml:space="preserve">total number of </w:t>
      </w:r>
      <w:r w:rsidR="00FA4C3B" w:rsidRPr="0082468A">
        <w:rPr>
          <w:szCs w:val="24"/>
        </w:rPr>
        <w:t>participants</w:t>
      </w:r>
      <w:r w:rsidR="006D2A2A">
        <w:rPr>
          <w:szCs w:val="24"/>
        </w:rPr>
        <w:t xml:space="preserve"> is 501 hours. ORO </w:t>
      </w:r>
      <w:r w:rsidRPr="0082468A">
        <w:rPr>
          <w:szCs w:val="24"/>
        </w:rPr>
        <w:t xml:space="preserve">will </w:t>
      </w:r>
      <w:r w:rsidR="006D2A2A">
        <w:rPr>
          <w:szCs w:val="24"/>
        </w:rPr>
        <w:t>solicit surveys from 10,000 participant and plan for a response rate of 30 percent or 3,000 respondents. The survey will take approximately 10 minutes to complete per respondent.</w:t>
      </w:r>
    </w:p>
    <w:p w:rsidR="00805500" w:rsidRDefault="00805500" w:rsidP="00176576">
      <w:pPr>
        <w:pStyle w:val="NormalSS"/>
        <w:ind w:firstLine="0"/>
        <w:jc w:val="left"/>
        <w:rPr>
          <w:szCs w:val="24"/>
        </w:rPr>
      </w:pP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967"/>
        <w:gridCol w:w="1271"/>
      </w:tblGrid>
      <w:tr w:rsidR="007D1E4C" w:rsidRPr="004239BD" w:rsidTr="006D2A2A">
        <w:tc>
          <w:tcPr>
            <w:tcW w:w="28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967"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271"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rsidTr="006D2A2A">
        <w:trPr>
          <w:trHeight w:val="552"/>
        </w:trPr>
        <w:tc>
          <w:tcPr>
            <w:tcW w:w="2880" w:type="dxa"/>
            <w:vAlign w:val="center"/>
          </w:tcPr>
          <w:p w:rsidR="00176576" w:rsidRPr="00BC057E" w:rsidRDefault="008E176A" w:rsidP="008E176A">
            <w:pPr>
              <w:pStyle w:val="TOC1"/>
              <w:rPr>
                <w:sz w:val="22"/>
                <w:szCs w:val="22"/>
              </w:rPr>
            </w:pPr>
            <w:r>
              <w:rPr>
                <w:sz w:val="22"/>
                <w:szCs w:val="22"/>
              </w:rPr>
              <w:t>Educational Event</w:t>
            </w:r>
            <w:r w:rsidR="00BC057E" w:rsidRPr="00BC057E">
              <w:rPr>
                <w:sz w:val="22"/>
                <w:szCs w:val="22"/>
              </w:rPr>
              <w:t xml:space="preserve"> Evaluation</w:t>
            </w:r>
            <w:r w:rsidR="007B2471" w:rsidRPr="00BC057E">
              <w:rPr>
                <w:sz w:val="22"/>
                <w:szCs w:val="22"/>
              </w:rPr>
              <w:t xml:space="preserve"> </w:t>
            </w:r>
          </w:p>
        </w:tc>
        <w:tc>
          <w:tcPr>
            <w:tcW w:w="1350" w:type="dxa"/>
            <w:vAlign w:val="center"/>
          </w:tcPr>
          <w:p w:rsidR="00176576" w:rsidRPr="00BC057E" w:rsidRDefault="006D2A2A" w:rsidP="00176576">
            <w:pPr>
              <w:rPr>
                <w:rFonts w:ascii="Times New Roman" w:hAnsi="Times New Roman"/>
                <w:sz w:val="22"/>
                <w:szCs w:val="22"/>
              </w:rPr>
            </w:pPr>
            <w:r>
              <w:rPr>
                <w:rFonts w:ascii="Times New Roman" w:hAnsi="Times New Roman"/>
                <w:sz w:val="22"/>
                <w:szCs w:val="22"/>
              </w:rPr>
              <w:t>3,000</w:t>
            </w:r>
          </w:p>
        </w:tc>
        <w:tc>
          <w:tcPr>
            <w:tcW w:w="1260" w:type="dxa"/>
            <w:vAlign w:val="center"/>
          </w:tcPr>
          <w:p w:rsidR="00176576" w:rsidRPr="00BC057E" w:rsidRDefault="00BC057E" w:rsidP="00176576">
            <w:pPr>
              <w:pStyle w:val="Center"/>
              <w:spacing w:line="240" w:lineRule="auto"/>
              <w:jc w:val="left"/>
              <w:rPr>
                <w:sz w:val="22"/>
                <w:szCs w:val="22"/>
              </w:rPr>
            </w:pPr>
            <w:r>
              <w:rPr>
                <w:sz w:val="22"/>
                <w:szCs w:val="22"/>
              </w:rPr>
              <w:t>1</w:t>
            </w:r>
          </w:p>
        </w:tc>
        <w:tc>
          <w:tcPr>
            <w:tcW w:w="1170" w:type="dxa"/>
            <w:vAlign w:val="center"/>
          </w:tcPr>
          <w:p w:rsidR="00176576" w:rsidRPr="00BC057E" w:rsidRDefault="006D2A2A" w:rsidP="00176576">
            <w:pPr>
              <w:rPr>
                <w:rFonts w:ascii="Times New Roman" w:hAnsi="Times New Roman"/>
                <w:sz w:val="22"/>
                <w:szCs w:val="22"/>
              </w:rPr>
            </w:pPr>
            <w:r>
              <w:rPr>
                <w:rFonts w:ascii="Times New Roman" w:hAnsi="Times New Roman"/>
                <w:sz w:val="22"/>
                <w:szCs w:val="22"/>
              </w:rPr>
              <w:t>3,000</w:t>
            </w:r>
          </w:p>
        </w:tc>
        <w:tc>
          <w:tcPr>
            <w:tcW w:w="1260" w:type="dxa"/>
            <w:vAlign w:val="center"/>
          </w:tcPr>
          <w:p w:rsidR="00176576" w:rsidRPr="00BC057E" w:rsidRDefault="000A383A" w:rsidP="00176576">
            <w:pPr>
              <w:rPr>
                <w:rFonts w:ascii="Times New Roman" w:hAnsi="Times New Roman"/>
                <w:sz w:val="22"/>
                <w:szCs w:val="22"/>
              </w:rPr>
            </w:pPr>
            <w:r>
              <w:rPr>
                <w:rFonts w:ascii="Times New Roman" w:hAnsi="Times New Roman"/>
                <w:sz w:val="22"/>
                <w:szCs w:val="22"/>
              </w:rPr>
              <w:t>0.167</w:t>
            </w:r>
          </w:p>
        </w:tc>
        <w:tc>
          <w:tcPr>
            <w:tcW w:w="900" w:type="dxa"/>
            <w:vAlign w:val="center"/>
          </w:tcPr>
          <w:p w:rsidR="00176576" w:rsidRPr="00BC057E" w:rsidRDefault="006D2A2A" w:rsidP="00176576">
            <w:pPr>
              <w:rPr>
                <w:rFonts w:ascii="Times New Roman" w:hAnsi="Times New Roman"/>
                <w:sz w:val="22"/>
                <w:szCs w:val="22"/>
              </w:rPr>
            </w:pPr>
            <w:r>
              <w:rPr>
                <w:rFonts w:ascii="Times New Roman" w:hAnsi="Times New Roman"/>
                <w:sz w:val="22"/>
                <w:szCs w:val="22"/>
              </w:rPr>
              <w:t>501</w:t>
            </w:r>
          </w:p>
        </w:tc>
        <w:tc>
          <w:tcPr>
            <w:tcW w:w="967" w:type="dxa"/>
            <w:vAlign w:val="center"/>
          </w:tcPr>
          <w:p w:rsidR="00176576" w:rsidRPr="00BC057E" w:rsidRDefault="002D7AD2" w:rsidP="00176576">
            <w:pPr>
              <w:rPr>
                <w:rFonts w:ascii="Times New Roman" w:hAnsi="Times New Roman"/>
                <w:sz w:val="22"/>
                <w:szCs w:val="22"/>
              </w:rPr>
            </w:pPr>
            <w:r>
              <w:rPr>
                <w:rFonts w:ascii="Times New Roman" w:hAnsi="Times New Roman"/>
                <w:sz w:val="22"/>
                <w:szCs w:val="22"/>
              </w:rPr>
              <w:t>$51.59</w:t>
            </w:r>
            <w:r>
              <w:rPr>
                <w:rStyle w:val="FootnoteReference"/>
                <w:rFonts w:ascii="Times New Roman" w:hAnsi="Times New Roman"/>
                <w:sz w:val="22"/>
                <w:szCs w:val="22"/>
              </w:rPr>
              <w:footnoteReference w:id="1"/>
            </w:r>
          </w:p>
        </w:tc>
        <w:tc>
          <w:tcPr>
            <w:tcW w:w="1271" w:type="dxa"/>
            <w:vAlign w:val="center"/>
          </w:tcPr>
          <w:p w:rsidR="00176576" w:rsidRPr="00BC057E" w:rsidRDefault="006D2A2A" w:rsidP="00301BCD">
            <w:pPr>
              <w:rPr>
                <w:rFonts w:ascii="Times New Roman" w:hAnsi="Times New Roman"/>
                <w:sz w:val="22"/>
                <w:szCs w:val="22"/>
              </w:rPr>
            </w:pPr>
            <w:r>
              <w:rPr>
                <w:rFonts w:ascii="Times New Roman" w:hAnsi="Times New Roman"/>
                <w:sz w:val="22"/>
                <w:szCs w:val="22"/>
              </w:rPr>
              <w:t>25,846.59</w:t>
            </w:r>
          </w:p>
        </w:tc>
      </w:tr>
      <w:tr w:rsidR="007D1E4C" w:rsidRPr="00531A2A" w:rsidTr="006D2A2A">
        <w:trPr>
          <w:trHeight w:val="552"/>
        </w:trPr>
        <w:tc>
          <w:tcPr>
            <w:tcW w:w="2880" w:type="dxa"/>
            <w:vAlign w:val="center"/>
          </w:tcPr>
          <w:p w:rsidR="00176576" w:rsidRPr="00531A2A" w:rsidRDefault="0033551D" w:rsidP="00176576">
            <w:pPr>
              <w:rPr>
                <w:rFonts w:ascii="Times New Roman" w:hAnsi="Times New Roman"/>
                <w:sz w:val="22"/>
                <w:szCs w:val="22"/>
                <w:highlight w:val="yellow"/>
              </w:rPr>
            </w:pPr>
            <w:r w:rsidRPr="0033551D">
              <w:rPr>
                <w:rFonts w:ascii="Times New Roman" w:hAnsi="Times New Roman"/>
                <w:sz w:val="22"/>
                <w:szCs w:val="22"/>
              </w:rPr>
              <w:t>Total</w:t>
            </w:r>
          </w:p>
        </w:tc>
        <w:tc>
          <w:tcPr>
            <w:tcW w:w="1350" w:type="dxa"/>
            <w:vAlign w:val="center"/>
          </w:tcPr>
          <w:p w:rsidR="00176576" w:rsidRPr="00165A73" w:rsidRDefault="006D2A2A" w:rsidP="00176576">
            <w:pPr>
              <w:rPr>
                <w:rFonts w:ascii="Times New Roman" w:hAnsi="Times New Roman"/>
                <w:sz w:val="22"/>
                <w:szCs w:val="22"/>
              </w:rPr>
            </w:pPr>
            <w:r>
              <w:rPr>
                <w:rFonts w:ascii="Times New Roman" w:hAnsi="Times New Roman"/>
                <w:sz w:val="22"/>
                <w:szCs w:val="22"/>
              </w:rPr>
              <w:t>3,000</w:t>
            </w:r>
          </w:p>
        </w:tc>
        <w:tc>
          <w:tcPr>
            <w:tcW w:w="1260" w:type="dxa"/>
            <w:vAlign w:val="center"/>
          </w:tcPr>
          <w:p w:rsidR="00176576" w:rsidRPr="00165A73" w:rsidRDefault="00176576" w:rsidP="00176576">
            <w:pPr>
              <w:rPr>
                <w:rFonts w:ascii="Times New Roman" w:hAnsi="Times New Roman"/>
                <w:sz w:val="22"/>
                <w:szCs w:val="22"/>
              </w:rPr>
            </w:pPr>
          </w:p>
        </w:tc>
        <w:tc>
          <w:tcPr>
            <w:tcW w:w="1170" w:type="dxa"/>
            <w:vAlign w:val="center"/>
          </w:tcPr>
          <w:p w:rsidR="00176576" w:rsidRPr="00165A73" w:rsidRDefault="006D2A2A" w:rsidP="00176576">
            <w:pPr>
              <w:rPr>
                <w:rFonts w:ascii="Times New Roman" w:hAnsi="Times New Roman"/>
                <w:sz w:val="22"/>
                <w:szCs w:val="22"/>
              </w:rPr>
            </w:pPr>
            <w:r>
              <w:rPr>
                <w:rFonts w:ascii="Times New Roman" w:hAnsi="Times New Roman"/>
                <w:sz w:val="22"/>
                <w:szCs w:val="22"/>
              </w:rPr>
              <w:t>3,000</w:t>
            </w:r>
          </w:p>
        </w:tc>
        <w:tc>
          <w:tcPr>
            <w:tcW w:w="1260" w:type="dxa"/>
            <w:vAlign w:val="center"/>
          </w:tcPr>
          <w:p w:rsidR="00176576" w:rsidRPr="00165A73" w:rsidRDefault="00176576" w:rsidP="00176576">
            <w:pPr>
              <w:rPr>
                <w:rFonts w:ascii="Times New Roman" w:hAnsi="Times New Roman"/>
                <w:sz w:val="22"/>
                <w:szCs w:val="22"/>
              </w:rPr>
            </w:pPr>
          </w:p>
        </w:tc>
        <w:tc>
          <w:tcPr>
            <w:tcW w:w="900" w:type="dxa"/>
            <w:vAlign w:val="center"/>
          </w:tcPr>
          <w:p w:rsidR="00176576" w:rsidRPr="00165A73" w:rsidRDefault="006D2A2A" w:rsidP="00176576">
            <w:pPr>
              <w:rPr>
                <w:rFonts w:ascii="Times New Roman" w:hAnsi="Times New Roman"/>
                <w:sz w:val="22"/>
                <w:szCs w:val="22"/>
              </w:rPr>
            </w:pPr>
            <w:r>
              <w:rPr>
                <w:rFonts w:ascii="Times New Roman" w:hAnsi="Times New Roman"/>
                <w:sz w:val="22"/>
                <w:szCs w:val="22"/>
              </w:rPr>
              <w:t>501</w:t>
            </w:r>
          </w:p>
        </w:tc>
        <w:tc>
          <w:tcPr>
            <w:tcW w:w="967" w:type="dxa"/>
            <w:vAlign w:val="center"/>
          </w:tcPr>
          <w:p w:rsidR="00176576" w:rsidRPr="00165A73" w:rsidRDefault="00176576" w:rsidP="00176576">
            <w:pPr>
              <w:rPr>
                <w:rFonts w:ascii="Times New Roman" w:hAnsi="Times New Roman"/>
                <w:sz w:val="22"/>
                <w:szCs w:val="22"/>
              </w:rPr>
            </w:pPr>
          </w:p>
        </w:tc>
        <w:tc>
          <w:tcPr>
            <w:tcW w:w="1271" w:type="dxa"/>
            <w:vAlign w:val="center"/>
          </w:tcPr>
          <w:p w:rsidR="00176576" w:rsidRPr="00165A73" w:rsidRDefault="006D2A2A" w:rsidP="00176576">
            <w:pPr>
              <w:rPr>
                <w:rFonts w:ascii="Times New Roman" w:hAnsi="Times New Roman"/>
                <w:sz w:val="22"/>
                <w:szCs w:val="22"/>
              </w:rPr>
            </w:pPr>
            <w:r>
              <w:rPr>
                <w:rFonts w:ascii="Times New Roman" w:hAnsi="Times New Roman"/>
                <w:sz w:val="22"/>
                <w:szCs w:val="22"/>
              </w:rPr>
              <w:t>$25,846.59</w:t>
            </w:r>
          </w:p>
        </w:tc>
      </w:tr>
    </w:tbl>
    <w:p w:rsidR="00FA4FEE" w:rsidRDefault="00FA4FEE" w:rsidP="00176576">
      <w:pPr>
        <w:pStyle w:val="NormalSS"/>
        <w:ind w:firstLine="0"/>
        <w:jc w:val="left"/>
        <w:rPr>
          <w:i/>
          <w:szCs w:val="24"/>
        </w:rPr>
      </w:pPr>
    </w:p>
    <w:p w:rsidR="00D713DB" w:rsidRDefault="00D713DB"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BC057E" w:rsidRDefault="00BC057E" w:rsidP="00176576">
      <w:pPr>
        <w:pStyle w:val="NormalSS"/>
        <w:ind w:firstLine="0"/>
        <w:jc w:val="left"/>
        <w:rPr>
          <w:bCs/>
          <w:szCs w:val="24"/>
        </w:rPr>
      </w:pPr>
    </w:p>
    <w:p w:rsidR="00176576" w:rsidRPr="004239BD" w:rsidRDefault="00453428" w:rsidP="00176576">
      <w:pPr>
        <w:pStyle w:val="NormalSS"/>
        <w:ind w:firstLine="0"/>
        <w:jc w:val="left"/>
        <w:rPr>
          <w:bCs/>
          <w:szCs w:val="24"/>
        </w:rPr>
      </w:pPr>
      <w:r>
        <w:rPr>
          <w:bCs/>
          <w:szCs w:val="24"/>
        </w:rPr>
        <w:t>Surveys will be distributed one time to each participant</w:t>
      </w:r>
      <w:r w:rsidR="00CB25FA">
        <w:rPr>
          <w:bCs/>
          <w:szCs w:val="24"/>
        </w:rPr>
        <w:t xml:space="preserve"> after each outreach and education event.  </w:t>
      </w:r>
      <w:r w:rsidR="00BC057E">
        <w:rPr>
          <w:bCs/>
          <w:szCs w:val="24"/>
        </w:rPr>
        <w:t>This is a one-time collection of data.</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pPr>
        <w:tabs>
          <w:tab w:val="left" w:pos="720"/>
          <w:tab w:val="right" w:pos="8732"/>
        </w:tabs>
        <w:rPr>
          <w:rFonts w:ascii="Times New Roman" w:hAnsi="Times New Roman"/>
          <w:sz w:val="24"/>
          <w:szCs w:val="24"/>
          <w:u w:val="single"/>
        </w:rPr>
      </w:pPr>
    </w:p>
    <w:p w:rsidR="00D713DB" w:rsidRPr="00D713DB" w:rsidRDefault="00D713DB">
      <w:pPr>
        <w:tabs>
          <w:tab w:val="left" w:pos="720"/>
          <w:tab w:val="right" w:pos="8732"/>
        </w:tabs>
        <w:rPr>
          <w:rFonts w:ascii="Times New Roman" w:hAnsi="Times New Roman"/>
          <w:sz w:val="24"/>
          <w:szCs w:val="24"/>
        </w:rPr>
      </w:pPr>
      <w:r>
        <w:rPr>
          <w:rFonts w:ascii="Times New Roman" w:hAnsi="Times New Roman"/>
          <w:sz w:val="24"/>
          <w:szCs w:val="24"/>
        </w:rPr>
        <w:t>The only cost burden to respondents is the time to complete the web-based survey.</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D713DB" w:rsidRPr="008C13E2" w:rsidRDefault="006940C9" w:rsidP="00D713DB">
      <w:pPr>
        <w:pStyle w:val="BodyTextIndent"/>
        <w:spacing w:before="120"/>
        <w:ind w:left="0"/>
        <w:rPr>
          <w:rFonts w:ascii="Times New Roman" w:hAnsi="Times New Roman"/>
          <w:highlight w:val="yellow"/>
        </w:rPr>
      </w:pPr>
      <w:r>
        <w:rPr>
          <w:rFonts w:ascii="Times New Roman" w:hAnsi="Times New Roman"/>
        </w:rPr>
        <w:t xml:space="preserve">A team of two senior-level ORO staff in GS13 and GS14 (or equivalent) positions will review survey responses. </w:t>
      </w:r>
      <w:r w:rsidR="0015058A">
        <w:rPr>
          <w:rFonts w:ascii="Times New Roman" w:hAnsi="Times New Roman"/>
        </w:rPr>
        <w:t>We estimate that each member of the team will spend</w:t>
      </w:r>
      <w:r w:rsidR="00C673E0">
        <w:rPr>
          <w:rFonts w:ascii="Times New Roman" w:hAnsi="Times New Roman"/>
        </w:rPr>
        <w:t xml:space="preserve"> five</w:t>
      </w:r>
      <w:r w:rsidR="0015058A">
        <w:rPr>
          <w:rFonts w:ascii="Times New Roman" w:hAnsi="Times New Roman"/>
        </w:rPr>
        <w:t xml:space="preserve"> hours reviewing the responses. </w:t>
      </w:r>
      <w:r w:rsidR="00C673E0">
        <w:rPr>
          <w:rFonts w:ascii="Times New Roman" w:hAnsi="Times New Roman"/>
        </w:rPr>
        <w:t xml:space="preserve">The hourly rate for a GS13 Step </w:t>
      </w:r>
      <w:r w:rsidR="003A434E">
        <w:rPr>
          <w:rFonts w:ascii="Times New Roman" w:hAnsi="Times New Roman"/>
        </w:rPr>
        <w:t>9</w:t>
      </w:r>
      <w:r w:rsidR="00C673E0">
        <w:rPr>
          <w:rFonts w:ascii="Times New Roman" w:hAnsi="Times New Roman"/>
        </w:rPr>
        <w:t xml:space="preserve"> is $5</w:t>
      </w:r>
      <w:r w:rsidR="003A434E">
        <w:rPr>
          <w:rFonts w:ascii="Times New Roman" w:hAnsi="Times New Roman"/>
        </w:rPr>
        <w:t>7.53</w:t>
      </w:r>
      <w:r w:rsidR="00C673E0">
        <w:rPr>
          <w:rFonts w:ascii="Times New Roman" w:hAnsi="Times New Roman"/>
        </w:rPr>
        <w:t xml:space="preserve"> and the hourly rate for</w:t>
      </w:r>
      <w:r w:rsidR="002F7E47">
        <w:rPr>
          <w:rFonts w:ascii="Times New Roman" w:hAnsi="Times New Roman"/>
        </w:rPr>
        <w:t xml:space="preserve"> </w:t>
      </w:r>
      <w:r w:rsidR="002741F2">
        <w:rPr>
          <w:rFonts w:ascii="Times New Roman" w:hAnsi="Times New Roman"/>
        </w:rPr>
        <w:t>a</w:t>
      </w:r>
      <w:r w:rsidR="00C673E0">
        <w:rPr>
          <w:rFonts w:ascii="Times New Roman" w:hAnsi="Times New Roman"/>
        </w:rPr>
        <w:t xml:space="preserve"> GS</w:t>
      </w:r>
      <w:r w:rsidR="002F7E47">
        <w:rPr>
          <w:rFonts w:ascii="Times New Roman" w:hAnsi="Times New Roman"/>
        </w:rPr>
        <w:t xml:space="preserve">14 Step </w:t>
      </w:r>
      <w:r w:rsidR="002741F2">
        <w:rPr>
          <w:rFonts w:ascii="Times New Roman" w:hAnsi="Times New Roman"/>
        </w:rPr>
        <w:t>5</w:t>
      </w:r>
      <w:r w:rsidR="002F7E47">
        <w:rPr>
          <w:rFonts w:ascii="Times New Roman" w:hAnsi="Times New Roman"/>
        </w:rPr>
        <w:t xml:space="preserve"> is $6</w:t>
      </w:r>
      <w:r w:rsidR="002741F2">
        <w:rPr>
          <w:rFonts w:ascii="Times New Roman" w:hAnsi="Times New Roman"/>
        </w:rPr>
        <w:t>0.83</w:t>
      </w:r>
      <w:r w:rsidR="002F7E47">
        <w:rPr>
          <w:rFonts w:ascii="Times New Roman" w:hAnsi="Times New Roman"/>
        </w:rPr>
        <w:t>. The total cost of this five hour</w:t>
      </w:r>
      <w:r w:rsidR="002741F2">
        <w:rPr>
          <w:rFonts w:ascii="Times New Roman" w:hAnsi="Times New Roman"/>
        </w:rPr>
        <w:t>s</w:t>
      </w:r>
      <w:r w:rsidR="002F7E47">
        <w:rPr>
          <w:rFonts w:ascii="Times New Roman" w:hAnsi="Times New Roman"/>
        </w:rPr>
        <w:t xml:space="preserve"> review is $5</w:t>
      </w:r>
      <w:r w:rsidR="00B568A7">
        <w:rPr>
          <w:rFonts w:ascii="Times New Roman" w:hAnsi="Times New Roman"/>
        </w:rPr>
        <w:t>9</w:t>
      </w:r>
      <w:bookmarkStart w:id="0" w:name="_GoBack"/>
      <w:bookmarkEnd w:id="0"/>
      <w:r w:rsidR="003A434E">
        <w:rPr>
          <w:rFonts w:ascii="Times New Roman" w:hAnsi="Times New Roman"/>
        </w:rPr>
        <w:t>1.8</w:t>
      </w:r>
      <w:r w:rsidR="002F7E47">
        <w:rPr>
          <w:rFonts w:ascii="Times New Roman" w:hAnsi="Times New Roman"/>
        </w:rPr>
        <w:t xml:space="preserve"> ($5</w:t>
      </w:r>
      <w:r w:rsidR="003A434E">
        <w:rPr>
          <w:rFonts w:ascii="Times New Roman" w:hAnsi="Times New Roman"/>
        </w:rPr>
        <w:t>7.53</w:t>
      </w:r>
      <w:r w:rsidR="002F7E47">
        <w:rPr>
          <w:rFonts w:ascii="Times New Roman" w:hAnsi="Times New Roman"/>
        </w:rPr>
        <w:t xml:space="preserve"> x 5 + $6</w:t>
      </w:r>
      <w:r w:rsidR="002741F2">
        <w:rPr>
          <w:rFonts w:ascii="Times New Roman" w:hAnsi="Times New Roman"/>
        </w:rPr>
        <w:t>0.83</w:t>
      </w:r>
      <w:r w:rsidR="002F7E47">
        <w:rPr>
          <w:rFonts w:ascii="Times New Roman" w:hAnsi="Times New Roman"/>
        </w:rPr>
        <w:t xml:space="preserve"> x 5). </w:t>
      </w:r>
      <w:r w:rsidR="0015058A">
        <w:rPr>
          <w:rFonts w:ascii="Times New Roman" w:hAnsi="Times New Roman"/>
        </w:rPr>
        <w:t xml:space="preserve">We will use a free online survey tool such as </w:t>
      </w:r>
      <w:r w:rsidR="0052083C">
        <w:rPr>
          <w:rFonts w:ascii="Times New Roman" w:hAnsi="Times New Roman"/>
        </w:rPr>
        <w:t>Survey Monkey</w:t>
      </w:r>
      <w:r w:rsidR="0015058A">
        <w:rPr>
          <w:rFonts w:ascii="Times New Roman" w:hAnsi="Times New Roman"/>
        </w:rPr>
        <w:t xml:space="preserve"> to gather and analyze the responses. For the multiple choice/Likert scale questions, the online survey tool will calculate the number of responses per answer choice, making it easier for the ORO staff to review responses</w:t>
      </w:r>
      <w:r>
        <w:rPr>
          <w:rFonts w:ascii="Times New Roman" w:hAnsi="Times New Roman"/>
        </w:rPr>
        <w:t>.</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3C64FF" w:rsidRDefault="003C64FF">
      <w:pPr>
        <w:tabs>
          <w:tab w:val="left" w:pos="-720"/>
          <w:tab w:val="left" w:pos="720"/>
          <w:tab w:val="right" w:pos="8732"/>
        </w:tabs>
        <w:rPr>
          <w:rFonts w:ascii="Times New Roman" w:hAnsi="Times New Roman"/>
          <w:sz w:val="24"/>
          <w:szCs w:val="24"/>
          <w:u w:val="single"/>
        </w:rPr>
      </w:pPr>
    </w:p>
    <w:p w:rsidR="003C64FF" w:rsidRPr="003C64FF" w:rsidRDefault="003C64FF">
      <w:pPr>
        <w:tabs>
          <w:tab w:val="left" w:pos="-720"/>
          <w:tab w:val="left" w:pos="720"/>
          <w:tab w:val="right" w:pos="8732"/>
        </w:tabs>
        <w:rPr>
          <w:rFonts w:ascii="Times New Roman" w:hAnsi="Times New Roman"/>
          <w:sz w:val="24"/>
          <w:szCs w:val="24"/>
        </w:rPr>
      </w:pPr>
      <w:r>
        <w:rPr>
          <w:rFonts w:ascii="Times New Roman" w:hAnsi="Times New Roman"/>
          <w:sz w:val="24"/>
          <w:szCs w:val="24"/>
        </w:rPr>
        <w:t xml:space="preserve">The web-based </w:t>
      </w:r>
      <w:r w:rsidR="002C1B59">
        <w:rPr>
          <w:rFonts w:ascii="Times New Roman" w:hAnsi="Times New Roman"/>
          <w:sz w:val="24"/>
          <w:szCs w:val="24"/>
        </w:rPr>
        <w:t xml:space="preserve">and hard copy of the generic survey </w:t>
      </w:r>
      <w:r>
        <w:rPr>
          <w:rFonts w:ascii="Times New Roman" w:hAnsi="Times New Roman"/>
          <w:sz w:val="24"/>
          <w:szCs w:val="24"/>
        </w:rPr>
        <w:t xml:space="preserve">will be available </w:t>
      </w:r>
      <w:r w:rsidR="002C1B59">
        <w:rPr>
          <w:rFonts w:ascii="Times New Roman" w:hAnsi="Times New Roman"/>
          <w:sz w:val="24"/>
          <w:szCs w:val="24"/>
        </w:rPr>
        <w:t xml:space="preserve">immediately after each event.  </w:t>
      </w:r>
      <w:r w:rsidR="00411F94">
        <w:rPr>
          <w:rFonts w:ascii="Times New Roman" w:hAnsi="Times New Roman"/>
          <w:sz w:val="24"/>
          <w:szCs w:val="24"/>
        </w:rPr>
        <w:t xml:space="preserve">The survey will </w:t>
      </w:r>
      <w:r w:rsidR="002C1B59">
        <w:rPr>
          <w:rFonts w:ascii="Times New Roman" w:hAnsi="Times New Roman"/>
          <w:sz w:val="24"/>
          <w:szCs w:val="24"/>
        </w:rPr>
        <w:t>be open for two weeks. Within 3 months of each survey closing</w:t>
      </w:r>
      <w:r w:rsidR="00411F94">
        <w:rPr>
          <w:rFonts w:ascii="Times New Roman" w:hAnsi="Times New Roman"/>
          <w:sz w:val="24"/>
          <w:szCs w:val="24"/>
        </w:rPr>
        <w:t xml:space="preserve">, ORO staff will review responses in order to ascertain whether additional offerings similar to </w:t>
      </w:r>
      <w:r w:rsidR="006F4DA1">
        <w:rPr>
          <w:rFonts w:ascii="Times New Roman" w:hAnsi="Times New Roman"/>
          <w:sz w:val="24"/>
          <w:szCs w:val="24"/>
        </w:rPr>
        <w:t>this educational event</w:t>
      </w:r>
      <w:r w:rsidR="00411F94">
        <w:rPr>
          <w:rFonts w:ascii="Times New Roman" w:hAnsi="Times New Roman"/>
          <w:sz w:val="24"/>
          <w:szCs w:val="24"/>
        </w:rPr>
        <w:t xml:space="preserve"> would be beneficial to the field. Similarly, ORO staff will review responses to the open-ended questions to identify areas of need or interest for health </w:t>
      </w:r>
      <w:r w:rsidR="000831DF">
        <w:rPr>
          <w:rFonts w:ascii="Times New Roman" w:hAnsi="Times New Roman"/>
          <w:sz w:val="24"/>
          <w:szCs w:val="24"/>
        </w:rPr>
        <w:t xml:space="preserve">care services </w:t>
      </w:r>
      <w:r w:rsidR="00411F94">
        <w:rPr>
          <w:rFonts w:ascii="Times New Roman" w:hAnsi="Times New Roman"/>
          <w:sz w:val="24"/>
          <w:szCs w:val="24"/>
        </w:rPr>
        <w:t xml:space="preserve">focused </w:t>
      </w:r>
      <w:r w:rsidR="006F4DA1">
        <w:rPr>
          <w:rFonts w:ascii="Times New Roman" w:hAnsi="Times New Roman"/>
          <w:sz w:val="24"/>
          <w:szCs w:val="24"/>
        </w:rPr>
        <w:t>educational events</w:t>
      </w:r>
      <w:r w:rsidR="00411F94">
        <w:rPr>
          <w:rFonts w:ascii="Times New Roman" w:hAnsi="Times New Roman"/>
          <w:sz w:val="24"/>
          <w:szCs w:val="24"/>
        </w:rPr>
        <w:t xml:space="preserve">. </w:t>
      </w:r>
    </w:p>
    <w:p w:rsidR="00176576" w:rsidRDefault="00176576" w:rsidP="00176576">
      <w:pPr>
        <w:pStyle w:val="NormalSS"/>
        <w:ind w:firstLine="0"/>
        <w:jc w:val="left"/>
        <w:rPr>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1"/>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406" w:rsidRDefault="00200406">
      <w:r>
        <w:separator/>
      </w:r>
    </w:p>
  </w:endnote>
  <w:endnote w:type="continuationSeparator" w:id="0">
    <w:p w:rsidR="00200406" w:rsidRDefault="0020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B568A7">
      <w:rPr>
        <w:rFonts w:ascii="Times New Roman" w:hAnsi="Times New Roman"/>
        <w:noProof/>
        <w:sz w:val="2"/>
        <w:szCs w:val="2"/>
      </w:rPr>
      <w:t>6</w:t>
    </w:r>
    <w:r>
      <w:rPr>
        <w:rFonts w:ascii="Times New Roman" w:hAnsi="Times New Roman"/>
        <w:sz w:val="2"/>
        <w:szCs w:val="2"/>
      </w:rPr>
      <w:fldChar w:fldCharType="end"/>
    </w:r>
  </w:p>
  <w:p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406" w:rsidRDefault="00200406">
      <w:r>
        <w:separator/>
      </w:r>
    </w:p>
  </w:footnote>
  <w:footnote w:type="continuationSeparator" w:id="0">
    <w:p w:rsidR="00200406" w:rsidRDefault="00200406">
      <w:r>
        <w:continuationSeparator/>
      </w:r>
    </w:p>
  </w:footnote>
  <w:footnote w:id="1">
    <w:p w:rsidR="002D7AD2" w:rsidRPr="00165A73" w:rsidRDefault="002D7AD2">
      <w:pPr>
        <w:pStyle w:val="FootnoteText"/>
        <w:rPr>
          <w:rFonts w:ascii="Times New Roman" w:hAnsi="Times New Roman"/>
        </w:rPr>
      </w:pPr>
      <w:r w:rsidRPr="00165A73">
        <w:rPr>
          <w:rStyle w:val="FootnoteReference"/>
          <w:rFonts w:ascii="Times New Roman" w:hAnsi="Times New Roman"/>
        </w:rPr>
        <w:footnoteRef/>
      </w:r>
      <w:r w:rsidRPr="00165A73">
        <w:rPr>
          <w:rFonts w:ascii="Times New Roman" w:hAnsi="Times New Roman"/>
        </w:rPr>
        <w:t xml:space="preserve"> The wage rate used here is the average of the mean estimated wage rates of the four professions most lik</w:t>
      </w:r>
      <w:r w:rsidR="006D2A2A">
        <w:rPr>
          <w:rFonts w:ascii="Times New Roman" w:hAnsi="Times New Roman"/>
        </w:rPr>
        <w:t>ely to attend the outreach and education events</w:t>
      </w:r>
      <w:r w:rsidRPr="00165A73">
        <w:rPr>
          <w:rFonts w:ascii="Times New Roman" w:hAnsi="Times New Roman"/>
        </w:rPr>
        <w:t xml:space="preserve">: Physicians/Surgeons ($97.33), Registered Nurses ($34.14), Social Workers ($23.88), and Medical and Health Services Managers ($50.99). The mean estimated wage rates used are from the U.S. Department of Labor, Bureau of Labor Statistics: </w:t>
      </w:r>
      <w:hyperlink r:id="rId1" w:history="1">
        <w:r w:rsidR="00165A73" w:rsidRPr="00C52E04">
          <w:rPr>
            <w:rStyle w:val="Hyperlink"/>
            <w:rFonts w:ascii="Times New Roman" w:hAnsi="Times New Roman"/>
          </w:rPr>
          <w:t>http://www.bls.gov/oes/current/oes_nat.htm</w:t>
        </w:r>
      </w:hyperlink>
      <w:r w:rsidR="00165A73">
        <w:rPr>
          <w:rFonts w:ascii="Times New Roman" w:hAnsi="Times New Roman"/>
        </w:rPr>
        <w:t>, accessed April 20,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BB3310F"/>
    <w:multiLevelType w:val="hybridMultilevel"/>
    <w:tmpl w:val="763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2671DD1"/>
    <w:multiLevelType w:val="hybridMultilevel"/>
    <w:tmpl w:val="A88A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01A7DA7"/>
    <w:multiLevelType w:val="hybridMultilevel"/>
    <w:tmpl w:val="8ED85A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2"/>
  </w:num>
  <w:num w:numId="3">
    <w:abstractNumId w:val="0"/>
  </w:num>
  <w:num w:numId="4">
    <w:abstractNumId w:val="13"/>
  </w:num>
  <w:num w:numId="5">
    <w:abstractNumId w:val="11"/>
  </w:num>
  <w:num w:numId="6">
    <w:abstractNumId w:val="10"/>
  </w:num>
  <w:num w:numId="7">
    <w:abstractNumId w:val="1"/>
  </w:num>
  <w:num w:numId="8">
    <w:abstractNumId w:val="5"/>
  </w:num>
  <w:num w:numId="9">
    <w:abstractNumId w:val="8"/>
  </w:num>
  <w:num w:numId="10">
    <w:abstractNumId w:val="3"/>
  </w:num>
  <w:num w:numId="11">
    <w:abstractNumId w:val="9"/>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26E9"/>
    <w:rsid w:val="000038EB"/>
    <w:rsid w:val="0000591F"/>
    <w:rsid w:val="00031530"/>
    <w:rsid w:val="00063279"/>
    <w:rsid w:val="00067F7F"/>
    <w:rsid w:val="0007192E"/>
    <w:rsid w:val="00072B9E"/>
    <w:rsid w:val="00077808"/>
    <w:rsid w:val="000831DF"/>
    <w:rsid w:val="00090E64"/>
    <w:rsid w:val="000A383A"/>
    <w:rsid w:val="000E26C2"/>
    <w:rsid w:val="000F2D27"/>
    <w:rsid w:val="000F4A39"/>
    <w:rsid w:val="001017B2"/>
    <w:rsid w:val="001032BA"/>
    <w:rsid w:val="00116F07"/>
    <w:rsid w:val="00144B81"/>
    <w:rsid w:val="001502BC"/>
    <w:rsid w:val="0015058A"/>
    <w:rsid w:val="0015649D"/>
    <w:rsid w:val="001600E5"/>
    <w:rsid w:val="00165A73"/>
    <w:rsid w:val="00176576"/>
    <w:rsid w:val="001879E5"/>
    <w:rsid w:val="00190FE2"/>
    <w:rsid w:val="0019133F"/>
    <w:rsid w:val="001A1DD1"/>
    <w:rsid w:val="001A7DA8"/>
    <w:rsid w:val="001E58D1"/>
    <w:rsid w:val="001F05FA"/>
    <w:rsid w:val="001F78C0"/>
    <w:rsid w:val="00200406"/>
    <w:rsid w:val="0020146C"/>
    <w:rsid w:val="00213C9A"/>
    <w:rsid w:val="00225692"/>
    <w:rsid w:val="002279BC"/>
    <w:rsid w:val="00233B3F"/>
    <w:rsid w:val="00246222"/>
    <w:rsid w:val="002741F2"/>
    <w:rsid w:val="002C1B59"/>
    <w:rsid w:val="002D2BBC"/>
    <w:rsid w:val="002D7AD2"/>
    <w:rsid w:val="002E2BCD"/>
    <w:rsid w:val="002E5C9D"/>
    <w:rsid w:val="002F4029"/>
    <w:rsid w:val="002F402D"/>
    <w:rsid w:val="002F7E47"/>
    <w:rsid w:val="00301BCD"/>
    <w:rsid w:val="003111D1"/>
    <w:rsid w:val="003268C6"/>
    <w:rsid w:val="00330C42"/>
    <w:rsid w:val="0033551D"/>
    <w:rsid w:val="00344701"/>
    <w:rsid w:val="0034509C"/>
    <w:rsid w:val="0034728B"/>
    <w:rsid w:val="0037278D"/>
    <w:rsid w:val="00375373"/>
    <w:rsid w:val="00390E64"/>
    <w:rsid w:val="003A434E"/>
    <w:rsid w:val="003C3A77"/>
    <w:rsid w:val="003C64FF"/>
    <w:rsid w:val="003D6B44"/>
    <w:rsid w:val="00404E64"/>
    <w:rsid w:val="00411F94"/>
    <w:rsid w:val="004239BD"/>
    <w:rsid w:val="00453428"/>
    <w:rsid w:val="0046323A"/>
    <w:rsid w:val="00472378"/>
    <w:rsid w:val="004739BE"/>
    <w:rsid w:val="00490BAB"/>
    <w:rsid w:val="004D7017"/>
    <w:rsid w:val="004E26EB"/>
    <w:rsid w:val="004E3605"/>
    <w:rsid w:val="004E3A1F"/>
    <w:rsid w:val="004F33ED"/>
    <w:rsid w:val="00517A6C"/>
    <w:rsid w:val="0052083C"/>
    <w:rsid w:val="00522C38"/>
    <w:rsid w:val="00531A2A"/>
    <w:rsid w:val="00537117"/>
    <w:rsid w:val="00557C4D"/>
    <w:rsid w:val="0056606F"/>
    <w:rsid w:val="00587151"/>
    <w:rsid w:val="005A7152"/>
    <w:rsid w:val="005B3A05"/>
    <w:rsid w:val="005B4A77"/>
    <w:rsid w:val="005F7618"/>
    <w:rsid w:val="0061278C"/>
    <w:rsid w:val="00623295"/>
    <w:rsid w:val="0063434A"/>
    <w:rsid w:val="00642A5E"/>
    <w:rsid w:val="00643FD8"/>
    <w:rsid w:val="00663F42"/>
    <w:rsid w:val="006719B1"/>
    <w:rsid w:val="006940C9"/>
    <w:rsid w:val="006D2A2A"/>
    <w:rsid w:val="006E3B33"/>
    <w:rsid w:val="006E5D95"/>
    <w:rsid w:val="006F4DA1"/>
    <w:rsid w:val="006F747E"/>
    <w:rsid w:val="00721134"/>
    <w:rsid w:val="007214F6"/>
    <w:rsid w:val="00723C2F"/>
    <w:rsid w:val="007312BE"/>
    <w:rsid w:val="0075457F"/>
    <w:rsid w:val="00782F66"/>
    <w:rsid w:val="00796F36"/>
    <w:rsid w:val="007A25D0"/>
    <w:rsid w:val="007B2471"/>
    <w:rsid w:val="007B2EB6"/>
    <w:rsid w:val="007C52B1"/>
    <w:rsid w:val="007D1E4C"/>
    <w:rsid w:val="007D2413"/>
    <w:rsid w:val="007E4179"/>
    <w:rsid w:val="00805500"/>
    <w:rsid w:val="008163BB"/>
    <w:rsid w:val="008165B2"/>
    <w:rsid w:val="0082468A"/>
    <w:rsid w:val="008464F9"/>
    <w:rsid w:val="00850760"/>
    <w:rsid w:val="0088683A"/>
    <w:rsid w:val="00896384"/>
    <w:rsid w:val="00897C50"/>
    <w:rsid w:val="008B26BE"/>
    <w:rsid w:val="008C13E2"/>
    <w:rsid w:val="008C5D3D"/>
    <w:rsid w:val="008C6E8E"/>
    <w:rsid w:val="008D1D94"/>
    <w:rsid w:val="008E176A"/>
    <w:rsid w:val="008F5FB0"/>
    <w:rsid w:val="00924018"/>
    <w:rsid w:val="009474F0"/>
    <w:rsid w:val="00990233"/>
    <w:rsid w:val="00990C1B"/>
    <w:rsid w:val="009910A4"/>
    <w:rsid w:val="009B5A14"/>
    <w:rsid w:val="009B68A7"/>
    <w:rsid w:val="009B7C85"/>
    <w:rsid w:val="009C02B9"/>
    <w:rsid w:val="009D2EC6"/>
    <w:rsid w:val="009D6C07"/>
    <w:rsid w:val="009D73F6"/>
    <w:rsid w:val="00A24E14"/>
    <w:rsid w:val="00A342EB"/>
    <w:rsid w:val="00A4213C"/>
    <w:rsid w:val="00A5212C"/>
    <w:rsid w:val="00A52872"/>
    <w:rsid w:val="00A60207"/>
    <w:rsid w:val="00A91DCD"/>
    <w:rsid w:val="00AA24D1"/>
    <w:rsid w:val="00AB2DFB"/>
    <w:rsid w:val="00AE120A"/>
    <w:rsid w:val="00AE1A75"/>
    <w:rsid w:val="00AF6393"/>
    <w:rsid w:val="00AF7A20"/>
    <w:rsid w:val="00B21125"/>
    <w:rsid w:val="00B237EB"/>
    <w:rsid w:val="00B37D64"/>
    <w:rsid w:val="00B40D39"/>
    <w:rsid w:val="00B425DD"/>
    <w:rsid w:val="00B5427E"/>
    <w:rsid w:val="00B54521"/>
    <w:rsid w:val="00B568A7"/>
    <w:rsid w:val="00B906CD"/>
    <w:rsid w:val="00BA092C"/>
    <w:rsid w:val="00BA1E23"/>
    <w:rsid w:val="00BC057E"/>
    <w:rsid w:val="00BC6B01"/>
    <w:rsid w:val="00BC761A"/>
    <w:rsid w:val="00BD7A9C"/>
    <w:rsid w:val="00BE3CF6"/>
    <w:rsid w:val="00BE6082"/>
    <w:rsid w:val="00BF3FA7"/>
    <w:rsid w:val="00C22F5A"/>
    <w:rsid w:val="00C4301B"/>
    <w:rsid w:val="00C50E75"/>
    <w:rsid w:val="00C65941"/>
    <w:rsid w:val="00C673E0"/>
    <w:rsid w:val="00C710C1"/>
    <w:rsid w:val="00C77DB4"/>
    <w:rsid w:val="00C9190E"/>
    <w:rsid w:val="00C91E67"/>
    <w:rsid w:val="00CA1D43"/>
    <w:rsid w:val="00CA2D73"/>
    <w:rsid w:val="00CB25FA"/>
    <w:rsid w:val="00CB2B80"/>
    <w:rsid w:val="00CB2E46"/>
    <w:rsid w:val="00CB7B5B"/>
    <w:rsid w:val="00CD3621"/>
    <w:rsid w:val="00CD4592"/>
    <w:rsid w:val="00CE4102"/>
    <w:rsid w:val="00D2299E"/>
    <w:rsid w:val="00D32AA8"/>
    <w:rsid w:val="00D42765"/>
    <w:rsid w:val="00D44ED4"/>
    <w:rsid w:val="00D67A56"/>
    <w:rsid w:val="00D713DB"/>
    <w:rsid w:val="00D7442C"/>
    <w:rsid w:val="00D90E19"/>
    <w:rsid w:val="00DC2E6B"/>
    <w:rsid w:val="00E2563D"/>
    <w:rsid w:val="00E81AC4"/>
    <w:rsid w:val="00E931BF"/>
    <w:rsid w:val="00EF18BA"/>
    <w:rsid w:val="00F007C3"/>
    <w:rsid w:val="00F0115D"/>
    <w:rsid w:val="00F078F5"/>
    <w:rsid w:val="00F1420F"/>
    <w:rsid w:val="00F303CF"/>
    <w:rsid w:val="00F41F0A"/>
    <w:rsid w:val="00F46FFB"/>
    <w:rsid w:val="00F52E70"/>
    <w:rsid w:val="00F66291"/>
    <w:rsid w:val="00F80C75"/>
    <w:rsid w:val="00F84D40"/>
    <w:rsid w:val="00FA4C3B"/>
    <w:rsid w:val="00FA4FEE"/>
    <w:rsid w:val="00FB18E6"/>
    <w:rsid w:val="00FC259B"/>
    <w:rsid w:val="00FC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254E2"/>
  <w15:docId w15:val="{2FDA5C0B-9EF0-48C7-86AB-A0168BC1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D713DB"/>
    <w:rPr>
      <w:color w:val="800080" w:themeColor="followedHyperlink"/>
      <w:u w:val="single"/>
    </w:rPr>
  </w:style>
  <w:style w:type="paragraph" w:styleId="FootnoteText">
    <w:name w:val="footnote text"/>
    <w:basedOn w:val="Normal"/>
    <w:link w:val="FootnoteTextChar"/>
    <w:uiPriority w:val="99"/>
    <w:semiHidden/>
    <w:unhideWhenUsed/>
    <w:rsid w:val="002D7AD2"/>
  </w:style>
  <w:style w:type="character" w:customStyle="1" w:styleId="FootnoteTextChar">
    <w:name w:val="Footnote Text Char"/>
    <w:basedOn w:val="DefaultParagraphFont"/>
    <w:link w:val="FootnoteText"/>
    <w:uiPriority w:val="99"/>
    <w:semiHidden/>
    <w:rsid w:val="002D7AD2"/>
    <w:rPr>
      <w:rFonts w:ascii="Courier" w:hAnsi="Courier"/>
      <w:sz w:val="20"/>
      <w:szCs w:val="20"/>
    </w:rPr>
  </w:style>
  <w:style w:type="character" w:styleId="FootnoteReference">
    <w:name w:val="footnote reference"/>
    <w:basedOn w:val="DefaultParagraphFont"/>
    <w:uiPriority w:val="99"/>
    <w:semiHidden/>
    <w:unhideWhenUsed/>
    <w:rsid w:val="002D7AD2"/>
    <w:rPr>
      <w:vertAlign w:val="superscript"/>
    </w:rPr>
  </w:style>
  <w:style w:type="paragraph" w:styleId="NormalWeb">
    <w:name w:val="Normal (Web)"/>
    <w:basedOn w:val="Normal"/>
    <w:uiPriority w:val="99"/>
    <w:semiHidden/>
    <w:unhideWhenUsed/>
    <w:rsid w:val="00CD3621"/>
    <w:pPr>
      <w:widowControl/>
      <w:autoSpaceDE/>
      <w:autoSpaceDN/>
      <w:adjustRightInd/>
      <w:spacing w:before="100" w:beforeAutospacing="1" w:after="100" w:afterAutospacing="1"/>
    </w:pPr>
    <w:rPr>
      <w:rFonts w:ascii="Times New Roman" w:eastAsiaTheme="minorHAnsi" w:hAnsi="Times New Roman"/>
      <w:sz w:val="24"/>
      <w:szCs w:val="24"/>
    </w:rPr>
  </w:style>
  <w:style w:type="paragraph" w:styleId="ListParagraph">
    <w:name w:val="List Paragraph"/>
    <w:basedOn w:val="Normal"/>
    <w:uiPriority w:val="34"/>
    <w:qFormat/>
    <w:rsid w:val="00CD3621"/>
    <w:pPr>
      <w:widowControl/>
      <w:autoSpaceDE/>
      <w:autoSpaceDN/>
      <w:adjustRightInd/>
      <w:ind w:left="720"/>
    </w:pPr>
    <w:rPr>
      <w:rFonts w:ascii="Calibri" w:eastAsiaTheme="minorHAnsi" w:hAnsi="Calibri"/>
      <w:sz w:val="22"/>
      <w:szCs w:val="22"/>
    </w:rPr>
  </w:style>
  <w:style w:type="character" w:customStyle="1" w:styleId="A1">
    <w:name w:val="A1"/>
    <w:basedOn w:val="DefaultParagraphFont"/>
    <w:uiPriority w:val="99"/>
    <w:rsid w:val="00CD3621"/>
    <w:rPr>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C5929-F7ED-4A6B-A7AB-FE8C9A4742A9}">
  <ds:schemaRef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4967143e-3350-4318-8b8c-f9b56d178eaa"/>
  </ds:schemaRefs>
</ds:datastoreItem>
</file>

<file path=customXml/itemProps4.xml><?xml version="1.0" encoding="utf-8"?>
<ds:datastoreItem xmlns:ds="http://schemas.openxmlformats.org/officeDocument/2006/customXml" ds:itemID="{13F57010-E56B-4290-B738-6FD81721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1866</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Wright-Solomon, Lisa (HRSA)</cp:lastModifiedBy>
  <cp:revision>6</cp:revision>
  <cp:lastPrinted>2016-04-20T12:53:00Z</cp:lastPrinted>
  <dcterms:created xsi:type="dcterms:W3CDTF">2017-04-13T11:51:00Z</dcterms:created>
  <dcterms:modified xsi:type="dcterms:W3CDTF">2017-04-27T13:39:00Z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