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24F11" w14:textId="499BD5D6" w:rsidR="009056D2" w:rsidRDefault="009056D2" w:rsidP="009056D2">
      <w:pPr>
        <w:tabs>
          <w:tab w:val="left" w:pos="-720"/>
          <w:tab w:val="right" w:pos="8622"/>
        </w:tabs>
        <w:jc w:val="center"/>
        <w:rPr>
          <w:rFonts w:asciiTheme="minorHAnsi" w:hAnsiTheme="minorHAnsi"/>
          <w:b/>
          <w:i/>
          <w:sz w:val="24"/>
          <w:szCs w:val="24"/>
        </w:rPr>
      </w:pPr>
      <w:r>
        <w:rPr>
          <w:rFonts w:asciiTheme="minorHAnsi" w:hAnsiTheme="minorHAnsi"/>
          <w:b/>
          <w:i/>
          <w:sz w:val="24"/>
          <w:szCs w:val="24"/>
        </w:rPr>
        <w:t>Health Resources and Services Administration (HRSA)</w:t>
      </w:r>
      <w:r w:rsidRPr="008C7244">
        <w:rPr>
          <w:rFonts w:asciiTheme="minorHAnsi" w:hAnsiTheme="minorHAnsi"/>
          <w:b/>
          <w:i/>
          <w:sz w:val="24"/>
          <w:szCs w:val="24"/>
        </w:rPr>
        <w:t xml:space="preserve">, </w:t>
      </w:r>
      <w:r>
        <w:rPr>
          <w:rFonts w:asciiTheme="minorHAnsi" w:hAnsiTheme="minorHAnsi"/>
          <w:b/>
          <w:i/>
          <w:sz w:val="24"/>
          <w:szCs w:val="24"/>
        </w:rPr>
        <w:t>Administration for Children and Families (ACF)</w:t>
      </w:r>
      <w:r w:rsidRPr="008C7244">
        <w:rPr>
          <w:rFonts w:asciiTheme="minorHAnsi" w:hAnsiTheme="minorHAnsi"/>
          <w:b/>
          <w:i/>
          <w:sz w:val="24"/>
          <w:szCs w:val="24"/>
        </w:rPr>
        <w:t xml:space="preserve">, and </w:t>
      </w:r>
      <w:r>
        <w:rPr>
          <w:rFonts w:asciiTheme="minorHAnsi" w:hAnsiTheme="minorHAnsi"/>
          <w:b/>
          <w:i/>
          <w:sz w:val="24"/>
          <w:szCs w:val="24"/>
        </w:rPr>
        <w:t>Health and Human Services Office on Women’s Health (</w:t>
      </w:r>
      <w:r w:rsidRPr="008C7244">
        <w:rPr>
          <w:rFonts w:asciiTheme="minorHAnsi" w:hAnsiTheme="minorHAnsi"/>
          <w:b/>
          <w:i/>
          <w:sz w:val="24"/>
          <w:szCs w:val="24"/>
        </w:rPr>
        <w:t>HHS OWH</w:t>
      </w:r>
      <w:r>
        <w:rPr>
          <w:rFonts w:asciiTheme="minorHAnsi" w:hAnsiTheme="minorHAnsi"/>
          <w:b/>
          <w:i/>
          <w:sz w:val="24"/>
          <w:szCs w:val="24"/>
        </w:rPr>
        <w:t>)</w:t>
      </w:r>
      <w:r w:rsidRPr="008C7244">
        <w:rPr>
          <w:rFonts w:asciiTheme="minorHAnsi" w:hAnsiTheme="minorHAnsi"/>
          <w:b/>
          <w:i/>
          <w:sz w:val="24"/>
          <w:szCs w:val="24"/>
        </w:rPr>
        <w:t xml:space="preserve"> Pilot on Intimate Partner Violence (IPV) Screening and C</w:t>
      </w:r>
      <w:r>
        <w:rPr>
          <w:rFonts w:asciiTheme="minorHAnsi" w:hAnsiTheme="minorHAnsi"/>
          <w:b/>
          <w:i/>
          <w:sz w:val="24"/>
          <w:szCs w:val="24"/>
        </w:rPr>
        <w:t xml:space="preserve">ounseling in Health Centers and </w:t>
      </w:r>
      <w:r w:rsidRPr="008C7244">
        <w:rPr>
          <w:rFonts w:asciiTheme="minorHAnsi" w:hAnsiTheme="minorHAnsi"/>
          <w:b/>
          <w:i/>
          <w:sz w:val="24"/>
          <w:szCs w:val="24"/>
        </w:rPr>
        <w:t>Domestic Violence Partner Organizations</w:t>
      </w:r>
    </w:p>
    <w:p w14:paraId="017028E7" w14:textId="77777777" w:rsidR="009056D2" w:rsidRPr="008C7244" w:rsidRDefault="009056D2" w:rsidP="009056D2">
      <w:pPr>
        <w:tabs>
          <w:tab w:val="left" w:pos="-720"/>
          <w:tab w:val="right" w:pos="8622"/>
        </w:tabs>
        <w:jc w:val="center"/>
        <w:rPr>
          <w:rFonts w:asciiTheme="minorHAnsi" w:hAnsiTheme="minorHAnsi"/>
          <w:b/>
          <w:i/>
          <w:sz w:val="24"/>
          <w:szCs w:val="24"/>
        </w:rPr>
      </w:pPr>
    </w:p>
    <w:p w14:paraId="7DCE1059" w14:textId="77777777"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14:paraId="7DCE105A"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4D595D0C" w14:textId="77777777" w:rsidR="00AF5F3B" w:rsidRPr="00AE3C18" w:rsidRDefault="00AF5F3B">
      <w:pPr>
        <w:tabs>
          <w:tab w:val="left" w:pos="-720"/>
          <w:tab w:val="right" w:pos="8622"/>
        </w:tabs>
        <w:jc w:val="center"/>
        <w:rPr>
          <w:rFonts w:asciiTheme="minorHAnsi" w:hAnsiTheme="minorHAnsi"/>
          <w:b/>
          <w:bCs/>
          <w:sz w:val="22"/>
          <w:szCs w:val="22"/>
        </w:rPr>
      </w:pPr>
    </w:p>
    <w:p w14:paraId="7DCE105D" w14:textId="77777777" w:rsidR="001879E5" w:rsidRPr="002A1040" w:rsidRDefault="001879E5">
      <w:pPr>
        <w:tabs>
          <w:tab w:val="left" w:pos="-720"/>
          <w:tab w:val="left" w:pos="720"/>
          <w:tab w:val="right" w:pos="8622"/>
        </w:tabs>
        <w:rPr>
          <w:rFonts w:ascii="Times New Roman" w:hAnsi="Times New Roman"/>
          <w:sz w:val="24"/>
          <w:szCs w:val="24"/>
        </w:rPr>
      </w:pPr>
      <w:r w:rsidRPr="002A1040">
        <w:rPr>
          <w:rFonts w:ascii="Times New Roman" w:hAnsi="Times New Roman"/>
          <w:b/>
          <w:bCs/>
          <w:sz w:val="24"/>
          <w:szCs w:val="24"/>
        </w:rPr>
        <w:t>A.</w:t>
      </w:r>
      <w:r w:rsidRPr="002A1040">
        <w:rPr>
          <w:rFonts w:ascii="Times New Roman" w:hAnsi="Times New Roman"/>
          <w:b/>
          <w:bCs/>
          <w:sz w:val="24"/>
          <w:szCs w:val="24"/>
        </w:rPr>
        <w:tab/>
        <w:t>Justification</w:t>
      </w:r>
    </w:p>
    <w:p w14:paraId="7DCE105E" w14:textId="77777777" w:rsidR="001879E5" w:rsidRPr="002A1040" w:rsidRDefault="001879E5">
      <w:pPr>
        <w:tabs>
          <w:tab w:val="left" w:pos="-720"/>
          <w:tab w:val="left" w:pos="720"/>
          <w:tab w:val="right" w:pos="8622"/>
        </w:tabs>
        <w:rPr>
          <w:rFonts w:ascii="Times New Roman" w:hAnsi="Times New Roman"/>
          <w:sz w:val="24"/>
          <w:szCs w:val="24"/>
        </w:rPr>
      </w:pPr>
    </w:p>
    <w:p w14:paraId="7DCE105F" w14:textId="77777777" w:rsidR="001879E5" w:rsidRPr="002A1040" w:rsidRDefault="001879E5">
      <w:pPr>
        <w:tabs>
          <w:tab w:val="left" w:pos="-720"/>
          <w:tab w:val="left" w:pos="44"/>
          <w:tab w:val="left" w:pos="720"/>
          <w:tab w:val="right" w:pos="8622"/>
        </w:tabs>
        <w:rPr>
          <w:rFonts w:ascii="Times New Roman" w:hAnsi="Times New Roman"/>
          <w:sz w:val="24"/>
          <w:szCs w:val="24"/>
          <w:u w:val="single"/>
        </w:rPr>
      </w:pPr>
      <w:r w:rsidRPr="002A1040">
        <w:rPr>
          <w:rFonts w:ascii="Times New Roman" w:hAnsi="Times New Roman"/>
          <w:sz w:val="24"/>
          <w:szCs w:val="24"/>
        </w:rPr>
        <w:t>1.</w:t>
      </w:r>
      <w:r w:rsidRPr="002A1040">
        <w:rPr>
          <w:rFonts w:ascii="Times New Roman" w:hAnsi="Times New Roman"/>
          <w:sz w:val="24"/>
          <w:szCs w:val="24"/>
        </w:rPr>
        <w:tab/>
      </w:r>
      <w:r w:rsidRPr="002A1040">
        <w:rPr>
          <w:rFonts w:ascii="Times New Roman" w:hAnsi="Times New Roman"/>
          <w:sz w:val="24"/>
          <w:szCs w:val="24"/>
          <w:u w:val="single"/>
        </w:rPr>
        <w:t>Circumstances of Information Collection</w:t>
      </w:r>
    </w:p>
    <w:p w14:paraId="7DCE1060" w14:textId="77777777" w:rsidR="001879E5" w:rsidRPr="002A1040" w:rsidRDefault="001879E5">
      <w:pPr>
        <w:tabs>
          <w:tab w:val="left" w:pos="-720"/>
          <w:tab w:val="left" w:pos="44"/>
          <w:tab w:val="left" w:pos="720"/>
          <w:tab w:val="right" w:pos="8622"/>
        </w:tabs>
        <w:rPr>
          <w:rFonts w:ascii="Times New Roman" w:hAnsi="Times New Roman"/>
          <w:sz w:val="24"/>
          <w:szCs w:val="24"/>
        </w:rPr>
      </w:pPr>
    </w:p>
    <w:p w14:paraId="7DCE1061" w14:textId="1636C51E" w:rsidR="00A342EB" w:rsidRPr="002A1040" w:rsidRDefault="00A342EB" w:rsidP="00A342EB">
      <w:pPr>
        <w:pStyle w:val="Heading2"/>
        <w:rPr>
          <w:b w:val="0"/>
          <w:color w:val="auto"/>
          <w:sz w:val="24"/>
          <w:szCs w:val="24"/>
        </w:rPr>
      </w:pPr>
      <w:r w:rsidRPr="002A1040">
        <w:rPr>
          <w:b w:val="0"/>
          <w:color w:val="auto"/>
          <w:sz w:val="24"/>
          <w:szCs w:val="24"/>
        </w:rPr>
        <w:t xml:space="preserve">The Health Resources and Services Administration (HRSA) currently has approval under the generic clearance, Office of Management and Budget (OMB) </w:t>
      </w:r>
      <w:r w:rsidR="00F1420F" w:rsidRPr="002A1040">
        <w:rPr>
          <w:b w:val="0"/>
          <w:color w:val="auto"/>
          <w:sz w:val="24"/>
          <w:szCs w:val="24"/>
        </w:rPr>
        <w:t xml:space="preserve">Control </w:t>
      </w:r>
      <w:r w:rsidRPr="002A1040">
        <w:rPr>
          <w:b w:val="0"/>
          <w:color w:val="auto"/>
          <w:sz w:val="24"/>
          <w:szCs w:val="24"/>
        </w:rPr>
        <w:t>No. 0915-0212, to conduct customer satisfac</w:t>
      </w:r>
      <w:r w:rsidR="009B2219">
        <w:rPr>
          <w:b w:val="0"/>
          <w:color w:val="auto"/>
          <w:sz w:val="24"/>
          <w:szCs w:val="24"/>
        </w:rPr>
        <w:t xml:space="preserve">tion surveys and focus groups. </w:t>
      </w:r>
      <w:r w:rsidRPr="002A1040">
        <w:rPr>
          <w:b w:val="0"/>
          <w:color w:val="auto"/>
          <w:sz w:val="24"/>
          <w:szCs w:val="24"/>
        </w:rPr>
        <w:t>This collection of information helps fulfill the requirements of:</w:t>
      </w:r>
    </w:p>
    <w:p w14:paraId="7DCE1062" w14:textId="77777777" w:rsidR="00A342EB" w:rsidRPr="002A1040" w:rsidRDefault="00A342EB" w:rsidP="00A342EB">
      <w:pPr>
        <w:pStyle w:val="Heading2"/>
        <w:numPr>
          <w:ilvl w:val="0"/>
          <w:numId w:val="1"/>
        </w:numPr>
        <w:rPr>
          <w:b w:val="0"/>
          <w:color w:val="auto"/>
          <w:sz w:val="24"/>
          <w:szCs w:val="24"/>
        </w:rPr>
      </w:pPr>
      <w:r w:rsidRPr="002A1040">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7DCE1063" w14:textId="77777777" w:rsidR="00A342EB" w:rsidRPr="002A1040" w:rsidRDefault="00A342EB">
      <w:pPr>
        <w:tabs>
          <w:tab w:val="left" w:pos="-720"/>
        </w:tabs>
        <w:rPr>
          <w:rFonts w:ascii="Times New Roman" w:hAnsi="Times New Roman"/>
          <w:sz w:val="24"/>
          <w:szCs w:val="24"/>
        </w:rPr>
      </w:pPr>
    </w:p>
    <w:p w14:paraId="6A4F9B4F" w14:textId="77777777" w:rsidR="00EF4A2D" w:rsidRPr="007A0CC4" w:rsidRDefault="001879E5" w:rsidP="00EF4A2D">
      <w:pPr>
        <w:tabs>
          <w:tab w:val="left" w:pos="-720"/>
        </w:tabs>
        <w:rPr>
          <w:rFonts w:ascii="Times New Roman" w:hAnsi="Times New Roman"/>
          <w:sz w:val="24"/>
          <w:szCs w:val="24"/>
        </w:rPr>
      </w:pPr>
      <w:r w:rsidRPr="002A1040">
        <w:rPr>
          <w:rFonts w:ascii="Times New Roman" w:hAnsi="Times New Roman"/>
          <w:sz w:val="24"/>
          <w:szCs w:val="24"/>
        </w:rPr>
        <w:t xml:space="preserve">This is a request for OMB approval </w:t>
      </w:r>
      <w:r w:rsidR="00A342EB" w:rsidRPr="002A1040">
        <w:rPr>
          <w:rFonts w:ascii="Times New Roman" w:hAnsi="Times New Roman"/>
          <w:sz w:val="24"/>
          <w:szCs w:val="24"/>
        </w:rPr>
        <w:t xml:space="preserve">of a qualitative </w:t>
      </w:r>
      <w:r w:rsidR="00F1420F" w:rsidRPr="002A1040">
        <w:rPr>
          <w:rFonts w:ascii="Times New Roman" w:hAnsi="Times New Roman"/>
          <w:sz w:val="24"/>
          <w:szCs w:val="24"/>
        </w:rPr>
        <w:t xml:space="preserve">voluntary </w:t>
      </w:r>
      <w:r w:rsidR="00A342EB" w:rsidRPr="002A1040">
        <w:rPr>
          <w:rFonts w:ascii="Times New Roman" w:hAnsi="Times New Roman"/>
          <w:sz w:val="24"/>
          <w:szCs w:val="24"/>
        </w:rPr>
        <w:t>customer satisfaction survey</w:t>
      </w:r>
      <w:r w:rsidR="0033551D" w:rsidRPr="002A1040">
        <w:rPr>
          <w:rFonts w:ascii="Times New Roman" w:hAnsi="Times New Roman"/>
          <w:sz w:val="24"/>
          <w:szCs w:val="24"/>
        </w:rPr>
        <w:t xml:space="preserve"> or focus group</w:t>
      </w:r>
      <w:r w:rsidR="00A342EB" w:rsidRPr="002A1040">
        <w:rPr>
          <w:rFonts w:ascii="Times New Roman" w:hAnsi="Times New Roman"/>
          <w:sz w:val="24"/>
          <w:szCs w:val="24"/>
        </w:rPr>
        <w:t xml:space="preserve"> under HRSA’s generic clearance. </w:t>
      </w:r>
      <w:r w:rsidR="00472378" w:rsidRPr="002A1040">
        <w:rPr>
          <w:rFonts w:ascii="Times New Roman" w:hAnsi="Times New Roman"/>
          <w:sz w:val="24"/>
          <w:szCs w:val="24"/>
        </w:rPr>
        <w:t xml:space="preserve"> </w:t>
      </w:r>
      <w:r w:rsidR="00EF4A2D" w:rsidRPr="002A1040">
        <w:rPr>
          <w:rFonts w:ascii="Times New Roman" w:hAnsi="Times New Roman"/>
          <w:sz w:val="24"/>
          <w:szCs w:val="24"/>
        </w:rPr>
        <w:t xml:space="preserve">Executive Order 12862 directs agencies that "provide significant services directly to the </w:t>
      </w:r>
      <w:r w:rsidR="00EF4A2D" w:rsidRPr="007A0CC4">
        <w:rPr>
          <w:rFonts w:ascii="Times New Roman" w:hAnsi="Times New Roman"/>
          <w:sz w:val="24"/>
          <w:szCs w:val="24"/>
        </w:rPr>
        <w:t xml:space="preserve">public" to "survey customers to determine the kind and quality of services they want and their level of satisfaction with existing services."   </w:t>
      </w:r>
    </w:p>
    <w:p w14:paraId="7DCE1065" w14:textId="77777777" w:rsidR="004E3605" w:rsidRPr="007A0CC4" w:rsidRDefault="004E3605">
      <w:pPr>
        <w:tabs>
          <w:tab w:val="left" w:pos="-720"/>
        </w:tabs>
        <w:rPr>
          <w:rFonts w:ascii="Times New Roman" w:hAnsi="Times New Roman"/>
          <w:sz w:val="24"/>
          <w:szCs w:val="24"/>
        </w:rPr>
      </w:pPr>
    </w:p>
    <w:p w14:paraId="4C1A76CC" w14:textId="6401CD7A" w:rsidR="00F7547D" w:rsidRPr="007A0CC4" w:rsidRDefault="00491775" w:rsidP="00F7547D">
      <w:pPr>
        <w:widowControl/>
        <w:autoSpaceDE/>
        <w:autoSpaceDN/>
        <w:adjustRightInd/>
        <w:spacing w:line="276" w:lineRule="auto"/>
        <w:rPr>
          <w:rFonts w:ascii="Times New Roman" w:hAnsi="Times New Roman"/>
          <w:i/>
          <w:sz w:val="24"/>
          <w:szCs w:val="24"/>
        </w:rPr>
      </w:pPr>
      <w:r w:rsidRPr="007A0CC4">
        <w:rPr>
          <w:rFonts w:ascii="Times New Roman" w:hAnsi="Times New Roman"/>
          <w:sz w:val="24"/>
          <w:szCs w:val="24"/>
        </w:rPr>
        <w:t xml:space="preserve">HRSA’s Office of Women’s Health, </w:t>
      </w:r>
      <w:r w:rsidR="00B26D11" w:rsidRPr="007A0CC4">
        <w:rPr>
          <w:rFonts w:ascii="Times New Roman" w:hAnsi="Times New Roman"/>
          <w:sz w:val="24"/>
          <w:szCs w:val="24"/>
        </w:rPr>
        <w:t>in collaboration with</w:t>
      </w:r>
      <w:r w:rsidRPr="007A0CC4">
        <w:rPr>
          <w:rFonts w:ascii="Times New Roman" w:hAnsi="Times New Roman"/>
          <w:sz w:val="24"/>
          <w:szCs w:val="24"/>
        </w:rPr>
        <w:t xml:space="preserve"> HRSA’s Bureau of Primary Health Care</w:t>
      </w:r>
      <w:r w:rsidR="00FB18DD" w:rsidRPr="007A0CC4">
        <w:rPr>
          <w:rFonts w:ascii="Times New Roman" w:hAnsi="Times New Roman"/>
          <w:sz w:val="24"/>
          <w:szCs w:val="24"/>
        </w:rPr>
        <w:t>, the</w:t>
      </w:r>
      <w:r w:rsidR="00B26D11" w:rsidRPr="007A0CC4">
        <w:rPr>
          <w:rFonts w:ascii="Times New Roman" w:hAnsi="Times New Roman"/>
          <w:sz w:val="24"/>
          <w:szCs w:val="24"/>
        </w:rPr>
        <w:t xml:space="preserve"> Administration for Children and Families</w:t>
      </w:r>
      <w:r w:rsidR="000F5667" w:rsidRPr="007A0CC4">
        <w:rPr>
          <w:rFonts w:ascii="Times New Roman" w:hAnsi="Times New Roman"/>
          <w:sz w:val="24"/>
          <w:szCs w:val="24"/>
        </w:rPr>
        <w:t xml:space="preserve"> (ACF)</w:t>
      </w:r>
      <w:r w:rsidR="00B26D11" w:rsidRPr="007A0CC4">
        <w:rPr>
          <w:rFonts w:ascii="Times New Roman" w:hAnsi="Times New Roman"/>
          <w:sz w:val="24"/>
          <w:szCs w:val="24"/>
        </w:rPr>
        <w:t>,</w:t>
      </w:r>
      <w:r w:rsidR="00BA0877" w:rsidRPr="007A0CC4">
        <w:rPr>
          <w:rFonts w:ascii="Times New Roman" w:hAnsi="Times New Roman"/>
          <w:sz w:val="24"/>
          <w:szCs w:val="24"/>
        </w:rPr>
        <w:t xml:space="preserve"> HHS Office </w:t>
      </w:r>
      <w:r w:rsidR="00FB60DD" w:rsidRPr="007A0CC4">
        <w:rPr>
          <w:rFonts w:ascii="Times New Roman" w:hAnsi="Times New Roman"/>
          <w:sz w:val="24"/>
          <w:szCs w:val="24"/>
        </w:rPr>
        <w:t>on Women’s Health (OWH)</w:t>
      </w:r>
      <w:r w:rsidR="00BA0877" w:rsidRPr="007A0CC4">
        <w:rPr>
          <w:rFonts w:ascii="Times New Roman" w:hAnsi="Times New Roman"/>
          <w:sz w:val="24"/>
          <w:szCs w:val="24"/>
        </w:rPr>
        <w:t>,</w:t>
      </w:r>
      <w:r w:rsidR="00B26D11" w:rsidRPr="007A0CC4">
        <w:rPr>
          <w:rFonts w:ascii="Times New Roman" w:hAnsi="Times New Roman"/>
          <w:sz w:val="24"/>
          <w:szCs w:val="24"/>
        </w:rPr>
        <w:t xml:space="preserve"> and the National Health and Violence Resource Center, </w:t>
      </w:r>
      <w:r w:rsidR="00001B23" w:rsidRPr="007A0CC4">
        <w:rPr>
          <w:rFonts w:ascii="Times New Roman" w:hAnsi="Times New Roman"/>
          <w:sz w:val="24"/>
          <w:szCs w:val="24"/>
        </w:rPr>
        <w:t>proposes to</w:t>
      </w:r>
      <w:r w:rsidR="00B26D11" w:rsidRPr="007A0CC4">
        <w:rPr>
          <w:rFonts w:ascii="Times New Roman" w:hAnsi="Times New Roman"/>
          <w:sz w:val="24"/>
          <w:szCs w:val="24"/>
        </w:rPr>
        <w:t xml:space="preserve"> obtain feedback from six federally qualified health centers</w:t>
      </w:r>
      <w:r w:rsidR="00DD7CC5" w:rsidRPr="007A0CC4">
        <w:rPr>
          <w:rFonts w:ascii="Times New Roman" w:hAnsi="Times New Roman"/>
          <w:sz w:val="24"/>
          <w:szCs w:val="24"/>
        </w:rPr>
        <w:t xml:space="preserve"> and their self-selected domestic violence partner organizations</w:t>
      </w:r>
      <w:r w:rsidR="00B3735D" w:rsidRPr="007A0CC4">
        <w:rPr>
          <w:rFonts w:ascii="Times New Roman" w:hAnsi="Times New Roman"/>
          <w:sz w:val="24"/>
          <w:szCs w:val="24"/>
        </w:rPr>
        <w:t xml:space="preserve"> </w:t>
      </w:r>
      <w:r w:rsidR="00001B23" w:rsidRPr="007A0CC4">
        <w:rPr>
          <w:rFonts w:ascii="Times New Roman" w:hAnsi="Times New Roman"/>
          <w:sz w:val="24"/>
          <w:szCs w:val="24"/>
        </w:rPr>
        <w:t xml:space="preserve">participating in an ongoing </w:t>
      </w:r>
      <w:r w:rsidR="00B26D11" w:rsidRPr="007A0CC4">
        <w:rPr>
          <w:rFonts w:ascii="Times New Roman" w:hAnsi="Times New Roman"/>
          <w:sz w:val="24"/>
          <w:szCs w:val="24"/>
        </w:rPr>
        <w:t>pilot project</w:t>
      </w:r>
      <w:r w:rsidR="00001B23" w:rsidRPr="007A0CC4">
        <w:rPr>
          <w:rFonts w:ascii="Times New Roman" w:hAnsi="Times New Roman"/>
          <w:sz w:val="24"/>
          <w:szCs w:val="24"/>
        </w:rPr>
        <w:t>. During this current</w:t>
      </w:r>
      <w:r w:rsidR="009B2219" w:rsidRPr="007A0CC4">
        <w:rPr>
          <w:rFonts w:ascii="Times New Roman" w:hAnsi="Times New Roman"/>
          <w:sz w:val="24"/>
          <w:szCs w:val="24"/>
        </w:rPr>
        <w:t xml:space="preserve"> pilot,</w:t>
      </w:r>
      <w:r w:rsidR="00B26D11" w:rsidRPr="007A0CC4">
        <w:rPr>
          <w:rFonts w:ascii="Times New Roman" w:hAnsi="Times New Roman"/>
          <w:sz w:val="24"/>
          <w:szCs w:val="24"/>
        </w:rPr>
        <w:t xml:space="preserve"> </w:t>
      </w:r>
      <w:r w:rsidR="000E41A7" w:rsidRPr="007A0CC4">
        <w:rPr>
          <w:rFonts w:ascii="Times New Roman" w:hAnsi="Times New Roman"/>
          <w:sz w:val="24"/>
          <w:szCs w:val="24"/>
        </w:rPr>
        <w:t xml:space="preserve">the health centers and partner </w:t>
      </w:r>
      <w:r w:rsidR="00FC1645" w:rsidRPr="007A0CC4">
        <w:rPr>
          <w:rFonts w:ascii="Times New Roman" w:hAnsi="Times New Roman"/>
          <w:sz w:val="24"/>
          <w:szCs w:val="24"/>
        </w:rPr>
        <w:t>organizations</w:t>
      </w:r>
      <w:r w:rsidR="000E41A7" w:rsidRPr="007A0CC4">
        <w:rPr>
          <w:rFonts w:ascii="Times New Roman" w:hAnsi="Times New Roman"/>
          <w:sz w:val="24"/>
          <w:szCs w:val="24"/>
        </w:rPr>
        <w:t xml:space="preserve"> receive</w:t>
      </w:r>
      <w:r w:rsidR="00B26D11" w:rsidRPr="007A0CC4">
        <w:rPr>
          <w:rFonts w:ascii="Times New Roman" w:hAnsi="Times New Roman"/>
          <w:sz w:val="24"/>
          <w:szCs w:val="24"/>
        </w:rPr>
        <w:t xml:space="preserve"> training and technical assistance </w:t>
      </w:r>
      <w:r w:rsidR="00FB60DD" w:rsidRPr="007A0CC4">
        <w:rPr>
          <w:rFonts w:ascii="Times New Roman" w:hAnsi="Times New Roman"/>
          <w:sz w:val="24"/>
          <w:szCs w:val="24"/>
        </w:rPr>
        <w:t>to implement</w:t>
      </w:r>
      <w:r w:rsidR="00B26D11" w:rsidRPr="007A0CC4">
        <w:rPr>
          <w:rFonts w:ascii="Times New Roman" w:hAnsi="Times New Roman"/>
          <w:sz w:val="24"/>
          <w:szCs w:val="24"/>
        </w:rPr>
        <w:t xml:space="preserve"> </w:t>
      </w:r>
      <w:r w:rsidR="00F7547D" w:rsidRPr="007A0CC4">
        <w:rPr>
          <w:rFonts w:ascii="Times New Roman" w:hAnsi="Times New Roman"/>
          <w:sz w:val="24"/>
          <w:szCs w:val="24"/>
        </w:rPr>
        <w:t xml:space="preserve">practice changes </w:t>
      </w:r>
      <w:r w:rsidR="00DD7CC5" w:rsidRPr="007A0CC4">
        <w:rPr>
          <w:rFonts w:ascii="Times New Roman" w:hAnsi="Times New Roman"/>
          <w:sz w:val="24"/>
          <w:szCs w:val="24"/>
        </w:rPr>
        <w:t xml:space="preserve">integrate </w:t>
      </w:r>
      <w:r w:rsidR="00BD789B" w:rsidRPr="007A0CC4">
        <w:rPr>
          <w:rFonts w:ascii="Times New Roman" w:hAnsi="Times New Roman"/>
          <w:sz w:val="24"/>
          <w:szCs w:val="24"/>
        </w:rPr>
        <w:t>intimate partner violence</w:t>
      </w:r>
      <w:r w:rsidR="000F5667" w:rsidRPr="007A0CC4">
        <w:rPr>
          <w:rFonts w:ascii="Times New Roman" w:hAnsi="Times New Roman"/>
          <w:sz w:val="24"/>
          <w:szCs w:val="24"/>
        </w:rPr>
        <w:t xml:space="preserve"> (IPV)</w:t>
      </w:r>
      <w:r w:rsidR="00874BBF" w:rsidRPr="007A0CC4">
        <w:rPr>
          <w:rFonts w:ascii="Times New Roman" w:hAnsi="Times New Roman"/>
          <w:sz w:val="24"/>
          <w:szCs w:val="24"/>
        </w:rPr>
        <w:t xml:space="preserve"> screening and counseling</w:t>
      </w:r>
      <w:r w:rsidR="00BD789B" w:rsidRPr="007A0CC4">
        <w:rPr>
          <w:rFonts w:ascii="Times New Roman" w:hAnsi="Times New Roman"/>
          <w:sz w:val="24"/>
          <w:szCs w:val="24"/>
        </w:rPr>
        <w:t xml:space="preserve"> </w:t>
      </w:r>
      <w:r w:rsidR="00DD7CC5" w:rsidRPr="007A0CC4">
        <w:rPr>
          <w:rFonts w:ascii="Times New Roman" w:hAnsi="Times New Roman"/>
          <w:sz w:val="24"/>
          <w:szCs w:val="24"/>
        </w:rPr>
        <w:t>in</w:t>
      </w:r>
      <w:r w:rsidR="000E41A7" w:rsidRPr="007A0CC4">
        <w:rPr>
          <w:rFonts w:ascii="Times New Roman" w:hAnsi="Times New Roman"/>
          <w:sz w:val="24"/>
          <w:szCs w:val="24"/>
        </w:rPr>
        <w:t>to</w:t>
      </w:r>
      <w:r w:rsidR="00DD7CC5" w:rsidRPr="007A0CC4">
        <w:rPr>
          <w:rFonts w:ascii="Times New Roman" w:hAnsi="Times New Roman"/>
          <w:sz w:val="24"/>
          <w:szCs w:val="24"/>
        </w:rPr>
        <w:t xml:space="preserve"> practice </w:t>
      </w:r>
      <w:r w:rsidR="00F7547D" w:rsidRPr="007A0CC4">
        <w:rPr>
          <w:rFonts w:ascii="Times New Roman" w:hAnsi="Times New Roman"/>
          <w:sz w:val="24"/>
          <w:szCs w:val="24"/>
        </w:rPr>
        <w:t xml:space="preserve">and create stronger and formal relationships </w:t>
      </w:r>
      <w:r w:rsidR="00BD789B" w:rsidRPr="007A0CC4">
        <w:rPr>
          <w:rFonts w:ascii="Times New Roman" w:hAnsi="Times New Roman"/>
          <w:sz w:val="24"/>
          <w:szCs w:val="24"/>
        </w:rPr>
        <w:t>with their community</w:t>
      </w:r>
      <w:r w:rsidR="00F7547D" w:rsidRPr="007A0CC4">
        <w:rPr>
          <w:rFonts w:ascii="Times New Roman" w:hAnsi="Times New Roman"/>
          <w:sz w:val="24"/>
          <w:szCs w:val="24"/>
        </w:rPr>
        <w:t xml:space="preserve"> domestic violence </w:t>
      </w:r>
      <w:r w:rsidRPr="007A0CC4">
        <w:rPr>
          <w:rFonts w:ascii="Times New Roman" w:hAnsi="Times New Roman"/>
          <w:sz w:val="24"/>
          <w:szCs w:val="24"/>
        </w:rPr>
        <w:t>organizations</w:t>
      </w:r>
      <w:r w:rsidR="00BD789B" w:rsidRPr="007A0CC4">
        <w:rPr>
          <w:rFonts w:ascii="Times New Roman" w:hAnsi="Times New Roman"/>
          <w:sz w:val="24"/>
          <w:szCs w:val="24"/>
        </w:rPr>
        <w:t xml:space="preserve">. </w:t>
      </w:r>
      <w:r w:rsidR="000875F0" w:rsidRPr="007A0CC4">
        <w:rPr>
          <w:rFonts w:ascii="Times New Roman" w:hAnsi="Times New Roman"/>
          <w:sz w:val="24"/>
          <w:szCs w:val="24"/>
        </w:rPr>
        <w:t>Under the Patient Protection and</w:t>
      </w:r>
      <w:r w:rsidR="00EA1EAE" w:rsidRPr="007A0CC4">
        <w:rPr>
          <w:rFonts w:ascii="Times New Roman" w:hAnsi="Times New Roman"/>
          <w:sz w:val="24"/>
          <w:szCs w:val="24"/>
        </w:rPr>
        <w:t xml:space="preserve"> Affordable Care Act</w:t>
      </w:r>
      <w:r w:rsidR="00874BBF" w:rsidRPr="007A0CC4">
        <w:rPr>
          <w:rFonts w:ascii="Times New Roman" w:hAnsi="Times New Roman"/>
          <w:sz w:val="24"/>
          <w:szCs w:val="24"/>
        </w:rPr>
        <w:t xml:space="preserve"> (ACA)</w:t>
      </w:r>
      <w:r w:rsidR="00EA1EAE" w:rsidRPr="007A0CC4">
        <w:rPr>
          <w:rFonts w:ascii="Times New Roman" w:hAnsi="Times New Roman"/>
          <w:sz w:val="24"/>
          <w:szCs w:val="24"/>
        </w:rPr>
        <w:t>, select women’s preventive he</w:t>
      </w:r>
      <w:r w:rsidR="00874BBF" w:rsidRPr="007A0CC4">
        <w:rPr>
          <w:rFonts w:ascii="Times New Roman" w:hAnsi="Times New Roman"/>
          <w:sz w:val="24"/>
          <w:szCs w:val="24"/>
        </w:rPr>
        <w:t>alth care services – including s</w:t>
      </w:r>
      <w:r w:rsidR="00EA1EAE" w:rsidRPr="007A0CC4">
        <w:rPr>
          <w:rFonts w:ascii="Times New Roman" w:hAnsi="Times New Roman"/>
          <w:sz w:val="24"/>
          <w:szCs w:val="24"/>
        </w:rPr>
        <w:t xml:space="preserve">creening and counseling for interpersonal and domestic violence – are covered with no cost sharing. This </w:t>
      </w:r>
      <w:r w:rsidR="00001B23" w:rsidRPr="007A0CC4">
        <w:rPr>
          <w:rFonts w:ascii="Times New Roman" w:hAnsi="Times New Roman"/>
          <w:sz w:val="24"/>
          <w:szCs w:val="24"/>
        </w:rPr>
        <w:t xml:space="preserve">existing </w:t>
      </w:r>
      <w:r w:rsidR="00EA1EAE" w:rsidRPr="007A0CC4">
        <w:rPr>
          <w:rFonts w:ascii="Times New Roman" w:hAnsi="Times New Roman"/>
          <w:sz w:val="24"/>
          <w:szCs w:val="24"/>
        </w:rPr>
        <w:t xml:space="preserve">pilot </w:t>
      </w:r>
      <w:r w:rsidR="000875F0" w:rsidRPr="007A0CC4">
        <w:rPr>
          <w:rFonts w:ascii="Times New Roman" w:hAnsi="Times New Roman"/>
          <w:sz w:val="24"/>
          <w:szCs w:val="24"/>
        </w:rPr>
        <w:t xml:space="preserve">is aimed to </w:t>
      </w:r>
      <w:r w:rsidR="00FB18DD" w:rsidRPr="007A0CC4">
        <w:rPr>
          <w:rFonts w:ascii="Times New Roman" w:hAnsi="Times New Roman"/>
          <w:sz w:val="24"/>
          <w:szCs w:val="24"/>
        </w:rPr>
        <w:t>equip</w:t>
      </w:r>
      <w:r w:rsidR="00EA1EAE" w:rsidRPr="007A0CC4">
        <w:rPr>
          <w:rFonts w:ascii="Times New Roman" w:hAnsi="Times New Roman"/>
          <w:sz w:val="24"/>
          <w:szCs w:val="24"/>
        </w:rPr>
        <w:t xml:space="preserve"> health centers to integrate screening and counseling for interpersonal and domestic violence into practice through training and</w:t>
      </w:r>
      <w:r w:rsidR="000875F0" w:rsidRPr="007A0CC4">
        <w:rPr>
          <w:rFonts w:ascii="Times New Roman" w:hAnsi="Times New Roman"/>
          <w:sz w:val="24"/>
          <w:szCs w:val="24"/>
        </w:rPr>
        <w:t xml:space="preserve"> the</w:t>
      </w:r>
      <w:r w:rsidR="00EA1EAE" w:rsidRPr="007A0CC4">
        <w:rPr>
          <w:rFonts w:ascii="Times New Roman" w:hAnsi="Times New Roman"/>
          <w:sz w:val="24"/>
          <w:szCs w:val="24"/>
        </w:rPr>
        <w:t xml:space="preserve"> engagement of a self-selected domestic violence partner organization</w:t>
      </w:r>
      <w:r w:rsidR="008C7DB0" w:rsidRPr="007A0CC4">
        <w:rPr>
          <w:rFonts w:ascii="Times New Roman" w:hAnsi="Times New Roman"/>
          <w:sz w:val="24"/>
          <w:szCs w:val="24"/>
        </w:rPr>
        <w:t xml:space="preserve"> and will result in a toolkit that highlights best practices for use across health centers</w:t>
      </w:r>
      <w:r w:rsidR="00EA1EAE" w:rsidRPr="007A0CC4">
        <w:rPr>
          <w:rFonts w:ascii="Times New Roman" w:hAnsi="Times New Roman"/>
          <w:sz w:val="24"/>
          <w:szCs w:val="24"/>
        </w:rPr>
        <w:t xml:space="preserve">. </w:t>
      </w:r>
      <w:r w:rsidR="0061245B" w:rsidRPr="007A0CC4">
        <w:rPr>
          <w:rFonts w:ascii="Times New Roman" w:hAnsi="Times New Roman"/>
          <w:sz w:val="24"/>
          <w:szCs w:val="24"/>
        </w:rPr>
        <w:t>T</w:t>
      </w:r>
      <w:r w:rsidR="0085753B" w:rsidRPr="007A0CC4">
        <w:rPr>
          <w:rFonts w:ascii="Times New Roman" w:hAnsi="Times New Roman"/>
          <w:sz w:val="24"/>
          <w:szCs w:val="24"/>
        </w:rPr>
        <w:t>he pilot project was funded at $250,000</w:t>
      </w:r>
      <w:r w:rsidR="009974B7" w:rsidRPr="007A0CC4">
        <w:rPr>
          <w:rFonts w:ascii="Times New Roman" w:hAnsi="Times New Roman"/>
          <w:sz w:val="24"/>
          <w:szCs w:val="24"/>
        </w:rPr>
        <w:t>.</w:t>
      </w:r>
    </w:p>
    <w:p w14:paraId="2E4C4A40" w14:textId="77777777" w:rsidR="00F7547D" w:rsidRPr="007A0CC4" w:rsidRDefault="00F7547D" w:rsidP="00F7547D">
      <w:pPr>
        <w:tabs>
          <w:tab w:val="left" w:pos="-720"/>
        </w:tabs>
        <w:rPr>
          <w:rFonts w:ascii="Times New Roman" w:hAnsi="Times New Roman"/>
          <w:sz w:val="24"/>
          <w:szCs w:val="24"/>
        </w:rPr>
      </w:pPr>
    </w:p>
    <w:p w14:paraId="0DB22A29" w14:textId="730C65C2" w:rsidR="00881F20" w:rsidRPr="007A0CC4" w:rsidRDefault="00F7547D" w:rsidP="00881F20">
      <w:pPr>
        <w:tabs>
          <w:tab w:val="left" w:pos="-720"/>
        </w:tabs>
        <w:rPr>
          <w:rFonts w:ascii="Times New Roman" w:hAnsi="Times New Roman"/>
          <w:sz w:val="24"/>
          <w:szCs w:val="24"/>
        </w:rPr>
      </w:pPr>
      <w:r w:rsidRPr="007A0CC4">
        <w:rPr>
          <w:rFonts w:ascii="Times New Roman" w:hAnsi="Times New Roman"/>
          <w:sz w:val="24"/>
          <w:szCs w:val="24"/>
        </w:rPr>
        <w:t xml:space="preserve">The </w:t>
      </w:r>
      <w:r w:rsidR="000F5667" w:rsidRPr="007A0CC4">
        <w:rPr>
          <w:rFonts w:ascii="Times New Roman" w:hAnsi="Times New Roman"/>
          <w:sz w:val="24"/>
          <w:szCs w:val="24"/>
        </w:rPr>
        <w:t xml:space="preserve">low-burden </w:t>
      </w:r>
      <w:r w:rsidR="00D36322" w:rsidRPr="007A0CC4">
        <w:rPr>
          <w:rFonts w:ascii="Times New Roman" w:hAnsi="Times New Roman"/>
          <w:sz w:val="24"/>
          <w:szCs w:val="24"/>
        </w:rPr>
        <w:t xml:space="preserve">data collection activities </w:t>
      </w:r>
      <w:r w:rsidR="009974B7" w:rsidRPr="007A0CC4">
        <w:rPr>
          <w:rFonts w:ascii="Times New Roman" w:hAnsi="Times New Roman"/>
          <w:sz w:val="24"/>
          <w:szCs w:val="24"/>
        </w:rPr>
        <w:t xml:space="preserve">will </w:t>
      </w:r>
      <w:r w:rsidR="00D36322" w:rsidRPr="007A0CC4">
        <w:rPr>
          <w:rFonts w:ascii="Times New Roman" w:hAnsi="Times New Roman"/>
          <w:sz w:val="24"/>
          <w:szCs w:val="24"/>
        </w:rPr>
        <w:t>involve</w:t>
      </w:r>
      <w:r w:rsidR="009974B7" w:rsidRPr="007A0CC4">
        <w:rPr>
          <w:rFonts w:ascii="Times New Roman" w:hAnsi="Times New Roman"/>
          <w:sz w:val="24"/>
          <w:szCs w:val="24"/>
        </w:rPr>
        <w:t xml:space="preserve"> the following</w:t>
      </w:r>
      <w:r w:rsidR="00B3735D" w:rsidRPr="007A0CC4">
        <w:rPr>
          <w:rFonts w:ascii="Times New Roman" w:hAnsi="Times New Roman"/>
          <w:sz w:val="24"/>
          <w:szCs w:val="24"/>
        </w:rPr>
        <w:t xml:space="preserve"> </w:t>
      </w:r>
      <w:r w:rsidR="000F5667" w:rsidRPr="007A0CC4">
        <w:rPr>
          <w:rFonts w:ascii="Times New Roman" w:hAnsi="Times New Roman"/>
          <w:sz w:val="24"/>
          <w:szCs w:val="24"/>
        </w:rPr>
        <w:t xml:space="preserve">simple </w:t>
      </w:r>
      <w:r w:rsidR="00B3735D" w:rsidRPr="007A0CC4">
        <w:rPr>
          <w:rFonts w:ascii="Times New Roman" w:hAnsi="Times New Roman"/>
          <w:sz w:val="24"/>
          <w:szCs w:val="24"/>
        </w:rPr>
        <w:t>assessment tools</w:t>
      </w:r>
      <w:r w:rsidR="009E7319" w:rsidRPr="007A0CC4">
        <w:rPr>
          <w:rFonts w:ascii="Times New Roman" w:hAnsi="Times New Roman"/>
          <w:sz w:val="24"/>
          <w:szCs w:val="24"/>
        </w:rPr>
        <w:t>:</w:t>
      </w:r>
    </w:p>
    <w:p w14:paraId="576EB3DE" w14:textId="77777777" w:rsidR="00881F20" w:rsidRPr="007A0CC4" w:rsidRDefault="00881F20" w:rsidP="00881F20">
      <w:pPr>
        <w:tabs>
          <w:tab w:val="left" w:pos="-720"/>
        </w:tabs>
        <w:rPr>
          <w:rFonts w:ascii="Times New Roman" w:hAnsi="Times New Roman"/>
          <w:sz w:val="24"/>
          <w:szCs w:val="24"/>
        </w:rPr>
      </w:pPr>
    </w:p>
    <w:p w14:paraId="6652653D" w14:textId="7FB03361" w:rsidR="00881F20" w:rsidRPr="007A0CC4" w:rsidRDefault="00881F20" w:rsidP="00C94A68">
      <w:pPr>
        <w:pStyle w:val="ListParagraph"/>
        <w:numPr>
          <w:ilvl w:val="0"/>
          <w:numId w:val="15"/>
        </w:numPr>
        <w:tabs>
          <w:tab w:val="left" w:pos="-720"/>
        </w:tabs>
        <w:rPr>
          <w:rFonts w:ascii="Times New Roman" w:hAnsi="Times New Roman"/>
          <w:sz w:val="24"/>
          <w:szCs w:val="24"/>
        </w:rPr>
      </w:pPr>
      <w:r w:rsidRPr="007A0CC4">
        <w:rPr>
          <w:rFonts w:ascii="Times New Roman" w:hAnsi="Times New Roman"/>
          <w:b/>
          <w:sz w:val="24"/>
          <w:szCs w:val="24"/>
        </w:rPr>
        <w:t xml:space="preserve">Training Survey for Health Organizations </w:t>
      </w:r>
      <w:r w:rsidR="00001B23" w:rsidRPr="007A0CC4">
        <w:rPr>
          <w:rFonts w:ascii="Times New Roman" w:hAnsi="Times New Roman"/>
          <w:b/>
          <w:sz w:val="24"/>
          <w:szCs w:val="24"/>
        </w:rPr>
        <w:t>-</w:t>
      </w:r>
      <w:r w:rsidR="00001B23" w:rsidRPr="007A0CC4">
        <w:rPr>
          <w:rFonts w:ascii="Times New Roman" w:hAnsi="Times New Roman"/>
          <w:sz w:val="24"/>
          <w:szCs w:val="24"/>
        </w:rPr>
        <w:t xml:space="preserve"> This survey provides information</w:t>
      </w:r>
      <w:r w:rsidR="00B72ED9">
        <w:rPr>
          <w:rFonts w:ascii="Times New Roman" w:hAnsi="Times New Roman"/>
          <w:sz w:val="24"/>
          <w:szCs w:val="24"/>
        </w:rPr>
        <w:t xml:space="preserve"> </w:t>
      </w:r>
      <w:r w:rsidR="00001B23" w:rsidRPr="007A0CC4">
        <w:rPr>
          <w:rFonts w:ascii="Times New Roman" w:hAnsi="Times New Roman"/>
          <w:sz w:val="24"/>
          <w:szCs w:val="24"/>
        </w:rPr>
        <w:t xml:space="preserve">on </w:t>
      </w:r>
      <w:r w:rsidR="00001B23" w:rsidRPr="007A0CC4">
        <w:rPr>
          <w:rFonts w:ascii="Times New Roman" w:hAnsi="Times New Roman"/>
          <w:sz w:val="24"/>
          <w:szCs w:val="24"/>
        </w:rPr>
        <w:lastRenderedPageBreak/>
        <w:t>customer satisfaction as it relates to IPV screening and counseling that may be received by patients served by health centers. It consists of basic check box questions about processes in place in the health center setting. This will also help to identify common gaps in IPV screening and counseling to assist HRSA to be responsive to customer service needs.</w:t>
      </w:r>
      <w:r w:rsidR="00CA53F8">
        <w:rPr>
          <w:rFonts w:ascii="Times New Roman" w:hAnsi="Times New Roman"/>
          <w:sz w:val="24"/>
          <w:szCs w:val="24"/>
        </w:rPr>
        <w:t xml:space="preserve"> Respondents include health center organization</w:t>
      </w:r>
      <w:r w:rsidR="00CA53F8" w:rsidRPr="007A0CC4">
        <w:rPr>
          <w:rFonts w:ascii="Times New Roman" w:hAnsi="Times New Roman"/>
          <w:sz w:val="24"/>
          <w:szCs w:val="24"/>
        </w:rPr>
        <w:t xml:space="preserve"> </w:t>
      </w:r>
      <w:r w:rsidR="00CA53F8">
        <w:rPr>
          <w:rFonts w:ascii="Times New Roman" w:hAnsi="Times New Roman"/>
          <w:sz w:val="24"/>
          <w:szCs w:val="24"/>
        </w:rPr>
        <w:t>staff at sites participating in the pilot.</w:t>
      </w:r>
    </w:p>
    <w:p w14:paraId="1C7AB17F" w14:textId="261D7D1E" w:rsidR="00001B23" w:rsidRPr="007A0CC4" w:rsidRDefault="000E41A7" w:rsidP="00001B23">
      <w:pPr>
        <w:pStyle w:val="ListParagraph"/>
        <w:numPr>
          <w:ilvl w:val="0"/>
          <w:numId w:val="15"/>
        </w:numPr>
        <w:tabs>
          <w:tab w:val="left" w:pos="-720"/>
        </w:tabs>
        <w:rPr>
          <w:rFonts w:ascii="Times New Roman" w:hAnsi="Times New Roman"/>
          <w:sz w:val="24"/>
          <w:szCs w:val="24"/>
        </w:rPr>
      </w:pPr>
      <w:r w:rsidRPr="007A0CC4">
        <w:rPr>
          <w:rFonts w:ascii="Times New Roman" w:hAnsi="Times New Roman"/>
          <w:b/>
          <w:sz w:val="24"/>
          <w:szCs w:val="24"/>
        </w:rPr>
        <w:t xml:space="preserve">Follow </w:t>
      </w:r>
      <w:proofErr w:type="gramStart"/>
      <w:r w:rsidRPr="007A0CC4">
        <w:rPr>
          <w:rFonts w:ascii="Times New Roman" w:hAnsi="Times New Roman"/>
          <w:b/>
          <w:sz w:val="24"/>
          <w:szCs w:val="24"/>
        </w:rPr>
        <w:t>Up</w:t>
      </w:r>
      <w:proofErr w:type="gramEnd"/>
      <w:r w:rsidRPr="007A0CC4">
        <w:rPr>
          <w:rFonts w:ascii="Times New Roman" w:hAnsi="Times New Roman"/>
          <w:b/>
          <w:sz w:val="24"/>
          <w:szCs w:val="24"/>
        </w:rPr>
        <w:t xml:space="preserve"> </w:t>
      </w:r>
      <w:r w:rsidR="00881F20" w:rsidRPr="007A0CC4">
        <w:rPr>
          <w:rFonts w:ascii="Times New Roman" w:hAnsi="Times New Roman"/>
          <w:b/>
          <w:sz w:val="24"/>
          <w:szCs w:val="24"/>
        </w:rPr>
        <w:t xml:space="preserve">Training Survey for Health Organizations </w:t>
      </w:r>
      <w:r w:rsidR="00001B23" w:rsidRPr="007A0CC4">
        <w:rPr>
          <w:rFonts w:ascii="Times New Roman" w:hAnsi="Times New Roman"/>
          <w:b/>
          <w:sz w:val="24"/>
          <w:szCs w:val="24"/>
        </w:rPr>
        <w:t xml:space="preserve">- </w:t>
      </w:r>
      <w:r w:rsidR="00001B23" w:rsidRPr="007A0CC4">
        <w:rPr>
          <w:rFonts w:ascii="Times New Roman" w:hAnsi="Times New Roman"/>
          <w:sz w:val="24"/>
          <w:szCs w:val="24"/>
        </w:rPr>
        <w:t>This survey, to be administered after training, provides information on customer satisfaction as it relates to usefulness and impact of training conducted within the pilot. This will help inform opportunities to enhance training so as to support HRSA to be responsive to customer service needs.</w:t>
      </w:r>
      <w:r w:rsidR="00CA53F8">
        <w:rPr>
          <w:rFonts w:ascii="Times New Roman" w:hAnsi="Times New Roman"/>
          <w:sz w:val="24"/>
          <w:szCs w:val="24"/>
        </w:rPr>
        <w:t xml:space="preserve"> </w:t>
      </w:r>
      <w:r w:rsidR="00926D11">
        <w:rPr>
          <w:rFonts w:ascii="Times New Roman" w:hAnsi="Times New Roman"/>
          <w:sz w:val="24"/>
          <w:szCs w:val="24"/>
        </w:rPr>
        <w:t>Respondents include health center staff at sites participating in the pilot.</w:t>
      </w:r>
    </w:p>
    <w:p w14:paraId="6250A80A" w14:textId="18861DC5" w:rsidR="00001B23" w:rsidRPr="007A0CC4" w:rsidRDefault="00881F20" w:rsidP="00CA53F8">
      <w:pPr>
        <w:pStyle w:val="ListParagraph"/>
        <w:numPr>
          <w:ilvl w:val="0"/>
          <w:numId w:val="15"/>
        </w:numPr>
        <w:tabs>
          <w:tab w:val="left" w:pos="-720"/>
        </w:tabs>
        <w:rPr>
          <w:rFonts w:ascii="Times New Roman" w:hAnsi="Times New Roman"/>
          <w:sz w:val="24"/>
          <w:szCs w:val="24"/>
        </w:rPr>
      </w:pPr>
      <w:r w:rsidRPr="007A0CC4">
        <w:rPr>
          <w:rFonts w:ascii="Times New Roman" w:hAnsi="Times New Roman"/>
          <w:b/>
          <w:sz w:val="24"/>
          <w:szCs w:val="24"/>
        </w:rPr>
        <w:t xml:space="preserve">Advocate/Provider 6 </w:t>
      </w:r>
      <w:r w:rsidR="00CB7D8E" w:rsidRPr="007A0CC4">
        <w:rPr>
          <w:rFonts w:ascii="Times New Roman" w:hAnsi="Times New Roman"/>
          <w:b/>
          <w:sz w:val="24"/>
          <w:szCs w:val="24"/>
        </w:rPr>
        <w:t>M</w:t>
      </w:r>
      <w:r w:rsidRPr="007A0CC4">
        <w:rPr>
          <w:rFonts w:ascii="Times New Roman" w:hAnsi="Times New Roman"/>
          <w:b/>
          <w:sz w:val="24"/>
          <w:szCs w:val="24"/>
        </w:rPr>
        <w:t xml:space="preserve">onth Follow </w:t>
      </w:r>
      <w:proofErr w:type="gramStart"/>
      <w:r w:rsidRPr="007A0CC4">
        <w:rPr>
          <w:rFonts w:ascii="Times New Roman" w:hAnsi="Times New Roman"/>
          <w:b/>
          <w:sz w:val="24"/>
          <w:szCs w:val="24"/>
        </w:rPr>
        <w:t>Up</w:t>
      </w:r>
      <w:proofErr w:type="gramEnd"/>
      <w:r w:rsidRPr="007A0CC4">
        <w:rPr>
          <w:rFonts w:ascii="Times New Roman" w:hAnsi="Times New Roman"/>
          <w:b/>
          <w:sz w:val="24"/>
          <w:szCs w:val="24"/>
        </w:rPr>
        <w:t xml:space="preserve"> Survey for Health Organizations</w:t>
      </w:r>
      <w:r w:rsidR="00001B23" w:rsidRPr="007A0CC4">
        <w:rPr>
          <w:rFonts w:ascii="Times New Roman" w:hAnsi="Times New Roman"/>
          <w:b/>
          <w:sz w:val="24"/>
          <w:szCs w:val="24"/>
        </w:rPr>
        <w:t xml:space="preserve"> - </w:t>
      </w:r>
      <w:r w:rsidR="00001B23" w:rsidRPr="007A0CC4">
        <w:rPr>
          <w:rFonts w:ascii="Times New Roman" w:hAnsi="Times New Roman"/>
          <w:sz w:val="24"/>
          <w:szCs w:val="24"/>
        </w:rPr>
        <w:t>Similar to the Training Survey, this survey provides information</w:t>
      </w:r>
      <w:r w:rsidR="00D40F51">
        <w:rPr>
          <w:rFonts w:ascii="Times New Roman" w:hAnsi="Times New Roman"/>
          <w:sz w:val="24"/>
          <w:szCs w:val="24"/>
        </w:rPr>
        <w:t xml:space="preserve"> </w:t>
      </w:r>
      <w:r w:rsidR="00001B23" w:rsidRPr="007A0CC4">
        <w:rPr>
          <w:rFonts w:ascii="Times New Roman" w:hAnsi="Times New Roman"/>
          <w:sz w:val="24"/>
          <w:szCs w:val="24"/>
        </w:rPr>
        <w:t xml:space="preserve">on customer satisfaction as it relates to IPV screening and counseling that may be received by patients served by health centers so as to understand if the </w:t>
      </w:r>
      <w:r w:rsidR="00AE4DDB">
        <w:rPr>
          <w:rFonts w:ascii="Times New Roman" w:hAnsi="Times New Roman"/>
          <w:sz w:val="24"/>
          <w:szCs w:val="24"/>
        </w:rPr>
        <w:t>t</w:t>
      </w:r>
      <w:r w:rsidR="00001B23" w:rsidRPr="007A0CC4">
        <w:rPr>
          <w:rFonts w:ascii="Times New Roman" w:hAnsi="Times New Roman"/>
          <w:sz w:val="24"/>
          <w:szCs w:val="24"/>
        </w:rPr>
        <w:t xml:space="preserve">raining </w:t>
      </w:r>
      <w:r w:rsidR="00692B95">
        <w:rPr>
          <w:rFonts w:ascii="Times New Roman" w:hAnsi="Times New Roman"/>
          <w:sz w:val="24"/>
          <w:szCs w:val="24"/>
        </w:rPr>
        <w:t>sustains</w:t>
      </w:r>
      <w:r w:rsidR="00692B95" w:rsidRPr="007A0CC4">
        <w:rPr>
          <w:rFonts w:ascii="Times New Roman" w:hAnsi="Times New Roman"/>
          <w:sz w:val="24"/>
          <w:szCs w:val="24"/>
        </w:rPr>
        <w:t xml:space="preserve"> </w:t>
      </w:r>
      <w:r w:rsidR="00001B23" w:rsidRPr="007A0CC4">
        <w:rPr>
          <w:rFonts w:ascii="Times New Roman" w:hAnsi="Times New Roman"/>
          <w:sz w:val="24"/>
          <w:szCs w:val="24"/>
        </w:rPr>
        <w:t>customer service. It consists of basic check box questions about processes in place in the health center setting. This will also help to identify common gaps in IPV screening and counseling to better assist HRSA to be responsive to customer service needs.</w:t>
      </w:r>
      <w:r w:rsidR="00CA53F8" w:rsidRPr="00CA53F8">
        <w:rPr>
          <w:rFonts w:ascii="Times New Roman" w:hAnsi="Times New Roman"/>
          <w:sz w:val="24"/>
          <w:szCs w:val="24"/>
        </w:rPr>
        <w:t xml:space="preserve"> </w:t>
      </w:r>
      <w:r w:rsidR="00926D11">
        <w:rPr>
          <w:rFonts w:ascii="Times New Roman" w:hAnsi="Times New Roman"/>
          <w:sz w:val="24"/>
          <w:szCs w:val="24"/>
        </w:rPr>
        <w:t>Respondents include health center staff at sites participating in the pilot.</w:t>
      </w:r>
    </w:p>
    <w:p w14:paraId="7B9965DA" w14:textId="3ACBD1AD" w:rsidR="00881F20" w:rsidRPr="007A0CC4" w:rsidRDefault="00881F20" w:rsidP="00001B23">
      <w:pPr>
        <w:pStyle w:val="ListParagraph"/>
        <w:numPr>
          <w:ilvl w:val="0"/>
          <w:numId w:val="15"/>
        </w:numPr>
        <w:tabs>
          <w:tab w:val="left" w:pos="-720"/>
        </w:tabs>
        <w:rPr>
          <w:rFonts w:ascii="Times New Roman" w:hAnsi="Times New Roman"/>
          <w:sz w:val="24"/>
          <w:szCs w:val="24"/>
        </w:rPr>
      </w:pPr>
      <w:r w:rsidRPr="007A0CC4">
        <w:rPr>
          <w:rFonts w:ascii="Times New Roman" w:hAnsi="Times New Roman"/>
          <w:b/>
          <w:sz w:val="24"/>
          <w:szCs w:val="24"/>
        </w:rPr>
        <w:t>Collaborative Behavior Survey</w:t>
      </w:r>
      <w:r w:rsidR="001B614D" w:rsidRPr="007A0CC4">
        <w:rPr>
          <w:rFonts w:ascii="Times New Roman" w:hAnsi="Times New Roman"/>
          <w:b/>
          <w:sz w:val="24"/>
          <w:szCs w:val="24"/>
        </w:rPr>
        <w:t xml:space="preserve"> </w:t>
      </w:r>
      <w:r w:rsidR="00001B23" w:rsidRPr="007A0CC4">
        <w:rPr>
          <w:rFonts w:ascii="Times New Roman" w:hAnsi="Times New Roman"/>
          <w:b/>
          <w:sz w:val="24"/>
          <w:szCs w:val="24"/>
        </w:rPr>
        <w:t>-</w:t>
      </w:r>
      <w:r w:rsidR="00001B23" w:rsidRPr="007A0CC4">
        <w:rPr>
          <w:rFonts w:ascii="Times New Roman" w:hAnsi="Times New Roman"/>
          <w:sz w:val="24"/>
          <w:szCs w:val="24"/>
        </w:rPr>
        <w:t xml:space="preserve"> This survey assesses collaboration as an opportunity for both health centers and HRSA to enhance customer service through knowledge sharing and partnerships. It will give HRSA insight into opportunities to increase collaboration amongst health centers thus enhancing opportunities to respond to customer need.</w:t>
      </w:r>
      <w:r w:rsidR="00CA53F8">
        <w:rPr>
          <w:rFonts w:ascii="Times New Roman" w:hAnsi="Times New Roman"/>
          <w:sz w:val="24"/>
          <w:szCs w:val="24"/>
        </w:rPr>
        <w:t xml:space="preserve"> </w:t>
      </w:r>
      <w:r w:rsidR="00926D11" w:rsidRPr="00CA53F8">
        <w:rPr>
          <w:rFonts w:ascii="Times New Roman" w:hAnsi="Times New Roman"/>
          <w:sz w:val="24"/>
          <w:szCs w:val="24"/>
        </w:rPr>
        <w:t xml:space="preserve">Respondents include health center and domestic violence partner organizations staff at </w:t>
      </w:r>
      <w:r w:rsidR="00926D11">
        <w:rPr>
          <w:rFonts w:ascii="Times New Roman" w:hAnsi="Times New Roman"/>
          <w:sz w:val="24"/>
          <w:szCs w:val="24"/>
        </w:rPr>
        <w:t>sites</w:t>
      </w:r>
      <w:r w:rsidR="00926D11" w:rsidRPr="00CA53F8">
        <w:rPr>
          <w:rFonts w:ascii="Times New Roman" w:hAnsi="Times New Roman"/>
          <w:sz w:val="24"/>
          <w:szCs w:val="24"/>
        </w:rPr>
        <w:t xml:space="preserve"> participating in the pilot.</w:t>
      </w:r>
    </w:p>
    <w:p w14:paraId="31E2080B" w14:textId="6574B416" w:rsidR="00881F20" w:rsidRPr="007A0CC4" w:rsidRDefault="00881F20" w:rsidP="006431EB">
      <w:pPr>
        <w:pStyle w:val="ListParagraph"/>
        <w:numPr>
          <w:ilvl w:val="0"/>
          <w:numId w:val="15"/>
        </w:numPr>
        <w:tabs>
          <w:tab w:val="left" w:pos="-720"/>
        </w:tabs>
        <w:rPr>
          <w:rFonts w:ascii="Times New Roman" w:hAnsi="Times New Roman"/>
          <w:sz w:val="24"/>
          <w:szCs w:val="24"/>
        </w:rPr>
      </w:pPr>
      <w:r w:rsidRPr="007A0CC4">
        <w:rPr>
          <w:rFonts w:ascii="Times New Roman" w:hAnsi="Times New Roman"/>
          <w:b/>
          <w:sz w:val="24"/>
          <w:szCs w:val="24"/>
        </w:rPr>
        <w:t>Health Care Response to Domestic Violence</w:t>
      </w:r>
      <w:r w:rsidR="006431EB" w:rsidRPr="007A0CC4">
        <w:rPr>
          <w:rFonts w:ascii="Times New Roman" w:hAnsi="Times New Roman"/>
          <w:b/>
          <w:sz w:val="24"/>
          <w:szCs w:val="24"/>
        </w:rPr>
        <w:t xml:space="preserve"> </w:t>
      </w:r>
      <w:r w:rsidRPr="007A0CC4">
        <w:rPr>
          <w:rFonts w:ascii="Times New Roman" w:hAnsi="Times New Roman"/>
          <w:b/>
          <w:sz w:val="24"/>
          <w:szCs w:val="24"/>
        </w:rPr>
        <w:t>Quality Assessment/</w:t>
      </w:r>
      <w:r w:rsidR="00C53F18" w:rsidRPr="007A0CC4">
        <w:rPr>
          <w:rFonts w:ascii="Times New Roman" w:hAnsi="Times New Roman"/>
          <w:b/>
          <w:sz w:val="24"/>
          <w:szCs w:val="24"/>
        </w:rPr>
        <w:t>Program</w:t>
      </w:r>
      <w:r w:rsidRPr="007A0CC4">
        <w:rPr>
          <w:rFonts w:ascii="Times New Roman" w:hAnsi="Times New Roman"/>
          <w:b/>
          <w:sz w:val="24"/>
          <w:szCs w:val="24"/>
        </w:rPr>
        <w:t xml:space="preserve"> Improvement Tool</w:t>
      </w:r>
      <w:r w:rsidR="00001B23" w:rsidRPr="007A0CC4">
        <w:rPr>
          <w:rFonts w:ascii="Times New Roman" w:hAnsi="Times New Roman"/>
          <w:b/>
          <w:sz w:val="24"/>
          <w:szCs w:val="24"/>
        </w:rPr>
        <w:t xml:space="preserve"> - </w:t>
      </w:r>
      <w:r w:rsidR="00001B23" w:rsidRPr="007A0CC4">
        <w:rPr>
          <w:rFonts w:ascii="Times New Roman" w:hAnsi="Times New Roman"/>
          <w:sz w:val="24"/>
          <w:szCs w:val="24"/>
        </w:rPr>
        <w:t xml:space="preserve">This survey will serve as a form of technical assistance to help health centers </w:t>
      </w:r>
      <w:r w:rsidR="00592BF7">
        <w:rPr>
          <w:rFonts w:ascii="Times New Roman" w:hAnsi="Times New Roman"/>
          <w:sz w:val="24"/>
          <w:szCs w:val="24"/>
        </w:rPr>
        <w:t>inform opportunities to drive</w:t>
      </w:r>
      <w:r w:rsidR="00001B23" w:rsidRPr="007A0CC4">
        <w:rPr>
          <w:rFonts w:ascii="Times New Roman" w:hAnsi="Times New Roman"/>
          <w:sz w:val="24"/>
          <w:szCs w:val="24"/>
        </w:rPr>
        <w:t xml:space="preserve"> continuous improvement as it relates to IPV screening and counseling. </w:t>
      </w:r>
      <w:r w:rsidR="00926D11">
        <w:rPr>
          <w:rFonts w:ascii="Times New Roman" w:hAnsi="Times New Roman"/>
          <w:sz w:val="24"/>
          <w:szCs w:val="24"/>
        </w:rPr>
        <w:t xml:space="preserve">Respondents include health center </w:t>
      </w:r>
      <w:bookmarkStart w:id="0" w:name="_GoBack"/>
      <w:bookmarkEnd w:id="0"/>
      <w:r w:rsidR="00926D11">
        <w:rPr>
          <w:rFonts w:ascii="Times New Roman" w:hAnsi="Times New Roman"/>
          <w:sz w:val="24"/>
          <w:szCs w:val="24"/>
        </w:rPr>
        <w:t>staff at sites participating in the pilot.</w:t>
      </w:r>
    </w:p>
    <w:p w14:paraId="2DE25E6D" w14:textId="6E03925B" w:rsidR="00881F20" w:rsidRPr="007A0CC4" w:rsidRDefault="00881F20" w:rsidP="00C94A68">
      <w:pPr>
        <w:pStyle w:val="ListParagraph"/>
        <w:numPr>
          <w:ilvl w:val="0"/>
          <w:numId w:val="15"/>
        </w:numPr>
        <w:tabs>
          <w:tab w:val="left" w:pos="-720"/>
        </w:tabs>
        <w:rPr>
          <w:rFonts w:ascii="Times New Roman" w:hAnsi="Times New Roman"/>
          <w:sz w:val="24"/>
          <w:szCs w:val="24"/>
        </w:rPr>
      </w:pPr>
      <w:r w:rsidRPr="007A0CC4">
        <w:rPr>
          <w:rFonts w:ascii="Times New Roman" w:hAnsi="Times New Roman"/>
          <w:b/>
          <w:sz w:val="24"/>
          <w:szCs w:val="24"/>
        </w:rPr>
        <w:t>Patient Feedback Survey</w:t>
      </w:r>
      <w:r w:rsidR="009739F7" w:rsidRPr="007A0CC4">
        <w:rPr>
          <w:rStyle w:val="FootnoteReference"/>
          <w:rFonts w:ascii="Times New Roman" w:hAnsi="Times New Roman"/>
          <w:b/>
          <w:sz w:val="24"/>
          <w:szCs w:val="24"/>
        </w:rPr>
        <w:footnoteReference w:id="1"/>
      </w:r>
      <w:r w:rsidR="008118D9" w:rsidRPr="007A0CC4">
        <w:rPr>
          <w:rFonts w:ascii="Times New Roman" w:hAnsi="Times New Roman"/>
          <w:b/>
          <w:sz w:val="24"/>
          <w:szCs w:val="24"/>
        </w:rPr>
        <w:t xml:space="preserve"> </w:t>
      </w:r>
      <w:r w:rsidR="00001B23" w:rsidRPr="007A0CC4">
        <w:rPr>
          <w:rFonts w:ascii="Times New Roman" w:hAnsi="Times New Roman"/>
          <w:b/>
          <w:sz w:val="24"/>
          <w:szCs w:val="24"/>
        </w:rPr>
        <w:t>-</w:t>
      </w:r>
      <w:r w:rsidR="00001B23" w:rsidRPr="007A0CC4">
        <w:rPr>
          <w:rFonts w:ascii="Times New Roman" w:hAnsi="Times New Roman"/>
          <w:sz w:val="24"/>
          <w:szCs w:val="24"/>
        </w:rPr>
        <w:t xml:space="preserve"> The Patient Feedback Survey and Client Feedback Survey are essentially identical and will support the health center and domestic violence partner organization to assess impact to customers, thus generating lessons learned to be used to bolster customer satisfaction for the health center, domestic violence partner organization, and HRSA.</w:t>
      </w:r>
      <w:r w:rsidR="00236D3A">
        <w:rPr>
          <w:rFonts w:ascii="Times New Roman" w:hAnsi="Times New Roman"/>
          <w:sz w:val="24"/>
          <w:szCs w:val="24"/>
        </w:rPr>
        <w:t xml:space="preserve"> Respondents include health center patients at organizations participating in the pilot.</w:t>
      </w:r>
    </w:p>
    <w:p w14:paraId="01A8211E" w14:textId="4D35CB3D" w:rsidR="000E41A7" w:rsidRPr="007A0CC4" w:rsidRDefault="000E41A7" w:rsidP="009739F7">
      <w:pPr>
        <w:pStyle w:val="ListParagraph"/>
        <w:numPr>
          <w:ilvl w:val="0"/>
          <w:numId w:val="15"/>
        </w:numPr>
        <w:tabs>
          <w:tab w:val="left" w:pos="-720"/>
        </w:tabs>
        <w:rPr>
          <w:rFonts w:ascii="Times New Roman" w:hAnsi="Times New Roman"/>
          <w:sz w:val="24"/>
          <w:szCs w:val="24"/>
        </w:rPr>
      </w:pPr>
      <w:r w:rsidRPr="007A0CC4">
        <w:rPr>
          <w:rFonts w:ascii="Times New Roman" w:hAnsi="Times New Roman"/>
          <w:b/>
          <w:sz w:val="24"/>
          <w:szCs w:val="24"/>
        </w:rPr>
        <w:t xml:space="preserve">Client Feedback </w:t>
      </w:r>
      <w:proofErr w:type="gramStart"/>
      <w:r w:rsidRPr="007A0CC4">
        <w:rPr>
          <w:rFonts w:ascii="Times New Roman" w:hAnsi="Times New Roman"/>
          <w:b/>
          <w:sz w:val="24"/>
          <w:szCs w:val="24"/>
        </w:rPr>
        <w:t>Survey</w:t>
      </w:r>
      <w:r w:rsidR="009739F7" w:rsidRPr="007A0CC4">
        <w:rPr>
          <w:rFonts w:ascii="Times New Roman" w:hAnsi="Times New Roman"/>
          <w:b/>
          <w:sz w:val="24"/>
          <w:szCs w:val="24"/>
          <w:vertAlign w:val="superscript"/>
        </w:rPr>
        <w:t>1</w:t>
      </w:r>
      <w:r w:rsidR="009739F7" w:rsidRPr="007A0CC4">
        <w:rPr>
          <w:rFonts w:ascii="Times New Roman" w:hAnsi="Times New Roman"/>
          <w:b/>
          <w:sz w:val="24"/>
          <w:szCs w:val="24"/>
        </w:rPr>
        <w:t xml:space="preserve">  </w:t>
      </w:r>
      <w:r w:rsidR="00926D11" w:rsidRPr="007A0CC4">
        <w:rPr>
          <w:rFonts w:ascii="Times New Roman" w:hAnsi="Times New Roman"/>
          <w:b/>
          <w:sz w:val="24"/>
          <w:szCs w:val="24"/>
        </w:rPr>
        <w:t>-</w:t>
      </w:r>
      <w:proofErr w:type="gramEnd"/>
      <w:r w:rsidR="00926D11" w:rsidRPr="007A0CC4">
        <w:rPr>
          <w:rFonts w:ascii="Times New Roman" w:hAnsi="Times New Roman"/>
          <w:sz w:val="24"/>
          <w:szCs w:val="24"/>
        </w:rPr>
        <w:t xml:space="preserve"> </w:t>
      </w:r>
      <w:r w:rsidR="00001B23" w:rsidRPr="007A0CC4">
        <w:rPr>
          <w:rFonts w:ascii="Times New Roman" w:hAnsi="Times New Roman"/>
          <w:sz w:val="24"/>
          <w:szCs w:val="24"/>
        </w:rPr>
        <w:t xml:space="preserve">The Patient Feedback Survey and Client Feedback Survey are essentially identical and will support the health center and domestic violence partner organization to assess impact to customers, thus generating lessons learned to be used to </w:t>
      </w:r>
      <w:r w:rsidR="00001B23" w:rsidRPr="007A0CC4">
        <w:rPr>
          <w:rFonts w:ascii="Times New Roman" w:hAnsi="Times New Roman"/>
          <w:sz w:val="24"/>
          <w:szCs w:val="24"/>
        </w:rPr>
        <w:lastRenderedPageBreak/>
        <w:t>bolster customer satisfaction for the health center, domestic violence partner organization, and HRSA.</w:t>
      </w:r>
      <w:r w:rsidR="00236D3A">
        <w:rPr>
          <w:rFonts w:ascii="Times New Roman" w:hAnsi="Times New Roman"/>
          <w:sz w:val="24"/>
          <w:szCs w:val="24"/>
        </w:rPr>
        <w:t xml:space="preserve"> Respondents include clients at domestic violence partner organizations participating in the pilot.</w:t>
      </w:r>
    </w:p>
    <w:p w14:paraId="4CCF05EB" w14:textId="77777777" w:rsidR="004E0BFB" w:rsidRDefault="004E0BFB" w:rsidP="00A71B20">
      <w:pPr>
        <w:widowControl/>
        <w:autoSpaceDE/>
        <w:autoSpaceDN/>
        <w:adjustRightInd/>
        <w:spacing w:line="276" w:lineRule="auto"/>
        <w:rPr>
          <w:rFonts w:ascii="Times New Roman" w:hAnsi="Times New Roman"/>
          <w:sz w:val="24"/>
          <w:szCs w:val="24"/>
        </w:rPr>
      </w:pPr>
    </w:p>
    <w:p w14:paraId="48DF54AD" w14:textId="1F4C4CCD" w:rsidR="00A71B20" w:rsidRPr="002A1040" w:rsidRDefault="0085753B" w:rsidP="00A71B20">
      <w:pPr>
        <w:widowControl/>
        <w:autoSpaceDE/>
        <w:autoSpaceDN/>
        <w:adjustRightInd/>
        <w:spacing w:line="276" w:lineRule="auto"/>
        <w:rPr>
          <w:rFonts w:ascii="Times New Roman" w:hAnsi="Times New Roman"/>
          <w:i/>
          <w:sz w:val="24"/>
          <w:szCs w:val="24"/>
        </w:rPr>
      </w:pPr>
      <w:r w:rsidRPr="002A1040">
        <w:rPr>
          <w:rFonts w:ascii="Times New Roman" w:hAnsi="Times New Roman"/>
          <w:sz w:val="24"/>
          <w:szCs w:val="24"/>
        </w:rPr>
        <w:t xml:space="preserve">The objective of surveying the </w:t>
      </w:r>
      <w:r w:rsidR="008118D9" w:rsidRPr="002A1040">
        <w:rPr>
          <w:rFonts w:ascii="Times New Roman" w:hAnsi="Times New Roman"/>
          <w:sz w:val="24"/>
          <w:szCs w:val="24"/>
        </w:rPr>
        <w:t>organizations</w:t>
      </w:r>
      <w:r w:rsidRPr="002A1040">
        <w:rPr>
          <w:rFonts w:ascii="Times New Roman" w:hAnsi="Times New Roman"/>
          <w:sz w:val="24"/>
          <w:szCs w:val="24"/>
        </w:rPr>
        <w:t xml:space="preserve"> participating in this pilot project is to </w:t>
      </w:r>
      <w:r w:rsidR="00C2324B" w:rsidRPr="002A1040">
        <w:rPr>
          <w:rFonts w:ascii="Times New Roman" w:hAnsi="Times New Roman"/>
          <w:sz w:val="24"/>
          <w:szCs w:val="24"/>
        </w:rPr>
        <w:t>determine best practices, lessons learned and implementation strategies for other health centers to integrate</w:t>
      </w:r>
      <w:r w:rsidR="00665A42" w:rsidRPr="002A1040">
        <w:rPr>
          <w:rFonts w:ascii="Times New Roman" w:hAnsi="Times New Roman"/>
          <w:sz w:val="24"/>
          <w:szCs w:val="24"/>
        </w:rPr>
        <w:t xml:space="preserve"> </w:t>
      </w:r>
      <w:r w:rsidR="00C2324B" w:rsidRPr="002A1040">
        <w:rPr>
          <w:rFonts w:ascii="Times New Roman" w:hAnsi="Times New Roman"/>
          <w:sz w:val="24"/>
          <w:szCs w:val="24"/>
        </w:rPr>
        <w:t xml:space="preserve">IPV screening and counseling into practice </w:t>
      </w:r>
      <w:r w:rsidR="008118D9" w:rsidRPr="002A1040">
        <w:rPr>
          <w:rFonts w:ascii="Times New Roman" w:hAnsi="Times New Roman"/>
          <w:sz w:val="24"/>
          <w:szCs w:val="24"/>
        </w:rPr>
        <w:t xml:space="preserve">so as to improve customer </w:t>
      </w:r>
      <w:r w:rsidR="00874BBF" w:rsidRPr="002A1040">
        <w:rPr>
          <w:rFonts w:ascii="Times New Roman" w:hAnsi="Times New Roman"/>
          <w:sz w:val="24"/>
          <w:szCs w:val="24"/>
        </w:rPr>
        <w:t xml:space="preserve">satisfaction </w:t>
      </w:r>
      <w:r w:rsidR="009E69AD" w:rsidRPr="002A1040">
        <w:rPr>
          <w:rFonts w:ascii="Times New Roman" w:hAnsi="Times New Roman"/>
          <w:sz w:val="24"/>
          <w:szCs w:val="24"/>
        </w:rPr>
        <w:t>across centers</w:t>
      </w:r>
      <w:r w:rsidR="00C2324B" w:rsidRPr="002A1040">
        <w:rPr>
          <w:rFonts w:ascii="Times New Roman" w:hAnsi="Times New Roman"/>
          <w:sz w:val="24"/>
          <w:szCs w:val="24"/>
        </w:rPr>
        <w:t>.</w:t>
      </w:r>
      <w:r w:rsidR="009E69AD" w:rsidRPr="002A1040">
        <w:rPr>
          <w:rFonts w:ascii="Times New Roman" w:hAnsi="Times New Roman"/>
          <w:sz w:val="24"/>
          <w:szCs w:val="24"/>
        </w:rPr>
        <w:t xml:space="preserve"> This is in alignment with HRSA’s generic package clearance guidance for qualitative, low burden, voluntary collection with an aim to drive customer satisfaction.</w:t>
      </w:r>
      <w:r w:rsidR="00C2324B" w:rsidRPr="002A1040">
        <w:rPr>
          <w:rFonts w:ascii="Times New Roman" w:hAnsi="Times New Roman"/>
          <w:sz w:val="24"/>
          <w:szCs w:val="24"/>
        </w:rPr>
        <w:t xml:space="preserve"> </w:t>
      </w:r>
      <w:r w:rsidR="008B3CC4" w:rsidRPr="002A1040">
        <w:rPr>
          <w:rFonts w:ascii="Times New Roman" w:hAnsi="Times New Roman"/>
          <w:sz w:val="24"/>
          <w:szCs w:val="24"/>
        </w:rPr>
        <w:t>Despite the availability of health</w:t>
      </w:r>
      <w:r w:rsidR="000B2E18">
        <w:rPr>
          <w:rFonts w:ascii="Times New Roman" w:hAnsi="Times New Roman"/>
          <w:sz w:val="24"/>
          <w:szCs w:val="24"/>
        </w:rPr>
        <w:t xml:space="preserve"> </w:t>
      </w:r>
      <w:r w:rsidR="008B3CC4" w:rsidRPr="002A1040">
        <w:rPr>
          <w:rFonts w:ascii="Times New Roman" w:hAnsi="Times New Roman"/>
          <w:sz w:val="24"/>
          <w:szCs w:val="24"/>
        </w:rPr>
        <w:t xml:space="preserve">care </w:t>
      </w:r>
      <w:r w:rsidR="0032323A" w:rsidRPr="002A1040">
        <w:rPr>
          <w:rFonts w:ascii="Times New Roman" w:hAnsi="Times New Roman"/>
          <w:sz w:val="24"/>
          <w:szCs w:val="24"/>
        </w:rPr>
        <w:t xml:space="preserve">settings and domestic violence </w:t>
      </w:r>
      <w:r w:rsidR="005034C1" w:rsidRPr="002A1040">
        <w:rPr>
          <w:rFonts w:ascii="Times New Roman" w:hAnsi="Times New Roman"/>
          <w:sz w:val="24"/>
          <w:szCs w:val="24"/>
        </w:rPr>
        <w:t>organizations</w:t>
      </w:r>
      <w:r w:rsidR="0032323A" w:rsidRPr="002A1040">
        <w:rPr>
          <w:rFonts w:ascii="Times New Roman" w:hAnsi="Times New Roman"/>
          <w:sz w:val="24"/>
          <w:szCs w:val="24"/>
        </w:rPr>
        <w:t xml:space="preserve"> that </w:t>
      </w:r>
      <w:r w:rsidR="008B3CC4" w:rsidRPr="002A1040">
        <w:rPr>
          <w:rFonts w:ascii="Times New Roman" w:hAnsi="Times New Roman"/>
          <w:sz w:val="24"/>
          <w:szCs w:val="24"/>
        </w:rPr>
        <w:t xml:space="preserve">assist individuals experiencing </w:t>
      </w:r>
      <w:r w:rsidR="0032323A" w:rsidRPr="002A1040">
        <w:rPr>
          <w:rFonts w:ascii="Times New Roman" w:hAnsi="Times New Roman"/>
          <w:sz w:val="24"/>
          <w:szCs w:val="24"/>
        </w:rPr>
        <w:t>IPV</w:t>
      </w:r>
      <w:r w:rsidR="008B3CC4" w:rsidRPr="002A1040">
        <w:rPr>
          <w:rFonts w:ascii="Times New Roman" w:hAnsi="Times New Roman"/>
          <w:sz w:val="24"/>
          <w:szCs w:val="24"/>
        </w:rPr>
        <w:t xml:space="preserve">, partnerships between them </w:t>
      </w:r>
      <w:r w:rsidR="0032323A" w:rsidRPr="002A1040">
        <w:rPr>
          <w:rFonts w:ascii="Times New Roman" w:hAnsi="Times New Roman"/>
          <w:sz w:val="24"/>
          <w:szCs w:val="24"/>
        </w:rPr>
        <w:t xml:space="preserve">to </w:t>
      </w:r>
      <w:r w:rsidR="008B3CC4" w:rsidRPr="002A1040">
        <w:rPr>
          <w:rFonts w:ascii="Times New Roman" w:hAnsi="Times New Roman"/>
          <w:sz w:val="24"/>
          <w:szCs w:val="24"/>
        </w:rPr>
        <w:t xml:space="preserve">offer necessary resources to their </w:t>
      </w:r>
      <w:r w:rsidR="0032323A" w:rsidRPr="002A1040">
        <w:rPr>
          <w:rFonts w:ascii="Times New Roman" w:hAnsi="Times New Roman"/>
          <w:sz w:val="24"/>
          <w:szCs w:val="24"/>
        </w:rPr>
        <w:t>patients/</w:t>
      </w:r>
      <w:r w:rsidR="008B3CC4" w:rsidRPr="002A1040">
        <w:rPr>
          <w:rFonts w:ascii="Times New Roman" w:hAnsi="Times New Roman"/>
          <w:sz w:val="24"/>
          <w:szCs w:val="24"/>
        </w:rPr>
        <w:t xml:space="preserve">clients rarely exist. </w:t>
      </w:r>
      <w:r w:rsidR="0032323A" w:rsidRPr="002A1040">
        <w:rPr>
          <w:rFonts w:ascii="Times New Roman" w:hAnsi="Times New Roman"/>
          <w:sz w:val="24"/>
          <w:szCs w:val="24"/>
        </w:rPr>
        <w:t xml:space="preserve">An understanding </w:t>
      </w:r>
      <w:r w:rsidR="008B3CC4" w:rsidRPr="002A1040">
        <w:rPr>
          <w:rFonts w:ascii="Times New Roman" w:hAnsi="Times New Roman"/>
          <w:sz w:val="24"/>
          <w:szCs w:val="24"/>
        </w:rPr>
        <w:t xml:space="preserve">of innovative prevention and intervention programs </w:t>
      </w:r>
      <w:r w:rsidR="0032323A" w:rsidRPr="002A1040">
        <w:rPr>
          <w:rFonts w:ascii="Times New Roman" w:hAnsi="Times New Roman"/>
          <w:sz w:val="24"/>
          <w:szCs w:val="24"/>
        </w:rPr>
        <w:t xml:space="preserve">is </w:t>
      </w:r>
      <w:r w:rsidR="008B3CC4" w:rsidRPr="002A1040">
        <w:rPr>
          <w:rFonts w:ascii="Times New Roman" w:hAnsi="Times New Roman"/>
          <w:sz w:val="24"/>
          <w:szCs w:val="24"/>
        </w:rPr>
        <w:t>needed to</w:t>
      </w:r>
      <w:r w:rsidR="0032323A" w:rsidRPr="002A1040">
        <w:rPr>
          <w:rFonts w:ascii="Times New Roman" w:hAnsi="Times New Roman"/>
          <w:sz w:val="24"/>
          <w:szCs w:val="24"/>
        </w:rPr>
        <w:t xml:space="preserve"> enhance customer </w:t>
      </w:r>
      <w:r w:rsidR="00874BBF" w:rsidRPr="002A1040">
        <w:rPr>
          <w:rFonts w:ascii="Times New Roman" w:hAnsi="Times New Roman"/>
          <w:sz w:val="24"/>
          <w:szCs w:val="24"/>
        </w:rPr>
        <w:t xml:space="preserve">satisfaction </w:t>
      </w:r>
      <w:r w:rsidR="0032323A" w:rsidRPr="002A1040">
        <w:rPr>
          <w:rFonts w:ascii="Times New Roman" w:hAnsi="Times New Roman"/>
          <w:sz w:val="24"/>
          <w:szCs w:val="24"/>
        </w:rPr>
        <w:t>and</w:t>
      </w:r>
      <w:r w:rsidR="008B3CC4" w:rsidRPr="002A1040">
        <w:rPr>
          <w:rFonts w:ascii="Times New Roman" w:hAnsi="Times New Roman"/>
          <w:sz w:val="24"/>
          <w:szCs w:val="24"/>
        </w:rPr>
        <w:t xml:space="preserve"> change the model </w:t>
      </w:r>
      <w:r w:rsidR="0032323A" w:rsidRPr="002A1040">
        <w:rPr>
          <w:rFonts w:ascii="Times New Roman" w:hAnsi="Times New Roman"/>
          <w:sz w:val="24"/>
          <w:szCs w:val="24"/>
        </w:rPr>
        <w:t xml:space="preserve">to </w:t>
      </w:r>
      <w:r w:rsidR="008B3CC4" w:rsidRPr="002A1040">
        <w:rPr>
          <w:rFonts w:ascii="Times New Roman" w:hAnsi="Times New Roman"/>
          <w:sz w:val="24"/>
          <w:szCs w:val="24"/>
        </w:rPr>
        <w:t>deliver</w:t>
      </w:r>
      <w:r w:rsidR="0032323A" w:rsidRPr="002A1040">
        <w:rPr>
          <w:rFonts w:ascii="Times New Roman" w:hAnsi="Times New Roman"/>
          <w:sz w:val="24"/>
          <w:szCs w:val="24"/>
        </w:rPr>
        <w:t xml:space="preserve"> training and</w:t>
      </w:r>
      <w:r w:rsidR="008B3CC4" w:rsidRPr="002A1040">
        <w:rPr>
          <w:rFonts w:ascii="Times New Roman" w:hAnsi="Times New Roman"/>
          <w:sz w:val="24"/>
          <w:szCs w:val="24"/>
        </w:rPr>
        <w:t xml:space="preserve"> resources where they are needed. Since this is a new model with potential for expansion beyond these 6 sites, it is essential to </w:t>
      </w:r>
      <w:r w:rsidR="0032323A" w:rsidRPr="002A1040">
        <w:rPr>
          <w:rFonts w:ascii="Times New Roman" w:hAnsi="Times New Roman"/>
          <w:sz w:val="24"/>
          <w:szCs w:val="24"/>
        </w:rPr>
        <w:t xml:space="preserve">gain an </w:t>
      </w:r>
      <w:r w:rsidR="005034C1" w:rsidRPr="002A1040">
        <w:rPr>
          <w:rFonts w:ascii="Times New Roman" w:hAnsi="Times New Roman"/>
          <w:sz w:val="24"/>
          <w:szCs w:val="24"/>
        </w:rPr>
        <w:t>understanding</w:t>
      </w:r>
      <w:r w:rsidR="0032323A" w:rsidRPr="002A1040">
        <w:rPr>
          <w:rFonts w:ascii="Times New Roman" w:hAnsi="Times New Roman"/>
          <w:sz w:val="24"/>
          <w:szCs w:val="24"/>
        </w:rPr>
        <w:t xml:space="preserve"> of </w:t>
      </w:r>
      <w:r w:rsidR="008B3CC4" w:rsidRPr="002A1040">
        <w:rPr>
          <w:rFonts w:ascii="Times New Roman" w:hAnsi="Times New Roman"/>
          <w:sz w:val="24"/>
          <w:szCs w:val="24"/>
        </w:rPr>
        <w:t xml:space="preserve">this </w:t>
      </w:r>
      <w:r w:rsidR="0032323A" w:rsidRPr="002A1040">
        <w:rPr>
          <w:rFonts w:ascii="Times New Roman" w:hAnsi="Times New Roman"/>
          <w:sz w:val="24"/>
          <w:szCs w:val="24"/>
        </w:rPr>
        <w:t xml:space="preserve">pilot </w:t>
      </w:r>
      <w:r w:rsidR="008B3CC4" w:rsidRPr="002A1040">
        <w:rPr>
          <w:rFonts w:ascii="Times New Roman" w:hAnsi="Times New Roman"/>
          <w:sz w:val="24"/>
          <w:szCs w:val="24"/>
        </w:rPr>
        <w:t>and its practical applications for community partners and stakeholders</w:t>
      </w:r>
      <w:r w:rsidR="0032323A" w:rsidRPr="002A1040">
        <w:rPr>
          <w:rFonts w:ascii="Times New Roman" w:hAnsi="Times New Roman"/>
          <w:sz w:val="24"/>
          <w:szCs w:val="24"/>
        </w:rPr>
        <w:t>, including HRSA funded health centers</w:t>
      </w:r>
      <w:r w:rsidR="008B3CC4" w:rsidRPr="002A1040">
        <w:rPr>
          <w:rFonts w:ascii="Times New Roman" w:hAnsi="Times New Roman"/>
          <w:sz w:val="24"/>
          <w:szCs w:val="24"/>
        </w:rPr>
        <w:t xml:space="preserve">. </w:t>
      </w:r>
      <w:r w:rsidR="00741D13">
        <w:rPr>
          <w:rFonts w:ascii="Times New Roman" w:hAnsi="Times New Roman"/>
          <w:sz w:val="24"/>
          <w:szCs w:val="24"/>
        </w:rPr>
        <w:t>As ACA covers</w:t>
      </w:r>
      <w:r w:rsidR="008B3CC4" w:rsidRPr="002A1040">
        <w:rPr>
          <w:rFonts w:ascii="Times New Roman" w:hAnsi="Times New Roman"/>
          <w:sz w:val="24"/>
          <w:szCs w:val="24"/>
        </w:rPr>
        <w:t xml:space="preserve"> health</w:t>
      </w:r>
      <w:r w:rsidR="000B2E18">
        <w:rPr>
          <w:rFonts w:ascii="Times New Roman" w:hAnsi="Times New Roman"/>
          <w:sz w:val="24"/>
          <w:szCs w:val="24"/>
        </w:rPr>
        <w:t xml:space="preserve"> </w:t>
      </w:r>
      <w:r w:rsidR="008B3CC4" w:rsidRPr="002A1040">
        <w:rPr>
          <w:rFonts w:ascii="Times New Roman" w:hAnsi="Times New Roman"/>
          <w:sz w:val="24"/>
          <w:szCs w:val="24"/>
        </w:rPr>
        <w:t xml:space="preserve">care services </w:t>
      </w:r>
      <w:r w:rsidR="00741D13">
        <w:rPr>
          <w:rFonts w:ascii="Times New Roman" w:hAnsi="Times New Roman"/>
          <w:sz w:val="24"/>
          <w:szCs w:val="24"/>
        </w:rPr>
        <w:t xml:space="preserve">including </w:t>
      </w:r>
      <w:r w:rsidR="008B3CC4" w:rsidRPr="002A1040">
        <w:rPr>
          <w:rFonts w:ascii="Times New Roman" w:hAnsi="Times New Roman"/>
          <w:sz w:val="24"/>
          <w:szCs w:val="24"/>
        </w:rPr>
        <w:t>domestic vio</w:t>
      </w:r>
      <w:r w:rsidR="00741D13">
        <w:rPr>
          <w:rFonts w:ascii="Times New Roman" w:hAnsi="Times New Roman"/>
          <w:sz w:val="24"/>
          <w:szCs w:val="24"/>
        </w:rPr>
        <w:t>lence screening and counseling, t</w:t>
      </w:r>
      <w:r w:rsidR="008B3CC4" w:rsidRPr="002A1040">
        <w:rPr>
          <w:rFonts w:ascii="Times New Roman" w:hAnsi="Times New Roman"/>
          <w:sz w:val="24"/>
          <w:szCs w:val="24"/>
        </w:rPr>
        <w:t xml:space="preserve">his policy change creates opportunities and incentives nationwide for both domestic violence </w:t>
      </w:r>
      <w:r w:rsidR="0032323A" w:rsidRPr="002A1040">
        <w:rPr>
          <w:rFonts w:ascii="Times New Roman" w:hAnsi="Times New Roman"/>
          <w:sz w:val="24"/>
          <w:szCs w:val="24"/>
        </w:rPr>
        <w:t xml:space="preserve">organizations </w:t>
      </w:r>
      <w:r w:rsidR="008B3CC4" w:rsidRPr="002A1040">
        <w:rPr>
          <w:rFonts w:ascii="Times New Roman" w:hAnsi="Times New Roman"/>
          <w:sz w:val="24"/>
          <w:szCs w:val="24"/>
        </w:rPr>
        <w:t xml:space="preserve">and health </w:t>
      </w:r>
      <w:r w:rsidR="0032323A" w:rsidRPr="002A1040">
        <w:rPr>
          <w:rFonts w:ascii="Times New Roman" w:hAnsi="Times New Roman"/>
          <w:sz w:val="24"/>
          <w:szCs w:val="24"/>
        </w:rPr>
        <w:t xml:space="preserve">care settings </w:t>
      </w:r>
      <w:r w:rsidR="00095536" w:rsidRPr="002A1040">
        <w:rPr>
          <w:rFonts w:ascii="Times New Roman" w:hAnsi="Times New Roman"/>
          <w:sz w:val="24"/>
          <w:szCs w:val="24"/>
        </w:rPr>
        <w:t xml:space="preserve">to </w:t>
      </w:r>
      <w:r w:rsidR="0032323A" w:rsidRPr="002A1040">
        <w:rPr>
          <w:rFonts w:ascii="Times New Roman" w:hAnsi="Times New Roman"/>
          <w:sz w:val="24"/>
          <w:szCs w:val="24"/>
        </w:rPr>
        <w:t>develop new</w:t>
      </w:r>
      <w:r w:rsidR="008B3CC4" w:rsidRPr="002A1040">
        <w:rPr>
          <w:rFonts w:ascii="Times New Roman" w:hAnsi="Times New Roman"/>
          <w:sz w:val="24"/>
          <w:szCs w:val="24"/>
        </w:rPr>
        <w:t xml:space="preserve"> strategic partnerships</w:t>
      </w:r>
      <w:r w:rsidR="0032323A" w:rsidRPr="002A1040">
        <w:rPr>
          <w:rFonts w:ascii="Times New Roman" w:hAnsi="Times New Roman"/>
          <w:sz w:val="24"/>
          <w:szCs w:val="24"/>
        </w:rPr>
        <w:t xml:space="preserve"> that drive patient/client </w:t>
      </w:r>
      <w:r w:rsidR="005034C1" w:rsidRPr="002A1040">
        <w:rPr>
          <w:rFonts w:ascii="Times New Roman" w:hAnsi="Times New Roman"/>
          <w:sz w:val="24"/>
          <w:szCs w:val="24"/>
        </w:rPr>
        <w:t>satisfaction</w:t>
      </w:r>
      <w:r w:rsidR="000875F0" w:rsidRPr="002A1040">
        <w:rPr>
          <w:rFonts w:ascii="Times New Roman" w:hAnsi="Times New Roman"/>
          <w:sz w:val="24"/>
          <w:szCs w:val="24"/>
        </w:rPr>
        <w:t>.</w:t>
      </w:r>
    </w:p>
    <w:p w14:paraId="7459406D" w14:textId="77777777" w:rsidR="00A71B20" w:rsidRPr="002A1040" w:rsidRDefault="00A71B20" w:rsidP="00EC7180">
      <w:pPr>
        <w:tabs>
          <w:tab w:val="left" w:pos="-720"/>
        </w:tabs>
        <w:rPr>
          <w:rFonts w:ascii="Times New Roman" w:hAnsi="Times New Roman"/>
          <w:sz w:val="24"/>
          <w:szCs w:val="24"/>
        </w:rPr>
      </w:pPr>
    </w:p>
    <w:p w14:paraId="7DCE106A" w14:textId="77777777" w:rsidR="001879E5" w:rsidRPr="002A1040" w:rsidRDefault="001879E5">
      <w:pPr>
        <w:tabs>
          <w:tab w:val="left" w:pos="-720"/>
          <w:tab w:val="left" w:pos="720"/>
          <w:tab w:val="right" w:pos="8648"/>
        </w:tabs>
        <w:rPr>
          <w:rFonts w:ascii="Times New Roman" w:hAnsi="Times New Roman"/>
          <w:sz w:val="24"/>
          <w:szCs w:val="24"/>
          <w:u w:val="single"/>
        </w:rPr>
      </w:pPr>
      <w:r w:rsidRPr="002A1040">
        <w:rPr>
          <w:rFonts w:ascii="Times New Roman" w:hAnsi="Times New Roman"/>
          <w:sz w:val="24"/>
          <w:szCs w:val="24"/>
        </w:rPr>
        <w:t>2.</w:t>
      </w:r>
      <w:r w:rsidRPr="002A1040">
        <w:rPr>
          <w:rFonts w:ascii="Times New Roman" w:hAnsi="Times New Roman"/>
          <w:sz w:val="24"/>
          <w:szCs w:val="24"/>
        </w:rPr>
        <w:tab/>
      </w:r>
      <w:r w:rsidRPr="002A1040">
        <w:rPr>
          <w:rFonts w:ascii="Times New Roman" w:hAnsi="Times New Roman"/>
          <w:sz w:val="24"/>
          <w:szCs w:val="24"/>
          <w:u w:val="single"/>
        </w:rPr>
        <w:t>Purpose and Use of the Information</w:t>
      </w:r>
    </w:p>
    <w:p w14:paraId="7DCE106B" w14:textId="77777777" w:rsidR="001879E5" w:rsidRPr="002A1040" w:rsidRDefault="001879E5">
      <w:pPr>
        <w:tabs>
          <w:tab w:val="left" w:pos="-720"/>
          <w:tab w:val="left" w:pos="720"/>
          <w:tab w:val="right" w:pos="8648"/>
        </w:tabs>
        <w:rPr>
          <w:rFonts w:ascii="Times New Roman" w:hAnsi="Times New Roman"/>
          <w:sz w:val="24"/>
          <w:szCs w:val="24"/>
        </w:rPr>
      </w:pPr>
    </w:p>
    <w:p w14:paraId="5412CA62" w14:textId="6A1A2A5B" w:rsidR="008278EF" w:rsidRPr="002A1040" w:rsidRDefault="000875F0" w:rsidP="007F04AC">
      <w:pPr>
        <w:rPr>
          <w:rFonts w:ascii="Times New Roman" w:hAnsi="Times New Roman"/>
          <w:sz w:val="24"/>
          <w:szCs w:val="24"/>
        </w:rPr>
      </w:pPr>
      <w:r w:rsidRPr="002A1040">
        <w:rPr>
          <w:rFonts w:ascii="Times New Roman" w:hAnsi="Times New Roman"/>
          <w:sz w:val="24"/>
          <w:szCs w:val="24"/>
        </w:rPr>
        <w:t>Key considerations in the IPV landscape include</w:t>
      </w:r>
      <w:r w:rsidR="00741D13">
        <w:rPr>
          <w:rFonts w:ascii="Times New Roman" w:hAnsi="Times New Roman"/>
          <w:sz w:val="24"/>
          <w:szCs w:val="24"/>
        </w:rPr>
        <w:t xml:space="preserve"> the following</w:t>
      </w:r>
      <w:r w:rsidRPr="002A1040">
        <w:rPr>
          <w:rFonts w:ascii="Times New Roman" w:hAnsi="Times New Roman"/>
          <w:sz w:val="24"/>
          <w:szCs w:val="24"/>
        </w:rPr>
        <w:t>:</w:t>
      </w:r>
      <w:r w:rsidR="008278EF" w:rsidRPr="002A1040">
        <w:rPr>
          <w:rFonts w:ascii="Times New Roman" w:hAnsi="Times New Roman"/>
          <w:sz w:val="24"/>
          <w:szCs w:val="24"/>
        </w:rPr>
        <w:t xml:space="preserve"> (1) IPV is a social determinant of health; (2) 1 in 3 women in the U.S. experience IPV; (3) IPV may be a barrier to access primary care services and/or impact other health outcomes; and (4) IPV screening and counseling is an </w:t>
      </w:r>
      <w:r w:rsidR="00741D13">
        <w:rPr>
          <w:rFonts w:ascii="Times New Roman" w:hAnsi="Times New Roman"/>
          <w:sz w:val="24"/>
          <w:szCs w:val="24"/>
        </w:rPr>
        <w:t>ACA</w:t>
      </w:r>
      <w:r w:rsidR="008278EF" w:rsidRPr="002A1040">
        <w:rPr>
          <w:rFonts w:ascii="Times New Roman" w:hAnsi="Times New Roman"/>
          <w:sz w:val="24"/>
          <w:szCs w:val="24"/>
        </w:rPr>
        <w:t xml:space="preserve"> covered preventive service. </w:t>
      </w:r>
      <w:r w:rsidR="00F0416D" w:rsidRPr="002A1040">
        <w:rPr>
          <w:rFonts w:ascii="Times New Roman" w:hAnsi="Times New Roman"/>
          <w:sz w:val="24"/>
          <w:szCs w:val="24"/>
        </w:rPr>
        <w:t xml:space="preserve">It is </w:t>
      </w:r>
      <w:r w:rsidR="008278EF" w:rsidRPr="002A1040">
        <w:rPr>
          <w:rFonts w:ascii="Times New Roman" w:hAnsi="Times New Roman"/>
          <w:sz w:val="24"/>
          <w:szCs w:val="24"/>
        </w:rPr>
        <w:t>also know</w:t>
      </w:r>
      <w:r w:rsidR="00F0416D" w:rsidRPr="002A1040">
        <w:rPr>
          <w:rFonts w:ascii="Times New Roman" w:hAnsi="Times New Roman"/>
          <w:sz w:val="24"/>
          <w:szCs w:val="24"/>
        </w:rPr>
        <w:t>n</w:t>
      </w:r>
      <w:r w:rsidR="008278EF" w:rsidRPr="002A1040">
        <w:rPr>
          <w:rFonts w:ascii="Times New Roman" w:hAnsi="Times New Roman"/>
          <w:sz w:val="24"/>
          <w:szCs w:val="24"/>
        </w:rPr>
        <w:t xml:space="preserve"> that the primary care workforce has received limited guidance or training on how to provide IPV screening, counseling and </w:t>
      </w:r>
      <w:r w:rsidR="00874BBF">
        <w:rPr>
          <w:rFonts w:ascii="Times New Roman" w:hAnsi="Times New Roman"/>
          <w:sz w:val="24"/>
          <w:szCs w:val="24"/>
        </w:rPr>
        <w:t xml:space="preserve">make </w:t>
      </w:r>
      <w:r w:rsidR="008278EF" w:rsidRPr="002A1040">
        <w:rPr>
          <w:rFonts w:ascii="Times New Roman" w:hAnsi="Times New Roman"/>
          <w:sz w:val="24"/>
          <w:szCs w:val="24"/>
        </w:rPr>
        <w:t>linkage</w:t>
      </w:r>
      <w:r w:rsidR="00874BBF">
        <w:rPr>
          <w:rFonts w:ascii="Times New Roman" w:hAnsi="Times New Roman"/>
          <w:sz w:val="24"/>
          <w:szCs w:val="24"/>
        </w:rPr>
        <w:t>s</w:t>
      </w:r>
      <w:r w:rsidR="008278EF" w:rsidRPr="002A1040">
        <w:rPr>
          <w:rFonts w:ascii="Times New Roman" w:hAnsi="Times New Roman"/>
          <w:sz w:val="24"/>
          <w:szCs w:val="24"/>
        </w:rPr>
        <w:t xml:space="preserve"> to community referral services</w:t>
      </w:r>
      <w:r w:rsidR="00874BBF">
        <w:rPr>
          <w:rFonts w:ascii="Times New Roman" w:hAnsi="Times New Roman"/>
          <w:sz w:val="24"/>
          <w:szCs w:val="24"/>
        </w:rPr>
        <w:t>,</w:t>
      </w:r>
      <w:r w:rsidR="00F0416D" w:rsidRPr="002A1040">
        <w:rPr>
          <w:rFonts w:ascii="Times New Roman" w:hAnsi="Times New Roman"/>
          <w:sz w:val="24"/>
          <w:szCs w:val="24"/>
        </w:rPr>
        <w:t xml:space="preserve"> which impacts customer service for those served by health centers and domestic violence organization</w:t>
      </w:r>
      <w:r w:rsidR="00095536" w:rsidRPr="002A1040">
        <w:rPr>
          <w:rFonts w:ascii="Times New Roman" w:hAnsi="Times New Roman"/>
          <w:sz w:val="24"/>
          <w:szCs w:val="24"/>
        </w:rPr>
        <w:t>s.</w:t>
      </w:r>
      <w:r w:rsidR="008278EF" w:rsidRPr="002A1040">
        <w:rPr>
          <w:rFonts w:ascii="Times New Roman" w:hAnsi="Times New Roman"/>
          <w:sz w:val="24"/>
          <w:szCs w:val="24"/>
        </w:rPr>
        <w:t xml:space="preserve"> Health center providers, in particular, have identified several challenges to </w:t>
      </w:r>
      <w:r w:rsidR="00655A02" w:rsidRPr="002A1040">
        <w:rPr>
          <w:rFonts w:ascii="Times New Roman" w:hAnsi="Times New Roman"/>
          <w:sz w:val="24"/>
          <w:szCs w:val="24"/>
        </w:rPr>
        <w:t xml:space="preserve">integrate </w:t>
      </w:r>
      <w:r w:rsidR="008278EF" w:rsidRPr="002A1040">
        <w:rPr>
          <w:rFonts w:ascii="Times New Roman" w:hAnsi="Times New Roman"/>
          <w:sz w:val="24"/>
          <w:szCs w:val="24"/>
        </w:rPr>
        <w:t>IPV screening and counseling into service delivery, including, but not limited to: lack of training, per</w:t>
      </w:r>
      <w:r w:rsidR="00741D13">
        <w:rPr>
          <w:rFonts w:ascii="Times New Roman" w:hAnsi="Times New Roman"/>
          <w:sz w:val="24"/>
          <w:szCs w:val="24"/>
        </w:rPr>
        <w:t>sonal discomfort</w:t>
      </w:r>
      <w:r w:rsidR="008278EF" w:rsidRPr="002A1040">
        <w:rPr>
          <w:rFonts w:ascii="Times New Roman" w:hAnsi="Times New Roman"/>
          <w:sz w:val="24"/>
          <w:szCs w:val="24"/>
        </w:rPr>
        <w:t>, limited time with patients, not knowing how to respond to a positive screen and lack of awareness of community resources available to assist them. Th</w:t>
      </w:r>
      <w:r w:rsidR="003C65A6" w:rsidRPr="002A1040">
        <w:rPr>
          <w:rFonts w:ascii="Times New Roman" w:hAnsi="Times New Roman"/>
          <w:sz w:val="24"/>
          <w:szCs w:val="24"/>
        </w:rPr>
        <w:t xml:space="preserve">is </w:t>
      </w:r>
      <w:r w:rsidR="00655A02" w:rsidRPr="002A1040">
        <w:rPr>
          <w:rFonts w:ascii="Times New Roman" w:hAnsi="Times New Roman"/>
          <w:sz w:val="24"/>
          <w:szCs w:val="24"/>
        </w:rPr>
        <w:t xml:space="preserve">information collection </w:t>
      </w:r>
      <w:r w:rsidR="003C65A6" w:rsidRPr="002A1040">
        <w:rPr>
          <w:rFonts w:ascii="Times New Roman" w:hAnsi="Times New Roman"/>
          <w:sz w:val="24"/>
          <w:szCs w:val="24"/>
        </w:rPr>
        <w:t>opportunity provides an opportunity for HRSA to determine how best to assist the health centers in addressing these challenge</w:t>
      </w:r>
      <w:r w:rsidR="000F5667" w:rsidRPr="002A1040">
        <w:rPr>
          <w:rFonts w:ascii="Times New Roman" w:hAnsi="Times New Roman"/>
          <w:sz w:val="24"/>
          <w:szCs w:val="24"/>
        </w:rPr>
        <w:t xml:space="preserve">s and better meet customer service. </w:t>
      </w:r>
    </w:p>
    <w:p w14:paraId="4F7AD73E" w14:textId="77777777" w:rsidR="008278EF" w:rsidRPr="002A1040" w:rsidRDefault="008278EF" w:rsidP="007F04AC">
      <w:pPr>
        <w:rPr>
          <w:rFonts w:ascii="Times New Roman" w:hAnsi="Times New Roman"/>
          <w:sz w:val="24"/>
          <w:szCs w:val="24"/>
        </w:rPr>
      </w:pPr>
    </w:p>
    <w:p w14:paraId="2568FC3E" w14:textId="774D2780" w:rsidR="00BA2C76" w:rsidRPr="002A1040" w:rsidRDefault="000875F0" w:rsidP="007F04AC">
      <w:pPr>
        <w:rPr>
          <w:rFonts w:ascii="Times New Roman" w:hAnsi="Times New Roman"/>
          <w:sz w:val="24"/>
          <w:szCs w:val="24"/>
        </w:rPr>
      </w:pPr>
      <w:r w:rsidRPr="002A1040">
        <w:rPr>
          <w:rFonts w:ascii="Times New Roman" w:hAnsi="Times New Roman"/>
          <w:sz w:val="24"/>
          <w:szCs w:val="24"/>
        </w:rPr>
        <w:t xml:space="preserve">As partners in this pilot, </w:t>
      </w:r>
      <w:r w:rsidR="005034C1" w:rsidRPr="002A1040">
        <w:rPr>
          <w:rFonts w:ascii="Times New Roman" w:hAnsi="Times New Roman"/>
          <w:sz w:val="24"/>
          <w:szCs w:val="24"/>
        </w:rPr>
        <w:t xml:space="preserve">HRSA, ACF, and HHS </w:t>
      </w:r>
      <w:r w:rsidR="00655A02" w:rsidRPr="002A1040">
        <w:rPr>
          <w:rFonts w:ascii="Times New Roman" w:hAnsi="Times New Roman"/>
          <w:sz w:val="24"/>
          <w:szCs w:val="24"/>
        </w:rPr>
        <w:t>OWH</w:t>
      </w:r>
      <w:r w:rsidR="005034C1" w:rsidRPr="002A1040">
        <w:rPr>
          <w:rFonts w:ascii="Times New Roman" w:hAnsi="Times New Roman"/>
          <w:sz w:val="24"/>
          <w:szCs w:val="24"/>
        </w:rPr>
        <w:t xml:space="preserve"> will use the information gathered through the collection of data for internal purposes only to obtain a better understanding of how to drive customer satisfaction through assisting federally qualified health centers in integrating IPV screening and counseling into practice.   </w:t>
      </w:r>
    </w:p>
    <w:p w14:paraId="516BAF98" w14:textId="77777777" w:rsidR="00BA2C76" w:rsidRPr="002A1040" w:rsidRDefault="00BA2C76" w:rsidP="007F04AC">
      <w:pPr>
        <w:rPr>
          <w:rFonts w:ascii="Times New Roman" w:hAnsi="Times New Roman"/>
          <w:sz w:val="24"/>
          <w:szCs w:val="24"/>
        </w:rPr>
      </w:pPr>
    </w:p>
    <w:p w14:paraId="33393AA4" w14:textId="47EF06AF" w:rsidR="007F04AC" w:rsidRPr="00EC2243" w:rsidRDefault="005034C1" w:rsidP="007F04AC">
      <w:pPr>
        <w:rPr>
          <w:rFonts w:ascii="Times New Roman" w:hAnsi="Times New Roman"/>
          <w:color w:val="1F497D"/>
          <w:sz w:val="24"/>
          <w:szCs w:val="24"/>
        </w:rPr>
      </w:pPr>
      <w:r w:rsidRPr="00EC2243">
        <w:rPr>
          <w:rFonts w:ascii="Times New Roman" w:hAnsi="Times New Roman"/>
          <w:sz w:val="24"/>
          <w:szCs w:val="24"/>
        </w:rPr>
        <w:t xml:space="preserve">The low-burden data collection will result in a brief, internal final report outlining lessons learned, best practices, and implementation strategies. The report (available to HRSA, ACF, and HHS </w:t>
      </w:r>
      <w:r w:rsidR="00655A02" w:rsidRPr="00EC2243">
        <w:rPr>
          <w:rFonts w:ascii="Times New Roman" w:hAnsi="Times New Roman"/>
          <w:sz w:val="24"/>
          <w:szCs w:val="24"/>
        </w:rPr>
        <w:t>OWH</w:t>
      </w:r>
      <w:r w:rsidRPr="00EC2243">
        <w:rPr>
          <w:rFonts w:ascii="Times New Roman" w:hAnsi="Times New Roman"/>
          <w:sz w:val="24"/>
          <w:szCs w:val="24"/>
        </w:rPr>
        <w:t xml:space="preserve">) will inform development of a “toolkit” to guide replication in other HRSA </w:t>
      </w:r>
      <w:r w:rsidR="00FB18DD" w:rsidRPr="00EC2243">
        <w:rPr>
          <w:rFonts w:ascii="Times New Roman" w:hAnsi="Times New Roman"/>
          <w:sz w:val="24"/>
          <w:szCs w:val="24"/>
        </w:rPr>
        <w:t>supported health</w:t>
      </w:r>
      <w:r w:rsidRPr="00EC2243">
        <w:rPr>
          <w:rFonts w:ascii="Times New Roman" w:hAnsi="Times New Roman"/>
          <w:sz w:val="24"/>
          <w:szCs w:val="24"/>
        </w:rPr>
        <w:t xml:space="preserve"> centers. </w:t>
      </w:r>
      <w:r w:rsidR="00695290" w:rsidRPr="00EC2243">
        <w:rPr>
          <w:rFonts w:ascii="Times New Roman" w:hAnsi="Times New Roman"/>
          <w:sz w:val="24"/>
          <w:szCs w:val="24"/>
        </w:rPr>
        <w:t xml:space="preserve">The </w:t>
      </w:r>
      <w:r w:rsidR="00BC27F1" w:rsidRPr="00EC2243">
        <w:rPr>
          <w:rFonts w:ascii="Times New Roman" w:hAnsi="Times New Roman"/>
          <w:sz w:val="24"/>
          <w:szCs w:val="24"/>
        </w:rPr>
        <w:t xml:space="preserve">resulting </w:t>
      </w:r>
      <w:r w:rsidR="00B34DB0" w:rsidRPr="00EC2243">
        <w:rPr>
          <w:rFonts w:ascii="Times New Roman" w:hAnsi="Times New Roman"/>
          <w:sz w:val="24"/>
          <w:szCs w:val="24"/>
        </w:rPr>
        <w:t>toolkit</w:t>
      </w:r>
      <w:r w:rsidR="00695290" w:rsidRPr="00EC2243">
        <w:rPr>
          <w:rFonts w:ascii="Times New Roman" w:hAnsi="Times New Roman"/>
          <w:sz w:val="24"/>
          <w:szCs w:val="24"/>
        </w:rPr>
        <w:t xml:space="preserve"> will be shared </w:t>
      </w:r>
      <w:r w:rsidR="000875F0" w:rsidRPr="00EC2243">
        <w:rPr>
          <w:rFonts w:ascii="Times New Roman" w:hAnsi="Times New Roman"/>
          <w:sz w:val="24"/>
          <w:szCs w:val="24"/>
        </w:rPr>
        <w:t>across</w:t>
      </w:r>
      <w:r w:rsidR="00695290" w:rsidRPr="00EC2243">
        <w:rPr>
          <w:rFonts w:ascii="Times New Roman" w:hAnsi="Times New Roman"/>
          <w:sz w:val="24"/>
          <w:szCs w:val="24"/>
        </w:rPr>
        <w:t xml:space="preserve"> HRSA</w:t>
      </w:r>
      <w:r w:rsidR="000875F0" w:rsidRPr="00EC2243">
        <w:rPr>
          <w:rFonts w:ascii="Times New Roman" w:hAnsi="Times New Roman"/>
          <w:sz w:val="24"/>
          <w:szCs w:val="24"/>
        </w:rPr>
        <w:t xml:space="preserve"> health center</w:t>
      </w:r>
      <w:r w:rsidR="00695290" w:rsidRPr="00EC2243">
        <w:rPr>
          <w:rFonts w:ascii="Times New Roman" w:hAnsi="Times New Roman"/>
          <w:sz w:val="24"/>
          <w:szCs w:val="24"/>
        </w:rPr>
        <w:t xml:space="preserve"> grantees </w:t>
      </w:r>
      <w:r w:rsidR="00695290" w:rsidRPr="00EC2243">
        <w:rPr>
          <w:rFonts w:ascii="Times New Roman" w:hAnsi="Times New Roman"/>
          <w:sz w:val="24"/>
          <w:szCs w:val="24"/>
        </w:rPr>
        <w:lastRenderedPageBreak/>
        <w:t xml:space="preserve">and stakeholders to assist these entities </w:t>
      </w:r>
      <w:r w:rsidR="00655A02" w:rsidRPr="00EC2243">
        <w:rPr>
          <w:rFonts w:ascii="Times New Roman" w:hAnsi="Times New Roman"/>
          <w:sz w:val="24"/>
          <w:szCs w:val="24"/>
        </w:rPr>
        <w:t>to integrate</w:t>
      </w:r>
      <w:r w:rsidR="00AA473F" w:rsidRPr="00EC2243">
        <w:rPr>
          <w:rFonts w:ascii="Times New Roman" w:hAnsi="Times New Roman"/>
          <w:sz w:val="24"/>
          <w:szCs w:val="24"/>
        </w:rPr>
        <w:t xml:space="preserve"> </w:t>
      </w:r>
      <w:r w:rsidR="00491775" w:rsidRPr="00EC2243">
        <w:rPr>
          <w:rFonts w:ascii="Times New Roman" w:hAnsi="Times New Roman"/>
          <w:sz w:val="24"/>
          <w:szCs w:val="24"/>
        </w:rPr>
        <w:t>IPV</w:t>
      </w:r>
      <w:r w:rsidR="00695290" w:rsidRPr="00EC2243">
        <w:rPr>
          <w:rFonts w:ascii="Times New Roman" w:hAnsi="Times New Roman"/>
          <w:sz w:val="24"/>
          <w:szCs w:val="24"/>
        </w:rPr>
        <w:t xml:space="preserve"> screening and counseling into practice.  </w:t>
      </w:r>
    </w:p>
    <w:p w14:paraId="358B790D" w14:textId="77777777" w:rsidR="007F04AC" w:rsidRPr="00EC2243" w:rsidRDefault="007F04AC" w:rsidP="007F04AC">
      <w:pPr>
        <w:rPr>
          <w:rFonts w:ascii="Times New Roman" w:hAnsi="Times New Roman"/>
          <w:color w:val="1F497D"/>
          <w:sz w:val="24"/>
          <w:szCs w:val="24"/>
        </w:rPr>
      </w:pPr>
    </w:p>
    <w:p w14:paraId="7DCE1071" w14:textId="77777777" w:rsidR="001879E5" w:rsidRPr="00EC2243" w:rsidRDefault="001879E5">
      <w:pPr>
        <w:tabs>
          <w:tab w:val="left" w:pos="-720"/>
          <w:tab w:val="left" w:pos="720"/>
          <w:tab w:val="right" w:pos="8648"/>
        </w:tabs>
        <w:rPr>
          <w:rFonts w:ascii="Times New Roman" w:hAnsi="Times New Roman"/>
          <w:sz w:val="24"/>
          <w:szCs w:val="24"/>
          <w:u w:val="single"/>
        </w:rPr>
      </w:pPr>
      <w:r w:rsidRPr="00EC2243">
        <w:rPr>
          <w:rFonts w:ascii="Times New Roman" w:hAnsi="Times New Roman"/>
          <w:sz w:val="24"/>
          <w:szCs w:val="24"/>
        </w:rPr>
        <w:t>3.</w:t>
      </w:r>
      <w:r w:rsidRPr="00EC2243">
        <w:rPr>
          <w:rFonts w:ascii="Times New Roman" w:hAnsi="Times New Roman"/>
          <w:sz w:val="24"/>
          <w:szCs w:val="24"/>
        </w:rPr>
        <w:tab/>
      </w:r>
      <w:r w:rsidRPr="00EC2243">
        <w:rPr>
          <w:rFonts w:ascii="Times New Roman" w:hAnsi="Times New Roman"/>
          <w:sz w:val="24"/>
          <w:szCs w:val="24"/>
          <w:u w:val="single"/>
        </w:rPr>
        <w:t>Use of Improved Information Technology</w:t>
      </w:r>
    </w:p>
    <w:p w14:paraId="782E0A85" w14:textId="77777777" w:rsidR="00A76391" w:rsidRPr="00EC2243" w:rsidRDefault="00A76391">
      <w:pPr>
        <w:tabs>
          <w:tab w:val="left" w:pos="-720"/>
          <w:tab w:val="left" w:pos="720"/>
          <w:tab w:val="right" w:pos="8648"/>
        </w:tabs>
        <w:rPr>
          <w:rFonts w:ascii="Times New Roman" w:hAnsi="Times New Roman"/>
          <w:sz w:val="24"/>
          <w:szCs w:val="24"/>
          <w:u w:val="single"/>
        </w:rPr>
      </w:pPr>
    </w:p>
    <w:p w14:paraId="195691F2" w14:textId="543BFFF8" w:rsidR="00A76391" w:rsidRPr="00EC2243" w:rsidRDefault="00BD7884">
      <w:pPr>
        <w:tabs>
          <w:tab w:val="left" w:pos="-720"/>
          <w:tab w:val="left" w:pos="720"/>
          <w:tab w:val="right" w:pos="8648"/>
        </w:tabs>
        <w:rPr>
          <w:rFonts w:ascii="Times New Roman" w:hAnsi="Times New Roman"/>
          <w:sz w:val="24"/>
          <w:szCs w:val="24"/>
        </w:rPr>
      </w:pPr>
      <w:r w:rsidRPr="00EC2243">
        <w:rPr>
          <w:rFonts w:ascii="Times New Roman" w:hAnsi="Times New Roman"/>
          <w:sz w:val="24"/>
          <w:szCs w:val="24"/>
        </w:rPr>
        <w:t xml:space="preserve">Survey </w:t>
      </w:r>
      <w:r w:rsidR="00DB6E41" w:rsidRPr="00EC2243">
        <w:rPr>
          <w:rFonts w:ascii="Times New Roman" w:hAnsi="Times New Roman"/>
          <w:sz w:val="24"/>
          <w:szCs w:val="24"/>
        </w:rPr>
        <w:t xml:space="preserve">implementation and </w:t>
      </w:r>
      <w:r w:rsidRPr="00EC2243">
        <w:rPr>
          <w:rFonts w:ascii="Times New Roman" w:hAnsi="Times New Roman"/>
          <w:sz w:val="24"/>
          <w:szCs w:val="24"/>
        </w:rPr>
        <w:t xml:space="preserve">dissemination </w:t>
      </w:r>
      <w:r w:rsidR="001E64C8" w:rsidRPr="00EC2243">
        <w:rPr>
          <w:rFonts w:ascii="Times New Roman" w:hAnsi="Times New Roman"/>
          <w:sz w:val="24"/>
          <w:szCs w:val="24"/>
        </w:rPr>
        <w:t xml:space="preserve">will be done </w:t>
      </w:r>
      <w:r w:rsidR="00730053" w:rsidRPr="00EC2243">
        <w:rPr>
          <w:rFonts w:ascii="Times New Roman" w:hAnsi="Times New Roman"/>
          <w:sz w:val="24"/>
          <w:szCs w:val="24"/>
        </w:rPr>
        <w:t>via</w:t>
      </w:r>
      <w:r w:rsidR="001E64C8" w:rsidRPr="00EC2243">
        <w:rPr>
          <w:rFonts w:ascii="Times New Roman" w:hAnsi="Times New Roman"/>
          <w:sz w:val="24"/>
          <w:szCs w:val="24"/>
        </w:rPr>
        <w:t xml:space="preserve"> </w:t>
      </w:r>
      <w:r w:rsidRPr="00EC2243">
        <w:rPr>
          <w:rFonts w:ascii="Times New Roman" w:hAnsi="Times New Roman"/>
          <w:sz w:val="24"/>
          <w:szCs w:val="24"/>
        </w:rPr>
        <w:t>a secure, web-based application for managing online surveys and databases</w:t>
      </w:r>
      <w:r w:rsidR="00F3429D" w:rsidRPr="00EC2243">
        <w:rPr>
          <w:rFonts w:ascii="Times New Roman" w:hAnsi="Times New Roman"/>
          <w:sz w:val="24"/>
          <w:szCs w:val="24"/>
        </w:rPr>
        <w:t xml:space="preserve">. </w:t>
      </w:r>
      <w:r w:rsidR="00AD1613" w:rsidRPr="00EC2243">
        <w:rPr>
          <w:rFonts w:ascii="Times New Roman" w:hAnsi="Times New Roman"/>
          <w:sz w:val="24"/>
          <w:szCs w:val="24"/>
        </w:rPr>
        <w:t>Respondents</w:t>
      </w:r>
      <w:r w:rsidRPr="00EC2243">
        <w:rPr>
          <w:rFonts w:ascii="Times New Roman" w:hAnsi="Times New Roman"/>
          <w:sz w:val="24"/>
          <w:szCs w:val="24"/>
        </w:rPr>
        <w:t xml:space="preserve"> </w:t>
      </w:r>
      <w:r w:rsidR="001E64C8" w:rsidRPr="00EC2243">
        <w:rPr>
          <w:rFonts w:ascii="Times New Roman" w:hAnsi="Times New Roman"/>
          <w:sz w:val="24"/>
          <w:szCs w:val="24"/>
        </w:rPr>
        <w:t>will be given a secure</w:t>
      </w:r>
      <w:r w:rsidR="00730053" w:rsidRPr="00EC2243">
        <w:rPr>
          <w:rFonts w:ascii="Times New Roman" w:hAnsi="Times New Roman"/>
          <w:sz w:val="24"/>
          <w:szCs w:val="24"/>
        </w:rPr>
        <w:t xml:space="preserve"> link to the</w:t>
      </w:r>
      <w:r w:rsidR="00AD1613" w:rsidRPr="00EC2243">
        <w:rPr>
          <w:rFonts w:ascii="Times New Roman" w:hAnsi="Times New Roman"/>
          <w:sz w:val="24"/>
          <w:szCs w:val="24"/>
        </w:rPr>
        <w:t xml:space="preserve"> web based platform</w:t>
      </w:r>
      <w:r w:rsidRPr="00EC2243">
        <w:rPr>
          <w:rFonts w:ascii="Times New Roman" w:hAnsi="Times New Roman"/>
          <w:sz w:val="24"/>
          <w:szCs w:val="24"/>
        </w:rPr>
        <w:t xml:space="preserve"> to complete</w:t>
      </w:r>
      <w:r w:rsidR="00DB6E41" w:rsidRPr="00EC2243">
        <w:rPr>
          <w:rFonts w:ascii="Times New Roman" w:hAnsi="Times New Roman"/>
          <w:sz w:val="24"/>
          <w:szCs w:val="24"/>
        </w:rPr>
        <w:t xml:space="preserve"> surveys and assessment tools. </w:t>
      </w:r>
      <w:r w:rsidR="00730053" w:rsidRPr="00EC2243">
        <w:rPr>
          <w:rFonts w:ascii="Times New Roman" w:hAnsi="Times New Roman"/>
          <w:sz w:val="24"/>
          <w:szCs w:val="24"/>
        </w:rPr>
        <w:t>B</w:t>
      </w:r>
      <w:r w:rsidR="00DB6E41" w:rsidRPr="00EC2243">
        <w:rPr>
          <w:rFonts w:ascii="Times New Roman" w:hAnsi="Times New Roman"/>
          <w:sz w:val="24"/>
          <w:szCs w:val="24"/>
        </w:rPr>
        <w:t xml:space="preserve">aseline surveys </w:t>
      </w:r>
      <w:r w:rsidR="00154707" w:rsidRPr="00EC2243">
        <w:rPr>
          <w:rFonts w:ascii="Times New Roman" w:hAnsi="Times New Roman"/>
          <w:sz w:val="24"/>
          <w:szCs w:val="24"/>
        </w:rPr>
        <w:t>will be</w:t>
      </w:r>
      <w:r w:rsidR="009115BE" w:rsidRPr="00EC2243">
        <w:rPr>
          <w:rFonts w:ascii="Times New Roman" w:hAnsi="Times New Roman"/>
          <w:sz w:val="24"/>
          <w:szCs w:val="24"/>
        </w:rPr>
        <w:t xml:space="preserve"> completed </w:t>
      </w:r>
      <w:r w:rsidR="00DB6E41" w:rsidRPr="00EC2243">
        <w:rPr>
          <w:rFonts w:ascii="Times New Roman" w:hAnsi="Times New Roman"/>
          <w:sz w:val="24"/>
          <w:szCs w:val="24"/>
        </w:rPr>
        <w:t xml:space="preserve">on paper at the time of the training </w:t>
      </w:r>
      <w:r w:rsidR="00730053" w:rsidRPr="00EC2243">
        <w:rPr>
          <w:rFonts w:ascii="Times New Roman" w:hAnsi="Times New Roman"/>
          <w:sz w:val="24"/>
          <w:szCs w:val="24"/>
        </w:rPr>
        <w:t>as this will be the first opportunity to determine contact information; follow</w:t>
      </w:r>
      <w:r w:rsidR="00DB6E41" w:rsidRPr="00EC2243">
        <w:rPr>
          <w:rFonts w:ascii="Times New Roman" w:hAnsi="Times New Roman"/>
          <w:sz w:val="24"/>
          <w:szCs w:val="24"/>
        </w:rPr>
        <w:t xml:space="preserve"> up surveys will be </w:t>
      </w:r>
      <w:r w:rsidR="009115BE" w:rsidRPr="00EC2243">
        <w:rPr>
          <w:rFonts w:ascii="Times New Roman" w:hAnsi="Times New Roman"/>
          <w:sz w:val="24"/>
          <w:szCs w:val="24"/>
        </w:rPr>
        <w:t xml:space="preserve">completed </w:t>
      </w:r>
      <w:r w:rsidR="00F3429D" w:rsidRPr="00EC2243">
        <w:rPr>
          <w:rFonts w:ascii="Times New Roman" w:hAnsi="Times New Roman"/>
          <w:sz w:val="24"/>
          <w:szCs w:val="24"/>
        </w:rPr>
        <w:t xml:space="preserve">electronically as </w:t>
      </w:r>
      <w:r w:rsidR="009115BE" w:rsidRPr="00EC2243">
        <w:rPr>
          <w:rFonts w:ascii="Times New Roman" w:hAnsi="Times New Roman"/>
          <w:sz w:val="24"/>
          <w:szCs w:val="24"/>
        </w:rPr>
        <w:t xml:space="preserve">trainees will be </w:t>
      </w:r>
      <w:r w:rsidR="00DB6E41" w:rsidRPr="00EC2243">
        <w:rPr>
          <w:rFonts w:ascii="Times New Roman" w:hAnsi="Times New Roman"/>
          <w:sz w:val="24"/>
          <w:szCs w:val="24"/>
        </w:rPr>
        <w:t xml:space="preserve">emailed </w:t>
      </w:r>
      <w:r w:rsidR="009115BE" w:rsidRPr="00EC2243">
        <w:rPr>
          <w:rFonts w:ascii="Times New Roman" w:hAnsi="Times New Roman"/>
          <w:sz w:val="24"/>
          <w:szCs w:val="24"/>
        </w:rPr>
        <w:t xml:space="preserve">a </w:t>
      </w:r>
      <w:r w:rsidR="00DB6E41" w:rsidRPr="00EC2243">
        <w:rPr>
          <w:rFonts w:ascii="Times New Roman" w:hAnsi="Times New Roman"/>
          <w:sz w:val="24"/>
          <w:szCs w:val="24"/>
        </w:rPr>
        <w:t xml:space="preserve">survey link to complete online. </w:t>
      </w:r>
    </w:p>
    <w:p w14:paraId="15D35D3A" w14:textId="77777777" w:rsidR="0083284C" w:rsidRPr="00EC2243" w:rsidRDefault="0083284C">
      <w:pPr>
        <w:tabs>
          <w:tab w:val="left" w:pos="-720"/>
          <w:tab w:val="left" w:pos="720"/>
          <w:tab w:val="right" w:pos="8648"/>
        </w:tabs>
        <w:rPr>
          <w:rFonts w:ascii="Times New Roman" w:hAnsi="Times New Roman"/>
          <w:sz w:val="24"/>
          <w:szCs w:val="24"/>
        </w:rPr>
      </w:pPr>
    </w:p>
    <w:p w14:paraId="7DCE1078" w14:textId="77777777" w:rsidR="001879E5" w:rsidRPr="00EC2243" w:rsidRDefault="001879E5">
      <w:pPr>
        <w:tabs>
          <w:tab w:val="left" w:pos="-720"/>
          <w:tab w:val="left" w:pos="720"/>
          <w:tab w:val="right" w:pos="8648"/>
        </w:tabs>
        <w:rPr>
          <w:rFonts w:ascii="Times New Roman" w:hAnsi="Times New Roman"/>
          <w:sz w:val="24"/>
          <w:szCs w:val="24"/>
          <w:u w:val="single"/>
        </w:rPr>
      </w:pPr>
      <w:r w:rsidRPr="00EC2243">
        <w:rPr>
          <w:rFonts w:ascii="Times New Roman" w:hAnsi="Times New Roman"/>
          <w:sz w:val="24"/>
          <w:szCs w:val="24"/>
        </w:rPr>
        <w:t>4.</w:t>
      </w:r>
      <w:r w:rsidRPr="00EC2243">
        <w:rPr>
          <w:rFonts w:ascii="Times New Roman" w:hAnsi="Times New Roman"/>
          <w:sz w:val="24"/>
          <w:szCs w:val="24"/>
        </w:rPr>
        <w:tab/>
      </w:r>
      <w:r w:rsidRPr="00EC2243">
        <w:rPr>
          <w:rFonts w:ascii="Times New Roman" w:hAnsi="Times New Roman"/>
          <w:sz w:val="24"/>
          <w:szCs w:val="24"/>
          <w:u w:val="single"/>
        </w:rPr>
        <w:t>Efforts to Avoid Duplication</w:t>
      </w:r>
    </w:p>
    <w:p w14:paraId="7DCE1079" w14:textId="77777777" w:rsidR="001879E5" w:rsidRPr="00EC2243" w:rsidRDefault="001879E5">
      <w:pPr>
        <w:tabs>
          <w:tab w:val="left" w:pos="-720"/>
          <w:tab w:val="left" w:pos="720"/>
          <w:tab w:val="right" w:pos="8648"/>
        </w:tabs>
        <w:rPr>
          <w:rFonts w:ascii="Times New Roman" w:hAnsi="Times New Roman"/>
          <w:sz w:val="24"/>
          <w:szCs w:val="24"/>
        </w:rPr>
      </w:pPr>
    </w:p>
    <w:p w14:paraId="7DCE107B" w14:textId="02E81C66" w:rsidR="001879E5" w:rsidRPr="00EC2243" w:rsidRDefault="00C334BB">
      <w:pPr>
        <w:tabs>
          <w:tab w:val="left" w:pos="-720"/>
        </w:tabs>
        <w:rPr>
          <w:rFonts w:ascii="Times New Roman" w:hAnsi="Times New Roman"/>
          <w:sz w:val="24"/>
          <w:szCs w:val="24"/>
        </w:rPr>
      </w:pPr>
      <w:r w:rsidRPr="00EC2243">
        <w:rPr>
          <w:rFonts w:ascii="Times New Roman" w:hAnsi="Times New Roman"/>
          <w:sz w:val="24"/>
          <w:szCs w:val="24"/>
        </w:rPr>
        <w:t xml:space="preserve">There is no similar information currently available to provide information about this specific initiative. </w:t>
      </w:r>
    </w:p>
    <w:p w14:paraId="34B6F511" w14:textId="77777777" w:rsidR="00C334BB" w:rsidRPr="00EC2243" w:rsidRDefault="00C334BB">
      <w:pPr>
        <w:tabs>
          <w:tab w:val="left" w:pos="-720"/>
        </w:tabs>
        <w:rPr>
          <w:rFonts w:ascii="Times New Roman" w:hAnsi="Times New Roman"/>
          <w:sz w:val="24"/>
          <w:szCs w:val="24"/>
        </w:rPr>
      </w:pPr>
    </w:p>
    <w:p w14:paraId="7DCE107C" w14:textId="77777777" w:rsidR="001879E5" w:rsidRPr="00EC2243" w:rsidRDefault="001879E5">
      <w:pPr>
        <w:tabs>
          <w:tab w:val="left" w:pos="-720"/>
          <w:tab w:val="left" w:pos="720"/>
          <w:tab w:val="right" w:pos="8648"/>
        </w:tabs>
        <w:rPr>
          <w:rFonts w:ascii="Times New Roman" w:hAnsi="Times New Roman"/>
          <w:sz w:val="24"/>
          <w:szCs w:val="24"/>
          <w:u w:val="single"/>
        </w:rPr>
      </w:pPr>
      <w:r w:rsidRPr="00EC2243">
        <w:rPr>
          <w:rFonts w:ascii="Times New Roman" w:hAnsi="Times New Roman"/>
          <w:sz w:val="24"/>
          <w:szCs w:val="24"/>
        </w:rPr>
        <w:t>5.</w:t>
      </w:r>
      <w:r w:rsidRPr="00EC2243">
        <w:rPr>
          <w:rFonts w:ascii="Times New Roman" w:hAnsi="Times New Roman"/>
          <w:sz w:val="24"/>
          <w:szCs w:val="24"/>
        </w:rPr>
        <w:tab/>
      </w:r>
      <w:r w:rsidRPr="00EC2243">
        <w:rPr>
          <w:rFonts w:ascii="Times New Roman" w:hAnsi="Times New Roman"/>
          <w:sz w:val="24"/>
          <w:szCs w:val="24"/>
          <w:u w:val="single"/>
        </w:rPr>
        <w:t>Involvement of Small Entities</w:t>
      </w:r>
    </w:p>
    <w:p w14:paraId="7DCE107D" w14:textId="77777777" w:rsidR="001879E5" w:rsidRPr="00EC2243" w:rsidRDefault="001879E5">
      <w:pPr>
        <w:tabs>
          <w:tab w:val="left" w:pos="-720"/>
          <w:tab w:val="left" w:pos="720"/>
          <w:tab w:val="right" w:pos="8648"/>
        </w:tabs>
        <w:rPr>
          <w:rFonts w:ascii="Times New Roman" w:hAnsi="Times New Roman"/>
          <w:sz w:val="24"/>
          <w:szCs w:val="24"/>
        </w:rPr>
      </w:pPr>
    </w:p>
    <w:p w14:paraId="1D961953" w14:textId="139BEE2D" w:rsidR="00C334BB" w:rsidRPr="00EC2243" w:rsidRDefault="00F3429D">
      <w:pPr>
        <w:tabs>
          <w:tab w:val="left" w:pos="-720"/>
        </w:tabs>
        <w:rPr>
          <w:rFonts w:ascii="Times New Roman" w:hAnsi="Times New Roman"/>
          <w:sz w:val="24"/>
          <w:szCs w:val="24"/>
        </w:rPr>
      </w:pPr>
      <w:r w:rsidRPr="00EC2243">
        <w:rPr>
          <w:rFonts w:ascii="Times New Roman" w:hAnsi="Times New Roman"/>
          <w:sz w:val="24"/>
          <w:szCs w:val="24"/>
        </w:rPr>
        <w:t xml:space="preserve">This activity does not have significant impact on small entities. </w:t>
      </w:r>
    </w:p>
    <w:p w14:paraId="7DCE1084" w14:textId="77777777" w:rsidR="001879E5" w:rsidRPr="00EC2243" w:rsidRDefault="001879E5">
      <w:pPr>
        <w:tabs>
          <w:tab w:val="left" w:pos="-720"/>
        </w:tabs>
        <w:rPr>
          <w:rFonts w:ascii="Times New Roman" w:hAnsi="Times New Roman"/>
          <w:sz w:val="24"/>
          <w:szCs w:val="24"/>
        </w:rPr>
      </w:pPr>
    </w:p>
    <w:p w14:paraId="7DCE1085" w14:textId="77777777" w:rsidR="001879E5" w:rsidRPr="00EC2243" w:rsidRDefault="001879E5">
      <w:pPr>
        <w:tabs>
          <w:tab w:val="left" w:pos="-720"/>
          <w:tab w:val="left" w:pos="720"/>
          <w:tab w:val="right" w:pos="8648"/>
        </w:tabs>
        <w:rPr>
          <w:rFonts w:ascii="Times New Roman" w:hAnsi="Times New Roman"/>
          <w:sz w:val="24"/>
          <w:szCs w:val="24"/>
          <w:u w:val="single"/>
        </w:rPr>
      </w:pPr>
      <w:r w:rsidRPr="00EC2243">
        <w:rPr>
          <w:rFonts w:ascii="Times New Roman" w:hAnsi="Times New Roman"/>
          <w:sz w:val="24"/>
          <w:szCs w:val="24"/>
        </w:rPr>
        <w:t>6.</w:t>
      </w:r>
      <w:r w:rsidRPr="00EC2243">
        <w:rPr>
          <w:rFonts w:ascii="Times New Roman" w:hAnsi="Times New Roman"/>
          <w:sz w:val="24"/>
          <w:szCs w:val="24"/>
        </w:rPr>
        <w:tab/>
      </w:r>
      <w:r w:rsidRPr="00EC2243">
        <w:rPr>
          <w:rFonts w:ascii="Times New Roman" w:hAnsi="Times New Roman"/>
          <w:sz w:val="24"/>
          <w:szCs w:val="24"/>
          <w:u w:val="single"/>
        </w:rPr>
        <w:t>Consequences if Information Collected Less Frequently</w:t>
      </w:r>
    </w:p>
    <w:p w14:paraId="13B67C88" w14:textId="77777777" w:rsidR="0083284C" w:rsidRPr="00EC2243" w:rsidRDefault="0083284C">
      <w:pPr>
        <w:tabs>
          <w:tab w:val="left" w:pos="-720"/>
          <w:tab w:val="left" w:pos="720"/>
          <w:tab w:val="right" w:pos="8648"/>
        </w:tabs>
        <w:rPr>
          <w:rFonts w:ascii="Times New Roman" w:hAnsi="Times New Roman"/>
          <w:sz w:val="24"/>
          <w:szCs w:val="24"/>
          <w:u w:val="single"/>
        </w:rPr>
      </w:pPr>
    </w:p>
    <w:p w14:paraId="7DCE1086" w14:textId="79B2833E" w:rsidR="001879E5" w:rsidRPr="00EC2243" w:rsidRDefault="00A232CA" w:rsidP="00C334BB">
      <w:pPr>
        <w:tabs>
          <w:tab w:val="left" w:pos="-720"/>
          <w:tab w:val="left" w:pos="720"/>
          <w:tab w:val="right" w:pos="8648"/>
        </w:tabs>
        <w:rPr>
          <w:rFonts w:ascii="Times New Roman" w:hAnsi="Times New Roman"/>
          <w:sz w:val="24"/>
          <w:szCs w:val="24"/>
        </w:rPr>
      </w:pPr>
      <w:r w:rsidRPr="00EC2243">
        <w:rPr>
          <w:rFonts w:ascii="Times New Roman" w:hAnsi="Times New Roman"/>
          <w:sz w:val="24"/>
          <w:szCs w:val="24"/>
        </w:rPr>
        <w:t>D</w:t>
      </w:r>
      <w:r w:rsidR="00C334BB" w:rsidRPr="00EC2243">
        <w:rPr>
          <w:rFonts w:ascii="Times New Roman" w:hAnsi="Times New Roman"/>
          <w:sz w:val="24"/>
          <w:szCs w:val="24"/>
        </w:rPr>
        <w:t xml:space="preserve">ata collection </w:t>
      </w:r>
      <w:r w:rsidR="00054F22" w:rsidRPr="00EC2243">
        <w:rPr>
          <w:rFonts w:ascii="Times New Roman" w:hAnsi="Times New Roman"/>
          <w:sz w:val="24"/>
          <w:szCs w:val="24"/>
        </w:rPr>
        <w:t xml:space="preserve">will </w:t>
      </w:r>
      <w:r w:rsidR="00C334BB" w:rsidRPr="00EC2243">
        <w:rPr>
          <w:rFonts w:ascii="Times New Roman" w:hAnsi="Times New Roman"/>
          <w:sz w:val="24"/>
          <w:szCs w:val="24"/>
        </w:rPr>
        <w:t xml:space="preserve">occur approximately every six months </w:t>
      </w:r>
      <w:r w:rsidR="00932CF8" w:rsidRPr="00EC2243">
        <w:rPr>
          <w:rFonts w:ascii="Times New Roman" w:hAnsi="Times New Roman"/>
          <w:sz w:val="24"/>
          <w:szCs w:val="24"/>
        </w:rPr>
        <w:t>(twice during the</w:t>
      </w:r>
      <w:r w:rsidR="007F04AC" w:rsidRPr="00EC2243">
        <w:rPr>
          <w:rFonts w:ascii="Times New Roman" w:hAnsi="Times New Roman"/>
          <w:sz w:val="24"/>
          <w:szCs w:val="24"/>
        </w:rPr>
        <w:t xml:space="preserve"> </w:t>
      </w:r>
      <w:r w:rsidR="00F04324" w:rsidRPr="00EC2243">
        <w:rPr>
          <w:rFonts w:ascii="Times New Roman" w:hAnsi="Times New Roman"/>
          <w:sz w:val="24"/>
          <w:szCs w:val="24"/>
        </w:rPr>
        <w:t>pilot</w:t>
      </w:r>
      <w:r w:rsidR="007F04AC" w:rsidRPr="00EC2243">
        <w:rPr>
          <w:rFonts w:ascii="Times New Roman" w:hAnsi="Times New Roman"/>
          <w:sz w:val="24"/>
          <w:szCs w:val="24"/>
        </w:rPr>
        <w:t xml:space="preserve">) </w:t>
      </w:r>
      <w:r w:rsidR="00C334BB" w:rsidRPr="00EC2243">
        <w:rPr>
          <w:rFonts w:ascii="Times New Roman" w:hAnsi="Times New Roman"/>
          <w:sz w:val="24"/>
          <w:szCs w:val="24"/>
        </w:rPr>
        <w:t xml:space="preserve">to be able to </w:t>
      </w:r>
      <w:r w:rsidRPr="00EC2243">
        <w:rPr>
          <w:rFonts w:ascii="Times New Roman" w:hAnsi="Times New Roman"/>
          <w:sz w:val="24"/>
          <w:szCs w:val="24"/>
        </w:rPr>
        <w:t xml:space="preserve">provide </w:t>
      </w:r>
      <w:r w:rsidR="00F04324" w:rsidRPr="00EC2243">
        <w:rPr>
          <w:rFonts w:ascii="Times New Roman" w:hAnsi="Times New Roman"/>
          <w:sz w:val="24"/>
          <w:szCs w:val="24"/>
        </w:rPr>
        <w:t xml:space="preserve">customer service responsive </w:t>
      </w:r>
      <w:r w:rsidR="00C334BB" w:rsidRPr="00EC2243">
        <w:rPr>
          <w:rFonts w:ascii="Times New Roman" w:hAnsi="Times New Roman"/>
          <w:sz w:val="24"/>
          <w:szCs w:val="24"/>
        </w:rPr>
        <w:t xml:space="preserve">feedback to </w:t>
      </w:r>
      <w:r w:rsidR="00741D13" w:rsidRPr="00EC2243">
        <w:rPr>
          <w:rFonts w:ascii="Times New Roman" w:hAnsi="Times New Roman"/>
          <w:sz w:val="24"/>
          <w:szCs w:val="24"/>
        </w:rPr>
        <w:t>the sites on areas of strengths and</w:t>
      </w:r>
      <w:r w:rsidR="00C334BB" w:rsidRPr="00EC2243">
        <w:rPr>
          <w:rFonts w:ascii="Times New Roman" w:hAnsi="Times New Roman"/>
          <w:sz w:val="24"/>
          <w:szCs w:val="24"/>
        </w:rPr>
        <w:t xml:space="preserve"> successes, as well as opportunities for improvement. </w:t>
      </w:r>
      <w:r w:rsidR="00F3429D" w:rsidRPr="00EC2243">
        <w:rPr>
          <w:rFonts w:ascii="Times New Roman" w:hAnsi="Times New Roman"/>
          <w:sz w:val="24"/>
          <w:szCs w:val="24"/>
        </w:rPr>
        <w:t xml:space="preserve">Individual </w:t>
      </w:r>
      <w:r w:rsidR="00932CF8" w:rsidRPr="00EC2243">
        <w:rPr>
          <w:rFonts w:ascii="Times New Roman" w:hAnsi="Times New Roman"/>
          <w:sz w:val="24"/>
          <w:szCs w:val="24"/>
        </w:rPr>
        <w:t xml:space="preserve">level </w:t>
      </w:r>
      <w:r w:rsidR="00F3429D" w:rsidRPr="00EC2243">
        <w:rPr>
          <w:rFonts w:ascii="Times New Roman" w:hAnsi="Times New Roman"/>
          <w:sz w:val="24"/>
          <w:szCs w:val="24"/>
        </w:rPr>
        <w:t>findings</w:t>
      </w:r>
      <w:r w:rsidR="00E70D3C" w:rsidRPr="00EC2243">
        <w:rPr>
          <w:rFonts w:ascii="Times New Roman" w:hAnsi="Times New Roman"/>
          <w:sz w:val="24"/>
          <w:szCs w:val="24"/>
        </w:rPr>
        <w:t xml:space="preserve"> will be reported to the participating sit</w:t>
      </w:r>
      <w:r w:rsidR="00DF603C" w:rsidRPr="00EC2243">
        <w:rPr>
          <w:rFonts w:ascii="Times New Roman" w:hAnsi="Times New Roman"/>
          <w:sz w:val="24"/>
          <w:szCs w:val="24"/>
        </w:rPr>
        <w:t xml:space="preserve">es to assist them in enhancing </w:t>
      </w:r>
      <w:r w:rsidR="00E70D3C" w:rsidRPr="00EC2243">
        <w:rPr>
          <w:rFonts w:ascii="Times New Roman" w:hAnsi="Times New Roman"/>
          <w:sz w:val="24"/>
          <w:szCs w:val="24"/>
        </w:rPr>
        <w:t>t</w:t>
      </w:r>
      <w:r w:rsidR="00DF603C" w:rsidRPr="00EC2243">
        <w:rPr>
          <w:rFonts w:ascii="Times New Roman" w:hAnsi="Times New Roman"/>
          <w:sz w:val="24"/>
          <w:szCs w:val="24"/>
        </w:rPr>
        <w:t>h</w:t>
      </w:r>
      <w:r w:rsidR="00E70D3C" w:rsidRPr="00EC2243">
        <w:rPr>
          <w:rFonts w:ascii="Times New Roman" w:hAnsi="Times New Roman"/>
          <w:sz w:val="24"/>
          <w:szCs w:val="24"/>
        </w:rPr>
        <w:t xml:space="preserve">eir program’s response to </w:t>
      </w:r>
      <w:r w:rsidR="00491775" w:rsidRPr="00EC2243">
        <w:rPr>
          <w:rFonts w:ascii="Times New Roman" w:hAnsi="Times New Roman"/>
          <w:sz w:val="24"/>
          <w:szCs w:val="24"/>
        </w:rPr>
        <w:t>IPV</w:t>
      </w:r>
      <w:r w:rsidR="00E70D3C" w:rsidRPr="00EC2243">
        <w:rPr>
          <w:rFonts w:ascii="Times New Roman" w:hAnsi="Times New Roman"/>
          <w:sz w:val="24"/>
          <w:szCs w:val="24"/>
        </w:rPr>
        <w:t xml:space="preserve"> and</w:t>
      </w:r>
      <w:r w:rsidR="00932CF8" w:rsidRPr="00EC2243">
        <w:rPr>
          <w:rFonts w:ascii="Times New Roman" w:hAnsi="Times New Roman"/>
          <w:sz w:val="24"/>
          <w:szCs w:val="24"/>
        </w:rPr>
        <w:t xml:space="preserve"> capacity to address </w:t>
      </w:r>
      <w:r w:rsidR="00082725" w:rsidRPr="00EC2243">
        <w:rPr>
          <w:rFonts w:ascii="Times New Roman" w:hAnsi="Times New Roman"/>
          <w:sz w:val="24"/>
          <w:szCs w:val="24"/>
        </w:rPr>
        <w:t>health</w:t>
      </w:r>
      <w:r w:rsidR="000B2E18" w:rsidRPr="00EC2243">
        <w:rPr>
          <w:rFonts w:ascii="Times New Roman" w:hAnsi="Times New Roman"/>
          <w:sz w:val="24"/>
          <w:szCs w:val="24"/>
        </w:rPr>
        <w:t xml:space="preserve"> </w:t>
      </w:r>
      <w:r w:rsidR="00082725" w:rsidRPr="00EC2243">
        <w:rPr>
          <w:rFonts w:ascii="Times New Roman" w:hAnsi="Times New Roman"/>
          <w:sz w:val="24"/>
          <w:szCs w:val="24"/>
        </w:rPr>
        <w:t>care needs</w:t>
      </w:r>
      <w:r w:rsidR="00E70D3C" w:rsidRPr="00EC2243">
        <w:rPr>
          <w:rFonts w:ascii="Times New Roman" w:hAnsi="Times New Roman"/>
          <w:sz w:val="24"/>
          <w:szCs w:val="24"/>
        </w:rPr>
        <w:t xml:space="preserve"> of </w:t>
      </w:r>
      <w:r w:rsidR="00F04324" w:rsidRPr="00EC2243">
        <w:rPr>
          <w:rFonts w:ascii="Times New Roman" w:hAnsi="Times New Roman"/>
          <w:sz w:val="24"/>
          <w:szCs w:val="24"/>
        </w:rPr>
        <w:t>patients/</w:t>
      </w:r>
      <w:r w:rsidR="005034C1" w:rsidRPr="00EC2243">
        <w:rPr>
          <w:rFonts w:ascii="Times New Roman" w:hAnsi="Times New Roman"/>
          <w:sz w:val="24"/>
          <w:szCs w:val="24"/>
        </w:rPr>
        <w:t>clients during</w:t>
      </w:r>
      <w:r w:rsidR="0046628F" w:rsidRPr="00EC2243">
        <w:rPr>
          <w:rFonts w:ascii="Times New Roman" w:hAnsi="Times New Roman"/>
          <w:sz w:val="24"/>
          <w:szCs w:val="24"/>
        </w:rPr>
        <w:t xml:space="preserve"> the project period.  </w:t>
      </w:r>
      <w:r w:rsidR="00C334BB" w:rsidRPr="00EC2243">
        <w:rPr>
          <w:rFonts w:ascii="Times New Roman" w:hAnsi="Times New Roman"/>
          <w:sz w:val="24"/>
          <w:szCs w:val="24"/>
        </w:rPr>
        <w:t xml:space="preserve">The findings </w:t>
      </w:r>
      <w:r w:rsidR="00E70D3C" w:rsidRPr="00EC2243">
        <w:rPr>
          <w:rFonts w:ascii="Times New Roman" w:hAnsi="Times New Roman"/>
          <w:sz w:val="24"/>
          <w:szCs w:val="24"/>
        </w:rPr>
        <w:t xml:space="preserve">and lessons learned will be compiled into an </w:t>
      </w:r>
      <w:r w:rsidR="00C94A68" w:rsidRPr="00EC2243">
        <w:rPr>
          <w:rFonts w:ascii="Times New Roman" w:hAnsi="Times New Roman"/>
          <w:sz w:val="24"/>
          <w:szCs w:val="24"/>
        </w:rPr>
        <w:t xml:space="preserve">internal </w:t>
      </w:r>
      <w:r w:rsidR="00E70D3C" w:rsidRPr="00EC2243">
        <w:rPr>
          <w:rFonts w:ascii="Times New Roman" w:hAnsi="Times New Roman"/>
          <w:sz w:val="24"/>
          <w:szCs w:val="24"/>
        </w:rPr>
        <w:t xml:space="preserve">report that will inform development of a toolkit </w:t>
      </w:r>
      <w:r w:rsidR="001720D5" w:rsidRPr="00EC2243">
        <w:rPr>
          <w:rFonts w:ascii="Times New Roman" w:hAnsi="Times New Roman"/>
          <w:sz w:val="24"/>
          <w:szCs w:val="24"/>
        </w:rPr>
        <w:t xml:space="preserve">to foster customer satisfaction in assisting </w:t>
      </w:r>
      <w:r w:rsidR="00E70D3C" w:rsidRPr="00EC2243">
        <w:rPr>
          <w:rFonts w:ascii="Times New Roman" w:hAnsi="Times New Roman"/>
          <w:sz w:val="24"/>
          <w:szCs w:val="24"/>
        </w:rPr>
        <w:t>HRSA supported health centers in integrating IPV screening and counseling into practice.</w:t>
      </w:r>
      <w:r w:rsidR="007C77A5" w:rsidRPr="00EC2243">
        <w:rPr>
          <w:rFonts w:ascii="Times New Roman" w:hAnsi="Times New Roman"/>
          <w:sz w:val="24"/>
          <w:szCs w:val="24"/>
        </w:rPr>
        <w:t xml:space="preserve">  </w:t>
      </w:r>
    </w:p>
    <w:p w14:paraId="2AA220D7" w14:textId="77777777" w:rsidR="00BD7884" w:rsidRPr="00EC2243" w:rsidRDefault="00BD7884">
      <w:pPr>
        <w:tabs>
          <w:tab w:val="left" w:pos="-720"/>
          <w:tab w:val="left" w:pos="720"/>
          <w:tab w:val="right" w:pos="8648"/>
        </w:tabs>
        <w:rPr>
          <w:rFonts w:ascii="Times New Roman" w:hAnsi="Times New Roman"/>
          <w:sz w:val="24"/>
          <w:szCs w:val="24"/>
        </w:rPr>
      </w:pPr>
    </w:p>
    <w:p w14:paraId="7DCE108C" w14:textId="53C79946" w:rsidR="001879E5" w:rsidRPr="00EC2243" w:rsidRDefault="0061278C">
      <w:pPr>
        <w:tabs>
          <w:tab w:val="left" w:pos="-720"/>
          <w:tab w:val="left" w:pos="720"/>
          <w:tab w:val="right" w:pos="8677"/>
        </w:tabs>
        <w:rPr>
          <w:rFonts w:ascii="Times New Roman" w:hAnsi="Times New Roman"/>
          <w:sz w:val="24"/>
          <w:szCs w:val="24"/>
          <w:u w:val="single"/>
        </w:rPr>
      </w:pPr>
      <w:r w:rsidRPr="00EC2243">
        <w:rPr>
          <w:rFonts w:ascii="Times New Roman" w:hAnsi="Times New Roman"/>
          <w:sz w:val="24"/>
          <w:szCs w:val="24"/>
        </w:rPr>
        <w:t>7.</w:t>
      </w:r>
      <w:r w:rsidRPr="00EC2243">
        <w:rPr>
          <w:rFonts w:ascii="Times New Roman" w:hAnsi="Times New Roman"/>
          <w:sz w:val="24"/>
          <w:szCs w:val="24"/>
        </w:rPr>
        <w:tab/>
      </w:r>
      <w:r w:rsidRPr="00EC2243">
        <w:rPr>
          <w:rFonts w:ascii="Times New Roman" w:hAnsi="Times New Roman"/>
          <w:sz w:val="24"/>
          <w:szCs w:val="24"/>
          <w:u w:val="single"/>
        </w:rPr>
        <w:t>Consistency With the Guidelines in 5 CFR 1320.5(d</w:t>
      </w:r>
      <w:r w:rsidR="000E6827" w:rsidRPr="00EC2243">
        <w:rPr>
          <w:rFonts w:ascii="Times New Roman" w:hAnsi="Times New Roman"/>
          <w:sz w:val="24"/>
          <w:szCs w:val="24"/>
          <w:u w:val="single"/>
        </w:rPr>
        <w:t>) (</w:t>
      </w:r>
      <w:r w:rsidRPr="00EC2243">
        <w:rPr>
          <w:rFonts w:ascii="Times New Roman" w:hAnsi="Times New Roman"/>
          <w:sz w:val="24"/>
          <w:szCs w:val="24"/>
          <w:u w:val="single"/>
        </w:rPr>
        <w:t>2)</w:t>
      </w:r>
    </w:p>
    <w:p w14:paraId="7DCE108D" w14:textId="77777777" w:rsidR="001879E5" w:rsidRPr="00EC2243" w:rsidRDefault="001879E5">
      <w:pPr>
        <w:tabs>
          <w:tab w:val="left" w:pos="-720"/>
          <w:tab w:val="left" w:pos="720"/>
          <w:tab w:val="right" w:pos="8677"/>
        </w:tabs>
        <w:rPr>
          <w:rFonts w:ascii="Times New Roman" w:hAnsi="Times New Roman"/>
          <w:sz w:val="24"/>
          <w:szCs w:val="24"/>
        </w:rPr>
      </w:pPr>
    </w:p>
    <w:p w14:paraId="7DCE108E" w14:textId="2CA5C135" w:rsidR="001879E5" w:rsidRPr="00EC2243" w:rsidRDefault="001879E5">
      <w:pPr>
        <w:tabs>
          <w:tab w:val="left" w:pos="-720"/>
        </w:tabs>
        <w:rPr>
          <w:rFonts w:ascii="Times New Roman" w:hAnsi="Times New Roman"/>
          <w:sz w:val="24"/>
          <w:szCs w:val="24"/>
        </w:rPr>
      </w:pPr>
      <w:r w:rsidRPr="00EC2243">
        <w:rPr>
          <w:rFonts w:ascii="Times New Roman" w:hAnsi="Times New Roman"/>
          <w:sz w:val="24"/>
          <w:szCs w:val="24"/>
        </w:rPr>
        <w:t>These surveys will be implemented in a manner fully consistent with 5 CFR 1320.5(d</w:t>
      </w:r>
      <w:r w:rsidR="000E6827" w:rsidRPr="00EC2243">
        <w:rPr>
          <w:rFonts w:ascii="Times New Roman" w:hAnsi="Times New Roman"/>
          <w:sz w:val="24"/>
          <w:szCs w:val="24"/>
        </w:rPr>
        <w:t>) (</w:t>
      </w:r>
      <w:r w:rsidRPr="00EC2243">
        <w:rPr>
          <w:rFonts w:ascii="Times New Roman" w:hAnsi="Times New Roman"/>
          <w:sz w:val="24"/>
          <w:szCs w:val="24"/>
        </w:rPr>
        <w:t>2).</w:t>
      </w:r>
    </w:p>
    <w:p w14:paraId="7DCE108F" w14:textId="77777777" w:rsidR="001879E5" w:rsidRPr="00EC2243" w:rsidRDefault="001879E5">
      <w:pPr>
        <w:tabs>
          <w:tab w:val="left" w:pos="-720"/>
        </w:tabs>
        <w:rPr>
          <w:rFonts w:ascii="Times New Roman" w:hAnsi="Times New Roman"/>
          <w:sz w:val="24"/>
          <w:szCs w:val="24"/>
        </w:rPr>
      </w:pPr>
    </w:p>
    <w:p w14:paraId="7DCE1090" w14:textId="77777777" w:rsidR="001879E5" w:rsidRPr="00EC2243" w:rsidRDefault="001879E5">
      <w:pPr>
        <w:tabs>
          <w:tab w:val="left" w:pos="-720"/>
          <w:tab w:val="left" w:pos="720"/>
          <w:tab w:val="right" w:pos="8677"/>
        </w:tabs>
        <w:rPr>
          <w:rFonts w:ascii="Times New Roman" w:hAnsi="Times New Roman"/>
          <w:sz w:val="24"/>
          <w:szCs w:val="24"/>
          <w:u w:val="single"/>
        </w:rPr>
      </w:pPr>
      <w:r w:rsidRPr="00EC2243">
        <w:rPr>
          <w:rFonts w:ascii="Times New Roman" w:hAnsi="Times New Roman"/>
          <w:sz w:val="24"/>
          <w:szCs w:val="24"/>
        </w:rPr>
        <w:t>8.</w:t>
      </w:r>
      <w:r w:rsidRPr="00EC2243">
        <w:rPr>
          <w:rFonts w:ascii="Times New Roman" w:hAnsi="Times New Roman"/>
          <w:sz w:val="24"/>
          <w:szCs w:val="24"/>
        </w:rPr>
        <w:tab/>
      </w:r>
      <w:r w:rsidRPr="00EC2243">
        <w:rPr>
          <w:rFonts w:ascii="Times New Roman" w:hAnsi="Times New Roman"/>
          <w:sz w:val="24"/>
          <w:szCs w:val="24"/>
          <w:u w:val="single"/>
        </w:rPr>
        <w:t>Consultation Outside the Agency</w:t>
      </w:r>
    </w:p>
    <w:p w14:paraId="7DCE1091" w14:textId="77777777" w:rsidR="001879E5" w:rsidRPr="00EC2243" w:rsidRDefault="001879E5">
      <w:pPr>
        <w:tabs>
          <w:tab w:val="left" w:pos="-720"/>
          <w:tab w:val="left" w:pos="720"/>
          <w:tab w:val="right" w:pos="8677"/>
        </w:tabs>
        <w:rPr>
          <w:rFonts w:ascii="Times New Roman" w:hAnsi="Times New Roman"/>
          <w:sz w:val="24"/>
          <w:szCs w:val="24"/>
        </w:rPr>
      </w:pPr>
    </w:p>
    <w:p w14:paraId="7DCE1092" w14:textId="7EB884F0" w:rsidR="001879E5" w:rsidRPr="00EC2243" w:rsidRDefault="00435EA2">
      <w:pPr>
        <w:tabs>
          <w:tab w:val="left" w:pos="-720"/>
        </w:tabs>
        <w:rPr>
          <w:rFonts w:ascii="Times New Roman" w:hAnsi="Times New Roman"/>
          <w:sz w:val="24"/>
          <w:szCs w:val="24"/>
        </w:rPr>
      </w:pPr>
      <w:r w:rsidRPr="00EC2243">
        <w:rPr>
          <w:rFonts w:ascii="Times New Roman" w:hAnsi="Times New Roman"/>
          <w:sz w:val="24"/>
          <w:szCs w:val="24"/>
        </w:rPr>
        <w:t xml:space="preserve">The notice required in 5 CFR 1320.8(d) was published in the </w:t>
      </w:r>
      <w:r w:rsidRPr="00EC2243">
        <w:rPr>
          <w:rFonts w:ascii="Times New Roman" w:hAnsi="Times New Roman"/>
          <w:i/>
          <w:sz w:val="24"/>
          <w:szCs w:val="24"/>
        </w:rPr>
        <w:t>Federal Register</w:t>
      </w:r>
      <w:r w:rsidRPr="00EC2243">
        <w:rPr>
          <w:rFonts w:ascii="Times New Roman" w:hAnsi="Times New Roman"/>
          <w:sz w:val="24"/>
          <w:szCs w:val="24"/>
        </w:rPr>
        <w:t xml:space="preserve"> on December 17, 2014 (Vol. 79, No. 242, pages 75164). No public comments were received. </w:t>
      </w:r>
    </w:p>
    <w:p w14:paraId="7DCE1093" w14:textId="77777777" w:rsidR="001879E5" w:rsidRPr="00EC2243" w:rsidRDefault="001879E5">
      <w:pPr>
        <w:tabs>
          <w:tab w:val="left" w:pos="-720"/>
        </w:tabs>
        <w:rPr>
          <w:rFonts w:ascii="Times New Roman" w:hAnsi="Times New Roman"/>
          <w:sz w:val="24"/>
          <w:szCs w:val="24"/>
        </w:rPr>
      </w:pPr>
    </w:p>
    <w:p w14:paraId="7DCE1094" w14:textId="77777777" w:rsidR="001879E5" w:rsidRPr="00EC2243" w:rsidRDefault="001879E5">
      <w:pPr>
        <w:tabs>
          <w:tab w:val="left" w:pos="720"/>
          <w:tab w:val="right" w:pos="8677"/>
        </w:tabs>
        <w:rPr>
          <w:rFonts w:ascii="Times New Roman" w:hAnsi="Times New Roman"/>
          <w:sz w:val="24"/>
          <w:szCs w:val="24"/>
          <w:u w:val="single"/>
        </w:rPr>
      </w:pPr>
      <w:r w:rsidRPr="00EC2243">
        <w:rPr>
          <w:rFonts w:ascii="Times New Roman" w:hAnsi="Times New Roman"/>
          <w:sz w:val="24"/>
          <w:szCs w:val="24"/>
        </w:rPr>
        <w:t>9.</w:t>
      </w:r>
      <w:r w:rsidRPr="00EC2243">
        <w:rPr>
          <w:rFonts w:ascii="Times New Roman" w:hAnsi="Times New Roman"/>
          <w:sz w:val="24"/>
          <w:szCs w:val="24"/>
        </w:rPr>
        <w:tab/>
        <w:t xml:space="preserve"> </w:t>
      </w:r>
      <w:r w:rsidRPr="00EC2243">
        <w:rPr>
          <w:rFonts w:ascii="Times New Roman" w:hAnsi="Times New Roman"/>
          <w:sz w:val="24"/>
          <w:szCs w:val="24"/>
          <w:u w:val="single"/>
        </w:rPr>
        <w:t>Remuneration of Respondents</w:t>
      </w:r>
    </w:p>
    <w:p w14:paraId="232245CB" w14:textId="77777777" w:rsidR="00F67EA7" w:rsidRPr="00EC2243" w:rsidRDefault="00F67EA7">
      <w:pPr>
        <w:tabs>
          <w:tab w:val="left" w:pos="720"/>
          <w:tab w:val="right" w:pos="8677"/>
        </w:tabs>
        <w:rPr>
          <w:rFonts w:ascii="Times New Roman" w:hAnsi="Times New Roman"/>
          <w:sz w:val="24"/>
          <w:szCs w:val="24"/>
          <w:u w:val="single"/>
        </w:rPr>
      </w:pPr>
    </w:p>
    <w:p w14:paraId="74DC4101" w14:textId="40B6AF69" w:rsidR="00F67EA7" w:rsidRPr="00EC2243" w:rsidRDefault="00F67EA7">
      <w:pPr>
        <w:tabs>
          <w:tab w:val="left" w:pos="720"/>
          <w:tab w:val="right" w:pos="8677"/>
        </w:tabs>
        <w:rPr>
          <w:rFonts w:ascii="Times New Roman" w:hAnsi="Times New Roman"/>
          <w:sz w:val="24"/>
          <w:szCs w:val="24"/>
        </w:rPr>
      </w:pPr>
      <w:r w:rsidRPr="00EC2243">
        <w:rPr>
          <w:rFonts w:ascii="Times New Roman" w:hAnsi="Times New Roman"/>
          <w:sz w:val="24"/>
          <w:szCs w:val="24"/>
        </w:rPr>
        <w:t>Not applicable.</w:t>
      </w:r>
    </w:p>
    <w:p w14:paraId="7DCE1095" w14:textId="77777777" w:rsidR="001879E5" w:rsidRPr="00EC2243" w:rsidRDefault="001879E5">
      <w:pPr>
        <w:tabs>
          <w:tab w:val="left" w:pos="720"/>
          <w:tab w:val="right" w:pos="8677"/>
        </w:tabs>
        <w:rPr>
          <w:rFonts w:ascii="Times New Roman" w:hAnsi="Times New Roman"/>
          <w:sz w:val="24"/>
          <w:szCs w:val="24"/>
        </w:rPr>
      </w:pPr>
    </w:p>
    <w:p w14:paraId="7DCE109A" w14:textId="77777777" w:rsidR="001879E5" w:rsidRPr="00EC2243" w:rsidRDefault="001879E5">
      <w:pPr>
        <w:tabs>
          <w:tab w:val="left" w:pos="-720"/>
          <w:tab w:val="left" w:pos="720"/>
          <w:tab w:val="right" w:pos="8677"/>
        </w:tabs>
        <w:rPr>
          <w:rFonts w:ascii="Times New Roman" w:hAnsi="Times New Roman"/>
          <w:sz w:val="24"/>
          <w:szCs w:val="24"/>
          <w:u w:val="single"/>
        </w:rPr>
      </w:pPr>
      <w:r w:rsidRPr="00EC2243">
        <w:rPr>
          <w:rFonts w:ascii="Times New Roman" w:hAnsi="Times New Roman"/>
          <w:sz w:val="24"/>
          <w:szCs w:val="24"/>
        </w:rPr>
        <w:t>10.</w:t>
      </w:r>
      <w:r w:rsidRPr="00EC2243">
        <w:rPr>
          <w:rFonts w:ascii="Times New Roman" w:hAnsi="Times New Roman"/>
          <w:sz w:val="24"/>
          <w:szCs w:val="24"/>
        </w:rPr>
        <w:tab/>
      </w:r>
      <w:r w:rsidRPr="00EC2243">
        <w:rPr>
          <w:rFonts w:ascii="Times New Roman" w:hAnsi="Times New Roman"/>
          <w:sz w:val="24"/>
          <w:szCs w:val="24"/>
          <w:u w:val="single"/>
        </w:rPr>
        <w:t>Assurance of Confidentiality</w:t>
      </w:r>
    </w:p>
    <w:p w14:paraId="7DCE109B" w14:textId="77777777" w:rsidR="001879E5" w:rsidRPr="00EC2243" w:rsidRDefault="001879E5">
      <w:pPr>
        <w:tabs>
          <w:tab w:val="left" w:pos="-720"/>
          <w:tab w:val="left" w:pos="720"/>
          <w:tab w:val="right" w:pos="8677"/>
        </w:tabs>
        <w:rPr>
          <w:rFonts w:ascii="Times New Roman" w:hAnsi="Times New Roman"/>
          <w:sz w:val="24"/>
          <w:szCs w:val="24"/>
        </w:rPr>
      </w:pPr>
    </w:p>
    <w:p w14:paraId="3EC5662C" w14:textId="5061D91C" w:rsidR="00351A5B" w:rsidRPr="00EC2243" w:rsidRDefault="008B3CC4">
      <w:pPr>
        <w:tabs>
          <w:tab w:val="left" w:pos="-720"/>
        </w:tabs>
        <w:rPr>
          <w:rFonts w:ascii="Times New Roman" w:hAnsi="Times New Roman"/>
          <w:sz w:val="24"/>
          <w:szCs w:val="24"/>
        </w:rPr>
      </w:pPr>
      <w:r w:rsidRPr="00EC2243">
        <w:rPr>
          <w:rFonts w:ascii="Times New Roman" w:hAnsi="Times New Roman"/>
          <w:sz w:val="24"/>
          <w:szCs w:val="24"/>
        </w:rPr>
        <w:t>All data collection tools are anonymous – that is, each survey/form has no identifying information or code linking responses to the participant.</w:t>
      </w:r>
      <w:r w:rsidR="002A1A87" w:rsidRPr="00EC2243">
        <w:rPr>
          <w:rFonts w:ascii="Times New Roman" w:hAnsi="Times New Roman"/>
          <w:sz w:val="24"/>
          <w:szCs w:val="24"/>
        </w:rPr>
        <w:t xml:space="preserve"> Data will be kept private to the extent </w:t>
      </w:r>
      <w:r w:rsidR="002A1A87" w:rsidRPr="00EC2243">
        <w:rPr>
          <w:rFonts w:ascii="Times New Roman" w:hAnsi="Times New Roman"/>
          <w:sz w:val="24"/>
          <w:szCs w:val="24"/>
        </w:rPr>
        <w:lastRenderedPageBreak/>
        <w:t>allowed by law</w:t>
      </w:r>
      <w:r w:rsidR="001F6005" w:rsidRPr="00EC2243">
        <w:rPr>
          <w:rFonts w:ascii="Times New Roman" w:hAnsi="Times New Roman"/>
          <w:sz w:val="24"/>
          <w:szCs w:val="24"/>
        </w:rPr>
        <w:t>.</w:t>
      </w:r>
    </w:p>
    <w:p w14:paraId="23BEE7D2" w14:textId="77777777" w:rsidR="00ED6CC9" w:rsidRPr="00EC2243" w:rsidRDefault="00ED6CC9">
      <w:pPr>
        <w:tabs>
          <w:tab w:val="left" w:pos="-720"/>
          <w:tab w:val="left" w:pos="720"/>
          <w:tab w:val="right" w:pos="10080"/>
        </w:tabs>
        <w:rPr>
          <w:rFonts w:ascii="Times New Roman" w:hAnsi="Times New Roman"/>
          <w:sz w:val="24"/>
          <w:szCs w:val="24"/>
        </w:rPr>
      </w:pPr>
    </w:p>
    <w:p w14:paraId="7DCE10A1" w14:textId="77777777" w:rsidR="001879E5" w:rsidRPr="00EC2243" w:rsidRDefault="001879E5">
      <w:pPr>
        <w:tabs>
          <w:tab w:val="left" w:pos="-720"/>
          <w:tab w:val="left" w:pos="720"/>
          <w:tab w:val="right" w:pos="10080"/>
        </w:tabs>
        <w:rPr>
          <w:rFonts w:ascii="Times New Roman" w:hAnsi="Times New Roman"/>
          <w:sz w:val="24"/>
          <w:szCs w:val="24"/>
          <w:u w:val="single"/>
        </w:rPr>
      </w:pPr>
      <w:r w:rsidRPr="00EC2243">
        <w:rPr>
          <w:rFonts w:ascii="Times New Roman" w:hAnsi="Times New Roman"/>
          <w:sz w:val="24"/>
          <w:szCs w:val="24"/>
        </w:rPr>
        <w:t>11.</w:t>
      </w:r>
      <w:r w:rsidRPr="00EC2243">
        <w:rPr>
          <w:rFonts w:ascii="Times New Roman" w:hAnsi="Times New Roman"/>
          <w:sz w:val="24"/>
          <w:szCs w:val="24"/>
        </w:rPr>
        <w:tab/>
      </w:r>
      <w:r w:rsidRPr="00EC2243">
        <w:rPr>
          <w:rFonts w:ascii="Times New Roman" w:hAnsi="Times New Roman"/>
          <w:sz w:val="24"/>
          <w:szCs w:val="24"/>
          <w:u w:val="single"/>
        </w:rPr>
        <w:t>Questions of a Sensitive Nature</w:t>
      </w:r>
    </w:p>
    <w:p w14:paraId="7DCE10A2" w14:textId="77777777" w:rsidR="001879E5" w:rsidRPr="00EC2243" w:rsidRDefault="001879E5">
      <w:pPr>
        <w:tabs>
          <w:tab w:val="left" w:pos="-720"/>
          <w:tab w:val="left" w:pos="720"/>
          <w:tab w:val="right" w:pos="10080"/>
        </w:tabs>
        <w:rPr>
          <w:rFonts w:ascii="Times New Roman" w:hAnsi="Times New Roman"/>
          <w:sz w:val="24"/>
          <w:szCs w:val="24"/>
        </w:rPr>
      </w:pPr>
    </w:p>
    <w:p w14:paraId="7DCE10A8" w14:textId="1FFD6FA7" w:rsidR="001879E5" w:rsidRPr="002A1040" w:rsidRDefault="00024744" w:rsidP="00AC1972">
      <w:pPr>
        <w:tabs>
          <w:tab w:val="left" w:pos="-720"/>
          <w:tab w:val="left" w:pos="720"/>
          <w:tab w:val="right" w:pos="10080"/>
        </w:tabs>
        <w:rPr>
          <w:rFonts w:ascii="Times New Roman" w:hAnsi="Times New Roman"/>
          <w:sz w:val="24"/>
          <w:szCs w:val="24"/>
        </w:rPr>
      </w:pPr>
      <w:r w:rsidRPr="00EC2243">
        <w:rPr>
          <w:rFonts w:ascii="Times New Roman" w:hAnsi="Times New Roman"/>
          <w:sz w:val="24"/>
          <w:szCs w:val="24"/>
        </w:rPr>
        <w:t xml:space="preserve">Data </w:t>
      </w:r>
      <w:r w:rsidR="00811D4E" w:rsidRPr="00EC2243">
        <w:rPr>
          <w:rFonts w:ascii="Times New Roman" w:hAnsi="Times New Roman"/>
          <w:sz w:val="24"/>
          <w:szCs w:val="24"/>
        </w:rPr>
        <w:t xml:space="preserve">to be </w:t>
      </w:r>
      <w:r w:rsidRPr="00EC2243">
        <w:rPr>
          <w:rFonts w:ascii="Times New Roman" w:hAnsi="Times New Roman"/>
          <w:sz w:val="24"/>
          <w:szCs w:val="24"/>
        </w:rPr>
        <w:t xml:space="preserve">collected from </w:t>
      </w:r>
      <w:r w:rsidR="005034C1" w:rsidRPr="00EC2243">
        <w:rPr>
          <w:rFonts w:ascii="Times New Roman" w:hAnsi="Times New Roman"/>
          <w:sz w:val="24"/>
          <w:szCs w:val="24"/>
        </w:rPr>
        <w:t>respondents</w:t>
      </w:r>
      <w:r w:rsidRPr="00EC2243">
        <w:rPr>
          <w:rFonts w:ascii="Times New Roman" w:hAnsi="Times New Roman"/>
          <w:sz w:val="24"/>
          <w:szCs w:val="24"/>
        </w:rPr>
        <w:t xml:space="preserve"> is not sensitive in nature and is anonymous; no identifying information </w:t>
      </w:r>
      <w:r w:rsidR="00811D4E" w:rsidRPr="00EC2243">
        <w:rPr>
          <w:rFonts w:ascii="Times New Roman" w:hAnsi="Times New Roman"/>
          <w:sz w:val="24"/>
          <w:szCs w:val="24"/>
        </w:rPr>
        <w:t xml:space="preserve">will be </w:t>
      </w:r>
      <w:r w:rsidRPr="00EC2243">
        <w:rPr>
          <w:rFonts w:ascii="Times New Roman" w:hAnsi="Times New Roman"/>
          <w:sz w:val="24"/>
          <w:szCs w:val="24"/>
        </w:rPr>
        <w:t xml:space="preserve">collected from </w:t>
      </w:r>
      <w:r w:rsidR="005034C1" w:rsidRPr="00EC2243">
        <w:rPr>
          <w:rFonts w:ascii="Times New Roman" w:hAnsi="Times New Roman"/>
          <w:sz w:val="24"/>
          <w:szCs w:val="24"/>
        </w:rPr>
        <w:t>respondents</w:t>
      </w:r>
      <w:r w:rsidRPr="00EC2243">
        <w:rPr>
          <w:rFonts w:ascii="Times New Roman" w:hAnsi="Times New Roman"/>
          <w:sz w:val="24"/>
          <w:szCs w:val="24"/>
        </w:rPr>
        <w:t xml:space="preserve">. Data collected from </w:t>
      </w:r>
      <w:r w:rsidR="00881F20" w:rsidRPr="00EC2243">
        <w:rPr>
          <w:rFonts w:ascii="Times New Roman" w:hAnsi="Times New Roman"/>
          <w:sz w:val="24"/>
          <w:szCs w:val="24"/>
        </w:rPr>
        <w:t>patients about their clinical encounter</w:t>
      </w:r>
      <w:r w:rsidR="00BC1ADD" w:rsidRPr="00EC2243">
        <w:rPr>
          <w:rFonts w:ascii="Times New Roman" w:hAnsi="Times New Roman"/>
          <w:sz w:val="24"/>
          <w:szCs w:val="24"/>
        </w:rPr>
        <w:t xml:space="preserve"> (not personal clinical data)</w:t>
      </w:r>
      <w:r w:rsidR="00881F20" w:rsidRPr="00EC2243">
        <w:rPr>
          <w:rFonts w:ascii="Times New Roman" w:hAnsi="Times New Roman"/>
          <w:sz w:val="24"/>
          <w:szCs w:val="24"/>
        </w:rPr>
        <w:t xml:space="preserve"> and satisfaction with </w:t>
      </w:r>
      <w:r w:rsidR="00BC1ADD" w:rsidRPr="00EC2243">
        <w:rPr>
          <w:rFonts w:ascii="Times New Roman" w:hAnsi="Times New Roman"/>
          <w:sz w:val="24"/>
          <w:szCs w:val="24"/>
        </w:rPr>
        <w:t xml:space="preserve">the </w:t>
      </w:r>
      <w:r w:rsidR="00881F20" w:rsidRPr="00EC2243">
        <w:rPr>
          <w:rFonts w:ascii="Times New Roman" w:hAnsi="Times New Roman"/>
          <w:sz w:val="24"/>
          <w:szCs w:val="24"/>
        </w:rPr>
        <w:t>encounter</w:t>
      </w:r>
      <w:r w:rsidR="00881F20" w:rsidRPr="00EC2243" w:rsidDel="00811D4E">
        <w:rPr>
          <w:rFonts w:ascii="Times New Roman" w:hAnsi="Times New Roman"/>
          <w:sz w:val="24"/>
          <w:szCs w:val="24"/>
        </w:rPr>
        <w:t xml:space="preserve"> </w:t>
      </w:r>
      <w:r w:rsidR="00811D4E" w:rsidRPr="00EC2243">
        <w:rPr>
          <w:rFonts w:ascii="Times New Roman" w:hAnsi="Times New Roman"/>
          <w:sz w:val="24"/>
          <w:szCs w:val="24"/>
        </w:rPr>
        <w:t xml:space="preserve">will also be </w:t>
      </w:r>
      <w:r w:rsidR="00351A5B" w:rsidRPr="00EC2243">
        <w:rPr>
          <w:rFonts w:ascii="Times New Roman" w:hAnsi="Times New Roman"/>
          <w:sz w:val="24"/>
          <w:szCs w:val="24"/>
        </w:rPr>
        <w:t xml:space="preserve">completely anonymous. </w:t>
      </w:r>
      <w:r w:rsidRPr="00EC2243">
        <w:rPr>
          <w:rFonts w:ascii="Times New Roman" w:hAnsi="Times New Roman"/>
          <w:sz w:val="24"/>
          <w:szCs w:val="24"/>
        </w:rPr>
        <w:t>Participants will be told that their participation is completely voluntary</w:t>
      </w:r>
      <w:r w:rsidR="00741D13" w:rsidRPr="00EC2243">
        <w:rPr>
          <w:rFonts w:ascii="Times New Roman" w:hAnsi="Times New Roman"/>
          <w:sz w:val="24"/>
          <w:szCs w:val="24"/>
        </w:rPr>
        <w:t>, and</w:t>
      </w:r>
      <w:r w:rsidRPr="00EC2243">
        <w:rPr>
          <w:rFonts w:ascii="Times New Roman" w:hAnsi="Times New Roman"/>
          <w:sz w:val="24"/>
          <w:szCs w:val="24"/>
        </w:rPr>
        <w:t xml:space="preserve"> they can </w:t>
      </w:r>
      <w:r w:rsidR="00AC1972" w:rsidRPr="00EC2243">
        <w:rPr>
          <w:rFonts w:ascii="Times New Roman" w:hAnsi="Times New Roman"/>
          <w:sz w:val="24"/>
          <w:szCs w:val="24"/>
        </w:rPr>
        <w:t>withdraw from taking the</w:t>
      </w:r>
      <w:r w:rsidRPr="00EC2243">
        <w:rPr>
          <w:rFonts w:ascii="Times New Roman" w:hAnsi="Times New Roman"/>
          <w:sz w:val="24"/>
          <w:szCs w:val="24"/>
        </w:rPr>
        <w:t xml:space="preserve"> survey</w:t>
      </w:r>
      <w:r w:rsidR="00AC1972" w:rsidRPr="00EC2243">
        <w:rPr>
          <w:rFonts w:ascii="Times New Roman" w:hAnsi="Times New Roman"/>
          <w:sz w:val="24"/>
          <w:szCs w:val="24"/>
        </w:rPr>
        <w:t>(s)</w:t>
      </w:r>
      <w:r w:rsidRPr="00EC2243">
        <w:rPr>
          <w:rFonts w:ascii="Times New Roman" w:hAnsi="Times New Roman"/>
          <w:sz w:val="24"/>
          <w:szCs w:val="24"/>
        </w:rPr>
        <w:t xml:space="preserve"> at any time</w:t>
      </w:r>
      <w:r w:rsidR="000E6827" w:rsidRPr="00EC2243">
        <w:rPr>
          <w:rFonts w:ascii="Times New Roman" w:hAnsi="Times New Roman"/>
          <w:sz w:val="24"/>
          <w:szCs w:val="24"/>
        </w:rPr>
        <w:t>.</w:t>
      </w:r>
      <w:r w:rsidR="000E6827" w:rsidRPr="002A1040">
        <w:rPr>
          <w:rFonts w:ascii="Times New Roman" w:hAnsi="Times New Roman"/>
          <w:sz w:val="24"/>
          <w:szCs w:val="24"/>
        </w:rPr>
        <w:t xml:space="preserve"> </w:t>
      </w:r>
    </w:p>
    <w:p w14:paraId="7DCE10A9" w14:textId="77777777" w:rsidR="001879E5" w:rsidRPr="002A1040" w:rsidRDefault="00896384" w:rsidP="00896384">
      <w:pPr>
        <w:tabs>
          <w:tab w:val="left" w:pos="-720"/>
          <w:tab w:val="left" w:pos="1575"/>
        </w:tabs>
        <w:rPr>
          <w:rFonts w:ascii="Times New Roman" w:hAnsi="Times New Roman"/>
          <w:sz w:val="24"/>
          <w:szCs w:val="24"/>
        </w:rPr>
      </w:pPr>
      <w:r w:rsidRPr="002A1040">
        <w:rPr>
          <w:rFonts w:ascii="Times New Roman" w:hAnsi="Times New Roman"/>
          <w:sz w:val="24"/>
          <w:szCs w:val="24"/>
        </w:rPr>
        <w:tab/>
      </w:r>
    </w:p>
    <w:p w14:paraId="7DCE10AA" w14:textId="77777777" w:rsidR="001879E5" w:rsidRPr="002A1040" w:rsidRDefault="001879E5">
      <w:pPr>
        <w:tabs>
          <w:tab w:val="left" w:pos="-720"/>
          <w:tab w:val="left" w:pos="720"/>
          <w:tab w:val="right" w:pos="10080"/>
        </w:tabs>
        <w:rPr>
          <w:rFonts w:ascii="Times New Roman" w:hAnsi="Times New Roman"/>
          <w:sz w:val="24"/>
          <w:szCs w:val="24"/>
          <w:u w:val="single"/>
        </w:rPr>
      </w:pPr>
      <w:r w:rsidRPr="002A1040">
        <w:rPr>
          <w:rFonts w:ascii="Times New Roman" w:hAnsi="Times New Roman"/>
          <w:sz w:val="24"/>
          <w:szCs w:val="24"/>
        </w:rPr>
        <w:t>12.</w:t>
      </w:r>
      <w:r w:rsidRPr="002A1040">
        <w:rPr>
          <w:rFonts w:ascii="Times New Roman" w:hAnsi="Times New Roman"/>
          <w:sz w:val="24"/>
          <w:szCs w:val="24"/>
        </w:rPr>
        <w:tab/>
      </w:r>
      <w:r w:rsidRPr="002A1040">
        <w:rPr>
          <w:rFonts w:ascii="Times New Roman" w:hAnsi="Times New Roman"/>
          <w:sz w:val="24"/>
          <w:szCs w:val="24"/>
          <w:u w:val="single"/>
        </w:rPr>
        <w:t>Estimates of Annualized Hour Burden</w:t>
      </w:r>
    </w:p>
    <w:p w14:paraId="38E41C63" w14:textId="77777777" w:rsidR="007A0CC4" w:rsidRPr="002A1040" w:rsidRDefault="007A0CC4">
      <w:pPr>
        <w:tabs>
          <w:tab w:val="left" w:pos="-720"/>
          <w:tab w:val="left" w:pos="720"/>
          <w:tab w:val="right" w:pos="10080"/>
        </w:tabs>
        <w:rPr>
          <w:rFonts w:ascii="Times New Roman" w:hAnsi="Times New Roman"/>
          <w:sz w:val="24"/>
          <w:szCs w:val="24"/>
          <w:u w:val="single"/>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350"/>
        <w:gridCol w:w="1260"/>
        <w:gridCol w:w="990"/>
        <w:gridCol w:w="990"/>
        <w:gridCol w:w="1170"/>
        <w:gridCol w:w="1170"/>
      </w:tblGrid>
      <w:tr w:rsidR="00001B23" w:rsidRPr="002A1040" w14:paraId="7DCE10BD" w14:textId="77777777" w:rsidTr="004E0BFB">
        <w:tc>
          <w:tcPr>
            <w:tcW w:w="2430" w:type="dxa"/>
          </w:tcPr>
          <w:p w14:paraId="7DCE10B5" w14:textId="7FFB9FDC"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Type of Collection</w:t>
            </w:r>
          </w:p>
        </w:tc>
        <w:tc>
          <w:tcPr>
            <w:tcW w:w="1530" w:type="dxa"/>
          </w:tcPr>
          <w:p w14:paraId="7DCE10B6" w14:textId="69BE109C" w:rsidR="00001B23" w:rsidRPr="000A5372" w:rsidRDefault="007A0CC4" w:rsidP="000A5372">
            <w:pPr>
              <w:rPr>
                <w:rFonts w:ascii="Times New Roman" w:hAnsi="Times New Roman"/>
                <w:b/>
                <w:sz w:val="22"/>
                <w:szCs w:val="22"/>
              </w:rPr>
            </w:pPr>
            <w:r>
              <w:rPr>
                <w:rFonts w:ascii="Times New Roman" w:hAnsi="Times New Roman"/>
                <w:b/>
                <w:sz w:val="22"/>
                <w:szCs w:val="22"/>
              </w:rPr>
              <w:t>No.</w:t>
            </w:r>
            <w:r w:rsidR="00001B23" w:rsidRPr="000A5372">
              <w:rPr>
                <w:rFonts w:ascii="Times New Roman" w:hAnsi="Times New Roman"/>
                <w:b/>
                <w:sz w:val="22"/>
                <w:szCs w:val="22"/>
              </w:rPr>
              <w:t xml:space="preserve"> of Respondents</w:t>
            </w:r>
          </w:p>
        </w:tc>
        <w:tc>
          <w:tcPr>
            <w:tcW w:w="1350" w:type="dxa"/>
          </w:tcPr>
          <w:p w14:paraId="7DCE10B7" w14:textId="3B9018BF" w:rsidR="00001B23" w:rsidRPr="000A5372" w:rsidRDefault="007A0CC4" w:rsidP="000A5372">
            <w:pPr>
              <w:pStyle w:val="Center"/>
              <w:spacing w:line="240" w:lineRule="auto"/>
              <w:jc w:val="left"/>
              <w:rPr>
                <w:b/>
                <w:sz w:val="22"/>
                <w:szCs w:val="22"/>
              </w:rPr>
            </w:pPr>
            <w:r>
              <w:rPr>
                <w:b/>
                <w:sz w:val="22"/>
                <w:szCs w:val="22"/>
              </w:rPr>
              <w:t xml:space="preserve">No. </w:t>
            </w:r>
            <w:r w:rsidR="00001B23" w:rsidRPr="000A5372">
              <w:rPr>
                <w:b/>
                <w:sz w:val="22"/>
                <w:szCs w:val="22"/>
              </w:rPr>
              <w:t>Responses per Respondent</w:t>
            </w:r>
          </w:p>
        </w:tc>
        <w:tc>
          <w:tcPr>
            <w:tcW w:w="1260" w:type="dxa"/>
          </w:tcPr>
          <w:p w14:paraId="7DCE10B8" w14:textId="30AF1BF5" w:rsidR="00001B23" w:rsidRPr="000A5372" w:rsidRDefault="007A0CC4" w:rsidP="000A5372">
            <w:pPr>
              <w:rPr>
                <w:rFonts w:ascii="Times New Roman" w:hAnsi="Times New Roman"/>
                <w:b/>
                <w:sz w:val="22"/>
                <w:szCs w:val="22"/>
              </w:rPr>
            </w:pPr>
            <w:r>
              <w:rPr>
                <w:rFonts w:ascii="Times New Roman" w:hAnsi="Times New Roman"/>
                <w:b/>
                <w:sz w:val="22"/>
                <w:szCs w:val="22"/>
              </w:rPr>
              <w:t xml:space="preserve">No. </w:t>
            </w:r>
            <w:r w:rsidR="00001B23" w:rsidRPr="000A5372">
              <w:rPr>
                <w:rFonts w:ascii="Times New Roman" w:hAnsi="Times New Roman"/>
                <w:b/>
                <w:sz w:val="22"/>
                <w:szCs w:val="22"/>
              </w:rPr>
              <w:t>Total Responses</w:t>
            </w:r>
          </w:p>
        </w:tc>
        <w:tc>
          <w:tcPr>
            <w:tcW w:w="990" w:type="dxa"/>
          </w:tcPr>
          <w:p w14:paraId="7DCE10B9" w14:textId="22123CB1" w:rsidR="00001B23" w:rsidRPr="000A5372" w:rsidRDefault="007A0CC4" w:rsidP="000A5372">
            <w:pPr>
              <w:rPr>
                <w:rFonts w:ascii="Times New Roman" w:hAnsi="Times New Roman"/>
                <w:b/>
                <w:sz w:val="22"/>
                <w:szCs w:val="22"/>
              </w:rPr>
            </w:pPr>
            <w:r>
              <w:rPr>
                <w:rFonts w:ascii="Times New Roman" w:hAnsi="Times New Roman"/>
                <w:b/>
                <w:sz w:val="22"/>
                <w:szCs w:val="22"/>
              </w:rPr>
              <w:t xml:space="preserve">No. </w:t>
            </w:r>
            <w:r w:rsidR="00001B23" w:rsidRPr="000A5372">
              <w:rPr>
                <w:rFonts w:ascii="Times New Roman" w:hAnsi="Times New Roman"/>
                <w:b/>
                <w:sz w:val="22"/>
                <w:szCs w:val="22"/>
              </w:rPr>
              <w:t>Hours per Respondent</w:t>
            </w:r>
          </w:p>
        </w:tc>
        <w:tc>
          <w:tcPr>
            <w:tcW w:w="990" w:type="dxa"/>
          </w:tcPr>
          <w:p w14:paraId="7DCE10BA" w14:textId="48D04EAF" w:rsidR="00001B23" w:rsidRPr="000A5372" w:rsidRDefault="007A0CC4" w:rsidP="000A5372">
            <w:pPr>
              <w:rPr>
                <w:rFonts w:ascii="Times New Roman" w:hAnsi="Times New Roman"/>
                <w:b/>
                <w:sz w:val="22"/>
                <w:szCs w:val="22"/>
              </w:rPr>
            </w:pPr>
            <w:r>
              <w:rPr>
                <w:rFonts w:ascii="Times New Roman" w:hAnsi="Times New Roman"/>
                <w:b/>
                <w:sz w:val="22"/>
                <w:szCs w:val="22"/>
              </w:rPr>
              <w:t xml:space="preserve">No. </w:t>
            </w:r>
            <w:r w:rsidR="00001B23" w:rsidRPr="000A5372">
              <w:rPr>
                <w:rFonts w:ascii="Times New Roman" w:hAnsi="Times New Roman"/>
                <w:b/>
                <w:sz w:val="22"/>
                <w:szCs w:val="22"/>
              </w:rPr>
              <w:t>Total Burden Hours</w:t>
            </w:r>
          </w:p>
        </w:tc>
        <w:tc>
          <w:tcPr>
            <w:tcW w:w="1170" w:type="dxa"/>
          </w:tcPr>
          <w:p w14:paraId="7DCE10BB" w14:textId="7375672E"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Wage Rate</w:t>
            </w:r>
            <w:r>
              <w:rPr>
                <w:rFonts w:ascii="Times New Roman" w:hAnsi="Times New Roman"/>
                <w:b/>
                <w:sz w:val="22"/>
                <w:szCs w:val="22"/>
              </w:rPr>
              <w:t>/hour</w:t>
            </w:r>
          </w:p>
        </w:tc>
        <w:tc>
          <w:tcPr>
            <w:tcW w:w="1170" w:type="dxa"/>
          </w:tcPr>
          <w:p w14:paraId="7DCE10BC" w14:textId="132E4D87" w:rsidR="00001B23" w:rsidRPr="000A5372" w:rsidRDefault="00001B23" w:rsidP="0007047E">
            <w:pPr>
              <w:rPr>
                <w:rFonts w:ascii="Times New Roman" w:hAnsi="Times New Roman"/>
                <w:b/>
                <w:sz w:val="22"/>
                <w:szCs w:val="22"/>
              </w:rPr>
            </w:pPr>
            <w:r>
              <w:rPr>
                <w:rFonts w:ascii="Times New Roman" w:hAnsi="Times New Roman"/>
                <w:b/>
                <w:sz w:val="22"/>
                <w:szCs w:val="22"/>
              </w:rPr>
              <w:t>Total Cost</w:t>
            </w:r>
          </w:p>
        </w:tc>
      </w:tr>
      <w:tr w:rsidR="00001B23" w:rsidRPr="002A1040" w14:paraId="595CCB91" w14:textId="77777777" w:rsidTr="004E0BFB">
        <w:trPr>
          <w:trHeight w:val="552"/>
        </w:trPr>
        <w:tc>
          <w:tcPr>
            <w:tcW w:w="2430" w:type="dxa"/>
            <w:vAlign w:val="center"/>
          </w:tcPr>
          <w:p w14:paraId="5A891C8D" w14:textId="526E64BA" w:rsidR="00001B23" w:rsidRPr="000A5372" w:rsidRDefault="00001B23" w:rsidP="000A5372">
            <w:pPr>
              <w:pStyle w:val="TOC1"/>
            </w:pPr>
            <w:r w:rsidRPr="000A5372">
              <w:t>1. Training Survey for Health Organizations</w:t>
            </w:r>
          </w:p>
        </w:tc>
        <w:tc>
          <w:tcPr>
            <w:tcW w:w="1530" w:type="dxa"/>
            <w:vAlign w:val="center"/>
          </w:tcPr>
          <w:p w14:paraId="59192B1B" w14:textId="0C58FD74" w:rsidR="00001B23" w:rsidRPr="000A5372" w:rsidRDefault="00001B23" w:rsidP="000A5372">
            <w:pPr>
              <w:rPr>
                <w:rFonts w:ascii="Times New Roman" w:hAnsi="Times New Roman"/>
                <w:sz w:val="22"/>
                <w:szCs w:val="22"/>
              </w:rPr>
            </w:pPr>
            <w:r w:rsidRPr="000A5372">
              <w:rPr>
                <w:rFonts w:ascii="Times New Roman" w:hAnsi="Times New Roman"/>
                <w:sz w:val="22"/>
                <w:szCs w:val="22"/>
              </w:rPr>
              <w:t>300</w:t>
            </w:r>
          </w:p>
        </w:tc>
        <w:tc>
          <w:tcPr>
            <w:tcW w:w="1350" w:type="dxa"/>
            <w:vAlign w:val="center"/>
          </w:tcPr>
          <w:p w14:paraId="35979B80" w14:textId="015B6905" w:rsidR="00001B23" w:rsidRPr="000A5372" w:rsidRDefault="00001B23" w:rsidP="000A5372">
            <w:pPr>
              <w:pStyle w:val="Center"/>
              <w:spacing w:line="240" w:lineRule="auto"/>
              <w:jc w:val="left"/>
              <w:rPr>
                <w:sz w:val="22"/>
                <w:szCs w:val="22"/>
              </w:rPr>
            </w:pPr>
            <w:r w:rsidRPr="000A5372">
              <w:rPr>
                <w:sz w:val="22"/>
                <w:szCs w:val="22"/>
              </w:rPr>
              <w:t>1</w:t>
            </w:r>
          </w:p>
        </w:tc>
        <w:tc>
          <w:tcPr>
            <w:tcW w:w="1260" w:type="dxa"/>
            <w:vAlign w:val="center"/>
          </w:tcPr>
          <w:p w14:paraId="14355E89" w14:textId="2F7A4951" w:rsidR="00001B23" w:rsidRPr="000A5372" w:rsidRDefault="00001B23" w:rsidP="000A5372">
            <w:pPr>
              <w:rPr>
                <w:rFonts w:ascii="Times New Roman" w:hAnsi="Times New Roman"/>
                <w:sz w:val="22"/>
                <w:szCs w:val="22"/>
              </w:rPr>
            </w:pPr>
            <w:r w:rsidRPr="000A5372">
              <w:rPr>
                <w:rFonts w:ascii="Times New Roman" w:hAnsi="Times New Roman"/>
                <w:sz w:val="22"/>
                <w:szCs w:val="22"/>
              </w:rPr>
              <w:t>300</w:t>
            </w:r>
          </w:p>
        </w:tc>
        <w:tc>
          <w:tcPr>
            <w:tcW w:w="990" w:type="dxa"/>
            <w:vAlign w:val="center"/>
          </w:tcPr>
          <w:p w14:paraId="5E7869DC" w14:textId="4E6C6562" w:rsidR="00001B23" w:rsidRPr="000A5372" w:rsidRDefault="00001B23" w:rsidP="000A5372">
            <w:pPr>
              <w:rPr>
                <w:rFonts w:ascii="Times New Roman" w:hAnsi="Times New Roman"/>
                <w:sz w:val="22"/>
                <w:szCs w:val="22"/>
              </w:rPr>
            </w:pPr>
            <w:r w:rsidRPr="000A5372">
              <w:rPr>
                <w:rFonts w:ascii="Times New Roman" w:hAnsi="Times New Roman"/>
                <w:sz w:val="22"/>
                <w:szCs w:val="22"/>
              </w:rPr>
              <w:t>.25</w:t>
            </w:r>
          </w:p>
        </w:tc>
        <w:tc>
          <w:tcPr>
            <w:tcW w:w="990" w:type="dxa"/>
            <w:vAlign w:val="center"/>
          </w:tcPr>
          <w:p w14:paraId="4C8210B0" w14:textId="18F37216" w:rsidR="00001B23" w:rsidRPr="000A5372" w:rsidRDefault="00001B23" w:rsidP="000A5372">
            <w:pPr>
              <w:rPr>
                <w:rFonts w:ascii="Times New Roman" w:hAnsi="Times New Roman"/>
                <w:sz w:val="22"/>
                <w:szCs w:val="22"/>
              </w:rPr>
            </w:pPr>
            <w:r w:rsidRPr="000A5372">
              <w:rPr>
                <w:rFonts w:ascii="Times New Roman" w:hAnsi="Times New Roman"/>
                <w:sz w:val="22"/>
                <w:szCs w:val="22"/>
              </w:rPr>
              <w:t>75</w:t>
            </w:r>
          </w:p>
        </w:tc>
        <w:tc>
          <w:tcPr>
            <w:tcW w:w="1170" w:type="dxa"/>
            <w:vAlign w:val="center"/>
          </w:tcPr>
          <w:p w14:paraId="34C6FBC4" w14:textId="7A0438AF" w:rsidR="00001B23" w:rsidRPr="000A5372" w:rsidRDefault="00001B23" w:rsidP="0007047E">
            <w:pPr>
              <w:rPr>
                <w:rFonts w:ascii="Times New Roman" w:hAnsi="Times New Roman"/>
                <w:sz w:val="22"/>
                <w:szCs w:val="22"/>
              </w:rPr>
            </w:pPr>
            <w:r w:rsidRPr="000A5372">
              <w:rPr>
                <w:rFonts w:ascii="Times New Roman" w:hAnsi="Times New Roman"/>
                <w:sz w:val="22"/>
                <w:szCs w:val="22"/>
              </w:rPr>
              <w:t>101.26.</w:t>
            </w:r>
          </w:p>
        </w:tc>
        <w:tc>
          <w:tcPr>
            <w:tcW w:w="1170" w:type="dxa"/>
            <w:vAlign w:val="center"/>
          </w:tcPr>
          <w:p w14:paraId="50B56126" w14:textId="0344FB58" w:rsidR="00001B23" w:rsidRPr="000A5372" w:rsidRDefault="00001B23" w:rsidP="000A5372">
            <w:pPr>
              <w:rPr>
                <w:rFonts w:ascii="Times New Roman" w:hAnsi="Times New Roman"/>
                <w:sz w:val="22"/>
                <w:szCs w:val="22"/>
              </w:rPr>
            </w:pPr>
            <w:r w:rsidRPr="000A5372">
              <w:rPr>
                <w:rFonts w:ascii="Times New Roman" w:hAnsi="Times New Roman"/>
                <w:sz w:val="22"/>
                <w:szCs w:val="22"/>
              </w:rPr>
              <w:t>7594.50</w:t>
            </w:r>
          </w:p>
        </w:tc>
      </w:tr>
      <w:tr w:rsidR="00001B23" w:rsidRPr="002A1040" w14:paraId="04B18711" w14:textId="77777777" w:rsidTr="004E0BFB">
        <w:trPr>
          <w:trHeight w:val="552"/>
        </w:trPr>
        <w:tc>
          <w:tcPr>
            <w:tcW w:w="2430" w:type="dxa"/>
            <w:vAlign w:val="center"/>
          </w:tcPr>
          <w:p w14:paraId="35E16BC9" w14:textId="69A02845" w:rsidR="00001B23" w:rsidRPr="000A5372" w:rsidRDefault="00001B23" w:rsidP="000A5372">
            <w:pPr>
              <w:pStyle w:val="TOC1"/>
            </w:pPr>
            <w:r w:rsidRPr="000A5372">
              <w:t xml:space="preserve">2. Follow Up Training Survey for Health Organizations </w:t>
            </w:r>
          </w:p>
        </w:tc>
        <w:tc>
          <w:tcPr>
            <w:tcW w:w="1530" w:type="dxa"/>
            <w:vAlign w:val="center"/>
          </w:tcPr>
          <w:p w14:paraId="23F0C4C1" w14:textId="12D510B6" w:rsidR="00001B23" w:rsidRPr="000A5372" w:rsidRDefault="00001B23" w:rsidP="000A5372">
            <w:pPr>
              <w:rPr>
                <w:rFonts w:ascii="Times New Roman" w:hAnsi="Times New Roman"/>
                <w:sz w:val="22"/>
                <w:szCs w:val="22"/>
              </w:rPr>
            </w:pPr>
            <w:r w:rsidRPr="000A5372">
              <w:rPr>
                <w:rFonts w:ascii="Times New Roman" w:hAnsi="Times New Roman"/>
                <w:sz w:val="22"/>
                <w:szCs w:val="22"/>
              </w:rPr>
              <w:t>300</w:t>
            </w:r>
          </w:p>
        </w:tc>
        <w:tc>
          <w:tcPr>
            <w:tcW w:w="1350" w:type="dxa"/>
            <w:vAlign w:val="center"/>
          </w:tcPr>
          <w:p w14:paraId="66B8E592" w14:textId="314F7B32" w:rsidR="00001B23" w:rsidRPr="000A5372" w:rsidRDefault="00001B23" w:rsidP="000A5372">
            <w:pPr>
              <w:pStyle w:val="Center"/>
              <w:spacing w:line="240" w:lineRule="auto"/>
              <w:jc w:val="left"/>
              <w:rPr>
                <w:sz w:val="22"/>
                <w:szCs w:val="22"/>
              </w:rPr>
            </w:pPr>
            <w:r w:rsidRPr="000A5372">
              <w:rPr>
                <w:sz w:val="22"/>
                <w:szCs w:val="22"/>
              </w:rPr>
              <w:t>1</w:t>
            </w:r>
          </w:p>
        </w:tc>
        <w:tc>
          <w:tcPr>
            <w:tcW w:w="1260" w:type="dxa"/>
            <w:vAlign w:val="center"/>
          </w:tcPr>
          <w:p w14:paraId="5E4BFA7D" w14:textId="4BA31B25" w:rsidR="00001B23" w:rsidRPr="000A5372" w:rsidRDefault="00001B23" w:rsidP="000A5372">
            <w:pPr>
              <w:rPr>
                <w:rFonts w:ascii="Times New Roman" w:hAnsi="Times New Roman"/>
                <w:sz w:val="22"/>
                <w:szCs w:val="22"/>
              </w:rPr>
            </w:pPr>
            <w:r w:rsidRPr="000A5372">
              <w:rPr>
                <w:rFonts w:ascii="Times New Roman" w:hAnsi="Times New Roman"/>
                <w:sz w:val="22"/>
                <w:szCs w:val="22"/>
              </w:rPr>
              <w:t>300</w:t>
            </w:r>
          </w:p>
        </w:tc>
        <w:tc>
          <w:tcPr>
            <w:tcW w:w="990" w:type="dxa"/>
            <w:vAlign w:val="center"/>
          </w:tcPr>
          <w:p w14:paraId="23D56F32" w14:textId="1622D33C" w:rsidR="00001B23" w:rsidRPr="000A5372" w:rsidRDefault="00001B23" w:rsidP="000A5372">
            <w:pPr>
              <w:rPr>
                <w:rFonts w:ascii="Times New Roman" w:hAnsi="Times New Roman"/>
                <w:sz w:val="22"/>
                <w:szCs w:val="22"/>
              </w:rPr>
            </w:pPr>
            <w:r w:rsidRPr="000A5372">
              <w:rPr>
                <w:rFonts w:ascii="Times New Roman" w:hAnsi="Times New Roman"/>
                <w:sz w:val="22"/>
                <w:szCs w:val="22"/>
              </w:rPr>
              <w:t>.25</w:t>
            </w:r>
          </w:p>
        </w:tc>
        <w:tc>
          <w:tcPr>
            <w:tcW w:w="990" w:type="dxa"/>
            <w:vAlign w:val="center"/>
          </w:tcPr>
          <w:p w14:paraId="4E178636" w14:textId="42D5B872" w:rsidR="00001B23" w:rsidRPr="000A5372" w:rsidRDefault="00001B23" w:rsidP="000A5372">
            <w:pPr>
              <w:rPr>
                <w:rFonts w:ascii="Times New Roman" w:hAnsi="Times New Roman"/>
                <w:sz w:val="22"/>
                <w:szCs w:val="22"/>
              </w:rPr>
            </w:pPr>
            <w:r w:rsidRPr="000A5372">
              <w:rPr>
                <w:rFonts w:ascii="Times New Roman" w:hAnsi="Times New Roman"/>
                <w:sz w:val="22"/>
                <w:szCs w:val="22"/>
              </w:rPr>
              <w:t>75</w:t>
            </w:r>
          </w:p>
        </w:tc>
        <w:tc>
          <w:tcPr>
            <w:tcW w:w="1170" w:type="dxa"/>
            <w:vAlign w:val="center"/>
          </w:tcPr>
          <w:p w14:paraId="7784B688" w14:textId="470EA071" w:rsidR="00001B23" w:rsidRPr="000A5372" w:rsidRDefault="00001B23" w:rsidP="0007047E">
            <w:pPr>
              <w:rPr>
                <w:rFonts w:ascii="Times New Roman" w:hAnsi="Times New Roman"/>
                <w:sz w:val="22"/>
                <w:szCs w:val="22"/>
              </w:rPr>
            </w:pPr>
            <w:r>
              <w:rPr>
                <w:rFonts w:ascii="Times New Roman" w:hAnsi="Times New Roman"/>
                <w:sz w:val="22"/>
                <w:szCs w:val="22"/>
              </w:rPr>
              <w:t>101.26</w:t>
            </w:r>
          </w:p>
        </w:tc>
        <w:tc>
          <w:tcPr>
            <w:tcW w:w="1170" w:type="dxa"/>
            <w:vAlign w:val="center"/>
          </w:tcPr>
          <w:p w14:paraId="395B7558" w14:textId="4FE4A31D" w:rsidR="00001B23" w:rsidRPr="000A5372" w:rsidRDefault="00001B23" w:rsidP="000A5372">
            <w:pPr>
              <w:rPr>
                <w:rFonts w:ascii="Times New Roman" w:hAnsi="Times New Roman"/>
                <w:sz w:val="22"/>
                <w:szCs w:val="22"/>
              </w:rPr>
            </w:pPr>
            <w:r w:rsidRPr="000A5372">
              <w:rPr>
                <w:rFonts w:ascii="Times New Roman" w:hAnsi="Times New Roman"/>
                <w:sz w:val="22"/>
                <w:szCs w:val="22"/>
              </w:rPr>
              <w:t>7594.50</w:t>
            </w:r>
          </w:p>
        </w:tc>
      </w:tr>
      <w:tr w:rsidR="00001B23" w:rsidRPr="002A1040" w14:paraId="0B71140F" w14:textId="77777777" w:rsidTr="004E0BFB">
        <w:trPr>
          <w:trHeight w:val="552"/>
        </w:trPr>
        <w:tc>
          <w:tcPr>
            <w:tcW w:w="2430" w:type="dxa"/>
            <w:vAlign w:val="center"/>
          </w:tcPr>
          <w:p w14:paraId="29973F57" w14:textId="4035C0C6" w:rsidR="00001B23" w:rsidRPr="000A5372" w:rsidRDefault="00001B23" w:rsidP="000A5372">
            <w:pPr>
              <w:pStyle w:val="TOC1"/>
            </w:pPr>
            <w:r w:rsidRPr="000A5372">
              <w:t>3. Advocate/Provider 6 Month Follow Up Survey for Health Organizations</w:t>
            </w:r>
          </w:p>
        </w:tc>
        <w:tc>
          <w:tcPr>
            <w:tcW w:w="1530" w:type="dxa"/>
            <w:vAlign w:val="center"/>
          </w:tcPr>
          <w:p w14:paraId="2A65ADDF" w14:textId="717E726F" w:rsidR="00001B23" w:rsidRPr="000A5372" w:rsidRDefault="00001B23" w:rsidP="000A5372">
            <w:pPr>
              <w:rPr>
                <w:rFonts w:ascii="Times New Roman" w:hAnsi="Times New Roman"/>
                <w:sz w:val="22"/>
                <w:szCs w:val="22"/>
              </w:rPr>
            </w:pPr>
            <w:r w:rsidRPr="000A5372">
              <w:rPr>
                <w:rFonts w:ascii="Times New Roman" w:hAnsi="Times New Roman"/>
                <w:sz w:val="22"/>
                <w:szCs w:val="22"/>
              </w:rPr>
              <w:t>300</w:t>
            </w:r>
          </w:p>
        </w:tc>
        <w:tc>
          <w:tcPr>
            <w:tcW w:w="1350" w:type="dxa"/>
            <w:vAlign w:val="center"/>
          </w:tcPr>
          <w:p w14:paraId="19CBFF82" w14:textId="5135F9F7" w:rsidR="00001B23" w:rsidRPr="000A5372" w:rsidRDefault="00001B23" w:rsidP="000A5372">
            <w:pPr>
              <w:pStyle w:val="Center"/>
              <w:spacing w:line="240" w:lineRule="auto"/>
              <w:jc w:val="left"/>
              <w:rPr>
                <w:sz w:val="22"/>
                <w:szCs w:val="22"/>
              </w:rPr>
            </w:pPr>
            <w:r w:rsidRPr="000A5372">
              <w:rPr>
                <w:sz w:val="22"/>
                <w:szCs w:val="22"/>
              </w:rPr>
              <w:t>1</w:t>
            </w:r>
          </w:p>
        </w:tc>
        <w:tc>
          <w:tcPr>
            <w:tcW w:w="1260" w:type="dxa"/>
            <w:vAlign w:val="center"/>
          </w:tcPr>
          <w:p w14:paraId="4215DA3F" w14:textId="4B553721" w:rsidR="00001B23" w:rsidRPr="000A5372" w:rsidRDefault="00001B23" w:rsidP="000A5372">
            <w:pPr>
              <w:rPr>
                <w:rFonts w:ascii="Times New Roman" w:hAnsi="Times New Roman"/>
                <w:sz w:val="22"/>
                <w:szCs w:val="22"/>
              </w:rPr>
            </w:pPr>
            <w:r w:rsidRPr="000A5372">
              <w:rPr>
                <w:rFonts w:ascii="Times New Roman" w:hAnsi="Times New Roman"/>
                <w:sz w:val="22"/>
                <w:szCs w:val="22"/>
              </w:rPr>
              <w:t>300</w:t>
            </w:r>
          </w:p>
        </w:tc>
        <w:tc>
          <w:tcPr>
            <w:tcW w:w="990" w:type="dxa"/>
            <w:vAlign w:val="center"/>
          </w:tcPr>
          <w:p w14:paraId="5B626951" w14:textId="510E5D71" w:rsidR="00001B23" w:rsidRPr="000A5372" w:rsidRDefault="00001B23" w:rsidP="000A5372">
            <w:pPr>
              <w:rPr>
                <w:rFonts w:ascii="Times New Roman" w:hAnsi="Times New Roman"/>
                <w:sz w:val="22"/>
                <w:szCs w:val="22"/>
              </w:rPr>
            </w:pPr>
            <w:r w:rsidRPr="000A5372">
              <w:rPr>
                <w:rFonts w:ascii="Times New Roman" w:hAnsi="Times New Roman"/>
                <w:sz w:val="22"/>
                <w:szCs w:val="22"/>
              </w:rPr>
              <w:t>.25</w:t>
            </w:r>
          </w:p>
        </w:tc>
        <w:tc>
          <w:tcPr>
            <w:tcW w:w="990" w:type="dxa"/>
            <w:vAlign w:val="center"/>
          </w:tcPr>
          <w:p w14:paraId="696F3EBC" w14:textId="4D7CABC0" w:rsidR="00001B23" w:rsidRPr="000A5372" w:rsidRDefault="00001B23" w:rsidP="000A5372">
            <w:pPr>
              <w:rPr>
                <w:rFonts w:ascii="Times New Roman" w:hAnsi="Times New Roman"/>
                <w:sz w:val="22"/>
                <w:szCs w:val="22"/>
              </w:rPr>
            </w:pPr>
            <w:r w:rsidRPr="000A5372">
              <w:rPr>
                <w:rFonts w:ascii="Times New Roman" w:hAnsi="Times New Roman"/>
                <w:sz w:val="22"/>
                <w:szCs w:val="22"/>
              </w:rPr>
              <w:t>75</w:t>
            </w:r>
          </w:p>
        </w:tc>
        <w:tc>
          <w:tcPr>
            <w:tcW w:w="1170" w:type="dxa"/>
            <w:vAlign w:val="center"/>
          </w:tcPr>
          <w:p w14:paraId="6BC6AB3B" w14:textId="05AA3E06" w:rsidR="00001B23" w:rsidRPr="000A5372" w:rsidRDefault="00001B23" w:rsidP="000A5372">
            <w:pPr>
              <w:rPr>
                <w:rFonts w:ascii="Times New Roman" w:hAnsi="Times New Roman"/>
                <w:sz w:val="22"/>
                <w:szCs w:val="22"/>
              </w:rPr>
            </w:pPr>
            <w:r>
              <w:rPr>
                <w:rFonts w:ascii="Times New Roman" w:hAnsi="Times New Roman"/>
                <w:sz w:val="22"/>
                <w:szCs w:val="22"/>
              </w:rPr>
              <w:t>101.26</w:t>
            </w:r>
          </w:p>
        </w:tc>
        <w:tc>
          <w:tcPr>
            <w:tcW w:w="1170" w:type="dxa"/>
            <w:vAlign w:val="center"/>
          </w:tcPr>
          <w:p w14:paraId="3FA3D6B8" w14:textId="0F511353" w:rsidR="00001B23" w:rsidRPr="000A5372" w:rsidRDefault="00001B23" w:rsidP="000A5372">
            <w:pPr>
              <w:rPr>
                <w:rFonts w:ascii="Times New Roman" w:hAnsi="Times New Roman"/>
                <w:sz w:val="22"/>
                <w:szCs w:val="22"/>
              </w:rPr>
            </w:pPr>
            <w:r w:rsidRPr="000A5372">
              <w:rPr>
                <w:rFonts w:ascii="Times New Roman" w:hAnsi="Times New Roman"/>
                <w:sz w:val="22"/>
                <w:szCs w:val="22"/>
              </w:rPr>
              <w:t>7594.50</w:t>
            </w:r>
          </w:p>
        </w:tc>
      </w:tr>
      <w:tr w:rsidR="00001B23" w:rsidRPr="002A1040" w14:paraId="43D97EC0" w14:textId="77777777" w:rsidTr="004E0BFB">
        <w:trPr>
          <w:trHeight w:val="552"/>
        </w:trPr>
        <w:tc>
          <w:tcPr>
            <w:tcW w:w="2430" w:type="dxa"/>
            <w:vAlign w:val="center"/>
          </w:tcPr>
          <w:p w14:paraId="7ED2B3EB" w14:textId="6931405F" w:rsidR="00001B23" w:rsidRPr="000A5372" w:rsidRDefault="00001B23" w:rsidP="000A5372">
            <w:pPr>
              <w:pStyle w:val="TOC1"/>
            </w:pPr>
            <w:r w:rsidRPr="000A5372">
              <w:t>4. Collaborative Behavior Survey</w:t>
            </w:r>
          </w:p>
        </w:tc>
        <w:tc>
          <w:tcPr>
            <w:tcW w:w="1530" w:type="dxa"/>
            <w:vAlign w:val="center"/>
          </w:tcPr>
          <w:p w14:paraId="744D2CAA" w14:textId="5EC72FC6" w:rsidR="00001B23" w:rsidRPr="000A5372" w:rsidRDefault="00001B23" w:rsidP="000A5372">
            <w:pPr>
              <w:rPr>
                <w:rFonts w:ascii="Times New Roman" w:hAnsi="Times New Roman"/>
                <w:sz w:val="22"/>
                <w:szCs w:val="22"/>
              </w:rPr>
            </w:pPr>
            <w:r w:rsidRPr="000A5372">
              <w:rPr>
                <w:rFonts w:ascii="Times New Roman" w:hAnsi="Times New Roman"/>
                <w:sz w:val="22"/>
                <w:szCs w:val="22"/>
              </w:rPr>
              <w:t>6</w:t>
            </w:r>
          </w:p>
        </w:tc>
        <w:tc>
          <w:tcPr>
            <w:tcW w:w="1350" w:type="dxa"/>
            <w:vAlign w:val="center"/>
          </w:tcPr>
          <w:p w14:paraId="4FB75DFC" w14:textId="322722E4" w:rsidR="00001B23" w:rsidRPr="000A5372" w:rsidRDefault="00001B23" w:rsidP="000A5372">
            <w:pPr>
              <w:pStyle w:val="Center"/>
              <w:spacing w:line="240" w:lineRule="auto"/>
              <w:jc w:val="left"/>
              <w:rPr>
                <w:sz w:val="22"/>
                <w:szCs w:val="22"/>
              </w:rPr>
            </w:pPr>
            <w:r w:rsidRPr="000A5372">
              <w:rPr>
                <w:sz w:val="22"/>
                <w:szCs w:val="22"/>
              </w:rPr>
              <w:t>2</w:t>
            </w:r>
          </w:p>
        </w:tc>
        <w:tc>
          <w:tcPr>
            <w:tcW w:w="1260" w:type="dxa"/>
            <w:vAlign w:val="center"/>
          </w:tcPr>
          <w:p w14:paraId="489D597F" w14:textId="1F30BAEB" w:rsidR="00001B23" w:rsidRPr="000A5372" w:rsidRDefault="00001B23" w:rsidP="000A5372">
            <w:pPr>
              <w:rPr>
                <w:rFonts w:ascii="Times New Roman" w:hAnsi="Times New Roman"/>
                <w:sz w:val="22"/>
                <w:szCs w:val="22"/>
              </w:rPr>
            </w:pPr>
            <w:r w:rsidRPr="000A5372">
              <w:rPr>
                <w:rFonts w:ascii="Times New Roman" w:hAnsi="Times New Roman"/>
                <w:sz w:val="22"/>
                <w:szCs w:val="22"/>
              </w:rPr>
              <w:t>12</w:t>
            </w:r>
          </w:p>
        </w:tc>
        <w:tc>
          <w:tcPr>
            <w:tcW w:w="990" w:type="dxa"/>
            <w:vAlign w:val="center"/>
          </w:tcPr>
          <w:p w14:paraId="577F4BE1" w14:textId="1D5569C9" w:rsidR="00001B23" w:rsidRPr="000A5372" w:rsidRDefault="00001B23" w:rsidP="000A5372">
            <w:pPr>
              <w:rPr>
                <w:rFonts w:ascii="Times New Roman" w:hAnsi="Times New Roman"/>
                <w:sz w:val="22"/>
                <w:szCs w:val="22"/>
              </w:rPr>
            </w:pPr>
            <w:r w:rsidRPr="000A5372">
              <w:rPr>
                <w:rFonts w:ascii="Times New Roman" w:hAnsi="Times New Roman"/>
                <w:sz w:val="22"/>
                <w:szCs w:val="22"/>
              </w:rPr>
              <w:t>.25</w:t>
            </w:r>
          </w:p>
        </w:tc>
        <w:tc>
          <w:tcPr>
            <w:tcW w:w="990" w:type="dxa"/>
            <w:vAlign w:val="center"/>
          </w:tcPr>
          <w:p w14:paraId="498EE269" w14:textId="7D7DA958" w:rsidR="00001B23" w:rsidRPr="000A5372" w:rsidRDefault="00001B23" w:rsidP="000A5372">
            <w:pPr>
              <w:rPr>
                <w:rFonts w:ascii="Times New Roman" w:hAnsi="Times New Roman"/>
                <w:sz w:val="22"/>
                <w:szCs w:val="22"/>
              </w:rPr>
            </w:pPr>
            <w:r w:rsidRPr="000A5372">
              <w:rPr>
                <w:rFonts w:ascii="Times New Roman" w:hAnsi="Times New Roman"/>
                <w:sz w:val="22"/>
                <w:szCs w:val="22"/>
              </w:rPr>
              <w:t>3</w:t>
            </w:r>
          </w:p>
        </w:tc>
        <w:tc>
          <w:tcPr>
            <w:tcW w:w="1170" w:type="dxa"/>
            <w:vAlign w:val="center"/>
          </w:tcPr>
          <w:p w14:paraId="0990B0A9" w14:textId="4A13DD8C" w:rsidR="00001B23" w:rsidRPr="000A5372" w:rsidRDefault="00001B23" w:rsidP="000A5372">
            <w:pPr>
              <w:rPr>
                <w:rFonts w:ascii="Times New Roman" w:hAnsi="Times New Roman"/>
                <w:sz w:val="22"/>
                <w:szCs w:val="22"/>
              </w:rPr>
            </w:pPr>
            <w:r>
              <w:rPr>
                <w:rFonts w:ascii="Times New Roman" w:hAnsi="Times New Roman"/>
                <w:sz w:val="22"/>
                <w:szCs w:val="22"/>
              </w:rPr>
              <w:t>101.26</w:t>
            </w:r>
          </w:p>
        </w:tc>
        <w:tc>
          <w:tcPr>
            <w:tcW w:w="1170" w:type="dxa"/>
            <w:vAlign w:val="center"/>
          </w:tcPr>
          <w:p w14:paraId="0ED6070F" w14:textId="7CA69B34" w:rsidR="00001B23" w:rsidRPr="000A5372" w:rsidRDefault="00001B23" w:rsidP="000A5372">
            <w:pPr>
              <w:rPr>
                <w:rFonts w:ascii="Times New Roman" w:hAnsi="Times New Roman"/>
                <w:sz w:val="22"/>
                <w:szCs w:val="22"/>
              </w:rPr>
            </w:pPr>
            <w:r w:rsidRPr="000A5372">
              <w:rPr>
                <w:rFonts w:ascii="Times New Roman" w:hAnsi="Times New Roman"/>
                <w:sz w:val="22"/>
                <w:szCs w:val="22"/>
              </w:rPr>
              <w:t>405.04</w:t>
            </w:r>
          </w:p>
        </w:tc>
      </w:tr>
      <w:tr w:rsidR="00001B23" w:rsidRPr="002A1040" w14:paraId="64DCAC89" w14:textId="77777777" w:rsidTr="004E0BFB">
        <w:trPr>
          <w:trHeight w:val="1880"/>
        </w:trPr>
        <w:tc>
          <w:tcPr>
            <w:tcW w:w="2430" w:type="dxa"/>
            <w:vAlign w:val="center"/>
          </w:tcPr>
          <w:p w14:paraId="3FCC16C5" w14:textId="3133FD6C" w:rsidR="00001B23" w:rsidRPr="000A5372" w:rsidRDefault="00001B23" w:rsidP="000A5372">
            <w:pPr>
              <w:widowControl/>
              <w:autoSpaceDE/>
              <w:autoSpaceDN/>
              <w:adjustRightInd/>
              <w:rPr>
                <w:rFonts w:ascii="Times New Roman" w:hAnsi="Times New Roman"/>
                <w:b/>
                <w:color w:val="FFFFFF" w:themeColor="background1"/>
                <w:sz w:val="22"/>
                <w:szCs w:val="22"/>
              </w:rPr>
            </w:pPr>
          </w:p>
          <w:p w14:paraId="13924A27" w14:textId="328DF1DA" w:rsidR="00001B23" w:rsidRPr="000A5372" w:rsidRDefault="00001B23" w:rsidP="000A5372">
            <w:pPr>
              <w:widowControl/>
              <w:autoSpaceDE/>
              <w:autoSpaceDN/>
              <w:adjustRightInd/>
              <w:rPr>
                <w:rFonts w:ascii="Times New Roman" w:hAnsi="Times New Roman"/>
                <w:sz w:val="22"/>
                <w:szCs w:val="22"/>
              </w:rPr>
            </w:pPr>
            <w:r w:rsidRPr="000A5372">
              <w:rPr>
                <w:rFonts w:ascii="Times New Roman" w:hAnsi="Times New Roman"/>
                <w:sz w:val="22"/>
                <w:szCs w:val="22"/>
              </w:rPr>
              <w:t>5. Health Care Response to Domestic Violence</w:t>
            </w:r>
          </w:p>
          <w:p w14:paraId="6E3371B0" w14:textId="67634A29" w:rsidR="00001B23" w:rsidRPr="000A5372" w:rsidRDefault="00001B23" w:rsidP="000A5372">
            <w:pPr>
              <w:widowControl/>
              <w:autoSpaceDE/>
              <w:autoSpaceDN/>
              <w:adjustRightInd/>
              <w:rPr>
                <w:rFonts w:ascii="Times New Roman" w:hAnsi="Times New Roman"/>
                <w:sz w:val="22"/>
                <w:szCs w:val="22"/>
              </w:rPr>
            </w:pPr>
            <w:r w:rsidRPr="000A5372">
              <w:rPr>
                <w:rFonts w:ascii="Times New Roman" w:hAnsi="Times New Roman"/>
                <w:sz w:val="22"/>
                <w:szCs w:val="22"/>
              </w:rPr>
              <w:t>Quality Assessment/Program Improvement Tool</w:t>
            </w:r>
          </w:p>
          <w:p w14:paraId="09E05D5A" w14:textId="58D69013" w:rsidR="00001B23" w:rsidRPr="000A5372" w:rsidRDefault="00001B23" w:rsidP="000A5372">
            <w:pPr>
              <w:pStyle w:val="TOC1"/>
            </w:pPr>
          </w:p>
        </w:tc>
        <w:tc>
          <w:tcPr>
            <w:tcW w:w="1530" w:type="dxa"/>
            <w:vAlign w:val="center"/>
          </w:tcPr>
          <w:p w14:paraId="7F69F1C0" w14:textId="5246712D" w:rsidR="00001B23" w:rsidRPr="000A5372" w:rsidRDefault="00001B23" w:rsidP="000A5372">
            <w:pPr>
              <w:rPr>
                <w:rFonts w:ascii="Times New Roman" w:hAnsi="Times New Roman"/>
                <w:sz w:val="22"/>
                <w:szCs w:val="22"/>
              </w:rPr>
            </w:pPr>
            <w:r w:rsidRPr="000A5372">
              <w:rPr>
                <w:rFonts w:ascii="Times New Roman" w:hAnsi="Times New Roman"/>
                <w:sz w:val="22"/>
                <w:szCs w:val="22"/>
              </w:rPr>
              <w:t>6</w:t>
            </w:r>
          </w:p>
        </w:tc>
        <w:tc>
          <w:tcPr>
            <w:tcW w:w="1350" w:type="dxa"/>
            <w:vAlign w:val="center"/>
          </w:tcPr>
          <w:p w14:paraId="1E6C4B76" w14:textId="18A697CC" w:rsidR="00001B23" w:rsidRPr="000A5372" w:rsidRDefault="00001B23" w:rsidP="000A5372">
            <w:pPr>
              <w:pStyle w:val="Center"/>
              <w:spacing w:line="240" w:lineRule="auto"/>
              <w:jc w:val="left"/>
              <w:rPr>
                <w:sz w:val="22"/>
                <w:szCs w:val="22"/>
              </w:rPr>
            </w:pPr>
            <w:r w:rsidRPr="000A5372">
              <w:rPr>
                <w:sz w:val="22"/>
                <w:szCs w:val="22"/>
              </w:rPr>
              <w:t>2</w:t>
            </w:r>
          </w:p>
        </w:tc>
        <w:tc>
          <w:tcPr>
            <w:tcW w:w="1260" w:type="dxa"/>
            <w:vAlign w:val="center"/>
          </w:tcPr>
          <w:p w14:paraId="3B97B952" w14:textId="2B7F7940" w:rsidR="00001B23" w:rsidRPr="000A5372" w:rsidRDefault="00001B23" w:rsidP="000A5372">
            <w:pPr>
              <w:rPr>
                <w:rFonts w:ascii="Times New Roman" w:hAnsi="Times New Roman"/>
                <w:sz w:val="22"/>
                <w:szCs w:val="22"/>
              </w:rPr>
            </w:pPr>
            <w:r w:rsidRPr="000A5372">
              <w:rPr>
                <w:rFonts w:ascii="Times New Roman" w:hAnsi="Times New Roman"/>
                <w:sz w:val="22"/>
                <w:szCs w:val="22"/>
              </w:rPr>
              <w:t>12</w:t>
            </w:r>
          </w:p>
        </w:tc>
        <w:tc>
          <w:tcPr>
            <w:tcW w:w="990" w:type="dxa"/>
            <w:vAlign w:val="center"/>
          </w:tcPr>
          <w:p w14:paraId="46AD5542" w14:textId="0478144B" w:rsidR="00001B23" w:rsidRPr="000A5372" w:rsidRDefault="00001B23" w:rsidP="000A5372">
            <w:pPr>
              <w:rPr>
                <w:rFonts w:ascii="Times New Roman" w:hAnsi="Times New Roman"/>
                <w:sz w:val="22"/>
                <w:szCs w:val="22"/>
              </w:rPr>
            </w:pPr>
            <w:r w:rsidRPr="000A5372">
              <w:rPr>
                <w:rFonts w:ascii="Times New Roman" w:hAnsi="Times New Roman"/>
                <w:sz w:val="22"/>
                <w:szCs w:val="22"/>
              </w:rPr>
              <w:t>.25</w:t>
            </w:r>
          </w:p>
        </w:tc>
        <w:tc>
          <w:tcPr>
            <w:tcW w:w="990" w:type="dxa"/>
            <w:vAlign w:val="center"/>
          </w:tcPr>
          <w:p w14:paraId="02AC8FFC" w14:textId="3A621387" w:rsidR="00001B23" w:rsidRPr="000A5372" w:rsidRDefault="00001B23" w:rsidP="000A5372">
            <w:pPr>
              <w:rPr>
                <w:rFonts w:ascii="Times New Roman" w:hAnsi="Times New Roman"/>
                <w:sz w:val="22"/>
                <w:szCs w:val="22"/>
              </w:rPr>
            </w:pPr>
            <w:r w:rsidRPr="000A5372">
              <w:rPr>
                <w:rFonts w:ascii="Times New Roman" w:hAnsi="Times New Roman"/>
                <w:sz w:val="22"/>
                <w:szCs w:val="22"/>
              </w:rPr>
              <w:t>3</w:t>
            </w:r>
          </w:p>
        </w:tc>
        <w:tc>
          <w:tcPr>
            <w:tcW w:w="1170" w:type="dxa"/>
            <w:vAlign w:val="center"/>
          </w:tcPr>
          <w:p w14:paraId="311C6335" w14:textId="5D2A0432" w:rsidR="00001B23" w:rsidRPr="000A5372" w:rsidRDefault="00001B23" w:rsidP="000A5372">
            <w:pPr>
              <w:rPr>
                <w:rFonts w:ascii="Times New Roman" w:hAnsi="Times New Roman"/>
                <w:sz w:val="22"/>
                <w:szCs w:val="22"/>
              </w:rPr>
            </w:pPr>
            <w:r>
              <w:rPr>
                <w:rFonts w:ascii="Times New Roman" w:hAnsi="Times New Roman"/>
                <w:sz w:val="22"/>
                <w:szCs w:val="22"/>
              </w:rPr>
              <w:t>101.26</w:t>
            </w:r>
          </w:p>
        </w:tc>
        <w:tc>
          <w:tcPr>
            <w:tcW w:w="1170" w:type="dxa"/>
            <w:vAlign w:val="center"/>
          </w:tcPr>
          <w:p w14:paraId="2916A5A0" w14:textId="19072C08" w:rsidR="00001B23" w:rsidRPr="000A5372" w:rsidRDefault="00001B23" w:rsidP="000A5372">
            <w:pPr>
              <w:rPr>
                <w:rFonts w:ascii="Times New Roman" w:hAnsi="Times New Roman"/>
                <w:sz w:val="22"/>
                <w:szCs w:val="22"/>
              </w:rPr>
            </w:pPr>
            <w:r w:rsidRPr="000A5372">
              <w:rPr>
                <w:rFonts w:ascii="Times New Roman" w:hAnsi="Times New Roman"/>
                <w:sz w:val="22"/>
                <w:szCs w:val="22"/>
              </w:rPr>
              <w:t>405.04</w:t>
            </w:r>
          </w:p>
        </w:tc>
      </w:tr>
      <w:tr w:rsidR="00001B23" w:rsidRPr="002A1040" w14:paraId="3E570F0E" w14:textId="77777777" w:rsidTr="004E0BFB">
        <w:trPr>
          <w:trHeight w:val="552"/>
        </w:trPr>
        <w:tc>
          <w:tcPr>
            <w:tcW w:w="2430" w:type="dxa"/>
            <w:vAlign w:val="center"/>
          </w:tcPr>
          <w:p w14:paraId="00D3F391" w14:textId="0A83F4F7" w:rsidR="00001B23" w:rsidRPr="000A5372" w:rsidRDefault="00001B23" w:rsidP="000A5372">
            <w:pPr>
              <w:pStyle w:val="TOC1"/>
            </w:pPr>
            <w:r w:rsidRPr="000A5372">
              <w:t>6. Patient Feedback Survey</w:t>
            </w:r>
          </w:p>
        </w:tc>
        <w:tc>
          <w:tcPr>
            <w:tcW w:w="1530" w:type="dxa"/>
            <w:vAlign w:val="center"/>
          </w:tcPr>
          <w:p w14:paraId="5E33B573" w14:textId="46F06C68" w:rsidR="00001B23" w:rsidRPr="000A5372" w:rsidRDefault="00001B23" w:rsidP="000A5372">
            <w:pPr>
              <w:rPr>
                <w:rFonts w:ascii="Times New Roman" w:hAnsi="Times New Roman"/>
                <w:sz w:val="22"/>
                <w:szCs w:val="22"/>
              </w:rPr>
            </w:pPr>
            <w:r w:rsidRPr="000A5372">
              <w:rPr>
                <w:rFonts w:ascii="Times New Roman" w:hAnsi="Times New Roman"/>
                <w:sz w:val="22"/>
                <w:szCs w:val="22"/>
              </w:rPr>
              <w:t>600</w:t>
            </w:r>
          </w:p>
        </w:tc>
        <w:tc>
          <w:tcPr>
            <w:tcW w:w="1350" w:type="dxa"/>
            <w:vAlign w:val="center"/>
          </w:tcPr>
          <w:p w14:paraId="00C4EA54" w14:textId="35A8A357" w:rsidR="00001B23" w:rsidRPr="000A5372" w:rsidRDefault="00001B23" w:rsidP="000A5372">
            <w:pPr>
              <w:pStyle w:val="Center"/>
              <w:spacing w:line="240" w:lineRule="auto"/>
              <w:jc w:val="left"/>
              <w:rPr>
                <w:sz w:val="22"/>
                <w:szCs w:val="22"/>
              </w:rPr>
            </w:pPr>
            <w:r w:rsidRPr="000A5372">
              <w:rPr>
                <w:sz w:val="22"/>
                <w:szCs w:val="22"/>
              </w:rPr>
              <w:t>1</w:t>
            </w:r>
          </w:p>
        </w:tc>
        <w:tc>
          <w:tcPr>
            <w:tcW w:w="1260" w:type="dxa"/>
            <w:vAlign w:val="center"/>
          </w:tcPr>
          <w:p w14:paraId="1D5E4686" w14:textId="545B68B6" w:rsidR="00001B23" w:rsidRPr="000A5372" w:rsidRDefault="00001B23" w:rsidP="000A5372">
            <w:pPr>
              <w:rPr>
                <w:rFonts w:ascii="Times New Roman" w:hAnsi="Times New Roman"/>
                <w:sz w:val="22"/>
                <w:szCs w:val="22"/>
              </w:rPr>
            </w:pPr>
            <w:r w:rsidRPr="000A5372">
              <w:rPr>
                <w:rFonts w:ascii="Times New Roman" w:hAnsi="Times New Roman"/>
                <w:sz w:val="22"/>
                <w:szCs w:val="22"/>
              </w:rPr>
              <w:t>600</w:t>
            </w:r>
          </w:p>
        </w:tc>
        <w:tc>
          <w:tcPr>
            <w:tcW w:w="990" w:type="dxa"/>
            <w:vAlign w:val="center"/>
          </w:tcPr>
          <w:p w14:paraId="44C44A63" w14:textId="0DAF42F6" w:rsidR="00001B23" w:rsidRPr="000A5372" w:rsidRDefault="00001B23" w:rsidP="000A5372">
            <w:pPr>
              <w:rPr>
                <w:rFonts w:ascii="Times New Roman" w:hAnsi="Times New Roman"/>
                <w:sz w:val="22"/>
                <w:szCs w:val="22"/>
              </w:rPr>
            </w:pPr>
            <w:r w:rsidRPr="000A5372">
              <w:rPr>
                <w:rFonts w:ascii="Times New Roman" w:hAnsi="Times New Roman"/>
                <w:sz w:val="22"/>
                <w:szCs w:val="22"/>
              </w:rPr>
              <w:t>.25</w:t>
            </w:r>
          </w:p>
        </w:tc>
        <w:tc>
          <w:tcPr>
            <w:tcW w:w="990" w:type="dxa"/>
            <w:vAlign w:val="center"/>
          </w:tcPr>
          <w:p w14:paraId="396696CA" w14:textId="0EC8133D" w:rsidR="00001B23" w:rsidRPr="000A5372" w:rsidRDefault="00001B23" w:rsidP="000A5372">
            <w:pPr>
              <w:rPr>
                <w:rFonts w:ascii="Times New Roman" w:hAnsi="Times New Roman"/>
                <w:sz w:val="22"/>
                <w:szCs w:val="22"/>
              </w:rPr>
            </w:pPr>
            <w:r w:rsidRPr="000A5372">
              <w:rPr>
                <w:rFonts w:ascii="Times New Roman" w:hAnsi="Times New Roman"/>
                <w:sz w:val="22"/>
                <w:szCs w:val="22"/>
              </w:rPr>
              <w:t>150</w:t>
            </w:r>
          </w:p>
        </w:tc>
        <w:tc>
          <w:tcPr>
            <w:tcW w:w="1170" w:type="dxa"/>
            <w:vAlign w:val="center"/>
          </w:tcPr>
          <w:p w14:paraId="2FB384F2" w14:textId="74D8517B" w:rsidR="00001B23" w:rsidRPr="000A5372" w:rsidRDefault="00001B23" w:rsidP="000A5372">
            <w:pPr>
              <w:rPr>
                <w:rFonts w:ascii="Times New Roman" w:hAnsi="Times New Roman"/>
                <w:sz w:val="22"/>
                <w:szCs w:val="22"/>
              </w:rPr>
            </w:pPr>
            <w:r w:rsidRPr="000A5372">
              <w:rPr>
                <w:rFonts w:ascii="Times New Roman" w:hAnsi="Times New Roman"/>
                <w:sz w:val="22"/>
                <w:szCs w:val="22"/>
              </w:rPr>
              <w:t>14.08</w:t>
            </w:r>
          </w:p>
        </w:tc>
        <w:tc>
          <w:tcPr>
            <w:tcW w:w="1170" w:type="dxa"/>
            <w:vAlign w:val="center"/>
          </w:tcPr>
          <w:p w14:paraId="15000F49" w14:textId="71B3F5E3" w:rsidR="00001B23" w:rsidRPr="000A5372" w:rsidRDefault="00001B23" w:rsidP="000A5372">
            <w:pPr>
              <w:rPr>
                <w:rFonts w:ascii="Times New Roman" w:hAnsi="Times New Roman"/>
                <w:sz w:val="22"/>
                <w:szCs w:val="22"/>
              </w:rPr>
            </w:pPr>
            <w:r w:rsidRPr="000A5372">
              <w:rPr>
                <w:rFonts w:ascii="Times New Roman" w:hAnsi="Times New Roman"/>
                <w:sz w:val="22"/>
                <w:szCs w:val="22"/>
              </w:rPr>
              <w:t>2112</w:t>
            </w:r>
          </w:p>
        </w:tc>
      </w:tr>
      <w:tr w:rsidR="00001B23" w:rsidRPr="002A1040" w14:paraId="6C4B415F" w14:textId="77777777" w:rsidTr="004E0BFB">
        <w:trPr>
          <w:trHeight w:val="552"/>
        </w:trPr>
        <w:tc>
          <w:tcPr>
            <w:tcW w:w="2430" w:type="dxa"/>
            <w:vAlign w:val="center"/>
          </w:tcPr>
          <w:p w14:paraId="4B9A1B2F" w14:textId="03596720" w:rsidR="00001B23" w:rsidRPr="000A5372" w:rsidRDefault="00001B23" w:rsidP="000A5372">
            <w:pPr>
              <w:pStyle w:val="TOC1"/>
            </w:pPr>
            <w:r w:rsidRPr="000A5372">
              <w:t>7. Client Feedback Survey</w:t>
            </w:r>
          </w:p>
        </w:tc>
        <w:tc>
          <w:tcPr>
            <w:tcW w:w="1530" w:type="dxa"/>
            <w:vAlign w:val="center"/>
          </w:tcPr>
          <w:p w14:paraId="2D88DA29" w14:textId="77777777" w:rsidR="00001B23" w:rsidRPr="000A5372" w:rsidRDefault="00001B23" w:rsidP="000A5372">
            <w:pPr>
              <w:rPr>
                <w:rFonts w:ascii="Times New Roman" w:hAnsi="Times New Roman"/>
                <w:sz w:val="22"/>
                <w:szCs w:val="22"/>
              </w:rPr>
            </w:pPr>
            <w:r w:rsidRPr="000A5372">
              <w:rPr>
                <w:rFonts w:ascii="Times New Roman" w:hAnsi="Times New Roman"/>
                <w:sz w:val="22"/>
                <w:szCs w:val="22"/>
              </w:rPr>
              <w:t>600</w:t>
            </w:r>
          </w:p>
        </w:tc>
        <w:tc>
          <w:tcPr>
            <w:tcW w:w="1350" w:type="dxa"/>
            <w:vAlign w:val="center"/>
          </w:tcPr>
          <w:p w14:paraId="762634A0" w14:textId="77777777" w:rsidR="00001B23" w:rsidRPr="000A5372" w:rsidRDefault="00001B23" w:rsidP="000A5372">
            <w:pPr>
              <w:pStyle w:val="Center"/>
              <w:spacing w:line="240" w:lineRule="auto"/>
              <w:jc w:val="left"/>
              <w:rPr>
                <w:sz w:val="22"/>
                <w:szCs w:val="22"/>
              </w:rPr>
            </w:pPr>
            <w:r w:rsidRPr="000A5372">
              <w:rPr>
                <w:sz w:val="22"/>
                <w:szCs w:val="22"/>
              </w:rPr>
              <w:t>1</w:t>
            </w:r>
          </w:p>
        </w:tc>
        <w:tc>
          <w:tcPr>
            <w:tcW w:w="1260" w:type="dxa"/>
            <w:vAlign w:val="center"/>
          </w:tcPr>
          <w:p w14:paraId="32BDE73F" w14:textId="77777777" w:rsidR="00001B23" w:rsidRPr="000A5372" w:rsidRDefault="00001B23" w:rsidP="000A5372">
            <w:pPr>
              <w:rPr>
                <w:rFonts w:ascii="Times New Roman" w:hAnsi="Times New Roman"/>
                <w:sz w:val="22"/>
                <w:szCs w:val="22"/>
              </w:rPr>
            </w:pPr>
            <w:r w:rsidRPr="000A5372">
              <w:rPr>
                <w:rFonts w:ascii="Times New Roman" w:hAnsi="Times New Roman"/>
                <w:sz w:val="22"/>
                <w:szCs w:val="22"/>
              </w:rPr>
              <w:t>600</w:t>
            </w:r>
          </w:p>
        </w:tc>
        <w:tc>
          <w:tcPr>
            <w:tcW w:w="990" w:type="dxa"/>
            <w:vAlign w:val="center"/>
          </w:tcPr>
          <w:p w14:paraId="3A5D1EF3" w14:textId="77777777" w:rsidR="00001B23" w:rsidRPr="000A5372" w:rsidRDefault="00001B23" w:rsidP="000A5372">
            <w:pPr>
              <w:rPr>
                <w:rFonts w:ascii="Times New Roman" w:hAnsi="Times New Roman"/>
                <w:sz w:val="22"/>
                <w:szCs w:val="22"/>
              </w:rPr>
            </w:pPr>
            <w:r w:rsidRPr="000A5372">
              <w:rPr>
                <w:rFonts w:ascii="Times New Roman" w:hAnsi="Times New Roman"/>
                <w:sz w:val="22"/>
                <w:szCs w:val="22"/>
              </w:rPr>
              <w:t>.25</w:t>
            </w:r>
          </w:p>
        </w:tc>
        <w:tc>
          <w:tcPr>
            <w:tcW w:w="990" w:type="dxa"/>
            <w:vAlign w:val="center"/>
          </w:tcPr>
          <w:p w14:paraId="2179198F" w14:textId="77777777" w:rsidR="00001B23" w:rsidRPr="000A5372" w:rsidRDefault="00001B23" w:rsidP="000A5372">
            <w:pPr>
              <w:rPr>
                <w:rFonts w:ascii="Times New Roman" w:hAnsi="Times New Roman"/>
                <w:sz w:val="22"/>
                <w:szCs w:val="22"/>
              </w:rPr>
            </w:pPr>
            <w:r w:rsidRPr="000A5372">
              <w:rPr>
                <w:rFonts w:ascii="Times New Roman" w:hAnsi="Times New Roman"/>
                <w:sz w:val="22"/>
                <w:szCs w:val="22"/>
              </w:rPr>
              <w:t>150</w:t>
            </w:r>
          </w:p>
        </w:tc>
        <w:tc>
          <w:tcPr>
            <w:tcW w:w="1170" w:type="dxa"/>
            <w:vAlign w:val="center"/>
          </w:tcPr>
          <w:p w14:paraId="3DD64F27" w14:textId="45D6DA94" w:rsidR="00001B23" w:rsidRPr="000A5372" w:rsidRDefault="00001B23" w:rsidP="000A5372">
            <w:pPr>
              <w:rPr>
                <w:rFonts w:ascii="Times New Roman" w:hAnsi="Times New Roman"/>
                <w:sz w:val="22"/>
                <w:szCs w:val="22"/>
              </w:rPr>
            </w:pPr>
            <w:r w:rsidRPr="000A5372">
              <w:rPr>
                <w:rFonts w:ascii="Times New Roman" w:hAnsi="Times New Roman"/>
                <w:sz w:val="22"/>
                <w:szCs w:val="22"/>
              </w:rPr>
              <w:t>14.08</w:t>
            </w:r>
          </w:p>
        </w:tc>
        <w:tc>
          <w:tcPr>
            <w:tcW w:w="1170" w:type="dxa"/>
            <w:vAlign w:val="center"/>
          </w:tcPr>
          <w:p w14:paraId="61A75A97" w14:textId="77777777" w:rsidR="00001B23" w:rsidRPr="000A5372" w:rsidRDefault="00001B23" w:rsidP="000A5372">
            <w:pPr>
              <w:rPr>
                <w:rFonts w:ascii="Times New Roman" w:hAnsi="Times New Roman"/>
                <w:sz w:val="22"/>
                <w:szCs w:val="22"/>
              </w:rPr>
            </w:pPr>
            <w:r w:rsidRPr="000A5372">
              <w:rPr>
                <w:rFonts w:ascii="Times New Roman" w:hAnsi="Times New Roman"/>
                <w:sz w:val="22"/>
                <w:szCs w:val="22"/>
              </w:rPr>
              <w:t>2112</w:t>
            </w:r>
          </w:p>
        </w:tc>
      </w:tr>
      <w:tr w:rsidR="00001B23" w:rsidRPr="000A5372" w14:paraId="7DCE10CF" w14:textId="77777777" w:rsidTr="004E0BFB">
        <w:trPr>
          <w:trHeight w:val="552"/>
        </w:trPr>
        <w:tc>
          <w:tcPr>
            <w:tcW w:w="2430" w:type="dxa"/>
            <w:vAlign w:val="center"/>
          </w:tcPr>
          <w:p w14:paraId="7DCE10C7" w14:textId="226135A6"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Total</w:t>
            </w:r>
          </w:p>
        </w:tc>
        <w:tc>
          <w:tcPr>
            <w:tcW w:w="1530" w:type="dxa"/>
            <w:vAlign w:val="center"/>
          </w:tcPr>
          <w:p w14:paraId="7DCE10C8" w14:textId="4C9EB1A2"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2112</w:t>
            </w:r>
          </w:p>
        </w:tc>
        <w:tc>
          <w:tcPr>
            <w:tcW w:w="1350" w:type="dxa"/>
            <w:vAlign w:val="center"/>
          </w:tcPr>
          <w:p w14:paraId="7DCE10C9" w14:textId="293E0CD7"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9</w:t>
            </w:r>
          </w:p>
        </w:tc>
        <w:tc>
          <w:tcPr>
            <w:tcW w:w="1260" w:type="dxa"/>
            <w:vAlign w:val="center"/>
          </w:tcPr>
          <w:p w14:paraId="7DCE10CA" w14:textId="4C508245"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2124</w:t>
            </w:r>
          </w:p>
        </w:tc>
        <w:tc>
          <w:tcPr>
            <w:tcW w:w="990" w:type="dxa"/>
            <w:vAlign w:val="center"/>
          </w:tcPr>
          <w:p w14:paraId="7DCE10CB" w14:textId="3C06224D"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1.75</w:t>
            </w:r>
          </w:p>
        </w:tc>
        <w:tc>
          <w:tcPr>
            <w:tcW w:w="990" w:type="dxa"/>
            <w:vAlign w:val="center"/>
          </w:tcPr>
          <w:p w14:paraId="7DCE10CC" w14:textId="153D81EA"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531</w:t>
            </w:r>
          </w:p>
        </w:tc>
        <w:tc>
          <w:tcPr>
            <w:tcW w:w="1170" w:type="dxa"/>
            <w:vAlign w:val="center"/>
          </w:tcPr>
          <w:p w14:paraId="7DCE10CD" w14:textId="2B03F081"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534.46</w:t>
            </w:r>
          </w:p>
        </w:tc>
        <w:tc>
          <w:tcPr>
            <w:tcW w:w="1170" w:type="dxa"/>
            <w:vAlign w:val="center"/>
          </w:tcPr>
          <w:p w14:paraId="7DCE10CE" w14:textId="1B21EA90" w:rsidR="00001B23" w:rsidRPr="000A5372" w:rsidRDefault="00001B23" w:rsidP="000A5372">
            <w:pPr>
              <w:rPr>
                <w:rFonts w:ascii="Times New Roman" w:hAnsi="Times New Roman"/>
                <w:b/>
                <w:sz w:val="22"/>
                <w:szCs w:val="22"/>
              </w:rPr>
            </w:pPr>
            <w:r w:rsidRPr="000A5372">
              <w:rPr>
                <w:rFonts w:ascii="Times New Roman" w:hAnsi="Times New Roman"/>
                <w:b/>
                <w:sz w:val="22"/>
                <w:szCs w:val="22"/>
              </w:rPr>
              <w:t>27817.58</w:t>
            </w:r>
          </w:p>
        </w:tc>
      </w:tr>
    </w:tbl>
    <w:p w14:paraId="3D22E6A2" w14:textId="77777777" w:rsidR="004E0BFB" w:rsidRDefault="004E0BFB" w:rsidP="00CC2BEA">
      <w:pPr>
        <w:pStyle w:val="NormalSS"/>
        <w:ind w:firstLine="0"/>
        <w:jc w:val="left"/>
        <w:rPr>
          <w:i/>
          <w:szCs w:val="24"/>
        </w:rPr>
      </w:pPr>
    </w:p>
    <w:p w14:paraId="7DCE10D3" w14:textId="2D7F43DB" w:rsidR="00176576" w:rsidRPr="002A1040" w:rsidRDefault="00176576" w:rsidP="00CC2BEA">
      <w:pPr>
        <w:pStyle w:val="NormalSS"/>
        <w:ind w:firstLine="0"/>
        <w:jc w:val="left"/>
        <w:rPr>
          <w:i/>
          <w:szCs w:val="24"/>
        </w:rPr>
      </w:pPr>
      <w:r w:rsidRPr="002A1040">
        <w:rPr>
          <w:i/>
          <w:szCs w:val="24"/>
        </w:rPr>
        <w:t>Planned frequency of information collection</w:t>
      </w:r>
      <w:r w:rsidR="0033551D" w:rsidRPr="002A1040">
        <w:rPr>
          <w:i/>
          <w:szCs w:val="24"/>
        </w:rPr>
        <w:t>:</w:t>
      </w:r>
    </w:p>
    <w:p w14:paraId="34CFE5D9" w14:textId="292BDBE3" w:rsidR="00D637D3" w:rsidRPr="002A1040" w:rsidRDefault="00E4001C" w:rsidP="00CC2BEA">
      <w:pPr>
        <w:widowControl/>
        <w:autoSpaceDE/>
        <w:autoSpaceDN/>
        <w:adjustRightInd/>
        <w:rPr>
          <w:rFonts w:ascii="Times New Roman" w:hAnsi="Times New Roman"/>
          <w:sz w:val="24"/>
          <w:szCs w:val="24"/>
        </w:rPr>
      </w:pPr>
      <w:r w:rsidRPr="002A1040">
        <w:rPr>
          <w:rFonts w:ascii="Times New Roman" w:hAnsi="Times New Roman"/>
          <w:bCs/>
          <w:sz w:val="24"/>
          <w:szCs w:val="24"/>
        </w:rPr>
        <w:t xml:space="preserve">The </w:t>
      </w:r>
      <w:r w:rsidR="00CC2BEA" w:rsidRPr="002A1040">
        <w:rPr>
          <w:rFonts w:ascii="Times New Roman" w:hAnsi="Times New Roman"/>
          <w:sz w:val="24"/>
          <w:szCs w:val="24"/>
        </w:rPr>
        <w:t xml:space="preserve">Health Care Response to Domestic Violence Quality Assessment/Program Improvement Tool </w:t>
      </w:r>
      <w:r w:rsidRPr="002A1040">
        <w:rPr>
          <w:rFonts w:ascii="Times New Roman" w:hAnsi="Times New Roman"/>
          <w:bCs/>
          <w:sz w:val="24"/>
          <w:szCs w:val="24"/>
        </w:rPr>
        <w:t>and</w:t>
      </w:r>
      <w:r w:rsidR="001C2363" w:rsidRPr="002A1040">
        <w:rPr>
          <w:rFonts w:ascii="Times New Roman" w:hAnsi="Times New Roman"/>
          <w:bCs/>
          <w:sz w:val="24"/>
          <w:szCs w:val="24"/>
        </w:rPr>
        <w:t xml:space="preserve"> </w:t>
      </w:r>
      <w:r w:rsidR="00CC2BEA" w:rsidRPr="002A1040">
        <w:rPr>
          <w:rFonts w:ascii="Times New Roman" w:hAnsi="Times New Roman"/>
          <w:bCs/>
          <w:sz w:val="24"/>
          <w:szCs w:val="24"/>
        </w:rPr>
        <w:t>Collaborative B</w:t>
      </w:r>
      <w:r w:rsidR="008B3158" w:rsidRPr="002A1040">
        <w:rPr>
          <w:rFonts w:ascii="Times New Roman" w:hAnsi="Times New Roman"/>
          <w:bCs/>
          <w:sz w:val="24"/>
          <w:szCs w:val="24"/>
        </w:rPr>
        <w:t>ehavior</w:t>
      </w:r>
      <w:r w:rsidR="001C2363" w:rsidRPr="002A1040">
        <w:rPr>
          <w:rFonts w:ascii="Times New Roman" w:hAnsi="Times New Roman"/>
          <w:bCs/>
          <w:sz w:val="24"/>
          <w:szCs w:val="24"/>
        </w:rPr>
        <w:t xml:space="preserve"> </w:t>
      </w:r>
      <w:r w:rsidR="00CC2BEA" w:rsidRPr="002A1040">
        <w:rPr>
          <w:rFonts w:ascii="Times New Roman" w:hAnsi="Times New Roman"/>
          <w:bCs/>
          <w:sz w:val="24"/>
          <w:szCs w:val="24"/>
        </w:rPr>
        <w:t>Survey</w:t>
      </w:r>
      <w:r w:rsidRPr="002A1040">
        <w:rPr>
          <w:rFonts w:ascii="Times New Roman" w:hAnsi="Times New Roman"/>
          <w:bCs/>
          <w:sz w:val="24"/>
          <w:szCs w:val="24"/>
        </w:rPr>
        <w:t xml:space="preserve"> </w:t>
      </w:r>
      <w:r w:rsidR="001C2363" w:rsidRPr="002A1040">
        <w:rPr>
          <w:rFonts w:ascii="Times New Roman" w:hAnsi="Times New Roman"/>
          <w:bCs/>
          <w:sz w:val="24"/>
          <w:szCs w:val="24"/>
        </w:rPr>
        <w:t xml:space="preserve">will be </w:t>
      </w:r>
      <w:r w:rsidR="0089384A" w:rsidRPr="002A1040">
        <w:rPr>
          <w:rFonts w:ascii="Times New Roman" w:hAnsi="Times New Roman"/>
          <w:bCs/>
          <w:sz w:val="24"/>
          <w:szCs w:val="24"/>
        </w:rPr>
        <w:t>administered</w:t>
      </w:r>
      <w:r w:rsidRPr="002A1040">
        <w:rPr>
          <w:rFonts w:ascii="Times New Roman" w:hAnsi="Times New Roman"/>
          <w:bCs/>
          <w:sz w:val="24"/>
          <w:szCs w:val="24"/>
        </w:rPr>
        <w:t xml:space="preserve"> </w:t>
      </w:r>
      <w:r w:rsidR="001C2363" w:rsidRPr="002A1040">
        <w:rPr>
          <w:rFonts w:ascii="Times New Roman" w:hAnsi="Times New Roman"/>
          <w:bCs/>
          <w:sz w:val="24"/>
          <w:szCs w:val="24"/>
        </w:rPr>
        <w:t>every six months (twice a year) and completed by the practice manager</w:t>
      </w:r>
      <w:r w:rsidR="000E6827" w:rsidRPr="002A1040">
        <w:rPr>
          <w:rFonts w:ascii="Times New Roman" w:hAnsi="Times New Roman"/>
          <w:bCs/>
          <w:sz w:val="24"/>
          <w:szCs w:val="24"/>
        </w:rPr>
        <w:t>.</w:t>
      </w:r>
      <w:r w:rsidR="00FC4245" w:rsidRPr="002A1040">
        <w:rPr>
          <w:rFonts w:ascii="Times New Roman" w:hAnsi="Times New Roman"/>
          <w:bCs/>
          <w:sz w:val="24"/>
          <w:szCs w:val="24"/>
        </w:rPr>
        <w:t xml:space="preserve"> </w:t>
      </w:r>
      <w:r w:rsidR="00CC2BEA" w:rsidRPr="002A1040">
        <w:rPr>
          <w:rFonts w:ascii="Times New Roman" w:hAnsi="Times New Roman"/>
          <w:bCs/>
          <w:sz w:val="24"/>
          <w:szCs w:val="24"/>
        </w:rPr>
        <w:t>The T</w:t>
      </w:r>
      <w:r w:rsidRPr="002A1040">
        <w:rPr>
          <w:rFonts w:ascii="Times New Roman" w:hAnsi="Times New Roman"/>
          <w:bCs/>
          <w:sz w:val="24"/>
          <w:szCs w:val="24"/>
        </w:rPr>
        <w:t xml:space="preserve">raining </w:t>
      </w:r>
      <w:r w:rsidR="00CC2BEA" w:rsidRPr="002A1040">
        <w:rPr>
          <w:rFonts w:ascii="Times New Roman" w:hAnsi="Times New Roman"/>
          <w:bCs/>
          <w:sz w:val="24"/>
          <w:szCs w:val="24"/>
        </w:rPr>
        <w:t>S</w:t>
      </w:r>
      <w:r w:rsidRPr="002A1040">
        <w:rPr>
          <w:rFonts w:ascii="Times New Roman" w:hAnsi="Times New Roman"/>
          <w:bCs/>
          <w:sz w:val="24"/>
          <w:szCs w:val="24"/>
        </w:rPr>
        <w:t>urvey</w:t>
      </w:r>
      <w:r w:rsidR="008B3158" w:rsidRPr="002A1040">
        <w:rPr>
          <w:rFonts w:ascii="Times New Roman" w:hAnsi="Times New Roman"/>
          <w:bCs/>
          <w:sz w:val="24"/>
          <w:szCs w:val="24"/>
        </w:rPr>
        <w:t xml:space="preserve"> will be administered </w:t>
      </w:r>
      <w:r w:rsidRPr="002A1040">
        <w:rPr>
          <w:rFonts w:ascii="Times New Roman" w:hAnsi="Times New Roman"/>
          <w:bCs/>
          <w:sz w:val="24"/>
          <w:szCs w:val="24"/>
        </w:rPr>
        <w:t>prior to the</w:t>
      </w:r>
      <w:r w:rsidR="00130302">
        <w:rPr>
          <w:rFonts w:ascii="Times New Roman" w:hAnsi="Times New Roman"/>
          <w:bCs/>
          <w:sz w:val="24"/>
          <w:szCs w:val="24"/>
        </w:rPr>
        <w:t xml:space="preserve"> initial training. T</w:t>
      </w:r>
      <w:r w:rsidR="00CC2BEA" w:rsidRPr="002A1040">
        <w:rPr>
          <w:rFonts w:ascii="Times New Roman" w:hAnsi="Times New Roman"/>
          <w:bCs/>
          <w:sz w:val="24"/>
          <w:szCs w:val="24"/>
        </w:rPr>
        <w:t>he F</w:t>
      </w:r>
      <w:r w:rsidRPr="002A1040">
        <w:rPr>
          <w:rFonts w:ascii="Times New Roman" w:hAnsi="Times New Roman"/>
          <w:bCs/>
          <w:sz w:val="24"/>
          <w:szCs w:val="24"/>
        </w:rPr>
        <w:t xml:space="preserve">ollow </w:t>
      </w:r>
      <w:r w:rsidR="00CC2BEA" w:rsidRPr="002A1040">
        <w:rPr>
          <w:rFonts w:ascii="Times New Roman" w:hAnsi="Times New Roman"/>
          <w:bCs/>
          <w:sz w:val="24"/>
          <w:szCs w:val="24"/>
        </w:rPr>
        <w:t>U</w:t>
      </w:r>
      <w:r w:rsidRPr="002A1040">
        <w:rPr>
          <w:rFonts w:ascii="Times New Roman" w:hAnsi="Times New Roman"/>
          <w:bCs/>
          <w:sz w:val="24"/>
          <w:szCs w:val="24"/>
        </w:rPr>
        <w:t xml:space="preserve">p </w:t>
      </w:r>
      <w:r w:rsidR="00CC2BEA" w:rsidRPr="002A1040">
        <w:rPr>
          <w:rFonts w:ascii="Times New Roman" w:hAnsi="Times New Roman"/>
          <w:bCs/>
          <w:sz w:val="24"/>
          <w:szCs w:val="24"/>
        </w:rPr>
        <w:t>Training S</w:t>
      </w:r>
      <w:r w:rsidR="008B3158" w:rsidRPr="002A1040">
        <w:rPr>
          <w:rFonts w:ascii="Times New Roman" w:hAnsi="Times New Roman"/>
          <w:bCs/>
          <w:sz w:val="24"/>
          <w:szCs w:val="24"/>
        </w:rPr>
        <w:t xml:space="preserve">urvey will be administered six months following </w:t>
      </w:r>
      <w:r w:rsidR="00130302">
        <w:rPr>
          <w:rFonts w:ascii="Times New Roman" w:hAnsi="Times New Roman"/>
          <w:bCs/>
          <w:sz w:val="24"/>
          <w:szCs w:val="24"/>
        </w:rPr>
        <w:t>the initial training</w:t>
      </w:r>
      <w:r w:rsidR="008B3158" w:rsidRPr="002A1040">
        <w:rPr>
          <w:rFonts w:ascii="Times New Roman" w:hAnsi="Times New Roman"/>
          <w:bCs/>
          <w:sz w:val="24"/>
          <w:szCs w:val="24"/>
        </w:rPr>
        <w:t xml:space="preserve">. </w:t>
      </w:r>
      <w:r w:rsidR="00CC2BEA" w:rsidRPr="002A1040">
        <w:rPr>
          <w:rFonts w:ascii="Times New Roman" w:hAnsi="Times New Roman"/>
          <w:bCs/>
          <w:sz w:val="24"/>
          <w:szCs w:val="24"/>
        </w:rPr>
        <w:t>The P</w:t>
      </w:r>
      <w:r w:rsidR="008462C2" w:rsidRPr="002A1040">
        <w:rPr>
          <w:rFonts w:ascii="Times New Roman" w:hAnsi="Times New Roman"/>
          <w:bCs/>
          <w:sz w:val="24"/>
          <w:szCs w:val="24"/>
        </w:rPr>
        <w:t>atient</w:t>
      </w:r>
      <w:r w:rsidR="00CC2BEA" w:rsidRPr="002A1040">
        <w:rPr>
          <w:rFonts w:ascii="Times New Roman" w:hAnsi="Times New Roman"/>
          <w:bCs/>
          <w:sz w:val="24"/>
          <w:szCs w:val="24"/>
        </w:rPr>
        <w:t xml:space="preserve"> Feedback Survey and C</w:t>
      </w:r>
      <w:r w:rsidR="0032087D" w:rsidRPr="002A1040">
        <w:rPr>
          <w:rFonts w:ascii="Times New Roman" w:hAnsi="Times New Roman"/>
          <w:bCs/>
          <w:sz w:val="24"/>
          <w:szCs w:val="24"/>
        </w:rPr>
        <w:t>lient</w:t>
      </w:r>
      <w:r w:rsidR="008462C2" w:rsidRPr="002A1040">
        <w:rPr>
          <w:rFonts w:ascii="Times New Roman" w:hAnsi="Times New Roman"/>
          <w:bCs/>
          <w:sz w:val="24"/>
          <w:szCs w:val="24"/>
        </w:rPr>
        <w:t xml:space="preserve"> </w:t>
      </w:r>
      <w:r w:rsidR="00CC2BEA" w:rsidRPr="002A1040">
        <w:rPr>
          <w:rFonts w:ascii="Times New Roman" w:hAnsi="Times New Roman"/>
          <w:bCs/>
          <w:sz w:val="24"/>
          <w:szCs w:val="24"/>
        </w:rPr>
        <w:t>F</w:t>
      </w:r>
      <w:r w:rsidR="008462C2" w:rsidRPr="002A1040">
        <w:rPr>
          <w:rFonts w:ascii="Times New Roman" w:hAnsi="Times New Roman"/>
          <w:bCs/>
          <w:sz w:val="24"/>
          <w:szCs w:val="24"/>
        </w:rPr>
        <w:t xml:space="preserve">eedback </w:t>
      </w:r>
      <w:r w:rsidR="00CC2BEA" w:rsidRPr="002A1040">
        <w:rPr>
          <w:rFonts w:ascii="Times New Roman" w:hAnsi="Times New Roman"/>
          <w:bCs/>
          <w:sz w:val="24"/>
          <w:szCs w:val="24"/>
        </w:rPr>
        <w:t>Survey</w:t>
      </w:r>
      <w:r w:rsidR="008462C2" w:rsidRPr="002A1040">
        <w:rPr>
          <w:rFonts w:ascii="Times New Roman" w:hAnsi="Times New Roman"/>
          <w:bCs/>
          <w:sz w:val="24"/>
          <w:szCs w:val="24"/>
        </w:rPr>
        <w:t xml:space="preserve"> will </w:t>
      </w:r>
      <w:r w:rsidR="0032087D" w:rsidRPr="002A1040">
        <w:rPr>
          <w:rFonts w:ascii="Times New Roman" w:hAnsi="Times New Roman"/>
          <w:bCs/>
          <w:sz w:val="24"/>
          <w:szCs w:val="24"/>
        </w:rPr>
        <w:t xml:space="preserve">be </w:t>
      </w:r>
      <w:r w:rsidR="008462C2" w:rsidRPr="002A1040">
        <w:rPr>
          <w:rFonts w:ascii="Times New Roman" w:hAnsi="Times New Roman"/>
          <w:bCs/>
          <w:sz w:val="24"/>
          <w:szCs w:val="24"/>
        </w:rPr>
        <w:t xml:space="preserve">conducted on a one time anonymous basis with no follow up. </w:t>
      </w:r>
    </w:p>
    <w:p w14:paraId="7DCE10D4" w14:textId="071A2A79" w:rsidR="00176576" w:rsidRPr="002A1040" w:rsidRDefault="00176576" w:rsidP="00176576">
      <w:pPr>
        <w:pStyle w:val="NormalSS"/>
        <w:ind w:firstLine="0"/>
        <w:jc w:val="left"/>
        <w:rPr>
          <w:bCs/>
          <w:szCs w:val="24"/>
        </w:rPr>
      </w:pPr>
    </w:p>
    <w:p w14:paraId="7DCE10D9" w14:textId="77777777" w:rsidR="001879E5" w:rsidRPr="002A1040" w:rsidRDefault="001879E5">
      <w:pPr>
        <w:tabs>
          <w:tab w:val="left" w:pos="720"/>
          <w:tab w:val="right" w:pos="8732"/>
        </w:tabs>
        <w:rPr>
          <w:rFonts w:ascii="Times New Roman" w:hAnsi="Times New Roman"/>
          <w:sz w:val="24"/>
          <w:szCs w:val="24"/>
          <w:u w:val="single"/>
        </w:rPr>
      </w:pPr>
      <w:r w:rsidRPr="002A1040">
        <w:rPr>
          <w:rFonts w:ascii="Times New Roman" w:hAnsi="Times New Roman"/>
          <w:sz w:val="24"/>
          <w:szCs w:val="24"/>
        </w:rPr>
        <w:t>13.</w:t>
      </w:r>
      <w:r w:rsidRPr="002A1040">
        <w:rPr>
          <w:rFonts w:ascii="Times New Roman" w:hAnsi="Times New Roman"/>
          <w:sz w:val="24"/>
          <w:szCs w:val="24"/>
        </w:rPr>
        <w:tab/>
      </w:r>
      <w:r w:rsidRPr="002A1040">
        <w:rPr>
          <w:rFonts w:ascii="Times New Roman" w:hAnsi="Times New Roman"/>
          <w:sz w:val="24"/>
          <w:szCs w:val="24"/>
          <w:u w:val="single"/>
        </w:rPr>
        <w:t>Estimates of Annualized Cost Burden to Respondents</w:t>
      </w:r>
    </w:p>
    <w:p w14:paraId="57D82B8D" w14:textId="77777777" w:rsidR="00811D4E" w:rsidRPr="002A1040" w:rsidRDefault="00811D4E">
      <w:pPr>
        <w:tabs>
          <w:tab w:val="left" w:pos="720"/>
          <w:tab w:val="right" w:pos="8732"/>
        </w:tabs>
        <w:rPr>
          <w:rFonts w:ascii="Times New Roman" w:hAnsi="Times New Roman"/>
          <w:sz w:val="24"/>
          <w:szCs w:val="24"/>
          <w:u w:val="single"/>
        </w:rPr>
      </w:pPr>
    </w:p>
    <w:tbl>
      <w:tblPr>
        <w:tblW w:w="648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1309"/>
        <w:gridCol w:w="1321"/>
        <w:gridCol w:w="1737"/>
      </w:tblGrid>
      <w:tr w:rsidR="00811D4E" w:rsidRPr="002A1040" w14:paraId="4EA17AA1" w14:textId="77777777" w:rsidTr="000A5372">
        <w:tc>
          <w:tcPr>
            <w:tcW w:w="2113" w:type="dxa"/>
          </w:tcPr>
          <w:p w14:paraId="496909FE" w14:textId="77777777" w:rsidR="00811D4E" w:rsidRPr="00C335ED" w:rsidRDefault="00811D4E" w:rsidP="000E08CF">
            <w:pPr>
              <w:tabs>
                <w:tab w:val="left" w:pos="720"/>
                <w:tab w:val="right" w:pos="8732"/>
              </w:tabs>
              <w:rPr>
                <w:rFonts w:ascii="Times New Roman" w:hAnsi="Times New Roman"/>
                <w:b/>
                <w:bCs/>
                <w:sz w:val="22"/>
                <w:szCs w:val="22"/>
              </w:rPr>
            </w:pPr>
            <w:r w:rsidRPr="00C335ED">
              <w:rPr>
                <w:rFonts w:ascii="Times New Roman" w:hAnsi="Times New Roman"/>
                <w:b/>
                <w:bCs/>
                <w:sz w:val="22"/>
                <w:szCs w:val="22"/>
              </w:rPr>
              <w:t>Type of Respondent</w:t>
            </w:r>
          </w:p>
        </w:tc>
        <w:tc>
          <w:tcPr>
            <w:tcW w:w="1309" w:type="dxa"/>
          </w:tcPr>
          <w:p w14:paraId="5DB13104" w14:textId="77777777" w:rsidR="00811D4E" w:rsidRPr="00C335ED" w:rsidRDefault="00811D4E" w:rsidP="000E08CF">
            <w:pPr>
              <w:tabs>
                <w:tab w:val="left" w:pos="720"/>
                <w:tab w:val="right" w:pos="8732"/>
              </w:tabs>
              <w:rPr>
                <w:rFonts w:ascii="Times New Roman" w:hAnsi="Times New Roman"/>
                <w:b/>
                <w:bCs/>
                <w:sz w:val="22"/>
                <w:szCs w:val="22"/>
              </w:rPr>
            </w:pPr>
            <w:r w:rsidRPr="00C335ED">
              <w:rPr>
                <w:rFonts w:ascii="Times New Roman" w:hAnsi="Times New Roman"/>
                <w:b/>
                <w:bCs/>
                <w:sz w:val="22"/>
                <w:szCs w:val="22"/>
              </w:rPr>
              <w:t>Total Burden Hours</w:t>
            </w:r>
          </w:p>
        </w:tc>
        <w:tc>
          <w:tcPr>
            <w:tcW w:w="1321" w:type="dxa"/>
          </w:tcPr>
          <w:p w14:paraId="71B23C51" w14:textId="77777777" w:rsidR="00811D4E" w:rsidRPr="00C335ED" w:rsidRDefault="00811D4E" w:rsidP="000E08CF">
            <w:pPr>
              <w:tabs>
                <w:tab w:val="left" w:pos="720"/>
                <w:tab w:val="right" w:pos="8732"/>
              </w:tabs>
              <w:rPr>
                <w:rFonts w:ascii="Times New Roman" w:hAnsi="Times New Roman"/>
                <w:b/>
                <w:bCs/>
                <w:sz w:val="22"/>
                <w:szCs w:val="22"/>
              </w:rPr>
            </w:pPr>
            <w:r w:rsidRPr="00C335ED">
              <w:rPr>
                <w:rFonts w:ascii="Times New Roman" w:hAnsi="Times New Roman"/>
                <w:b/>
                <w:bCs/>
                <w:sz w:val="22"/>
                <w:szCs w:val="22"/>
              </w:rPr>
              <w:t>Hourly Wage Rate</w:t>
            </w:r>
          </w:p>
        </w:tc>
        <w:tc>
          <w:tcPr>
            <w:tcW w:w="1737" w:type="dxa"/>
          </w:tcPr>
          <w:p w14:paraId="5DC0F5C5" w14:textId="77777777" w:rsidR="00811D4E" w:rsidRPr="00C335ED" w:rsidRDefault="00811D4E" w:rsidP="000E08CF">
            <w:pPr>
              <w:tabs>
                <w:tab w:val="left" w:pos="720"/>
                <w:tab w:val="right" w:pos="8732"/>
              </w:tabs>
              <w:rPr>
                <w:rFonts w:ascii="Times New Roman" w:hAnsi="Times New Roman"/>
                <w:sz w:val="22"/>
                <w:szCs w:val="22"/>
              </w:rPr>
            </w:pPr>
            <w:r w:rsidRPr="00C335ED">
              <w:rPr>
                <w:rFonts w:ascii="Times New Roman" w:hAnsi="Times New Roman"/>
                <w:b/>
                <w:bCs/>
                <w:sz w:val="22"/>
                <w:szCs w:val="22"/>
              </w:rPr>
              <w:t>Total Respondent Costs</w:t>
            </w:r>
          </w:p>
        </w:tc>
      </w:tr>
      <w:tr w:rsidR="00811D4E" w:rsidRPr="002A1040" w14:paraId="1613CE49" w14:textId="77777777" w:rsidTr="000A5372">
        <w:tc>
          <w:tcPr>
            <w:tcW w:w="2113" w:type="dxa"/>
          </w:tcPr>
          <w:p w14:paraId="23EA5A31" w14:textId="286488DD" w:rsidR="00811D4E" w:rsidRPr="00C335ED" w:rsidRDefault="00811D4E" w:rsidP="000A5372">
            <w:pPr>
              <w:tabs>
                <w:tab w:val="left" w:pos="720"/>
                <w:tab w:val="right" w:pos="8732"/>
              </w:tabs>
              <w:rPr>
                <w:rFonts w:ascii="Times New Roman" w:hAnsi="Times New Roman"/>
                <w:sz w:val="22"/>
                <w:szCs w:val="22"/>
              </w:rPr>
            </w:pPr>
            <w:r w:rsidRPr="00C335ED">
              <w:rPr>
                <w:rFonts w:ascii="Times New Roman" w:hAnsi="Times New Roman"/>
                <w:sz w:val="22"/>
                <w:szCs w:val="22"/>
              </w:rPr>
              <w:t>Provider</w:t>
            </w:r>
            <w:r w:rsidR="000A5372">
              <w:rPr>
                <w:rFonts w:ascii="Times New Roman" w:hAnsi="Times New Roman"/>
                <w:sz w:val="22"/>
                <w:szCs w:val="22"/>
              </w:rPr>
              <w:t>s/</w:t>
            </w:r>
            <w:r w:rsidRPr="00C335ED">
              <w:rPr>
                <w:rFonts w:ascii="Times New Roman" w:hAnsi="Times New Roman"/>
                <w:sz w:val="22"/>
                <w:szCs w:val="22"/>
              </w:rPr>
              <w:t xml:space="preserve"> Advocates</w:t>
            </w:r>
          </w:p>
        </w:tc>
        <w:tc>
          <w:tcPr>
            <w:tcW w:w="1309" w:type="dxa"/>
            <w:vAlign w:val="bottom"/>
          </w:tcPr>
          <w:p w14:paraId="7092CC42" w14:textId="2E84CA74" w:rsidR="00811D4E" w:rsidRPr="00103143" w:rsidRDefault="00103143" w:rsidP="000E08CF">
            <w:pPr>
              <w:tabs>
                <w:tab w:val="left" w:pos="720"/>
                <w:tab w:val="right" w:pos="8732"/>
              </w:tabs>
              <w:rPr>
                <w:rFonts w:ascii="Times New Roman" w:hAnsi="Times New Roman"/>
                <w:sz w:val="22"/>
                <w:szCs w:val="22"/>
              </w:rPr>
            </w:pPr>
            <w:r w:rsidRPr="00103143">
              <w:rPr>
                <w:rFonts w:ascii="Times New Roman" w:hAnsi="Times New Roman"/>
                <w:sz w:val="22"/>
                <w:szCs w:val="22"/>
              </w:rPr>
              <w:t>231</w:t>
            </w:r>
          </w:p>
        </w:tc>
        <w:tc>
          <w:tcPr>
            <w:tcW w:w="1321" w:type="dxa"/>
          </w:tcPr>
          <w:p w14:paraId="4AB30499" w14:textId="77777777" w:rsidR="00811D4E" w:rsidRPr="00103143" w:rsidRDefault="00811D4E" w:rsidP="000E08CF">
            <w:pPr>
              <w:tabs>
                <w:tab w:val="left" w:pos="720"/>
                <w:tab w:val="right" w:pos="8732"/>
              </w:tabs>
              <w:rPr>
                <w:rFonts w:ascii="Times New Roman" w:hAnsi="Times New Roman"/>
                <w:sz w:val="22"/>
                <w:szCs w:val="22"/>
              </w:rPr>
            </w:pPr>
            <w:r w:rsidRPr="00103143">
              <w:rPr>
                <w:rFonts w:ascii="Times New Roman" w:hAnsi="Times New Roman"/>
                <w:sz w:val="22"/>
                <w:szCs w:val="22"/>
              </w:rPr>
              <w:t xml:space="preserve"> $101.26 </w:t>
            </w:r>
          </w:p>
        </w:tc>
        <w:tc>
          <w:tcPr>
            <w:tcW w:w="1737" w:type="dxa"/>
          </w:tcPr>
          <w:p w14:paraId="50C44EE7" w14:textId="1DB53846" w:rsidR="00811D4E" w:rsidRPr="00103143" w:rsidRDefault="00811D4E" w:rsidP="00103143">
            <w:pPr>
              <w:tabs>
                <w:tab w:val="left" w:pos="720"/>
                <w:tab w:val="right" w:pos="8732"/>
              </w:tabs>
              <w:rPr>
                <w:rFonts w:ascii="Times New Roman" w:hAnsi="Times New Roman"/>
                <w:sz w:val="22"/>
                <w:szCs w:val="22"/>
              </w:rPr>
            </w:pPr>
            <w:r w:rsidRPr="00103143">
              <w:rPr>
                <w:rFonts w:ascii="Times New Roman" w:hAnsi="Times New Roman"/>
                <w:sz w:val="22"/>
                <w:szCs w:val="22"/>
              </w:rPr>
              <w:t>$23</w:t>
            </w:r>
            <w:r w:rsidR="00103143" w:rsidRPr="00103143">
              <w:rPr>
                <w:rFonts w:ascii="Times New Roman" w:hAnsi="Times New Roman"/>
                <w:sz w:val="22"/>
                <w:szCs w:val="22"/>
              </w:rPr>
              <w:t>,</w:t>
            </w:r>
            <w:r w:rsidRPr="00103143">
              <w:rPr>
                <w:rFonts w:ascii="Times New Roman" w:hAnsi="Times New Roman"/>
                <w:sz w:val="22"/>
                <w:szCs w:val="22"/>
              </w:rPr>
              <w:t>39</w:t>
            </w:r>
            <w:r w:rsidR="00103143" w:rsidRPr="00103143">
              <w:rPr>
                <w:rFonts w:ascii="Times New Roman" w:hAnsi="Times New Roman"/>
                <w:sz w:val="22"/>
                <w:szCs w:val="22"/>
              </w:rPr>
              <w:t>1.06</w:t>
            </w:r>
          </w:p>
        </w:tc>
      </w:tr>
      <w:tr w:rsidR="00811D4E" w:rsidRPr="002A1040" w14:paraId="6F73BDF3" w14:textId="77777777" w:rsidTr="000A5372">
        <w:tc>
          <w:tcPr>
            <w:tcW w:w="2113" w:type="dxa"/>
          </w:tcPr>
          <w:p w14:paraId="10DD7C3F" w14:textId="0E917912" w:rsidR="00811D4E" w:rsidRPr="00C335ED" w:rsidRDefault="00811D4E" w:rsidP="000E08CF">
            <w:pPr>
              <w:tabs>
                <w:tab w:val="left" w:pos="720"/>
                <w:tab w:val="right" w:pos="8732"/>
              </w:tabs>
              <w:rPr>
                <w:rFonts w:ascii="Times New Roman" w:hAnsi="Times New Roman"/>
                <w:sz w:val="22"/>
                <w:szCs w:val="22"/>
              </w:rPr>
            </w:pPr>
            <w:r w:rsidRPr="00C335ED">
              <w:rPr>
                <w:rFonts w:ascii="Times New Roman" w:hAnsi="Times New Roman"/>
                <w:sz w:val="22"/>
                <w:szCs w:val="22"/>
              </w:rPr>
              <w:t>Patients</w:t>
            </w:r>
            <w:r w:rsidR="00503615" w:rsidRPr="00C335ED">
              <w:rPr>
                <w:rFonts w:ascii="Times New Roman" w:hAnsi="Times New Roman"/>
                <w:sz w:val="22"/>
                <w:szCs w:val="22"/>
              </w:rPr>
              <w:t>/Clients</w:t>
            </w:r>
          </w:p>
        </w:tc>
        <w:tc>
          <w:tcPr>
            <w:tcW w:w="1309" w:type="dxa"/>
            <w:vAlign w:val="bottom"/>
          </w:tcPr>
          <w:p w14:paraId="1BF4396E" w14:textId="258DEEC5" w:rsidR="00811D4E" w:rsidRPr="00103143" w:rsidRDefault="003207E6" w:rsidP="000E08CF">
            <w:pPr>
              <w:tabs>
                <w:tab w:val="left" w:pos="720"/>
                <w:tab w:val="right" w:pos="8732"/>
              </w:tabs>
              <w:rPr>
                <w:rFonts w:ascii="Times New Roman" w:hAnsi="Times New Roman"/>
                <w:sz w:val="22"/>
                <w:szCs w:val="22"/>
              </w:rPr>
            </w:pPr>
            <w:r w:rsidRPr="00103143">
              <w:rPr>
                <w:rFonts w:ascii="Times New Roman" w:hAnsi="Times New Roman"/>
                <w:sz w:val="22"/>
                <w:szCs w:val="22"/>
              </w:rPr>
              <w:t>300</w:t>
            </w:r>
          </w:p>
        </w:tc>
        <w:tc>
          <w:tcPr>
            <w:tcW w:w="1321" w:type="dxa"/>
          </w:tcPr>
          <w:p w14:paraId="034C01D0" w14:textId="77777777" w:rsidR="00811D4E" w:rsidRPr="00103143" w:rsidRDefault="00811D4E" w:rsidP="000E08CF">
            <w:pPr>
              <w:tabs>
                <w:tab w:val="left" w:pos="720"/>
                <w:tab w:val="right" w:pos="8732"/>
              </w:tabs>
              <w:rPr>
                <w:rFonts w:ascii="Times New Roman" w:hAnsi="Times New Roman"/>
                <w:sz w:val="22"/>
                <w:szCs w:val="22"/>
              </w:rPr>
            </w:pPr>
            <w:r w:rsidRPr="00103143">
              <w:rPr>
                <w:rFonts w:ascii="Times New Roman" w:hAnsi="Times New Roman"/>
                <w:sz w:val="22"/>
                <w:szCs w:val="22"/>
              </w:rPr>
              <w:t>$14.08</w:t>
            </w:r>
          </w:p>
        </w:tc>
        <w:tc>
          <w:tcPr>
            <w:tcW w:w="1737" w:type="dxa"/>
          </w:tcPr>
          <w:p w14:paraId="15EE3BAB" w14:textId="3A139E85" w:rsidR="00811D4E" w:rsidRPr="00103143" w:rsidRDefault="00811D4E" w:rsidP="00103143">
            <w:pPr>
              <w:tabs>
                <w:tab w:val="left" w:pos="720"/>
                <w:tab w:val="right" w:pos="8732"/>
              </w:tabs>
              <w:rPr>
                <w:rFonts w:ascii="Times New Roman" w:hAnsi="Times New Roman"/>
                <w:sz w:val="22"/>
                <w:szCs w:val="22"/>
              </w:rPr>
            </w:pPr>
            <w:r w:rsidRPr="00103143">
              <w:rPr>
                <w:rFonts w:ascii="Times New Roman" w:hAnsi="Times New Roman"/>
                <w:sz w:val="22"/>
                <w:szCs w:val="22"/>
              </w:rPr>
              <w:t>$</w:t>
            </w:r>
            <w:r w:rsidR="00103143" w:rsidRPr="00103143">
              <w:rPr>
                <w:rFonts w:ascii="Times New Roman" w:hAnsi="Times New Roman"/>
                <w:sz w:val="22"/>
                <w:szCs w:val="22"/>
              </w:rPr>
              <w:t>4,426.52</w:t>
            </w:r>
          </w:p>
        </w:tc>
      </w:tr>
      <w:tr w:rsidR="00811D4E" w:rsidRPr="002A1040" w14:paraId="18D7DB03" w14:textId="77777777" w:rsidTr="00741D13">
        <w:trPr>
          <w:trHeight w:val="260"/>
        </w:trPr>
        <w:tc>
          <w:tcPr>
            <w:tcW w:w="2113" w:type="dxa"/>
          </w:tcPr>
          <w:p w14:paraId="464B1846" w14:textId="77777777" w:rsidR="00811D4E" w:rsidRPr="00C335ED" w:rsidRDefault="00811D4E" w:rsidP="000E08CF">
            <w:pPr>
              <w:tabs>
                <w:tab w:val="left" w:pos="720"/>
                <w:tab w:val="right" w:pos="8732"/>
              </w:tabs>
              <w:rPr>
                <w:rFonts w:ascii="Times New Roman" w:hAnsi="Times New Roman"/>
                <w:b/>
                <w:sz w:val="22"/>
                <w:szCs w:val="22"/>
              </w:rPr>
            </w:pPr>
            <w:r w:rsidRPr="00C335ED">
              <w:rPr>
                <w:rFonts w:ascii="Times New Roman" w:hAnsi="Times New Roman"/>
                <w:b/>
                <w:sz w:val="22"/>
                <w:szCs w:val="22"/>
              </w:rPr>
              <w:t>Total</w:t>
            </w:r>
          </w:p>
        </w:tc>
        <w:tc>
          <w:tcPr>
            <w:tcW w:w="1309" w:type="dxa"/>
          </w:tcPr>
          <w:p w14:paraId="49EF1F27" w14:textId="19B21EC0" w:rsidR="00811D4E" w:rsidRPr="00103143" w:rsidRDefault="00741D13" w:rsidP="000E08CF">
            <w:pPr>
              <w:tabs>
                <w:tab w:val="left" w:pos="720"/>
                <w:tab w:val="right" w:pos="8732"/>
              </w:tabs>
              <w:rPr>
                <w:rFonts w:ascii="Times New Roman" w:hAnsi="Times New Roman"/>
                <w:b/>
                <w:sz w:val="22"/>
                <w:szCs w:val="22"/>
              </w:rPr>
            </w:pPr>
            <w:r>
              <w:rPr>
                <w:rFonts w:ascii="Times New Roman" w:hAnsi="Times New Roman"/>
                <w:b/>
                <w:sz w:val="22"/>
                <w:szCs w:val="22"/>
              </w:rPr>
              <w:t>531</w:t>
            </w:r>
          </w:p>
        </w:tc>
        <w:tc>
          <w:tcPr>
            <w:tcW w:w="1321" w:type="dxa"/>
          </w:tcPr>
          <w:p w14:paraId="758B0051" w14:textId="05AB789A" w:rsidR="00811D4E" w:rsidRPr="00103143" w:rsidRDefault="00811D4E" w:rsidP="000E08CF">
            <w:pPr>
              <w:tabs>
                <w:tab w:val="left" w:pos="720"/>
                <w:tab w:val="right" w:pos="8732"/>
              </w:tabs>
              <w:rPr>
                <w:rFonts w:ascii="Times New Roman" w:hAnsi="Times New Roman"/>
                <w:b/>
                <w:sz w:val="22"/>
                <w:szCs w:val="22"/>
              </w:rPr>
            </w:pPr>
          </w:p>
        </w:tc>
        <w:tc>
          <w:tcPr>
            <w:tcW w:w="1737" w:type="dxa"/>
          </w:tcPr>
          <w:p w14:paraId="70982BDE" w14:textId="06706926" w:rsidR="00811D4E" w:rsidRPr="00103143" w:rsidRDefault="00C94A68" w:rsidP="003207E6">
            <w:pPr>
              <w:tabs>
                <w:tab w:val="left" w:pos="720"/>
                <w:tab w:val="right" w:pos="8732"/>
              </w:tabs>
              <w:rPr>
                <w:rFonts w:ascii="Times New Roman" w:hAnsi="Times New Roman"/>
                <w:b/>
                <w:sz w:val="22"/>
                <w:szCs w:val="22"/>
              </w:rPr>
            </w:pPr>
            <w:r w:rsidRPr="00103143">
              <w:rPr>
                <w:rFonts w:ascii="Times New Roman" w:hAnsi="Times New Roman"/>
                <w:b/>
                <w:sz w:val="22"/>
                <w:szCs w:val="22"/>
              </w:rPr>
              <w:t>$</w:t>
            </w:r>
            <w:r w:rsidR="003207E6" w:rsidRPr="00103143">
              <w:rPr>
                <w:rFonts w:ascii="Times New Roman" w:hAnsi="Times New Roman"/>
                <w:b/>
                <w:sz w:val="22"/>
                <w:szCs w:val="22"/>
              </w:rPr>
              <w:t>27,817.58</w:t>
            </w:r>
          </w:p>
        </w:tc>
      </w:tr>
    </w:tbl>
    <w:p w14:paraId="4017AB16" w14:textId="77777777" w:rsidR="00811D4E" w:rsidRPr="002A1040" w:rsidRDefault="00811D4E">
      <w:pPr>
        <w:tabs>
          <w:tab w:val="left" w:pos="720"/>
          <w:tab w:val="right" w:pos="8732"/>
        </w:tabs>
        <w:rPr>
          <w:rFonts w:ascii="Times New Roman" w:hAnsi="Times New Roman"/>
          <w:sz w:val="24"/>
          <w:szCs w:val="24"/>
          <w:u w:val="single"/>
        </w:rPr>
      </w:pPr>
    </w:p>
    <w:p w14:paraId="1DAA7EF4" w14:textId="49A94C07" w:rsidR="00536C46" w:rsidRPr="002A1040" w:rsidRDefault="00536C46" w:rsidP="00536C46">
      <w:pPr>
        <w:pStyle w:val="PlainText"/>
        <w:rPr>
          <w:rFonts w:ascii="Times New Roman" w:hAnsi="Times New Roman" w:cs="Times New Roman"/>
          <w:bCs/>
          <w:sz w:val="24"/>
          <w:szCs w:val="24"/>
        </w:rPr>
      </w:pPr>
      <w:r w:rsidRPr="002A1040">
        <w:rPr>
          <w:rFonts w:ascii="Times New Roman" w:hAnsi="Times New Roman" w:cs="Times New Roman"/>
          <w:sz w:val="24"/>
          <w:szCs w:val="24"/>
        </w:rPr>
        <w:t>Wages for the practice manager are based upon 2014 Bureau of Labor Statistics data for the average hourly wages of an OB/GYN.</w:t>
      </w:r>
      <w:r w:rsidRPr="002A1040">
        <w:rPr>
          <w:rFonts w:ascii="Times New Roman" w:hAnsi="Times New Roman" w:cs="Times New Roman"/>
          <w:bCs/>
          <w:sz w:val="24"/>
          <w:szCs w:val="24"/>
        </w:rPr>
        <w:t xml:space="preserve"> Wages for the </w:t>
      </w:r>
      <w:r w:rsidR="00503615" w:rsidRPr="002A1040">
        <w:rPr>
          <w:rFonts w:ascii="Times New Roman" w:hAnsi="Times New Roman" w:cs="Times New Roman"/>
          <w:bCs/>
          <w:sz w:val="24"/>
          <w:szCs w:val="24"/>
        </w:rPr>
        <w:t>patient/client</w:t>
      </w:r>
      <w:r w:rsidRPr="002A1040">
        <w:rPr>
          <w:rFonts w:ascii="Times New Roman" w:hAnsi="Times New Roman" w:cs="Times New Roman"/>
          <w:bCs/>
          <w:sz w:val="24"/>
          <w:szCs w:val="24"/>
        </w:rPr>
        <w:t xml:space="preserve"> are based upon the 2014 Bureau of Labor Statistics data for the average hourly wage for individuals in the leisure/hospitality industry. This lower hourly rate is based upon the fact that health center patient</w:t>
      </w:r>
      <w:r w:rsidR="00DA1FD2" w:rsidRPr="002A1040">
        <w:rPr>
          <w:rFonts w:ascii="Times New Roman" w:hAnsi="Times New Roman" w:cs="Times New Roman"/>
          <w:bCs/>
          <w:sz w:val="24"/>
          <w:szCs w:val="24"/>
        </w:rPr>
        <w:t xml:space="preserve">s are predominantly low income and </w:t>
      </w:r>
      <w:r w:rsidRPr="002A1040">
        <w:rPr>
          <w:rFonts w:ascii="Times New Roman" w:hAnsi="Times New Roman" w:cs="Times New Roman"/>
          <w:bCs/>
          <w:sz w:val="24"/>
          <w:szCs w:val="24"/>
        </w:rPr>
        <w:t>underserved with less education.</w:t>
      </w:r>
    </w:p>
    <w:p w14:paraId="7DCE10DA" w14:textId="77777777" w:rsidR="008C13E2" w:rsidRPr="002A1040" w:rsidRDefault="008C13E2">
      <w:pPr>
        <w:tabs>
          <w:tab w:val="left" w:pos="720"/>
          <w:tab w:val="right" w:pos="8732"/>
        </w:tabs>
        <w:rPr>
          <w:rFonts w:ascii="Times New Roman" w:hAnsi="Times New Roman"/>
          <w:sz w:val="24"/>
          <w:szCs w:val="24"/>
          <w:u w:val="single"/>
        </w:rPr>
      </w:pPr>
    </w:p>
    <w:p w14:paraId="7DCE10DE" w14:textId="77777777" w:rsidR="001879E5" w:rsidRPr="002A1040" w:rsidRDefault="001879E5">
      <w:pPr>
        <w:tabs>
          <w:tab w:val="left" w:pos="720"/>
          <w:tab w:val="right" w:pos="8732"/>
        </w:tabs>
        <w:rPr>
          <w:rFonts w:ascii="Times New Roman" w:hAnsi="Times New Roman"/>
          <w:sz w:val="24"/>
          <w:szCs w:val="24"/>
          <w:u w:val="single"/>
        </w:rPr>
      </w:pPr>
      <w:r w:rsidRPr="002A1040">
        <w:rPr>
          <w:rFonts w:ascii="Times New Roman" w:hAnsi="Times New Roman"/>
          <w:sz w:val="24"/>
          <w:szCs w:val="24"/>
        </w:rPr>
        <w:t>14.</w:t>
      </w:r>
      <w:r w:rsidRPr="002A1040">
        <w:rPr>
          <w:rFonts w:ascii="Times New Roman" w:hAnsi="Times New Roman"/>
          <w:sz w:val="24"/>
          <w:szCs w:val="24"/>
        </w:rPr>
        <w:tab/>
      </w:r>
      <w:r w:rsidRPr="002A1040">
        <w:rPr>
          <w:rFonts w:ascii="Times New Roman" w:hAnsi="Times New Roman"/>
          <w:sz w:val="24"/>
          <w:szCs w:val="24"/>
          <w:u w:val="single"/>
        </w:rPr>
        <w:t>Estimates of Annualized Cost to the Government</w:t>
      </w:r>
    </w:p>
    <w:p w14:paraId="27CA1547" w14:textId="61526E6F" w:rsidR="0067742D" w:rsidRPr="002A1040" w:rsidRDefault="0067742D" w:rsidP="00C335ED">
      <w:pPr>
        <w:spacing w:before="240"/>
        <w:rPr>
          <w:rFonts w:ascii="Times New Roman" w:hAnsi="Times New Roman"/>
          <w:sz w:val="24"/>
          <w:szCs w:val="24"/>
        </w:rPr>
      </w:pPr>
      <w:r w:rsidRPr="00741D13">
        <w:rPr>
          <w:rFonts w:ascii="Times New Roman" w:hAnsi="Times New Roman"/>
          <w:sz w:val="24"/>
          <w:szCs w:val="24"/>
        </w:rPr>
        <w:t>The agency estimates the</w:t>
      </w:r>
      <w:r w:rsidR="00741D13">
        <w:rPr>
          <w:rFonts w:ascii="Times New Roman" w:hAnsi="Times New Roman"/>
          <w:sz w:val="24"/>
          <w:szCs w:val="24"/>
        </w:rPr>
        <w:t xml:space="preserve"> total</w:t>
      </w:r>
      <w:r w:rsidRPr="00741D13">
        <w:rPr>
          <w:rFonts w:ascii="Times New Roman" w:hAnsi="Times New Roman"/>
          <w:sz w:val="24"/>
          <w:szCs w:val="24"/>
        </w:rPr>
        <w:t xml:space="preserve"> average cost (1 year) to the Federal Government is $56,847.62 for contracted data collection at $50,000, 2 Federal staff at Grade 14 Step 10 ($66.85 hourly rate) for 78 hours ($5214.30), $1275 for 1 Federal Staff at Grade 14 Step 2 ($53.14 hourly rate) for 24 hours ($1275), 1 Federal Staff at GS 15 Step 6 ($70.57 hourly rate) for 4 hours ($282.28), and $76.04 for 1 Federal Staff at GS 15 Step 10 ($76.04 hourly rate) for 1 hour ($76.04).</w:t>
      </w:r>
      <w:r w:rsidRPr="002A1040">
        <w:rPr>
          <w:rFonts w:ascii="Times New Roman" w:hAnsi="Times New Roman"/>
          <w:sz w:val="24"/>
          <w:szCs w:val="24"/>
        </w:rPr>
        <w:t xml:space="preserve">  </w:t>
      </w:r>
    </w:p>
    <w:p w14:paraId="7DCE10E3" w14:textId="77777777" w:rsidR="001879E5" w:rsidRPr="002A1040" w:rsidRDefault="001879E5">
      <w:pPr>
        <w:tabs>
          <w:tab w:val="left" w:pos="-720"/>
        </w:tabs>
        <w:rPr>
          <w:rFonts w:ascii="Times New Roman" w:hAnsi="Times New Roman"/>
          <w:sz w:val="24"/>
          <w:szCs w:val="24"/>
        </w:rPr>
      </w:pPr>
    </w:p>
    <w:p w14:paraId="7DCE10E4" w14:textId="77777777" w:rsidR="001879E5" w:rsidRPr="002A1040" w:rsidRDefault="001879E5">
      <w:pPr>
        <w:tabs>
          <w:tab w:val="left" w:pos="-720"/>
          <w:tab w:val="left" w:pos="44"/>
          <w:tab w:val="left" w:pos="720"/>
          <w:tab w:val="right" w:pos="8732"/>
        </w:tabs>
        <w:rPr>
          <w:rFonts w:ascii="Times New Roman" w:hAnsi="Times New Roman"/>
          <w:sz w:val="24"/>
          <w:szCs w:val="24"/>
          <w:u w:val="single"/>
        </w:rPr>
      </w:pPr>
      <w:r w:rsidRPr="002A1040">
        <w:rPr>
          <w:rFonts w:ascii="Times New Roman" w:hAnsi="Times New Roman"/>
          <w:sz w:val="24"/>
          <w:szCs w:val="24"/>
        </w:rPr>
        <w:t>15.</w:t>
      </w:r>
      <w:r w:rsidRPr="002A1040">
        <w:rPr>
          <w:rFonts w:ascii="Times New Roman" w:hAnsi="Times New Roman"/>
          <w:sz w:val="24"/>
          <w:szCs w:val="24"/>
        </w:rPr>
        <w:tab/>
      </w:r>
      <w:r w:rsidRPr="002A1040">
        <w:rPr>
          <w:rFonts w:ascii="Times New Roman" w:hAnsi="Times New Roman"/>
          <w:sz w:val="24"/>
          <w:szCs w:val="24"/>
          <w:u w:val="single"/>
        </w:rPr>
        <w:t>Change in Burden</w:t>
      </w:r>
    </w:p>
    <w:p w14:paraId="7DCE10E5" w14:textId="77777777" w:rsidR="001879E5" w:rsidRPr="002A1040" w:rsidRDefault="001879E5">
      <w:pPr>
        <w:tabs>
          <w:tab w:val="left" w:pos="-720"/>
          <w:tab w:val="left" w:pos="44"/>
          <w:tab w:val="left" w:pos="720"/>
          <w:tab w:val="right" w:pos="8732"/>
        </w:tabs>
        <w:rPr>
          <w:rFonts w:ascii="Times New Roman" w:hAnsi="Times New Roman"/>
          <w:sz w:val="24"/>
          <w:szCs w:val="24"/>
        </w:rPr>
      </w:pPr>
    </w:p>
    <w:p w14:paraId="7DCE10E6" w14:textId="53D246DF" w:rsidR="001879E5" w:rsidRPr="002A1040" w:rsidRDefault="009B2219">
      <w:pPr>
        <w:tabs>
          <w:tab w:val="left" w:pos="-720"/>
        </w:tabs>
        <w:rPr>
          <w:rFonts w:ascii="Times New Roman" w:hAnsi="Times New Roman"/>
          <w:sz w:val="24"/>
          <w:szCs w:val="24"/>
        </w:rPr>
      </w:pPr>
      <w:r>
        <w:rPr>
          <w:rFonts w:ascii="Times New Roman" w:hAnsi="Times New Roman"/>
          <w:sz w:val="24"/>
          <w:szCs w:val="24"/>
        </w:rPr>
        <w:t>Not Applicable.</w:t>
      </w:r>
      <w:r w:rsidR="000038EB" w:rsidRPr="002A1040">
        <w:rPr>
          <w:rFonts w:ascii="Times New Roman" w:hAnsi="Times New Roman"/>
          <w:sz w:val="24"/>
          <w:szCs w:val="24"/>
        </w:rPr>
        <w:t xml:space="preserve"> </w:t>
      </w:r>
      <w:r w:rsidR="00B906CD" w:rsidRPr="002A1040">
        <w:rPr>
          <w:rFonts w:ascii="Times New Roman" w:hAnsi="Times New Roman"/>
          <w:sz w:val="24"/>
          <w:szCs w:val="24"/>
        </w:rPr>
        <w:t>This is a new activity under HRSA’s generic clearance and will be included in the total burden currently approved by OMB under OMB Control No. 0915-0212.</w:t>
      </w:r>
    </w:p>
    <w:p w14:paraId="7DCE10E7" w14:textId="77777777" w:rsidR="001879E5" w:rsidRPr="002A1040" w:rsidRDefault="001879E5">
      <w:pPr>
        <w:tabs>
          <w:tab w:val="left" w:pos="-720"/>
        </w:tabs>
        <w:rPr>
          <w:rFonts w:ascii="Times New Roman" w:hAnsi="Times New Roman"/>
          <w:sz w:val="24"/>
          <w:szCs w:val="24"/>
        </w:rPr>
      </w:pPr>
    </w:p>
    <w:p w14:paraId="7DCE10E8" w14:textId="77777777" w:rsidR="001879E5" w:rsidRPr="002A1040" w:rsidRDefault="001879E5">
      <w:pPr>
        <w:tabs>
          <w:tab w:val="left" w:pos="-720"/>
          <w:tab w:val="left" w:pos="720"/>
          <w:tab w:val="right" w:pos="8732"/>
        </w:tabs>
        <w:rPr>
          <w:rFonts w:ascii="Times New Roman" w:hAnsi="Times New Roman"/>
          <w:sz w:val="24"/>
          <w:szCs w:val="24"/>
          <w:u w:val="single"/>
        </w:rPr>
      </w:pPr>
      <w:r w:rsidRPr="00EC2243">
        <w:rPr>
          <w:rFonts w:ascii="Times New Roman" w:hAnsi="Times New Roman"/>
          <w:sz w:val="24"/>
          <w:szCs w:val="24"/>
        </w:rPr>
        <w:t>16.</w:t>
      </w:r>
      <w:r w:rsidRPr="00EC2243">
        <w:rPr>
          <w:rFonts w:ascii="Times New Roman" w:hAnsi="Times New Roman"/>
          <w:sz w:val="24"/>
          <w:szCs w:val="24"/>
        </w:rPr>
        <w:tab/>
      </w:r>
      <w:r w:rsidRPr="00EC2243">
        <w:rPr>
          <w:rFonts w:ascii="Times New Roman" w:hAnsi="Times New Roman"/>
          <w:sz w:val="24"/>
          <w:szCs w:val="24"/>
          <w:u w:val="single"/>
        </w:rPr>
        <w:t>Plans for Analysis and Timetable of Key Activities</w:t>
      </w:r>
    </w:p>
    <w:p w14:paraId="7DCE10E9" w14:textId="77777777" w:rsidR="00176576" w:rsidRPr="002A1040" w:rsidRDefault="00176576" w:rsidP="00176576">
      <w:pPr>
        <w:pStyle w:val="NormalSS"/>
        <w:ind w:firstLine="0"/>
        <w:jc w:val="left"/>
        <w:rPr>
          <w:szCs w:val="24"/>
        </w:rPr>
      </w:pPr>
    </w:p>
    <w:p w14:paraId="1BED3423" w14:textId="1E6C5930" w:rsidR="008B3CC4" w:rsidRPr="002A1040" w:rsidRDefault="008B3CC4">
      <w:pPr>
        <w:tabs>
          <w:tab w:val="left" w:pos="-720"/>
          <w:tab w:val="right" w:pos="8692"/>
        </w:tabs>
        <w:rPr>
          <w:rFonts w:ascii="Times New Roman" w:hAnsi="Times New Roman"/>
          <w:sz w:val="24"/>
          <w:szCs w:val="24"/>
        </w:rPr>
      </w:pPr>
      <w:r w:rsidRPr="002A1040">
        <w:rPr>
          <w:rFonts w:ascii="Times New Roman" w:hAnsi="Times New Roman"/>
          <w:sz w:val="24"/>
          <w:szCs w:val="24"/>
        </w:rPr>
        <w:t xml:space="preserve">Anonymous data will be collected </w:t>
      </w:r>
      <w:r w:rsidR="005822D7" w:rsidRPr="002A1040">
        <w:rPr>
          <w:rFonts w:ascii="Times New Roman" w:hAnsi="Times New Roman"/>
          <w:sz w:val="24"/>
          <w:szCs w:val="24"/>
        </w:rPr>
        <w:t xml:space="preserve">and to be analyzed by </w:t>
      </w:r>
      <w:r w:rsidR="00741D13">
        <w:rPr>
          <w:rFonts w:ascii="Times New Roman" w:hAnsi="Times New Roman"/>
          <w:sz w:val="24"/>
          <w:szCs w:val="24"/>
        </w:rPr>
        <w:t>partners</w:t>
      </w:r>
      <w:r w:rsidR="005822D7" w:rsidRPr="002A1040">
        <w:rPr>
          <w:rFonts w:ascii="Times New Roman" w:hAnsi="Times New Roman"/>
          <w:sz w:val="24"/>
          <w:szCs w:val="24"/>
        </w:rPr>
        <w:t xml:space="preserve"> engaged in the</w:t>
      </w:r>
      <w:r w:rsidRPr="002A1040">
        <w:rPr>
          <w:rFonts w:ascii="Times New Roman" w:hAnsi="Times New Roman"/>
          <w:sz w:val="24"/>
          <w:szCs w:val="24"/>
        </w:rPr>
        <w:t xml:space="preserve"> </w:t>
      </w:r>
      <w:r w:rsidR="005822D7" w:rsidRPr="002A1040">
        <w:rPr>
          <w:rFonts w:ascii="Times New Roman" w:hAnsi="Times New Roman"/>
          <w:sz w:val="24"/>
          <w:szCs w:val="24"/>
        </w:rPr>
        <w:t>pilot</w:t>
      </w:r>
      <w:r w:rsidRPr="002A1040">
        <w:rPr>
          <w:rFonts w:ascii="Times New Roman" w:hAnsi="Times New Roman"/>
          <w:sz w:val="24"/>
          <w:szCs w:val="24"/>
        </w:rPr>
        <w:t>. All data collection tools are anonymous – that is, each survey/form has no identifying information or code linki</w:t>
      </w:r>
      <w:r w:rsidR="00741D13">
        <w:rPr>
          <w:rFonts w:ascii="Times New Roman" w:hAnsi="Times New Roman"/>
          <w:sz w:val="24"/>
          <w:szCs w:val="24"/>
        </w:rPr>
        <w:t xml:space="preserve">ng responses to the participant. Any </w:t>
      </w:r>
      <w:r w:rsidR="00CB3B39">
        <w:rPr>
          <w:rFonts w:ascii="Times New Roman" w:hAnsi="Times New Roman"/>
          <w:sz w:val="24"/>
          <w:szCs w:val="24"/>
        </w:rPr>
        <w:t xml:space="preserve">identifiable </w:t>
      </w:r>
      <w:r w:rsidR="00741D13">
        <w:rPr>
          <w:rFonts w:ascii="Times New Roman" w:hAnsi="Times New Roman"/>
          <w:sz w:val="24"/>
          <w:szCs w:val="24"/>
        </w:rPr>
        <w:t xml:space="preserve">results are intended for </w:t>
      </w:r>
      <w:r w:rsidR="00CB3B39">
        <w:rPr>
          <w:rFonts w:ascii="Times New Roman" w:hAnsi="Times New Roman"/>
          <w:sz w:val="24"/>
          <w:szCs w:val="24"/>
        </w:rPr>
        <w:t>internal use only and w</w:t>
      </w:r>
      <w:r w:rsidR="00741D13">
        <w:rPr>
          <w:rFonts w:ascii="Times New Roman" w:hAnsi="Times New Roman"/>
          <w:sz w:val="24"/>
          <w:szCs w:val="24"/>
        </w:rPr>
        <w:t>ill not be disclosed outside of engaged Federal partners.</w:t>
      </w:r>
    </w:p>
    <w:p w14:paraId="7DCE10EB" w14:textId="77777777" w:rsidR="006E3B33" w:rsidRPr="002A1040" w:rsidRDefault="006E3B33">
      <w:pPr>
        <w:tabs>
          <w:tab w:val="left" w:pos="-720"/>
          <w:tab w:val="right" w:pos="8692"/>
        </w:tabs>
        <w:rPr>
          <w:rFonts w:ascii="Times New Roman" w:hAnsi="Times New Roman"/>
          <w:sz w:val="24"/>
          <w:szCs w:val="24"/>
        </w:rPr>
      </w:pPr>
    </w:p>
    <w:p w14:paraId="7DCE10EC" w14:textId="77777777" w:rsidR="001879E5" w:rsidRPr="002A1040" w:rsidRDefault="001879E5">
      <w:pPr>
        <w:tabs>
          <w:tab w:val="left" w:pos="720"/>
          <w:tab w:val="right" w:pos="8692"/>
        </w:tabs>
        <w:rPr>
          <w:rFonts w:ascii="Times New Roman" w:hAnsi="Times New Roman"/>
          <w:sz w:val="24"/>
          <w:szCs w:val="24"/>
          <w:u w:val="single"/>
        </w:rPr>
      </w:pPr>
      <w:r w:rsidRPr="002A1040">
        <w:rPr>
          <w:rFonts w:ascii="Times New Roman" w:hAnsi="Times New Roman"/>
          <w:sz w:val="24"/>
          <w:szCs w:val="24"/>
        </w:rPr>
        <w:t>17.</w:t>
      </w:r>
      <w:r w:rsidRPr="002A1040">
        <w:rPr>
          <w:rFonts w:ascii="Times New Roman" w:hAnsi="Times New Roman"/>
          <w:sz w:val="24"/>
          <w:szCs w:val="24"/>
        </w:rPr>
        <w:tab/>
      </w:r>
      <w:r w:rsidRPr="002A1040">
        <w:rPr>
          <w:rFonts w:ascii="Times New Roman" w:hAnsi="Times New Roman"/>
          <w:sz w:val="24"/>
          <w:szCs w:val="24"/>
          <w:u w:val="single"/>
        </w:rPr>
        <w:t>Exemption for Display of Expiration Date</w:t>
      </w:r>
    </w:p>
    <w:p w14:paraId="7DCE10ED" w14:textId="77777777" w:rsidR="001879E5" w:rsidRPr="002A1040" w:rsidRDefault="001879E5">
      <w:pPr>
        <w:tabs>
          <w:tab w:val="left" w:pos="720"/>
          <w:tab w:val="right" w:pos="8692"/>
        </w:tabs>
        <w:rPr>
          <w:rFonts w:ascii="Times New Roman" w:hAnsi="Times New Roman"/>
          <w:sz w:val="24"/>
          <w:szCs w:val="24"/>
        </w:rPr>
      </w:pPr>
    </w:p>
    <w:p w14:paraId="7DCE10EE" w14:textId="77777777" w:rsidR="001879E5" w:rsidRPr="002A1040" w:rsidRDefault="001879E5">
      <w:pPr>
        <w:tabs>
          <w:tab w:val="left" w:pos="-720"/>
        </w:tabs>
        <w:rPr>
          <w:rFonts w:ascii="Times New Roman" w:hAnsi="Times New Roman"/>
          <w:sz w:val="24"/>
          <w:szCs w:val="24"/>
        </w:rPr>
      </w:pPr>
      <w:r w:rsidRPr="002A1040">
        <w:rPr>
          <w:rFonts w:ascii="Times New Roman" w:hAnsi="Times New Roman"/>
          <w:sz w:val="24"/>
          <w:szCs w:val="24"/>
        </w:rPr>
        <w:t>No exemption is being requested.  The expiration date will be displayed.</w:t>
      </w:r>
    </w:p>
    <w:p w14:paraId="7DCE10EF" w14:textId="77777777" w:rsidR="001879E5" w:rsidRPr="002A1040" w:rsidRDefault="001879E5">
      <w:pPr>
        <w:tabs>
          <w:tab w:val="left" w:pos="-720"/>
        </w:tabs>
        <w:rPr>
          <w:rFonts w:ascii="Times New Roman" w:hAnsi="Times New Roman"/>
          <w:sz w:val="24"/>
          <w:szCs w:val="24"/>
        </w:rPr>
      </w:pPr>
    </w:p>
    <w:p w14:paraId="7DCE10F0" w14:textId="77777777" w:rsidR="001879E5" w:rsidRPr="002A1040" w:rsidRDefault="001879E5">
      <w:pPr>
        <w:tabs>
          <w:tab w:val="left" w:pos="-720"/>
          <w:tab w:val="left" w:pos="720"/>
          <w:tab w:val="right" w:pos="8692"/>
        </w:tabs>
        <w:rPr>
          <w:rFonts w:ascii="Times New Roman" w:hAnsi="Times New Roman"/>
          <w:sz w:val="24"/>
          <w:szCs w:val="24"/>
          <w:u w:val="single"/>
        </w:rPr>
      </w:pPr>
      <w:r w:rsidRPr="002A1040">
        <w:rPr>
          <w:rFonts w:ascii="Times New Roman" w:hAnsi="Times New Roman"/>
          <w:sz w:val="24"/>
          <w:szCs w:val="24"/>
        </w:rPr>
        <w:t>18.</w:t>
      </w:r>
      <w:r w:rsidRPr="002A1040">
        <w:rPr>
          <w:rFonts w:ascii="Times New Roman" w:hAnsi="Times New Roman"/>
          <w:sz w:val="24"/>
          <w:szCs w:val="24"/>
        </w:rPr>
        <w:tab/>
      </w:r>
      <w:r w:rsidRPr="002A1040">
        <w:rPr>
          <w:rFonts w:ascii="Times New Roman" w:hAnsi="Times New Roman"/>
          <w:sz w:val="24"/>
          <w:szCs w:val="24"/>
          <w:u w:val="single"/>
        </w:rPr>
        <w:t>Certifications</w:t>
      </w:r>
    </w:p>
    <w:p w14:paraId="7DCE10F1" w14:textId="77777777" w:rsidR="001879E5" w:rsidRPr="002A1040" w:rsidRDefault="001879E5">
      <w:pPr>
        <w:tabs>
          <w:tab w:val="left" w:pos="-720"/>
          <w:tab w:val="left" w:pos="720"/>
          <w:tab w:val="right" w:pos="8692"/>
        </w:tabs>
        <w:rPr>
          <w:rFonts w:ascii="Times New Roman" w:hAnsi="Times New Roman"/>
          <w:sz w:val="24"/>
          <w:szCs w:val="24"/>
        </w:rPr>
      </w:pPr>
    </w:p>
    <w:p w14:paraId="7DCE10F2" w14:textId="77777777" w:rsidR="001879E5" w:rsidRPr="002A1040" w:rsidRDefault="00B906CD" w:rsidP="00176576">
      <w:pPr>
        <w:tabs>
          <w:tab w:val="left" w:pos="-720"/>
        </w:tabs>
        <w:rPr>
          <w:rFonts w:ascii="Times New Roman" w:hAnsi="Times New Roman"/>
          <w:sz w:val="24"/>
          <w:szCs w:val="24"/>
        </w:rPr>
      </w:pPr>
      <w:r w:rsidRPr="002A1040">
        <w:rPr>
          <w:rFonts w:ascii="Times New Roman" w:hAnsi="Times New Roman"/>
          <w:sz w:val="24"/>
          <w:szCs w:val="24"/>
        </w:rPr>
        <w:t>This information collection activity</w:t>
      </w:r>
      <w:r w:rsidR="001879E5" w:rsidRPr="002A1040">
        <w:rPr>
          <w:rFonts w:ascii="Times New Roman" w:hAnsi="Times New Roman"/>
          <w:sz w:val="24"/>
          <w:szCs w:val="24"/>
        </w:rPr>
        <w:t xml:space="preserve"> will comply with the</w:t>
      </w:r>
      <w:r w:rsidR="00176576" w:rsidRPr="002A1040">
        <w:rPr>
          <w:rFonts w:ascii="Times New Roman" w:hAnsi="Times New Roman"/>
          <w:sz w:val="24"/>
          <w:szCs w:val="24"/>
        </w:rPr>
        <w:t xml:space="preserve"> requirements in 5 CFR 1320.9. </w:t>
      </w:r>
    </w:p>
    <w:p w14:paraId="52DB5D8B" w14:textId="77777777" w:rsidR="00AC1972" w:rsidRPr="002A1040" w:rsidRDefault="00AC1972" w:rsidP="00176576">
      <w:pPr>
        <w:tabs>
          <w:tab w:val="left" w:pos="-720"/>
        </w:tabs>
        <w:rPr>
          <w:rFonts w:ascii="Times New Roman" w:hAnsi="Times New Roman"/>
          <w:sz w:val="24"/>
          <w:szCs w:val="24"/>
        </w:rPr>
      </w:pPr>
    </w:p>
    <w:p w14:paraId="44A091B6" w14:textId="77777777" w:rsidR="00AC1972" w:rsidRPr="002A1040" w:rsidRDefault="00AC1972" w:rsidP="00176576">
      <w:pPr>
        <w:tabs>
          <w:tab w:val="left" w:pos="-720"/>
        </w:tabs>
        <w:rPr>
          <w:rFonts w:ascii="Times New Roman" w:hAnsi="Times New Roman"/>
          <w:sz w:val="24"/>
          <w:szCs w:val="24"/>
        </w:rPr>
      </w:pPr>
    </w:p>
    <w:p w14:paraId="5F02C264" w14:textId="77777777" w:rsidR="00AC1972" w:rsidRPr="002A1040" w:rsidRDefault="00AC1972" w:rsidP="00176576">
      <w:pPr>
        <w:tabs>
          <w:tab w:val="left" w:pos="-720"/>
        </w:tabs>
        <w:rPr>
          <w:rFonts w:ascii="Times New Roman" w:hAnsi="Times New Roman"/>
          <w:sz w:val="24"/>
          <w:szCs w:val="24"/>
        </w:rPr>
      </w:pPr>
    </w:p>
    <w:sectPr w:rsidR="00AC1972" w:rsidRPr="002A1040" w:rsidSect="00721134">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8E8A7" w14:textId="77777777" w:rsidR="00404C64" w:rsidRDefault="00404C64">
      <w:r>
        <w:separator/>
      </w:r>
    </w:p>
  </w:endnote>
  <w:endnote w:type="continuationSeparator" w:id="0">
    <w:p w14:paraId="5E653CA9" w14:textId="77777777" w:rsidR="00404C64" w:rsidRDefault="0040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014B1" w14:textId="77777777" w:rsidR="00404C64" w:rsidRDefault="00404C64">
      <w:r>
        <w:separator/>
      </w:r>
    </w:p>
  </w:footnote>
  <w:footnote w:type="continuationSeparator" w:id="0">
    <w:p w14:paraId="4C6FD104" w14:textId="77777777" w:rsidR="00404C64" w:rsidRDefault="00404C64">
      <w:r>
        <w:continuationSeparator/>
      </w:r>
    </w:p>
  </w:footnote>
  <w:footnote w:id="1">
    <w:p w14:paraId="1390325A" w14:textId="4819911D" w:rsidR="009739F7" w:rsidRPr="002A1040" w:rsidRDefault="009739F7" w:rsidP="009739F7">
      <w:pPr>
        <w:rPr>
          <w:rFonts w:ascii="Times New Roman" w:hAnsi="Times New Roman"/>
          <w:sz w:val="24"/>
          <w:szCs w:val="24"/>
        </w:rPr>
      </w:pPr>
      <w:r w:rsidRPr="002A1040">
        <w:rPr>
          <w:rFonts w:ascii="Times New Roman" w:hAnsi="Times New Roman"/>
          <w:sz w:val="24"/>
          <w:szCs w:val="24"/>
          <w:vertAlign w:val="superscript"/>
        </w:rPr>
        <w:t>1</w:t>
      </w:r>
      <w:r w:rsidRPr="002A1040">
        <w:rPr>
          <w:rFonts w:ascii="Times New Roman" w:hAnsi="Times New Roman"/>
          <w:sz w:val="24"/>
          <w:szCs w:val="24"/>
        </w:rPr>
        <w:t xml:space="preserve"> The Patient Feedback Survey and Client Feedback Survey are essentially identical and are available in English and Spanish. The patient feedback survey, however, will be administered with patients of the health centers and the client feedback survey will be administered with clients of the health centers’ domestic violence community partner organization. These client/patient feedback surveys are available in both Spanish and English due to the high volume of Spanish communities served by the health centers and their community domestic violence partners involved in this project.</w:t>
      </w:r>
    </w:p>
    <w:p w14:paraId="3508899A" w14:textId="70AF63AF" w:rsidR="009739F7" w:rsidRDefault="009739F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5787971"/>
    <w:multiLevelType w:val="hybridMultilevel"/>
    <w:tmpl w:val="642C8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C6A5FB6"/>
    <w:multiLevelType w:val="hybridMultilevel"/>
    <w:tmpl w:val="39A4B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F66495E"/>
    <w:multiLevelType w:val="hybridMultilevel"/>
    <w:tmpl w:val="4F86193A"/>
    <w:lvl w:ilvl="0" w:tplc="04090001">
      <w:start w:val="1"/>
      <w:numFmt w:val="bullet"/>
      <w:lvlText w:val=""/>
      <w:lvlJc w:val="left"/>
      <w:pPr>
        <w:tabs>
          <w:tab w:val="num" w:pos="4050"/>
        </w:tabs>
        <w:ind w:left="4050" w:hanging="360"/>
      </w:pPr>
      <w:rPr>
        <w:rFonts w:ascii="Symbol" w:hAnsi="Symbol" w:hint="default"/>
      </w:rPr>
    </w:lvl>
    <w:lvl w:ilvl="1" w:tplc="04090015">
      <w:start w:val="1"/>
      <w:numFmt w:val="upperLetter"/>
      <w:lvlText w:val="%2."/>
      <w:lvlJc w:val="left"/>
      <w:pPr>
        <w:tabs>
          <w:tab w:val="num" w:pos="4770"/>
        </w:tabs>
        <w:ind w:left="4770" w:hanging="360"/>
      </w:pPr>
      <w:rPr>
        <w:rFonts w:hint="default"/>
      </w:rPr>
    </w:lvl>
    <w:lvl w:ilvl="2" w:tplc="04090005" w:tentative="1">
      <w:start w:val="1"/>
      <w:numFmt w:val="bullet"/>
      <w:lvlText w:val=""/>
      <w:lvlJc w:val="left"/>
      <w:pPr>
        <w:tabs>
          <w:tab w:val="num" w:pos="5490"/>
        </w:tabs>
        <w:ind w:left="5490" w:hanging="360"/>
      </w:pPr>
      <w:rPr>
        <w:rFonts w:ascii="Wingdings" w:hAnsi="Wingdings" w:hint="default"/>
      </w:rPr>
    </w:lvl>
    <w:lvl w:ilvl="3" w:tplc="04090001" w:tentative="1">
      <w:start w:val="1"/>
      <w:numFmt w:val="bullet"/>
      <w:lvlText w:val=""/>
      <w:lvlJc w:val="left"/>
      <w:pPr>
        <w:tabs>
          <w:tab w:val="num" w:pos="6210"/>
        </w:tabs>
        <w:ind w:left="6210" w:hanging="360"/>
      </w:pPr>
      <w:rPr>
        <w:rFonts w:ascii="Symbol" w:hAnsi="Symbol" w:hint="default"/>
      </w:rPr>
    </w:lvl>
    <w:lvl w:ilvl="4" w:tplc="04090003" w:tentative="1">
      <w:start w:val="1"/>
      <w:numFmt w:val="bullet"/>
      <w:lvlText w:val="o"/>
      <w:lvlJc w:val="left"/>
      <w:pPr>
        <w:tabs>
          <w:tab w:val="num" w:pos="6930"/>
        </w:tabs>
        <w:ind w:left="6930" w:hanging="360"/>
      </w:pPr>
      <w:rPr>
        <w:rFonts w:ascii="Courier New" w:hAnsi="Courier New" w:cs="Courier New" w:hint="default"/>
      </w:rPr>
    </w:lvl>
    <w:lvl w:ilvl="5" w:tplc="04090005" w:tentative="1">
      <w:start w:val="1"/>
      <w:numFmt w:val="bullet"/>
      <w:lvlText w:val=""/>
      <w:lvlJc w:val="left"/>
      <w:pPr>
        <w:tabs>
          <w:tab w:val="num" w:pos="7650"/>
        </w:tabs>
        <w:ind w:left="7650" w:hanging="360"/>
      </w:pPr>
      <w:rPr>
        <w:rFonts w:ascii="Wingdings" w:hAnsi="Wingdings" w:hint="default"/>
      </w:rPr>
    </w:lvl>
    <w:lvl w:ilvl="6" w:tplc="04090001" w:tentative="1">
      <w:start w:val="1"/>
      <w:numFmt w:val="bullet"/>
      <w:lvlText w:val=""/>
      <w:lvlJc w:val="left"/>
      <w:pPr>
        <w:tabs>
          <w:tab w:val="num" w:pos="8370"/>
        </w:tabs>
        <w:ind w:left="8370" w:hanging="360"/>
      </w:pPr>
      <w:rPr>
        <w:rFonts w:ascii="Symbol" w:hAnsi="Symbol" w:hint="default"/>
      </w:rPr>
    </w:lvl>
    <w:lvl w:ilvl="7" w:tplc="04090003" w:tentative="1">
      <w:start w:val="1"/>
      <w:numFmt w:val="bullet"/>
      <w:lvlText w:val="o"/>
      <w:lvlJc w:val="left"/>
      <w:pPr>
        <w:tabs>
          <w:tab w:val="num" w:pos="9090"/>
        </w:tabs>
        <w:ind w:left="9090" w:hanging="360"/>
      </w:pPr>
      <w:rPr>
        <w:rFonts w:ascii="Courier New" w:hAnsi="Courier New" w:cs="Courier New" w:hint="default"/>
      </w:rPr>
    </w:lvl>
    <w:lvl w:ilvl="8" w:tplc="04090005" w:tentative="1">
      <w:start w:val="1"/>
      <w:numFmt w:val="bullet"/>
      <w:lvlText w:val=""/>
      <w:lvlJc w:val="left"/>
      <w:pPr>
        <w:tabs>
          <w:tab w:val="num" w:pos="9810"/>
        </w:tabs>
        <w:ind w:left="9810" w:hanging="360"/>
      </w:pPr>
      <w:rPr>
        <w:rFonts w:ascii="Wingdings" w:hAnsi="Wingdings" w:hint="default"/>
      </w:rPr>
    </w:lvl>
  </w:abstractNum>
  <w:abstractNum w:abstractNumId="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FD84DF0"/>
    <w:multiLevelType w:val="hybridMultilevel"/>
    <w:tmpl w:val="4AC00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673A7"/>
    <w:multiLevelType w:val="hybridMultilevel"/>
    <w:tmpl w:val="1BBE9856"/>
    <w:lvl w:ilvl="0" w:tplc="063A4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4"/>
  </w:num>
  <w:num w:numId="3">
    <w:abstractNumId w:val="0"/>
  </w:num>
  <w:num w:numId="4">
    <w:abstractNumId w:val="14"/>
  </w:num>
  <w:num w:numId="5">
    <w:abstractNumId w:val="13"/>
  </w:num>
  <w:num w:numId="6">
    <w:abstractNumId w:val="12"/>
  </w:num>
  <w:num w:numId="7">
    <w:abstractNumId w:val="2"/>
  </w:num>
  <w:num w:numId="8">
    <w:abstractNumId w:val="6"/>
  </w:num>
  <w:num w:numId="9">
    <w:abstractNumId w:val="10"/>
  </w:num>
  <w:num w:numId="10">
    <w:abstractNumId w:val="5"/>
  </w:num>
  <w:num w:numId="11">
    <w:abstractNumId w:val="11"/>
  </w:num>
  <w:num w:numId="12">
    <w:abstractNumId w:val="3"/>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1B23"/>
    <w:rsid w:val="000038EB"/>
    <w:rsid w:val="0000591F"/>
    <w:rsid w:val="00005A99"/>
    <w:rsid w:val="000063EA"/>
    <w:rsid w:val="00024744"/>
    <w:rsid w:val="00053366"/>
    <w:rsid w:val="00054F22"/>
    <w:rsid w:val="0007047E"/>
    <w:rsid w:val="0007192E"/>
    <w:rsid w:val="00072B9E"/>
    <w:rsid w:val="00077808"/>
    <w:rsid w:val="00082725"/>
    <w:rsid w:val="000875F0"/>
    <w:rsid w:val="00095536"/>
    <w:rsid w:val="000A2FB5"/>
    <w:rsid w:val="000A5372"/>
    <w:rsid w:val="000B2E18"/>
    <w:rsid w:val="000B6147"/>
    <w:rsid w:val="000B733D"/>
    <w:rsid w:val="000C7100"/>
    <w:rsid w:val="000D5EC1"/>
    <w:rsid w:val="000E26C2"/>
    <w:rsid w:val="000E41A7"/>
    <w:rsid w:val="000E6827"/>
    <w:rsid w:val="000F2D27"/>
    <w:rsid w:val="000F4A39"/>
    <w:rsid w:val="000F5667"/>
    <w:rsid w:val="001017B2"/>
    <w:rsid w:val="00103143"/>
    <w:rsid w:val="00116F07"/>
    <w:rsid w:val="00130302"/>
    <w:rsid w:val="00144B81"/>
    <w:rsid w:val="00146F52"/>
    <w:rsid w:val="00154707"/>
    <w:rsid w:val="001720D5"/>
    <w:rsid w:val="00176576"/>
    <w:rsid w:val="00176F7E"/>
    <w:rsid w:val="001879E5"/>
    <w:rsid w:val="00191261"/>
    <w:rsid w:val="0019133F"/>
    <w:rsid w:val="00197D86"/>
    <w:rsid w:val="001B3A5A"/>
    <w:rsid w:val="001B614D"/>
    <w:rsid w:val="001C2363"/>
    <w:rsid w:val="001D4656"/>
    <w:rsid w:val="001E58D1"/>
    <w:rsid w:val="001E64C8"/>
    <w:rsid w:val="001F05FA"/>
    <w:rsid w:val="001F6005"/>
    <w:rsid w:val="001F78C0"/>
    <w:rsid w:val="00213C9A"/>
    <w:rsid w:val="00222DA8"/>
    <w:rsid w:val="002279BC"/>
    <w:rsid w:val="00236D3A"/>
    <w:rsid w:val="00246222"/>
    <w:rsid w:val="00291F04"/>
    <w:rsid w:val="002A1040"/>
    <w:rsid w:val="002A1A87"/>
    <w:rsid w:val="002B1AAD"/>
    <w:rsid w:val="002C36A6"/>
    <w:rsid w:val="002D07B0"/>
    <w:rsid w:val="002D2BBC"/>
    <w:rsid w:val="002F402D"/>
    <w:rsid w:val="002F79E0"/>
    <w:rsid w:val="00301BCD"/>
    <w:rsid w:val="003068D5"/>
    <w:rsid w:val="003207E6"/>
    <w:rsid w:val="0032087D"/>
    <w:rsid w:val="0032323A"/>
    <w:rsid w:val="00330C42"/>
    <w:rsid w:val="0033551D"/>
    <w:rsid w:val="003405AF"/>
    <w:rsid w:val="00344701"/>
    <w:rsid w:val="00351A5B"/>
    <w:rsid w:val="00371C07"/>
    <w:rsid w:val="00377EB4"/>
    <w:rsid w:val="003868C4"/>
    <w:rsid w:val="003C65A6"/>
    <w:rsid w:val="003D681D"/>
    <w:rsid w:val="00400706"/>
    <w:rsid w:val="00404C64"/>
    <w:rsid w:val="00404E64"/>
    <w:rsid w:val="0041558D"/>
    <w:rsid w:val="004239BD"/>
    <w:rsid w:val="00435EA2"/>
    <w:rsid w:val="004426FD"/>
    <w:rsid w:val="004547E4"/>
    <w:rsid w:val="0046323A"/>
    <w:rsid w:val="0046628F"/>
    <w:rsid w:val="00472378"/>
    <w:rsid w:val="00491775"/>
    <w:rsid w:val="004B2402"/>
    <w:rsid w:val="004C35FB"/>
    <w:rsid w:val="004C5227"/>
    <w:rsid w:val="004E0BFB"/>
    <w:rsid w:val="004E3605"/>
    <w:rsid w:val="004E3A1F"/>
    <w:rsid w:val="004F03E8"/>
    <w:rsid w:val="004F33ED"/>
    <w:rsid w:val="005034C1"/>
    <w:rsid w:val="00503615"/>
    <w:rsid w:val="00522C38"/>
    <w:rsid w:val="00530CC2"/>
    <w:rsid w:val="00531A2A"/>
    <w:rsid w:val="00536C46"/>
    <w:rsid w:val="00537117"/>
    <w:rsid w:val="00557C4D"/>
    <w:rsid w:val="0056606F"/>
    <w:rsid w:val="005822D7"/>
    <w:rsid w:val="00587151"/>
    <w:rsid w:val="00592BF7"/>
    <w:rsid w:val="005B4A77"/>
    <w:rsid w:val="005D525B"/>
    <w:rsid w:val="005E5EA8"/>
    <w:rsid w:val="005E7308"/>
    <w:rsid w:val="005F7618"/>
    <w:rsid w:val="006061DB"/>
    <w:rsid w:val="0061245B"/>
    <w:rsid w:val="0061278C"/>
    <w:rsid w:val="00620223"/>
    <w:rsid w:val="00623295"/>
    <w:rsid w:val="0063434A"/>
    <w:rsid w:val="00642A5E"/>
    <w:rsid w:val="006431EB"/>
    <w:rsid w:val="00647D89"/>
    <w:rsid w:val="00655A02"/>
    <w:rsid w:val="00665A42"/>
    <w:rsid w:val="00670CFA"/>
    <w:rsid w:val="0067742D"/>
    <w:rsid w:val="006778ED"/>
    <w:rsid w:val="00692B95"/>
    <w:rsid w:val="0069407B"/>
    <w:rsid w:val="00695290"/>
    <w:rsid w:val="006A361E"/>
    <w:rsid w:val="006E3B33"/>
    <w:rsid w:val="007109DE"/>
    <w:rsid w:val="00710A69"/>
    <w:rsid w:val="00721134"/>
    <w:rsid w:val="007214F6"/>
    <w:rsid w:val="0072742F"/>
    <w:rsid w:val="00730053"/>
    <w:rsid w:val="007312BE"/>
    <w:rsid w:val="00741D13"/>
    <w:rsid w:val="0075457F"/>
    <w:rsid w:val="00782F66"/>
    <w:rsid w:val="0079030F"/>
    <w:rsid w:val="00791F16"/>
    <w:rsid w:val="00796F36"/>
    <w:rsid w:val="007A0CC4"/>
    <w:rsid w:val="007A25D0"/>
    <w:rsid w:val="007A7738"/>
    <w:rsid w:val="007B2255"/>
    <w:rsid w:val="007B2471"/>
    <w:rsid w:val="007C3894"/>
    <w:rsid w:val="007C52B1"/>
    <w:rsid w:val="007C77A5"/>
    <w:rsid w:val="007D1E4C"/>
    <w:rsid w:val="007E3780"/>
    <w:rsid w:val="007F04AC"/>
    <w:rsid w:val="00804E4B"/>
    <w:rsid w:val="008118D9"/>
    <w:rsid w:val="00811D4E"/>
    <w:rsid w:val="00814CA4"/>
    <w:rsid w:val="008163BB"/>
    <w:rsid w:val="008165B2"/>
    <w:rsid w:val="008225FA"/>
    <w:rsid w:val="00824F94"/>
    <w:rsid w:val="008278EF"/>
    <w:rsid w:val="0083284C"/>
    <w:rsid w:val="008462C2"/>
    <w:rsid w:val="008464D5"/>
    <w:rsid w:val="00850760"/>
    <w:rsid w:val="00852EFA"/>
    <w:rsid w:val="0085753B"/>
    <w:rsid w:val="00863615"/>
    <w:rsid w:val="00874BBF"/>
    <w:rsid w:val="00881F20"/>
    <w:rsid w:val="0089384A"/>
    <w:rsid w:val="00896384"/>
    <w:rsid w:val="008A5450"/>
    <w:rsid w:val="008B3158"/>
    <w:rsid w:val="008B3CC4"/>
    <w:rsid w:val="008C13E2"/>
    <w:rsid w:val="008C7244"/>
    <w:rsid w:val="008C7DB0"/>
    <w:rsid w:val="008D1D94"/>
    <w:rsid w:val="009056D2"/>
    <w:rsid w:val="009115BE"/>
    <w:rsid w:val="00926D11"/>
    <w:rsid w:val="00932CF8"/>
    <w:rsid w:val="00940164"/>
    <w:rsid w:val="009444C6"/>
    <w:rsid w:val="00944893"/>
    <w:rsid w:val="009739F7"/>
    <w:rsid w:val="00990233"/>
    <w:rsid w:val="009910A4"/>
    <w:rsid w:val="009974B7"/>
    <w:rsid w:val="009B2219"/>
    <w:rsid w:val="009B68A7"/>
    <w:rsid w:val="009C02B9"/>
    <w:rsid w:val="009D2EC6"/>
    <w:rsid w:val="009D6C07"/>
    <w:rsid w:val="009D73F6"/>
    <w:rsid w:val="009E69AD"/>
    <w:rsid w:val="009E7319"/>
    <w:rsid w:val="00A232CA"/>
    <w:rsid w:val="00A32ACE"/>
    <w:rsid w:val="00A342EB"/>
    <w:rsid w:val="00A4213C"/>
    <w:rsid w:val="00A60207"/>
    <w:rsid w:val="00A60DF5"/>
    <w:rsid w:val="00A71B20"/>
    <w:rsid w:val="00A76391"/>
    <w:rsid w:val="00A91DCD"/>
    <w:rsid w:val="00AA1550"/>
    <w:rsid w:val="00AA473F"/>
    <w:rsid w:val="00AC1972"/>
    <w:rsid w:val="00AD1613"/>
    <w:rsid w:val="00AD1BDD"/>
    <w:rsid w:val="00AD6022"/>
    <w:rsid w:val="00AE120A"/>
    <w:rsid w:val="00AE1A75"/>
    <w:rsid w:val="00AE3C18"/>
    <w:rsid w:val="00AE4DDB"/>
    <w:rsid w:val="00AF1A05"/>
    <w:rsid w:val="00AF5F3B"/>
    <w:rsid w:val="00B016BF"/>
    <w:rsid w:val="00B17D33"/>
    <w:rsid w:val="00B237EB"/>
    <w:rsid w:val="00B26D11"/>
    <w:rsid w:val="00B30EEF"/>
    <w:rsid w:val="00B3137C"/>
    <w:rsid w:val="00B34DB0"/>
    <w:rsid w:val="00B3735D"/>
    <w:rsid w:val="00B37D64"/>
    <w:rsid w:val="00B40D39"/>
    <w:rsid w:val="00B425DD"/>
    <w:rsid w:val="00B5305B"/>
    <w:rsid w:val="00B54521"/>
    <w:rsid w:val="00B72ED9"/>
    <w:rsid w:val="00B906CD"/>
    <w:rsid w:val="00BA0877"/>
    <w:rsid w:val="00BA092C"/>
    <w:rsid w:val="00BA1E23"/>
    <w:rsid w:val="00BA2C76"/>
    <w:rsid w:val="00BA33BE"/>
    <w:rsid w:val="00BB3E85"/>
    <w:rsid w:val="00BC1ADD"/>
    <w:rsid w:val="00BC1B32"/>
    <w:rsid w:val="00BC27F1"/>
    <w:rsid w:val="00BC6B01"/>
    <w:rsid w:val="00BC761A"/>
    <w:rsid w:val="00BD0671"/>
    <w:rsid w:val="00BD5552"/>
    <w:rsid w:val="00BD5A14"/>
    <w:rsid w:val="00BD6053"/>
    <w:rsid w:val="00BD7884"/>
    <w:rsid w:val="00BD789B"/>
    <w:rsid w:val="00BF30DA"/>
    <w:rsid w:val="00BF3FA7"/>
    <w:rsid w:val="00C100B0"/>
    <w:rsid w:val="00C22F5A"/>
    <w:rsid w:val="00C2324B"/>
    <w:rsid w:val="00C334BB"/>
    <w:rsid w:val="00C335ED"/>
    <w:rsid w:val="00C33F5B"/>
    <w:rsid w:val="00C4144B"/>
    <w:rsid w:val="00C50E75"/>
    <w:rsid w:val="00C53F18"/>
    <w:rsid w:val="00C65529"/>
    <w:rsid w:val="00C710C1"/>
    <w:rsid w:val="00C74ED4"/>
    <w:rsid w:val="00C869B3"/>
    <w:rsid w:val="00C900F4"/>
    <w:rsid w:val="00C9114A"/>
    <w:rsid w:val="00C91E67"/>
    <w:rsid w:val="00C94A68"/>
    <w:rsid w:val="00CA53F8"/>
    <w:rsid w:val="00CB2B80"/>
    <w:rsid w:val="00CB2E46"/>
    <w:rsid w:val="00CB3B39"/>
    <w:rsid w:val="00CB7D8E"/>
    <w:rsid w:val="00CC25D9"/>
    <w:rsid w:val="00CC2BEA"/>
    <w:rsid w:val="00CD4592"/>
    <w:rsid w:val="00CE2E0D"/>
    <w:rsid w:val="00CE4102"/>
    <w:rsid w:val="00D05212"/>
    <w:rsid w:val="00D11915"/>
    <w:rsid w:val="00D2299E"/>
    <w:rsid w:val="00D25622"/>
    <w:rsid w:val="00D32AA8"/>
    <w:rsid w:val="00D36322"/>
    <w:rsid w:val="00D40F51"/>
    <w:rsid w:val="00D41854"/>
    <w:rsid w:val="00D637D3"/>
    <w:rsid w:val="00D67A56"/>
    <w:rsid w:val="00D709CF"/>
    <w:rsid w:val="00D90E19"/>
    <w:rsid w:val="00D96FF7"/>
    <w:rsid w:val="00DA1FD2"/>
    <w:rsid w:val="00DA418B"/>
    <w:rsid w:val="00DB6E41"/>
    <w:rsid w:val="00DC1B3D"/>
    <w:rsid w:val="00DC6A8B"/>
    <w:rsid w:val="00DD7CC5"/>
    <w:rsid w:val="00DE7D18"/>
    <w:rsid w:val="00DF21CA"/>
    <w:rsid w:val="00DF603C"/>
    <w:rsid w:val="00E172E4"/>
    <w:rsid w:val="00E20633"/>
    <w:rsid w:val="00E313BB"/>
    <w:rsid w:val="00E4001C"/>
    <w:rsid w:val="00E70D3C"/>
    <w:rsid w:val="00E80194"/>
    <w:rsid w:val="00EA1EAE"/>
    <w:rsid w:val="00EB7862"/>
    <w:rsid w:val="00EC2243"/>
    <w:rsid w:val="00EC7180"/>
    <w:rsid w:val="00ED6CC9"/>
    <w:rsid w:val="00EE0049"/>
    <w:rsid w:val="00EE0517"/>
    <w:rsid w:val="00EF1DB0"/>
    <w:rsid w:val="00EF4A2D"/>
    <w:rsid w:val="00F007C3"/>
    <w:rsid w:val="00F0115D"/>
    <w:rsid w:val="00F0416D"/>
    <w:rsid w:val="00F04324"/>
    <w:rsid w:val="00F1288F"/>
    <w:rsid w:val="00F1420F"/>
    <w:rsid w:val="00F3429D"/>
    <w:rsid w:val="00F40F1E"/>
    <w:rsid w:val="00F45648"/>
    <w:rsid w:val="00F46FFB"/>
    <w:rsid w:val="00F47554"/>
    <w:rsid w:val="00F50B16"/>
    <w:rsid w:val="00F66291"/>
    <w:rsid w:val="00F67EA7"/>
    <w:rsid w:val="00F7547D"/>
    <w:rsid w:val="00F80C75"/>
    <w:rsid w:val="00F83D78"/>
    <w:rsid w:val="00F85C0B"/>
    <w:rsid w:val="00FA4FEE"/>
    <w:rsid w:val="00FB18DD"/>
    <w:rsid w:val="00FB18E6"/>
    <w:rsid w:val="00FB60DD"/>
    <w:rsid w:val="00FC038F"/>
    <w:rsid w:val="00FC1645"/>
    <w:rsid w:val="00FC259B"/>
    <w:rsid w:val="00FC4245"/>
    <w:rsid w:val="00FD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E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F7"/>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89384A"/>
    <w:pPr>
      <w:widowControl/>
      <w:tabs>
        <w:tab w:val="left" w:pos="432"/>
      </w:tabs>
      <w:autoSpaceDE/>
      <w:autoSpaceDN/>
      <w:adjustRightInd/>
    </w:pPr>
    <w:rPr>
      <w:rFonts w:ascii="Times New Roman" w:hAnsi="Times New Roman"/>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863615"/>
    <w:rPr>
      <w:color w:val="800080" w:themeColor="followedHyperlink"/>
      <w:u w:val="single"/>
    </w:rPr>
  </w:style>
  <w:style w:type="paragraph" w:styleId="ListParagraph">
    <w:name w:val="List Paragraph"/>
    <w:basedOn w:val="Normal"/>
    <w:uiPriority w:val="34"/>
    <w:qFormat/>
    <w:rsid w:val="00D36322"/>
    <w:pPr>
      <w:ind w:left="720"/>
      <w:contextualSpacing/>
    </w:pPr>
  </w:style>
  <w:style w:type="paragraph" w:styleId="PlainText">
    <w:name w:val="Plain Text"/>
    <w:basedOn w:val="Normal"/>
    <w:link w:val="PlainTextChar"/>
    <w:uiPriority w:val="99"/>
    <w:semiHidden/>
    <w:unhideWhenUsed/>
    <w:rsid w:val="00D637D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637D3"/>
    <w:rPr>
      <w:rFonts w:ascii="Calibri" w:eastAsiaTheme="minorHAnsi" w:hAnsi="Calibri" w:cstheme="minorBidi"/>
      <w:szCs w:val="21"/>
    </w:rPr>
  </w:style>
  <w:style w:type="paragraph" w:styleId="Revision">
    <w:name w:val="Revision"/>
    <w:hidden/>
    <w:uiPriority w:val="99"/>
    <w:semiHidden/>
    <w:rsid w:val="003068D5"/>
    <w:pPr>
      <w:spacing w:after="0" w:line="240" w:lineRule="auto"/>
    </w:pPr>
    <w:rPr>
      <w:rFonts w:ascii="Courier" w:hAnsi="Courier"/>
      <w:sz w:val="20"/>
      <w:szCs w:val="20"/>
    </w:rPr>
  </w:style>
  <w:style w:type="paragraph" w:styleId="FootnoteText">
    <w:name w:val="footnote text"/>
    <w:basedOn w:val="Normal"/>
    <w:link w:val="FootnoteTextChar"/>
    <w:uiPriority w:val="99"/>
    <w:semiHidden/>
    <w:unhideWhenUsed/>
    <w:rsid w:val="009739F7"/>
  </w:style>
  <w:style w:type="character" w:customStyle="1" w:styleId="FootnoteTextChar">
    <w:name w:val="Footnote Text Char"/>
    <w:basedOn w:val="DefaultParagraphFont"/>
    <w:link w:val="FootnoteText"/>
    <w:uiPriority w:val="99"/>
    <w:semiHidden/>
    <w:rsid w:val="009739F7"/>
    <w:rPr>
      <w:rFonts w:ascii="Courier" w:hAnsi="Courier"/>
      <w:sz w:val="20"/>
      <w:szCs w:val="20"/>
    </w:rPr>
  </w:style>
  <w:style w:type="character" w:styleId="FootnoteReference">
    <w:name w:val="footnote reference"/>
    <w:basedOn w:val="DefaultParagraphFont"/>
    <w:uiPriority w:val="99"/>
    <w:semiHidden/>
    <w:unhideWhenUsed/>
    <w:rsid w:val="009739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F7"/>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89384A"/>
    <w:pPr>
      <w:widowControl/>
      <w:tabs>
        <w:tab w:val="left" w:pos="432"/>
      </w:tabs>
      <w:autoSpaceDE/>
      <w:autoSpaceDN/>
      <w:adjustRightInd/>
    </w:pPr>
    <w:rPr>
      <w:rFonts w:ascii="Times New Roman" w:hAnsi="Times New Roman"/>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863615"/>
    <w:rPr>
      <w:color w:val="800080" w:themeColor="followedHyperlink"/>
      <w:u w:val="single"/>
    </w:rPr>
  </w:style>
  <w:style w:type="paragraph" w:styleId="ListParagraph">
    <w:name w:val="List Paragraph"/>
    <w:basedOn w:val="Normal"/>
    <w:uiPriority w:val="34"/>
    <w:qFormat/>
    <w:rsid w:val="00D36322"/>
    <w:pPr>
      <w:ind w:left="720"/>
      <w:contextualSpacing/>
    </w:pPr>
  </w:style>
  <w:style w:type="paragraph" w:styleId="PlainText">
    <w:name w:val="Plain Text"/>
    <w:basedOn w:val="Normal"/>
    <w:link w:val="PlainTextChar"/>
    <w:uiPriority w:val="99"/>
    <w:semiHidden/>
    <w:unhideWhenUsed/>
    <w:rsid w:val="00D637D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637D3"/>
    <w:rPr>
      <w:rFonts w:ascii="Calibri" w:eastAsiaTheme="minorHAnsi" w:hAnsi="Calibri" w:cstheme="minorBidi"/>
      <w:szCs w:val="21"/>
    </w:rPr>
  </w:style>
  <w:style w:type="paragraph" w:styleId="Revision">
    <w:name w:val="Revision"/>
    <w:hidden/>
    <w:uiPriority w:val="99"/>
    <w:semiHidden/>
    <w:rsid w:val="003068D5"/>
    <w:pPr>
      <w:spacing w:after="0" w:line="240" w:lineRule="auto"/>
    </w:pPr>
    <w:rPr>
      <w:rFonts w:ascii="Courier" w:hAnsi="Courier"/>
      <w:sz w:val="20"/>
      <w:szCs w:val="20"/>
    </w:rPr>
  </w:style>
  <w:style w:type="paragraph" w:styleId="FootnoteText">
    <w:name w:val="footnote text"/>
    <w:basedOn w:val="Normal"/>
    <w:link w:val="FootnoteTextChar"/>
    <w:uiPriority w:val="99"/>
    <w:semiHidden/>
    <w:unhideWhenUsed/>
    <w:rsid w:val="009739F7"/>
  </w:style>
  <w:style w:type="character" w:customStyle="1" w:styleId="FootnoteTextChar">
    <w:name w:val="Footnote Text Char"/>
    <w:basedOn w:val="DefaultParagraphFont"/>
    <w:link w:val="FootnoteText"/>
    <w:uiPriority w:val="99"/>
    <w:semiHidden/>
    <w:rsid w:val="009739F7"/>
    <w:rPr>
      <w:rFonts w:ascii="Courier" w:hAnsi="Courier"/>
      <w:sz w:val="20"/>
      <w:szCs w:val="20"/>
    </w:rPr>
  </w:style>
  <w:style w:type="character" w:styleId="FootnoteReference">
    <w:name w:val="footnote reference"/>
    <w:basedOn w:val="DefaultParagraphFont"/>
    <w:uiPriority w:val="99"/>
    <w:semiHidden/>
    <w:unhideWhenUsed/>
    <w:rsid w:val="00973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35531">
      <w:bodyDiv w:val="1"/>
      <w:marLeft w:val="0"/>
      <w:marRight w:val="0"/>
      <w:marTop w:val="0"/>
      <w:marBottom w:val="0"/>
      <w:divBdr>
        <w:top w:val="none" w:sz="0" w:space="0" w:color="auto"/>
        <w:left w:val="none" w:sz="0" w:space="0" w:color="auto"/>
        <w:bottom w:val="none" w:sz="0" w:space="0" w:color="auto"/>
        <w:right w:val="none" w:sz="0" w:space="0" w:color="auto"/>
      </w:divBdr>
    </w:div>
    <w:div w:id="630136277">
      <w:bodyDiv w:val="1"/>
      <w:marLeft w:val="0"/>
      <w:marRight w:val="0"/>
      <w:marTop w:val="0"/>
      <w:marBottom w:val="0"/>
      <w:divBdr>
        <w:top w:val="none" w:sz="0" w:space="0" w:color="auto"/>
        <w:left w:val="none" w:sz="0" w:space="0" w:color="auto"/>
        <w:bottom w:val="none" w:sz="0" w:space="0" w:color="auto"/>
        <w:right w:val="none" w:sz="0" w:space="0" w:color="auto"/>
      </w:divBdr>
    </w:div>
    <w:div w:id="140517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4.xml><?xml version="1.0" encoding="utf-8"?>
<ds:datastoreItem xmlns:ds="http://schemas.openxmlformats.org/officeDocument/2006/customXml" ds:itemID="{F5BA4544-2ECE-4A59-9CD1-AA9BBB22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Jane Segebrecht</cp:lastModifiedBy>
  <cp:revision>2</cp:revision>
  <cp:lastPrinted>2016-02-24T21:03:00Z</cp:lastPrinted>
  <dcterms:created xsi:type="dcterms:W3CDTF">2016-03-09T22:00:00Z</dcterms:created>
  <dcterms:modified xsi:type="dcterms:W3CDTF">2016-03-09T22:00:00Z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