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C0" w:rsidRPr="00AA7FAA" w:rsidRDefault="00FB54C0" w:rsidP="00FB54C0">
      <w:pPr>
        <w:widowControl w:val="0"/>
        <w:tabs>
          <w:tab w:val="center" w:pos="4680"/>
        </w:tabs>
        <w:spacing w:line="240" w:lineRule="exact"/>
        <w:jc w:val="center"/>
        <w:rPr>
          <w:rFonts w:ascii="Arial" w:hAnsi="Arial"/>
          <w:sz w:val="22"/>
        </w:rPr>
      </w:pPr>
      <w:r>
        <w:rPr>
          <w:rFonts w:ascii="Arial" w:hAnsi="Arial" w:cs="Arial"/>
          <w:sz w:val="22"/>
          <w:szCs w:val="22"/>
        </w:rPr>
        <w:t>FINAL</w:t>
      </w:r>
      <w:r w:rsidRPr="00AA7FAA">
        <w:rPr>
          <w:rFonts w:ascii="Arial" w:hAnsi="Arial"/>
          <w:sz w:val="22"/>
        </w:rPr>
        <w:t xml:space="preserve"> SUPPORTING STATEMENT</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FOR</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10 CFR PART 73</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PHYSICAL PROTECTION OF PLANTS AND MATERIALS</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(3150-0002)</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w:t>
      </w:r>
    </w:p>
    <w:p w:rsidR="00FB54C0" w:rsidRPr="00AA7FAA" w:rsidRDefault="00FB54C0" w:rsidP="00FB54C0">
      <w:pPr>
        <w:widowControl w:val="0"/>
        <w:tabs>
          <w:tab w:val="center" w:pos="4680"/>
        </w:tabs>
        <w:spacing w:line="240" w:lineRule="exact"/>
        <w:jc w:val="center"/>
        <w:rPr>
          <w:rFonts w:ascii="Arial" w:hAnsi="Arial"/>
          <w:sz w:val="22"/>
        </w:rPr>
      </w:pPr>
      <w:r w:rsidRPr="00AA7FAA">
        <w:rPr>
          <w:rFonts w:ascii="Arial" w:hAnsi="Arial"/>
          <w:sz w:val="22"/>
        </w:rPr>
        <w:t>EXTENSION</w:t>
      </w:r>
    </w:p>
    <w:p w:rsidR="00FB54C0" w:rsidRPr="00AA7FAA"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Description of the Information Collection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r w:rsidRPr="0051740C">
        <w:rPr>
          <w:rFonts w:ascii="Arial" w:hAnsi="Arial"/>
          <w:sz w:val="22"/>
        </w:rPr>
        <w:t>The U.S. Nuclear Regulatory Commission (NRC) regulations in 10 CFR Part 73 prescribe requirements for the establishment and maintenance of a system for physical protection of special nuclear material (SNM) at fixed sites, SNM in transit and of plants in which SNM is utilized.  The regulations are issued pursuant to the Atomic Energy Act of 1954, as amended, and Title II of the Energy Reorganization Act of 1974, as amended.  Part 73 contains reporting and recordkeeping requirements which are necessary to help ensure that an adequate level of protection is provided for nuclear facilities and nuclear material.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r w:rsidRPr="0051740C">
        <w:rPr>
          <w:rFonts w:ascii="Arial" w:hAnsi="Arial"/>
          <w:sz w:val="22"/>
          <w:szCs w:val="22"/>
        </w:rPr>
        <w:t xml:space="preserve">This clearance revision reflects burden hours for all </w:t>
      </w:r>
      <w:r>
        <w:rPr>
          <w:rFonts w:ascii="Arial" w:hAnsi="Arial"/>
          <w:sz w:val="22"/>
          <w:szCs w:val="22"/>
        </w:rPr>
        <w:t xml:space="preserve">information collections contained in </w:t>
      </w:r>
      <w:r w:rsidRPr="0051740C">
        <w:rPr>
          <w:rFonts w:ascii="Arial" w:hAnsi="Arial"/>
          <w:sz w:val="22"/>
          <w:szCs w:val="22"/>
        </w:rPr>
        <w:t xml:space="preserve">final rules </w:t>
      </w:r>
      <w:r>
        <w:rPr>
          <w:rFonts w:ascii="Arial" w:hAnsi="Arial"/>
          <w:sz w:val="22"/>
          <w:szCs w:val="22"/>
        </w:rPr>
        <w:t>approved by OMB</w:t>
      </w:r>
      <w:r w:rsidRPr="0051740C">
        <w:rPr>
          <w:rFonts w:ascii="Arial" w:hAnsi="Arial"/>
          <w:sz w:val="22"/>
          <w:szCs w:val="22"/>
        </w:rPr>
        <w:t xml:space="preserve"> since the last renewal, including: </w:t>
      </w:r>
    </w:p>
    <w:p w:rsidR="00FB54C0" w:rsidRPr="00E12BD7"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E12BD7" w:rsidRDefault="00FB54C0" w:rsidP="00FB54C0">
      <w:pPr>
        <w:pStyle w:val="ListBullet"/>
        <w:rPr>
          <w:rFonts w:ascii="Arial" w:hAnsi="Arial" w:cs="Arial"/>
          <w:sz w:val="22"/>
          <w:szCs w:val="22"/>
        </w:rPr>
      </w:pPr>
      <w:r w:rsidRPr="004741F1">
        <w:rPr>
          <w:rFonts w:ascii="Arial" w:hAnsi="Arial" w:cs="Arial"/>
          <w:sz w:val="22"/>
          <w:szCs w:val="22"/>
        </w:rPr>
        <w:t xml:space="preserve">10 CFR Part 73, "Requirements for Fingerprint-Based Criminal History Records Checks for Individuals Seeking Unescorted Access to </w:t>
      </w:r>
      <w:proofErr w:type="spellStart"/>
      <w:r w:rsidRPr="004741F1">
        <w:rPr>
          <w:rFonts w:ascii="Arial" w:hAnsi="Arial" w:cs="Arial"/>
          <w:sz w:val="22"/>
          <w:szCs w:val="22"/>
        </w:rPr>
        <w:t>Nonpower</w:t>
      </w:r>
      <w:proofErr w:type="spellEnd"/>
      <w:r w:rsidRPr="004741F1">
        <w:rPr>
          <w:rFonts w:ascii="Arial" w:hAnsi="Arial" w:cs="Arial"/>
          <w:sz w:val="22"/>
          <w:szCs w:val="22"/>
        </w:rPr>
        <w:t xml:space="preserve"> Reactors (Research or Test Reactors</w:t>
      </w:r>
      <w:r w:rsidRPr="00E12BD7">
        <w:rPr>
          <w:rFonts w:ascii="Arial" w:hAnsi="Arial" w:cs="Arial"/>
          <w:sz w:val="22"/>
          <w:szCs w:val="22"/>
        </w:rPr>
        <w:t xml:space="preserve"> (approved by OMB on February 27, 2012)</w:t>
      </w:r>
    </w:p>
    <w:p w:rsidR="00FB54C0" w:rsidRPr="004741F1" w:rsidRDefault="00FB54C0" w:rsidP="00FB54C0">
      <w:pPr>
        <w:pStyle w:val="ListBullet"/>
        <w:rPr>
          <w:rFonts w:ascii="Arial" w:hAnsi="Arial" w:cs="Arial"/>
          <w:sz w:val="22"/>
          <w:szCs w:val="22"/>
        </w:rPr>
      </w:pPr>
      <w:r w:rsidRPr="004741F1">
        <w:rPr>
          <w:rFonts w:ascii="Arial" w:hAnsi="Arial" w:cs="Arial"/>
          <w:color w:val="000000"/>
          <w:sz w:val="22"/>
          <w:szCs w:val="22"/>
        </w:rPr>
        <w:t>10 CFR Part 73, "Physical Protection of Irradiated Reactor Fuel" (approved by OMB on May 30, 2013)</w:t>
      </w:r>
    </w:p>
    <w:p w:rsidR="00FB54C0" w:rsidRPr="00220C9E" w:rsidRDefault="00FB54C0" w:rsidP="00FB54C0">
      <w:pPr>
        <w:pStyle w:val="ListBullet"/>
        <w:rPr>
          <w:rFonts w:ascii="Arial" w:hAnsi="Arial" w:cs="Arial"/>
          <w:sz w:val="22"/>
          <w:szCs w:val="22"/>
        </w:rPr>
      </w:pPr>
      <w:r w:rsidRPr="004741F1">
        <w:rPr>
          <w:rFonts w:ascii="Arial" w:hAnsi="Arial" w:cs="Arial"/>
          <w:color w:val="000000"/>
          <w:sz w:val="22"/>
          <w:szCs w:val="22"/>
        </w:rPr>
        <w:t xml:space="preserve">10 CFR Parts 71 and 73, "Advance Notification to Native American Tribes of Transportation of Certain </w:t>
      </w:r>
      <w:r w:rsidRPr="00220C9E">
        <w:rPr>
          <w:rFonts w:ascii="Arial" w:hAnsi="Arial" w:cs="Arial"/>
          <w:color w:val="000000"/>
          <w:sz w:val="22"/>
          <w:szCs w:val="22"/>
        </w:rPr>
        <w:t xml:space="preserve">Types of Nuclear Waste" (approved by OMB on September 18, 2012 under clearance number 3150-0213 and transferred into the Part 73 collection via </w:t>
      </w:r>
      <w:proofErr w:type="spellStart"/>
      <w:r w:rsidRPr="00220C9E">
        <w:rPr>
          <w:rFonts w:ascii="Arial" w:hAnsi="Arial" w:cs="Arial"/>
          <w:color w:val="000000"/>
          <w:sz w:val="22"/>
          <w:szCs w:val="22"/>
        </w:rPr>
        <w:t>nonsubstantive</w:t>
      </w:r>
      <w:proofErr w:type="spellEnd"/>
      <w:r w:rsidRPr="00220C9E">
        <w:rPr>
          <w:rFonts w:ascii="Arial" w:hAnsi="Arial" w:cs="Arial"/>
          <w:color w:val="000000"/>
          <w:sz w:val="22"/>
          <w:szCs w:val="22"/>
        </w:rPr>
        <w:t xml:space="preserve"> change request on May 31, 2013)</w:t>
      </w: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hanging="1200"/>
        <w:rPr>
          <w:rFonts w:ascii="Arial" w:hAnsi="Arial"/>
          <w:sz w:val="22"/>
          <w:szCs w:val="22"/>
        </w:rPr>
      </w:pPr>
      <w:r w:rsidRPr="00220C9E">
        <w:rPr>
          <w:rFonts w:ascii="Arial" w:hAnsi="Arial"/>
          <w:sz w:val="22"/>
          <w:szCs w:val="22"/>
        </w:rPr>
        <w:t>A.</w:t>
      </w:r>
      <w:r w:rsidRPr="00220C9E">
        <w:rPr>
          <w:rFonts w:ascii="Arial" w:hAnsi="Arial"/>
          <w:sz w:val="22"/>
          <w:szCs w:val="22"/>
        </w:rPr>
        <w:tab/>
      </w:r>
      <w:r w:rsidRPr="00220C9E">
        <w:rPr>
          <w:rFonts w:ascii="Arial" w:hAnsi="Arial"/>
          <w:sz w:val="22"/>
          <w:szCs w:val="22"/>
          <w:u w:val="single"/>
        </w:rPr>
        <w:t>Justification</w:t>
      </w: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220C9E"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220C9E">
        <w:rPr>
          <w:rFonts w:ascii="Arial" w:hAnsi="Arial"/>
          <w:sz w:val="22"/>
          <w:u w:val="single"/>
        </w:rPr>
        <w:t>Need for and Practical Utility of the Information</w:t>
      </w: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220C9E">
        <w:rPr>
          <w:rFonts w:ascii="Arial" w:hAnsi="Arial"/>
          <w:sz w:val="22"/>
        </w:rPr>
        <w:t>In general, the reports and records are necessary for one or more of the following reasons:</w:t>
      </w: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220C9E" w:rsidRDefault="00FB54C0" w:rsidP="00FB54C0">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220C9E">
        <w:rPr>
          <w:rFonts w:ascii="Arial" w:hAnsi="Arial"/>
          <w:sz w:val="22"/>
        </w:rPr>
        <w:t>Information describing the content and planned operation of the licensee's physical protection system (e.g., Cyber Security Plan, Security Plan, Contingency Plan, or Training and Qualification Plan).  This information is essential to enable the NRC to make a determination about the adequacy of the licensee's planned system in meeting regulatory requirements.</w:t>
      </w:r>
    </w:p>
    <w:p w:rsidR="0094645A" w:rsidRPr="00220C9E" w:rsidRDefault="0094645A" w:rsidP="0094645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94645A" w:rsidRPr="00220C9E" w:rsidRDefault="0094645A" w:rsidP="00EB1841">
      <w:pPr>
        <w:pStyle w:val="ListParagraph"/>
        <w:widowControl w:val="0"/>
        <w:numPr>
          <w:ilvl w:val="1"/>
          <w:numId w:val="4"/>
        </w:numPr>
        <w:tabs>
          <w:tab w:val="clear" w:pos="1440"/>
          <w:tab w:val="left" w:pos="600"/>
          <w:tab w:val="left" w:pos="1200"/>
          <w:tab w:val="left" w:pos="153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220C9E">
        <w:rPr>
          <w:rFonts w:ascii="Arial" w:hAnsi="Arial"/>
          <w:sz w:val="22"/>
        </w:rPr>
        <w:t xml:space="preserve">For a </w:t>
      </w:r>
      <w:r w:rsidR="00504722" w:rsidRPr="00220C9E">
        <w:rPr>
          <w:rFonts w:ascii="Arial" w:hAnsi="Arial"/>
          <w:sz w:val="22"/>
        </w:rPr>
        <w:t>C</w:t>
      </w:r>
      <w:r w:rsidRPr="00220C9E">
        <w:rPr>
          <w:rFonts w:ascii="Arial" w:hAnsi="Arial"/>
          <w:sz w:val="22"/>
        </w:rPr>
        <w:t xml:space="preserve">yber </w:t>
      </w:r>
      <w:r w:rsidR="00504722" w:rsidRPr="00220C9E">
        <w:rPr>
          <w:rFonts w:ascii="Arial" w:hAnsi="Arial"/>
          <w:sz w:val="22"/>
        </w:rPr>
        <w:t>S</w:t>
      </w:r>
      <w:r w:rsidRPr="00220C9E">
        <w:rPr>
          <w:rFonts w:ascii="Arial" w:hAnsi="Arial"/>
          <w:sz w:val="22"/>
        </w:rPr>
        <w:t xml:space="preserve">ecurity </w:t>
      </w:r>
      <w:r w:rsidR="00504722" w:rsidRPr="00220C9E">
        <w:rPr>
          <w:rFonts w:ascii="Arial" w:hAnsi="Arial"/>
          <w:sz w:val="22"/>
        </w:rPr>
        <w:t>P</w:t>
      </w:r>
      <w:r w:rsidRPr="00220C9E">
        <w:rPr>
          <w:rFonts w:ascii="Arial" w:hAnsi="Arial"/>
          <w:sz w:val="22"/>
        </w:rPr>
        <w:t xml:space="preserve">lan, this information includes descriptions of how a licensee protects computer and communication systems and networks against </w:t>
      </w:r>
      <w:proofErr w:type="spellStart"/>
      <w:r w:rsidRPr="00220C9E">
        <w:rPr>
          <w:rFonts w:ascii="Arial" w:hAnsi="Arial"/>
          <w:sz w:val="22"/>
        </w:rPr>
        <w:t>cyber attacks</w:t>
      </w:r>
      <w:proofErr w:type="spellEnd"/>
      <w:r w:rsidRPr="00220C9E">
        <w:rPr>
          <w:rFonts w:ascii="Arial" w:hAnsi="Arial"/>
          <w:sz w:val="22"/>
        </w:rPr>
        <w:t>, up to and including the design basis threat in 73.1.</w:t>
      </w:r>
    </w:p>
    <w:p w:rsidR="0094645A" w:rsidRPr="00220C9E" w:rsidRDefault="0094645A" w:rsidP="00EB1841">
      <w:pPr>
        <w:widowControl w:val="0"/>
        <w:tabs>
          <w:tab w:val="left" w:pos="600"/>
          <w:tab w:val="left" w:pos="1200"/>
          <w:tab w:val="left" w:pos="15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3090"/>
        <w:rPr>
          <w:rFonts w:ascii="Arial" w:hAnsi="Arial"/>
          <w:sz w:val="22"/>
        </w:rPr>
      </w:pPr>
    </w:p>
    <w:p w:rsidR="00504722" w:rsidRPr="00220C9E" w:rsidRDefault="0094645A" w:rsidP="00EB1841">
      <w:pPr>
        <w:pStyle w:val="ListParagraph"/>
        <w:widowControl w:val="0"/>
        <w:numPr>
          <w:ilvl w:val="1"/>
          <w:numId w:val="4"/>
        </w:numPr>
        <w:tabs>
          <w:tab w:val="clear" w:pos="1440"/>
          <w:tab w:val="left" w:pos="600"/>
          <w:tab w:val="left" w:pos="1200"/>
          <w:tab w:val="left" w:pos="153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220C9E">
        <w:rPr>
          <w:rFonts w:ascii="Arial" w:hAnsi="Arial"/>
          <w:sz w:val="22"/>
        </w:rPr>
        <w:t xml:space="preserve">For a </w:t>
      </w:r>
      <w:r w:rsidR="00504722" w:rsidRPr="00220C9E">
        <w:rPr>
          <w:rFonts w:ascii="Arial" w:hAnsi="Arial"/>
          <w:sz w:val="22"/>
        </w:rPr>
        <w:t>P</w:t>
      </w:r>
      <w:r w:rsidRPr="00220C9E">
        <w:rPr>
          <w:rFonts w:ascii="Arial" w:hAnsi="Arial"/>
          <w:sz w:val="22"/>
        </w:rPr>
        <w:t xml:space="preserve">hysical </w:t>
      </w:r>
      <w:r w:rsidR="00504722" w:rsidRPr="00220C9E">
        <w:rPr>
          <w:rFonts w:ascii="Arial" w:hAnsi="Arial"/>
          <w:sz w:val="22"/>
        </w:rPr>
        <w:t>S</w:t>
      </w:r>
      <w:r w:rsidRPr="00220C9E">
        <w:rPr>
          <w:rFonts w:ascii="Arial" w:hAnsi="Arial"/>
          <w:sz w:val="22"/>
        </w:rPr>
        <w:t xml:space="preserve">ecurity </w:t>
      </w:r>
      <w:r w:rsidR="00504722" w:rsidRPr="00220C9E">
        <w:rPr>
          <w:rFonts w:ascii="Arial" w:hAnsi="Arial"/>
          <w:sz w:val="22"/>
        </w:rPr>
        <w:t>P</w:t>
      </w:r>
      <w:r w:rsidRPr="00220C9E">
        <w:rPr>
          <w:rFonts w:ascii="Arial" w:hAnsi="Arial"/>
          <w:sz w:val="22"/>
        </w:rPr>
        <w:t xml:space="preserve">lan, this includes </w:t>
      </w:r>
      <w:r w:rsidR="00504722" w:rsidRPr="00220C9E">
        <w:rPr>
          <w:rFonts w:ascii="Arial" w:hAnsi="Arial"/>
          <w:sz w:val="22"/>
        </w:rPr>
        <w:t xml:space="preserve">the capabilities to detect, assess, interdict, and neutralize threats up to and including the design basis threat of radiological sabotage, as described in 73.1  </w:t>
      </w:r>
    </w:p>
    <w:p w:rsidR="00504722" w:rsidRPr="00220C9E" w:rsidRDefault="00504722" w:rsidP="00EB1841">
      <w:pPr>
        <w:widowControl w:val="0"/>
        <w:tabs>
          <w:tab w:val="left" w:pos="600"/>
          <w:tab w:val="left" w:pos="1200"/>
          <w:tab w:val="left" w:pos="15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3090"/>
        <w:rPr>
          <w:rFonts w:ascii="Arial" w:hAnsi="Arial"/>
          <w:sz w:val="22"/>
        </w:rPr>
      </w:pPr>
    </w:p>
    <w:p w:rsidR="0094645A" w:rsidRPr="00220C9E" w:rsidRDefault="00504722" w:rsidP="00EB1841">
      <w:pPr>
        <w:pStyle w:val="ListParagraph"/>
        <w:widowControl w:val="0"/>
        <w:numPr>
          <w:ilvl w:val="1"/>
          <w:numId w:val="4"/>
        </w:numPr>
        <w:tabs>
          <w:tab w:val="clear" w:pos="1440"/>
          <w:tab w:val="left" w:pos="600"/>
          <w:tab w:val="left" w:pos="1200"/>
          <w:tab w:val="left" w:pos="153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220C9E">
        <w:rPr>
          <w:rFonts w:ascii="Arial" w:hAnsi="Arial"/>
          <w:sz w:val="22"/>
        </w:rPr>
        <w:t xml:space="preserve">For a Safeguards Contingency Plan, this includes a description of how licensee </w:t>
      </w:r>
      <w:r w:rsidRPr="00220C9E">
        <w:rPr>
          <w:rFonts w:ascii="Arial" w:hAnsi="Arial"/>
          <w:sz w:val="22"/>
        </w:rPr>
        <w:lastRenderedPageBreak/>
        <w:t xml:space="preserve">personnel implement their physical protection program to defend against threats to their facility, up to and including the design basis threat of radiological sabotage.  </w:t>
      </w:r>
    </w:p>
    <w:p w:rsidR="00504722" w:rsidRPr="00220C9E" w:rsidRDefault="00504722" w:rsidP="00EB1841">
      <w:pPr>
        <w:widowControl w:val="0"/>
        <w:tabs>
          <w:tab w:val="left" w:pos="600"/>
          <w:tab w:val="left" w:pos="1200"/>
          <w:tab w:val="left" w:pos="15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3090"/>
        <w:rPr>
          <w:rFonts w:ascii="Arial" w:hAnsi="Arial"/>
          <w:sz w:val="22"/>
        </w:rPr>
      </w:pPr>
    </w:p>
    <w:p w:rsidR="00504722" w:rsidRPr="00220C9E" w:rsidRDefault="00504722" w:rsidP="00EB1841">
      <w:pPr>
        <w:pStyle w:val="ListParagraph"/>
        <w:widowControl w:val="0"/>
        <w:numPr>
          <w:ilvl w:val="1"/>
          <w:numId w:val="4"/>
        </w:numPr>
        <w:tabs>
          <w:tab w:val="clear" w:pos="1440"/>
          <w:tab w:val="left" w:pos="600"/>
          <w:tab w:val="left" w:pos="1200"/>
          <w:tab w:val="left" w:pos="1530"/>
          <w:tab w:val="num"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220C9E">
        <w:rPr>
          <w:rFonts w:ascii="Arial" w:hAnsi="Arial"/>
          <w:sz w:val="22"/>
        </w:rPr>
        <w:t>For a Training and Qualification Plan, this includes information on the criteria for the selection, training, equipping, testing, and qualification of individuals who will be responsible for protecting special nuclear materials, nuclear facilities, and nuclear shipments.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840"/>
        <w:rPr>
          <w:rFonts w:ascii="Arial" w:hAnsi="Arial"/>
          <w:sz w:val="22"/>
        </w:rPr>
      </w:pPr>
    </w:p>
    <w:p w:rsidR="00FB54C0" w:rsidRPr="0051740C" w:rsidRDefault="00FB54C0" w:rsidP="00FB54C0">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51740C">
        <w:rPr>
          <w:rFonts w:ascii="Arial" w:hAnsi="Arial"/>
          <w:sz w:val="22"/>
        </w:rPr>
        <w:t>Information describing the normal operation of the physical protection system (e.g., access authorizations, equipment performance logs). This information is needed to permit the NRC to make a determination as to reasonable assurance that the physical protection system operates in accordance with the regulatory requirements.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840"/>
        <w:rPr>
          <w:rFonts w:ascii="Arial" w:hAnsi="Arial"/>
          <w:sz w:val="22"/>
        </w:rPr>
      </w:pPr>
    </w:p>
    <w:p w:rsidR="00FB54C0" w:rsidRDefault="00FB54C0" w:rsidP="00FB54C0">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51740C">
        <w:rPr>
          <w:rFonts w:ascii="Arial" w:hAnsi="Arial"/>
          <w:sz w:val="22"/>
        </w:rPr>
        <w:t>Information notifying the NRC of the occurrence of and circumstances surrounding abnormal events (e.g., report of theft, sabotage, or overdue shipment).  This information is needed to enable the NRC to fulfill its responsibilities to respond to, investigate, and correct situations which adversely affect public health and safety or the common defense and security.</w:t>
      </w:r>
    </w:p>
    <w:p w:rsidR="00E12B3E" w:rsidRDefault="00E12B3E" w:rsidP="00E12B3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E12B3E" w:rsidRPr="0051740C" w:rsidRDefault="00E12B3E" w:rsidP="00E12B3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b/>
          <w:sz w:val="22"/>
          <w:u w:val="single"/>
        </w:rPr>
      </w:pPr>
      <w:r w:rsidRPr="0051740C">
        <w:rPr>
          <w:rFonts w:ascii="Arial" w:hAnsi="Arial"/>
          <w:b/>
          <w:sz w:val="22"/>
          <w:u w:val="single"/>
        </w:rPr>
        <w:t>Requirements in Part 73</w:t>
      </w:r>
    </w:p>
    <w:p w:rsidR="00FB54C0" w:rsidRPr="0051740C" w:rsidRDefault="00FB54C0" w:rsidP="00FB54C0">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Specific requirements for reports and records in Part 73 are as follows.</w:t>
      </w:r>
    </w:p>
    <w:p w:rsidR="00FB54C0" w:rsidRPr="0051740C" w:rsidRDefault="00FB54C0" w:rsidP="00FB54C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w:t>
      </w:r>
      <w:r w:rsidRPr="0051740C">
        <w:rPr>
          <w:rFonts w:ascii="Arial" w:hAnsi="Arial"/>
          <w:sz w:val="22"/>
        </w:rPr>
        <w:t xml:space="preserve"> provides that the Commission may grant exemptions from the requirements of the regulations in Part 73 under specified conditions, upon the application of any interested person or on its own initiative.  Applications under this section are examined by the NRC staff to determine whether the requested exemption is authorized by law and whether it will not endanger life or property or the common defense and security, and to determine if it is otherwise in the public interest.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 xml:space="preserve">Section </w:t>
      </w:r>
      <w:bookmarkStart w:id="0" w:name="OLE_LINK1"/>
      <w:r w:rsidRPr="0051740C">
        <w:rPr>
          <w:rFonts w:ascii="Arial" w:hAnsi="Arial"/>
          <w:sz w:val="22"/>
          <w:u w:val="single"/>
        </w:rPr>
        <w:t>73.20(c)</w:t>
      </w:r>
      <w:bookmarkEnd w:id="0"/>
      <w:r w:rsidRPr="0051740C">
        <w:rPr>
          <w:rFonts w:ascii="Arial" w:hAnsi="Arial"/>
          <w:sz w:val="22"/>
        </w:rPr>
        <w:t xml:space="preserve"> requires that each affected licensee establish, maintain, and follow NRC</w:t>
      </w:r>
      <w:r w:rsidRPr="0051740C">
        <w:rPr>
          <w:rFonts w:ascii="Arial" w:hAnsi="Arial"/>
          <w:sz w:val="22"/>
        </w:rPr>
        <w:noBreakHyphen/>
        <w:t xml:space="preserve">approved safeguards physical protection and safeguards contingency plans that describe how the licensee will comply with the requirements of paragraphs (a) </w:t>
      </w:r>
      <w:proofErr w:type="gramStart"/>
      <w:r w:rsidRPr="0051740C">
        <w:rPr>
          <w:rFonts w:ascii="Arial" w:hAnsi="Arial"/>
          <w:sz w:val="22"/>
        </w:rPr>
        <w:t>and</w:t>
      </w:r>
      <w:proofErr w:type="gramEnd"/>
      <w:r w:rsidRPr="0051740C">
        <w:rPr>
          <w:rFonts w:ascii="Arial" w:hAnsi="Arial"/>
          <w:sz w:val="22"/>
        </w:rPr>
        <w:t xml:space="preserve"> (b) of this section. The required plans are used to review the adequacy of a licensee's intended security system for compliance and enforcement purposes.</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r w:rsidRPr="0051740C">
        <w:rPr>
          <w:rFonts w:ascii="Arial" w:hAnsi="Arial"/>
          <w:sz w:val="22"/>
          <w:u w:val="single"/>
        </w:rPr>
        <w:t>Section 73.22(b)</w:t>
      </w:r>
      <w:r w:rsidRPr="00C94981">
        <w:rPr>
          <w:rFonts w:ascii="Arial" w:hAnsi="Arial"/>
          <w:sz w:val="22"/>
        </w:rPr>
        <w:t xml:space="preserve"> requires that each affected licensee</w:t>
      </w:r>
      <w:r w:rsidRPr="0051740C">
        <w:rPr>
          <w:rFonts w:ascii="Arial" w:hAnsi="Arial"/>
          <w:sz w:val="22"/>
        </w:rPr>
        <w:t xml:space="preserve"> </w:t>
      </w:r>
      <w:r w:rsidRPr="0051740C">
        <w:rPr>
          <w:rFonts w:ascii="Arial" w:hAnsi="Arial" w:cs="Arial"/>
          <w:color w:val="000000"/>
          <w:sz w:val="22"/>
          <w:szCs w:val="22"/>
        </w:rPr>
        <w:t xml:space="preserve">make a trustworthiness and reliability determination based on a background check (or other means as approved by the Commission) for each individual seeking </w:t>
      </w:r>
      <w:r w:rsidRPr="0051740C">
        <w:rPr>
          <w:rFonts w:ascii="Arial" w:hAnsi="Arial"/>
          <w:sz w:val="22"/>
        </w:rPr>
        <w:t>access</w:t>
      </w:r>
      <w:r w:rsidRPr="0051740C">
        <w:rPr>
          <w:rFonts w:ascii="Arial" w:hAnsi="Arial" w:cs="Arial"/>
          <w:color w:val="000000"/>
          <w:sz w:val="22"/>
          <w:szCs w:val="22"/>
        </w:rPr>
        <w:t xml:space="preserve"> to SGI, except for </w:t>
      </w:r>
      <w:r w:rsidRPr="0051740C">
        <w:rPr>
          <w:rFonts w:ascii="Arial" w:hAnsi="Arial"/>
          <w:sz w:val="22"/>
        </w:rPr>
        <w:t>the</w:t>
      </w:r>
      <w:r w:rsidRPr="0051740C">
        <w:rPr>
          <w:rFonts w:ascii="Arial" w:hAnsi="Arial" w:cs="Arial"/>
          <w:color w:val="000000"/>
          <w:sz w:val="22"/>
          <w:szCs w:val="22"/>
        </w:rPr>
        <w:t xml:space="preserve"> categories of individuals enumerated in 73.59,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Relief from fingerprinting, identification and criminal history records checks and background checks for designated categories of individuals.</w:t>
      </w:r>
      <w:r w:rsidRPr="0051740C">
        <w:rPr>
          <w:rFonts w:ascii="Arial" w:hAnsi="Arial"/>
          <w:sz w:val="22"/>
          <w:u w:val="single"/>
        </w:rPr>
        <w:t xml:space="preserve">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73.22(d)</w:t>
      </w:r>
      <w:r w:rsidRPr="0051740C">
        <w:rPr>
          <w:rFonts w:ascii="Arial" w:hAnsi="Arial"/>
          <w:sz w:val="22"/>
        </w:rPr>
        <w:t xml:space="preserve"> requires that each document or other matter that contains Safeguards </w:t>
      </w:r>
      <w:r w:rsidRPr="0051740C">
        <w:rPr>
          <w:rFonts w:ascii="Arial" w:hAnsi="Arial" w:cs="Arial"/>
          <w:color w:val="000000"/>
          <w:sz w:val="22"/>
          <w:szCs w:val="22"/>
        </w:rPr>
        <w:t>Information</w:t>
      </w:r>
      <w:r w:rsidRPr="0051740C">
        <w:rPr>
          <w:rFonts w:ascii="Arial" w:hAnsi="Arial"/>
          <w:sz w:val="22"/>
        </w:rPr>
        <w:t xml:space="preserve"> be marked to indicate the presence of such information in a conspicuous manner on the top and bottom of each page and that the first page of the document or other matter also contain the name, title, and organization of the individual authorized to make a Safeguards Information determination, and who has determined that the document or other matter contains Safeguards Information; the date the determination was made; and an indication that unauthorized </w:t>
      </w:r>
      <w:r w:rsidRPr="0051740C">
        <w:rPr>
          <w:rFonts w:ascii="Arial" w:hAnsi="Arial" w:cs="Arial"/>
          <w:color w:val="000000"/>
          <w:sz w:val="22"/>
          <w:szCs w:val="22"/>
        </w:rPr>
        <w:t>disclosure</w:t>
      </w:r>
      <w:r w:rsidRPr="0051740C">
        <w:rPr>
          <w:rFonts w:ascii="Arial" w:hAnsi="Arial"/>
          <w:sz w:val="22"/>
        </w:rPr>
        <w:t xml:space="preserve"> will be subject to civil and criminal sanctions. T</w:t>
      </w:r>
      <w:r w:rsidRPr="0051740C">
        <w:rPr>
          <w:rFonts w:ascii="Arial" w:hAnsi="Arial" w:cs="Arial"/>
          <w:color w:val="000000"/>
          <w:sz w:val="22"/>
          <w:szCs w:val="22"/>
        </w:rPr>
        <w:t xml:space="preserve">ransmittal letters or memoranda to or from the NRC which do not in themselves contain Safeguards Information must be </w:t>
      </w:r>
      <w:r w:rsidRPr="0051740C">
        <w:rPr>
          <w:rFonts w:ascii="Arial" w:hAnsi="Arial" w:cs="Arial"/>
          <w:color w:val="000000"/>
          <w:sz w:val="22"/>
          <w:szCs w:val="22"/>
        </w:rPr>
        <w:lastRenderedPageBreak/>
        <w:t xml:space="preserve">marked to indicate that attachments or enclosures contain Safeguards Information but that the transmittal does not. Transmittal documents or other media containing Safeguards Information must include the name and title of the certifying official and the date it was designated as SGI. Portion marking is required for correspondence to and from the NRC (i.e., cover letters, but not attachments) that contains Safeguards Information. The portion marking must be sufficient to allow the recipient to identify and distinguish those sections of the transmittal document or other information containing the Safeguards Information from non-Safeguards Information. Documents </w:t>
      </w:r>
      <w:r w:rsidRPr="0051740C">
        <w:rPr>
          <w:rFonts w:ascii="Arial" w:hAnsi="Arial"/>
          <w:sz w:val="22"/>
        </w:rPr>
        <w:t>or other matter containing or transmitting Safeguards Information, at a minimum, must include the words ‘‘Safeguards Information’’ to ensure identification of protected information for the protection of facilities and material covered by</w:t>
      </w:r>
      <w:r>
        <w:rPr>
          <w:rFonts w:ascii="Arial" w:hAnsi="Arial"/>
          <w:sz w:val="22"/>
        </w:rPr>
        <w:t xml:space="preserve"> Section</w:t>
      </w:r>
      <w:r w:rsidRPr="0051740C">
        <w:rPr>
          <w:rFonts w:ascii="Arial" w:hAnsi="Arial"/>
          <w:sz w:val="22"/>
        </w:rPr>
        <w:t xml:space="preserve"> 73.22.</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sz w:val="22"/>
          <w:u w:val="single"/>
        </w:rPr>
        <w:t>Section 73.22(f)</w:t>
      </w:r>
      <w:r w:rsidRPr="0051740C">
        <w:rPr>
          <w:rFonts w:ascii="Arial" w:hAnsi="Arial"/>
          <w:sz w:val="22"/>
        </w:rPr>
        <w:t xml:space="preserve"> </w:t>
      </w:r>
      <w:r w:rsidRPr="0051740C">
        <w:rPr>
          <w:rFonts w:ascii="Arial" w:hAnsi="Arial" w:cs="Arial"/>
          <w:color w:val="000000"/>
          <w:sz w:val="22"/>
          <w:szCs w:val="22"/>
        </w:rPr>
        <w:t xml:space="preserve">requires that when documents or other matter containing Safeguards Information are transmitted outside an authorized place of use or storage, they must be packaged in two sealed envelopes or wrappers to preclude disclosure of the presence of Safeguards Information.  The inner envelope or wrapper must contain the name and address of the intended recipient and be marked on both sides, top and bottom, with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w:t>
      </w:r>
      <w:r w:rsidRPr="0051740C">
        <w:rPr>
          <w:rFonts w:ascii="Arial" w:hAnsi="Arial" w:cs="Arial"/>
          <w:color w:val="000000"/>
          <w:sz w:val="22"/>
          <w:szCs w:val="22"/>
        </w:rPr>
        <w:sym w:font="WP TypographicSymbols" w:char="0040"/>
      </w:r>
      <w:r w:rsidRPr="0051740C">
        <w:rPr>
          <w:rFonts w:ascii="Arial" w:hAnsi="Arial" w:cs="Arial"/>
          <w:color w:val="000000"/>
          <w:sz w:val="22"/>
          <w:szCs w:val="22"/>
        </w:rPr>
        <w:t xml:space="preserve">  The outer envelope or wrapper must be opaque, addressed to the intended recipient, contain the address of the sender, and may not bear any markings or indication that the document or other matter contains Safeguards Information.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73.23(b)</w:t>
      </w:r>
      <w:r w:rsidRPr="0051740C">
        <w:rPr>
          <w:rFonts w:ascii="Arial" w:hAnsi="Arial" w:cs="Arial"/>
          <w:color w:val="000000"/>
          <w:sz w:val="22"/>
          <w:szCs w:val="22"/>
        </w:rPr>
        <w:t xml:space="preserve"> requires that a trustworthiness and reliability determination based on a background check (or other means as approved by the Commission) be made for each individual seeking access to Safeguards Information designated as SGI-M, except for the categories of individuals enumerated in 73.59,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Relief from fingerprinting, identification and criminal history records checks and background checks for designated categories of individuals.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73.23(d)</w:t>
      </w:r>
      <w:r w:rsidRPr="0051740C">
        <w:rPr>
          <w:rFonts w:ascii="Arial" w:hAnsi="Arial" w:cs="Arial"/>
          <w:color w:val="000000"/>
          <w:sz w:val="22"/>
          <w:szCs w:val="22"/>
        </w:rPr>
        <w:t xml:space="preserve"> requires that a document or other matter containing Safeguards Information designated as SGI-M be marked in a conspicuous manner on the top and bottom of each page to indicate the presence of Safeguards Information designated as SGI-M.  In addition, the first page of Safeguards Information designated as SGI-M documents must include the name, title, and organization of the individual authorized to make a Safeguards Information designated as SGI-M determination, and who has determined that the document contains Safeguards Information designated as SGI-M; the date the determination was made; and an indication that unauthorized disclosure will be subject to civil and criminal sanctions. Transmittal letters or memoranda to or from the NRC that do not contain Safeguards Information designated as SGI-M must be marked to indicate that attachments or enclosures contain Safeguards Information designated as SGI-M but that the transmittal document does not. Transmittal documents forwarding Safeguards Information designated as SGI-M must alert the recipient that Safeguards Information designated as SGI-M is enclosed.  Certification that a document or other matter contains Safeguards Information designated as SGI-M must include the name and title of the certifying official and the date designated.  Portion marking showing which portions of the document contain Safeguards Information designated as SGI-M and which do not is required for transmittal documents to and from the NRC.  The marking of documents containing or transmitting Safeguards Information designated as SGI-M must, at a minimum, include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w:t>
      </w:r>
      <w:r>
        <w:rPr>
          <w:rFonts w:ascii="Arial" w:hAnsi="Arial" w:cs="Arial"/>
          <w:color w:val="000000"/>
          <w:sz w:val="22"/>
          <w:szCs w:val="22"/>
        </w:rPr>
        <w:t xml:space="preserve">-- </w:t>
      </w:r>
      <w:r w:rsidRPr="0051740C">
        <w:rPr>
          <w:rFonts w:ascii="Arial" w:hAnsi="Arial" w:cs="Arial"/>
          <w:color w:val="000000"/>
          <w:sz w:val="22"/>
          <w:szCs w:val="22"/>
        </w:rPr>
        <w:t>Modified Handling.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73.23(f)</w:t>
      </w:r>
      <w:r w:rsidRPr="0051740C">
        <w:rPr>
          <w:rFonts w:ascii="Arial" w:hAnsi="Arial" w:cs="Arial"/>
          <w:color w:val="000000"/>
          <w:sz w:val="22"/>
          <w:szCs w:val="22"/>
        </w:rPr>
        <w:t xml:space="preserve"> requires that documents or other matter containing Safeguards Information designated as SGI-M transmitted outside an authorized place of use or </w:t>
      </w:r>
      <w:r w:rsidRPr="0051740C">
        <w:rPr>
          <w:rFonts w:ascii="Arial" w:hAnsi="Arial" w:cs="Arial"/>
          <w:color w:val="000000"/>
          <w:sz w:val="22"/>
          <w:szCs w:val="22"/>
        </w:rPr>
        <w:lastRenderedPageBreak/>
        <w:t xml:space="preserve">storage, the Safeguards Information designated as SGI-M be packaged in two sealed envelopes or wrappers.  The inner envelope or wrapper must contain the name and address of the intended recipient and be marked on both sides, top and bottom, with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Information--Modified Handling.</w:t>
      </w:r>
      <w:r w:rsidRPr="0051740C">
        <w:rPr>
          <w:rFonts w:ascii="Arial" w:hAnsi="Arial" w:cs="Arial"/>
          <w:color w:val="000000"/>
          <w:sz w:val="22"/>
          <w:szCs w:val="22"/>
        </w:rPr>
        <w:sym w:font="WP TypographicSymbols" w:char="0040"/>
      </w:r>
      <w:r w:rsidRPr="0051740C">
        <w:rPr>
          <w:rFonts w:ascii="Arial" w:hAnsi="Arial" w:cs="Arial"/>
          <w:color w:val="000000"/>
          <w:sz w:val="22"/>
          <w:szCs w:val="22"/>
        </w:rPr>
        <w:t xml:space="preserve">  The outer envelope or wrapper must be opaque, addressed to the intended recipient, must include the address of the sender, and must not bear any markings or indication that the document contains Safeguards Information designated as SGI-M.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73.24(b</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that licensees maintain a log of the arrival at the final destination of each shipment.  The record is necessary to ensure that there are not two or more shipments of SNM in transit at the same time which together would constitute a formula quantity, and to ensure verification of the arrival of the shipment.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73.25(b)</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73.25(c)</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44E14" w:rsidRDefault="00F44E14"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73.25(d)</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73.26(b)(3)</w:t>
      </w:r>
      <w:r w:rsidRPr="0051740C">
        <w:rPr>
          <w:rFonts w:ascii="Arial" w:hAnsi="Arial"/>
          <w:sz w:val="22"/>
        </w:rPr>
        <w:t xml:space="preserve"> requires that, prior to each shipment, licensees provide information to NRC concerning the identity of the shipper, consignee, carriers, transfer points, modes of shipment, and security arrangements for the shipment.  The information is needed to permit NRC to ensure that adequate measures will be taken to protect the material in transit.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73.26(c)</w:t>
      </w:r>
      <w:r w:rsidRPr="0051740C">
        <w:rPr>
          <w:rFonts w:ascii="Arial" w:hAnsi="Arial"/>
          <w:sz w:val="22"/>
        </w:rPr>
        <w:t xml:space="preserve"> describes the records retention schedule for records associated with sections 73.25, 73.26, and 73.27. This requirement is not an information collection but provides added detail to information collections listed elsewhere in this part. Any burden associated with records retention is recorded under the information collection containing the recordkeeping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73.26(d</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licensees maintain a written management system to provide for the development, revision, implementation, and enforcement of transportation physical protection procedures. The information collection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73.26(d</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maintain documentation of qualification and re-qualification of members of the security organization.  The record of initial qualification must be maintained for the term of employment and the record of re-qualification must be retained for three years.  The information is reviewed by NRC inspectors to ensure that security organization members are properly qualified in accordance with the safeguards transportation protection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73.26(e</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references the requirement for a written contingency plan. The contingency plan is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73.26(e</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upon detection of abnormal presence or activity of persons or vehicles attempting to penetrate a moving convoy or persons attempting to gain access to a parked cargo vehicle or upon evidence or indication of penetration of the cargo vehicle, the armed escorts or other personnel inform local law enforcement agencies of the threat and request assistance.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73.26(f</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licensees to (1) call remote location at least every 30 minutes to report status of shipment; (2) if call is not received, licensee commander shall request assistance from local law enforcement agencies and notify shipment movement control center and initiate appropriate contingency plan; (3) upon departure from transfer point, escorts shall notify the licensee of the latest status immediately thereafter departure.  Calling the remote location every 30 minutes is a part of the security staffs normal duties and is not reported as part of the burden.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73.26(g</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requires a numbered picture badge identification procedure to be used to identify all individuals who will have custody of a shipment of nuclear material.  All security officers assigned to duties involving shipments of nuclear material are required as a normal part of their duties to wear numbered picture badges and as such this is not reported as part of the burden; thus, the information collection is for the procedure only.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73.26(h</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73.26(h</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that licensees document the results of an annual audit of the transportation security program, along with recommendations for improvements, and that the documentation be retained as a record for 3 years.  The records are reviewed by the NRC inspectors to ensure that the effectiveness of the physical security system is evaluated by licensee personnel independent of security management and supervision.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w:t>
      </w:r>
      <w:proofErr w:type="spellStart"/>
      <w:r w:rsidRPr="0051740C">
        <w:rPr>
          <w:rFonts w:ascii="Arial" w:hAnsi="Arial"/>
          <w:sz w:val="22"/>
          <w:u w:val="single"/>
        </w:rPr>
        <w:t>i</w:t>
      </w:r>
      <w:proofErr w:type="spellEnd"/>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that licensees prepare a detailed route plan showing the routes to be taken, refueling and rest stops, and call-in times to the movement control center. </w:t>
      </w:r>
      <w:r w:rsidR="00F44E14">
        <w:rPr>
          <w:rFonts w:ascii="Arial" w:hAnsi="Arial"/>
          <w:sz w:val="22"/>
        </w:rPr>
        <w:t xml:space="preserve"> </w:t>
      </w:r>
      <w:r w:rsidRPr="0051740C">
        <w:rPr>
          <w:rFonts w:ascii="Arial" w:hAnsi="Arial"/>
          <w:sz w:val="22"/>
        </w:rPr>
        <w:t>This document is used to plan the movement of the shipment so that it is made on primary highways with minimum use of secondary roads, and to ensure that adequate measures for support and communications are available to protect the shipment.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w:t>
      </w:r>
      <w:proofErr w:type="spellStart"/>
      <w:r w:rsidRPr="0051740C">
        <w:rPr>
          <w:rFonts w:ascii="Arial" w:hAnsi="Arial"/>
          <w:sz w:val="22"/>
          <w:u w:val="single"/>
        </w:rPr>
        <w:t>i</w:t>
      </w:r>
      <w:proofErr w:type="spellEnd"/>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the establishment of procedures in support of the physical protections system. </w:t>
      </w:r>
      <w:r w:rsidR="00F44E14">
        <w:rPr>
          <w:rFonts w:ascii="Arial" w:hAnsi="Arial"/>
          <w:sz w:val="22"/>
        </w:rPr>
        <w:t xml:space="preserve"> </w:t>
      </w:r>
      <w:r w:rsidRPr="0051740C">
        <w:rPr>
          <w:rFonts w:ascii="Arial" w:hAnsi="Arial"/>
          <w:sz w:val="22"/>
        </w:rPr>
        <w:t>Information collections associated with this requirement are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Sections 73.26(</w:t>
      </w:r>
      <w:proofErr w:type="spellStart"/>
      <w:r w:rsidRPr="0051740C">
        <w:rPr>
          <w:rFonts w:ascii="Arial" w:hAnsi="Arial"/>
          <w:sz w:val="22"/>
          <w:u w:val="single"/>
        </w:rPr>
        <w:t>i</w:t>
      </w:r>
      <w:proofErr w:type="spellEnd"/>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that calls to the movement control center be made at least every half hour to convey the status and position of the shipment and that, in the event that no communication is received from the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Calling the remote location every 30 minutes is a part of the security staff’s normal duties and is not reported as part of the burden.</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73.26(j</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the establishment of procedures in support of the physical protections system. </w:t>
      </w:r>
      <w:r w:rsidR="00F44E14">
        <w:rPr>
          <w:rFonts w:ascii="Arial" w:hAnsi="Arial"/>
          <w:sz w:val="22"/>
        </w:rPr>
        <w:t xml:space="preserve"> </w:t>
      </w:r>
      <w:r w:rsidRPr="0051740C">
        <w:rPr>
          <w:rFonts w:ascii="Arial" w:hAnsi="Arial"/>
          <w:sz w:val="22"/>
        </w:rPr>
        <w:t>The information collections associated with this requirement are contained in Section 73.20(c).</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73.26(k</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the establishment of procedures in support of the physical protections system. </w:t>
      </w:r>
      <w:r w:rsidR="00F44E14">
        <w:rPr>
          <w:rFonts w:ascii="Arial" w:hAnsi="Arial"/>
          <w:sz w:val="22"/>
        </w:rPr>
        <w:t xml:space="preserve"> </w:t>
      </w:r>
      <w:r w:rsidRPr="0051740C">
        <w:rPr>
          <w:rFonts w:ascii="Arial" w:hAnsi="Arial"/>
          <w:sz w:val="22"/>
        </w:rPr>
        <w:t>The information collections associated with this requirement are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73.26(k)(4)</w:t>
      </w:r>
      <w:r w:rsidRPr="0051740C">
        <w:rPr>
          <w:rFonts w:ascii="Arial" w:hAnsi="Arial"/>
          <w:sz w:val="22"/>
        </w:rPr>
        <w:t xml:space="preserve"> requires that, in the event that no communication is received from the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The information collection associated with this requirement is captured under Section 73.26(</w:t>
      </w:r>
      <w:proofErr w:type="spellStart"/>
      <w:r w:rsidRPr="0051740C">
        <w:rPr>
          <w:rFonts w:ascii="Arial" w:hAnsi="Arial"/>
          <w:sz w:val="22"/>
        </w:rPr>
        <w:t>i</w:t>
      </w:r>
      <w:proofErr w:type="spellEnd"/>
      <w:proofErr w:type="gramStart"/>
      <w:r w:rsidRPr="0051740C">
        <w:rPr>
          <w:rFonts w:ascii="Arial" w:hAnsi="Arial"/>
          <w:sz w:val="22"/>
        </w:rPr>
        <w:t>)(</w:t>
      </w:r>
      <w:proofErr w:type="gramEnd"/>
      <w:r w:rsidRPr="0051740C">
        <w:rPr>
          <w:rFonts w:ascii="Arial" w:hAnsi="Arial"/>
          <w:sz w:val="22"/>
        </w:rPr>
        <w:t>6) as the requirement is the same, only transportation type varies.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73.27(a)(1)</w:t>
      </w:r>
      <w:r w:rsidRPr="0051740C">
        <w:rPr>
          <w:rFonts w:ascii="Arial" w:hAnsi="Arial"/>
          <w:sz w:val="22"/>
        </w:rPr>
        <w:t xml:space="preserve"> requires that a licensee who delivers formula quantities of SSNM to a carrier for transport must immediately notify the consignee by telephone, telegraph, or teletype, of the time of departure of the shipment and method of transportation, including names of carriers, and the estimated time of arrival at destination.  This information is needed to ensure that the consignee is aware that the shipment is </w:t>
      </w:r>
      <w:proofErr w:type="spellStart"/>
      <w:r w:rsidRPr="0051740C">
        <w:rPr>
          <w:rFonts w:ascii="Arial" w:hAnsi="Arial"/>
          <w:sz w:val="22"/>
        </w:rPr>
        <w:t>en</w:t>
      </w:r>
      <w:proofErr w:type="spellEnd"/>
      <w:r w:rsidRPr="0051740C">
        <w:rPr>
          <w:rFonts w:ascii="Arial" w:hAnsi="Arial"/>
          <w:sz w:val="22"/>
        </w:rPr>
        <w:t xml:space="preserve"> route so the consignee can carry out the safeguards transportation protection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73.27(a)(2)</w:t>
      </w:r>
      <w:r w:rsidRPr="0051740C">
        <w:rPr>
          <w:rFonts w:ascii="Arial" w:hAnsi="Arial"/>
          <w:sz w:val="22"/>
        </w:rPr>
        <w:t xml:space="preserve"> requires that, in the case of a free on board shipment, the licensee shipper must obtain written certification from the consignee who is to take delivery at the f.o.b. point that the required physical protection arrangements have been made.  This information is needed to ensure that the safeguards transportation protection plan will be carried out.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73.27(a)(3)</w:t>
      </w:r>
      <w:r w:rsidRPr="0051740C">
        <w:rPr>
          <w:rFonts w:ascii="Arial" w:hAnsi="Arial"/>
          <w:sz w:val="22"/>
        </w:rPr>
        <w:t xml:space="preserve"> requires that a shipper make arrangements to obtain immediate notification from the consignee of the arrival of a shipment at its destination or of any shipment that is lost or unaccounted for after the estimated time of arrival at its destination.  This information is required so that the licensee can promptly notify the NRC of any missing material so that a trace investigation may be initiated.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i/>
          <w:sz w:val="22"/>
        </w:rPr>
      </w:pPr>
      <w:r w:rsidRPr="0051740C">
        <w:rPr>
          <w:rFonts w:ascii="Arial" w:hAnsi="Arial"/>
          <w:sz w:val="22"/>
          <w:u w:val="single"/>
        </w:rPr>
        <w:t>Section 73.27(b)</w:t>
      </w:r>
      <w:r w:rsidRPr="0051740C">
        <w:rPr>
          <w:rFonts w:ascii="Arial" w:hAnsi="Arial"/>
          <w:sz w:val="22"/>
        </w:rPr>
        <w:t xml:space="preserve"> requires a licensee who receives a shipment of formula quantities of SSNM to immediately notify the shipper and the NRC of the arrival of the shipment at its destination, or of the failure of a shipment to arrive at its destination at the estimated time. In the latter event, the shipper must also notify the NRC of the actions being taken to trace the shipment.  This information is needed to ensure that accountability is maintained for SSNM in transit, so that appropriate measures may be taken to initiate a trace and undertake recovery action if necessary.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73.27(c)</w:t>
      </w:r>
      <w:r w:rsidRPr="0051740C">
        <w:rPr>
          <w:rFonts w:ascii="Arial" w:hAnsi="Arial"/>
          <w:sz w:val="22"/>
        </w:rPr>
        <w:t xml:space="preserve"> requires that in the case of a lost or unaccounted for shipment, the licensee who made the physical protection arrangements must conduct a trace investigation and file with the NRC a report of the investigation as specified in </w:t>
      </w:r>
      <w:r>
        <w:rPr>
          <w:rFonts w:ascii="Arial" w:hAnsi="Arial"/>
          <w:sz w:val="22"/>
        </w:rPr>
        <w:t xml:space="preserve">Section </w:t>
      </w:r>
      <w:r w:rsidRPr="0051740C">
        <w:rPr>
          <w:rFonts w:ascii="Arial" w:hAnsi="Arial"/>
          <w:sz w:val="22"/>
        </w:rPr>
        <w:t>73.71.  This information is needed to permit the NRC to determine whether all appropriate measures have been taken to trace and recover the material.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73.37(a)</w:t>
      </w:r>
      <w:r w:rsidRPr="0051740C">
        <w:rPr>
          <w:rFonts w:ascii="Arial" w:hAnsi="Arial"/>
          <w:sz w:val="22"/>
        </w:rPr>
        <w:t xml:space="preserve"> requires </w:t>
      </w:r>
      <w:r>
        <w:rPr>
          <w:rFonts w:ascii="Arial" w:hAnsi="Arial"/>
          <w:sz w:val="22"/>
        </w:rPr>
        <w:t xml:space="preserve">licensees to provide </w:t>
      </w:r>
      <w:r w:rsidRPr="0051740C">
        <w:rPr>
          <w:rFonts w:ascii="Arial" w:hAnsi="Arial"/>
          <w:sz w:val="22"/>
        </w:rPr>
        <w:t xml:space="preserve">notification to the appropriate response forces of any spent fuel shipment sabotage attempts as part of the physical protections system and plan required by Section 73.20.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73.37(b</w:t>
      </w:r>
      <w:proofErr w:type="gramStart"/>
      <w:r w:rsidRPr="0051740C">
        <w:rPr>
          <w:rFonts w:ascii="Arial" w:hAnsi="Arial"/>
          <w:sz w:val="22"/>
          <w:u w:val="single"/>
        </w:rPr>
        <w:t>)(</w:t>
      </w:r>
      <w:proofErr w:type="gramEnd"/>
      <w:r w:rsidRPr="0051740C">
        <w:rPr>
          <w:rFonts w:ascii="Arial" w:hAnsi="Arial"/>
          <w:sz w:val="22"/>
          <w:u w:val="single"/>
        </w:rPr>
        <w:t xml:space="preserve">1) </w:t>
      </w:r>
      <w:r w:rsidRPr="0051740C">
        <w:rPr>
          <w:rFonts w:ascii="Arial" w:hAnsi="Arial"/>
          <w:sz w:val="22"/>
        </w:rPr>
        <w:t xml:space="preserve">requires that licensees </w:t>
      </w:r>
      <w:r>
        <w:rPr>
          <w:rFonts w:ascii="Arial" w:hAnsi="Arial"/>
          <w:sz w:val="22"/>
        </w:rPr>
        <w:t xml:space="preserve">preplan and coordinate spent nuclear fuel shipments </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2A45C9" w:rsidRDefault="00FB54C0" w:rsidP="00FB54C0">
      <w:pPr>
        <w:ind w:left="1800"/>
        <w:rPr>
          <w:rFonts w:ascii="Arial" w:hAnsi="Arial" w:cs="Arial"/>
          <w:sz w:val="22"/>
          <w:szCs w:val="22"/>
        </w:rPr>
      </w:pPr>
      <w:r w:rsidRPr="00EA287D">
        <w:rPr>
          <w:rFonts w:ascii="Arial" w:hAnsi="Arial" w:cs="Arial"/>
          <w:sz w:val="22"/>
          <w:szCs w:val="22"/>
          <w:u w:val="single"/>
        </w:rPr>
        <w:t>Section 73.37(b</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1)(iv)</w:t>
      </w:r>
      <w:r w:rsidRPr="002A45C9">
        <w:rPr>
          <w:rFonts w:ascii="Arial" w:hAnsi="Arial" w:cs="Arial"/>
          <w:sz w:val="22"/>
          <w:szCs w:val="22"/>
        </w:rPr>
        <w:t xml:space="preserve"> requires licensees to </w:t>
      </w:r>
      <w:r>
        <w:rPr>
          <w:rFonts w:ascii="Arial" w:hAnsi="Arial" w:cs="Arial"/>
          <w:sz w:val="22"/>
          <w:szCs w:val="22"/>
        </w:rPr>
        <w:t>p</w:t>
      </w:r>
      <w:r w:rsidRPr="002A45C9">
        <w:rPr>
          <w:rFonts w:ascii="Arial" w:hAnsi="Arial" w:cs="Arial"/>
          <w:sz w:val="22"/>
          <w:szCs w:val="22"/>
        </w:rPr>
        <w:t xml:space="preserve">replan and </w:t>
      </w:r>
      <w:r>
        <w:rPr>
          <w:rFonts w:ascii="Arial" w:hAnsi="Arial" w:cs="Arial"/>
          <w:sz w:val="22"/>
          <w:szCs w:val="22"/>
        </w:rPr>
        <w:t>c</w:t>
      </w:r>
      <w:r w:rsidRPr="002A45C9">
        <w:rPr>
          <w:rFonts w:ascii="Arial" w:hAnsi="Arial" w:cs="Arial"/>
          <w:sz w:val="22"/>
          <w:szCs w:val="22"/>
        </w:rPr>
        <w:t>oordinate SNF with the governor of a State, or the governor's designee, of a shipment of SNF through, or across their boundary</w:t>
      </w:r>
      <w:r>
        <w:rPr>
          <w:rFonts w:ascii="Arial" w:hAnsi="Arial" w:cs="Arial"/>
          <w:sz w:val="22"/>
          <w:szCs w:val="22"/>
        </w:rPr>
        <w:t>.</w:t>
      </w:r>
      <w:r w:rsidRPr="002A45C9">
        <w:rPr>
          <w:rFonts w:ascii="Arial" w:hAnsi="Arial" w:cs="Arial"/>
          <w:sz w:val="22"/>
          <w:szCs w:val="22"/>
        </w:rPr>
        <w:t xml:space="preserve">  </w:t>
      </w:r>
    </w:p>
    <w:p w:rsidR="00FB54C0" w:rsidRPr="002A45C9" w:rsidRDefault="00FB54C0" w:rsidP="00FB54C0">
      <w:pPr>
        <w:ind w:left="1800"/>
        <w:rPr>
          <w:rFonts w:ascii="Arial" w:hAnsi="Arial" w:cs="Arial"/>
          <w:sz w:val="22"/>
          <w:szCs w:val="22"/>
        </w:rPr>
      </w:pPr>
    </w:p>
    <w:p w:rsidR="00FB54C0" w:rsidRPr="0051740C" w:rsidRDefault="00FB54C0" w:rsidP="00FB54C0">
      <w:pPr>
        <w:ind w:left="1800"/>
        <w:rPr>
          <w:rFonts w:ascii="Arial" w:hAnsi="Arial"/>
          <w:sz w:val="22"/>
        </w:rPr>
      </w:pPr>
      <w:r w:rsidRPr="00EA287D">
        <w:rPr>
          <w:rFonts w:ascii="Arial" w:hAnsi="Arial" w:cs="Arial"/>
          <w:sz w:val="22"/>
          <w:szCs w:val="22"/>
          <w:u w:val="single"/>
        </w:rPr>
        <w:t>Section 73.37(b)(1)(vi)</w:t>
      </w:r>
      <w:r w:rsidRPr="002A45C9">
        <w:rPr>
          <w:rFonts w:ascii="Arial" w:hAnsi="Arial" w:cs="Arial"/>
          <w:sz w:val="22"/>
          <w:szCs w:val="22"/>
        </w:rPr>
        <w:t xml:space="preserve"> requires licensees to </w:t>
      </w:r>
      <w:r>
        <w:rPr>
          <w:rFonts w:ascii="Arial" w:hAnsi="Arial" w:cs="Arial"/>
          <w:sz w:val="22"/>
          <w:szCs w:val="22"/>
        </w:rPr>
        <w:t>p</w:t>
      </w:r>
      <w:r w:rsidRPr="002A45C9">
        <w:rPr>
          <w:rFonts w:ascii="Arial" w:hAnsi="Arial" w:cs="Arial"/>
          <w:sz w:val="22"/>
          <w:szCs w:val="22"/>
        </w:rPr>
        <w:t xml:space="preserve">replan and coordinate with the NRC to obtain advance approval of the routes used for road and rail shipments of SNF, and of any U.S. ports where vessels carrying spent fuel shipments are scheduled to stop.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w:t>
      </w:r>
      <w:r>
        <w:rPr>
          <w:rFonts w:ascii="Arial" w:hAnsi="Arial"/>
          <w:sz w:val="22"/>
        </w:rPr>
        <w:t xml:space="preserve">licensees provide for notification of the NRC in advance of each shipment of spent nuclear fuel.  </w:t>
      </w:r>
      <w:r w:rsidRPr="0051740C">
        <w:rPr>
          <w:rFonts w:ascii="Arial" w:hAnsi="Arial"/>
          <w:sz w:val="22"/>
        </w:rPr>
        <w:t xml:space="preserve">The </w:t>
      </w:r>
      <w:r>
        <w:rPr>
          <w:rFonts w:ascii="Arial" w:hAnsi="Arial"/>
          <w:sz w:val="22"/>
        </w:rPr>
        <w:t>notification requirements are found in Section 73.72.</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hAnsi="Arial" w:cs="Arial"/>
          <w:sz w:val="22"/>
          <w:szCs w:val="22"/>
        </w:rPr>
      </w:pPr>
      <w:r w:rsidRPr="00EA287D">
        <w:rPr>
          <w:rFonts w:ascii="Arial" w:hAnsi="Arial" w:cs="Arial"/>
          <w:sz w:val="22"/>
          <w:szCs w:val="22"/>
          <w:u w:val="single"/>
        </w:rPr>
        <w:t>Section 73.37(b</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2)(</w:t>
      </w:r>
      <w:proofErr w:type="spellStart"/>
      <w:r w:rsidRPr="00EA287D">
        <w:rPr>
          <w:rFonts w:ascii="Arial" w:hAnsi="Arial" w:cs="Arial"/>
          <w:sz w:val="22"/>
          <w:szCs w:val="22"/>
          <w:u w:val="single"/>
        </w:rPr>
        <w:t>i</w:t>
      </w:r>
      <w:proofErr w:type="spellEnd"/>
      <w:r w:rsidRPr="00EA287D">
        <w:rPr>
          <w:rFonts w:ascii="Arial" w:hAnsi="Arial" w:cs="Arial"/>
          <w:sz w:val="22"/>
          <w:szCs w:val="22"/>
          <w:u w:val="single"/>
        </w:rPr>
        <w:t>-iii)</w:t>
      </w:r>
      <w:r w:rsidRPr="002A45C9">
        <w:rPr>
          <w:rFonts w:ascii="Arial" w:hAnsi="Arial" w:cs="Arial"/>
          <w:sz w:val="22"/>
          <w:szCs w:val="22"/>
        </w:rPr>
        <w:t xml:space="preserve"> require</w:t>
      </w:r>
      <w:r>
        <w:rPr>
          <w:rFonts w:ascii="Arial" w:hAnsi="Arial" w:cs="Arial"/>
          <w:sz w:val="22"/>
          <w:szCs w:val="22"/>
        </w:rPr>
        <w:t>s</w:t>
      </w:r>
      <w:r w:rsidRPr="002A45C9">
        <w:rPr>
          <w:rFonts w:ascii="Arial" w:hAnsi="Arial" w:cs="Arial"/>
          <w:sz w:val="22"/>
          <w:szCs w:val="22"/>
        </w:rPr>
        <w:t xml:space="preserve"> licensees to notify State(s) prior to the shipment of SNF within or through a State</w:t>
      </w:r>
      <w:r>
        <w:rPr>
          <w:rFonts w:ascii="Arial" w:hAnsi="Arial" w:cs="Arial"/>
          <w:sz w:val="22"/>
          <w:szCs w:val="22"/>
        </w:rPr>
        <w:t xml:space="preserve">.  In addition, requires licensees to </w:t>
      </w:r>
      <w:r w:rsidRPr="004A545D">
        <w:rPr>
          <w:rFonts w:ascii="Arial" w:hAnsi="Arial" w:cs="Arial"/>
          <w:sz w:val="22"/>
          <w:szCs w:val="22"/>
        </w:rPr>
        <w:t xml:space="preserve">notify the Tribal official or Tribal official’s designee of each participating Tribe referenced in </w:t>
      </w:r>
      <w:r>
        <w:rPr>
          <w:rFonts w:ascii="Arial" w:hAnsi="Arial" w:cs="Arial"/>
          <w:sz w:val="22"/>
          <w:szCs w:val="22"/>
        </w:rPr>
        <w:t>10 CFR</w:t>
      </w:r>
      <w:r w:rsidRPr="004A545D">
        <w:rPr>
          <w:rFonts w:ascii="Arial" w:hAnsi="Arial" w:cs="Arial"/>
          <w:sz w:val="22"/>
          <w:szCs w:val="22"/>
        </w:rPr>
        <w:t xml:space="preserve"> 71.97(c</w:t>
      </w:r>
      <w:proofErr w:type="gramStart"/>
      <w:r w:rsidRPr="004A545D">
        <w:rPr>
          <w:rFonts w:ascii="Arial" w:hAnsi="Arial" w:cs="Arial"/>
          <w:sz w:val="22"/>
          <w:szCs w:val="22"/>
        </w:rPr>
        <w:t>)(</w:t>
      </w:r>
      <w:proofErr w:type="gramEnd"/>
      <w:r w:rsidRPr="004A545D">
        <w:rPr>
          <w:rFonts w:ascii="Arial" w:hAnsi="Arial" w:cs="Arial"/>
          <w:sz w:val="22"/>
          <w:szCs w:val="22"/>
        </w:rPr>
        <w:t>3) prior to the transport of spent fuel within or across the Tribal reservation</w:t>
      </w:r>
      <w:r>
        <w:rPr>
          <w:rFonts w:ascii="Arial" w:hAnsi="Arial" w:cs="Arial"/>
          <w:sz w:val="22"/>
          <w:szCs w:val="22"/>
        </w:rPr>
        <w:t xml:space="preserve">.  This section also requires licensees to notify State(s) prior to the delivery for transport the licensed material outside the confines of the licensee’s facility or other place of use or storage.  </w:t>
      </w:r>
    </w:p>
    <w:p w:rsidR="00FB54C0" w:rsidRDefault="00FB54C0" w:rsidP="00FB54C0">
      <w:pPr>
        <w:ind w:left="1800"/>
        <w:rPr>
          <w:rFonts w:ascii="Arial" w:hAnsi="Arial"/>
          <w:sz w:val="22"/>
        </w:rPr>
      </w:pPr>
    </w:p>
    <w:p w:rsidR="00FB54C0" w:rsidRDefault="00FB54C0" w:rsidP="00FB54C0">
      <w:pPr>
        <w:ind w:left="1800"/>
        <w:rPr>
          <w:rFonts w:ascii="Arial" w:hAnsi="Arial" w:cs="Arial"/>
          <w:sz w:val="22"/>
          <w:szCs w:val="22"/>
        </w:rPr>
      </w:pPr>
      <w:r w:rsidRPr="00EA287D">
        <w:rPr>
          <w:rFonts w:ascii="Arial" w:hAnsi="Arial" w:cs="Arial"/>
          <w:sz w:val="22"/>
          <w:szCs w:val="22"/>
          <w:u w:val="single"/>
        </w:rPr>
        <w:t>Section 73.37(b</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2)(v)</w:t>
      </w:r>
      <w:r w:rsidRPr="00B500C6">
        <w:rPr>
          <w:rFonts w:ascii="Arial" w:hAnsi="Arial" w:cs="Arial"/>
          <w:sz w:val="22"/>
          <w:szCs w:val="22"/>
        </w:rPr>
        <w:t xml:space="preserve"> requires licensees who cancel a shipment for which advance notification has been sent shall send a cancellation notice to the governor or to the governor’s designee of each State previously notified</w:t>
      </w:r>
      <w:r w:rsidRPr="0065505E">
        <w:rPr>
          <w:rFonts w:ascii="Arial" w:hAnsi="Arial" w:cs="Arial"/>
          <w:sz w:val="22"/>
          <w:szCs w:val="22"/>
        </w:rPr>
        <w:t>, each Tribal official or the Tribal official’s designee previously notified,</w:t>
      </w:r>
      <w:r w:rsidRPr="00B500C6">
        <w:rPr>
          <w:rFonts w:ascii="Arial" w:hAnsi="Arial" w:cs="Arial"/>
          <w:sz w:val="22"/>
          <w:szCs w:val="22"/>
        </w:rPr>
        <w:t xml:space="preserve"> and to the NRC’s Director, Division of Security Policy, Office of Nuclear Security and Incident Response.  The licensee shall state in the notice that it is a cancellation and identify the advance notification that is being canceled.  </w:t>
      </w:r>
    </w:p>
    <w:p w:rsidR="00FB54C0" w:rsidRDefault="00FB54C0" w:rsidP="00FB54C0">
      <w:pPr>
        <w:ind w:left="1800"/>
        <w:rPr>
          <w:rFonts w:ascii="Arial" w:hAnsi="Arial"/>
          <w:sz w:val="22"/>
        </w:rPr>
      </w:pPr>
    </w:p>
    <w:p w:rsidR="00FB54C0" w:rsidRDefault="00FB54C0" w:rsidP="00FB54C0">
      <w:pPr>
        <w:ind w:left="1800"/>
        <w:rPr>
          <w:rFonts w:ascii="Arial" w:hAnsi="Arial" w:cs="Arial"/>
          <w:sz w:val="22"/>
          <w:szCs w:val="22"/>
        </w:rPr>
      </w:pPr>
      <w:r w:rsidRPr="00EA287D">
        <w:rPr>
          <w:rFonts w:ascii="Arial" w:hAnsi="Arial" w:cs="Arial"/>
          <w:sz w:val="22"/>
          <w:szCs w:val="22"/>
          <w:u w:val="single"/>
        </w:rPr>
        <w:t>Section 73.37(b)(2)(vi)</w:t>
      </w:r>
      <w:r w:rsidRPr="00B500C6">
        <w:rPr>
          <w:rFonts w:ascii="Arial" w:hAnsi="Arial" w:cs="Arial"/>
          <w:sz w:val="22"/>
          <w:szCs w:val="22"/>
        </w:rPr>
        <w:t xml:space="preserve"> requires licensees to retain a copy of the preplanning and coordination activities, advance notification, and any revision or cancellation notice as a record for 3 years</w:t>
      </w:r>
      <w:r>
        <w:rPr>
          <w:rFonts w:ascii="Arial" w:hAnsi="Arial" w:cs="Arial"/>
          <w:sz w:val="22"/>
          <w:szCs w:val="22"/>
        </w:rPr>
        <w:t>.</w:t>
      </w:r>
    </w:p>
    <w:p w:rsidR="00FB54C0" w:rsidRDefault="00FB54C0" w:rsidP="00FB54C0">
      <w:pPr>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the physical protection system (required by Section 73.20) include instructions for</w:t>
      </w:r>
      <w:r>
        <w:rPr>
          <w:rFonts w:ascii="Arial" w:hAnsi="Arial"/>
          <w:sz w:val="22"/>
        </w:rPr>
        <w:t xml:space="preserve"> armed</w:t>
      </w:r>
      <w:r w:rsidRPr="0051740C">
        <w:rPr>
          <w:rFonts w:ascii="Arial" w:hAnsi="Arial"/>
          <w:sz w:val="22"/>
        </w:rPr>
        <w:t xml:space="preserve"> escorts and gives the retention schedule for these instructions.</w:t>
      </w:r>
      <w:r w:rsidR="00F44E14">
        <w:rPr>
          <w:rFonts w:ascii="Arial" w:hAnsi="Arial"/>
          <w:sz w:val="22"/>
        </w:rPr>
        <w:t xml:space="preserve"> </w:t>
      </w:r>
      <w:r w:rsidRPr="0051740C">
        <w:rPr>
          <w:rFonts w:ascii="Arial" w:hAnsi="Arial"/>
          <w:sz w:val="22"/>
        </w:rPr>
        <w:t xml:space="preserve"> The information collection associated with this requirement is contained in Section 73.20.</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eastAsia="Batang" w:hAnsi="Arial" w:cs="Arial"/>
          <w:sz w:val="22"/>
          <w:szCs w:val="22"/>
        </w:rPr>
      </w:pPr>
      <w:r w:rsidRPr="00EA287D">
        <w:rPr>
          <w:rFonts w:ascii="Arial" w:hAnsi="Arial" w:cs="Arial"/>
          <w:sz w:val="22"/>
          <w:szCs w:val="22"/>
          <w:u w:val="single"/>
        </w:rPr>
        <w:t>Section 73.37(b)(3)(iv)</w:t>
      </w:r>
      <w:r w:rsidRPr="00B500C6">
        <w:rPr>
          <w:rFonts w:ascii="Arial" w:hAnsi="Arial" w:cs="Arial"/>
          <w:sz w:val="22"/>
          <w:szCs w:val="22"/>
        </w:rPr>
        <w:t xml:space="preserve"> </w:t>
      </w:r>
      <w:r>
        <w:rPr>
          <w:rFonts w:ascii="Arial" w:hAnsi="Arial" w:cs="Arial"/>
          <w:sz w:val="22"/>
          <w:szCs w:val="22"/>
        </w:rPr>
        <w:t xml:space="preserve">requires </w:t>
      </w:r>
      <w:r w:rsidRPr="00B500C6">
        <w:rPr>
          <w:rFonts w:ascii="Arial" w:hAnsi="Arial" w:cs="Arial"/>
          <w:sz w:val="22"/>
          <w:szCs w:val="22"/>
        </w:rPr>
        <w:t xml:space="preserve">the movement control center personnel and escorts </w:t>
      </w:r>
      <w:r>
        <w:rPr>
          <w:rFonts w:ascii="Arial" w:hAnsi="Arial" w:cs="Arial"/>
          <w:sz w:val="22"/>
          <w:szCs w:val="22"/>
        </w:rPr>
        <w:t xml:space="preserve">to </w:t>
      </w:r>
      <w:r w:rsidRPr="00B500C6">
        <w:rPr>
          <w:rFonts w:ascii="Arial" w:hAnsi="Arial" w:cs="Arial"/>
          <w:sz w:val="22"/>
          <w:szCs w:val="22"/>
        </w:rPr>
        <w:t xml:space="preserve">maintain a written log for each spent fuel shipment, which will include information describing the shipment and significant events that occur during the shipment.  The log will be available for review by authorized NRC personnel for a period of at least 3 years following completion of the shipment.  </w:t>
      </w:r>
    </w:p>
    <w:p w:rsidR="00FB54C0" w:rsidRDefault="00FB54C0" w:rsidP="00FB54C0">
      <w:pPr>
        <w:ind w:left="1800"/>
        <w:rPr>
          <w:rFonts w:ascii="Arial" w:hAnsi="Arial"/>
          <w:sz w:val="22"/>
        </w:rPr>
      </w:pPr>
    </w:p>
    <w:p w:rsidR="00FB54C0" w:rsidRPr="0051740C" w:rsidRDefault="00FB54C0" w:rsidP="00FB54C0">
      <w:pPr>
        <w:ind w:left="1800"/>
        <w:rPr>
          <w:rFonts w:ascii="Arial" w:hAnsi="Arial"/>
          <w:sz w:val="22"/>
        </w:rPr>
      </w:pPr>
      <w:r w:rsidRPr="00EA287D">
        <w:rPr>
          <w:rFonts w:ascii="Arial" w:hAnsi="Arial" w:cs="Arial"/>
          <w:sz w:val="22"/>
          <w:szCs w:val="22"/>
          <w:u w:val="single"/>
        </w:rPr>
        <w:t>Section 73.37(b</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3)(v)</w:t>
      </w:r>
      <w:r w:rsidRPr="00B500C6">
        <w:rPr>
          <w:rFonts w:ascii="Arial" w:hAnsi="Arial" w:cs="Arial"/>
          <w:sz w:val="22"/>
          <w:szCs w:val="22"/>
        </w:rPr>
        <w:t xml:space="preserve"> </w:t>
      </w:r>
      <w:r>
        <w:rPr>
          <w:rFonts w:ascii="Arial" w:hAnsi="Arial" w:cs="Arial"/>
          <w:sz w:val="22"/>
          <w:szCs w:val="22"/>
        </w:rPr>
        <w:t xml:space="preserve">requires </w:t>
      </w:r>
      <w:r w:rsidRPr="00B500C6">
        <w:rPr>
          <w:rFonts w:ascii="Arial" w:hAnsi="Arial" w:cs="Arial"/>
          <w:sz w:val="22"/>
          <w:szCs w:val="22"/>
        </w:rPr>
        <w:t xml:space="preserve">the licensee </w:t>
      </w:r>
      <w:r>
        <w:rPr>
          <w:rFonts w:ascii="Arial" w:hAnsi="Arial" w:cs="Arial"/>
          <w:sz w:val="22"/>
          <w:szCs w:val="22"/>
        </w:rPr>
        <w:t>to</w:t>
      </w:r>
      <w:r w:rsidRPr="00B500C6">
        <w:rPr>
          <w:rFonts w:ascii="Arial" w:hAnsi="Arial" w:cs="Arial"/>
          <w:sz w:val="22"/>
          <w:szCs w:val="22"/>
        </w:rPr>
        <w:t xml:space="preserve"> develop, maintain, revise and implement written transportation physical protection procedures. </w:t>
      </w:r>
      <w:r>
        <w:rPr>
          <w:rFonts w:ascii="Arial" w:hAnsi="Arial" w:cs="Arial"/>
          <w:sz w:val="22"/>
          <w:szCs w:val="22"/>
        </w:rPr>
        <w:t xml:space="preserve"> </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eastAsia="Batang" w:hAnsi="Arial" w:cs="Arial"/>
          <w:sz w:val="22"/>
          <w:szCs w:val="22"/>
        </w:rPr>
      </w:pPr>
      <w:r w:rsidRPr="00EA287D">
        <w:rPr>
          <w:rFonts w:ascii="Arial" w:hAnsi="Arial" w:cs="Arial"/>
          <w:sz w:val="22"/>
          <w:szCs w:val="22"/>
          <w:u w:val="single"/>
        </w:rPr>
        <w:lastRenderedPageBreak/>
        <w:t>Section 73.37(b</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3)(vi)</w:t>
      </w:r>
      <w:r w:rsidRPr="00B500C6">
        <w:rPr>
          <w:rFonts w:ascii="Arial" w:hAnsi="Arial" w:cs="Arial"/>
          <w:sz w:val="22"/>
          <w:szCs w:val="22"/>
        </w:rPr>
        <w:t xml:space="preserve"> </w:t>
      </w:r>
      <w:r>
        <w:rPr>
          <w:rFonts w:ascii="Arial" w:hAnsi="Arial" w:cs="Arial"/>
          <w:sz w:val="22"/>
          <w:szCs w:val="22"/>
        </w:rPr>
        <w:t xml:space="preserve">requires </w:t>
      </w:r>
      <w:r w:rsidRPr="00B500C6">
        <w:rPr>
          <w:rFonts w:ascii="Arial" w:hAnsi="Arial" w:cs="Arial"/>
          <w:sz w:val="22"/>
          <w:szCs w:val="22"/>
        </w:rPr>
        <w:t xml:space="preserve">the licensee </w:t>
      </w:r>
      <w:r>
        <w:rPr>
          <w:rFonts w:ascii="Arial" w:hAnsi="Arial" w:cs="Arial"/>
          <w:sz w:val="22"/>
          <w:szCs w:val="22"/>
        </w:rPr>
        <w:t>to</w:t>
      </w:r>
      <w:r w:rsidRPr="00B500C6">
        <w:rPr>
          <w:rFonts w:ascii="Arial" w:hAnsi="Arial" w:cs="Arial"/>
          <w:sz w:val="22"/>
          <w:szCs w:val="22"/>
        </w:rPr>
        <w:t xml:space="preserve"> retain as a record the transportation physical protection procedures for 3 years after the close of period for which the licensee possesses the spent nuclear fuel. </w:t>
      </w:r>
      <w:r>
        <w:rPr>
          <w:rFonts w:ascii="Arial" w:hAnsi="Arial" w:cs="Arial"/>
          <w:sz w:val="22"/>
          <w:szCs w:val="22"/>
        </w:rPr>
        <w:t xml:space="preserve"> </w:t>
      </w:r>
    </w:p>
    <w:p w:rsidR="00FB54C0" w:rsidRPr="00B500C6"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EA287D">
        <w:rPr>
          <w:rFonts w:ascii="Arial" w:hAnsi="Arial" w:cs="Arial"/>
          <w:sz w:val="22"/>
          <w:szCs w:val="22"/>
          <w:u w:val="single"/>
        </w:rPr>
        <w:t>Section 73.37(b)(3)(vii)(B)</w:t>
      </w:r>
      <w:r w:rsidRPr="00B500C6">
        <w:rPr>
          <w:rFonts w:ascii="Arial" w:hAnsi="Arial" w:cs="Arial"/>
          <w:b/>
          <w:sz w:val="22"/>
          <w:szCs w:val="22"/>
        </w:rPr>
        <w:t xml:space="preserve"> </w:t>
      </w:r>
      <w:r w:rsidRPr="00B500C6">
        <w:rPr>
          <w:rFonts w:ascii="Arial" w:hAnsi="Arial" w:cs="Arial"/>
          <w:sz w:val="22"/>
          <w:szCs w:val="22"/>
        </w:rPr>
        <w:t xml:space="preserve"> </w:t>
      </w:r>
      <w:r>
        <w:rPr>
          <w:rFonts w:ascii="Arial" w:hAnsi="Arial" w:cs="Arial"/>
          <w:sz w:val="22"/>
          <w:szCs w:val="22"/>
        </w:rPr>
        <w:t xml:space="preserve">requires as a part of </w:t>
      </w:r>
      <w:r w:rsidRPr="00B500C6">
        <w:rPr>
          <w:rFonts w:ascii="Arial" w:hAnsi="Arial" w:cs="Arial"/>
          <w:sz w:val="22"/>
          <w:szCs w:val="22"/>
        </w:rPr>
        <w:t>the transportation physical protection system that shipment escorts make calls to the movement control</w:t>
      </w:r>
      <w:r w:rsidRPr="00B500C6">
        <w:rPr>
          <w:rFonts w:ascii="Arial" w:hAnsi="Arial" w:cs="Arial"/>
          <w:color w:val="FF0000"/>
          <w:sz w:val="22"/>
          <w:szCs w:val="22"/>
        </w:rPr>
        <w:t xml:space="preserve"> </w:t>
      </w:r>
      <w:r w:rsidRPr="00B500C6">
        <w:rPr>
          <w:rFonts w:ascii="Arial" w:hAnsi="Arial" w:cs="Arial"/>
          <w:sz w:val="22"/>
          <w:szCs w:val="22"/>
        </w:rPr>
        <w:t>center at random intervals, not to exceed 2 hours</w:t>
      </w:r>
      <w:r w:rsidRPr="00B500C6">
        <w:rPr>
          <w:rFonts w:ascii="Arial" w:hAnsi="Arial" w:cs="Arial"/>
          <w:color w:val="000000"/>
          <w:sz w:val="22"/>
          <w:szCs w:val="22"/>
        </w:rPr>
        <w:t>,</w:t>
      </w:r>
      <w:r w:rsidRPr="00B500C6">
        <w:rPr>
          <w:rFonts w:ascii="Arial" w:hAnsi="Arial" w:cs="Arial"/>
          <w:sz w:val="22"/>
          <w:szCs w:val="22"/>
        </w:rPr>
        <w:t xml:space="preserve"> to advise of the status of the shipment for road and rail shipments, and for sea shipments while shipment vessels are docked at U.S. ports.  </w:t>
      </w:r>
    </w:p>
    <w:p w:rsidR="00FB54C0" w:rsidRPr="00655C78" w:rsidRDefault="00FB54C0" w:rsidP="00FB54C0">
      <w:pPr>
        <w:ind w:left="1800"/>
        <w:rPr>
          <w:rFonts w:ascii="Arial" w:hAnsi="Arial" w:cs="Arial"/>
          <w:b/>
          <w:sz w:val="22"/>
          <w:szCs w:val="22"/>
        </w:rPr>
      </w:pPr>
    </w:p>
    <w:p w:rsidR="00FB54C0" w:rsidRPr="00B500C6" w:rsidRDefault="00FB54C0" w:rsidP="00FB54C0">
      <w:pPr>
        <w:ind w:left="1800"/>
        <w:rPr>
          <w:rFonts w:ascii="Arial" w:hAnsi="Arial" w:cs="Arial"/>
          <w:sz w:val="22"/>
          <w:szCs w:val="22"/>
        </w:rPr>
      </w:pPr>
      <w:r w:rsidRPr="00EA287D">
        <w:rPr>
          <w:rFonts w:ascii="Arial" w:hAnsi="Arial" w:cs="Arial"/>
          <w:sz w:val="22"/>
          <w:szCs w:val="22"/>
          <w:u w:val="single"/>
        </w:rPr>
        <w:t>Section 73.37(b)(3)(vii)(C)</w:t>
      </w:r>
      <w:r w:rsidRPr="00B500C6">
        <w:rPr>
          <w:rFonts w:ascii="Arial" w:hAnsi="Arial" w:cs="Arial"/>
          <w:sz w:val="22"/>
          <w:szCs w:val="22"/>
        </w:rPr>
        <w:t xml:space="preserve"> </w:t>
      </w:r>
      <w:r>
        <w:rPr>
          <w:rFonts w:ascii="Arial" w:hAnsi="Arial" w:cs="Arial"/>
          <w:sz w:val="22"/>
          <w:szCs w:val="22"/>
        </w:rPr>
        <w:t>requires</w:t>
      </w:r>
      <w:r w:rsidRPr="00B500C6">
        <w:rPr>
          <w:rFonts w:ascii="Arial" w:hAnsi="Arial" w:cs="Arial"/>
          <w:sz w:val="22"/>
          <w:szCs w:val="22"/>
        </w:rPr>
        <w:t xml:space="preserve"> that at least one armed escort remains alert at all times, maintain constant visual surveillance of the shipment, and periodically reports to the movement control center at regular pre-set intervals during periods when the shipment vehicle is stopped, or the shipment vessel is docked.  </w:t>
      </w:r>
    </w:p>
    <w:p w:rsidR="00FB54C0" w:rsidRPr="00B500C6" w:rsidRDefault="00FB54C0" w:rsidP="00FB54C0">
      <w:pPr>
        <w:ind w:left="1530"/>
        <w:rPr>
          <w:rFonts w:ascii="Arial" w:hAnsi="Arial" w:cs="Arial"/>
          <w:sz w:val="22"/>
          <w:szCs w:val="22"/>
        </w:rPr>
      </w:pPr>
    </w:p>
    <w:p w:rsidR="00FB54C0" w:rsidRPr="00B500C6" w:rsidRDefault="00FB54C0" w:rsidP="00FB54C0">
      <w:pPr>
        <w:ind w:left="1800"/>
        <w:rPr>
          <w:rFonts w:ascii="Arial" w:hAnsi="Arial" w:cs="Arial"/>
          <w:strike/>
          <w:sz w:val="22"/>
          <w:szCs w:val="22"/>
        </w:rPr>
      </w:pPr>
      <w:r w:rsidRPr="00EA287D">
        <w:rPr>
          <w:rFonts w:ascii="Arial" w:hAnsi="Arial" w:cs="Arial"/>
          <w:sz w:val="22"/>
          <w:szCs w:val="22"/>
          <w:u w:val="single"/>
        </w:rPr>
        <w:t>Section 73.37(b)(4)(iii)</w:t>
      </w:r>
      <w:r w:rsidRPr="00B500C6">
        <w:rPr>
          <w:rFonts w:ascii="Arial" w:hAnsi="Arial" w:cs="Arial"/>
          <w:sz w:val="22"/>
          <w:szCs w:val="22"/>
        </w:rPr>
        <w:t xml:space="preserve"> </w:t>
      </w:r>
      <w:r>
        <w:rPr>
          <w:rFonts w:ascii="Arial" w:hAnsi="Arial" w:cs="Arial"/>
          <w:sz w:val="22"/>
          <w:szCs w:val="22"/>
        </w:rPr>
        <w:t xml:space="preserve">requires </w:t>
      </w:r>
      <w:r w:rsidRPr="00B500C6">
        <w:rPr>
          <w:rFonts w:ascii="Arial" w:hAnsi="Arial" w:cs="Arial"/>
          <w:sz w:val="22"/>
          <w:szCs w:val="22"/>
        </w:rPr>
        <w:t xml:space="preserve">the licensee </w:t>
      </w:r>
      <w:r>
        <w:rPr>
          <w:rFonts w:ascii="Arial" w:hAnsi="Arial" w:cs="Arial"/>
          <w:sz w:val="22"/>
          <w:szCs w:val="22"/>
        </w:rPr>
        <w:t>to</w:t>
      </w:r>
      <w:r w:rsidRPr="00B500C6">
        <w:rPr>
          <w:rFonts w:ascii="Arial" w:hAnsi="Arial" w:cs="Arial"/>
          <w:sz w:val="22"/>
          <w:szCs w:val="22"/>
        </w:rPr>
        <w:t xml:space="preserve"> retain the contingency and response procedures as a record for three years after the close of period for which the licensee possesses the special nuclear material under each license for which the plan is used and superseded material for three years after each change</w:t>
      </w:r>
      <w:r w:rsidRPr="00B500C6">
        <w:rPr>
          <w:rFonts w:ascii="Arial" w:hAnsi="Arial" w:cs="Arial"/>
          <w:color w:val="FF0000"/>
          <w:sz w:val="22"/>
          <w:szCs w:val="22"/>
        </w:rPr>
        <w:t>.</w:t>
      </w:r>
    </w:p>
    <w:p w:rsidR="00FB54C0" w:rsidRDefault="00FB54C0" w:rsidP="00FB54C0">
      <w:pPr>
        <w:ind w:left="1800"/>
        <w:rPr>
          <w:rFonts w:ascii="Arial" w:hAnsi="Arial" w:cs="Arial"/>
          <w:b/>
          <w:sz w:val="22"/>
          <w:szCs w:val="22"/>
        </w:rPr>
      </w:pPr>
    </w:p>
    <w:p w:rsidR="00FB54C0" w:rsidRDefault="00FB54C0" w:rsidP="00FB54C0">
      <w:pPr>
        <w:ind w:left="1800"/>
        <w:rPr>
          <w:rFonts w:ascii="Arial" w:hAnsi="Arial" w:cs="Arial"/>
          <w:sz w:val="22"/>
          <w:szCs w:val="22"/>
        </w:rPr>
      </w:pPr>
      <w:r w:rsidRPr="00B86E56">
        <w:rPr>
          <w:rFonts w:ascii="Arial" w:hAnsi="Arial" w:cs="Arial"/>
          <w:sz w:val="22"/>
          <w:szCs w:val="22"/>
          <w:u w:val="single"/>
        </w:rPr>
        <w:t>Section 73.37(f)</w:t>
      </w:r>
      <w:r>
        <w:rPr>
          <w:rFonts w:ascii="Arial" w:hAnsi="Arial" w:cs="Arial"/>
          <w:b/>
          <w:sz w:val="22"/>
          <w:szCs w:val="22"/>
        </w:rPr>
        <w:t xml:space="preserve"> </w:t>
      </w:r>
      <w:r>
        <w:rPr>
          <w:rFonts w:ascii="Arial" w:hAnsi="Arial" w:cs="Arial"/>
          <w:sz w:val="22"/>
          <w:szCs w:val="22"/>
        </w:rPr>
        <w:t xml:space="preserve">requires </w:t>
      </w:r>
      <w:r w:rsidRPr="00B500C6">
        <w:rPr>
          <w:rFonts w:ascii="Arial" w:hAnsi="Arial" w:cs="Arial"/>
          <w:sz w:val="22"/>
          <w:szCs w:val="22"/>
        </w:rPr>
        <w:t xml:space="preserve">each licensee who makes arrangements for the shipment of spent nuclear fuel </w:t>
      </w:r>
      <w:r>
        <w:rPr>
          <w:rFonts w:ascii="Arial" w:hAnsi="Arial" w:cs="Arial"/>
          <w:sz w:val="22"/>
          <w:szCs w:val="22"/>
        </w:rPr>
        <w:t>to</w:t>
      </w:r>
      <w:r w:rsidRPr="00B500C6">
        <w:rPr>
          <w:rFonts w:ascii="Arial" w:hAnsi="Arial" w:cs="Arial"/>
          <w:sz w:val="22"/>
          <w:szCs w:val="22"/>
        </w:rPr>
        <w:t xml:space="preserve"> immediately conduct an investigation, in coordination with the receiving licensee, of any shipment that is lost or unaccounted for after the designated no-later-than arrival time in </w:t>
      </w:r>
      <w:r>
        <w:rPr>
          <w:rFonts w:ascii="Arial" w:hAnsi="Arial" w:cs="Arial"/>
          <w:sz w:val="22"/>
          <w:szCs w:val="22"/>
        </w:rPr>
        <w:t>the advance notification.  The</w:t>
      </w:r>
      <w:r w:rsidRPr="00B500C6">
        <w:rPr>
          <w:rFonts w:ascii="Arial" w:hAnsi="Arial" w:cs="Arial"/>
          <w:sz w:val="22"/>
          <w:szCs w:val="22"/>
        </w:rPr>
        <w:t xml:space="preserve"> </w:t>
      </w:r>
      <w:r>
        <w:rPr>
          <w:rFonts w:ascii="Arial" w:hAnsi="Arial" w:cs="Arial"/>
          <w:sz w:val="22"/>
          <w:szCs w:val="22"/>
        </w:rPr>
        <w:t xml:space="preserve">reporting </w:t>
      </w:r>
      <w:r w:rsidRPr="00B500C6">
        <w:rPr>
          <w:rFonts w:ascii="Arial" w:hAnsi="Arial" w:cs="Arial"/>
          <w:sz w:val="22"/>
          <w:szCs w:val="22"/>
        </w:rPr>
        <w:t>req</w:t>
      </w:r>
      <w:r>
        <w:rPr>
          <w:rFonts w:ascii="Arial" w:hAnsi="Arial" w:cs="Arial"/>
          <w:sz w:val="22"/>
          <w:szCs w:val="22"/>
        </w:rPr>
        <w:t xml:space="preserve">uirement is contained in Section </w:t>
      </w:r>
      <w:r w:rsidRPr="00B500C6">
        <w:rPr>
          <w:rFonts w:ascii="Arial" w:eastAsia="Batang" w:hAnsi="Arial" w:cs="Arial"/>
          <w:sz w:val="22"/>
          <w:szCs w:val="22"/>
        </w:rPr>
        <w:t>7</w:t>
      </w:r>
      <w:r w:rsidRPr="00B500C6">
        <w:rPr>
          <w:rFonts w:ascii="Arial" w:hAnsi="Arial" w:cs="Arial"/>
          <w:sz w:val="22"/>
          <w:szCs w:val="22"/>
        </w:rPr>
        <w:t>3.71</w:t>
      </w:r>
      <w:r>
        <w:rPr>
          <w:rFonts w:ascii="Arial" w:hAnsi="Arial" w:cs="Arial"/>
          <w:sz w:val="22"/>
          <w:szCs w:val="22"/>
        </w:rPr>
        <w:t xml:space="preserve">.  </w:t>
      </w:r>
    </w:p>
    <w:p w:rsidR="00FB54C0" w:rsidRDefault="00FB54C0" w:rsidP="00FB54C0">
      <w:pPr>
        <w:ind w:left="1800"/>
        <w:rPr>
          <w:rFonts w:ascii="Arial" w:hAnsi="Arial" w:cs="Arial"/>
          <w:sz w:val="22"/>
          <w:szCs w:val="22"/>
        </w:rPr>
      </w:pPr>
      <w:r w:rsidRPr="00EA287D">
        <w:rPr>
          <w:rFonts w:ascii="Arial" w:hAnsi="Arial" w:cs="Arial"/>
          <w:sz w:val="22"/>
          <w:szCs w:val="22"/>
          <w:u w:val="single"/>
        </w:rPr>
        <w:t>Section 73.37(g)</w:t>
      </w:r>
      <w:r>
        <w:rPr>
          <w:rFonts w:ascii="Arial" w:hAnsi="Arial" w:cs="Arial"/>
          <w:sz w:val="22"/>
          <w:szCs w:val="22"/>
        </w:rPr>
        <w:t xml:space="preserve"> requires State officials, state employees, Tribal officials, Tribal employees, and other individuals who receive schedule information to protect the information against unauthorized disclosure.</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FB6859" w:rsidRDefault="00FB54C0" w:rsidP="00FB54C0">
      <w:pPr>
        <w:ind w:left="1800"/>
        <w:rPr>
          <w:rFonts w:ascii="Arial" w:hAnsi="Arial" w:cs="Arial"/>
          <w:sz w:val="22"/>
          <w:szCs w:val="22"/>
          <w:lang w:val="en"/>
        </w:rPr>
      </w:pPr>
      <w:r w:rsidRPr="00EA287D">
        <w:rPr>
          <w:rFonts w:ascii="Arial" w:hAnsi="Arial" w:cs="Arial"/>
          <w:sz w:val="22"/>
          <w:szCs w:val="22"/>
          <w:u w:val="single"/>
        </w:rPr>
        <w:t>Section 73.38(a</w:t>
      </w:r>
      <w:proofErr w:type="gramStart"/>
      <w:r w:rsidRPr="00EA287D">
        <w:rPr>
          <w:rFonts w:ascii="Arial" w:hAnsi="Arial" w:cs="Arial"/>
          <w:sz w:val="22"/>
          <w:szCs w:val="22"/>
          <w:u w:val="single"/>
        </w:rPr>
        <w:t>)(</w:t>
      </w:r>
      <w:proofErr w:type="gramEnd"/>
      <w:r w:rsidRPr="00EA287D">
        <w:rPr>
          <w:rFonts w:ascii="Arial" w:hAnsi="Arial" w:cs="Arial"/>
          <w:sz w:val="22"/>
          <w:szCs w:val="22"/>
          <w:u w:val="single"/>
        </w:rPr>
        <w:t>2)</w:t>
      </w:r>
      <w:r w:rsidRPr="00B12485">
        <w:rPr>
          <w:rFonts w:ascii="Arial" w:hAnsi="Arial" w:cs="Arial"/>
          <w:b/>
          <w:sz w:val="22"/>
          <w:szCs w:val="22"/>
        </w:rPr>
        <w:t xml:space="preserve"> </w:t>
      </w:r>
      <w:r w:rsidRPr="00B12485">
        <w:rPr>
          <w:rFonts w:ascii="Arial" w:hAnsi="Arial" w:cs="Arial"/>
          <w:sz w:val="22"/>
          <w:szCs w:val="22"/>
        </w:rPr>
        <w:t>requires the</w:t>
      </w:r>
      <w:r>
        <w:rPr>
          <w:rFonts w:ascii="Arial" w:hAnsi="Arial" w:cs="Arial"/>
          <w:b/>
          <w:sz w:val="22"/>
          <w:szCs w:val="22"/>
        </w:rPr>
        <w:t xml:space="preserve"> </w:t>
      </w:r>
      <w:r w:rsidRPr="00B12485">
        <w:rPr>
          <w:rFonts w:ascii="Arial" w:hAnsi="Arial" w:cs="Arial"/>
          <w:sz w:val="22"/>
          <w:szCs w:val="22"/>
        </w:rPr>
        <w:t xml:space="preserve">licensee </w:t>
      </w:r>
      <w:r>
        <w:rPr>
          <w:rFonts w:ascii="Arial" w:hAnsi="Arial" w:cs="Arial"/>
          <w:sz w:val="22"/>
          <w:szCs w:val="22"/>
        </w:rPr>
        <w:t>to</w:t>
      </w:r>
      <w:r w:rsidRPr="00B12485">
        <w:rPr>
          <w:rFonts w:ascii="Arial" w:hAnsi="Arial" w:cs="Arial"/>
          <w:sz w:val="22"/>
          <w:szCs w:val="22"/>
        </w:rPr>
        <w:t xml:space="preserve"> establish, implement, and maintain its access authorization program</w:t>
      </w:r>
      <w:r w:rsidRPr="00FB6859">
        <w:rPr>
          <w:rFonts w:ascii="Arial" w:hAnsi="Arial" w:cs="Arial"/>
          <w:sz w:val="22"/>
          <w:szCs w:val="22"/>
        </w:rPr>
        <w:t xml:space="preserve">.  </w:t>
      </w:r>
      <w:r w:rsidRPr="00FB6859">
        <w:rPr>
          <w:rFonts w:ascii="Arial" w:hAnsi="Arial" w:cs="Arial"/>
          <w:bCs/>
          <w:sz w:val="22"/>
          <w:szCs w:val="22"/>
        </w:rPr>
        <w:t>An access authorization program requires fingerprinting and background investigation of each individual permitted unescorted access to  protected and vital areas of nuclear facilities, to certain materials, and access to Safeguards information in order to increase the assurance that only trustworthy and reliable individuals have unescorted access to these facilities, materials, or access to Safeguards Information</w:t>
      </w:r>
      <w:r w:rsidRPr="00FB6859">
        <w:rPr>
          <w:rFonts w:ascii="Arial" w:hAnsi="Arial" w:cs="Arial"/>
          <w:sz w:val="22"/>
          <w:szCs w:val="22"/>
          <w:lang w:val="en"/>
        </w:rPr>
        <w:t xml:space="preserve">.  It also ensures that these individuals do not constitute an unreasonable risk to public health and safety or the common defense and security, including the potential to commit radiological sabotage.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7520EC" w:rsidRDefault="00FB54C0" w:rsidP="00FB54C0">
      <w:pPr>
        <w:ind w:left="1800"/>
        <w:rPr>
          <w:rFonts w:ascii="Arial" w:hAnsi="Arial" w:cs="Arial"/>
          <w:b/>
          <w:sz w:val="22"/>
          <w:szCs w:val="22"/>
        </w:rPr>
      </w:pPr>
      <w:r w:rsidRPr="008035E7">
        <w:rPr>
          <w:rFonts w:ascii="Arial" w:hAnsi="Arial" w:cs="Arial"/>
          <w:sz w:val="22"/>
          <w:szCs w:val="22"/>
          <w:u w:val="single"/>
        </w:rPr>
        <w:t>Section 73.38(c</w:t>
      </w:r>
      <w:proofErr w:type="gramStart"/>
      <w:r w:rsidRPr="008035E7">
        <w:rPr>
          <w:rFonts w:ascii="Arial" w:hAnsi="Arial" w:cs="Arial"/>
          <w:sz w:val="22"/>
          <w:szCs w:val="22"/>
          <w:u w:val="single"/>
        </w:rPr>
        <w:t>)(</w:t>
      </w:r>
      <w:proofErr w:type="gramEnd"/>
      <w:r w:rsidRPr="008035E7">
        <w:rPr>
          <w:rFonts w:ascii="Arial" w:hAnsi="Arial" w:cs="Arial"/>
          <w:sz w:val="22"/>
          <w:szCs w:val="22"/>
          <w:u w:val="single"/>
        </w:rPr>
        <w:t>2)(v)</w:t>
      </w:r>
      <w:r w:rsidRPr="007520EC">
        <w:rPr>
          <w:rFonts w:ascii="Arial" w:hAnsi="Arial" w:cs="Arial"/>
          <w:b/>
          <w:sz w:val="22"/>
          <w:szCs w:val="22"/>
        </w:rPr>
        <w:t xml:space="preserve"> </w:t>
      </w:r>
      <w:r>
        <w:rPr>
          <w:rFonts w:ascii="Arial" w:hAnsi="Arial" w:cs="Arial"/>
          <w:sz w:val="22"/>
          <w:szCs w:val="22"/>
        </w:rPr>
        <w:t>requires</w:t>
      </w:r>
      <w:r w:rsidRPr="000567A9">
        <w:rPr>
          <w:rFonts w:ascii="Arial" w:hAnsi="Arial" w:cs="Arial"/>
          <w:sz w:val="22"/>
          <w:szCs w:val="22"/>
        </w:rPr>
        <w:t xml:space="preserve"> a 3 year recordkeeping requirement pertaining to  documentation for access authorization for any individual who has an active Federal security clearance.  </w:t>
      </w:r>
    </w:p>
    <w:p w:rsidR="00FB54C0" w:rsidRPr="00B12485" w:rsidRDefault="00FB54C0" w:rsidP="00FB54C0">
      <w:pPr>
        <w:ind w:left="1800"/>
        <w:rPr>
          <w:rFonts w:ascii="Arial" w:hAnsi="Arial" w:cs="Arial"/>
          <w:b/>
          <w:sz w:val="22"/>
          <w:szCs w:val="22"/>
        </w:rPr>
      </w:pPr>
    </w:p>
    <w:p w:rsidR="00FB54C0" w:rsidRPr="00FB6859" w:rsidRDefault="00FB54C0" w:rsidP="00FB54C0">
      <w:pPr>
        <w:ind w:left="1800"/>
        <w:rPr>
          <w:rFonts w:ascii="Arial" w:hAnsi="Arial" w:cs="Arial"/>
          <w:sz w:val="22"/>
          <w:szCs w:val="22"/>
        </w:rPr>
      </w:pPr>
      <w:r w:rsidRPr="008035E7">
        <w:rPr>
          <w:rFonts w:ascii="Arial" w:hAnsi="Arial" w:cs="Arial"/>
          <w:sz w:val="22"/>
          <w:szCs w:val="22"/>
          <w:u w:val="single"/>
        </w:rPr>
        <w:t>Section 73.38(d)</w:t>
      </w:r>
      <w:r w:rsidRPr="002A45C9">
        <w:rPr>
          <w:rFonts w:ascii="Arial" w:hAnsi="Arial" w:cs="Arial"/>
          <w:sz w:val="22"/>
          <w:szCs w:val="22"/>
        </w:rPr>
        <w:t xml:space="preserve"> requires the licensee to conduct background investigations before allowing an individual to act as an armed escort or have unescorted access to spent reactor fuel in transit</w:t>
      </w:r>
    </w:p>
    <w:p w:rsidR="00FB54C0" w:rsidRPr="00FB6859" w:rsidRDefault="00FB54C0" w:rsidP="00FB54C0">
      <w:pPr>
        <w:ind w:left="1800"/>
        <w:rPr>
          <w:rFonts w:ascii="Arial" w:hAnsi="Arial" w:cs="Arial"/>
          <w:sz w:val="22"/>
          <w:szCs w:val="22"/>
        </w:rPr>
      </w:pPr>
    </w:p>
    <w:p w:rsidR="00FB54C0" w:rsidRPr="00FB6859" w:rsidRDefault="00FB54C0" w:rsidP="00FB54C0">
      <w:pPr>
        <w:ind w:left="1800"/>
        <w:rPr>
          <w:rFonts w:ascii="Arial" w:hAnsi="Arial" w:cs="Arial"/>
          <w:sz w:val="22"/>
          <w:szCs w:val="22"/>
        </w:rPr>
      </w:pPr>
      <w:r w:rsidRPr="008035E7">
        <w:rPr>
          <w:rFonts w:ascii="Arial" w:hAnsi="Arial" w:cs="Arial"/>
          <w:sz w:val="22"/>
          <w:szCs w:val="22"/>
          <w:u w:val="single"/>
        </w:rPr>
        <w:t>Section 73.38(d</w:t>
      </w:r>
      <w:proofErr w:type="gramStart"/>
      <w:r w:rsidRPr="008035E7">
        <w:rPr>
          <w:rFonts w:ascii="Arial" w:hAnsi="Arial" w:cs="Arial"/>
          <w:sz w:val="22"/>
          <w:szCs w:val="22"/>
          <w:u w:val="single"/>
        </w:rPr>
        <w:t>)(</w:t>
      </w:r>
      <w:proofErr w:type="gramEnd"/>
      <w:r w:rsidRPr="008035E7">
        <w:rPr>
          <w:rFonts w:ascii="Arial" w:hAnsi="Arial" w:cs="Arial"/>
          <w:sz w:val="22"/>
          <w:szCs w:val="22"/>
          <w:u w:val="single"/>
        </w:rPr>
        <w:t>1)</w:t>
      </w:r>
      <w:r>
        <w:rPr>
          <w:rFonts w:ascii="Arial" w:hAnsi="Arial" w:cs="Arial"/>
          <w:b/>
          <w:sz w:val="22"/>
          <w:szCs w:val="22"/>
        </w:rPr>
        <w:t xml:space="preserve"> </w:t>
      </w:r>
      <w:r w:rsidRPr="009B6C27">
        <w:rPr>
          <w:rFonts w:ascii="Arial" w:hAnsi="Arial" w:cs="Arial"/>
          <w:sz w:val="22"/>
          <w:szCs w:val="22"/>
        </w:rPr>
        <w:t xml:space="preserve">requires the </w:t>
      </w:r>
      <w:r>
        <w:rPr>
          <w:rFonts w:ascii="Arial" w:hAnsi="Arial" w:cs="Arial"/>
          <w:sz w:val="22"/>
          <w:szCs w:val="22"/>
        </w:rPr>
        <w:t>l</w:t>
      </w:r>
      <w:r w:rsidRPr="009B6C27">
        <w:rPr>
          <w:rFonts w:ascii="Arial" w:hAnsi="Arial" w:cs="Arial"/>
          <w:sz w:val="22"/>
          <w:szCs w:val="22"/>
        </w:rPr>
        <w:t xml:space="preserve">icensees not </w:t>
      </w:r>
      <w:r>
        <w:rPr>
          <w:rFonts w:ascii="Arial" w:hAnsi="Arial" w:cs="Arial"/>
          <w:sz w:val="22"/>
          <w:szCs w:val="22"/>
        </w:rPr>
        <w:t xml:space="preserve">to </w:t>
      </w:r>
      <w:r w:rsidRPr="009B6C27">
        <w:rPr>
          <w:rFonts w:ascii="Arial" w:hAnsi="Arial" w:cs="Arial"/>
          <w:sz w:val="22"/>
          <w:szCs w:val="22"/>
        </w:rPr>
        <w:t>initiate any element of a background investigation without the informed and signed consent of the subject individual</w:t>
      </w:r>
      <w:r>
        <w:rPr>
          <w:rFonts w:ascii="Arial" w:hAnsi="Arial" w:cs="Arial"/>
          <w:sz w:val="22"/>
          <w:szCs w:val="22"/>
        </w:rPr>
        <w:t xml:space="preserve">.  </w:t>
      </w:r>
    </w:p>
    <w:p w:rsidR="00FB54C0" w:rsidRDefault="00FB54C0" w:rsidP="00FB54C0">
      <w:pPr>
        <w:ind w:left="1800"/>
        <w:rPr>
          <w:rFonts w:ascii="Arial" w:hAnsi="Arial" w:cs="Arial"/>
          <w:sz w:val="22"/>
          <w:szCs w:val="22"/>
        </w:rPr>
      </w:pPr>
    </w:p>
    <w:p w:rsidR="00FB54C0" w:rsidRPr="00FB6859" w:rsidRDefault="00FB54C0" w:rsidP="00FB54C0">
      <w:pPr>
        <w:ind w:left="1804"/>
        <w:rPr>
          <w:rFonts w:ascii="Arial" w:hAnsi="Arial" w:cs="Arial"/>
          <w:sz w:val="22"/>
          <w:szCs w:val="22"/>
        </w:rPr>
      </w:pPr>
      <w:r w:rsidRPr="008035E7">
        <w:rPr>
          <w:rFonts w:ascii="Arial" w:hAnsi="Arial" w:cs="Arial"/>
          <w:sz w:val="22"/>
          <w:szCs w:val="22"/>
          <w:u w:val="single"/>
        </w:rPr>
        <w:t>Section 73.38(d)(2)</w:t>
      </w:r>
      <w:r>
        <w:rPr>
          <w:rFonts w:ascii="Arial" w:hAnsi="Arial" w:cs="Arial"/>
          <w:b/>
          <w:sz w:val="22"/>
          <w:szCs w:val="22"/>
        </w:rPr>
        <w:t xml:space="preserve"> </w:t>
      </w:r>
      <w:r w:rsidRPr="009B6C27">
        <w:rPr>
          <w:rFonts w:ascii="Arial" w:hAnsi="Arial" w:cs="Arial"/>
          <w:sz w:val="22"/>
          <w:szCs w:val="22"/>
        </w:rPr>
        <w:t xml:space="preserve">requires </w:t>
      </w:r>
      <w:r w:rsidRPr="00FB6859">
        <w:rPr>
          <w:rFonts w:ascii="Arial" w:hAnsi="Arial" w:cs="Arial"/>
          <w:sz w:val="22"/>
          <w:szCs w:val="22"/>
        </w:rPr>
        <w:t xml:space="preserve">any individual who is required to have a background investigation under the licensee’s access authorization program to disclose personal history information that is necessary to make a determination of the individual’s trustworthiness and reliability.. </w:t>
      </w:r>
    </w:p>
    <w:p w:rsidR="00FB54C0" w:rsidRPr="009B6C27" w:rsidRDefault="00FB54C0" w:rsidP="00FB54C0">
      <w:pPr>
        <w:ind w:left="1800"/>
        <w:rPr>
          <w:rFonts w:ascii="Arial" w:hAnsi="Arial" w:cs="Arial"/>
          <w:sz w:val="22"/>
          <w:szCs w:val="22"/>
        </w:rPr>
      </w:pPr>
    </w:p>
    <w:p w:rsidR="00FB54C0" w:rsidRPr="00FB6859" w:rsidRDefault="00FB54C0" w:rsidP="00FB54C0">
      <w:pPr>
        <w:numPr>
          <w:ilvl w:val="12"/>
          <w:numId w:val="0"/>
        </w:numPr>
        <w:ind w:left="1800"/>
        <w:rPr>
          <w:rFonts w:ascii="Arial" w:hAnsi="Arial" w:cs="Arial"/>
          <w:b/>
          <w:bCs/>
        </w:rPr>
      </w:pPr>
      <w:r w:rsidRPr="008035E7">
        <w:rPr>
          <w:rFonts w:ascii="Arial" w:hAnsi="Arial" w:cs="Arial"/>
          <w:sz w:val="22"/>
          <w:szCs w:val="22"/>
          <w:u w:val="single"/>
        </w:rPr>
        <w:t>Section 73.38(d</w:t>
      </w:r>
      <w:proofErr w:type="gramStart"/>
      <w:r w:rsidRPr="008035E7">
        <w:rPr>
          <w:rFonts w:ascii="Arial" w:hAnsi="Arial" w:cs="Arial"/>
          <w:sz w:val="22"/>
          <w:szCs w:val="22"/>
          <w:u w:val="single"/>
        </w:rPr>
        <w:t>)(</w:t>
      </w:r>
      <w:proofErr w:type="gramEnd"/>
      <w:r w:rsidRPr="008035E7">
        <w:rPr>
          <w:rFonts w:ascii="Arial" w:hAnsi="Arial" w:cs="Arial"/>
          <w:sz w:val="22"/>
          <w:szCs w:val="22"/>
          <w:u w:val="single"/>
        </w:rPr>
        <w:t>3)</w:t>
      </w:r>
      <w:r w:rsidRPr="002A45C9">
        <w:rPr>
          <w:rFonts w:ascii="Arial" w:hAnsi="Arial" w:cs="Arial"/>
          <w:sz w:val="22"/>
          <w:szCs w:val="22"/>
        </w:rPr>
        <w:t xml:space="preserve"> requires the licensee to </w:t>
      </w:r>
      <w:r>
        <w:rPr>
          <w:rFonts w:ascii="Arial" w:hAnsi="Arial" w:cs="Arial"/>
          <w:sz w:val="22"/>
          <w:szCs w:val="22"/>
        </w:rPr>
        <w:t>conduct</w:t>
      </w:r>
      <w:r w:rsidRPr="002A45C9">
        <w:rPr>
          <w:rFonts w:ascii="Arial" w:hAnsi="Arial" w:cs="Arial"/>
          <w:sz w:val="22"/>
          <w:szCs w:val="22"/>
        </w:rPr>
        <w:t xml:space="preserve"> fingerprint</w:t>
      </w:r>
      <w:r>
        <w:rPr>
          <w:rFonts w:ascii="Arial" w:hAnsi="Arial" w:cs="Arial"/>
          <w:sz w:val="22"/>
          <w:szCs w:val="22"/>
        </w:rPr>
        <w:t>s</w:t>
      </w:r>
      <w:r w:rsidRPr="002A45C9">
        <w:rPr>
          <w:rFonts w:ascii="Arial" w:hAnsi="Arial" w:cs="Arial"/>
          <w:sz w:val="22"/>
          <w:szCs w:val="22"/>
        </w:rPr>
        <w:t xml:space="preserve"> and an FBI investigation and criminal history records check in accordance with</w:t>
      </w:r>
      <w:r>
        <w:rPr>
          <w:rFonts w:ascii="Arial" w:hAnsi="Arial" w:cs="Arial"/>
          <w:sz w:val="22"/>
          <w:szCs w:val="22"/>
        </w:rPr>
        <w:t xml:space="preserve"> Section </w:t>
      </w:r>
      <w:r w:rsidRPr="002A45C9">
        <w:rPr>
          <w:rFonts w:ascii="Arial" w:hAnsi="Arial" w:cs="Arial"/>
          <w:sz w:val="22"/>
          <w:szCs w:val="22"/>
        </w:rPr>
        <w:t xml:space="preserve">73.57.  </w:t>
      </w:r>
      <w:r>
        <w:rPr>
          <w:rFonts w:ascii="Arial" w:hAnsi="Arial" w:cs="Arial"/>
          <w:sz w:val="22"/>
          <w:szCs w:val="22"/>
        </w:rPr>
        <w:t xml:space="preserve">  </w:t>
      </w:r>
      <w:r w:rsidRPr="00FB6859">
        <w:rPr>
          <w:rFonts w:ascii="Arial" w:hAnsi="Arial" w:cs="Arial"/>
          <w:sz w:val="22"/>
          <w:szCs w:val="22"/>
        </w:rPr>
        <w:t xml:space="preserve">The form is </w:t>
      </w:r>
      <w:r w:rsidRPr="00FB6859">
        <w:rPr>
          <w:rFonts w:ascii="Arial" w:hAnsi="Arial" w:cs="Arial"/>
          <w:bCs/>
          <w:sz w:val="22"/>
          <w:szCs w:val="22"/>
          <w:lang w:val="en"/>
        </w:rPr>
        <w:t>FD–258, which is indicated as an acceptable method for submitting fingerprints.  The fingerprint card Form FD–258, covered under OMB Clearance 1110-0046</w:t>
      </w:r>
      <w:r w:rsidRPr="00FB6859">
        <w:rPr>
          <w:rFonts w:ascii="Arial" w:hAnsi="Arial" w:cs="Arial"/>
          <w:b/>
          <w:bCs/>
        </w:rPr>
        <w:t xml:space="preserve"> </w:t>
      </w:r>
      <w:r w:rsidRPr="00FB6859">
        <w:rPr>
          <w:rFonts w:ascii="Arial" w:hAnsi="Arial" w:cs="Arial"/>
          <w:bCs/>
          <w:sz w:val="22"/>
          <w:szCs w:val="22"/>
        </w:rPr>
        <w:t>states the following as the Authority for the collection of information</w:t>
      </w:r>
      <w:r w:rsidRPr="00F44E14">
        <w:rPr>
          <w:rFonts w:ascii="Arial" w:hAnsi="Arial" w:cs="Arial"/>
          <w:bCs/>
        </w:rPr>
        <w:t>:</w:t>
      </w:r>
    </w:p>
    <w:p w:rsidR="00FB54C0" w:rsidRPr="00FB6859" w:rsidRDefault="00FB54C0" w:rsidP="00FB54C0">
      <w:pPr>
        <w:autoSpaceDE w:val="0"/>
        <w:autoSpaceDN w:val="0"/>
        <w:adjustRightInd w:val="0"/>
        <w:ind w:left="1890"/>
        <w:rPr>
          <w:rFonts w:ascii="Arial" w:hAnsi="Arial" w:cs="Arial"/>
          <w:b/>
          <w:bCs/>
        </w:rPr>
      </w:pPr>
      <w:r w:rsidRPr="00FB6859">
        <w:rPr>
          <w:rFonts w:ascii="Arial" w:hAnsi="Arial" w:cs="Arial"/>
          <w:b/>
          <w:bCs/>
        </w:rPr>
        <w:t xml:space="preserve"> </w:t>
      </w:r>
    </w:p>
    <w:p w:rsidR="00FB54C0" w:rsidRPr="00FB6859" w:rsidRDefault="00FB54C0" w:rsidP="00FB54C0">
      <w:pPr>
        <w:ind w:left="2610"/>
        <w:rPr>
          <w:rFonts w:ascii="Arial" w:hAnsi="Arial" w:cs="Arial"/>
          <w:sz w:val="22"/>
          <w:szCs w:val="22"/>
        </w:rPr>
      </w:pPr>
      <w:r w:rsidRPr="00FB6859">
        <w:rPr>
          <w:rFonts w:ascii="Arial" w:hAnsi="Arial" w:cs="Arial"/>
          <w:b/>
          <w:bCs/>
        </w:rPr>
        <w:t>“</w:t>
      </w:r>
      <w:r w:rsidRPr="00FB6859">
        <w:rPr>
          <w:rFonts w:ascii="Arial" w:hAnsi="Arial" w:cs="Arial"/>
          <w:b/>
          <w:bCs/>
          <w:sz w:val="22"/>
          <w:szCs w:val="22"/>
        </w:rPr>
        <w:t xml:space="preserve">Authority: </w:t>
      </w:r>
      <w:r w:rsidRPr="00FB6859">
        <w:rPr>
          <w:rFonts w:ascii="Arial" w:hAnsi="Arial" w:cs="Arial"/>
          <w:sz w:val="22"/>
          <w:szCs w:val="22"/>
        </w:rPr>
        <w:t xml:space="preserve">The FBI's acquisition, preservation, and exchange of information requested by this form is generally authorized under 28 U.S.C. Depending on the nature of your application, supplemental authorities include numerous Federal statutes, hundreds of State statutes pursuant to </w:t>
      </w:r>
      <w:proofErr w:type="spellStart"/>
      <w:r w:rsidRPr="00FB6859">
        <w:rPr>
          <w:rFonts w:ascii="Arial" w:hAnsi="Arial" w:cs="Arial"/>
          <w:sz w:val="22"/>
          <w:szCs w:val="22"/>
        </w:rPr>
        <w:t>Pub.L</w:t>
      </w:r>
      <w:proofErr w:type="spellEnd"/>
      <w:r w:rsidRPr="00FB6859">
        <w:rPr>
          <w:rFonts w:ascii="Arial" w:hAnsi="Arial" w:cs="Arial"/>
          <w:sz w:val="22"/>
          <w:szCs w:val="22"/>
        </w:rPr>
        <w:t xml:space="preserve">. 92-544, Presidential executive orders, regulations and/or orders of the Attorney General of the United States, or other authorized authorities. Examples include, but are not limited to: 5 U.S.C. 9101; </w:t>
      </w:r>
      <w:proofErr w:type="spellStart"/>
      <w:r w:rsidRPr="00FB6859">
        <w:rPr>
          <w:rFonts w:ascii="Arial" w:hAnsi="Arial" w:cs="Arial"/>
          <w:sz w:val="22"/>
          <w:szCs w:val="22"/>
        </w:rPr>
        <w:t>Pub.L</w:t>
      </w:r>
      <w:proofErr w:type="spellEnd"/>
      <w:r w:rsidRPr="00FB6859">
        <w:rPr>
          <w:rFonts w:ascii="Arial" w:hAnsi="Arial" w:cs="Arial"/>
          <w:sz w:val="22"/>
          <w:szCs w:val="22"/>
        </w:rPr>
        <w:t xml:space="preserve">. 94-29; </w:t>
      </w:r>
      <w:proofErr w:type="spellStart"/>
      <w:r w:rsidRPr="00FB6859">
        <w:rPr>
          <w:rFonts w:ascii="Arial" w:hAnsi="Arial" w:cs="Arial"/>
          <w:sz w:val="22"/>
          <w:szCs w:val="22"/>
        </w:rPr>
        <w:t>Pub.L</w:t>
      </w:r>
      <w:proofErr w:type="spellEnd"/>
      <w:r w:rsidRPr="00FB6859">
        <w:rPr>
          <w:rFonts w:ascii="Arial" w:hAnsi="Arial" w:cs="Arial"/>
          <w:sz w:val="22"/>
          <w:szCs w:val="22"/>
        </w:rPr>
        <w:t>. 101-604; and Executive Orders 10450 and Executive Orders 10450 and 12968.  Providing the requested information is voluntary; however, failure to furnish the information may affect timely completion or approval of your application.”</w:t>
      </w:r>
    </w:p>
    <w:p w:rsidR="00FB54C0" w:rsidRDefault="00FB54C0" w:rsidP="00FB54C0">
      <w:pPr>
        <w:ind w:left="1800"/>
        <w:rPr>
          <w:rFonts w:ascii="Arial" w:hAnsi="Arial" w:cs="Arial"/>
          <w:sz w:val="22"/>
          <w:szCs w:val="22"/>
        </w:rPr>
      </w:pPr>
    </w:p>
    <w:p w:rsidR="00FB54C0" w:rsidRPr="00FB6859" w:rsidRDefault="00FB54C0" w:rsidP="00FB54C0">
      <w:pPr>
        <w:ind w:left="1800"/>
        <w:rPr>
          <w:rFonts w:ascii="Arial" w:hAnsi="Arial" w:cs="Arial"/>
          <w:sz w:val="22"/>
          <w:szCs w:val="22"/>
        </w:rPr>
      </w:pPr>
      <w:r w:rsidRPr="002A45C9">
        <w:rPr>
          <w:rFonts w:ascii="Arial" w:hAnsi="Arial" w:cs="Arial"/>
          <w:sz w:val="22"/>
          <w:szCs w:val="22"/>
        </w:rPr>
        <w:t xml:space="preserve">This requires the licensee to transmit the fingerprints to the NRC.  </w:t>
      </w:r>
    </w:p>
    <w:p w:rsidR="00FB54C0" w:rsidRDefault="00FB54C0" w:rsidP="00FB54C0">
      <w:pPr>
        <w:ind w:left="1800"/>
        <w:rPr>
          <w:rFonts w:ascii="Arial" w:hAnsi="Arial" w:cs="Arial"/>
          <w:sz w:val="22"/>
          <w:szCs w:val="22"/>
        </w:rPr>
      </w:pPr>
    </w:p>
    <w:p w:rsidR="00FB54C0" w:rsidRPr="00376C67" w:rsidRDefault="00FB54C0" w:rsidP="00FB54C0">
      <w:pPr>
        <w:ind w:left="1800"/>
        <w:rPr>
          <w:rFonts w:ascii="Arial" w:hAnsi="Arial" w:cs="Arial"/>
          <w:sz w:val="22"/>
          <w:szCs w:val="22"/>
        </w:rPr>
      </w:pPr>
      <w:r w:rsidRPr="008035E7">
        <w:rPr>
          <w:rFonts w:ascii="Arial" w:hAnsi="Arial" w:cs="Arial"/>
          <w:sz w:val="22"/>
          <w:szCs w:val="22"/>
          <w:u w:val="single"/>
        </w:rPr>
        <w:t>Section 73.38(d)(5)(iv)(A)</w:t>
      </w:r>
      <w:r>
        <w:rPr>
          <w:rFonts w:ascii="Arial" w:hAnsi="Arial" w:cs="Arial"/>
          <w:b/>
          <w:sz w:val="22"/>
          <w:szCs w:val="22"/>
        </w:rPr>
        <w:t xml:space="preserve"> </w:t>
      </w:r>
      <w:r>
        <w:rPr>
          <w:rFonts w:ascii="Arial" w:hAnsi="Arial" w:cs="Arial"/>
          <w:sz w:val="22"/>
          <w:szCs w:val="22"/>
        </w:rPr>
        <w:t>requires the licensee to document if</w:t>
      </w:r>
      <w:r w:rsidRPr="00376C67">
        <w:rPr>
          <w:rFonts w:ascii="Arial" w:hAnsi="Arial" w:cs="Arial"/>
          <w:sz w:val="22"/>
          <w:szCs w:val="22"/>
        </w:rPr>
        <w:t xml:space="preserve"> a previous employer, educational institution, or any other entity with which the individual claims to have been engaged fails to provide information or indicates an inability or unwillingness to provide information</w:t>
      </w:r>
    </w:p>
    <w:p w:rsidR="00FB54C0" w:rsidRPr="002A45C9" w:rsidRDefault="00FB54C0" w:rsidP="00FB54C0">
      <w:pPr>
        <w:ind w:left="1800"/>
        <w:rPr>
          <w:rFonts w:ascii="Arial" w:hAnsi="Arial" w:cs="Arial"/>
          <w:sz w:val="22"/>
          <w:szCs w:val="22"/>
        </w:rPr>
      </w:pPr>
    </w:p>
    <w:p w:rsidR="00FB54C0" w:rsidRPr="00FB6859" w:rsidRDefault="00FB54C0" w:rsidP="00FB54C0">
      <w:pPr>
        <w:ind w:left="1800"/>
        <w:rPr>
          <w:rFonts w:ascii="Arial" w:hAnsi="Arial" w:cs="Arial"/>
          <w:sz w:val="22"/>
          <w:szCs w:val="22"/>
        </w:rPr>
      </w:pPr>
      <w:r w:rsidRPr="008035E7">
        <w:rPr>
          <w:rFonts w:ascii="Arial" w:hAnsi="Arial" w:cs="Arial"/>
          <w:sz w:val="22"/>
          <w:szCs w:val="22"/>
          <w:u w:val="single"/>
        </w:rPr>
        <w:t>Section 73.38(d</w:t>
      </w:r>
      <w:proofErr w:type="gramStart"/>
      <w:r w:rsidRPr="008035E7">
        <w:rPr>
          <w:rFonts w:ascii="Arial" w:hAnsi="Arial" w:cs="Arial"/>
          <w:sz w:val="22"/>
          <w:szCs w:val="22"/>
          <w:u w:val="single"/>
        </w:rPr>
        <w:t>)(</w:t>
      </w:r>
      <w:proofErr w:type="gramEnd"/>
      <w:r w:rsidRPr="008035E7">
        <w:rPr>
          <w:rFonts w:ascii="Arial" w:hAnsi="Arial" w:cs="Arial"/>
          <w:sz w:val="22"/>
          <w:szCs w:val="22"/>
          <w:u w:val="single"/>
        </w:rPr>
        <w:t>5)(vi)</w:t>
      </w:r>
      <w:r w:rsidRPr="006C71D3">
        <w:rPr>
          <w:rFonts w:ascii="Arial" w:hAnsi="Arial" w:cs="Arial"/>
          <w:sz w:val="22"/>
          <w:szCs w:val="22"/>
        </w:rPr>
        <w:t xml:space="preserve"> </w:t>
      </w:r>
      <w:r>
        <w:rPr>
          <w:rFonts w:ascii="Arial" w:hAnsi="Arial" w:cs="Arial"/>
          <w:sz w:val="22"/>
          <w:szCs w:val="22"/>
        </w:rPr>
        <w:t xml:space="preserve">requires the licensee when obtaining information on employment history to document any </w:t>
      </w:r>
      <w:r w:rsidRPr="006C71D3">
        <w:rPr>
          <w:rFonts w:ascii="Arial" w:eastAsia="Calibri" w:hAnsi="Arial" w:cs="Arial"/>
          <w:sz w:val="22"/>
          <w:szCs w:val="22"/>
        </w:rPr>
        <w:t>telephone</w:t>
      </w:r>
      <w:r>
        <w:rPr>
          <w:rFonts w:ascii="Arial" w:eastAsia="Calibri" w:hAnsi="Arial" w:cs="Arial"/>
          <w:sz w:val="22"/>
          <w:szCs w:val="22"/>
        </w:rPr>
        <w:t xml:space="preserve"> calls</w:t>
      </w:r>
      <w:r>
        <w:rPr>
          <w:rFonts w:ascii="Arial" w:hAnsi="Arial" w:cs="Arial"/>
          <w:sz w:val="22"/>
          <w:szCs w:val="22"/>
        </w:rPr>
        <w:t>.</w:t>
      </w:r>
    </w:p>
    <w:p w:rsidR="00FB54C0" w:rsidRPr="00AF275C" w:rsidRDefault="00FB54C0" w:rsidP="00FB54C0">
      <w:pPr>
        <w:ind w:left="1800"/>
        <w:rPr>
          <w:rFonts w:ascii="Arial" w:eastAsia="Calibri" w:hAnsi="Arial" w:cs="Arial"/>
          <w:color w:val="FF0000"/>
          <w:sz w:val="22"/>
          <w:szCs w:val="22"/>
        </w:rPr>
      </w:pPr>
    </w:p>
    <w:p w:rsidR="00FB54C0" w:rsidRPr="00FB6859" w:rsidRDefault="00FB54C0" w:rsidP="00FB54C0">
      <w:pPr>
        <w:ind w:left="1800"/>
        <w:rPr>
          <w:rFonts w:ascii="Arial" w:hAnsi="Arial" w:cs="Arial"/>
          <w:sz w:val="22"/>
          <w:szCs w:val="22"/>
        </w:rPr>
      </w:pPr>
      <w:r w:rsidRPr="008035E7">
        <w:rPr>
          <w:rFonts w:ascii="Arial" w:hAnsi="Arial" w:cs="Arial"/>
          <w:sz w:val="22"/>
          <w:szCs w:val="22"/>
          <w:u w:val="single"/>
        </w:rPr>
        <w:t>Section 73.38(f)(5)</w:t>
      </w:r>
      <w:r>
        <w:rPr>
          <w:rFonts w:ascii="Arial" w:hAnsi="Arial" w:cs="Arial"/>
          <w:b/>
          <w:sz w:val="22"/>
          <w:szCs w:val="22"/>
        </w:rPr>
        <w:t xml:space="preserve"> </w:t>
      </w:r>
      <w:r w:rsidRPr="00B12485">
        <w:rPr>
          <w:rFonts w:ascii="Arial" w:hAnsi="Arial" w:cs="Arial"/>
          <w:sz w:val="22"/>
          <w:szCs w:val="22"/>
        </w:rPr>
        <w:t xml:space="preserve">requires the licensee </w:t>
      </w:r>
      <w:r>
        <w:rPr>
          <w:rFonts w:ascii="Arial" w:hAnsi="Arial" w:cs="Arial"/>
          <w:sz w:val="22"/>
          <w:szCs w:val="22"/>
        </w:rPr>
        <w:t>to</w:t>
      </w:r>
      <w:r w:rsidRPr="00B12485">
        <w:rPr>
          <w:rFonts w:ascii="Arial" w:hAnsi="Arial" w:cs="Arial"/>
          <w:sz w:val="22"/>
          <w:szCs w:val="22"/>
        </w:rPr>
        <w:t xml:space="preserve"> retain all fingerprint and criminal history records received from the FBI, or a copy if the file has been transferred, on an individual (including data indicating no record) for 5 years from the date the individual no longer requires unescorted access or access authorization relative to spent nuclear fuel in transit.</w:t>
      </w:r>
      <w:r>
        <w:rPr>
          <w:rFonts w:ascii="Arial" w:hAnsi="Arial" w:cs="Arial"/>
          <w:sz w:val="22"/>
          <w:szCs w:val="22"/>
        </w:rPr>
        <w:t xml:space="preserve">  </w:t>
      </w:r>
    </w:p>
    <w:p w:rsidR="00FB54C0" w:rsidRPr="00FB6859" w:rsidRDefault="00FB54C0" w:rsidP="00FB54C0">
      <w:pPr>
        <w:ind w:left="1800"/>
        <w:rPr>
          <w:rFonts w:ascii="Arial" w:hAnsi="Arial" w:cs="Arial"/>
          <w:sz w:val="22"/>
          <w:szCs w:val="22"/>
        </w:rPr>
      </w:pPr>
    </w:p>
    <w:p w:rsidR="00FB54C0" w:rsidRPr="00FB6859" w:rsidRDefault="00FB54C0" w:rsidP="00FB54C0">
      <w:pPr>
        <w:ind w:left="1800"/>
        <w:rPr>
          <w:rFonts w:ascii="Arial" w:hAnsi="Arial" w:cs="Arial"/>
          <w:sz w:val="22"/>
          <w:szCs w:val="22"/>
        </w:rPr>
      </w:pPr>
      <w:r w:rsidRPr="008035E7">
        <w:rPr>
          <w:rFonts w:ascii="Arial" w:hAnsi="Arial" w:cs="Arial"/>
          <w:sz w:val="22"/>
          <w:szCs w:val="22"/>
          <w:u w:val="single"/>
        </w:rPr>
        <w:t>Section 73.38(</w:t>
      </w:r>
      <w:proofErr w:type="spellStart"/>
      <w:r w:rsidRPr="008035E7">
        <w:rPr>
          <w:rFonts w:ascii="Arial" w:hAnsi="Arial" w:cs="Arial"/>
          <w:sz w:val="22"/>
          <w:szCs w:val="22"/>
          <w:u w:val="single"/>
        </w:rPr>
        <w:t>i</w:t>
      </w:r>
      <w:proofErr w:type="spellEnd"/>
      <w:r w:rsidRPr="008035E7">
        <w:rPr>
          <w:rFonts w:ascii="Arial" w:hAnsi="Arial" w:cs="Arial"/>
          <w:sz w:val="22"/>
          <w:szCs w:val="22"/>
          <w:u w:val="single"/>
        </w:rPr>
        <w:t>)</w:t>
      </w:r>
      <w:r w:rsidRPr="0071003C">
        <w:rPr>
          <w:rFonts w:ascii="Arial" w:hAnsi="Arial" w:cs="Arial"/>
          <w:b/>
          <w:sz w:val="22"/>
          <w:szCs w:val="22"/>
        </w:rPr>
        <w:t xml:space="preserve"> </w:t>
      </w:r>
      <w:r>
        <w:rPr>
          <w:rFonts w:ascii="Arial" w:hAnsi="Arial" w:cs="Arial"/>
          <w:sz w:val="22"/>
          <w:szCs w:val="22"/>
        </w:rPr>
        <w:t>requires a</w:t>
      </w:r>
      <w:r w:rsidRPr="0071003C">
        <w:rPr>
          <w:rFonts w:ascii="Arial" w:hAnsi="Arial" w:cs="Arial"/>
          <w:sz w:val="22"/>
          <w:szCs w:val="22"/>
        </w:rPr>
        <w:t xml:space="preserve">ny individual who has applied for an access authorization or is maintaining an access authorization </w:t>
      </w:r>
      <w:r>
        <w:rPr>
          <w:rFonts w:ascii="Arial" w:hAnsi="Arial" w:cs="Arial"/>
          <w:sz w:val="22"/>
          <w:szCs w:val="22"/>
        </w:rPr>
        <w:t xml:space="preserve">to </w:t>
      </w:r>
      <w:r w:rsidRPr="0071003C">
        <w:rPr>
          <w:rFonts w:ascii="Arial" w:hAnsi="Arial" w:cs="Arial"/>
          <w:sz w:val="22"/>
          <w:szCs w:val="22"/>
        </w:rPr>
        <w:t>report to the reviewing official, his or her supervisor, or other management personnel designated in licensee procedures any legal action(s) taken by a law enforcement authority or court of law to which the individual has been subject that could result in incarceration or a court order or that requires a court appearance</w:t>
      </w:r>
      <w:r>
        <w:rPr>
          <w:rFonts w:ascii="Arial" w:hAnsi="Arial" w:cs="Arial"/>
          <w:sz w:val="22"/>
          <w:szCs w:val="22"/>
        </w:rPr>
        <w:t xml:space="preserve">.  </w:t>
      </w:r>
    </w:p>
    <w:p w:rsidR="00FB54C0" w:rsidRDefault="00FB54C0" w:rsidP="00FB54C0">
      <w:pPr>
        <w:ind w:left="1800"/>
        <w:rPr>
          <w:sz w:val="20"/>
        </w:rPr>
      </w:pPr>
    </w:p>
    <w:p w:rsidR="00FB54C0" w:rsidRPr="00FB6859" w:rsidRDefault="00FB54C0" w:rsidP="00FB54C0">
      <w:pPr>
        <w:spacing w:after="120"/>
        <w:ind w:left="1800"/>
        <w:rPr>
          <w:rFonts w:ascii="Arial" w:hAnsi="Arial" w:cs="Arial"/>
          <w:sz w:val="22"/>
          <w:szCs w:val="22"/>
        </w:rPr>
      </w:pPr>
      <w:r w:rsidRPr="008035E7">
        <w:rPr>
          <w:rFonts w:ascii="Arial" w:hAnsi="Arial" w:cs="Arial"/>
          <w:sz w:val="22"/>
          <w:szCs w:val="22"/>
          <w:u w:val="single"/>
        </w:rPr>
        <w:t>Section 73.38(j)</w:t>
      </w:r>
      <w:r w:rsidRPr="002C2857">
        <w:rPr>
          <w:rFonts w:ascii="Arial" w:hAnsi="Arial" w:cs="Arial"/>
          <w:sz w:val="22"/>
          <w:szCs w:val="22"/>
        </w:rPr>
        <w:t xml:space="preserve"> </w:t>
      </w:r>
      <w:r>
        <w:rPr>
          <w:rFonts w:ascii="Arial" w:hAnsi="Arial" w:cs="Arial"/>
          <w:sz w:val="22"/>
          <w:szCs w:val="22"/>
        </w:rPr>
        <w:t>requires the l</w:t>
      </w:r>
      <w:r w:rsidRPr="002C2857">
        <w:rPr>
          <w:rFonts w:ascii="Arial" w:hAnsi="Arial" w:cs="Arial"/>
          <w:sz w:val="22"/>
          <w:szCs w:val="22"/>
        </w:rPr>
        <w:t xml:space="preserve">icensee </w:t>
      </w:r>
      <w:r>
        <w:rPr>
          <w:rFonts w:ascii="Arial" w:hAnsi="Arial" w:cs="Arial"/>
          <w:sz w:val="22"/>
          <w:szCs w:val="22"/>
        </w:rPr>
        <w:t>to</w:t>
      </w:r>
      <w:r w:rsidRPr="002C2857">
        <w:rPr>
          <w:rFonts w:ascii="Arial" w:hAnsi="Arial" w:cs="Arial"/>
          <w:sz w:val="22"/>
          <w:szCs w:val="22"/>
        </w:rPr>
        <w:t xml:space="preserve"> develop, implement, and maintain written procedures for conducting background investigations for persons who are applying for unescorted access authorization for spent nuclear fuel in transit</w:t>
      </w:r>
      <w:r>
        <w:rPr>
          <w:rFonts w:ascii="Arial" w:hAnsi="Arial" w:cs="Arial"/>
          <w:sz w:val="22"/>
          <w:szCs w:val="22"/>
        </w:rPr>
        <w:t xml:space="preserve">.  </w:t>
      </w:r>
    </w:p>
    <w:p w:rsidR="00FB54C0" w:rsidRPr="00FB6859" w:rsidRDefault="00FB54C0" w:rsidP="00FB54C0">
      <w:pPr>
        <w:spacing w:after="120"/>
        <w:ind w:left="1800"/>
        <w:rPr>
          <w:rFonts w:ascii="Arial" w:hAnsi="Arial" w:cs="Arial"/>
          <w:sz w:val="22"/>
          <w:szCs w:val="22"/>
        </w:rPr>
      </w:pPr>
      <w:r w:rsidRPr="008035E7">
        <w:rPr>
          <w:rFonts w:ascii="Arial" w:hAnsi="Arial" w:cs="Arial"/>
          <w:sz w:val="22"/>
          <w:szCs w:val="22"/>
          <w:u w:val="single"/>
        </w:rPr>
        <w:lastRenderedPageBreak/>
        <w:t>Section 73.38(l)</w:t>
      </w:r>
      <w:r w:rsidRPr="002A45C9">
        <w:rPr>
          <w:rFonts w:ascii="Arial" w:hAnsi="Arial" w:cs="Arial"/>
          <w:sz w:val="22"/>
          <w:szCs w:val="22"/>
        </w:rPr>
        <w:t xml:space="preserve"> requires the licensee to maintain records of background investigations 5 years from the date the individual no longer requires access to spent nuclear fuel.  This section also requires </w:t>
      </w:r>
      <w:r w:rsidRPr="002A45C9">
        <w:rPr>
          <w:rFonts w:ascii="Arial" w:hAnsi="Arial" w:cs="Arial"/>
          <w:bCs/>
          <w:iCs/>
          <w:sz w:val="22"/>
          <w:szCs w:val="22"/>
        </w:rPr>
        <w:t>a copy of the access authorization program procedures as a record for 5 years after it is no longer needed</w:t>
      </w:r>
      <w:r>
        <w:rPr>
          <w:rFonts w:ascii="Arial" w:hAnsi="Arial" w:cs="Arial"/>
          <w:bCs/>
          <w:iCs/>
          <w:sz w:val="22"/>
          <w:szCs w:val="22"/>
        </w:rPr>
        <w:t>.</w:t>
      </w:r>
      <w:r w:rsidRPr="002A45C9">
        <w:rPr>
          <w:rFonts w:ascii="Arial" w:hAnsi="Arial" w:cs="Arial"/>
          <w:bCs/>
          <w:iCs/>
          <w:sz w:val="22"/>
          <w:szCs w:val="22"/>
        </w:rPr>
        <w:t xml:space="preserve">  In addition, the licensee must retain the list of persons approved for unescorted access for 5 years after the list is superseded or replaced.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73.40</w:t>
      </w:r>
      <w:r w:rsidRPr="0051740C">
        <w:rPr>
          <w:rFonts w:ascii="Arial" w:hAnsi="Arial"/>
          <w:sz w:val="22"/>
        </w:rPr>
        <w:t xml:space="preserve"> Requires that licensees provide physical protection at a fixed site, or contiguous sites where licensed activities are conducted against radiological sabotage, or against theft of special nuclear material, or against both in accordance with the applicable sections of this part for each specific class of facility or material licensee. </w:t>
      </w:r>
      <w:r w:rsidR="00F44E14">
        <w:rPr>
          <w:rFonts w:ascii="Arial" w:hAnsi="Arial"/>
          <w:sz w:val="22"/>
        </w:rPr>
        <w:t xml:space="preserve"> </w:t>
      </w:r>
      <w:r w:rsidRPr="0051740C">
        <w:rPr>
          <w:rFonts w:ascii="Arial" w:hAnsi="Arial"/>
          <w:sz w:val="22"/>
        </w:rPr>
        <w:t>If applicable, the licensees are required to establish and maintain physical security in accordance with security plans approved by the NRC. The requirement for security plans for applicable licensees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73.45</w:t>
      </w:r>
      <w:r w:rsidRPr="0051740C">
        <w:rPr>
          <w:rFonts w:ascii="Arial" w:hAnsi="Arial"/>
          <w:sz w:val="22"/>
        </w:rPr>
        <w:t xml:space="preserve"> requires that the licensee's fixed site physical protection system (required by 73.20) contain certain provisions, procedures, and plans.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73.46(b)(1)</w:t>
      </w:r>
      <w:r w:rsidRPr="0051740C">
        <w:rPr>
          <w:rFonts w:ascii="Arial" w:hAnsi="Arial"/>
          <w:sz w:val="22"/>
        </w:rPr>
        <w:t xml:space="preserve"> requires that, if a contract guard force is utilized, the licensee have a written agreement with the contractor that contains provisions showing that the licensee is responsible to NRC for maintaining safeguards in accordance with NRC regulations and the licensee's security plan, that NRC may inspect, copy, and remove copies of required reports and documents, and that the licensee must demonstrate the capability of the security force, including contractor personnel, to perform their assigned duties.  This requirement is necessary to ensure that the licensee makes the security force contractor aware of its responsibilities.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73.46(b)(3)</w:t>
      </w:r>
      <w:r w:rsidRPr="0051740C">
        <w:rPr>
          <w:rFonts w:ascii="Arial" w:hAnsi="Arial"/>
          <w:sz w:val="22"/>
        </w:rPr>
        <w:t xml:space="preserve"> requires that the licensee have a management system that includes written security procedures which document the structure of the security organization and which detail the duties of the Tactical Response Team, guards, watchmen, and other individuals responsible for security.  The licensee must also have provisions for written approval of such procedures and any revisions thereto by the individual with overall responsibility for the security function.  These procedures are necessary to ensure that a management system is in place, that responsibilities and duties are set forth clearly, and that the security organization is adequate to provide protection in accordance with the security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73.46(b)(4)</w:t>
      </w:r>
      <w:r w:rsidRPr="0051740C">
        <w:rPr>
          <w:rFonts w:ascii="Arial" w:hAnsi="Arial"/>
          <w:sz w:val="22"/>
        </w:rPr>
        <w:t xml:space="preserve"> requires that the licensee document the results of each weapons qualification and re-qualification, the annual physical fitness performance test or the quarterly administered site specific content-based test.  These records verify that qualification and re-qualification have occurred and provide a record of individual performances. The burden for this information collection has been listed together with </w:t>
      </w:r>
      <w:r>
        <w:rPr>
          <w:rFonts w:ascii="Arial" w:hAnsi="Arial"/>
          <w:sz w:val="22"/>
        </w:rPr>
        <w:t>Sections</w:t>
      </w:r>
      <w:r w:rsidRPr="0051740C">
        <w:rPr>
          <w:rFonts w:ascii="Arial" w:hAnsi="Arial"/>
          <w:sz w:val="22"/>
        </w:rPr>
        <w:t xml:space="preserve"> 73.46(b</w:t>
      </w:r>
      <w:proofErr w:type="gramStart"/>
      <w:r w:rsidRPr="0051740C">
        <w:rPr>
          <w:rFonts w:ascii="Arial" w:hAnsi="Arial"/>
          <w:sz w:val="22"/>
        </w:rPr>
        <w:t>)(</w:t>
      </w:r>
      <w:proofErr w:type="gramEnd"/>
      <w:r w:rsidRPr="0051740C">
        <w:rPr>
          <w:rFonts w:ascii="Arial" w:hAnsi="Arial"/>
          <w:sz w:val="22"/>
        </w:rPr>
        <w:t>7) and 73.46(b)(8).</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7)</w:t>
      </w:r>
      <w:r w:rsidRPr="0051740C">
        <w:rPr>
          <w:rFonts w:ascii="Arial" w:hAnsi="Arial"/>
          <w:sz w:val="22"/>
        </w:rPr>
        <w:t xml:space="preserve"> requires that licensees document the qualification and re</w:t>
      </w:r>
      <w:r w:rsidRPr="0051740C">
        <w:rPr>
          <w:rFonts w:ascii="Arial" w:hAnsi="Arial"/>
          <w:sz w:val="22"/>
        </w:rPr>
        <w:noBreakHyphen/>
        <w:t>qualification of Tactical Response Team members, armed response personnel, and guards in day and night firing.  These records verify that qualification and re-qualification have occurred and provide a record of individual performances. The burden for this information collection has been listed together with</w:t>
      </w:r>
      <w:r>
        <w:rPr>
          <w:rFonts w:ascii="Arial" w:hAnsi="Arial"/>
          <w:sz w:val="22"/>
        </w:rPr>
        <w:t xml:space="preserve"> Sections</w:t>
      </w:r>
      <w:r w:rsidRPr="0051740C">
        <w:rPr>
          <w:rFonts w:ascii="Arial" w:hAnsi="Arial"/>
          <w:sz w:val="22"/>
        </w:rPr>
        <w:t xml:space="preserve"> 73.46(b</w:t>
      </w:r>
      <w:proofErr w:type="gramStart"/>
      <w:r w:rsidRPr="0051740C">
        <w:rPr>
          <w:rFonts w:ascii="Arial" w:hAnsi="Arial"/>
          <w:sz w:val="22"/>
        </w:rPr>
        <w:t>)(</w:t>
      </w:r>
      <w:proofErr w:type="gramEnd"/>
      <w:r w:rsidRPr="0051740C">
        <w:rPr>
          <w:rFonts w:ascii="Arial" w:hAnsi="Arial"/>
          <w:sz w:val="22"/>
        </w:rPr>
        <w:t>4) and 73.46(b)(8).</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8)</w:t>
      </w:r>
      <w:r w:rsidRPr="0051740C">
        <w:rPr>
          <w:rFonts w:ascii="Arial" w:hAnsi="Arial"/>
          <w:sz w:val="22"/>
        </w:rPr>
        <w:t xml:space="preserve"> requires that licensees document the training of Tactical </w:t>
      </w:r>
      <w:r w:rsidRPr="0051740C">
        <w:rPr>
          <w:rFonts w:ascii="Arial" w:hAnsi="Arial"/>
          <w:sz w:val="22"/>
        </w:rPr>
        <w:lastRenderedPageBreak/>
        <w:t>Response Team members in response tactics.  These records verify that training has occurred and provide a record of individual performances. The burden for this information collection has been listed together with</w:t>
      </w:r>
      <w:r>
        <w:rPr>
          <w:rFonts w:ascii="Arial" w:hAnsi="Arial"/>
          <w:sz w:val="22"/>
        </w:rPr>
        <w:t xml:space="preserve"> Sections</w:t>
      </w:r>
      <w:r w:rsidRPr="0051740C">
        <w:rPr>
          <w:rFonts w:ascii="Arial" w:hAnsi="Arial"/>
          <w:sz w:val="22"/>
        </w:rPr>
        <w:t xml:space="preserve"> 73.46(b</w:t>
      </w:r>
      <w:proofErr w:type="gramStart"/>
      <w:r w:rsidRPr="0051740C">
        <w:rPr>
          <w:rFonts w:ascii="Arial" w:hAnsi="Arial"/>
          <w:sz w:val="22"/>
        </w:rPr>
        <w:t>)(</w:t>
      </w:r>
      <w:proofErr w:type="gramEnd"/>
      <w:r w:rsidRPr="0051740C">
        <w:rPr>
          <w:rFonts w:ascii="Arial" w:hAnsi="Arial"/>
          <w:sz w:val="22"/>
        </w:rPr>
        <w:t>4) and 73.46(b)(7).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73.46(b)(9)</w:t>
      </w:r>
      <w:r w:rsidRPr="0051740C">
        <w:rPr>
          <w:rFonts w:ascii="Arial" w:hAnsi="Arial"/>
          <w:sz w:val="22"/>
        </w:rPr>
        <w:t xml:space="preserve"> requires that the licensee notify NRC at least 60 days in advance of a scheduled training exercise for the security force which is required to be observed by NRC.  The licensee must also document the results of all exercises.  The notification requirement allows the NRC to arrange for NRC inspectors to observe the exercise.  The documentation verifies that the exercise was conducted and provides a record of security force performance.</w:t>
      </w:r>
    </w:p>
    <w:p w:rsidR="00FB54C0" w:rsidRPr="0051740C" w:rsidRDefault="00FB54C0" w:rsidP="00FB54C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10)(iii)</w:t>
      </w:r>
      <w:r w:rsidRPr="0051740C">
        <w:rPr>
          <w:rFonts w:ascii="Arial" w:hAnsi="Arial"/>
          <w:sz w:val="22"/>
        </w:rPr>
        <w:t xml:space="preserve"> requires that the licensee obtain a written certification by an examining physician that there are no contraindications to individual's participation in the physical fitness training program.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11)(</w:t>
      </w:r>
      <w:proofErr w:type="spellStart"/>
      <w:r w:rsidRPr="0051740C">
        <w:rPr>
          <w:rFonts w:ascii="Arial" w:hAnsi="Arial"/>
          <w:sz w:val="22"/>
          <w:u w:val="single"/>
        </w:rPr>
        <w:t>i</w:t>
      </w:r>
      <w:proofErr w:type="spellEnd"/>
      <w:r w:rsidRPr="0051740C">
        <w:rPr>
          <w:rFonts w:ascii="Arial" w:hAnsi="Arial"/>
          <w:sz w:val="22"/>
          <w:u w:val="single"/>
        </w:rPr>
        <w:t>)</w:t>
      </w:r>
      <w:r w:rsidRPr="0051740C">
        <w:rPr>
          <w:rFonts w:ascii="Arial" w:hAnsi="Arial"/>
          <w:sz w:val="22"/>
        </w:rPr>
        <w:t xml:space="preserve"> requires that the licensee retain a record of each security force member's attempt to qualify or re-qualify by meeting or exceeding the applicable qualification criteria. </w:t>
      </w:r>
      <w:r w:rsidR="00F44E14">
        <w:rPr>
          <w:rFonts w:ascii="Arial" w:hAnsi="Arial"/>
          <w:sz w:val="22"/>
        </w:rPr>
        <w:t xml:space="preserve"> </w:t>
      </w:r>
      <w:r w:rsidRPr="0051740C">
        <w:rPr>
          <w:rFonts w:ascii="Arial" w:hAnsi="Arial"/>
          <w:sz w:val="22"/>
        </w:rPr>
        <w:t>This is a repetition of the requirement in</w:t>
      </w:r>
      <w:r>
        <w:rPr>
          <w:rFonts w:ascii="Arial" w:hAnsi="Arial"/>
          <w:sz w:val="22"/>
        </w:rPr>
        <w:t xml:space="preserve"> Section </w:t>
      </w:r>
      <w:r w:rsidRPr="0051740C">
        <w:rPr>
          <w:rFonts w:ascii="Arial" w:hAnsi="Arial"/>
          <w:sz w:val="22"/>
        </w:rPr>
        <w:t>73.46(b</w:t>
      </w:r>
      <w:proofErr w:type="gramStart"/>
      <w:r w:rsidRPr="0051740C">
        <w:rPr>
          <w:rFonts w:ascii="Arial" w:hAnsi="Arial"/>
          <w:sz w:val="22"/>
        </w:rPr>
        <w:t>)(</w:t>
      </w:r>
      <w:proofErr w:type="gramEnd"/>
      <w:r w:rsidRPr="0051740C">
        <w:rPr>
          <w:rFonts w:ascii="Arial" w:hAnsi="Arial"/>
          <w:sz w:val="22"/>
        </w:rPr>
        <w:t>4) and is not, itself, an information collection.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73.46(b)(11)(iii)</w:t>
      </w:r>
      <w:r w:rsidRPr="0051740C">
        <w:rPr>
          <w:rFonts w:ascii="Arial" w:hAnsi="Arial"/>
          <w:sz w:val="22"/>
        </w:rPr>
        <w:t xml:space="preserve"> requires that prior to participation in the physical performance testing each security force member must obtain a medical clearance from a licensed practitioner stating that there are no medical contraindications to the individual's participation in such testing.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12) and 73.46(b)(12)(</w:t>
      </w:r>
      <w:proofErr w:type="spellStart"/>
      <w:r w:rsidRPr="0051740C">
        <w:rPr>
          <w:rFonts w:ascii="Arial" w:hAnsi="Arial"/>
          <w:sz w:val="22"/>
          <w:u w:val="single"/>
        </w:rPr>
        <w:t>i</w:t>
      </w:r>
      <w:proofErr w:type="spellEnd"/>
      <w:r w:rsidRPr="0051740C">
        <w:rPr>
          <w:rFonts w:ascii="Arial" w:hAnsi="Arial"/>
          <w:sz w:val="22"/>
          <w:u w:val="single"/>
        </w:rPr>
        <w:t>)</w:t>
      </w:r>
      <w:r w:rsidRPr="0051740C">
        <w:rPr>
          <w:rFonts w:ascii="Arial" w:hAnsi="Arial"/>
          <w:sz w:val="22"/>
        </w:rPr>
        <w:t xml:space="preserve"> when taken together require the submission of the site specific content-based tests for NRC's approval.  This information is incorporated into the Licensee's Physical Protection Plan and may be used by NRC to inspect the physical performance testing programs to ensure that they are adequate to protect the health and safety of the public. The burden for this information collection is incorporated into that of </w:t>
      </w:r>
      <w:r>
        <w:rPr>
          <w:rFonts w:ascii="Arial" w:hAnsi="Arial"/>
          <w:sz w:val="22"/>
        </w:rPr>
        <w:t xml:space="preserve">Section </w:t>
      </w:r>
      <w:r w:rsidRPr="0051740C">
        <w:rPr>
          <w:rFonts w:ascii="Arial" w:hAnsi="Arial"/>
          <w:sz w:val="22"/>
        </w:rPr>
        <w:t>73.46(b</w:t>
      </w:r>
      <w:proofErr w:type="gramStart"/>
      <w:r w:rsidRPr="0051740C">
        <w:rPr>
          <w:rFonts w:ascii="Arial" w:hAnsi="Arial"/>
          <w:sz w:val="22"/>
        </w:rPr>
        <w:t>)(</w:t>
      </w:r>
      <w:proofErr w:type="gramEnd"/>
      <w:r w:rsidRPr="0051740C">
        <w:rPr>
          <w:rFonts w:ascii="Arial" w:hAnsi="Arial"/>
          <w:sz w:val="22"/>
        </w:rPr>
        <w:t>4).</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12)(ii)</w:t>
      </w:r>
      <w:r w:rsidRPr="0051740C">
        <w:rPr>
          <w:rFonts w:ascii="Arial" w:hAnsi="Arial"/>
          <w:sz w:val="22"/>
        </w:rPr>
        <w:t xml:space="preserve"> requires that, prior to the administration of the site specific content-based physical fitness tests and annually thereafter, a physical examination be conducted and a written certification, that there are no medical contraindications to participation in the tests, be obtained from a licensed physician.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procedures in support of the physical protections system and plan required by Section 73.20.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10)</w:t>
      </w:r>
      <w:r w:rsidRPr="0051740C">
        <w:rPr>
          <w:rFonts w:ascii="Arial" w:hAnsi="Arial"/>
          <w:sz w:val="22"/>
        </w:rPr>
        <w:t xml:space="preserve"> requires that the licensee must maintain records of the findings of teams conducting drum scanning and tamper sealing of containers of contaminated waste.  These records verify that the scanning was conducted and document the scan readings for later use in review of the waste shipments if needed.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11)</w:t>
      </w:r>
      <w:r w:rsidRPr="0051740C">
        <w:rPr>
          <w:rFonts w:ascii="Arial" w:hAnsi="Arial"/>
          <w:sz w:val="22"/>
        </w:rPr>
        <w:t xml:space="preserve"> requires that licensee teams must verify and certify the contents of containers of SSNM being prepared for shipment offsite.  These records verify the weight, assay, and tamper seal integrity of the containers.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73.46(d)(13)</w:t>
      </w:r>
      <w:r w:rsidRPr="0051740C">
        <w:rPr>
          <w:rFonts w:ascii="Arial" w:hAnsi="Arial"/>
          <w:sz w:val="22"/>
        </w:rPr>
        <w:t xml:space="preserve"> specifies that licensees must require that individuals provided escorted access to protected areas register their name, date, time, purpose of visit </w:t>
      </w:r>
      <w:r w:rsidRPr="0051740C">
        <w:rPr>
          <w:rFonts w:ascii="Arial" w:hAnsi="Arial"/>
          <w:sz w:val="22"/>
        </w:rPr>
        <w:lastRenderedPageBreak/>
        <w:t>and employment affiliation, citizenship, and name of the individual to be visited in a log.  The log serves as a record of visitors permitted access, serves as a document that may be inspected to verify that access control requirements are being followed, and facilitates any subsequent investigation of irregular events.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73.46(g</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73.46(g</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the documentation and reporting to management of the results of an annual independent review and audit of the security program.  The records are reviewed by NRC inspectors to ensure that the effectiveness of the security program is evaluated by licensee personnel independent of security management and supervision and that the results of the review are reported to higher management.  These records must be retained for 3 years.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18"/>
        </w:rPr>
      </w:pPr>
      <w:r w:rsidRPr="0051740C">
        <w:rPr>
          <w:rFonts w:ascii="Arial" w:hAnsi="Arial"/>
          <w:sz w:val="22"/>
          <w:u w:val="single"/>
        </w:rPr>
        <w:t>Section 73.46(h</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restates and provides details on the requirement in Section 73.20 to have a safeguards and contingency plan.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73.46(h)(3)</w:t>
      </w:r>
      <w:r w:rsidRPr="0051740C">
        <w:rPr>
          <w:rFonts w:ascii="Arial" w:hAnsi="Arial"/>
          <w:sz w:val="22"/>
        </w:rPr>
        <w:t xml:space="preserve"> requires that the basis for the determination of the size and availability of an additional force of guards or armed response personnel be included in the physical protection plans submitted to NRC</w:t>
      </w:r>
      <w:r>
        <w:rPr>
          <w:rFonts w:ascii="Arial" w:hAnsi="Arial"/>
          <w:sz w:val="22"/>
        </w:rPr>
        <w:t xml:space="preserve"> as</w:t>
      </w:r>
      <w:r w:rsidRPr="0051740C">
        <w:rPr>
          <w:rFonts w:ascii="Arial" w:hAnsi="Arial"/>
          <w:sz w:val="22"/>
        </w:rPr>
        <w:t xml:space="preserve"> required by</w:t>
      </w:r>
      <w:r>
        <w:rPr>
          <w:rFonts w:ascii="Arial" w:hAnsi="Arial"/>
          <w:sz w:val="22"/>
        </w:rPr>
        <w:t xml:space="preserve"> Section</w:t>
      </w:r>
      <w:r w:rsidRPr="0051740C">
        <w:rPr>
          <w:rFonts w:ascii="Arial" w:hAnsi="Arial"/>
          <w:sz w:val="22"/>
        </w:rPr>
        <w:t xml:space="preserve">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inform local law enforcement agencies of any detected threat and request assistance.  This notification requirement is necessary to ensure that law enforcement assistance is obtained to help neutralize any threat to vital areas or material access areas.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73.50(a)(3)</w:t>
      </w:r>
      <w:r w:rsidRPr="0051740C">
        <w:rPr>
          <w:rFonts w:ascii="Arial" w:hAnsi="Arial"/>
          <w:sz w:val="22"/>
        </w:rPr>
        <w:t xml:space="preserve"> requires that certain licensees who possess, use, or store formula quantities of SSNM must maintain written security procedures that document the structure of the security organization and detail the duties of guards, watchmen, and other individuals responsible for security.  The information collection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73.50(a</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document the qualification and re</w:t>
      </w:r>
      <w:r w:rsidRPr="0051740C">
        <w:rPr>
          <w:rFonts w:ascii="Arial" w:hAnsi="Arial"/>
          <w:sz w:val="22"/>
        </w:rPr>
        <w:noBreakHyphen/>
        <w:t>qualification of guards, watchmen, and other members of the security organization.  These records verify that qualification and re-qualification have occurred and provide a record of individual performances.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73.50(c)(5)</w:t>
      </w:r>
      <w:r w:rsidRPr="0051740C">
        <w:rPr>
          <w:rFonts w:ascii="Arial" w:hAnsi="Arial"/>
          <w:sz w:val="22"/>
        </w:rPr>
        <w:t xml:space="preserve"> specifies that licensees must require that individuals provided escorted access to protected areas register their name, date, time, purpose of visit and employment affiliation, citizenship, name and badge number of the escort, and name of the individual to be visited in a log.  The log serves as a record of visitors permitted access, serves as a document that may be inspected to verify that access control requirements are being followed, and facilitates any subsequent investigation of irregular events.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73.50(g)(1)</w:t>
      </w:r>
      <w:r w:rsidRPr="0051740C">
        <w:rPr>
          <w:rFonts w:ascii="Arial" w:hAnsi="Arial"/>
          <w:sz w:val="22"/>
        </w:rPr>
        <w:t xml:space="preserve"> requires that licensees maintain an NRC</w:t>
      </w:r>
      <w:r w:rsidRPr="0051740C">
        <w:rPr>
          <w:rFonts w:ascii="Arial" w:hAnsi="Arial"/>
          <w:sz w:val="22"/>
        </w:rPr>
        <w:noBreakHyphen/>
        <w:t>approved safeguards contingency plan for dealing with threats, thefts, and radiological sabotage related to SSNM and nuclear facilities. The information collection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w:t>
      </w:r>
    </w:p>
    <w:p w:rsidR="00FB54C0" w:rsidRPr="0051740C" w:rsidRDefault="00FB54C0" w:rsidP="00FB54C0">
      <w:pPr>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licensees inform local law enforcement agencies of any detected threat and request assistance.  This notification requirement is necessary to ensure that law enforcement assistance is obtained to help neutralize any threat to vital areas or material access areas.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73.50(h)</w:t>
      </w:r>
      <w:r w:rsidRPr="0051740C">
        <w:rPr>
          <w:rFonts w:ascii="Arial" w:hAnsi="Arial"/>
          <w:sz w:val="22"/>
        </w:rPr>
        <w:t xml:space="preserve"> lists requirements for the NRC-approved training and qualification plan, which is required by Section 73.20. 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73.51(c)</w:t>
      </w:r>
      <w:r w:rsidRPr="0051740C">
        <w:rPr>
          <w:rFonts w:ascii="Arial" w:hAnsi="Arial"/>
          <w:sz w:val="22"/>
        </w:rPr>
        <w:t xml:space="preserve"> This section states the records retention requirements for the security plan required by Section 73.20. This section does not contain an information collection.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a licensee to establish a documented liaison with local law enforcement or designated response force to be included in the security plan.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10)</w:t>
      </w:r>
      <w:r w:rsidRPr="0051740C">
        <w:rPr>
          <w:rFonts w:ascii="Arial" w:hAnsi="Arial"/>
          <w:sz w:val="22"/>
        </w:rPr>
        <w:t xml:space="preserve"> requires procedures in support of the physical protections system and plan required by Section 73.20.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12)</w:t>
      </w:r>
      <w:r w:rsidRPr="0051740C">
        <w:rPr>
          <w:rFonts w:ascii="Arial" w:hAnsi="Arial"/>
          <w:sz w:val="22"/>
        </w:rPr>
        <w:t xml:space="preserve"> requires the licensee to review the physical protection program every 24 months by individuals independent of both physical protection program management and personnel who have direct responsibility for implementation of the physical protection program.  The review must include an evaluation of the effectiveness of the physical protection system and verification of the liaison established with the designated response force or local law enforcement agency.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13)</w:t>
      </w:r>
      <w:r w:rsidRPr="0051740C">
        <w:rPr>
          <w:rFonts w:ascii="Arial" w:hAnsi="Arial"/>
          <w:sz w:val="22"/>
        </w:rPr>
        <w:t xml:space="preserve"> lists required retention schedules for information collections contained elsewhere in this part.</w:t>
      </w:r>
      <w:r w:rsidR="00F44E14">
        <w:rPr>
          <w:rFonts w:ascii="Arial" w:hAnsi="Arial"/>
          <w:sz w:val="22"/>
        </w:rPr>
        <w:t xml:space="preserve"> </w:t>
      </w:r>
      <w:r w:rsidRPr="0051740C">
        <w:rPr>
          <w:rFonts w:ascii="Arial" w:hAnsi="Arial"/>
          <w:sz w:val="22"/>
        </w:rPr>
        <w:t xml:space="preserve"> There are no new information collections in this section.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73.54(intro)</w:t>
      </w:r>
      <w:r w:rsidRPr="0051740C">
        <w:rPr>
          <w:rFonts w:ascii="Arial" w:hAnsi="Arial"/>
          <w:sz w:val="22"/>
        </w:rPr>
        <w:t xml:space="preserve"> provides the submittal deadline for NRC-approved cyber security plans. One-time burden associated with creating and submitting cyber security plans is captured in this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73.54(b</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analysis of digital computer and communications systems. This analysis is contained in the cyber security plan required by Section 73.54(e) and the information collection associated with this requirement is contained in that section.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73.54(e)</w:t>
      </w:r>
      <w:r w:rsidRPr="0051740C">
        <w:rPr>
          <w:rFonts w:ascii="Arial" w:hAnsi="Arial" w:cs="Arial"/>
          <w:sz w:val="22"/>
          <w:szCs w:val="22"/>
        </w:rPr>
        <w:t xml:space="preserve"> requires licensees to establish, implement, and maintain an NRC-approved cyber-security plan that describes how the requirements will be implemented and accounts for the site-specific conditions that affect implementation.  The cyber-security plan must include measures for incident response and recovery for </w:t>
      </w:r>
      <w:proofErr w:type="spellStart"/>
      <w:r w:rsidRPr="0051740C">
        <w:rPr>
          <w:rFonts w:ascii="Arial" w:hAnsi="Arial" w:cs="Arial"/>
          <w:sz w:val="22"/>
          <w:szCs w:val="22"/>
        </w:rPr>
        <w:t>cyber attacks</w:t>
      </w:r>
      <w:proofErr w:type="spellEnd"/>
      <w:r w:rsidRPr="0051740C">
        <w:rPr>
          <w:rFonts w:ascii="Arial" w:hAnsi="Arial" w:cs="Arial"/>
          <w:sz w:val="22"/>
          <w:szCs w:val="22"/>
        </w:rPr>
        <w:t xml:space="preserve"> and must describe how the licensee will maintain the capability for timely detection and response to </w:t>
      </w:r>
      <w:proofErr w:type="spellStart"/>
      <w:r w:rsidRPr="0051740C">
        <w:rPr>
          <w:rFonts w:ascii="Arial" w:hAnsi="Arial" w:cs="Arial"/>
          <w:sz w:val="22"/>
          <w:szCs w:val="22"/>
        </w:rPr>
        <w:t>cyber attacks</w:t>
      </w:r>
      <w:proofErr w:type="spellEnd"/>
      <w:r w:rsidRPr="0051740C">
        <w:rPr>
          <w:rFonts w:ascii="Arial" w:hAnsi="Arial" w:cs="Arial"/>
          <w:sz w:val="22"/>
          <w:szCs w:val="22"/>
        </w:rPr>
        <w:t xml:space="preserve">, mitigate the consequences of </w:t>
      </w:r>
      <w:proofErr w:type="spellStart"/>
      <w:r w:rsidRPr="0051740C">
        <w:rPr>
          <w:rFonts w:ascii="Arial" w:hAnsi="Arial" w:cs="Arial"/>
          <w:sz w:val="22"/>
          <w:szCs w:val="22"/>
        </w:rPr>
        <w:t>cyber attacks</w:t>
      </w:r>
      <w:proofErr w:type="spellEnd"/>
      <w:r w:rsidRPr="0051740C">
        <w:rPr>
          <w:rFonts w:ascii="Arial" w:hAnsi="Arial" w:cs="Arial"/>
          <w:sz w:val="22"/>
          <w:szCs w:val="22"/>
        </w:rPr>
        <w:t xml:space="preserve"> correct exploited vulnerabilities, and restore affected systems, networks, and/or equipment affected by </w:t>
      </w:r>
      <w:proofErr w:type="spellStart"/>
      <w:r w:rsidRPr="0051740C">
        <w:rPr>
          <w:rFonts w:ascii="Arial" w:hAnsi="Arial" w:cs="Arial"/>
          <w:sz w:val="22"/>
          <w:szCs w:val="22"/>
        </w:rPr>
        <w:t>cyber attacks</w:t>
      </w:r>
      <w:proofErr w:type="spellEnd"/>
      <w:r w:rsidRPr="0051740C">
        <w:rPr>
          <w:rFonts w:ascii="Arial" w:hAnsi="Arial" w:cs="Arial"/>
          <w:sz w:val="22"/>
          <w:szCs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73.54(f)</w:t>
      </w:r>
      <w:r w:rsidRPr="0051740C">
        <w:rPr>
          <w:rFonts w:ascii="Arial" w:hAnsi="Arial" w:cs="Arial"/>
          <w:sz w:val="22"/>
          <w:szCs w:val="22"/>
        </w:rPr>
        <w:t xml:space="preserve"> requires licensees to develop and maintain written policies in support of the cyber security plan required by </w:t>
      </w:r>
      <w:r>
        <w:rPr>
          <w:rFonts w:ascii="Arial" w:hAnsi="Arial"/>
          <w:sz w:val="22"/>
        </w:rPr>
        <w:t>Section</w:t>
      </w:r>
      <w:r w:rsidRPr="0051740C">
        <w:rPr>
          <w:rFonts w:ascii="Arial" w:hAnsi="Arial" w:cs="Arial"/>
          <w:sz w:val="22"/>
          <w:szCs w:val="22"/>
        </w:rPr>
        <w:t xml:space="preserve"> 73.54(e). The information collection associated with this requirement is contained in Section 73.54(e).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73.54(h)</w:t>
      </w:r>
      <w:r w:rsidRPr="0051740C">
        <w:rPr>
          <w:rFonts w:ascii="Arial" w:hAnsi="Arial"/>
          <w:sz w:val="22"/>
        </w:rPr>
        <w:t xml:space="preserve"> lists required retention schedules for information collections contained elsewhere in this part. There are no new information collections in this section.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73.55(a)</w:t>
      </w:r>
      <w:r w:rsidRPr="0051740C">
        <w:rPr>
          <w:rFonts w:ascii="Arial" w:hAnsi="Arial" w:cs="Arial"/>
          <w:sz w:val="22"/>
          <w:szCs w:val="22"/>
        </w:rPr>
        <w:t xml:space="preserve"> requires licensees and app</w:t>
      </w:r>
      <w:r w:rsidRPr="0051740C">
        <w:rPr>
          <w:rFonts w:ascii="Arial" w:hAnsi="Arial"/>
          <w:sz w:val="22"/>
        </w:rPr>
        <w:t>l</w:t>
      </w:r>
      <w:r w:rsidRPr="0051740C">
        <w:rPr>
          <w:rFonts w:ascii="Arial" w:hAnsi="Arial" w:cs="Arial"/>
          <w:sz w:val="22"/>
          <w:szCs w:val="22"/>
        </w:rPr>
        <w:t xml:space="preserve">icants to revise their NRC-approved Physical Security Plans, Training and Qualification Plans, Safeguards Contingency Plans, and Cyber Security Plans and implementing procedures to </w:t>
      </w:r>
      <w:r w:rsidRPr="0051740C">
        <w:rPr>
          <w:rFonts w:ascii="Arial" w:hAnsi="Arial"/>
          <w:sz w:val="22"/>
        </w:rPr>
        <w:t>document</w:t>
      </w:r>
      <w:r w:rsidRPr="0051740C">
        <w:rPr>
          <w:rFonts w:ascii="Arial" w:hAnsi="Arial" w:cs="Arial"/>
          <w:sz w:val="22"/>
          <w:szCs w:val="22"/>
        </w:rPr>
        <w:t xml:space="preserve"> </w:t>
      </w:r>
      <w:r w:rsidRPr="0051740C">
        <w:rPr>
          <w:rFonts w:ascii="Arial" w:hAnsi="Arial"/>
          <w:sz w:val="22"/>
        </w:rPr>
        <w:t>implementation</w:t>
      </w:r>
      <w:r w:rsidRPr="0051740C">
        <w:rPr>
          <w:rFonts w:ascii="Arial" w:hAnsi="Arial" w:cs="Arial"/>
          <w:sz w:val="22"/>
          <w:szCs w:val="22"/>
        </w:rPr>
        <w:t xml:space="preserve"> of the revised requirements in this section.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describes the requirement for a performance evaluation program. The information collection associated with this requirement is contained in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4), as the performance evaluation program is documented in the training and qualifications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r w:rsidRPr="0051740C">
        <w:rPr>
          <w:rFonts w:ascii="Arial" w:hAnsi="Arial" w:cs="Arial"/>
          <w:sz w:val="22"/>
          <w:szCs w:val="22"/>
        </w:rPr>
        <w:t xml:space="preserve"> requires licensees to document the access authorization program in the security plan. </w:t>
      </w:r>
      <w:r w:rsidR="00F44E14">
        <w:rPr>
          <w:rFonts w:ascii="Arial" w:hAnsi="Arial" w:cs="Arial"/>
          <w:sz w:val="22"/>
          <w:szCs w:val="22"/>
        </w:rPr>
        <w:t xml:space="preserve"> </w:t>
      </w:r>
      <w:r w:rsidRPr="0051740C">
        <w:rPr>
          <w:rFonts w:ascii="Arial" w:hAnsi="Arial" w:cs="Arial"/>
          <w:sz w:val="22"/>
          <w:szCs w:val="22"/>
        </w:rPr>
        <w:t xml:space="preserve">The information collection associated with this requirement is contained in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w:t>
      </w:r>
      <w:r w:rsidRPr="0051740C">
        <w:rPr>
          <w:rFonts w:ascii="Arial" w:hAnsi="Arial" w:cs="Arial"/>
          <w:sz w:val="22"/>
          <w:szCs w:val="22"/>
        </w:rPr>
        <w:t xml:space="preserve"> requires licensees to establish, maintain, and implement a cyber security program.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 Section 73.54(e).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9)</w:t>
      </w:r>
      <w:r w:rsidRPr="0051740C">
        <w:rPr>
          <w:rFonts w:ascii="Arial" w:hAnsi="Arial" w:cs="Arial"/>
          <w:sz w:val="22"/>
          <w:szCs w:val="22"/>
        </w:rPr>
        <w:t xml:space="preserve"> requires licensees to document an insider mitigation program in the security plan.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w:t>
      </w:r>
      <w:r w:rsidRPr="00B73976">
        <w:rPr>
          <w:rFonts w:ascii="Arial" w:hAnsi="Arial"/>
          <w:sz w:val="22"/>
        </w:rPr>
        <w:t xml:space="preserve"> </w:t>
      </w:r>
      <w:r>
        <w:rPr>
          <w:rFonts w:ascii="Arial" w:hAnsi="Arial"/>
          <w:sz w:val="22"/>
        </w:rPr>
        <w:t>Section</w:t>
      </w:r>
      <w:r w:rsidRPr="0051740C">
        <w:rPr>
          <w:rFonts w:ascii="Arial" w:hAnsi="Arial" w:cs="Arial"/>
          <w:sz w:val="22"/>
          <w:szCs w:val="22"/>
        </w:rPr>
        <w:t xml:space="preserve"> 73.55(a)</w:t>
      </w:r>
      <w:r>
        <w:rPr>
          <w:rFonts w:ascii="Arial" w:hAnsi="Arial" w:cs="Arial"/>
          <w:sz w:val="22"/>
          <w:szCs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10)</w:t>
      </w:r>
      <w:r w:rsidRPr="0051740C">
        <w:rPr>
          <w:rFonts w:ascii="Arial" w:hAnsi="Arial" w:cs="Arial"/>
          <w:sz w:val="22"/>
          <w:szCs w:val="22"/>
        </w:rPr>
        <w:t xml:space="preserve"> requires licensees to develop corrective action measures. The information collection associated with this requirement is contained in </w:t>
      </w:r>
      <w:r>
        <w:rPr>
          <w:rFonts w:ascii="Arial" w:hAnsi="Arial"/>
          <w:sz w:val="22"/>
        </w:rPr>
        <w:t>Section</w:t>
      </w:r>
      <w:r w:rsidRPr="0051740C">
        <w:rPr>
          <w:rFonts w:ascii="Arial" w:hAnsi="Arial" w:cs="Arial"/>
          <w:sz w:val="22"/>
          <w:szCs w:val="22"/>
        </w:rPr>
        <w:t xml:space="preserve"> 73.55(m).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11)</w:t>
      </w:r>
      <w:r w:rsidRPr="0051740C">
        <w:rPr>
          <w:rFonts w:ascii="Arial" w:hAnsi="Arial" w:cs="Arial"/>
          <w:sz w:val="22"/>
          <w:szCs w:val="22"/>
        </w:rPr>
        <w:t xml:space="preserve"> requires that plan and procedure implementation be coordinated to preclude conflict.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w:t>
      </w:r>
      <w:r>
        <w:rPr>
          <w:rFonts w:ascii="Arial" w:hAnsi="Arial" w:cs="Arial"/>
          <w:sz w:val="22"/>
          <w:szCs w:val="22"/>
        </w:rPr>
        <w:t xml:space="preserve"> </w:t>
      </w:r>
      <w:r>
        <w:rPr>
          <w:rFonts w:ascii="Arial" w:hAnsi="Arial"/>
          <w:sz w:val="22"/>
        </w:rPr>
        <w:t>Section</w:t>
      </w:r>
      <w:r w:rsidRPr="0051740C">
        <w:rPr>
          <w:rFonts w:ascii="Arial" w:hAnsi="Arial" w:cs="Arial"/>
          <w:sz w:val="22"/>
          <w:szCs w:val="22"/>
        </w:rPr>
        <w:t xml:space="preserve"> 73.58(d), which requires the communication of potential conflicts.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lastRenderedPageBreak/>
        <w:t>Section 73.55(c</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licensees to include certain descriptions in security plans. </w:t>
      </w:r>
      <w:r w:rsidRPr="0051740C">
        <w:rPr>
          <w:rFonts w:ascii="Arial" w:hAnsi="Arial" w:cs="Arial"/>
          <w:sz w:val="22"/>
          <w:szCs w:val="22"/>
        </w:rPr>
        <w:t>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3)</w:t>
      </w:r>
      <w:r>
        <w:rPr>
          <w:rFonts w:ascii="Arial" w:hAnsi="Arial" w:cs="Arial"/>
          <w:sz w:val="22"/>
          <w:szCs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73.55(c)(3) </w:t>
      </w:r>
      <w:r w:rsidRPr="0051740C">
        <w:rPr>
          <w:rFonts w:ascii="Arial" w:hAnsi="Arial" w:cs="Arial"/>
          <w:sz w:val="22"/>
          <w:szCs w:val="22"/>
        </w:rPr>
        <w:t xml:space="preserve">requires licensees to establish and maintain a physical security plan, which includes analyses and site-specific </w:t>
      </w:r>
      <w:r w:rsidRPr="0051740C">
        <w:rPr>
          <w:rFonts w:ascii="Arial" w:hAnsi="Arial"/>
          <w:sz w:val="22"/>
        </w:rPr>
        <w:t>information</w:t>
      </w:r>
      <w:r w:rsidRPr="0051740C">
        <w:rPr>
          <w:rFonts w:ascii="Arial" w:hAnsi="Arial" w:cs="Arial"/>
          <w:sz w:val="22"/>
          <w:szCs w:val="22"/>
        </w:rPr>
        <w:t xml:space="preserve"> identified in this part as included in the security plan.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requires licensees to establish, implement, and maintain a training and qualifications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w:t>
      </w:r>
      <w:r w:rsidRPr="0051740C">
        <w:rPr>
          <w:rFonts w:ascii="Arial" w:hAnsi="Arial" w:cs="Arial"/>
          <w:sz w:val="22"/>
          <w:szCs w:val="22"/>
        </w:rPr>
        <w:t xml:space="preserve"> requires licensees to establish, implement, and maintain a safeguards contingency plan.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repeats the requirement for licensees to establish, implement, and maintain a cyber security plan. </w:t>
      </w:r>
      <w:r w:rsidR="00F44E14">
        <w:rPr>
          <w:rFonts w:ascii="Arial" w:hAnsi="Arial" w:cs="Arial"/>
          <w:sz w:val="22"/>
          <w:szCs w:val="22"/>
        </w:rPr>
        <w:t xml:space="preserve"> </w:t>
      </w:r>
      <w:r w:rsidRPr="0051740C">
        <w:rPr>
          <w:rFonts w:ascii="Arial" w:hAnsi="Arial" w:cs="Arial"/>
          <w:sz w:val="22"/>
          <w:szCs w:val="22"/>
        </w:rPr>
        <w:t xml:space="preserve">The information collection associated with this requirement is contained in </w:t>
      </w:r>
      <w:r>
        <w:rPr>
          <w:rFonts w:ascii="Arial" w:hAnsi="Arial"/>
          <w:sz w:val="22"/>
        </w:rPr>
        <w:t>Section</w:t>
      </w:r>
      <w:r w:rsidRPr="0051740C">
        <w:rPr>
          <w:rFonts w:ascii="Arial" w:hAnsi="Arial" w:cs="Arial"/>
          <w:sz w:val="22"/>
          <w:szCs w:val="22"/>
        </w:rPr>
        <w:t xml:space="preserve"> 73.54(e).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73.55(c</w:t>
      </w:r>
      <w:proofErr w:type="gramStart"/>
      <w:r w:rsidRPr="0051740C">
        <w:rPr>
          <w:rFonts w:ascii="Arial" w:hAnsi="Arial"/>
          <w:sz w:val="22"/>
          <w:u w:val="single"/>
        </w:rPr>
        <w:t>)(</w:t>
      </w:r>
      <w:proofErr w:type="gramEnd"/>
      <w:r w:rsidRPr="0051740C">
        <w:rPr>
          <w:rFonts w:ascii="Arial" w:hAnsi="Arial"/>
          <w:sz w:val="22"/>
          <w:u w:val="single"/>
        </w:rPr>
        <w:t>7)</w:t>
      </w:r>
      <w:r w:rsidRPr="0051740C">
        <w:rPr>
          <w:rFonts w:ascii="Arial" w:hAnsi="Arial"/>
          <w:sz w:val="22"/>
        </w:rPr>
        <w:t xml:space="preserve"> requires licensees to establish, implement, and maintain written procedures that implement Commission requirements and security plans.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73.55(e</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1) </w:t>
      </w:r>
      <w:r w:rsidRPr="0051740C">
        <w:rPr>
          <w:rFonts w:ascii="Arial" w:hAnsi="Arial" w:cs="Arial"/>
          <w:sz w:val="22"/>
          <w:szCs w:val="22"/>
        </w:rPr>
        <w:t xml:space="preserve">requires that licensees describe barriers, barrier systems, and their functions in their security plans. </w:t>
      </w:r>
      <w:r w:rsidR="00F44E14">
        <w:rPr>
          <w:rFonts w:ascii="Arial" w:hAnsi="Arial" w:cs="Arial"/>
          <w:sz w:val="22"/>
          <w:szCs w:val="22"/>
        </w:rPr>
        <w:t xml:space="preserve"> </w:t>
      </w:r>
      <w:r w:rsidRPr="0051740C">
        <w:rPr>
          <w:rFonts w:ascii="Arial" w:hAnsi="Arial" w:cs="Arial"/>
          <w:sz w:val="22"/>
          <w:szCs w:val="22"/>
        </w:rPr>
        <w:t xml:space="preserve">The information collection associated with this requirement is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73.55(e</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2) </w:t>
      </w:r>
      <w:r w:rsidRPr="0051740C">
        <w:rPr>
          <w:rFonts w:ascii="Arial" w:hAnsi="Arial" w:cs="Arial"/>
          <w:sz w:val="22"/>
          <w:szCs w:val="22"/>
        </w:rPr>
        <w:t>lists records retention requirements for barrier analyses and descriptions.</w:t>
      </w:r>
      <w:r w:rsidR="00F44E14">
        <w:rPr>
          <w:rFonts w:ascii="Arial" w:hAnsi="Arial" w:cs="Arial"/>
          <w:sz w:val="22"/>
          <w:szCs w:val="22"/>
        </w:rPr>
        <w:t xml:space="preserve"> </w:t>
      </w:r>
      <w:r w:rsidRPr="0051740C">
        <w:rPr>
          <w:rFonts w:ascii="Arial" w:hAnsi="Arial" w:cs="Arial"/>
          <w:sz w:val="22"/>
          <w:szCs w:val="22"/>
        </w:rPr>
        <w:t xml:space="preserve"> The information collection associated with this requirement is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73.55(e</w:t>
      </w:r>
      <w:proofErr w:type="gramStart"/>
      <w:r w:rsidRPr="0051740C">
        <w:rPr>
          <w:rFonts w:ascii="Arial" w:hAnsi="Arial"/>
          <w:sz w:val="22"/>
          <w:u w:val="single"/>
        </w:rPr>
        <w:t>)(</w:t>
      </w:r>
      <w:proofErr w:type="gramEnd"/>
      <w:r w:rsidRPr="0051740C">
        <w:rPr>
          <w:rFonts w:ascii="Arial" w:hAnsi="Arial"/>
          <w:sz w:val="22"/>
          <w:u w:val="single"/>
        </w:rPr>
        <w:t>8)(iv)</w:t>
      </w:r>
      <w:r w:rsidRPr="0051740C">
        <w:rPr>
          <w:rFonts w:ascii="Arial" w:hAnsi="Arial"/>
          <w:sz w:val="22"/>
        </w:rPr>
        <w:t xml:space="preserve"> requires a description to be included in the security plan. </w:t>
      </w:r>
      <w:r w:rsidR="00F44E14">
        <w:rPr>
          <w:rFonts w:ascii="Arial" w:hAnsi="Arial"/>
          <w:sz w:val="22"/>
        </w:rPr>
        <w:t xml:space="preserve"> </w:t>
      </w:r>
      <w:r w:rsidRPr="0051740C">
        <w:rPr>
          <w:rFonts w:ascii="Arial" w:hAnsi="Arial"/>
          <w:sz w:val="22"/>
        </w:rPr>
        <w:t xml:space="preserve">The information collection associated with this </w:t>
      </w:r>
      <w:r w:rsidRPr="0051740C">
        <w:rPr>
          <w:rFonts w:ascii="Arial" w:hAnsi="Arial" w:cs="Arial"/>
          <w:sz w:val="22"/>
          <w:szCs w:val="22"/>
        </w:rPr>
        <w:t>requirement</w:t>
      </w:r>
      <w:r w:rsidRPr="0051740C">
        <w:rPr>
          <w:rFonts w:ascii="Arial" w:hAnsi="Arial"/>
          <w:sz w:val="22"/>
        </w:rPr>
        <w:t xml:space="preserve"> is</w:t>
      </w:r>
      <w:r>
        <w:rPr>
          <w:rFonts w:ascii="Arial" w:hAnsi="Arial"/>
          <w:sz w:val="22"/>
        </w:rPr>
        <w:t xml:space="preserve"> Section</w:t>
      </w:r>
      <w:r w:rsidRPr="0051740C">
        <w:rPr>
          <w:rFonts w:ascii="Arial" w:hAnsi="Arial"/>
          <w:sz w:val="22"/>
        </w:rPr>
        <w:t xml:space="preserve"> 73.55(c</w:t>
      </w:r>
      <w:proofErr w:type="gramStart"/>
      <w:r w:rsidRPr="0051740C">
        <w:rPr>
          <w:rFonts w:ascii="Arial" w:hAnsi="Arial"/>
          <w:sz w:val="22"/>
        </w:rPr>
        <w:t>)(</w:t>
      </w:r>
      <w:proofErr w:type="gramEnd"/>
      <w:r w:rsidRPr="0051740C">
        <w:rPr>
          <w:rFonts w:ascii="Arial" w:hAnsi="Arial"/>
          <w:sz w:val="22"/>
        </w:rPr>
        <w:t>3).</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73.55(e)(10)(ii)(A) </w:t>
      </w:r>
      <w:r w:rsidRPr="0051740C">
        <w:rPr>
          <w:rFonts w:ascii="Arial" w:hAnsi="Arial" w:cs="Arial"/>
          <w:sz w:val="22"/>
          <w:szCs w:val="22"/>
        </w:rPr>
        <w:t xml:space="preserve">requires licensees to identify areas from which a waterborne vehicle must be restricted and to coordinate with local, State, and Federal agencies having </w:t>
      </w:r>
      <w:r w:rsidRPr="0051740C">
        <w:rPr>
          <w:rFonts w:ascii="Arial" w:hAnsi="Arial"/>
          <w:sz w:val="22"/>
        </w:rPr>
        <w:t>jurisdiction</w:t>
      </w:r>
      <w:r w:rsidRPr="0051740C">
        <w:rPr>
          <w:rFonts w:ascii="Arial" w:hAnsi="Arial" w:cs="Arial"/>
          <w:sz w:val="22"/>
          <w:szCs w:val="22"/>
        </w:rPr>
        <w:t xml:space="preserve"> over waterway approaches to ensure that waterway approach routes are controlled. The information collection associated with this </w:t>
      </w:r>
      <w:r w:rsidRPr="0051740C">
        <w:rPr>
          <w:rFonts w:ascii="Arial" w:hAnsi="Arial"/>
          <w:sz w:val="22"/>
        </w:rPr>
        <w:t>requirement</w:t>
      </w:r>
      <w:r w:rsidRPr="0051740C">
        <w:rPr>
          <w:rFonts w:ascii="Arial" w:hAnsi="Arial" w:cs="Arial"/>
          <w:sz w:val="22"/>
          <w:szCs w:val="22"/>
        </w:rPr>
        <w:t xml:space="preserve"> is 75.55(a), which requires revised documentation to support the revised requirements of this part.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73.55(f)</w:t>
      </w:r>
      <w:r w:rsidRPr="0051740C">
        <w:rPr>
          <w:rFonts w:ascii="Arial" w:hAnsi="Arial" w:cs="Arial"/>
          <w:sz w:val="22"/>
          <w:szCs w:val="22"/>
        </w:rPr>
        <w:t xml:space="preserve"> requires reactor licensees to document in site procedures the process used to develop and identify target sets, including the analyses and methodologies used to determine and group the target set equipment or elements, to include target set equipment or elements that are not contained within the protected or vital areas. The information collection associated with this requirement is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5)(ii)</w:t>
      </w:r>
      <w:r w:rsidRPr="0051740C">
        <w:rPr>
          <w:rFonts w:ascii="Arial" w:hAnsi="Arial" w:cs="Arial"/>
          <w:sz w:val="22"/>
          <w:szCs w:val="22"/>
        </w:rPr>
        <w:t xml:space="preserve"> requires licensees to develop procedures for emergency conditions.</w:t>
      </w:r>
      <w:r w:rsidR="00F44E14">
        <w:rPr>
          <w:rFonts w:ascii="Arial" w:hAnsi="Arial" w:cs="Arial"/>
          <w:sz w:val="22"/>
          <w:szCs w:val="22"/>
        </w:rPr>
        <w:t xml:space="preserve"> </w:t>
      </w:r>
      <w:r w:rsidRPr="0051740C">
        <w:rPr>
          <w:rFonts w:ascii="Arial" w:hAnsi="Arial" w:cs="Arial"/>
          <w:sz w:val="22"/>
          <w:szCs w:val="22"/>
        </w:rPr>
        <w:t xml:space="preserve"> 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73.55(g)(6)(</w:t>
      </w:r>
      <w:proofErr w:type="spellStart"/>
      <w:r w:rsidRPr="0051740C">
        <w:rPr>
          <w:rFonts w:ascii="Arial" w:hAnsi="Arial" w:cs="Arial"/>
          <w:sz w:val="22"/>
          <w:szCs w:val="22"/>
          <w:u w:val="single"/>
        </w:rPr>
        <w:t>i</w:t>
      </w:r>
      <w:proofErr w:type="spellEnd"/>
      <w:r w:rsidRPr="0051740C">
        <w:rPr>
          <w:rFonts w:ascii="Arial" w:hAnsi="Arial" w:cs="Arial"/>
          <w:sz w:val="22"/>
          <w:szCs w:val="22"/>
          <w:u w:val="single"/>
        </w:rPr>
        <w:t>)(B)</w:t>
      </w:r>
      <w:r w:rsidRPr="0051740C">
        <w:rPr>
          <w:rFonts w:ascii="Arial" w:hAnsi="Arial" w:cs="Arial"/>
          <w:sz w:val="22"/>
          <w:szCs w:val="22"/>
        </w:rPr>
        <w:t xml:space="preserve"> requires reactor licensees to maintain a record (name and affiliation) of all individuals to whom access control devices have been issued and inventory appropriate access control devices at least annually.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6)(ii)(C)</w:t>
      </w:r>
      <w:r w:rsidRPr="0051740C">
        <w:rPr>
          <w:rFonts w:ascii="Arial" w:hAnsi="Arial" w:cs="Arial"/>
          <w:sz w:val="22"/>
          <w:szCs w:val="22"/>
        </w:rPr>
        <w:t xml:space="preserve"> requires licensees to maintain a record (name and areas to which unescorted </w:t>
      </w:r>
      <w:r w:rsidRPr="0051740C">
        <w:rPr>
          <w:rFonts w:ascii="Arial" w:hAnsi="Arial"/>
          <w:sz w:val="22"/>
        </w:rPr>
        <w:t>access</w:t>
      </w:r>
      <w:r w:rsidRPr="0051740C">
        <w:rPr>
          <w:rFonts w:ascii="Arial" w:hAnsi="Arial" w:cs="Arial"/>
          <w:sz w:val="22"/>
          <w:szCs w:val="22"/>
        </w:rPr>
        <w:t xml:space="preserve"> is granted) of all individuals to whom photo identification badge/key-cards have been issued.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6)(iii)</w:t>
      </w:r>
      <w:r w:rsidRPr="0051740C">
        <w:rPr>
          <w:rFonts w:ascii="Arial" w:hAnsi="Arial" w:cs="Arial"/>
          <w:sz w:val="22"/>
          <w:szCs w:val="22"/>
        </w:rPr>
        <w:t xml:space="preserve"> requires licensees to issue passwords and combinations  to access control personnel.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proofErr w:type="spellStart"/>
      <w:r w:rsidRPr="0051740C">
        <w:rPr>
          <w:rFonts w:ascii="Arial" w:hAnsi="Arial" w:cs="Arial"/>
          <w:sz w:val="22"/>
          <w:szCs w:val="22"/>
          <w:u w:val="single"/>
        </w:rPr>
        <w:t>i</w:t>
      </w:r>
      <w:proofErr w:type="spellEnd"/>
      <w:r w:rsidRPr="0051740C">
        <w:rPr>
          <w:rFonts w:ascii="Arial" w:hAnsi="Arial" w:cs="Arial"/>
          <w:sz w:val="22"/>
          <w:szCs w:val="22"/>
          <w:u w:val="single"/>
        </w:rPr>
        <w:t>)(A)</w:t>
      </w:r>
      <w:r w:rsidRPr="0051740C">
        <w:rPr>
          <w:rFonts w:ascii="Arial" w:hAnsi="Arial" w:cs="Arial"/>
          <w:sz w:val="22"/>
          <w:szCs w:val="22"/>
        </w:rPr>
        <w:t xml:space="preserve"> requires licensees to implement procedures.</w:t>
      </w:r>
      <w:r w:rsidR="00F44E14">
        <w:rPr>
          <w:rFonts w:ascii="Arial" w:hAnsi="Arial" w:cs="Arial"/>
          <w:sz w:val="22"/>
          <w:szCs w:val="22"/>
        </w:rPr>
        <w:t xml:space="preserve"> </w:t>
      </w:r>
      <w:r w:rsidRPr="0051740C">
        <w:rPr>
          <w:rFonts w:ascii="Arial" w:hAnsi="Arial" w:cs="Arial"/>
          <w:sz w:val="22"/>
          <w:szCs w:val="22"/>
        </w:rPr>
        <w:t xml:space="preserve"> 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1" w:name="OLE_LINK7"/>
      <w:bookmarkStart w:id="2" w:name="OLE_LINK16"/>
      <w:r w:rsidRPr="0051740C">
        <w:rPr>
          <w:rFonts w:ascii="Arial" w:hAnsi="Arial" w:cs="Arial"/>
          <w:sz w:val="22"/>
          <w:szCs w:val="22"/>
          <w:u w:val="single"/>
        </w:rPr>
        <w:t>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proofErr w:type="spellStart"/>
      <w:r w:rsidRPr="0051740C">
        <w:rPr>
          <w:rFonts w:ascii="Arial" w:hAnsi="Arial" w:cs="Arial"/>
          <w:sz w:val="22"/>
          <w:szCs w:val="22"/>
          <w:u w:val="single"/>
        </w:rPr>
        <w:t>i</w:t>
      </w:r>
      <w:proofErr w:type="spellEnd"/>
      <w:r w:rsidRPr="0051740C">
        <w:rPr>
          <w:rFonts w:ascii="Arial" w:hAnsi="Arial" w:cs="Arial"/>
          <w:sz w:val="22"/>
          <w:szCs w:val="22"/>
          <w:u w:val="single"/>
        </w:rPr>
        <w:t>)(C)</w:t>
      </w:r>
      <w:bookmarkEnd w:id="1"/>
      <w:bookmarkEnd w:id="2"/>
      <w:r w:rsidRPr="0051740C">
        <w:rPr>
          <w:rFonts w:ascii="Arial" w:hAnsi="Arial" w:cs="Arial"/>
          <w:sz w:val="22"/>
          <w:szCs w:val="22"/>
        </w:rPr>
        <w:t xml:space="preserve"> requires licensees to maintain a visitor control register into which all pertinent visitor information must be written.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8)(v)</w:t>
      </w:r>
      <w:r w:rsidRPr="0051740C">
        <w:rPr>
          <w:rFonts w:ascii="Arial" w:hAnsi="Arial" w:cs="Arial"/>
          <w:sz w:val="22"/>
          <w:szCs w:val="22"/>
        </w:rPr>
        <w:t xml:space="preserve"> requires licensees to describe visitor to escort ratios and implementing procedures for protected and vital areas in physical security plans. </w:t>
      </w:r>
      <w:r w:rsidR="00F44E14">
        <w:rPr>
          <w:rFonts w:ascii="Arial" w:hAnsi="Arial" w:cs="Arial"/>
          <w:sz w:val="22"/>
          <w:szCs w:val="22"/>
        </w:rPr>
        <w:t xml:space="preserve"> </w:t>
      </w:r>
      <w:r w:rsidRPr="0051740C">
        <w:rPr>
          <w:rFonts w:ascii="Arial" w:hAnsi="Arial" w:cs="Arial"/>
          <w:sz w:val="22"/>
          <w:szCs w:val="22"/>
        </w:rPr>
        <w:t>This is a one-time requirement connected to</w:t>
      </w:r>
      <w:r w:rsidRPr="00B73976">
        <w:rPr>
          <w:rFonts w:ascii="Arial" w:hAnsi="Arial"/>
          <w:sz w:val="22"/>
        </w:rPr>
        <w:t xml:space="preserve">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2)(ii)</w:t>
      </w:r>
      <w:r w:rsidRPr="0051740C">
        <w:rPr>
          <w:rFonts w:ascii="Arial" w:hAnsi="Arial" w:cs="Arial"/>
          <w:sz w:val="22"/>
          <w:szCs w:val="22"/>
        </w:rPr>
        <w:t xml:space="preserve"> requires licensees to describe the vehicle search process in implementing procedures. </w:t>
      </w:r>
      <w:r w:rsidR="00F44E14">
        <w:rPr>
          <w:rFonts w:ascii="Arial" w:hAnsi="Arial" w:cs="Arial"/>
          <w:sz w:val="22"/>
          <w:szCs w:val="22"/>
        </w:rPr>
        <w:t xml:space="preserve"> </w:t>
      </w:r>
      <w:r w:rsidRPr="0051740C">
        <w:rPr>
          <w:rFonts w:ascii="Arial" w:hAnsi="Arial" w:cs="Arial"/>
          <w:sz w:val="22"/>
          <w:szCs w:val="22"/>
        </w:rPr>
        <w:t xml:space="preserve">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3)(iv)</w:t>
      </w:r>
      <w:r w:rsidRPr="0051740C">
        <w:rPr>
          <w:rFonts w:ascii="Arial" w:hAnsi="Arial" w:cs="Arial"/>
          <w:sz w:val="22"/>
          <w:szCs w:val="22"/>
        </w:rPr>
        <w:t xml:space="preserve"> requires licensees to describe the vehicle search process in implementing procedures. </w:t>
      </w:r>
      <w:r w:rsidR="00F44E14">
        <w:rPr>
          <w:rFonts w:ascii="Arial" w:hAnsi="Arial" w:cs="Arial"/>
          <w:sz w:val="22"/>
          <w:szCs w:val="22"/>
        </w:rPr>
        <w:t xml:space="preserve"> </w:t>
      </w:r>
      <w:r w:rsidRPr="0051740C">
        <w:rPr>
          <w:rFonts w:ascii="Arial" w:hAnsi="Arial" w:cs="Arial"/>
          <w:sz w:val="22"/>
          <w:szCs w:val="22"/>
        </w:rPr>
        <w:t xml:space="preserve">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3)(v)</w:t>
      </w:r>
      <w:r w:rsidRPr="0051740C">
        <w:rPr>
          <w:rFonts w:ascii="Arial" w:hAnsi="Arial" w:cs="Arial"/>
          <w:sz w:val="22"/>
          <w:szCs w:val="22"/>
        </w:rPr>
        <w:t xml:space="preserve"> requires licensees to describe items to be excepted from search in implementing procedures. </w:t>
      </w:r>
      <w:r w:rsidR="00F44E14">
        <w:rPr>
          <w:rFonts w:ascii="Arial" w:hAnsi="Arial" w:cs="Arial"/>
          <w:sz w:val="22"/>
          <w:szCs w:val="22"/>
        </w:rPr>
        <w:t xml:space="preserve"> </w:t>
      </w:r>
      <w:r w:rsidRPr="0051740C">
        <w:rPr>
          <w:rFonts w:ascii="Arial" w:hAnsi="Arial" w:cs="Arial"/>
          <w:sz w:val="22"/>
          <w:szCs w:val="22"/>
        </w:rPr>
        <w:t>This is a one-time requirement connected to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w:t>
      </w:r>
      <w:proofErr w:type="spellStart"/>
      <w:r w:rsidRPr="0051740C">
        <w:rPr>
          <w:rFonts w:ascii="Arial" w:hAnsi="Arial" w:cs="Arial"/>
          <w:sz w:val="22"/>
          <w:szCs w:val="22"/>
          <w:u w:val="single"/>
        </w:rPr>
        <w:t>i</w:t>
      </w:r>
      <w:proofErr w:type="spellEnd"/>
      <w:proofErr w:type="gramStart"/>
      <w:r w:rsidRPr="0051740C">
        <w:rPr>
          <w:rFonts w:ascii="Arial" w:hAnsi="Arial" w:cs="Arial"/>
          <w:sz w:val="22"/>
          <w:szCs w:val="22"/>
          <w:u w:val="single"/>
        </w:rPr>
        <w:t>)(</w:t>
      </w:r>
      <w:proofErr w:type="gramEnd"/>
      <w:r w:rsidRPr="0051740C">
        <w:rPr>
          <w:rFonts w:ascii="Arial" w:hAnsi="Arial" w:cs="Arial"/>
          <w:sz w:val="22"/>
          <w:szCs w:val="22"/>
          <w:u w:val="single"/>
        </w:rPr>
        <w:t>4)(ii)(H)</w:t>
      </w:r>
      <w:r w:rsidRPr="0051740C">
        <w:rPr>
          <w:rFonts w:ascii="Arial" w:hAnsi="Arial" w:cs="Arial"/>
          <w:sz w:val="22"/>
          <w:szCs w:val="22"/>
        </w:rPr>
        <w:t xml:space="preserve"> requires licensees to maintain a record of all alarm annunciations, the cause of the alarm, and the disposition of each alarm.</w:t>
      </w:r>
    </w:p>
    <w:p w:rsidR="00FB54C0" w:rsidRPr="0051740C" w:rsidRDefault="00FB54C0" w:rsidP="00FB54C0">
      <w:pPr>
        <w:ind w:left="72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w:t>
      </w:r>
      <w:proofErr w:type="spellStart"/>
      <w:r w:rsidRPr="0051740C">
        <w:rPr>
          <w:rFonts w:ascii="Arial" w:hAnsi="Arial" w:cs="Arial"/>
          <w:sz w:val="22"/>
          <w:szCs w:val="22"/>
          <w:u w:val="single"/>
        </w:rPr>
        <w:t>i</w:t>
      </w:r>
      <w:proofErr w:type="spellEnd"/>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6)(iii)</w:t>
      </w:r>
      <w:r w:rsidRPr="0051740C">
        <w:rPr>
          <w:rFonts w:ascii="Arial" w:hAnsi="Arial" w:cs="Arial"/>
          <w:sz w:val="22"/>
          <w:szCs w:val="22"/>
        </w:rPr>
        <w:t xml:space="preserve"> requires licensees to describe how lighting requirements are met in their security plans. </w:t>
      </w:r>
      <w:r w:rsidR="00F44E14">
        <w:rPr>
          <w:rFonts w:ascii="Arial" w:hAnsi="Arial" w:cs="Arial"/>
          <w:sz w:val="22"/>
          <w:szCs w:val="22"/>
        </w:rPr>
        <w:t xml:space="preserve"> </w:t>
      </w:r>
      <w:r w:rsidRPr="0051740C">
        <w:rPr>
          <w:rFonts w:ascii="Arial" w:hAnsi="Arial" w:cs="Arial"/>
          <w:sz w:val="22"/>
          <w:szCs w:val="22"/>
        </w:rPr>
        <w:t xml:space="preserve">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73.55(j</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Requires that licensees account for areas where communication might be interrupted in implementing procedures. </w:t>
      </w:r>
      <w:r w:rsidR="00F44E14">
        <w:rPr>
          <w:rFonts w:ascii="Arial" w:hAnsi="Arial" w:cs="Arial"/>
          <w:sz w:val="22"/>
          <w:szCs w:val="22"/>
        </w:rPr>
        <w:t xml:space="preserve"> </w:t>
      </w:r>
      <w:r w:rsidRPr="0051740C">
        <w:rPr>
          <w:rFonts w:ascii="Arial" w:hAnsi="Arial" w:cs="Arial"/>
          <w:sz w:val="22"/>
          <w:szCs w:val="22"/>
        </w:rPr>
        <w:t>This is a one-time requirement connected to</w:t>
      </w:r>
      <w:r w:rsidRPr="00B73976">
        <w:rPr>
          <w:rFonts w:ascii="Arial" w:hAnsi="Arial"/>
          <w:sz w:val="22"/>
        </w:rPr>
        <w:t xml:space="preserve">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w:t>
      </w:r>
      <w:r w:rsidRPr="0051740C">
        <w:rPr>
          <w:rFonts w:ascii="Arial" w:hAnsi="Arial" w:cs="Arial"/>
          <w:sz w:val="22"/>
          <w:szCs w:val="22"/>
        </w:rPr>
        <w:t xml:space="preserve"> requires licensees to document the number of armed responders in their security plans. </w:t>
      </w:r>
      <w:r w:rsidR="00F44E14">
        <w:rPr>
          <w:rFonts w:ascii="Arial" w:hAnsi="Arial" w:cs="Arial"/>
          <w:sz w:val="22"/>
          <w:szCs w:val="22"/>
        </w:rPr>
        <w:t xml:space="preserve"> </w:t>
      </w:r>
      <w:r w:rsidRPr="0051740C">
        <w:rPr>
          <w:rFonts w:ascii="Arial" w:hAnsi="Arial" w:cs="Arial"/>
          <w:sz w:val="22"/>
          <w:szCs w:val="22"/>
        </w:rPr>
        <w:t xml:space="preserve">The information collection associated with this requirement is contained in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requires licensees to document the number of armed security officers in their security plans.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w:t>
      </w:r>
      <w:r w:rsidRPr="00B73976">
        <w:rPr>
          <w:rFonts w:ascii="Arial" w:hAnsi="Arial"/>
          <w:sz w:val="22"/>
        </w:rPr>
        <w:t xml:space="preserve">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r w:rsidRPr="0051740C">
        <w:rPr>
          <w:rFonts w:ascii="Arial" w:hAnsi="Arial" w:cs="Arial"/>
          <w:sz w:val="22"/>
          <w:szCs w:val="22"/>
        </w:rPr>
        <w:t xml:space="preserve"> requires licensees to have procedures to reconstitute the documented number of available armed response personnel required to implement the protective strategy. </w:t>
      </w:r>
      <w:r w:rsidR="00F44E14">
        <w:rPr>
          <w:rFonts w:ascii="Arial" w:hAnsi="Arial" w:cs="Arial"/>
          <w:sz w:val="22"/>
          <w:szCs w:val="22"/>
        </w:rPr>
        <w:t xml:space="preserve"> </w:t>
      </w:r>
      <w:r w:rsidRPr="0051740C">
        <w:rPr>
          <w:rFonts w:ascii="Arial" w:hAnsi="Arial" w:cs="Arial"/>
          <w:sz w:val="22"/>
          <w:szCs w:val="22"/>
        </w:rPr>
        <w:t xml:space="preserve">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w:t>
      </w:r>
      <w:r w:rsidRPr="0051740C">
        <w:rPr>
          <w:rFonts w:ascii="Arial" w:hAnsi="Arial" w:cs="Arial"/>
          <w:sz w:val="22"/>
          <w:szCs w:val="22"/>
        </w:rPr>
        <w:t xml:space="preserve"> requires licensees to establish, maintain, and implement a written protective strategy to be documented in procedures. </w:t>
      </w:r>
      <w:r w:rsidR="00F44E14">
        <w:rPr>
          <w:rFonts w:ascii="Arial" w:hAnsi="Arial" w:cs="Arial"/>
          <w:sz w:val="22"/>
          <w:szCs w:val="22"/>
        </w:rPr>
        <w:t xml:space="preserve"> </w:t>
      </w:r>
      <w:r w:rsidRPr="0051740C">
        <w:rPr>
          <w:rFonts w:ascii="Arial" w:hAnsi="Arial" w:cs="Arial"/>
          <w:sz w:val="22"/>
          <w:szCs w:val="22"/>
        </w:rPr>
        <w:t xml:space="preserve">The information collection associated with this requirement is contained in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8)(iii)</w:t>
      </w:r>
      <w:r w:rsidRPr="0051740C">
        <w:rPr>
          <w:rFonts w:ascii="Arial" w:hAnsi="Arial" w:cs="Arial"/>
          <w:sz w:val="22"/>
          <w:szCs w:val="22"/>
        </w:rPr>
        <w:t xml:space="preserve"> requires that licensees notify law enforcement agencies upon receipt of an alarm or other indication of a threat.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9)</w:t>
      </w:r>
      <w:r w:rsidRPr="0051740C">
        <w:rPr>
          <w:rFonts w:ascii="Arial" w:hAnsi="Arial" w:cs="Arial"/>
          <w:sz w:val="22"/>
          <w:szCs w:val="22"/>
        </w:rPr>
        <w:t xml:space="preserve"> requires licensees to document and maintain current agreements with law enforcement agencies to include estimated response times and capabilities.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73.55(l)(3)</w:t>
      </w:r>
      <w:r w:rsidRPr="0051740C">
        <w:rPr>
          <w:rFonts w:ascii="Arial" w:hAnsi="Arial" w:cs="Arial"/>
          <w:sz w:val="22"/>
          <w:szCs w:val="22"/>
        </w:rPr>
        <w:t xml:space="preserve"> requires licensees to describe in the security plans the operational and administrative controls to be implemented for the receipt, inspection, movement, storage, and protection of </w:t>
      </w:r>
      <w:proofErr w:type="spellStart"/>
      <w:r w:rsidRPr="0051740C">
        <w:rPr>
          <w:rFonts w:ascii="Arial" w:hAnsi="Arial" w:cs="Arial"/>
          <w:sz w:val="22"/>
          <w:szCs w:val="22"/>
        </w:rPr>
        <w:t>unirradiated</w:t>
      </w:r>
      <w:proofErr w:type="spellEnd"/>
      <w:r w:rsidRPr="0051740C">
        <w:rPr>
          <w:rFonts w:ascii="Arial" w:hAnsi="Arial" w:cs="Arial"/>
          <w:sz w:val="22"/>
          <w:szCs w:val="22"/>
        </w:rPr>
        <w:t xml:space="preserve"> mixed-oxide fuel assemblies and to develop a Material Control and Accountability Program to focus on recordkeeping which describes the inventory and location of the SSNM within the assemblies. The one-time requirement is connected to </w:t>
      </w:r>
      <w:r>
        <w:rPr>
          <w:rFonts w:ascii="Arial" w:hAnsi="Arial"/>
          <w:sz w:val="22"/>
        </w:rPr>
        <w:t>Section</w:t>
      </w:r>
      <w:r w:rsidRPr="0051740C">
        <w:rPr>
          <w:rFonts w:ascii="Arial" w:hAnsi="Arial" w:cs="Arial"/>
          <w:sz w:val="22"/>
          <w:szCs w:val="22"/>
        </w:rPr>
        <w:t xml:space="preserve"> 73.55, and the ongoing requirement is included in </w:t>
      </w:r>
      <w:r>
        <w:rPr>
          <w:rFonts w:ascii="Arial" w:hAnsi="Arial"/>
          <w:sz w:val="22"/>
        </w:rPr>
        <w:t>Sections</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3) and 73.55(c)(7).</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73.55(l)(7)</w:t>
      </w:r>
      <w:r w:rsidRPr="0051740C">
        <w:rPr>
          <w:rFonts w:ascii="Arial" w:hAnsi="Arial" w:cs="Arial"/>
          <w:sz w:val="22"/>
          <w:szCs w:val="22"/>
        </w:rPr>
        <w:t xml:space="preserve"> Requires that requests for use of MOX fuel assemblies containing greater than 20 weight percent PuO</w:t>
      </w:r>
      <w:r w:rsidRPr="0051740C">
        <w:rPr>
          <w:rFonts w:ascii="Arial" w:hAnsi="Arial" w:cs="Arial"/>
          <w:sz w:val="22"/>
          <w:szCs w:val="22"/>
          <w:vertAlign w:val="subscript"/>
        </w:rPr>
        <w:t xml:space="preserve">2 </w:t>
      </w:r>
      <w:r w:rsidRPr="0051740C">
        <w:rPr>
          <w:rFonts w:ascii="Arial" w:hAnsi="Arial" w:cs="Arial"/>
          <w:sz w:val="22"/>
          <w:szCs w:val="22"/>
        </w:rPr>
        <w:t>be reviewed and approved by the Commission before receipt of MOX fuel assemblies.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3" w:name="OLE_LINK10"/>
      <w:r w:rsidRPr="0051740C">
        <w:rPr>
          <w:rFonts w:ascii="Arial" w:hAnsi="Arial" w:cs="Arial"/>
          <w:sz w:val="22"/>
          <w:szCs w:val="22"/>
          <w:u w:val="single"/>
        </w:rPr>
        <w:t>73.55(m)</w:t>
      </w:r>
      <w:bookmarkEnd w:id="3"/>
      <w:r w:rsidRPr="0051740C">
        <w:rPr>
          <w:rFonts w:ascii="Arial" w:hAnsi="Arial" w:cs="Arial"/>
          <w:sz w:val="22"/>
          <w:szCs w:val="22"/>
        </w:rPr>
        <w:t xml:space="preserve"> requires licensees to document and maintain written reports offering results and recommendations following onsite physical protection program reviews and audits, management’s findings regarding program effectiveness, and any actions taken as a result of recommendations from prior reviews and to enter findings from onsite physical protection program reviews, audits, and assessments into the site corrective action program. </w:t>
      </w:r>
    </w:p>
    <w:p w:rsidR="00FB54C0" w:rsidRPr="0051740C" w:rsidRDefault="00FB54C0" w:rsidP="00FB54C0">
      <w:pPr>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73.55(n)(1)</w:t>
      </w:r>
      <w:r w:rsidRPr="0051740C">
        <w:rPr>
          <w:rFonts w:ascii="Arial" w:hAnsi="Arial" w:cs="Arial"/>
          <w:sz w:val="22"/>
          <w:szCs w:val="22"/>
        </w:rPr>
        <w:t xml:space="preserve"> requires licensees to establish, maintain, and implement a maintenance testing and calibration program that is described in the physical security plan and implementing procedures to include the criteria for determining when problems, failures, deficiencies, and other findings are documented in the site corrective action plan. The information collections associated with this requirement are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3) and Section 73.55(c)(7).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73.55(n)(7)</w:t>
      </w:r>
      <w:r w:rsidRPr="0051740C">
        <w:rPr>
          <w:rFonts w:ascii="Arial" w:hAnsi="Arial" w:cs="Arial"/>
          <w:sz w:val="22"/>
          <w:szCs w:val="22"/>
        </w:rPr>
        <w:t xml:space="preserve"> requires licensees to specify in implementing procedures a program for testing or verifying the operability of devices or equipment located in hazardous areas, which must define alternate measures to be taken to ensure the timely completion of testing or maintenance when the hazardous condition or other restrictions are no longer applicable. This is a one-time requirement connected to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73.55(o)</w:t>
      </w:r>
      <w:r w:rsidRPr="0051740C">
        <w:rPr>
          <w:u w:val="single"/>
        </w:rPr>
        <w:t xml:space="preserve"> </w:t>
      </w:r>
      <w:r w:rsidRPr="0051740C">
        <w:rPr>
          <w:rFonts w:ascii="Arial" w:hAnsi="Arial" w:cs="Arial"/>
          <w:sz w:val="22"/>
          <w:szCs w:val="22"/>
        </w:rPr>
        <w:t>requires that licensees identify and describe in the security plans criteria and measures to compensate for degraded or inoperable equipment, systems, and components to meet the requirements of this section. The information collection associated with this section is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4" w:name="OLE_LINK18"/>
      <w:r w:rsidRPr="0051740C">
        <w:rPr>
          <w:rFonts w:ascii="Arial" w:hAnsi="Arial" w:cs="Arial"/>
          <w:sz w:val="22"/>
          <w:szCs w:val="22"/>
          <w:u w:val="single"/>
        </w:rPr>
        <w:t>73.55(p)(1)</w:t>
      </w:r>
      <w:bookmarkEnd w:id="4"/>
      <w:r w:rsidRPr="0051740C">
        <w:rPr>
          <w:rFonts w:ascii="Arial" w:hAnsi="Arial" w:cs="Arial"/>
          <w:sz w:val="22"/>
          <w:szCs w:val="22"/>
        </w:rPr>
        <w:t xml:space="preserve"> requires licensees to get approval, at a minimum, from a licensed senior operator prior to suspending safeguards measures during an emergency and requires licensees who suspend safeguards due to severe weather to get approval from the security supervisor and a licensed senior operator prior to taking this action.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73.55(p</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w:t>
      </w:r>
      <w:r w:rsidRPr="0051740C">
        <w:rPr>
          <w:rFonts w:ascii="Arial" w:hAnsi="Arial" w:cs="Arial"/>
          <w:sz w:val="22"/>
          <w:szCs w:val="22"/>
        </w:rPr>
        <w:t xml:space="preserve"> requires licensees to document the suspension of safeguard measures in accordance with Section 73.71.</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2)</w:t>
      </w:r>
      <w:r w:rsidRPr="0051740C">
        <w:rPr>
          <w:rFonts w:ascii="Arial" w:hAnsi="Arial" w:cs="Arial"/>
          <w:sz w:val="22"/>
          <w:szCs w:val="22"/>
        </w:rPr>
        <w:t xml:space="preserve"> lists records retention requirements for information collections identified elsewhere in this part.</w:t>
      </w:r>
      <w:r w:rsidR="00F44E14">
        <w:rPr>
          <w:rFonts w:ascii="Arial" w:hAnsi="Arial" w:cs="Arial"/>
          <w:sz w:val="22"/>
          <w:szCs w:val="22"/>
        </w:rPr>
        <w:t xml:space="preserve"> </w:t>
      </w:r>
      <w:r w:rsidRPr="0051740C">
        <w:rPr>
          <w:rFonts w:ascii="Arial" w:hAnsi="Arial" w:cs="Arial"/>
          <w:sz w:val="22"/>
          <w:szCs w:val="22"/>
        </w:rPr>
        <w:t xml:space="preserve"> There is no information collection for this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5" w:name="OLE_LINK14"/>
      <w:r w:rsidRPr="0051740C">
        <w:rPr>
          <w:rFonts w:ascii="Arial" w:hAnsi="Arial" w:cs="Arial"/>
          <w:sz w:val="22"/>
          <w:szCs w:val="22"/>
          <w:u w:val="single"/>
        </w:rPr>
        <w:t>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w:t>
      </w:r>
      <w:bookmarkEnd w:id="5"/>
      <w:r w:rsidRPr="0051740C">
        <w:rPr>
          <w:rFonts w:ascii="Arial" w:hAnsi="Arial" w:cs="Arial"/>
          <w:sz w:val="22"/>
          <w:szCs w:val="22"/>
        </w:rPr>
        <w:t xml:space="preserve"> requires licensees to retain any written agreement with a contracted security force for its duration.</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6" w:name="OLE_LINK15"/>
      <w:r w:rsidRPr="0051740C">
        <w:rPr>
          <w:rFonts w:ascii="Arial" w:hAnsi="Arial" w:cs="Arial"/>
          <w:sz w:val="22"/>
          <w:szCs w:val="22"/>
          <w:u w:val="single"/>
        </w:rPr>
        <w:t>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bookmarkEnd w:id="6"/>
      <w:r w:rsidRPr="0051740C">
        <w:rPr>
          <w:rFonts w:ascii="Arial" w:hAnsi="Arial" w:cs="Arial"/>
          <w:sz w:val="22"/>
          <w:szCs w:val="22"/>
        </w:rPr>
        <w:t xml:space="preserve"> requires licensees to retain all audit reports for three years, and make them available for inspection.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73.55(r)</w:t>
      </w:r>
      <w:r w:rsidRPr="0051740C">
        <w:rPr>
          <w:rFonts w:ascii="Arial" w:hAnsi="Arial" w:cs="Arial"/>
          <w:sz w:val="22"/>
          <w:szCs w:val="22"/>
        </w:rPr>
        <w:t xml:space="preserve"> describes the process by which licensees may submit requests for alternative measures in accordance with 10 CFR 50.4 and 10 CFR 50.90. There is no information collection for this section.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73.56(a</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1) </w:t>
      </w:r>
      <w:r w:rsidRPr="0051740C">
        <w:rPr>
          <w:rFonts w:ascii="Arial" w:hAnsi="Arial" w:cs="Arial"/>
          <w:sz w:val="22"/>
          <w:szCs w:val="22"/>
        </w:rPr>
        <w:t xml:space="preserve">requires licensees to revise their physical security plans by March 31, 2010.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 Section 73.55(a</w:t>
      </w:r>
      <w:proofErr w:type="gramStart"/>
      <w:r w:rsidRPr="0051740C">
        <w:rPr>
          <w:rFonts w:ascii="Arial" w:hAnsi="Arial" w:cs="Arial"/>
          <w:sz w:val="22"/>
          <w:szCs w:val="22"/>
        </w:rPr>
        <w:t>)(</w:t>
      </w:r>
      <w:proofErr w:type="gramEnd"/>
      <w:r w:rsidRPr="0051740C">
        <w:rPr>
          <w:rFonts w:ascii="Arial" w:hAnsi="Arial" w:cs="Arial"/>
          <w:sz w:val="22"/>
          <w:szCs w:val="22"/>
        </w:rPr>
        <w:t>1).</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73.56(a)(4)</w:t>
      </w:r>
      <w:r w:rsidRPr="0051740C">
        <w:rPr>
          <w:rFonts w:ascii="Arial" w:hAnsi="Arial" w:cs="Arial"/>
          <w:sz w:val="22"/>
          <w:szCs w:val="22"/>
        </w:rPr>
        <w:t xml:space="preserve"> allows licensees or applicants to accept, in part or whole, an access authorization program implemented by a contractor or vendor to satisfy appropriate elements of the licensee’s access authorization program in accordance with the requirements of this section. </w:t>
      </w:r>
      <w:r w:rsidR="00F44E14">
        <w:rPr>
          <w:rFonts w:ascii="Arial" w:hAnsi="Arial" w:cs="Arial"/>
          <w:sz w:val="22"/>
          <w:szCs w:val="22"/>
        </w:rPr>
        <w:t xml:space="preserve"> </w:t>
      </w:r>
      <w:r w:rsidRPr="0051740C">
        <w:rPr>
          <w:rFonts w:ascii="Arial" w:hAnsi="Arial" w:cs="Arial"/>
          <w:sz w:val="22"/>
          <w:szCs w:val="22"/>
        </w:rPr>
        <w:t xml:space="preserve">To be acceptable, contractors and vendors (C/Vs) must develop, implement, and maintain authorization programs or program elements that meet the requirements of Section 73.56.  </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7" w:name="OLE_LINK20"/>
      <w:r w:rsidRPr="0051740C">
        <w:rPr>
          <w:rFonts w:ascii="Arial" w:hAnsi="Arial" w:cs="Arial"/>
          <w:sz w:val="22"/>
          <w:szCs w:val="22"/>
          <w:u w:val="single"/>
        </w:rPr>
        <w:t>73.56(d)</w:t>
      </w:r>
      <w:bookmarkEnd w:id="7"/>
      <w:r w:rsidRPr="0051740C">
        <w:rPr>
          <w:rFonts w:ascii="Arial" w:hAnsi="Arial" w:cs="Arial"/>
          <w:sz w:val="22"/>
          <w:szCs w:val="22"/>
        </w:rPr>
        <w:t xml:space="preserve"> requires a documented background investigation in order to grant an individual unescorted access to the protected or vital area of a nuclear power plant. This section requires entities subject to this section to obtain written consent from individuals who are applying for unescorted access authorization before initiating the background investigation.  The paragraph also requires licensees, applicants, and contractors/vendors to inform </w:t>
      </w:r>
      <w:r w:rsidRPr="0051740C">
        <w:rPr>
          <w:rFonts w:ascii="Arial" w:hAnsi="Arial"/>
          <w:sz w:val="22"/>
        </w:rPr>
        <w:t>the</w:t>
      </w:r>
      <w:r w:rsidRPr="0051740C">
        <w:rPr>
          <w:rFonts w:ascii="Arial" w:hAnsi="Arial" w:cs="Arial"/>
          <w:sz w:val="22"/>
          <w:szCs w:val="22"/>
        </w:rPr>
        <w:t xml:space="preserve"> individual of his or her right to review information that is collected to assure its accuracy and that withdrawal of consent will withdraw the individual’s current application for access </w:t>
      </w:r>
      <w:r w:rsidRPr="0051740C">
        <w:rPr>
          <w:rFonts w:ascii="Arial" w:hAnsi="Arial"/>
          <w:sz w:val="22"/>
        </w:rPr>
        <w:t>authorization</w:t>
      </w:r>
      <w:r w:rsidRPr="0051740C">
        <w:rPr>
          <w:rFonts w:ascii="Arial" w:hAnsi="Arial" w:cs="Arial"/>
          <w:sz w:val="22"/>
          <w:szCs w:val="22"/>
        </w:rPr>
        <w:t>, and other licensees applicants, and contractors/vendors will have access to information documenting the withdrawal.</w:t>
      </w:r>
      <w:r w:rsidR="00F44E14">
        <w:rPr>
          <w:rFonts w:ascii="Arial" w:hAnsi="Arial" w:cs="Arial"/>
          <w:sz w:val="22"/>
          <w:szCs w:val="22"/>
        </w:rPr>
        <w:t xml:space="preserve"> </w:t>
      </w:r>
      <w:r w:rsidRPr="0051740C">
        <w:rPr>
          <w:rFonts w:ascii="Arial" w:hAnsi="Arial" w:cs="Arial"/>
          <w:sz w:val="22"/>
          <w:szCs w:val="22"/>
        </w:rPr>
        <w:t xml:space="preserve"> Licensees, applicants and contractors/vendors must complete any background investigation elements that were in progress when an applicant withdraws his or her consent.  The licensee must record the individual’s application for unescorted </w:t>
      </w:r>
      <w:r w:rsidRPr="0051740C">
        <w:rPr>
          <w:rFonts w:ascii="Arial" w:hAnsi="Arial"/>
          <w:sz w:val="22"/>
        </w:rPr>
        <w:t>access</w:t>
      </w:r>
      <w:r w:rsidRPr="0051740C">
        <w:rPr>
          <w:rFonts w:ascii="Arial" w:hAnsi="Arial" w:cs="Arial"/>
          <w:sz w:val="22"/>
          <w:szCs w:val="22"/>
        </w:rPr>
        <w:t xml:space="preserve"> authorization, his or her withdrawal of consent for the background investigation, the reason given for the withdrawal, if any, and any pertinent information collected from the background investigation elements that were completed. </w:t>
      </w:r>
      <w:r w:rsidR="00F44E14">
        <w:rPr>
          <w:rFonts w:ascii="Arial" w:hAnsi="Arial" w:cs="Arial"/>
          <w:sz w:val="22"/>
          <w:szCs w:val="22"/>
        </w:rPr>
        <w:t xml:space="preserve"> </w:t>
      </w:r>
      <w:r w:rsidRPr="0051740C">
        <w:rPr>
          <w:rFonts w:ascii="Arial" w:hAnsi="Arial" w:cs="Arial"/>
          <w:sz w:val="22"/>
          <w:szCs w:val="22"/>
        </w:rPr>
        <w:t>This section requires individuals who are applying for unescorted access authorization to disclose the personal history information that is required by the licensee’s, applicant’s or contractors’/vendors’ authorization program, and any other information that may be necessary for the reviewing official to make a determination of the individual’s trustworthiness and reliability.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73.56(e)</w:t>
      </w:r>
      <w:r w:rsidRPr="0051740C">
        <w:rPr>
          <w:rFonts w:ascii="Arial" w:hAnsi="Arial" w:cs="Arial"/>
          <w:sz w:val="22"/>
          <w:szCs w:val="22"/>
        </w:rPr>
        <w:t xml:space="preserve"> requires that a psychological assessment be completed and requires licensees to develop procedures to provide communication between the </w:t>
      </w:r>
      <w:r w:rsidRPr="0051740C">
        <w:rPr>
          <w:rFonts w:ascii="Arial" w:hAnsi="Arial" w:cs="Arial"/>
          <w:sz w:val="22"/>
          <w:szCs w:val="22"/>
        </w:rPr>
        <w:lastRenderedPageBreak/>
        <w:t>licensed psychologist or psychiatrist and other medical personnel; requires the licensed clinical psychologist or psychiatrist conducting the psychological assessment to inform the reviewing official of any indications or information related to a medical condition that could adversely impact the individual’s fitness for duty or trustworthiness and reliability.</w:t>
      </w:r>
      <w:r w:rsidR="00F44E14">
        <w:rPr>
          <w:rFonts w:ascii="Arial" w:hAnsi="Arial" w:cs="Arial"/>
          <w:sz w:val="22"/>
          <w:szCs w:val="22"/>
        </w:rPr>
        <w:t xml:space="preserve"> </w:t>
      </w:r>
      <w:r w:rsidRPr="0051740C">
        <w:rPr>
          <w:rFonts w:ascii="Arial" w:hAnsi="Arial" w:cs="Arial"/>
          <w:sz w:val="22"/>
          <w:szCs w:val="22"/>
        </w:rPr>
        <w:t xml:space="preserve"> If the licensed psychologist or psychiatrist identifies or discovers any information that could adversely impact the fitness for duty or trustworthiness and reliability of those individuals who are currently granted unescorted access authorization status, he or she must inform the reviewing official of the discovery within 24 hours and the results of the evaluation and a recommendation shall be provided to the licensee’s or applicant’s reviewing official.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73.56(f)</w:t>
      </w:r>
      <w:r w:rsidRPr="0051740C">
        <w:rPr>
          <w:rFonts w:ascii="Arial" w:hAnsi="Arial" w:cs="Arial"/>
          <w:sz w:val="22"/>
          <w:szCs w:val="22"/>
        </w:rPr>
        <w:t xml:space="preserve"> requires that each person subject to the behavior observation program to report any concerns arising from behavioral observation.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8" w:name="OLE_LINK38"/>
      <w:r w:rsidRPr="0051740C">
        <w:rPr>
          <w:rFonts w:ascii="Arial" w:hAnsi="Arial" w:cs="Arial"/>
          <w:sz w:val="22"/>
          <w:szCs w:val="22"/>
          <w:u w:val="single"/>
        </w:rPr>
        <w:t>73.56(g)</w:t>
      </w:r>
      <w:bookmarkEnd w:id="8"/>
      <w:r w:rsidRPr="0051740C">
        <w:rPr>
          <w:rFonts w:ascii="Arial" w:hAnsi="Arial" w:cs="Arial"/>
          <w:sz w:val="22"/>
          <w:szCs w:val="22"/>
        </w:rPr>
        <w:t xml:space="preserve"> requires individuals who have applied for or are maintaining unescorted access authorization to promptly report to the reviewing official any formal actions taken against the individual by a law enforcement authority or court of law.  This would include an arrest, indictment, the filing of charges or a conviction. Licensees must inform individuals of this obligation in writing prior to granting unescorted access or certifying unescorted access authorization.</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p>
    <w:p w:rsidR="00FB54C0" w:rsidRPr="0051740C" w:rsidRDefault="00FB54C0" w:rsidP="00FB54C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w:t>
      </w:r>
      <w:proofErr w:type="spellStart"/>
      <w:r w:rsidRPr="0051740C">
        <w:rPr>
          <w:rFonts w:ascii="Arial" w:hAnsi="Arial" w:cs="Arial"/>
          <w:sz w:val="22"/>
          <w:szCs w:val="22"/>
          <w:u w:val="single"/>
        </w:rPr>
        <w:t>i</w:t>
      </w:r>
      <w:proofErr w:type="spellEnd"/>
      <w:r w:rsidRPr="0051740C">
        <w:rPr>
          <w:rFonts w:ascii="Arial" w:hAnsi="Arial" w:cs="Arial"/>
          <w:sz w:val="22"/>
          <w:szCs w:val="22"/>
          <w:u w:val="single"/>
        </w:rPr>
        <w:t>)</w:t>
      </w:r>
      <w:r w:rsidRPr="0051740C">
        <w:rPr>
          <w:rFonts w:ascii="Arial" w:hAnsi="Arial" w:cs="Arial"/>
          <w:sz w:val="22"/>
          <w:szCs w:val="22"/>
        </w:rPr>
        <w:t xml:space="preserve"> requires licensees, applicants and contractors/vendors to complete a criminal history update, credit history re-evaluation, and psychological re</w:t>
      </w:r>
      <w:r w:rsidRPr="0051740C">
        <w:rPr>
          <w:rFonts w:ascii="Arial" w:hAnsi="Arial" w:cs="Arial"/>
          <w:sz w:val="22"/>
          <w:szCs w:val="22"/>
        </w:rPr>
        <w:noBreakHyphen/>
        <w:t xml:space="preserve">assessment of the </w:t>
      </w:r>
      <w:r w:rsidRPr="0051740C">
        <w:rPr>
          <w:rFonts w:ascii="Arial" w:hAnsi="Arial"/>
          <w:sz w:val="22"/>
        </w:rPr>
        <w:t>individual</w:t>
      </w:r>
      <w:r w:rsidRPr="0051740C">
        <w:rPr>
          <w:rFonts w:ascii="Arial" w:hAnsi="Arial" w:cs="Arial"/>
          <w:sz w:val="22"/>
          <w:szCs w:val="22"/>
        </w:rPr>
        <w:t xml:space="preserve"> within five years of the date on which these elements were last completed, or more frequently, based on job assignment and requires licensees, applicants and contractors/vendors to administratively withdraw an individual’s unescorted access authorization if the criminal history update, credit history re</w:t>
      </w:r>
      <w:r w:rsidRPr="0051740C">
        <w:rPr>
          <w:rFonts w:ascii="Arial" w:hAnsi="Arial" w:cs="Arial"/>
          <w:sz w:val="22"/>
          <w:szCs w:val="22"/>
        </w:rPr>
        <w:noBreakHyphen/>
        <w:t xml:space="preserve">evaluation, psychological re-assessment, and supervisory review have not been </w:t>
      </w:r>
      <w:r w:rsidRPr="0051740C">
        <w:rPr>
          <w:rFonts w:ascii="Arial" w:hAnsi="Arial"/>
          <w:sz w:val="22"/>
        </w:rPr>
        <w:t>completed</w:t>
      </w:r>
      <w:r w:rsidRPr="0051740C">
        <w:rPr>
          <w:rFonts w:ascii="Arial" w:hAnsi="Arial" w:cs="Arial"/>
          <w:sz w:val="22"/>
          <w:szCs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9" w:name="OLE_LINK39"/>
      <w:bookmarkStart w:id="10" w:name="OLE_LINK40"/>
      <w:r w:rsidRPr="0051740C">
        <w:rPr>
          <w:rFonts w:ascii="Arial" w:hAnsi="Arial" w:cs="Arial"/>
          <w:sz w:val="22"/>
          <w:szCs w:val="22"/>
          <w:u w:val="single"/>
        </w:rPr>
        <w:t>73.56(j)</w:t>
      </w:r>
      <w:bookmarkEnd w:id="9"/>
      <w:bookmarkEnd w:id="10"/>
      <w:r w:rsidRPr="0051740C">
        <w:rPr>
          <w:rFonts w:ascii="Arial" w:hAnsi="Arial" w:cs="Arial"/>
          <w:sz w:val="22"/>
          <w:szCs w:val="22"/>
        </w:rPr>
        <w:t xml:space="preserve"> requires licensees to establish, implement, and maintain a list of individuals who are authorized to have unescorted access to specific nuclear power plant vital areas to assist in limiting access to those vital areas during non-emergency conditions. </w:t>
      </w:r>
      <w:r w:rsidR="00F44E14">
        <w:rPr>
          <w:rFonts w:ascii="Arial" w:hAnsi="Arial" w:cs="Arial"/>
          <w:sz w:val="22"/>
          <w:szCs w:val="22"/>
        </w:rPr>
        <w:t xml:space="preserve"> </w:t>
      </w:r>
      <w:r w:rsidRPr="0051740C">
        <w:rPr>
          <w:rFonts w:ascii="Arial" w:hAnsi="Arial" w:cs="Arial"/>
          <w:sz w:val="22"/>
          <w:szCs w:val="22"/>
        </w:rPr>
        <w:t xml:space="preserve">The list must be approved by a cognizant licensee or applicant manager or </w:t>
      </w:r>
      <w:r w:rsidRPr="0051740C">
        <w:rPr>
          <w:rFonts w:ascii="Arial" w:hAnsi="Arial"/>
          <w:sz w:val="22"/>
        </w:rPr>
        <w:t>supervisor</w:t>
      </w:r>
      <w:r w:rsidRPr="0051740C">
        <w:rPr>
          <w:rFonts w:ascii="Arial" w:hAnsi="Arial" w:cs="Arial"/>
          <w:sz w:val="22"/>
          <w:szCs w:val="22"/>
        </w:rPr>
        <w:t xml:space="preserve"> who is responsible for directing the work activities of the individual who is granted unescorted access to each vital area, and updated and re-approved no less frequently than every 31 days.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73.56(k)</w:t>
      </w:r>
      <w:r w:rsidRPr="0051740C">
        <w:rPr>
          <w:rFonts w:ascii="Arial" w:hAnsi="Arial" w:cs="Arial"/>
          <w:sz w:val="22"/>
          <w:szCs w:val="22"/>
        </w:rPr>
        <w:t xml:space="preserve"> requires licensees, applicants, and contractors/vendors to conduct background checks on individuals who collect, process, or have access to the sensitive personal information required under this section increasing the scope of individuals who are subject to background checks.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73.56(l)</w:t>
      </w:r>
      <w:r w:rsidRPr="0051740C">
        <w:rPr>
          <w:rFonts w:ascii="Arial" w:hAnsi="Arial" w:cs="Arial"/>
          <w:sz w:val="22"/>
          <w:szCs w:val="22"/>
        </w:rPr>
        <w:t xml:space="preserve"> requires licensees to include review and notification procedures in their access authorization program.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w:t>
      </w:r>
      <w:r>
        <w:rPr>
          <w:rFonts w:ascii="Arial" w:hAnsi="Arial" w:cs="Arial"/>
          <w:sz w:val="22"/>
          <w:szCs w:val="22"/>
        </w:rPr>
        <w:t xml:space="preserve">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11" w:name="OLE_LINK42"/>
      <w:r w:rsidRPr="0051740C">
        <w:rPr>
          <w:rFonts w:ascii="Arial" w:hAnsi="Arial" w:cs="Arial"/>
          <w:sz w:val="22"/>
          <w:szCs w:val="22"/>
          <w:u w:val="single"/>
        </w:rPr>
        <w:t>73.56(m)</w:t>
      </w:r>
      <w:bookmarkEnd w:id="11"/>
      <w:r w:rsidRPr="0051740C">
        <w:rPr>
          <w:rFonts w:ascii="Arial" w:hAnsi="Arial" w:cs="Arial"/>
          <w:sz w:val="22"/>
          <w:szCs w:val="22"/>
        </w:rPr>
        <w:t xml:space="preserve"> requires licensees and contractors/vendors who collect personal information about an individual for the purpose of complying with this section to establish and maintain a system of files and procedures to protect the personal information.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 xml:space="preserve">Section </w:t>
      </w:r>
      <w:bookmarkStart w:id="12" w:name="OLE_LINK43"/>
      <w:r w:rsidRPr="0051740C">
        <w:rPr>
          <w:rFonts w:ascii="Arial" w:hAnsi="Arial" w:cs="Arial"/>
          <w:sz w:val="22"/>
          <w:szCs w:val="22"/>
          <w:u w:val="single"/>
        </w:rPr>
        <w:t>73.56(m)(1)</w:t>
      </w:r>
      <w:bookmarkEnd w:id="12"/>
      <w:r w:rsidRPr="0051740C">
        <w:rPr>
          <w:rFonts w:ascii="Arial" w:hAnsi="Arial" w:cs="Arial"/>
          <w:sz w:val="22"/>
          <w:szCs w:val="22"/>
        </w:rPr>
        <w:t xml:space="preserve"> requires licensees and contractors/vendors to obtain a signed consent from the subject individual that authorizes the disclosure of the personal information collected and maintained under this section before disclosing the personal information and requires licensees to disclose personal information to other licensees and applicants, or their authorized representatives, such as contractors or vendors, who are legitimately seeking the information for unescorted access or unescorted access authorization determinations under this section and who have obtained signed consent to release this information from the subject individual.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73.56(m)(2)</w:t>
      </w:r>
      <w:r w:rsidRPr="0051740C">
        <w:rPr>
          <w:rFonts w:ascii="Arial" w:hAnsi="Arial" w:cs="Arial"/>
          <w:sz w:val="22"/>
          <w:szCs w:val="22"/>
        </w:rPr>
        <w:t xml:space="preserve"> requires licensees, and contractors/vendors to provide copies of all records pertaining to a denial or unfavorable termination of unescorted access authorization to the subject individual or his or her designated representative upon written request.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73.56(m</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requires procedures for the secure storage and handling of personal information.</w:t>
      </w:r>
      <w:r w:rsidR="00F44E14">
        <w:rPr>
          <w:rFonts w:ascii="Arial" w:hAnsi="Arial" w:cs="Arial"/>
          <w:sz w:val="22"/>
          <w:szCs w:val="22"/>
        </w:rPr>
        <w:t xml:space="preserve"> </w:t>
      </w:r>
      <w:r w:rsidRPr="0051740C">
        <w:rPr>
          <w:rFonts w:ascii="Arial" w:hAnsi="Arial" w:cs="Arial"/>
          <w:sz w:val="22"/>
          <w:szCs w:val="22"/>
        </w:rPr>
        <w:t xml:space="preserve"> The information collection associated with this requirement is </w:t>
      </w:r>
      <w:r>
        <w:rPr>
          <w:rFonts w:ascii="Arial" w:hAnsi="Arial"/>
          <w:sz w:val="22"/>
        </w:rPr>
        <w:t>Section</w:t>
      </w:r>
      <w:r w:rsidRPr="0051740C">
        <w:rPr>
          <w:rFonts w:ascii="Arial" w:hAnsi="Arial" w:cs="Arial"/>
          <w:sz w:val="22"/>
          <w:szCs w:val="22"/>
        </w:rPr>
        <w:t xml:space="preserve">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w:t>
      </w:r>
      <w:r w:rsidRPr="0051740C">
        <w:rPr>
          <w:rFonts w:ascii="Arial" w:hAnsi="Arial" w:cs="Arial"/>
          <w:sz w:val="22"/>
          <w:szCs w:val="22"/>
        </w:rPr>
        <w:t xml:space="preserve"> requires that licensees ensure that their entire access authorization programs are audited nominally every 24 months.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73.56(n)(2)</w:t>
      </w:r>
      <w:r w:rsidRPr="0051740C">
        <w:rPr>
          <w:rFonts w:ascii="Arial" w:hAnsi="Arial" w:cs="Arial"/>
          <w:sz w:val="22"/>
          <w:szCs w:val="22"/>
        </w:rPr>
        <w:t xml:space="preserve"> requires that if a licensee or applicant relies upon a contractor/vendor program or program element to meet the requirements of this section, and if the contractor/vendor personnel providing the access authorization program service are off site or, if they are on site but not under the direct daily supervision or observation of the personnel of the licensee or applicant, then the licensee or applicant must audit the contractor/vendor program or program element on a nominal 12-month frequency.  Also, it requires that any authorization program services that are provided to contractors/vendors by subcontractor personnel who are off site or are not under the direct daily supervision or observation of the contractors’/vendors’ personnel must be audited on a nominal 12-month frequency.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gives conditions to be included in updated contracts for access authorization.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specifies how the audits required by</w:t>
      </w:r>
      <w:r w:rsidRPr="00B73976">
        <w:rPr>
          <w:rFonts w:ascii="Arial" w:hAnsi="Arial"/>
          <w:sz w:val="22"/>
        </w:rPr>
        <w:t xml:space="preserve"> </w:t>
      </w:r>
      <w:r>
        <w:rPr>
          <w:rFonts w:ascii="Arial" w:hAnsi="Arial"/>
          <w:sz w:val="22"/>
        </w:rPr>
        <w:t>Sections</w:t>
      </w:r>
      <w:r w:rsidRPr="0051740C">
        <w:rPr>
          <w:rFonts w:ascii="Arial" w:hAnsi="Arial" w:cs="Arial"/>
          <w:sz w:val="22"/>
          <w:szCs w:val="22"/>
        </w:rPr>
        <w:t xml:space="preserve"> 73.56(n)(1) and (n)(2) should be documented. </w:t>
      </w:r>
      <w:r w:rsidR="00F44E14">
        <w:rPr>
          <w:rFonts w:ascii="Arial" w:hAnsi="Arial" w:cs="Arial"/>
          <w:sz w:val="22"/>
          <w:szCs w:val="22"/>
        </w:rPr>
        <w:t xml:space="preserve"> </w:t>
      </w:r>
      <w:r w:rsidRPr="0051740C">
        <w:rPr>
          <w:rFonts w:ascii="Arial" w:hAnsi="Arial" w:cs="Arial"/>
          <w:sz w:val="22"/>
          <w:szCs w:val="22"/>
        </w:rPr>
        <w:t>The information collections associated with this requirement are</w:t>
      </w:r>
      <w:r w:rsidRPr="00B73976">
        <w:rPr>
          <w:rFonts w:ascii="Arial" w:hAnsi="Arial"/>
          <w:sz w:val="22"/>
        </w:rPr>
        <w:t xml:space="preserve"> </w:t>
      </w:r>
      <w:r>
        <w:rPr>
          <w:rFonts w:ascii="Arial" w:hAnsi="Arial"/>
          <w:sz w:val="22"/>
        </w:rPr>
        <w:t>Sections</w:t>
      </w:r>
      <w:r w:rsidRPr="0051740C">
        <w:rPr>
          <w:rFonts w:ascii="Arial" w:hAnsi="Arial" w:cs="Arial"/>
          <w:sz w:val="22"/>
          <w:szCs w:val="22"/>
        </w:rPr>
        <w:t xml:space="preserve"> 73.56(n</w:t>
      </w:r>
      <w:proofErr w:type="gramStart"/>
      <w:r w:rsidRPr="0051740C">
        <w:rPr>
          <w:rFonts w:ascii="Arial" w:hAnsi="Arial" w:cs="Arial"/>
          <w:sz w:val="22"/>
          <w:szCs w:val="22"/>
        </w:rPr>
        <w:t>)(</w:t>
      </w:r>
      <w:proofErr w:type="gramEnd"/>
      <w:r w:rsidRPr="0051740C">
        <w:rPr>
          <w:rFonts w:ascii="Arial" w:hAnsi="Arial" w:cs="Arial"/>
          <w:sz w:val="22"/>
          <w:szCs w:val="22"/>
        </w:rPr>
        <w:t>1) and 73.56(n)(2).</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73.56(o)</w:t>
      </w:r>
      <w:r w:rsidRPr="0051740C">
        <w:rPr>
          <w:rFonts w:ascii="Arial" w:hAnsi="Arial" w:cs="Arial"/>
          <w:sz w:val="22"/>
          <w:szCs w:val="22"/>
        </w:rPr>
        <w:t xml:space="preserve"> specifies records retention requirements for the records required under </w:t>
      </w:r>
      <w:r>
        <w:rPr>
          <w:rFonts w:ascii="Arial" w:hAnsi="Arial" w:cs="Arial"/>
          <w:sz w:val="22"/>
          <w:szCs w:val="22"/>
        </w:rPr>
        <w:t>S</w:t>
      </w:r>
      <w:r w:rsidRPr="0051740C">
        <w:rPr>
          <w:rFonts w:ascii="Arial" w:hAnsi="Arial" w:cs="Arial"/>
          <w:sz w:val="22"/>
          <w:szCs w:val="22"/>
        </w:rPr>
        <w:t xml:space="preserve">ection 73.56. </w:t>
      </w:r>
      <w:r w:rsidR="00F44E14">
        <w:rPr>
          <w:rFonts w:ascii="Arial" w:hAnsi="Arial" w:cs="Arial"/>
          <w:sz w:val="22"/>
          <w:szCs w:val="22"/>
        </w:rPr>
        <w:t xml:space="preserve"> </w:t>
      </w:r>
      <w:r w:rsidRPr="0051740C">
        <w:rPr>
          <w:rFonts w:ascii="Arial" w:hAnsi="Arial" w:cs="Arial"/>
          <w:sz w:val="22"/>
          <w:szCs w:val="22"/>
        </w:rPr>
        <w:t>There is no information collection for this section.</w:t>
      </w:r>
      <w:r w:rsidR="00F44E14">
        <w:rPr>
          <w:rFonts w:ascii="Arial" w:hAnsi="Arial" w:cs="Arial"/>
          <w:sz w:val="22"/>
          <w:szCs w:val="22"/>
        </w:rPr>
        <w:t xml:space="preserve"> </w:t>
      </w:r>
      <w:r w:rsidRPr="0051740C">
        <w:rPr>
          <w:rFonts w:ascii="Arial" w:hAnsi="Arial" w:cs="Arial"/>
          <w:sz w:val="22"/>
          <w:szCs w:val="22"/>
        </w:rPr>
        <w:t xml:space="preserve"> Burden for records retention is reported under the recordkeeping for each specific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73.57(a)</w:t>
      </w:r>
      <w:r w:rsidRPr="0051740C">
        <w:rPr>
          <w:rFonts w:ascii="Arial" w:hAnsi="Arial"/>
          <w:sz w:val="22"/>
        </w:rPr>
        <w:t xml:space="preserve"> requires that each applicant for a license to operate a nuclear power reactor as well as each entity who has provided written notice to the Commission of intent to file an application for licensing, certification, permitting, or approval of a product subject to regulation by the Commission shall </w:t>
      </w:r>
      <w:r w:rsidRPr="0051740C">
        <w:rPr>
          <w:rFonts w:ascii="Arial" w:hAnsi="Arial" w:cs="Arial"/>
          <w:sz w:val="22"/>
          <w:szCs w:val="22"/>
        </w:rPr>
        <w:t>submit</w:t>
      </w:r>
      <w:r w:rsidRPr="0051740C">
        <w:rPr>
          <w:rFonts w:ascii="Arial" w:hAnsi="Arial"/>
          <w:sz w:val="22"/>
        </w:rPr>
        <w:t xml:space="preserve"> a fingerprint card for individuals who have access to Safeguards Information and nuclear power plant licensees shall fingerprint each individual who has or will have access to Safeguards Information or who will require unescorted access to the nuclear power facility. </w:t>
      </w: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73.57(d)</w:t>
      </w:r>
      <w:r w:rsidRPr="0051740C">
        <w:rPr>
          <w:rFonts w:ascii="Arial" w:hAnsi="Arial"/>
          <w:sz w:val="22"/>
        </w:rPr>
        <w:t xml:space="preserve"> provides the instructions for submitting the fingerprint cards.</w:t>
      </w: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73.57(a)(3)</w:t>
      </w:r>
      <w:r>
        <w:rPr>
          <w:rFonts w:ascii="Arial" w:hAnsi="Arial" w:cs="Arial"/>
          <w:sz w:val="22"/>
          <w:szCs w:val="22"/>
        </w:rPr>
        <w:t xml:space="preserve"> allows applicants for a license to operate a nuclear power reactor (including an applicant for a combined license) or a </w:t>
      </w:r>
      <w:proofErr w:type="spellStart"/>
      <w:r>
        <w:rPr>
          <w:rFonts w:ascii="Arial" w:hAnsi="Arial" w:cs="Arial"/>
          <w:sz w:val="22"/>
          <w:szCs w:val="22"/>
        </w:rPr>
        <w:t>nonpower</w:t>
      </w:r>
      <w:proofErr w:type="spellEnd"/>
      <w:r>
        <w:rPr>
          <w:rFonts w:ascii="Arial" w:hAnsi="Arial" w:cs="Arial"/>
          <w:sz w:val="22"/>
          <w:szCs w:val="22"/>
        </w:rPr>
        <w:t xml:space="preserve"> reactor to submit fingerprints for individuals who will require unescorted access to the nuclear power facility or non-power reactor facility.</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73.57(b)(1)</w:t>
      </w:r>
      <w:r>
        <w:rPr>
          <w:rFonts w:ascii="Arial" w:hAnsi="Arial" w:cs="Arial"/>
          <w:sz w:val="22"/>
          <w:szCs w:val="22"/>
        </w:rPr>
        <w:t xml:space="preserve"> requires that licensees must fingerprint each individual who is permitted or seeking unescorted access to the nuclear power facility, the non-</w:t>
      </w:r>
      <w:proofErr w:type="spellStart"/>
      <w:r>
        <w:rPr>
          <w:rFonts w:ascii="Arial" w:hAnsi="Arial" w:cs="Arial"/>
          <w:sz w:val="22"/>
          <w:szCs w:val="22"/>
        </w:rPr>
        <w:t>ower</w:t>
      </w:r>
      <w:proofErr w:type="spellEnd"/>
      <w:r>
        <w:rPr>
          <w:rFonts w:ascii="Arial" w:hAnsi="Arial" w:cs="Arial"/>
          <w:sz w:val="22"/>
          <w:szCs w:val="22"/>
        </w:rPr>
        <w:t xml:space="preserve"> reactor facility in according with </w:t>
      </w:r>
      <w:r>
        <w:rPr>
          <w:rFonts w:ascii="Arial" w:hAnsi="Arial"/>
          <w:sz w:val="22"/>
        </w:rPr>
        <w:t>Section</w:t>
      </w:r>
      <w:r>
        <w:rPr>
          <w:rFonts w:ascii="Arial" w:hAnsi="Arial" w:cs="Arial"/>
          <w:sz w:val="22"/>
          <w:szCs w:val="22"/>
        </w:rPr>
        <w:t xml:space="preserve"> 73.57(g), or access to Safeguards Information.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73.57(b)(3)</w:t>
      </w:r>
      <w:r w:rsidRPr="0051740C">
        <w:rPr>
          <w:rFonts w:ascii="Arial" w:hAnsi="Arial"/>
          <w:sz w:val="22"/>
        </w:rPr>
        <w:t xml:space="preserve"> requires that each </w:t>
      </w:r>
      <w:r>
        <w:rPr>
          <w:rFonts w:ascii="Arial" w:hAnsi="Arial"/>
          <w:sz w:val="22"/>
        </w:rPr>
        <w:t xml:space="preserve">nuclear power reactor licensee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 notify fingerprinted individuals that the fingerprints will be used to secure a review of his/her criminal history record, and inform the individual of proper procedures for revising the record or including explanation in the record.</w:t>
      </w: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73.57(b</w:t>
      </w:r>
      <w:proofErr w:type="gramStart"/>
      <w:r w:rsidRPr="00296652">
        <w:rPr>
          <w:rFonts w:ascii="Arial" w:hAnsi="Arial" w:cs="Arial"/>
          <w:sz w:val="22"/>
          <w:szCs w:val="22"/>
          <w:u w:val="single"/>
        </w:rPr>
        <w:t>)(</w:t>
      </w:r>
      <w:proofErr w:type="gramEnd"/>
      <w:r w:rsidRPr="00296652">
        <w:rPr>
          <w:rFonts w:ascii="Arial" w:hAnsi="Arial" w:cs="Arial"/>
          <w:sz w:val="22"/>
          <w:szCs w:val="22"/>
          <w:u w:val="single"/>
        </w:rPr>
        <w:t>6)</w:t>
      </w:r>
      <w:r w:rsidR="00F44E14">
        <w:rPr>
          <w:rFonts w:ascii="Arial" w:hAnsi="Arial" w:cs="Arial"/>
          <w:sz w:val="22"/>
          <w:szCs w:val="22"/>
        </w:rPr>
        <w:t xml:space="preserve"> requires that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s</w:t>
      </w:r>
      <w:r w:rsidDel="0019059C">
        <w:rPr>
          <w:rFonts w:ascii="Arial" w:hAnsi="Arial" w:cs="Arial"/>
          <w:sz w:val="22"/>
          <w:szCs w:val="22"/>
        </w:rPr>
        <w:t xml:space="preserve"> </w:t>
      </w:r>
      <w:r>
        <w:rPr>
          <w:rFonts w:ascii="Arial" w:hAnsi="Arial" w:cs="Arial"/>
          <w:sz w:val="22"/>
          <w:szCs w:val="22"/>
        </w:rPr>
        <w:t>must submit fingerprints to the Attorney General of the United States through the NRC.</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73.57(d)(1)</w:t>
      </w:r>
      <w:r>
        <w:rPr>
          <w:rFonts w:ascii="Arial" w:hAnsi="Arial" w:cs="Arial"/>
          <w:sz w:val="22"/>
          <w:szCs w:val="22"/>
        </w:rPr>
        <w:t xml:space="preserve"> requires that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 xml:space="preserve"> must obtain, complete, and send to the NRC one fingerprint record (FD Form-258) for each individual requiring unescorted access.  The section also requires that licensees establish procedures to minimize the rejection rate of fingerprint cards.</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73.57(d</w:t>
      </w:r>
      <w:proofErr w:type="gramStart"/>
      <w:r w:rsidRPr="00296652">
        <w:rPr>
          <w:rFonts w:ascii="Arial" w:hAnsi="Arial" w:cs="Arial"/>
          <w:sz w:val="22"/>
          <w:szCs w:val="22"/>
          <w:u w:val="single"/>
        </w:rPr>
        <w:t>)(</w:t>
      </w:r>
      <w:proofErr w:type="gramEnd"/>
      <w:r w:rsidRPr="00296652">
        <w:rPr>
          <w:rFonts w:ascii="Arial" w:hAnsi="Arial" w:cs="Arial"/>
          <w:sz w:val="22"/>
          <w:szCs w:val="22"/>
          <w:u w:val="single"/>
        </w:rPr>
        <w:t>2)</w:t>
      </w:r>
      <w:r>
        <w:rPr>
          <w:rFonts w:ascii="Arial" w:hAnsi="Arial" w:cs="Arial"/>
          <w:sz w:val="22"/>
          <w:szCs w:val="22"/>
        </w:rPr>
        <w:t xml:space="preserve"> requires the NRC to review applications for completeness and return incomplete applications or applications containing evident errors to licensees.  If rejected, licensees must resubmit the application (one free resubmission is included in the initial fee).  If the free submission is rejected, licensees must submit a new application, which requires a second payment.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73.57(e)</w:t>
      </w:r>
      <w:r w:rsidRPr="0051740C">
        <w:rPr>
          <w:rFonts w:ascii="Arial" w:hAnsi="Arial"/>
          <w:sz w:val="22"/>
        </w:rPr>
        <w:t xml:space="preserve"> requires that, prior to any adverse action, the licensee must make available to the individual the contents of records obtained from the FBI for the purpose </w:t>
      </w:r>
      <w:r w:rsidRPr="0051740C">
        <w:rPr>
          <w:rFonts w:ascii="Arial" w:hAnsi="Arial" w:cs="Arial"/>
          <w:sz w:val="22"/>
          <w:szCs w:val="22"/>
        </w:rPr>
        <w:t>of</w:t>
      </w:r>
      <w:r w:rsidRPr="0051740C">
        <w:rPr>
          <w:rFonts w:ascii="Arial" w:hAnsi="Arial"/>
          <w:sz w:val="22"/>
        </w:rPr>
        <w:t xml:space="preserve"> assuring correct and complete information, and must retain a record of receipt by the individual of this notification for 1 year from the date of the notification. If, after reviewing the record, an individual believes that it is incorrect or incomplete, and wishes changes, corrections, or updating, or to explain any matter in the record, the individual may initiate challenge procedures.</w:t>
      </w:r>
      <w:r w:rsidR="00F44E14">
        <w:rPr>
          <w:rFonts w:ascii="Arial" w:hAnsi="Arial"/>
          <w:sz w:val="22"/>
        </w:rPr>
        <w:t xml:space="preserve"> </w:t>
      </w:r>
      <w:r w:rsidRPr="0051740C">
        <w:rPr>
          <w:rFonts w:ascii="Arial" w:hAnsi="Arial"/>
          <w:sz w:val="22"/>
        </w:rPr>
        <w:t xml:space="preserve"> Additionally, an individual participating in an NRC adjudication and seeking to obtain Safeguards Information for use in that adjudication may appeal a final adverse determination by the NRC.</w:t>
      </w: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73.57(f</w:t>
      </w:r>
      <w:proofErr w:type="gramStart"/>
      <w:r w:rsidRPr="00296652">
        <w:rPr>
          <w:rFonts w:ascii="Arial" w:hAnsi="Arial" w:cs="Arial"/>
          <w:sz w:val="22"/>
          <w:szCs w:val="22"/>
          <w:u w:val="single"/>
        </w:rPr>
        <w:t>)(</w:t>
      </w:r>
      <w:proofErr w:type="gramEnd"/>
      <w:r w:rsidRPr="00296652">
        <w:rPr>
          <w:rFonts w:ascii="Arial" w:hAnsi="Arial" w:cs="Arial"/>
          <w:sz w:val="22"/>
          <w:szCs w:val="22"/>
          <w:u w:val="single"/>
        </w:rPr>
        <w:t>1)</w:t>
      </w:r>
      <w:r>
        <w:rPr>
          <w:rFonts w:ascii="Arial" w:hAnsi="Arial" w:cs="Arial"/>
          <w:sz w:val="22"/>
          <w:szCs w:val="22"/>
        </w:rPr>
        <w:t xml:space="preserve"> requires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to establish and maintain a system of files and procedures to protect criminal history records and personal information from unauthorized disclosure.</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73.57(f</w:t>
      </w:r>
      <w:proofErr w:type="gramStart"/>
      <w:r w:rsidRPr="00296652">
        <w:rPr>
          <w:rFonts w:ascii="Arial" w:hAnsi="Arial" w:cs="Arial"/>
          <w:sz w:val="22"/>
          <w:szCs w:val="22"/>
          <w:u w:val="single"/>
        </w:rPr>
        <w:t>)(</w:t>
      </w:r>
      <w:proofErr w:type="gramEnd"/>
      <w:r w:rsidRPr="00296652">
        <w:rPr>
          <w:rFonts w:ascii="Arial" w:hAnsi="Arial" w:cs="Arial"/>
          <w:sz w:val="22"/>
          <w:szCs w:val="22"/>
          <w:u w:val="single"/>
        </w:rPr>
        <w:t>3)</w:t>
      </w:r>
      <w:r>
        <w:rPr>
          <w:rFonts w:ascii="Arial" w:hAnsi="Arial" w:cs="Arial"/>
          <w:sz w:val="22"/>
          <w:szCs w:val="22"/>
        </w:rPr>
        <w:t xml:space="preserve"> allows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to transfer records to another licensee upon the individual’s written request and verification of personal information by the gaining licensee.</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lastRenderedPageBreak/>
        <w:t>Section 73.57(f</w:t>
      </w:r>
      <w:proofErr w:type="gramStart"/>
      <w:r w:rsidRPr="00296652">
        <w:rPr>
          <w:rFonts w:ascii="Arial" w:hAnsi="Arial" w:cs="Arial"/>
          <w:sz w:val="22"/>
          <w:szCs w:val="22"/>
          <w:u w:val="single"/>
        </w:rPr>
        <w:t>)(</w:t>
      </w:r>
      <w:proofErr w:type="gramEnd"/>
      <w:r w:rsidRPr="00296652">
        <w:rPr>
          <w:rFonts w:ascii="Arial" w:hAnsi="Arial" w:cs="Arial"/>
          <w:sz w:val="22"/>
          <w:szCs w:val="22"/>
          <w:u w:val="single"/>
        </w:rPr>
        <w:t>4)</w:t>
      </w:r>
      <w:r>
        <w:rPr>
          <w:rFonts w:ascii="Arial" w:hAnsi="Arial" w:cs="Arial"/>
          <w:sz w:val="22"/>
          <w:szCs w:val="22"/>
        </w:rPr>
        <w:t xml:space="preserve"> requires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to make records available to the NRC in order to determine compliance with the regulations and laws.</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73.57(f)(5)</w:t>
      </w:r>
      <w:r>
        <w:rPr>
          <w:rFonts w:ascii="Arial" w:hAnsi="Arial" w:cs="Arial"/>
          <w:sz w:val="22"/>
          <w:szCs w:val="22"/>
        </w:rPr>
        <w:t xml:space="preserve"> requires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 xml:space="preserve">to retain all fingerprint and criminal history records, or a copy of the records, on an individual for 1 year after termination or denial of unescorted access to the nuclear power reactor facility or </w:t>
      </w:r>
      <w:proofErr w:type="spellStart"/>
      <w:r>
        <w:rPr>
          <w:rFonts w:ascii="Arial" w:hAnsi="Arial" w:cs="Arial"/>
          <w:sz w:val="22"/>
          <w:szCs w:val="22"/>
        </w:rPr>
        <w:t>nonpower</w:t>
      </w:r>
      <w:proofErr w:type="spellEnd"/>
      <w:r>
        <w:rPr>
          <w:rFonts w:ascii="Arial" w:hAnsi="Arial" w:cs="Arial"/>
          <w:sz w:val="22"/>
          <w:szCs w:val="22"/>
        </w:rPr>
        <w:t xml:space="preserve"> reactor facility.</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73.57(g)(1)</w:t>
      </w:r>
      <w:r>
        <w:rPr>
          <w:rFonts w:ascii="Arial" w:hAnsi="Arial" w:cs="Arial"/>
          <w:sz w:val="22"/>
          <w:szCs w:val="22"/>
        </w:rPr>
        <w:t xml:space="preserve"> requires an NRC approved reviewing official to review an individual’s criminal history record before granting unescorted access to a nuclear power reactor facility or </w:t>
      </w:r>
      <w:proofErr w:type="spellStart"/>
      <w:r>
        <w:rPr>
          <w:rFonts w:ascii="Arial" w:hAnsi="Arial" w:cs="Arial"/>
          <w:sz w:val="22"/>
          <w:szCs w:val="22"/>
        </w:rPr>
        <w:t>nonpower</w:t>
      </w:r>
      <w:proofErr w:type="spellEnd"/>
      <w:r>
        <w:rPr>
          <w:rFonts w:ascii="Arial" w:hAnsi="Arial" w:cs="Arial"/>
          <w:sz w:val="22"/>
          <w:szCs w:val="22"/>
        </w:rPr>
        <w:t xml:space="preserve"> reactor facility or access to Safeguards Information.</w:t>
      </w:r>
    </w:p>
    <w:p w:rsidR="00FB54C0" w:rsidRDefault="00FB54C0" w:rsidP="00FB54C0">
      <w:pPr>
        <w:ind w:left="1800"/>
        <w:rPr>
          <w:rFonts w:ascii="Arial" w:hAnsi="Arial" w:cs="Arial"/>
          <w:sz w:val="22"/>
          <w:szCs w:val="22"/>
        </w:rPr>
      </w:pPr>
    </w:p>
    <w:p w:rsidR="00FB54C0" w:rsidRDefault="00FB54C0" w:rsidP="00FB54C0">
      <w:pPr>
        <w:ind w:left="1800"/>
        <w:rPr>
          <w:rFonts w:ascii="Arial" w:hAnsi="Arial" w:cs="Arial"/>
          <w:sz w:val="22"/>
          <w:szCs w:val="22"/>
        </w:rPr>
      </w:pPr>
      <w:r w:rsidRPr="00296652">
        <w:rPr>
          <w:rFonts w:ascii="Arial" w:hAnsi="Arial" w:cs="Arial"/>
          <w:sz w:val="22"/>
          <w:szCs w:val="22"/>
          <w:u w:val="single"/>
        </w:rPr>
        <w:t>Section 73.57(g)(2)(</w:t>
      </w:r>
      <w:proofErr w:type="spellStart"/>
      <w:r w:rsidRPr="00296652">
        <w:rPr>
          <w:rFonts w:ascii="Arial" w:hAnsi="Arial" w:cs="Arial"/>
          <w:sz w:val="22"/>
          <w:szCs w:val="22"/>
          <w:u w:val="single"/>
        </w:rPr>
        <w:t>i</w:t>
      </w:r>
      <w:proofErr w:type="spellEnd"/>
      <w:r w:rsidRPr="00296652">
        <w:rPr>
          <w:rFonts w:ascii="Arial" w:hAnsi="Arial" w:cs="Arial"/>
          <w:sz w:val="22"/>
          <w:szCs w:val="22"/>
          <w:u w:val="single"/>
        </w:rPr>
        <w:t>) and section 73.57(g)(2)(ii)</w:t>
      </w:r>
      <w:r>
        <w:rPr>
          <w:rFonts w:ascii="Arial" w:hAnsi="Arial" w:cs="Arial"/>
          <w:sz w:val="22"/>
          <w:szCs w:val="22"/>
        </w:rPr>
        <w:t xml:space="preserve"> require </w:t>
      </w:r>
      <w:r>
        <w:rPr>
          <w:rFonts w:ascii="Arial" w:hAnsi="Arial"/>
          <w:sz w:val="22"/>
        </w:rPr>
        <w:t xml:space="preserve">nuclear power reactor licensees or </w:t>
      </w:r>
      <w:proofErr w:type="spellStart"/>
      <w:r>
        <w:rPr>
          <w:rFonts w:ascii="Arial" w:hAnsi="Arial"/>
          <w:sz w:val="22"/>
        </w:rPr>
        <w:t>nonpower</w:t>
      </w:r>
      <w:proofErr w:type="spellEnd"/>
      <w:r>
        <w:rPr>
          <w:rFonts w:ascii="Arial" w:hAnsi="Arial"/>
          <w:sz w:val="22"/>
        </w:rPr>
        <w:t xml:space="preserve"> reactor </w:t>
      </w:r>
      <w:r w:rsidRPr="0051740C">
        <w:rPr>
          <w:rFonts w:ascii="Arial" w:hAnsi="Arial"/>
          <w:sz w:val="22"/>
        </w:rPr>
        <w:t>licensee</w:t>
      </w:r>
      <w:r>
        <w:rPr>
          <w:rFonts w:ascii="Arial" w:hAnsi="Arial"/>
          <w:sz w:val="22"/>
        </w:rPr>
        <w:t xml:space="preserve">s </w:t>
      </w:r>
      <w:r>
        <w:rPr>
          <w:rFonts w:ascii="Arial" w:hAnsi="Arial" w:cs="Arial"/>
          <w:sz w:val="22"/>
          <w:szCs w:val="22"/>
        </w:rPr>
        <w:t xml:space="preserve">to obtain fingerprints for criminal history records checks for each individual seeking or permitted unescorted access to vital areas or special nuclear material in the </w:t>
      </w:r>
      <w:proofErr w:type="spellStart"/>
      <w:r>
        <w:rPr>
          <w:rFonts w:ascii="Arial" w:hAnsi="Arial" w:cs="Arial"/>
          <w:sz w:val="22"/>
          <w:szCs w:val="22"/>
        </w:rPr>
        <w:t>nonpower</w:t>
      </w:r>
      <w:proofErr w:type="spellEnd"/>
      <w:r>
        <w:rPr>
          <w:rFonts w:ascii="Arial" w:hAnsi="Arial" w:cs="Arial"/>
          <w:sz w:val="22"/>
          <w:szCs w:val="22"/>
        </w:rPr>
        <w:t xml:space="preserve"> reactor facility.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73.58(b)</w:t>
      </w:r>
      <w:r w:rsidRPr="0051740C">
        <w:rPr>
          <w:rFonts w:ascii="Arial" w:hAnsi="Arial" w:cs="Arial"/>
          <w:sz w:val="22"/>
          <w:szCs w:val="22"/>
        </w:rPr>
        <w:t xml:space="preserve"> requires licensees to assess and manage the potential for adverse effects on safety and security prior to </w:t>
      </w:r>
      <w:r w:rsidRPr="0051740C">
        <w:rPr>
          <w:rFonts w:ascii="Arial" w:hAnsi="Arial"/>
          <w:sz w:val="22"/>
        </w:rPr>
        <w:t>implementing</w:t>
      </w:r>
      <w:r w:rsidRPr="0051740C">
        <w:rPr>
          <w:rFonts w:ascii="Arial" w:hAnsi="Arial" w:cs="Arial"/>
          <w:sz w:val="22"/>
          <w:szCs w:val="22"/>
        </w:rPr>
        <w:t xml:space="preserve"> changes to plant configurations, </w:t>
      </w:r>
      <w:r w:rsidRPr="0051740C">
        <w:rPr>
          <w:rFonts w:ascii="Arial" w:hAnsi="Arial"/>
          <w:sz w:val="22"/>
        </w:rPr>
        <w:t>procedures</w:t>
      </w:r>
      <w:r w:rsidRPr="0051740C">
        <w:rPr>
          <w:rFonts w:ascii="Arial" w:hAnsi="Arial" w:cs="Arial"/>
          <w:sz w:val="22"/>
          <w:szCs w:val="22"/>
        </w:rPr>
        <w:t>, facility conditions or security.  As a result, licensees would need to maintain Safety/Security interface written procedures.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73.58(d)</w:t>
      </w:r>
      <w:r w:rsidRPr="0051740C">
        <w:rPr>
          <w:rFonts w:ascii="Arial" w:hAnsi="Arial" w:cs="Arial"/>
          <w:sz w:val="22"/>
          <w:szCs w:val="22"/>
        </w:rPr>
        <w:t xml:space="preserve"> requires licensees to communicate identified adverse interactions to the appropriate </w:t>
      </w:r>
      <w:r w:rsidRPr="0051740C">
        <w:rPr>
          <w:rFonts w:ascii="Arial" w:hAnsi="Arial"/>
          <w:sz w:val="22"/>
        </w:rPr>
        <w:t>licensee</w:t>
      </w:r>
      <w:r w:rsidRPr="0051740C">
        <w:rPr>
          <w:rFonts w:ascii="Arial" w:hAnsi="Arial" w:cs="Arial"/>
          <w:sz w:val="22"/>
          <w:szCs w:val="22"/>
        </w:rPr>
        <w:t xml:space="preserve"> personnel and to take compensatory and/or </w:t>
      </w:r>
      <w:proofErr w:type="spellStart"/>
      <w:r w:rsidRPr="0051740C">
        <w:rPr>
          <w:rFonts w:ascii="Arial" w:hAnsi="Arial" w:cs="Arial"/>
          <w:sz w:val="22"/>
          <w:szCs w:val="22"/>
        </w:rPr>
        <w:t>mitigative</w:t>
      </w:r>
      <w:proofErr w:type="spellEnd"/>
      <w:r w:rsidRPr="0051740C">
        <w:rPr>
          <w:rFonts w:ascii="Arial" w:hAnsi="Arial" w:cs="Arial"/>
          <w:sz w:val="22"/>
          <w:szCs w:val="22"/>
        </w:rPr>
        <w:t xml:space="preserve"> actions to maintain safety and security. </w:t>
      </w:r>
    </w:p>
    <w:p w:rsidR="00FB54C0"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C760F8" w:rsidRDefault="00FB54C0" w:rsidP="00FB54C0">
      <w:pPr>
        <w:ind w:left="1800"/>
        <w:rPr>
          <w:rFonts w:ascii="Arial" w:hAnsi="Arial" w:cs="Arial"/>
          <w:sz w:val="22"/>
          <w:szCs w:val="22"/>
        </w:rPr>
      </w:pPr>
      <w:r w:rsidRPr="003F1143">
        <w:rPr>
          <w:rFonts w:ascii="Arial" w:hAnsi="Arial" w:cs="Arial"/>
          <w:sz w:val="22"/>
          <w:szCs w:val="22"/>
          <w:u w:val="single"/>
        </w:rPr>
        <w:t>Section 73.59(l)</w:t>
      </w:r>
      <w:r>
        <w:rPr>
          <w:rFonts w:ascii="Arial" w:hAnsi="Arial" w:cs="Arial"/>
          <w:sz w:val="22"/>
          <w:szCs w:val="22"/>
        </w:rPr>
        <w:t xml:space="preserve"> includes Tribal officials or their designated representatives and Tribal law enforcement personnel to the list of designated categories of individuals that are granted relief from fingerprinting and other background investigation requirements.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73.60(e)</w:t>
      </w:r>
      <w:r w:rsidRPr="0051740C">
        <w:rPr>
          <w:rFonts w:ascii="Arial" w:hAnsi="Arial"/>
          <w:sz w:val="22"/>
        </w:rPr>
        <w:t xml:space="preserve"> requires the licensee to establish, maintain, and follow an NRC</w:t>
      </w:r>
      <w:r w:rsidRPr="0051740C">
        <w:rPr>
          <w:rFonts w:ascii="Arial" w:hAnsi="Arial"/>
          <w:sz w:val="22"/>
        </w:rPr>
        <w:noBreakHyphen/>
        <w:t xml:space="preserve">approved safeguards contingency plan. The information collection associated with this requirement is contained in </w:t>
      </w:r>
      <w:r>
        <w:rPr>
          <w:rFonts w:ascii="Arial" w:hAnsi="Arial"/>
          <w:sz w:val="22"/>
        </w:rPr>
        <w:t>Section</w:t>
      </w:r>
      <w:r w:rsidRPr="0051740C">
        <w:rPr>
          <w:rFonts w:ascii="Arial" w:hAnsi="Arial"/>
          <w:sz w:val="22"/>
        </w:rPr>
        <w:t xml:space="preserve">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73.67(a)</w:t>
      </w:r>
      <w:r w:rsidRPr="0051740C">
        <w:rPr>
          <w:rFonts w:ascii="Arial" w:hAnsi="Arial"/>
          <w:sz w:val="22"/>
        </w:rPr>
        <w:t xml:space="preserve"> requires the physical protection system provide response to indications of unauthorized removal of special nuclear material and notification of the appropriate response forces of its removal in order to facilitate its recovery. </w:t>
      </w:r>
      <w:r w:rsidR="00F44E14">
        <w:rPr>
          <w:rFonts w:ascii="Arial" w:hAnsi="Arial"/>
          <w:sz w:val="22"/>
        </w:rPr>
        <w:t xml:space="preserve"> </w:t>
      </w:r>
      <w:r w:rsidRPr="0051740C">
        <w:rPr>
          <w:rFonts w:ascii="Arial" w:hAnsi="Arial"/>
          <w:sz w:val="22"/>
        </w:rPr>
        <w:t>The information collection associated with this requirement is contained in Section 73.20.</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73.67(c)</w:t>
      </w:r>
      <w:r w:rsidRPr="0051740C">
        <w:rPr>
          <w:rFonts w:ascii="Arial" w:hAnsi="Arial"/>
          <w:sz w:val="22"/>
        </w:rPr>
        <w:t xml:space="preserve"> requires the licensee to submit a security plan or amended security plan describing how the licensee will comply with the physical protection </w:t>
      </w:r>
      <w:r w:rsidRPr="0051740C">
        <w:rPr>
          <w:rFonts w:ascii="Arial" w:hAnsi="Arial" w:cs="Arial"/>
          <w:sz w:val="22"/>
          <w:szCs w:val="22"/>
        </w:rPr>
        <w:t>requirements</w:t>
      </w:r>
      <w:r w:rsidRPr="0051740C">
        <w:rPr>
          <w:rFonts w:ascii="Arial" w:hAnsi="Arial"/>
          <w:sz w:val="22"/>
        </w:rPr>
        <w:t xml:space="preserve"> of the regulations.  The information collection associated with this requirement is contained in Section 73.20(c).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73.67(d</w:t>
      </w:r>
      <w:proofErr w:type="gramStart"/>
      <w:r w:rsidRPr="0051740C">
        <w:rPr>
          <w:rFonts w:ascii="Arial" w:hAnsi="Arial"/>
          <w:sz w:val="22"/>
          <w:u w:val="single"/>
        </w:rPr>
        <w:t>)(</w:t>
      </w:r>
      <w:proofErr w:type="gramEnd"/>
      <w:r w:rsidRPr="0051740C">
        <w:rPr>
          <w:rFonts w:ascii="Arial" w:hAnsi="Arial"/>
          <w:sz w:val="22"/>
          <w:u w:val="single"/>
        </w:rPr>
        <w:t>11)</w:t>
      </w:r>
      <w:r w:rsidRPr="0051740C">
        <w:rPr>
          <w:rFonts w:ascii="Arial" w:hAnsi="Arial"/>
          <w:sz w:val="22"/>
        </w:rPr>
        <w:t xml:space="preserve"> requires response procedures in support of the physical protection program.</w:t>
      </w:r>
      <w:r w:rsidR="00F44E14">
        <w:rPr>
          <w:rFonts w:ascii="Arial" w:hAnsi="Arial"/>
          <w:sz w:val="22"/>
        </w:rPr>
        <w:t xml:space="preserve"> </w:t>
      </w:r>
      <w:r w:rsidRPr="0051740C">
        <w:rPr>
          <w:rFonts w:ascii="Arial" w:hAnsi="Arial"/>
          <w:sz w:val="22"/>
        </w:rPr>
        <w:t xml:space="preserve"> The information collection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73.67(e)(1)</w:t>
      </w:r>
      <w:r w:rsidRPr="0051740C">
        <w:rPr>
          <w:rFonts w:ascii="Arial" w:hAnsi="Arial"/>
          <w:sz w:val="22"/>
        </w:rPr>
        <w:t xml:space="preserve"> requires that a licensee shipping SNM of moderate strategic significance provide advance notification to the receiver of any planned shipments specifying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This information alerts the intended receiver of an impending shipment.  The required notification and confirmation ensure that the shipper has preplanned the transportation of the material and that the receiver is ready to accept the material.  It also helps ensure positive control of the material during transport and helps ensure traceability of any missing material.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b/>
          <w:sz w:val="22"/>
        </w:rPr>
        <w:t xml:space="preserve"> </w:t>
      </w:r>
      <w:r w:rsidRPr="0051740C">
        <w:rPr>
          <w:rFonts w:ascii="Arial" w:hAnsi="Arial"/>
          <w:sz w:val="22"/>
        </w:rPr>
        <w:t>requires the licensee to notify the shipper of receipt of material as required in</w:t>
      </w:r>
      <w:r w:rsidRPr="00B73976">
        <w:rPr>
          <w:rFonts w:ascii="Arial" w:hAnsi="Arial"/>
          <w:sz w:val="22"/>
        </w:rPr>
        <w:t xml:space="preserve"> </w:t>
      </w:r>
      <w:r>
        <w:rPr>
          <w:rFonts w:ascii="Arial" w:hAnsi="Arial"/>
          <w:sz w:val="22"/>
        </w:rPr>
        <w:t>Section</w:t>
      </w:r>
      <w:r w:rsidRPr="0051740C">
        <w:rPr>
          <w:rFonts w:ascii="Arial" w:hAnsi="Arial"/>
          <w:sz w:val="22"/>
        </w:rPr>
        <w:t xml:space="preserve"> 74.15.</w:t>
      </w:r>
      <w:r w:rsidR="00F44E14">
        <w:rPr>
          <w:rFonts w:ascii="Arial" w:hAnsi="Arial"/>
          <w:sz w:val="22"/>
        </w:rPr>
        <w:t xml:space="preserve"> </w:t>
      </w:r>
      <w:r w:rsidRPr="0051740C">
        <w:rPr>
          <w:rFonts w:ascii="Arial" w:hAnsi="Arial"/>
          <w:sz w:val="22"/>
        </w:rPr>
        <w:t xml:space="preserve"> The information collection associated with this requirement is contained in </w:t>
      </w:r>
      <w:r>
        <w:rPr>
          <w:rFonts w:ascii="Arial" w:hAnsi="Arial"/>
          <w:sz w:val="22"/>
        </w:rPr>
        <w:t>Section</w:t>
      </w:r>
      <w:r w:rsidRPr="0051740C">
        <w:rPr>
          <w:rFonts w:ascii="Arial" w:hAnsi="Arial"/>
          <w:sz w:val="22"/>
        </w:rPr>
        <w:t xml:space="preserve"> 74.15.</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a licensee who arranges for the in-transit physical protection of SNM of moderate strategic significance, or who takes delivery of the material free on board the point at which it is delivered to a carrier for transport, must establish and maintain written response procedures for dealing with thefts or threats of thefts of the material.  The licensee must retain a copy of the procedures as a record. </w:t>
      </w:r>
      <w:r w:rsidR="00F44E14">
        <w:rPr>
          <w:rFonts w:ascii="Arial" w:hAnsi="Arial"/>
          <w:sz w:val="22"/>
        </w:rPr>
        <w:t xml:space="preserve"> </w:t>
      </w:r>
      <w:r w:rsidRPr="0051740C">
        <w:rPr>
          <w:rFonts w:ascii="Arial" w:hAnsi="Arial"/>
          <w:sz w:val="22"/>
        </w:rPr>
        <w:t xml:space="preserve">The information is used by the licensee to provide instructions to employees for dealing with contingencies and is inspected by NRC to ensure that the licensee has developed adequate procedures for dealing with thefts or threats of thefts. </w:t>
      </w:r>
      <w:r w:rsidR="00F44E14">
        <w:rPr>
          <w:rFonts w:ascii="Arial" w:hAnsi="Arial"/>
          <w:sz w:val="22"/>
        </w:rPr>
        <w:t xml:space="preserve"> </w:t>
      </w:r>
      <w:r w:rsidRPr="0051740C">
        <w:rPr>
          <w:rFonts w:ascii="Arial" w:hAnsi="Arial"/>
          <w:sz w:val="22"/>
        </w:rPr>
        <w:t xml:space="preserve">Licensees must make arrangements to be notified immediately of the arrival of the shipment at its destination, or of any such shipment that is lost or unaccounted for after the estimated time of arrival at its destination.  This information is used by the licensee to determine that a shipment either arrived safely or is missing.  Such notification gives the licensee a basis for initiating a trace investigation, which is required in the event a shipment becomes delayed or lost. Licensees must notify the NRC Operations Center within 1 hour after the discovery of the loss of the shipment and within 1 hour after recovery of or accounting for such lost shipment, in accordance with Section 73.71.  This notification permits NRC to initiate or terminate a trace investigation if necessary. </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73.67(e</w:t>
      </w:r>
      <w:proofErr w:type="gramStart"/>
      <w:r w:rsidRPr="0051740C">
        <w:rPr>
          <w:rFonts w:ascii="Arial" w:hAnsi="Arial"/>
          <w:sz w:val="22"/>
          <w:u w:val="single"/>
        </w:rPr>
        <w:t>)(</w:t>
      </w:r>
      <w:proofErr w:type="gramEnd"/>
      <w:r w:rsidRPr="0051740C">
        <w:rPr>
          <w:rFonts w:ascii="Arial" w:hAnsi="Arial"/>
          <w:sz w:val="22"/>
          <w:u w:val="single"/>
        </w:rPr>
        <w:t>4), 73.67(e)(5), and 73.67(e)(6)(</w:t>
      </w:r>
      <w:proofErr w:type="spellStart"/>
      <w:r w:rsidRPr="0051740C">
        <w:rPr>
          <w:rFonts w:ascii="Arial" w:hAnsi="Arial"/>
          <w:sz w:val="22"/>
          <w:u w:val="single"/>
        </w:rPr>
        <w:t>i</w:t>
      </w:r>
      <w:proofErr w:type="spellEnd"/>
      <w:r w:rsidRPr="0051740C">
        <w:rPr>
          <w:rFonts w:ascii="Arial" w:hAnsi="Arial"/>
          <w:sz w:val="22"/>
          <w:u w:val="single"/>
        </w:rPr>
        <w:t>)</w:t>
      </w:r>
      <w:r w:rsidRPr="0051740C">
        <w:rPr>
          <w:rFonts w:ascii="Arial" w:hAnsi="Arial"/>
          <w:sz w:val="22"/>
        </w:rPr>
        <w:t xml:space="preserve"> list the records retention requirements for records required by 73.67(c) and (e). Burden for records retention is captured under each specific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6)(ii)</w:t>
      </w:r>
      <w:r w:rsidRPr="0051740C">
        <w:rPr>
          <w:rFonts w:ascii="Arial" w:hAnsi="Arial"/>
          <w:sz w:val="22"/>
        </w:rPr>
        <w:t xml:space="preserve"> requires that a licensee notify the exporter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7)(</w:t>
      </w:r>
      <w:proofErr w:type="spellStart"/>
      <w:r w:rsidRPr="0051740C">
        <w:rPr>
          <w:rFonts w:ascii="Arial" w:hAnsi="Arial"/>
          <w:sz w:val="22"/>
          <w:u w:val="single"/>
        </w:rPr>
        <w:t>i</w:t>
      </w:r>
      <w:proofErr w:type="spellEnd"/>
      <w:r w:rsidRPr="0051740C">
        <w:rPr>
          <w:rFonts w:ascii="Arial" w:hAnsi="Arial"/>
          <w:sz w:val="22"/>
          <w:u w:val="single"/>
        </w:rPr>
        <w:t>)</w:t>
      </w:r>
      <w:r w:rsidRPr="0051740C">
        <w:rPr>
          <w:rFonts w:ascii="Arial" w:hAnsi="Arial"/>
          <w:sz w:val="22"/>
        </w:rPr>
        <w:t xml:space="preserve"> requires that, upon request by the NRC, a shipper provide additional information regarding a planned shipment.  This information, if requested, is used by the NRC to determine whether it is necessary to issue Orders to licensees in the event that it appears to the NRC that two or more shipments of SNM of moderate strategic significance, constituting in the aggregate an amount equal to or greater than a formula quantity of SSNM, may be </w:t>
      </w:r>
      <w:proofErr w:type="spellStart"/>
      <w:r w:rsidRPr="0051740C">
        <w:rPr>
          <w:rFonts w:ascii="Arial" w:hAnsi="Arial"/>
          <w:sz w:val="22"/>
        </w:rPr>
        <w:t>en</w:t>
      </w:r>
      <w:proofErr w:type="spellEnd"/>
      <w:r w:rsidRPr="0051740C">
        <w:rPr>
          <w:rFonts w:ascii="Arial" w:hAnsi="Arial"/>
          <w:sz w:val="22"/>
        </w:rPr>
        <w:t xml:space="preserve"> route at the same time.</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73.67(e)(7)(ii)</w:t>
      </w:r>
      <w:r w:rsidRPr="0051740C">
        <w:rPr>
          <w:rFonts w:ascii="Arial" w:hAnsi="Arial"/>
          <w:sz w:val="22"/>
        </w:rPr>
        <w:t xml:space="preserve"> requires that the receiver, or the shipper if the receiver is not a licensee, notify the NRC by telephone within 24 hours after the arrival of the shipment at its final destination, or after the shipment has left the United States as an export.  This notification permits the NRC to confirm the integrity of the shipment at the time of receipt or exit from the </w:t>
      </w:r>
      <w:smartTag w:uri="urn:schemas-microsoft-com:office:smarttags" w:element="country-region">
        <w:smartTag w:uri="urn:schemas-microsoft-com:office:smarttags" w:element="place">
          <w:r w:rsidRPr="0051740C">
            <w:rPr>
              <w:rFonts w:ascii="Arial" w:hAnsi="Arial"/>
              <w:sz w:val="22"/>
            </w:rPr>
            <w:t>United States</w:t>
          </w:r>
        </w:smartTag>
      </w:smartTag>
      <w:r w:rsidRPr="0051740C">
        <w:rPr>
          <w:rFonts w:ascii="Arial" w:hAnsi="Arial"/>
          <w:sz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73.67(f)(4)</w:t>
      </w:r>
      <w:r w:rsidRPr="0051740C">
        <w:rPr>
          <w:rFonts w:ascii="Arial" w:hAnsi="Arial" w:cs="Arial"/>
          <w:sz w:val="22"/>
          <w:szCs w:val="22"/>
        </w:rPr>
        <w:t xml:space="preserve"> requires </w:t>
      </w:r>
      <w:r w:rsidRPr="0051740C">
        <w:rPr>
          <w:rFonts w:ascii="Arial" w:hAnsi="Arial"/>
          <w:sz w:val="22"/>
        </w:rPr>
        <w:t>response</w:t>
      </w:r>
      <w:r w:rsidRPr="0051740C">
        <w:rPr>
          <w:rFonts w:ascii="Arial" w:hAnsi="Arial" w:cs="Arial"/>
          <w:sz w:val="22"/>
          <w:szCs w:val="22"/>
        </w:rPr>
        <w:t xml:space="preserve"> procedures in support of the physical protection program.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73.67(g)(1) and (2)</w:t>
      </w:r>
      <w:r w:rsidRPr="0051740C">
        <w:rPr>
          <w:rFonts w:ascii="Arial" w:hAnsi="Arial"/>
          <w:sz w:val="22"/>
        </w:rPr>
        <w:t xml:space="preserve"> requires that a licensee shipping SNM of low strategic significance provide advance notification to the receiver of any planned shipments </w:t>
      </w:r>
      <w:r w:rsidRPr="0051740C">
        <w:rPr>
          <w:rFonts w:ascii="Arial" w:hAnsi="Arial" w:cs="Arial"/>
          <w:sz w:val="22"/>
          <w:szCs w:val="22"/>
        </w:rPr>
        <w:t>specifying</w:t>
      </w:r>
      <w:r w:rsidRPr="0051740C">
        <w:rPr>
          <w:rFonts w:ascii="Arial" w:hAnsi="Arial"/>
          <w:sz w:val="22"/>
        </w:rPr>
        <w:t xml:space="preserve">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The receiving licensee must notify the shipper of the receipt of the material in accordance with </w:t>
      </w:r>
      <w:r>
        <w:rPr>
          <w:rFonts w:ascii="Arial" w:hAnsi="Arial"/>
          <w:sz w:val="22"/>
        </w:rPr>
        <w:t>Section</w:t>
      </w:r>
      <w:r w:rsidRPr="0051740C">
        <w:rPr>
          <w:rFonts w:ascii="Arial" w:hAnsi="Arial"/>
          <w:sz w:val="22"/>
        </w:rPr>
        <w:t xml:space="preserve"> 74.15.  The required notifications and confirmation ensure that the shipper has preplanned the transportation of the material and that the receiver is ready to accept the material.  It also helps ensure positive control of the material during transport and helps ensure traceability of any missing material.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73.67(g)(3)(</w:t>
      </w:r>
      <w:proofErr w:type="spellStart"/>
      <w:r w:rsidRPr="0051740C">
        <w:rPr>
          <w:rFonts w:ascii="Arial" w:hAnsi="Arial" w:cs="Arial"/>
          <w:sz w:val="22"/>
          <w:szCs w:val="22"/>
          <w:u w:val="single"/>
        </w:rPr>
        <w:t>i</w:t>
      </w:r>
      <w:proofErr w:type="spellEnd"/>
      <w:r w:rsidRPr="0051740C">
        <w:rPr>
          <w:rFonts w:ascii="Arial" w:hAnsi="Arial" w:cs="Arial"/>
          <w:sz w:val="22"/>
          <w:szCs w:val="22"/>
          <w:u w:val="single"/>
        </w:rPr>
        <w:t>)</w:t>
      </w:r>
      <w:r w:rsidRPr="0051740C">
        <w:rPr>
          <w:rFonts w:ascii="Arial" w:hAnsi="Arial" w:cs="Arial"/>
          <w:sz w:val="22"/>
          <w:szCs w:val="22"/>
        </w:rPr>
        <w:t xml:space="preserve"> requires response procedures in support of the physical protection program. The information </w:t>
      </w:r>
      <w:r w:rsidRPr="0051740C">
        <w:rPr>
          <w:rFonts w:ascii="Arial" w:hAnsi="Arial"/>
          <w:sz w:val="22"/>
        </w:rPr>
        <w:t>collection</w:t>
      </w:r>
      <w:r w:rsidRPr="0051740C">
        <w:rPr>
          <w:rFonts w:ascii="Arial" w:hAnsi="Arial" w:cs="Arial"/>
          <w:sz w:val="22"/>
          <w:szCs w:val="22"/>
        </w:rPr>
        <w:t xml:space="preserve"> associated with this requirement is contained in Section 73.20(c).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73.67(g)(3)(ii)</w:t>
      </w:r>
      <w:r w:rsidRPr="0051740C">
        <w:rPr>
          <w:rFonts w:ascii="Arial" w:hAnsi="Arial"/>
          <w:sz w:val="22"/>
        </w:rPr>
        <w:t xml:space="preserve"> requires that a shipper of SNM of low strategic significance must make arrangements to be notified immediately of the arrival of the shipment at its destination, or of any such shipment that is lost or unaccounted for after the estimated time of arrival at its destination.  This information is used by the licensee to determine that a shipment either arrived safely or is missing.  Such notification gives the licensee a basis for initiating a trace investigation in </w:t>
      </w:r>
      <w:r w:rsidRPr="0051740C">
        <w:rPr>
          <w:rFonts w:ascii="Arial" w:hAnsi="Arial" w:cs="Arial"/>
          <w:sz w:val="22"/>
          <w:szCs w:val="22"/>
        </w:rPr>
        <w:t>the</w:t>
      </w:r>
      <w:r w:rsidRPr="0051740C">
        <w:rPr>
          <w:rFonts w:ascii="Arial" w:hAnsi="Arial"/>
          <w:sz w:val="22"/>
        </w:rPr>
        <w:t xml:space="preserve"> event a shipment becomes delayed or lost.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73.67(g)(3)(iii)</w:t>
      </w:r>
      <w:r w:rsidRPr="0051740C">
        <w:rPr>
          <w:rFonts w:ascii="Arial" w:hAnsi="Arial"/>
          <w:sz w:val="22"/>
        </w:rPr>
        <w:t xml:space="preserve"> requires that a licensee notify the NRC Operations Center within 1 hour after the discovery of the loss of the shipment and within 1 hour after recovery of or </w:t>
      </w:r>
      <w:r w:rsidRPr="0051740C">
        <w:rPr>
          <w:rFonts w:ascii="Arial" w:hAnsi="Arial" w:cs="Arial"/>
          <w:sz w:val="22"/>
          <w:szCs w:val="22"/>
        </w:rPr>
        <w:t>accounting</w:t>
      </w:r>
      <w:r w:rsidRPr="0051740C">
        <w:rPr>
          <w:rFonts w:ascii="Arial" w:hAnsi="Arial"/>
          <w:sz w:val="22"/>
        </w:rPr>
        <w:t xml:space="preserve"> for such lost shipment, in accordance with </w:t>
      </w:r>
      <w:r>
        <w:rPr>
          <w:rFonts w:ascii="Arial" w:hAnsi="Arial"/>
          <w:sz w:val="22"/>
        </w:rPr>
        <w:t>Section</w:t>
      </w:r>
      <w:r w:rsidRPr="0051740C">
        <w:rPr>
          <w:rFonts w:ascii="Arial" w:hAnsi="Arial"/>
          <w:sz w:val="22"/>
        </w:rPr>
        <w:t xml:space="preserve"> 73.71.  This notification permits the NRC to initiate or terminate a trace investigation if necessary.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r w:rsidRPr="0051740C">
        <w:rPr>
          <w:rFonts w:ascii="Arial" w:hAnsi="Arial"/>
          <w:sz w:val="22"/>
          <w:u w:val="single"/>
        </w:rPr>
        <w:t>Section 73.67(g)(4)</w:t>
      </w:r>
      <w:r w:rsidRPr="0051740C">
        <w:rPr>
          <w:rFonts w:ascii="Arial" w:hAnsi="Arial"/>
          <w:sz w:val="22"/>
        </w:rPr>
        <w:t xml:space="preserve"> Lists the records retention requirements for materials export records.</w:t>
      </w:r>
      <w:r w:rsidR="00F44E14">
        <w:rPr>
          <w:rFonts w:ascii="Arial" w:hAnsi="Arial"/>
          <w:sz w:val="22"/>
        </w:rPr>
        <w:t xml:space="preserve"> </w:t>
      </w:r>
      <w:r w:rsidRPr="0051740C">
        <w:rPr>
          <w:rFonts w:ascii="Arial" w:hAnsi="Arial"/>
          <w:sz w:val="22"/>
        </w:rPr>
        <w:t xml:space="preserve"> Burden associated with records retention is reported under each specific requirement.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73.67(g)(5)(</w:t>
      </w:r>
      <w:proofErr w:type="spellStart"/>
      <w:r w:rsidRPr="0051740C">
        <w:rPr>
          <w:rFonts w:ascii="Arial" w:hAnsi="Arial"/>
          <w:sz w:val="22"/>
          <w:u w:val="single"/>
        </w:rPr>
        <w:t>i</w:t>
      </w:r>
      <w:proofErr w:type="spellEnd"/>
      <w:r w:rsidRPr="0051740C">
        <w:rPr>
          <w:rFonts w:ascii="Arial" w:hAnsi="Arial"/>
          <w:sz w:val="22"/>
          <w:u w:val="single"/>
        </w:rPr>
        <w:t>)</w:t>
      </w:r>
      <w:r w:rsidRPr="0051740C">
        <w:rPr>
          <w:rFonts w:ascii="Arial" w:hAnsi="Arial"/>
          <w:sz w:val="22"/>
        </w:rPr>
        <w:t xml:space="preserve"> Lists the records retention requirements for materials import records. </w:t>
      </w:r>
      <w:r w:rsidR="00F44E14">
        <w:rPr>
          <w:rFonts w:ascii="Arial" w:hAnsi="Arial"/>
          <w:sz w:val="22"/>
        </w:rPr>
        <w:t xml:space="preserve"> </w:t>
      </w:r>
      <w:r w:rsidRPr="0051740C">
        <w:rPr>
          <w:rFonts w:ascii="Arial" w:hAnsi="Arial"/>
          <w:sz w:val="22"/>
        </w:rPr>
        <w:t xml:space="preserve">Burden associated with records retention is reported under each specific requirement. </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73.67(g)(5)(ii)</w:t>
      </w:r>
      <w:r w:rsidRPr="0051740C">
        <w:rPr>
          <w:rFonts w:ascii="Arial" w:hAnsi="Arial"/>
          <w:sz w:val="22"/>
        </w:rPr>
        <w:t xml:space="preserve"> requires that a licensee notify the person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73.70(a)</w:t>
      </w:r>
      <w:r w:rsidRPr="0051740C">
        <w:rPr>
          <w:rFonts w:ascii="Arial" w:hAnsi="Arial"/>
          <w:sz w:val="22"/>
        </w:rPr>
        <w:t xml:space="preserve"> requires that the licensee keep a record of the names and addresses of all authorized individuals. </w:t>
      </w:r>
      <w:r w:rsidR="00F44E14">
        <w:rPr>
          <w:rFonts w:ascii="Arial" w:hAnsi="Arial"/>
          <w:sz w:val="22"/>
        </w:rPr>
        <w:t xml:space="preserve"> </w:t>
      </w:r>
      <w:r w:rsidRPr="0051740C">
        <w:rPr>
          <w:rFonts w:ascii="Arial" w:hAnsi="Arial"/>
          <w:sz w:val="22"/>
        </w:rPr>
        <w:t xml:space="preserve">This information serves as a means of </w:t>
      </w:r>
      <w:r w:rsidRPr="0051740C">
        <w:rPr>
          <w:rFonts w:ascii="Arial" w:hAnsi="Arial" w:cs="Arial"/>
          <w:sz w:val="22"/>
          <w:szCs w:val="22"/>
        </w:rPr>
        <w:t>identifying</w:t>
      </w:r>
      <w:r w:rsidRPr="0051740C">
        <w:rPr>
          <w:rFonts w:ascii="Arial" w:hAnsi="Arial"/>
          <w:sz w:val="22"/>
        </w:rPr>
        <w:t xml:space="preserve"> those who have responsibility for surveillance of SNM, and of limiting the number of individuals with such responsibility. </w:t>
      </w:r>
      <w:r w:rsidR="00F44E14">
        <w:rPr>
          <w:rFonts w:ascii="Arial" w:hAnsi="Arial"/>
          <w:sz w:val="22"/>
        </w:rPr>
        <w:t xml:space="preserve"> </w:t>
      </w:r>
      <w:r w:rsidRPr="0051740C">
        <w:rPr>
          <w:rFonts w:ascii="Arial" w:hAnsi="Arial"/>
          <w:sz w:val="22"/>
        </w:rPr>
        <w:t>It identifies persons who had access in the event an investigation proves necessary and serves as a means of verification for inspection purposes to ensure that designation and access control procedures are being properly conducted.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73.70(b)</w:t>
      </w:r>
      <w:r w:rsidRPr="0051740C">
        <w:rPr>
          <w:rFonts w:ascii="Arial" w:hAnsi="Arial"/>
          <w:sz w:val="22"/>
        </w:rPr>
        <w:t xml:space="preserve"> requires that the licensee keep a record of the names, addresses, and badge numbers of all individuals authorized to have access to vital equipment or SNM, and the vital areas and material access areas to which authorization is granted.</w:t>
      </w:r>
      <w:r w:rsidR="00F44E14">
        <w:rPr>
          <w:rFonts w:ascii="Arial" w:hAnsi="Arial"/>
          <w:sz w:val="22"/>
        </w:rPr>
        <w:t xml:space="preserve">  </w:t>
      </w:r>
      <w:r w:rsidRPr="0051740C">
        <w:rPr>
          <w:rFonts w:ascii="Arial" w:hAnsi="Arial"/>
          <w:sz w:val="22"/>
        </w:rPr>
        <w:t xml:space="preserve">This record provides formal access authorization control. </w:t>
      </w:r>
      <w:r w:rsidR="00F44E14">
        <w:rPr>
          <w:rFonts w:ascii="Arial" w:hAnsi="Arial"/>
          <w:sz w:val="22"/>
        </w:rPr>
        <w:t xml:space="preserve"> </w:t>
      </w:r>
      <w:r w:rsidRPr="0051740C">
        <w:rPr>
          <w:rFonts w:ascii="Arial" w:hAnsi="Arial"/>
          <w:sz w:val="22"/>
        </w:rPr>
        <w:t>It provides verification that access control requirements are being met and serves to limit the number of individuals with such access.</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73.70(c)</w:t>
      </w:r>
      <w:r w:rsidRPr="0051740C">
        <w:rPr>
          <w:rFonts w:ascii="Arial" w:hAnsi="Arial"/>
          <w:sz w:val="22"/>
        </w:rPr>
        <w:t xml:space="preserve"> requires that the licensee keep a register of visitors, vendors, and other individuals not employed by the licensee. </w:t>
      </w:r>
      <w:r w:rsidR="00F44E14">
        <w:rPr>
          <w:rFonts w:ascii="Arial" w:hAnsi="Arial"/>
          <w:sz w:val="22"/>
        </w:rPr>
        <w:t xml:space="preserve"> </w:t>
      </w:r>
      <w:r w:rsidRPr="0051740C">
        <w:rPr>
          <w:rFonts w:ascii="Arial" w:hAnsi="Arial"/>
          <w:sz w:val="22"/>
        </w:rPr>
        <w:t>The information collections associated with this requirement are contained in Sections 73.46, 73.50, and 73.55.</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73.70(d)</w:t>
      </w:r>
      <w:r w:rsidRPr="0051740C">
        <w:rPr>
          <w:rFonts w:ascii="Arial" w:hAnsi="Arial"/>
          <w:sz w:val="22"/>
        </w:rPr>
        <w:t xml:space="preserve"> requires that the licensee keep a log of all individuals granted access to a vital area except those individuals entering or exiting the reactor control room. </w:t>
      </w:r>
      <w:r w:rsidR="00F44E14">
        <w:rPr>
          <w:rFonts w:ascii="Arial" w:hAnsi="Arial"/>
          <w:sz w:val="22"/>
        </w:rPr>
        <w:t xml:space="preserve"> </w:t>
      </w:r>
      <w:r w:rsidRPr="0051740C">
        <w:rPr>
          <w:rFonts w:ascii="Arial" w:hAnsi="Arial"/>
          <w:sz w:val="22"/>
        </w:rPr>
        <w:t>This record provides a means of determining who had access to vital areas.</w:t>
      </w:r>
      <w:r w:rsidR="00F44E14">
        <w:rPr>
          <w:rFonts w:ascii="Arial" w:hAnsi="Arial"/>
          <w:sz w:val="22"/>
        </w:rPr>
        <w:t xml:space="preserve"> </w:t>
      </w:r>
      <w:r w:rsidRPr="0051740C">
        <w:rPr>
          <w:rFonts w:ascii="Arial" w:hAnsi="Arial"/>
          <w:sz w:val="22"/>
        </w:rPr>
        <w:t xml:space="preserve"> It is inspected to assess licensee performance in minimizing unnecessary access.  It also can provide data to aid an investigation of an irregular event.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73.70(e)</w:t>
      </w:r>
      <w:r w:rsidRPr="0051740C">
        <w:rPr>
          <w:rFonts w:ascii="Arial" w:hAnsi="Arial"/>
          <w:sz w:val="22"/>
        </w:rPr>
        <w:t xml:space="preserve"> requires that the licensee keep documentation of all routine security tours and inspections, and of all tests, inspections, and maintenance performed on physical barriers, intrusion alarms, communications equipment, and other security related equipment.  This requirement provides a record of security tours, tests and maintenance and is used to ensure that the frequency of tests and prompt maintenance of failures is verifiable by inspection.  It also provides a maintenance history of equipment useful in evaluating operating performance.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73.70(f)</w:t>
      </w:r>
      <w:r w:rsidRPr="0051740C">
        <w:rPr>
          <w:rFonts w:ascii="Arial" w:hAnsi="Arial"/>
          <w:sz w:val="22"/>
        </w:rPr>
        <w:t xml:space="preserve"> requires that the licensee keep a record at each onsite alarm annunciation location of each alarm, false alarm, alarm check, and tamper indication.  In addition, details of response by facility guards and watchmen to each alarm, intrusion, or other security incident must be recorded.  This record provides verification that alarms are operating properly, that licensees respond properly, and that operational checks are conducted in accordance with the regulations.  It also provides a means of evaluating the long term reliability of the alarm system.  This includes all types of signals sent to the alarm systems main computer which incorporates authorized door openings and closings.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73.70(g)</w:t>
      </w:r>
      <w:r w:rsidRPr="0051740C">
        <w:rPr>
          <w:rFonts w:ascii="Arial" w:hAnsi="Arial"/>
          <w:sz w:val="22"/>
        </w:rPr>
        <w:t xml:space="preserve"> requires that the licensee keep a record of shipments of SNM subject to the requirements of Part 73, including names of carriers, major roads to be used, flight numbers for air shipments, dates and expected times of departure and arrival of shipments, verification of communications equipment on board the transfer </w:t>
      </w:r>
      <w:r w:rsidRPr="0051740C">
        <w:rPr>
          <w:rFonts w:ascii="Arial" w:hAnsi="Arial"/>
          <w:sz w:val="22"/>
        </w:rPr>
        <w:lastRenderedPageBreak/>
        <w:t>vehicle, names of individuals who are to communicate with the transport vehicle, container seal descriptions and identification, and other details to confirm compliance with protection requirements.  Information obtained during the course of the shipment such as reports of all communications, change of shipping plan, including monitor changes, trace investigations, and others, must also be recorded.  These records serve as a part of the material control system by providing a record of bulk inventory change at any given plant.  They also provide an audit trail and experience base for evaluating the transportation process at a later time.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73.70(h)</w:t>
      </w:r>
      <w:r w:rsidRPr="0051740C">
        <w:rPr>
          <w:rFonts w:ascii="Arial" w:hAnsi="Arial"/>
          <w:sz w:val="22"/>
        </w:rPr>
        <w:t xml:space="preserve"> requires that the licensee maintain written procedures for controlling access to protected areas and for controlling access to keys for locks used to protect SNM.  This record serves to aid access control and lock and key control.  It also serves as a record that may be inspected, of the licensee's performance in minimizing access and providing adequate control of key and lock operations.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73.71(a)</w:t>
      </w:r>
      <w:r w:rsidRPr="0051740C">
        <w:rPr>
          <w:rFonts w:ascii="Arial" w:hAnsi="Arial"/>
          <w:sz w:val="22"/>
        </w:rPr>
        <w:t xml:space="preserve"> requires that each licensee subject to the provisions of </w:t>
      </w:r>
      <w:r>
        <w:rPr>
          <w:rFonts w:ascii="Arial" w:hAnsi="Arial"/>
          <w:sz w:val="22"/>
        </w:rPr>
        <w:t>Section</w:t>
      </w:r>
      <w:r w:rsidRPr="0051740C">
        <w:rPr>
          <w:rFonts w:ascii="Arial" w:hAnsi="Arial"/>
          <w:sz w:val="22"/>
        </w:rPr>
        <w:t xml:space="preserve"> 73.25, 73.26, 73.27(c), 73.37, 73.67(e), or 73.67(g) notify the NRC Operations Center within 1 hour after the discovery of the loss of any shipment of SNM or spent fuel and within one 1 hour after recovery of or accounting for such lost shipment.  This notification permits NRC to initiate or terminate a trace investigation if necessary. </w:t>
      </w:r>
      <w:r w:rsidR="00F44E14">
        <w:rPr>
          <w:rFonts w:ascii="Arial" w:hAnsi="Arial"/>
          <w:sz w:val="22"/>
        </w:rPr>
        <w:t xml:space="preserve"> </w:t>
      </w:r>
      <w:r w:rsidRPr="0051740C">
        <w:rPr>
          <w:rFonts w:ascii="Arial" w:hAnsi="Arial"/>
          <w:sz w:val="22"/>
        </w:rPr>
        <w:t xml:space="preserve">Each such licensee must follow the initial telephonic notification with a written report to the NRC within 60 days.  This report permits NRC to analyze and evaluate the event and subsequent recovery efforts. </w:t>
      </w:r>
      <w:r w:rsidR="00F44E14">
        <w:rPr>
          <w:rFonts w:ascii="Arial" w:hAnsi="Arial"/>
          <w:sz w:val="22"/>
        </w:rPr>
        <w:t xml:space="preserve"> </w:t>
      </w:r>
      <w:r w:rsidRPr="0051740C">
        <w:rPr>
          <w:rFonts w:ascii="Arial" w:hAnsi="Arial"/>
          <w:sz w:val="22"/>
        </w:rPr>
        <w:t>The initial telephonic notification and written report must be followed by a follow-up telephonic notification and written report to NRC if any significant supplemental information is discovered or if corrections to previous reports are necessary.  Copies of the written reports must be retained as a record for 3 years.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73.71(b)</w:t>
      </w:r>
      <w:r w:rsidRPr="0051740C">
        <w:rPr>
          <w:rFonts w:ascii="Arial" w:hAnsi="Arial"/>
          <w:sz w:val="22"/>
        </w:rPr>
        <w:t xml:space="preserve"> requires that each licensee subject to the provisions of</w:t>
      </w:r>
      <w:r w:rsidRPr="00B73976">
        <w:rPr>
          <w:rFonts w:ascii="Arial" w:hAnsi="Arial"/>
          <w:sz w:val="22"/>
        </w:rPr>
        <w:t xml:space="preserve"> </w:t>
      </w:r>
      <w:r>
        <w:rPr>
          <w:rFonts w:ascii="Arial" w:hAnsi="Arial"/>
          <w:sz w:val="22"/>
        </w:rPr>
        <w:t>Sections</w:t>
      </w:r>
      <w:r w:rsidRPr="0051740C">
        <w:rPr>
          <w:rFonts w:ascii="Arial" w:hAnsi="Arial"/>
          <w:sz w:val="22"/>
        </w:rPr>
        <w:t xml:space="preserve"> 73.20, 73.37, 73.50, 73.55, 73.60, or 73.67 notify the NRC Operations Center within 1 hour after the discovery of the theft or attempted theft or unlawful diversion of SNM.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Each licensee subject to the provisions of</w:t>
      </w:r>
      <w:r w:rsidRPr="00B73976">
        <w:rPr>
          <w:rFonts w:ascii="Arial" w:hAnsi="Arial"/>
          <w:sz w:val="22"/>
        </w:rPr>
        <w:t xml:space="preserve"> </w:t>
      </w:r>
      <w:r>
        <w:rPr>
          <w:rFonts w:ascii="Arial" w:hAnsi="Arial"/>
          <w:sz w:val="22"/>
        </w:rPr>
        <w:t>Sections</w:t>
      </w:r>
      <w:r w:rsidRPr="0051740C">
        <w:rPr>
          <w:rFonts w:ascii="Arial" w:hAnsi="Arial"/>
          <w:sz w:val="22"/>
        </w:rPr>
        <w:t xml:space="preserve"> 73.20, 73.37, 73.50, 73.55, 73.60, 73.51 or possessing SSNM and subject to 73.67 must notify the NRC Operations Center within one hour after the discovery of the following: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(a) an event involving actual or attempted significant physical damage to a power reactor or any facility possessing SSNM or its equipment or carrier equipment transporting nuclear fuel or spent nuclear fuel, or to the nuclear fuel or spent nuclear fuel a facility or carrier possesses;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(b) an event involving actual or attempted interruption of normal operation of a licensed nuclear power reactor through the unauthorized use of or tampering with its machinery, components, or controls including the security system;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44E14" w:rsidRDefault="00F44E14"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(c) an actual entry of an unauthorized person into a protected area, material access area, controlled access area, vital area, or transport; or an event involving any failure, degradation, or the discovered vulnerability in a safeguard system that could allow unauthorized or undetected access to one of the above areas for which compensatory measures have not been employed.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lastRenderedPageBreak/>
        <w:t>Each licensee subject to the provisions of</w:t>
      </w:r>
      <w:r w:rsidRPr="00B73976">
        <w:rPr>
          <w:rFonts w:ascii="Arial" w:hAnsi="Arial"/>
          <w:sz w:val="22"/>
        </w:rPr>
        <w:t xml:space="preserve"> </w:t>
      </w:r>
      <w:r>
        <w:rPr>
          <w:rFonts w:ascii="Arial" w:hAnsi="Arial"/>
          <w:sz w:val="22"/>
        </w:rPr>
        <w:t>Sections</w:t>
      </w:r>
      <w:r w:rsidRPr="0051740C">
        <w:rPr>
          <w:rFonts w:ascii="Arial" w:hAnsi="Arial"/>
          <w:sz w:val="22"/>
        </w:rPr>
        <w:t xml:space="preserve"> 73.20, 73.37, 73.50, 73.55, or 73.60, must notify the NRC Operations Center within 1 hour after the discovery of an event involving actual or attempted introduction of contraband into one of the above areas.  The Commission requires the reports made pursuant to 73.71 so that the Commission may be aware of events in order to determine their significance, whether a change in a licensee's safeguards plan is needed, and whether a report to Congress is necessary in accordance with Section 208 of the Energy Reorganization Act of 1974, as amended.  The safeguards event reports are also needed for the development of a database whereby generic problems can be identified and feedback given to licensees for improving their safeguards systems.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73.71(c)</w:t>
      </w:r>
      <w:r w:rsidRPr="0051740C">
        <w:rPr>
          <w:rFonts w:ascii="Arial" w:hAnsi="Arial"/>
          <w:sz w:val="22"/>
        </w:rPr>
        <w:t xml:space="preserve"> requires that each licensee subject to the provisions of</w:t>
      </w:r>
      <w:r w:rsidRPr="00B73976">
        <w:rPr>
          <w:rFonts w:ascii="Arial" w:hAnsi="Arial"/>
          <w:sz w:val="22"/>
        </w:rPr>
        <w:t xml:space="preserve"> </w:t>
      </w:r>
      <w:r>
        <w:rPr>
          <w:rFonts w:ascii="Arial" w:hAnsi="Arial"/>
          <w:sz w:val="22"/>
        </w:rPr>
        <w:t>Sections</w:t>
      </w:r>
      <w:r w:rsidRPr="0051740C">
        <w:rPr>
          <w:rFonts w:ascii="Arial" w:hAnsi="Arial"/>
          <w:sz w:val="22"/>
        </w:rPr>
        <w:t xml:space="preserve"> 73.20, 73.37, 73.50, 73.51, 73.55, 73.60, or possessing SSNM and subject to </w:t>
      </w:r>
      <w:r>
        <w:rPr>
          <w:rFonts w:ascii="Arial" w:hAnsi="Arial"/>
          <w:sz w:val="22"/>
        </w:rPr>
        <w:t>Section</w:t>
      </w:r>
      <w:r w:rsidRPr="0051740C">
        <w:rPr>
          <w:rFonts w:ascii="Arial" w:hAnsi="Arial"/>
          <w:sz w:val="22"/>
        </w:rPr>
        <w:t xml:space="preserve"> 73.67(d) must maintain a current log and record the safeguards events described in paragraphs</w:t>
      </w:r>
      <w:r w:rsidRPr="0051740C">
        <w:rPr>
          <w:rFonts w:ascii="Arial" w:hAnsi="Arial" w:cs="Arial"/>
          <w:sz w:val="22"/>
        </w:rPr>
        <w:t xml:space="preserve"> II</w:t>
      </w:r>
      <w:r w:rsidRPr="0051740C">
        <w:rPr>
          <w:rFonts w:ascii="Arial" w:hAnsi="Arial"/>
          <w:sz w:val="22"/>
        </w:rPr>
        <w:t>(a) and (b) of Appendix G to Part 73 within 24 hours of discovery by a licensee employee or member of the licensee's contract security organization.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73.71(d)</w:t>
      </w:r>
      <w:r w:rsidRPr="0051740C">
        <w:rPr>
          <w:rFonts w:ascii="Arial" w:hAnsi="Arial"/>
          <w:sz w:val="22"/>
        </w:rPr>
        <w:t xml:space="preserve"> provides guidance for the submission of 60-day reports required under the forgoing provisions of </w:t>
      </w:r>
      <w:r>
        <w:rPr>
          <w:rFonts w:ascii="Arial" w:hAnsi="Arial"/>
          <w:sz w:val="22"/>
        </w:rPr>
        <w:t>Section</w:t>
      </w:r>
      <w:r w:rsidRPr="0051740C">
        <w:rPr>
          <w:rFonts w:ascii="Arial" w:hAnsi="Arial"/>
          <w:sz w:val="22"/>
        </w:rPr>
        <w:t xml:space="preserve"> 73.71.  It provides that power reactor licensees should submit the written report using NRC Form 366, "Licensee Event Report."  Other licensees must submit the written report in letter format.  NRC Form 366 has previously been cleared under OMB No. 3150-0104, which should be referred to for additional supporting information, burden and cost data. It is necessary for both the licensee and the NRC to maintain copies of the reports for the following reasons.  The licensee must maintain copies to perform the yearly security audit required by</w:t>
      </w:r>
      <w:r w:rsidRPr="00B73976">
        <w:rPr>
          <w:rFonts w:ascii="Arial" w:hAnsi="Arial"/>
          <w:sz w:val="22"/>
        </w:rPr>
        <w:t xml:space="preserve"> </w:t>
      </w:r>
      <w:r>
        <w:rPr>
          <w:rFonts w:ascii="Arial" w:hAnsi="Arial"/>
          <w:sz w:val="22"/>
        </w:rPr>
        <w:t>Section</w:t>
      </w:r>
      <w:r w:rsidRPr="0051740C">
        <w:rPr>
          <w:rFonts w:ascii="Arial" w:hAnsi="Arial"/>
          <w:sz w:val="22"/>
        </w:rPr>
        <w:t xml:space="preserve"> 73.46(g)(6) for fuel facilities and </w:t>
      </w:r>
      <w:r>
        <w:rPr>
          <w:rFonts w:ascii="Arial" w:hAnsi="Arial"/>
          <w:sz w:val="22"/>
        </w:rPr>
        <w:t>Section</w:t>
      </w:r>
      <w:r w:rsidRPr="0051740C">
        <w:rPr>
          <w:rFonts w:ascii="Arial" w:hAnsi="Arial"/>
          <w:sz w:val="22"/>
        </w:rPr>
        <w:t xml:space="preserve"> 73.55(g)(4) for power reactors.  This audit evaluates the effectiveness of the security system at these facilities.  Also, in order to maintain the level of security deemed adequate by NRC, the licensee must observe and analyze the operational aspects of its security system.  This can only be done through the maintenance and analysis of such records as those for security events.  The NRC maintains copies of security event records to conduct analyses to identify and characterize generic and facility-specific precursors to certain safeguards events.  Improving the ability of the NRC to identify generic precursors or defects provides the agency with a capability to initiate corrective action, if needed, prior to a vulnerability having a detrimental effect on public health and safety.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73.72</w:t>
      </w:r>
      <w:r w:rsidRPr="0051740C">
        <w:rPr>
          <w:rFonts w:ascii="Arial" w:hAnsi="Arial"/>
          <w:sz w:val="22"/>
        </w:rPr>
        <w:t xml:space="preserve"> requires that licensees shipping a formula quantity of SSNM, SNM of moderate strategic significance, or irradiated reactor fuel required to be protected pursuant to </w:t>
      </w:r>
      <w:r>
        <w:rPr>
          <w:rFonts w:ascii="Arial" w:hAnsi="Arial"/>
          <w:sz w:val="22"/>
        </w:rPr>
        <w:t>Section</w:t>
      </w:r>
      <w:r w:rsidRPr="0051740C">
        <w:rPr>
          <w:rFonts w:ascii="Arial" w:hAnsi="Arial"/>
          <w:sz w:val="22"/>
        </w:rPr>
        <w:t xml:space="preserve"> 73.37, must provide advance written notification to NRC at least 10 days prior to shipment, along with shipment details and itinerary, and must notify NRC by telephone of the transmittal of the advance notice and of any changes to the shipment itinerary.  This requirement is necessary to allow the NRC to review shipment details and schedule appropriate monitoring of the shipment.  It also serves as a means to verify shipment details during the inspection process.</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Default="00FB54C0" w:rsidP="00FB54C0">
      <w:pPr>
        <w:ind w:left="1710"/>
        <w:rPr>
          <w:rFonts w:ascii="Arial" w:hAnsi="Arial" w:cs="Arial"/>
          <w:sz w:val="22"/>
          <w:szCs w:val="22"/>
        </w:rPr>
      </w:pPr>
      <w:r w:rsidRPr="007B11CA">
        <w:rPr>
          <w:rFonts w:ascii="Arial" w:hAnsi="Arial" w:cs="Arial"/>
          <w:sz w:val="22"/>
          <w:szCs w:val="22"/>
          <w:u w:val="single"/>
        </w:rPr>
        <w:t>Section 73.72(a)(4)</w:t>
      </w:r>
      <w:r w:rsidRPr="002A45C9">
        <w:rPr>
          <w:rFonts w:ascii="Arial" w:hAnsi="Arial" w:cs="Arial"/>
          <w:sz w:val="22"/>
          <w:szCs w:val="22"/>
        </w:rPr>
        <w:t xml:space="preserve"> requires </w:t>
      </w:r>
      <w:r>
        <w:rPr>
          <w:rFonts w:ascii="Arial" w:hAnsi="Arial" w:cs="Arial"/>
          <w:sz w:val="22"/>
          <w:szCs w:val="22"/>
        </w:rPr>
        <w:t>that t</w:t>
      </w:r>
      <w:r w:rsidRPr="002A45C9">
        <w:rPr>
          <w:rFonts w:ascii="Arial" w:hAnsi="Arial" w:cs="Arial"/>
          <w:sz w:val="22"/>
          <w:szCs w:val="22"/>
        </w:rPr>
        <w:t xml:space="preserve">he NRC Headquarters Operations Center be notified about the shipment status by secured telephone at the </w:t>
      </w:r>
      <w:r>
        <w:rPr>
          <w:rFonts w:ascii="Arial" w:hAnsi="Arial" w:cs="Arial"/>
          <w:sz w:val="22"/>
          <w:szCs w:val="22"/>
        </w:rPr>
        <w:t>tele</w:t>
      </w:r>
      <w:r w:rsidRPr="002A45C9">
        <w:rPr>
          <w:rFonts w:ascii="Arial" w:hAnsi="Arial" w:cs="Arial"/>
          <w:sz w:val="22"/>
          <w:szCs w:val="22"/>
        </w:rPr>
        <w:t xml:space="preserve">phone numbers listed in </w:t>
      </w:r>
      <w:r>
        <w:rPr>
          <w:rFonts w:ascii="Arial" w:hAnsi="Arial" w:cs="Arial"/>
          <w:sz w:val="22"/>
          <w:szCs w:val="22"/>
        </w:rPr>
        <w:t>A</w:t>
      </w:r>
      <w:r w:rsidRPr="002A45C9">
        <w:rPr>
          <w:rFonts w:ascii="Arial" w:hAnsi="Arial" w:cs="Arial"/>
          <w:sz w:val="22"/>
          <w:szCs w:val="22"/>
        </w:rPr>
        <w:t xml:space="preserve">ppendix A </w:t>
      </w:r>
      <w:r>
        <w:rPr>
          <w:rFonts w:ascii="Arial" w:hAnsi="Arial" w:cs="Arial"/>
          <w:sz w:val="22"/>
          <w:szCs w:val="22"/>
        </w:rPr>
        <w:t>of the</w:t>
      </w:r>
      <w:r w:rsidRPr="002A45C9">
        <w:rPr>
          <w:rFonts w:ascii="Arial" w:hAnsi="Arial" w:cs="Arial"/>
          <w:sz w:val="22"/>
          <w:szCs w:val="22"/>
        </w:rPr>
        <w:t xml:space="preserve"> part. </w:t>
      </w:r>
      <w:r>
        <w:rPr>
          <w:rFonts w:ascii="Arial" w:hAnsi="Arial" w:cs="Arial"/>
          <w:sz w:val="22"/>
          <w:szCs w:val="22"/>
        </w:rPr>
        <w:t xml:space="preserve"> </w:t>
      </w:r>
      <w:r w:rsidRPr="002A45C9">
        <w:rPr>
          <w:rFonts w:ascii="Arial" w:hAnsi="Arial" w:cs="Arial"/>
          <w:sz w:val="22"/>
          <w:szCs w:val="22"/>
        </w:rPr>
        <w:t>Classified notifications shall be made by secure telephone.  The notifications shall take place at the following intervals</w:t>
      </w:r>
    </w:p>
    <w:p w:rsidR="00FB54C0" w:rsidRPr="002A45C9" w:rsidRDefault="00FB54C0" w:rsidP="00FB54C0">
      <w:pPr>
        <w:ind w:left="1710"/>
        <w:rPr>
          <w:rFonts w:ascii="Arial" w:hAnsi="Arial" w:cs="Arial"/>
          <w:sz w:val="22"/>
          <w:szCs w:val="22"/>
        </w:rPr>
      </w:pPr>
    </w:p>
    <w:p w:rsidR="00FB54C0" w:rsidRPr="002A45C9" w:rsidRDefault="00FB54C0" w:rsidP="00FB54C0">
      <w:pPr>
        <w:ind w:left="1980"/>
        <w:rPr>
          <w:rFonts w:ascii="Arial" w:hAnsi="Arial" w:cs="Arial"/>
          <w:sz w:val="22"/>
          <w:szCs w:val="22"/>
        </w:rPr>
      </w:pPr>
      <w:r w:rsidRPr="002A45C9">
        <w:rPr>
          <w:rFonts w:ascii="Arial" w:hAnsi="Arial" w:cs="Arial"/>
          <w:sz w:val="22"/>
          <w:szCs w:val="22"/>
        </w:rPr>
        <w:lastRenderedPageBreak/>
        <w:t>(</w:t>
      </w:r>
      <w:proofErr w:type="spellStart"/>
      <w:r w:rsidRPr="002A45C9">
        <w:rPr>
          <w:rFonts w:ascii="Arial" w:hAnsi="Arial" w:cs="Arial"/>
          <w:sz w:val="22"/>
          <w:szCs w:val="22"/>
        </w:rPr>
        <w:t>i</w:t>
      </w:r>
      <w:proofErr w:type="spellEnd"/>
      <w:r w:rsidRPr="002A45C9">
        <w:rPr>
          <w:rFonts w:ascii="Arial" w:hAnsi="Arial" w:cs="Arial"/>
          <w:sz w:val="22"/>
          <w:szCs w:val="22"/>
        </w:rPr>
        <w:t xml:space="preserve">) </w:t>
      </w:r>
      <w:r>
        <w:rPr>
          <w:rFonts w:ascii="Arial" w:hAnsi="Arial" w:cs="Arial"/>
          <w:sz w:val="22"/>
          <w:szCs w:val="22"/>
        </w:rPr>
        <w:t xml:space="preserve">  </w:t>
      </w:r>
      <w:r w:rsidRPr="002A45C9">
        <w:rPr>
          <w:rFonts w:ascii="Arial" w:hAnsi="Arial" w:cs="Arial"/>
          <w:sz w:val="22"/>
          <w:szCs w:val="22"/>
        </w:rPr>
        <w:t>At least 2 days before commencement of the shipment (existing</w:t>
      </w:r>
      <w:r>
        <w:rPr>
          <w:rFonts w:ascii="Arial" w:hAnsi="Arial" w:cs="Arial"/>
          <w:sz w:val="22"/>
          <w:szCs w:val="22"/>
        </w:rPr>
        <w:t xml:space="preserve"> requirement</w:t>
      </w:r>
      <w:r w:rsidRPr="002A45C9">
        <w:rPr>
          <w:rFonts w:ascii="Arial" w:hAnsi="Arial" w:cs="Arial"/>
          <w:sz w:val="22"/>
          <w:szCs w:val="22"/>
        </w:rPr>
        <w:t>);</w:t>
      </w:r>
    </w:p>
    <w:p w:rsidR="00FB54C0" w:rsidRPr="002A45C9" w:rsidRDefault="00FB54C0" w:rsidP="00FB54C0">
      <w:pPr>
        <w:ind w:left="1260" w:firstLine="720"/>
        <w:rPr>
          <w:rFonts w:ascii="Arial" w:hAnsi="Arial" w:cs="Arial"/>
          <w:sz w:val="22"/>
          <w:szCs w:val="22"/>
        </w:rPr>
      </w:pPr>
      <w:r w:rsidRPr="002A45C9">
        <w:rPr>
          <w:rFonts w:ascii="Arial" w:hAnsi="Arial" w:cs="Arial"/>
          <w:sz w:val="22"/>
          <w:szCs w:val="22"/>
        </w:rPr>
        <w:t xml:space="preserve">(ii) </w:t>
      </w:r>
      <w:r>
        <w:rPr>
          <w:rFonts w:ascii="Arial" w:hAnsi="Arial" w:cs="Arial"/>
          <w:sz w:val="22"/>
          <w:szCs w:val="22"/>
        </w:rPr>
        <w:t xml:space="preserve"> </w:t>
      </w:r>
      <w:r w:rsidRPr="002A45C9">
        <w:rPr>
          <w:rFonts w:ascii="Arial" w:hAnsi="Arial" w:cs="Arial"/>
          <w:sz w:val="22"/>
          <w:szCs w:val="22"/>
        </w:rPr>
        <w:t>Two hours before commencement of the shipment (new</w:t>
      </w:r>
      <w:r>
        <w:rPr>
          <w:rFonts w:ascii="Arial" w:hAnsi="Arial" w:cs="Arial"/>
          <w:sz w:val="22"/>
          <w:szCs w:val="22"/>
        </w:rPr>
        <w:t xml:space="preserve"> requirement</w:t>
      </w:r>
      <w:r w:rsidRPr="002A45C9">
        <w:rPr>
          <w:rFonts w:ascii="Arial" w:hAnsi="Arial" w:cs="Arial"/>
          <w:sz w:val="22"/>
          <w:szCs w:val="22"/>
        </w:rPr>
        <w:t xml:space="preserve">); and </w:t>
      </w:r>
    </w:p>
    <w:p w:rsidR="00FB54C0" w:rsidRDefault="00FB54C0" w:rsidP="00FB54C0">
      <w:pPr>
        <w:ind w:left="1980"/>
        <w:rPr>
          <w:rFonts w:ascii="Arial" w:hAnsi="Arial" w:cs="Arial"/>
          <w:sz w:val="22"/>
          <w:szCs w:val="22"/>
        </w:rPr>
      </w:pPr>
      <w:r w:rsidRPr="002A45C9">
        <w:rPr>
          <w:rFonts w:ascii="Arial" w:hAnsi="Arial" w:cs="Arial"/>
          <w:sz w:val="22"/>
          <w:szCs w:val="22"/>
        </w:rPr>
        <w:t>(iii) Once the shipment is received at its destination. (new</w:t>
      </w:r>
      <w:r>
        <w:rPr>
          <w:rFonts w:ascii="Arial" w:hAnsi="Arial" w:cs="Arial"/>
          <w:sz w:val="22"/>
          <w:szCs w:val="22"/>
        </w:rPr>
        <w:t xml:space="preserve"> requirement</w:t>
      </w:r>
      <w:r w:rsidRPr="002A45C9">
        <w:rPr>
          <w:rFonts w:ascii="Arial" w:hAnsi="Arial" w:cs="Arial"/>
          <w:sz w:val="22"/>
          <w:szCs w:val="22"/>
        </w:rPr>
        <w:t>).</w:t>
      </w:r>
    </w:p>
    <w:p w:rsidR="00FB54C0" w:rsidRPr="002A45C9" w:rsidRDefault="00FB54C0" w:rsidP="00FB54C0">
      <w:pPr>
        <w:ind w:left="22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73.73</w:t>
      </w:r>
      <w:r w:rsidRPr="0051740C">
        <w:rPr>
          <w:rFonts w:ascii="Arial" w:hAnsi="Arial"/>
          <w:sz w:val="22"/>
        </w:rPr>
        <w:t xml:space="preserve"> requires that licensees exporting SNM of low strategic significance to provide advance written notification to the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73.74</w:t>
      </w:r>
      <w:r w:rsidRPr="0051740C">
        <w:rPr>
          <w:rFonts w:ascii="Arial" w:hAnsi="Arial"/>
          <w:sz w:val="22"/>
        </w:rPr>
        <w:t xml:space="preserve"> requires that licensees importing SNM of low strategic significance from a country not a party to the Convention on the Physical Protection of Nuclear Material must provide advance written notification to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w:t>
      </w:r>
      <w:r w:rsidRPr="0051740C">
        <w:rPr>
          <w:rFonts w:ascii="Arial" w:hAnsi="Arial"/>
          <w:sz w:val="22"/>
        </w:rPr>
        <w:t xml:space="preserve"> sets the minimum training and qualification criteria for security personnel. </w:t>
      </w:r>
      <w:r w:rsidR="00F44E14">
        <w:rPr>
          <w:rFonts w:ascii="Arial" w:hAnsi="Arial"/>
          <w:sz w:val="22"/>
        </w:rPr>
        <w:t xml:space="preserve"> </w:t>
      </w:r>
      <w:r w:rsidRPr="0051740C">
        <w:rPr>
          <w:rFonts w:ascii="Arial" w:hAnsi="Arial"/>
          <w:sz w:val="22"/>
        </w:rPr>
        <w:t xml:space="preserve">Much of the information in this Appendix repeats requirements listed earlier in this part with a greater level of detail. </w:t>
      </w:r>
      <w:r w:rsidR="00F44E14">
        <w:rPr>
          <w:rFonts w:ascii="Arial" w:hAnsi="Arial"/>
          <w:sz w:val="22"/>
        </w:rPr>
        <w:t xml:space="preserve"> </w:t>
      </w:r>
      <w:r w:rsidRPr="0051740C">
        <w:rPr>
          <w:rFonts w:ascii="Arial" w:hAnsi="Arial"/>
          <w:sz w:val="22"/>
        </w:rPr>
        <w:t xml:space="preserve">Where the Appendix identifies new or additional requirements, they are captured below.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A.3</w:t>
      </w:r>
      <w:r w:rsidRPr="0051740C">
        <w:rPr>
          <w:rFonts w:ascii="Arial" w:hAnsi="Arial"/>
          <w:sz w:val="22"/>
        </w:rPr>
        <w:t xml:space="preserve"> restates the requirement for licensees to have an NRC-approved training and qualification plan. </w:t>
      </w:r>
      <w:r w:rsidR="00F44E14">
        <w:rPr>
          <w:rFonts w:ascii="Arial" w:hAnsi="Arial"/>
          <w:sz w:val="22"/>
        </w:rPr>
        <w:t xml:space="preserve"> </w:t>
      </w:r>
      <w:r w:rsidRPr="0051740C">
        <w:rPr>
          <w:rFonts w:ascii="Arial" w:hAnsi="Arial"/>
          <w:sz w:val="22"/>
        </w:rPr>
        <w:t>This requirement is captured in</w:t>
      </w:r>
      <w:r w:rsidRPr="00B73976">
        <w:rPr>
          <w:rFonts w:ascii="Arial" w:hAnsi="Arial"/>
          <w:sz w:val="22"/>
        </w:rPr>
        <w:t xml:space="preserve"> </w:t>
      </w:r>
      <w:r>
        <w:rPr>
          <w:rFonts w:ascii="Arial" w:hAnsi="Arial"/>
          <w:sz w:val="22"/>
        </w:rPr>
        <w:t>Section</w:t>
      </w:r>
      <w:r w:rsidRPr="0051740C">
        <w:rPr>
          <w:rFonts w:ascii="Arial" w:hAnsi="Arial"/>
          <w:sz w:val="22"/>
        </w:rPr>
        <w:t xml:space="preserve"> 73.55(c)(4).</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 xml:space="preserve">Appendix B Section VI B.4.a.1 </w:t>
      </w:r>
      <w:r w:rsidRPr="0051740C">
        <w:rPr>
          <w:rFonts w:ascii="Arial" w:hAnsi="Arial"/>
          <w:sz w:val="22"/>
        </w:rPr>
        <w:t>requires licensees to obtain and retain a written certification from the licensed physician that no medical conditions were disclosed by the medical examination that would preclude the individual’s ability to participate in the physical fitness tests or meet the physical fitness attributes or objectives associated with assigned duties.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B.4.b.4</w:t>
      </w:r>
      <w:r w:rsidRPr="0051740C">
        <w:rPr>
          <w:rFonts w:ascii="Arial" w:hAnsi="Arial"/>
          <w:sz w:val="22"/>
        </w:rPr>
        <w:t xml:space="preserve"> requires licensees to have documentation by a qualified training instructor the physical fitness qualification of each armed member of the security organization, this documentation must be attested to by a security supervisor.</w:t>
      </w:r>
      <w:r w:rsidR="00F44E14">
        <w:rPr>
          <w:rFonts w:ascii="Arial" w:hAnsi="Arial"/>
          <w:sz w:val="22"/>
        </w:rPr>
        <w:t xml:space="preserve"> </w:t>
      </w:r>
      <w:r w:rsidRPr="0051740C">
        <w:rPr>
          <w:rFonts w:ascii="Arial" w:hAnsi="Arial"/>
          <w:sz w:val="22"/>
        </w:rPr>
        <w:t xml:space="preserve"> The information collection for this requirement includes the requalification requirement contained in Appendix B Section VI B.5.b.</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B.5</w:t>
      </w:r>
      <w:r w:rsidRPr="0051740C">
        <w:rPr>
          <w:rFonts w:ascii="Arial" w:hAnsi="Arial"/>
          <w:sz w:val="22"/>
        </w:rPr>
        <w:t xml:space="preserve">.b. requires licensees to have documentation by a qualified training instructor the physical fitness requalification of each armed member of the security organization, this documentation must be attested to by a security supervisor. </w:t>
      </w:r>
      <w:r w:rsidR="00F44E14">
        <w:rPr>
          <w:rFonts w:ascii="Arial" w:hAnsi="Arial"/>
          <w:sz w:val="22"/>
        </w:rPr>
        <w:t xml:space="preserve"> </w:t>
      </w:r>
      <w:r w:rsidRPr="0051740C">
        <w:rPr>
          <w:rFonts w:ascii="Arial" w:hAnsi="Arial"/>
          <w:sz w:val="22"/>
        </w:rPr>
        <w:t>The information collection associated with this requirement is contained in Appendix B Section VI B.4.b.4.</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C.2.b</w:t>
      </w:r>
      <w:r w:rsidRPr="0051740C">
        <w:rPr>
          <w:rFonts w:ascii="Arial" w:hAnsi="Arial" w:cs="Arial"/>
          <w:sz w:val="22"/>
          <w:szCs w:val="22"/>
        </w:rPr>
        <w:t xml:space="preserve"> requires </w:t>
      </w:r>
      <w:r w:rsidRPr="0051740C">
        <w:rPr>
          <w:rFonts w:ascii="Arial" w:hAnsi="Arial"/>
          <w:sz w:val="22"/>
        </w:rPr>
        <w:t>licensee</w:t>
      </w:r>
      <w:r w:rsidRPr="0051740C">
        <w:rPr>
          <w:rFonts w:ascii="Arial" w:hAnsi="Arial" w:cs="Arial"/>
          <w:sz w:val="22"/>
          <w:szCs w:val="22"/>
        </w:rPr>
        <w:t xml:space="preserve"> training instructors to document on-the-job training and security supervisors to attest to an individual’s </w:t>
      </w:r>
      <w:r w:rsidRPr="0051740C">
        <w:rPr>
          <w:rFonts w:ascii="Arial" w:hAnsi="Arial"/>
          <w:sz w:val="22"/>
        </w:rPr>
        <w:t>on</w:t>
      </w:r>
      <w:r w:rsidRPr="0051740C">
        <w:rPr>
          <w:rFonts w:ascii="Arial" w:hAnsi="Arial" w:cs="Arial"/>
          <w:sz w:val="22"/>
          <w:szCs w:val="22"/>
        </w:rPr>
        <w:t>-the-job training.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C.3.a</w:t>
      </w:r>
      <w:r w:rsidRPr="0051740C">
        <w:rPr>
          <w:rFonts w:ascii="Arial" w:hAnsi="Arial" w:cs="Arial"/>
          <w:sz w:val="22"/>
          <w:szCs w:val="22"/>
        </w:rPr>
        <w:t xml:space="preserve"> requires licensees to develop, implement, and maintain </w:t>
      </w:r>
      <w:r w:rsidRPr="0051740C">
        <w:rPr>
          <w:rFonts w:ascii="Arial" w:hAnsi="Arial" w:cs="Arial"/>
          <w:sz w:val="22"/>
          <w:szCs w:val="22"/>
        </w:rPr>
        <w:lastRenderedPageBreak/>
        <w:t xml:space="preserve">a documented Performance Evaluation Program (PEP).  The PEP shall be referenced in </w:t>
      </w:r>
      <w:r w:rsidRPr="0051740C">
        <w:rPr>
          <w:rFonts w:ascii="Arial" w:hAnsi="Arial"/>
          <w:sz w:val="22"/>
        </w:rPr>
        <w:t>the</w:t>
      </w:r>
      <w:r w:rsidRPr="0051740C">
        <w:rPr>
          <w:rFonts w:ascii="Arial" w:hAnsi="Arial" w:cs="Arial"/>
          <w:sz w:val="22"/>
          <w:szCs w:val="22"/>
        </w:rPr>
        <w:t xml:space="preserve"> Training and Qualifications Plan. </w:t>
      </w:r>
      <w:r w:rsidR="00F44E14">
        <w:rPr>
          <w:rFonts w:ascii="Arial" w:hAnsi="Arial" w:cs="Arial"/>
          <w:sz w:val="22"/>
          <w:szCs w:val="22"/>
        </w:rPr>
        <w:t xml:space="preserve"> </w:t>
      </w:r>
      <w:r w:rsidRPr="0051740C">
        <w:rPr>
          <w:rFonts w:ascii="Arial" w:hAnsi="Arial" w:cs="Arial"/>
          <w:sz w:val="22"/>
          <w:szCs w:val="22"/>
        </w:rPr>
        <w:t>The information collection associated with this requirement is Section 73.55(c)(4).</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C.3.g</w:t>
      </w:r>
      <w:r w:rsidRPr="0051740C">
        <w:rPr>
          <w:rFonts w:ascii="Arial" w:hAnsi="Arial" w:cs="Arial"/>
          <w:sz w:val="22"/>
          <w:szCs w:val="22"/>
        </w:rPr>
        <w:t xml:space="preserve"> requires licensees to document all findings, deficiencies, and failures identified during tactical response drills and force-on-force exercises deemed to adversely affect or decrease the effectiveness of the protective strategy and physical protection in the licensee’s corrective action program.</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C.3.h.</w:t>
      </w:r>
      <w:r w:rsidRPr="0051740C">
        <w:rPr>
          <w:rFonts w:ascii="Arial" w:hAnsi="Arial"/>
          <w:sz w:val="22"/>
        </w:rPr>
        <w:t xml:space="preserve"> </w:t>
      </w:r>
      <w:r w:rsidRPr="0051740C">
        <w:rPr>
          <w:rFonts w:ascii="Arial" w:hAnsi="Arial" w:cs="Arial"/>
          <w:sz w:val="22"/>
          <w:szCs w:val="22"/>
        </w:rPr>
        <w:t>requires</w:t>
      </w:r>
      <w:r w:rsidRPr="0051740C">
        <w:rPr>
          <w:rFonts w:ascii="Arial" w:hAnsi="Arial"/>
          <w:sz w:val="22"/>
        </w:rPr>
        <w:t xml:space="preserve"> documentation of scenarios and participants for drills and exercises. </w:t>
      </w:r>
      <w:r w:rsidR="00F44E14">
        <w:rPr>
          <w:rFonts w:ascii="Arial" w:hAnsi="Arial"/>
          <w:sz w:val="22"/>
        </w:rPr>
        <w:t xml:space="preserve"> </w:t>
      </w:r>
      <w:r w:rsidRPr="0051740C">
        <w:rPr>
          <w:rFonts w:ascii="Arial" w:hAnsi="Arial"/>
          <w:sz w:val="22"/>
        </w:rPr>
        <w:t>The information collection associated with this requirement is contained in Appendix B Section VI C.3.g.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C.3.i.</w:t>
      </w:r>
      <w:r w:rsidRPr="0051740C">
        <w:rPr>
          <w:rFonts w:ascii="Arial" w:hAnsi="Arial"/>
          <w:sz w:val="22"/>
        </w:rPr>
        <w:t xml:space="preserve"> requires that findings, deficiencies, and failures identified in drills and exercises be entered into the </w:t>
      </w:r>
      <w:r w:rsidRPr="0051740C">
        <w:rPr>
          <w:rFonts w:ascii="Arial" w:hAnsi="Arial" w:cs="Arial"/>
          <w:sz w:val="22"/>
          <w:szCs w:val="22"/>
        </w:rPr>
        <w:t>corrective</w:t>
      </w:r>
      <w:r w:rsidRPr="0051740C">
        <w:rPr>
          <w:rFonts w:ascii="Arial" w:hAnsi="Arial"/>
          <w:sz w:val="22"/>
        </w:rPr>
        <w:t xml:space="preserve"> action program. </w:t>
      </w:r>
      <w:r w:rsidR="00F44E14">
        <w:rPr>
          <w:rFonts w:ascii="Arial" w:hAnsi="Arial"/>
          <w:sz w:val="22"/>
        </w:rPr>
        <w:t xml:space="preserve"> </w:t>
      </w:r>
      <w:r w:rsidRPr="0051740C">
        <w:rPr>
          <w:rFonts w:ascii="Arial" w:hAnsi="Arial"/>
          <w:sz w:val="22"/>
        </w:rPr>
        <w:t>The information collection associated with this requirement is contained in Appendix B Section VI C.3</w:t>
      </w:r>
      <w:r>
        <w:rPr>
          <w:rFonts w:ascii="Arial" w:hAnsi="Arial"/>
          <w:sz w:val="22"/>
        </w:rPr>
        <w:t>.</w:t>
      </w:r>
      <w:r w:rsidRPr="0051740C">
        <w:rPr>
          <w:rFonts w:ascii="Arial" w:hAnsi="Arial"/>
          <w:sz w:val="22"/>
        </w:rPr>
        <w:t>g.</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C.3.m.</w:t>
      </w:r>
      <w:r w:rsidRPr="0051740C">
        <w:rPr>
          <w:rFonts w:ascii="Arial" w:hAnsi="Arial"/>
          <w:sz w:val="22"/>
        </w:rPr>
        <w:t xml:space="preserve"> requires licensees to develop and document scenarios for drills and exercises. </w:t>
      </w:r>
      <w:r w:rsidR="00F44E14">
        <w:rPr>
          <w:rFonts w:ascii="Arial" w:hAnsi="Arial"/>
          <w:sz w:val="22"/>
        </w:rPr>
        <w:t xml:space="preserve"> </w:t>
      </w:r>
      <w:r w:rsidRPr="0051740C">
        <w:rPr>
          <w:rFonts w:ascii="Arial" w:hAnsi="Arial"/>
          <w:sz w:val="22"/>
        </w:rPr>
        <w:t>The information collection associated with this requirement is contained in Appendix B Section VI C.3.g.</w:t>
      </w: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3" w:name="OLE_LINK57"/>
      <w:r w:rsidRPr="0051740C">
        <w:rPr>
          <w:rFonts w:ascii="Arial" w:hAnsi="Arial"/>
          <w:sz w:val="22"/>
          <w:u w:val="single"/>
        </w:rPr>
        <w:t>Appendix B Section VI C.3.n.1</w:t>
      </w:r>
      <w:bookmarkEnd w:id="13"/>
      <w:r w:rsidRPr="0051740C">
        <w:rPr>
          <w:rFonts w:ascii="Arial" w:hAnsi="Arial" w:cs="Arial"/>
          <w:sz w:val="22"/>
          <w:szCs w:val="22"/>
        </w:rPr>
        <w:t xml:space="preserve"> requires licensees to develop and document multiple scenarios for use in conducting quarterly tactical </w:t>
      </w:r>
      <w:r w:rsidRPr="0051740C">
        <w:rPr>
          <w:rFonts w:ascii="Arial" w:hAnsi="Arial"/>
          <w:sz w:val="22"/>
        </w:rPr>
        <w:t>response</w:t>
      </w:r>
      <w:r w:rsidRPr="0051740C">
        <w:rPr>
          <w:rFonts w:ascii="Arial" w:hAnsi="Arial" w:cs="Arial"/>
          <w:sz w:val="22"/>
          <w:szCs w:val="22"/>
        </w:rPr>
        <w:t xml:space="preserve"> drills and annual force-on-force exercises.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D.1.b.1.</w:t>
      </w:r>
      <w:r w:rsidRPr="0051740C">
        <w:rPr>
          <w:rFonts w:ascii="Arial" w:hAnsi="Arial" w:cs="Arial"/>
          <w:sz w:val="22"/>
          <w:szCs w:val="22"/>
        </w:rPr>
        <w:t xml:space="preserve"> requires </w:t>
      </w:r>
      <w:r w:rsidRPr="0051740C">
        <w:rPr>
          <w:rFonts w:ascii="Arial" w:hAnsi="Arial"/>
          <w:sz w:val="22"/>
        </w:rPr>
        <w:t>licensees</w:t>
      </w:r>
      <w:r w:rsidRPr="0051740C">
        <w:rPr>
          <w:rFonts w:ascii="Arial" w:hAnsi="Arial" w:cs="Arial"/>
          <w:sz w:val="22"/>
          <w:szCs w:val="22"/>
        </w:rPr>
        <w:t xml:space="preserve"> to develop and administer a written exam to demonstrate an acceptable understanding of assigned duties and responsibilities.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E.1.b.</w:t>
      </w:r>
      <w:r w:rsidRPr="0051740C">
        <w:rPr>
          <w:rFonts w:ascii="Arial" w:hAnsi="Arial" w:cs="Arial"/>
          <w:sz w:val="22"/>
          <w:szCs w:val="22"/>
        </w:rPr>
        <w:t xml:space="preserve"> requires that licensees only use firearms instructors that are certified from a national or state recognized entity and that the certification specify the </w:t>
      </w:r>
      <w:r w:rsidRPr="0051740C">
        <w:rPr>
          <w:rFonts w:ascii="Arial" w:hAnsi="Arial"/>
          <w:sz w:val="22"/>
        </w:rPr>
        <w:t>weapon</w:t>
      </w:r>
      <w:r w:rsidRPr="0051740C">
        <w:rPr>
          <w:rFonts w:ascii="Arial" w:hAnsi="Arial" w:cs="Arial"/>
          <w:sz w:val="22"/>
          <w:szCs w:val="22"/>
        </w:rPr>
        <w:t xml:space="preserve"> type(s) for which the instructor is qualified to teach and that licensees only use firearms instructors who are recertified in accordance with the standards recognized by the certifying national or state entity, but in no case shall recertification exceed three (3) years.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Appendix B Section VI E.1.d </w:t>
      </w:r>
      <w:r w:rsidRPr="0051740C">
        <w:rPr>
          <w:rFonts w:ascii="Arial" w:hAnsi="Arial" w:cs="Arial"/>
          <w:sz w:val="22"/>
          <w:szCs w:val="22"/>
        </w:rPr>
        <w:t xml:space="preserve">requires licensees to include in the training and qualification plan the following additional standards: target identification and engagement, weapon malfunctions, cover and concealment, and weapon familiarization. </w:t>
      </w:r>
      <w:r w:rsidR="00F44E14">
        <w:rPr>
          <w:rFonts w:ascii="Arial" w:hAnsi="Arial" w:cs="Arial"/>
          <w:sz w:val="22"/>
          <w:szCs w:val="22"/>
        </w:rPr>
        <w:t xml:space="preserve"> </w:t>
      </w:r>
      <w:r w:rsidRPr="0051740C">
        <w:rPr>
          <w:rFonts w:ascii="Arial" w:hAnsi="Arial" w:cs="Arial"/>
          <w:sz w:val="22"/>
          <w:szCs w:val="22"/>
        </w:rPr>
        <w:t>This is a one-time requirement whose burden is included in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bookmarkStart w:id="14" w:name="OLE_LINK59"/>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F.1.b</w:t>
      </w:r>
      <w:bookmarkEnd w:id="14"/>
      <w:r w:rsidRPr="0051740C">
        <w:rPr>
          <w:rFonts w:ascii="Arial" w:hAnsi="Arial" w:cs="Arial"/>
          <w:sz w:val="22"/>
          <w:szCs w:val="22"/>
          <w:u w:val="single"/>
        </w:rPr>
        <w:t>.</w:t>
      </w:r>
      <w:r w:rsidRPr="0051740C">
        <w:rPr>
          <w:rFonts w:ascii="Arial" w:hAnsi="Arial" w:cs="Arial"/>
          <w:sz w:val="22"/>
          <w:szCs w:val="22"/>
        </w:rPr>
        <w:t xml:space="preserve"> requires licensees to document and retain the results of weapons qualification and requalification.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F.2</w:t>
      </w:r>
      <w:r w:rsidRPr="0051740C">
        <w:rPr>
          <w:rFonts w:ascii="Arial" w:hAnsi="Arial" w:cs="Arial"/>
          <w:sz w:val="22"/>
          <w:szCs w:val="22"/>
        </w:rPr>
        <w:t xml:space="preserve"> requires that a licensee’s written training and qualification plan must describe the firearms used, the firearms qualification program, and other tactical training required to implement the Commission-approved security plans, licensee protective strategy, and implementing procedures. This is a one-time requirement whose burden is included in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ind w:left="72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5" w:name="OLE_LINK60"/>
      <w:r w:rsidRPr="0051740C">
        <w:rPr>
          <w:rFonts w:ascii="Arial" w:hAnsi="Arial" w:cs="Arial"/>
          <w:sz w:val="22"/>
          <w:szCs w:val="22"/>
          <w:u w:val="single"/>
        </w:rPr>
        <w:t>Appendix B Section VI F.5.a</w:t>
      </w:r>
      <w:bookmarkEnd w:id="15"/>
      <w:r w:rsidRPr="0051740C">
        <w:rPr>
          <w:rFonts w:ascii="Arial" w:hAnsi="Arial" w:cs="Arial"/>
          <w:sz w:val="22"/>
          <w:szCs w:val="22"/>
        </w:rPr>
        <w:t xml:space="preserve"> requires licensees to re-qualify armed members of the security organization for each assigned weapon at least annually in accordance with </w:t>
      </w:r>
      <w:r w:rsidRPr="0051740C">
        <w:rPr>
          <w:rFonts w:ascii="Arial" w:hAnsi="Arial" w:cs="Arial"/>
          <w:sz w:val="22"/>
          <w:szCs w:val="22"/>
        </w:rPr>
        <w:lastRenderedPageBreak/>
        <w:t>Commission requirements and the Commission-approved training and qualification plan and document and retain the results as a record. The information collection associated with this requirement is Appendix B, Section VI F.1.b.</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G.3.a</w:t>
      </w:r>
      <w:r w:rsidRPr="0051740C">
        <w:rPr>
          <w:rFonts w:ascii="Arial" w:hAnsi="Arial" w:cs="Arial"/>
          <w:sz w:val="22"/>
          <w:szCs w:val="22"/>
        </w:rPr>
        <w:t xml:space="preserve"> requires licensees to include in the training and qualifications plan a firearms maintenance and accountability program to ensure weapons and ammunition are properly maintained, function as designed, and are properly stored and accounted for. </w:t>
      </w:r>
      <w:r w:rsidR="00F44E14">
        <w:rPr>
          <w:rFonts w:ascii="Arial" w:hAnsi="Arial" w:cs="Arial"/>
          <w:sz w:val="22"/>
          <w:szCs w:val="22"/>
        </w:rPr>
        <w:t xml:space="preserve"> </w:t>
      </w:r>
      <w:r w:rsidRPr="0051740C">
        <w:rPr>
          <w:rFonts w:ascii="Arial" w:hAnsi="Arial" w:cs="Arial"/>
          <w:sz w:val="22"/>
          <w:szCs w:val="22"/>
        </w:rPr>
        <w:t>This is a one-time requirement whose burden is included in</w:t>
      </w:r>
      <w:r w:rsidRPr="00B73976">
        <w:rPr>
          <w:rFonts w:ascii="Arial" w:hAnsi="Arial"/>
          <w:sz w:val="22"/>
        </w:rPr>
        <w:t xml:space="preserve"> </w:t>
      </w:r>
      <w:r>
        <w:rPr>
          <w:rFonts w:ascii="Arial" w:hAnsi="Arial"/>
          <w:sz w:val="22"/>
        </w:rPr>
        <w:t>Section</w:t>
      </w:r>
      <w:r w:rsidRPr="0051740C">
        <w:rPr>
          <w:rFonts w:ascii="Arial" w:hAnsi="Arial" w:cs="Arial"/>
          <w:sz w:val="22"/>
          <w:szCs w:val="22"/>
        </w:rPr>
        <w:t xml:space="preserve"> 73.55(a).</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6" w:name="OLE_LINK61"/>
      <w:r w:rsidRPr="0051740C">
        <w:rPr>
          <w:rFonts w:ascii="Arial" w:hAnsi="Arial" w:cs="Arial"/>
          <w:sz w:val="22"/>
          <w:szCs w:val="22"/>
          <w:u w:val="single"/>
        </w:rPr>
        <w:t>Appendix B Section VI H.1</w:t>
      </w:r>
      <w:bookmarkEnd w:id="16"/>
      <w:r w:rsidRPr="0051740C">
        <w:rPr>
          <w:rFonts w:ascii="Arial" w:hAnsi="Arial" w:cs="Arial"/>
          <w:sz w:val="22"/>
          <w:szCs w:val="22"/>
        </w:rPr>
        <w:t xml:space="preserve"> requires licensees to retain all reports, records, or other documentation required by this appendix in accordance with the requirements of </w:t>
      </w:r>
      <w:r>
        <w:rPr>
          <w:rFonts w:ascii="Arial" w:hAnsi="Arial"/>
          <w:sz w:val="22"/>
        </w:rPr>
        <w:t>Section</w:t>
      </w:r>
      <w:r w:rsidRPr="0051740C">
        <w:rPr>
          <w:rFonts w:ascii="Arial" w:hAnsi="Arial" w:cs="Arial"/>
          <w:sz w:val="22"/>
          <w:szCs w:val="22"/>
        </w:rPr>
        <w:t xml:space="preserve"> 73.55(r).</w:t>
      </w:r>
      <w:r w:rsidR="00F44E14">
        <w:rPr>
          <w:rFonts w:ascii="Arial" w:hAnsi="Arial" w:cs="Arial"/>
          <w:sz w:val="22"/>
          <w:szCs w:val="22"/>
        </w:rPr>
        <w:t xml:space="preserve"> </w:t>
      </w:r>
      <w:r w:rsidRPr="0051740C">
        <w:rPr>
          <w:rFonts w:ascii="Arial" w:hAnsi="Arial" w:cs="Arial"/>
          <w:sz w:val="22"/>
          <w:szCs w:val="22"/>
        </w:rPr>
        <w:t xml:space="preserve"> The burden for this requirement is included in each specific recordkeeping requirement.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C</w:t>
      </w:r>
      <w:r w:rsidRPr="0051740C">
        <w:rPr>
          <w:rFonts w:ascii="Arial" w:hAnsi="Arial"/>
          <w:sz w:val="22"/>
        </w:rPr>
        <w:t xml:space="preserve"> describes the specific requirements for the safeguards contingency plan required by Section</w:t>
      </w:r>
      <w:r>
        <w:rPr>
          <w:rFonts w:ascii="Arial" w:hAnsi="Arial"/>
          <w:sz w:val="22"/>
        </w:rPr>
        <w:t>s</w:t>
      </w:r>
      <w:r w:rsidRPr="0051740C">
        <w:rPr>
          <w:rFonts w:ascii="Arial" w:hAnsi="Arial"/>
          <w:sz w:val="22"/>
        </w:rPr>
        <w:t xml:space="preserve"> 73.20 and 73.55(c)(5). </w:t>
      </w:r>
      <w:r w:rsidR="00F44E14">
        <w:rPr>
          <w:rFonts w:ascii="Arial" w:hAnsi="Arial"/>
          <w:sz w:val="22"/>
        </w:rPr>
        <w:t xml:space="preserve"> </w:t>
      </w:r>
      <w:r w:rsidRPr="0051740C">
        <w:rPr>
          <w:rFonts w:ascii="Arial" w:hAnsi="Arial"/>
          <w:sz w:val="22"/>
        </w:rPr>
        <w:t xml:space="preserve">There </w:t>
      </w:r>
      <w:r w:rsidRPr="0051740C">
        <w:rPr>
          <w:rFonts w:ascii="Arial" w:hAnsi="Arial" w:cs="Arial"/>
          <w:sz w:val="22"/>
          <w:szCs w:val="22"/>
        </w:rPr>
        <w:t>are</w:t>
      </w:r>
      <w:r w:rsidRPr="0051740C">
        <w:rPr>
          <w:rFonts w:ascii="Arial" w:hAnsi="Arial"/>
          <w:sz w:val="22"/>
        </w:rPr>
        <w:t xml:space="preserve"> no additional information collections in Appendix 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G</w:t>
      </w:r>
      <w:r w:rsidRPr="0051740C">
        <w:rPr>
          <w:rFonts w:ascii="Arial" w:hAnsi="Arial"/>
          <w:sz w:val="22"/>
        </w:rPr>
        <w:t xml:space="preserve"> provides clarification of the requirements for reporting safeguards events.  Safeguards experience is a vehicle for providing licensees with feedback about the effectiveness of safeguards systems.  Some safeguards events require immediate response by the NRC.  Under </w:t>
      </w:r>
      <w:r>
        <w:rPr>
          <w:rFonts w:ascii="Arial" w:hAnsi="Arial"/>
          <w:sz w:val="22"/>
        </w:rPr>
        <w:t>Section</w:t>
      </w:r>
      <w:r w:rsidRPr="0051740C">
        <w:rPr>
          <w:rFonts w:ascii="Arial" w:hAnsi="Arial"/>
          <w:sz w:val="22"/>
        </w:rPr>
        <w:t xml:space="preserve"> 73.71, these events are required to be reported within 1 hour of detection of their occurrence to assure timely response by NRC regional and headquarters staff, followed by a written report within 60 days.  Other safeguards events, while of less significance, must be reported in order to determine trends in deficiencies in safeguards systems.  NRC has established a program for the collection and analysis of all pertinent safeguards data.  This data is immediately entered into the NRC data base and analysis is begun as soon as the data is entered.  Upon completion of the analysis, appropriate action and response are initiated.  In order to achieve program objectives, a standardized level of detail is required for the evaluation of safeguards events.  The </w:t>
      </w:r>
      <w:r w:rsidRPr="0051740C">
        <w:rPr>
          <w:rFonts w:ascii="Arial" w:hAnsi="Arial" w:cs="Arial"/>
          <w:sz w:val="22"/>
          <w:szCs w:val="22"/>
        </w:rPr>
        <w:t>results</w:t>
      </w:r>
      <w:r w:rsidRPr="0051740C">
        <w:rPr>
          <w:rFonts w:ascii="Arial" w:hAnsi="Arial"/>
          <w:sz w:val="22"/>
        </w:rPr>
        <w:t xml:space="preserve"> of the analyses are used to improve regulations for these facilities, for preparing for inspections, and to give feedback to licensees for improving their safeguards systems.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b/>
          <w:sz w:val="22"/>
          <w:u w:val="single"/>
        </w:rPr>
      </w:pPr>
      <w:r w:rsidRPr="0051740C">
        <w:rPr>
          <w:rFonts w:ascii="Arial" w:hAnsi="Arial"/>
          <w:b/>
          <w:sz w:val="22"/>
          <w:u w:val="single"/>
        </w:rPr>
        <w:t>Commission Orders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In addition to requirements in Part 73, the NRC has issued a number of Orders related to the physical security of plants and materials.  Unless otherwise specified, specific requirements of these Commission Orders are Safeguards Information and are prohibited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from public disclosure in accordance with the provisions of the Atomic Energy Act of 1954, as amended, Chapter 12, Section 147.</w:t>
      </w:r>
      <w:r w:rsidRPr="0051740C">
        <w:rPr>
          <w:rFonts w:ascii="Arial" w:hAnsi="Arial"/>
          <w:i/>
          <w:sz w:val="22"/>
        </w:rPr>
        <w:t xml:space="preserve"> </w:t>
      </w:r>
      <w:r w:rsidRPr="0051740C">
        <w:rPr>
          <w:rFonts w:ascii="Arial" w:hAnsi="Arial"/>
          <w:sz w:val="22"/>
        </w:rPr>
        <w:t xml:space="preserve"> While these orders remain in effect, most of the requirements contained in these orders have been superseded by recent rulemaking. The orders that still contain active information collections are as follows, in order of the date issued: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ind w:left="1800"/>
        <w:rPr>
          <w:rFonts w:ascii="Arial" w:hAnsi="Arial"/>
          <w:i/>
          <w:sz w:val="22"/>
        </w:rPr>
      </w:pPr>
      <w:r w:rsidRPr="0051740C">
        <w:rPr>
          <w:rFonts w:ascii="Arial" w:hAnsi="Arial" w:cs="Arial"/>
          <w:sz w:val="22"/>
          <w:szCs w:val="22"/>
          <w:u w:val="single"/>
        </w:rPr>
        <w:t>Confirmatory Action Letter (CAL),</w:t>
      </w:r>
      <w:r w:rsidRPr="0051740C">
        <w:rPr>
          <w:rFonts w:ascii="Arial" w:hAnsi="Arial" w:cs="Arial"/>
          <w:sz w:val="22"/>
          <w:szCs w:val="22"/>
        </w:rPr>
        <w:t xml:space="preserve"> dated October 28, 2002, requires research and test reactors (RTRs) to establish a physical security and access authorization program.  Requirements also include the collection, verification, maintenance, and protection of information not previously considered.  </w:t>
      </w:r>
      <w:r w:rsidRPr="0051740C">
        <w:rPr>
          <w:rFonts w:ascii="Arial" w:hAnsi="Arial"/>
          <w:i/>
          <w:sz w:val="22"/>
        </w:rPr>
        <w:t>This Confirmatory Action Letter includes ongoing requirements to report information and maintain records.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Agency Use of the Information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FB54C0" w:rsidRPr="00220C9E"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The information included in the applications, reports, and records is reviewed by the NRC staff to </w:t>
      </w:r>
      <w:r w:rsidRPr="00220C9E">
        <w:rPr>
          <w:rFonts w:ascii="Arial" w:hAnsi="Arial"/>
          <w:sz w:val="22"/>
        </w:rPr>
        <w:t>assess the adequacy of the applicant's physical plant, equipment, organization, training, experience, procedures, and plans for protection of public health and safety and the common defense and security.  The NRC review and the findings form the basis for NRC licensing decisions related to special nuclear material.</w:t>
      </w:r>
    </w:p>
    <w:p w:rsidR="00561639" w:rsidRPr="00220C9E" w:rsidRDefault="00561639"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561639" w:rsidRDefault="00561639"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220C9E">
        <w:rPr>
          <w:rFonts w:ascii="Arial" w:hAnsi="Arial"/>
          <w:sz w:val="22"/>
        </w:rPr>
        <w:t xml:space="preserve">The agency has developed a series of regulatory guides for materials and plant protections and provide guidance on how to meet the requirements above.  They can be found at </w:t>
      </w:r>
      <w:hyperlink r:id="rId12" w:history="1">
        <w:r w:rsidRPr="00220C9E">
          <w:rPr>
            <w:rStyle w:val="Hyperlink"/>
            <w:rFonts w:ascii="Arial" w:hAnsi="Arial"/>
            <w:sz w:val="22"/>
          </w:rPr>
          <w:t>http://www.nrc.gov/reading-rm/doc-collections/reg-guides/protection/rg/</w:t>
        </w:r>
      </w:hyperlink>
      <w:r w:rsidRPr="00220C9E">
        <w:rPr>
          <w:rFonts w:ascii="Arial" w:hAnsi="Arial"/>
          <w:sz w:val="22"/>
        </w:rPr>
        <w:t>.  Additionally, staff has worked with industry to develop a mutually-agreed upon template (NEI 03-12) to help ensure consistency in in the submittal of the plans described above.  The document is designated as safeguards information and, as such, is not publicly available.</w:t>
      </w:r>
      <w:r>
        <w:rPr>
          <w:rFonts w:ascii="Arial" w:hAnsi="Arial"/>
          <w:sz w:val="22"/>
        </w:rPr>
        <w:t xml:space="preserve">  </w:t>
      </w:r>
    </w:p>
    <w:p w:rsidR="00E12B3E" w:rsidRPr="0051740C" w:rsidRDefault="00E12B3E"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Reduction of Burden Through Information Technology</w:t>
      </w:r>
    </w:p>
    <w:p w:rsidR="00FB54C0" w:rsidRPr="0051740C" w:rsidRDefault="00FB54C0" w:rsidP="00FB54C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2% of the potential responses are submitted electronically.  However, all (100%) of fingerprint submissions from the 6</w:t>
      </w:r>
      <w:r>
        <w:rPr>
          <w:rFonts w:ascii="Arial" w:hAnsi="Arial"/>
          <w:sz w:val="22"/>
        </w:rPr>
        <w:t>1</w:t>
      </w:r>
      <w:r w:rsidRPr="0051740C">
        <w:rPr>
          <w:rFonts w:ascii="Arial" w:hAnsi="Arial"/>
          <w:sz w:val="22"/>
        </w:rPr>
        <w:t xml:space="preserve"> power reactor </w:t>
      </w:r>
      <w:r>
        <w:rPr>
          <w:rFonts w:ascii="Arial" w:hAnsi="Arial"/>
          <w:sz w:val="22"/>
        </w:rPr>
        <w:t>facilities</w:t>
      </w:r>
      <w:r w:rsidRPr="0051740C">
        <w:rPr>
          <w:rFonts w:ascii="Arial" w:hAnsi="Arial"/>
          <w:sz w:val="22"/>
        </w:rPr>
        <w:t xml:space="preserve"> </w:t>
      </w:r>
      <w:r>
        <w:rPr>
          <w:rFonts w:ascii="Arial" w:hAnsi="Arial"/>
          <w:sz w:val="22"/>
        </w:rPr>
        <w:t xml:space="preserve">and 4 decommissioning reactor facilities </w:t>
      </w:r>
      <w:r w:rsidRPr="0051740C">
        <w:rPr>
          <w:rFonts w:ascii="Arial" w:hAnsi="Arial"/>
          <w:sz w:val="22"/>
        </w:rPr>
        <w:t>are submitted electronically.  Other licensees continue to submit fingerprints through non</w:t>
      </w:r>
      <w:r w:rsidRPr="0051740C">
        <w:rPr>
          <w:rFonts w:ascii="Arial" w:hAnsi="Arial"/>
          <w:sz w:val="22"/>
        </w:rPr>
        <w:noBreakHyphen/>
        <w:t>electronic means.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Effort to Identify Duplication and Use Similar Information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ind w:left="1200"/>
        <w:rPr>
          <w:rFonts w:ascii="Arial" w:hAnsi="Arial"/>
          <w:sz w:val="22"/>
        </w:rPr>
      </w:pPr>
      <w:r w:rsidRPr="0051740C">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FB54C0" w:rsidRDefault="00FB54C0" w:rsidP="00FB54C0">
      <w:pPr>
        <w:widowControl w:val="0"/>
        <w:ind w:left="1200"/>
        <w:rPr>
          <w:rFonts w:ascii="Arial" w:hAnsi="Arial"/>
          <w:sz w:val="22"/>
        </w:rPr>
      </w:pPr>
    </w:p>
    <w:p w:rsidR="00FB54C0" w:rsidRPr="00FB6859" w:rsidRDefault="00FB54C0" w:rsidP="00FB54C0">
      <w:pPr>
        <w:widowControl w:val="0"/>
        <w:ind w:left="1200"/>
        <w:rPr>
          <w:rFonts w:ascii="Arial" w:hAnsi="Arial" w:cs="Arial"/>
          <w:sz w:val="22"/>
          <w:szCs w:val="22"/>
        </w:rPr>
      </w:pPr>
      <w:r w:rsidRPr="00FB6859">
        <w:rPr>
          <w:rFonts w:ascii="Arial" w:hAnsi="Arial" w:cs="Arial"/>
          <w:sz w:val="22"/>
          <w:szCs w:val="22"/>
        </w:rPr>
        <w:t xml:space="preserve">Section 73.38(d) eliminates duplication by specifying that background investigations do not apply to Federal, State or local law enforcement personnel who are performing escort duties.  </w:t>
      </w:r>
    </w:p>
    <w:p w:rsidR="00FB54C0" w:rsidRPr="00FB6859" w:rsidRDefault="00FB54C0" w:rsidP="00FB54C0">
      <w:pPr>
        <w:widowControl w:val="0"/>
        <w:ind w:left="1200"/>
        <w:rPr>
          <w:rFonts w:ascii="Arial" w:hAnsi="Arial" w:cs="Arial"/>
          <w:sz w:val="22"/>
          <w:szCs w:val="22"/>
        </w:rPr>
      </w:pPr>
    </w:p>
    <w:p w:rsidR="00FB54C0" w:rsidRPr="00FB6859" w:rsidRDefault="00FB54C0" w:rsidP="00FB54C0">
      <w:pPr>
        <w:ind w:left="1200"/>
        <w:rPr>
          <w:rFonts w:ascii="Arial" w:hAnsi="Arial" w:cs="Arial"/>
          <w:sz w:val="22"/>
          <w:szCs w:val="22"/>
        </w:rPr>
      </w:pPr>
      <w:r w:rsidRPr="00FB6859">
        <w:rPr>
          <w:rFonts w:ascii="Arial" w:hAnsi="Arial" w:cs="Arial"/>
          <w:sz w:val="22"/>
          <w:szCs w:val="22"/>
        </w:rPr>
        <w:t>Section 73.38(g) eliminates duplication by specifying that individuals who have a valid unescorted access authorization pursuant to an NRC order or regulation within 5 years of the effective date of the SNF in transit final will not be required to have a new fingerprint-based FBI criminal history records check.</w:t>
      </w:r>
    </w:p>
    <w:p w:rsidR="00FB54C0" w:rsidRPr="0051740C" w:rsidRDefault="00FB54C0" w:rsidP="00FB54C0">
      <w:pPr>
        <w:widowControl w:val="0"/>
        <w:ind w:left="12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Effort to Reduce Small Business Burden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Some of the licensees who use special nuclear material are small businesses.  Since the consequences to the common defense and security or to the health and safety of the public of inadequate safeguards for special nuclear material are the same for large and small entities, it is not possible to reduce the burden on small businesses by less frequent or less complete reports, records, plans, and procedures.</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Default="00FB54C0" w:rsidP="00FB54C0">
      <w:pPr>
        <w:ind w:left="1200"/>
        <w:rPr>
          <w:rFonts w:ascii="Arial" w:hAnsi="Arial" w:cs="Arial"/>
          <w:sz w:val="22"/>
          <w:szCs w:val="22"/>
        </w:rPr>
      </w:pPr>
      <w:r>
        <w:rPr>
          <w:rFonts w:ascii="Arial" w:hAnsi="Arial" w:cs="Arial"/>
          <w:sz w:val="22"/>
          <w:szCs w:val="22"/>
        </w:rPr>
        <w:lastRenderedPageBreak/>
        <w:t xml:space="preserve">The burden of the requirements is directly related to the number of individuals that a licensee seeks to grant unescorted access.  The NRC has determined that only one </w:t>
      </w:r>
      <w:proofErr w:type="spellStart"/>
      <w:r>
        <w:rPr>
          <w:rFonts w:ascii="Arial" w:hAnsi="Arial" w:cs="Arial"/>
          <w:sz w:val="22"/>
          <w:szCs w:val="22"/>
        </w:rPr>
        <w:t>nonpower</w:t>
      </w:r>
      <w:proofErr w:type="spellEnd"/>
      <w:r>
        <w:rPr>
          <w:rFonts w:ascii="Arial" w:hAnsi="Arial" w:cs="Arial"/>
          <w:sz w:val="22"/>
          <w:szCs w:val="22"/>
        </w:rPr>
        <w:t xml:space="preserve"> reactor licensee, </w:t>
      </w:r>
      <w:proofErr w:type="spellStart"/>
      <w:r>
        <w:rPr>
          <w:rFonts w:ascii="Arial" w:hAnsi="Arial" w:cs="Arial"/>
          <w:sz w:val="22"/>
          <w:szCs w:val="22"/>
        </w:rPr>
        <w:t>Aerotest</w:t>
      </w:r>
      <w:proofErr w:type="spellEnd"/>
      <w:r>
        <w:rPr>
          <w:rFonts w:ascii="Arial" w:hAnsi="Arial" w:cs="Arial"/>
          <w:sz w:val="22"/>
          <w:szCs w:val="22"/>
        </w:rPr>
        <w:t xml:space="preserve"> Operations, Inc., falls within the scope of the definition of “small entities” set forth in the size standards established by the NRC (10 CFR 2.810), and that this licensee has substantially fewer employees than the other affected licensees.  Consequently, even if the licensee sought unescorted access for every employee, the burden of the requirements would be substantially reduced relative to the other licensees.  Although the licensee qualifies as a small entity, the licensee’s reactor falls close to the middle of the range for </w:t>
      </w:r>
      <w:proofErr w:type="spellStart"/>
      <w:r>
        <w:rPr>
          <w:rFonts w:ascii="Arial" w:hAnsi="Arial" w:cs="Arial"/>
          <w:sz w:val="22"/>
          <w:szCs w:val="22"/>
        </w:rPr>
        <w:t>nonpower</w:t>
      </w:r>
      <w:proofErr w:type="spellEnd"/>
      <w:r>
        <w:rPr>
          <w:rFonts w:ascii="Arial" w:hAnsi="Arial" w:cs="Arial"/>
          <w:sz w:val="22"/>
          <w:szCs w:val="22"/>
        </w:rPr>
        <w:t xml:space="preserve"> reactors with respect to power rating.  Therefore, it would be inappropriate, from a risk perspective, to further reduce the requirements applicable to affected small entities.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Consequences to Federal Program or Policy Activities if the Collection is Not Conducted or is Conducted Less Frequently</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If the information collection was not conducted or was conducted less frequently, the NRC would not be notified in time to provide rapid response and quick assistance in achieving timely resolution of safeguards events.  Reports are submitted and evaluated as events occur.  Applications for new licenses and amendments may be submitted at any time.  License renewal of fuel cycle facility licenses can be for terms up to 10 years.  Information submitted in previous applications may be referenced without being resubmitted.</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hanging="475"/>
        <w:rPr>
          <w:rFonts w:ascii="Arial" w:hAnsi="Arial"/>
          <w:sz w:val="22"/>
        </w:rPr>
      </w:pPr>
      <w:r w:rsidRPr="0051740C">
        <w:rPr>
          <w:rFonts w:ascii="Arial" w:hAnsi="Arial"/>
          <w:sz w:val="22"/>
          <w:u w:val="single"/>
        </w:rPr>
        <w:t>Circumstances Which Justify Variation from OMB Guidelines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Certain sections of Part 73 vary from the OMB Guidelines by requiring that licensees submit reports to the NRC in less than 30 days.  Sections 73.26, 73.27, 73.37, 73.67, and 73.71 require immediate notifications to response forces, NRC, and local law enforcement authorities, communications between convoys and movement control centers, and immediate notifications of consignees and shippers.  These notification requirements are needed to permit response forces, NRC, law enforcement authorities, shippers, and consignees to confirm the integrity of shipments or to determine whether there has been a loss or diversion of special nuclear material and to initiate prompt action for recovery of such material.</w:t>
      </w:r>
      <w:r>
        <w:rPr>
          <w:rFonts w:ascii="Arial" w:hAnsi="Arial"/>
          <w:sz w:val="22"/>
        </w:rPr>
        <w:t xml:space="preserve">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Certain other sections of Part 73 vary from the OMB Guidelines by requiring that licensees retain records for more than 3 years.  Various sections require retention of records for 5 years, or for extended periods such as duration of possession of the material, duration of employment, or 5 years after termination of access authorization.  These requirements are necessary to ensure that procedures for handling and safeguarding nuclear materials are available throughout the period in which the licensee possesses the material or operates the facility.  Other records are required for inspection or for reconstruction of events in the event of a safeguards incident.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Consultations Outside the NRC</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 xml:space="preserve">Opportunity for </w:t>
      </w:r>
      <w:r w:rsidRPr="002C6BD0">
        <w:rPr>
          <w:rFonts w:ascii="Arial" w:hAnsi="Arial" w:cs="Arial"/>
          <w:sz w:val="22"/>
          <w:szCs w:val="22"/>
        </w:rPr>
        <w:t xml:space="preserve">public comment on the information collection requirements for this clearance package was published in the Federal Register on October 6, 2014 (79 FR 60188).  </w:t>
      </w:r>
      <w:r w:rsidR="001831BF">
        <w:rPr>
          <w:rFonts w:ascii="Arial" w:hAnsi="Arial" w:cs="Arial"/>
          <w:sz w:val="22"/>
          <w:szCs w:val="22"/>
        </w:rPr>
        <w:t xml:space="preserve">Further, the agency consulted with fewer than nine members of the public concerning the proposed collection of information.  </w:t>
      </w:r>
      <w:r w:rsidRPr="002C6BD0">
        <w:rPr>
          <w:rFonts w:ascii="Arial" w:hAnsi="Arial" w:cs="Arial"/>
          <w:sz w:val="22"/>
          <w:szCs w:val="22"/>
        </w:rPr>
        <w:t>No comments were received.</w:t>
      </w:r>
    </w:p>
    <w:p w:rsidR="00220C9E" w:rsidRDefault="00220C9E">
      <w:pPr>
        <w:rPr>
          <w:rFonts w:ascii="Arial" w:hAnsi="Arial"/>
          <w:sz w:val="22"/>
        </w:rPr>
      </w:pPr>
      <w:r>
        <w:rPr>
          <w:rFonts w:ascii="Arial" w:hAnsi="Arial"/>
          <w:sz w:val="22"/>
        </w:rPr>
        <w:br w:type="page"/>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Payment or Gift to Respondents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Not applicable.</w:t>
      </w:r>
    </w:p>
    <w:p w:rsidR="00F44E14" w:rsidRPr="0051740C" w:rsidRDefault="00F44E14"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Confidentiality of Information</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ind w:left="1200"/>
        <w:rPr>
          <w:rFonts w:ascii="Arial" w:hAnsi="Arial"/>
          <w:sz w:val="22"/>
        </w:rPr>
      </w:pPr>
      <w:r w:rsidRPr="0051740C">
        <w:rPr>
          <w:rFonts w:ascii="Arial" w:hAnsi="Arial"/>
          <w:sz w:val="22"/>
        </w:rPr>
        <w:t>Confidential and proprietary information is protected in accordance with NRC regulations at 10 CFR 9.17(a) and 10 CFR 2.390(b).</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Certain information designated as Safeguards Information is prohibited from public disclosure in accordance with the provisions of the Atomic Energy Act of 1954, as amended, Chapter 12, Section 147, or designated as classified National Security Information, in accordance with Executive Order 12958.</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Default="00FB54C0" w:rsidP="00FB54C0">
      <w:pPr>
        <w:ind w:left="1200"/>
        <w:rPr>
          <w:rFonts w:ascii="Arial" w:hAnsi="Arial" w:cs="Arial"/>
          <w:sz w:val="22"/>
          <w:szCs w:val="22"/>
        </w:rPr>
      </w:pPr>
      <w:r>
        <w:rPr>
          <w:rFonts w:ascii="Arial" w:hAnsi="Arial" w:cs="Arial"/>
          <w:sz w:val="22"/>
          <w:szCs w:val="22"/>
        </w:rPr>
        <w:t>Section 73.57(f)(2) addresses confidentiality and protection of information regarding individual criminal history records:</w:t>
      </w:r>
    </w:p>
    <w:p w:rsidR="00FB54C0" w:rsidRDefault="00FB54C0" w:rsidP="00FB54C0">
      <w:pPr>
        <w:ind w:left="1200"/>
        <w:rPr>
          <w:rFonts w:ascii="Arial" w:hAnsi="Arial" w:cs="Arial"/>
          <w:sz w:val="22"/>
          <w:szCs w:val="22"/>
        </w:rPr>
      </w:pPr>
    </w:p>
    <w:p w:rsidR="00FB54C0" w:rsidRDefault="00FB54C0" w:rsidP="00FB54C0">
      <w:pPr>
        <w:ind w:left="2280" w:right="720"/>
        <w:rPr>
          <w:rFonts w:ascii="Arial" w:hAnsi="Arial" w:cs="Arial"/>
          <w:sz w:val="22"/>
          <w:szCs w:val="22"/>
        </w:rPr>
      </w:pPr>
      <w:r>
        <w:rPr>
          <w:rFonts w:ascii="Arial" w:hAnsi="Arial" w:cs="Arial"/>
          <w:sz w:val="22"/>
          <w:szCs w:val="22"/>
        </w:rPr>
        <w:t xml:space="preserve">“The licensee may not disclose the record or personal information collected and maintained to persons other than the subject individual, his/her representative, or to those who have a need to have access to the information in performing assigned duties in the process of granting or denying unescorted access to the nuclear power facility, the </w:t>
      </w:r>
      <w:proofErr w:type="spellStart"/>
      <w:r>
        <w:rPr>
          <w:rFonts w:ascii="Arial" w:hAnsi="Arial" w:cs="Arial"/>
          <w:sz w:val="22"/>
          <w:szCs w:val="22"/>
        </w:rPr>
        <w:t>nonpower</w:t>
      </w:r>
      <w:proofErr w:type="spellEnd"/>
      <w:r>
        <w:rPr>
          <w:rFonts w:ascii="Arial" w:hAnsi="Arial" w:cs="Arial"/>
          <w:sz w:val="22"/>
          <w:szCs w:val="22"/>
        </w:rPr>
        <w:t xml:space="preserve"> reactor or access to Safeguards Information.  No individual authorized to have access to the information may re</w:t>
      </w:r>
      <w:r>
        <w:rPr>
          <w:rFonts w:ascii="Arial" w:hAnsi="Arial" w:cs="Arial"/>
          <w:sz w:val="22"/>
          <w:szCs w:val="22"/>
        </w:rPr>
        <w:noBreakHyphen/>
        <w:t>disseminate the information to any other individual who does not have a need to know.” </w:t>
      </w:r>
    </w:p>
    <w:p w:rsidR="00FB54C0" w:rsidRDefault="00FB54C0" w:rsidP="00FB54C0">
      <w:pPr>
        <w:rPr>
          <w:rFonts w:ascii="Arial" w:hAnsi="Arial" w:cs="Arial"/>
          <w:sz w:val="22"/>
          <w:szCs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Justification for Sensitive Questions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information required by Part 73 to be reported, collected and maintained consists of sensitive information which could be used by unauthorized personnel to gain unauthorized access to a site which could constitute an unreasonable risk to the public health and safety.  The NRC needs this information to assess the adequacy of the licensee's planned system in meeting regulatory requirements, determine with reasonable assurance that the physical protection system operates in accordance with the regulatory requirements, and to respond to, investigate, and correct situations which adversely affect public health and safety or the common defense and security.</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Default="00FB54C0" w:rsidP="00FB54C0">
      <w:pPr>
        <w:keepNext/>
        <w:ind w:left="1200"/>
        <w:rPr>
          <w:rFonts w:ascii="Arial" w:hAnsi="Arial" w:cs="Arial"/>
          <w:sz w:val="22"/>
          <w:szCs w:val="22"/>
        </w:rPr>
      </w:pPr>
      <w:r>
        <w:rPr>
          <w:rFonts w:ascii="Arial" w:hAnsi="Arial" w:cs="Arial"/>
          <w:sz w:val="22"/>
          <w:szCs w:val="22"/>
        </w:rPr>
        <w:t xml:space="preserve">Part 73 requires licensees to obtain criminal history records about individuals who are applying for or currently possess unescorted access to a nuclear power facility or a </w:t>
      </w:r>
      <w:proofErr w:type="spellStart"/>
      <w:r>
        <w:rPr>
          <w:rFonts w:ascii="Arial" w:hAnsi="Arial" w:cs="Arial"/>
          <w:sz w:val="22"/>
          <w:szCs w:val="22"/>
        </w:rPr>
        <w:t>nonpower</w:t>
      </w:r>
      <w:proofErr w:type="spellEnd"/>
      <w:r>
        <w:rPr>
          <w:rFonts w:ascii="Arial" w:hAnsi="Arial" w:cs="Arial"/>
          <w:sz w:val="22"/>
          <w:szCs w:val="22"/>
        </w:rPr>
        <w:t xml:space="preserve"> reactor.  This sensitive information is necessary because the licensees need to determine whether the individual is qualified to gain and maintain unescorted access to the site.  Reviewing officials use the sensitive information to evaluate an individual’s trustworthiness and reliability.  Licensees must inform any affected individual that the fingerprints will be used to secure a review of his/her criminal history record, and inform the individual of proper procedures for challenging or explaining the record.  To protect this sensitive information, each licensee must establish and maintain a system of files and procedures to protect the personal information.</w:t>
      </w:r>
    </w:p>
    <w:p w:rsidR="00220C9E" w:rsidRDefault="00220C9E">
      <w:pPr>
        <w:rPr>
          <w:rFonts w:ascii="Arial" w:hAnsi="Arial"/>
          <w:sz w:val="22"/>
        </w:rPr>
      </w:pPr>
      <w:r>
        <w:rPr>
          <w:rFonts w:ascii="Arial" w:hAnsi="Arial"/>
          <w:sz w:val="22"/>
        </w:rPr>
        <w:br w:type="page"/>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Estimated Burden and Burden Hour Cost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estimated burden is based on:</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Pr>
          <w:rFonts w:ascii="Arial" w:hAnsi="Arial"/>
          <w:sz w:val="22"/>
        </w:rPr>
        <w:t>3</w:t>
      </w:r>
      <w:r w:rsidRPr="0051740C">
        <w:rPr>
          <w:rFonts w:ascii="Arial" w:hAnsi="Arial"/>
          <w:sz w:val="22"/>
        </w:rPr>
        <w:t xml:space="preserve"> Category I fuel facilities,</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20 Category II and III facilities,</w:t>
      </w:r>
    </w:p>
    <w:p w:rsidR="00FB54C0"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6</w:t>
      </w:r>
      <w:r>
        <w:rPr>
          <w:rFonts w:ascii="Arial" w:hAnsi="Arial"/>
          <w:sz w:val="22"/>
        </w:rPr>
        <w:t>1</w:t>
      </w:r>
      <w:r w:rsidRPr="0051740C">
        <w:rPr>
          <w:rFonts w:ascii="Arial" w:hAnsi="Arial"/>
          <w:sz w:val="22"/>
        </w:rPr>
        <w:t xml:space="preserve"> power reactor facilities,</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Pr>
          <w:rFonts w:ascii="Arial" w:hAnsi="Arial"/>
          <w:sz w:val="22"/>
        </w:rPr>
        <w:t>4 decommissioning reactor facilities,</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31 research and test reactors, and</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262 other nuclear materials licensees.</w:t>
      </w:r>
    </w:p>
    <w:p w:rsidR="00FB54C0" w:rsidRPr="0051740C" w:rsidRDefault="00FB54C0" w:rsidP="00FB54C0">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200 state contacts</w:t>
      </w:r>
    </w:p>
    <w:p w:rsidR="00FB54C0" w:rsidRPr="0051740C" w:rsidRDefault="00FB54C0" w:rsidP="00FB54C0">
      <w:pPr>
        <w:widowControl w:val="0"/>
        <w:tabs>
          <w:tab w:val="left" w:pos="6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Category I licensees possess formula quantities of strategic SSNM and Category II and III are licensees that possess moderate and low formula quantities of SNM, respectively.  The estimated number of annual respondents is 5</w:t>
      </w:r>
      <w:r>
        <w:rPr>
          <w:rFonts w:ascii="Arial" w:hAnsi="Arial"/>
          <w:sz w:val="22"/>
        </w:rPr>
        <w:t>81</w:t>
      </w:r>
      <w:r w:rsidRPr="0051740C">
        <w:rPr>
          <w:rFonts w:ascii="Arial" w:hAnsi="Arial"/>
          <w:sz w:val="22"/>
        </w:rPr>
        <w: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overall estimated annual burden is 5</w:t>
      </w:r>
      <w:r>
        <w:rPr>
          <w:rFonts w:ascii="Arial" w:hAnsi="Arial"/>
          <w:sz w:val="22"/>
        </w:rPr>
        <w:t>43</w:t>
      </w:r>
      <w:r w:rsidRPr="0051740C">
        <w:rPr>
          <w:rFonts w:ascii="Arial" w:hAnsi="Arial"/>
          <w:sz w:val="22"/>
        </w:rPr>
        <w:t>,</w:t>
      </w:r>
      <w:r>
        <w:rPr>
          <w:rFonts w:ascii="Arial" w:hAnsi="Arial"/>
          <w:sz w:val="22"/>
        </w:rPr>
        <w:t>443</w:t>
      </w:r>
      <w:r w:rsidRPr="0051740C">
        <w:rPr>
          <w:rFonts w:ascii="Arial" w:hAnsi="Arial"/>
          <w:sz w:val="22"/>
        </w:rPr>
        <w:t xml:space="preserve"> hours at an estimated annual cost of $</w:t>
      </w:r>
      <w:r>
        <w:rPr>
          <w:rFonts w:ascii="Arial" w:hAnsi="Arial"/>
          <w:sz w:val="22"/>
        </w:rPr>
        <w:t>147</w:t>
      </w:r>
      <w:r w:rsidRPr="0051740C">
        <w:rPr>
          <w:rFonts w:ascii="Arial" w:hAnsi="Arial"/>
          <w:sz w:val="22"/>
        </w:rPr>
        <w:t>,</w:t>
      </w:r>
      <w:r>
        <w:rPr>
          <w:rFonts w:ascii="Arial" w:hAnsi="Arial"/>
          <w:sz w:val="22"/>
        </w:rPr>
        <w:t>816</w:t>
      </w:r>
      <w:r w:rsidRPr="0051740C">
        <w:rPr>
          <w:rFonts w:ascii="Arial" w:hAnsi="Arial"/>
          <w:sz w:val="22"/>
        </w:rPr>
        <w:t>,</w:t>
      </w:r>
      <w:r>
        <w:rPr>
          <w:rFonts w:ascii="Arial" w:hAnsi="Arial"/>
          <w:sz w:val="22"/>
        </w:rPr>
        <w:t>496</w:t>
      </w:r>
      <w:r w:rsidRPr="0051740C">
        <w:rPr>
          <w:rFonts w:ascii="Arial" w:hAnsi="Arial"/>
          <w:sz w:val="22"/>
        </w:rPr>
        <w:t xml:space="preserve"> (5</w:t>
      </w:r>
      <w:r>
        <w:rPr>
          <w:rFonts w:ascii="Arial" w:hAnsi="Arial"/>
          <w:sz w:val="22"/>
        </w:rPr>
        <w:t>43</w:t>
      </w:r>
      <w:r w:rsidRPr="0051740C">
        <w:rPr>
          <w:rFonts w:ascii="Arial" w:hAnsi="Arial"/>
          <w:sz w:val="22"/>
        </w:rPr>
        <w:t>,</w:t>
      </w:r>
      <w:r>
        <w:rPr>
          <w:rFonts w:ascii="Arial" w:hAnsi="Arial"/>
          <w:sz w:val="22"/>
        </w:rPr>
        <w:t>443</w:t>
      </w:r>
      <w:r w:rsidRPr="0051740C">
        <w:rPr>
          <w:rFonts w:ascii="Arial" w:hAnsi="Arial"/>
          <w:sz w:val="22"/>
        </w:rPr>
        <w:t xml:space="preserve"> </w:t>
      </w:r>
      <w:proofErr w:type="spellStart"/>
      <w:r w:rsidRPr="0051740C">
        <w:rPr>
          <w:rFonts w:ascii="Arial" w:hAnsi="Arial"/>
          <w:sz w:val="22"/>
        </w:rPr>
        <w:t>hrs</w:t>
      </w:r>
      <w:proofErr w:type="spellEnd"/>
      <w:r w:rsidRPr="0051740C">
        <w:rPr>
          <w:rFonts w:ascii="Arial" w:hAnsi="Arial"/>
          <w:sz w:val="22"/>
        </w:rPr>
        <w:t xml:space="preserve"> x $2</w:t>
      </w:r>
      <w:r>
        <w:rPr>
          <w:rFonts w:ascii="Arial" w:hAnsi="Arial"/>
          <w:sz w:val="22"/>
        </w:rPr>
        <w:t>72</w:t>
      </w:r>
      <w:r w:rsidRPr="0051740C">
        <w:rPr>
          <w:rFonts w:ascii="Arial" w:hAnsi="Arial"/>
          <w:sz w:val="22"/>
        </w:rPr>
        <w:t>/</w:t>
      </w:r>
      <w:proofErr w:type="spellStart"/>
      <w:r w:rsidRPr="0051740C">
        <w:rPr>
          <w:rFonts w:ascii="Arial" w:hAnsi="Arial"/>
          <w:sz w:val="22"/>
        </w:rPr>
        <w:t>hr</w:t>
      </w:r>
      <w:proofErr w:type="spellEnd"/>
      <w:r w:rsidRPr="0051740C">
        <w:rPr>
          <w:rFonts w:ascii="Arial" w:hAnsi="Arial"/>
          <w:sz w:val="22"/>
        </w:rPr>
        <w:t>).  This includes 2</w:t>
      </w:r>
      <w:r>
        <w:rPr>
          <w:rFonts w:ascii="Arial" w:hAnsi="Arial"/>
          <w:sz w:val="22"/>
        </w:rPr>
        <w:t>1</w:t>
      </w:r>
      <w:r w:rsidRPr="0051740C">
        <w:rPr>
          <w:rFonts w:ascii="Arial" w:hAnsi="Arial"/>
          <w:sz w:val="22"/>
        </w:rPr>
        <w:t>,</w:t>
      </w:r>
      <w:r>
        <w:rPr>
          <w:rFonts w:ascii="Arial" w:hAnsi="Arial"/>
          <w:sz w:val="22"/>
        </w:rPr>
        <w:t>255</w:t>
      </w:r>
      <w:r w:rsidRPr="0051740C">
        <w:rPr>
          <w:rFonts w:ascii="Arial" w:hAnsi="Arial"/>
          <w:sz w:val="22"/>
        </w:rPr>
        <w:t xml:space="preserve"> hours for reporting</w:t>
      </w:r>
      <w:r>
        <w:rPr>
          <w:rFonts w:ascii="Arial" w:hAnsi="Arial"/>
          <w:sz w:val="22"/>
        </w:rPr>
        <w:t>;</w:t>
      </w:r>
      <w:r w:rsidRPr="0051740C">
        <w:rPr>
          <w:rFonts w:ascii="Arial" w:hAnsi="Arial"/>
          <w:sz w:val="22"/>
        </w:rPr>
        <w:t xml:space="preserve"> 3</w:t>
      </w:r>
      <w:r>
        <w:rPr>
          <w:rFonts w:ascii="Arial" w:hAnsi="Arial"/>
          <w:sz w:val="22"/>
        </w:rPr>
        <w:t>5</w:t>
      </w:r>
      <w:r w:rsidRPr="0051740C">
        <w:rPr>
          <w:rFonts w:ascii="Arial" w:hAnsi="Arial"/>
          <w:sz w:val="22"/>
        </w:rPr>
        <w:t>,</w:t>
      </w:r>
      <w:r>
        <w:rPr>
          <w:rFonts w:ascii="Arial" w:hAnsi="Arial"/>
          <w:sz w:val="22"/>
        </w:rPr>
        <w:t>442</w:t>
      </w:r>
      <w:r w:rsidRPr="0051740C">
        <w:rPr>
          <w:rFonts w:ascii="Arial" w:hAnsi="Arial"/>
          <w:sz w:val="22"/>
        </w:rPr>
        <w:t xml:space="preserve"> hours for third-party notification</w:t>
      </w:r>
      <w:r>
        <w:rPr>
          <w:rFonts w:ascii="Arial" w:hAnsi="Arial"/>
          <w:sz w:val="22"/>
        </w:rPr>
        <w:t>;</w:t>
      </w:r>
      <w:r w:rsidRPr="0051740C">
        <w:rPr>
          <w:rFonts w:ascii="Arial" w:hAnsi="Arial"/>
          <w:sz w:val="22"/>
        </w:rPr>
        <w:t xml:space="preserve"> and </w:t>
      </w:r>
      <w:r>
        <w:rPr>
          <w:rFonts w:ascii="Arial" w:hAnsi="Arial"/>
          <w:sz w:val="22"/>
        </w:rPr>
        <w:t>486</w:t>
      </w:r>
      <w:r w:rsidRPr="0051740C">
        <w:rPr>
          <w:rFonts w:ascii="Arial" w:hAnsi="Arial" w:cs="Arial"/>
          <w:sz w:val="22"/>
          <w:szCs w:val="22"/>
        </w:rPr>
        <w:t>,</w:t>
      </w:r>
      <w:r>
        <w:rPr>
          <w:rFonts w:ascii="Arial" w:hAnsi="Arial" w:cs="Arial"/>
          <w:sz w:val="22"/>
          <w:szCs w:val="22"/>
        </w:rPr>
        <w:t>746</w:t>
      </w:r>
      <w:r w:rsidRPr="0051740C">
        <w:rPr>
          <w:rFonts w:ascii="Arial" w:hAnsi="Arial" w:cs="Arial"/>
          <w:sz w:val="22"/>
          <w:szCs w:val="22"/>
        </w:rPr>
        <w:t xml:space="preserve"> </w:t>
      </w:r>
      <w:r w:rsidRPr="0051740C">
        <w:rPr>
          <w:rFonts w:ascii="Arial" w:hAnsi="Arial"/>
          <w:sz w:val="22"/>
        </w:rPr>
        <w:t>hours for recordkeeping.  See burden tables.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5"/>
        <w:jc w:val="center"/>
        <w:rPr>
          <w:rFonts w:ascii="Arial" w:hAnsi="Arial"/>
          <w:b/>
          <w:sz w:val="22"/>
          <w:szCs w:val="22"/>
        </w:rPr>
      </w:pPr>
      <w:r w:rsidRPr="0051740C">
        <w:rPr>
          <w:rFonts w:ascii="Arial" w:hAnsi="Arial"/>
          <w:b/>
          <w:sz w:val="22"/>
          <w:szCs w:val="22"/>
        </w:rPr>
        <w:t>Burden Summary</w:t>
      </w:r>
    </w:p>
    <w:tbl>
      <w:tblPr>
        <w:tblW w:w="8726" w:type="dxa"/>
        <w:tblInd w:w="1364" w:type="dxa"/>
        <w:tblLook w:val="04A0" w:firstRow="1" w:lastRow="0" w:firstColumn="1" w:lastColumn="0" w:noHBand="0" w:noVBand="1"/>
      </w:tblPr>
      <w:tblGrid>
        <w:gridCol w:w="895"/>
        <w:gridCol w:w="2618"/>
        <w:gridCol w:w="2089"/>
        <w:gridCol w:w="1562"/>
        <w:gridCol w:w="1562"/>
      </w:tblGrid>
      <w:tr w:rsidR="00FB54C0" w:rsidRPr="0051740C" w:rsidTr="00F44E14">
        <w:trPr>
          <w:trHeight w:val="315"/>
        </w:trPr>
        <w:tc>
          <w:tcPr>
            <w:tcW w:w="895" w:type="dxa"/>
            <w:tcBorders>
              <w:top w:val="single" w:sz="8" w:space="0" w:color="auto"/>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b/>
                <w:bCs/>
                <w:color w:val="000000"/>
                <w:sz w:val="22"/>
                <w:szCs w:val="22"/>
              </w:rPr>
            </w:pPr>
            <w:r w:rsidRPr="0051740C">
              <w:rPr>
                <w:rFonts w:ascii="Arial" w:hAnsi="Arial"/>
                <w:b/>
                <w:bCs/>
                <w:color w:val="000000"/>
                <w:sz w:val="22"/>
                <w:szCs w:val="22"/>
              </w:rPr>
              <w:t>Table</w:t>
            </w:r>
          </w:p>
        </w:tc>
        <w:tc>
          <w:tcPr>
            <w:tcW w:w="26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jc w:val="center"/>
              <w:rPr>
                <w:rFonts w:ascii="Arial" w:hAnsi="Arial" w:cs="Arial"/>
                <w:b/>
                <w:bCs/>
                <w:color w:val="000000"/>
                <w:sz w:val="22"/>
                <w:szCs w:val="22"/>
              </w:rPr>
            </w:pPr>
            <w:r w:rsidRPr="0051740C">
              <w:rPr>
                <w:rFonts w:ascii="Arial" w:hAnsi="Arial" w:cs="Arial"/>
                <w:b/>
                <w:bCs/>
                <w:color w:val="000000"/>
                <w:sz w:val="22"/>
                <w:szCs w:val="22"/>
              </w:rPr>
              <w:t>Title</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B54C0" w:rsidRPr="0051740C" w:rsidRDefault="00FB54C0" w:rsidP="00F44E14">
            <w:pPr>
              <w:jc w:val="center"/>
              <w:rPr>
                <w:rFonts w:ascii="Arial" w:hAnsi="Arial" w:cs="Arial"/>
                <w:b/>
                <w:bCs/>
                <w:color w:val="000000"/>
                <w:sz w:val="22"/>
                <w:szCs w:val="22"/>
              </w:rPr>
            </w:pPr>
            <w:r w:rsidRPr="0051740C">
              <w:rPr>
                <w:rFonts w:ascii="Arial" w:hAnsi="Arial"/>
                <w:b/>
                <w:bCs/>
                <w:color w:val="000000"/>
                <w:sz w:val="22"/>
                <w:szCs w:val="22"/>
              </w:rPr>
              <w:t>Responses</w:t>
            </w:r>
          </w:p>
        </w:tc>
        <w:tc>
          <w:tcPr>
            <w:tcW w:w="1562" w:type="dxa"/>
            <w:tcBorders>
              <w:top w:val="single" w:sz="8" w:space="0" w:color="000000"/>
              <w:left w:val="single" w:sz="8" w:space="0" w:color="000000"/>
              <w:bottom w:val="single" w:sz="8" w:space="0" w:color="000000"/>
              <w:right w:val="single" w:sz="8" w:space="0" w:color="000000"/>
            </w:tcBorders>
            <w:vAlign w:val="center"/>
          </w:tcPr>
          <w:p w:rsidR="00FB54C0" w:rsidRPr="0051740C" w:rsidRDefault="00FB54C0" w:rsidP="00F44E14">
            <w:pPr>
              <w:jc w:val="center"/>
              <w:rPr>
                <w:rFonts w:ascii="Arial" w:hAnsi="Arial" w:cs="Arial"/>
                <w:b/>
                <w:bCs/>
                <w:color w:val="000000"/>
                <w:sz w:val="22"/>
                <w:szCs w:val="22"/>
              </w:rPr>
            </w:pPr>
            <w:r w:rsidRPr="0051740C">
              <w:rPr>
                <w:rFonts w:ascii="Arial" w:hAnsi="Arial"/>
                <w:b/>
                <w:bCs/>
                <w:color w:val="000000"/>
                <w:sz w:val="22"/>
                <w:szCs w:val="22"/>
              </w:rPr>
              <w:t>Hours</w:t>
            </w:r>
          </w:p>
        </w:tc>
        <w:tc>
          <w:tcPr>
            <w:tcW w:w="1562" w:type="dxa"/>
            <w:tcBorders>
              <w:top w:val="single" w:sz="8" w:space="0" w:color="000000"/>
              <w:left w:val="single" w:sz="8" w:space="0" w:color="000000"/>
              <w:bottom w:val="single" w:sz="8" w:space="0" w:color="000000"/>
              <w:right w:val="single" w:sz="8" w:space="0" w:color="000000"/>
            </w:tcBorders>
            <w:vAlign w:val="center"/>
          </w:tcPr>
          <w:p w:rsidR="00FB54C0" w:rsidRPr="0051740C" w:rsidRDefault="00FB54C0" w:rsidP="00F44E14">
            <w:pPr>
              <w:jc w:val="center"/>
              <w:rPr>
                <w:rFonts w:ascii="Arial" w:hAnsi="Arial"/>
                <w:b/>
                <w:bCs/>
                <w:color w:val="000000"/>
                <w:sz w:val="22"/>
                <w:szCs w:val="22"/>
              </w:rPr>
            </w:pPr>
            <w:r w:rsidRPr="0051740C">
              <w:rPr>
                <w:rFonts w:ascii="Arial" w:hAnsi="Arial"/>
                <w:b/>
                <w:bCs/>
                <w:color w:val="000000"/>
                <w:sz w:val="22"/>
                <w:szCs w:val="22"/>
              </w:rPr>
              <w:t>Costs</w:t>
            </w:r>
          </w:p>
        </w:tc>
      </w:tr>
      <w:tr w:rsidR="00FB54C0" w:rsidRPr="0051740C" w:rsidTr="00F44E14">
        <w:trPr>
          <w:trHeight w:val="300"/>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color w:val="000000"/>
                <w:sz w:val="22"/>
                <w:szCs w:val="22"/>
              </w:rPr>
            </w:pPr>
            <w:r w:rsidRPr="0051740C">
              <w:rPr>
                <w:rFonts w:ascii="Arial" w:hAnsi="Arial"/>
                <w:color w:val="000000"/>
                <w:sz w:val="22"/>
                <w:szCs w:val="22"/>
              </w:rPr>
              <w:t>1</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color w:val="000000"/>
                <w:sz w:val="22"/>
                <w:szCs w:val="22"/>
              </w:rPr>
            </w:pPr>
            <w:r w:rsidRPr="0051740C">
              <w:rPr>
                <w:rFonts w:ascii="Arial" w:hAnsi="Arial"/>
                <w:color w:val="000000"/>
                <w:sz w:val="22"/>
                <w:szCs w:val="22"/>
              </w:rPr>
              <w:t>Annual Reporting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30,</w:t>
            </w:r>
            <w:r>
              <w:rPr>
                <w:rFonts w:ascii="Arial" w:hAnsi="Arial" w:cs="Arial"/>
                <w:color w:val="000000"/>
                <w:sz w:val="22"/>
                <w:szCs w:val="22"/>
              </w:rPr>
              <w:t>301</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r>
              <w:rPr>
                <w:rFonts w:ascii="Arial" w:hAnsi="Arial" w:cs="Arial"/>
                <w:color w:val="000000"/>
                <w:sz w:val="22"/>
                <w:szCs w:val="22"/>
              </w:rPr>
              <w:t>0</w:t>
            </w:r>
            <w:r w:rsidRPr="0051740C">
              <w:rPr>
                <w:rFonts w:ascii="Arial" w:hAnsi="Arial" w:cs="Arial"/>
                <w:color w:val="000000"/>
                <w:sz w:val="22"/>
                <w:szCs w:val="22"/>
              </w:rPr>
              <w:t>,</w:t>
            </w:r>
            <w:r>
              <w:rPr>
                <w:rFonts w:ascii="Arial" w:hAnsi="Arial" w:cs="Arial"/>
                <w:color w:val="000000"/>
                <w:sz w:val="22"/>
                <w:szCs w:val="22"/>
              </w:rPr>
              <w:t>803</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r>
              <w:rPr>
                <w:rFonts w:ascii="Arial" w:hAnsi="Arial" w:cs="Arial"/>
                <w:color w:val="000000"/>
                <w:sz w:val="22"/>
                <w:szCs w:val="22"/>
              </w:rPr>
              <w:t>658</w:t>
            </w:r>
            <w:r w:rsidRPr="0051740C">
              <w:rPr>
                <w:rFonts w:ascii="Arial" w:hAnsi="Arial" w:cs="Arial"/>
                <w:color w:val="000000"/>
                <w:sz w:val="22"/>
                <w:szCs w:val="22"/>
              </w:rPr>
              <w:t>,</w:t>
            </w:r>
            <w:r>
              <w:rPr>
                <w:rFonts w:ascii="Arial" w:hAnsi="Arial" w:cs="Arial"/>
                <w:color w:val="000000"/>
                <w:sz w:val="22"/>
                <w:szCs w:val="22"/>
              </w:rPr>
              <w:t>416</w:t>
            </w:r>
            <w:r w:rsidRPr="0051740C">
              <w:rPr>
                <w:rFonts w:ascii="Arial" w:hAnsi="Arial" w:cs="Arial"/>
                <w:color w:val="000000"/>
                <w:sz w:val="22"/>
                <w:szCs w:val="22"/>
              </w:rPr>
              <w:t xml:space="preserve"> </w:t>
            </w:r>
          </w:p>
        </w:tc>
      </w:tr>
      <w:tr w:rsidR="00FB54C0" w:rsidRPr="0051740C" w:rsidTr="00F44E14">
        <w:trPr>
          <w:trHeight w:val="300"/>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color w:val="000000"/>
                <w:sz w:val="22"/>
                <w:szCs w:val="22"/>
              </w:rPr>
            </w:pPr>
            <w:r w:rsidRPr="0051740C">
              <w:rPr>
                <w:rFonts w:ascii="Arial" w:hAnsi="Arial"/>
                <w:color w:val="000000"/>
                <w:sz w:val="22"/>
                <w:szCs w:val="22"/>
              </w:rPr>
              <w:t>2</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color w:val="000000"/>
                <w:sz w:val="22"/>
                <w:szCs w:val="22"/>
              </w:rPr>
            </w:pPr>
            <w:r w:rsidRPr="0051740C">
              <w:rPr>
                <w:rFonts w:ascii="Arial" w:hAnsi="Arial"/>
                <w:color w:val="000000"/>
                <w:sz w:val="22"/>
                <w:szCs w:val="22"/>
              </w:rPr>
              <w:t>One-time Reporting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13</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452</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22</w:t>
            </w:r>
            <w:r w:rsidRPr="0051740C">
              <w:rPr>
                <w:rFonts w:ascii="Arial" w:hAnsi="Arial" w:cs="Arial"/>
                <w:color w:val="000000"/>
                <w:sz w:val="22"/>
                <w:szCs w:val="22"/>
              </w:rPr>
              <w:t>,</w:t>
            </w:r>
            <w:r>
              <w:rPr>
                <w:rFonts w:ascii="Arial" w:hAnsi="Arial" w:cs="Arial"/>
                <w:color w:val="000000"/>
                <w:sz w:val="22"/>
                <w:szCs w:val="22"/>
              </w:rPr>
              <w:t>944</w:t>
            </w:r>
            <w:r w:rsidRPr="0051740C">
              <w:rPr>
                <w:rFonts w:ascii="Arial" w:hAnsi="Arial" w:cs="Arial"/>
                <w:color w:val="000000"/>
                <w:sz w:val="22"/>
                <w:szCs w:val="22"/>
              </w:rPr>
              <w:t xml:space="preserve"> </w:t>
            </w:r>
          </w:p>
        </w:tc>
      </w:tr>
      <w:tr w:rsidR="00FB54C0" w:rsidRPr="0051740C" w:rsidTr="00F44E14">
        <w:trPr>
          <w:trHeight w:val="300"/>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color w:val="000000"/>
                <w:sz w:val="22"/>
                <w:szCs w:val="22"/>
              </w:rPr>
            </w:pPr>
            <w:r w:rsidRPr="0051740C">
              <w:rPr>
                <w:rFonts w:ascii="Arial" w:hAnsi="Arial"/>
                <w:color w:val="000000"/>
                <w:sz w:val="22"/>
                <w:szCs w:val="22"/>
              </w:rPr>
              <w:t>3</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color w:val="000000"/>
                <w:sz w:val="22"/>
                <w:szCs w:val="22"/>
              </w:rPr>
            </w:pPr>
            <w:r w:rsidRPr="0051740C">
              <w:rPr>
                <w:rFonts w:ascii="Arial" w:hAnsi="Arial"/>
                <w:color w:val="000000"/>
                <w:sz w:val="22"/>
                <w:szCs w:val="22"/>
              </w:rPr>
              <w:t>Annual Recordkeeping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r>
              <w:rPr>
                <w:rFonts w:ascii="Arial" w:hAnsi="Arial" w:cs="Arial"/>
                <w:color w:val="000000"/>
                <w:sz w:val="22"/>
                <w:szCs w:val="22"/>
              </w:rPr>
              <w:t>81</w:t>
            </w:r>
            <w:r w:rsidRPr="0051740C">
              <w:rPr>
                <w:rFonts w:ascii="Arial" w:hAnsi="Arial" w:cs="Arial"/>
                <w:color w:val="000000"/>
                <w:sz w:val="22"/>
                <w:szCs w:val="22"/>
              </w:rPr>
              <w:t>*</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r>
              <w:rPr>
                <w:rFonts w:ascii="Arial" w:hAnsi="Arial" w:cs="Arial"/>
                <w:color w:val="000000"/>
                <w:sz w:val="22"/>
                <w:szCs w:val="22"/>
              </w:rPr>
              <w:t>85</w:t>
            </w:r>
            <w:r w:rsidRPr="0051740C">
              <w:rPr>
                <w:rFonts w:ascii="Arial" w:hAnsi="Arial" w:cs="Arial"/>
                <w:color w:val="000000"/>
                <w:sz w:val="22"/>
                <w:szCs w:val="22"/>
              </w:rPr>
              <w:t>,</w:t>
            </w:r>
            <w:r>
              <w:rPr>
                <w:rFonts w:ascii="Arial" w:hAnsi="Arial" w:cs="Arial"/>
                <w:color w:val="000000"/>
                <w:sz w:val="22"/>
                <w:szCs w:val="22"/>
              </w:rPr>
              <w:t>449</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31</w:t>
            </w:r>
            <w:r w:rsidRPr="0051740C">
              <w:rPr>
                <w:rFonts w:ascii="Arial" w:hAnsi="Arial" w:cs="Arial"/>
                <w:color w:val="000000"/>
                <w:sz w:val="22"/>
                <w:szCs w:val="22"/>
              </w:rPr>
              <w:t>,98</w:t>
            </w:r>
            <w:r>
              <w:rPr>
                <w:rFonts w:ascii="Arial" w:hAnsi="Arial" w:cs="Arial"/>
                <w:color w:val="000000"/>
                <w:sz w:val="22"/>
                <w:szCs w:val="22"/>
              </w:rPr>
              <w:t>5</w:t>
            </w:r>
            <w:r w:rsidRPr="0051740C">
              <w:rPr>
                <w:rFonts w:ascii="Arial" w:hAnsi="Arial" w:cs="Arial"/>
                <w:color w:val="000000"/>
                <w:sz w:val="22"/>
                <w:szCs w:val="22"/>
              </w:rPr>
              <w:t>,</w:t>
            </w:r>
            <w:r>
              <w:rPr>
                <w:rFonts w:ascii="Arial" w:hAnsi="Arial" w:cs="Arial"/>
                <w:color w:val="000000"/>
                <w:sz w:val="22"/>
                <w:szCs w:val="22"/>
              </w:rPr>
              <w:t>008</w:t>
            </w:r>
            <w:r w:rsidRPr="0051740C">
              <w:rPr>
                <w:rFonts w:ascii="Arial" w:hAnsi="Arial" w:cs="Arial"/>
                <w:color w:val="000000"/>
                <w:sz w:val="22"/>
                <w:szCs w:val="22"/>
              </w:rPr>
              <w:t xml:space="preserve"> </w:t>
            </w:r>
          </w:p>
        </w:tc>
      </w:tr>
      <w:tr w:rsidR="00FB54C0" w:rsidRPr="0051740C" w:rsidTr="00F44E14">
        <w:trPr>
          <w:trHeight w:val="585"/>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color w:val="000000"/>
                <w:sz w:val="22"/>
                <w:szCs w:val="22"/>
              </w:rPr>
            </w:pPr>
            <w:r w:rsidRPr="0051740C">
              <w:rPr>
                <w:rFonts w:ascii="Arial" w:hAnsi="Arial"/>
                <w:color w:val="000000"/>
                <w:sz w:val="22"/>
                <w:szCs w:val="22"/>
              </w:rPr>
              <w:t>4</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color w:val="000000"/>
                <w:sz w:val="22"/>
                <w:szCs w:val="22"/>
              </w:rPr>
            </w:pPr>
            <w:r w:rsidRPr="0051740C">
              <w:rPr>
                <w:rFonts w:ascii="Arial" w:hAnsi="Arial"/>
                <w:color w:val="000000"/>
                <w:sz w:val="22"/>
                <w:szCs w:val="22"/>
              </w:rPr>
              <w:t>One-time Recordkeeping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167</w:t>
            </w:r>
            <w:r w:rsidRPr="0051740C">
              <w:rPr>
                <w:rFonts w:ascii="Arial" w:hAnsi="Arial" w:cs="Arial"/>
                <w:color w:val="000000"/>
                <w:sz w:val="22"/>
                <w:szCs w:val="22"/>
              </w:rPr>
              <w:t>*</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,297</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w:t>
            </w:r>
            <w:r>
              <w:rPr>
                <w:rFonts w:ascii="Arial" w:hAnsi="Arial" w:cs="Arial"/>
                <w:color w:val="000000"/>
                <w:sz w:val="22"/>
                <w:szCs w:val="22"/>
              </w:rPr>
              <w:t>352</w:t>
            </w:r>
            <w:r w:rsidRPr="0051740C">
              <w:rPr>
                <w:rFonts w:ascii="Arial" w:hAnsi="Arial" w:cs="Arial"/>
                <w:color w:val="000000"/>
                <w:sz w:val="22"/>
                <w:szCs w:val="22"/>
              </w:rPr>
              <w:t>,</w:t>
            </w:r>
            <w:r>
              <w:rPr>
                <w:rFonts w:ascii="Arial" w:hAnsi="Arial" w:cs="Arial"/>
                <w:color w:val="000000"/>
                <w:sz w:val="22"/>
                <w:szCs w:val="22"/>
              </w:rPr>
              <w:t>24</w:t>
            </w:r>
            <w:r w:rsidRPr="0051740C">
              <w:rPr>
                <w:rFonts w:ascii="Arial" w:hAnsi="Arial" w:cs="Arial"/>
                <w:color w:val="000000"/>
                <w:sz w:val="22"/>
                <w:szCs w:val="22"/>
              </w:rPr>
              <w:t xml:space="preserve">0 </w:t>
            </w:r>
          </w:p>
        </w:tc>
      </w:tr>
      <w:tr w:rsidR="00FB54C0" w:rsidRPr="0051740C" w:rsidTr="00F44E14">
        <w:trPr>
          <w:trHeight w:val="300"/>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color w:val="000000"/>
                <w:sz w:val="22"/>
                <w:szCs w:val="22"/>
              </w:rPr>
            </w:pPr>
            <w:r w:rsidRPr="0051740C">
              <w:rPr>
                <w:rFonts w:ascii="Arial" w:hAnsi="Arial"/>
                <w:color w:val="000000"/>
                <w:sz w:val="22"/>
                <w:szCs w:val="22"/>
              </w:rPr>
              <w:t>5</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color w:val="000000"/>
                <w:sz w:val="22"/>
                <w:szCs w:val="22"/>
              </w:rPr>
            </w:pPr>
            <w:r w:rsidRPr="0051740C">
              <w:rPr>
                <w:rFonts w:ascii="Arial" w:hAnsi="Arial"/>
                <w:color w:val="000000"/>
                <w:sz w:val="22"/>
                <w:szCs w:val="22"/>
              </w:rPr>
              <w:t>Third Party</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w:t>
            </w:r>
            <w:r>
              <w:rPr>
                <w:rFonts w:ascii="Arial" w:hAnsi="Arial" w:cs="Arial"/>
                <w:color w:val="000000"/>
                <w:sz w:val="22"/>
                <w:szCs w:val="22"/>
              </w:rPr>
              <w:t>3</w:t>
            </w:r>
            <w:r w:rsidRPr="0051740C">
              <w:rPr>
                <w:rFonts w:ascii="Arial" w:hAnsi="Arial" w:cs="Arial"/>
                <w:color w:val="000000"/>
                <w:sz w:val="22"/>
                <w:szCs w:val="22"/>
              </w:rPr>
              <w:t>,</w:t>
            </w:r>
            <w:r>
              <w:rPr>
                <w:rFonts w:ascii="Arial" w:hAnsi="Arial" w:cs="Arial"/>
                <w:color w:val="000000"/>
                <w:sz w:val="22"/>
                <w:szCs w:val="22"/>
              </w:rPr>
              <w:t>686</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r>
              <w:rPr>
                <w:rFonts w:ascii="Arial" w:hAnsi="Arial" w:cs="Arial"/>
                <w:color w:val="000000"/>
                <w:sz w:val="22"/>
                <w:szCs w:val="22"/>
              </w:rPr>
              <w:t>5</w:t>
            </w:r>
            <w:r w:rsidRPr="0051740C">
              <w:rPr>
                <w:rFonts w:ascii="Arial" w:hAnsi="Arial" w:cs="Arial"/>
                <w:color w:val="000000"/>
                <w:sz w:val="22"/>
                <w:szCs w:val="22"/>
              </w:rPr>
              <w:t>,</w:t>
            </w:r>
            <w:r>
              <w:rPr>
                <w:rFonts w:ascii="Arial" w:hAnsi="Arial" w:cs="Arial"/>
                <w:color w:val="000000"/>
                <w:sz w:val="22"/>
                <w:szCs w:val="22"/>
              </w:rPr>
              <w:t>442</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w:t>
            </w:r>
            <w:r>
              <w:rPr>
                <w:rFonts w:ascii="Arial" w:hAnsi="Arial" w:cs="Arial"/>
                <w:color w:val="000000"/>
                <w:sz w:val="22"/>
                <w:szCs w:val="22"/>
              </w:rPr>
              <w:t>9</w:t>
            </w:r>
            <w:r w:rsidRPr="0051740C">
              <w:rPr>
                <w:rFonts w:ascii="Arial" w:hAnsi="Arial" w:cs="Arial"/>
                <w:color w:val="000000"/>
                <w:sz w:val="22"/>
                <w:szCs w:val="22"/>
              </w:rPr>
              <w:t>,</w:t>
            </w:r>
            <w:r>
              <w:rPr>
                <w:rFonts w:ascii="Arial" w:hAnsi="Arial" w:cs="Arial"/>
                <w:color w:val="000000"/>
                <w:sz w:val="22"/>
                <w:szCs w:val="22"/>
              </w:rPr>
              <w:t>653</w:t>
            </w:r>
            <w:r w:rsidRPr="0051740C">
              <w:rPr>
                <w:rFonts w:ascii="Arial" w:hAnsi="Arial" w:cs="Arial"/>
                <w:color w:val="000000"/>
                <w:sz w:val="22"/>
                <w:szCs w:val="22"/>
              </w:rPr>
              <w:t>,</w:t>
            </w:r>
            <w:r>
              <w:rPr>
                <w:rFonts w:ascii="Arial" w:hAnsi="Arial" w:cs="Arial"/>
                <w:color w:val="000000"/>
                <w:sz w:val="22"/>
                <w:szCs w:val="22"/>
              </w:rPr>
              <w:t>552</w:t>
            </w:r>
            <w:r w:rsidRPr="0051740C">
              <w:rPr>
                <w:rFonts w:ascii="Arial" w:hAnsi="Arial" w:cs="Arial"/>
                <w:color w:val="000000"/>
                <w:sz w:val="22"/>
                <w:szCs w:val="22"/>
              </w:rPr>
              <w:t xml:space="preserve"> </w:t>
            </w:r>
          </w:p>
        </w:tc>
      </w:tr>
      <w:tr w:rsidR="00FB54C0" w:rsidRPr="0051740C" w:rsidTr="00F44E14">
        <w:trPr>
          <w:trHeight w:val="315"/>
        </w:trPr>
        <w:tc>
          <w:tcPr>
            <w:tcW w:w="895" w:type="dxa"/>
            <w:tcBorders>
              <w:top w:val="nil"/>
              <w:left w:val="single" w:sz="8" w:space="0" w:color="auto"/>
              <w:bottom w:val="single" w:sz="8" w:space="0" w:color="auto"/>
              <w:right w:val="single" w:sz="8" w:space="0" w:color="auto"/>
            </w:tcBorders>
            <w:vAlign w:val="center"/>
          </w:tcPr>
          <w:p w:rsidR="00FB54C0" w:rsidRPr="0051740C" w:rsidRDefault="00FB54C0" w:rsidP="00F44E14">
            <w:pPr>
              <w:jc w:val="center"/>
              <w:rPr>
                <w:rFonts w:ascii="Arial" w:hAnsi="Arial"/>
                <w:b/>
                <w:bCs/>
                <w:color w:val="000000"/>
                <w:sz w:val="22"/>
                <w:szCs w:val="22"/>
              </w:rPr>
            </w:pP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FB54C0" w:rsidRPr="0051740C" w:rsidRDefault="00FB54C0" w:rsidP="00F44E14">
            <w:pPr>
              <w:rPr>
                <w:rFonts w:ascii="Arial" w:hAnsi="Arial" w:cs="Arial"/>
                <w:b/>
                <w:bCs/>
                <w:color w:val="000000"/>
                <w:sz w:val="22"/>
                <w:szCs w:val="22"/>
              </w:rPr>
            </w:pPr>
            <w:r w:rsidRPr="0051740C">
              <w:rPr>
                <w:rFonts w:ascii="Arial" w:hAnsi="Arial"/>
                <w:b/>
                <w:bCs/>
                <w:color w:val="000000"/>
                <w:sz w:val="22"/>
                <w:szCs w:val="22"/>
              </w:rPr>
              <w:t>TOTAL</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b/>
                <w:bCs/>
                <w:color w:val="000000"/>
                <w:sz w:val="22"/>
                <w:szCs w:val="22"/>
              </w:rPr>
            </w:pPr>
            <w:r w:rsidRPr="0051740C">
              <w:rPr>
                <w:rFonts w:ascii="Arial" w:hAnsi="Arial" w:cs="Arial"/>
                <w:b/>
                <w:bCs/>
                <w:color w:val="000000"/>
                <w:sz w:val="22"/>
                <w:szCs w:val="22"/>
              </w:rPr>
              <w:t>15</w:t>
            </w:r>
            <w:r>
              <w:rPr>
                <w:rFonts w:ascii="Arial" w:hAnsi="Arial" w:cs="Arial"/>
                <w:b/>
                <w:bCs/>
                <w:color w:val="000000"/>
                <w:sz w:val="22"/>
                <w:szCs w:val="22"/>
              </w:rPr>
              <w:t>4</w:t>
            </w:r>
            <w:r w:rsidRPr="0051740C">
              <w:rPr>
                <w:rFonts w:ascii="Arial" w:hAnsi="Arial" w:cs="Arial"/>
                <w:b/>
                <w:bCs/>
                <w:color w:val="000000"/>
                <w:sz w:val="22"/>
                <w:szCs w:val="22"/>
              </w:rPr>
              <w:t>,</w:t>
            </w:r>
            <w:r>
              <w:rPr>
                <w:rFonts w:ascii="Arial" w:hAnsi="Arial" w:cs="Arial"/>
                <w:b/>
                <w:bCs/>
                <w:color w:val="000000"/>
                <w:sz w:val="22"/>
                <w:szCs w:val="22"/>
              </w:rPr>
              <w:t>748</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b/>
                <w:bCs/>
                <w:color w:val="000000"/>
                <w:sz w:val="22"/>
                <w:szCs w:val="22"/>
              </w:rPr>
            </w:pPr>
            <w:r w:rsidRPr="0051740C">
              <w:rPr>
                <w:rFonts w:ascii="Arial" w:hAnsi="Arial" w:cs="Arial"/>
                <w:b/>
                <w:bCs/>
                <w:color w:val="000000"/>
                <w:sz w:val="22"/>
                <w:szCs w:val="22"/>
              </w:rPr>
              <w:t>5</w:t>
            </w:r>
            <w:r>
              <w:rPr>
                <w:rFonts w:ascii="Arial" w:hAnsi="Arial" w:cs="Arial"/>
                <w:b/>
                <w:bCs/>
                <w:color w:val="000000"/>
                <w:sz w:val="22"/>
                <w:szCs w:val="22"/>
              </w:rPr>
              <w:t>43</w:t>
            </w:r>
            <w:r w:rsidRPr="0051740C">
              <w:rPr>
                <w:rFonts w:ascii="Arial" w:hAnsi="Arial" w:cs="Arial"/>
                <w:b/>
                <w:bCs/>
                <w:color w:val="000000"/>
                <w:sz w:val="22"/>
                <w:szCs w:val="22"/>
              </w:rPr>
              <w:t>,</w:t>
            </w:r>
            <w:r>
              <w:rPr>
                <w:rFonts w:ascii="Arial" w:hAnsi="Arial" w:cs="Arial"/>
                <w:b/>
                <w:bCs/>
                <w:color w:val="000000"/>
                <w:sz w:val="22"/>
                <w:szCs w:val="22"/>
              </w:rPr>
              <w:t>443</w:t>
            </w:r>
          </w:p>
        </w:tc>
        <w:tc>
          <w:tcPr>
            <w:tcW w:w="1562" w:type="dxa"/>
            <w:tcBorders>
              <w:top w:val="single" w:sz="8" w:space="0" w:color="000000"/>
              <w:left w:val="single" w:sz="8" w:space="0" w:color="000000"/>
              <w:bottom w:val="single" w:sz="8" w:space="0" w:color="000000"/>
              <w:right w:val="single" w:sz="8" w:space="0" w:color="000000"/>
            </w:tcBorders>
            <w:vAlign w:val="bottom"/>
          </w:tcPr>
          <w:p w:rsidR="00FB54C0" w:rsidRPr="0051740C" w:rsidRDefault="00FB54C0" w:rsidP="00F44E14">
            <w:pPr>
              <w:jc w:val="right"/>
              <w:rPr>
                <w:rFonts w:ascii="Arial" w:hAnsi="Arial" w:cs="Arial"/>
                <w:b/>
                <w:bCs/>
                <w:color w:val="000000"/>
                <w:sz w:val="22"/>
                <w:szCs w:val="22"/>
              </w:rPr>
            </w:pPr>
            <w:r w:rsidRPr="0051740C">
              <w:rPr>
                <w:rFonts w:ascii="Arial" w:hAnsi="Arial" w:cs="Arial"/>
                <w:b/>
                <w:bCs/>
                <w:color w:val="000000"/>
                <w:sz w:val="22"/>
                <w:szCs w:val="22"/>
              </w:rPr>
              <w:t>$14</w:t>
            </w:r>
            <w:r>
              <w:rPr>
                <w:rFonts w:ascii="Arial" w:hAnsi="Arial" w:cs="Arial"/>
                <w:b/>
                <w:bCs/>
                <w:color w:val="000000"/>
                <w:sz w:val="22"/>
                <w:szCs w:val="22"/>
              </w:rPr>
              <w:t>7</w:t>
            </w:r>
            <w:r w:rsidRPr="0051740C">
              <w:rPr>
                <w:rFonts w:ascii="Arial" w:hAnsi="Arial" w:cs="Arial"/>
                <w:b/>
                <w:bCs/>
                <w:color w:val="000000"/>
                <w:sz w:val="22"/>
                <w:szCs w:val="22"/>
              </w:rPr>
              <w:t>,</w:t>
            </w:r>
            <w:r>
              <w:rPr>
                <w:rFonts w:ascii="Arial" w:hAnsi="Arial" w:cs="Arial"/>
                <w:b/>
                <w:bCs/>
                <w:color w:val="000000"/>
                <w:sz w:val="22"/>
                <w:szCs w:val="22"/>
              </w:rPr>
              <w:t>816</w:t>
            </w:r>
            <w:r w:rsidRPr="0051740C">
              <w:rPr>
                <w:rFonts w:ascii="Arial" w:hAnsi="Arial" w:cs="Arial"/>
                <w:b/>
                <w:bCs/>
                <w:color w:val="000000"/>
                <w:sz w:val="22"/>
                <w:szCs w:val="22"/>
              </w:rPr>
              <w:t>,</w:t>
            </w:r>
            <w:r>
              <w:rPr>
                <w:rFonts w:ascii="Arial" w:hAnsi="Arial" w:cs="Arial"/>
                <w:b/>
                <w:bCs/>
                <w:color w:val="000000"/>
                <w:sz w:val="22"/>
                <w:szCs w:val="22"/>
              </w:rPr>
              <w:t>496</w:t>
            </w:r>
          </w:p>
        </w:tc>
      </w:tr>
    </w:tbl>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18"/>
          <w:szCs w:val="18"/>
        </w:rPr>
      </w:pPr>
      <w:r w:rsidRPr="0051740C">
        <w:rPr>
          <w:rFonts w:ascii="Arial" w:hAnsi="Arial"/>
          <w:sz w:val="18"/>
          <w:szCs w:val="18"/>
        </w:rPr>
        <w:t xml:space="preserve">*Each </w:t>
      </w:r>
      <w:proofErr w:type="spellStart"/>
      <w:r w:rsidRPr="0051740C">
        <w:rPr>
          <w:rFonts w:ascii="Arial" w:hAnsi="Arial"/>
          <w:sz w:val="18"/>
          <w:szCs w:val="18"/>
        </w:rPr>
        <w:t>recordkeeper</w:t>
      </w:r>
      <w:proofErr w:type="spellEnd"/>
      <w:r w:rsidRPr="0051740C">
        <w:rPr>
          <w:rFonts w:ascii="Arial" w:hAnsi="Arial"/>
          <w:sz w:val="18"/>
          <w:szCs w:val="18"/>
        </w:rPr>
        <w:t xml:space="preserve"> is counted as a single response.  All one-time </w:t>
      </w:r>
      <w:proofErr w:type="spellStart"/>
      <w:r w:rsidRPr="0051740C">
        <w:rPr>
          <w:rFonts w:ascii="Arial" w:hAnsi="Arial"/>
          <w:sz w:val="18"/>
          <w:szCs w:val="18"/>
        </w:rPr>
        <w:t>recordkeepers</w:t>
      </w:r>
      <w:proofErr w:type="spellEnd"/>
      <w:r w:rsidRPr="0051740C">
        <w:rPr>
          <w:rFonts w:ascii="Arial" w:hAnsi="Arial"/>
          <w:sz w:val="18"/>
          <w:szCs w:val="18"/>
        </w:rPr>
        <w:t xml:space="preserve"> are included in the annual recordkeeping total.</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0"/>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 of Other Additional Costs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The NRC has determined that the records storage cost is roughly proportional to the recordkeeping burden cost.  Based on a typical clearance, the records storage cost has been determined to be equal to .0004% of the recordkeeping burden cost.  Therefore, the records storage cost for this clearance is estimated to </w:t>
      </w:r>
      <w:r w:rsidRPr="008035E7">
        <w:rPr>
          <w:rFonts w:ascii="Arial" w:hAnsi="Arial"/>
          <w:sz w:val="22"/>
        </w:rPr>
        <w:t>be $5</w:t>
      </w:r>
      <w:r>
        <w:rPr>
          <w:rFonts w:ascii="Arial" w:hAnsi="Arial"/>
          <w:sz w:val="22"/>
        </w:rPr>
        <w:t>2</w:t>
      </w:r>
      <w:r w:rsidRPr="008035E7">
        <w:rPr>
          <w:rFonts w:ascii="Arial" w:hAnsi="Arial"/>
          <w:sz w:val="22"/>
        </w:rPr>
        <w:t>,</w:t>
      </w:r>
      <w:r>
        <w:rPr>
          <w:rFonts w:ascii="Arial" w:hAnsi="Arial"/>
          <w:sz w:val="22"/>
        </w:rPr>
        <w:t>957</w:t>
      </w:r>
      <w:r w:rsidRPr="008035E7">
        <w:rPr>
          <w:rFonts w:ascii="Arial" w:hAnsi="Arial"/>
          <w:sz w:val="22"/>
        </w:rPr>
        <w:t xml:space="preserve"> (</w:t>
      </w:r>
      <w:r>
        <w:rPr>
          <w:rFonts w:ascii="Arial" w:hAnsi="Arial"/>
          <w:sz w:val="22"/>
        </w:rPr>
        <w:t>486,746</w:t>
      </w:r>
      <w:r w:rsidRPr="008035E7">
        <w:rPr>
          <w:rFonts w:ascii="Arial" w:hAnsi="Arial" w:cs="Arial"/>
          <w:sz w:val="22"/>
          <w:szCs w:val="22"/>
        </w:rPr>
        <w:t xml:space="preserve"> </w:t>
      </w:r>
      <w:r w:rsidRPr="008035E7">
        <w:rPr>
          <w:rFonts w:ascii="Arial" w:hAnsi="Arial"/>
          <w:sz w:val="22"/>
        </w:rPr>
        <w:t>r</w:t>
      </w:r>
      <w:r w:rsidRPr="0051740C">
        <w:rPr>
          <w:rFonts w:ascii="Arial" w:hAnsi="Arial"/>
          <w:sz w:val="22"/>
        </w:rPr>
        <w:t>ecordkeeping hours x $2</w:t>
      </w:r>
      <w:r>
        <w:rPr>
          <w:rFonts w:ascii="Arial" w:hAnsi="Arial"/>
          <w:sz w:val="22"/>
        </w:rPr>
        <w:t>72</w:t>
      </w:r>
      <w:r w:rsidRPr="0051740C">
        <w:rPr>
          <w:rFonts w:ascii="Arial" w:hAnsi="Arial"/>
          <w:sz w:val="22"/>
        </w:rPr>
        <w:t xml:space="preserve"> x .0004).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Estimated Annualized Cost to Federal Government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estimated cost to the government for review of required reports and records is approximately $1,</w:t>
      </w:r>
      <w:r>
        <w:rPr>
          <w:rFonts w:ascii="Arial" w:hAnsi="Arial"/>
          <w:sz w:val="22"/>
        </w:rPr>
        <w:t>224</w:t>
      </w:r>
      <w:r w:rsidRPr="0051740C">
        <w:rPr>
          <w:rFonts w:ascii="Arial" w:hAnsi="Arial"/>
          <w:sz w:val="22"/>
        </w:rPr>
        <w:t>,</w:t>
      </w:r>
      <w:r>
        <w:rPr>
          <w:rFonts w:ascii="Arial" w:hAnsi="Arial"/>
          <w:sz w:val="22"/>
        </w:rPr>
        <w:t>0</w:t>
      </w:r>
      <w:r w:rsidRPr="0051740C">
        <w:rPr>
          <w:rFonts w:ascii="Arial" w:hAnsi="Arial"/>
          <w:sz w:val="22"/>
        </w:rPr>
        <w:t>00 (4,500 hours at $2</w:t>
      </w:r>
      <w:r>
        <w:rPr>
          <w:rFonts w:ascii="Arial" w:hAnsi="Arial"/>
          <w:sz w:val="22"/>
        </w:rPr>
        <w:t>72</w:t>
      </w:r>
      <w:r w:rsidRPr="0051740C">
        <w:rPr>
          <w:rFonts w:ascii="Arial" w:hAnsi="Arial"/>
          <w:sz w:val="22"/>
        </w:rPr>
        <w:t>/</w:t>
      </w:r>
      <w:proofErr w:type="spellStart"/>
      <w:r w:rsidRPr="0051740C">
        <w:rPr>
          <w:rFonts w:ascii="Arial" w:hAnsi="Arial"/>
          <w:sz w:val="22"/>
        </w:rPr>
        <w:t>hr</w:t>
      </w:r>
      <w:proofErr w:type="spellEnd"/>
      <w:r w:rsidRPr="0051740C">
        <w:rPr>
          <w:rFonts w:ascii="Arial" w:hAnsi="Arial"/>
          <w:sz w:val="22"/>
        </w:rPr>
        <w:t>) and is based on the materials fee recovery rate.  The cost is fully recovered by license fee assessments to NRC licensees pursuant to 10 CFR Parts 170 and/or 171.</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Reason for Change in Burden or Cost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The estimated burden has </w:t>
      </w:r>
      <w:r>
        <w:rPr>
          <w:rFonts w:ascii="Arial" w:hAnsi="Arial"/>
          <w:sz w:val="22"/>
        </w:rPr>
        <w:t xml:space="preserve">decreased from 557,145 hours </w:t>
      </w:r>
      <w:r w:rsidRPr="0051740C">
        <w:rPr>
          <w:rFonts w:ascii="Arial" w:hAnsi="Arial"/>
          <w:sz w:val="22"/>
        </w:rPr>
        <w:t xml:space="preserve">to </w:t>
      </w:r>
      <w:r>
        <w:rPr>
          <w:rFonts w:ascii="Arial" w:hAnsi="Arial"/>
          <w:sz w:val="22"/>
        </w:rPr>
        <w:t xml:space="preserve">543,443 </w:t>
      </w:r>
      <w:r w:rsidRPr="0051740C">
        <w:rPr>
          <w:rFonts w:ascii="Arial" w:hAnsi="Arial"/>
          <w:sz w:val="22"/>
        </w:rPr>
        <w:t xml:space="preserve">hours, for a total </w:t>
      </w:r>
      <w:r>
        <w:rPr>
          <w:rFonts w:ascii="Arial" w:hAnsi="Arial"/>
          <w:sz w:val="22"/>
        </w:rPr>
        <w:lastRenderedPageBreak/>
        <w:t xml:space="preserve">decrease </w:t>
      </w:r>
      <w:r w:rsidRPr="0051740C">
        <w:rPr>
          <w:rFonts w:ascii="Arial" w:hAnsi="Arial"/>
          <w:sz w:val="22"/>
        </w:rPr>
        <w:t xml:space="preserve">of </w:t>
      </w:r>
      <w:r>
        <w:rPr>
          <w:rFonts w:ascii="Arial" w:hAnsi="Arial"/>
          <w:sz w:val="22"/>
        </w:rPr>
        <w:t>13,702</w:t>
      </w:r>
      <w:r w:rsidRPr="0051740C">
        <w:rPr>
          <w:rFonts w:ascii="Arial" w:hAnsi="Arial"/>
          <w:sz w:val="22"/>
        </w:rPr>
        <w:t xml:space="preserve"> hours.  Reasons for the change are as follows:</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F356E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F356EC">
        <w:rPr>
          <w:rFonts w:ascii="Arial" w:hAnsi="Arial"/>
          <w:sz w:val="22"/>
          <w:u w:val="single"/>
        </w:rPr>
        <w:t>Removal of burden for completed requirements</w:t>
      </w:r>
      <w:r>
        <w:rPr>
          <w:rFonts w:ascii="Arial" w:hAnsi="Arial"/>
          <w:sz w:val="22"/>
          <w:u w:val="single"/>
        </w:rPr>
        <w:t>:</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Pr>
          <w:rFonts w:ascii="Arial" w:hAnsi="Arial"/>
          <w:sz w:val="22"/>
        </w:rPr>
        <w:t xml:space="preserve">A number of one time requirements were contained in the Power Reactor Security Requirements, Final Rule (approved by OMB April 1, 2009).  An estimated 20,633 hours of burden were reduced to the completion of one-time requirements associated with this rule.  </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981C28"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981C28">
        <w:rPr>
          <w:rFonts w:ascii="Arial" w:hAnsi="Arial"/>
          <w:sz w:val="22"/>
          <w:u w:val="single"/>
        </w:rPr>
        <w:t>Change in the number of licensees:</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Pr>
          <w:rFonts w:ascii="Arial" w:hAnsi="Arial"/>
          <w:sz w:val="22"/>
        </w:rPr>
        <w:t xml:space="preserve">The previous renewal listed 64 power reactor sites.  The correct total number of power reactor sites and expected decommissioning sites is 65.  In addition, there is a projected increase of one Category 1 licensee.  As a result, the burden increased 6,768 hours.  </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cs="Arial"/>
          <w:sz w:val="22"/>
          <w:szCs w:val="22"/>
        </w:rPr>
        <w:t>Also, there is a chan</w:t>
      </w:r>
      <w:r w:rsidRPr="0051740C">
        <w:rPr>
          <w:rFonts w:ascii="Arial" w:hAnsi="Arial"/>
          <w:sz w:val="22"/>
        </w:rPr>
        <w:t>ge in cost because the hourly rate increased from $25</w:t>
      </w:r>
      <w:r>
        <w:rPr>
          <w:rFonts w:ascii="Arial" w:hAnsi="Arial"/>
          <w:sz w:val="22"/>
        </w:rPr>
        <w:t>9</w:t>
      </w:r>
      <w:r w:rsidRPr="0051740C">
        <w:rPr>
          <w:rFonts w:ascii="Arial" w:hAnsi="Arial"/>
          <w:sz w:val="22"/>
        </w:rPr>
        <w:t>/hour to $2</w:t>
      </w:r>
      <w:r>
        <w:rPr>
          <w:rFonts w:ascii="Arial" w:hAnsi="Arial"/>
          <w:sz w:val="22"/>
        </w:rPr>
        <w:t>72</w:t>
      </w:r>
      <w:r w:rsidRPr="0051740C">
        <w:rPr>
          <w:rFonts w:ascii="Arial" w:hAnsi="Arial"/>
          <w:sz w:val="22"/>
        </w:rPr>
        <w:t>/hour.</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i/>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Publication for Statistical Use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ab/>
      </w:r>
      <w:r w:rsidRPr="0051740C">
        <w:rPr>
          <w:rFonts w:ascii="Arial" w:hAnsi="Arial"/>
          <w:sz w:val="22"/>
        </w:rPr>
        <w:tab/>
        <w:t>None.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hanging="475"/>
        <w:rPr>
          <w:rFonts w:ascii="Arial" w:hAnsi="Arial"/>
          <w:sz w:val="22"/>
          <w:u w:val="single"/>
        </w:rPr>
      </w:pPr>
      <w:r w:rsidRPr="0051740C">
        <w:rPr>
          <w:rFonts w:ascii="Arial" w:hAnsi="Arial"/>
          <w:sz w:val="22"/>
          <w:u w:val="single"/>
        </w:rPr>
        <w:t>Reasons for Not Displaying the Expiration Date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requirements are contained in a regulation.  Amending the Code of Federal Regulations to display information that, in an annual publication, could become obsolete would be unduly burdensome and too difficult to keep current.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Exceptions to the Certification Statement</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None.</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B.  COLLECTIONS OF INFORMATION EMPLOYING STATISTICAL METHODS</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None.</w:t>
      </w: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EE0F1A" w:rsidRDefault="00EE0F1A"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EE0F1A" w:rsidRDefault="00EE0F1A"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EE0F1A" w:rsidRDefault="00EE0F1A"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EE0F1A" w:rsidRDefault="00EE0F1A"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sz w:val="22"/>
          <w:szCs w:val="22"/>
          <w:u w:val="single"/>
        </w:rPr>
      </w:pPr>
      <w:r w:rsidRPr="0051740C">
        <w:rPr>
          <w:rFonts w:ascii="Arial" w:hAnsi="Arial"/>
          <w:sz w:val="22"/>
          <w:szCs w:val="22"/>
          <w:u w:val="single"/>
        </w:rPr>
        <w:lastRenderedPageBreak/>
        <w:t>Table 1</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sz w:val="22"/>
          <w:szCs w:val="22"/>
        </w:rPr>
      </w:pPr>
      <w:r w:rsidRPr="0051740C">
        <w:rPr>
          <w:rFonts w:ascii="Arial" w:hAnsi="Arial"/>
          <w:sz w:val="22"/>
          <w:szCs w:val="22"/>
          <w:u w:val="single"/>
        </w:rPr>
        <w:t>10 CFR Part 73 Annual Reporting Burden</w:t>
      </w:r>
    </w:p>
    <w:tbl>
      <w:tblPr>
        <w:tblW w:w="10204" w:type="dxa"/>
        <w:jc w:val="center"/>
        <w:tblLook w:val="04A0" w:firstRow="1" w:lastRow="0" w:firstColumn="1" w:lastColumn="0" w:noHBand="0" w:noVBand="1"/>
      </w:tblPr>
      <w:tblGrid>
        <w:gridCol w:w="3533"/>
        <w:gridCol w:w="1513"/>
        <w:gridCol w:w="1483"/>
        <w:gridCol w:w="1385"/>
        <w:gridCol w:w="1264"/>
        <w:gridCol w:w="1026"/>
      </w:tblGrid>
      <w:tr w:rsidR="00FB54C0" w:rsidRPr="0051740C" w:rsidTr="00F44E14">
        <w:trPr>
          <w:trHeight w:val="750"/>
          <w:tblHeader/>
          <w:jc w:val="center"/>
        </w:trPr>
        <w:tc>
          <w:tcPr>
            <w:tcW w:w="3533" w:type="dxa"/>
            <w:tcBorders>
              <w:top w:val="single" w:sz="8" w:space="0" w:color="000000"/>
              <w:left w:val="single" w:sz="8" w:space="0" w:color="000000"/>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000000"/>
              <w:left w:val="nil"/>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483" w:type="dxa"/>
            <w:tcBorders>
              <w:top w:val="single" w:sz="8" w:space="0" w:color="000000"/>
              <w:left w:val="nil"/>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Responses per Respondent</w:t>
            </w:r>
          </w:p>
        </w:tc>
        <w:tc>
          <w:tcPr>
            <w:tcW w:w="1385" w:type="dxa"/>
            <w:tcBorders>
              <w:top w:val="single" w:sz="8" w:space="0" w:color="000000"/>
              <w:left w:val="nil"/>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Number of Responses</w:t>
            </w:r>
          </w:p>
        </w:tc>
        <w:tc>
          <w:tcPr>
            <w:tcW w:w="1264" w:type="dxa"/>
            <w:tcBorders>
              <w:top w:val="single" w:sz="8" w:space="0" w:color="000000"/>
              <w:left w:val="nil"/>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Burden Hours per Response</w:t>
            </w:r>
          </w:p>
        </w:tc>
        <w:tc>
          <w:tcPr>
            <w:tcW w:w="1026" w:type="dxa"/>
            <w:tcBorders>
              <w:top w:val="single" w:sz="8" w:space="0" w:color="000000"/>
              <w:left w:val="nil"/>
              <w:bottom w:val="single" w:sz="8" w:space="0" w:color="000000"/>
              <w:right w:val="single" w:sz="8" w:space="0" w:color="000000"/>
            </w:tcBorders>
            <w:shd w:val="pct10"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Total Annual Burden Hours</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73.20(c)</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73.26(b)(3)</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)(6) and (k)(4)</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73.27(a)(1)</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0.1</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sidRPr="00515619">
              <w:rPr>
                <w:rFonts w:ascii="Arial" w:hAnsi="Arial" w:cs="Arial"/>
                <w:color w:val="000000"/>
                <w:sz w:val="22"/>
                <w:szCs w:val="22"/>
              </w:rPr>
              <w:t>73.27(a)(</w:t>
            </w:r>
            <w:r>
              <w:rPr>
                <w:rFonts w:ascii="Arial" w:hAnsi="Arial" w:cs="Arial"/>
                <w:color w:val="000000"/>
                <w:sz w:val="22"/>
                <w:szCs w:val="22"/>
              </w:rPr>
              <w:t>2</w:t>
            </w:r>
            <w:r w:rsidRPr="00515619">
              <w:rPr>
                <w:rFonts w:ascii="Arial" w:hAnsi="Arial" w:cs="Arial"/>
                <w:color w:val="000000"/>
                <w:sz w:val="22"/>
                <w:szCs w:val="22"/>
              </w:rPr>
              <w:t>)</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0.5</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73.27(a)(3</w:t>
            </w:r>
            <w:r w:rsidRPr="00515619">
              <w:rPr>
                <w:rFonts w:ascii="Arial" w:hAnsi="Arial" w:cs="Arial"/>
                <w:color w:val="000000"/>
                <w:sz w:val="22"/>
                <w:szCs w:val="22"/>
              </w:rPr>
              <w:t>)</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0.5</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73.27(b)</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sidRPr="00515619">
              <w:rPr>
                <w:rFonts w:ascii="Arial" w:hAnsi="Arial" w:cs="Arial"/>
                <w:color w:val="000000"/>
                <w:sz w:val="22"/>
                <w:szCs w:val="22"/>
              </w:rPr>
              <w:t>73.27(c)(None anticipated in next 3 years)</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73.37(b)(1)</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73.72</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73.37(b)(1)(vi)</w:t>
            </w:r>
          </w:p>
        </w:tc>
        <w:tc>
          <w:tcPr>
            <w:tcW w:w="1513"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1.11</w:t>
            </w:r>
          </w:p>
        </w:tc>
        <w:tc>
          <w:tcPr>
            <w:tcW w:w="1385"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20</w:t>
            </w:r>
          </w:p>
        </w:tc>
        <w:tc>
          <w:tcPr>
            <w:tcW w:w="1264"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25</w:t>
            </w:r>
          </w:p>
        </w:tc>
        <w:tc>
          <w:tcPr>
            <w:tcW w:w="1026"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500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73.37(b)(2)(</w:t>
            </w:r>
            <w:proofErr w:type="spellStart"/>
            <w:r w:rsidRPr="00F47E30">
              <w:rPr>
                <w:rFonts w:ascii="Arial" w:hAnsi="Arial" w:cs="Arial"/>
                <w:color w:val="000000"/>
                <w:sz w:val="22"/>
                <w:szCs w:val="22"/>
              </w:rPr>
              <w:t>i</w:t>
            </w:r>
            <w:proofErr w:type="spellEnd"/>
            <w:r w:rsidRPr="00F47E30">
              <w:rPr>
                <w:rFonts w:ascii="Arial" w:hAnsi="Arial" w:cs="Arial"/>
                <w:color w:val="000000"/>
                <w:sz w:val="22"/>
                <w:szCs w:val="22"/>
              </w:rPr>
              <w:t>-iii)</w:t>
            </w:r>
          </w:p>
        </w:tc>
        <w:tc>
          <w:tcPr>
            <w:tcW w:w="1513"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6.66</w:t>
            </w:r>
          </w:p>
        </w:tc>
        <w:tc>
          <w:tcPr>
            <w:tcW w:w="1385"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120</w:t>
            </w:r>
          </w:p>
        </w:tc>
        <w:tc>
          <w:tcPr>
            <w:tcW w:w="1264"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0.5</w:t>
            </w:r>
          </w:p>
        </w:tc>
        <w:tc>
          <w:tcPr>
            <w:tcW w:w="1026" w:type="dxa"/>
            <w:tcBorders>
              <w:top w:val="nil"/>
              <w:left w:val="nil"/>
              <w:bottom w:val="single" w:sz="8" w:space="0" w:color="000000"/>
              <w:right w:val="single" w:sz="8" w:space="0" w:color="000000"/>
            </w:tcBorders>
            <w:shd w:val="clear" w:color="auto" w:fill="auto"/>
            <w:vAlign w:val="center"/>
          </w:tcPr>
          <w:p w:rsidR="00FB54C0" w:rsidRPr="00AB59C8" w:rsidRDefault="00FB54C0" w:rsidP="00F44E14">
            <w:pPr>
              <w:jc w:val="right"/>
              <w:rPr>
                <w:rFonts w:ascii="Arial" w:hAnsi="Arial" w:cs="Arial"/>
                <w:color w:val="000000"/>
                <w:sz w:val="22"/>
                <w:szCs w:val="22"/>
              </w:rPr>
            </w:pPr>
            <w:r w:rsidRPr="00AB59C8">
              <w:rPr>
                <w:rFonts w:ascii="Arial" w:hAnsi="Arial" w:cs="Arial"/>
                <w:color w:val="000000"/>
                <w:sz w:val="22"/>
                <w:szCs w:val="22"/>
              </w:rPr>
              <w:t>60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w:t>
            </w:r>
            <w:r>
              <w:rPr>
                <w:rFonts w:ascii="Arial" w:hAnsi="Arial" w:cs="Arial"/>
                <w:color w:val="000000"/>
                <w:sz w:val="22"/>
                <w:szCs w:val="22"/>
              </w:rPr>
              <w:t>2</w:t>
            </w:r>
            <w:r w:rsidRPr="0051740C">
              <w:rPr>
                <w:rFonts w:ascii="Arial" w:hAnsi="Arial" w:cs="Arial"/>
                <w:color w:val="000000"/>
                <w:sz w:val="22"/>
                <w:szCs w:val="22"/>
              </w:rPr>
              <w:t>)</w:t>
            </w:r>
            <w:r>
              <w:rPr>
                <w:rFonts w:ascii="Arial" w:hAnsi="Arial" w:cs="Arial"/>
                <w:color w:val="000000"/>
                <w:sz w:val="22"/>
                <w:szCs w:val="22"/>
              </w:rPr>
              <w:t>(iv)</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Pr>
                <w:rFonts w:ascii="Arial" w:hAnsi="Arial" w:cs="Arial"/>
                <w:color w:val="000000"/>
                <w:sz w:val="22"/>
                <w:szCs w:val="22"/>
              </w:rPr>
              <w:t>Covered under 73.37(f)(4)</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73.37(b)(2)(v)</w:t>
            </w:r>
          </w:p>
        </w:tc>
        <w:tc>
          <w:tcPr>
            <w:tcW w:w="1513"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483"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264"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0.33</w:t>
            </w:r>
          </w:p>
        </w:tc>
        <w:tc>
          <w:tcPr>
            <w:tcW w:w="1026"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w:t>
            </w:r>
            <w:r>
              <w:rPr>
                <w:rFonts w:ascii="Arial" w:hAnsi="Arial" w:cs="Arial"/>
                <w:color w:val="000000"/>
                <w:sz w:val="22"/>
                <w:szCs w:val="22"/>
              </w:rPr>
              <w:t>3</w:t>
            </w:r>
            <w:r w:rsidRPr="0051740C">
              <w:rPr>
                <w:rFonts w:ascii="Arial" w:hAnsi="Arial" w:cs="Arial"/>
                <w:color w:val="000000"/>
                <w:sz w:val="22"/>
                <w:szCs w:val="22"/>
              </w:rPr>
              <w:t>)</w:t>
            </w:r>
            <w:r>
              <w:rPr>
                <w:rFonts w:ascii="Arial" w:hAnsi="Arial" w:cs="Arial"/>
                <w:color w:val="000000"/>
                <w:sz w:val="22"/>
                <w:szCs w:val="22"/>
              </w:rPr>
              <w:t>(iv)</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Pr>
                <w:rFonts w:ascii="Arial" w:hAnsi="Arial" w:cs="Arial"/>
                <w:color w:val="000000"/>
                <w:sz w:val="22"/>
                <w:szCs w:val="22"/>
              </w:rPr>
              <w:t>Covered under 73.37(b)(5)</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w:t>
            </w:r>
            <w:r>
              <w:rPr>
                <w:rFonts w:ascii="Arial" w:hAnsi="Arial" w:cs="Arial"/>
                <w:color w:val="000000"/>
                <w:sz w:val="22"/>
                <w:szCs w:val="22"/>
              </w:rPr>
              <w:t>3</w:t>
            </w:r>
            <w:r w:rsidRPr="0051740C">
              <w:rPr>
                <w:rFonts w:ascii="Arial" w:hAnsi="Arial" w:cs="Arial"/>
                <w:color w:val="000000"/>
                <w:sz w:val="22"/>
                <w:szCs w:val="22"/>
              </w:rPr>
              <w:t>)</w:t>
            </w:r>
            <w:r>
              <w:rPr>
                <w:rFonts w:ascii="Arial" w:hAnsi="Arial" w:cs="Arial"/>
                <w:color w:val="000000"/>
                <w:sz w:val="22"/>
                <w:szCs w:val="22"/>
              </w:rPr>
              <w:t>(v)</w:t>
            </w:r>
          </w:p>
        </w:tc>
        <w:tc>
          <w:tcPr>
            <w:tcW w:w="6671" w:type="dxa"/>
            <w:gridSpan w:val="5"/>
            <w:vMerge w:val="restart"/>
            <w:tcBorders>
              <w:top w:val="single" w:sz="8" w:space="0" w:color="000000"/>
              <w:left w:val="nil"/>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Pr>
                <w:rFonts w:ascii="Arial" w:hAnsi="Arial" w:cs="Arial"/>
                <w:color w:val="000000"/>
                <w:sz w:val="22"/>
                <w:szCs w:val="22"/>
              </w:rPr>
              <w:t>Covered under 73.37(b)(2)</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73.37(b)(3)(vi)</w:t>
            </w:r>
          </w:p>
        </w:tc>
        <w:tc>
          <w:tcPr>
            <w:tcW w:w="6671" w:type="dxa"/>
            <w:gridSpan w:val="5"/>
            <w:vMerge/>
            <w:tcBorders>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73.37(b)(3)(vii) (B)and</w:t>
            </w:r>
            <w:r>
              <w:rPr>
                <w:rFonts w:ascii="Arial" w:hAnsi="Arial" w:cs="Arial"/>
                <w:color w:val="000000"/>
                <w:sz w:val="22"/>
                <w:szCs w:val="22"/>
              </w:rPr>
              <w:t xml:space="preserve"> (C)</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Pr>
                <w:rFonts w:ascii="Arial" w:hAnsi="Arial" w:cs="Arial"/>
                <w:color w:val="000000"/>
                <w:sz w:val="22"/>
                <w:szCs w:val="22"/>
              </w:rPr>
              <w:t>Covered under 73.37(b)(5)</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F47E30" w:rsidRDefault="00FB54C0" w:rsidP="00F44E14">
            <w:pPr>
              <w:rPr>
                <w:rFonts w:ascii="Arial" w:hAnsi="Arial" w:cs="Arial"/>
                <w:color w:val="000000"/>
                <w:sz w:val="22"/>
                <w:szCs w:val="22"/>
              </w:rPr>
            </w:pPr>
            <w:r w:rsidRPr="00F47E30">
              <w:rPr>
                <w:rFonts w:ascii="Arial" w:hAnsi="Arial" w:cs="Arial"/>
                <w:color w:val="000000"/>
                <w:sz w:val="22"/>
                <w:szCs w:val="22"/>
              </w:rPr>
              <w:t>73.37(b)(4)(iii)</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Pr>
                <w:rFonts w:ascii="Arial" w:hAnsi="Arial" w:cs="Arial"/>
                <w:color w:val="000000"/>
                <w:sz w:val="22"/>
                <w:szCs w:val="22"/>
              </w:rPr>
              <w:t>Covered under 73.37(b)(2)</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w:t>
            </w:r>
            <w:r>
              <w:rPr>
                <w:rFonts w:ascii="Arial" w:hAnsi="Arial" w:cs="Arial"/>
                <w:color w:val="000000"/>
                <w:sz w:val="22"/>
                <w:szCs w:val="22"/>
              </w:rPr>
              <w:t>7</w:t>
            </w:r>
            <w:r w:rsidRPr="0051740C">
              <w:rPr>
                <w:rFonts w:ascii="Arial" w:hAnsi="Arial" w:cs="Arial"/>
                <w:color w:val="000000"/>
                <w:sz w:val="22"/>
                <w:szCs w:val="22"/>
              </w:rPr>
              <w:t>)</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73.72</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w:t>
            </w:r>
            <w:r>
              <w:rPr>
                <w:rFonts w:ascii="Arial" w:hAnsi="Arial" w:cs="Arial"/>
                <w:color w:val="000000"/>
                <w:sz w:val="22"/>
                <w:szCs w:val="22"/>
              </w:rPr>
              <w:t>f</w:t>
            </w:r>
            <w:r w:rsidRPr="0051740C">
              <w:rPr>
                <w:rFonts w:ascii="Arial" w:hAnsi="Arial" w:cs="Arial"/>
                <w:color w:val="000000"/>
                <w:sz w:val="22"/>
                <w:szCs w:val="22"/>
              </w:rPr>
              <w:t>)</w:t>
            </w:r>
          </w:p>
        </w:tc>
        <w:tc>
          <w:tcPr>
            <w:tcW w:w="6671" w:type="dxa"/>
            <w:gridSpan w:val="5"/>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73.7</w:t>
            </w:r>
            <w:r>
              <w:rPr>
                <w:rFonts w:ascii="Arial" w:hAnsi="Arial" w:cs="Arial"/>
                <w:color w:val="000000"/>
                <w:sz w:val="22"/>
                <w:szCs w:val="22"/>
              </w:rPr>
              <w:t>1</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73.38(d)</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90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73.38(d)(3)</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73.46(b)(9)</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73.55(l)(7)</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73.56(d)</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67</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25</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1,675</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0.33</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553</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73.56(f)</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sz w:val="22"/>
                <w:szCs w:val="22"/>
              </w:rPr>
            </w:pPr>
            <w:r w:rsidRPr="0051740C">
              <w:rPr>
                <w:rFonts w:ascii="Arial" w:hAnsi="Arial" w:cs="Arial"/>
                <w:sz w:val="22"/>
                <w:szCs w:val="22"/>
              </w:rPr>
              <w:t>67</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sz w:val="22"/>
                <w:szCs w:val="22"/>
              </w:rPr>
            </w:pPr>
            <w:r w:rsidRPr="0051740C">
              <w:rPr>
                <w:rFonts w:ascii="Arial" w:hAnsi="Arial" w:cs="Arial"/>
                <w:sz w:val="22"/>
                <w:szCs w:val="22"/>
              </w:rPr>
              <w:t>1.2</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sz w:val="22"/>
                <w:szCs w:val="22"/>
              </w:rPr>
            </w:pPr>
            <w:r w:rsidRPr="0051740C">
              <w:rPr>
                <w:rFonts w:ascii="Arial" w:hAnsi="Arial" w:cs="Arial"/>
                <w:sz w:val="22"/>
                <w:szCs w:val="22"/>
              </w:rPr>
              <w:t>80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sz w:val="22"/>
                <w:szCs w:val="22"/>
              </w:rPr>
            </w:pPr>
            <w:r w:rsidRPr="0051740C">
              <w:rPr>
                <w:rFonts w:ascii="Arial" w:hAnsi="Arial" w:cs="Arial"/>
                <w:sz w:val="22"/>
                <w:szCs w:val="22"/>
              </w:rPr>
              <w:t>0.20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sz w:val="22"/>
                <w:szCs w:val="22"/>
              </w:rPr>
            </w:pPr>
            <w:r w:rsidRPr="0051740C">
              <w:rPr>
                <w:rFonts w:ascii="Arial" w:hAnsi="Arial" w:cs="Arial"/>
                <w:sz w:val="22"/>
                <w:szCs w:val="22"/>
              </w:rPr>
              <w:t>16</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73.57(a) &amp; (d)</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64</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426.75</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27,312</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13,656</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73.67(e)(3)</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18.50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370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185</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73.67(e)(7)(</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73.67(e)(7)(ii) </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0</w:t>
            </w:r>
            <w:r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r>
              <w:rPr>
                <w:rFonts w:ascii="Arial" w:hAnsi="Arial" w:cs="Arial"/>
                <w:color w:val="000000"/>
                <w:sz w:val="22"/>
                <w:szCs w:val="22"/>
              </w:rPr>
              <w:t>0</w:t>
            </w:r>
          </w:p>
        </w:tc>
      </w:tr>
      <w:tr w:rsidR="00FB54C0" w:rsidRPr="0051740C" w:rsidTr="00F44E14">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73.67(g)(3)(iii) (No reports anticipated in the next 3 years)</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0 </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lastRenderedPageBreak/>
              <w:t>73.71(a) (None anticipated in next 3 years)</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0 </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41.50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73.71(b)</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73.71(d) </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73.72</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1.50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73.72(a)(4)(</w:t>
            </w:r>
            <w:proofErr w:type="spellStart"/>
            <w:r>
              <w:rPr>
                <w:rFonts w:ascii="Arial" w:hAnsi="Arial" w:cs="Arial"/>
                <w:color w:val="000000"/>
                <w:sz w:val="22"/>
                <w:szCs w:val="22"/>
              </w:rPr>
              <w:t>i</w:t>
            </w:r>
            <w:proofErr w:type="spellEnd"/>
            <w:r>
              <w:rPr>
                <w:rFonts w:ascii="Arial" w:hAnsi="Arial" w:cs="Arial"/>
                <w:color w:val="000000"/>
                <w:sz w:val="22"/>
                <w:szCs w:val="22"/>
              </w:rPr>
              <w:t>)-(iii)</w:t>
            </w:r>
          </w:p>
        </w:tc>
        <w:tc>
          <w:tcPr>
            <w:tcW w:w="151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3.33</w:t>
            </w:r>
          </w:p>
        </w:tc>
        <w:tc>
          <w:tcPr>
            <w:tcW w:w="1385"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60</w:t>
            </w:r>
          </w:p>
        </w:tc>
        <w:tc>
          <w:tcPr>
            <w:tcW w:w="1264"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0.3</w:t>
            </w:r>
          </w:p>
        </w:tc>
        <w:tc>
          <w:tcPr>
            <w:tcW w:w="1026" w:type="dxa"/>
            <w:tcBorders>
              <w:top w:val="nil"/>
              <w:left w:val="nil"/>
              <w:bottom w:val="single" w:sz="8" w:space="0" w:color="000000"/>
              <w:right w:val="single" w:sz="8" w:space="0" w:color="000000"/>
            </w:tcBorders>
            <w:shd w:val="clear" w:color="auto" w:fill="auto"/>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73.73</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4.50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90</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720</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73.74</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1.40</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224</w:t>
            </w:r>
          </w:p>
        </w:tc>
      </w:tr>
      <w:tr w:rsidR="00FB54C0" w:rsidRPr="0051740C" w:rsidTr="00F44E14">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G</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283</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283</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15</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4,245</w:t>
            </w:r>
          </w:p>
        </w:tc>
      </w:tr>
      <w:tr w:rsidR="00FB54C0" w:rsidRPr="0051740C" w:rsidTr="00F44E14">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Confirmatory Action Letter (Research and Test Reactors - Access)</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31</w:t>
            </w:r>
          </w:p>
        </w:tc>
        <w:tc>
          <w:tcPr>
            <w:tcW w:w="148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138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93</w:t>
            </w:r>
          </w:p>
        </w:tc>
        <w:tc>
          <w:tcPr>
            <w:tcW w:w="1264"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0.15</w:t>
            </w:r>
          </w:p>
        </w:tc>
        <w:tc>
          <w:tcPr>
            <w:tcW w:w="1026"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w:t>
            </w:r>
          </w:p>
        </w:tc>
      </w:tr>
      <w:tr w:rsidR="00FB54C0" w:rsidRPr="0051740C" w:rsidTr="00F44E14">
        <w:trPr>
          <w:trHeight w:val="300"/>
          <w:jc w:val="center"/>
        </w:trPr>
        <w:tc>
          <w:tcPr>
            <w:tcW w:w="3533" w:type="dxa"/>
            <w:tcBorders>
              <w:top w:val="single" w:sz="8" w:space="0" w:color="000000"/>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single" w:sz="8" w:space="0" w:color="000000"/>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283</w:t>
            </w:r>
          </w:p>
        </w:tc>
        <w:tc>
          <w:tcPr>
            <w:tcW w:w="1483" w:type="dxa"/>
            <w:tcBorders>
              <w:top w:val="single" w:sz="8" w:space="0" w:color="000000"/>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385" w:type="dxa"/>
            <w:tcBorders>
              <w:top w:val="single" w:sz="8" w:space="0" w:color="000000"/>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30,3</w:t>
            </w:r>
            <w:r>
              <w:rPr>
                <w:rFonts w:ascii="Arial" w:hAnsi="Arial" w:cs="Arial"/>
                <w:b/>
                <w:color w:val="000000"/>
                <w:sz w:val="22"/>
                <w:szCs w:val="22"/>
              </w:rPr>
              <w:t>01</w:t>
            </w:r>
          </w:p>
        </w:tc>
        <w:tc>
          <w:tcPr>
            <w:tcW w:w="1264" w:type="dxa"/>
            <w:tcBorders>
              <w:top w:val="single" w:sz="8" w:space="0" w:color="000000"/>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026" w:type="dxa"/>
            <w:tcBorders>
              <w:top w:val="single" w:sz="8" w:space="0" w:color="000000"/>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20,8</w:t>
            </w:r>
            <w:r>
              <w:rPr>
                <w:rFonts w:ascii="Arial" w:hAnsi="Arial" w:cs="Arial"/>
                <w:b/>
                <w:color w:val="000000"/>
                <w:sz w:val="22"/>
                <w:szCs w:val="22"/>
              </w:rPr>
              <w:t>03</w:t>
            </w:r>
          </w:p>
        </w:tc>
      </w:tr>
    </w:tbl>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cs="Arial"/>
          <w:sz w:val="22"/>
          <w:szCs w:val="22"/>
        </w:rPr>
      </w:pPr>
      <w:r w:rsidRPr="0051740C">
        <w:rPr>
          <w:rFonts w:ascii="Arial" w:hAnsi="Arial" w:cs="Arial"/>
          <w:sz w:val="22"/>
          <w:szCs w:val="22"/>
        </w:rPr>
        <w:br w:type="page"/>
      </w:r>
      <w:r w:rsidRPr="0051740C">
        <w:rPr>
          <w:rFonts w:ascii="Arial" w:hAnsi="Arial" w:cs="Arial"/>
          <w:sz w:val="22"/>
          <w:szCs w:val="22"/>
        </w:rPr>
        <w:lastRenderedPageBreak/>
        <w:t>Table 2</w:t>
      </w:r>
    </w:p>
    <w:p w:rsidR="00FB54C0" w:rsidRPr="0051740C"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cs="Arial"/>
          <w:sz w:val="22"/>
          <w:szCs w:val="22"/>
        </w:rPr>
      </w:pPr>
      <w:r w:rsidRPr="0051740C">
        <w:rPr>
          <w:rFonts w:ascii="Arial" w:hAnsi="Arial" w:cs="Arial"/>
          <w:sz w:val="22"/>
          <w:szCs w:val="22"/>
          <w:u w:val="single"/>
        </w:rPr>
        <w:t>10 CFR Part 73 One-Time Reporting Burden (Annualized)</w:t>
      </w:r>
    </w:p>
    <w:tbl>
      <w:tblPr>
        <w:tblW w:w="9950" w:type="dxa"/>
        <w:jc w:val="center"/>
        <w:tblLook w:val="04A0" w:firstRow="1" w:lastRow="0" w:firstColumn="1" w:lastColumn="0" w:noHBand="0" w:noVBand="1"/>
      </w:tblPr>
      <w:tblGrid>
        <w:gridCol w:w="2966"/>
        <w:gridCol w:w="1513"/>
        <w:gridCol w:w="1523"/>
        <w:gridCol w:w="1470"/>
        <w:gridCol w:w="1373"/>
        <w:gridCol w:w="7"/>
        <w:gridCol w:w="1098"/>
      </w:tblGrid>
      <w:tr w:rsidR="00FB54C0" w:rsidRPr="0051740C" w:rsidTr="00F44E14">
        <w:trPr>
          <w:trHeight w:val="975"/>
          <w:jc w:val="center"/>
        </w:trPr>
        <w:tc>
          <w:tcPr>
            <w:tcW w:w="2966" w:type="dxa"/>
            <w:tcBorders>
              <w:top w:val="single" w:sz="8" w:space="0" w:color="000000"/>
              <w:left w:val="single" w:sz="8" w:space="0" w:color="000000"/>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523"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Responses per Respondent</w:t>
            </w:r>
          </w:p>
        </w:tc>
        <w:tc>
          <w:tcPr>
            <w:tcW w:w="1470"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Number of Responses</w:t>
            </w:r>
          </w:p>
        </w:tc>
        <w:tc>
          <w:tcPr>
            <w:tcW w:w="1380" w:type="dxa"/>
            <w:gridSpan w:val="2"/>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Burden Hours per Response</w:t>
            </w:r>
          </w:p>
        </w:tc>
        <w:tc>
          <w:tcPr>
            <w:tcW w:w="1098"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Total one-time Burden Hours</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tcPr>
          <w:p w:rsidR="00FB54C0" w:rsidRPr="0051740C" w:rsidRDefault="00FB54C0" w:rsidP="00F44E14">
            <w:pPr>
              <w:rPr>
                <w:rFonts w:ascii="Arial" w:hAnsi="Arial" w:cs="Arial"/>
                <w:color w:val="000000"/>
                <w:sz w:val="22"/>
                <w:szCs w:val="22"/>
              </w:rPr>
            </w:pPr>
            <w:r>
              <w:rPr>
                <w:rFonts w:ascii="Arial" w:hAnsi="Arial" w:cs="Arial"/>
                <w:color w:val="000000"/>
                <w:sz w:val="22"/>
                <w:szCs w:val="22"/>
              </w:rPr>
              <w:t>73.38(j)</w:t>
            </w:r>
          </w:p>
        </w:tc>
        <w:tc>
          <w:tcPr>
            <w:tcW w:w="151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w:t>
            </w:r>
          </w:p>
        </w:tc>
        <w:tc>
          <w:tcPr>
            <w:tcW w:w="152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470"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w:t>
            </w:r>
          </w:p>
        </w:tc>
        <w:tc>
          <w:tcPr>
            <w:tcW w:w="137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70</w:t>
            </w:r>
          </w:p>
        </w:tc>
        <w:tc>
          <w:tcPr>
            <w:tcW w:w="1105" w:type="dxa"/>
            <w:gridSpan w:val="2"/>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420</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vAlign w:val="center"/>
          </w:tcPr>
          <w:p w:rsidR="00FB54C0" w:rsidRDefault="00FB54C0" w:rsidP="00F44E14">
            <w:pPr>
              <w:jc w:val="both"/>
              <w:rPr>
                <w:rFonts w:ascii="Arial" w:hAnsi="Arial" w:cs="Arial"/>
                <w:color w:val="000000"/>
                <w:sz w:val="20"/>
              </w:rPr>
            </w:pPr>
            <w:r>
              <w:rPr>
                <w:rFonts w:ascii="Arial" w:hAnsi="Arial" w:cs="Arial"/>
                <w:color w:val="000000"/>
                <w:sz w:val="20"/>
              </w:rPr>
              <w:t>73.57(b)(1)</w:t>
            </w:r>
          </w:p>
        </w:tc>
        <w:tc>
          <w:tcPr>
            <w:tcW w:w="6984" w:type="dxa"/>
            <w:gridSpan w:val="6"/>
            <w:tcBorders>
              <w:top w:val="nil"/>
              <w:left w:val="nil"/>
              <w:bottom w:val="single" w:sz="8" w:space="0" w:color="000000"/>
              <w:right w:val="single" w:sz="8" w:space="0" w:color="000000"/>
            </w:tcBorders>
            <w:shd w:val="clear" w:color="000000" w:fill="FFFFFF"/>
            <w:vAlign w:val="center"/>
          </w:tcPr>
          <w:p w:rsidR="00FB54C0" w:rsidRDefault="00FB54C0" w:rsidP="00F44E14">
            <w:pPr>
              <w:jc w:val="center"/>
              <w:rPr>
                <w:rFonts w:ascii="Arial" w:hAnsi="Arial" w:cs="Arial"/>
                <w:color w:val="000000"/>
                <w:sz w:val="20"/>
              </w:rPr>
            </w:pPr>
            <w:r>
              <w:rPr>
                <w:rFonts w:ascii="Arial" w:hAnsi="Arial" w:cs="Arial"/>
                <w:color w:val="000000"/>
                <w:sz w:val="20"/>
              </w:rPr>
              <w:t>Included in 73.57(g)(2)(</w:t>
            </w:r>
            <w:proofErr w:type="spellStart"/>
            <w:r>
              <w:rPr>
                <w:rFonts w:ascii="Arial" w:hAnsi="Arial" w:cs="Arial"/>
                <w:color w:val="000000"/>
                <w:sz w:val="20"/>
              </w:rPr>
              <w:t>i</w:t>
            </w:r>
            <w:proofErr w:type="spellEnd"/>
            <w:r>
              <w:rPr>
                <w:rFonts w:ascii="Arial" w:hAnsi="Arial" w:cs="Arial"/>
                <w:color w:val="000000"/>
                <w:sz w:val="20"/>
              </w:rPr>
              <w:t>)&amp;(ii)</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vAlign w:val="center"/>
          </w:tcPr>
          <w:p w:rsidR="00FB54C0" w:rsidRDefault="00FB54C0" w:rsidP="00F44E14">
            <w:pPr>
              <w:jc w:val="both"/>
              <w:rPr>
                <w:rFonts w:ascii="Arial" w:hAnsi="Arial" w:cs="Arial"/>
                <w:color w:val="000000"/>
                <w:sz w:val="20"/>
              </w:rPr>
            </w:pPr>
            <w:r>
              <w:rPr>
                <w:rFonts w:ascii="Arial" w:hAnsi="Arial" w:cs="Arial"/>
                <w:color w:val="000000"/>
                <w:sz w:val="20"/>
              </w:rPr>
              <w:t>73.57(b)(6)</w:t>
            </w:r>
          </w:p>
        </w:tc>
        <w:tc>
          <w:tcPr>
            <w:tcW w:w="6984" w:type="dxa"/>
            <w:gridSpan w:val="6"/>
            <w:tcBorders>
              <w:top w:val="nil"/>
              <w:left w:val="nil"/>
              <w:bottom w:val="single" w:sz="8" w:space="0" w:color="000000"/>
              <w:right w:val="single" w:sz="8" w:space="0" w:color="000000"/>
            </w:tcBorders>
            <w:shd w:val="clear" w:color="000000" w:fill="FFFFFF"/>
            <w:vAlign w:val="center"/>
          </w:tcPr>
          <w:p w:rsidR="00FB54C0" w:rsidRDefault="00FB54C0" w:rsidP="00F44E14">
            <w:pPr>
              <w:jc w:val="center"/>
              <w:rPr>
                <w:rFonts w:ascii="Arial" w:hAnsi="Arial" w:cs="Arial"/>
                <w:color w:val="000000"/>
                <w:sz w:val="20"/>
              </w:rPr>
            </w:pPr>
            <w:r>
              <w:rPr>
                <w:rFonts w:ascii="Arial" w:hAnsi="Arial" w:cs="Arial"/>
                <w:color w:val="000000"/>
                <w:sz w:val="20"/>
              </w:rPr>
              <w:t>Included in 73.57(g)(2)(</w:t>
            </w:r>
            <w:proofErr w:type="spellStart"/>
            <w:r>
              <w:rPr>
                <w:rFonts w:ascii="Arial" w:hAnsi="Arial" w:cs="Arial"/>
                <w:color w:val="000000"/>
                <w:sz w:val="20"/>
              </w:rPr>
              <w:t>i</w:t>
            </w:r>
            <w:proofErr w:type="spellEnd"/>
            <w:r>
              <w:rPr>
                <w:rFonts w:ascii="Arial" w:hAnsi="Arial" w:cs="Arial"/>
                <w:color w:val="000000"/>
                <w:sz w:val="20"/>
              </w:rPr>
              <w:t>)&amp;(ii)</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vAlign w:val="center"/>
          </w:tcPr>
          <w:p w:rsidR="00FB54C0" w:rsidRDefault="00FB54C0" w:rsidP="00F44E14">
            <w:pPr>
              <w:jc w:val="both"/>
              <w:rPr>
                <w:rFonts w:ascii="Arial" w:hAnsi="Arial" w:cs="Arial"/>
                <w:color w:val="000000"/>
                <w:sz w:val="20"/>
              </w:rPr>
            </w:pPr>
            <w:r>
              <w:rPr>
                <w:rFonts w:ascii="Arial" w:hAnsi="Arial" w:cs="Arial"/>
                <w:color w:val="000000"/>
                <w:sz w:val="20"/>
              </w:rPr>
              <w:t>73.57(d)(1)</w:t>
            </w:r>
          </w:p>
        </w:tc>
        <w:tc>
          <w:tcPr>
            <w:tcW w:w="6984" w:type="dxa"/>
            <w:gridSpan w:val="6"/>
            <w:tcBorders>
              <w:top w:val="nil"/>
              <w:left w:val="nil"/>
              <w:bottom w:val="single" w:sz="8" w:space="0" w:color="000000"/>
              <w:right w:val="single" w:sz="8" w:space="0" w:color="000000"/>
            </w:tcBorders>
            <w:shd w:val="clear" w:color="000000" w:fill="FFFFFF"/>
            <w:vAlign w:val="center"/>
          </w:tcPr>
          <w:p w:rsidR="00FB54C0" w:rsidRDefault="00FB54C0" w:rsidP="00F44E14">
            <w:pPr>
              <w:jc w:val="center"/>
              <w:rPr>
                <w:rFonts w:ascii="Arial" w:hAnsi="Arial" w:cs="Arial"/>
                <w:color w:val="000000"/>
                <w:sz w:val="20"/>
              </w:rPr>
            </w:pPr>
            <w:r>
              <w:rPr>
                <w:rFonts w:ascii="Arial" w:hAnsi="Arial" w:cs="Arial"/>
                <w:color w:val="000000"/>
                <w:sz w:val="20"/>
              </w:rPr>
              <w:t>Included in 73.57(g)(2)(</w:t>
            </w:r>
            <w:proofErr w:type="spellStart"/>
            <w:r>
              <w:rPr>
                <w:rFonts w:ascii="Arial" w:hAnsi="Arial" w:cs="Arial"/>
                <w:color w:val="000000"/>
                <w:sz w:val="20"/>
              </w:rPr>
              <w:t>i</w:t>
            </w:r>
            <w:proofErr w:type="spellEnd"/>
            <w:r>
              <w:rPr>
                <w:rFonts w:ascii="Arial" w:hAnsi="Arial" w:cs="Arial"/>
                <w:color w:val="000000"/>
                <w:sz w:val="20"/>
              </w:rPr>
              <w:t>)&amp;(ii)</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vAlign w:val="center"/>
          </w:tcPr>
          <w:p w:rsidR="00FB54C0" w:rsidRDefault="00FB54C0" w:rsidP="00F44E14">
            <w:pPr>
              <w:jc w:val="both"/>
              <w:rPr>
                <w:rFonts w:ascii="Arial" w:hAnsi="Arial" w:cs="Arial"/>
                <w:color w:val="000000"/>
                <w:sz w:val="20"/>
              </w:rPr>
            </w:pPr>
            <w:r>
              <w:rPr>
                <w:rFonts w:ascii="Arial" w:hAnsi="Arial" w:cs="Arial"/>
                <w:color w:val="000000"/>
                <w:sz w:val="20"/>
              </w:rPr>
              <w:t>73.57(d)(2)</w:t>
            </w:r>
          </w:p>
        </w:tc>
        <w:tc>
          <w:tcPr>
            <w:tcW w:w="6984" w:type="dxa"/>
            <w:gridSpan w:val="6"/>
            <w:tcBorders>
              <w:top w:val="nil"/>
              <w:left w:val="nil"/>
              <w:bottom w:val="single" w:sz="8" w:space="0" w:color="000000"/>
              <w:right w:val="single" w:sz="8" w:space="0" w:color="000000"/>
            </w:tcBorders>
            <w:shd w:val="clear" w:color="000000" w:fill="FFFFFF"/>
            <w:vAlign w:val="center"/>
          </w:tcPr>
          <w:p w:rsidR="00FB54C0" w:rsidRDefault="00FB54C0" w:rsidP="00F44E14">
            <w:pPr>
              <w:jc w:val="center"/>
              <w:rPr>
                <w:rFonts w:ascii="Arial" w:hAnsi="Arial" w:cs="Arial"/>
                <w:color w:val="000000"/>
                <w:sz w:val="20"/>
              </w:rPr>
            </w:pPr>
            <w:r>
              <w:rPr>
                <w:rFonts w:ascii="Arial" w:hAnsi="Arial" w:cs="Arial"/>
                <w:color w:val="000000"/>
                <w:sz w:val="20"/>
              </w:rPr>
              <w:t>Included in 73.57(g)(2)(</w:t>
            </w:r>
            <w:proofErr w:type="spellStart"/>
            <w:r>
              <w:rPr>
                <w:rFonts w:ascii="Arial" w:hAnsi="Arial" w:cs="Arial"/>
                <w:color w:val="000000"/>
                <w:sz w:val="20"/>
              </w:rPr>
              <w:t>i</w:t>
            </w:r>
            <w:proofErr w:type="spellEnd"/>
            <w:r>
              <w:rPr>
                <w:rFonts w:ascii="Arial" w:hAnsi="Arial" w:cs="Arial"/>
                <w:color w:val="000000"/>
                <w:sz w:val="20"/>
              </w:rPr>
              <w:t>)&amp;(ii)</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tcPr>
          <w:p w:rsidR="00FB54C0" w:rsidRPr="0051740C" w:rsidRDefault="00FB54C0" w:rsidP="00F44E14">
            <w:pPr>
              <w:rPr>
                <w:rFonts w:ascii="Arial" w:hAnsi="Arial" w:cs="Arial"/>
                <w:color w:val="000000"/>
                <w:sz w:val="22"/>
                <w:szCs w:val="22"/>
              </w:rPr>
            </w:pPr>
            <w:r w:rsidRPr="004132AF">
              <w:rPr>
                <w:rFonts w:ascii="Arial" w:hAnsi="Arial" w:cs="Arial"/>
                <w:color w:val="000000"/>
                <w:sz w:val="22"/>
                <w:szCs w:val="22"/>
              </w:rPr>
              <w:t>73.57(g)(2)(</w:t>
            </w:r>
            <w:proofErr w:type="spellStart"/>
            <w:r w:rsidRPr="004132AF">
              <w:rPr>
                <w:rFonts w:ascii="Arial" w:hAnsi="Arial" w:cs="Arial"/>
                <w:color w:val="000000"/>
                <w:sz w:val="22"/>
                <w:szCs w:val="22"/>
              </w:rPr>
              <w:t>i</w:t>
            </w:r>
            <w:proofErr w:type="spellEnd"/>
            <w:r w:rsidRPr="004132AF">
              <w:rPr>
                <w:rFonts w:ascii="Arial" w:hAnsi="Arial" w:cs="Arial"/>
                <w:color w:val="000000"/>
                <w:sz w:val="22"/>
                <w:szCs w:val="22"/>
              </w:rPr>
              <w:t>)</w:t>
            </w:r>
          </w:p>
        </w:tc>
        <w:tc>
          <w:tcPr>
            <w:tcW w:w="151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152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1.4</w:t>
            </w:r>
          </w:p>
        </w:tc>
        <w:tc>
          <w:tcPr>
            <w:tcW w:w="1470"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w:t>
            </w:r>
          </w:p>
        </w:tc>
        <w:tc>
          <w:tcPr>
            <w:tcW w:w="1373" w:type="dxa"/>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4.5</w:t>
            </w:r>
          </w:p>
        </w:tc>
        <w:tc>
          <w:tcPr>
            <w:tcW w:w="1105" w:type="dxa"/>
            <w:gridSpan w:val="2"/>
            <w:tcBorders>
              <w:top w:val="nil"/>
              <w:left w:val="nil"/>
              <w:bottom w:val="single" w:sz="8" w:space="0" w:color="000000"/>
              <w:right w:val="single" w:sz="8" w:space="0" w:color="000000"/>
            </w:tcBorders>
            <w:shd w:val="clear" w:color="000000" w:fill="FFFFFF"/>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32</w:t>
            </w:r>
          </w:p>
        </w:tc>
      </w:tr>
      <w:tr w:rsidR="00FB54C0" w:rsidRPr="0051740C" w:rsidTr="00F44E14">
        <w:trPr>
          <w:trHeight w:val="300"/>
          <w:jc w:val="center"/>
        </w:trPr>
        <w:tc>
          <w:tcPr>
            <w:tcW w:w="2966"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tabs>
                <w:tab w:val="center" w:pos="648"/>
                <w:tab w:val="right" w:pos="1297"/>
              </w:tabs>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t>6</w:t>
            </w:r>
          </w:p>
        </w:tc>
        <w:tc>
          <w:tcPr>
            <w:tcW w:w="152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470" w:type="dxa"/>
            <w:tcBorders>
              <w:top w:val="nil"/>
              <w:left w:val="nil"/>
              <w:bottom w:val="single" w:sz="8" w:space="0" w:color="000000"/>
              <w:right w:val="single" w:sz="8" w:space="0" w:color="000000"/>
            </w:tcBorders>
            <w:shd w:val="clear" w:color="auto" w:fill="auto"/>
            <w:hideMark/>
          </w:tcPr>
          <w:p w:rsidR="00FB54C0" w:rsidRPr="0051740C" w:rsidRDefault="00FB54C0" w:rsidP="00F44E14">
            <w:pPr>
              <w:tabs>
                <w:tab w:val="center" w:pos="627"/>
                <w:tab w:val="right" w:pos="1254"/>
              </w:tabs>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t>13</w:t>
            </w:r>
          </w:p>
        </w:tc>
        <w:tc>
          <w:tcPr>
            <w:tcW w:w="1373" w:type="dxa"/>
            <w:tcBorders>
              <w:top w:val="nil"/>
              <w:left w:val="nil"/>
              <w:bottom w:val="single" w:sz="8" w:space="0" w:color="000000"/>
              <w:right w:val="single" w:sz="8" w:space="0" w:color="000000"/>
            </w:tcBorders>
            <w:shd w:val="clear" w:color="000000" w:fill="FFFFFF"/>
            <w:hideMark/>
          </w:tcPr>
          <w:p w:rsidR="00FB54C0" w:rsidRPr="0051740C" w:rsidRDefault="00FB54C0" w:rsidP="00F44E14">
            <w:pPr>
              <w:jc w:val="right"/>
              <w:rPr>
                <w:rFonts w:ascii="Arial" w:hAnsi="Arial" w:cs="Arial"/>
                <w:b/>
                <w:color w:val="000000"/>
                <w:sz w:val="22"/>
                <w:szCs w:val="22"/>
              </w:rPr>
            </w:pPr>
          </w:p>
        </w:tc>
        <w:tc>
          <w:tcPr>
            <w:tcW w:w="1105" w:type="dxa"/>
            <w:gridSpan w:val="2"/>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Pr>
                <w:rFonts w:ascii="Arial" w:hAnsi="Arial" w:cs="Arial"/>
                <w:b/>
                <w:color w:val="000000"/>
                <w:sz w:val="22"/>
                <w:szCs w:val="22"/>
              </w:rPr>
              <w:t>452</w:t>
            </w:r>
          </w:p>
        </w:tc>
      </w:tr>
    </w:tbl>
    <w:p w:rsidR="00FB54C0" w:rsidRPr="0051740C" w:rsidRDefault="00FB54C0" w:rsidP="00FB54C0">
      <w:pPr>
        <w:widowControl w:val="0"/>
        <w:tabs>
          <w:tab w:val="center" w:pos="5040"/>
        </w:tabs>
        <w:rPr>
          <w:rFonts w:ascii="Arial" w:hAnsi="Arial" w:cs="Arial"/>
          <w:sz w:val="22"/>
          <w:szCs w:val="22"/>
        </w:rPr>
      </w:pPr>
      <w:r w:rsidRPr="0051740C">
        <w:rPr>
          <w:rFonts w:ascii="Arial" w:hAnsi="Arial" w:cs="Arial"/>
          <w:sz w:val="22"/>
          <w:szCs w:val="22"/>
        </w:rPr>
        <w:br w:type="page"/>
      </w:r>
      <w:r w:rsidRPr="0051740C">
        <w:rPr>
          <w:rFonts w:ascii="Arial" w:hAnsi="Arial" w:cs="Arial"/>
          <w:sz w:val="22"/>
          <w:szCs w:val="22"/>
        </w:rPr>
        <w:lastRenderedPageBreak/>
        <w:tab/>
        <w:t>Table 3</w:t>
      </w:r>
    </w:p>
    <w:p w:rsidR="00FB54C0" w:rsidRPr="0051740C" w:rsidRDefault="00FB54C0" w:rsidP="00FB54C0">
      <w:pPr>
        <w:widowControl w:val="0"/>
        <w:tabs>
          <w:tab w:val="center" w:pos="5040"/>
        </w:tabs>
        <w:jc w:val="center"/>
        <w:rPr>
          <w:rFonts w:ascii="Arial" w:hAnsi="Arial" w:cs="Arial"/>
          <w:sz w:val="22"/>
          <w:szCs w:val="22"/>
          <w:u w:val="single"/>
        </w:rPr>
      </w:pPr>
      <w:r w:rsidRPr="0051740C">
        <w:rPr>
          <w:rFonts w:ascii="Arial" w:hAnsi="Arial" w:cs="Arial"/>
          <w:sz w:val="22"/>
          <w:szCs w:val="22"/>
          <w:u w:val="single"/>
        </w:rPr>
        <w:t>10 CFR Part 73 Annual Recordkeeping Burden</w:t>
      </w:r>
    </w:p>
    <w:p w:rsidR="00FB54C0" w:rsidRPr="0051740C" w:rsidRDefault="00FB54C0" w:rsidP="00FB54C0">
      <w:pPr>
        <w:widowControl w:val="0"/>
        <w:tabs>
          <w:tab w:val="center" w:pos="5040"/>
        </w:tabs>
        <w:jc w:val="center"/>
        <w:rPr>
          <w:rFonts w:ascii="Arial" w:hAnsi="Arial" w:cs="Arial"/>
          <w:sz w:val="22"/>
          <w:szCs w:val="22"/>
        </w:rPr>
      </w:pPr>
    </w:p>
    <w:tbl>
      <w:tblPr>
        <w:tblW w:w="9880" w:type="dxa"/>
        <w:jc w:val="center"/>
        <w:tblLook w:val="04A0" w:firstRow="1" w:lastRow="0" w:firstColumn="1" w:lastColumn="0" w:noHBand="0" w:noVBand="1"/>
      </w:tblPr>
      <w:tblGrid>
        <w:gridCol w:w="3120"/>
        <w:gridCol w:w="1708"/>
        <w:gridCol w:w="22"/>
        <w:gridCol w:w="1491"/>
        <w:gridCol w:w="39"/>
        <w:gridCol w:w="1440"/>
        <w:gridCol w:w="22"/>
        <w:gridCol w:w="968"/>
        <w:gridCol w:w="1070"/>
      </w:tblGrid>
      <w:tr w:rsidR="00FB54C0" w:rsidRPr="0051740C" w:rsidTr="00F44E14">
        <w:trPr>
          <w:trHeight w:val="960"/>
          <w:tblHeader/>
          <w:jc w:val="center"/>
        </w:trPr>
        <w:tc>
          <w:tcPr>
            <w:tcW w:w="3120" w:type="dxa"/>
            <w:tcBorders>
              <w:top w:val="single" w:sz="8" w:space="0" w:color="000000"/>
              <w:left w:val="single" w:sz="8" w:space="0" w:color="000000"/>
              <w:bottom w:val="single" w:sz="8" w:space="0" w:color="000000"/>
              <w:right w:val="nil"/>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Section (including Record Retention Period)</w:t>
            </w:r>
            <w:r w:rsidRPr="0051740C">
              <w:rPr>
                <w:rStyle w:val="FootnoteReference"/>
                <w:rFonts w:ascii="Arial" w:hAnsi="Arial"/>
                <w:sz w:val="18"/>
              </w:rPr>
              <w:footnoteReference w:id="1"/>
            </w:r>
          </w:p>
        </w:tc>
        <w:tc>
          <w:tcPr>
            <w:tcW w:w="1708" w:type="dxa"/>
            <w:tcBorders>
              <w:top w:val="single" w:sz="8" w:space="0" w:color="auto"/>
              <w:left w:val="single" w:sz="8" w:space="0" w:color="auto"/>
              <w:bottom w:val="single" w:sz="4" w:space="0" w:color="auto"/>
              <w:right w:val="single" w:sz="4"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 xml:space="preserve">No. of </w:t>
            </w:r>
            <w:proofErr w:type="spellStart"/>
            <w:r w:rsidRPr="0051740C">
              <w:rPr>
                <w:rFonts w:ascii="Arial" w:hAnsi="Arial" w:cs="Arial"/>
                <w:color w:val="000000"/>
                <w:sz w:val="22"/>
                <w:szCs w:val="22"/>
              </w:rPr>
              <w:t>Recordkeepers</w:t>
            </w:r>
            <w:proofErr w:type="spellEnd"/>
          </w:p>
        </w:tc>
        <w:tc>
          <w:tcPr>
            <w:tcW w:w="1513" w:type="dxa"/>
            <w:gridSpan w:val="2"/>
            <w:tcBorders>
              <w:top w:val="single" w:sz="8" w:space="0" w:color="auto"/>
              <w:left w:val="nil"/>
              <w:bottom w:val="single" w:sz="4" w:space="0" w:color="auto"/>
              <w:right w:val="single" w:sz="4"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 xml:space="preserve">Records per </w:t>
            </w:r>
            <w:proofErr w:type="spellStart"/>
            <w:r w:rsidRPr="0051740C">
              <w:rPr>
                <w:rFonts w:ascii="Arial" w:hAnsi="Arial" w:cs="Arial"/>
                <w:color w:val="000000"/>
                <w:sz w:val="22"/>
                <w:szCs w:val="22"/>
              </w:rPr>
              <w:t>recordkeeper</w:t>
            </w:r>
            <w:proofErr w:type="spellEnd"/>
          </w:p>
        </w:tc>
        <w:tc>
          <w:tcPr>
            <w:tcW w:w="1501" w:type="dxa"/>
            <w:gridSpan w:val="3"/>
            <w:tcBorders>
              <w:top w:val="single" w:sz="8" w:space="0" w:color="auto"/>
              <w:left w:val="nil"/>
              <w:bottom w:val="single" w:sz="4" w:space="0" w:color="auto"/>
              <w:right w:val="single" w:sz="4"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Number of Records</w:t>
            </w:r>
          </w:p>
        </w:tc>
        <w:tc>
          <w:tcPr>
            <w:tcW w:w="968" w:type="dxa"/>
            <w:tcBorders>
              <w:top w:val="single" w:sz="8" w:space="0" w:color="auto"/>
              <w:left w:val="nil"/>
              <w:bottom w:val="single" w:sz="4" w:space="0" w:color="auto"/>
              <w:right w:val="single" w:sz="4"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Hours per record</w:t>
            </w:r>
          </w:p>
        </w:tc>
        <w:tc>
          <w:tcPr>
            <w:tcW w:w="1070" w:type="dxa"/>
            <w:tcBorders>
              <w:top w:val="single" w:sz="8" w:space="0" w:color="auto"/>
              <w:left w:val="nil"/>
              <w:bottom w:val="single" w:sz="4" w:space="0" w:color="auto"/>
              <w:right w:val="single" w:sz="8"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Total Annual Burden Hours</w:t>
            </w:r>
          </w:p>
        </w:tc>
      </w:tr>
      <w:tr w:rsidR="00FB54C0" w:rsidRPr="0051740C" w:rsidTr="00F44E14">
        <w:trPr>
          <w:trHeight w:val="268"/>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73.20(c) - (L, P+3, S+3)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1,200</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bookmarkStart w:id="17" w:name="RANGE!A3"/>
            <w:r w:rsidRPr="0051740C">
              <w:rPr>
                <w:rFonts w:ascii="Arial" w:hAnsi="Arial" w:cs="Arial"/>
                <w:color w:val="000000"/>
                <w:sz w:val="22"/>
                <w:szCs w:val="22"/>
              </w:rPr>
              <w:t xml:space="preserve">73.22(b) </w:t>
            </w:r>
            <w:bookmarkEnd w:id="17"/>
            <w:r w:rsidRPr="0051740C">
              <w:rPr>
                <w:rFonts w:ascii="Arial" w:hAnsi="Arial" w:cs="Arial"/>
                <w:color w:val="000000"/>
                <w:sz w:val="22"/>
                <w:szCs w:val="22"/>
              </w:rPr>
              <w:t>– (A+1)</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73.22(d)  and (f) – (D)</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109</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21.50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2,344</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1,172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73.23(b) – (A+1)</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173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346</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346</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73.23(d) and (f) – (D)</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409</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5,726</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1,432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73.24(b)(1) </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135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405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81</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73.25(b)</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73.25(c)</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73.25(d)</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73.26(c)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Records retention periods for multiple requirements, burden included in each specific requirement.</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73.26(d)(3)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73.26(d)(4)  - (E,Q,R+3)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 </w:t>
            </w: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120</w:t>
            </w:r>
          </w:p>
        </w:tc>
      </w:tr>
      <w:tr w:rsidR="00FB54C0" w:rsidRPr="0051740C" w:rsidTr="00F44E14">
        <w:trPr>
          <w:trHeight w:val="300"/>
          <w:jc w:val="center"/>
        </w:trPr>
        <w:tc>
          <w:tcPr>
            <w:tcW w:w="3120" w:type="dxa"/>
            <w:tcBorders>
              <w:top w:val="single" w:sz="4" w:space="0" w:color="auto"/>
              <w:left w:val="single" w:sz="4" w:space="0" w:color="auto"/>
              <w:bottom w:val="single" w:sz="4" w:space="0" w:color="auto"/>
              <w:right w:val="nil"/>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73.26(e)(1) – (P+3)</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73.26(g)(1)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w:t>
            </w:r>
            <w:r w:rsidRPr="0051740C">
              <w:rPr>
                <w:rFonts w:ascii="Arial" w:hAnsi="Arial" w:cs="Arial"/>
                <w:color w:val="000000"/>
                <w:sz w:val="22"/>
                <w:szCs w:val="22"/>
              </w:rPr>
              <w:t>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w:t>
            </w:r>
            <w:r w:rsidRPr="0051740C">
              <w:rPr>
                <w:rFonts w:ascii="Arial" w:hAnsi="Arial" w:cs="Arial"/>
                <w:color w:val="000000"/>
                <w:sz w:val="22"/>
                <w:szCs w:val="22"/>
              </w:rPr>
              <w:t>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73.26(h)(5)</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73.26(h)(6)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)(1)  - (S)</w:t>
            </w:r>
          </w:p>
        </w:tc>
        <w:tc>
          <w:tcPr>
            <w:tcW w:w="1708" w:type="dxa"/>
            <w:tcBorders>
              <w:top w:val="nil"/>
              <w:left w:val="single" w:sz="8" w:space="0" w:color="auto"/>
              <w:bottom w:val="single" w:sz="8" w:space="0" w:color="000000"/>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8E736A">
              <w:rPr>
                <w:rFonts w:ascii="Arial" w:hAnsi="Arial" w:cs="Arial"/>
                <w:color w:val="000000"/>
                <w:sz w:val="22"/>
                <w:szCs w:val="22"/>
              </w:rPr>
              <w:t>3</w:t>
            </w:r>
          </w:p>
        </w:tc>
        <w:tc>
          <w:tcPr>
            <w:tcW w:w="1513" w:type="dxa"/>
            <w:gridSpan w:val="2"/>
            <w:tcBorders>
              <w:top w:val="nil"/>
              <w:left w:val="nil"/>
              <w:bottom w:val="single" w:sz="8" w:space="0" w:color="000000"/>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20</w:t>
            </w:r>
          </w:p>
        </w:tc>
        <w:tc>
          <w:tcPr>
            <w:tcW w:w="1501" w:type="dxa"/>
            <w:gridSpan w:val="3"/>
            <w:tcBorders>
              <w:top w:val="nil"/>
              <w:left w:val="nil"/>
              <w:bottom w:val="single" w:sz="8" w:space="0" w:color="000000"/>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60</w:t>
            </w:r>
          </w:p>
        </w:tc>
        <w:tc>
          <w:tcPr>
            <w:tcW w:w="968" w:type="dxa"/>
            <w:tcBorders>
              <w:top w:val="nil"/>
              <w:left w:val="nil"/>
              <w:bottom w:val="single" w:sz="8" w:space="0" w:color="000000"/>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w:t>
            </w:r>
          </w:p>
        </w:tc>
        <w:tc>
          <w:tcPr>
            <w:tcW w:w="1070" w:type="dxa"/>
            <w:tcBorders>
              <w:top w:val="nil"/>
              <w:left w:val="nil"/>
              <w:bottom w:val="single" w:sz="8" w:space="0" w:color="000000"/>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1080</w:t>
            </w:r>
          </w:p>
        </w:tc>
      </w:tr>
      <w:tr w:rsidR="00FB54C0" w:rsidRPr="0051740C" w:rsidTr="00F44E14">
        <w:trPr>
          <w:trHeight w:val="300"/>
          <w:jc w:val="center"/>
        </w:trPr>
        <w:tc>
          <w:tcPr>
            <w:tcW w:w="312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)(5)</w:t>
            </w:r>
          </w:p>
        </w:tc>
        <w:tc>
          <w:tcPr>
            <w:tcW w:w="6760" w:type="dxa"/>
            <w:gridSpan w:val="8"/>
            <w:vMerge w:val="restart"/>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73.26(j)(6)</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73.26(k)(2)</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73.37(a)</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73.37(b)(2)  </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73.37(b)(3) </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73.37(b)(5)  </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73.37(b)(6)  </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73.37(b)(7) </w:t>
            </w:r>
          </w:p>
        </w:tc>
        <w:tc>
          <w:tcPr>
            <w:tcW w:w="6760" w:type="dxa"/>
            <w:gridSpan w:val="8"/>
            <w:vMerge/>
            <w:tcBorders>
              <w:top w:val="single" w:sz="8" w:space="0" w:color="000000"/>
              <w:left w:val="single" w:sz="8" w:space="0" w:color="000000"/>
              <w:bottom w:val="single" w:sz="8" w:space="0" w:color="000000"/>
              <w:right w:val="single" w:sz="8" w:space="0" w:color="000000"/>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6C3867">
              <w:rPr>
                <w:rFonts w:ascii="Arial" w:hAnsi="Arial" w:cs="Arial"/>
                <w:color w:val="000000"/>
                <w:sz w:val="22"/>
                <w:szCs w:val="22"/>
              </w:rPr>
              <w:t>73.37(f)(4) revisions</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0.08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6C3867">
              <w:rPr>
                <w:rFonts w:ascii="Arial" w:hAnsi="Arial" w:cs="Arial"/>
                <w:color w:val="000000"/>
                <w:sz w:val="22"/>
                <w:szCs w:val="22"/>
              </w:rPr>
              <w:t xml:space="preserve">73.37(f)(4) </w:t>
            </w:r>
            <w:r>
              <w:rPr>
                <w:rFonts w:ascii="Arial" w:hAnsi="Arial" w:cs="Arial"/>
                <w:color w:val="000000"/>
                <w:sz w:val="22"/>
                <w:szCs w:val="22"/>
              </w:rPr>
              <w:t>cancellations</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0.08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6C3867">
              <w:rPr>
                <w:rFonts w:ascii="Arial" w:hAnsi="Arial" w:cs="Arial"/>
                <w:color w:val="000000"/>
                <w:sz w:val="22"/>
                <w:szCs w:val="22"/>
              </w:rPr>
              <w:t>73.40</w:t>
            </w:r>
          </w:p>
        </w:tc>
        <w:tc>
          <w:tcPr>
            <w:tcW w:w="6760" w:type="dxa"/>
            <w:gridSpan w:val="8"/>
            <w:vMerge w:val="restart"/>
            <w:tcBorders>
              <w:top w:val="single" w:sz="4" w:space="0" w:color="auto"/>
              <w:left w:val="single" w:sz="8"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4" w:space="0" w:color="auto"/>
              <w:bottom w:val="single" w:sz="8" w:space="0" w:color="auto"/>
              <w:right w:val="single" w:sz="8" w:space="0" w:color="auto"/>
            </w:tcBorders>
            <w:shd w:val="clear" w:color="auto" w:fill="auto"/>
            <w:vAlign w:val="center"/>
            <w:hideMark/>
          </w:tcPr>
          <w:p w:rsidR="00FB54C0" w:rsidRPr="0051740C" w:rsidRDefault="00FB54C0" w:rsidP="00F44E14">
            <w:pPr>
              <w:rPr>
                <w:rFonts w:ascii="Arial" w:hAnsi="Arial" w:cs="Arial"/>
                <w:sz w:val="22"/>
                <w:szCs w:val="22"/>
              </w:rPr>
            </w:pPr>
            <w:r>
              <w:rPr>
                <w:rFonts w:ascii="Arial" w:hAnsi="Arial" w:cs="Arial"/>
                <w:sz w:val="22"/>
                <w:szCs w:val="22"/>
              </w:rPr>
              <w:t>73.45</w:t>
            </w:r>
          </w:p>
        </w:tc>
        <w:tc>
          <w:tcPr>
            <w:tcW w:w="6760" w:type="dxa"/>
            <w:gridSpan w:val="8"/>
            <w:vMerge/>
            <w:tcBorders>
              <w:left w:val="single" w:sz="8" w:space="0" w:color="auto"/>
              <w:right w:val="single" w:sz="8" w:space="0" w:color="000000"/>
            </w:tcBorders>
            <w:vAlign w:val="center"/>
            <w:hideMark/>
          </w:tcPr>
          <w:p w:rsidR="00FB54C0" w:rsidRPr="0051740C" w:rsidRDefault="00FB54C0" w:rsidP="00F44E14">
            <w:pPr>
              <w:jc w:val="center"/>
              <w:rPr>
                <w:rFonts w:ascii="Arial" w:hAnsi="Arial" w:cs="Arial"/>
                <w:color w:val="000000"/>
                <w:sz w:val="22"/>
                <w:szCs w:val="22"/>
              </w:rPr>
            </w:pPr>
          </w:p>
        </w:tc>
      </w:tr>
      <w:tr w:rsidR="00FB54C0" w:rsidRPr="0051740C" w:rsidTr="00F44E14">
        <w:trPr>
          <w:trHeight w:val="300"/>
          <w:jc w:val="center"/>
        </w:trPr>
        <w:tc>
          <w:tcPr>
            <w:tcW w:w="3120" w:type="dxa"/>
            <w:tcBorders>
              <w:top w:val="single" w:sz="8" w:space="0" w:color="auto"/>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w:t>
            </w:r>
            <w:r>
              <w:rPr>
                <w:rFonts w:ascii="Arial" w:hAnsi="Arial" w:cs="Arial"/>
                <w:color w:val="000000"/>
                <w:sz w:val="22"/>
                <w:szCs w:val="22"/>
              </w:rPr>
              <w:t xml:space="preserve"> – (L)</w:t>
            </w:r>
          </w:p>
        </w:tc>
        <w:tc>
          <w:tcPr>
            <w:tcW w:w="6760" w:type="dxa"/>
            <w:gridSpan w:val="8"/>
            <w:tcBorders>
              <w:top w:val="single" w:sz="8" w:space="0" w:color="000000"/>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Initial requirement complete, updates included in 73.46(b)(3)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*73.37(b)(2)(vi)</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1.11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20</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lastRenderedPageBreak/>
              <w:t>73.37(b)(3)(v)</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73.38(a)(2)</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73.38(c)(2)(v)</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45</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73.38(d)(5)(iv) (A)</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45</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73.38(d)(5)(vi)</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73.38(f)(5)</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center"/>
          </w:tcPr>
          <w:p w:rsidR="00FB54C0" w:rsidRPr="006C3867" w:rsidRDefault="00FB54C0" w:rsidP="00F44E14">
            <w:pPr>
              <w:rPr>
                <w:rFonts w:ascii="Arial" w:hAnsi="Arial" w:cs="Arial"/>
                <w:color w:val="000000"/>
                <w:sz w:val="22"/>
                <w:szCs w:val="22"/>
              </w:rPr>
            </w:pPr>
            <w:r w:rsidRPr="006C3867">
              <w:rPr>
                <w:rFonts w:ascii="Arial" w:hAnsi="Arial" w:cs="Arial"/>
                <w:color w:val="000000"/>
                <w:sz w:val="22"/>
                <w:szCs w:val="22"/>
              </w:rPr>
              <w:t>73.38(l)</w:t>
            </w:r>
          </w:p>
        </w:tc>
        <w:tc>
          <w:tcPr>
            <w:tcW w:w="1708" w:type="dxa"/>
            <w:tcBorders>
              <w:top w:val="nil"/>
              <w:left w:val="single" w:sz="8" w:space="0" w:color="auto"/>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513" w:type="dxa"/>
            <w:gridSpan w:val="2"/>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968" w:type="dxa"/>
            <w:tcBorders>
              <w:top w:val="nil"/>
              <w:left w:val="nil"/>
              <w:bottom w:val="single" w:sz="4" w:space="0" w:color="auto"/>
              <w:right w:val="single" w:sz="4"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73.46(b)(3)  - (L)</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160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480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73.46(b)(4),(7),(8)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33</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Pr>
                <w:rFonts w:ascii="Arial" w:hAnsi="Arial" w:cs="Arial"/>
                <w:color w:val="000000"/>
                <w:sz w:val="22"/>
                <w:szCs w:val="22"/>
              </w:rPr>
              <w:t>99</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73.46(b)(9)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Pr>
                <w:rFonts w:ascii="Arial" w:hAnsi="Arial" w:cs="Arial"/>
                <w:color w:val="000000"/>
                <w:sz w:val="22"/>
                <w:szCs w:val="22"/>
              </w:rPr>
              <w:t>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73.46(b)(10)(iii)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sidRPr="00342F3F">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342F3F" w:rsidRDefault="00FB54C0" w:rsidP="00F44E14">
            <w:pPr>
              <w:jc w:val="right"/>
              <w:rPr>
                <w:rFonts w:ascii="Arial" w:hAnsi="Arial" w:cs="Arial"/>
                <w:color w:val="000000"/>
                <w:sz w:val="22"/>
                <w:szCs w:val="22"/>
              </w:rPr>
            </w:pPr>
            <w:r>
              <w:rPr>
                <w:rFonts w:ascii="Arial" w:hAnsi="Arial" w:cs="Arial"/>
                <w:color w:val="000000"/>
                <w:sz w:val="22"/>
                <w:szCs w:val="22"/>
              </w:rPr>
              <w:t>24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73.46(b)(11)(</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 xml:space="preserve">)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73.46(b)(4)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73.46(b)(11)(iii)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73.46(b)(12) &amp; 73.46(b)(12)(</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 xml:space="preserve">)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73.46(b)(4)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73.46(b)(12)(ii)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24</w:t>
            </w:r>
          </w:p>
        </w:tc>
      </w:tr>
      <w:tr w:rsidR="00FB54C0" w:rsidRPr="0051740C" w:rsidTr="00F44E14">
        <w:trPr>
          <w:trHeight w:val="300"/>
          <w:jc w:val="center"/>
        </w:trPr>
        <w:tc>
          <w:tcPr>
            <w:tcW w:w="3120" w:type="dxa"/>
            <w:tcBorders>
              <w:top w:val="single" w:sz="4" w:space="0" w:color="auto"/>
              <w:left w:val="single" w:sz="4" w:space="0" w:color="auto"/>
              <w:bottom w:val="single" w:sz="4" w:space="0" w:color="auto"/>
              <w:right w:val="nil"/>
            </w:tcBorders>
            <w:shd w:val="clear" w:color="auto" w:fill="auto"/>
            <w:hideMark/>
          </w:tcPr>
          <w:p w:rsidR="00FB54C0" w:rsidRPr="0051740C" w:rsidRDefault="00FB54C0" w:rsidP="00F44E14">
            <w:pPr>
              <w:rPr>
                <w:rFonts w:ascii="Arial" w:hAnsi="Arial" w:cs="Arial"/>
                <w:sz w:val="22"/>
                <w:szCs w:val="22"/>
              </w:rPr>
            </w:pPr>
            <w:r w:rsidRPr="0051740C">
              <w:rPr>
                <w:rFonts w:ascii="Arial" w:hAnsi="Arial" w:cs="Arial"/>
                <w:sz w:val="22"/>
                <w:szCs w:val="22"/>
              </w:rPr>
              <w:t xml:space="preserve">73.46(d)(3)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single" w:sz="8" w:space="0" w:color="000000"/>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73.46(d)(10)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127.50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383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191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73.46(d)(11)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255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128</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73.46(d)(13)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510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1530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73.46(g)(5)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73.46(g)(6)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73.46(h)(1)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73.46(h)(2)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73.46(h)(3) </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73.50(a)(3) </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73.50(a)(4)  - (Q/R+3)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0.04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16</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48</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73.50(c)(5)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73.50(g)(1)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73.50(g)(2)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0.04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73.50(h) </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73.51(c) </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73.51(d)(5)</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73.51(d)(6) </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73.51(d)(10) </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73.51(d)(12) – (3)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24</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73.51(d)(13)</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lastRenderedPageBreak/>
              <w:t>73.54(b)(1)</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73.54(e)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2,600</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73.54(f)</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73.54(h)</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73.55(b)(6)</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73.55(b)(7)</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73.55(b)(8)</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73.55(b)(10)</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73.55(m)</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73.55(b)(11)</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73.58(d)</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73.55(c)(1)</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73.55(c)(3)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5,200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73.55(c)(4)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5,200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noWrap/>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73.55(c)(5)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2,600</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73.55(c)(6)</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73.55(c)(7)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2,600</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73.55(e)(1)</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73.55(e)(2)</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73.55(e)(8)(iv)</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noWrap/>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73.55(g)(6)(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)(B) – (L/3)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48</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3,120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73.55(g)(6)(ii)(C)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3,120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73.55(g)(6)(iii)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64.78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0</w:t>
            </w:r>
            <w:r w:rsidRPr="0051740C">
              <w:rPr>
                <w:rFonts w:ascii="Arial" w:hAnsi="Arial" w:cs="Arial"/>
                <w:color w:val="000000"/>
                <w:sz w:val="22"/>
                <w:szCs w:val="22"/>
              </w:rPr>
              <w:t>,</w:t>
            </w:r>
            <w:r>
              <w:rPr>
                <w:rFonts w:ascii="Arial" w:hAnsi="Arial" w:cs="Arial"/>
                <w:color w:val="000000"/>
                <w:sz w:val="22"/>
                <w:szCs w:val="22"/>
              </w:rPr>
              <w:t>711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73.55(g)(7)(</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)(C)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88.62</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5,760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)(4)(ii)(H)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47.26</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3,072</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73.55(k)(5)</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73.55(k)(6)</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73.55(k)(8)</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73.55(k)(9)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73.55(l)(3)</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 and 73.55(c)(7).</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73.55(m)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22,750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91,000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73.55(n)(1)</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 and 73.55(c)(7).</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73.55(o)</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73.55(p)(1)</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73.55(p)(3)</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73.55(p)(3)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32.5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0.33</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73.55(q)(2)</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73.55(q)(3) – (C)</w:t>
            </w:r>
          </w:p>
        </w:tc>
        <w:tc>
          <w:tcPr>
            <w:tcW w:w="1708" w:type="dxa"/>
            <w:tcBorders>
              <w:top w:val="nil"/>
              <w:left w:val="single" w:sz="8" w:space="0" w:color="auto"/>
              <w:bottom w:val="single" w:sz="8"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8"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8"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8"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070" w:type="dxa"/>
            <w:tcBorders>
              <w:top w:val="nil"/>
              <w:left w:val="nil"/>
              <w:bottom w:val="single" w:sz="8"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16</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73.55(q)(4)</w:t>
            </w:r>
          </w:p>
        </w:tc>
        <w:tc>
          <w:tcPr>
            <w:tcW w:w="6760" w:type="dxa"/>
            <w:gridSpan w:val="8"/>
            <w:tcBorders>
              <w:top w:val="single" w:sz="8" w:space="0" w:color="auto"/>
              <w:left w:val="single" w:sz="8" w:space="0" w:color="auto"/>
              <w:bottom w:val="single" w:sz="8" w:space="0" w:color="auto"/>
              <w:right w:val="single" w:sz="8" w:space="0" w:color="auto"/>
            </w:tcBorders>
            <w:shd w:val="pct12" w:color="000000" w:fill="FFFFFF"/>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73.55(m)</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lastRenderedPageBreak/>
              <w:t>73.56(a)(4) – (3)</w:t>
            </w:r>
          </w:p>
        </w:tc>
        <w:tc>
          <w:tcPr>
            <w:tcW w:w="170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1513" w:type="dxa"/>
            <w:gridSpan w:val="2"/>
            <w:tcBorders>
              <w:top w:val="single" w:sz="8"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8"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968" w:type="dxa"/>
            <w:tcBorders>
              <w:top w:val="single" w:sz="8"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single" w:sz="8"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73.56(d)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23,800</w:t>
            </w:r>
          </w:p>
        </w:tc>
        <w:tc>
          <w:tcPr>
            <w:tcW w:w="968" w:type="dxa"/>
            <w:tcBorders>
              <w:top w:val="nil"/>
              <w:left w:val="nil"/>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5.25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124,950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73.56(e)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23,800</w:t>
            </w:r>
          </w:p>
        </w:tc>
        <w:tc>
          <w:tcPr>
            <w:tcW w:w="968" w:type="dxa"/>
            <w:tcBorders>
              <w:top w:val="nil"/>
              <w:left w:val="nil"/>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0.70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16,660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73.56(f)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8,160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1,632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 xml:space="preserve">) – (A + 5)- </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291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19,788</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98,940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73.56(j)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1,560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73.56(k)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340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2,720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73.56(l) – (3)</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73.55(c)(7)</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73.56(m)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8</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1,632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73.56(m)(1)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1,020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204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73.56(m)(4)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73.55(c)(7)</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73.56(n)(1) &amp; (2)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r>
              <w:rPr>
                <w:rFonts w:ascii="Arial" w:hAnsi="Arial" w:cs="Arial"/>
                <w:color w:val="000000"/>
                <w:sz w:val="22"/>
                <w:szCs w:val="22"/>
              </w:rPr>
              <w:t>7</w:t>
            </w:r>
            <w:r w:rsidRPr="0051740C">
              <w:rPr>
                <w:rFonts w:ascii="Arial" w:hAnsi="Arial" w:cs="Arial"/>
                <w:color w:val="000000"/>
                <w:sz w:val="22"/>
                <w:szCs w:val="22"/>
              </w:rPr>
              <w:t>.</w:t>
            </w:r>
            <w:r>
              <w:rPr>
                <w:rFonts w:ascii="Arial" w:hAnsi="Arial" w:cs="Arial"/>
                <w:color w:val="000000"/>
                <w:sz w:val="22"/>
                <w:szCs w:val="22"/>
              </w:rPr>
              <w:t>14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5,664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73.56(n)(6)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73.56(n)(1) &amp; (2)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73.56(o)</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73.57(f)  - (A)</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800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r>
              <w:rPr>
                <w:rFonts w:ascii="Arial" w:hAnsi="Arial" w:cs="Arial"/>
                <w:color w:val="000000"/>
                <w:sz w:val="22"/>
                <w:szCs w:val="22"/>
              </w:rPr>
              <w:t>2</w:t>
            </w:r>
            <w:r w:rsidRPr="0051740C">
              <w:rPr>
                <w:rFonts w:ascii="Arial" w:hAnsi="Arial" w:cs="Arial"/>
                <w:color w:val="000000"/>
                <w:sz w:val="22"/>
                <w:szCs w:val="22"/>
              </w:rPr>
              <w:t>,</w:t>
            </w:r>
            <w:r>
              <w:rPr>
                <w:rFonts w:ascii="Arial" w:hAnsi="Arial" w:cs="Arial"/>
                <w:color w:val="000000"/>
                <w:sz w:val="22"/>
                <w:szCs w:val="22"/>
              </w:rPr>
              <w:t>0</w:t>
            </w:r>
            <w:r w:rsidRPr="0051740C">
              <w:rPr>
                <w:rFonts w:ascii="Arial" w:hAnsi="Arial" w:cs="Arial"/>
                <w:color w:val="000000"/>
                <w:sz w:val="22"/>
                <w:szCs w:val="22"/>
              </w:rPr>
              <w:t>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13,000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73.58(b)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96</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6,240</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73.60(e)</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73.67(a)</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73.67(c)</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73.67(d)(11)</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73.67(e)(2)</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10 CFR 74.15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73.67(e)(3) - (P+3)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5.75</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1,150</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73.67(e)(4) &amp; (5)</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73.67(e)(6)(</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73.67(f)(4) </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73.67(g)(3)(</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73.67(g)(4) </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73.67(g)(5)(</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73.70(a)  - (P+3)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140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73.70(b)  - (P+3)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73.70(c)</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73.70(d)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2,835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56,700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0.03</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1,701</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126</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2,520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1,260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73.70(f)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38,325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766,500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0.02</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15,330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73.70(g)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73.70(h)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84</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24</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2,016</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lastRenderedPageBreak/>
              <w:t>73.71(c)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r>
              <w:rPr>
                <w:rFonts w:ascii="Arial" w:hAnsi="Arial" w:cs="Arial"/>
                <w:color w:val="000000"/>
                <w:sz w:val="22"/>
                <w:szCs w:val="22"/>
              </w:rPr>
              <w:t>700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r>
              <w:rPr>
                <w:rFonts w:ascii="Arial" w:hAnsi="Arial" w:cs="Arial"/>
                <w:color w:val="000000"/>
                <w:sz w:val="22"/>
                <w:szCs w:val="22"/>
              </w:rPr>
              <w:t>4</w:t>
            </w:r>
            <w:r w:rsidRPr="0051740C">
              <w:rPr>
                <w:rFonts w:ascii="Arial" w:hAnsi="Arial" w:cs="Arial"/>
                <w:color w:val="000000"/>
                <w:sz w:val="22"/>
                <w:szCs w:val="22"/>
              </w:rPr>
              <w:t>,</w:t>
            </w:r>
            <w:r>
              <w:rPr>
                <w:rFonts w:ascii="Arial" w:hAnsi="Arial" w:cs="Arial"/>
                <w:color w:val="000000"/>
                <w:sz w:val="22"/>
                <w:szCs w:val="22"/>
              </w:rPr>
              <w:t>00</w:t>
            </w:r>
            <w:r w:rsidRPr="0051740C">
              <w:rPr>
                <w:rFonts w:ascii="Arial" w:hAnsi="Arial" w:cs="Arial"/>
                <w:color w:val="000000"/>
                <w:sz w:val="22"/>
                <w:szCs w:val="22"/>
              </w:rPr>
              <w:t>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34,000</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VI A.3.</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w:t>
            </w:r>
            <w:r>
              <w:rPr>
                <w:rFonts w:ascii="Arial" w:hAnsi="Arial" w:cs="Arial"/>
                <w:color w:val="000000"/>
                <w:sz w:val="22"/>
                <w:szCs w:val="22"/>
              </w:rPr>
              <w:t xml:space="preserve"> B Section VI B.4.a.1.</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520</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VI B.5.</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Appendix B Section VI B.4.b.4</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w:t>
            </w:r>
            <w:r>
              <w:rPr>
                <w:rFonts w:ascii="Arial" w:hAnsi="Arial" w:cs="Arial"/>
                <w:color w:val="000000"/>
                <w:sz w:val="22"/>
                <w:szCs w:val="22"/>
              </w:rPr>
              <w:t xml:space="preserve"> B Section VI B.4.b.4. </w:t>
            </w:r>
          </w:p>
        </w:tc>
        <w:tc>
          <w:tcPr>
            <w:tcW w:w="173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530"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80</w:t>
            </w:r>
          </w:p>
        </w:tc>
        <w:tc>
          <w:tcPr>
            <w:tcW w:w="1440" w:type="dxa"/>
            <w:tcBorders>
              <w:top w:val="single" w:sz="4" w:space="0" w:color="auto"/>
              <w:left w:val="single" w:sz="8" w:space="0" w:color="auto"/>
              <w:bottom w:val="single" w:sz="4" w:space="0" w:color="auto"/>
              <w:right w:val="single" w:sz="8" w:space="0" w:color="000000"/>
            </w:tcBorders>
            <w:shd w:val="clear" w:color="auto" w:fill="auto"/>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5,200</w:t>
            </w:r>
          </w:p>
        </w:tc>
        <w:tc>
          <w:tcPr>
            <w:tcW w:w="990"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tcBorders>
              <w:top w:val="single" w:sz="4" w:space="0" w:color="auto"/>
              <w:left w:val="single" w:sz="8" w:space="0" w:color="auto"/>
              <w:bottom w:val="single" w:sz="4" w:space="0" w:color="auto"/>
              <w:right w:val="single" w:sz="8" w:space="0" w:color="000000"/>
            </w:tcBorders>
            <w:shd w:val="clear" w:color="auto" w:fill="auto"/>
            <w:vAlign w:val="center"/>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2,600</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VI.C.3.a  .</w:t>
            </w:r>
          </w:p>
        </w:tc>
        <w:tc>
          <w:tcPr>
            <w:tcW w:w="6760" w:type="dxa"/>
            <w:gridSpan w:val="8"/>
            <w:tcBorders>
              <w:top w:val="nil"/>
              <w:left w:val="single" w:sz="8" w:space="0" w:color="auto"/>
              <w:bottom w:val="single" w:sz="4" w:space="0" w:color="auto"/>
              <w:right w:val="single" w:sz="8" w:space="0" w:color="auto"/>
            </w:tcBorders>
            <w:shd w:val="clear" w:color="auto" w:fill="D9D9D9" w:themeFill="background1" w:themeFillShade="D9"/>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C.2.b.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975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195</w:t>
            </w:r>
          </w:p>
        </w:tc>
      </w:tr>
      <w:tr w:rsidR="00FB54C0" w:rsidRPr="0051740C" w:rsidTr="00F44E14">
        <w:trPr>
          <w:cantSplit/>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C.3.g.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2,600</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VI.C.3.h</w:t>
            </w:r>
          </w:p>
        </w:tc>
        <w:tc>
          <w:tcPr>
            <w:tcW w:w="6760" w:type="dxa"/>
            <w:gridSpan w:val="8"/>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Appendix B Section VI C.3.g.</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Appendix B, Section VI.C.3.i </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VI.C.3.m</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C.3.n.1</w:t>
            </w:r>
          </w:p>
        </w:tc>
        <w:tc>
          <w:tcPr>
            <w:tcW w:w="6760" w:type="dxa"/>
            <w:gridSpan w:val="8"/>
            <w:vMerge/>
            <w:tcBorders>
              <w:top w:val="single" w:sz="4" w:space="0" w:color="auto"/>
              <w:left w:val="single" w:sz="4" w:space="0" w:color="auto"/>
              <w:bottom w:val="single" w:sz="4" w:space="0" w:color="auto"/>
              <w:right w:val="single" w:sz="4" w:space="0" w:color="auto"/>
            </w:tcBorders>
            <w:vAlign w:val="center"/>
            <w:hideMark/>
          </w:tcPr>
          <w:p w:rsidR="00FB54C0" w:rsidRPr="0051740C" w:rsidRDefault="00FB54C0" w:rsidP="00F44E14">
            <w:pPr>
              <w:rPr>
                <w:rFonts w:ascii="Arial" w:hAnsi="Arial" w:cs="Arial"/>
                <w:color w:val="000000"/>
                <w:sz w:val="22"/>
                <w:szCs w:val="22"/>
              </w:rPr>
            </w:pP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E.1.b. – (Q/R+3)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260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52</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F.1.b.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480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r>
              <w:rPr>
                <w:rFonts w:ascii="Arial" w:hAnsi="Arial" w:cs="Arial"/>
                <w:color w:val="000000"/>
                <w:sz w:val="22"/>
                <w:szCs w:val="22"/>
              </w:rPr>
              <w:t>1</w:t>
            </w:r>
            <w:r w:rsidRPr="0051740C">
              <w:rPr>
                <w:rFonts w:ascii="Arial" w:hAnsi="Arial" w:cs="Arial"/>
                <w:color w:val="000000"/>
                <w:sz w:val="22"/>
                <w:szCs w:val="22"/>
              </w:rPr>
              <w:t>,2</w:t>
            </w:r>
            <w:r>
              <w:rPr>
                <w:rFonts w:ascii="Arial" w:hAnsi="Arial" w:cs="Arial"/>
                <w:color w:val="000000"/>
                <w:sz w:val="22"/>
                <w:szCs w:val="22"/>
              </w:rPr>
              <w:t>0</w:t>
            </w:r>
            <w:r w:rsidRPr="0051740C">
              <w:rPr>
                <w:rFonts w:ascii="Arial" w:hAnsi="Arial" w:cs="Arial"/>
                <w:color w:val="000000"/>
                <w:sz w:val="22"/>
                <w:szCs w:val="22"/>
              </w:rPr>
              <w:t>0</w:t>
            </w:r>
          </w:p>
        </w:tc>
        <w:tc>
          <w:tcPr>
            <w:tcW w:w="968" w:type="dxa"/>
            <w:tcBorders>
              <w:top w:val="nil"/>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0.20</w:t>
            </w:r>
          </w:p>
        </w:tc>
        <w:tc>
          <w:tcPr>
            <w:tcW w:w="1070" w:type="dxa"/>
            <w:tcBorders>
              <w:top w:val="nil"/>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6,240</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F.5.a</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Appendix B Section VI F.1.b.</w:t>
            </w:r>
          </w:p>
        </w:tc>
      </w:tr>
      <w:tr w:rsidR="00FB54C0" w:rsidRPr="0051740C" w:rsidTr="00F44E14">
        <w:trPr>
          <w:trHeight w:val="315"/>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 xml:space="preserve">Appendix B Section VI H.1 </w:t>
            </w:r>
          </w:p>
        </w:tc>
        <w:tc>
          <w:tcPr>
            <w:tcW w:w="6760" w:type="dxa"/>
            <w:gridSpan w:val="8"/>
            <w:tcBorders>
              <w:top w:val="single" w:sz="4" w:space="0" w:color="auto"/>
              <w:left w:val="single" w:sz="8" w:space="0" w:color="auto"/>
              <w:bottom w:val="single" w:sz="4" w:space="0" w:color="auto"/>
              <w:right w:val="single" w:sz="8" w:space="0" w:color="000000"/>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Records retention periods for multiple requirements, burden included in each specific requirement</w:t>
            </w:r>
          </w:p>
        </w:tc>
      </w:tr>
      <w:tr w:rsidR="00FB54C0" w:rsidRPr="0051740C" w:rsidTr="00F44E14">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C</w:t>
            </w:r>
          </w:p>
        </w:tc>
        <w:tc>
          <w:tcPr>
            <w:tcW w:w="6760" w:type="dxa"/>
            <w:gridSpan w:val="8"/>
            <w:tcBorders>
              <w:top w:val="single" w:sz="4" w:space="0" w:color="auto"/>
              <w:left w:val="single" w:sz="4" w:space="0" w:color="auto"/>
              <w:bottom w:val="single" w:sz="4" w:space="0" w:color="auto"/>
              <w:right w:val="single" w:sz="4" w:space="0" w:color="auto"/>
            </w:tcBorders>
            <w:shd w:val="clear" w:color="000000" w:fill="D8D8D8"/>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Included in 73.20 and 73.55(c)(5)</w:t>
            </w:r>
          </w:p>
        </w:tc>
      </w:tr>
      <w:tr w:rsidR="00FB54C0" w:rsidRPr="0051740C" w:rsidTr="00F44E14">
        <w:trPr>
          <w:trHeight w:val="735"/>
          <w:jc w:val="center"/>
        </w:trPr>
        <w:tc>
          <w:tcPr>
            <w:tcW w:w="3120" w:type="dxa"/>
            <w:tcBorders>
              <w:top w:val="nil"/>
              <w:left w:val="single" w:sz="8" w:space="0" w:color="000000"/>
              <w:bottom w:val="single" w:sz="8" w:space="0" w:color="000000"/>
              <w:right w:val="nil"/>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Confirmatory Action Letter (Research and Test Reactors - Access) (E+5)</w:t>
            </w:r>
          </w:p>
          <w:p w:rsidR="00FB54C0" w:rsidRPr="0051740C" w:rsidRDefault="00FB54C0" w:rsidP="00F44E14">
            <w:pPr>
              <w:rPr>
                <w:rFonts w:ascii="Arial" w:hAnsi="Arial" w:cs="Arial"/>
                <w:color w:val="000000"/>
                <w:sz w:val="22"/>
                <w:szCs w:val="22"/>
              </w:rPr>
            </w:pP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31</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310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2.50</w:t>
            </w:r>
          </w:p>
        </w:tc>
        <w:tc>
          <w:tcPr>
            <w:tcW w:w="1070" w:type="dxa"/>
            <w:tcBorders>
              <w:top w:val="single" w:sz="4" w:space="0" w:color="auto"/>
              <w:left w:val="nil"/>
              <w:bottom w:val="single" w:sz="4"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775</w:t>
            </w:r>
          </w:p>
        </w:tc>
      </w:tr>
      <w:tr w:rsidR="00FB54C0" w:rsidRPr="0051740C" w:rsidTr="00F44E14">
        <w:trPr>
          <w:trHeight w:val="300"/>
          <w:jc w:val="center"/>
        </w:trPr>
        <w:tc>
          <w:tcPr>
            <w:tcW w:w="3120" w:type="dxa"/>
            <w:tcBorders>
              <w:top w:val="nil"/>
              <w:left w:val="single" w:sz="8" w:space="0" w:color="000000"/>
              <w:bottom w:val="single" w:sz="8" w:space="0" w:color="000000"/>
              <w:right w:val="nil"/>
            </w:tcBorders>
            <w:shd w:val="clear" w:color="auto" w:fill="auto"/>
            <w:hideMark/>
          </w:tcPr>
          <w:p w:rsidR="00FB54C0" w:rsidRPr="0051740C" w:rsidRDefault="00FB54C0" w:rsidP="00F44E14">
            <w:pPr>
              <w:rPr>
                <w:rFonts w:ascii="Arial" w:hAnsi="Arial" w:cs="Arial"/>
                <w:b/>
                <w:color w:val="000000"/>
                <w:sz w:val="22"/>
                <w:szCs w:val="22"/>
              </w:rPr>
            </w:pPr>
            <w:r w:rsidRPr="0051740C">
              <w:rPr>
                <w:rFonts w:ascii="Arial" w:hAnsi="Arial" w:cs="Arial"/>
                <w:b/>
                <w:color w:val="000000"/>
                <w:sz w:val="22"/>
                <w:szCs w:val="22"/>
              </w:rPr>
              <w:t>Totals</w:t>
            </w:r>
          </w:p>
        </w:tc>
        <w:tc>
          <w:tcPr>
            <w:tcW w:w="1708" w:type="dxa"/>
            <w:tcBorders>
              <w:top w:val="nil"/>
              <w:left w:val="single" w:sz="8" w:space="0" w:color="auto"/>
              <w:bottom w:val="single" w:sz="8" w:space="0" w:color="auto"/>
              <w:right w:val="single" w:sz="4" w:space="0" w:color="auto"/>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5</w:t>
            </w:r>
            <w:r>
              <w:rPr>
                <w:rFonts w:ascii="Arial" w:hAnsi="Arial" w:cs="Arial"/>
                <w:b/>
                <w:color w:val="000000"/>
                <w:sz w:val="22"/>
                <w:szCs w:val="22"/>
              </w:rPr>
              <w:t>81</w:t>
            </w:r>
          </w:p>
        </w:tc>
        <w:tc>
          <w:tcPr>
            <w:tcW w:w="1513" w:type="dxa"/>
            <w:gridSpan w:val="2"/>
            <w:tcBorders>
              <w:top w:val="nil"/>
              <w:left w:val="nil"/>
              <w:bottom w:val="single" w:sz="8" w:space="0" w:color="auto"/>
              <w:right w:val="single" w:sz="4" w:space="0" w:color="auto"/>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501" w:type="dxa"/>
            <w:gridSpan w:val="3"/>
            <w:tcBorders>
              <w:top w:val="nil"/>
              <w:left w:val="nil"/>
              <w:bottom w:val="single" w:sz="8" w:space="0" w:color="auto"/>
              <w:right w:val="single" w:sz="4" w:space="0" w:color="auto"/>
            </w:tcBorders>
            <w:shd w:val="clear" w:color="000000" w:fill="FFFFFF"/>
            <w:vAlign w:val="center"/>
            <w:hideMark/>
          </w:tcPr>
          <w:p w:rsidR="00FB54C0" w:rsidRPr="0051740C" w:rsidRDefault="00FB54C0" w:rsidP="00F44E14">
            <w:pPr>
              <w:jc w:val="right"/>
              <w:rPr>
                <w:rFonts w:ascii="Arial" w:hAnsi="Arial" w:cs="Arial"/>
                <w:b/>
                <w:color w:val="000000"/>
                <w:sz w:val="22"/>
                <w:szCs w:val="22"/>
              </w:rPr>
            </w:pPr>
            <w:r>
              <w:rPr>
                <w:rFonts w:ascii="Arial" w:hAnsi="Arial" w:cs="Arial"/>
                <w:b/>
                <w:color w:val="000000"/>
                <w:sz w:val="22"/>
                <w:szCs w:val="22"/>
              </w:rPr>
              <w:t>1,064,049</w:t>
            </w:r>
          </w:p>
        </w:tc>
        <w:tc>
          <w:tcPr>
            <w:tcW w:w="968" w:type="dxa"/>
            <w:tcBorders>
              <w:top w:val="nil"/>
              <w:left w:val="nil"/>
              <w:bottom w:val="single" w:sz="8" w:space="0" w:color="auto"/>
              <w:right w:val="single" w:sz="4" w:space="0" w:color="auto"/>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070" w:type="dxa"/>
            <w:tcBorders>
              <w:top w:val="nil"/>
              <w:left w:val="nil"/>
              <w:bottom w:val="single" w:sz="8" w:space="0" w:color="auto"/>
              <w:right w:val="single" w:sz="8" w:space="0" w:color="auto"/>
            </w:tcBorders>
            <w:shd w:val="clear" w:color="000000" w:fill="FFFFFF"/>
            <w:vAlign w:val="center"/>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48</w:t>
            </w:r>
            <w:r>
              <w:rPr>
                <w:rFonts w:ascii="Arial" w:hAnsi="Arial" w:cs="Arial"/>
                <w:b/>
                <w:color w:val="000000"/>
                <w:sz w:val="22"/>
                <w:szCs w:val="22"/>
              </w:rPr>
              <w:t>5</w:t>
            </w:r>
            <w:r w:rsidRPr="0051740C">
              <w:rPr>
                <w:rFonts w:ascii="Arial" w:hAnsi="Arial" w:cs="Arial"/>
                <w:b/>
                <w:color w:val="000000"/>
                <w:sz w:val="22"/>
                <w:szCs w:val="22"/>
              </w:rPr>
              <w:t>,</w:t>
            </w:r>
            <w:r>
              <w:rPr>
                <w:rFonts w:ascii="Arial" w:hAnsi="Arial" w:cs="Arial"/>
                <w:b/>
                <w:color w:val="000000"/>
                <w:sz w:val="22"/>
                <w:szCs w:val="22"/>
              </w:rPr>
              <w:t>449</w:t>
            </w:r>
          </w:p>
        </w:tc>
      </w:tr>
    </w:tbl>
    <w:p w:rsidR="00FB54C0" w:rsidRPr="0051740C" w:rsidRDefault="00FB54C0" w:rsidP="00FB54C0">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br w:type="page"/>
      </w:r>
    </w:p>
    <w:p w:rsidR="00FB54C0" w:rsidRPr="0051740C" w:rsidRDefault="00FB54C0" w:rsidP="00FB54C0">
      <w:pPr>
        <w:widowControl w:val="0"/>
        <w:tabs>
          <w:tab w:val="center" w:pos="5040"/>
        </w:tabs>
        <w:jc w:val="center"/>
        <w:rPr>
          <w:rFonts w:ascii="Arial" w:hAnsi="Arial" w:cs="Arial"/>
          <w:sz w:val="22"/>
          <w:szCs w:val="22"/>
        </w:rPr>
      </w:pPr>
      <w:r w:rsidRPr="0051740C">
        <w:rPr>
          <w:rFonts w:ascii="Arial" w:hAnsi="Arial" w:cs="Arial"/>
          <w:sz w:val="22"/>
          <w:szCs w:val="22"/>
        </w:rPr>
        <w:lastRenderedPageBreak/>
        <w:t>Table 4</w:t>
      </w:r>
    </w:p>
    <w:p w:rsidR="00FB54C0" w:rsidRPr="0051740C" w:rsidRDefault="00FB54C0" w:rsidP="00FB54C0">
      <w:pPr>
        <w:widowControl w:val="0"/>
        <w:tabs>
          <w:tab w:val="center" w:pos="5040"/>
        </w:tabs>
        <w:jc w:val="center"/>
        <w:rPr>
          <w:rFonts w:ascii="Arial" w:hAnsi="Arial" w:cs="Arial"/>
          <w:sz w:val="22"/>
          <w:szCs w:val="22"/>
        </w:rPr>
      </w:pPr>
      <w:r w:rsidRPr="0051740C">
        <w:rPr>
          <w:rFonts w:ascii="Arial" w:hAnsi="Arial" w:cs="Arial"/>
          <w:sz w:val="22"/>
          <w:szCs w:val="22"/>
          <w:u w:val="single"/>
        </w:rPr>
        <w:t>10 CFR Part 73 One-Time Recordkeeping Burden (Annualized)</w:t>
      </w:r>
    </w:p>
    <w:p w:rsidR="00FB54C0" w:rsidRPr="0051740C" w:rsidRDefault="00FB54C0" w:rsidP="00FB54C0">
      <w:pPr>
        <w:widowControl w:val="0"/>
        <w:tabs>
          <w:tab w:val="center" w:pos="5040"/>
        </w:tabs>
        <w:jc w:val="center"/>
        <w:rPr>
          <w:rFonts w:ascii="Arial" w:hAnsi="Arial" w:cs="Arial"/>
          <w:sz w:val="22"/>
          <w:szCs w:val="22"/>
        </w:rPr>
      </w:pPr>
    </w:p>
    <w:tbl>
      <w:tblPr>
        <w:tblW w:w="9425" w:type="dxa"/>
        <w:jc w:val="center"/>
        <w:tblLayout w:type="fixed"/>
        <w:tblLook w:val="04A0" w:firstRow="1" w:lastRow="0" w:firstColumn="1" w:lastColumn="0" w:noHBand="0" w:noVBand="1"/>
      </w:tblPr>
      <w:tblGrid>
        <w:gridCol w:w="2880"/>
        <w:gridCol w:w="1710"/>
        <w:gridCol w:w="1513"/>
        <w:gridCol w:w="1211"/>
        <w:gridCol w:w="1162"/>
        <w:gridCol w:w="949"/>
      </w:tblGrid>
      <w:tr w:rsidR="00FB54C0" w:rsidRPr="0051740C" w:rsidTr="00F44E14">
        <w:trPr>
          <w:trHeight w:val="975"/>
          <w:tblHeader/>
          <w:jc w:val="center"/>
        </w:trPr>
        <w:tc>
          <w:tcPr>
            <w:tcW w:w="2880" w:type="dxa"/>
            <w:tcBorders>
              <w:top w:val="single" w:sz="8" w:space="0" w:color="000000"/>
              <w:left w:val="single" w:sz="8" w:space="0" w:color="000000"/>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Section</w:t>
            </w:r>
          </w:p>
        </w:tc>
        <w:tc>
          <w:tcPr>
            <w:tcW w:w="1710"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 xml:space="preserve">No. of </w:t>
            </w:r>
            <w:proofErr w:type="spellStart"/>
            <w:r w:rsidRPr="0051740C">
              <w:rPr>
                <w:rFonts w:ascii="Arial" w:hAnsi="Arial" w:cs="Arial"/>
                <w:color w:val="000000"/>
                <w:sz w:val="22"/>
                <w:szCs w:val="22"/>
              </w:rPr>
              <w:t>Recordkeepers</w:t>
            </w:r>
            <w:proofErr w:type="spellEnd"/>
          </w:p>
        </w:tc>
        <w:tc>
          <w:tcPr>
            <w:tcW w:w="1513"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 xml:space="preserve">Records per </w:t>
            </w:r>
            <w:proofErr w:type="spellStart"/>
            <w:r w:rsidRPr="0051740C">
              <w:rPr>
                <w:rFonts w:ascii="Arial" w:hAnsi="Arial" w:cs="Arial"/>
                <w:color w:val="000000"/>
                <w:sz w:val="22"/>
                <w:szCs w:val="22"/>
              </w:rPr>
              <w:t>recordkeeper</w:t>
            </w:r>
            <w:proofErr w:type="spellEnd"/>
          </w:p>
        </w:tc>
        <w:tc>
          <w:tcPr>
            <w:tcW w:w="1211" w:type="dxa"/>
            <w:tcBorders>
              <w:top w:val="single" w:sz="8" w:space="0" w:color="000000"/>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Records</w:t>
            </w:r>
          </w:p>
        </w:tc>
        <w:tc>
          <w:tcPr>
            <w:tcW w:w="1162" w:type="dxa"/>
            <w:tcBorders>
              <w:top w:val="single" w:sz="8" w:space="0" w:color="000000"/>
              <w:left w:val="nil"/>
              <w:bottom w:val="single" w:sz="8" w:space="0" w:color="000000"/>
              <w:right w:val="nil"/>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Hours per record</w:t>
            </w:r>
          </w:p>
        </w:tc>
        <w:tc>
          <w:tcPr>
            <w:tcW w:w="949" w:type="dxa"/>
            <w:tcBorders>
              <w:top w:val="single" w:sz="8" w:space="0" w:color="auto"/>
              <w:left w:val="single" w:sz="8" w:space="0" w:color="auto"/>
              <w:bottom w:val="single" w:sz="8" w:space="0" w:color="000000"/>
              <w:right w:val="single" w:sz="8"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Total One-time Burden Hours</w:t>
            </w:r>
          </w:p>
        </w:tc>
      </w:tr>
      <w:tr w:rsidR="00FB54C0" w:rsidRPr="0051740C" w:rsidTr="00F44E14">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73.38(d)(5)(iv) (A)</w:t>
            </w:r>
          </w:p>
        </w:tc>
        <w:tc>
          <w:tcPr>
            <w:tcW w:w="1710"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w:t>
            </w:r>
          </w:p>
        </w:tc>
        <w:tc>
          <w:tcPr>
            <w:tcW w:w="1513"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w:t>
            </w:r>
          </w:p>
        </w:tc>
        <w:tc>
          <w:tcPr>
            <w:tcW w:w="1211"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0.0</w:t>
            </w:r>
          </w:p>
        </w:tc>
        <w:tc>
          <w:tcPr>
            <w:tcW w:w="1162" w:type="dxa"/>
            <w:tcBorders>
              <w:top w:val="single" w:sz="4" w:space="0" w:color="auto"/>
              <w:left w:val="nil"/>
              <w:bottom w:val="single" w:sz="8" w:space="0" w:color="000000"/>
              <w:right w:val="nil"/>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0.25</w:t>
            </w:r>
          </w:p>
        </w:tc>
        <w:tc>
          <w:tcPr>
            <w:tcW w:w="949" w:type="dxa"/>
            <w:tcBorders>
              <w:top w:val="single" w:sz="4" w:space="0" w:color="auto"/>
              <w:left w:val="single" w:sz="8" w:space="0" w:color="auto"/>
              <w:bottom w:val="single" w:sz="8" w:space="0" w:color="000000"/>
              <w:right w:val="single" w:sz="8" w:space="0" w:color="auto"/>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w:t>
            </w:r>
          </w:p>
        </w:tc>
      </w:tr>
      <w:tr w:rsidR="00FB54C0" w:rsidRPr="0051740C" w:rsidTr="00F44E14">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73.38(d)(5)(vi)</w:t>
            </w:r>
          </w:p>
        </w:tc>
        <w:tc>
          <w:tcPr>
            <w:tcW w:w="1710"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3.3</w:t>
            </w:r>
          </w:p>
        </w:tc>
        <w:tc>
          <w:tcPr>
            <w:tcW w:w="1513"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w:t>
            </w:r>
          </w:p>
        </w:tc>
        <w:tc>
          <w:tcPr>
            <w:tcW w:w="1211" w:type="dxa"/>
            <w:tcBorders>
              <w:top w:val="single" w:sz="4" w:space="0" w:color="auto"/>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3.3</w:t>
            </w:r>
          </w:p>
        </w:tc>
        <w:tc>
          <w:tcPr>
            <w:tcW w:w="1162" w:type="dxa"/>
            <w:tcBorders>
              <w:top w:val="single" w:sz="4" w:space="0" w:color="auto"/>
              <w:left w:val="nil"/>
              <w:bottom w:val="single" w:sz="8" w:space="0" w:color="000000"/>
              <w:right w:val="nil"/>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0.25</w:t>
            </w:r>
          </w:p>
        </w:tc>
        <w:tc>
          <w:tcPr>
            <w:tcW w:w="949" w:type="dxa"/>
            <w:tcBorders>
              <w:top w:val="single" w:sz="4" w:space="0" w:color="auto"/>
              <w:left w:val="single" w:sz="8" w:space="0" w:color="auto"/>
              <w:bottom w:val="single" w:sz="8" w:space="0" w:color="000000"/>
              <w:right w:val="single" w:sz="8" w:space="0" w:color="auto"/>
            </w:tcBorders>
            <w:shd w:val="clear" w:color="auto" w:fill="auto"/>
            <w:vAlign w:val="center"/>
          </w:tcPr>
          <w:p w:rsidR="00FB54C0" w:rsidRPr="00715830"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51740C" w:rsidTr="00F44E14">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73.56(a)(4)</w:t>
            </w:r>
          </w:p>
        </w:tc>
        <w:tc>
          <w:tcPr>
            <w:tcW w:w="1710" w:type="dxa"/>
            <w:tcBorders>
              <w:top w:val="single" w:sz="4" w:space="0" w:color="auto"/>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1513" w:type="dxa"/>
            <w:tcBorders>
              <w:top w:val="single" w:sz="4" w:space="0" w:color="auto"/>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single" w:sz="4" w:space="0" w:color="auto"/>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w:t>
            </w:r>
          </w:p>
        </w:tc>
        <w:tc>
          <w:tcPr>
            <w:tcW w:w="1162" w:type="dxa"/>
            <w:tcBorders>
              <w:top w:val="single" w:sz="4" w:space="0" w:color="auto"/>
              <w:left w:val="nil"/>
              <w:bottom w:val="single" w:sz="8" w:space="0" w:color="000000"/>
              <w:right w:val="nil"/>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27</w:t>
            </w:r>
          </w:p>
        </w:tc>
        <w:tc>
          <w:tcPr>
            <w:tcW w:w="949" w:type="dxa"/>
            <w:tcBorders>
              <w:top w:val="single" w:sz="4" w:space="0" w:color="auto"/>
              <w:left w:val="single" w:sz="8" w:space="0" w:color="auto"/>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81</w:t>
            </w:r>
          </w:p>
        </w:tc>
      </w:tr>
      <w:tr w:rsidR="00FB54C0" w:rsidRPr="0051740C" w:rsidTr="00F44E14">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73.56(n)(4)</w:t>
            </w:r>
          </w:p>
        </w:tc>
        <w:tc>
          <w:tcPr>
            <w:tcW w:w="1710"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8</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0.33</w:t>
            </w:r>
          </w:p>
        </w:tc>
        <w:tc>
          <w:tcPr>
            <w:tcW w:w="1211"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22</w:t>
            </w:r>
            <w:r w:rsidR="00401768">
              <w:rPr>
                <w:rFonts w:ascii="Arial" w:hAnsi="Arial" w:cs="Arial"/>
                <w:color w:val="000000"/>
                <w:sz w:val="22"/>
                <w:szCs w:val="22"/>
              </w:rPr>
              <w:t>.44</w:t>
            </w:r>
          </w:p>
        </w:tc>
        <w:tc>
          <w:tcPr>
            <w:tcW w:w="1162" w:type="dxa"/>
            <w:tcBorders>
              <w:top w:val="nil"/>
              <w:left w:val="nil"/>
              <w:bottom w:val="single" w:sz="8" w:space="0" w:color="000000"/>
              <w:right w:val="nil"/>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27</w:t>
            </w:r>
          </w:p>
        </w:tc>
        <w:tc>
          <w:tcPr>
            <w:tcW w:w="949" w:type="dxa"/>
            <w:tcBorders>
              <w:top w:val="nil"/>
              <w:left w:val="single" w:sz="8" w:space="0" w:color="auto"/>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606</w:t>
            </w:r>
          </w:p>
        </w:tc>
      </w:tr>
      <w:tr w:rsidR="00FB54C0" w:rsidRPr="0051740C" w:rsidTr="00F44E14">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73.57(e)(1)</w:t>
            </w:r>
          </w:p>
        </w:tc>
        <w:tc>
          <w:tcPr>
            <w:tcW w:w="1710"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w:t>
            </w:r>
          </w:p>
        </w:tc>
        <w:tc>
          <w:tcPr>
            <w:tcW w:w="1513"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0.33</w:t>
            </w:r>
          </w:p>
        </w:tc>
        <w:tc>
          <w:tcPr>
            <w:tcW w:w="1211" w:type="dxa"/>
            <w:tcBorders>
              <w:top w:val="nil"/>
              <w:left w:val="nil"/>
              <w:bottom w:val="single" w:sz="8" w:space="0" w:color="000000"/>
              <w:right w:val="single" w:sz="8" w:space="0" w:color="000000"/>
            </w:tcBorders>
            <w:shd w:val="clear" w:color="auto" w:fill="auto"/>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1.7</w:t>
            </w:r>
          </w:p>
        </w:tc>
        <w:tc>
          <w:tcPr>
            <w:tcW w:w="1162" w:type="dxa"/>
            <w:tcBorders>
              <w:top w:val="nil"/>
              <w:left w:val="nil"/>
              <w:bottom w:val="single" w:sz="8" w:space="0" w:color="000000"/>
              <w:right w:val="nil"/>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0.25</w:t>
            </w:r>
          </w:p>
        </w:tc>
        <w:tc>
          <w:tcPr>
            <w:tcW w:w="949" w:type="dxa"/>
            <w:tcBorders>
              <w:top w:val="nil"/>
              <w:left w:val="single" w:sz="8" w:space="0" w:color="auto"/>
              <w:bottom w:val="single" w:sz="8" w:space="0" w:color="000000"/>
              <w:right w:val="single" w:sz="8" w:space="0" w:color="auto"/>
            </w:tcBorders>
            <w:shd w:val="clear" w:color="auto" w:fill="auto"/>
          </w:tcPr>
          <w:p w:rsidR="00FB54C0" w:rsidRPr="00715830"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51740C" w:rsidTr="00F44E14">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73.57(f)</w:t>
            </w:r>
          </w:p>
        </w:tc>
        <w:tc>
          <w:tcPr>
            <w:tcW w:w="1710"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w:t>
            </w:r>
          </w:p>
        </w:tc>
        <w:tc>
          <w:tcPr>
            <w:tcW w:w="1513"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1.4</w:t>
            </w:r>
          </w:p>
        </w:tc>
        <w:tc>
          <w:tcPr>
            <w:tcW w:w="1211" w:type="dxa"/>
            <w:tcBorders>
              <w:top w:val="nil"/>
              <w:left w:val="nil"/>
              <w:bottom w:val="single" w:sz="8" w:space="0" w:color="000000"/>
              <w:right w:val="single" w:sz="8" w:space="0" w:color="000000"/>
            </w:tcBorders>
            <w:shd w:val="clear" w:color="auto" w:fill="auto"/>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7.0</w:t>
            </w:r>
          </w:p>
        </w:tc>
        <w:tc>
          <w:tcPr>
            <w:tcW w:w="1162" w:type="dxa"/>
            <w:tcBorders>
              <w:top w:val="nil"/>
              <w:left w:val="nil"/>
              <w:bottom w:val="single" w:sz="8" w:space="0" w:color="000000"/>
              <w:right w:val="nil"/>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2.33</w:t>
            </w:r>
          </w:p>
        </w:tc>
        <w:tc>
          <w:tcPr>
            <w:tcW w:w="949" w:type="dxa"/>
            <w:tcBorders>
              <w:top w:val="nil"/>
              <w:left w:val="single" w:sz="8" w:space="0" w:color="auto"/>
              <w:bottom w:val="single" w:sz="8" w:space="0" w:color="000000"/>
              <w:right w:val="single" w:sz="8" w:space="0" w:color="auto"/>
            </w:tcBorders>
            <w:shd w:val="clear" w:color="auto" w:fill="auto"/>
          </w:tcPr>
          <w:p w:rsidR="00FB54C0" w:rsidRPr="00715830" w:rsidRDefault="00FB54C0" w:rsidP="00F44E14">
            <w:pPr>
              <w:jc w:val="right"/>
              <w:rPr>
                <w:rFonts w:ascii="Arial" w:hAnsi="Arial" w:cs="Arial"/>
                <w:color w:val="000000"/>
                <w:sz w:val="22"/>
                <w:szCs w:val="22"/>
              </w:rPr>
            </w:pPr>
            <w:r>
              <w:rPr>
                <w:rFonts w:ascii="Arial" w:hAnsi="Arial" w:cs="Arial"/>
                <w:color w:val="000000"/>
                <w:sz w:val="22"/>
                <w:szCs w:val="22"/>
              </w:rPr>
              <w:t>16</w:t>
            </w:r>
          </w:p>
        </w:tc>
      </w:tr>
      <w:tr w:rsidR="00FB54C0" w:rsidRPr="0051740C" w:rsidTr="00F44E14">
        <w:trPr>
          <w:cantSplit/>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D.1.b1</w:t>
            </w:r>
          </w:p>
        </w:tc>
        <w:tc>
          <w:tcPr>
            <w:tcW w:w="1710"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162" w:type="dxa"/>
            <w:tcBorders>
              <w:top w:val="nil"/>
              <w:left w:val="nil"/>
              <w:bottom w:val="single" w:sz="8" w:space="0" w:color="000000"/>
              <w:right w:val="nil"/>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9</w:t>
            </w:r>
          </w:p>
        </w:tc>
        <w:tc>
          <w:tcPr>
            <w:tcW w:w="949" w:type="dxa"/>
            <w:tcBorders>
              <w:top w:val="nil"/>
              <w:left w:val="single" w:sz="8" w:space="0" w:color="auto"/>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585</w:t>
            </w:r>
          </w:p>
        </w:tc>
      </w:tr>
      <w:tr w:rsidR="00FB54C0" w:rsidRPr="0051740C" w:rsidTr="00F44E14">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Appendix B Section VI E.1.b.</w:t>
            </w:r>
          </w:p>
        </w:tc>
        <w:tc>
          <w:tcPr>
            <w:tcW w:w="1710"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162" w:type="dxa"/>
            <w:tcBorders>
              <w:top w:val="nil"/>
              <w:left w:val="nil"/>
              <w:bottom w:val="single" w:sz="8" w:space="0" w:color="000000"/>
              <w:right w:val="nil"/>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w:t>
            </w:r>
          </w:p>
        </w:tc>
        <w:tc>
          <w:tcPr>
            <w:tcW w:w="949" w:type="dxa"/>
            <w:tcBorders>
              <w:top w:val="nil"/>
              <w:left w:val="single" w:sz="8" w:space="0" w:color="auto"/>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w:t>
            </w:r>
          </w:p>
        </w:tc>
      </w:tr>
      <w:tr w:rsidR="00FB54C0" w:rsidRPr="0051740C" w:rsidTr="00F44E14">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FB54C0" w:rsidRPr="0051740C" w:rsidRDefault="00FB54C0" w:rsidP="00F44E14">
            <w:pPr>
              <w:rPr>
                <w:rFonts w:ascii="Arial" w:hAnsi="Arial" w:cs="Arial"/>
                <w:b/>
                <w:color w:val="000000"/>
                <w:sz w:val="22"/>
                <w:szCs w:val="22"/>
              </w:rPr>
            </w:pPr>
            <w:r w:rsidRPr="0051740C">
              <w:rPr>
                <w:rFonts w:ascii="Arial" w:hAnsi="Arial" w:cs="Arial"/>
                <w:b/>
                <w:color w:val="000000"/>
                <w:sz w:val="22"/>
                <w:szCs w:val="22"/>
              </w:rPr>
              <w:t>Totals</w:t>
            </w:r>
          </w:p>
        </w:tc>
        <w:tc>
          <w:tcPr>
            <w:tcW w:w="1710"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6</w:t>
            </w:r>
            <w:r>
              <w:rPr>
                <w:rFonts w:ascii="Arial" w:hAnsi="Arial" w:cs="Arial"/>
                <w:b/>
                <w:color w:val="000000"/>
                <w:sz w:val="22"/>
                <w:szCs w:val="22"/>
              </w:rPr>
              <w:t>8</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211"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Pr>
                <w:rFonts w:ascii="Arial" w:hAnsi="Arial" w:cs="Arial"/>
                <w:b/>
                <w:color w:val="000000"/>
                <w:sz w:val="22"/>
                <w:szCs w:val="22"/>
              </w:rPr>
              <w:t>167</w:t>
            </w:r>
          </w:p>
        </w:tc>
        <w:tc>
          <w:tcPr>
            <w:tcW w:w="1162" w:type="dxa"/>
            <w:tcBorders>
              <w:top w:val="nil"/>
              <w:left w:val="nil"/>
              <w:bottom w:val="single" w:sz="8" w:space="0" w:color="000000"/>
              <w:right w:val="nil"/>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949" w:type="dxa"/>
            <w:tcBorders>
              <w:top w:val="nil"/>
              <w:left w:val="single" w:sz="8" w:space="0" w:color="auto"/>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b/>
                <w:color w:val="000000"/>
                <w:sz w:val="22"/>
                <w:szCs w:val="22"/>
              </w:rPr>
            </w:pPr>
            <w:r>
              <w:rPr>
                <w:rFonts w:ascii="Arial" w:hAnsi="Arial" w:cs="Arial"/>
                <w:b/>
                <w:color w:val="000000"/>
                <w:sz w:val="22"/>
                <w:szCs w:val="22"/>
              </w:rPr>
              <w:t>1,297</w:t>
            </w:r>
          </w:p>
        </w:tc>
      </w:tr>
    </w:tbl>
    <w:p w:rsidR="00FB54C0" w:rsidRPr="0051740C" w:rsidRDefault="00FB54C0" w:rsidP="00FB54C0">
      <w:pPr>
        <w:widowControl w:val="0"/>
        <w:tabs>
          <w:tab w:val="center" w:pos="5040"/>
        </w:tabs>
        <w:jc w:val="center"/>
        <w:rPr>
          <w:rFonts w:ascii="Arial" w:hAnsi="Arial" w:cs="Arial"/>
          <w:sz w:val="22"/>
          <w:szCs w:val="22"/>
        </w:rPr>
      </w:pPr>
      <w:r w:rsidRPr="0051740C">
        <w:rPr>
          <w:rFonts w:ascii="Arial" w:hAnsi="Arial" w:cs="Arial"/>
          <w:sz w:val="22"/>
          <w:szCs w:val="22"/>
        </w:rPr>
        <w:br w:type="page"/>
      </w:r>
      <w:r w:rsidRPr="0051740C">
        <w:rPr>
          <w:rFonts w:ascii="Arial" w:hAnsi="Arial" w:cs="Arial"/>
          <w:sz w:val="22"/>
          <w:szCs w:val="22"/>
        </w:rPr>
        <w:lastRenderedPageBreak/>
        <w:t>Table 5</w:t>
      </w:r>
    </w:p>
    <w:p w:rsidR="00FB54C0" w:rsidRPr="0051740C" w:rsidRDefault="00FB54C0" w:rsidP="00FB54C0">
      <w:pPr>
        <w:widowControl w:val="0"/>
        <w:tabs>
          <w:tab w:val="center" w:pos="5040"/>
        </w:tabs>
        <w:jc w:val="center"/>
        <w:rPr>
          <w:rFonts w:ascii="Arial" w:hAnsi="Arial" w:cs="Arial"/>
          <w:sz w:val="22"/>
          <w:szCs w:val="22"/>
          <w:u w:val="single"/>
        </w:rPr>
      </w:pPr>
      <w:r w:rsidRPr="0051740C">
        <w:rPr>
          <w:rFonts w:ascii="Arial" w:hAnsi="Arial" w:cs="Arial"/>
          <w:sz w:val="22"/>
          <w:szCs w:val="22"/>
          <w:u w:val="single"/>
        </w:rPr>
        <w:t>10 CFR Part 73 Annual Third-Party Notification Burden</w:t>
      </w:r>
    </w:p>
    <w:p w:rsidR="00FB54C0" w:rsidRPr="0051740C" w:rsidRDefault="00FB54C0" w:rsidP="00FB54C0">
      <w:pPr>
        <w:widowControl w:val="0"/>
        <w:tabs>
          <w:tab w:val="center" w:pos="5040"/>
        </w:tabs>
        <w:jc w:val="center"/>
        <w:rPr>
          <w:rFonts w:ascii="Arial" w:hAnsi="Arial" w:cs="Arial"/>
          <w:sz w:val="22"/>
          <w:szCs w:val="22"/>
          <w:u w:val="single"/>
        </w:rPr>
      </w:pPr>
    </w:p>
    <w:tbl>
      <w:tblPr>
        <w:tblW w:w="9841" w:type="dxa"/>
        <w:jc w:val="center"/>
        <w:tblLook w:val="04A0" w:firstRow="1" w:lastRow="0" w:firstColumn="1" w:lastColumn="0" w:noHBand="0" w:noVBand="1"/>
      </w:tblPr>
      <w:tblGrid>
        <w:gridCol w:w="2796"/>
        <w:gridCol w:w="1513"/>
        <w:gridCol w:w="1415"/>
        <w:gridCol w:w="1415"/>
        <w:gridCol w:w="1305"/>
        <w:gridCol w:w="1397"/>
      </w:tblGrid>
      <w:tr w:rsidR="00FB54C0" w:rsidRPr="0051740C" w:rsidTr="00382211">
        <w:trPr>
          <w:trHeight w:val="975"/>
          <w:tblHeader/>
          <w:jc w:val="center"/>
        </w:trPr>
        <w:tc>
          <w:tcPr>
            <w:tcW w:w="2796" w:type="dxa"/>
            <w:tcBorders>
              <w:top w:val="single" w:sz="8" w:space="0" w:color="auto"/>
              <w:left w:val="single" w:sz="8" w:space="0" w:color="auto"/>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auto"/>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Notifications per Respondent</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Number of Notifications</w:t>
            </w:r>
          </w:p>
        </w:tc>
        <w:tc>
          <w:tcPr>
            <w:tcW w:w="1305" w:type="dxa"/>
            <w:tcBorders>
              <w:top w:val="single" w:sz="8" w:space="0" w:color="auto"/>
              <w:left w:val="nil"/>
              <w:bottom w:val="single" w:sz="8" w:space="0" w:color="000000"/>
              <w:right w:val="single" w:sz="8" w:space="0" w:color="000000"/>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Burden Hours per Notification</w:t>
            </w:r>
          </w:p>
        </w:tc>
        <w:tc>
          <w:tcPr>
            <w:tcW w:w="1397" w:type="dxa"/>
            <w:tcBorders>
              <w:top w:val="single" w:sz="8" w:space="0" w:color="auto"/>
              <w:left w:val="nil"/>
              <w:bottom w:val="single" w:sz="8" w:space="0" w:color="000000"/>
              <w:right w:val="single" w:sz="8" w:space="0" w:color="auto"/>
            </w:tcBorders>
            <w:shd w:val="pct12" w:color="auto" w:fill="auto"/>
            <w:vAlign w:val="center"/>
            <w:hideMark/>
          </w:tcPr>
          <w:p w:rsidR="00FB54C0" w:rsidRPr="0051740C" w:rsidRDefault="00FB54C0" w:rsidP="00F44E14">
            <w:pPr>
              <w:jc w:val="center"/>
              <w:rPr>
                <w:rFonts w:ascii="Arial" w:hAnsi="Arial" w:cs="Arial"/>
                <w:color w:val="000000"/>
                <w:sz w:val="22"/>
                <w:szCs w:val="22"/>
              </w:rPr>
            </w:pPr>
            <w:r w:rsidRPr="0051740C">
              <w:rPr>
                <w:rFonts w:ascii="Arial" w:hAnsi="Arial" w:cs="Arial"/>
                <w:color w:val="000000"/>
                <w:sz w:val="22"/>
                <w:szCs w:val="22"/>
              </w:rPr>
              <w:t>Total burden hours</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73.26(e)(2)</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73.26(f)(2)</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tabs>
                <w:tab w:val="center" w:pos="648"/>
                <w:tab w:val="right" w:pos="1297"/>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3</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73.27(a)(1)</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73.27(a)(2)</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73.27(a)(3)</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73.27(b)</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73.37(b)(1)(iv)</w:t>
            </w:r>
          </w:p>
        </w:tc>
        <w:tc>
          <w:tcPr>
            <w:tcW w:w="1513"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5.55</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Pr>
                <w:rFonts w:ascii="Arial" w:hAnsi="Arial" w:cs="Arial"/>
                <w:color w:val="000000"/>
                <w:sz w:val="22"/>
                <w:szCs w:val="22"/>
              </w:rPr>
              <w:t>100</w:t>
            </w:r>
          </w:p>
        </w:tc>
        <w:tc>
          <w:tcPr>
            <w:tcW w:w="130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3</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300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73.37(b)(2)(</w:t>
            </w:r>
            <w:proofErr w:type="spellStart"/>
            <w:r w:rsidRPr="00715830">
              <w:rPr>
                <w:rFonts w:ascii="Arial" w:hAnsi="Arial" w:cs="Arial"/>
                <w:color w:val="000000"/>
                <w:sz w:val="22"/>
                <w:szCs w:val="22"/>
              </w:rPr>
              <w:t>i</w:t>
            </w:r>
            <w:proofErr w:type="spellEnd"/>
            <w:r w:rsidRPr="00715830">
              <w:rPr>
                <w:rFonts w:ascii="Arial" w:hAnsi="Arial" w:cs="Arial"/>
                <w:color w:val="000000"/>
                <w:sz w:val="22"/>
                <w:szCs w:val="22"/>
              </w:rPr>
              <w:t>-iii)</w:t>
            </w:r>
          </w:p>
        </w:tc>
        <w:tc>
          <w:tcPr>
            <w:tcW w:w="1513"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5.5</w:t>
            </w:r>
            <w:r>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Pr>
                <w:rFonts w:ascii="Arial" w:hAnsi="Arial" w:cs="Arial"/>
                <w:color w:val="000000"/>
                <w:sz w:val="22"/>
                <w:szCs w:val="22"/>
              </w:rPr>
              <w:t>100</w:t>
            </w:r>
          </w:p>
        </w:tc>
        <w:tc>
          <w:tcPr>
            <w:tcW w:w="130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50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715830" w:rsidRDefault="00FB54C0" w:rsidP="00F44E14">
            <w:pPr>
              <w:rPr>
                <w:rFonts w:ascii="Arial" w:hAnsi="Arial" w:cs="Arial"/>
                <w:color w:val="000000"/>
                <w:sz w:val="22"/>
                <w:szCs w:val="22"/>
              </w:rPr>
            </w:pPr>
            <w:r w:rsidRPr="00715830">
              <w:rPr>
                <w:rFonts w:ascii="Arial" w:hAnsi="Arial" w:cs="Arial"/>
                <w:color w:val="000000"/>
                <w:sz w:val="22"/>
                <w:szCs w:val="22"/>
              </w:rPr>
              <w:t>73.37(b)(2)(v)</w:t>
            </w:r>
          </w:p>
        </w:tc>
        <w:tc>
          <w:tcPr>
            <w:tcW w:w="1513"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5</w:t>
            </w:r>
          </w:p>
        </w:tc>
        <w:tc>
          <w:tcPr>
            <w:tcW w:w="1305" w:type="dxa"/>
            <w:tcBorders>
              <w:top w:val="nil"/>
              <w:left w:val="nil"/>
              <w:bottom w:val="single" w:sz="8" w:space="0" w:color="000000"/>
              <w:right w:val="single" w:sz="8" w:space="0" w:color="000000"/>
            </w:tcBorders>
            <w:shd w:val="clear" w:color="auto" w:fill="auto"/>
            <w:vAlign w:val="center"/>
          </w:tcPr>
          <w:p w:rsidR="00FB54C0" w:rsidRPr="00715830" w:rsidRDefault="00FB54C0" w:rsidP="00F44E14">
            <w:pPr>
              <w:jc w:val="right"/>
              <w:rPr>
                <w:rFonts w:ascii="Arial" w:hAnsi="Arial" w:cs="Arial"/>
                <w:color w:val="000000"/>
                <w:sz w:val="22"/>
                <w:szCs w:val="22"/>
              </w:rPr>
            </w:pPr>
            <w:r w:rsidRPr="00715830">
              <w:rPr>
                <w:rFonts w:ascii="Arial" w:hAnsi="Arial" w:cs="Arial"/>
                <w:color w:val="000000"/>
                <w:sz w:val="22"/>
                <w:szCs w:val="22"/>
              </w:rPr>
              <w:t>0.33</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2</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73.37(b)(11)</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0.3</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18</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73.37(f)</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21</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63</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221</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73.37(f)(1)</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16.67</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300</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150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73.37(f)(4)- revisions</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15</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75</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0.08</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6</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73.37(f)(4)- cancellations</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5</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0.08</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73.38(d)(1)</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9</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73.38(d)(2)</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18</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9</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vAlign w:val="center"/>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73.38(</w:t>
            </w:r>
            <w:proofErr w:type="spellStart"/>
            <w:r w:rsidRPr="00140A5F">
              <w:rPr>
                <w:rFonts w:ascii="Arial" w:hAnsi="Arial" w:cs="Arial"/>
                <w:color w:val="000000"/>
                <w:sz w:val="22"/>
                <w:szCs w:val="22"/>
              </w:rPr>
              <w:t>i</w:t>
            </w:r>
            <w:proofErr w:type="spellEnd"/>
            <w:r w:rsidRPr="00140A5F">
              <w:rPr>
                <w:rFonts w:ascii="Arial" w:hAnsi="Arial" w:cs="Arial"/>
                <w:color w:val="000000"/>
                <w:sz w:val="22"/>
                <w:szCs w:val="22"/>
              </w:rPr>
              <w:t>)</w:t>
            </w:r>
          </w:p>
        </w:tc>
        <w:tc>
          <w:tcPr>
            <w:tcW w:w="1513"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18</w:t>
            </w:r>
          </w:p>
        </w:tc>
        <w:tc>
          <w:tcPr>
            <w:tcW w:w="141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vAlign w:val="center"/>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tcPr>
          <w:p w:rsidR="00FB54C0" w:rsidRDefault="00FB54C0" w:rsidP="00F44E14">
            <w:pPr>
              <w:jc w:val="right"/>
              <w:rPr>
                <w:rFonts w:ascii="Arial" w:hAnsi="Arial" w:cs="Arial"/>
                <w:color w:val="000000"/>
                <w:sz w:val="22"/>
                <w:szCs w:val="22"/>
              </w:rPr>
            </w:pPr>
            <w:r>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73.46(h)(4)</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49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73.50(g)(3)</w:t>
            </w:r>
            <w:r w:rsidRPr="0051740C">
              <w:rPr>
                <w:rFonts w:ascii="Arial" w:hAnsi="Arial" w:cs="Arial"/>
                <w:b/>
                <w:bCs/>
                <w:color w:val="000000"/>
                <w:sz w:val="22"/>
                <w:szCs w:val="22"/>
              </w:rPr>
              <w:t xml:space="preserve"> </w:t>
            </w:r>
            <w:r w:rsidRPr="0051740C">
              <w:rPr>
                <w:rFonts w:ascii="Arial" w:hAnsi="Arial" w:cs="Arial"/>
                <w:color w:val="000000"/>
                <w:sz w:val="22"/>
                <w:szCs w:val="22"/>
              </w:rPr>
              <w:t>(Emergency notification - never used)</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73.55(g)(7)(</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)(C)</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1320.3</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8</w:t>
            </w:r>
            <w:r>
              <w:rPr>
                <w:rFonts w:ascii="Arial" w:hAnsi="Arial" w:cs="Arial"/>
                <w:color w:val="000000"/>
                <w:sz w:val="22"/>
                <w:szCs w:val="22"/>
              </w:rPr>
              <w:t>5</w:t>
            </w:r>
            <w:r w:rsidRPr="0051740C">
              <w:rPr>
                <w:rFonts w:ascii="Arial" w:hAnsi="Arial" w:cs="Arial"/>
                <w:color w:val="000000"/>
                <w:sz w:val="22"/>
                <w:szCs w:val="22"/>
              </w:rPr>
              <w:t>,</w:t>
            </w:r>
            <w:r>
              <w:rPr>
                <w:rFonts w:ascii="Arial" w:hAnsi="Arial" w:cs="Arial"/>
                <w:color w:val="000000"/>
                <w:sz w:val="22"/>
                <w:szCs w:val="22"/>
              </w:rPr>
              <w:t>820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8,582</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73.55(k)(8)(iii)</w:t>
            </w:r>
            <w:r w:rsidRPr="0051740C">
              <w:rPr>
                <w:rFonts w:ascii="Arial" w:hAnsi="Arial" w:cs="Arial"/>
                <w:b/>
                <w:bCs/>
                <w:color w:val="000000"/>
                <w:sz w:val="22"/>
                <w:szCs w:val="22"/>
              </w:rPr>
              <w:t xml:space="preserve"> </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16</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73.55(p)(1)</w:t>
            </w:r>
          </w:p>
        </w:tc>
        <w:tc>
          <w:tcPr>
            <w:tcW w:w="1513" w:type="dxa"/>
            <w:tcBorders>
              <w:top w:val="nil"/>
              <w:left w:val="nil"/>
              <w:bottom w:val="single" w:sz="4" w:space="0" w:color="auto"/>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32</w:t>
            </w:r>
            <w:r>
              <w:rPr>
                <w:rFonts w:ascii="Arial" w:hAnsi="Arial" w:cs="Arial"/>
                <w:color w:val="000000"/>
                <w:sz w:val="22"/>
                <w:szCs w:val="22"/>
              </w:rPr>
              <w:t>5</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32.5</w:t>
            </w:r>
          </w:p>
        </w:tc>
      </w:tr>
      <w:tr w:rsidR="00FB54C0" w:rsidRPr="0051740C" w:rsidTr="00F44E14">
        <w:trPr>
          <w:trHeight w:val="315"/>
          <w:jc w:val="center"/>
        </w:trPr>
        <w:tc>
          <w:tcPr>
            <w:tcW w:w="2796" w:type="dxa"/>
            <w:tcBorders>
              <w:top w:val="nil"/>
              <w:left w:val="single" w:sz="8" w:space="0" w:color="auto"/>
              <w:bottom w:val="single" w:sz="8" w:space="0" w:color="000000"/>
              <w:right w:val="single" w:sz="4" w:space="0" w:color="auto"/>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415" w:type="dxa"/>
            <w:tcBorders>
              <w:top w:val="nil"/>
              <w:left w:val="single" w:sz="4" w:space="0" w:color="auto"/>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16.2</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1,101.6</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6.75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7436</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73.56(e)</w:t>
            </w:r>
          </w:p>
        </w:tc>
        <w:tc>
          <w:tcPr>
            <w:tcW w:w="1513" w:type="dxa"/>
            <w:tcBorders>
              <w:top w:val="single" w:sz="4" w:space="0" w:color="auto"/>
              <w:left w:val="nil"/>
              <w:bottom w:val="single" w:sz="8" w:space="0" w:color="000000"/>
              <w:right w:val="single" w:sz="8" w:space="0" w:color="000000"/>
            </w:tcBorders>
            <w:shd w:val="clear" w:color="auto" w:fill="auto"/>
            <w:hideMark/>
          </w:tcPr>
          <w:p w:rsidR="00FB54C0" w:rsidRDefault="00FB54C0" w:rsidP="00F44E14">
            <w:pPr>
              <w:jc w:val="right"/>
            </w:pPr>
            <w:r w:rsidRPr="00651362">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170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2.25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382.5</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73.56(f)</w:t>
            </w:r>
          </w:p>
        </w:tc>
        <w:tc>
          <w:tcPr>
            <w:tcW w:w="1513" w:type="dxa"/>
            <w:tcBorders>
              <w:top w:val="nil"/>
              <w:left w:val="nil"/>
              <w:bottom w:val="single" w:sz="8" w:space="0" w:color="000000"/>
              <w:right w:val="single" w:sz="8" w:space="0" w:color="000000"/>
            </w:tcBorders>
            <w:shd w:val="clear" w:color="auto" w:fill="auto"/>
            <w:hideMark/>
          </w:tcPr>
          <w:p w:rsidR="00FB54C0" w:rsidRDefault="00FB54C0" w:rsidP="00F44E14">
            <w:pPr>
              <w:jc w:val="right"/>
            </w:pPr>
            <w:r w:rsidRPr="00651362">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73.56(g)</w:t>
            </w:r>
          </w:p>
        </w:tc>
        <w:tc>
          <w:tcPr>
            <w:tcW w:w="1513" w:type="dxa"/>
            <w:tcBorders>
              <w:top w:val="nil"/>
              <w:left w:val="nil"/>
              <w:bottom w:val="single" w:sz="8" w:space="0" w:color="000000"/>
              <w:right w:val="single" w:sz="8" w:space="0" w:color="000000"/>
            </w:tcBorders>
            <w:shd w:val="clear" w:color="auto" w:fill="auto"/>
            <w:hideMark/>
          </w:tcPr>
          <w:p w:rsidR="00FB54C0" w:rsidRDefault="00FB54C0" w:rsidP="00F44E14">
            <w:pPr>
              <w:jc w:val="right"/>
            </w:pPr>
            <w:r w:rsidRPr="00651362">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17.8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1,210.4</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121</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73.56(m)(2)</w:t>
            </w:r>
          </w:p>
        </w:tc>
        <w:tc>
          <w:tcPr>
            <w:tcW w:w="1513" w:type="dxa"/>
            <w:tcBorders>
              <w:top w:val="nil"/>
              <w:left w:val="nil"/>
              <w:bottom w:val="single" w:sz="8" w:space="0" w:color="000000"/>
              <w:right w:val="single" w:sz="8" w:space="0" w:color="000000"/>
            </w:tcBorders>
            <w:shd w:val="clear" w:color="auto" w:fill="auto"/>
            <w:hideMark/>
          </w:tcPr>
          <w:p w:rsidR="00FB54C0" w:rsidRDefault="00FB54C0" w:rsidP="00F44E14">
            <w:pPr>
              <w:jc w:val="right"/>
            </w:pPr>
            <w:r w:rsidRPr="00651362">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68</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34</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73.57(b)(3)</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w:t>
            </w:r>
            <w:r>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426.75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27,739</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13,869</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73.57(e)</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r>
              <w:rPr>
                <w:rFonts w:ascii="Arial" w:hAnsi="Arial" w:cs="Arial"/>
                <w:color w:val="000000"/>
                <w:sz w:val="22"/>
                <w:szCs w:val="22"/>
              </w:rPr>
              <w:t>,420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2,210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73.58(d)</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65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12</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780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Pr>
                <w:rFonts w:ascii="Arial" w:hAnsi="Arial" w:cs="Arial"/>
                <w:color w:val="000000"/>
                <w:sz w:val="22"/>
                <w:szCs w:val="22"/>
              </w:rPr>
              <w:t>780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73.67(e)(1)</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18.5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370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740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73.67(e)(6)(ii)</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0.5</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lastRenderedPageBreak/>
              <w:t>73.67(g)(1) and(2)</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4</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280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auto" w:fill="auto"/>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73.67(g)(3)(ii)</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vAlign w:val="bottom"/>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70</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70</w:t>
            </w:r>
          </w:p>
        </w:tc>
      </w:tr>
      <w:tr w:rsidR="00FB54C0" w:rsidRPr="0051740C" w:rsidTr="00F44E14">
        <w:trPr>
          <w:trHeight w:val="315"/>
          <w:jc w:val="center"/>
        </w:trPr>
        <w:tc>
          <w:tcPr>
            <w:tcW w:w="2796" w:type="dxa"/>
            <w:tcBorders>
              <w:top w:val="nil"/>
              <w:left w:val="single" w:sz="8" w:space="0" w:color="auto"/>
              <w:bottom w:val="single" w:sz="8" w:space="0" w:color="000000"/>
              <w:right w:val="single" w:sz="8" w:space="0" w:color="000000"/>
            </w:tcBorders>
            <w:shd w:val="clear" w:color="000000" w:fill="FFFFFF"/>
            <w:hideMark/>
          </w:tcPr>
          <w:p w:rsidR="00FB54C0" w:rsidRPr="0051740C" w:rsidRDefault="00FB54C0" w:rsidP="00F44E14">
            <w:pPr>
              <w:rPr>
                <w:rFonts w:ascii="Arial" w:hAnsi="Arial" w:cs="Arial"/>
                <w:color w:val="000000"/>
                <w:sz w:val="22"/>
                <w:szCs w:val="22"/>
              </w:rPr>
            </w:pPr>
            <w:r w:rsidRPr="0051740C">
              <w:rPr>
                <w:rFonts w:ascii="Arial" w:hAnsi="Arial" w:cs="Arial"/>
                <w:color w:val="000000"/>
                <w:sz w:val="22"/>
                <w:szCs w:val="22"/>
              </w:rPr>
              <w:t>73.67(g)(5)(ii)</w:t>
            </w:r>
          </w:p>
        </w:tc>
        <w:tc>
          <w:tcPr>
            <w:tcW w:w="1513"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000000" w:fill="FFFFFF"/>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1.75</w:t>
            </w:r>
          </w:p>
        </w:tc>
        <w:tc>
          <w:tcPr>
            <w:tcW w:w="141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w:t>
            </w:r>
          </w:p>
        </w:tc>
        <w:tc>
          <w:tcPr>
            <w:tcW w:w="1305" w:type="dxa"/>
            <w:tcBorders>
              <w:top w:val="nil"/>
              <w:left w:val="nil"/>
              <w:bottom w:val="single" w:sz="8" w:space="0" w:color="000000"/>
              <w:right w:val="single" w:sz="8" w:space="0" w:color="000000"/>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1</w:t>
            </w:r>
          </w:p>
        </w:tc>
        <w:tc>
          <w:tcPr>
            <w:tcW w:w="1397" w:type="dxa"/>
            <w:tcBorders>
              <w:top w:val="nil"/>
              <w:left w:val="nil"/>
              <w:bottom w:val="single" w:sz="8" w:space="0" w:color="000000"/>
              <w:right w:val="single" w:sz="8" w:space="0" w:color="auto"/>
            </w:tcBorders>
            <w:shd w:val="clear" w:color="auto" w:fill="auto"/>
            <w:hideMark/>
          </w:tcPr>
          <w:p w:rsidR="00FB54C0" w:rsidRPr="0051740C" w:rsidRDefault="00FB54C0" w:rsidP="00F44E14">
            <w:pPr>
              <w:jc w:val="right"/>
              <w:rPr>
                <w:rFonts w:ascii="Arial" w:hAnsi="Arial" w:cs="Arial"/>
                <w:color w:val="000000"/>
                <w:sz w:val="22"/>
                <w:szCs w:val="22"/>
              </w:rPr>
            </w:pPr>
            <w:r w:rsidRPr="0051740C">
              <w:rPr>
                <w:rFonts w:ascii="Arial" w:hAnsi="Arial" w:cs="Arial"/>
                <w:color w:val="000000"/>
                <w:sz w:val="22"/>
                <w:szCs w:val="22"/>
              </w:rPr>
              <w:t>35</w:t>
            </w:r>
          </w:p>
        </w:tc>
      </w:tr>
      <w:tr w:rsidR="00FB54C0" w:rsidRPr="0051740C" w:rsidTr="00F44E14">
        <w:trPr>
          <w:trHeight w:val="315"/>
          <w:jc w:val="center"/>
        </w:trPr>
        <w:tc>
          <w:tcPr>
            <w:tcW w:w="2796" w:type="dxa"/>
            <w:tcBorders>
              <w:top w:val="nil"/>
              <w:left w:val="single" w:sz="8" w:space="0" w:color="auto"/>
              <w:bottom w:val="single" w:sz="8" w:space="0" w:color="auto"/>
              <w:right w:val="single" w:sz="8" w:space="0" w:color="000000"/>
            </w:tcBorders>
            <w:shd w:val="clear" w:color="auto" w:fill="auto"/>
            <w:hideMark/>
          </w:tcPr>
          <w:p w:rsidR="00FB54C0" w:rsidRPr="0051740C" w:rsidRDefault="00FB54C0" w:rsidP="00F44E14">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nil"/>
              <w:left w:val="nil"/>
              <w:bottom w:val="single" w:sz="8" w:space="0" w:color="auto"/>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415" w:type="dxa"/>
            <w:tcBorders>
              <w:top w:val="nil"/>
              <w:left w:val="nil"/>
              <w:bottom w:val="single" w:sz="8" w:space="0" w:color="auto"/>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415" w:type="dxa"/>
            <w:tcBorders>
              <w:top w:val="nil"/>
              <w:left w:val="nil"/>
              <w:bottom w:val="single" w:sz="8" w:space="0" w:color="auto"/>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12</w:t>
            </w:r>
            <w:r>
              <w:rPr>
                <w:rFonts w:ascii="Arial" w:hAnsi="Arial" w:cs="Arial"/>
                <w:b/>
                <w:color w:val="000000"/>
                <w:sz w:val="22"/>
                <w:szCs w:val="22"/>
              </w:rPr>
              <w:t>3</w:t>
            </w:r>
            <w:r w:rsidRPr="0051740C">
              <w:rPr>
                <w:rFonts w:ascii="Arial" w:hAnsi="Arial" w:cs="Arial"/>
                <w:b/>
                <w:color w:val="000000"/>
                <w:sz w:val="22"/>
                <w:szCs w:val="22"/>
              </w:rPr>
              <w:t>,</w:t>
            </w:r>
            <w:r>
              <w:rPr>
                <w:rFonts w:ascii="Arial" w:hAnsi="Arial" w:cs="Arial"/>
                <w:b/>
                <w:color w:val="000000"/>
                <w:sz w:val="22"/>
                <w:szCs w:val="22"/>
              </w:rPr>
              <w:t>671</w:t>
            </w:r>
          </w:p>
        </w:tc>
        <w:tc>
          <w:tcPr>
            <w:tcW w:w="1305" w:type="dxa"/>
            <w:tcBorders>
              <w:top w:val="nil"/>
              <w:left w:val="nil"/>
              <w:bottom w:val="single" w:sz="8" w:space="0" w:color="auto"/>
              <w:right w:val="single" w:sz="8" w:space="0" w:color="000000"/>
            </w:tcBorders>
            <w:shd w:val="clear" w:color="auto" w:fill="auto"/>
            <w:hideMark/>
          </w:tcPr>
          <w:p w:rsidR="00FB54C0" w:rsidRPr="0051740C" w:rsidRDefault="00FB54C0" w:rsidP="00F44E14">
            <w:pPr>
              <w:jc w:val="right"/>
              <w:rPr>
                <w:rFonts w:ascii="Arial" w:hAnsi="Arial" w:cs="Arial"/>
                <w:b/>
                <w:color w:val="000000"/>
                <w:sz w:val="22"/>
                <w:szCs w:val="22"/>
              </w:rPr>
            </w:pPr>
          </w:p>
        </w:tc>
        <w:tc>
          <w:tcPr>
            <w:tcW w:w="1397" w:type="dxa"/>
            <w:tcBorders>
              <w:top w:val="nil"/>
              <w:left w:val="nil"/>
              <w:bottom w:val="single" w:sz="8" w:space="0" w:color="auto"/>
              <w:right w:val="single" w:sz="8" w:space="0" w:color="auto"/>
            </w:tcBorders>
            <w:shd w:val="clear" w:color="auto" w:fill="auto"/>
            <w:hideMark/>
          </w:tcPr>
          <w:p w:rsidR="00FB54C0" w:rsidRPr="0051740C" w:rsidRDefault="00FB54C0" w:rsidP="00F44E14">
            <w:pPr>
              <w:jc w:val="right"/>
              <w:rPr>
                <w:rFonts w:ascii="Arial" w:hAnsi="Arial" w:cs="Arial"/>
                <w:b/>
                <w:color w:val="000000"/>
                <w:sz w:val="22"/>
                <w:szCs w:val="22"/>
              </w:rPr>
            </w:pPr>
            <w:r w:rsidRPr="0051740C">
              <w:rPr>
                <w:rFonts w:ascii="Arial" w:hAnsi="Arial" w:cs="Arial"/>
                <w:b/>
                <w:color w:val="000000"/>
                <w:sz w:val="22"/>
                <w:szCs w:val="22"/>
              </w:rPr>
              <w:t>3</w:t>
            </w:r>
            <w:r>
              <w:rPr>
                <w:rFonts w:ascii="Arial" w:hAnsi="Arial" w:cs="Arial"/>
                <w:b/>
                <w:color w:val="000000"/>
                <w:sz w:val="22"/>
                <w:szCs w:val="22"/>
              </w:rPr>
              <w:t>5</w:t>
            </w:r>
            <w:r w:rsidRPr="0051740C">
              <w:rPr>
                <w:rFonts w:ascii="Arial" w:hAnsi="Arial" w:cs="Arial"/>
                <w:b/>
                <w:color w:val="000000"/>
                <w:sz w:val="22"/>
                <w:szCs w:val="22"/>
              </w:rPr>
              <w:t>,</w:t>
            </w:r>
            <w:r>
              <w:rPr>
                <w:rFonts w:ascii="Arial" w:hAnsi="Arial" w:cs="Arial"/>
                <w:b/>
                <w:color w:val="000000"/>
                <w:sz w:val="22"/>
                <w:szCs w:val="22"/>
              </w:rPr>
              <w:t>434</w:t>
            </w:r>
          </w:p>
        </w:tc>
      </w:tr>
    </w:tbl>
    <w:p w:rsidR="00FB54C0" w:rsidRDefault="00FB54C0" w:rsidP="00FB54C0"/>
    <w:p w:rsidR="00FB54C0" w:rsidRDefault="00FB54C0" w:rsidP="00FB54C0">
      <w:pPr>
        <w:spacing w:line="276" w:lineRule="auto"/>
      </w:pPr>
      <w:r>
        <w:br w:type="page"/>
      </w:r>
      <w:bookmarkStart w:id="18" w:name="_GoBack"/>
      <w:bookmarkEnd w:id="18"/>
    </w:p>
    <w:p w:rsidR="00FB54C0" w:rsidRPr="00140A5F" w:rsidRDefault="00FB54C0" w:rsidP="00FB54C0">
      <w:pPr>
        <w:widowControl w:val="0"/>
        <w:tabs>
          <w:tab w:val="center" w:pos="5040"/>
        </w:tabs>
        <w:jc w:val="center"/>
        <w:rPr>
          <w:rFonts w:ascii="Arial" w:hAnsi="Arial" w:cs="Arial"/>
          <w:sz w:val="22"/>
          <w:szCs w:val="22"/>
        </w:rPr>
      </w:pPr>
      <w:r>
        <w:rPr>
          <w:rFonts w:ascii="Arial" w:hAnsi="Arial" w:cs="Arial"/>
          <w:sz w:val="22"/>
          <w:szCs w:val="22"/>
        </w:rPr>
        <w:lastRenderedPageBreak/>
        <w:t>Table 6</w:t>
      </w:r>
    </w:p>
    <w:p w:rsidR="00FB54C0" w:rsidRPr="00140A5F" w:rsidRDefault="00FB54C0" w:rsidP="00FB54C0">
      <w:pPr>
        <w:widowControl w:val="0"/>
        <w:tabs>
          <w:tab w:val="center" w:pos="5040"/>
        </w:tabs>
        <w:jc w:val="center"/>
        <w:rPr>
          <w:rFonts w:ascii="Arial" w:hAnsi="Arial" w:cs="Arial"/>
          <w:sz w:val="22"/>
          <w:szCs w:val="22"/>
          <w:u w:val="single"/>
        </w:rPr>
      </w:pPr>
      <w:r w:rsidRPr="00140A5F">
        <w:rPr>
          <w:rFonts w:ascii="Arial" w:hAnsi="Arial" w:cs="Arial"/>
          <w:sz w:val="22"/>
          <w:szCs w:val="22"/>
          <w:u w:val="single"/>
        </w:rPr>
        <w:t xml:space="preserve">10 CFR Part 73 </w:t>
      </w:r>
      <w:r>
        <w:rPr>
          <w:rFonts w:ascii="Arial" w:hAnsi="Arial" w:cs="Arial"/>
          <w:sz w:val="22"/>
          <w:szCs w:val="22"/>
          <w:u w:val="single"/>
        </w:rPr>
        <w:t xml:space="preserve">One-Time </w:t>
      </w:r>
      <w:r w:rsidRPr="00140A5F">
        <w:rPr>
          <w:rFonts w:ascii="Arial" w:hAnsi="Arial" w:cs="Arial"/>
          <w:sz w:val="22"/>
          <w:szCs w:val="22"/>
          <w:u w:val="single"/>
        </w:rPr>
        <w:t>Third-Party Notification Burden</w:t>
      </w:r>
    </w:p>
    <w:p w:rsidR="00FB54C0" w:rsidRPr="00140A5F" w:rsidRDefault="00FB54C0" w:rsidP="00FB54C0">
      <w:pPr>
        <w:widowControl w:val="0"/>
        <w:tabs>
          <w:tab w:val="center" w:pos="5040"/>
        </w:tabs>
        <w:jc w:val="center"/>
        <w:rPr>
          <w:rFonts w:ascii="Arial" w:hAnsi="Arial" w:cs="Arial"/>
          <w:sz w:val="22"/>
          <w:szCs w:val="22"/>
          <w:u w:val="single"/>
        </w:rPr>
      </w:pPr>
    </w:p>
    <w:tbl>
      <w:tblPr>
        <w:tblW w:w="9841" w:type="dxa"/>
        <w:jc w:val="center"/>
        <w:tblLook w:val="04A0" w:firstRow="1" w:lastRow="0" w:firstColumn="1" w:lastColumn="0" w:noHBand="0" w:noVBand="1"/>
      </w:tblPr>
      <w:tblGrid>
        <w:gridCol w:w="2822"/>
        <w:gridCol w:w="1513"/>
        <w:gridCol w:w="1415"/>
        <w:gridCol w:w="1415"/>
        <w:gridCol w:w="1325"/>
        <w:gridCol w:w="1351"/>
      </w:tblGrid>
      <w:tr w:rsidR="00FB54C0" w:rsidRPr="00140A5F" w:rsidTr="00F44E14">
        <w:trPr>
          <w:trHeight w:val="975"/>
          <w:jc w:val="center"/>
        </w:trPr>
        <w:tc>
          <w:tcPr>
            <w:tcW w:w="2822" w:type="dxa"/>
            <w:tcBorders>
              <w:top w:val="single" w:sz="8" w:space="0" w:color="auto"/>
              <w:left w:val="single" w:sz="8" w:space="0" w:color="auto"/>
              <w:bottom w:val="single" w:sz="8" w:space="0" w:color="000000"/>
              <w:right w:val="single" w:sz="8" w:space="0" w:color="000000"/>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Section</w:t>
            </w:r>
          </w:p>
        </w:tc>
        <w:tc>
          <w:tcPr>
            <w:tcW w:w="1513" w:type="dxa"/>
            <w:tcBorders>
              <w:top w:val="single" w:sz="8" w:space="0" w:color="auto"/>
              <w:left w:val="nil"/>
              <w:bottom w:val="single" w:sz="8" w:space="0" w:color="000000"/>
              <w:right w:val="single" w:sz="8" w:space="0" w:color="000000"/>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No. of Respondents</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Notifications per Respondent</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Number of Notifications</w:t>
            </w:r>
          </w:p>
        </w:tc>
        <w:tc>
          <w:tcPr>
            <w:tcW w:w="1325" w:type="dxa"/>
            <w:tcBorders>
              <w:top w:val="single" w:sz="8" w:space="0" w:color="auto"/>
              <w:left w:val="nil"/>
              <w:bottom w:val="single" w:sz="8" w:space="0" w:color="000000"/>
              <w:right w:val="single" w:sz="8" w:space="0" w:color="000000"/>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Burden Hours per Notification</w:t>
            </w:r>
          </w:p>
        </w:tc>
        <w:tc>
          <w:tcPr>
            <w:tcW w:w="1351" w:type="dxa"/>
            <w:tcBorders>
              <w:top w:val="single" w:sz="8" w:space="0" w:color="auto"/>
              <w:left w:val="nil"/>
              <w:bottom w:val="single" w:sz="8" w:space="0" w:color="000000"/>
              <w:right w:val="single" w:sz="8" w:space="0" w:color="auto"/>
            </w:tcBorders>
            <w:shd w:val="pct12" w:color="auto" w:fill="auto"/>
            <w:vAlign w:val="center"/>
            <w:hideMark/>
          </w:tcPr>
          <w:p w:rsidR="00FB54C0" w:rsidRPr="00140A5F" w:rsidRDefault="00FB54C0" w:rsidP="00F44E14">
            <w:pPr>
              <w:jc w:val="center"/>
              <w:rPr>
                <w:rFonts w:ascii="Arial" w:hAnsi="Arial" w:cs="Arial"/>
                <w:color w:val="000000"/>
                <w:sz w:val="22"/>
                <w:szCs w:val="22"/>
              </w:rPr>
            </w:pPr>
            <w:r w:rsidRPr="00140A5F">
              <w:rPr>
                <w:rFonts w:ascii="Arial" w:hAnsi="Arial" w:cs="Arial"/>
                <w:color w:val="000000"/>
                <w:sz w:val="22"/>
                <w:szCs w:val="22"/>
              </w:rPr>
              <w:t>Total burden hours</w:t>
            </w:r>
          </w:p>
        </w:tc>
      </w:tr>
      <w:tr w:rsidR="00FB54C0" w:rsidRPr="00140A5F" w:rsidTr="00F44E14">
        <w:trPr>
          <w:trHeight w:val="315"/>
          <w:jc w:val="center"/>
        </w:trPr>
        <w:tc>
          <w:tcPr>
            <w:tcW w:w="2822" w:type="dxa"/>
            <w:tcBorders>
              <w:top w:val="nil"/>
              <w:left w:val="single" w:sz="8" w:space="0" w:color="auto"/>
              <w:bottom w:val="single" w:sz="8" w:space="0" w:color="000000"/>
              <w:right w:val="single" w:sz="8" w:space="0" w:color="000000"/>
            </w:tcBorders>
            <w:shd w:val="clear" w:color="auto" w:fill="auto"/>
            <w:vAlign w:val="center"/>
            <w:hideMark/>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73.38(d)(1)</w:t>
            </w:r>
          </w:p>
        </w:tc>
        <w:tc>
          <w:tcPr>
            <w:tcW w:w="1513"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3.3</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3.3</w:t>
            </w:r>
          </w:p>
        </w:tc>
        <w:tc>
          <w:tcPr>
            <w:tcW w:w="132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vAlign w:val="center"/>
            <w:hideMark/>
          </w:tcPr>
          <w:p w:rsidR="00FB54C0" w:rsidRPr="00140A5F" w:rsidRDefault="00FB54C0" w:rsidP="00F44E14">
            <w:pPr>
              <w:jc w:val="right"/>
              <w:rPr>
                <w:rFonts w:ascii="Arial" w:hAnsi="Arial" w:cs="Arial"/>
                <w:color w:val="000000"/>
                <w:sz w:val="22"/>
                <w:szCs w:val="22"/>
              </w:rPr>
            </w:pPr>
            <w:r>
              <w:rPr>
                <w:rFonts w:ascii="Arial" w:hAnsi="Arial" w:cs="Arial"/>
                <w:color w:val="000000"/>
                <w:sz w:val="22"/>
                <w:szCs w:val="22"/>
              </w:rPr>
              <w:t>1.5</w:t>
            </w:r>
          </w:p>
        </w:tc>
      </w:tr>
      <w:tr w:rsidR="00FB54C0" w:rsidRPr="00140A5F" w:rsidTr="00F44E14">
        <w:trPr>
          <w:trHeight w:val="315"/>
          <w:jc w:val="center"/>
        </w:trPr>
        <w:tc>
          <w:tcPr>
            <w:tcW w:w="2822" w:type="dxa"/>
            <w:tcBorders>
              <w:top w:val="nil"/>
              <w:left w:val="single" w:sz="8" w:space="0" w:color="auto"/>
              <w:bottom w:val="single" w:sz="8" w:space="0" w:color="000000"/>
              <w:right w:val="single" w:sz="8" w:space="0" w:color="000000"/>
            </w:tcBorders>
            <w:shd w:val="clear" w:color="auto" w:fill="auto"/>
            <w:vAlign w:val="center"/>
            <w:hideMark/>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73.38(d)(2)</w:t>
            </w:r>
          </w:p>
        </w:tc>
        <w:tc>
          <w:tcPr>
            <w:tcW w:w="1513"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3.3</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3.3</w:t>
            </w:r>
          </w:p>
        </w:tc>
        <w:tc>
          <w:tcPr>
            <w:tcW w:w="132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vAlign w:val="center"/>
            <w:hideMark/>
          </w:tcPr>
          <w:p w:rsidR="00FB54C0" w:rsidRPr="00140A5F" w:rsidRDefault="00FB54C0" w:rsidP="00F44E14">
            <w:pPr>
              <w:jc w:val="right"/>
              <w:rPr>
                <w:rFonts w:ascii="Arial" w:hAnsi="Arial" w:cs="Arial"/>
                <w:color w:val="000000"/>
                <w:sz w:val="22"/>
                <w:szCs w:val="22"/>
              </w:rPr>
            </w:pPr>
            <w:r>
              <w:rPr>
                <w:rFonts w:ascii="Arial" w:hAnsi="Arial" w:cs="Arial"/>
                <w:color w:val="000000"/>
                <w:sz w:val="22"/>
                <w:szCs w:val="22"/>
              </w:rPr>
              <w:t>1.5</w:t>
            </w:r>
          </w:p>
        </w:tc>
      </w:tr>
      <w:tr w:rsidR="00FB54C0" w:rsidRPr="00140A5F" w:rsidTr="00F44E14">
        <w:trPr>
          <w:trHeight w:val="315"/>
          <w:jc w:val="center"/>
        </w:trPr>
        <w:tc>
          <w:tcPr>
            <w:tcW w:w="2822" w:type="dxa"/>
            <w:tcBorders>
              <w:top w:val="nil"/>
              <w:left w:val="single" w:sz="8" w:space="0" w:color="auto"/>
              <w:bottom w:val="single" w:sz="8" w:space="0" w:color="000000"/>
              <w:right w:val="single" w:sz="8" w:space="0" w:color="000000"/>
            </w:tcBorders>
            <w:shd w:val="clear" w:color="auto" w:fill="auto"/>
            <w:vAlign w:val="center"/>
            <w:hideMark/>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73.57(b)(3)</w:t>
            </w:r>
          </w:p>
        </w:tc>
        <w:tc>
          <w:tcPr>
            <w:tcW w:w="1513"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1.4</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7</w:t>
            </w:r>
          </w:p>
        </w:tc>
        <w:tc>
          <w:tcPr>
            <w:tcW w:w="132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vAlign w:val="center"/>
            <w:hideMark/>
          </w:tcPr>
          <w:p w:rsidR="00FB54C0" w:rsidRPr="00140A5F" w:rsidRDefault="00FB54C0" w:rsidP="00F44E14">
            <w:pPr>
              <w:jc w:val="right"/>
              <w:rPr>
                <w:rFonts w:ascii="Arial" w:hAnsi="Arial" w:cs="Arial"/>
                <w:color w:val="000000"/>
                <w:sz w:val="22"/>
                <w:szCs w:val="22"/>
              </w:rPr>
            </w:pPr>
            <w:r>
              <w:rPr>
                <w:rFonts w:ascii="Arial" w:hAnsi="Arial" w:cs="Arial"/>
                <w:color w:val="000000"/>
                <w:sz w:val="22"/>
                <w:szCs w:val="22"/>
              </w:rPr>
              <w:t>4</w:t>
            </w:r>
          </w:p>
        </w:tc>
      </w:tr>
      <w:tr w:rsidR="00FB54C0" w:rsidRPr="00140A5F" w:rsidTr="00F44E14">
        <w:trPr>
          <w:trHeight w:val="315"/>
          <w:jc w:val="center"/>
        </w:trPr>
        <w:tc>
          <w:tcPr>
            <w:tcW w:w="2822" w:type="dxa"/>
            <w:tcBorders>
              <w:top w:val="nil"/>
              <w:left w:val="single" w:sz="8" w:space="0" w:color="auto"/>
              <w:bottom w:val="single" w:sz="8" w:space="0" w:color="000000"/>
              <w:right w:val="single" w:sz="8" w:space="0" w:color="000000"/>
            </w:tcBorders>
            <w:shd w:val="clear" w:color="auto" w:fill="auto"/>
            <w:vAlign w:val="center"/>
            <w:hideMark/>
          </w:tcPr>
          <w:p w:rsidR="00FB54C0" w:rsidRPr="00140A5F" w:rsidRDefault="00FB54C0" w:rsidP="00F44E14">
            <w:pPr>
              <w:rPr>
                <w:rFonts w:ascii="Arial" w:hAnsi="Arial" w:cs="Arial"/>
                <w:color w:val="000000"/>
                <w:sz w:val="22"/>
                <w:szCs w:val="22"/>
              </w:rPr>
            </w:pPr>
            <w:r w:rsidRPr="00140A5F">
              <w:rPr>
                <w:rFonts w:ascii="Arial" w:hAnsi="Arial" w:cs="Arial"/>
                <w:color w:val="000000"/>
                <w:sz w:val="22"/>
                <w:szCs w:val="22"/>
              </w:rPr>
              <w:t>73.57(e)(1)</w:t>
            </w:r>
          </w:p>
        </w:tc>
        <w:tc>
          <w:tcPr>
            <w:tcW w:w="1513"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0.33</w:t>
            </w:r>
          </w:p>
        </w:tc>
        <w:tc>
          <w:tcPr>
            <w:tcW w:w="141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1.65</w:t>
            </w:r>
          </w:p>
        </w:tc>
        <w:tc>
          <w:tcPr>
            <w:tcW w:w="1325" w:type="dxa"/>
            <w:tcBorders>
              <w:top w:val="nil"/>
              <w:left w:val="nil"/>
              <w:bottom w:val="single" w:sz="8" w:space="0" w:color="000000"/>
              <w:right w:val="single" w:sz="8" w:space="0" w:color="000000"/>
            </w:tcBorders>
            <w:shd w:val="clear" w:color="auto" w:fill="auto"/>
            <w:vAlign w:val="center"/>
            <w:hideMark/>
          </w:tcPr>
          <w:p w:rsidR="00FB54C0" w:rsidRPr="00140A5F" w:rsidRDefault="00FB54C0" w:rsidP="00F44E14">
            <w:pPr>
              <w:jc w:val="right"/>
              <w:rPr>
                <w:rFonts w:ascii="Arial" w:hAnsi="Arial" w:cs="Arial"/>
                <w:color w:val="000000"/>
                <w:sz w:val="22"/>
                <w:szCs w:val="22"/>
              </w:rPr>
            </w:pPr>
            <w:r w:rsidRPr="00140A5F">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vAlign w:val="center"/>
            <w:hideMark/>
          </w:tcPr>
          <w:p w:rsidR="00FB54C0" w:rsidRPr="00140A5F" w:rsidRDefault="00FB54C0" w:rsidP="00F44E14">
            <w:pPr>
              <w:jc w:val="right"/>
              <w:rPr>
                <w:rFonts w:ascii="Arial" w:hAnsi="Arial" w:cs="Arial"/>
                <w:color w:val="000000"/>
                <w:sz w:val="22"/>
                <w:szCs w:val="22"/>
              </w:rPr>
            </w:pPr>
            <w:r>
              <w:rPr>
                <w:rFonts w:ascii="Arial" w:hAnsi="Arial" w:cs="Arial"/>
                <w:color w:val="000000"/>
                <w:sz w:val="22"/>
                <w:szCs w:val="22"/>
              </w:rPr>
              <w:t>1</w:t>
            </w:r>
          </w:p>
        </w:tc>
      </w:tr>
      <w:tr w:rsidR="00FB54C0" w:rsidRPr="00140A5F" w:rsidTr="00F44E14">
        <w:trPr>
          <w:trHeight w:val="315"/>
          <w:jc w:val="center"/>
        </w:trPr>
        <w:tc>
          <w:tcPr>
            <w:tcW w:w="2822" w:type="dxa"/>
            <w:tcBorders>
              <w:top w:val="nil"/>
              <w:left w:val="single" w:sz="8" w:space="0" w:color="auto"/>
              <w:bottom w:val="single" w:sz="8" w:space="0" w:color="auto"/>
              <w:right w:val="single" w:sz="8" w:space="0" w:color="000000"/>
            </w:tcBorders>
            <w:shd w:val="clear" w:color="auto" w:fill="auto"/>
            <w:hideMark/>
          </w:tcPr>
          <w:p w:rsidR="00FB54C0" w:rsidRPr="00140A5F" w:rsidRDefault="00FB54C0" w:rsidP="00F44E14">
            <w:pPr>
              <w:rPr>
                <w:rFonts w:ascii="Arial" w:hAnsi="Arial" w:cs="Arial"/>
                <w:b/>
                <w:color w:val="000000"/>
                <w:sz w:val="22"/>
                <w:szCs w:val="22"/>
              </w:rPr>
            </w:pPr>
            <w:r w:rsidRPr="00140A5F">
              <w:rPr>
                <w:rFonts w:ascii="Arial" w:hAnsi="Arial" w:cs="Arial"/>
                <w:b/>
                <w:color w:val="000000"/>
                <w:sz w:val="22"/>
                <w:szCs w:val="22"/>
              </w:rPr>
              <w:t>Totals</w:t>
            </w:r>
          </w:p>
        </w:tc>
        <w:tc>
          <w:tcPr>
            <w:tcW w:w="1513" w:type="dxa"/>
            <w:tcBorders>
              <w:top w:val="nil"/>
              <w:left w:val="nil"/>
              <w:bottom w:val="single" w:sz="8" w:space="0" w:color="auto"/>
              <w:right w:val="single" w:sz="8" w:space="0" w:color="000000"/>
            </w:tcBorders>
            <w:shd w:val="clear" w:color="auto" w:fill="auto"/>
            <w:hideMark/>
          </w:tcPr>
          <w:p w:rsidR="00FB54C0" w:rsidRPr="00140A5F" w:rsidRDefault="00FB54C0" w:rsidP="00F44E14">
            <w:pPr>
              <w:jc w:val="right"/>
              <w:rPr>
                <w:rFonts w:ascii="Arial" w:hAnsi="Arial" w:cs="Arial"/>
                <w:b/>
                <w:color w:val="000000"/>
                <w:sz w:val="22"/>
                <w:szCs w:val="22"/>
              </w:rPr>
            </w:pPr>
            <w:r>
              <w:rPr>
                <w:rFonts w:ascii="Arial" w:hAnsi="Arial" w:cs="Arial"/>
                <w:b/>
                <w:color w:val="000000"/>
                <w:sz w:val="22"/>
                <w:szCs w:val="22"/>
              </w:rPr>
              <w:t>8</w:t>
            </w:r>
          </w:p>
        </w:tc>
        <w:tc>
          <w:tcPr>
            <w:tcW w:w="1415" w:type="dxa"/>
            <w:tcBorders>
              <w:top w:val="nil"/>
              <w:left w:val="nil"/>
              <w:bottom w:val="single" w:sz="8" w:space="0" w:color="auto"/>
              <w:right w:val="single" w:sz="8" w:space="0" w:color="000000"/>
            </w:tcBorders>
            <w:shd w:val="clear" w:color="auto" w:fill="auto"/>
            <w:hideMark/>
          </w:tcPr>
          <w:p w:rsidR="00FB54C0" w:rsidRPr="00140A5F" w:rsidRDefault="00FB54C0" w:rsidP="00F44E14">
            <w:pPr>
              <w:jc w:val="right"/>
              <w:rPr>
                <w:rFonts w:ascii="Arial" w:hAnsi="Arial" w:cs="Arial"/>
                <w:b/>
                <w:color w:val="000000"/>
                <w:sz w:val="22"/>
                <w:szCs w:val="22"/>
              </w:rPr>
            </w:pPr>
          </w:p>
        </w:tc>
        <w:tc>
          <w:tcPr>
            <w:tcW w:w="1415" w:type="dxa"/>
            <w:tcBorders>
              <w:top w:val="nil"/>
              <w:left w:val="nil"/>
              <w:bottom w:val="single" w:sz="8" w:space="0" w:color="auto"/>
              <w:right w:val="single" w:sz="8" w:space="0" w:color="000000"/>
            </w:tcBorders>
            <w:shd w:val="clear" w:color="auto" w:fill="auto"/>
            <w:hideMark/>
          </w:tcPr>
          <w:p w:rsidR="00FB54C0" w:rsidRPr="00140A5F" w:rsidRDefault="00FB54C0" w:rsidP="00F44E14">
            <w:pPr>
              <w:jc w:val="right"/>
              <w:rPr>
                <w:rFonts w:ascii="Arial" w:hAnsi="Arial" w:cs="Arial"/>
                <w:b/>
                <w:color w:val="000000"/>
                <w:sz w:val="22"/>
                <w:szCs w:val="22"/>
              </w:rPr>
            </w:pPr>
            <w:r>
              <w:rPr>
                <w:rFonts w:ascii="Arial" w:hAnsi="Arial" w:cs="Arial"/>
                <w:b/>
                <w:color w:val="000000"/>
                <w:sz w:val="22"/>
                <w:szCs w:val="22"/>
              </w:rPr>
              <w:t>15</w:t>
            </w:r>
          </w:p>
        </w:tc>
        <w:tc>
          <w:tcPr>
            <w:tcW w:w="1325" w:type="dxa"/>
            <w:tcBorders>
              <w:top w:val="nil"/>
              <w:left w:val="nil"/>
              <w:bottom w:val="single" w:sz="8" w:space="0" w:color="auto"/>
              <w:right w:val="single" w:sz="8" w:space="0" w:color="000000"/>
            </w:tcBorders>
            <w:shd w:val="clear" w:color="auto" w:fill="auto"/>
            <w:hideMark/>
          </w:tcPr>
          <w:p w:rsidR="00FB54C0" w:rsidRPr="00140A5F" w:rsidRDefault="00FB54C0" w:rsidP="00F44E14">
            <w:pPr>
              <w:jc w:val="right"/>
              <w:rPr>
                <w:rFonts w:ascii="Arial" w:hAnsi="Arial" w:cs="Arial"/>
                <w:b/>
                <w:color w:val="000000"/>
                <w:sz w:val="22"/>
                <w:szCs w:val="22"/>
              </w:rPr>
            </w:pPr>
          </w:p>
        </w:tc>
        <w:tc>
          <w:tcPr>
            <w:tcW w:w="1351" w:type="dxa"/>
            <w:tcBorders>
              <w:top w:val="nil"/>
              <w:left w:val="nil"/>
              <w:bottom w:val="single" w:sz="8" w:space="0" w:color="auto"/>
              <w:right w:val="single" w:sz="8" w:space="0" w:color="auto"/>
            </w:tcBorders>
            <w:shd w:val="clear" w:color="auto" w:fill="auto"/>
            <w:hideMark/>
          </w:tcPr>
          <w:p w:rsidR="00FB54C0" w:rsidRPr="00140A5F" w:rsidRDefault="00FB54C0" w:rsidP="00F44E14">
            <w:pPr>
              <w:jc w:val="right"/>
              <w:rPr>
                <w:rFonts w:ascii="Arial" w:hAnsi="Arial" w:cs="Arial"/>
                <w:b/>
                <w:color w:val="000000"/>
                <w:sz w:val="22"/>
                <w:szCs w:val="22"/>
              </w:rPr>
            </w:pPr>
            <w:r>
              <w:rPr>
                <w:rFonts w:ascii="Arial" w:hAnsi="Arial" w:cs="Arial"/>
                <w:b/>
                <w:color w:val="000000"/>
                <w:sz w:val="22"/>
                <w:szCs w:val="22"/>
              </w:rPr>
              <w:t>8</w:t>
            </w:r>
          </w:p>
        </w:tc>
      </w:tr>
    </w:tbl>
    <w:p w:rsidR="00FB54C0" w:rsidRDefault="00FB54C0" w:rsidP="00FB54C0"/>
    <w:p w:rsidR="00FB54C0"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FB54C0" w:rsidRPr="003277D5" w:rsidRDefault="00FB54C0" w:rsidP="00FB54C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160690" w:rsidRPr="00FB54C0" w:rsidRDefault="00160690" w:rsidP="00FB54C0"/>
    <w:sectPr w:rsidR="00160690" w:rsidRPr="00FB54C0" w:rsidSect="00C01DFF">
      <w:headerReference w:type="even" r:id="rId13"/>
      <w:headerReference w:type="default" r:id="rId14"/>
      <w:footerReference w:type="even" r:id="rId15"/>
      <w:footerReference w:type="default" r:id="rId16"/>
      <w:type w:val="continuous"/>
      <w:pgSz w:w="12240" w:h="15840"/>
      <w:pgMar w:top="1440" w:right="1080" w:bottom="1380" w:left="1080" w:header="96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9F" w:rsidRDefault="00085E9F">
      <w:r>
        <w:separator/>
      </w:r>
    </w:p>
  </w:endnote>
  <w:endnote w:type="continuationSeparator" w:id="0">
    <w:p w:rsidR="00085E9F" w:rsidRDefault="0008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P TypographicSymbols">
    <w:altName w:val="Courier Ne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9F" w:rsidRDefault="00085E9F">
    <w:pPr>
      <w:framePr w:w="9360" w:h="256" w:hRule="exact" w:wrap="notBeside" w:vAnchor="page" w:hAnchor="text" w:y="146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2"/>
      </w:rPr>
      <w:pgNum/>
    </w:r>
  </w:p>
  <w:p w:rsidR="00085E9F" w:rsidRDefault="00085E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9F" w:rsidRDefault="00085E9F">
    <w:pPr>
      <w:framePr w:w="9360" w:h="256" w:hRule="exact" w:wrap="notBeside" w:vAnchor="page" w:hAnchor="text" w:y="146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Arial" w:hAnsi="Arial"/>
        <w:sz w:val="22"/>
      </w:rPr>
      <w:pgNum/>
    </w:r>
  </w:p>
  <w:p w:rsidR="00085E9F" w:rsidRDefault="00085E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9F" w:rsidRDefault="00085E9F">
      <w:r>
        <w:separator/>
      </w:r>
    </w:p>
  </w:footnote>
  <w:footnote w:type="continuationSeparator" w:id="0">
    <w:p w:rsidR="00085E9F" w:rsidRDefault="00085E9F">
      <w:r>
        <w:continuationSeparator/>
      </w:r>
    </w:p>
  </w:footnote>
  <w:footnote w:id="1">
    <w:p w:rsidR="00085E9F" w:rsidRDefault="00085E9F" w:rsidP="00FB54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9F" w:rsidRDefault="00085E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9F" w:rsidRDefault="00085E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ACC05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2"/>
    <w:multiLevelType w:val="multilevel"/>
    <w:tmpl w:val="00000002"/>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15:restartNumberingAfterBreak="0">
    <w:nsid w:val="05DA2394"/>
    <w:multiLevelType w:val="hybridMultilevel"/>
    <w:tmpl w:val="BA4C9466"/>
    <w:lvl w:ilvl="0" w:tplc="0E4278B6">
      <w:start w:val="1"/>
      <w:numFmt w:val="decimal"/>
      <w:lvlText w:val="%1."/>
      <w:lvlJc w:val="left"/>
      <w:pPr>
        <w:tabs>
          <w:tab w:val="num" w:pos="1200"/>
        </w:tabs>
        <w:ind w:left="1200" w:hanging="48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A04BCC"/>
    <w:multiLevelType w:val="hybridMultilevel"/>
    <w:tmpl w:val="0602EC8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15:restartNumberingAfterBreak="0">
    <w:nsid w:val="2440620D"/>
    <w:multiLevelType w:val="hybridMultilevel"/>
    <w:tmpl w:val="A6B62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D6A3C"/>
    <w:multiLevelType w:val="hybridMultilevel"/>
    <w:tmpl w:val="A99A2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EC6F34"/>
    <w:multiLevelType w:val="hybridMultilevel"/>
    <w:tmpl w:val="0FB843E2"/>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15:restartNumberingAfterBreak="0">
    <w:nsid w:val="3EC959B8"/>
    <w:multiLevelType w:val="hybridMultilevel"/>
    <w:tmpl w:val="7F3A39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EB96772"/>
    <w:multiLevelType w:val="hybridMultilevel"/>
    <w:tmpl w:val="4C46999E"/>
    <w:lvl w:ilvl="0" w:tplc="8A18615A">
      <w:start w:val="2"/>
      <w:numFmt w:val="decimal"/>
      <w:lvlText w:val="%1."/>
      <w:lvlJc w:val="left"/>
      <w:pPr>
        <w:tabs>
          <w:tab w:val="num" w:pos="600"/>
        </w:tabs>
        <w:ind w:left="600" w:hanging="60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9E2252"/>
    <w:multiLevelType w:val="hybridMultilevel"/>
    <w:tmpl w:val="90D84392"/>
    <w:lvl w:ilvl="0" w:tplc="4F0C034A">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3" w15:restartNumberingAfterBreak="0">
    <w:nsid w:val="614018E7"/>
    <w:multiLevelType w:val="hybridMultilevel"/>
    <w:tmpl w:val="076AC3CC"/>
    <w:lvl w:ilvl="0" w:tplc="8A18615A">
      <w:start w:val="2"/>
      <w:numFmt w:val="decimal"/>
      <w:lvlText w:val="%1."/>
      <w:lvlJc w:val="left"/>
      <w:pPr>
        <w:tabs>
          <w:tab w:val="num" w:pos="1680"/>
        </w:tabs>
        <w:ind w:left="1680" w:hanging="60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3755E64"/>
    <w:multiLevelType w:val="hybridMultilevel"/>
    <w:tmpl w:val="69042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4E3868"/>
    <w:multiLevelType w:val="hybridMultilevel"/>
    <w:tmpl w:val="7EFC0B42"/>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num w:numId="1">
    <w:abstractNumId w:val="1"/>
  </w:num>
  <w:num w:numId="2">
    <w:abstractNumId w:val="2"/>
  </w:num>
  <w:num w:numId="3">
    <w:abstractNumId w:val="3"/>
  </w:num>
  <w:num w:numId="4">
    <w:abstractNumId w:val="14"/>
  </w:num>
  <w:num w:numId="5">
    <w:abstractNumId w:val="7"/>
  </w:num>
  <w:num w:numId="6">
    <w:abstractNumId w:val="9"/>
  </w:num>
  <w:num w:numId="7">
    <w:abstractNumId w:val="11"/>
  </w:num>
  <w:num w:numId="8">
    <w:abstractNumId w:val="13"/>
  </w:num>
  <w:num w:numId="9">
    <w:abstractNumId w:val="4"/>
  </w:num>
  <w:num w:numId="10">
    <w:abstractNumId w:val="5"/>
  </w:num>
  <w:num w:numId="11">
    <w:abstractNumId w:val="6"/>
  </w:num>
  <w:num w:numId="12">
    <w:abstractNumId w:val="12"/>
  </w:num>
  <w:num w:numId="13">
    <w:abstractNumId w:val="8"/>
  </w:num>
  <w:num w:numId="14">
    <w:abstractNumId w:val="0"/>
  </w:num>
  <w:num w:numId="15">
    <w:abstractNumId w:val="15"/>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E8"/>
    <w:rsid w:val="00000CDF"/>
    <w:rsid w:val="00004E22"/>
    <w:rsid w:val="00006EE2"/>
    <w:rsid w:val="000102E2"/>
    <w:rsid w:val="00031E5C"/>
    <w:rsid w:val="00034EF3"/>
    <w:rsid w:val="000516BB"/>
    <w:rsid w:val="0006100C"/>
    <w:rsid w:val="00063EC9"/>
    <w:rsid w:val="00065578"/>
    <w:rsid w:val="00072C44"/>
    <w:rsid w:val="00072F69"/>
    <w:rsid w:val="000746F5"/>
    <w:rsid w:val="00082CDA"/>
    <w:rsid w:val="00085E9F"/>
    <w:rsid w:val="00096867"/>
    <w:rsid w:val="000A012C"/>
    <w:rsid w:val="000A515A"/>
    <w:rsid w:val="000B24F9"/>
    <w:rsid w:val="000B56F5"/>
    <w:rsid w:val="000C582B"/>
    <w:rsid w:val="000D0C81"/>
    <w:rsid w:val="000D4ADF"/>
    <w:rsid w:val="000D696C"/>
    <w:rsid w:val="000E026F"/>
    <w:rsid w:val="000F3E89"/>
    <w:rsid w:val="000F65BE"/>
    <w:rsid w:val="00102B78"/>
    <w:rsid w:val="00105C1F"/>
    <w:rsid w:val="00106A49"/>
    <w:rsid w:val="001137BB"/>
    <w:rsid w:val="0011619A"/>
    <w:rsid w:val="001518B2"/>
    <w:rsid w:val="00152711"/>
    <w:rsid w:val="00160690"/>
    <w:rsid w:val="00163475"/>
    <w:rsid w:val="00163B19"/>
    <w:rsid w:val="001666ED"/>
    <w:rsid w:val="00170337"/>
    <w:rsid w:val="001719E0"/>
    <w:rsid w:val="00171C9E"/>
    <w:rsid w:val="001729AE"/>
    <w:rsid w:val="001814BB"/>
    <w:rsid w:val="001831BF"/>
    <w:rsid w:val="00187277"/>
    <w:rsid w:val="0019059C"/>
    <w:rsid w:val="001909CA"/>
    <w:rsid w:val="001922C2"/>
    <w:rsid w:val="001926FB"/>
    <w:rsid w:val="001932D8"/>
    <w:rsid w:val="001A2A1E"/>
    <w:rsid w:val="001A53E6"/>
    <w:rsid w:val="001A6E5F"/>
    <w:rsid w:val="001A7733"/>
    <w:rsid w:val="001B28C1"/>
    <w:rsid w:val="001C1FE2"/>
    <w:rsid w:val="001C208C"/>
    <w:rsid w:val="001D1E63"/>
    <w:rsid w:val="001D4AFB"/>
    <w:rsid w:val="001D4E06"/>
    <w:rsid w:val="001D774A"/>
    <w:rsid w:val="001E0F4D"/>
    <w:rsid w:val="001E2E15"/>
    <w:rsid w:val="001F6A8F"/>
    <w:rsid w:val="00200375"/>
    <w:rsid w:val="00202EFD"/>
    <w:rsid w:val="00204B21"/>
    <w:rsid w:val="00204BA1"/>
    <w:rsid w:val="002067CF"/>
    <w:rsid w:val="002103C9"/>
    <w:rsid w:val="00210A4C"/>
    <w:rsid w:val="00217D9A"/>
    <w:rsid w:val="00220C9E"/>
    <w:rsid w:val="002211D9"/>
    <w:rsid w:val="00224C98"/>
    <w:rsid w:val="002361D9"/>
    <w:rsid w:val="00246666"/>
    <w:rsid w:val="0025067B"/>
    <w:rsid w:val="00262DB6"/>
    <w:rsid w:val="00262E7D"/>
    <w:rsid w:val="00265BD5"/>
    <w:rsid w:val="0027283B"/>
    <w:rsid w:val="00274AF8"/>
    <w:rsid w:val="00287949"/>
    <w:rsid w:val="002922DD"/>
    <w:rsid w:val="00292C2F"/>
    <w:rsid w:val="00293C8E"/>
    <w:rsid w:val="00296652"/>
    <w:rsid w:val="002A0E2A"/>
    <w:rsid w:val="002B75BD"/>
    <w:rsid w:val="002C4BA5"/>
    <w:rsid w:val="002C6473"/>
    <w:rsid w:val="002C76AB"/>
    <w:rsid w:val="002C76D6"/>
    <w:rsid w:val="002D390F"/>
    <w:rsid w:val="002D4951"/>
    <w:rsid w:val="002E1A4E"/>
    <w:rsid w:val="002E2960"/>
    <w:rsid w:val="002F1F7F"/>
    <w:rsid w:val="002F2340"/>
    <w:rsid w:val="002F3BD9"/>
    <w:rsid w:val="0030213D"/>
    <w:rsid w:val="003032A1"/>
    <w:rsid w:val="00305D9F"/>
    <w:rsid w:val="003111CC"/>
    <w:rsid w:val="0032379C"/>
    <w:rsid w:val="003277D5"/>
    <w:rsid w:val="00327971"/>
    <w:rsid w:val="003300A6"/>
    <w:rsid w:val="00342A52"/>
    <w:rsid w:val="00343F86"/>
    <w:rsid w:val="00344E80"/>
    <w:rsid w:val="003452F4"/>
    <w:rsid w:val="003463B6"/>
    <w:rsid w:val="00363189"/>
    <w:rsid w:val="003729F6"/>
    <w:rsid w:val="00375CF8"/>
    <w:rsid w:val="003762F4"/>
    <w:rsid w:val="00382211"/>
    <w:rsid w:val="003867AA"/>
    <w:rsid w:val="003901AD"/>
    <w:rsid w:val="003906B4"/>
    <w:rsid w:val="0039567E"/>
    <w:rsid w:val="00397849"/>
    <w:rsid w:val="003A60AC"/>
    <w:rsid w:val="003B22FB"/>
    <w:rsid w:val="003B2441"/>
    <w:rsid w:val="003B7C8B"/>
    <w:rsid w:val="003C0546"/>
    <w:rsid w:val="003C6BDF"/>
    <w:rsid w:val="003C714A"/>
    <w:rsid w:val="003D3265"/>
    <w:rsid w:val="003E3CBC"/>
    <w:rsid w:val="003F1143"/>
    <w:rsid w:val="003F2918"/>
    <w:rsid w:val="003F2EE6"/>
    <w:rsid w:val="003F41F9"/>
    <w:rsid w:val="003F4D35"/>
    <w:rsid w:val="003F6E30"/>
    <w:rsid w:val="003F74E6"/>
    <w:rsid w:val="00401768"/>
    <w:rsid w:val="00402498"/>
    <w:rsid w:val="00402FCA"/>
    <w:rsid w:val="0040506F"/>
    <w:rsid w:val="00411056"/>
    <w:rsid w:val="004134E2"/>
    <w:rsid w:val="00414CD5"/>
    <w:rsid w:val="00425915"/>
    <w:rsid w:val="004309BC"/>
    <w:rsid w:val="004312F4"/>
    <w:rsid w:val="0043156A"/>
    <w:rsid w:val="00442148"/>
    <w:rsid w:val="00453DF8"/>
    <w:rsid w:val="004741F1"/>
    <w:rsid w:val="004751CA"/>
    <w:rsid w:val="004824DC"/>
    <w:rsid w:val="00483071"/>
    <w:rsid w:val="00485667"/>
    <w:rsid w:val="0048701F"/>
    <w:rsid w:val="0049163C"/>
    <w:rsid w:val="004A2395"/>
    <w:rsid w:val="004A77C6"/>
    <w:rsid w:val="004C6D01"/>
    <w:rsid w:val="004D2E3D"/>
    <w:rsid w:val="004F09DF"/>
    <w:rsid w:val="004F3DFF"/>
    <w:rsid w:val="004F63C5"/>
    <w:rsid w:val="004F6D49"/>
    <w:rsid w:val="004F706E"/>
    <w:rsid w:val="00501138"/>
    <w:rsid w:val="005030FB"/>
    <w:rsid w:val="00504722"/>
    <w:rsid w:val="00505642"/>
    <w:rsid w:val="00506392"/>
    <w:rsid w:val="00514A1A"/>
    <w:rsid w:val="0051740C"/>
    <w:rsid w:val="00521186"/>
    <w:rsid w:val="005269DC"/>
    <w:rsid w:val="00527372"/>
    <w:rsid w:val="00530B70"/>
    <w:rsid w:val="00540C6F"/>
    <w:rsid w:val="00542486"/>
    <w:rsid w:val="00550AD8"/>
    <w:rsid w:val="00550DF5"/>
    <w:rsid w:val="00552ACC"/>
    <w:rsid w:val="00555CE4"/>
    <w:rsid w:val="00561639"/>
    <w:rsid w:val="00565CFE"/>
    <w:rsid w:val="005702AC"/>
    <w:rsid w:val="005716F7"/>
    <w:rsid w:val="00573B67"/>
    <w:rsid w:val="005764D2"/>
    <w:rsid w:val="00576899"/>
    <w:rsid w:val="00590CED"/>
    <w:rsid w:val="00592C99"/>
    <w:rsid w:val="0059306C"/>
    <w:rsid w:val="005A2A14"/>
    <w:rsid w:val="005A49B8"/>
    <w:rsid w:val="005B2AE0"/>
    <w:rsid w:val="005B5811"/>
    <w:rsid w:val="005C3557"/>
    <w:rsid w:val="005C364C"/>
    <w:rsid w:val="005D16D3"/>
    <w:rsid w:val="005D50D6"/>
    <w:rsid w:val="005D7D1A"/>
    <w:rsid w:val="005E71C4"/>
    <w:rsid w:val="005F0193"/>
    <w:rsid w:val="005F0A1E"/>
    <w:rsid w:val="005F66FE"/>
    <w:rsid w:val="006059E7"/>
    <w:rsid w:val="00606422"/>
    <w:rsid w:val="00635333"/>
    <w:rsid w:val="00635935"/>
    <w:rsid w:val="006465B6"/>
    <w:rsid w:val="00656296"/>
    <w:rsid w:val="00660027"/>
    <w:rsid w:val="00661041"/>
    <w:rsid w:val="00662D08"/>
    <w:rsid w:val="00671397"/>
    <w:rsid w:val="0067452F"/>
    <w:rsid w:val="00684155"/>
    <w:rsid w:val="00693F58"/>
    <w:rsid w:val="00694073"/>
    <w:rsid w:val="0069505C"/>
    <w:rsid w:val="006A63E7"/>
    <w:rsid w:val="006C476E"/>
    <w:rsid w:val="006D1BA7"/>
    <w:rsid w:val="006D1EE4"/>
    <w:rsid w:val="006D698A"/>
    <w:rsid w:val="006F1927"/>
    <w:rsid w:val="006F2FCD"/>
    <w:rsid w:val="007060AF"/>
    <w:rsid w:val="00706C5E"/>
    <w:rsid w:val="00716566"/>
    <w:rsid w:val="00716D44"/>
    <w:rsid w:val="00722125"/>
    <w:rsid w:val="00722405"/>
    <w:rsid w:val="00725457"/>
    <w:rsid w:val="007268BA"/>
    <w:rsid w:val="00730F0C"/>
    <w:rsid w:val="00730FAC"/>
    <w:rsid w:val="0073337C"/>
    <w:rsid w:val="0073639B"/>
    <w:rsid w:val="00740B59"/>
    <w:rsid w:val="00741B2F"/>
    <w:rsid w:val="00742C62"/>
    <w:rsid w:val="00743134"/>
    <w:rsid w:val="00744601"/>
    <w:rsid w:val="00752ED5"/>
    <w:rsid w:val="007547CB"/>
    <w:rsid w:val="007604FE"/>
    <w:rsid w:val="00763D11"/>
    <w:rsid w:val="007652CE"/>
    <w:rsid w:val="0077315E"/>
    <w:rsid w:val="00777246"/>
    <w:rsid w:val="00792C47"/>
    <w:rsid w:val="007934FD"/>
    <w:rsid w:val="0079411C"/>
    <w:rsid w:val="007953AA"/>
    <w:rsid w:val="007A10E5"/>
    <w:rsid w:val="007A4645"/>
    <w:rsid w:val="007A66E3"/>
    <w:rsid w:val="007B11CA"/>
    <w:rsid w:val="007C23CF"/>
    <w:rsid w:val="007C40AF"/>
    <w:rsid w:val="007C4EB9"/>
    <w:rsid w:val="007E06D7"/>
    <w:rsid w:val="007E3503"/>
    <w:rsid w:val="007E3D85"/>
    <w:rsid w:val="007E4B9A"/>
    <w:rsid w:val="007E7226"/>
    <w:rsid w:val="007F2E2B"/>
    <w:rsid w:val="008035E7"/>
    <w:rsid w:val="00806E49"/>
    <w:rsid w:val="008118C0"/>
    <w:rsid w:val="00813F05"/>
    <w:rsid w:val="00815068"/>
    <w:rsid w:val="00815DBC"/>
    <w:rsid w:val="00820F13"/>
    <w:rsid w:val="008260FE"/>
    <w:rsid w:val="00830C28"/>
    <w:rsid w:val="00836254"/>
    <w:rsid w:val="008427AE"/>
    <w:rsid w:val="00844507"/>
    <w:rsid w:val="0084490D"/>
    <w:rsid w:val="00845814"/>
    <w:rsid w:val="008515A0"/>
    <w:rsid w:val="00851E71"/>
    <w:rsid w:val="00860123"/>
    <w:rsid w:val="00860C18"/>
    <w:rsid w:val="00874EDA"/>
    <w:rsid w:val="008917E1"/>
    <w:rsid w:val="00892CCC"/>
    <w:rsid w:val="00897083"/>
    <w:rsid w:val="008978A7"/>
    <w:rsid w:val="008A1BB9"/>
    <w:rsid w:val="008A6878"/>
    <w:rsid w:val="008A7845"/>
    <w:rsid w:val="008B0C0F"/>
    <w:rsid w:val="008B35F9"/>
    <w:rsid w:val="008B66A6"/>
    <w:rsid w:val="008C5B97"/>
    <w:rsid w:val="008D0DDC"/>
    <w:rsid w:val="008D2E97"/>
    <w:rsid w:val="008D7D38"/>
    <w:rsid w:val="008E0501"/>
    <w:rsid w:val="008F04A8"/>
    <w:rsid w:val="008F0EA4"/>
    <w:rsid w:val="008F3EEF"/>
    <w:rsid w:val="00901505"/>
    <w:rsid w:val="00901B4C"/>
    <w:rsid w:val="009036F0"/>
    <w:rsid w:val="009069F1"/>
    <w:rsid w:val="0091279D"/>
    <w:rsid w:val="009143B6"/>
    <w:rsid w:val="00916B1D"/>
    <w:rsid w:val="00921705"/>
    <w:rsid w:val="00923B5C"/>
    <w:rsid w:val="00932FE0"/>
    <w:rsid w:val="00936D41"/>
    <w:rsid w:val="009414DB"/>
    <w:rsid w:val="0094645A"/>
    <w:rsid w:val="009558E0"/>
    <w:rsid w:val="00956FBD"/>
    <w:rsid w:val="009662D9"/>
    <w:rsid w:val="0097290B"/>
    <w:rsid w:val="009731A9"/>
    <w:rsid w:val="00973ACF"/>
    <w:rsid w:val="009754E1"/>
    <w:rsid w:val="00981040"/>
    <w:rsid w:val="0098154F"/>
    <w:rsid w:val="00981C28"/>
    <w:rsid w:val="00982CA3"/>
    <w:rsid w:val="00982CB2"/>
    <w:rsid w:val="0098374E"/>
    <w:rsid w:val="00986398"/>
    <w:rsid w:val="00987A48"/>
    <w:rsid w:val="00990F46"/>
    <w:rsid w:val="009911C5"/>
    <w:rsid w:val="009A3E7F"/>
    <w:rsid w:val="009A506F"/>
    <w:rsid w:val="009A6D90"/>
    <w:rsid w:val="009B39F1"/>
    <w:rsid w:val="009B4030"/>
    <w:rsid w:val="009B418B"/>
    <w:rsid w:val="009C099E"/>
    <w:rsid w:val="009C3E7E"/>
    <w:rsid w:val="009C6F42"/>
    <w:rsid w:val="009D1979"/>
    <w:rsid w:val="009E17CB"/>
    <w:rsid w:val="009E4CE8"/>
    <w:rsid w:val="009F0E7C"/>
    <w:rsid w:val="009F7070"/>
    <w:rsid w:val="00A0071A"/>
    <w:rsid w:val="00A02E66"/>
    <w:rsid w:val="00A0339D"/>
    <w:rsid w:val="00A116EF"/>
    <w:rsid w:val="00A12181"/>
    <w:rsid w:val="00A16FCF"/>
    <w:rsid w:val="00A30BD4"/>
    <w:rsid w:val="00A373E9"/>
    <w:rsid w:val="00A40362"/>
    <w:rsid w:val="00A7376C"/>
    <w:rsid w:val="00A77BF1"/>
    <w:rsid w:val="00A83C66"/>
    <w:rsid w:val="00A86F0F"/>
    <w:rsid w:val="00A96069"/>
    <w:rsid w:val="00A9693D"/>
    <w:rsid w:val="00AA26C1"/>
    <w:rsid w:val="00AA513B"/>
    <w:rsid w:val="00AA7FAA"/>
    <w:rsid w:val="00AB1900"/>
    <w:rsid w:val="00AB24CD"/>
    <w:rsid w:val="00AC248E"/>
    <w:rsid w:val="00AD218F"/>
    <w:rsid w:val="00AD75A7"/>
    <w:rsid w:val="00AE2891"/>
    <w:rsid w:val="00AE7AF5"/>
    <w:rsid w:val="00AF3575"/>
    <w:rsid w:val="00AF48BC"/>
    <w:rsid w:val="00B04497"/>
    <w:rsid w:val="00B05571"/>
    <w:rsid w:val="00B10E1F"/>
    <w:rsid w:val="00B23AF3"/>
    <w:rsid w:val="00B439EE"/>
    <w:rsid w:val="00B454AD"/>
    <w:rsid w:val="00B63FB4"/>
    <w:rsid w:val="00B646B6"/>
    <w:rsid w:val="00B66A69"/>
    <w:rsid w:val="00B734A3"/>
    <w:rsid w:val="00B73714"/>
    <w:rsid w:val="00B73976"/>
    <w:rsid w:val="00B76ECA"/>
    <w:rsid w:val="00B77F1F"/>
    <w:rsid w:val="00B82170"/>
    <w:rsid w:val="00B82978"/>
    <w:rsid w:val="00B85634"/>
    <w:rsid w:val="00B86E56"/>
    <w:rsid w:val="00B953BA"/>
    <w:rsid w:val="00BA1BE1"/>
    <w:rsid w:val="00BA620D"/>
    <w:rsid w:val="00BC0F25"/>
    <w:rsid w:val="00BE0383"/>
    <w:rsid w:val="00BE1456"/>
    <w:rsid w:val="00BF229F"/>
    <w:rsid w:val="00BF52FF"/>
    <w:rsid w:val="00C01DFF"/>
    <w:rsid w:val="00C03164"/>
    <w:rsid w:val="00C123FC"/>
    <w:rsid w:val="00C14835"/>
    <w:rsid w:val="00C276D2"/>
    <w:rsid w:val="00C3036B"/>
    <w:rsid w:val="00C30B78"/>
    <w:rsid w:val="00C332C2"/>
    <w:rsid w:val="00C33B6C"/>
    <w:rsid w:val="00C34995"/>
    <w:rsid w:val="00C40E3F"/>
    <w:rsid w:val="00C4733B"/>
    <w:rsid w:val="00C540DF"/>
    <w:rsid w:val="00C65CB9"/>
    <w:rsid w:val="00C722AE"/>
    <w:rsid w:val="00C9090B"/>
    <w:rsid w:val="00C90B21"/>
    <w:rsid w:val="00C94660"/>
    <w:rsid w:val="00C94981"/>
    <w:rsid w:val="00C973F4"/>
    <w:rsid w:val="00CB06AC"/>
    <w:rsid w:val="00CB54DE"/>
    <w:rsid w:val="00CE1D4B"/>
    <w:rsid w:val="00CF0CD2"/>
    <w:rsid w:val="00D02AE5"/>
    <w:rsid w:val="00D13F15"/>
    <w:rsid w:val="00D24442"/>
    <w:rsid w:val="00D245B1"/>
    <w:rsid w:val="00D2673A"/>
    <w:rsid w:val="00D309AF"/>
    <w:rsid w:val="00D34AF2"/>
    <w:rsid w:val="00D4057C"/>
    <w:rsid w:val="00D423E5"/>
    <w:rsid w:val="00D4759A"/>
    <w:rsid w:val="00D5465B"/>
    <w:rsid w:val="00D56CD0"/>
    <w:rsid w:val="00D60F09"/>
    <w:rsid w:val="00D7309F"/>
    <w:rsid w:val="00D73203"/>
    <w:rsid w:val="00D7373F"/>
    <w:rsid w:val="00D84CB5"/>
    <w:rsid w:val="00D8506F"/>
    <w:rsid w:val="00D940B8"/>
    <w:rsid w:val="00D94862"/>
    <w:rsid w:val="00D953EE"/>
    <w:rsid w:val="00DA68F2"/>
    <w:rsid w:val="00DA737C"/>
    <w:rsid w:val="00DB361D"/>
    <w:rsid w:val="00DC5F3E"/>
    <w:rsid w:val="00DC7128"/>
    <w:rsid w:val="00DC7670"/>
    <w:rsid w:val="00DD13D2"/>
    <w:rsid w:val="00DD2DD8"/>
    <w:rsid w:val="00DD7C31"/>
    <w:rsid w:val="00DE4BF7"/>
    <w:rsid w:val="00DE6234"/>
    <w:rsid w:val="00DF5E0D"/>
    <w:rsid w:val="00E00B38"/>
    <w:rsid w:val="00E01E07"/>
    <w:rsid w:val="00E02210"/>
    <w:rsid w:val="00E07095"/>
    <w:rsid w:val="00E10D24"/>
    <w:rsid w:val="00E12B3E"/>
    <w:rsid w:val="00E12BD7"/>
    <w:rsid w:val="00E1499F"/>
    <w:rsid w:val="00E16174"/>
    <w:rsid w:val="00E2276B"/>
    <w:rsid w:val="00E2734F"/>
    <w:rsid w:val="00E27DD2"/>
    <w:rsid w:val="00E502A2"/>
    <w:rsid w:val="00E52770"/>
    <w:rsid w:val="00E54732"/>
    <w:rsid w:val="00E551DC"/>
    <w:rsid w:val="00E61C42"/>
    <w:rsid w:val="00E6271A"/>
    <w:rsid w:val="00E66384"/>
    <w:rsid w:val="00E902E8"/>
    <w:rsid w:val="00EA287D"/>
    <w:rsid w:val="00EA52BD"/>
    <w:rsid w:val="00EA53FA"/>
    <w:rsid w:val="00EB1841"/>
    <w:rsid w:val="00EB4F79"/>
    <w:rsid w:val="00ED082F"/>
    <w:rsid w:val="00ED6D02"/>
    <w:rsid w:val="00EE0F1A"/>
    <w:rsid w:val="00EF0F59"/>
    <w:rsid w:val="00EF2B55"/>
    <w:rsid w:val="00F010F3"/>
    <w:rsid w:val="00F06DA4"/>
    <w:rsid w:val="00F07722"/>
    <w:rsid w:val="00F15F37"/>
    <w:rsid w:val="00F200D9"/>
    <w:rsid w:val="00F20DF5"/>
    <w:rsid w:val="00F210AC"/>
    <w:rsid w:val="00F3061B"/>
    <w:rsid w:val="00F32588"/>
    <w:rsid w:val="00F3270E"/>
    <w:rsid w:val="00F34E4B"/>
    <w:rsid w:val="00F356EC"/>
    <w:rsid w:val="00F36707"/>
    <w:rsid w:val="00F4012F"/>
    <w:rsid w:val="00F41B84"/>
    <w:rsid w:val="00F43A0A"/>
    <w:rsid w:val="00F44E14"/>
    <w:rsid w:val="00F66ECB"/>
    <w:rsid w:val="00F80362"/>
    <w:rsid w:val="00F8064E"/>
    <w:rsid w:val="00F82787"/>
    <w:rsid w:val="00F8586C"/>
    <w:rsid w:val="00F93BD3"/>
    <w:rsid w:val="00F960EE"/>
    <w:rsid w:val="00F971AA"/>
    <w:rsid w:val="00FA3852"/>
    <w:rsid w:val="00FB009A"/>
    <w:rsid w:val="00FB54C0"/>
    <w:rsid w:val="00FB5AFA"/>
    <w:rsid w:val="00FB7072"/>
    <w:rsid w:val="00FC029F"/>
    <w:rsid w:val="00FC7070"/>
    <w:rsid w:val="00FD4633"/>
    <w:rsid w:val="00FE04C4"/>
    <w:rsid w:val="00FE3452"/>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54EE2FA-47F1-4699-B5FA-3249718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E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55CE4"/>
    <w:pPr>
      <w:numPr>
        <w:numId w:val="14"/>
      </w:numPr>
    </w:pPr>
  </w:style>
  <w:style w:type="paragraph" w:customStyle="1" w:styleId="Level1">
    <w:name w:val="Level 1"/>
    <w:basedOn w:val="Normal"/>
    <w:rsid w:val="00D4759A"/>
    <w:pPr>
      <w:widowControl w:val="0"/>
    </w:pPr>
  </w:style>
  <w:style w:type="paragraph" w:customStyle="1" w:styleId="Level2">
    <w:name w:val="Level 2"/>
    <w:basedOn w:val="Normal"/>
    <w:rsid w:val="00D4759A"/>
    <w:pPr>
      <w:widowControl w:val="0"/>
    </w:pPr>
  </w:style>
  <w:style w:type="paragraph" w:customStyle="1" w:styleId="Level3">
    <w:name w:val="Level 3"/>
    <w:basedOn w:val="Normal"/>
    <w:rsid w:val="00D4759A"/>
    <w:pPr>
      <w:widowControl w:val="0"/>
    </w:pPr>
  </w:style>
  <w:style w:type="paragraph" w:customStyle="1" w:styleId="Level4">
    <w:name w:val="Level 4"/>
    <w:basedOn w:val="Normal"/>
    <w:rsid w:val="00D4759A"/>
    <w:pPr>
      <w:widowControl w:val="0"/>
    </w:pPr>
  </w:style>
  <w:style w:type="paragraph" w:customStyle="1" w:styleId="Level5">
    <w:name w:val="Level 5"/>
    <w:basedOn w:val="Normal"/>
    <w:rsid w:val="00D4759A"/>
    <w:pPr>
      <w:widowControl w:val="0"/>
    </w:pPr>
  </w:style>
  <w:style w:type="paragraph" w:customStyle="1" w:styleId="Level6">
    <w:name w:val="Level 6"/>
    <w:basedOn w:val="Normal"/>
    <w:rsid w:val="00D4759A"/>
    <w:pPr>
      <w:widowControl w:val="0"/>
    </w:pPr>
  </w:style>
  <w:style w:type="paragraph" w:customStyle="1" w:styleId="Level7">
    <w:name w:val="Level 7"/>
    <w:basedOn w:val="Normal"/>
    <w:rsid w:val="00D4759A"/>
    <w:pPr>
      <w:widowControl w:val="0"/>
    </w:pPr>
  </w:style>
  <w:style w:type="paragraph" w:customStyle="1" w:styleId="Level8">
    <w:name w:val="Level 8"/>
    <w:basedOn w:val="Normal"/>
    <w:rsid w:val="00D4759A"/>
    <w:pPr>
      <w:widowControl w:val="0"/>
    </w:pPr>
  </w:style>
  <w:style w:type="paragraph" w:customStyle="1" w:styleId="Level9">
    <w:name w:val="Level 9"/>
    <w:basedOn w:val="Normal"/>
    <w:rsid w:val="00D4759A"/>
    <w:pPr>
      <w:widowControl w:val="0"/>
    </w:pPr>
    <w:rPr>
      <w:b/>
    </w:rPr>
  </w:style>
  <w:style w:type="paragraph" w:customStyle="1" w:styleId="Document1">
    <w:name w:val="Document[1]"/>
    <w:basedOn w:val="Normal"/>
    <w:rsid w:val="00D4759A"/>
    <w:pPr>
      <w:widowControl w:val="0"/>
    </w:pPr>
    <w:rPr>
      <w:b/>
      <w:sz w:val="36"/>
    </w:rPr>
  </w:style>
  <w:style w:type="paragraph" w:customStyle="1" w:styleId="Document2">
    <w:name w:val="Document[2]"/>
    <w:basedOn w:val="Normal"/>
    <w:rsid w:val="00D4759A"/>
    <w:pPr>
      <w:widowControl w:val="0"/>
    </w:pPr>
    <w:rPr>
      <w:b/>
      <w:u w:val="single"/>
    </w:rPr>
  </w:style>
  <w:style w:type="paragraph" w:customStyle="1" w:styleId="Document3">
    <w:name w:val="Document[3]"/>
    <w:basedOn w:val="Normal"/>
    <w:rsid w:val="00D4759A"/>
    <w:pPr>
      <w:widowControl w:val="0"/>
    </w:pPr>
    <w:rPr>
      <w:b/>
    </w:rPr>
  </w:style>
  <w:style w:type="paragraph" w:customStyle="1" w:styleId="Document4">
    <w:name w:val="Document[4]"/>
    <w:basedOn w:val="Normal"/>
    <w:rsid w:val="00D4759A"/>
    <w:pPr>
      <w:widowControl w:val="0"/>
    </w:pPr>
    <w:rPr>
      <w:b/>
      <w:i/>
    </w:rPr>
  </w:style>
  <w:style w:type="paragraph" w:customStyle="1" w:styleId="Document5">
    <w:name w:val="Document[5]"/>
    <w:basedOn w:val="Normal"/>
    <w:rsid w:val="00D4759A"/>
    <w:pPr>
      <w:widowControl w:val="0"/>
    </w:pPr>
  </w:style>
  <w:style w:type="paragraph" w:customStyle="1" w:styleId="Document6">
    <w:name w:val="Document[6]"/>
    <w:basedOn w:val="Normal"/>
    <w:rsid w:val="00D4759A"/>
    <w:pPr>
      <w:widowControl w:val="0"/>
    </w:pPr>
  </w:style>
  <w:style w:type="paragraph" w:customStyle="1" w:styleId="Document7">
    <w:name w:val="Document[7]"/>
    <w:basedOn w:val="Normal"/>
    <w:rsid w:val="00D4759A"/>
    <w:pPr>
      <w:widowControl w:val="0"/>
    </w:pPr>
  </w:style>
  <w:style w:type="paragraph" w:customStyle="1" w:styleId="Document8">
    <w:name w:val="Document[8]"/>
    <w:basedOn w:val="Normal"/>
    <w:rsid w:val="00D4759A"/>
    <w:pPr>
      <w:widowControl w:val="0"/>
    </w:pPr>
  </w:style>
  <w:style w:type="paragraph" w:customStyle="1" w:styleId="Technical1">
    <w:name w:val="Technical[1]"/>
    <w:basedOn w:val="Normal"/>
    <w:rsid w:val="00D4759A"/>
    <w:pPr>
      <w:widowControl w:val="0"/>
    </w:pPr>
    <w:rPr>
      <w:b/>
      <w:sz w:val="36"/>
    </w:rPr>
  </w:style>
  <w:style w:type="paragraph" w:customStyle="1" w:styleId="Technical2">
    <w:name w:val="Technical[2]"/>
    <w:basedOn w:val="Normal"/>
    <w:rsid w:val="00D4759A"/>
    <w:pPr>
      <w:widowControl w:val="0"/>
    </w:pPr>
    <w:rPr>
      <w:b/>
      <w:u w:val="single"/>
    </w:rPr>
  </w:style>
  <w:style w:type="paragraph" w:customStyle="1" w:styleId="Technical3">
    <w:name w:val="Technical[3]"/>
    <w:basedOn w:val="Normal"/>
    <w:rsid w:val="00D4759A"/>
    <w:pPr>
      <w:widowControl w:val="0"/>
    </w:pPr>
    <w:rPr>
      <w:b/>
    </w:rPr>
  </w:style>
  <w:style w:type="paragraph" w:customStyle="1" w:styleId="Technical4">
    <w:name w:val="Technical[4]"/>
    <w:basedOn w:val="Normal"/>
    <w:rsid w:val="00D4759A"/>
    <w:pPr>
      <w:widowControl w:val="0"/>
    </w:pPr>
    <w:rPr>
      <w:b/>
    </w:rPr>
  </w:style>
  <w:style w:type="paragraph" w:customStyle="1" w:styleId="Technical5">
    <w:name w:val="Technical[5]"/>
    <w:basedOn w:val="Normal"/>
    <w:rsid w:val="00D4759A"/>
    <w:pPr>
      <w:widowControl w:val="0"/>
    </w:pPr>
    <w:rPr>
      <w:b/>
    </w:rPr>
  </w:style>
  <w:style w:type="paragraph" w:customStyle="1" w:styleId="Technical6">
    <w:name w:val="Technical[6]"/>
    <w:basedOn w:val="Normal"/>
    <w:rsid w:val="00D4759A"/>
    <w:pPr>
      <w:widowControl w:val="0"/>
    </w:pPr>
    <w:rPr>
      <w:b/>
    </w:rPr>
  </w:style>
  <w:style w:type="paragraph" w:customStyle="1" w:styleId="Technical7">
    <w:name w:val="Technical[7]"/>
    <w:basedOn w:val="Normal"/>
    <w:rsid w:val="00D4759A"/>
    <w:pPr>
      <w:widowControl w:val="0"/>
    </w:pPr>
    <w:rPr>
      <w:b/>
    </w:rPr>
  </w:style>
  <w:style w:type="paragraph" w:customStyle="1" w:styleId="Technical8">
    <w:name w:val="Technical[8]"/>
    <w:basedOn w:val="Normal"/>
    <w:rsid w:val="00D4759A"/>
    <w:pPr>
      <w:widowControl w:val="0"/>
    </w:pPr>
    <w:rPr>
      <w:b/>
    </w:rPr>
  </w:style>
  <w:style w:type="paragraph" w:customStyle="1" w:styleId="RightPar1">
    <w:name w:val="Right Par[1]"/>
    <w:basedOn w:val="Normal"/>
    <w:rsid w:val="00D4759A"/>
    <w:pPr>
      <w:widowControl w:val="0"/>
    </w:pPr>
  </w:style>
  <w:style w:type="paragraph" w:customStyle="1" w:styleId="RightPar2">
    <w:name w:val="Right Par[2]"/>
    <w:basedOn w:val="Normal"/>
    <w:rsid w:val="00D4759A"/>
    <w:pPr>
      <w:widowControl w:val="0"/>
    </w:pPr>
  </w:style>
  <w:style w:type="paragraph" w:customStyle="1" w:styleId="RightPar3">
    <w:name w:val="Right Par[3]"/>
    <w:basedOn w:val="Normal"/>
    <w:rsid w:val="00D4759A"/>
    <w:pPr>
      <w:widowControl w:val="0"/>
    </w:pPr>
  </w:style>
  <w:style w:type="paragraph" w:customStyle="1" w:styleId="RightPar4">
    <w:name w:val="Right Par[4]"/>
    <w:basedOn w:val="Normal"/>
    <w:rsid w:val="00D4759A"/>
    <w:pPr>
      <w:widowControl w:val="0"/>
    </w:pPr>
  </w:style>
  <w:style w:type="paragraph" w:customStyle="1" w:styleId="RightPar5">
    <w:name w:val="Right Par[5]"/>
    <w:basedOn w:val="Normal"/>
    <w:rsid w:val="00D4759A"/>
    <w:pPr>
      <w:widowControl w:val="0"/>
    </w:pPr>
  </w:style>
  <w:style w:type="paragraph" w:customStyle="1" w:styleId="RightPar6">
    <w:name w:val="Right Par[6]"/>
    <w:basedOn w:val="Normal"/>
    <w:rsid w:val="00D4759A"/>
    <w:pPr>
      <w:widowControl w:val="0"/>
    </w:pPr>
  </w:style>
  <w:style w:type="paragraph" w:customStyle="1" w:styleId="RightPar7">
    <w:name w:val="Right Par[7]"/>
    <w:basedOn w:val="Normal"/>
    <w:rsid w:val="00D4759A"/>
    <w:pPr>
      <w:widowControl w:val="0"/>
    </w:pPr>
  </w:style>
  <w:style w:type="paragraph" w:customStyle="1" w:styleId="RightPar8">
    <w:name w:val="Right Par[8]"/>
    <w:basedOn w:val="Normal"/>
    <w:rsid w:val="00D4759A"/>
    <w:pPr>
      <w:widowControl w:val="0"/>
    </w:pPr>
  </w:style>
  <w:style w:type="paragraph" w:styleId="FootnoteText">
    <w:name w:val="footnote text"/>
    <w:basedOn w:val="Normal"/>
    <w:link w:val="FootnoteTextChar"/>
    <w:semiHidden/>
    <w:rsid w:val="00D4759A"/>
    <w:pPr>
      <w:widowControl w:val="0"/>
      <w:ind w:firstLine="720"/>
    </w:pPr>
    <w:rPr>
      <w:rFonts w:ascii="Arial" w:hAnsi="Arial"/>
      <w:sz w:val="22"/>
    </w:rPr>
  </w:style>
  <w:style w:type="character" w:styleId="FootnoteReference">
    <w:name w:val="footnote reference"/>
    <w:basedOn w:val="DefaultParagraphFont"/>
    <w:semiHidden/>
    <w:rsid w:val="00D4759A"/>
    <w:rPr>
      <w:vertAlign w:val="superscript"/>
    </w:rPr>
  </w:style>
  <w:style w:type="character" w:customStyle="1" w:styleId="Bibliogrphy">
    <w:name w:val="Bibliogrphy"/>
    <w:basedOn w:val="DefaultParagraphFont"/>
    <w:rsid w:val="00D4759A"/>
  </w:style>
  <w:style w:type="character" w:customStyle="1" w:styleId="DocInit">
    <w:name w:val="Doc Init"/>
    <w:basedOn w:val="DefaultParagraphFont"/>
    <w:rsid w:val="00D4759A"/>
  </w:style>
  <w:style w:type="character" w:customStyle="1" w:styleId="TechInit">
    <w:name w:val="Tech Init"/>
    <w:basedOn w:val="DefaultParagraphFont"/>
    <w:rsid w:val="00D4759A"/>
  </w:style>
  <w:style w:type="character" w:customStyle="1" w:styleId="Pleading">
    <w:name w:val="Pleading"/>
    <w:basedOn w:val="DefaultParagraphFont"/>
    <w:rsid w:val="00D4759A"/>
  </w:style>
  <w:style w:type="table" w:styleId="TableGrid">
    <w:name w:val="Table Grid"/>
    <w:basedOn w:val="TableNormal"/>
    <w:rsid w:val="0098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86C"/>
    <w:pPr>
      <w:tabs>
        <w:tab w:val="center" w:pos="4320"/>
        <w:tab w:val="right" w:pos="8640"/>
      </w:tabs>
    </w:pPr>
  </w:style>
  <w:style w:type="paragraph" w:styleId="Footer">
    <w:name w:val="footer"/>
    <w:basedOn w:val="Normal"/>
    <w:rsid w:val="00F8586C"/>
    <w:pPr>
      <w:tabs>
        <w:tab w:val="center" w:pos="4320"/>
        <w:tab w:val="right" w:pos="8640"/>
      </w:tabs>
    </w:pPr>
  </w:style>
  <w:style w:type="character" w:styleId="CommentReference">
    <w:name w:val="annotation reference"/>
    <w:basedOn w:val="DefaultParagraphFont"/>
    <w:rsid w:val="00B73714"/>
    <w:rPr>
      <w:sz w:val="16"/>
      <w:szCs w:val="16"/>
    </w:rPr>
  </w:style>
  <w:style w:type="paragraph" w:styleId="CommentText">
    <w:name w:val="annotation text"/>
    <w:basedOn w:val="Normal"/>
    <w:link w:val="CommentTextChar"/>
    <w:rsid w:val="00B73714"/>
    <w:rPr>
      <w:sz w:val="20"/>
    </w:rPr>
  </w:style>
  <w:style w:type="character" w:customStyle="1" w:styleId="CommentTextChar">
    <w:name w:val="Comment Text Char"/>
    <w:basedOn w:val="DefaultParagraphFont"/>
    <w:link w:val="CommentText"/>
    <w:rsid w:val="00B73714"/>
  </w:style>
  <w:style w:type="paragraph" w:styleId="CommentSubject">
    <w:name w:val="annotation subject"/>
    <w:basedOn w:val="CommentText"/>
    <w:next w:val="CommentText"/>
    <w:link w:val="CommentSubjectChar"/>
    <w:rsid w:val="00B73714"/>
    <w:rPr>
      <w:b/>
      <w:bCs/>
    </w:rPr>
  </w:style>
  <w:style w:type="character" w:customStyle="1" w:styleId="CommentSubjectChar">
    <w:name w:val="Comment Subject Char"/>
    <w:basedOn w:val="CommentTextChar"/>
    <w:link w:val="CommentSubject"/>
    <w:rsid w:val="00B73714"/>
    <w:rPr>
      <w:b/>
      <w:bCs/>
    </w:rPr>
  </w:style>
  <w:style w:type="paragraph" w:styleId="BalloonText">
    <w:name w:val="Balloon Text"/>
    <w:basedOn w:val="Normal"/>
    <w:link w:val="BalloonTextChar"/>
    <w:rsid w:val="00B73714"/>
    <w:rPr>
      <w:rFonts w:ascii="Tahoma" w:hAnsi="Tahoma" w:cs="Tahoma"/>
      <w:sz w:val="16"/>
      <w:szCs w:val="16"/>
    </w:rPr>
  </w:style>
  <w:style w:type="character" w:customStyle="1" w:styleId="BalloonTextChar">
    <w:name w:val="Balloon Text Char"/>
    <w:basedOn w:val="DefaultParagraphFont"/>
    <w:link w:val="BalloonText"/>
    <w:rsid w:val="00B73714"/>
    <w:rPr>
      <w:rFonts w:ascii="Tahoma" w:hAnsi="Tahoma" w:cs="Tahoma"/>
      <w:sz w:val="16"/>
      <w:szCs w:val="16"/>
    </w:rPr>
  </w:style>
  <w:style w:type="paragraph" w:styleId="EndnoteText">
    <w:name w:val="endnote text"/>
    <w:basedOn w:val="Normal"/>
    <w:link w:val="EndnoteTextChar"/>
    <w:rsid w:val="00730FAC"/>
    <w:rPr>
      <w:sz w:val="20"/>
    </w:rPr>
  </w:style>
  <w:style w:type="character" w:customStyle="1" w:styleId="EndnoteTextChar">
    <w:name w:val="Endnote Text Char"/>
    <w:basedOn w:val="DefaultParagraphFont"/>
    <w:link w:val="EndnoteText"/>
    <w:rsid w:val="00730FAC"/>
  </w:style>
  <w:style w:type="character" w:styleId="EndnoteReference">
    <w:name w:val="endnote reference"/>
    <w:basedOn w:val="DefaultParagraphFont"/>
    <w:rsid w:val="00730FAC"/>
    <w:rPr>
      <w:vertAlign w:val="superscript"/>
    </w:rPr>
  </w:style>
  <w:style w:type="character" w:customStyle="1" w:styleId="FootnoteTextChar">
    <w:name w:val="Footnote Text Char"/>
    <w:basedOn w:val="DefaultParagraphFont"/>
    <w:link w:val="FootnoteText"/>
    <w:semiHidden/>
    <w:rsid w:val="00550DF5"/>
    <w:rPr>
      <w:rFonts w:ascii="Arial" w:hAnsi="Arial"/>
      <w:sz w:val="22"/>
    </w:rPr>
  </w:style>
  <w:style w:type="character" w:styleId="Hyperlink">
    <w:name w:val="Hyperlink"/>
    <w:basedOn w:val="DefaultParagraphFont"/>
    <w:uiPriority w:val="99"/>
    <w:rsid w:val="004C6D01"/>
    <w:rPr>
      <w:color w:val="0000FF"/>
      <w:u w:val="single"/>
    </w:rPr>
  </w:style>
  <w:style w:type="paragraph" w:styleId="NormalWeb">
    <w:name w:val="Normal (Web)"/>
    <w:basedOn w:val="Normal"/>
    <w:unhideWhenUsed/>
    <w:rsid w:val="00813F0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E1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647">
      <w:bodyDiv w:val="1"/>
      <w:marLeft w:val="0"/>
      <w:marRight w:val="0"/>
      <w:marTop w:val="0"/>
      <w:marBottom w:val="0"/>
      <w:divBdr>
        <w:top w:val="none" w:sz="0" w:space="0" w:color="auto"/>
        <w:left w:val="none" w:sz="0" w:space="0" w:color="auto"/>
        <w:bottom w:val="none" w:sz="0" w:space="0" w:color="auto"/>
        <w:right w:val="none" w:sz="0" w:space="0" w:color="auto"/>
      </w:divBdr>
    </w:div>
    <w:div w:id="33314015">
      <w:bodyDiv w:val="1"/>
      <w:marLeft w:val="0"/>
      <w:marRight w:val="0"/>
      <w:marTop w:val="0"/>
      <w:marBottom w:val="0"/>
      <w:divBdr>
        <w:top w:val="none" w:sz="0" w:space="0" w:color="auto"/>
        <w:left w:val="none" w:sz="0" w:space="0" w:color="auto"/>
        <w:bottom w:val="none" w:sz="0" w:space="0" w:color="auto"/>
        <w:right w:val="none" w:sz="0" w:space="0" w:color="auto"/>
      </w:divBdr>
    </w:div>
    <w:div w:id="47383515">
      <w:bodyDiv w:val="1"/>
      <w:marLeft w:val="0"/>
      <w:marRight w:val="0"/>
      <w:marTop w:val="0"/>
      <w:marBottom w:val="0"/>
      <w:divBdr>
        <w:top w:val="none" w:sz="0" w:space="0" w:color="auto"/>
        <w:left w:val="none" w:sz="0" w:space="0" w:color="auto"/>
        <w:bottom w:val="none" w:sz="0" w:space="0" w:color="auto"/>
        <w:right w:val="none" w:sz="0" w:space="0" w:color="auto"/>
      </w:divBdr>
    </w:div>
    <w:div w:id="54085116">
      <w:bodyDiv w:val="1"/>
      <w:marLeft w:val="0"/>
      <w:marRight w:val="0"/>
      <w:marTop w:val="0"/>
      <w:marBottom w:val="0"/>
      <w:divBdr>
        <w:top w:val="none" w:sz="0" w:space="0" w:color="auto"/>
        <w:left w:val="none" w:sz="0" w:space="0" w:color="auto"/>
        <w:bottom w:val="none" w:sz="0" w:space="0" w:color="auto"/>
        <w:right w:val="none" w:sz="0" w:space="0" w:color="auto"/>
      </w:divBdr>
    </w:div>
    <w:div w:id="62144570">
      <w:bodyDiv w:val="1"/>
      <w:marLeft w:val="0"/>
      <w:marRight w:val="0"/>
      <w:marTop w:val="0"/>
      <w:marBottom w:val="0"/>
      <w:divBdr>
        <w:top w:val="none" w:sz="0" w:space="0" w:color="auto"/>
        <w:left w:val="none" w:sz="0" w:space="0" w:color="auto"/>
        <w:bottom w:val="none" w:sz="0" w:space="0" w:color="auto"/>
        <w:right w:val="none" w:sz="0" w:space="0" w:color="auto"/>
      </w:divBdr>
    </w:div>
    <w:div w:id="63066525">
      <w:bodyDiv w:val="1"/>
      <w:marLeft w:val="0"/>
      <w:marRight w:val="0"/>
      <w:marTop w:val="0"/>
      <w:marBottom w:val="0"/>
      <w:divBdr>
        <w:top w:val="none" w:sz="0" w:space="0" w:color="auto"/>
        <w:left w:val="none" w:sz="0" w:space="0" w:color="auto"/>
        <w:bottom w:val="none" w:sz="0" w:space="0" w:color="auto"/>
        <w:right w:val="none" w:sz="0" w:space="0" w:color="auto"/>
      </w:divBdr>
    </w:div>
    <w:div w:id="85420469">
      <w:bodyDiv w:val="1"/>
      <w:marLeft w:val="0"/>
      <w:marRight w:val="0"/>
      <w:marTop w:val="0"/>
      <w:marBottom w:val="0"/>
      <w:divBdr>
        <w:top w:val="none" w:sz="0" w:space="0" w:color="auto"/>
        <w:left w:val="none" w:sz="0" w:space="0" w:color="auto"/>
        <w:bottom w:val="none" w:sz="0" w:space="0" w:color="auto"/>
        <w:right w:val="none" w:sz="0" w:space="0" w:color="auto"/>
      </w:divBdr>
    </w:div>
    <w:div w:id="91631122">
      <w:bodyDiv w:val="1"/>
      <w:marLeft w:val="0"/>
      <w:marRight w:val="0"/>
      <w:marTop w:val="0"/>
      <w:marBottom w:val="0"/>
      <w:divBdr>
        <w:top w:val="none" w:sz="0" w:space="0" w:color="auto"/>
        <w:left w:val="none" w:sz="0" w:space="0" w:color="auto"/>
        <w:bottom w:val="none" w:sz="0" w:space="0" w:color="auto"/>
        <w:right w:val="none" w:sz="0" w:space="0" w:color="auto"/>
      </w:divBdr>
    </w:div>
    <w:div w:id="96407406">
      <w:bodyDiv w:val="1"/>
      <w:marLeft w:val="0"/>
      <w:marRight w:val="0"/>
      <w:marTop w:val="0"/>
      <w:marBottom w:val="0"/>
      <w:divBdr>
        <w:top w:val="none" w:sz="0" w:space="0" w:color="auto"/>
        <w:left w:val="none" w:sz="0" w:space="0" w:color="auto"/>
        <w:bottom w:val="none" w:sz="0" w:space="0" w:color="auto"/>
        <w:right w:val="none" w:sz="0" w:space="0" w:color="auto"/>
      </w:divBdr>
    </w:div>
    <w:div w:id="136186704">
      <w:bodyDiv w:val="1"/>
      <w:marLeft w:val="0"/>
      <w:marRight w:val="0"/>
      <w:marTop w:val="0"/>
      <w:marBottom w:val="0"/>
      <w:divBdr>
        <w:top w:val="none" w:sz="0" w:space="0" w:color="auto"/>
        <w:left w:val="none" w:sz="0" w:space="0" w:color="auto"/>
        <w:bottom w:val="none" w:sz="0" w:space="0" w:color="auto"/>
        <w:right w:val="none" w:sz="0" w:space="0" w:color="auto"/>
      </w:divBdr>
    </w:div>
    <w:div w:id="177352444">
      <w:bodyDiv w:val="1"/>
      <w:marLeft w:val="0"/>
      <w:marRight w:val="0"/>
      <w:marTop w:val="0"/>
      <w:marBottom w:val="0"/>
      <w:divBdr>
        <w:top w:val="none" w:sz="0" w:space="0" w:color="auto"/>
        <w:left w:val="none" w:sz="0" w:space="0" w:color="auto"/>
        <w:bottom w:val="none" w:sz="0" w:space="0" w:color="auto"/>
        <w:right w:val="none" w:sz="0" w:space="0" w:color="auto"/>
      </w:divBdr>
    </w:div>
    <w:div w:id="184902108">
      <w:bodyDiv w:val="1"/>
      <w:marLeft w:val="0"/>
      <w:marRight w:val="0"/>
      <w:marTop w:val="0"/>
      <w:marBottom w:val="0"/>
      <w:divBdr>
        <w:top w:val="none" w:sz="0" w:space="0" w:color="auto"/>
        <w:left w:val="none" w:sz="0" w:space="0" w:color="auto"/>
        <w:bottom w:val="none" w:sz="0" w:space="0" w:color="auto"/>
        <w:right w:val="none" w:sz="0" w:space="0" w:color="auto"/>
      </w:divBdr>
    </w:div>
    <w:div w:id="209149332">
      <w:bodyDiv w:val="1"/>
      <w:marLeft w:val="0"/>
      <w:marRight w:val="0"/>
      <w:marTop w:val="0"/>
      <w:marBottom w:val="0"/>
      <w:divBdr>
        <w:top w:val="none" w:sz="0" w:space="0" w:color="auto"/>
        <w:left w:val="none" w:sz="0" w:space="0" w:color="auto"/>
        <w:bottom w:val="none" w:sz="0" w:space="0" w:color="auto"/>
        <w:right w:val="none" w:sz="0" w:space="0" w:color="auto"/>
      </w:divBdr>
    </w:div>
    <w:div w:id="237903702">
      <w:bodyDiv w:val="1"/>
      <w:marLeft w:val="0"/>
      <w:marRight w:val="0"/>
      <w:marTop w:val="0"/>
      <w:marBottom w:val="0"/>
      <w:divBdr>
        <w:top w:val="none" w:sz="0" w:space="0" w:color="auto"/>
        <w:left w:val="none" w:sz="0" w:space="0" w:color="auto"/>
        <w:bottom w:val="none" w:sz="0" w:space="0" w:color="auto"/>
        <w:right w:val="none" w:sz="0" w:space="0" w:color="auto"/>
      </w:divBdr>
    </w:div>
    <w:div w:id="238449250">
      <w:bodyDiv w:val="1"/>
      <w:marLeft w:val="0"/>
      <w:marRight w:val="0"/>
      <w:marTop w:val="0"/>
      <w:marBottom w:val="0"/>
      <w:divBdr>
        <w:top w:val="none" w:sz="0" w:space="0" w:color="auto"/>
        <w:left w:val="none" w:sz="0" w:space="0" w:color="auto"/>
        <w:bottom w:val="none" w:sz="0" w:space="0" w:color="auto"/>
        <w:right w:val="none" w:sz="0" w:space="0" w:color="auto"/>
      </w:divBdr>
    </w:div>
    <w:div w:id="238488414">
      <w:bodyDiv w:val="1"/>
      <w:marLeft w:val="0"/>
      <w:marRight w:val="0"/>
      <w:marTop w:val="0"/>
      <w:marBottom w:val="0"/>
      <w:divBdr>
        <w:top w:val="none" w:sz="0" w:space="0" w:color="auto"/>
        <w:left w:val="none" w:sz="0" w:space="0" w:color="auto"/>
        <w:bottom w:val="none" w:sz="0" w:space="0" w:color="auto"/>
        <w:right w:val="none" w:sz="0" w:space="0" w:color="auto"/>
      </w:divBdr>
    </w:div>
    <w:div w:id="307635548">
      <w:bodyDiv w:val="1"/>
      <w:marLeft w:val="0"/>
      <w:marRight w:val="0"/>
      <w:marTop w:val="0"/>
      <w:marBottom w:val="0"/>
      <w:divBdr>
        <w:top w:val="none" w:sz="0" w:space="0" w:color="auto"/>
        <w:left w:val="none" w:sz="0" w:space="0" w:color="auto"/>
        <w:bottom w:val="none" w:sz="0" w:space="0" w:color="auto"/>
        <w:right w:val="none" w:sz="0" w:space="0" w:color="auto"/>
      </w:divBdr>
    </w:div>
    <w:div w:id="353582867">
      <w:bodyDiv w:val="1"/>
      <w:marLeft w:val="0"/>
      <w:marRight w:val="0"/>
      <w:marTop w:val="0"/>
      <w:marBottom w:val="0"/>
      <w:divBdr>
        <w:top w:val="none" w:sz="0" w:space="0" w:color="auto"/>
        <w:left w:val="none" w:sz="0" w:space="0" w:color="auto"/>
        <w:bottom w:val="none" w:sz="0" w:space="0" w:color="auto"/>
        <w:right w:val="none" w:sz="0" w:space="0" w:color="auto"/>
      </w:divBdr>
    </w:div>
    <w:div w:id="392893340">
      <w:bodyDiv w:val="1"/>
      <w:marLeft w:val="0"/>
      <w:marRight w:val="0"/>
      <w:marTop w:val="0"/>
      <w:marBottom w:val="0"/>
      <w:divBdr>
        <w:top w:val="none" w:sz="0" w:space="0" w:color="auto"/>
        <w:left w:val="none" w:sz="0" w:space="0" w:color="auto"/>
        <w:bottom w:val="none" w:sz="0" w:space="0" w:color="auto"/>
        <w:right w:val="none" w:sz="0" w:space="0" w:color="auto"/>
      </w:divBdr>
      <w:divsChild>
        <w:div w:id="1282418551">
          <w:marLeft w:val="0"/>
          <w:marRight w:val="0"/>
          <w:marTop w:val="0"/>
          <w:marBottom w:val="0"/>
          <w:divBdr>
            <w:top w:val="none" w:sz="0" w:space="0" w:color="auto"/>
            <w:left w:val="none" w:sz="0" w:space="0" w:color="auto"/>
            <w:bottom w:val="none" w:sz="0" w:space="0" w:color="auto"/>
            <w:right w:val="none" w:sz="0" w:space="0" w:color="auto"/>
          </w:divBdr>
          <w:divsChild>
            <w:div w:id="381053114">
              <w:marLeft w:val="0"/>
              <w:marRight w:val="0"/>
              <w:marTop w:val="0"/>
              <w:marBottom w:val="0"/>
              <w:divBdr>
                <w:top w:val="none" w:sz="0" w:space="0" w:color="auto"/>
                <w:left w:val="none" w:sz="0" w:space="0" w:color="auto"/>
                <w:bottom w:val="none" w:sz="0" w:space="0" w:color="auto"/>
                <w:right w:val="none" w:sz="0" w:space="0" w:color="auto"/>
              </w:divBdr>
              <w:divsChild>
                <w:div w:id="306250753">
                  <w:marLeft w:val="0"/>
                  <w:marRight w:val="0"/>
                  <w:marTop w:val="0"/>
                  <w:marBottom w:val="0"/>
                  <w:divBdr>
                    <w:top w:val="none" w:sz="0" w:space="0" w:color="auto"/>
                    <w:left w:val="none" w:sz="0" w:space="0" w:color="auto"/>
                    <w:bottom w:val="none" w:sz="0" w:space="0" w:color="auto"/>
                    <w:right w:val="none" w:sz="0" w:space="0" w:color="auto"/>
                  </w:divBdr>
                  <w:divsChild>
                    <w:div w:id="2049641216">
                      <w:marLeft w:val="0"/>
                      <w:marRight w:val="0"/>
                      <w:marTop w:val="0"/>
                      <w:marBottom w:val="0"/>
                      <w:divBdr>
                        <w:top w:val="none" w:sz="0" w:space="0" w:color="auto"/>
                        <w:left w:val="none" w:sz="0" w:space="0" w:color="auto"/>
                        <w:bottom w:val="none" w:sz="0" w:space="0" w:color="auto"/>
                        <w:right w:val="none" w:sz="0" w:space="0" w:color="auto"/>
                      </w:divBdr>
                      <w:divsChild>
                        <w:div w:id="6546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82945">
      <w:bodyDiv w:val="1"/>
      <w:marLeft w:val="0"/>
      <w:marRight w:val="0"/>
      <w:marTop w:val="0"/>
      <w:marBottom w:val="0"/>
      <w:divBdr>
        <w:top w:val="none" w:sz="0" w:space="0" w:color="auto"/>
        <w:left w:val="none" w:sz="0" w:space="0" w:color="auto"/>
        <w:bottom w:val="none" w:sz="0" w:space="0" w:color="auto"/>
        <w:right w:val="none" w:sz="0" w:space="0" w:color="auto"/>
      </w:divBdr>
    </w:div>
    <w:div w:id="497884056">
      <w:bodyDiv w:val="1"/>
      <w:marLeft w:val="0"/>
      <w:marRight w:val="0"/>
      <w:marTop w:val="0"/>
      <w:marBottom w:val="0"/>
      <w:divBdr>
        <w:top w:val="none" w:sz="0" w:space="0" w:color="auto"/>
        <w:left w:val="none" w:sz="0" w:space="0" w:color="auto"/>
        <w:bottom w:val="none" w:sz="0" w:space="0" w:color="auto"/>
        <w:right w:val="none" w:sz="0" w:space="0" w:color="auto"/>
      </w:divBdr>
    </w:div>
    <w:div w:id="511535105">
      <w:bodyDiv w:val="1"/>
      <w:marLeft w:val="0"/>
      <w:marRight w:val="0"/>
      <w:marTop w:val="0"/>
      <w:marBottom w:val="0"/>
      <w:divBdr>
        <w:top w:val="none" w:sz="0" w:space="0" w:color="auto"/>
        <w:left w:val="none" w:sz="0" w:space="0" w:color="auto"/>
        <w:bottom w:val="none" w:sz="0" w:space="0" w:color="auto"/>
        <w:right w:val="none" w:sz="0" w:space="0" w:color="auto"/>
      </w:divBdr>
    </w:div>
    <w:div w:id="515117237">
      <w:bodyDiv w:val="1"/>
      <w:marLeft w:val="0"/>
      <w:marRight w:val="0"/>
      <w:marTop w:val="0"/>
      <w:marBottom w:val="0"/>
      <w:divBdr>
        <w:top w:val="none" w:sz="0" w:space="0" w:color="auto"/>
        <w:left w:val="none" w:sz="0" w:space="0" w:color="auto"/>
        <w:bottom w:val="none" w:sz="0" w:space="0" w:color="auto"/>
        <w:right w:val="none" w:sz="0" w:space="0" w:color="auto"/>
      </w:divBdr>
    </w:div>
    <w:div w:id="523985048">
      <w:bodyDiv w:val="1"/>
      <w:marLeft w:val="0"/>
      <w:marRight w:val="0"/>
      <w:marTop w:val="0"/>
      <w:marBottom w:val="0"/>
      <w:divBdr>
        <w:top w:val="none" w:sz="0" w:space="0" w:color="auto"/>
        <w:left w:val="none" w:sz="0" w:space="0" w:color="auto"/>
        <w:bottom w:val="none" w:sz="0" w:space="0" w:color="auto"/>
        <w:right w:val="none" w:sz="0" w:space="0" w:color="auto"/>
      </w:divBdr>
    </w:div>
    <w:div w:id="534537254">
      <w:bodyDiv w:val="1"/>
      <w:marLeft w:val="0"/>
      <w:marRight w:val="0"/>
      <w:marTop w:val="0"/>
      <w:marBottom w:val="0"/>
      <w:divBdr>
        <w:top w:val="none" w:sz="0" w:space="0" w:color="auto"/>
        <w:left w:val="none" w:sz="0" w:space="0" w:color="auto"/>
        <w:bottom w:val="none" w:sz="0" w:space="0" w:color="auto"/>
        <w:right w:val="none" w:sz="0" w:space="0" w:color="auto"/>
      </w:divBdr>
    </w:div>
    <w:div w:id="570433975">
      <w:bodyDiv w:val="1"/>
      <w:marLeft w:val="0"/>
      <w:marRight w:val="0"/>
      <w:marTop w:val="0"/>
      <w:marBottom w:val="0"/>
      <w:divBdr>
        <w:top w:val="none" w:sz="0" w:space="0" w:color="auto"/>
        <w:left w:val="none" w:sz="0" w:space="0" w:color="auto"/>
        <w:bottom w:val="none" w:sz="0" w:space="0" w:color="auto"/>
        <w:right w:val="none" w:sz="0" w:space="0" w:color="auto"/>
      </w:divBdr>
    </w:div>
    <w:div w:id="583686531">
      <w:bodyDiv w:val="1"/>
      <w:marLeft w:val="0"/>
      <w:marRight w:val="0"/>
      <w:marTop w:val="0"/>
      <w:marBottom w:val="0"/>
      <w:divBdr>
        <w:top w:val="none" w:sz="0" w:space="0" w:color="auto"/>
        <w:left w:val="none" w:sz="0" w:space="0" w:color="auto"/>
        <w:bottom w:val="none" w:sz="0" w:space="0" w:color="auto"/>
        <w:right w:val="none" w:sz="0" w:space="0" w:color="auto"/>
      </w:divBdr>
    </w:div>
    <w:div w:id="608582873">
      <w:bodyDiv w:val="1"/>
      <w:marLeft w:val="0"/>
      <w:marRight w:val="0"/>
      <w:marTop w:val="0"/>
      <w:marBottom w:val="0"/>
      <w:divBdr>
        <w:top w:val="none" w:sz="0" w:space="0" w:color="auto"/>
        <w:left w:val="none" w:sz="0" w:space="0" w:color="auto"/>
        <w:bottom w:val="none" w:sz="0" w:space="0" w:color="auto"/>
        <w:right w:val="none" w:sz="0" w:space="0" w:color="auto"/>
      </w:divBdr>
    </w:div>
    <w:div w:id="681126793">
      <w:bodyDiv w:val="1"/>
      <w:marLeft w:val="0"/>
      <w:marRight w:val="0"/>
      <w:marTop w:val="0"/>
      <w:marBottom w:val="0"/>
      <w:divBdr>
        <w:top w:val="none" w:sz="0" w:space="0" w:color="auto"/>
        <w:left w:val="none" w:sz="0" w:space="0" w:color="auto"/>
        <w:bottom w:val="none" w:sz="0" w:space="0" w:color="auto"/>
        <w:right w:val="none" w:sz="0" w:space="0" w:color="auto"/>
      </w:divBdr>
    </w:div>
    <w:div w:id="741489956">
      <w:bodyDiv w:val="1"/>
      <w:marLeft w:val="0"/>
      <w:marRight w:val="0"/>
      <w:marTop w:val="0"/>
      <w:marBottom w:val="0"/>
      <w:divBdr>
        <w:top w:val="none" w:sz="0" w:space="0" w:color="auto"/>
        <w:left w:val="none" w:sz="0" w:space="0" w:color="auto"/>
        <w:bottom w:val="none" w:sz="0" w:space="0" w:color="auto"/>
        <w:right w:val="none" w:sz="0" w:space="0" w:color="auto"/>
      </w:divBdr>
    </w:div>
    <w:div w:id="778380871">
      <w:bodyDiv w:val="1"/>
      <w:marLeft w:val="0"/>
      <w:marRight w:val="0"/>
      <w:marTop w:val="0"/>
      <w:marBottom w:val="0"/>
      <w:divBdr>
        <w:top w:val="none" w:sz="0" w:space="0" w:color="auto"/>
        <w:left w:val="none" w:sz="0" w:space="0" w:color="auto"/>
        <w:bottom w:val="none" w:sz="0" w:space="0" w:color="auto"/>
        <w:right w:val="none" w:sz="0" w:space="0" w:color="auto"/>
      </w:divBdr>
    </w:div>
    <w:div w:id="780497448">
      <w:bodyDiv w:val="1"/>
      <w:marLeft w:val="0"/>
      <w:marRight w:val="0"/>
      <w:marTop w:val="0"/>
      <w:marBottom w:val="0"/>
      <w:divBdr>
        <w:top w:val="none" w:sz="0" w:space="0" w:color="auto"/>
        <w:left w:val="none" w:sz="0" w:space="0" w:color="auto"/>
        <w:bottom w:val="none" w:sz="0" w:space="0" w:color="auto"/>
        <w:right w:val="none" w:sz="0" w:space="0" w:color="auto"/>
      </w:divBdr>
    </w:div>
    <w:div w:id="810244159">
      <w:bodyDiv w:val="1"/>
      <w:marLeft w:val="0"/>
      <w:marRight w:val="0"/>
      <w:marTop w:val="0"/>
      <w:marBottom w:val="0"/>
      <w:divBdr>
        <w:top w:val="none" w:sz="0" w:space="0" w:color="auto"/>
        <w:left w:val="none" w:sz="0" w:space="0" w:color="auto"/>
        <w:bottom w:val="none" w:sz="0" w:space="0" w:color="auto"/>
        <w:right w:val="none" w:sz="0" w:space="0" w:color="auto"/>
      </w:divBdr>
    </w:div>
    <w:div w:id="900021407">
      <w:bodyDiv w:val="1"/>
      <w:marLeft w:val="0"/>
      <w:marRight w:val="0"/>
      <w:marTop w:val="0"/>
      <w:marBottom w:val="0"/>
      <w:divBdr>
        <w:top w:val="none" w:sz="0" w:space="0" w:color="auto"/>
        <w:left w:val="none" w:sz="0" w:space="0" w:color="auto"/>
        <w:bottom w:val="none" w:sz="0" w:space="0" w:color="auto"/>
        <w:right w:val="none" w:sz="0" w:space="0" w:color="auto"/>
      </w:divBdr>
    </w:div>
    <w:div w:id="942570540">
      <w:bodyDiv w:val="1"/>
      <w:marLeft w:val="0"/>
      <w:marRight w:val="0"/>
      <w:marTop w:val="0"/>
      <w:marBottom w:val="0"/>
      <w:divBdr>
        <w:top w:val="none" w:sz="0" w:space="0" w:color="auto"/>
        <w:left w:val="none" w:sz="0" w:space="0" w:color="auto"/>
        <w:bottom w:val="none" w:sz="0" w:space="0" w:color="auto"/>
        <w:right w:val="none" w:sz="0" w:space="0" w:color="auto"/>
      </w:divBdr>
    </w:div>
    <w:div w:id="981156943">
      <w:bodyDiv w:val="1"/>
      <w:marLeft w:val="0"/>
      <w:marRight w:val="0"/>
      <w:marTop w:val="0"/>
      <w:marBottom w:val="0"/>
      <w:divBdr>
        <w:top w:val="none" w:sz="0" w:space="0" w:color="auto"/>
        <w:left w:val="none" w:sz="0" w:space="0" w:color="auto"/>
        <w:bottom w:val="none" w:sz="0" w:space="0" w:color="auto"/>
        <w:right w:val="none" w:sz="0" w:space="0" w:color="auto"/>
      </w:divBdr>
    </w:div>
    <w:div w:id="998533938">
      <w:bodyDiv w:val="1"/>
      <w:marLeft w:val="0"/>
      <w:marRight w:val="0"/>
      <w:marTop w:val="0"/>
      <w:marBottom w:val="0"/>
      <w:divBdr>
        <w:top w:val="none" w:sz="0" w:space="0" w:color="auto"/>
        <w:left w:val="none" w:sz="0" w:space="0" w:color="auto"/>
        <w:bottom w:val="none" w:sz="0" w:space="0" w:color="auto"/>
        <w:right w:val="none" w:sz="0" w:space="0" w:color="auto"/>
      </w:divBdr>
    </w:div>
    <w:div w:id="1047798349">
      <w:bodyDiv w:val="1"/>
      <w:marLeft w:val="0"/>
      <w:marRight w:val="0"/>
      <w:marTop w:val="0"/>
      <w:marBottom w:val="0"/>
      <w:divBdr>
        <w:top w:val="none" w:sz="0" w:space="0" w:color="auto"/>
        <w:left w:val="none" w:sz="0" w:space="0" w:color="auto"/>
        <w:bottom w:val="none" w:sz="0" w:space="0" w:color="auto"/>
        <w:right w:val="none" w:sz="0" w:space="0" w:color="auto"/>
      </w:divBdr>
    </w:div>
    <w:div w:id="1074087246">
      <w:bodyDiv w:val="1"/>
      <w:marLeft w:val="0"/>
      <w:marRight w:val="0"/>
      <w:marTop w:val="0"/>
      <w:marBottom w:val="0"/>
      <w:divBdr>
        <w:top w:val="none" w:sz="0" w:space="0" w:color="auto"/>
        <w:left w:val="none" w:sz="0" w:space="0" w:color="auto"/>
        <w:bottom w:val="none" w:sz="0" w:space="0" w:color="auto"/>
        <w:right w:val="none" w:sz="0" w:space="0" w:color="auto"/>
      </w:divBdr>
    </w:div>
    <w:div w:id="1088119795">
      <w:bodyDiv w:val="1"/>
      <w:marLeft w:val="0"/>
      <w:marRight w:val="0"/>
      <w:marTop w:val="0"/>
      <w:marBottom w:val="0"/>
      <w:divBdr>
        <w:top w:val="none" w:sz="0" w:space="0" w:color="auto"/>
        <w:left w:val="none" w:sz="0" w:space="0" w:color="auto"/>
        <w:bottom w:val="none" w:sz="0" w:space="0" w:color="auto"/>
        <w:right w:val="none" w:sz="0" w:space="0" w:color="auto"/>
      </w:divBdr>
    </w:div>
    <w:div w:id="1115560481">
      <w:bodyDiv w:val="1"/>
      <w:marLeft w:val="0"/>
      <w:marRight w:val="0"/>
      <w:marTop w:val="0"/>
      <w:marBottom w:val="0"/>
      <w:divBdr>
        <w:top w:val="none" w:sz="0" w:space="0" w:color="auto"/>
        <w:left w:val="none" w:sz="0" w:space="0" w:color="auto"/>
        <w:bottom w:val="none" w:sz="0" w:space="0" w:color="auto"/>
        <w:right w:val="none" w:sz="0" w:space="0" w:color="auto"/>
      </w:divBdr>
    </w:div>
    <w:div w:id="1140079872">
      <w:bodyDiv w:val="1"/>
      <w:marLeft w:val="0"/>
      <w:marRight w:val="0"/>
      <w:marTop w:val="0"/>
      <w:marBottom w:val="0"/>
      <w:divBdr>
        <w:top w:val="none" w:sz="0" w:space="0" w:color="auto"/>
        <w:left w:val="none" w:sz="0" w:space="0" w:color="auto"/>
        <w:bottom w:val="none" w:sz="0" w:space="0" w:color="auto"/>
        <w:right w:val="none" w:sz="0" w:space="0" w:color="auto"/>
      </w:divBdr>
    </w:div>
    <w:div w:id="1238057002">
      <w:bodyDiv w:val="1"/>
      <w:marLeft w:val="0"/>
      <w:marRight w:val="0"/>
      <w:marTop w:val="0"/>
      <w:marBottom w:val="0"/>
      <w:divBdr>
        <w:top w:val="none" w:sz="0" w:space="0" w:color="auto"/>
        <w:left w:val="none" w:sz="0" w:space="0" w:color="auto"/>
        <w:bottom w:val="none" w:sz="0" w:space="0" w:color="auto"/>
        <w:right w:val="none" w:sz="0" w:space="0" w:color="auto"/>
      </w:divBdr>
    </w:div>
    <w:div w:id="1243639938">
      <w:bodyDiv w:val="1"/>
      <w:marLeft w:val="0"/>
      <w:marRight w:val="0"/>
      <w:marTop w:val="0"/>
      <w:marBottom w:val="0"/>
      <w:divBdr>
        <w:top w:val="none" w:sz="0" w:space="0" w:color="auto"/>
        <w:left w:val="none" w:sz="0" w:space="0" w:color="auto"/>
        <w:bottom w:val="none" w:sz="0" w:space="0" w:color="auto"/>
        <w:right w:val="none" w:sz="0" w:space="0" w:color="auto"/>
      </w:divBdr>
    </w:div>
    <w:div w:id="1270351019">
      <w:bodyDiv w:val="1"/>
      <w:marLeft w:val="0"/>
      <w:marRight w:val="0"/>
      <w:marTop w:val="0"/>
      <w:marBottom w:val="0"/>
      <w:divBdr>
        <w:top w:val="none" w:sz="0" w:space="0" w:color="auto"/>
        <w:left w:val="none" w:sz="0" w:space="0" w:color="auto"/>
        <w:bottom w:val="none" w:sz="0" w:space="0" w:color="auto"/>
        <w:right w:val="none" w:sz="0" w:space="0" w:color="auto"/>
      </w:divBdr>
    </w:div>
    <w:div w:id="1279525484">
      <w:bodyDiv w:val="1"/>
      <w:marLeft w:val="0"/>
      <w:marRight w:val="0"/>
      <w:marTop w:val="0"/>
      <w:marBottom w:val="0"/>
      <w:divBdr>
        <w:top w:val="none" w:sz="0" w:space="0" w:color="auto"/>
        <w:left w:val="none" w:sz="0" w:space="0" w:color="auto"/>
        <w:bottom w:val="none" w:sz="0" w:space="0" w:color="auto"/>
        <w:right w:val="none" w:sz="0" w:space="0" w:color="auto"/>
      </w:divBdr>
    </w:div>
    <w:div w:id="1287544297">
      <w:bodyDiv w:val="1"/>
      <w:marLeft w:val="0"/>
      <w:marRight w:val="0"/>
      <w:marTop w:val="0"/>
      <w:marBottom w:val="0"/>
      <w:divBdr>
        <w:top w:val="none" w:sz="0" w:space="0" w:color="auto"/>
        <w:left w:val="none" w:sz="0" w:space="0" w:color="auto"/>
        <w:bottom w:val="none" w:sz="0" w:space="0" w:color="auto"/>
        <w:right w:val="none" w:sz="0" w:space="0" w:color="auto"/>
      </w:divBdr>
    </w:div>
    <w:div w:id="1297564392">
      <w:bodyDiv w:val="1"/>
      <w:marLeft w:val="0"/>
      <w:marRight w:val="0"/>
      <w:marTop w:val="0"/>
      <w:marBottom w:val="0"/>
      <w:divBdr>
        <w:top w:val="none" w:sz="0" w:space="0" w:color="auto"/>
        <w:left w:val="none" w:sz="0" w:space="0" w:color="auto"/>
        <w:bottom w:val="none" w:sz="0" w:space="0" w:color="auto"/>
        <w:right w:val="none" w:sz="0" w:space="0" w:color="auto"/>
      </w:divBdr>
    </w:div>
    <w:div w:id="1331524484">
      <w:bodyDiv w:val="1"/>
      <w:marLeft w:val="0"/>
      <w:marRight w:val="0"/>
      <w:marTop w:val="0"/>
      <w:marBottom w:val="0"/>
      <w:divBdr>
        <w:top w:val="none" w:sz="0" w:space="0" w:color="auto"/>
        <w:left w:val="none" w:sz="0" w:space="0" w:color="auto"/>
        <w:bottom w:val="none" w:sz="0" w:space="0" w:color="auto"/>
        <w:right w:val="none" w:sz="0" w:space="0" w:color="auto"/>
      </w:divBdr>
    </w:div>
    <w:div w:id="1333605833">
      <w:bodyDiv w:val="1"/>
      <w:marLeft w:val="0"/>
      <w:marRight w:val="0"/>
      <w:marTop w:val="0"/>
      <w:marBottom w:val="0"/>
      <w:divBdr>
        <w:top w:val="none" w:sz="0" w:space="0" w:color="auto"/>
        <w:left w:val="none" w:sz="0" w:space="0" w:color="auto"/>
        <w:bottom w:val="none" w:sz="0" w:space="0" w:color="auto"/>
        <w:right w:val="none" w:sz="0" w:space="0" w:color="auto"/>
      </w:divBdr>
    </w:div>
    <w:div w:id="1334450019">
      <w:bodyDiv w:val="1"/>
      <w:marLeft w:val="0"/>
      <w:marRight w:val="0"/>
      <w:marTop w:val="0"/>
      <w:marBottom w:val="0"/>
      <w:divBdr>
        <w:top w:val="none" w:sz="0" w:space="0" w:color="auto"/>
        <w:left w:val="none" w:sz="0" w:space="0" w:color="auto"/>
        <w:bottom w:val="none" w:sz="0" w:space="0" w:color="auto"/>
        <w:right w:val="none" w:sz="0" w:space="0" w:color="auto"/>
      </w:divBdr>
    </w:div>
    <w:div w:id="1430740017">
      <w:bodyDiv w:val="1"/>
      <w:marLeft w:val="0"/>
      <w:marRight w:val="0"/>
      <w:marTop w:val="0"/>
      <w:marBottom w:val="0"/>
      <w:divBdr>
        <w:top w:val="none" w:sz="0" w:space="0" w:color="auto"/>
        <w:left w:val="none" w:sz="0" w:space="0" w:color="auto"/>
        <w:bottom w:val="none" w:sz="0" w:space="0" w:color="auto"/>
        <w:right w:val="none" w:sz="0" w:space="0" w:color="auto"/>
      </w:divBdr>
    </w:div>
    <w:div w:id="1473013128">
      <w:bodyDiv w:val="1"/>
      <w:marLeft w:val="0"/>
      <w:marRight w:val="0"/>
      <w:marTop w:val="0"/>
      <w:marBottom w:val="0"/>
      <w:divBdr>
        <w:top w:val="none" w:sz="0" w:space="0" w:color="auto"/>
        <w:left w:val="none" w:sz="0" w:space="0" w:color="auto"/>
        <w:bottom w:val="none" w:sz="0" w:space="0" w:color="auto"/>
        <w:right w:val="none" w:sz="0" w:space="0" w:color="auto"/>
      </w:divBdr>
    </w:div>
    <w:div w:id="1488085713">
      <w:bodyDiv w:val="1"/>
      <w:marLeft w:val="0"/>
      <w:marRight w:val="0"/>
      <w:marTop w:val="0"/>
      <w:marBottom w:val="0"/>
      <w:divBdr>
        <w:top w:val="none" w:sz="0" w:space="0" w:color="auto"/>
        <w:left w:val="none" w:sz="0" w:space="0" w:color="auto"/>
        <w:bottom w:val="none" w:sz="0" w:space="0" w:color="auto"/>
        <w:right w:val="none" w:sz="0" w:space="0" w:color="auto"/>
      </w:divBdr>
    </w:div>
    <w:div w:id="1542940400">
      <w:bodyDiv w:val="1"/>
      <w:marLeft w:val="0"/>
      <w:marRight w:val="0"/>
      <w:marTop w:val="0"/>
      <w:marBottom w:val="0"/>
      <w:divBdr>
        <w:top w:val="none" w:sz="0" w:space="0" w:color="auto"/>
        <w:left w:val="none" w:sz="0" w:space="0" w:color="auto"/>
        <w:bottom w:val="none" w:sz="0" w:space="0" w:color="auto"/>
        <w:right w:val="none" w:sz="0" w:space="0" w:color="auto"/>
      </w:divBdr>
    </w:div>
    <w:div w:id="1614047247">
      <w:bodyDiv w:val="1"/>
      <w:marLeft w:val="0"/>
      <w:marRight w:val="0"/>
      <w:marTop w:val="0"/>
      <w:marBottom w:val="0"/>
      <w:divBdr>
        <w:top w:val="none" w:sz="0" w:space="0" w:color="auto"/>
        <w:left w:val="none" w:sz="0" w:space="0" w:color="auto"/>
        <w:bottom w:val="none" w:sz="0" w:space="0" w:color="auto"/>
        <w:right w:val="none" w:sz="0" w:space="0" w:color="auto"/>
      </w:divBdr>
    </w:div>
    <w:div w:id="1716154090">
      <w:bodyDiv w:val="1"/>
      <w:marLeft w:val="0"/>
      <w:marRight w:val="0"/>
      <w:marTop w:val="0"/>
      <w:marBottom w:val="0"/>
      <w:divBdr>
        <w:top w:val="none" w:sz="0" w:space="0" w:color="auto"/>
        <w:left w:val="none" w:sz="0" w:space="0" w:color="auto"/>
        <w:bottom w:val="none" w:sz="0" w:space="0" w:color="auto"/>
        <w:right w:val="none" w:sz="0" w:space="0" w:color="auto"/>
      </w:divBdr>
    </w:div>
    <w:div w:id="1717000337">
      <w:bodyDiv w:val="1"/>
      <w:marLeft w:val="0"/>
      <w:marRight w:val="0"/>
      <w:marTop w:val="0"/>
      <w:marBottom w:val="0"/>
      <w:divBdr>
        <w:top w:val="none" w:sz="0" w:space="0" w:color="auto"/>
        <w:left w:val="none" w:sz="0" w:space="0" w:color="auto"/>
        <w:bottom w:val="none" w:sz="0" w:space="0" w:color="auto"/>
        <w:right w:val="none" w:sz="0" w:space="0" w:color="auto"/>
      </w:divBdr>
    </w:div>
    <w:div w:id="1742100312">
      <w:bodyDiv w:val="1"/>
      <w:marLeft w:val="0"/>
      <w:marRight w:val="0"/>
      <w:marTop w:val="0"/>
      <w:marBottom w:val="0"/>
      <w:divBdr>
        <w:top w:val="none" w:sz="0" w:space="0" w:color="auto"/>
        <w:left w:val="none" w:sz="0" w:space="0" w:color="auto"/>
        <w:bottom w:val="none" w:sz="0" w:space="0" w:color="auto"/>
        <w:right w:val="none" w:sz="0" w:space="0" w:color="auto"/>
      </w:divBdr>
    </w:div>
    <w:div w:id="1776901667">
      <w:bodyDiv w:val="1"/>
      <w:marLeft w:val="0"/>
      <w:marRight w:val="0"/>
      <w:marTop w:val="0"/>
      <w:marBottom w:val="0"/>
      <w:divBdr>
        <w:top w:val="none" w:sz="0" w:space="0" w:color="auto"/>
        <w:left w:val="none" w:sz="0" w:space="0" w:color="auto"/>
        <w:bottom w:val="none" w:sz="0" w:space="0" w:color="auto"/>
        <w:right w:val="none" w:sz="0" w:space="0" w:color="auto"/>
      </w:divBdr>
    </w:div>
    <w:div w:id="1912346788">
      <w:bodyDiv w:val="1"/>
      <w:marLeft w:val="0"/>
      <w:marRight w:val="0"/>
      <w:marTop w:val="0"/>
      <w:marBottom w:val="0"/>
      <w:divBdr>
        <w:top w:val="none" w:sz="0" w:space="0" w:color="auto"/>
        <w:left w:val="none" w:sz="0" w:space="0" w:color="auto"/>
        <w:bottom w:val="none" w:sz="0" w:space="0" w:color="auto"/>
        <w:right w:val="none" w:sz="0" w:space="0" w:color="auto"/>
      </w:divBdr>
    </w:div>
    <w:div w:id="1912885184">
      <w:bodyDiv w:val="1"/>
      <w:marLeft w:val="0"/>
      <w:marRight w:val="0"/>
      <w:marTop w:val="0"/>
      <w:marBottom w:val="0"/>
      <w:divBdr>
        <w:top w:val="none" w:sz="0" w:space="0" w:color="auto"/>
        <w:left w:val="none" w:sz="0" w:space="0" w:color="auto"/>
        <w:bottom w:val="none" w:sz="0" w:space="0" w:color="auto"/>
        <w:right w:val="none" w:sz="0" w:space="0" w:color="auto"/>
      </w:divBdr>
    </w:div>
    <w:div w:id="1926377708">
      <w:bodyDiv w:val="1"/>
      <w:marLeft w:val="0"/>
      <w:marRight w:val="0"/>
      <w:marTop w:val="0"/>
      <w:marBottom w:val="0"/>
      <w:divBdr>
        <w:top w:val="none" w:sz="0" w:space="0" w:color="auto"/>
        <w:left w:val="none" w:sz="0" w:space="0" w:color="auto"/>
        <w:bottom w:val="none" w:sz="0" w:space="0" w:color="auto"/>
        <w:right w:val="none" w:sz="0" w:space="0" w:color="auto"/>
      </w:divBdr>
    </w:div>
    <w:div w:id="1953901454">
      <w:bodyDiv w:val="1"/>
      <w:marLeft w:val="0"/>
      <w:marRight w:val="0"/>
      <w:marTop w:val="0"/>
      <w:marBottom w:val="0"/>
      <w:divBdr>
        <w:top w:val="none" w:sz="0" w:space="0" w:color="auto"/>
        <w:left w:val="none" w:sz="0" w:space="0" w:color="auto"/>
        <w:bottom w:val="none" w:sz="0" w:space="0" w:color="auto"/>
        <w:right w:val="none" w:sz="0" w:space="0" w:color="auto"/>
      </w:divBdr>
    </w:div>
    <w:div w:id="1974556739">
      <w:bodyDiv w:val="1"/>
      <w:marLeft w:val="0"/>
      <w:marRight w:val="0"/>
      <w:marTop w:val="0"/>
      <w:marBottom w:val="0"/>
      <w:divBdr>
        <w:top w:val="none" w:sz="0" w:space="0" w:color="auto"/>
        <w:left w:val="none" w:sz="0" w:space="0" w:color="auto"/>
        <w:bottom w:val="none" w:sz="0" w:space="0" w:color="auto"/>
        <w:right w:val="none" w:sz="0" w:space="0" w:color="auto"/>
      </w:divBdr>
    </w:div>
    <w:div w:id="1986085384">
      <w:bodyDiv w:val="1"/>
      <w:marLeft w:val="0"/>
      <w:marRight w:val="0"/>
      <w:marTop w:val="0"/>
      <w:marBottom w:val="0"/>
      <w:divBdr>
        <w:top w:val="none" w:sz="0" w:space="0" w:color="auto"/>
        <w:left w:val="none" w:sz="0" w:space="0" w:color="auto"/>
        <w:bottom w:val="none" w:sz="0" w:space="0" w:color="auto"/>
        <w:right w:val="none" w:sz="0" w:space="0" w:color="auto"/>
      </w:divBdr>
    </w:div>
    <w:div w:id="1990357361">
      <w:bodyDiv w:val="1"/>
      <w:marLeft w:val="0"/>
      <w:marRight w:val="0"/>
      <w:marTop w:val="0"/>
      <w:marBottom w:val="0"/>
      <w:divBdr>
        <w:top w:val="none" w:sz="0" w:space="0" w:color="auto"/>
        <w:left w:val="none" w:sz="0" w:space="0" w:color="auto"/>
        <w:bottom w:val="none" w:sz="0" w:space="0" w:color="auto"/>
        <w:right w:val="none" w:sz="0" w:space="0" w:color="auto"/>
      </w:divBdr>
    </w:div>
    <w:div w:id="1990477224">
      <w:bodyDiv w:val="1"/>
      <w:marLeft w:val="0"/>
      <w:marRight w:val="0"/>
      <w:marTop w:val="0"/>
      <w:marBottom w:val="0"/>
      <w:divBdr>
        <w:top w:val="none" w:sz="0" w:space="0" w:color="auto"/>
        <w:left w:val="none" w:sz="0" w:space="0" w:color="auto"/>
        <w:bottom w:val="none" w:sz="0" w:space="0" w:color="auto"/>
        <w:right w:val="none" w:sz="0" w:space="0" w:color="auto"/>
      </w:divBdr>
    </w:div>
    <w:div w:id="1996451859">
      <w:bodyDiv w:val="1"/>
      <w:marLeft w:val="0"/>
      <w:marRight w:val="0"/>
      <w:marTop w:val="0"/>
      <w:marBottom w:val="0"/>
      <w:divBdr>
        <w:top w:val="none" w:sz="0" w:space="0" w:color="auto"/>
        <w:left w:val="none" w:sz="0" w:space="0" w:color="auto"/>
        <w:bottom w:val="none" w:sz="0" w:space="0" w:color="auto"/>
        <w:right w:val="none" w:sz="0" w:space="0" w:color="auto"/>
      </w:divBdr>
    </w:div>
    <w:div w:id="2041011899">
      <w:bodyDiv w:val="1"/>
      <w:marLeft w:val="0"/>
      <w:marRight w:val="0"/>
      <w:marTop w:val="0"/>
      <w:marBottom w:val="0"/>
      <w:divBdr>
        <w:top w:val="none" w:sz="0" w:space="0" w:color="auto"/>
        <w:left w:val="none" w:sz="0" w:space="0" w:color="auto"/>
        <w:bottom w:val="none" w:sz="0" w:space="0" w:color="auto"/>
        <w:right w:val="none" w:sz="0" w:space="0" w:color="auto"/>
      </w:divBdr>
    </w:div>
    <w:div w:id="2041466810">
      <w:bodyDiv w:val="1"/>
      <w:marLeft w:val="0"/>
      <w:marRight w:val="0"/>
      <w:marTop w:val="0"/>
      <w:marBottom w:val="0"/>
      <w:divBdr>
        <w:top w:val="none" w:sz="0" w:space="0" w:color="auto"/>
        <w:left w:val="none" w:sz="0" w:space="0" w:color="auto"/>
        <w:bottom w:val="none" w:sz="0" w:space="0" w:color="auto"/>
        <w:right w:val="none" w:sz="0" w:space="0" w:color="auto"/>
      </w:divBdr>
    </w:div>
    <w:div w:id="2102943856">
      <w:bodyDiv w:val="1"/>
      <w:marLeft w:val="0"/>
      <w:marRight w:val="0"/>
      <w:marTop w:val="0"/>
      <w:marBottom w:val="0"/>
      <w:divBdr>
        <w:top w:val="none" w:sz="0" w:space="0" w:color="auto"/>
        <w:left w:val="none" w:sz="0" w:space="0" w:color="auto"/>
        <w:bottom w:val="none" w:sz="0" w:space="0" w:color="auto"/>
        <w:right w:val="none" w:sz="0" w:space="0" w:color="auto"/>
      </w:divBdr>
    </w:div>
    <w:div w:id="21032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rc.gov/reading-rm/doc-collections/reg-guides/protection/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icket xmlns="3dbeb9ef-a1b9-4cda-a1a0-589d868e3005" xsi:nil="true"/>
    <Related_x0020_ticket xmlns="3dbeb9ef-a1b9-4cda-a1a0-589d868e30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BB43534FA75947A2241C68A61507D9" ma:contentTypeVersion="3" ma:contentTypeDescription="Create a new document." ma:contentTypeScope="" ma:versionID="ed36d6a0400d5ac16d1d6017371fe5db">
  <xsd:schema xmlns:xsd="http://www.w3.org/2001/XMLSchema" xmlns:p="http://schemas.microsoft.com/office/2006/metadata/properties" xmlns:ns2="3dbeb9ef-a1b9-4cda-a1a0-589d868e3005" targetNamespace="http://schemas.microsoft.com/office/2006/metadata/properties" ma:root="true" ma:fieldsID="ecedb815bea44474d08854b2bb9f876f" ns2:_="">
    <xsd:import namespace="3dbeb9ef-a1b9-4cda-a1a0-589d868e3005"/>
    <xsd:element name="properties">
      <xsd:complexType>
        <xsd:sequence>
          <xsd:element name="documentManagement">
            <xsd:complexType>
              <xsd:all>
                <xsd:element ref="ns2:Ticket" minOccurs="0"/>
                <xsd:element ref="ns2:Related_x0020_ticket" minOccurs="0"/>
              </xsd:all>
            </xsd:complexType>
          </xsd:element>
        </xsd:sequence>
      </xsd:complexType>
    </xsd:element>
  </xsd:schema>
  <xsd:schema xmlns:xsd="http://www.w3.org/2001/XMLSchema" xmlns:dms="http://schemas.microsoft.com/office/2006/documentManagement/types" targetNamespace="3dbeb9ef-a1b9-4cda-a1a0-589d868e3005" elementFormDefault="qualified">
    <xsd:import namespace="http://schemas.microsoft.com/office/2006/documentManagement/types"/>
    <xsd:element name="Ticket" ma:index="2" nillable="true" ma:displayName="Ticket" ma:list="{17270516-323c-489b-bbd9-1aa12d725470}" ma:internalName="Ticket" ma:showField="LinkTitleNoMenu">
      <xsd:simpleType>
        <xsd:restriction base="dms:Lookup"/>
      </xsd:simpleType>
    </xsd:element>
    <xsd:element name="Related_x0020_ticket" ma:index="3" nillable="true" ma:displayName="Related ticket" ma:list="{17270516-323c-489b-bbd9-1aa12d725470}" ma:internalName="Related_x0020_ticket"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873B-D1C0-497E-8D10-5BF530FC39D1}">
  <ds:schemaRefs>
    <ds:schemaRef ds:uri="http://schemas.microsoft.com/office/2006/metadata/longProperties"/>
  </ds:schemaRefs>
</ds:datastoreItem>
</file>

<file path=customXml/itemProps2.xml><?xml version="1.0" encoding="utf-8"?>
<ds:datastoreItem xmlns:ds="http://schemas.openxmlformats.org/officeDocument/2006/customXml" ds:itemID="{94C70305-A5FC-47A6-9571-80119F9ABBCE}">
  <ds:schemaRefs>
    <ds:schemaRef ds:uri="http://schemas.microsoft.com/sharepoint/v3/contenttype/forms"/>
  </ds:schemaRefs>
</ds:datastoreItem>
</file>

<file path=customXml/itemProps3.xml><?xml version="1.0" encoding="utf-8"?>
<ds:datastoreItem xmlns:ds="http://schemas.openxmlformats.org/officeDocument/2006/customXml" ds:itemID="{131FC6CA-4BC6-4DA7-AE0B-9EAC3D2C5B0B}">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3dbeb9ef-a1b9-4cda-a1a0-589d868e3005"/>
    <ds:schemaRef ds:uri="http://purl.org/dc/terms/"/>
  </ds:schemaRefs>
</ds:datastoreItem>
</file>

<file path=customXml/itemProps4.xml><?xml version="1.0" encoding="utf-8"?>
<ds:datastoreItem xmlns:ds="http://schemas.openxmlformats.org/officeDocument/2006/customXml" ds:itemID="{7CA0E7CF-B29F-4058-BCC9-117FE5CD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eb9ef-a1b9-4cda-a1a0-589d868e30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8F5BA1C-D5B2-4C28-8561-1D1EE263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17417</Words>
  <Characters>101919</Characters>
  <Application>Microsoft Office Word</Application>
  <DocSecurity>0</DocSecurity>
  <Lines>849</Lines>
  <Paragraphs>238</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119098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dgh2</dc:creator>
  <cp:lastModifiedBy>Benney, Kristen</cp:lastModifiedBy>
  <cp:revision>4</cp:revision>
  <cp:lastPrinted>2014-07-28T17:15:00Z</cp:lastPrinted>
  <dcterms:created xsi:type="dcterms:W3CDTF">2015-10-01T17:33:00Z</dcterms:created>
  <dcterms:modified xsi:type="dcterms:W3CDTF">2015-10-06T18:31:00Z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0x0101001BBB43534FA75947A2241C68A61507D9</vt:lpwstr>
  </property>
</Properties>
</file>