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6B49" w:rsidRDefault="008213BF">
      <w:pPr>
        <w:jc w:val="center"/>
      </w:pPr>
      <w:r>
        <w:fldChar w:fldCharType="begin"/>
      </w:r>
      <w:r w:rsidR="006C6B49">
        <w:instrText xml:space="preserve"> SEQ CHAPTER \h \r 1</w:instrText>
      </w:r>
      <w:r>
        <w:fldChar w:fldCharType="end"/>
      </w:r>
      <w:r w:rsidR="006C6B49">
        <w:t>Supporting Statement for</w:t>
      </w:r>
    </w:p>
    <w:p w:rsidR="006C6B49" w:rsidRDefault="006C6B49">
      <w:pPr>
        <w:jc w:val="center"/>
      </w:pPr>
      <w:r>
        <w:t>Paperwork Reduction Act Submission</w:t>
      </w:r>
    </w:p>
    <w:p w:rsidR="006C6B49" w:rsidRDefault="006C6B49"/>
    <w:p w:rsidR="006C6B49" w:rsidRDefault="00561388">
      <w:pPr>
        <w:jc w:val="center"/>
      </w:pPr>
      <w:r>
        <w:t>STB Form 1032 – Application to Open an Account for Billing Purposes</w:t>
      </w:r>
    </w:p>
    <w:p w:rsidR="006C6B49" w:rsidRDefault="006C6B49"/>
    <w:p w:rsidR="006C6B49" w:rsidRDefault="006C6B49">
      <w:r>
        <w:rPr>
          <w:b/>
        </w:rPr>
        <w:t xml:space="preserve">A. </w:t>
      </w:r>
      <w:r w:rsidR="00C03744">
        <w:rPr>
          <w:b/>
        </w:rPr>
        <w:t xml:space="preserve"> </w:t>
      </w:r>
      <w:r>
        <w:rPr>
          <w:b/>
        </w:rPr>
        <w:t>Justification</w:t>
      </w:r>
    </w:p>
    <w:p w:rsidR="006C6B49" w:rsidRDefault="006C6B49"/>
    <w:p w:rsidR="006C6B49" w:rsidRDefault="006C6B49">
      <w:r>
        <w:t xml:space="preserve">1.  </w:t>
      </w:r>
      <w:r>
        <w:rPr>
          <w:u w:val="single"/>
        </w:rPr>
        <w:t>Need for Information</w:t>
      </w:r>
    </w:p>
    <w:p w:rsidR="006C6B49" w:rsidRDefault="006C6B49"/>
    <w:p w:rsidR="00B46F9F" w:rsidRDefault="006C6B49" w:rsidP="00B46F9F">
      <w:pPr>
        <w:autoSpaceDE w:val="0"/>
        <w:autoSpaceDN w:val="0"/>
        <w:adjustRightInd w:val="0"/>
        <w:ind w:firstLine="720"/>
        <w:rPr>
          <w:color w:val="000000"/>
          <w:szCs w:val="24"/>
        </w:rPr>
      </w:pPr>
      <w:r>
        <w:t xml:space="preserve">The Surface Transportation Board is, by statute, responsible for the economic regulation of </w:t>
      </w:r>
      <w:r w:rsidR="00B67286">
        <w:t xml:space="preserve">common carrier </w:t>
      </w:r>
      <w:r w:rsidR="0084149D">
        <w:t xml:space="preserve">freight </w:t>
      </w:r>
      <w:r>
        <w:t>railroads</w:t>
      </w:r>
      <w:r w:rsidR="0084149D">
        <w:t xml:space="preserve"> and certain other carriers</w:t>
      </w:r>
      <w:r>
        <w:t xml:space="preserve"> operating in the United States.  </w:t>
      </w:r>
      <w:r w:rsidR="00561388" w:rsidRPr="00561388">
        <w:t>Th</w:t>
      </w:r>
      <w:r w:rsidR="00561388">
        <w:t>e agency needs the information on this application from</w:t>
      </w:r>
      <w:r w:rsidR="00561388" w:rsidRPr="00561388">
        <w:t xml:space="preserve"> persons doing business before the agency who wish to open </w:t>
      </w:r>
      <w:r w:rsidR="00A874E6">
        <w:rPr>
          <w:rFonts w:cs="Helv"/>
          <w:color w:val="000000"/>
        </w:rPr>
        <w:t xml:space="preserve">a billing </w:t>
      </w:r>
      <w:r w:rsidR="00561388" w:rsidRPr="00561388">
        <w:t>account with the Board to facilitate payment of filing fees and fees for other services rendered by the agency.</w:t>
      </w:r>
      <w:r w:rsidR="00561388">
        <w:t xml:space="preserve">  </w:t>
      </w:r>
      <w:r w:rsidR="00561388" w:rsidRPr="00844DE3">
        <w:t>The agency is authorized to collect this information</w:t>
      </w:r>
      <w:r w:rsidR="00AC1DBF" w:rsidRPr="00844DE3">
        <w:t xml:space="preserve"> pursuant to </w:t>
      </w:r>
      <w:r w:rsidR="007068A2" w:rsidRPr="00844DE3">
        <w:rPr>
          <w:color w:val="000000"/>
          <w:szCs w:val="24"/>
        </w:rPr>
        <w:t xml:space="preserve">31 U.S.C. </w:t>
      </w:r>
      <w:r w:rsidR="00C03744">
        <w:rPr>
          <w:color w:val="000000"/>
          <w:szCs w:val="24"/>
        </w:rPr>
        <w:t xml:space="preserve">§ </w:t>
      </w:r>
      <w:r w:rsidR="007068A2" w:rsidRPr="00844DE3">
        <w:rPr>
          <w:color w:val="000000"/>
          <w:szCs w:val="24"/>
        </w:rPr>
        <w:t>7701</w:t>
      </w:r>
      <w:r w:rsidR="007068A2" w:rsidRPr="00844DE3">
        <w:t xml:space="preserve">.  </w:t>
      </w:r>
      <w:r w:rsidR="007068A2" w:rsidRPr="00844DE3">
        <w:rPr>
          <w:color w:val="000000"/>
          <w:szCs w:val="24"/>
        </w:rPr>
        <w:t>The relevant procedures are codified at 49 C</w:t>
      </w:r>
      <w:r w:rsidR="00A71F1D">
        <w:rPr>
          <w:color w:val="000000"/>
          <w:szCs w:val="24"/>
        </w:rPr>
        <w:t>.</w:t>
      </w:r>
      <w:r w:rsidR="007068A2" w:rsidRPr="00844DE3">
        <w:rPr>
          <w:color w:val="000000"/>
          <w:szCs w:val="24"/>
        </w:rPr>
        <w:t>F</w:t>
      </w:r>
      <w:r w:rsidR="00A71F1D">
        <w:rPr>
          <w:color w:val="000000"/>
          <w:szCs w:val="24"/>
        </w:rPr>
        <w:t>.</w:t>
      </w:r>
      <w:r w:rsidR="007068A2" w:rsidRPr="00844DE3">
        <w:rPr>
          <w:color w:val="000000"/>
          <w:szCs w:val="24"/>
        </w:rPr>
        <w:t>R</w:t>
      </w:r>
      <w:r w:rsidR="00A71F1D">
        <w:rPr>
          <w:color w:val="000000"/>
          <w:szCs w:val="24"/>
        </w:rPr>
        <w:t>.</w:t>
      </w:r>
      <w:r w:rsidR="007068A2" w:rsidRPr="00844DE3">
        <w:rPr>
          <w:color w:val="000000"/>
          <w:szCs w:val="24"/>
        </w:rPr>
        <w:t xml:space="preserve"> </w:t>
      </w:r>
      <w:r w:rsidR="00C03744">
        <w:rPr>
          <w:color w:val="000000"/>
          <w:szCs w:val="24"/>
        </w:rPr>
        <w:t xml:space="preserve">§ </w:t>
      </w:r>
      <w:r w:rsidR="007068A2" w:rsidRPr="00844DE3">
        <w:rPr>
          <w:color w:val="000000"/>
          <w:szCs w:val="24"/>
        </w:rPr>
        <w:t>1002.2(a)(2).</w:t>
      </w:r>
    </w:p>
    <w:p w:rsidR="00561388" w:rsidRDefault="00561388" w:rsidP="00ED1BEA">
      <w:pPr>
        <w:ind w:firstLine="720"/>
      </w:pPr>
    </w:p>
    <w:p w:rsidR="00F8779A" w:rsidRDefault="00F8779A" w:rsidP="00ED1BEA">
      <w:pPr>
        <w:ind w:firstLine="720"/>
      </w:pPr>
    </w:p>
    <w:p w:rsidR="00F8779A" w:rsidRDefault="003947E1" w:rsidP="00ED1BEA">
      <w:pPr>
        <w:ind w:firstLine="720"/>
      </w:pPr>
      <w:r>
        <w:rPr>
          <w:rFonts w:cs="Helv"/>
          <w:color w:val="000000"/>
        </w:rPr>
        <w:t>Collecting</w:t>
      </w:r>
      <w:r w:rsidR="00F8779A">
        <w:rPr>
          <w:rFonts w:cs="Helv"/>
          <w:color w:val="000000"/>
        </w:rPr>
        <w:t xml:space="preserve"> the information necessary to open </w:t>
      </w:r>
      <w:r w:rsidR="00A874E6">
        <w:rPr>
          <w:rFonts w:cs="Helv"/>
          <w:color w:val="000000"/>
        </w:rPr>
        <w:t>a billing</w:t>
      </w:r>
      <w:r w:rsidR="00F8779A" w:rsidRPr="00F8779A">
        <w:rPr>
          <w:rFonts w:cs="Helv"/>
          <w:color w:val="000000"/>
        </w:rPr>
        <w:t xml:space="preserve"> account </w:t>
      </w:r>
      <w:r w:rsidR="00F8779A">
        <w:rPr>
          <w:rFonts w:cs="Helv"/>
          <w:color w:val="000000"/>
        </w:rPr>
        <w:t xml:space="preserve">results in </w:t>
      </w:r>
      <w:r w:rsidR="00F8779A" w:rsidRPr="00F8779A">
        <w:rPr>
          <w:rFonts w:cs="Helv"/>
          <w:color w:val="000000"/>
        </w:rPr>
        <w:t xml:space="preserve">a benefit to both the </w:t>
      </w:r>
      <w:r w:rsidR="00F8779A">
        <w:rPr>
          <w:rFonts w:cs="Helv"/>
          <w:color w:val="000000"/>
        </w:rPr>
        <w:t>respondent</w:t>
      </w:r>
      <w:r w:rsidR="00F8779A" w:rsidRPr="00F8779A">
        <w:rPr>
          <w:rFonts w:cs="Helv"/>
          <w:color w:val="000000"/>
        </w:rPr>
        <w:t xml:space="preserve"> </w:t>
      </w:r>
      <w:r w:rsidR="007A1264">
        <w:rPr>
          <w:rFonts w:cs="Helv"/>
          <w:color w:val="000000"/>
        </w:rPr>
        <w:t>account</w:t>
      </w:r>
      <w:r w:rsidR="00296F3B">
        <w:rPr>
          <w:rFonts w:cs="Helv"/>
          <w:color w:val="000000"/>
        </w:rPr>
        <w:t xml:space="preserve"> </w:t>
      </w:r>
      <w:r w:rsidR="007A1264">
        <w:rPr>
          <w:rFonts w:cs="Helv"/>
          <w:color w:val="000000"/>
        </w:rPr>
        <w:t xml:space="preserve">holder </w:t>
      </w:r>
      <w:r w:rsidR="00F8779A" w:rsidRPr="00F8779A">
        <w:rPr>
          <w:rFonts w:cs="Helv"/>
          <w:color w:val="000000"/>
        </w:rPr>
        <w:t xml:space="preserve">and the Board.  </w:t>
      </w:r>
      <w:r w:rsidR="00EA25F4">
        <w:rPr>
          <w:rFonts w:cs="Helv"/>
          <w:color w:val="000000"/>
        </w:rPr>
        <w:t xml:space="preserve">The </w:t>
      </w:r>
      <w:r w:rsidR="00F8779A">
        <w:rPr>
          <w:rFonts w:cs="Helv"/>
          <w:color w:val="000000"/>
        </w:rPr>
        <w:t>Board issues</w:t>
      </w:r>
      <w:r w:rsidR="00F8779A" w:rsidRPr="00F8779A">
        <w:rPr>
          <w:rFonts w:cs="Helv"/>
          <w:color w:val="000000"/>
        </w:rPr>
        <w:t xml:space="preserve"> </w:t>
      </w:r>
      <w:r w:rsidR="00EA25F4">
        <w:rPr>
          <w:rFonts w:cs="Helv"/>
          <w:color w:val="000000"/>
        </w:rPr>
        <w:t xml:space="preserve">to the account holder </w:t>
      </w:r>
      <w:r w:rsidR="00F8779A" w:rsidRPr="00F8779A">
        <w:rPr>
          <w:rFonts w:cs="Helv"/>
          <w:color w:val="000000"/>
        </w:rPr>
        <w:t xml:space="preserve">a monthly statement </w:t>
      </w:r>
      <w:r w:rsidR="00F8779A">
        <w:rPr>
          <w:rFonts w:cs="Helv"/>
          <w:color w:val="000000"/>
        </w:rPr>
        <w:t xml:space="preserve">of charges </w:t>
      </w:r>
      <w:r w:rsidR="00F8779A" w:rsidRPr="00F8779A">
        <w:rPr>
          <w:rFonts w:cs="Helv"/>
          <w:color w:val="000000"/>
        </w:rPr>
        <w:t>payable by one check</w:t>
      </w:r>
      <w:r w:rsidR="002E232D">
        <w:rPr>
          <w:rFonts w:cs="Helv"/>
          <w:color w:val="000000"/>
        </w:rPr>
        <w:t xml:space="preserve"> or credit card payment</w:t>
      </w:r>
      <w:r w:rsidR="00F8779A" w:rsidRPr="00F8779A">
        <w:rPr>
          <w:rFonts w:cs="Helv"/>
          <w:color w:val="000000"/>
        </w:rPr>
        <w:t xml:space="preserve">.  </w:t>
      </w:r>
      <w:r w:rsidR="00EA25F4">
        <w:rPr>
          <w:rFonts w:cs="Helv"/>
          <w:color w:val="000000"/>
        </w:rPr>
        <w:t>W</w:t>
      </w:r>
      <w:r w:rsidR="006967CE">
        <w:rPr>
          <w:rFonts w:cs="Helv"/>
          <w:color w:val="000000"/>
        </w:rPr>
        <w:t xml:space="preserve">ithout an </w:t>
      </w:r>
      <w:r w:rsidRPr="00F8779A">
        <w:rPr>
          <w:rFonts w:cs="Helv"/>
          <w:color w:val="000000"/>
        </w:rPr>
        <w:t xml:space="preserve">account, </w:t>
      </w:r>
      <w:r w:rsidR="006967CE">
        <w:rPr>
          <w:rFonts w:cs="Helv"/>
          <w:color w:val="000000"/>
        </w:rPr>
        <w:t>respondents</w:t>
      </w:r>
      <w:r>
        <w:rPr>
          <w:rFonts w:cs="Helv"/>
          <w:color w:val="000000"/>
        </w:rPr>
        <w:t xml:space="preserve"> </w:t>
      </w:r>
      <w:r w:rsidRPr="00F8779A">
        <w:rPr>
          <w:rFonts w:cs="Helv"/>
          <w:color w:val="000000"/>
        </w:rPr>
        <w:t xml:space="preserve">would have to cut individual checks </w:t>
      </w:r>
      <w:r w:rsidR="00DD2499">
        <w:rPr>
          <w:rFonts w:cs="Helv"/>
          <w:color w:val="000000"/>
        </w:rPr>
        <w:t xml:space="preserve">or make separate credit card payments </w:t>
      </w:r>
      <w:r w:rsidRPr="00F8779A">
        <w:rPr>
          <w:rFonts w:cs="Helv"/>
          <w:color w:val="000000"/>
        </w:rPr>
        <w:t xml:space="preserve">when they </w:t>
      </w:r>
      <w:r>
        <w:rPr>
          <w:rFonts w:cs="Helv"/>
          <w:color w:val="000000"/>
        </w:rPr>
        <w:t xml:space="preserve">submit filings </w:t>
      </w:r>
      <w:r w:rsidRPr="00F8779A">
        <w:rPr>
          <w:rFonts w:cs="Helv"/>
          <w:color w:val="000000"/>
        </w:rPr>
        <w:t>or receive services</w:t>
      </w:r>
      <w:r w:rsidR="002E232D">
        <w:rPr>
          <w:rFonts w:cs="Helv"/>
          <w:color w:val="000000"/>
        </w:rPr>
        <w:t xml:space="preserve"> from the Board</w:t>
      </w:r>
      <w:r w:rsidRPr="00F8779A">
        <w:rPr>
          <w:rFonts w:cs="Helv"/>
          <w:color w:val="000000"/>
        </w:rPr>
        <w:t xml:space="preserve">.  </w:t>
      </w:r>
      <w:r w:rsidR="006967CE" w:rsidRPr="00F8779A">
        <w:rPr>
          <w:rFonts w:cs="Helv"/>
          <w:color w:val="000000"/>
        </w:rPr>
        <w:t>Some of the account</w:t>
      </w:r>
      <w:r w:rsidR="00EA25F4">
        <w:rPr>
          <w:rFonts w:cs="Helv"/>
          <w:color w:val="000000"/>
        </w:rPr>
        <w:t xml:space="preserve"> </w:t>
      </w:r>
      <w:r w:rsidR="006967CE" w:rsidRPr="00F8779A">
        <w:rPr>
          <w:rFonts w:cs="Helv"/>
          <w:color w:val="000000"/>
        </w:rPr>
        <w:t xml:space="preserve">holders have </w:t>
      </w:r>
      <w:r w:rsidR="002E232D">
        <w:rPr>
          <w:rFonts w:cs="Helv"/>
          <w:color w:val="000000"/>
        </w:rPr>
        <w:t xml:space="preserve">as many as </w:t>
      </w:r>
      <w:r w:rsidR="006967CE" w:rsidRPr="00F8779A">
        <w:rPr>
          <w:rFonts w:cs="Helv"/>
          <w:color w:val="000000"/>
        </w:rPr>
        <w:t>40-50 transactions per month.</w:t>
      </w:r>
      <w:r w:rsidR="006967CE">
        <w:rPr>
          <w:rFonts w:cs="Helv"/>
          <w:color w:val="000000"/>
        </w:rPr>
        <w:t xml:space="preserve">  </w:t>
      </w:r>
      <w:r w:rsidR="00DD2499">
        <w:rPr>
          <w:rFonts w:cs="Helv"/>
          <w:color w:val="000000"/>
        </w:rPr>
        <w:t xml:space="preserve">Making </w:t>
      </w:r>
      <w:r w:rsidR="009C5F2B">
        <w:rPr>
          <w:rFonts w:cs="Helv"/>
          <w:color w:val="000000"/>
        </w:rPr>
        <w:t xml:space="preserve">separate, </w:t>
      </w:r>
      <w:r w:rsidRPr="00F8779A">
        <w:rPr>
          <w:rFonts w:cs="Helv"/>
          <w:color w:val="000000"/>
        </w:rPr>
        <w:t xml:space="preserve">individual </w:t>
      </w:r>
      <w:r w:rsidR="00DD2499">
        <w:rPr>
          <w:rFonts w:cs="Helv"/>
          <w:color w:val="000000"/>
        </w:rPr>
        <w:t>payments</w:t>
      </w:r>
      <w:r w:rsidRPr="00F8779A">
        <w:rPr>
          <w:rFonts w:cs="Helv"/>
          <w:color w:val="000000"/>
        </w:rPr>
        <w:t xml:space="preserve"> </w:t>
      </w:r>
      <w:r w:rsidR="00DD2499">
        <w:rPr>
          <w:rFonts w:cs="Helv"/>
          <w:color w:val="000000"/>
        </w:rPr>
        <w:t xml:space="preserve">for each transaction </w:t>
      </w:r>
      <w:r>
        <w:rPr>
          <w:rFonts w:cs="Helv"/>
          <w:color w:val="000000"/>
        </w:rPr>
        <w:t xml:space="preserve">would be </w:t>
      </w:r>
      <w:r w:rsidRPr="00F8779A">
        <w:rPr>
          <w:rFonts w:cs="Helv"/>
          <w:color w:val="000000"/>
        </w:rPr>
        <w:t xml:space="preserve">a considerable burden </w:t>
      </w:r>
      <w:r>
        <w:rPr>
          <w:rFonts w:cs="Helv"/>
          <w:color w:val="000000"/>
        </w:rPr>
        <w:t>to</w:t>
      </w:r>
      <w:r w:rsidRPr="00F8779A">
        <w:rPr>
          <w:rFonts w:cs="Helv"/>
          <w:color w:val="000000"/>
        </w:rPr>
        <w:t xml:space="preserve"> the </w:t>
      </w:r>
      <w:r>
        <w:rPr>
          <w:rFonts w:cs="Helv"/>
          <w:color w:val="000000"/>
        </w:rPr>
        <w:t>respondent, and processing and depositing these checks</w:t>
      </w:r>
      <w:r w:rsidR="00DD2499">
        <w:rPr>
          <w:rFonts w:cs="Helv"/>
          <w:color w:val="000000"/>
        </w:rPr>
        <w:t xml:space="preserve"> or processing </w:t>
      </w:r>
      <w:r w:rsidR="009C5F2B">
        <w:rPr>
          <w:rFonts w:cs="Helv"/>
          <w:color w:val="000000"/>
        </w:rPr>
        <w:t>these</w:t>
      </w:r>
      <w:r w:rsidR="00DD2499">
        <w:rPr>
          <w:rFonts w:cs="Helv"/>
          <w:color w:val="000000"/>
        </w:rPr>
        <w:t xml:space="preserve"> credit card payments</w:t>
      </w:r>
      <w:r w:rsidRPr="00F8779A">
        <w:rPr>
          <w:rFonts w:cs="Helv"/>
          <w:color w:val="000000"/>
        </w:rPr>
        <w:t xml:space="preserve"> </w:t>
      </w:r>
      <w:r>
        <w:rPr>
          <w:rFonts w:cs="Helv"/>
          <w:color w:val="000000"/>
        </w:rPr>
        <w:t>would be a burden</w:t>
      </w:r>
      <w:r w:rsidRPr="00F8779A">
        <w:rPr>
          <w:rFonts w:cs="Helv"/>
          <w:color w:val="000000"/>
        </w:rPr>
        <w:t xml:space="preserve"> to the Government</w:t>
      </w:r>
      <w:r>
        <w:rPr>
          <w:rFonts w:cs="Helv"/>
          <w:color w:val="000000"/>
        </w:rPr>
        <w:t>.</w:t>
      </w:r>
      <w:r w:rsidRPr="00F8779A">
        <w:rPr>
          <w:rFonts w:cs="Helv"/>
          <w:color w:val="000000"/>
        </w:rPr>
        <w:t xml:space="preserve"> </w:t>
      </w:r>
      <w:r>
        <w:rPr>
          <w:rFonts w:cs="Helv"/>
          <w:color w:val="000000"/>
        </w:rPr>
        <w:t xml:space="preserve"> </w:t>
      </w:r>
      <w:r w:rsidR="00EA25F4">
        <w:rPr>
          <w:rFonts w:cs="Helv"/>
          <w:color w:val="000000"/>
        </w:rPr>
        <w:t>A</w:t>
      </w:r>
      <w:r w:rsidR="001E60CA">
        <w:rPr>
          <w:rFonts w:cs="Helv"/>
          <w:color w:val="000000"/>
        </w:rPr>
        <w:t>lso</w:t>
      </w:r>
      <w:r w:rsidR="00EA25F4" w:rsidRPr="00F8779A">
        <w:rPr>
          <w:rFonts w:cs="Helv"/>
          <w:color w:val="000000"/>
        </w:rPr>
        <w:t xml:space="preserve">, </w:t>
      </w:r>
      <w:r w:rsidR="00EA25F4">
        <w:rPr>
          <w:rFonts w:cs="Helv"/>
          <w:color w:val="000000"/>
        </w:rPr>
        <w:t xml:space="preserve">having an account allows </w:t>
      </w:r>
      <w:r w:rsidR="00EA25F4" w:rsidRPr="001E785B">
        <w:rPr>
          <w:rFonts w:cs="Helv"/>
          <w:color w:val="000000"/>
        </w:rPr>
        <w:t>law</w:t>
      </w:r>
      <w:r w:rsidR="00296F3B" w:rsidRPr="001E785B">
        <w:rPr>
          <w:rFonts w:cs="Helv"/>
          <w:color w:val="000000"/>
        </w:rPr>
        <w:t xml:space="preserve"> </w:t>
      </w:r>
      <w:r w:rsidR="00EA25F4" w:rsidRPr="001E785B">
        <w:rPr>
          <w:rFonts w:cs="Helv"/>
          <w:color w:val="000000"/>
        </w:rPr>
        <w:t>firm</w:t>
      </w:r>
      <w:r w:rsidR="00EA25F4" w:rsidRPr="00F8779A">
        <w:rPr>
          <w:rFonts w:cs="Helv"/>
          <w:color w:val="000000"/>
        </w:rPr>
        <w:t xml:space="preserve"> staff to obtain copying</w:t>
      </w:r>
      <w:r w:rsidR="00EA25F4">
        <w:rPr>
          <w:rFonts w:cs="Helv"/>
          <w:color w:val="000000"/>
        </w:rPr>
        <w:t>, research, and certification</w:t>
      </w:r>
      <w:r w:rsidR="00EA25F4" w:rsidRPr="00F8779A">
        <w:rPr>
          <w:rFonts w:cs="Helv"/>
          <w:color w:val="000000"/>
        </w:rPr>
        <w:t xml:space="preserve"> services</w:t>
      </w:r>
      <w:r w:rsidR="00EA25F4">
        <w:rPr>
          <w:rFonts w:cs="Helv"/>
          <w:color w:val="000000"/>
        </w:rPr>
        <w:t xml:space="preserve"> from the Board</w:t>
      </w:r>
      <w:r w:rsidR="00EA25F4" w:rsidRPr="00F8779A">
        <w:rPr>
          <w:rFonts w:cs="Helv"/>
          <w:color w:val="000000"/>
        </w:rPr>
        <w:t xml:space="preserve"> without having to pay at the time the service is provided and then seek reimbursement from the law firm.</w:t>
      </w:r>
      <w:r w:rsidR="00EA25F4">
        <w:rPr>
          <w:rFonts w:cs="Helv"/>
          <w:color w:val="000000"/>
        </w:rPr>
        <w:t xml:space="preserve">  </w:t>
      </w:r>
    </w:p>
    <w:p w:rsidR="00561388" w:rsidRDefault="00561388" w:rsidP="00ED1BEA">
      <w:pPr>
        <w:ind w:firstLine="720"/>
      </w:pPr>
    </w:p>
    <w:p w:rsidR="006C6B49" w:rsidRDefault="006C6B49">
      <w:r>
        <w:t xml:space="preserve">2.  </w:t>
      </w:r>
      <w:r>
        <w:rPr>
          <w:u w:val="single"/>
        </w:rPr>
        <w:t>Use of Data Collected</w:t>
      </w:r>
    </w:p>
    <w:p w:rsidR="006C6B49" w:rsidRDefault="006C6B49"/>
    <w:p w:rsidR="006C6B49" w:rsidRDefault="00AC1DBF" w:rsidP="00383181">
      <w:pPr>
        <w:ind w:firstLine="720"/>
      </w:pPr>
      <w:r>
        <w:t>The data collected is used for credit management and debt collection activities</w:t>
      </w:r>
      <w:r w:rsidR="003C6BED">
        <w:t>.</w:t>
      </w:r>
    </w:p>
    <w:p w:rsidR="00CB1599" w:rsidRDefault="00CB1599"/>
    <w:p w:rsidR="006C6B49" w:rsidRDefault="006C6B49">
      <w:r>
        <w:t xml:space="preserve">3.  </w:t>
      </w:r>
      <w:r>
        <w:rPr>
          <w:u w:val="single"/>
        </w:rPr>
        <w:t xml:space="preserve">Reduction </w:t>
      </w:r>
      <w:r w:rsidR="00AC1DBF">
        <w:rPr>
          <w:u w:val="single"/>
        </w:rPr>
        <w:t>of Burden t</w:t>
      </w:r>
      <w:r>
        <w:rPr>
          <w:u w:val="single"/>
        </w:rPr>
        <w:t>hrough Improved Technology</w:t>
      </w:r>
    </w:p>
    <w:p w:rsidR="006C6B49" w:rsidRDefault="006C6B49"/>
    <w:p w:rsidR="009F414D" w:rsidRDefault="00F8779A" w:rsidP="007E7C93">
      <w:pPr>
        <w:autoSpaceDE w:val="0"/>
        <w:autoSpaceDN w:val="0"/>
        <w:adjustRightInd w:val="0"/>
        <w:ind w:firstLine="720"/>
        <w:rPr>
          <w:color w:val="000000"/>
          <w:szCs w:val="24"/>
        </w:rPr>
      </w:pPr>
      <w:r w:rsidRPr="004D79DA">
        <w:rPr>
          <w:color w:val="000000"/>
          <w:szCs w:val="24"/>
        </w:rPr>
        <w:t xml:space="preserve">Respondents are permitted to fax </w:t>
      </w:r>
      <w:r w:rsidR="00A722E2" w:rsidRPr="004D79DA">
        <w:rPr>
          <w:color w:val="000000"/>
          <w:szCs w:val="24"/>
        </w:rPr>
        <w:t xml:space="preserve">or email </w:t>
      </w:r>
      <w:r w:rsidRPr="004D79DA">
        <w:rPr>
          <w:color w:val="000000"/>
          <w:szCs w:val="24"/>
        </w:rPr>
        <w:t>their signed forms to the Board.</w:t>
      </w:r>
      <w:r>
        <w:rPr>
          <w:color w:val="000000"/>
          <w:szCs w:val="24"/>
        </w:rPr>
        <w:t xml:space="preserve">  </w:t>
      </w:r>
    </w:p>
    <w:p w:rsidR="009F414D" w:rsidRDefault="009F414D" w:rsidP="009F414D">
      <w:pPr>
        <w:ind w:firstLine="720"/>
      </w:pPr>
    </w:p>
    <w:p w:rsidR="006C6B49" w:rsidRDefault="006C6B49">
      <w:r>
        <w:t xml:space="preserve">4.  </w:t>
      </w:r>
      <w:r>
        <w:rPr>
          <w:u w:val="single"/>
        </w:rPr>
        <w:t>Identification of Duplication</w:t>
      </w:r>
      <w:r>
        <w:t xml:space="preserve"> </w:t>
      </w:r>
    </w:p>
    <w:p w:rsidR="006C6B49" w:rsidRDefault="006C6B49"/>
    <w:p w:rsidR="00AC1DBF" w:rsidRDefault="006C6B49" w:rsidP="00AC1DBF">
      <w:pPr>
        <w:ind w:firstLine="720"/>
      </w:pPr>
      <w:r>
        <w:t xml:space="preserve">This information is not duplicated by any other agency.  </w:t>
      </w:r>
    </w:p>
    <w:p w:rsidR="00AC1DBF" w:rsidRDefault="00AC1DBF" w:rsidP="00AC1DBF"/>
    <w:p w:rsidR="008213BF" w:rsidRDefault="006C6B49">
      <w:pPr>
        <w:keepNext/>
        <w:keepLines/>
      </w:pPr>
      <w:r>
        <w:t>5.</w:t>
      </w:r>
      <w:r w:rsidR="009321AC">
        <w:t xml:space="preserve"> </w:t>
      </w:r>
      <w:r>
        <w:t xml:space="preserve"> </w:t>
      </w:r>
      <w:r>
        <w:rPr>
          <w:u w:val="single"/>
        </w:rPr>
        <w:t>Minimizing Burden for Small Businesses</w:t>
      </w:r>
    </w:p>
    <w:p w:rsidR="008213BF" w:rsidRDefault="008213BF">
      <w:pPr>
        <w:keepNext/>
        <w:keepLines/>
      </w:pPr>
    </w:p>
    <w:p w:rsidR="008213BF" w:rsidRDefault="000C00DC">
      <w:pPr>
        <w:keepNext/>
        <w:keepLines/>
        <w:rPr>
          <w:color w:val="000000"/>
        </w:rPr>
      </w:pPr>
      <w:r>
        <w:tab/>
      </w:r>
      <w:r w:rsidR="00AC1DBF" w:rsidRPr="006C6144">
        <w:rPr>
          <w:color w:val="000000"/>
        </w:rPr>
        <w:t>Th</w:t>
      </w:r>
      <w:r w:rsidR="0012461C" w:rsidRPr="006C6144">
        <w:rPr>
          <w:color w:val="000000"/>
        </w:rPr>
        <w:t xml:space="preserve">e burden associated with this </w:t>
      </w:r>
      <w:r w:rsidR="00AC1DBF" w:rsidRPr="006C6144">
        <w:rPr>
          <w:color w:val="000000"/>
        </w:rPr>
        <w:t xml:space="preserve">one-time collection </w:t>
      </w:r>
      <w:r w:rsidR="0012461C" w:rsidRPr="006C6144">
        <w:rPr>
          <w:color w:val="000000"/>
        </w:rPr>
        <w:t>is</w:t>
      </w:r>
      <w:r w:rsidR="00AC1DBF" w:rsidRPr="006C6144">
        <w:rPr>
          <w:color w:val="000000"/>
        </w:rPr>
        <w:t xml:space="preserve"> negligible </w:t>
      </w:r>
      <w:r w:rsidR="0012461C" w:rsidRPr="006C6144">
        <w:rPr>
          <w:color w:val="000000"/>
        </w:rPr>
        <w:t>for</w:t>
      </w:r>
      <w:r w:rsidR="00AC1DBF" w:rsidRPr="006C6144">
        <w:rPr>
          <w:color w:val="000000"/>
        </w:rPr>
        <w:t xml:space="preserve"> all respondents</w:t>
      </w:r>
      <w:r w:rsidR="007E7C93">
        <w:rPr>
          <w:color w:val="000000"/>
        </w:rPr>
        <w:t>.</w:t>
      </w:r>
    </w:p>
    <w:p w:rsidR="00A411A9" w:rsidRDefault="007E7C93">
      <w:r>
        <w:t xml:space="preserve"> </w:t>
      </w:r>
    </w:p>
    <w:p w:rsidR="00B46F9F" w:rsidRDefault="006C6B49">
      <w:pPr>
        <w:keepNext/>
        <w:keepLines/>
      </w:pPr>
      <w:r>
        <w:lastRenderedPageBreak/>
        <w:t xml:space="preserve">6.  </w:t>
      </w:r>
      <w:r>
        <w:rPr>
          <w:u w:val="single"/>
        </w:rPr>
        <w:t>Frequency Reduction Consequences</w:t>
      </w:r>
      <w:bookmarkStart w:id="0" w:name="_GoBack"/>
      <w:bookmarkEnd w:id="0"/>
    </w:p>
    <w:p w:rsidR="00B46F9F" w:rsidRDefault="00B46F9F">
      <w:pPr>
        <w:keepNext/>
        <w:keepLines/>
      </w:pPr>
    </w:p>
    <w:p w:rsidR="00B46F9F" w:rsidRDefault="00AC1DBF">
      <w:pPr>
        <w:keepNext/>
        <w:keepLines/>
        <w:ind w:firstLine="720"/>
      </w:pPr>
      <w:r>
        <w:rPr>
          <w:lang w:val="en-CA"/>
        </w:rPr>
        <w:t>The form is filled out only once per respondent.</w:t>
      </w:r>
      <w:r w:rsidR="008C6297">
        <w:rPr>
          <w:lang w:val="en-CA"/>
        </w:rPr>
        <w:t xml:space="preserve"> </w:t>
      </w:r>
    </w:p>
    <w:p w:rsidR="006C6B49" w:rsidRDefault="006C6B49"/>
    <w:p w:rsidR="006C6B49" w:rsidRDefault="006C6B49">
      <w:r>
        <w:t xml:space="preserve">7.  </w:t>
      </w:r>
      <w:r w:rsidRPr="008C6297">
        <w:rPr>
          <w:u w:val="single"/>
        </w:rPr>
        <w:t>Special Circumstances</w:t>
      </w:r>
    </w:p>
    <w:p w:rsidR="006C6B49" w:rsidRDefault="006C6B49"/>
    <w:p w:rsidR="006C6B49" w:rsidRPr="00BB7E3C" w:rsidRDefault="00AC1DBF">
      <w:pPr>
        <w:ind w:firstLine="720"/>
      </w:pPr>
      <w:r>
        <w:t>None</w:t>
      </w:r>
      <w:r w:rsidR="00A722E2">
        <w:t>.</w:t>
      </w:r>
    </w:p>
    <w:p w:rsidR="006C6B49" w:rsidRDefault="006C6B49"/>
    <w:p w:rsidR="006C6B49" w:rsidRDefault="006C6B49">
      <w:r>
        <w:t xml:space="preserve">8.  </w:t>
      </w:r>
      <w:r>
        <w:rPr>
          <w:u w:val="single"/>
        </w:rPr>
        <w:t>Consultation Outside Agency</w:t>
      </w:r>
    </w:p>
    <w:p w:rsidR="006C6B49" w:rsidRDefault="006C6B49"/>
    <w:p w:rsidR="006C6B49" w:rsidRPr="00045761" w:rsidRDefault="007A0050">
      <w:pPr>
        <w:ind w:firstLine="720"/>
        <w:rPr>
          <w:szCs w:val="24"/>
        </w:rPr>
      </w:pPr>
      <w:r>
        <w:t>As required, t</w:t>
      </w:r>
      <w:r w:rsidR="00F13AC3">
        <w:t xml:space="preserve">he Board </w:t>
      </w:r>
      <w:r w:rsidR="00782687">
        <w:t>provided</w:t>
      </w:r>
      <w:r w:rsidR="002A6E22">
        <w:t xml:space="preserve"> </w:t>
      </w:r>
      <w:r w:rsidR="00F13AC3">
        <w:t xml:space="preserve">a 60-day comment period regarding </w:t>
      </w:r>
      <w:r w:rsidR="00B608E3">
        <w:t xml:space="preserve">this collection in </w:t>
      </w:r>
      <w:r w:rsidR="00A46E3A">
        <w:t xml:space="preserve">80 </w:t>
      </w:r>
      <w:r w:rsidR="00B15DF4">
        <w:t>F</w:t>
      </w:r>
      <w:r w:rsidR="002E232D">
        <w:t xml:space="preserve">ed. </w:t>
      </w:r>
      <w:r w:rsidR="00B15DF4">
        <w:t>R</w:t>
      </w:r>
      <w:r w:rsidR="002E232D">
        <w:t>eg.</w:t>
      </w:r>
      <w:r w:rsidR="00B15DF4">
        <w:t xml:space="preserve"> </w:t>
      </w:r>
      <w:r w:rsidR="00A46E3A" w:rsidRPr="00782687">
        <w:rPr>
          <w:rFonts w:ascii="Melior-Bold" w:hAnsi="Melior-Bold" w:cs="Melior-Bold"/>
          <w:bCs/>
          <w:sz w:val="22"/>
          <w:szCs w:val="22"/>
        </w:rPr>
        <w:t>4634</w:t>
      </w:r>
      <w:r w:rsidR="00A75A32">
        <w:t xml:space="preserve"> </w:t>
      </w:r>
      <w:r w:rsidR="00AC1DBF">
        <w:t>(</w:t>
      </w:r>
      <w:r w:rsidR="002A6E22">
        <w:t>Jan</w:t>
      </w:r>
      <w:r w:rsidR="00D63BA2">
        <w:t>.</w:t>
      </w:r>
      <w:r w:rsidR="00A75A32">
        <w:t xml:space="preserve"> </w:t>
      </w:r>
      <w:r w:rsidR="00A46E3A">
        <w:t>28</w:t>
      </w:r>
      <w:r w:rsidR="00A75A32">
        <w:t>, 201</w:t>
      </w:r>
      <w:r w:rsidR="002A6E22">
        <w:t>5</w:t>
      </w:r>
      <w:r w:rsidR="00AC1DBF">
        <w:t>)</w:t>
      </w:r>
      <w:r w:rsidR="00F13AC3">
        <w:t xml:space="preserve">.  </w:t>
      </w:r>
      <w:r w:rsidR="00045761">
        <w:t>A 30-day notice was published today at 80 Fed. Reg</w:t>
      </w:r>
      <w:r w:rsidR="00045761" w:rsidRPr="00045761">
        <w:rPr>
          <w:szCs w:val="24"/>
        </w:rPr>
        <w:t xml:space="preserve">. </w:t>
      </w:r>
      <w:r w:rsidR="00045761" w:rsidRPr="00045761">
        <w:rPr>
          <w:bCs/>
          <w:szCs w:val="24"/>
        </w:rPr>
        <w:t>18281</w:t>
      </w:r>
      <w:r w:rsidR="00045761" w:rsidRPr="00045761">
        <w:rPr>
          <w:bCs/>
          <w:szCs w:val="24"/>
        </w:rPr>
        <w:t xml:space="preserve"> (Apr. 3, 2015).</w:t>
      </w:r>
    </w:p>
    <w:p w:rsidR="006C6B49" w:rsidRDefault="006C6B49"/>
    <w:p w:rsidR="006C6B49" w:rsidRDefault="006C6B49">
      <w:r>
        <w:t xml:space="preserve">9.  </w:t>
      </w:r>
      <w:r>
        <w:rPr>
          <w:u w:val="single"/>
        </w:rPr>
        <w:t>Payment or Gift</w:t>
      </w:r>
    </w:p>
    <w:p w:rsidR="006C6B49" w:rsidRDefault="006C6B49"/>
    <w:p w:rsidR="006C6B49" w:rsidRDefault="006C6B49">
      <w:pPr>
        <w:ind w:firstLine="720"/>
      </w:pPr>
      <w:r>
        <w:t>No payment or gift is made in connection with this survey form.</w:t>
      </w:r>
    </w:p>
    <w:p w:rsidR="00B15DF4" w:rsidRDefault="00B15DF4">
      <w:pPr>
        <w:ind w:firstLine="720"/>
      </w:pPr>
    </w:p>
    <w:p w:rsidR="006C6B49" w:rsidRDefault="006C6B49">
      <w:r>
        <w:t xml:space="preserve">10.  </w:t>
      </w:r>
      <w:r>
        <w:rPr>
          <w:u w:val="single"/>
        </w:rPr>
        <w:t>Assurance of Confidentiality</w:t>
      </w:r>
    </w:p>
    <w:p w:rsidR="006C6B49" w:rsidRDefault="006C6B49"/>
    <w:p w:rsidR="006C6B49" w:rsidRDefault="00AC1DBF" w:rsidP="00F45BD0">
      <w:pPr>
        <w:ind w:firstLine="720"/>
      </w:pPr>
      <w:r>
        <w:t xml:space="preserve">In accordance with the Privacy Act, all taxpayer identification and social security numbers </w:t>
      </w:r>
      <w:r w:rsidR="009357CE">
        <w:t>are</w:t>
      </w:r>
      <w:r>
        <w:t xml:space="preserve"> secured and used only for credit management and debt collection activities</w:t>
      </w:r>
      <w:r w:rsidR="00F45BD0">
        <w:t xml:space="preserve">.  </w:t>
      </w:r>
    </w:p>
    <w:p w:rsidR="00F45BD0" w:rsidRDefault="00F45BD0" w:rsidP="00F45BD0">
      <w:pPr>
        <w:ind w:firstLine="720"/>
      </w:pPr>
    </w:p>
    <w:p w:rsidR="006C6B49" w:rsidRDefault="006C6B49">
      <w:r>
        <w:t xml:space="preserve">11.  </w:t>
      </w:r>
      <w:r>
        <w:rPr>
          <w:u w:val="single"/>
        </w:rPr>
        <w:t>S</w:t>
      </w:r>
      <w:r w:rsidRPr="00EB2676">
        <w:rPr>
          <w:u w:val="single"/>
        </w:rPr>
        <w:t>ensitive Information</w:t>
      </w:r>
    </w:p>
    <w:p w:rsidR="006C6B49" w:rsidRDefault="006C6B49"/>
    <w:p w:rsidR="009357CE" w:rsidRDefault="009357CE" w:rsidP="009357CE">
      <w:pPr>
        <w:autoSpaceDE w:val="0"/>
        <w:autoSpaceDN w:val="0"/>
        <w:adjustRightInd w:val="0"/>
        <w:ind w:firstLine="720"/>
        <w:rPr>
          <w:rFonts w:cs="Helv"/>
          <w:color w:val="000000"/>
        </w:rPr>
      </w:pPr>
      <w:r w:rsidRPr="009357CE">
        <w:rPr>
          <w:rFonts w:cs="Helv"/>
          <w:color w:val="000000"/>
        </w:rPr>
        <w:t>The information generally collected on this form is the</w:t>
      </w:r>
      <w:r w:rsidR="007E7C93">
        <w:rPr>
          <w:rFonts w:cs="Helv"/>
          <w:color w:val="000000"/>
        </w:rPr>
        <w:t xml:space="preserve"> respondent’s</w:t>
      </w:r>
      <w:r w:rsidRPr="009357CE">
        <w:rPr>
          <w:rFonts w:cs="Helv"/>
          <w:color w:val="000000"/>
        </w:rPr>
        <w:t xml:space="preserve"> business name, </w:t>
      </w:r>
      <w:r w:rsidR="002E232D">
        <w:rPr>
          <w:rFonts w:cs="Helv"/>
          <w:color w:val="000000"/>
        </w:rPr>
        <w:t xml:space="preserve">business </w:t>
      </w:r>
      <w:r w:rsidRPr="009357CE">
        <w:rPr>
          <w:rFonts w:cs="Helv"/>
          <w:color w:val="000000"/>
        </w:rPr>
        <w:t>address, and FEIN number</w:t>
      </w:r>
      <w:r w:rsidR="002E232D">
        <w:rPr>
          <w:rFonts w:cs="Helv"/>
          <w:color w:val="000000"/>
        </w:rPr>
        <w:t>,</w:t>
      </w:r>
      <w:r w:rsidRPr="009357CE">
        <w:rPr>
          <w:rFonts w:cs="Helv"/>
          <w:color w:val="000000"/>
        </w:rPr>
        <w:t xml:space="preserve"> and the signature of </w:t>
      </w:r>
      <w:r w:rsidR="002E232D">
        <w:rPr>
          <w:rFonts w:cs="Helv"/>
          <w:color w:val="000000"/>
        </w:rPr>
        <w:t>a</w:t>
      </w:r>
      <w:r w:rsidRPr="009357CE">
        <w:rPr>
          <w:rFonts w:cs="Helv"/>
          <w:color w:val="000000"/>
        </w:rPr>
        <w:t xml:space="preserve"> company executive.  On occasion, where a billing account is sought by an individual rather than a business, that </w:t>
      </w:r>
      <w:r w:rsidR="007E7C93">
        <w:rPr>
          <w:rFonts w:cs="Helv"/>
          <w:color w:val="000000"/>
        </w:rPr>
        <w:t>respondent</w:t>
      </w:r>
      <w:r w:rsidRPr="009357CE">
        <w:rPr>
          <w:rFonts w:cs="Helv"/>
          <w:color w:val="000000"/>
        </w:rPr>
        <w:t xml:space="preserve">’s name, address, and social security number </w:t>
      </w:r>
      <w:r w:rsidR="004936C0">
        <w:rPr>
          <w:rFonts w:cs="Helv"/>
          <w:color w:val="000000"/>
        </w:rPr>
        <w:t>are</w:t>
      </w:r>
      <w:r w:rsidRPr="009357CE">
        <w:rPr>
          <w:rFonts w:cs="Helv"/>
          <w:color w:val="000000"/>
        </w:rPr>
        <w:t xml:space="preserve"> collected. </w:t>
      </w:r>
    </w:p>
    <w:p w:rsidR="009357CE" w:rsidRDefault="009357CE" w:rsidP="009357CE">
      <w:pPr>
        <w:autoSpaceDE w:val="0"/>
        <w:autoSpaceDN w:val="0"/>
        <w:adjustRightInd w:val="0"/>
        <w:ind w:firstLine="720"/>
        <w:rPr>
          <w:rFonts w:cs="Helv"/>
          <w:color w:val="000000"/>
        </w:rPr>
      </w:pPr>
    </w:p>
    <w:p w:rsidR="006C6B49" w:rsidRDefault="006C6B49">
      <w:r>
        <w:t>12.</w:t>
      </w:r>
      <w:r w:rsidR="009321AC">
        <w:t xml:space="preserve"> </w:t>
      </w:r>
      <w:r>
        <w:t xml:space="preserve"> </w:t>
      </w:r>
      <w:r>
        <w:rPr>
          <w:u w:val="single"/>
        </w:rPr>
        <w:t>Estimated Burden Hours and Cost</w:t>
      </w:r>
    </w:p>
    <w:p w:rsidR="006C6B49" w:rsidRDefault="006C6B49"/>
    <w:p w:rsidR="00BF2C95" w:rsidRPr="00BF2C95" w:rsidRDefault="0012461C" w:rsidP="00BF2C95">
      <w:pPr>
        <w:ind w:firstLine="720"/>
      </w:pPr>
      <w:r w:rsidRPr="004D79DA">
        <w:t xml:space="preserve">The Board estimates that </w:t>
      </w:r>
      <w:r w:rsidR="0017619F" w:rsidRPr="004D79DA">
        <w:t xml:space="preserve">5 </w:t>
      </w:r>
      <w:r w:rsidRPr="004D79DA">
        <w:t>applicants will use this form annually</w:t>
      </w:r>
      <w:r>
        <w:t xml:space="preserve"> and that it will take each respondent </w:t>
      </w:r>
      <w:r w:rsidR="005A65DA">
        <w:t>no more</w:t>
      </w:r>
      <w:r>
        <w:t xml:space="preserve"> than </w:t>
      </w:r>
      <w:r w:rsidR="00B43866" w:rsidRPr="00D25A36">
        <w:t>.08</w:t>
      </w:r>
      <w:r>
        <w:t xml:space="preserve"> hours </w:t>
      </w:r>
      <w:r w:rsidR="004936C0">
        <w:t>(5 minutes)</w:t>
      </w:r>
      <w:r>
        <w:t xml:space="preserve"> to complete and </w:t>
      </w:r>
      <w:r w:rsidR="005A65DA">
        <w:t>submit</w:t>
      </w:r>
      <w:r>
        <w:t xml:space="preserve"> the form.  This estimate is based on actual past survey information.</w:t>
      </w:r>
    </w:p>
    <w:p w:rsidR="006C6B49" w:rsidRDefault="006C6B49"/>
    <w:p w:rsidR="006C6B49" w:rsidRDefault="006C6B49">
      <w:r>
        <w:t>13</w:t>
      </w:r>
      <w:r w:rsidR="009321AC">
        <w:t>.</w:t>
      </w:r>
      <w:r>
        <w:t xml:space="preserve"> </w:t>
      </w:r>
      <w:r w:rsidR="009321AC">
        <w:t xml:space="preserve"> </w:t>
      </w:r>
      <w:r>
        <w:rPr>
          <w:u w:val="single"/>
        </w:rPr>
        <w:t>Record Keeping Burden</w:t>
      </w:r>
      <w:r>
        <w:t xml:space="preserve">  </w:t>
      </w:r>
    </w:p>
    <w:p w:rsidR="006C6B49" w:rsidRDefault="006C6B49"/>
    <w:p w:rsidR="006C6B49" w:rsidRDefault="0012461C">
      <w:pPr>
        <w:ind w:firstLine="720"/>
      </w:pPr>
      <w:r>
        <w:t xml:space="preserve">For respondents, there is no record keeping associated with this collection.  The STB retains this information until respondent asks to close account and </w:t>
      </w:r>
      <w:r w:rsidR="002E232D">
        <w:t>outstanding</w:t>
      </w:r>
      <w:r>
        <w:t xml:space="preserve"> debts</w:t>
      </w:r>
      <w:r w:rsidR="002E232D">
        <w:t>, if any,</w:t>
      </w:r>
      <w:r>
        <w:t xml:space="preserve"> are paid in full.</w:t>
      </w:r>
    </w:p>
    <w:p w:rsidR="006C6B49" w:rsidRDefault="006C6B49"/>
    <w:p w:rsidR="00B46F9F" w:rsidRDefault="006C6B49" w:rsidP="00B46F9F">
      <w:pPr>
        <w:keepNext/>
        <w:keepLines/>
        <w:spacing w:before="120" w:after="120"/>
      </w:pPr>
      <w:r>
        <w:t xml:space="preserve">14.  </w:t>
      </w:r>
      <w:r>
        <w:rPr>
          <w:u w:val="single"/>
        </w:rPr>
        <w:t xml:space="preserve">Annualized Cost </w:t>
      </w:r>
      <w:r w:rsidR="005558A0">
        <w:rPr>
          <w:u w:val="single"/>
        </w:rPr>
        <w:t>t</w:t>
      </w:r>
      <w:r w:rsidRPr="00715DF9">
        <w:rPr>
          <w:u w:val="single"/>
        </w:rPr>
        <w:t>o the Federal Government</w:t>
      </w:r>
    </w:p>
    <w:p w:rsidR="00B46F9F" w:rsidRDefault="00A874E6" w:rsidP="002821F1">
      <w:pPr>
        <w:ind w:firstLine="720"/>
      </w:pPr>
      <w:r w:rsidRPr="008E609D">
        <w:t xml:space="preserve">The burden on the agency is negligible.  </w:t>
      </w:r>
      <w:r w:rsidR="005A65DA" w:rsidRPr="008E609D">
        <w:t>It takes the agency no more than .08 hours (5 minutes) to process the information on this form</w:t>
      </w:r>
      <w:r w:rsidR="00EE4548" w:rsidRPr="008E609D">
        <w:t xml:space="preserve"> at an annual cost of approximately $23</w:t>
      </w:r>
      <w:r w:rsidR="005A65DA" w:rsidRPr="008E609D">
        <w:t xml:space="preserve">. </w:t>
      </w:r>
      <w:r w:rsidR="000C00DC" w:rsidRPr="008E609D">
        <w:t xml:space="preserve"> </w:t>
      </w:r>
      <w:r w:rsidR="002821F1" w:rsidRPr="008E609D">
        <w:rPr>
          <w:color w:val="000000"/>
          <w:szCs w:val="24"/>
        </w:rPr>
        <w:lastRenderedPageBreak/>
        <w:t>Moreover, a</w:t>
      </w:r>
      <w:r w:rsidR="00522477" w:rsidRPr="008E609D">
        <w:rPr>
          <w:color w:val="000000"/>
          <w:szCs w:val="24"/>
        </w:rPr>
        <w:t xml:space="preserve">s described above, </w:t>
      </w:r>
      <w:r w:rsidR="002821F1" w:rsidRPr="008E609D">
        <w:rPr>
          <w:color w:val="000000"/>
          <w:szCs w:val="24"/>
        </w:rPr>
        <w:t>this collection results in a net savings to the Board because it allows the Board to consolidate multiple fees or costs into one bill.</w:t>
      </w:r>
    </w:p>
    <w:p w:rsidR="006C6B49" w:rsidRDefault="006C6B49"/>
    <w:p w:rsidR="006C6B49" w:rsidRDefault="006C6B49">
      <w:r>
        <w:t xml:space="preserve">15.  </w:t>
      </w:r>
      <w:r w:rsidR="00B46F9F" w:rsidRPr="00B46F9F">
        <w:rPr>
          <w:u w:val="single"/>
        </w:rPr>
        <w:t>Reason for</w:t>
      </w:r>
      <w:r w:rsidR="00D63BA2" w:rsidRPr="002A6E22">
        <w:rPr>
          <w:u w:val="single"/>
        </w:rPr>
        <w:t xml:space="preserve"> </w:t>
      </w:r>
      <w:r>
        <w:rPr>
          <w:u w:val="single"/>
        </w:rPr>
        <w:t>Program Changes</w:t>
      </w:r>
      <w:r w:rsidR="00D63BA2">
        <w:rPr>
          <w:u w:val="single"/>
        </w:rPr>
        <w:t>.</w:t>
      </w:r>
    </w:p>
    <w:p w:rsidR="006C6B49" w:rsidRDefault="006C6B49"/>
    <w:p w:rsidR="006B0A63" w:rsidRDefault="00782687">
      <w:r>
        <w:tab/>
      </w:r>
      <w:r w:rsidR="00D63BA2">
        <w:t>There are no relevant program changes</w:t>
      </w:r>
      <w:r w:rsidR="00782CAE">
        <w:t>.</w:t>
      </w:r>
      <w:r w:rsidR="00D63BA2">
        <w:t xml:space="preserve">  The revision sought reflects a decrease in the agency’s estimated </w:t>
      </w:r>
      <w:r w:rsidR="00D63BA2" w:rsidRPr="0084149D">
        <w:t>number</w:t>
      </w:r>
      <w:r w:rsidR="00B46F9F" w:rsidRPr="0084149D">
        <w:t xml:space="preserve"> of</w:t>
      </w:r>
      <w:r w:rsidR="0084149D" w:rsidRPr="0084149D">
        <w:t xml:space="preserve"> </w:t>
      </w:r>
      <w:r w:rsidR="00D63BA2" w:rsidRPr="0084149D">
        <w:t>respondents</w:t>
      </w:r>
      <w:r w:rsidR="00D63BA2">
        <w:t xml:space="preserve">. </w:t>
      </w:r>
    </w:p>
    <w:p w:rsidR="006C6B49" w:rsidRDefault="006C6B49">
      <w:pPr>
        <w:ind w:firstLine="720"/>
      </w:pPr>
    </w:p>
    <w:p w:rsidR="006C6B49" w:rsidRDefault="006C6B49">
      <w:r>
        <w:t xml:space="preserve">16.  </w:t>
      </w:r>
      <w:r w:rsidRPr="00EB2676">
        <w:rPr>
          <w:u w:val="single"/>
        </w:rPr>
        <w:t>Publication of Data</w:t>
      </w:r>
      <w:r>
        <w:rPr>
          <w:u w:val="single"/>
        </w:rPr>
        <w:t xml:space="preserve"> and/or Results</w:t>
      </w:r>
    </w:p>
    <w:p w:rsidR="006C6B49" w:rsidRDefault="006C6B49"/>
    <w:p w:rsidR="006C6B49" w:rsidRDefault="00782CAE" w:rsidP="00864A98">
      <w:pPr>
        <w:ind w:firstLine="720"/>
      </w:pPr>
      <w:r>
        <w:rPr>
          <w:color w:val="000000"/>
        </w:rPr>
        <w:t>None.</w:t>
      </w:r>
    </w:p>
    <w:p w:rsidR="006C6B49" w:rsidRDefault="006C6B49"/>
    <w:p w:rsidR="006C6B49" w:rsidRDefault="006C6B49">
      <w:r>
        <w:t xml:space="preserve">17.  </w:t>
      </w:r>
      <w:r>
        <w:rPr>
          <w:u w:val="single"/>
        </w:rPr>
        <w:t>Display of Expiration date for OMB approval</w:t>
      </w:r>
    </w:p>
    <w:p w:rsidR="000506B4" w:rsidRDefault="000506B4">
      <w:pPr>
        <w:ind w:firstLine="720"/>
      </w:pPr>
    </w:p>
    <w:p w:rsidR="006C6B49" w:rsidRDefault="00782CAE">
      <w:pPr>
        <w:ind w:firstLine="720"/>
      </w:pPr>
      <w:r>
        <w:t>The e</w:t>
      </w:r>
      <w:r w:rsidR="007A2684">
        <w:t xml:space="preserve">xpiration date </w:t>
      </w:r>
      <w:r w:rsidR="005F3BFE">
        <w:t xml:space="preserve">and control number for this collection </w:t>
      </w:r>
      <w:r>
        <w:t>are printed on the form.</w:t>
      </w:r>
      <w:r w:rsidR="005F3BFE">
        <w:t xml:space="preserve"> </w:t>
      </w:r>
    </w:p>
    <w:p w:rsidR="006C6B49" w:rsidRDefault="006C6B49"/>
    <w:p w:rsidR="006C6B49" w:rsidRDefault="006C6B49">
      <w:r>
        <w:t xml:space="preserve">18.  </w:t>
      </w:r>
      <w:r w:rsidRPr="00715DF9">
        <w:rPr>
          <w:u w:val="single"/>
        </w:rPr>
        <w:t>Exceptions to the Certification for Paperwork Reduction Act Submissions</w:t>
      </w:r>
    </w:p>
    <w:p w:rsidR="000506B4" w:rsidRDefault="000506B4">
      <w:pPr>
        <w:ind w:firstLine="720"/>
      </w:pPr>
    </w:p>
    <w:p w:rsidR="006C6B49" w:rsidRDefault="006C6B49">
      <w:pPr>
        <w:ind w:firstLine="720"/>
      </w:pPr>
      <w:r>
        <w:t>Not applicable.</w:t>
      </w:r>
      <w:r w:rsidR="005E486D">
        <w:t xml:space="preserve">  </w:t>
      </w:r>
    </w:p>
    <w:p w:rsidR="006C6B49" w:rsidRDefault="006C6B49"/>
    <w:p w:rsidR="000506B4" w:rsidRDefault="000506B4">
      <w:pPr>
        <w:rPr>
          <w:b/>
        </w:rPr>
      </w:pPr>
    </w:p>
    <w:p w:rsidR="006C6B49" w:rsidRDefault="006C6B49">
      <w:pPr>
        <w:rPr>
          <w:b/>
        </w:rPr>
      </w:pPr>
      <w:r>
        <w:rPr>
          <w:b/>
        </w:rPr>
        <w:t>B. Collection of Information Employing Statistical Methods</w:t>
      </w:r>
    </w:p>
    <w:p w:rsidR="006C6B49" w:rsidRDefault="006C6B49"/>
    <w:p w:rsidR="006C6B49" w:rsidRDefault="006C6B49">
      <w:pPr>
        <w:ind w:firstLine="720"/>
      </w:pPr>
      <w:r>
        <w:t>Not Applicable.</w:t>
      </w:r>
    </w:p>
    <w:sectPr w:rsidR="006C6B49" w:rsidSect="00811B30">
      <w:pgSz w:w="12240" w:h="15840"/>
      <w:pgMar w:top="1440" w:right="1440" w:bottom="1440" w:left="1440" w:header="1440" w:footer="144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Melior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3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efaultTabStop w:val="720"/>
  <w:hyphenationZone w:val="0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compat>
    <w:noTabHangInd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9F414D"/>
    <w:rsid w:val="00012BCC"/>
    <w:rsid w:val="00045761"/>
    <w:rsid w:val="000506B4"/>
    <w:rsid w:val="000961EF"/>
    <w:rsid w:val="000C00DC"/>
    <w:rsid w:val="000D77E5"/>
    <w:rsid w:val="000F152A"/>
    <w:rsid w:val="0012461C"/>
    <w:rsid w:val="00165DED"/>
    <w:rsid w:val="0017619F"/>
    <w:rsid w:val="001C15EA"/>
    <w:rsid w:val="001E60CA"/>
    <w:rsid w:val="001E785B"/>
    <w:rsid w:val="00207245"/>
    <w:rsid w:val="0021495E"/>
    <w:rsid w:val="0022698D"/>
    <w:rsid w:val="0024696A"/>
    <w:rsid w:val="00247082"/>
    <w:rsid w:val="002569F7"/>
    <w:rsid w:val="00275ACA"/>
    <w:rsid w:val="002821F1"/>
    <w:rsid w:val="00282AF3"/>
    <w:rsid w:val="00296F3B"/>
    <w:rsid w:val="002A6E22"/>
    <w:rsid w:val="002D1B0E"/>
    <w:rsid w:val="002E232D"/>
    <w:rsid w:val="002F6A9F"/>
    <w:rsid w:val="00314801"/>
    <w:rsid w:val="00363410"/>
    <w:rsid w:val="003805C6"/>
    <w:rsid w:val="00383181"/>
    <w:rsid w:val="003947E1"/>
    <w:rsid w:val="003C6BED"/>
    <w:rsid w:val="003D71ED"/>
    <w:rsid w:val="003F3C4F"/>
    <w:rsid w:val="00420E7F"/>
    <w:rsid w:val="00487160"/>
    <w:rsid w:val="004936C0"/>
    <w:rsid w:val="004950CD"/>
    <w:rsid w:val="00497D4D"/>
    <w:rsid w:val="004D79DA"/>
    <w:rsid w:val="0050207F"/>
    <w:rsid w:val="00522477"/>
    <w:rsid w:val="00543DFA"/>
    <w:rsid w:val="005558A0"/>
    <w:rsid w:val="00556581"/>
    <w:rsid w:val="00561388"/>
    <w:rsid w:val="00590CF6"/>
    <w:rsid w:val="005A65DA"/>
    <w:rsid w:val="005D7C2B"/>
    <w:rsid w:val="005E486D"/>
    <w:rsid w:val="005F3BFE"/>
    <w:rsid w:val="006043C5"/>
    <w:rsid w:val="006052C9"/>
    <w:rsid w:val="00656439"/>
    <w:rsid w:val="0068493A"/>
    <w:rsid w:val="00687332"/>
    <w:rsid w:val="006967CE"/>
    <w:rsid w:val="006A3FB6"/>
    <w:rsid w:val="006B0A63"/>
    <w:rsid w:val="006C6144"/>
    <w:rsid w:val="006C6B49"/>
    <w:rsid w:val="006E6689"/>
    <w:rsid w:val="007068A2"/>
    <w:rsid w:val="00715DF9"/>
    <w:rsid w:val="00782687"/>
    <w:rsid w:val="00782CAE"/>
    <w:rsid w:val="0078399D"/>
    <w:rsid w:val="007945D1"/>
    <w:rsid w:val="007A0050"/>
    <w:rsid w:val="007A1264"/>
    <w:rsid w:val="007A2684"/>
    <w:rsid w:val="007D0D37"/>
    <w:rsid w:val="007D6F98"/>
    <w:rsid w:val="007E3CDA"/>
    <w:rsid w:val="007E7C93"/>
    <w:rsid w:val="00801F8E"/>
    <w:rsid w:val="00811B30"/>
    <w:rsid w:val="00813509"/>
    <w:rsid w:val="008213BF"/>
    <w:rsid w:val="0084149D"/>
    <w:rsid w:val="00844DE3"/>
    <w:rsid w:val="00864A98"/>
    <w:rsid w:val="008A4E91"/>
    <w:rsid w:val="008C6297"/>
    <w:rsid w:val="008D2544"/>
    <w:rsid w:val="008E609D"/>
    <w:rsid w:val="00901E47"/>
    <w:rsid w:val="00911918"/>
    <w:rsid w:val="009321AC"/>
    <w:rsid w:val="009357CE"/>
    <w:rsid w:val="009501D0"/>
    <w:rsid w:val="009A61B5"/>
    <w:rsid w:val="009C5F2B"/>
    <w:rsid w:val="009D3E20"/>
    <w:rsid w:val="009F414D"/>
    <w:rsid w:val="00A411A9"/>
    <w:rsid w:val="00A46E3A"/>
    <w:rsid w:val="00A63A28"/>
    <w:rsid w:val="00A71F1D"/>
    <w:rsid w:val="00A722E2"/>
    <w:rsid w:val="00A75A32"/>
    <w:rsid w:val="00A874E6"/>
    <w:rsid w:val="00AC1DBF"/>
    <w:rsid w:val="00B15DF4"/>
    <w:rsid w:val="00B25932"/>
    <w:rsid w:val="00B43866"/>
    <w:rsid w:val="00B46F9F"/>
    <w:rsid w:val="00B608E3"/>
    <w:rsid w:val="00B67286"/>
    <w:rsid w:val="00B814D0"/>
    <w:rsid w:val="00B84F0B"/>
    <w:rsid w:val="00B87C18"/>
    <w:rsid w:val="00B90C33"/>
    <w:rsid w:val="00BA4D9A"/>
    <w:rsid w:val="00BB7E3C"/>
    <w:rsid w:val="00BE1E54"/>
    <w:rsid w:val="00BF2C95"/>
    <w:rsid w:val="00BF498F"/>
    <w:rsid w:val="00C02B63"/>
    <w:rsid w:val="00C03744"/>
    <w:rsid w:val="00C142B5"/>
    <w:rsid w:val="00CA7130"/>
    <w:rsid w:val="00CB1599"/>
    <w:rsid w:val="00CC1654"/>
    <w:rsid w:val="00CF37BE"/>
    <w:rsid w:val="00D05273"/>
    <w:rsid w:val="00D25A36"/>
    <w:rsid w:val="00D62237"/>
    <w:rsid w:val="00D63BA2"/>
    <w:rsid w:val="00D85EB9"/>
    <w:rsid w:val="00D8730D"/>
    <w:rsid w:val="00DB25DE"/>
    <w:rsid w:val="00DD2499"/>
    <w:rsid w:val="00DD67EE"/>
    <w:rsid w:val="00DF4367"/>
    <w:rsid w:val="00E10BBC"/>
    <w:rsid w:val="00E90290"/>
    <w:rsid w:val="00E95D0A"/>
    <w:rsid w:val="00EA25F4"/>
    <w:rsid w:val="00EB2676"/>
    <w:rsid w:val="00EC6F1C"/>
    <w:rsid w:val="00ED1BEA"/>
    <w:rsid w:val="00EE4548"/>
    <w:rsid w:val="00F13AC3"/>
    <w:rsid w:val="00F42C17"/>
    <w:rsid w:val="00F45BD0"/>
    <w:rsid w:val="00F5509C"/>
    <w:rsid w:val="00F8779A"/>
    <w:rsid w:val="00F91B8F"/>
    <w:rsid w:val="00F929F8"/>
    <w:rsid w:val="00FC3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11B30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556581"/>
    <w:rPr>
      <w:rFonts w:ascii="Tahoma" w:hAnsi="Tahoma" w:cs="Tahoma"/>
      <w:sz w:val="16"/>
      <w:szCs w:val="16"/>
    </w:rPr>
  </w:style>
  <w:style w:type="character" w:customStyle="1" w:styleId="DefaultPara">
    <w:name w:val="Default Para"/>
    <w:basedOn w:val="DefaultParagraphFont"/>
    <w:rsid w:val="00811B30"/>
    <w:rPr>
      <w:sz w:val="20"/>
    </w:rPr>
  </w:style>
  <w:style w:type="character" w:customStyle="1" w:styleId="FootnoteRef">
    <w:name w:val="Footnote Ref"/>
    <w:basedOn w:val="DefaultParagraphFont"/>
    <w:rsid w:val="00811B30"/>
  </w:style>
  <w:style w:type="character" w:styleId="FootnoteReference">
    <w:name w:val="footnote reference"/>
    <w:basedOn w:val="DefaultParagraphFont"/>
    <w:semiHidden/>
    <w:rsid w:val="00811B30"/>
  </w:style>
  <w:style w:type="character" w:styleId="CommentReference">
    <w:name w:val="annotation reference"/>
    <w:basedOn w:val="DefaultParagraphFont"/>
    <w:rsid w:val="00522477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2477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522477"/>
  </w:style>
  <w:style w:type="paragraph" w:styleId="CommentSubject">
    <w:name w:val="annotation subject"/>
    <w:basedOn w:val="CommentText"/>
    <w:next w:val="CommentText"/>
    <w:link w:val="CommentSubjectChar"/>
    <w:rsid w:val="005224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247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708</Words>
  <Characters>3903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Supporting Statement for</vt:lpstr>
    </vt:vector>
  </TitlesOfParts>
  <Company>Surface Transportation Board</Company>
  <LinksUpToDate>false</LinksUpToDate>
  <CharactersWithSpaces>4602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Supporting Statement for</dc:title>
  <dc:creator>Government of the United States</dc:creator>
  <cp:lastModifiedBy>Government of the United States</cp:lastModifiedBy>
  <cp:revision>2</cp:revision>
  <cp:lastPrinted>2015-03-27T15:53:00Z</cp:lastPrinted>
  <dcterms:created xsi:type="dcterms:W3CDTF">2015-04-03T14:30:00Z</dcterms:created>
  <dcterms:modified xsi:type="dcterms:W3CDTF">2015-04-03T14:30:00Z</dcterms:modified>
</cp:coreProperties>
</file>