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CE725" w14:textId="77777777" w:rsidR="004903C8" w:rsidRPr="00F70393" w:rsidRDefault="004903C8" w:rsidP="004903C8">
      <w:pPr>
        <w:rPr>
          <w:rFonts w:ascii="Times New Roman" w:hAnsi="Times New Roman" w:cs="Times New Roman"/>
          <w:sz w:val="26"/>
          <w:szCs w:val="26"/>
        </w:rPr>
      </w:pPr>
    </w:p>
    <w:p w14:paraId="22CC712D" w14:textId="77777777" w:rsidR="004903C8" w:rsidRPr="00F70393" w:rsidRDefault="004903C8" w:rsidP="004903C8">
      <w:pPr>
        <w:tabs>
          <w:tab w:val="left" w:pos="3320"/>
        </w:tabs>
        <w:rPr>
          <w:rFonts w:ascii="Times New Roman" w:hAnsi="Times New Roman" w:cs="Times New Roman"/>
          <w:sz w:val="26"/>
          <w:szCs w:val="26"/>
        </w:rPr>
      </w:pPr>
      <w:r w:rsidRPr="00F70393">
        <w:rPr>
          <w:rFonts w:ascii="Times New Roman" w:hAnsi="Times New Roman" w:cs="Times New Roman"/>
          <w:sz w:val="26"/>
          <w:szCs w:val="26"/>
        </w:rPr>
        <w:tab/>
        <w:t>Supporting Statement for</w:t>
      </w:r>
    </w:p>
    <w:p w14:paraId="181E930F" w14:textId="77777777" w:rsidR="004903C8" w:rsidRPr="00F70393" w:rsidRDefault="004903C8" w:rsidP="004903C8">
      <w:pPr>
        <w:spacing w:line="240" w:lineRule="auto"/>
        <w:ind w:right="-180"/>
        <w:rPr>
          <w:rFonts w:ascii="Times New Roman" w:hAnsi="Times New Roman" w:cs="Times New Roman"/>
          <w:b/>
          <w:sz w:val="26"/>
          <w:szCs w:val="26"/>
        </w:rPr>
      </w:pPr>
      <w:r w:rsidRPr="00F70393">
        <w:rPr>
          <w:rFonts w:ascii="Times New Roman" w:hAnsi="Times New Roman" w:cs="Times New Roman"/>
          <w:b/>
          <w:sz w:val="26"/>
          <w:szCs w:val="26"/>
        </w:rPr>
        <w:t>FERC-</w:t>
      </w:r>
      <w:r w:rsidR="001B1E50" w:rsidRPr="00F70393">
        <w:rPr>
          <w:rFonts w:ascii="Times New Roman" w:hAnsi="Times New Roman" w:cs="Times New Roman"/>
          <w:b/>
          <w:sz w:val="26"/>
          <w:szCs w:val="26"/>
        </w:rPr>
        <w:t>537</w:t>
      </w:r>
      <w:r w:rsidRPr="00F70393">
        <w:rPr>
          <w:rFonts w:ascii="Times New Roman" w:hAnsi="Times New Roman" w:cs="Times New Roman"/>
          <w:b/>
          <w:sz w:val="26"/>
          <w:szCs w:val="26"/>
        </w:rPr>
        <w:t xml:space="preserve">, </w:t>
      </w:r>
      <w:r w:rsidR="001B1E50" w:rsidRPr="00F70393">
        <w:rPr>
          <w:rFonts w:ascii="Times New Roman" w:hAnsi="Times New Roman" w:cs="Times New Roman"/>
          <w:b/>
          <w:sz w:val="26"/>
          <w:szCs w:val="26"/>
        </w:rPr>
        <w:t>Gas Pipeline Certificates:  Construction, Acquisition, and Abandonment</w:t>
      </w:r>
    </w:p>
    <w:p w14:paraId="08402479" w14:textId="7BAF6312" w:rsidR="00D64A3A" w:rsidRPr="00F70393" w:rsidRDefault="00D64A3A" w:rsidP="004903C8">
      <w:pPr>
        <w:rPr>
          <w:rFonts w:ascii="Times New Roman" w:hAnsi="Times New Roman" w:cs="Times New Roman"/>
          <w:b/>
          <w:sz w:val="26"/>
          <w:szCs w:val="26"/>
          <w:u w:val="single"/>
        </w:rPr>
      </w:pPr>
      <w:r w:rsidRPr="00F70393">
        <w:rPr>
          <w:rFonts w:ascii="Times New Roman" w:hAnsi="Times New Roman" w:cs="Times New Roman"/>
          <w:sz w:val="26"/>
          <w:szCs w:val="26"/>
        </w:rPr>
        <w:t xml:space="preserve">The Federal Energy Regulatory Commission (FERC or Commission) requests the Office of Management and Budget (OMB) extend its approval </w:t>
      </w:r>
      <w:r w:rsidRPr="00F70393">
        <w:rPr>
          <w:rFonts w:ascii="Times New Roman" w:hAnsi="Times New Roman" w:cs="Times New Roman"/>
          <w:b/>
          <w:sz w:val="26"/>
          <w:szCs w:val="26"/>
        </w:rPr>
        <w:t>of FERC-537, Gas Pipeline Certificates: Construction, Acquisition, and Abandonment, for three years.</w:t>
      </w:r>
      <w:r w:rsidRPr="00F70393">
        <w:rPr>
          <w:rFonts w:ascii="Times New Roman" w:hAnsi="Times New Roman" w:cs="Times New Roman"/>
          <w:sz w:val="26"/>
          <w:szCs w:val="26"/>
        </w:rPr>
        <w:t xml:space="preserve"> The data required to be submitted consists of identification of the company and responsible officials, </w:t>
      </w:r>
      <w:r w:rsidR="00D5737C" w:rsidRPr="00F70393">
        <w:rPr>
          <w:rFonts w:ascii="Times New Roman" w:hAnsi="Times New Roman" w:cs="Times New Roman"/>
          <w:sz w:val="26"/>
          <w:szCs w:val="26"/>
        </w:rPr>
        <w:t xml:space="preserve">proposed facilities, </w:t>
      </w:r>
      <w:r w:rsidRPr="00F70393">
        <w:rPr>
          <w:rFonts w:ascii="Times New Roman" w:hAnsi="Times New Roman" w:cs="Times New Roman"/>
          <w:sz w:val="26"/>
          <w:szCs w:val="26"/>
        </w:rPr>
        <w:t>factors considered in the location of the facilities and the detailed impact on the project area for environmental considerations.</w:t>
      </w:r>
    </w:p>
    <w:p w14:paraId="1FC3E397" w14:textId="77777777" w:rsidR="004903C8" w:rsidRPr="00F70393" w:rsidRDefault="004903C8" w:rsidP="004903C8">
      <w:pPr>
        <w:rPr>
          <w:rFonts w:ascii="Times New Roman" w:hAnsi="Times New Roman" w:cs="Times New Roman"/>
          <w:b/>
          <w:sz w:val="26"/>
          <w:szCs w:val="26"/>
        </w:rPr>
      </w:pPr>
      <w:r w:rsidRPr="00F70393">
        <w:rPr>
          <w:rFonts w:ascii="Times New Roman" w:hAnsi="Times New Roman" w:cs="Times New Roman"/>
          <w:b/>
          <w:sz w:val="26"/>
          <w:szCs w:val="26"/>
        </w:rPr>
        <w:t>A.</w:t>
      </w:r>
      <w:r w:rsidRPr="00F70393">
        <w:rPr>
          <w:rFonts w:ascii="Times New Roman" w:hAnsi="Times New Roman" w:cs="Times New Roman"/>
          <w:b/>
          <w:sz w:val="26"/>
          <w:szCs w:val="26"/>
        </w:rPr>
        <w:tab/>
      </w:r>
      <w:r w:rsidRPr="00F70393">
        <w:rPr>
          <w:rFonts w:ascii="Times New Roman" w:hAnsi="Times New Roman" w:cs="Times New Roman"/>
          <w:b/>
          <w:sz w:val="26"/>
          <w:szCs w:val="26"/>
          <w:u w:val="single"/>
        </w:rPr>
        <w:t>Justification</w:t>
      </w:r>
    </w:p>
    <w:p w14:paraId="38FEE316" w14:textId="77777777" w:rsidR="004903C8" w:rsidRPr="00F70393" w:rsidRDefault="004903C8" w:rsidP="004903C8">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b/>
          <w:bCs/>
          <w:sz w:val="26"/>
          <w:szCs w:val="26"/>
        </w:rPr>
      </w:pPr>
      <w:r w:rsidRPr="00F70393">
        <w:rPr>
          <w:rFonts w:ascii="Times New Roman" w:hAnsi="Times New Roman" w:cs="Times New Roman"/>
          <w:b/>
          <w:bCs/>
          <w:sz w:val="26"/>
          <w:szCs w:val="26"/>
        </w:rPr>
        <w:t>CIRCUMSTANCES THAT MAKE THE COLLECTION OF INFORMATION NECESSARY</w:t>
      </w:r>
    </w:p>
    <w:p w14:paraId="255A848E" w14:textId="77777777" w:rsidR="005D6300" w:rsidRPr="00F70393" w:rsidRDefault="005D6300" w:rsidP="00E63902">
      <w:pPr>
        <w:widowControl w:val="0"/>
        <w:autoSpaceDE w:val="0"/>
        <w:autoSpaceDN w:val="0"/>
        <w:adjustRightInd w:val="0"/>
        <w:spacing w:after="0" w:line="240" w:lineRule="auto"/>
        <w:ind w:left="360"/>
        <w:rPr>
          <w:rFonts w:ascii="Times New Roman" w:hAnsi="Times New Roman" w:cs="Times New Roman"/>
          <w:b/>
          <w:bCs/>
          <w:sz w:val="26"/>
          <w:szCs w:val="26"/>
        </w:rPr>
      </w:pPr>
    </w:p>
    <w:p w14:paraId="2A8FEC8A" w14:textId="7780CF5B" w:rsidR="004903C8" w:rsidRPr="00F70393" w:rsidRDefault="00D64A3A" w:rsidP="00437A31">
      <w:pPr>
        <w:rPr>
          <w:rFonts w:ascii="Times New Roman" w:hAnsi="Times New Roman" w:cs="Times New Roman"/>
          <w:sz w:val="26"/>
          <w:szCs w:val="26"/>
        </w:rPr>
      </w:pPr>
      <w:r w:rsidRPr="00F70393">
        <w:rPr>
          <w:rFonts w:ascii="Times New Roman" w:hAnsi="Times New Roman" w:cs="Times New Roman"/>
          <w:sz w:val="26"/>
          <w:szCs w:val="26"/>
        </w:rPr>
        <w:t xml:space="preserve">Under the Natural Gas Act (NGA) (Public Law 75-688) (15 U.S.C. 717-717w) a natural gas company must obtain FERC authorization to engage in the transportation of natural gas in interstate commerce, to undertake the construction or extension of any facilities, or </w:t>
      </w:r>
      <w:r w:rsidR="005D6300" w:rsidRPr="00F70393">
        <w:rPr>
          <w:rFonts w:ascii="Times New Roman" w:hAnsi="Times New Roman" w:cs="Times New Roman"/>
          <w:sz w:val="26"/>
          <w:szCs w:val="26"/>
        </w:rPr>
        <w:t>to acquire</w:t>
      </w:r>
      <w:r w:rsidRPr="00F70393">
        <w:rPr>
          <w:rFonts w:ascii="Times New Roman" w:hAnsi="Times New Roman" w:cs="Times New Roman"/>
          <w:sz w:val="26"/>
          <w:szCs w:val="26"/>
        </w:rPr>
        <w:t xml:space="preserve"> or operate any such facilities or extensions in accordance with Section 7(c) of the NGA.  A natural gas company must also obtain FERC approval under Section 7(b) of the NGA prior to abandoning any jurisdictional facility or service.  Under the Natural Gas Policy Act (NGPA) (Public Law 96-621) interstate pipelines must also obtain FERC authorization for certain transportation arrangements.  If a certificate is granted, the natural gas company can engage in the interstate transportation of natural gas and construct, acquire, or operate facilities.  Conversely, approval of an abandonment application permits the pipeline to cease service and discontinue the operation of such facilities.  Authorization under NGPA Section 311(a) allows the interstate or intrastate pipeline applicants to render certain transportation services.</w:t>
      </w:r>
      <w:r w:rsidR="00C76D7E" w:rsidRPr="00F70393">
        <w:rPr>
          <w:rFonts w:ascii="Times New Roman" w:hAnsi="Times New Roman" w:cs="Times New Roman"/>
          <w:sz w:val="26"/>
          <w:szCs w:val="26"/>
        </w:rPr>
        <w:t xml:space="preserve"> </w:t>
      </w:r>
    </w:p>
    <w:p w14:paraId="239FC2EE" w14:textId="77777777" w:rsidR="00437A31" w:rsidRPr="00F70393" w:rsidRDefault="00437A31" w:rsidP="00437A31">
      <w:pPr>
        <w:rPr>
          <w:rFonts w:ascii="Times New Roman" w:hAnsi="Times New Roman" w:cs="Times New Roman"/>
          <w:b/>
          <w:bCs/>
          <w:sz w:val="26"/>
          <w:szCs w:val="26"/>
        </w:rPr>
      </w:pPr>
    </w:p>
    <w:p w14:paraId="6E723210" w14:textId="77777777" w:rsidR="004903C8" w:rsidRPr="00F70393" w:rsidRDefault="004903C8" w:rsidP="004903C8">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b/>
          <w:bCs/>
          <w:sz w:val="26"/>
          <w:szCs w:val="26"/>
        </w:rPr>
      </w:pPr>
      <w:r w:rsidRPr="00F70393">
        <w:rPr>
          <w:rFonts w:ascii="Times New Roman" w:hAnsi="Times New Roman" w:cs="Times New Roman"/>
          <w:b/>
          <w:bCs/>
          <w:sz w:val="26"/>
          <w:szCs w:val="26"/>
        </w:rPr>
        <w:t>HOW, BY WHOM, AND FOR WHAT PURPOSE THE INFORMATION IS TO BE USED AND THE CONSEQUENCES OF NOT COLLECTING THE INFORMATION</w:t>
      </w:r>
    </w:p>
    <w:p w14:paraId="2DF7780A" w14:textId="77777777" w:rsidR="004903C8" w:rsidRPr="00F70393" w:rsidRDefault="004903C8" w:rsidP="004903C8">
      <w:pPr>
        <w:widowControl w:val="0"/>
        <w:autoSpaceDE w:val="0"/>
        <w:autoSpaceDN w:val="0"/>
        <w:adjustRightInd w:val="0"/>
        <w:spacing w:after="0" w:line="240" w:lineRule="auto"/>
        <w:ind w:left="360"/>
        <w:rPr>
          <w:rFonts w:ascii="Times New Roman" w:hAnsi="Times New Roman" w:cs="Times New Roman"/>
          <w:b/>
          <w:bCs/>
          <w:sz w:val="26"/>
          <w:szCs w:val="26"/>
        </w:rPr>
      </w:pPr>
    </w:p>
    <w:p w14:paraId="09C4E496" w14:textId="0F164277" w:rsidR="00D64A3A" w:rsidRPr="00F70393" w:rsidRDefault="00D64A3A" w:rsidP="00D64A3A">
      <w:pPr>
        <w:rPr>
          <w:rFonts w:ascii="Times New Roman" w:hAnsi="Times New Roman" w:cs="Times New Roman"/>
          <w:sz w:val="26"/>
          <w:szCs w:val="26"/>
        </w:rPr>
      </w:pPr>
      <w:r w:rsidRPr="00F70393">
        <w:rPr>
          <w:rFonts w:ascii="Times New Roman" w:hAnsi="Times New Roman" w:cs="Times New Roman"/>
          <w:sz w:val="26"/>
          <w:szCs w:val="26"/>
        </w:rPr>
        <w:t xml:space="preserve">The natural gas companies file the necessary information with FERC so that the Commission can determine from the data if the requested certificate should be authorized.  The data required to be submitted in a normal certificate filing consists of </w:t>
      </w:r>
      <w:r w:rsidRPr="00F70393">
        <w:rPr>
          <w:rFonts w:ascii="Times New Roman" w:hAnsi="Times New Roman" w:cs="Times New Roman"/>
          <w:sz w:val="26"/>
          <w:szCs w:val="26"/>
        </w:rPr>
        <w:lastRenderedPageBreak/>
        <w:t xml:space="preserve">identification of the company and responsible officials, factors considered in the location of the facilities and the impact on the area for environmental considerations.  Also to be submitted </w:t>
      </w:r>
      <w:r w:rsidR="004C003B" w:rsidRPr="00F70393">
        <w:rPr>
          <w:rFonts w:ascii="Times New Roman" w:hAnsi="Times New Roman" w:cs="Times New Roman"/>
          <w:sz w:val="26"/>
          <w:szCs w:val="26"/>
        </w:rPr>
        <w:t xml:space="preserve">are </w:t>
      </w:r>
      <w:r w:rsidRPr="00F70393">
        <w:rPr>
          <w:rFonts w:ascii="Times New Roman" w:hAnsi="Times New Roman" w:cs="Times New Roman"/>
          <w:sz w:val="26"/>
          <w:szCs w:val="26"/>
        </w:rPr>
        <w:t>the following</w:t>
      </w:r>
      <w:r w:rsidR="00614DA4" w:rsidRPr="00F70393">
        <w:rPr>
          <w:rFonts w:ascii="Times New Roman" w:hAnsi="Times New Roman" w:cs="Times New Roman"/>
          <w:sz w:val="26"/>
          <w:szCs w:val="26"/>
        </w:rPr>
        <w:t>, as applicable to the specific request</w:t>
      </w:r>
      <w:r w:rsidRPr="00F70393">
        <w:rPr>
          <w:rFonts w:ascii="Times New Roman" w:hAnsi="Times New Roman" w:cs="Times New Roman"/>
          <w:sz w:val="26"/>
          <w:szCs w:val="26"/>
        </w:rPr>
        <w:t>:</w:t>
      </w:r>
    </w:p>
    <w:p w14:paraId="618216DF" w14:textId="77777777" w:rsidR="00D64A3A" w:rsidRPr="00F70393" w:rsidRDefault="00D64A3A" w:rsidP="00D64A3A">
      <w:pPr>
        <w:pStyle w:val="ListParagraph"/>
        <w:numPr>
          <w:ilvl w:val="0"/>
          <w:numId w:val="3"/>
        </w:numPr>
        <w:spacing w:after="0" w:line="240" w:lineRule="auto"/>
        <w:rPr>
          <w:rFonts w:ascii="Times New Roman" w:hAnsi="Times New Roman" w:cs="Times New Roman"/>
          <w:sz w:val="26"/>
          <w:szCs w:val="26"/>
        </w:rPr>
      </w:pPr>
      <w:r w:rsidRPr="00F70393">
        <w:rPr>
          <w:rFonts w:ascii="Times New Roman" w:hAnsi="Times New Roman" w:cs="Times New Roman"/>
          <w:sz w:val="26"/>
          <w:szCs w:val="26"/>
        </w:rPr>
        <w:t>Flow diagrams showing the design capacity for engineering design verification and safety determination;</w:t>
      </w:r>
    </w:p>
    <w:p w14:paraId="26D46E05" w14:textId="77777777" w:rsidR="00D64A3A" w:rsidRPr="00F70393" w:rsidRDefault="00D64A3A" w:rsidP="00D64A3A">
      <w:pPr>
        <w:pStyle w:val="ListParagraph"/>
        <w:numPr>
          <w:ilvl w:val="0"/>
          <w:numId w:val="3"/>
        </w:numPr>
        <w:spacing w:after="0" w:line="240" w:lineRule="auto"/>
        <w:rPr>
          <w:rFonts w:ascii="Times New Roman" w:hAnsi="Times New Roman" w:cs="Times New Roman"/>
          <w:sz w:val="26"/>
          <w:szCs w:val="26"/>
        </w:rPr>
      </w:pPr>
      <w:r w:rsidRPr="00F70393">
        <w:rPr>
          <w:rFonts w:ascii="Times New Roman" w:hAnsi="Times New Roman" w:cs="Times New Roman"/>
          <w:sz w:val="26"/>
          <w:szCs w:val="26"/>
        </w:rPr>
        <w:t>Cost of proposed facilities, plans for financing, and estimated revenues and expenses related to the proposed facility for accounting and financial evaluation.</w:t>
      </w:r>
    </w:p>
    <w:p w14:paraId="177E1BA1" w14:textId="7271B789" w:rsidR="00D25B50" w:rsidRPr="00F70393" w:rsidRDefault="00D25B50" w:rsidP="00D25B50">
      <w:pPr>
        <w:pStyle w:val="ListParagraph"/>
        <w:numPr>
          <w:ilvl w:val="0"/>
          <w:numId w:val="3"/>
        </w:numPr>
        <w:spacing w:after="0" w:line="240" w:lineRule="auto"/>
        <w:rPr>
          <w:rFonts w:ascii="Times New Roman" w:hAnsi="Times New Roman" w:cs="Times New Roman"/>
          <w:sz w:val="26"/>
          <w:szCs w:val="26"/>
        </w:rPr>
      </w:pPr>
      <w:r w:rsidRPr="00F70393">
        <w:rPr>
          <w:rFonts w:ascii="Times New Roman" w:hAnsi="Times New Roman" w:cs="Times New Roman"/>
          <w:sz w:val="26"/>
          <w:szCs w:val="26"/>
        </w:rPr>
        <w:t>Existing and proposed storage capacity and pressures and reservoir engineering studies for requests to increase storage capacity;</w:t>
      </w:r>
    </w:p>
    <w:p w14:paraId="0F9B08F8" w14:textId="7B2ADD05" w:rsidR="00D25B50" w:rsidRPr="00F70393" w:rsidRDefault="003A43CA" w:rsidP="00D25B50">
      <w:pPr>
        <w:pStyle w:val="ListParagraph"/>
        <w:numPr>
          <w:ilvl w:val="0"/>
          <w:numId w:val="3"/>
        </w:numPr>
        <w:spacing w:after="0" w:line="240" w:lineRule="auto"/>
        <w:rPr>
          <w:rFonts w:ascii="Times New Roman" w:hAnsi="Times New Roman" w:cs="Times New Roman"/>
          <w:sz w:val="26"/>
          <w:szCs w:val="26"/>
        </w:rPr>
      </w:pPr>
      <w:r w:rsidRPr="00F70393">
        <w:rPr>
          <w:rFonts w:ascii="Times New Roman" w:hAnsi="Times New Roman" w:cs="Times New Roman"/>
          <w:sz w:val="26"/>
          <w:szCs w:val="26"/>
        </w:rPr>
        <w:t xml:space="preserve">An </w:t>
      </w:r>
      <w:r w:rsidR="00F70393" w:rsidRPr="00F70393">
        <w:rPr>
          <w:rFonts w:ascii="Times New Roman" w:hAnsi="Times New Roman" w:cs="Times New Roman"/>
          <w:sz w:val="26"/>
          <w:szCs w:val="26"/>
        </w:rPr>
        <w:t>affidavit</w:t>
      </w:r>
      <w:r w:rsidRPr="00F70393">
        <w:rPr>
          <w:rFonts w:ascii="Times New Roman" w:hAnsi="Times New Roman" w:cs="Times New Roman"/>
          <w:sz w:val="26"/>
          <w:szCs w:val="26"/>
        </w:rPr>
        <w:t xml:space="preserve"> showing the consent of existing customers for abandonment of service requests.</w:t>
      </w:r>
    </w:p>
    <w:p w14:paraId="7BCB7B43" w14:textId="77777777" w:rsidR="00D25B50" w:rsidRPr="00F70393" w:rsidRDefault="00D25B50" w:rsidP="002319EA">
      <w:pPr>
        <w:pStyle w:val="ListParagraph"/>
        <w:spacing w:after="0" w:line="240" w:lineRule="auto"/>
        <w:rPr>
          <w:rFonts w:ascii="Times New Roman" w:hAnsi="Times New Roman" w:cs="Times New Roman"/>
          <w:sz w:val="26"/>
          <w:szCs w:val="26"/>
        </w:rPr>
      </w:pPr>
    </w:p>
    <w:p w14:paraId="3E8D6A1E" w14:textId="0E214A51" w:rsidR="00D64A3A" w:rsidRPr="00F70393" w:rsidRDefault="003A43CA" w:rsidP="00D64A3A">
      <w:pPr>
        <w:rPr>
          <w:rFonts w:ascii="Times New Roman" w:hAnsi="Times New Roman" w:cs="Times New Roman"/>
          <w:sz w:val="26"/>
          <w:szCs w:val="26"/>
        </w:rPr>
      </w:pPr>
      <w:r w:rsidRPr="00F70393">
        <w:rPr>
          <w:rFonts w:ascii="Times New Roman" w:hAnsi="Times New Roman" w:cs="Times New Roman"/>
          <w:sz w:val="26"/>
          <w:szCs w:val="26"/>
        </w:rPr>
        <w:t xml:space="preserve">In addition, requests for an increase of pipeline capacity must include a statement that demonstrates compliance with the Commission’s Certificate Policy Statement </w:t>
      </w:r>
      <w:r w:rsidR="00A54B5E" w:rsidRPr="00F70393">
        <w:rPr>
          <w:rFonts w:ascii="Times New Roman" w:hAnsi="Times New Roman" w:cs="Times New Roman"/>
          <w:sz w:val="26"/>
          <w:szCs w:val="26"/>
        </w:rPr>
        <w:t>by making a showing that the cost of the expansion will not be subsidized by existing customers and that there will not be adverse economic impacts to existing customers, competing pipelines or their customers, or to landowners and surrounding communities.</w:t>
      </w:r>
    </w:p>
    <w:p w14:paraId="1C94248F" w14:textId="1EF016ED" w:rsidR="00D64A3A" w:rsidRPr="00F70393" w:rsidRDefault="00D64A3A" w:rsidP="00D64A3A">
      <w:pPr>
        <w:rPr>
          <w:rFonts w:ascii="Times New Roman" w:hAnsi="Times New Roman" w:cs="Times New Roman"/>
          <w:sz w:val="26"/>
          <w:szCs w:val="26"/>
        </w:rPr>
      </w:pPr>
      <w:r w:rsidRPr="00F70393">
        <w:rPr>
          <w:rFonts w:ascii="Times New Roman" w:hAnsi="Times New Roman" w:cs="Times New Roman"/>
          <w:sz w:val="26"/>
          <w:szCs w:val="26"/>
        </w:rPr>
        <w:t xml:space="preserve">Because of the greater demand for natural gas as seen in rapidly evolving market conditions, FERC established in FY ’99 a performance plan to process cases as efficiently as possible.  The Commission grouped certificate applications by the level of effort required to respond to the applications and established clear targets for the time it should take to process each type of application.  </w:t>
      </w:r>
    </w:p>
    <w:p w14:paraId="7A4B544B" w14:textId="214A70C0" w:rsidR="004903C8" w:rsidRPr="00F70393" w:rsidRDefault="00D64A3A" w:rsidP="004903C8">
      <w:pPr>
        <w:rPr>
          <w:rFonts w:ascii="Times New Roman" w:hAnsi="Times New Roman" w:cs="Times New Roman"/>
          <w:sz w:val="26"/>
          <w:szCs w:val="26"/>
        </w:rPr>
      </w:pPr>
      <w:r w:rsidRPr="00F70393">
        <w:rPr>
          <w:rFonts w:ascii="Times New Roman" w:hAnsi="Times New Roman" w:cs="Times New Roman"/>
          <w:sz w:val="26"/>
          <w:szCs w:val="26"/>
        </w:rPr>
        <w:t xml:space="preserve">Environmental concerns play a significant role in the review of certificate construction applications.  Pipelines are facing increased opposition from landowners as new projects are proposed in more heavily populated areas.  When new pipelines propose to serve markets currently served by existing pipelines, FERC has to balance the benefits of alternative supplies of natural gas with the environmental impact of a new project.  </w:t>
      </w:r>
    </w:p>
    <w:p w14:paraId="36EDB2FD" w14:textId="77777777" w:rsidR="005D6300" w:rsidRPr="00F70393" w:rsidRDefault="005D6300" w:rsidP="004903C8">
      <w:pPr>
        <w:rPr>
          <w:rFonts w:ascii="Times New Roman" w:hAnsi="Times New Roman" w:cs="Times New Roman"/>
          <w:sz w:val="26"/>
          <w:szCs w:val="26"/>
        </w:rPr>
      </w:pPr>
    </w:p>
    <w:p w14:paraId="57F86368" w14:textId="77777777" w:rsidR="004903C8" w:rsidRPr="00F70393" w:rsidRDefault="004903C8" w:rsidP="004903C8">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b/>
          <w:bCs/>
          <w:sz w:val="26"/>
          <w:szCs w:val="26"/>
        </w:rPr>
      </w:pPr>
      <w:r w:rsidRPr="00F70393">
        <w:rPr>
          <w:rFonts w:ascii="Times New Roman" w:hAnsi="Times New Roman" w:cs="Times New Roman"/>
          <w:b/>
          <w:bCs/>
          <w:sz w:val="26"/>
          <w:szCs w:val="26"/>
        </w:rPr>
        <w:t>DESCRIBE ANY CONSIDERATION OF THE USE OF IMPROVED TECHNOLOGY TO REDUCE BURDEN AND TECHNICAL OR LEGAL OBSTACLES TO REDUCING BURDEN.</w:t>
      </w:r>
    </w:p>
    <w:p w14:paraId="6F0A8244" w14:textId="77777777" w:rsidR="00D64A3A" w:rsidRPr="00F70393" w:rsidRDefault="00D64A3A" w:rsidP="00D64A3A">
      <w:pPr>
        <w:widowControl w:val="0"/>
        <w:autoSpaceDE w:val="0"/>
        <w:autoSpaceDN w:val="0"/>
        <w:adjustRightInd w:val="0"/>
        <w:spacing w:after="0" w:line="240" w:lineRule="auto"/>
        <w:ind w:left="360"/>
        <w:rPr>
          <w:rFonts w:ascii="Times New Roman" w:hAnsi="Times New Roman" w:cs="Times New Roman"/>
          <w:b/>
          <w:bCs/>
          <w:sz w:val="26"/>
          <w:szCs w:val="26"/>
        </w:rPr>
      </w:pPr>
    </w:p>
    <w:p w14:paraId="013463B7" w14:textId="4057335F" w:rsidR="00D64A3A" w:rsidRPr="00F70393" w:rsidRDefault="00D64A3A" w:rsidP="00D64A3A">
      <w:pPr>
        <w:rPr>
          <w:rFonts w:ascii="Times New Roman" w:hAnsi="Times New Roman" w:cs="Times New Roman"/>
          <w:sz w:val="26"/>
          <w:szCs w:val="26"/>
        </w:rPr>
      </w:pPr>
      <w:r w:rsidRPr="00F70393">
        <w:rPr>
          <w:rFonts w:ascii="Times New Roman" w:hAnsi="Times New Roman" w:cs="Times New Roman"/>
          <w:sz w:val="26"/>
          <w:szCs w:val="26"/>
        </w:rPr>
        <w:t>There is an ongoing effort to determine the potential and value of improved information technology to reduce burden.  The FERC-537</w:t>
      </w:r>
      <w:r w:rsidR="004F5AD1">
        <w:rPr>
          <w:rFonts w:ascii="Times New Roman" w:hAnsi="Times New Roman" w:cs="Times New Roman"/>
          <w:sz w:val="26"/>
          <w:szCs w:val="26"/>
        </w:rPr>
        <w:t xml:space="preserve"> (OMB Control No. 1902-0060)</w:t>
      </w:r>
      <w:r w:rsidRPr="00F70393">
        <w:rPr>
          <w:rFonts w:ascii="Times New Roman" w:hAnsi="Times New Roman" w:cs="Times New Roman"/>
          <w:sz w:val="26"/>
          <w:szCs w:val="26"/>
        </w:rPr>
        <w:t xml:space="preserve"> application may be eFiled through FERC’s EFiling system.  [See </w:t>
      </w:r>
      <w:hyperlink r:id="rId12" w:history="1">
        <w:r w:rsidRPr="00F70393">
          <w:rPr>
            <w:rStyle w:val="Hyperlink"/>
            <w:rFonts w:ascii="Times New Roman" w:hAnsi="Times New Roman" w:cs="Times New Roman"/>
            <w:color w:val="000000"/>
            <w:sz w:val="26"/>
            <w:szCs w:val="26"/>
          </w:rPr>
          <w:t>http://www.ferc.gov/docs-filing/efiling.asp</w:t>
        </w:r>
      </w:hyperlink>
      <w:r w:rsidRPr="00F70393">
        <w:rPr>
          <w:rFonts w:ascii="Times New Roman" w:hAnsi="Times New Roman" w:cs="Times New Roman"/>
          <w:sz w:val="26"/>
          <w:szCs w:val="26"/>
        </w:rPr>
        <w:t xml:space="preserve"> for more information</w:t>
      </w:r>
      <w:r w:rsidR="003E09CE">
        <w:rPr>
          <w:rFonts w:ascii="Times New Roman" w:hAnsi="Times New Roman" w:cs="Times New Roman"/>
          <w:sz w:val="26"/>
          <w:szCs w:val="26"/>
        </w:rPr>
        <w:t>.</w:t>
      </w:r>
      <w:r w:rsidRPr="00F70393">
        <w:rPr>
          <w:rFonts w:ascii="Times New Roman" w:hAnsi="Times New Roman" w:cs="Times New Roman"/>
          <w:sz w:val="26"/>
          <w:szCs w:val="26"/>
        </w:rPr>
        <w:t>]</w:t>
      </w:r>
    </w:p>
    <w:p w14:paraId="51E22471" w14:textId="77777777" w:rsidR="00D64A3A" w:rsidRPr="00F70393" w:rsidRDefault="00D64A3A" w:rsidP="00D64A3A">
      <w:pPr>
        <w:widowControl w:val="0"/>
        <w:autoSpaceDE w:val="0"/>
        <w:autoSpaceDN w:val="0"/>
        <w:adjustRightInd w:val="0"/>
        <w:spacing w:after="0" w:line="240" w:lineRule="auto"/>
        <w:ind w:left="360"/>
        <w:rPr>
          <w:rFonts w:ascii="Times New Roman" w:hAnsi="Times New Roman" w:cs="Times New Roman"/>
          <w:b/>
          <w:bCs/>
          <w:sz w:val="26"/>
          <w:szCs w:val="26"/>
        </w:rPr>
      </w:pPr>
      <w:bookmarkStart w:id="0" w:name="_GoBack"/>
      <w:bookmarkEnd w:id="0"/>
    </w:p>
    <w:p w14:paraId="6B9CEF65" w14:textId="77777777" w:rsidR="004903C8" w:rsidRPr="00F70393" w:rsidRDefault="004903C8" w:rsidP="004903C8">
      <w:pPr>
        <w:widowControl w:val="0"/>
        <w:autoSpaceDE w:val="0"/>
        <w:autoSpaceDN w:val="0"/>
        <w:adjustRightInd w:val="0"/>
        <w:spacing w:after="0" w:line="240" w:lineRule="auto"/>
        <w:ind w:left="360"/>
        <w:rPr>
          <w:rFonts w:ascii="Times New Roman" w:hAnsi="Times New Roman" w:cs="Times New Roman"/>
          <w:b/>
          <w:bCs/>
          <w:sz w:val="26"/>
          <w:szCs w:val="26"/>
        </w:rPr>
      </w:pPr>
    </w:p>
    <w:p w14:paraId="7E98F404" w14:textId="77777777" w:rsidR="004903C8" w:rsidRPr="00F70393" w:rsidRDefault="004903C8" w:rsidP="004903C8">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F70393">
        <w:rPr>
          <w:rFonts w:ascii="Times New Roman" w:hAnsi="Times New Roman" w:cs="Times New Roman"/>
          <w:b/>
          <w:bCs/>
          <w:sz w:val="26"/>
          <w:szCs w:val="26"/>
        </w:rPr>
        <w:t>DESCRIBE EFFORTS TO IDENTIFY DUPLICATION AND SHOW SPECIFICALLY WHY ANY SIMILAR INFORMATION ALREADY AVAILABLE CANNOT BE USED OR MODIFIED FOR USE FOR THE PURPOSE(S) DESCRIBED IN INSTRUCTION NO. 2</w:t>
      </w:r>
    </w:p>
    <w:p w14:paraId="4CD64719" w14:textId="77777777" w:rsidR="004903C8" w:rsidRPr="00F70393" w:rsidRDefault="004903C8" w:rsidP="004903C8">
      <w:pPr>
        <w:rPr>
          <w:rFonts w:ascii="Times New Roman" w:hAnsi="Times New Roman" w:cs="Times New Roman"/>
          <w:sz w:val="26"/>
          <w:szCs w:val="26"/>
        </w:rPr>
      </w:pPr>
    </w:p>
    <w:p w14:paraId="5372577B" w14:textId="2C74E61A" w:rsidR="00D64A3A" w:rsidRPr="00F70393" w:rsidRDefault="00D64A3A" w:rsidP="00D64A3A">
      <w:pPr>
        <w:rPr>
          <w:rFonts w:ascii="Times New Roman" w:hAnsi="Times New Roman" w:cs="Times New Roman"/>
          <w:sz w:val="26"/>
          <w:szCs w:val="26"/>
        </w:rPr>
      </w:pPr>
      <w:r w:rsidRPr="00F70393">
        <w:rPr>
          <w:rFonts w:ascii="Times New Roman" w:hAnsi="Times New Roman" w:cs="Times New Roman"/>
          <w:sz w:val="26"/>
          <w:szCs w:val="26"/>
        </w:rPr>
        <w:t>Commission filings and data requirements are periodically reviewed in conjunction with OMB clearance expiration dates.  This includes a review of the Commission’s regulations and data requirements to identify any duplication.  To date, no duplication of the proposed data requirements has been found.   There are no similar sources of information available that can be used or modified for use for the purpose described in Item A (1).</w:t>
      </w:r>
    </w:p>
    <w:p w14:paraId="6492FBDF" w14:textId="77777777" w:rsidR="004903C8" w:rsidRPr="00F70393" w:rsidRDefault="004903C8" w:rsidP="004903C8">
      <w:pPr>
        <w:rPr>
          <w:rFonts w:ascii="Times New Roman" w:hAnsi="Times New Roman" w:cs="Times New Roman"/>
          <w:sz w:val="26"/>
          <w:szCs w:val="26"/>
        </w:rPr>
      </w:pPr>
    </w:p>
    <w:p w14:paraId="75D59351" w14:textId="77777777" w:rsidR="004903C8" w:rsidRPr="00F70393" w:rsidRDefault="004903C8" w:rsidP="004903C8">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rPr>
      </w:pPr>
      <w:r w:rsidRPr="00F70393">
        <w:rPr>
          <w:rFonts w:ascii="Times New Roman" w:hAnsi="Times New Roman" w:cs="Times New Roman"/>
          <w:b/>
          <w:bCs/>
          <w:sz w:val="26"/>
          <w:szCs w:val="26"/>
        </w:rPr>
        <w:t>METHODS USED TO MINIMIZE BURDEN IN COLLECTION OF INFORMATION INVOLVING SMALL ENTITIES</w:t>
      </w:r>
    </w:p>
    <w:p w14:paraId="1D818D8D" w14:textId="77777777" w:rsidR="004903C8" w:rsidRPr="00F70393" w:rsidRDefault="004903C8" w:rsidP="004903C8">
      <w:pPr>
        <w:rPr>
          <w:rFonts w:ascii="Times New Roman" w:hAnsi="Times New Roman" w:cs="Times New Roman"/>
          <w:b/>
          <w:bCs/>
          <w:sz w:val="26"/>
          <w:szCs w:val="26"/>
        </w:rPr>
      </w:pPr>
    </w:p>
    <w:p w14:paraId="0E202F1F" w14:textId="77777777" w:rsidR="004903C8" w:rsidRPr="00F70393" w:rsidRDefault="00D64A3A" w:rsidP="00D64A3A">
      <w:pPr>
        <w:rPr>
          <w:rFonts w:ascii="Times New Roman" w:hAnsi="Times New Roman" w:cs="Times New Roman"/>
          <w:sz w:val="26"/>
          <w:szCs w:val="26"/>
        </w:rPr>
      </w:pPr>
      <w:r w:rsidRPr="00F70393">
        <w:rPr>
          <w:rFonts w:ascii="Times New Roman" w:hAnsi="Times New Roman" w:cs="Times New Roman"/>
          <w:sz w:val="26"/>
          <w:szCs w:val="26"/>
        </w:rPr>
        <w:t xml:space="preserve">The information requirements under FERC-537 apply to jurisdictional pipelines and a few intrastate pipelines.  The majority of these entities would not be considered small entities within the meaning of the Regulatory Flexibility Act. </w:t>
      </w:r>
    </w:p>
    <w:p w14:paraId="03BC6406" w14:textId="77777777" w:rsidR="00D64A3A" w:rsidRPr="003E09CE" w:rsidRDefault="00D64A3A" w:rsidP="00D64A3A">
      <w:pPr>
        <w:rPr>
          <w:rFonts w:ascii="Times New Roman" w:hAnsi="Times New Roman" w:cs="Times New Roman"/>
          <w:sz w:val="26"/>
          <w:szCs w:val="26"/>
        </w:rPr>
      </w:pPr>
    </w:p>
    <w:p w14:paraId="6D55F0A6" w14:textId="77777777" w:rsidR="004903C8" w:rsidRPr="006F44CF" w:rsidRDefault="004903C8" w:rsidP="004903C8">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6"/>
          <w:szCs w:val="26"/>
        </w:rPr>
      </w:pPr>
      <w:r w:rsidRPr="006F44CF">
        <w:rPr>
          <w:rFonts w:ascii="Times New Roman" w:hAnsi="Times New Roman" w:cs="Times New Roman"/>
          <w:b/>
          <w:sz w:val="26"/>
          <w:szCs w:val="26"/>
        </w:rPr>
        <w:t>CONSEQUENCE TO FEDERAL PROGRAM IF COLLECTION WERE CONDUCTED LESS FREQUENTLY</w:t>
      </w:r>
    </w:p>
    <w:p w14:paraId="14FE1288" w14:textId="77777777" w:rsidR="004903C8" w:rsidRPr="00F70393" w:rsidRDefault="004903C8" w:rsidP="004903C8">
      <w:pPr>
        <w:pStyle w:val="FERCparanumber"/>
        <w:widowControl/>
        <w:numPr>
          <w:ilvl w:val="0"/>
          <w:numId w:val="0"/>
        </w:numPr>
        <w:tabs>
          <w:tab w:val="left" w:pos="720"/>
        </w:tabs>
        <w:rPr>
          <w:rFonts w:ascii="Times New Roman" w:hAnsi="Times New Roman" w:cs="Times New Roman"/>
          <w:sz w:val="26"/>
          <w:szCs w:val="26"/>
        </w:rPr>
      </w:pPr>
    </w:p>
    <w:p w14:paraId="7219B967" w14:textId="77777777" w:rsidR="00D64A3A" w:rsidRPr="00F70393" w:rsidRDefault="00D64A3A" w:rsidP="00D64A3A">
      <w:pPr>
        <w:rPr>
          <w:rFonts w:ascii="Times New Roman" w:hAnsi="Times New Roman" w:cs="Times New Roman"/>
          <w:sz w:val="26"/>
          <w:szCs w:val="26"/>
        </w:rPr>
      </w:pPr>
      <w:r w:rsidRPr="00F70393">
        <w:rPr>
          <w:rFonts w:ascii="Times New Roman" w:hAnsi="Times New Roman" w:cs="Times New Roman"/>
          <w:sz w:val="26"/>
          <w:szCs w:val="26"/>
        </w:rPr>
        <w:t xml:space="preserve">FERC-537 data collection is required for statutory purposes and cannot be discontinued nor collected less frequently.  The information that must be submitted to the Commission is event driven.  </w:t>
      </w:r>
    </w:p>
    <w:p w14:paraId="5FEAA7FE" w14:textId="77777777" w:rsidR="00D64A3A" w:rsidRPr="00F70393" w:rsidRDefault="00D64A3A" w:rsidP="00D64A3A">
      <w:pPr>
        <w:rPr>
          <w:rFonts w:ascii="Times New Roman" w:hAnsi="Times New Roman" w:cs="Times New Roman"/>
          <w:sz w:val="26"/>
          <w:szCs w:val="26"/>
        </w:rPr>
      </w:pPr>
      <w:r w:rsidRPr="00F70393">
        <w:rPr>
          <w:rFonts w:ascii="Times New Roman" w:hAnsi="Times New Roman" w:cs="Times New Roman"/>
          <w:sz w:val="26"/>
          <w:szCs w:val="26"/>
        </w:rPr>
        <w:t xml:space="preserve">Without such information, the Commission would be unable to fulfill its statutory responsibilities under the NGA, NGPA, and Alaska Natural Gas Pipeline Act to authorize natural gas companies to transport natural gas or to build the facilities for these operations or for the abandonment of service of facilities.  </w:t>
      </w:r>
    </w:p>
    <w:p w14:paraId="483B939D" w14:textId="77777777" w:rsidR="004903C8" w:rsidRPr="00F70393" w:rsidRDefault="004903C8" w:rsidP="00D64A3A">
      <w:pPr>
        <w:rPr>
          <w:rFonts w:ascii="Times New Roman" w:hAnsi="Times New Roman" w:cs="Times New Roman"/>
          <w:sz w:val="26"/>
          <w:szCs w:val="26"/>
        </w:rPr>
      </w:pPr>
    </w:p>
    <w:p w14:paraId="309ACDCB" w14:textId="77777777" w:rsidR="004903C8" w:rsidRPr="00F70393" w:rsidRDefault="004903C8" w:rsidP="004903C8">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F70393">
        <w:rPr>
          <w:rFonts w:ascii="Times New Roman" w:hAnsi="Times New Roman" w:cs="Times New Roman"/>
          <w:b/>
          <w:bCs/>
          <w:sz w:val="26"/>
          <w:szCs w:val="26"/>
        </w:rPr>
        <w:t>EXPLAIN ANY SPECIAL CIRCUMSTANCES RELATING TO THE INFORMATION COLLECTION</w:t>
      </w:r>
    </w:p>
    <w:p w14:paraId="3DD5C3D5" w14:textId="77777777" w:rsidR="004903C8" w:rsidRPr="00F70393" w:rsidRDefault="004903C8" w:rsidP="004903C8">
      <w:pPr>
        <w:rPr>
          <w:rFonts w:ascii="Times New Roman" w:hAnsi="Times New Roman" w:cs="Times New Roman"/>
          <w:b/>
          <w:bCs/>
          <w:sz w:val="26"/>
          <w:szCs w:val="26"/>
        </w:rPr>
      </w:pPr>
    </w:p>
    <w:p w14:paraId="4CC6891C" w14:textId="7BB43F1D" w:rsidR="00D64A3A" w:rsidRPr="00F70393" w:rsidRDefault="00D64A3A" w:rsidP="00D64A3A">
      <w:pPr>
        <w:rPr>
          <w:rFonts w:ascii="Times New Roman" w:hAnsi="Times New Roman" w:cs="Times New Roman"/>
          <w:sz w:val="26"/>
          <w:szCs w:val="26"/>
        </w:rPr>
      </w:pPr>
      <w:r w:rsidRPr="00F70393">
        <w:rPr>
          <w:rFonts w:ascii="Times New Roman" w:hAnsi="Times New Roman" w:cs="Times New Roman"/>
          <w:sz w:val="26"/>
          <w:szCs w:val="26"/>
        </w:rPr>
        <w:t xml:space="preserve">The number of copies of a certificate application to be filed in compliance with </w:t>
      </w:r>
      <w:r w:rsidR="0083118E" w:rsidRPr="00F70393">
        <w:rPr>
          <w:rFonts w:ascii="Times New Roman" w:hAnsi="Times New Roman" w:cs="Times New Roman"/>
          <w:sz w:val="26"/>
          <w:szCs w:val="26"/>
        </w:rPr>
        <w:t xml:space="preserve">various </w:t>
      </w:r>
      <w:r w:rsidRPr="00F70393">
        <w:rPr>
          <w:rFonts w:ascii="Times New Roman" w:hAnsi="Times New Roman" w:cs="Times New Roman"/>
          <w:sz w:val="26"/>
          <w:szCs w:val="26"/>
        </w:rPr>
        <w:t xml:space="preserve">sections applicable under FERC-537 exceeds the number of copies prescribed by OMB in their guidelines at 5 CFR 1320.  Depending on the type of </w:t>
      </w:r>
      <w:r w:rsidR="0083118E" w:rsidRPr="00F70393">
        <w:rPr>
          <w:rFonts w:ascii="Times New Roman" w:hAnsi="Times New Roman" w:cs="Times New Roman"/>
          <w:sz w:val="26"/>
          <w:szCs w:val="26"/>
        </w:rPr>
        <w:t>eF</w:t>
      </w:r>
      <w:r w:rsidRPr="00F70393">
        <w:rPr>
          <w:rFonts w:ascii="Times New Roman" w:hAnsi="Times New Roman" w:cs="Times New Roman"/>
          <w:sz w:val="26"/>
          <w:szCs w:val="26"/>
        </w:rPr>
        <w:t xml:space="preserve">iling (see </w:t>
      </w:r>
      <w:hyperlink r:id="rId13" w:history="1">
        <w:r w:rsidRPr="00F70393">
          <w:rPr>
            <w:rStyle w:val="Hyperlink"/>
            <w:rFonts w:ascii="Times New Roman" w:hAnsi="Times New Roman" w:cs="Times New Roman"/>
            <w:color w:val="000000"/>
            <w:sz w:val="26"/>
            <w:szCs w:val="26"/>
          </w:rPr>
          <w:t>http://www.ferc.gov/docs-filing/efiling/filing.pdf</w:t>
        </w:r>
      </w:hyperlink>
      <w:r w:rsidRPr="00F70393">
        <w:rPr>
          <w:rFonts w:ascii="Times New Roman" w:hAnsi="Times New Roman" w:cs="Times New Roman"/>
          <w:sz w:val="26"/>
          <w:szCs w:val="26"/>
        </w:rPr>
        <w:t xml:space="preserve"> for specifics), courtesy </w:t>
      </w:r>
      <w:r w:rsidR="0083118E" w:rsidRPr="00F70393">
        <w:rPr>
          <w:rFonts w:ascii="Times New Roman" w:hAnsi="Times New Roman" w:cs="Times New Roman"/>
          <w:sz w:val="26"/>
          <w:szCs w:val="26"/>
        </w:rPr>
        <w:t xml:space="preserve">paper </w:t>
      </w:r>
      <w:r w:rsidRPr="00F70393">
        <w:rPr>
          <w:rFonts w:ascii="Times New Roman" w:hAnsi="Times New Roman" w:cs="Times New Roman"/>
          <w:sz w:val="26"/>
          <w:szCs w:val="26"/>
        </w:rPr>
        <w:t>copies are required by the Commission to conduct the regulatory review.</w:t>
      </w:r>
      <w:r w:rsidRPr="002311FB">
        <w:rPr>
          <w:rStyle w:val="FootnoteReference"/>
          <w:rFonts w:ascii="Times New Roman" w:hAnsi="Times New Roman" w:cs="Times New Roman"/>
          <w:sz w:val="26"/>
          <w:szCs w:val="26"/>
          <w:vertAlign w:val="superscript"/>
        </w:rPr>
        <w:footnoteReference w:id="1"/>
      </w:r>
      <w:r w:rsidRPr="002311FB">
        <w:rPr>
          <w:rFonts w:ascii="Times New Roman" w:hAnsi="Times New Roman" w:cs="Times New Roman"/>
          <w:sz w:val="26"/>
          <w:szCs w:val="26"/>
          <w:vertAlign w:val="superscript"/>
        </w:rPr>
        <w:t xml:space="preserve"> </w:t>
      </w:r>
      <w:r w:rsidRPr="00F70393">
        <w:rPr>
          <w:rFonts w:ascii="Times New Roman" w:hAnsi="Times New Roman" w:cs="Times New Roman"/>
          <w:sz w:val="26"/>
          <w:szCs w:val="26"/>
        </w:rPr>
        <w:t xml:space="preserve"> </w:t>
      </w:r>
    </w:p>
    <w:p w14:paraId="7786E2FE" w14:textId="3EA3B9F4" w:rsidR="00D64A3A" w:rsidRPr="00F70393" w:rsidRDefault="00D64A3A" w:rsidP="00D64A3A">
      <w:pPr>
        <w:rPr>
          <w:rFonts w:ascii="Times New Roman" w:hAnsi="Times New Roman" w:cs="Times New Roman"/>
          <w:sz w:val="26"/>
          <w:szCs w:val="26"/>
        </w:rPr>
      </w:pPr>
      <w:r w:rsidRPr="00F70393">
        <w:rPr>
          <w:rFonts w:ascii="Times New Roman" w:hAnsi="Times New Roman" w:cs="Times New Roman"/>
          <w:sz w:val="26"/>
          <w:szCs w:val="26"/>
        </w:rPr>
        <w:t>The Commission’s Office of the General Counsel receives one copy and the remaining copies are distributed to Office of Energy Projects staff.  These copies are essential to staff so that the required technical, engineering, and environmental reviews and analyses proceed simultaneously and efficiently.  A project manager must have a copy of the application for review and coordination purposes; additional copies must be available for staff members in various parts of the Commission for assessing the adequacy of diverse exhibits.  It would not be feasible to conduct these review functions in a timely manner, and within the current processing schedule, if fewer copies of the application were provided for staff use.</w:t>
      </w:r>
    </w:p>
    <w:p w14:paraId="0CBF12BA" w14:textId="77777777" w:rsidR="004903C8" w:rsidRPr="00F70393" w:rsidRDefault="004903C8" w:rsidP="004903C8">
      <w:pPr>
        <w:rPr>
          <w:rFonts w:ascii="Times New Roman" w:hAnsi="Times New Roman" w:cs="Times New Roman"/>
          <w:sz w:val="26"/>
          <w:szCs w:val="26"/>
        </w:rPr>
      </w:pPr>
    </w:p>
    <w:p w14:paraId="193E24FE" w14:textId="77777777" w:rsidR="001B1E50" w:rsidRPr="00F70393" w:rsidRDefault="004903C8" w:rsidP="001B1E50">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F70393">
        <w:rPr>
          <w:rFonts w:ascii="Times New Roman" w:hAnsi="Times New Roman" w:cs="Times New Roman"/>
          <w:b/>
          <w:bCs/>
          <w:sz w:val="26"/>
          <w:szCs w:val="26"/>
        </w:rPr>
        <w:t>DESCRIBE EFFORTS TO CONSULT OUTSIDE THE AGENCY: SUMMARIZE PUBLIC COMMENTS AND THE AGENCY'S RESPONSE TO THESE COMMENTS</w:t>
      </w:r>
    </w:p>
    <w:p w14:paraId="001DD954" w14:textId="77777777" w:rsidR="00D64A3A" w:rsidRPr="00F70393" w:rsidRDefault="00D64A3A" w:rsidP="00D64A3A">
      <w:pPr>
        <w:widowControl w:val="0"/>
        <w:autoSpaceDE w:val="0"/>
        <w:autoSpaceDN w:val="0"/>
        <w:adjustRightInd w:val="0"/>
        <w:spacing w:after="0" w:line="240" w:lineRule="auto"/>
        <w:ind w:left="360"/>
        <w:rPr>
          <w:rFonts w:ascii="Times New Roman" w:hAnsi="Times New Roman" w:cs="Times New Roman"/>
          <w:sz w:val="24"/>
          <w:szCs w:val="24"/>
        </w:rPr>
      </w:pPr>
    </w:p>
    <w:p w14:paraId="14270FB6" w14:textId="6B9F7AE2" w:rsidR="00D64A3A" w:rsidRPr="00F70393" w:rsidRDefault="000F2692" w:rsidP="00D64A3A">
      <w:pPr>
        <w:rPr>
          <w:rFonts w:ascii="Times New Roman" w:hAnsi="Times New Roman" w:cs="Times New Roman"/>
          <w:sz w:val="26"/>
          <w:szCs w:val="26"/>
        </w:rPr>
      </w:pPr>
      <w:r w:rsidRPr="00F70393">
        <w:rPr>
          <w:rFonts w:ascii="Times New Roman" w:hAnsi="Times New Roman" w:cs="Times New Roman"/>
          <w:sz w:val="26"/>
          <w:szCs w:val="26"/>
        </w:rPr>
        <w:t>For this renewal, t</w:t>
      </w:r>
      <w:r w:rsidR="00D64A3A" w:rsidRPr="00F70393">
        <w:rPr>
          <w:rFonts w:ascii="Times New Roman" w:hAnsi="Times New Roman" w:cs="Times New Roman"/>
          <w:sz w:val="26"/>
          <w:szCs w:val="26"/>
        </w:rPr>
        <w:t>he Commission issued a</w:t>
      </w:r>
      <w:r w:rsidR="005D6300" w:rsidRPr="00F70393">
        <w:rPr>
          <w:rFonts w:ascii="Times New Roman" w:hAnsi="Times New Roman" w:cs="Times New Roman"/>
          <w:sz w:val="26"/>
          <w:szCs w:val="26"/>
        </w:rPr>
        <w:t xml:space="preserve"> 60-day</w:t>
      </w:r>
      <w:r w:rsidR="00D64A3A" w:rsidRPr="00F70393">
        <w:rPr>
          <w:rFonts w:ascii="Times New Roman" w:hAnsi="Times New Roman" w:cs="Times New Roman"/>
          <w:sz w:val="26"/>
          <w:szCs w:val="26"/>
        </w:rPr>
        <w:t xml:space="preserve"> public notice on </w:t>
      </w:r>
      <w:r w:rsidR="005D6300" w:rsidRPr="00F70393">
        <w:rPr>
          <w:rFonts w:ascii="Times New Roman" w:hAnsi="Times New Roman" w:cs="Times New Roman"/>
          <w:sz w:val="26"/>
          <w:szCs w:val="26"/>
        </w:rPr>
        <w:t>September 30, 2014</w:t>
      </w:r>
      <w:r w:rsidR="00437A31" w:rsidRPr="00F70393">
        <w:rPr>
          <w:rStyle w:val="FootnoteReference"/>
          <w:rFonts w:ascii="Times New Roman" w:hAnsi="Times New Roman" w:cs="Times New Roman"/>
          <w:vertAlign w:val="superscript"/>
        </w:rPr>
        <w:footnoteReference w:id="2"/>
      </w:r>
      <w:r w:rsidR="005D6300" w:rsidRPr="00F70393">
        <w:rPr>
          <w:rFonts w:ascii="Times New Roman" w:hAnsi="Times New Roman" w:cs="Times New Roman"/>
          <w:sz w:val="26"/>
          <w:szCs w:val="26"/>
        </w:rPr>
        <w:t>.  A 30 day notice w</w:t>
      </w:r>
      <w:r w:rsidR="004662E2">
        <w:rPr>
          <w:rFonts w:ascii="Times New Roman" w:hAnsi="Times New Roman" w:cs="Times New Roman"/>
          <w:sz w:val="26"/>
          <w:szCs w:val="26"/>
        </w:rPr>
        <w:t>as</w:t>
      </w:r>
      <w:r w:rsidR="005D6300" w:rsidRPr="00F70393">
        <w:rPr>
          <w:rFonts w:ascii="Times New Roman" w:hAnsi="Times New Roman" w:cs="Times New Roman"/>
          <w:sz w:val="26"/>
          <w:szCs w:val="26"/>
        </w:rPr>
        <w:t xml:space="preserve"> published in the Federal Register </w:t>
      </w:r>
      <w:r w:rsidR="004662E2">
        <w:rPr>
          <w:rFonts w:ascii="Times New Roman" w:hAnsi="Times New Roman" w:cs="Times New Roman"/>
          <w:sz w:val="26"/>
          <w:szCs w:val="26"/>
        </w:rPr>
        <w:t>(80 FR 6067, 2/4/2015)</w:t>
      </w:r>
      <w:r w:rsidR="005D6300" w:rsidRPr="00F70393">
        <w:rPr>
          <w:rFonts w:ascii="Times New Roman" w:hAnsi="Times New Roman" w:cs="Times New Roman"/>
          <w:sz w:val="26"/>
          <w:szCs w:val="26"/>
        </w:rPr>
        <w:t>.</w:t>
      </w:r>
      <w:r w:rsidR="005D6300" w:rsidRPr="00F70393">
        <w:rPr>
          <w:rFonts w:ascii="Times New Roman" w:hAnsi="Times New Roman" w:cs="Times New Roman"/>
        </w:rPr>
        <w:t xml:space="preserve"> </w:t>
      </w:r>
    </w:p>
    <w:p w14:paraId="39926254" w14:textId="77777777" w:rsidR="00D64A3A" w:rsidRPr="00F70393" w:rsidRDefault="00D64A3A" w:rsidP="00D64A3A">
      <w:pPr>
        <w:widowControl w:val="0"/>
        <w:autoSpaceDE w:val="0"/>
        <w:autoSpaceDN w:val="0"/>
        <w:adjustRightInd w:val="0"/>
        <w:spacing w:after="0" w:line="240" w:lineRule="auto"/>
        <w:rPr>
          <w:rFonts w:ascii="Times New Roman" w:hAnsi="Times New Roman" w:cs="Times New Roman"/>
          <w:sz w:val="24"/>
          <w:szCs w:val="24"/>
        </w:rPr>
      </w:pPr>
    </w:p>
    <w:p w14:paraId="3FD314FA" w14:textId="77777777" w:rsidR="004903C8" w:rsidRPr="00F70393" w:rsidRDefault="004903C8" w:rsidP="004903C8">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rPr>
      </w:pPr>
      <w:r w:rsidRPr="00F70393">
        <w:rPr>
          <w:rFonts w:ascii="Times New Roman" w:hAnsi="Times New Roman" w:cs="Times New Roman"/>
          <w:b/>
          <w:bCs/>
          <w:sz w:val="26"/>
          <w:szCs w:val="26"/>
        </w:rPr>
        <w:t>EXPLAIN ANY PAYMENT OR GIFTS TO RESPONDENTS</w:t>
      </w:r>
    </w:p>
    <w:p w14:paraId="1FD88C6B" w14:textId="77777777" w:rsidR="004903C8" w:rsidRPr="00F70393" w:rsidRDefault="004903C8" w:rsidP="004903C8">
      <w:pPr>
        <w:rPr>
          <w:rFonts w:ascii="Times New Roman" w:hAnsi="Times New Roman" w:cs="Times New Roman"/>
          <w:b/>
          <w:bCs/>
          <w:sz w:val="26"/>
          <w:szCs w:val="26"/>
        </w:rPr>
      </w:pPr>
    </w:p>
    <w:p w14:paraId="518FB74B" w14:textId="2A32AFD5" w:rsidR="004903C8" w:rsidRPr="00F70393" w:rsidRDefault="00D64A3A" w:rsidP="00D64A3A">
      <w:pPr>
        <w:rPr>
          <w:rFonts w:ascii="Times New Roman" w:hAnsi="Times New Roman" w:cs="Times New Roman"/>
          <w:sz w:val="26"/>
          <w:szCs w:val="26"/>
        </w:rPr>
      </w:pPr>
      <w:r w:rsidRPr="00F70393">
        <w:rPr>
          <w:rFonts w:ascii="Times New Roman" w:hAnsi="Times New Roman" w:cs="Times New Roman"/>
          <w:sz w:val="26"/>
          <w:szCs w:val="26"/>
        </w:rPr>
        <w:t>There are no payments or gifts to respondents.</w:t>
      </w:r>
    </w:p>
    <w:p w14:paraId="11778A98" w14:textId="77777777" w:rsidR="00D64A3A" w:rsidRPr="00F70393" w:rsidRDefault="00D64A3A" w:rsidP="00D64A3A">
      <w:pPr>
        <w:rPr>
          <w:rFonts w:ascii="Times New Roman" w:hAnsi="Times New Roman" w:cs="Times New Roman"/>
          <w:sz w:val="26"/>
          <w:szCs w:val="26"/>
        </w:rPr>
      </w:pPr>
    </w:p>
    <w:p w14:paraId="320CB499" w14:textId="77777777" w:rsidR="004903C8" w:rsidRPr="00F70393" w:rsidRDefault="004903C8" w:rsidP="004903C8">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rPr>
      </w:pPr>
      <w:r w:rsidRPr="00F70393">
        <w:rPr>
          <w:rFonts w:ascii="Times New Roman" w:hAnsi="Times New Roman" w:cs="Times New Roman"/>
          <w:b/>
          <w:bCs/>
          <w:sz w:val="26"/>
          <w:szCs w:val="26"/>
        </w:rPr>
        <w:t>DESCRIBE ANY ASSURANCE OF CONFIDENTIALITY PROVIDED TO RESPONDENTS</w:t>
      </w:r>
    </w:p>
    <w:p w14:paraId="2C792115" w14:textId="77777777" w:rsidR="00D64A3A" w:rsidRPr="00F70393" w:rsidRDefault="00D64A3A" w:rsidP="00D64A3A">
      <w:pPr>
        <w:widowControl w:val="0"/>
        <w:autoSpaceDE w:val="0"/>
        <w:autoSpaceDN w:val="0"/>
        <w:adjustRightInd w:val="0"/>
        <w:spacing w:after="0" w:line="240" w:lineRule="auto"/>
        <w:ind w:left="360"/>
        <w:rPr>
          <w:rFonts w:ascii="Times New Roman" w:hAnsi="Times New Roman" w:cs="Times New Roman"/>
        </w:rPr>
      </w:pPr>
    </w:p>
    <w:p w14:paraId="3DF6F1C1" w14:textId="77777777" w:rsidR="00D64A3A" w:rsidRDefault="00D64A3A" w:rsidP="00D64A3A">
      <w:pPr>
        <w:rPr>
          <w:rFonts w:ascii="Times New Roman" w:hAnsi="Times New Roman" w:cs="Times New Roman"/>
          <w:sz w:val="26"/>
          <w:szCs w:val="26"/>
        </w:rPr>
      </w:pPr>
      <w:r w:rsidRPr="00F70393">
        <w:rPr>
          <w:rFonts w:ascii="Times New Roman" w:hAnsi="Times New Roman" w:cs="Times New Roman"/>
          <w:sz w:val="26"/>
          <w:szCs w:val="26"/>
        </w:rPr>
        <w:t>The Commission does not consider the data posted concerning open season information to be confidential.  By public posting the information prior to the open season, this will significantly reduce any advantages that one shipper may have over another and create greater transparency for all parties.</w:t>
      </w:r>
    </w:p>
    <w:p w14:paraId="49F9C07D" w14:textId="3CD33364" w:rsidR="004662E2" w:rsidRPr="00F70393" w:rsidRDefault="004662E2" w:rsidP="00D64A3A">
      <w:pPr>
        <w:rPr>
          <w:rFonts w:ascii="Times New Roman" w:hAnsi="Times New Roman" w:cs="Times New Roman"/>
          <w:b/>
          <w:sz w:val="26"/>
          <w:szCs w:val="26"/>
        </w:rPr>
      </w:pPr>
      <w:r>
        <w:rPr>
          <w:rFonts w:ascii="Times New Roman" w:hAnsi="Times New Roman" w:cs="Times New Roman"/>
          <w:sz w:val="26"/>
          <w:szCs w:val="26"/>
        </w:rPr>
        <w:t xml:space="preserve">If </w:t>
      </w:r>
      <w:r w:rsidR="00245934">
        <w:rPr>
          <w:rFonts w:ascii="Times New Roman" w:hAnsi="Times New Roman" w:cs="Times New Roman"/>
          <w:sz w:val="26"/>
          <w:szCs w:val="26"/>
        </w:rPr>
        <w:t xml:space="preserve">any of </w:t>
      </w:r>
      <w:r>
        <w:rPr>
          <w:rFonts w:ascii="Times New Roman" w:hAnsi="Times New Roman" w:cs="Times New Roman"/>
          <w:sz w:val="26"/>
          <w:szCs w:val="26"/>
        </w:rPr>
        <w:t xml:space="preserve">the data are </w:t>
      </w:r>
      <w:r w:rsidR="00B518E6">
        <w:rPr>
          <w:rFonts w:ascii="Times New Roman" w:hAnsi="Times New Roman" w:cs="Times New Roman"/>
          <w:sz w:val="26"/>
          <w:szCs w:val="26"/>
        </w:rPr>
        <w:t xml:space="preserve">considered </w:t>
      </w:r>
      <w:r>
        <w:rPr>
          <w:rFonts w:ascii="Times New Roman" w:hAnsi="Times New Roman" w:cs="Times New Roman"/>
          <w:sz w:val="26"/>
          <w:szCs w:val="26"/>
        </w:rPr>
        <w:t xml:space="preserve">non-public or Critical Energy Infrastructure Information, the respondent </w:t>
      </w:r>
      <w:r w:rsidR="00B518E6">
        <w:rPr>
          <w:rFonts w:ascii="Times New Roman" w:hAnsi="Times New Roman" w:cs="Times New Roman"/>
          <w:sz w:val="26"/>
          <w:szCs w:val="26"/>
        </w:rPr>
        <w:t>may request treatment as such according to 18 CFR 388.112.</w:t>
      </w:r>
    </w:p>
    <w:p w14:paraId="45A54BC2" w14:textId="77777777" w:rsidR="004903C8" w:rsidRPr="00F70393" w:rsidRDefault="004903C8" w:rsidP="00D64A3A">
      <w:pPr>
        <w:rPr>
          <w:rFonts w:ascii="Times New Roman" w:hAnsi="Times New Roman" w:cs="Times New Roman"/>
          <w:sz w:val="24"/>
          <w:szCs w:val="24"/>
        </w:rPr>
      </w:pPr>
    </w:p>
    <w:p w14:paraId="715838BA" w14:textId="64685D02" w:rsidR="004903C8" w:rsidRPr="00F70393" w:rsidRDefault="004903C8" w:rsidP="004903C8">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rPr>
      </w:pPr>
      <w:r w:rsidRPr="00F70393">
        <w:rPr>
          <w:rFonts w:ascii="Times New Roman" w:hAnsi="Times New Roman" w:cs="Times New Roman"/>
          <w:b/>
          <w:bCs/>
          <w:sz w:val="26"/>
          <w:szCs w:val="26"/>
        </w:rPr>
        <w:t xml:space="preserve">PROVIDE ADDITIONAL JUSTIFICATION FOR ANY QUESTIONS OF A SENSITIVE NATURE </w:t>
      </w:r>
      <w:r w:rsidR="000F2692" w:rsidRPr="00F70393">
        <w:rPr>
          <w:rFonts w:ascii="Times New Roman" w:hAnsi="Times New Roman" w:cs="Times New Roman"/>
          <w:b/>
          <w:bCs/>
          <w:sz w:val="26"/>
          <w:szCs w:val="26"/>
        </w:rPr>
        <w:t>, SUCH AS SEXUAL BEHAVIOR AND ATTITUDES, RELIGIOUS BELIEFS, AND OTHER MATTERS THAT ARE COMMONLY CONSIDERED PRIVATE</w:t>
      </w:r>
    </w:p>
    <w:p w14:paraId="60851CF2" w14:textId="77777777" w:rsidR="004903C8" w:rsidRPr="00F70393" w:rsidRDefault="004903C8" w:rsidP="004903C8">
      <w:pPr>
        <w:rPr>
          <w:rFonts w:ascii="Times New Roman" w:hAnsi="Times New Roman" w:cs="Times New Roman"/>
          <w:b/>
          <w:bCs/>
          <w:sz w:val="26"/>
          <w:szCs w:val="26"/>
        </w:rPr>
      </w:pPr>
    </w:p>
    <w:p w14:paraId="6DB466F9" w14:textId="77777777" w:rsidR="00D64A3A" w:rsidRPr="00F70393" w:rsidRDefault="00D64A3A" w:rsidP="00D64A3A">
      <w:pPr>
        <w:rPr>
          <w:rFonts w:ascii="Times New Roman" w:hAnsi="Times New Roman" w:cs="Times New Roman"/>
          <w:sz w:val="26"/>
          <w:szCs w:val="26"/>
        </w:rPr>
      </w:pPr>
      <w:r w:rsidRPr="00F70393">
        <w:rPr>
          <w:rFonts w:ascii="Times New Roman" w:hAnsi="Times New Roman" w:cs="Times New Roman"/>
          <w:sz w:val="26"/>
          <w:szCs w:val="26"/>
        </w:rPr>
        <w:t>There are no questions of a sensitive nature or other matters that are commonly considered private that is associated with the collection of information under FERC-537.</w:t>
      </w:r>
    </w:p>
    <w:p w14:paraId="3CDF5059" w14:textId="77777777" w:rsidR="00D64A3A" w:rsidRPr="00F70393" w:rsidRDefault="00D64A3A" w:rsidP="004903C8">
      <w:pPr>
        <w:rPr>
          <w:rFonts w:ascii="Times New Roman" w:hAnsi="Times New Roman" w:cs="Times New Roman"/>
          <w:b/>
          <w:bCs/>
          <w:sz w:val="26"/>
          <w:szCs w:val="26"/>
        </w:rPr>
      </w:pPr>
    </w:p>
    <w:p w14:paraId="5E1A43C4" w14:textId="77777777" w:rsidR="004903C8" w:rsidRPr="00F70393" w:rsidRDefault="004903C8" w:rsidP="004903C8">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F70393">
        <w:rPr>
          <w:rFonts w:ascii="Times New Roman" w:hAnsi="Times New Roman" w:cs="Times New Roman"/>
          <w:b/>
          <w:bCs/>
          <w:sz w:val="26"/>
          <w:szCs w:val="26"/>
        </w:rPr>
        <w:t>ESTIMATED BURDEN OF COLLECTION OF INFORMATION</w:t>
      </w:r>
    </w:p>
    <w:p w14:paraId="7C2406D8" w14:textId="77777777" w:rsidR="00A83837" w:rsidRPr="00F70393" w:rsidRDefault="00A83837" w:rsidP="002A336B">
      <w:pPr>
        <w:spacing w:line="480" w:lineRule="auto"/>
        <w:rPr>
          <w:rFonts w:ascii="Times New Roman" w:hAnsi="Times New Roman" w:cs="Times New Roman"/>
          <w:sz w:val="26"/>
          <w:szCs w:val="26"/>
        </w:rPr>
      </w:pPr>
    </w:p>
    <w:p w14:paraId="42C984A8" w14:textId="40119660" w:rsidR="00F70393" w:rsidRPr="005F7134" w:rsidRDefault="002A336B" w:rsidP="00F70393">
      <w:pPr>
        <w:spacing w:line="480" w:lineRule="auto"/>
        <w:rPr>
          <w:rFonts w:ascii="Times New Roman" w:hAnsi="Times New Roman" w:cs="Times New Roman"/>
          <w:sz w:val="26"/>
          <w:szCs w:val="26"/>
        </w:rPr>
      </w:pPr>
      <w:r w:rsidRPr="00F70393">
        <w:rPr>
          <w:rFonts w:ascii="Times New Roman" w:hAnsi="Times New Roman" w:cs="Times New Roman"/>
          <w:sz w:val="26"/>
          <w:szCs w:val="26"/>
        </w:rPr>
        <w:t>The Commission estimates the annual public reporting burden for the information collection as:</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1495"/>
        <w:gridCol w:w="1409"/>
        <w:gridCol w:w="1575"/>
        <w:gridCol w:w="1932"/>
        <w:gridCol w:w="2114"/>
      </w:tblGrid>
      <w:tr w:rsidR="00F70393" w:rsidRPr="00F70393" w14:paraId="4FB18D22" w14:textId="77777777" w:rsidTr="00FE277A">
        <w:trPr>
          <w:cantSplit/>
        </w:trPr>
        <w:tc>
          <w:tcPr>
            <w:tcW w:w="5000" w:type="pct"/>
            <w:gridSpan w:val="6"/>
            <w:tcBorders>
              <w:bottom w:val="single" w:sz="4" w:space="0" w:color="auto"/>
            </w:tcBorders>
            <w:shd w:val="clear" w:color="auto" w:fill="D9D9D9"/>
          </w:tcPr>
          <w:p w14:paraId="47F2FBC5" w14:textId="77777777" w:rsidR="00F70393" w:rsidRPr="005F7134" w:rsidRDefault="00F70393" w:rsidP="00FE277A">
            <w:pPr>
              <w:jc w:val="center"/>
              <w:rPr>
                <w:rFonts w:ascii="Times New Roman" w:eastAsia="Calibri" w:hAnsi="Times New Roman" w:cs="Times New Roman"/>
                <w:b/>
                <w:sz w:val="20"/>
                <w:szCs w:val="20"/>
              </w:rPr>
            </w:pPr>
            <w:r w:rsidRPr="005F7134">
              <w:rPr>
                <w:rFonts w:ascii="Times New Roman" w:eastAsia="Calibri" w:hAnsi="Times New Roman" w:cs="Times New Roman"/>
                <w:b/>
                <w:sz w:val="20"/>
                <w:szCs w:val="20"/>
              </w:rPr>
              <w:t>FERC-537: Gas Pipeline Certificates:  Construction, Acquisition, and Abandonment</w:t>
            </w:r>
          </w:p>
        </w:tc>
      </w:tr>
      <w:tr w:rsidR="00F70393" w:rsidRPr="00F70393" w14:paraId="510E6247" w14:textId="77777777" w:rsidTr="00FE277A">
        <w:trPr>
          <w:cantSplit/>
        </w:trPr>
        <w:tc>
          <w:tcPr>
            <w:tcW w:w="746" w:type="pct"/>
            <w:shd w:val="clear" w:color="auto" w:fill="D9D9D9"/>
            <w:vAlign w:val="bottom"/>
          </w:tcPr>
          <w:p w14:paraId="69801FA6" w14:textId="77777777" w:rsidR="00F70393" w:rsidRPr="005F7134" w:rsidRDefault="00F70393" w:rsidP="00FE277A">
            <w:pPr>
              <w:jc w:val="center"/>
              <w:rPr>
                <w:rFonts w:ascii="Times New Roman" w:eastAsia="Calibri" w:hAnsi="Times New Roman" w:cs="Times New Roman"/>
                <w:b/>
                <w:sz w:val="20"/>
                <w:szCs w:val="20"/>
              </w:rPr>
            </w:pPr>
            <w:r w:rsidRPr="005F7134">
              <w:rPr>
                <w:rFonts w:ascii="Times New Roman" w:eastAsia="Calibri" w:hAnsi="Times New Roman" w:cs="Times New Roman"/>
                <w:b/>
                <w:sz w:val="20"/>
                <w:szCs w:val="20"/>
              </w:rPr>
              <w:t>Number of Respondents</w:t>
            </w:r>
            <w:r w:rsidRPr="005F7134">
              <w:rPr>
                <w:rFonts w:ascii="Times New Roman" w:eastAsia="Calibri" w:hAnsi="Times New Roman" w:cs="Times New Roman"/>
                <w:b/>
                <w:sz w:val="20"/>
                <w:szCs w:val="20"/>
              </w:rPr>
              <w:br/>
              <w:t>(1)</w:t>
            </w:r>
          </w:p>
        </w:tc>
        <w:tc>
          <w:tcPr>
            <w:tcW w:w="746" w:type="pct"/>
            <w:shd w:val="clear" w:color="auto" w:fill="D9D9D9"/>
            <w:vAlign w:val="bottom"/>
          </w:tcPr>
          <w:p w14:paraId="734B1C63" w14:textId="77777777" w:rsidR="00F70393" w:rsidRPr="005F7134" w:rsidRDefault="00F70393" w:rsidP="00FE277A">
            <w:pPr>
              <w:jc w:val="center"/>
              <w:rPr>
                <w:rFonts w:ascii="Times New Roman" w:eastAsia="Calibri" w:hAnsi="Times New Roman" w:cs="Times New Roman"/>
                <w:b/>
                <w:sz w:val="20"/>
                <w:szCs w:val="20"/>
              </w:rPr>
            </w:pPr>
            <w:r w:rsidRPr="005F7134">
              <w:rPr>
                <w:rFonts w:ascii="Times New Roman" w:eastAsia="Calibri" w:hAnsi="Times New Roman" w:cs="Times New Roman"/>
                <w:b/>
                <w:sz w:val="20"/>
                <w:szCs w:val="20"/>
              </w:rPr>
              <w:t>Annual Number of Responses per Respondent</w:t>
            </w:r>
          </w:p>
          <w:p w14:paraId="238CF030" w14:textId="77777777" w:rsidR="00F70393" w:rsidRPr="005F7134" w:rsidRDefault="00F70393" w:rsidP="00FE277A">
            <w:pPr>
              <w:jc w:val="center"/>
              <w:rPr>
                <w:rFonts w:ascii="Times New Roman" w:eastAsia="Calibri" w:hAnsi="Times New Roman" w:cs="Times New Roman"/>
                <w:b/>
                <w:sz w:val="20"/>
                <w:szCs w:val="20"/>
              </w:rPr>
            </w:pPr>
            <w:r w:rsidRPr="005F7134">
              <w:rPr>
                <w:rFonts w:ascii="Times New Roman" w:eastAsia="Calibri" w:hAnsi="Times New Roman" w:cs="Times New Roman"/>
                <w:b/>
                <w:sz w:val="20"/>
                <w:szCs w:val="20"/>
              </w:rPr>
              <w:t>(2)</w:t>
            </w:r>
          </w:p>
        </w:tc>
        <w:tc>
          <w:tcPr>
            <w:tcW w:w="703" w:type="pct"/>
            <w:shd w:val="clear" w:color="auto" w:fill="D9D9D9"/>
            <w:vAlign w:val="bottom"/>
          </w:tcPr>
          <w:p w14:paraId="70E71C67" w14:textId="77777777" w:rsidR="00F70393" w:rsidRPr="005F7134" w:rsidRDefault="00F70393" w:rsidP="00FE277A">
            <w:pPr>
              <w:jc w:val="center"/>
              <w:rPr>
                <w:rFonts w:ascii="Times New Roman" w:eastAsia="Calibri" w:hAnsi="Times New Roman" w:cs="Times New Roman"/>
                <w:b/>
                <w:sz w:val="20"/>
                <w:szCs w:val="20"/>
              </w:rPr>
            </w:pPr>
            <w:r w:rsidRPr="005F7134">
              <w:rPr>
                <w:rFonts w:ascii="Times New Roman" w:eastAsia="Calibri" w:hAnsi="Times New Roman" w:cs="Times New Roman"/>
                <w:b/>
                <w:sz w:val="20"/>
                <w:szCs w:val="20"/>
              </w:rPr>
              <w:t>Total Number of Responses (1)*(2)=(3)</w:t>
            </w:r>
          </w:p>
        </w:tc>
        <w:tc>
          <w:tcPr>
            <w:tcW w:w="786" w:type="pct"/>
            <w:shd w:val="clear" w:color="auto" w:fill="D9D9D9"/>
            <w:vAlign w:val="bottom"/>
          </w:tcPr>
          <w:p w14:paraId="6D3999BF" w14:textId="77777777" w:rsidR="00F70393" w:rsidRPr="005F7134" w:rsidRDefault="00F70393" w:rsidP="00FE277A">
            <w:pPr>
              <w:jc w:val="center"/>
              <w:rPr>
                <w:rFonts w:ascii="Times New Roman" w:eastAsia="Calibri" w:hAnsi="Times New Roman" w:cs="Times New Roman"/>
                <w:b/>
                <w:sz w:val="20"/>
                <w:szCs w:val="20"/>
              </w:rPr>
            </w:pPr>
            <w:r w:rsidRPr="005F7134">
              <w:rPr>
                <w:rFonts w:ascii="Times New Roman" w:eastAsia="Calibri" w:hAnsi="Times New Roman" w:cs="Times New Roman"/>
                <w:b/>
                <w:sz w:val="20"/>
                <w:szCs w:val="20"/>
              </w:rPr>
              <w:t>Average Burden Hours &amp; Cost Per Response</w:t>
            </w:r>
            <w:r w:rsidRPr="005F7134">
              <w:rPr>
                <w:rFonts w:ascii="Times New Roman" w:eastAsia="Calibri" w:hAnsi="Times New Roman" w:cs="Times New Roman"/>
                <w:b/>
                <w:sz w:val="20"/>
                <w:szCs w:val="20"/>
                <w:vertAlign w:val="superscript"/>
              </w:rPr>
              <w:footnoteReference w:id="3"/>
            </w:r>
          </w:p>
          <w:p w14:paraId="55CC17AA" w14:textId="77777777" w:rsidR="00F70393" w:rsidRPr="005F7134" w:rsidRDefault="00F70393" w:rsidP="00FE277A">
            <w:pPr>
              <w:jc w:val="center"/>
              <w:rPr>
                <w:rFonts w:ascii="Times New Roman" w:eastAsia="Calibri" w:hAnsi="Times New Roman" w:cs="Times New Roman"/>
                <w:b/>
                <w:sz w:val="20"/>
                <w:szCs w:val="20"/>
              </w:rPr>
            </w:pPr>
            <w:r w:rsidRPr="005F7134">
              <w:rPr>
                <w:rFonts w:ascii="Times New Roman" w:eastAsia="Calibri" w:hAnsi="Times New Roman" w:cs="Times New Roman"/>
                <w:b/>
                <w:sz w:val="20"/>
                <w:szCs w:val="20"/>
              </w:rPr>
              <w:t>(4)</w:t>
            </w:r>
          </w:p>
        </w:tc>
        <w:tc>
          <w:tcPr>
            <w:tcW w:w="964" w:type="pct"/>
            <w:shd w:val="clear" w:color="auto" w:fill="D9D9D9"/>
            <w:vAlign w:val="bottom"/>
          </w:tcPr>
          <w:p w14:paraId="11B4C886" w14:textId="77777777" w:rsidR="00F70393" w:rsidRPr="005F7134" w:rsidRDefault="00F70393" w:rsidP="00FE277A">
            <w:pPr>
              <w:jc w:val="center"/>
              <w:rPr>
                <w:rFonts w:ascii="Times New Roman" w:eastAsia="Calibri" w:hAnsi="Times New Roman" w:cs="Times New Roman"/>
                <w:b/>
                <w:sz w:val="20"/>
                <w:szCs w:val="20"/>
              </w:rPr>
            </w:pPr>
            <w:r w:rsidRPr="005F7134">
              <w:rPr>
                <w:rFonts w:ascii="Times New Roman" w:eastAsia="Calibri" w:hAnsi="Times New Roman" w:cs="Times New Roman"/>
                <w:b/>
                <w:sz w:val="20"/>
                <w:szCs w:val="20"/>
              </w:rPr>
              <w:t>Total Annual Burden Hours &amp; Total Annual Cost</w:t>
            </w:r>
          </w:p>
          <w:p w14:paraId="5F7D8881" w14:textId="77777777" w:rsidR="00F70393" w:rsidRPr="005F7134" w:rsidRDefault="00F70393" w:rsidP="00FE277A">
            <w:pPr>
              <w:jc w:val="center"/>
              <w:rPr>
                <w:rFonts w:ascii="Times New Roman" w:eastAsia="Calibri" w:hAnsi="Times New Roman" w:cs="Times New Roman"/>
                <w:b/>
                <w:sz w:val="20"/>
                <w:szCs w:val="20"/>
              </w:rPr>
            </w:pPr>
            <w:r w:rsidRPr="005F7134">
              <w:rPr>
                <w:rFonts w:ascii="Times New Roman" w:eastAsia="Calibri" w:hAnsi="Times New Roman" w:cs="Times New Roman"/>
                <w:b/>
                <w:sz w:val="20"/>
                <w:szCs w:val="20"/>
              </w:rPr>
              <w:t>(3)*(4)=(5)</w:t>
            </w:r>
          </w:p>
        </w:tc>
        <w:tc>
          <w:tcPr>
            <w:tcW w:w="1054" w:type="pct"/>
            <w:shd w:val="clear" w:color="auto" w:fill="D9D9D9"/>
            <w:vAlign w:val="bottom"/>
          </w:tcPr>
          <w:p w14:paraId="6DEAB62B" w14:textId="77777777" w:rsidR="00F70393" w:rsidRPr="005F7134" w:rsidRDefault="00F70393" w:rsidP="00FE277A">
            <w:pPr>
              <w:jc w:val="center"/>
              <w:rPr>
                <w:rFonts w:ascii="Times New Roman" w:eastAsia="Calibri" w:hAnsi="Times New Roman" w:cs="Times New Roman"/>
                <w:b/>
                <w:sz w:val="20"/>
                <w:szCs w:val="20"/>
              </w:rPr>
            </w:pPr>
            <w:r w:rsidRPr="005F7134">
              <w:rPr>
                <w:rFonts w:ascii="Times New Roman" w:eastAsia="Calibri" w:hAnsi="Times New Roman" w:cs="Times New Roman"/>
                <w:b/>
                <w:sz w:val="20"/>
                <w:szCs w:val="20"/>
              </w:rPr>
              <w:t>Cost per Respondent</w:t>
            </w:r>
          </w:p>
          <w:p w14:paraId="605B92BE" w14:textId="77777777" w:rsidR="00F70393" w:rsidRPr="005F7134" w:rsidRDefault="00F70393" w:rsidP="00FE277A">
            <w:pPr>
              <w:jc w:val="center"/>
              <w:rPr>
                <w:rFonts w:ascii="Times New Roman" w:eastAsia="Calibri" w:hAnsi="Times New Roman" w:cs="Times New Roman"/>
                <w:b/>
                <w:sz w:val="20"/>
                <w:szCs w:val="20"/>
              </w:rPr>
            </w:pPr>
            <w:r w:rsidRPr="005F7134">
              <w:rPr>
                <w:rFonts w:ascii="Times New Roman" w:eastAsia="Calibri" w:hAnsi="Times New Roman" w:cs="Times New Roman"/>
                <w:b/>
                <w:sz w:val="20"/>
                <w:szCs w:val="20"/>
              </w:rPr>
              <w:t xml:space="preserve"> ($)</w:t>
            </w:r>
          </w:p>
          <w:p w14:paraId="34197E48" w14:textId="77777777" w:rsidR="00F70393" w:rsidRPr="005F7134" w:rsidRDefault="00F70393" w:rsidP="00FE277A">
            <w:pPr>
              <w:jc w:val="center"/>
              <w:rPr>
                <w:rFonts w:ascii="Times New Roman" w:eastAsia="Calibri" w:hAnsi="Times New Roman" w:cs="Times New Roman"/>
                <w:b/>
                <w:sz w:val="20"/>
                <w:szCs w:val="20"/>
              </w:rPr>
            </w:pPr>
            <w:r w:rsidRPr="005F7134">
              <w:rPr>
                <w:rFonts w:ascii="Times New Roman" w:eastAsia="Calibri" w:hAnsi="Times New Roman" w:cs="Times New Roman"/>
                <w:b/>
                <w:sz w:val="20"/>
                <w:szCs w:val="20"/>
              </w:rPr>
              <w:t>(5)÷(1)</w:t>
            </w:r>
          </w:p>
        </w:tc>
      </w:tr>
      <w:tr w:rsidR="00F70393" w:rsidRPr="00F70393" w14:paraId="51F98A66" w14:textId="77777777" w:rsidTr="00FE277A">
        <w:trPr>
          <w:cantSplit/>
        </w:trPr>
        <w:tc>
          <w:tcPr>
            <w:tcW w:w="746" w:type="pct"/>
            <w:shd w:val="clear" w:color="auto" w:fill="auto"/>
          </w:tcPr>
          <w:p w14:paraId="2FDD1AA1" w14:textId="77777777" w:rsidR="00F70393" w:rsidRPr="005F7134" w:rsidRDefault="00F70393" w:rsidP="00FE277A">
            <w:pPr>
              <w:jc w:val="right"/>
              <w:rPr>
                <w:rFonts w:ascii="Times New Roman" w:eastAsia="Calibri" w:hAnsi="Times New Roman" w:cs="Times New Roman"/>
                <w:sz w:val="20"/>
                <w:szCs w:val="20"/>
              </w:rPr>
            </w:pPr>
            <w:r w:rsidRPr="005F7134">
              <w:rPr>
                <w:rFonts w:ascii="Times New Roman" w:eastAsia="Calibri" w:hAnsi="Times New Roman" w:cs="Times New Roman"/>
                <w:sz w:val="20"/>
                <w:szCs w:val="20"/>
              </w:rPr>
              <w:t>204</w:t>
            </w:r>
          </w:p>
          <w:p w14:paraId="50536E5A" w14:textId="77777777" w:rsidR="00F70393" w:rsidRPr="005F7134" w:rsidRDefault="00F70393" w:rsidP="00FE277A">
            <w:pPr>
              <w:jc w:val="right"/>
              <w:rPr>
                <w:rFonts w:ascii="Times New Roman" w:eastAsia="Calibri" w:hAnsi="Times New Roman" w:cs="Times New Roman"/>
                <w:sz w:val="20"/>
                <w:szCs w:val="20"/>
              </w:rPr>
            </w:pPr>
          </w:p>
        </w:tc>
        <w:tc>
          <w:tcPr>
            <w:tcW w:w="746" w:type="pct"/>
            <w:shd w:val="clear" w:color="auto" w:fill="auto"/>
          </w:tcPr>
          <w:p w14:paraId="2BBD40B2" w14:textId="77777777" w:rsidR="00F70393" w:rsidRPr="005F7134" w:rsidRDefault="00F70393" w:rsidP="00FE277A">
            <w:pPr>
              <w:jc w:val="right"/>
              <w:rPr>
                <w:rFonts w:ascii="Times New Roman" w:eastAsia="Calibri" w:hAnsi="Times New Roman" w:cs="Times New Roman"/>
                <w:sz w:val="20"/>
                <w:szCs w:val="20"/>
              </w:rPr>
            </w:pPr>
            <w:r w:rsidRPr="005F7134">
              <w:rPr>
                <w:rFonts w:ascii="Times New Roman" w:eastAsia="Calibri" w:hAnsi="Times New Roman" w:cs="Times New Roman"/>
                <w:sz w:val="20"/>
                <w:szCs w:val="20"/>
              </w:rPr>
              <w:t>2.24</w:t>
            </w:r>
          </w:p>
        </w:tc>
        <w:tc>
          <w:tcPr>
            <w:tcW w:w="703" w:type="pct"/>
            <w:shd w:val="clear" w:color="auto" w:fill="auto"/>
          </w:tcPr>
          <w:p w14:paraId="1667C9E1" w14:textId="77777777" w:rsidR="00F70393" w:rsidRPr="005F7134" w:rsidRDefault="00F70393" w:rsidP="00FE277A">
            <w:pPr>
              <w:jc w:val="right"/>
              <w:rPr>
                <w:rFonts w:ascii="Times New Roman" w:eastAsia="Calibri" w:hAnsi="Times New Roman" w:cs="Times New Roman"/>
                <w:sz w:val="20"/>
                <w:szCs w:val="20"/>
              </w:rPr>
            </w:pPr>
            <w:r w:rsidRPr="005F7134">
              <w:rPr>
                <w:rFonts w:ascii="Times New Roman" w:eastAsia="Calibri" w:hAnsi="Times New Roman" w:cs="Times New Roman"/>
                <w:sz w:val="20"/>
                <w:szCs w:val="20"/>
              </w:rPr>
              <w:t>458</w:t>
            </w:r>
          </w:p>
        </w:tc>
        <w:tc>
          <w:tcPr>
            <w:tcW w:w="786" w:type="pct"/>
          </w:tcPr>
          <w:p w14:paraId="26B86EB8" w14:textId="77777777" w:rsidR="00F70393" w:rsidRPr="005F7134" w:rsidRDefault="00F70393" w:rsidP="00FE277A">
            <w:pPr>
              <w:jc w:val="right"/>
              <w:rPr>
                <w:rFonts w:ascii="Times New Roman" w:eastAsia="Calibri" w:hAnsi="Times New Roman" w:cs="Times New Roman"/>
                <w:sz w:val="20"/>
                <w:szCs w:val="20"/>
              </w:rPr>
            </w:pPr>
            <w:r w:rsidRPr="005F7134">
              <w:rPr>
                <w:rFonts w:ascii="Times New Roman" w:eastAsia="Calibri" w:hAnsi="Times New Roman" w:cs="Times New Roman"/>
                <w:sz w:val="20"/>
                <w:szCs w:val="20"/>
              </w:rPr>
              <w:t>146</w:t>
            </w:r>
          </w:p>
          <w:p w14:paraId="0C7C423E" w14:textId="77777777" w:rsidR="00F70393" w:rsidRPr="005F7134" w:rsidRDefault="00F70393" w:rsidP="00FE277A">
            <w:pPr>
              <w:jc w:val="right"/>
              <w:rPr>
                <w:rFonts w:ascii="Times New Roman" w:eastAsia="Calibri" w:hAnsi="Times New Roman" w:cs="Times New Roman"/>
                <w:sz w:val="20"/>
                <w:szCs w:val="20"/>
              </w:rPr>
            </w:pPr>
            <w:r w:rsidRPr="005F7134">
              <w:rPr>
                <w:rFonts w:ascii="Times New Roman" w:eastAsia="Calibri" w:hAnsi="Times New Roman" w:cs="Times New Roman"/>
                <w:sz w:val="20"/>
                <w:szCs w:val="20"/>
              </w:rPr>
              <w:t>$10,293</w:t>
            </w:r>
          </w:p>
        </w:tc>
        <w:tc>
          <w:tcPr>
            <w:tcW w:w="964" w:type="pct"/>
          </w:tcPr>
          <w:p w14:paraId="1605FD3F" w14:textId="77777777" w:rsidR="00F70393" w:rsidRPr="005F7134" w:rsidRDefault="00F70393" w:rsidP="00FE277A">
            <w:pPr>
              <w:jc w:val="right"/>
              <w:rPr>
                <w:rFonts w:ascii="Times New Roman" w:eastAsia="Calibri" w:hAnsi="Times New Roman" w:cs="Times New Roman"/>
                <w:sz w:val="20"/>
                <w:szCs w:val="20"/>
              </w:rPr>
            </w:pPr>
            <w:r w:rsidRPr="005F7134">
              <w:rPr>
                <w:rFonts w:ascii="Times New Roman" w:eastAsia="Calibri" w:hAnsi="Times New Roman" w:cs="Times New Roman"/>
                <w:sz w:val="20"/>
                <w:szCs w:val="20"/>
              </w:rPr>
              <w:t xml:space="preserve"> 66,868</w:t>
            </w:r>
          </w:p>
          <w:p w14:paraId="7ED1209E" w14:textId="77777777" w:rsidR="00F70393" w:rsidRPr="005F7134" w:rsidRDefault="00F70393" w:rsidP="00FE277A">
            <w:pPr>
              <w:jc w:val="right"/>
              <w:rPr>
                <w:rFonts w:ascii="Times New Roman" w:eastAsia="Calibri" w:hAnsi="Times New Roman" w:cs="Times New Roman"/>
                <w:sz w:val="20"/>
                <w:szCs w:val="20"/>
              </w:rPr>
            </w:pPr>
            <w:r w:rsidRPr="005F7134">
              <w:rPr>
                <w:rFonts w:ascii="Times New Roman" w:eastAsia="Calibri" w:hAnsi="Times New Roman" w:cs="Times New Roman"/>
                <w:sz w:val="20"/>
                <w:szCs w:val="20"/>
              </w:rPr>
              <w:t xml:space="preserve">$4,714,194 </w:t>
            </w:r>
          </w:p>
        </w:tc>
        <w:tc>
          <w:tcPr>
            <w:tcW w:w="1054" w:type="pct"/>
          </w:tcPr>
          <w:p w14:paraId="37DD3939" w14:textId="77777777" w:rsidR="00F70393" w:rsidRPr="005F7134" w:rsidRDefault="00F70393" w:rsidP="00FE277A">
            <w:pPr>
              <w:jc w:val="right"/>
              <w:rPr>
                <w:rFonts w:ascii="Times New Roman" w:eastAsia="Calibri" w:hAnsi="Times New Roman" w:cs="Times New Roman"/>
                <w:sz w:val="20"/>
                <w:szCs w:val="20"/>
              </w:rPr>
            </w:pPr>
            <w:r w:rsidRPr="005F7134">
              <w:rPr>
                <w:rFonts w:ascii="Times New Roman" w:eastAsia="Calibri" w:hAnsi="Times New Roman" w:cs="Times New Roman"/>
                <w:sz w:val="20"/>
                <w:szCs w:val="20"/>
              </w:rPr>
              <w:t xml:space="preserve">$23,109 </w:t>
            </w:r>
          </w:p>
          <w:p w14:paraId="3CE901DF" w14:textId="77777777" w:rsidR="00F70393" w:rsidRPr="005F7134" w:rsidRDefault="00F70393" w:rsidP="00FE277A">
            <w:pPr>
              <w:jc w:val="right"/>
              <w:rPr>
                <w:rFonts w:ascii="Times New Roman" w:eastAsia="Calibri" w:hAnsi="Times New Roman" w:cs="Times New Roman"/>
                <w:sz w:val="20"/>
                <w:szCs w:val="20"/>
              </w:rPr>
            </w:pPr>
          </w:p>
        </w:tc>
      </w:tr>
    </w:tbl>
    <w:p w14:paraId="6D3F4258" w14:textId="77777777" w:rsidR="00F70393" w:rsidRPr="005F7134" w:rsidRDefault="00F70393" w:rsidP="00F70393">
      <w:pPr>
        <w:spacing w:line="480" w:lineRule="auto"/>
        <w:rPr>
          <w:rFonts w:ascii="Times New Roman" w:hAnsi="Times New Roman" w:cs="Times New Roman"/>
        </w:rPr>
      </w:pPr>
    </w:p>
    <w:p w14:paraId="2EE11B43" w14:textId="77777777" w:rsidR="00F70393" w:rsidRPr="005F7134" w:rsidRDefault="00F70393" w:rsidP="00F70393">
      <w:pPr>
        <w:spacing w:line="480" w:lineRule="auto"/>
        <w:rPr>
          <w:rFonts w:ascii="Times New Roman" w:hAnsi="Times New Roman" w:cs="Times New Roman"/>
        </w:rPr>
      </w:pPr>
      <w:r w:rsidRPr="005F7134">
        <w:rPr>
          <w:rFonts w:ascii="Times New Roman" w:hAnsi="Times New Roman" w:cs="Times New Roman"/>
        </w:rPr>
        <w:t>A more granular breakdown of the average burden hour figure (i.e., 146 average hours per response) follows: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8"/>
        <w:gridCol w:w="2610"/>
        <w:gridCol w:w="1620"/>
        <w:gridCol w:w="1430"/>
        <w:gridCol w:w="1630"/>
      </w:tblGrid>
      <w:tr w:rsidR="00F70393" w:rsidRPr="00F70393" w14:paraId="68CF8569" w14:textId="77777777" w:rsidTr="00FE277A">
        <w:tc>
          <w:tcPr>
            <w:tcW w:w="2178" w:type="dxa"/>
            <w:shd w:val="clear" w:color="auto" w:fill="D9D9D9"/>
            <w:vAlign w:val="bottom"/>
          </w:tcPr>
          <w:p w14:paraId="0CDFA565" w14:textId="77777777" w:rsidR="00F70393" w:rsidRPr="005F7134" w:rsidRDefault="00F70393" w:rsidP="00FE277A">
            <w:pPr>
              <w:tabs>
                <w:tab w:val="left" w:pos="1734"/>
                <w:tab w:val="left" w:pos="1995"/>
                <w:tab w:val="left" w:pos="2333"/>
                <w:tab w:val="left" w:pos="2613"/>
              </w:tabs>
              <w:jc w:val="center"/>
              <w:rPr>
                <w:rFonts w:ascii="Times New Roman" w:hAnsi="Times New Roman" w:cs="Times New Roman"/>
                <w:b/>
                <w:sz w:val="20"/>
                <w:szCs w:val="20"/>
              </w:rPr>
            </w:pPr>
          </w:p>
          <w:p w14:paraId="7AD8D52D" w14:textId="77777777" w:rsidR="00F70393" w:rsidRPr="005F7134" w:rsidRDefault="00F70393" w:rsidP="00FE277A">
            <w:pPr>
              <w:tabs>
                <w:tab w:val="left" w:pos="1734"/>
                <w:tab w:val="left" w:pos="1995"/>
                <w:tab w:val="left" w:pos="2333"/>
                <w:tab w:val="left" w:pos="2613"/>
              </w:tabs>
              <w:jc w:val="center"/>
              <w:rPr>
                <w:rFonts w:ascii="Times New Roman" w:hAnsi="Times New Roman" w:cs="Times New Roman"/>
                <w:b/>
                <w:sz w:val="20"/>
                <w:szCs w:val="20"/>
              </w:rPr>
            </w:pPr>
            <w:r w:rsidRPr="005F7134">
              <w:rPr>
                <w:rFonts w:ascii="Times New Roman" w:hAnsi="Times New Roman" w:cs="Times New Roman"/>
                <w:b/>
                <w:sz w:val="20"/>
                <w:szCs w:val="20"/>
              </w:rPr>
              <w:t>18 CFR Section</w:t>
            </w:r>
          </w:p>
        </w:tc>
        <w:tc>
          <w:tcPr>
            <w:tcW w:w="2610" w:type="dxa"/>
            <w:shd w:val="clear" w:color="auto" w:fill="D9D9D9"/>
            <w:vAlign w:val="bottom"/>
          </w:tcPr>
          <w:p w14:paraId="6B77161B" w14:textId="77777777" w:rsidR="00F70393" w:rsidRPr="005F7134" w:rsidRDefault="00F70393" w:rsidP="00FE277A">
            <w:pPr>
              <w:tabs>
                <w:tab w:val="left" w:pos="1734"/>
                <w:tab w:val="left" w:pos="1995"/>
                <w:tab w:val="left" w:pos="2333"/>
                <w:tab w:val="left" w:pos="2613"/>
              </w:tabs>
              <w:jc w:val="center"/>
              <w:rPr>
                <w:rFonts w:ascii="Times New Roman" w:hAnsi="Times New Roman" w:cs="Times New Roman"/>
                <w:b/>
                <w:sz w:val="20"/>
                <w:szCs w:val="20"/>
              </w:rPr>
            </w:pPr>
            <w:r w:rsidRPr="005F7134">
              <w:rPr>
                <w:rFonts w:ascii="Times New Roman" w:hAnsi="Times New Roman" w:cs="Times New Roman"/>
                <w:b/>
                <w:sz w:val="20"/>
                <w:szCs w:val="20"/>
              </w:rPr>
              <w:t>Regulation Topic</w:t>
            </w:r>
          </w:p>
        </w:tc>
        <w:tc>
          <w:tcPr>
            <w:tcW w:w="1620" w:type="dxa"/>
            <w:shd w:val="clear" w:color="auto" w:fill="D9D9D9"/>
            <w:vAlign w:val="bottom"/>
          </w:tcPr>
          <w:p w14:paraId="52980644" w14:textId="77777777" w:rsidR="00F70393" w:rsidRPr="005F7134" w:rsidRDefault="00F70393" w:rsidP="00FE277A">
            <w:pPr>
              <w:tabs>
                <w:tab w:val="left" w:pos="1734"/>
                <w:tab w:val="left" w:pos="1995"/>
                <w:tab w:val="left" w:pos="2333"/>
                <w:tab w:val="left" w:pos="2613"/>
              </w:tabs>
              <w:jc w:val="center"/>
              <w:rPr>
                <w:rFonts w:ascii="Times New Roman" w:hAnsi="Times New Roman" w:cs="Times New Roman"/>
                <w:b/>
                <w:sz w:val="20"/>
                <w:szCs w:val="20"/>
              </w:rPr>
            </w:pPr>
            <w:r w:rsidRPr="005F7134">
              <w:rPr>
                <w:rFonts w:ascii="Times New Roman" w:hAnsi="Times New Roman" w:cs="Times New Roman"/>
                <w:b/>
                <w:sz w:val="20"/>
                <w:szCs w:val="20"/>
              </w:rPr>
              <w:t>Number of Respondents</w:t>
            </w:r>
          </w:p>
        </w:tc>
        <w:tc>
          <w:tcPr>
            <w:tcW w:w="1430" w:type="dxa"/>
            <w:shd w:val="clear" w:color="auto" w:fill="D9D9D9"/>
            <w:vAlign w:val="bottom"/>
          </w:tcPr>
          <w:p w14:paraId="2D352D4E" w14:textId="77777777" w:rsidR="00F70393" w:rsidRPr="005F7134" w:rsidRDefault="00F70393" w:rsidP="00FE277A">
            <w:pPr>
              <w:tabs>
                <w:tab w:val="left" w:pos="1734"/>
                <w:tab w:val="left" w:pos="1995"/>
                <w:tab w:val="left" w:pos="2333"/>
                <w:tab w:val="left" w:pos="2613"/>
              </w:tabs>
              <w:jc w:val="center"/>
              <w:rPr>
                <w:rFonts w:ascii="Times New Roman" w:hAnsi="Times New Roman" w:cs="Times New Roman"/>
                <w:b/>
                <w:sz w:val="20"/>
                <w:szCs w:val="20"/>
              </w:rPr>
            </w:pPr>
            <w:r w:rsidRPr="005F7134">
              <w:rPr>
                <w:rFonts w:ascii="Times New Roman" w:hAnsi="Times New Roman" w:cs="Times New Roman"/>
                <w:b/>
                <w:sz w:val="20"/>
                <w:szCs w:val="20"/>
              </w:rPr>
              <w:t>Number of  Responses</w:t>
            </w:r>
          </w:p>
        </w:tc>
        <w:tc>
          <w:tcPr>
            <w:tcW w:w="1630" w:type="dxa"/>
            <w:shd w:val="clear" w:color="auto" w:fill="D9D9D9"/>
            <w:vAlign w:val="bottom"/>
          </w:tcPr>
          <w:p w14:paraId="6C17D190" w14:textId="77777777" w:rsidR="00F70393" w:rsidRPr="005F7134" w:rsidRDefault="00F70393" w:rsidP="00FE277A">
            <w:pPr>
              <w:tabs>
                <w:tab w:val="left" w:pos="1734"/>
                <w:tab w:val="left" w:pos="1995"/>
                <w:tab w:val="left" w:pos="2333"/>
                <w:tab w:val="left" w:pos="2613"/>
              </w:tabs>
              <w:jc w:val="center"/>
              <w:rPr>
                <w:rFonts w:ascii="Times New Roman" w:hAnsi="Times New Roman" w:cs="Times New Roman"/>
                <w:b/>
                <w:sz w:val="20"/>
                <w:szCs w:val="20"/>
              </w:rPr>
            </w:pPr>
            <w:r w:rsidRPr="005F7134">
              <w:rPr>
                <w:rFonts w:ascii="Times New Roman" w:hAnsi="Times New Roman" w:cs="Times New Roman"/>
                <w:b/>
                <w:sz w:val="20"/>
                <w:szCs w:val="20"/>
              </w:rPr>
              <w:t>Avg. Hours Per Response</w:t>
            </w:r>
          </w:p>
        </w:tc>
      </w:tr>
      <w:tr w:rsidR="00F70393" w:rsidRPr="00F70393" w14:paraId="1F7DB998" w14:textId="77777777" w:rsidTr="00FE277A">
        <w:tc>
          <w:tcPr>
            <w:tcW w:w="2178" w:type="dxa"/>
            <w:vAlign w:val="center"/>
          </w:tcPr>
          <w:p w14:paraId="7C3DEFF9" w14:textId="77777777" w:rsidR="00F70393" w:rsidRPr="005F7134" w:rsidRDefault="00F70393" w:rsidP="00FE277A">
            <w:pPr>
              <w:tabs>
                <w:tab w:val="left" w:pos="1734"/>
                <w:tab w:val="left" w:pos="1995"/>
                <w:tab w:val="left" w:pos="2333"/>
                <w:tab w:val="left" w:pos="2613"/>
              </w:tabs>
              <w:jc w:val="center"/>
              <w:rPr>
                <w:rFonts w:ascii="Times New Roman" w:hAnsi="Times New Roman" w:cs="Times New Roman"/>
                <w:sz w:val="20"/>
                <w:szCs w:val="20"/>
              </w:rPr>
            </w:pPr>
            <w:r w:rsidRPr="005F7134">
              <w:rPr>
                <w:rFonts w:ascii="Times New Roman" w:hAnsi="Times New Roman" w:cs="Times New Roman"/>
                <w:sz w:val="20"/>
                <w:szCs w:val="20"/>
              </w:rPr>
              <w:t>157.5-.11; &amp; 157.13-.20</w:t>
            </w:r>
          </w:p>
        </w:tc>
        <w:tc>
          <w:tcPr>
            <w:tcW w:w="2610" w:type="dxa"/>
            <w:vAlign w:val="center"/>
          </w:tcPr>
          <w:p w14:paraId="6F2C13B2" w14:textId="77777777" w:rsidR="00F70393" w:rsidRPr="005F7134" w:rsidRDefault="00F70393" w:rsidP="00FE277A">
            <w:pPr>
              <w:tabs>
                <w:tab w:val="left" w:pos="1734"/>
                <w:tab w:val="left" w:pos="1995"/>
                <w:tab w:val="left" w:pos="2333"/>
                <w:tab w:val="left" w:pos="2613"/>
              </w:tabs>
              <w:jc w:val="center"/>
              <w:rPr>
                <w:rFonts w:ascii="Times New Roman" w:hAnsi="Times New Roman" w:cs="Times New Roman"/>
                <w:sz w:val="20"/>
                <w:szCs w:val="20"/>
              </w:rPr>
            </w:pPr>
            <w:r w:rsidRPr="005F7134">
              <w:rPr>
                <w:rFonts w:ascii="Times New Roman" w:hAnsi="Times New Roman" w:cs="Times New Roman"/>
                <w:sz w:val="20"/>
                <w:szCs w:val="20"/>
              </w:rPr>
              <w:t>Interstate certificate and abandonment applications</w:t>
            </w:r>
          </w:p>
        </w:tc>
        <w:tc>
          <w:tcPr>
            <w:tcW w:w="1620" w:type="dxa"/>
            <w:vAlign w:val="bottom"/>
          </w:tcPr>
          <w:p w14:paraId="08FC979E" w14:textId="77777777" w:rsidR="00F70393" w:rsidRPr="005F7134" w:rsidRDefault="00F70393" w:rsidP="00FE277A">
            <w:pPr>
              <w:tabs>
                <w:tab w:val="left" w:pos="1734"/>
                <w:tab w:val="left" w:pos="1995"/>
                <w:tab w:val="left" w:pos="2333"/>
                <w:tab w:val="left" w:pos="2613"/>
              </w:tabs>
              <w:jc w:val="right"/>
              <w:rPr>
                <w:rFonts w:ascii="Times New Roman" w:hAnsi="Times New Roman" w:cs="Times New Roman"/>
                <w:sz w:val="20"/>
                <w:szCs w:val="20"/>
              </w:rPr>
            </w:pPr>
          </w:p>
          <w:p w14:paraId="5D5136ED" w14:textId="77777777" w:rsidR="00F70393" w:rsidRPr="005F7134" w:rsidRDefault="00F70393" w:rsidP="00FE277A">
            <w:pPr>
              <w:tabs>
                <w:tab w:val="left" w:pos="1734"/>
                <w:tab w:val="left" w:pos="1995"/>
                <w:tab w:val="left" w:pos="2333"/>
                <w:tab w:val="left" w:pos="2613"/>
              </w:tabs>
              <w:jc w:val="right"/>
              <w:rPr>
                <w:rFonts w:ascii="Times New Roman" w:hAnsi="Times New Roman" w:cs="Times New Roman"/>
                <w:sz w:val="20"/>
                <w:szCs w:val="20"/>
              </w:rPr>
            </w:pPr>
            <w:r w:rsidRPr="005F7134">
              <w:rPr>
                <w:rFonts w:ascii="Times New Roman" w:hAnsi="Times New Roman" w:cs="Times New Roman"/>
                <w:sz w:val="20"/>
                <w:szCs w:val="20"/>
              </w:rPr>
              <w:t>159</w:t>
            </w:r>
          </w:p>
        </w:tc>
        <w:tc>
          <w:tcPr>
            <w:tcW w:w="1430" w:type="dxa"/>
            <w:vAlign w:val="bottom"/>
          </w:tcPr>
          <w:p w14:paraId="0FB51A96" w14:textId="77777777" w:rsidR="00F70393" w:rsidRPr="005F7134" w:rsidRDefault="00F70393" w:rsidP="00FE277A">
            <w:pPr>
              <w:tabs>
                <w:tab w:val="left" w:pos="1734"/>
                <w:tab w:val="left" w:pos="1995"/>
                <w:tab w:val="left" w:pos="2333"/>
                <w:tab w:val="left" w:pos="2613"/>
              </w:tabs>
              <w:jc w:val="right"/>
              <w:rPr>
                <w:rFonts w:ascii="Times New Roman" w:hAnsi="Times New Roman" w:cs="Times New Roman"/>
                <w:sz w:val="20"/>
                <w:szCs w:val="20"/>
              </w:rPr>
            </w:pPr>
            <w:r w:rsidRPr="005F7134">
              <w:rPr>
                <w:rFonts w:ascii="Times New Roman" w:hAnsi="Times New Roman" w:cs="Times New Roman"/>
                <w:sz w:val="20"/>
                <w:szCs w:val="20"/>
              </w:rPr>
              <w:t>82</w:t>
            </w:r>
          </w:p>
        </w:tc>
        <w:tc>
          <w:tcPr>
            <w:tcW w:w="1630" w:type="dxa"/>
            <w:vAlign w:val="bottom"/>
          </w:tcPr>
          <w:p w14:paraId="31C9A2F7" w14:textId="77777777" w:rsidR="00F70393" w:rsidRPr="005F7134" w:rsidRDefault="00F70393" w:rsidP="00FE277A">
            <w:pPr>
              <w:tabs>
                <w:tab w:val="left" w:pos="1734"/>
                <w:tab w:val="left" w:pos="1995"/>
                <w:tab w:val="left" w:pos="2333"/>
                <w:tab w:val="left" w:pos="2613"/>
              </w:tabs>
              <w:jc w:val="right"/>
              <w:rPr>
                <w:rFonts w:ascii="Times New Roman" w:hAnsi="Times New Roman" w:cs="Times New Roman"/>
                <w:sz w:val="20"/>
                <w:szCs w:val="20"/>
              </w:rPr>
            </w:pPr>
            <w:r w:rsidRPr="005F7134">
              <w:rPr>
                <w:rFonts w:ascii="Times New Roman" w:hAnsi="Times New Roman" w:cs="Times New Roman"/>
                <w:sz w:val="20"/>
                <w:szCs w:val="20"/>
              </w:rPr>
              <w:t>500</w:t>
            </w:r>
          </w:p>
        </w:tc>
      </w:tr>
      <w:tr w:rsidR="00F70393" w:rsidRPr="00F70393" w14:paraId="164AD9AD" w14:textId="77777777" w:rsidTr="00FE277A">
        <w:tc>
          <w:tcPr>
            <w:tcW w:w="2178" w:type="dxa"/>
            <w:vAlign w:val="center"/>
          </w:tcPr>
          <w:p w14:paraId="3545CA38" w14:textId="77777777" w:rsidR="00F70393" w:rsidRPr="005F7134" w:rsidRDefault="00F70393" w:rsidP="00FE277A">
            <w:pPr>
              <w:tabs>
                <w:tab w:val="left" w:pos="1734"/>
                <w:tab w:val="left" w:pos="1995"/>
                <w:tab w:val="left" w:pos="2333"/>
                <w:tab w:val="left" w:pos="2613"/>
              </w:tabs>
              <w:jc w:val="center"/>
              <w:rPr>
                <w:rFonts w:ascii="Times New Roman" w:hAnsi="Times New Roman" w:cs="Times New Roman"/>
                <w:sz w:val="20"/>
                <w:szCs w:val="20"/>
              </w:rPr>
            </w:pPr>
            <w:r w:rsidRPr="005F7134">
              <w:rPr>
                <w:rFonts w:ascii="Times New Roman" w:hAnsi="Times New Roman" w:cs="Times New Roman"/>
                <w:sz w:val="20"/>
                <w:szCs w:val="20"/>
              </w:rPr>
              <w:t>157.53</w:t>
            </w:r>
          </w:p>
        </w:tc>
        <w:tc>
          <w:tcPr>
            <w:tcW w:w="2610" w:type="dxa"/>
            <w:vAlign w:val="center"/>
          </w:tcPr>
          <w:p w14:paraId="516BA38E" w14:textId="77777777" w:rsidR="00F70393" w:rsidRPr="005F7134" w:rsidRDefault="00F70393" w:rsidP="00FE277A">
            <w:pPr>
              <w:tabs>
                <w:tab w:val="left" w:pos="1734"/>
                <w:tab w:val="left" w:pos="1995"/>
                <w:tab w:val="left" w:pos="2333"/>
                <w:tab w:val="left" w:pos="2613"/>
              </w:tabs>
              <w:jc w:val="center"/>
              <w:rPr>
                <w:rFonts w:ascii="Times New Roman" w:hAnsi="Times New Roman" w:cs="Times New Roman"/>
                <w:sz w:val="20"/>
                <w:szCs w:val="20"/>
              </w:rPr>
            </w:pPr>
            <w:r w:rsidRPr="005F7134">
              <w:rPr>
                <w:rFonts w:ascii="Times New Roman" w:hAnsi="Times New Roman" w:cs="Times New Roman"/>
                <w:sz w:val="20"/>
                <w:szCs w:val="20"/>
              </w:rPr>
              <w:t>Exemptions</w:t>
            </w:r>
          </w:p>
        </w:tc>
        <w:tc>
          <w:tcPr>
            <w:tcW w:w="1620" w:type="dxa"/>
            <w:vAlign w:val="bottom"/>
          </w:tcPr>
          <w:p w14:paraId="296E56EE" w14:textId="77777777" w:rsidR="00F70393" w:rsidRPr="005F7134" w:rsidRDefault="00F70393" w:rsidP="00FE277A">
            <w:pPr>
              <w:tabs>
                <w:tab w:val="left" w:pos="1734"/>
                <w:tab w:val="left" w:pos="1995"/>
                <w:tab w:val="left" w:pos="2333"/>
                <w:tab w:val="left" w:pos="2613"/>
              </w:tabs>
              <w:jc w:val="right"/>
              <w:rPr>
                <w:rFonts w:ascii="Times New Roman" w:hAnsi="Times New Roman" w:cs="Times New Roman"/>
                <w:sz w:val="20"/>
                <w:szCs w:val="20"/>
              </w:rPr>
            </w:pPr>
            <w:r w:rsidRPr="005F7134">
              <w:rPr>
                <w:rFonts w:ascii="Times New Roman" w:hAnsi="Times New Roman" w:cs="Times New Roman"/>
                <w:sz w:val="20"/>
                <w:szCs w:val="20"/>
              </w:rPr>
              <w:t>39</w:t>
            </w:r>
          </w:p>
        </w:tc>
        <w:tc>
          <w:tcPr>
            <w:tcW w:w="1430" w:type="dxa"/>
            <w:vAlign w:val="bottom"/>
          </w:tcPr>
          <w:p w14:paraId="0909A1DC" w14:textId="77777777" w:rsidR="00F70393" w:rsidRPr="005F7134" w:rsidRDefault="00F70393" w:rsidP="00FE277A">
            <w:pPr>
              <w:tabs>
                <w:tab w:val="left" w:pos="1734"/>
                <w:tab w:val="left" w:pos="1995"/>
                <w:tab w:val="left" w:pos="2333"/>
                <w:tab w:val="left" w:pos="2613"/>
              </w:tabs>
              <w:jc w:val="right"/>
              <w:rPr>
                <w:rFonts w:ascii="Times New Roman" w:hAnsi="Times New Roman" w:cs="Times New Roman"/>
                <w:sz w:val="20"/>
                <w:szCs w:val="20"/>
              </w:rPr>
            </w:pPr>
            <w:r w:rsidRPr="005F7134">
              <w:rPr>
                <w:rFonts w:ascii="Times New Roman" w:hAnsi="Times New Roman" w:cs="Times New Roman"/>
                <w:sz w:val="20"/>
                <w:szCs w:val="20"/>
              </w:rPr>
              <w:t>3</w:t>
            </w:r>
          </w:p>
        </w:tc>
        <w:tc>
          <w:tcPr>
            <w:tcW w:w="1630" w:type="dxa"/>
            <w:vAlign w:val="bottom"/>
          </w:tcPr>
          <w:p w14:paraId="51932DA4" w14:textId="77777777" w:rsidR="00F70393" w:rsidRPr="005F7134" w:rsidRDefault="00F70393" w:rsidP="00FE277A">
            <w:pPr>
              <w:tabs>
                <w:tab w:val="left" w:pos="1734"/>
                <w:tab w:val="left" w:pos="1995"/>
                <w:tab w:val="left" w:pos="2333"/>
                <w:tab w:val="left" w:pos="2613"/>
              </w:tabs>
              <w:jc w:val="right"/>
              <w:rPr>
                <w:rFonts w:ascii="Times New Roman" w:hAnsi="Times New Roman" w:cs="Times New Roman"/>
                <w:sz w:val="20"/>
                <w:szCs w:val="20"/>
              </w:rPr>
            </w:pPr>
            <w:r w:rsidRPr="005F7134">
              <w:rPr>
                <w:rFonts w:ascii="Times New Roman" w:hAnsi="Times New Roman" w:cs="Times New Roman"/>
                <w:sz w:val="20"/>
                <w:szCs w:val="20"/>
              </w:rPr>
              <w:t>50</w:t>
            </w:r>
          </w:p>
        </w:tc>
      </w:tr>
      <w:tr w:rsidR="00F70393" w:rsidRPr="00F70393" w14:paraId="03C34065" w14:textId="77777777" w:rsidTr="00FE277A">
        <w:tc>
          <w:tcPr>
            <w:tcW w:w="2178" w:type="dxa"/>
            <w:vAlign w:val="center"/>
          </w:tcPr>
          <w:p w14:paraId="508D874E" w14:textId="77777777" w:rsidR="00F70393" w:rsidRPr="005F7134" w:rsidRDefault="00F70393" w:rsidP="00FE277A">
            <w:pPr>
              <w:tabs>
                <w:tab w:val="left" w:pos="1734"/>
                <w:tab w:val="left" w:pos="1995"/>
                <w:tab w:val="left" w:pos="2333"/>
                <w:tab w:val="left" w:pos="2613"/>
              </w:tabs>
              <w:jc w:val="center"/>
              <w:rPr>
                <w:rFonts w:ascii="Times New Roman" w:hAnsi="Times New Roman" w:cs="Times New Roman"/>
                <w:sz w:val="20"/>
                <w:szCs w:val="20"/>
              </w:rPr>
            </w:pPr>
            <w:r w:rsidRPr="005F7134">
              <w:rPr>
                <w:rFonts w:ascii="Times New Roman" w:hAnsi="Times New Roman" w:cs="Times New Roman"/>
                <w:sz w:val="20"/>
                <w:szCs w:val="20"/>
              </w:rPr>
              <w:t>157.201-.209; 157.211; 157.214-.218</w:t>
            </w:r>
          </w:p>
        </w:tc>
        <w:tc>
          <w:tcPr>
            <w:tcW w:w="2610" w:type="dxa"/>
            <w:vAlign w:val="center"/>
          </w:tcPr>
          <w:p w14:paraId="608CA3C9" w14:textId="77777777" w:rsidR="00F70393" w:rsidRPr="005F7134" w:rsidRDefault="00F70393" w:rsidP="00FE277A">
            <w:pPr>
              <w:tabs>
                <w:tab w:val="left" w:pos="1734"/>
                <w:tab w:val="left" w:pos="1995"/>
                <w:tab w:val="left" w:pos="2333"/>
                <w:tab w:val="left" w:pos="2613"/>
              </w:tabs>
              <w:jc w:val="center"/>
              <w:rPr>
                <w:rFonts w:ascii="Times New Roman" w:hAnsi="Times New Roman" w:cs="Times New Roman"/>
                <w:sz w:val="20"/>
                <w:szCs w:val="20"/>
              </w:rPr>
            </w:pPr>
            <w:r w:rsidRPr="005F7134">
              <w:rPr>
                <w:rFonts w:ascii="Times New Roman" w:hAnsi="Times New Roman" w:cs="Times New Roman"/>
                <w:sz w:val="20"/>
                <w:szCs w:val="20"/>
              </w:rPr>
              <w:t>Blanket Certificates  prior notice filings</w:t>
            </w:r>
          </w:p>
        </w:tc>
        <w:tc>
          <w:tcPr>
            <w:tcW w:w="1620" w:type="dxa"/>
            <w:vAlign w:val="bottom"/>
          </w:tcPr>
          <w:p w14:paraId="0E7437CE" w14:textId="77777777" w:rsidR="00F70393" w:rsidRPr="005F7134" w:rsidRDefault="00F70393" w:rsidP="00FE277A">
            <w:pPr>
              <w:tabs>
                <w:tab w:val="left" w:pos="1734"/>
                <w:tab w:val="left" w:pos="1995"/>
                <w:tab w:val="left" w:pos="2333"/>
                <w:tab w:val="left" w:pos="2613"/>
              </w:tabs>
              <w:jc w:val="right"/>
              <w:rPr>
                <w:rFonts w:ascii="Times New Roman" w:hAnsi="Times New Roman" w:cs="Times New Roman"/>
                <w:sz w:val="20"/>
                <w:szCs w:val="20"/>
              </w:rPr>
            </w:pPr>
            <w:r w:rsidRPr="005F7134">
              <w:rPr>
                <w:rFonts w:ascii="Times New Roman" w:hAnsi="Times New Roman" w:cs="Times New Roman"/>
                <w:sz w:val="20"/>
                <w:szCs w:val="20"/>
              </w:rPr>
              <w:t>62</w:t>
            </w:r>
          </w:p>
        </w:tc>
        <w:tc>
          <w:tcPr>
            <w:tcW w:w="1430" w:type="dxa"/>
            <w:vAlign w:val="bottom"/>
          </w:tcPr>
          <w:p w14:paraId="1B8D8EE3" w14:textId="77777777" w:rsidR="00F70393" w:rsidRPr="005F7134" w:rsidRDefault="00F70393" w:rsidP="00FE277A">
            <w:pPr>
              <w:tabs>
                <w:tab w:val="left" w:pos="1734"/>
                <w:tab w:val="left" w:pos="1995"/>
                <w:tab w:val="left" w:pos="2333"/>
                <w:tab w:val="left" w:pos="2613"/>
              </w:tabs>
              <w:jc w:val="right"/>
              <w:rPr>
                <w:rFonts w:ascii="Times New Roman" w:hAnsi="Times New Roman" w:cs="Times New Roman"/>
                <w:sz w:val="20"/>
                <w:szCs w:val="20"/>
              </w:rPr>
            </w:pPr>
            <w:r w:rsidRPr="005F7134">
              <w:rPr>
                <w:rFonts w:ascii="Times New Roman" w:hAnsi="Times New Roman" w:cs="Times New Roman"/>
                <w:sz w:val="20"/>
                <w:szCs w:val="20"/>
              </w:rPr>
              <w:t>46</w:t>
            </w:r>
          </w:p>
        </w:tc>
        <w:tc>
          <w:tcPr>
            <w:tcW w:w="1630" w:type="dxa"/>
            <w:vAlign w:val="bottom"/>
          </w:tcPr>
          <w:p w14:paraId="20AF6505" w14:textId="77777777" w:rsidR="00F70393" w:rsidRPr="005F7134" w:rsidRDefault="00F70393" w:rsidP="00FE277A">
            <w:pPr>
              <w:tabs>
                <w:tab w:val="left" w:pos="1734"/>
                <w:tab w:val="left" w:pos="1995"/>
                <w:tab w:val="left" w:pos="2333"/>
                <w:tab w:val="left" w:pos="2613"/>
              </w:tabs>
              <w:jc w:val="right"/>
              <w:rPr>
                <w:rFonts w:ascii="Times New Roman" w:hAnsi="Times New Roman" w:cs="Times New Roman"/>
                <w:sz w:val="20"/>
                <w:szCs w:val="20"/>
              </w:rPr>
            </w:pPr>
            <w:r w:rsidRPr="005F7134">
              <w:rPr>
                <w:rFonts w:ascii="Times New Roman" w:hAnsi="Times New Roman" w:cs="Times New Roman"/>
                <w:sz w:val="20"/>
                <w:szCs w:val="20"/>
              </w:rPr>
              <w:t>200</w:t>
            </w:r>
          </w:p>
        </w:tc>
      </w:tr>
      <w:tr w:rsidR="00F70393" w:rsidRPr="00F70393" w14:paraId="5C2F3517" w14:textId="77777777" w:rsidTr="00FE277A">
        <w:tc>
          <w:tcPr>
            <w:tcW w:w="2178" w:type="dxa"/>
            <w:vAlign w:val="center"/>
          </w:tcPr>
          <w:p w14:paraId="748A126B" w14:textId="77777777" w:rsidR="00F70393" w:rsidRPr="005F7134" w:rsidRDefault="00F70393" w:rsidP="00FE277A">
            <w:pPr>
              <w:tabs>
                <w:tab w:val="left" w:pos="1734"/>
                <w:tab w:val="left" w:pos="1995"/>
                <w:tab w:val="left" w:pos="2333"/>
                <w:tab w:val="left" w:pos="2613"/>
              </w:tabs>
              <w:jc w:val="center"/>
              <w:rPr>
                <w:rFonts w:ascii="Times New Roman" w:hAnsi="Times New Roman" w:cs="Times New Roman"/>
                <w:sz w:val="20"/>
                <w:szCs w:val="20"/>
              </w:rPr>
            </w:pPr>
            <w:r w:rsidRPr="005F7134">
              <w:rPr>
                <w:rFonts w:ascii="Times New Roman" w:hAnsi="Times New Roman" w:cs="Times New Roman"/>
                <w:sz w:val="20"/>
                <w:szCs w:val="20"/>
              </w:rPr>
              <w:t>157.201-.209; 157.211; 157.214-.218</w:t>
            </w:r>
          </w:p>
        </w:tc>
        <w:tc>
          <w:tcPr>
            <w:tcW w:w="2610" w:type="dxa"/>
            <w:vAlign w:val="center"/>
          </w:tcPr>
          <w:p w14:paraId="6FF187C2" w14:textId="77777777" w:rsidR="00F70393" w:rsidRPr="005F7134" w:rsidRDefault="00F70393" w:rsidP="00FE277A">
            <w:pPr>
              <w:tabs>
                <w:tab w:val="left" w:pos="1734"/>
                <w:tab w:val="left" w:pos="1995"/>
                <w:tab w:val="left" w:pos="2333"/>
                <w:tab w:val="left" w:pos="2613"/>
              </w:tabs>
              <w:jc w:val="center"/>
              <w:rPr>
                <w:rFonts w:ascii="Times New Roman" w:hAnsi="Times New Roman" w:cs="Times New Roman"/>
                <w:sz w:val="20"/>
                <w:szCs w:val="20"/>
              </w:rPr>
            </w:pPr>
            <w:r w:rsidRPr="005F7134">
              <w:rPr>
                <w:rFonts w:ascii="Times New Roman" w:hAnsi="Times New Roman" w:cs="Times New Roman"/>
                <w:sz w:val="20"/>
                <w:szCs w:val="20"/>
              </w:rPr>
              <w:t>Blanket Certificates – annual reports</w:t>
            </w:r>
          </w:p>
        </w:tc>
        <w:tc>
          <w:tcPr>
            <w:tcW w:w="1620" w:type="dxa"/>
            <w:vAlign w:val="bottom"/>
          </w:tcPr>
          <w:p w14:paraId="1FF2051B" w14:textId="77777777" w:rsidR="00F70393" w:rsidRPr="005F7134" w:rsidRDefault="00F70393" w:rsidP="00FE277A">
            <w:pPr>
              <w:tabs>
                <w:tab w:val="left" w:pos="1734"/>
                <w:tab w:val="left" w:pos="1995"/>
                <w:tab w:val="left" w:pos="2333"/>
                <w:tab w:val="left" w:pos="2613"/>
              </w:tabs>
              <w:jc w:val="right"/>
              <w:rPr>
                <w:rFonts w:ascii="Times New Roman" w:hAnsi="Times New Roman" w:cs="Times New Roman"/>
                <w:sz w:val="20"/>
                <w:szCs w:val="20"/>
              </w:rPr>
            </w:pPr>
          </w:p>
          <w:p w14:paraId="22BA9861" w14:textId="77777777" w:rsidR="00F70393" w:rsidRPr="005F7134" w:rsidRDefault="00F70393" w:rsidP="00FE277A">
            <w:pPr>
              <w:tabs>
                <w:tab w:val="left" w:pos="1734"/>
                <w:tab w:val="left" w:pos="1995"/>
                <w:tab w:val="left" w:pos="2333"/>
                <w:tab w:val="left" w:pos="2613"/>
              </w:tabs>
              <w:jc w:val="right"/>
              <w:rPr>
                <w:rFonts w:ascii="Times New Roman" w:hAnsi="Times New Roman" w:cs="Times New Roman"/>
                <w:sz w:val="20"/>
                <w:szCs w:val="20"/>
              </w:rPr>
            </w:pPr>
            <w:r w:rsidRPr="005F7134">
              <w:rPr>
                <w:rFonts w:ascii="Times New Roman" w:hAnsi="Times New Roman" w:cs="Times New Roman"/>
                <w:sz w:val="20"/>
                <w:szCs w:val="20"/>
              </w:rPr>
              <w:t>159</w:t>
            </w:r>
          </w:p>
          <w:p w14:paraId="6B748439" w14:textId="77777777" w:rsidR="00F70393" w:rsidRPr="005F7134" w:rsidRDefault="00F70393" w:rsidP="00FE277A">
            <w:pPr>
              <w:tabs>
                <w:tab w:val="left" w:pos="1734"/>
                <w:tab w:val="left" w:pos="1995"/>
                <w:tab w:val="left" w:pos="2333"/>
                <w:tab w:val="left" w:pos="2613"/>
              </w:tabs>
              <w:jc w:val="right"/>
              <w:rPr>
                <w:rFonts w:ascii="Times New Roman" w:hAnsi="Times New Roman" w:cs="Times New Roman"/>
                <w:sz w:val="20"/>
                <w:szCs w:val="20"/>
              </w:rPr>
            </w:pPr>
          </w:p>
        </w:tc>
        <w:tc>
          <w:tcPr>
            <w:tcW w:w="1430" w:type="dxa"/>
            <w:vAlign w:val="bottom"/>
          </w:tcPr>
          <w:p w14:paraId="70016761" w14:textId="77777777" w:rsidR="00F70393" w:rsidRPr="005F7134" w:rsidRDefault="00F70393" w:rsidP="00FE277A">
            <w:pPr>
              <w:tabs>
                <w:tab w:val="left" w:pos="1734"/>
                <w:tab w:val="left" w:pos="1995"/>
                <w:tab w:val="left" w:pos="2333"/>
                <w:tab w:val="left" w:pos="2613"/>
              </w:tabs>
              <w:jc w:val="right"/>
              <w:rPr>
                <w:rFonts w:ascii="Times New Roman" w:hAnsi="Times New Roman" w:cs="Times New Roman"/>
                <w:sz w:val="20"/>
                <w:szCs w:val="20"/>
              </w:rPr>
            </w:pPr>
            <w:r w:rsidRPr="005F7134">
              <w:rPr>
                <w:rFonts w:ascii="Times New Roman" w:hAnsi="Times New Roman" w:cs="Times New Roman"/>
                <w:sz w:val="20"/>
                <w:szCs w:val="20"/>
              </w:rPr>
              <w:t>159</w:t>
            </w:r>
          </w:p>
        </w:tc>
        <w:tc>
          <w:tcPr>
            <w:tcW w:w="1630" w:type="dxa"/>
            <w:vAlign w:val="bottom"/>
          </w:tcPr>
          <w:p w14:paraId="00E7EB01" w14:textId="77777777" w:rsidR="00F70393" w:rsidRPr="005F7134" w:rsidRDefault="00F70393" w:rsidP="00FE277A">
            <w:pPr>
              <w:tabs>
                <w:tab w:val="left" w:pos="1734"/>
                <w:tab w:val="left" w:pos="1995"/>
                <w:tab w:val="left" w:pos="2333"/>
                <w:tab w:val="left" w:pos="2613"/>
              </w:tabs>
              <w:jc w:val="right"/>
              <w:rPr>
                <w:rFonts w:ascii="Times New Roman" w:hAnsi="Times New Roman" w:cs="Times New Roman"/>
                <w:sz w:val="20"/>
                <w:szCs w:val="20"/>
              </w:rPr>
            </w:pPr>
            <w:r w:rsidRPr="005F7134">
              <w:rPr>
                <w:rFonts w:ascii="Times New Roman" w:hAnsi="Times New Roman" w:cs="Times New Roman"/>
                <w:sz w:val="20"/>
                <w:szCs w:val="20"/>
              </w:rPr>
              <w:t>50</w:t>
            </w:r>
          </w:p>
        </w:tc>
      </w:tr>
      <w:tr w:rsidR="00F70393" w:rsidRPr="00F70393" w14:paraId="526474F9" w14:textId="77777777" w:rsidTr="00FE277A">
        <w:tc>
          <w:tcPr>
            <w:tcW w:w="2178" w:type="dxa"/>
            <w:vAlign w:val="center"/>
          </w:tcPr>
          <w:p w14:paraId="1A14A83F" w14:textId="77777777" w:rsidR="00F70393" w:rsidRPr="005F7134" w:rsidRDefault="00F70393" w:rsidP="00FE277A">
            <w:pPr>
              <w:tabs>
                <w:tab w:val="left" w:pos="1734"/>
                <w:tab w:val="left" w:pos="1995"/>
                <w:tab w:val="left" w:pos="2333"/>
                <w:tab w:val="left" w:pos="2613"/>
              </w:tabs>
              <w:jc w:val="center"/>
              <w:rPr>
                <w:rFonts w:ascii="Times New Roman" w:hAnsi="Times New Roman" w:cs="Times New Roman"/>
                <w:sz w:val="20"/>
                <w:szCs w:val="20"/>
              </w:rPr>
            </w:pPr>
            <w:r w:rsidRPr="005F7134">
              <w:rPr>
                <w:rFonts w:ascii="Times New Roman" w:hAnsi="Times New Roman" w:cs="Times New Roman"/>
                <w:sz w:val="20"/>
                <w:szCs w:val="20"/>
              </w:rPr>
              <w:t>284.11</w:t>
            </w:r>
          </w:p>
        </w:tc>
        <w:tc>
          <w:tcPr>
            <w:tcW w:w="2610" w:type="dxa"/>
            <w:vAlign w:val="center"/>
          </w:tcPr>
          <w:p w14:paraId="2587459D" w14:textId="77777777" w:rsidR="00F70393" w:rsidRPr="005F7134" w:rsidRDefault="00F70393" w:rsidP="00FE277A">
            <w:pPr>
              <w:tabs>
                <w:tab w:val="left" w:pos="1734"/>
                <w:tab w:val="left" w:pos="1995"/>
                <w:tab w:val="left" w:pos="2333"/>
                <w:tab w:val="left" w:pos="2613"/>
              </w:tabs>
              <w:jc w:val="center"/>
              <w:rPr>
                <w:rFonts w:ascii="Times New Roman" w:hAnsi="Times New Roman" w:cs="Times New Roman"/>
                <w:sz w:val="20"/>
                <w:szCs w:val="20"/>
              </w:rPr>
            </w:pPr>
            <w:r w:rsidRPr="005F7134">
              <w:rPr>
                <w:rFonts w:ascii="Times New Roman" w:hAnsi="Times New Roman" w:cs="Times New Roman"/>
                <w:sz w:val="20"/>
                <w:szCs w:val="20"/>
              </w:rPr>
              <w:t>NGPA Sec. 311 Construction - annual reports</w:t>
            </w:r>
          </w:p>
        </w:tc>
        <w:tc>
          <w:tcPr>
            <w:tcW w:w="1620" w:type="dxa"/>
            <w:vAlign w:val="bottom"/>
          </w:tcPr>
          <w:p w14:paraId="518671E0" w14:textId="77777777" w:rsidR="00F70393" w:rsidRPr="005F7134" w:rsidRDefault="00F70393" w:rsidP="00FE277A">
            <w:pPr>
              <w:tabs>
                <w:tab w:val="left" w:pos="1734"/>
                <w:tab w:val="left" w:pos="1995"/>
                <w:tab w:val="left" w:pos="2333"/>
                <w:tab w:val="left" w:pos="2613"/>
              </w:tabs>
              <w:jc w:val="right"/>
              <w:rPr>
                <w:rFonts w:ascii="Times New Roman" w:hAnsi="Times New Roman" w:cs="Times New Roman"/>
                <w:sz w:val="20"/>
                <w:szCs w:val="20"/>
              </w:rPr>
            </w:pPr>
            <w:r w:rsidRPr="005F7134">
              <w:rPr>
                <w:rFonts w:ascii="Times New Roman" w:hAnsi="Times New Roman" w:cs="Times New Roman"/>
                <w:sz w:val="20"/>
                <w:szCs w:val="20"/>
              </w:rPr>
              <w:t>93</w:t>
            </w:r>
          </w:p>
        </w:tc>
        <w:tc>
          <w:tcPr>
            <w:tcW w:w="1430" w:type="dxa"/>
            <w:vAlign w:val="bottom"/>
          </w:tcPr>
          <w:p w14:paraId="2DCB700C" w14:textId="77777777" w:rsidR="00F70393" w:rsidRPr="005F7134" w:rsidRDefault="00F70393" w:rsidP="00FE277A">
            <w:pPr>
              <w:tabs>
                <w:tab w:val="left" w:pos="1734"/>
                <w:tab w:val="left" w:pos="1995"/>
                <w:tab w:val="left" w:pos="2333"/>
                <w:tab w:val="left" w:pos="2613"/>
              </w:tabs>
              <w:jc w:val="right"/>
              <w:rPr>
                <w:rFonts w:ascii="Times New Roman" w:hAnsi="Times New Roman" w:cs="Times New Roman"/>
                <w:sz w:val="20"/>
                <w:szCs w:val="20"/>
              </w:rPr>
            </w:pPr>
            <w:r w:rsidRPr="005F7134">
              <w:rPr>
                <w:rFonts w:ascii="Times New Roman" w:hAnsi="Times New Roman" w:cs="Times New Roman"/>
                <w:sz w:val="20"/>
                <w:szCs w:val="20"/>
              </w:rPr>
              <w:t>93</w:t>
            </w:r>
          </w:p>
        </w:tc>
        <w:tc>
          <w:tcPr>
            <w:tcW w:w="1630" w:type="dxa"/>
            <w:vAlign w:val="bottom"/>
          </w:tcPr>
          <w:p w14:paraId="709655BF" w14:textId="77777777" w:rsidR="00F70393" w:rsidRPr="005F7134" w:rsidRDefault="00F70393" w:rsidP="00FE277A">
            <w:pPr>
              <w:tabs>
                <w:tab w:val="left" w:pos="1734"/>
                <w:tab w:val="left" w:pos="1995"/>
                <w:tab w:val="left" w:pos="2333"/>
                <w:tab w:val="left" w:pos="2613"/>
              </w:tabs>
              <w:jc w:val="right"/>
              <w:rPr>
                <w:rFonts w:ascii="Times New Roman" w:hAnsi="Times New Roman" w:cs="Times New Roman"/>
                <w:sz w:val="20"/>
                <w:szCs w:val="20"/>
              </w:rPr>
            </w:pPr>
            <w:r w:rsidRPr="005F7134">
              <w:rPr>
                <w:rFonts w:ascii="Times New Roman" w:hAnsi="Times New Roman" w:cs="Times New Roman"/>
                <w:sz w:val="20"/>
                <w:szCs w:val="20"/>
              </w:rPr>
              <w:t>50</w:t>
            </w:r>
          </w:p>
        </w:tc>
      </w:tr>
      <w:tr w:rsidR="00F70393" w:rsidRPr="00F70393" w14:paraId="27DF9FB7" w14:textId="77777777" w:rsidTr="00FE277A">
        <w:tc>
          <w:tcPr>
            <w:tcW w:w="2178" w:type="dxa"/>
            <w:vAlign w:val="center"/>
          </w:tcPr>
          <w:p w14:paraId="72E86692" w14:textId="77777777" w:rsidR="00F70393" w:rsidRPr="005F7134" w:rsidRDefault="00F70393" w:rsidP="00FE277A">
            <w:pPr>
              <w:tabs>
                <w:tab w:val="left" w:pos="1734"/>
                <w:tab w:val="left" w:pos="1995"/>
                <w:tab w:val="left" w:pos="2333"/>
                <w:tab w:val="left" w:pos="2613"/>
              </w:tabs>
              <w:jc w:val="center"/>
              <w:rPr>
                <w:rFonts w:ascii="Times New Roman" w:hAnsi="Times New Roman" w:cs="Times New Roman"/>
                <w:sz w:val="20"/>
                <w:szCs w:val="20"/>
              </w:rPr>
            </w:pPr>
            <w:r w:rsidRPr="005F7134">
              <w:rPr>
                <w:rFonts w:ascii="Times New Roman" w:hAnsi="Times New Roman" w:cs="Times New Roman"/>
                <w:sz w:val="20"/>
                <w:szCs w:val="20"/>
              </w:rPr>
              <w:t>284.8</w:t>
            </w:r>
          </w:p>
        </w:tc>
        <w:tc>
          <w:tcPr>
            <w:tcW w:w="2610" w:type="dxa"/>
            <w:vAlign w:val="center"/>
          </w:tcPr>
          <w:p w14:paraId="58B3E161" w14:textId="77777777" w:rsidR="00F70393" w:rsidRPr="005F7134" w:rsidRDefault="00F70393" w:rsidP="00FE277A">
            <w:pPr>
              <w:tabs>
                <w:tab w:val="left" w:pos="1734"/>
                <w:tab w:val="left" w:pos="1995"/>
                <w:tab w:val="left" w:pos="2333"/>
                <w:tab w:val="left" w:pos="2613"/>
              </w:tabs>
              <w:jc w:val="center"/>
              <w:rPr>
                <w:rFonts w:ascii="Times New Roman" w:hAnsi="Times New Roman" w:cs="Times New Roman"/>
                <w:sz w:val="20"/>
                <w:szCs w:val="20"/>
              </w:rPr>
            </w:pPr>
            <w:r w:rsidRPr="005F7134">
              <w:rPr>
                <w:rFonts w:ascii="Times New Roman" w:hAnsi="Times New Roman" w:cs="Times New Roman"/>
                <w:sz w:val="20"/>
                <w:szCs w:val="20"/>
              </w:rPr>
              <w:t>Capacity Release –</w:t>
            </w:r>
          </w:p>
          <w:p w14:paraId="07DA2720" w14:textId="77777777" w:rsidR="00F70393" w:rsidRPr="005F7134" w:rsidRDefault="00F70393" w:rsidP="00FE277A">
            <w:pPr>
              <w:tabs>
                <w:tab w:val="left" w:pos="1734"/>
                <w:tab w:val="left" w:pos="1995"/>
                <w:tab w:val="left" w:pos="2333"/>
                <w:tab w:val="left" w:pos="2613"/>
              </w:tabs>
              <w:jc w:val="center"/>
              <w:rPr>
                <w:rFonts w:ascii="Times New Roman" w:hAnsi="Times New Roman" w:cs="Times New Roman"/>
                <w:sz w:val="20"/>
                <w:szCs w:val="20"/>
              </w:rPr>
            </w:pPr>
            <w:r w:rsidRPr="005F7134">
              <w:rPr>
                <w:rFonts w:ascii="Times New Roman" w:hAnsi="Times New Roman" w:cs="Times New Roman"/>
                <w:sz w:val="20"/>
                <w:szCs w:val="20"/>
              </w:rPr>
              <w:t>record keeping</w:t>
            </w:r>
          </w:p>
        </w:tc>
        <w:tc>
          <w:tcPr>
            <w:tcW w:w="1620" w:type="dxa"/>
            <w:vAlign w:val="bottom"/>
          </w:tcPr>
          <w:p w14:paraId="571BA4C8" w14:textId="77777777" w:rsidR="00F70393" w:rsidRPr="005F7134" w:rsidRDefault="00F70393" w:rsidP="00FE277A">
            <w:pPr>
              <w:tabs>
                <w:tab w:val="left" w:pos="1734"/>
                <w:tab w:val="left" w:pos="1995"/>
                <w:tab w:val="left" w:pos="2333"/>
                <w:tab w:val="left" w:pos="2613"/>
              </w:tabs>
              <w:jc w:val="right"/>
              <w:rPr>
                <w:rFonts w:ascii="Times New Roman" w:hAnsi="Times New Roman" w:cs="Times New Roman"/>
                <w:sz w:val="20"/>
                <w:szCs w:val="20"/>
              </w:rPr>
            </w:pPr>
            <w:r w:rsidRPr="005F7134">
              <w:rPr>
                <w:rFonts w:ascii="Times New Roman" w:hAnsi="Times New Roman" w:cs="Times New Roman"/>
                <w:sz w:val="20"/>
                <w:szCs w:val="20"/>
              </w:rPr>
              <w:t>0</w:t>
            </w:r>
          </w:p>
        </w:tc>
        <w:tc>
          <w:tcPr>
            <w:tcW w:w="1430" w:type="dxa"/>
            <w:vAlign w:val="bottom"/>
          </w:tcPr>
          <w:p w14:paraId="5A8D624C" w14:textId="77777777" w:rsidR="00F70393" w:rsidRPr="005F7134" w:rsidRDefault="00F70393" w:rsidP="00FE277A">
            <w:pPr>
              <w:tabs>
                <w:tab w:val="left" w:pos="1734"/>
                <w:tab w:val="left" w:pos="1995"/>
                <w:tab w:val="left" w:pos="2333"/>
                <w:tab w:val="left" w:pos="2613"/>
              </w:tabs>
              <w:jc w:val="right"/>
              <w:rPr>
                <w:rFonts w:ascii="Times New Roman" w:hAnsi="Times New Roman" w:cs="Times New Roman"/>
                <w:sz w:val="20"/>
                <w:szCs w:val="20"/>
              </w:rPr>
            </w:pPr>
            <w:r w:rsidRPr="005F7134">
              <w:rPr>
                <w:rFonts w:ascii="Times New Roman" w:hAnsi="Times New Roman" w:cs="Times New Roman"/>
                <w:sz w:val="20"/>
                <w:szCs w:val="20"/>
              </w:rPr>
              <w:t>N/A</w:t>
            </w:r>
          </w:p>
        </w:tc>
        <w:tc>
          <w:tcPr>
            <w:tcW w:w="1630" w:type="dxa"/>
            <w:vAlign w:val="bottom"/>
          </w:tcPr>
          <w:p w14:paraId="7D00EF0C" w14:textId="77777777" w:rsidR="00F70393" w:rsidRPr="005F7134" w:rsidRDefault="00F70393" w:rsidP="00FE277A">
            <w:pPr>
              <w:tabs>
                <w:tab w:val="left" w:pos="1734"/>
                <w:tab w:val="left" w:pos="1995"/>
                <w:tab w:val="left" w:pos="2333"/>
                <w:tab w:val="left" w:pos="2613"/>
              </w:tabs>
              <w:jc w:val="right"/>
              <w:rPr>
                <w:rFonts w:ascii="Times New Roman" w:hAnsi="Times New Roman" w:cs="Times New Roman"/>
                <w:sz w:val="20"/>
                <w:szCs w:val="20"/>
              </w:rPr>
            </w:pPr>
            <w:r w:rsidRPr="005F7134">
              <w:rPr>
                <w:rFonts w:ascii="Times New Roman" w:hAnsi="Times New Roman" w:cs="Times New Roman"/>
                <w:sz w:val="20"/>
                <w:szCs w:val="20"/>
              </w:rPr>
              <w:t>75</w:t>
            </w:r>
          </w:p>
        </w:tc>
      </w:tr>
      <w:tr w:rsidR="00F70393" w:rsidRPr="00F70393" w14:paraId="0E061E6D" w14:textId="77777777" w:rsidTr="00FE277A">
        <w:tc>
          <w:tcPr>
            <w:tcW w:w="2178" w:type="dxa"/>
            <w:vAlign w:val="center"/>
          </w:tcPr>
          <w:p w14:paraId="48FEE8CD" w14:textId="77777777" w:rsidR="00F70393" w:rsidRPr="005F7134" w:rsidRDefault="00F70393" w:rsidP="00FE277A">
            <w:pPr>
              <w:tabs>
                <w:tab w:val="left" w:pos="1734"/>
                <w:tab w:val="left" w:pos="1995"/>
                <w:tab w:val="left" w:pos="2333"/>
                <w:tab w:val="left" w:pos="2613"/>
              </w:tabs>
              <w:jc w:val="center"/>
              <w:rPr>
                <w:rFonts w:ascii="Times New Roman" w:hAnsi="Times New Roman" w:cs="Times New Roman"/>
                <w:sz w:val="20"/>
                <w:szCs w:val="20"/>
              </w:rPr>
            </w:pPr>
            <w:r w:rsidRPr="005F7134">
              <w:rPr>
                <w:rFonts w:ascii="Times New Roman" w:hAnsi="Times New Roman" w:cs="Times New Roman"/>
                <w:sz w:val="20"/>
                <w:szCs w:val="20"/>
              </w:rPr>
              <w:t>284.126</w:t>
            </w:r>
          </w:p>
          <w:p w14:paraId="7635D896" w14:textId="77777777" w:rsidR="00F70393" w:rsidRPr="005F7134" w:rsidRDefault="00F70393" w:rsidP="00FE277A">
            <w:pPr>
              <w:tabs>
                <w:tab w:val="left" w:pos="1734"/>
                <w:tab w:val="left" w:pos="1995"/>
                <w:tab w:val="left" w:pos="2333"/>
                <w:tab w:val="left" w:pos="2613"/>
              </w:tabs>
              <w:jc w:val="center"/>
              <w:rPr>
                <w:rFonts w:ascii="Times New Roman" w:hAnsi="Times New Roman" w:cs="Times New Roman"/>
                <w:sz w:val="20"/>
                <w:szCs w:val="20"/>
              </w:rPr>
            </w:pPr>
            <w:r w:rsidRPr="005F7134">
              <w:rPr>
                <w:rFonts w:ascii="Times New Roman" w:hAnsi="Times New Roman" w:cs="Times New Roman"/>
                <w:sz w:val="20"/>
                <w:szCs w:val="20"/>
              </w:rPr>
              <w:t>(a)</w:t>
            </w:r>
          </w:p>
        </w:tc>
        <w:tc>
          <w:tcPr>
            <w:tcW w:w="2610" w:type="dxa"/>
            <w:vAlign w:val="center"/>
          </w:tcPr>
          <w:p w14:paraId="0AC2E3B6" w14:textId="77777777" w:rsidR="00F70393" w:rsidRPr="005F7134" w:rsidRDefault="00F70393" w:rsidP="00FE277A">
            <w:pPr>
              <w:tabs>
                <w:tab w:val="left" w:pos="1734"/>
                <w:tab w:val="left" w:pos="1995"/>
                <w:tab w:val="left" w:pos="2333"/>
                <w:tab w:val="left" w:pos="2613"/>
              </w:tabs>
              <w:jc w:val="center"/>
              <w:rPr>
                <w:rFonts w:ascii="Times New Roman" w:hAnsi="Times New Roman" w:cs="Times New Roman"/>
                <w:sz w:val="20"/>
                <w:szCs w:val="20"/>
              </w:rPr>
            </w:pPr>
            <w:r w:rsidRPr="005F7134">
              <w:rPr>
                <w:rFonts w:ascii="Times New Roman" w:hAnsi="Times New Roman" w:cs="Times New Roman"/>
                <w:sz w:val="20"/>
                <w:szCs w:val="20"/>
              </w:rPr>
              <w:t xml:space="preserve">Intrastate bypass, semi-annual transportation </w:t>
            </w:r>
          </w:p>
        </w:tc>
        <w:tc>
          <w:tcPr>
            <w:tcW w:w="1620" w:type="dxa"/>
            <w:vAlign w:val="bottom"/>
          </w:tcPr>
          <w:p w14:paraId="71A68246" w14:textId="77777777" w:rsidR="00F70393" w:rsidRPr="005F7134" w:rsidRDefault="00F70393" w:rsidP="00FE277A">
            <w:pPr>
              <w:tabs>
                <w:tab w:val="left" w:pos="1734"/>
                <w:tab w:val="left" w:pos="1995"/>
                <w:tab w:val="left" w:pos="2333"/>
                <w:tab w:val="left" w:pos="2613"/>
              </w:tabs>
              <w:jc w:val="right"/>
              <w:rPr>
                <w:rFonts w:ascii="Times New Roman" w:hAnsi="Times New Roman" w:cs="Times New Roman"/>
                <w:sz w:val="20"/>
                <w:szCs w:val="20"/>
              </w:rPr>
            </w:pPr>
            <w:r w:rsidRPr="005F7134">
              <w:rPr>
                <w:rFonts w:ascii="Times New Roman" w:hAnsi="Times New Roman" w:cs="Times New Roman"/>
                <w:sz w:val="20"/>
                <w:szCs w:val="20"/>
              </w:rPr>
              <w:t>37</w:t>
            </w:r>
          </w:p>
        </w:tc>
        <w:tc>
          <w:tcPr>
            <w:tcW w:w="1430" w:type="dxa"/>
            <w:vAlign w:val="bottom"/>
          </w:tcPr>
          <w:p w14:paraId="1BE0AA5F" w14:textId="77777777" w:rsidR="00F70393" w:rsidRPr="005F7134" w:rsidRDefault="00F70393" w:rsidP="00FE277A">
            <w:pPr>
              <w:tabs>
                <w:tab w:val="left" w:pos="1734"/>
                <w:tab w:val="left" w:pos="1995"/>
                <w:tab w:val="left" w:pos="2333"/>
                <w:tab w:val="left" w:pos="2613"/>
              </w:tabs>
              <w:jc w:val="right"/>
              <w:rPr>
                <w:rFonts w:ascii="Times New Roman" w:hAnsi="Times New Roman" w:cs="Times New Roman"/>
                <w:sz w:val="20"/>
                <w:szCs w:val="20"/>
              </w:rPr>
            </w:pPr>
            <w:r w:rsidRPr="005F7134">
              <w:rPr>
                <w:rFonts w:ascii="Times New Roman" w:hAnsi="Times New Roman" w:cs="Times New Roman"/>
                <w:sz w:val="20"/>
                <w:szCs w:val="20"/>
              </w:rPr>
              <w:t>48</w:t>
            </w:r>
          </w:p>
        </w:tc>
        <w:tc>
          <w:tcPr>
            <w:tcW w:w="1630" w:type="dxa"/>
            <w:vAlign w:val="bottom"/>
          </w:tcPr>
          <w:p w14:paraId="14F4CA6B" w14:textId="77777777" w:rsidR="00F70393" w:rsidRPr="005F7134" w:rsidRDefault="00F70393" w:rsidP="00FE277A">
            <w:pPr>
              <w:tabs>
                <w:tab w:val="left" w:pos="1734"/>
                <w:tab w:val="left" w:pos="1995"/>
                <w:tab w:val="left" w:pos="2333"/>
                <w:tab w:val="left" w:pos="2613"/>
              </w:tabs>
              <w:jc w:val="right"/>
              <w:rPr>
                <w:rFonts w:ascii="Times New Roman" w:hAnsi="Times New Roman" w:cs="Times New Roman"/>
                <w:sz w:val="20"/>
                <w:szCs w:val="20"/>
              </w:rPr>
            </w:pPr>
            <w:r w:rsidRPr="005F7134">
              <w:rPr>
                <w:rFonts w:ascii="Times New Roman" w:hAnsi="Times New Roman" w:cs="Times New Roman"/>
                <w:sz w:val="20"/>
                <w:szCs w:val="20"/>
              </w:rPr>
              <w:t>30</w:t>
            </w:r>
          </w:p>
        </w:tc>
      </w:tr>
      <w:tr w:rsidR="00F70393" w:rsidRPr="00F70393" w14:paraId="2E660F18" w14:textId="77777777" w:rsidTr="00FE277A">
        <w:tc>
          <w:tcPr>
            <w:tcW w:w="2178" w:type="dxa"/>
            <w:vAlign w:val="center"/>
          </w:tcPr>
          <w:p w14:paraId="1BC9EDE1" w14:textId="77777777" w:rsidR="00F70393" w:rsidRPr="005F7134" w:rsidRDefault="00F70393" w:rsidP="00FE277A">
            <w:pPr>
              <w:tabs>
                <w:tab w:val="left" w:pos="1734"/>
                <w:tab w:val="left" w:pos="1995"/>
                <w:tab w:val="left" w:pos="2333"/>
                <w:tab w:val="left" w:pos="2613"/>
              </w:tabs>
              <w:jc w:val="center"/>
              <w:rPr>
                <w:rFonts w:ascii="Times New Roman" w:hAnsi="Times New Roman" w:cs="Times New Roman"/>
                <w:sz w:val="20"/>
                <w:szCs w:val="20"/>
              </w:rPr>
            </w:pPr>
            <w:r w:rsidRPr="005F7134">
              <w:rPr>
                <w:rFonts w:ascii="Times New Roman" w:hAnsi="Times New Roman" w:cs="Times New Roman"/>
                <w:sz w:val="20"/>
                <w:szCs w:val="20"/>
              </w:rPr>
              <w:t>284.221</w:t>
            </w:r>
          </w:p>
        </w:tc>
        <w:tc>
          <w:tcPr>
            <w:tcW w:w="2610" w:type="dxa"/>
            <w:vAlign w:val="center"/>
          </w:tcPr>
          <w:p w14:paraId="2CB77FA5" w14:textId="77777777" w:rsidR="00F70393" w:rsidRPr="005F7134" w:rsidRDefault="00F70393" w:rsidP="00FE277A">
            <w:pPr>
              <w:tabs>
                <w:tab w:val="left" w:pos="1734"/>
                <w:tab w:val="left" w:pos="1995"/>
                <w:tab w:val="left" w:pos="2333"/>
                <w:tab w:val="left" w:pos="2613"/>
              </w:tabs>
              <w:jc w:val="center"/>
              <w:rPr>
                <w:rFonts w:ascii="Times New Roman" w:hAnsi="Times New Roman" w:cs="Times New Roman"/>
                <w:sz w:val="20"/>
                <w:szCs w:val="20"/>
              </w:rPr>
            </w:pPr>
            <w:r w:rsidRPr="005F7134">
              <w:rPr>
                <w:rFonts w:ascii="Times New Roman" w:hAnsi="Times New Roman" w:cs="Times New Roman"/>
                <w:sz w:val="20"/>
                <w:szCs w:val="20"/>
              </w:rPr>
              <w:t>Blanket Certificates – one time filing, inc. new tariff and rate design proposal</w:t>
            </w:r>
          </w:p>
        </w:tc>
        <w:tc>
          <w:tcPr>
            <w:tcW w:w="1620" w:type="dxa"/>
            <w:vAlign w:val="bottom"/>
          </w:tcPr>
          <w:p w14:paraId="16A8AB8B" w14:textId="77777777" w:rsidR="00F70393" w:rsidRPr="005F7134" w:rsidRDefault="00F70393" w:rsidP="00FE277A">
            <w:pPr>
              <w:tabs>
                <w:tab w:val="left" w:pos="1734"/>
                <w:tab w:val="left" w:pos="1995"/>
                <w:tab w:val="left" w:pos="2333"/>
                <w:tab w:val="left" w:pos="2613"/>
              </w:tabs>
              <w:jc w:val="right"/>
              <w:rPr>
                <w:rFonts w:ascii="Times New Roman" w:hAnsi="Times New Roman" w:cs="Times New Roman"/>
                <w:sz w:val="20"/>
                <w:szCs w:val="20"/>
              </w:rPr>
            </w:pPr>
            <w:r w:rsidRPr="005F7134">
              <w:rPr>
                <w:rFonts w:ascii="Times New Roman" w:hAnsi="Times New Roman" w:cs="Times New Roman"/>
                <w:sz w:val="24"/>
              </w:rPr>
              <w:t>14</w:t>
            </w:r>
          </w:p>
        </w:tc>
        <w:tc>
          <w:tcPr>
            <w:tcW w:w="1430" w:type="dxa"/>
            <w:vAlign w:val="bottom"/>
          </w:tcPr>
          <w:p w14:paraId="5FC9BBBA" w14:textId="77777777" w:rsidR="00F70393" w:rsidRPr="005F7134" w:rsidRDefault="00F70393" w:rsidP="00FE277A">
            <w:pPr>
              <w:tabs>
                <w:tab w:val="left" w:pos="1734"/>
                <w:tab w:val="left" w:pos="1995"/>
                <w:tab w:val="left" w:pos="2333"/>
                <w:tab w:val="left" w:pos="2613"/>
              </w:tabs>
              <w:jc w:val="right"/>
              <w:rPr>
                <w:rFonts w:ascii="Times New Roman" w:hAnsi="Times New Roman" w:cs="Times New Roman"/>
                <w:sz w:val="20"/>
                <w:szCs w:val="20"/>
              </w:rPr>
            </w:pPr>
            <w:r w:rsidRPr="005F7134">
              <w:rPr>
                <w:rFonts w:ascii="Times New Roman" w:hAnsi="Times New Roman" w:cs="Times New Roman"/>
                <w:sz w:val="20"/>
                <w:szCs w:val="20"/>
              </w:rPr>
              <w:t>14</w:t>
            </w:r>
          </w:p>
        </w:tc>
        <w:tc>
          <w:tcPr>
            <w:tcW w:w="1630" w:type="dxa"/>
            <w:vAlign w:val="bottom"/>
          </w:tcPr>
          <w:p w14:paraId="5933AC4E" w14:textId="77777777" w:rsidR="00F70393" w:rsidRPr="005F7134" w:rsidRDefault="00F70393" w:rsidP="00FE277A">
            <w:pPr>
              <w:tabs>
                <w:tab w:val="left" w:pos="1734"/>
                <w:tab w:val="left" w:pos="1995"/>
                <w:tab w:val="left" w:pos="2333"/>
                <w:tab w:val="left" w:pos="2613"/>
              </w:tabs>
              <w:jc w:val="right"/>
              <w:rPr>
                <w:rFonts w:ascii="Times New Roman" w:hAnsi="Times New Roman" w:cs="Times New Roman"/>
                <w:sz w:val="20"/>
                <w:szCs w:val="20"/>
              </w:rPr>
            </w:pPr>
            <w:r w:rsidRPr="005F7134">
              <w:rPr>
                <w:rFonts w:ascii="Times New Roman" w:hAnsi="Times New Roman" w:cs="Times New Roman"/>
                <w:sz w:val="20"/>
                <w:szCs w:val="20"/>
              </w:rPr>
              <w:t>100</w:t>
            </w:r>
          </w:p>
        </w:tc>
      </w:tr>
      <w:tr w:rsidR="00F70393" w:rsidRPr="00F70393" w14:paraId="60D48505" w14:textId="77777777" w:rsidTr="00FE277A">
        <w:tc>
          <w:tcPr>
            <w:tcW w:w="2178" w:type="dxa"/>
            <w:vAlign w:val="center"/>
          </w:tcPr>
          <w:p w14:paraId="1C5DCEA2" w14:textId="77777777" w:rsidR="00F70393" w:rsidRPr="005F7134" w:rsidRDefault="00F70393" w:rsidP="00FE277A">
            <w:pPr>
              <w:tabs>
                <w:tab w:val="left" w:pos="1734"/>
                <w:tab w:val="left" w:pos="1995"/>
                <w:tab w:val="left" w:pos="2333"/>
                <w:tab w:val="left" w:pos="2613"/>
              </w:tabs>
              <w:jc w:val="center"/>
              <w:rPr>
                <w:rFonts w:ascii="Times New Roman" w:hAnsi="Times New Roman" w:cs="Times New Roman"/>
                <w:sz w:val="20"/>
                <w:szCs w:val="20"/>
              </w:rPr>
            </w:pPr>
            <w:r w:rsidRPr="005F7134">
              <w:rPr>
                <w:rFonts w:ascii="Times New Roman" w:hAnsi="Times New Roman" w:cs="Times New Roman"/>
                <w:sz w:val="20"/>
                <w:szCs w:val="20"/>
              </w:rPr>
              <w:t>284.224</w:t>
            </w:r>
          </w:p>
        </w:tc>
        <w:tc>
          <w:tcPr>
            <w:tcW w:w="2610" w:type="dxa"/>
            <w:vAlign w:val="center"/>
          </w:tcPr>
          <w:p w14:paraId="55CCD832" w14:textId="77777777" w:rsidR="00F70393" w:rsidRPr="005F7134" w:rsidRDefault="00F70393" w:rsidP="00FE277A">
            <w:pPr>
              <w:tabs>
                <w:tab w:val="left" w:pos="1734"/>
                <w:tab w:val="left" w:pos="1995"/>
                <w:tab w:val="left" w:pos="2333"/>
                <w:tab w:val="left" w:pos="2613"/>
              </w:tabs>
              <w:jc w:val="center"/>
              <w:rPr>
                <w:rFonts w:ascii="Times New Roman" w:hAnsi="Times New Roman" w:cs="Times New Roman"/>
                <w:sz w:val="20"/>
                <w:szCs w:val="20"/>
              </w:rPr>
            </w:pPr>
            <w:r w:rsidRPr="005F7134">
              <w:rPr>
                <w:rFonts w:ascii="Times New Roman" w:hAnsi="Times New Roman" w:cs="Times New Roman"/>
                <w:sz w:val="20"/>
                <w:szCs w:val="20"/>
              </w:rPr>
              <w:t xml:space="preserve">Hinshaw Blanket Certificates </w:t>
            </w:r>
          </w:p>
        </w:tc>
        <w:tc>
          <w:tcPr>
            <w:tcW w:w="1620" w:type="dxa"/>
            <w:vAlign w:val="bottom"/>
          </w:tcPr>
          <w:p w14:paraId="2E8ECA9C" w14:textId="77777777" w:rsidR="00F70393" w:rsidRPr="005F7134" w:rsidRDefault="00F70393" w:rsidP="00FE277A">
            <w:pPr>
              <w:tabs>
                <w:tab w:val="left" w:pos="1734"/>
                <w:tab w:val="left" w:pos="1995"/>
                <w:tab w:val="left" w:pos="2333"/>
                <w:tab w:val="left" w:pos="2613"/>
              </w:tabs>
              <w:jc w:val="right"/>
              <w:rPr>
                <w:rFonts w:ascii="Times New Roman" w:hAnsi="Times New Roman" w:cs="Times New Roman"/>
                <w:sz w:val="20"/>
                <w:szCs w:val="20"/>
              </w:rPr>
            </w:pPr>
            <w:r w:rsidRPr="005F7134">
              <w:rPr>
                <w:rFonts w:ascii="Times New Roman" w:hAnsi="Times New Roman" w:cs="Times New Roman"/>
                <w:sz w:val="20"/>
                <w:szCs w:val="20"/>
              </w:rPr>
              <w:t>8</w:t>
            </w:r>
          </w:p>
        </w:tc>
        <w:tc>
          <w:tcPr>
            <w:tcW w:w="1430" w:type="dxa"/>
            <w:vAlign w:val="bottom"/>
          </w:tcPr>
          <w:p w14:paraId="36FF9159" w14:textId="77777777" w:rsidR="00F70393" w:rsidRPr="005F7134" w:rsidRDefault="00F70393" w:rsidP="00FE277A">
            <w:pPr>
              <w:tabs>
                <w:tab w:val="left" w:pos="1734"/>
                <w:tab w:val="left" w:pos="1995"/>
                <w:tab w:val="left" w:pos="2333"/>
                <w:tab w:val="left" w:pos="2613"/>
              </w:tabs>
              <w:jc w:val="right"/>
              <w:rPr>
                <w:rFonts w:ascii="Times New Roman" w:hAnsi="Times New Roman" w:cs="Times New Roman"/>
                <w:sz w:val="20"/>
                <w:szCs w:val="20"/>
              </w:rPr>
            </w:pPr>
            <w:r w:rsidRPr="005F7134">
              <w:rPr>
                <w:rFonts w:ascii="Times New Roman" w:hAnsi="Times New Roman" w:cs="Times New Roman"/>
                <w:sz w:val="20"/>
                <w:szCs w:val="20"/>
              </w:rPr>
              <w:t>8</w:t>
            </w:r>
          </w:p>
        </w:tc>
        <w:tc>
          <w:tcPr>
            <w:tcW w:w="1630" w:type="dxa"/>
            <w:vAlign w:val="bottom"/>
          </w:tcPr>
          <w:p w14:paraId="0577D289" w14:textId="77777777" w:rsidR="00F70393" w:rsidRPr="005F7134" w:rsidRDefault="00F70393" w:rsidP="00FE277A">
            <w:pPr>
              <w:tabs>
                <w:tab w:val="left" w:pos="1734"/>
                <w:tab w:val="left" w:pos="1995"/>
                <w:tab w:val="left" w:pos="2333"/>
                <w:tab w:val="left" w:pos="2613"/>
              </w:tabs>
              <w:jc w:val="right"/>
              <w:rPr>
                <w:rFonts w:ascii="Times New Roman" w:hAnsi="Times New Roman" w:cs="Times New Roman"/>
                <w:sz w:val="20"/>
                <w:szCs w:val="20"/>
              </w:rPr>
            </w:pPr>
            <w:r w:rsidRPr="005F7134">
              <w:rPr>
                <w:rFonts w:ascii="Times New Roman" w:hAnsi="Times New Roman" w:cs="Times New Roman"/>
                <w:sz w:val="20"/>
                <w:szCs w:val="20"/>
              </w:rPr>
              <w:t>75</w:t>
            </w:r>
          </w:p>
        </w:tc>
      </w:tr>
      <w:tr w:rsidR="00F70393" w:rsidRPr="00F70393" w14:paraId="4953FAEF" w14:textId="77777777" w:rsidTr="00FE277A">
        <w:tc>
          <w:tcPr>
            <w:tcW w:w="2178" w:type="dxa"/>
            <w:vAlign w:val="center"/>
          </w:tcPr>
          <w:p w14:paraId="53FFF3F2" w14:textId="77777777" w:rsidR="00F70393" w:rsidRPr="005F7134" w:rsidRDefault="00F70393" w:rsidP="00FE277A">
            <w:pPr>
              <w:tabs>
                <w:tab w:val="left" w:pos="1734"/>
                <w:tab w:val="left" w:pos="1995"/>
                <w:tab w:val="left" w:pos="2333"/>
                <w:tab w:val="left" w:pos="2613"/>
              </w:tabs>
              <w:jc w:val="center"/>
              <w:rPr>
                <w:rFonts w:ascii="Times New Roman" w:hAnsi="Times New Roman" w:cs="Times New Roman"/>
                <w:sz w:val="20"/>
                <w:szCs w:val="20"/>
              </w:rPr>
            </w:pPr>
            <w:r w:rsidRPr="005F7134">
              <w:rPr>
                <w:rFonts w:ascii="Times New Roman" w:hAnsi="Times New Roman" w:cs="Times New Roman"/>
                <w:sz w:val="20"/>
                <w:szCs w:val="20"/>
              </w:rPr>
              <w:t>157.5-.11; &amp; 157.13-.20</w:t>
            </w:r>
          </w:p>
        </w:tc>
        <w:tc>
          <w:tcPr>
            <w:tcW w:w="2610" w:type="dxa"/>
            <w:vAlign w:val="center"/>
          </w:tcPr>
          <w:p w14:paraId="1D3E70AB" w14:textId="77777777" w:rsidR="00F70393" w:rsidRPr="005F7134" w:rsidRDefault="00F70393" w:rsidP="00FE277A">
            <w:pPr>
              <w:tabs>
                <w:tab w:val="left" w:pos="1734"/>
                <w:tab w:val="left" w:pos="1995"/>
                <w:tab w:val="left" w:pos="2333"/>
                <w:tab w:val="left" w:pos="2613"/>
              </w:tabs>
              <w:jc w:val="center"/>
              <w:rPr>
                <w:rFonts w:ascii="Times New Roman" w:hAnsi="Times New Roman" w:cs="Times New Roman"/>
                <w:sz w:val="20"/>
                <w:szCs w:val="20"/>
              </w:rPr>
            </w:pPr>
            <w:r w:rsidRPr="005F7134">
              <w:rPr>
                <w:rFonts w:ascii="Times New Roman" w:hAnsi="Times New Roman" w:cs="Times New Roman"/>
                <w:sz w:val="20"/>
                <w:szCs w:val="20"/>
              </w:rPr>
              <w:t>Non-facility certificate or abandonment  applications</w:t>
            </w:r>
          </w:p>
        </w:tc>
        <w:tc>
          <w:tcPr>
            <w:tcW w:w="1620" w:type="dxa"/>
            <w:vAlign w:val="bottom"/>
          </w:tcPr>
          <w:p w14:paraId="7F751D38" w14:textId="77777777" w:rsidR="00F70393" w:rsidRPr="005F7134" w:rsidRDefault="00F70393" w:rsidP="00FE277A">
            <w:pPr>
              <w:tabs>
                <w:tab w:val="left" w:pos="1734"/>
                <w:tab w:val="left" w:pos="1995"/>
                <w:tab w:val="left" w:pos="2333"/>
                <w:tab w:val="left" w:pos="2613"/>
              </w:tabs>
              <w:jc w:val="right"/>
              <w:rPr>
                <w:rFonts w:ascii="Times New Roman" w:hAnsi="Times New Roman" w:cs="Times New Roman"/>
                <w:sz w:val="20"/>
                <w:szCs w:val="20"/>
              </w:rPr>
            </w:pPr>
            <w:r w:rsidRPr="005F7134">
              <w:rPr>
                <w:rFonts w:ascii="Times New Roman" w:hAnsi="Times New Roman" w:cs="Times New Roman"/>
                <w:sz w:val="20"/>
                <w:szCs w:val="20"/>
              </w:rPr>
              <w:t>5</w:t>
            </w:r>
          </w:p>
        </w:tc>
        <w:tc>
          <w:tcPr>
            <w:tcW w:w="1430" w:type="dxa"/>
            <w:vAlign w:val="bottom"/>
          </w:tcPr>
          <w:p w14:paraId="4AEEEA06" w14:textId="77777777" w:rsidR="00F70393" w:rsidRPr="005F7134" w:rsidRDefault="00F70393" w:rsidP="00FE277A">
            <w:pPr>
              <w:tabs>
                <w:tab w:val="left" w:pos="1734"/>
                <w:tab w:val="left" w:pos="1995"/>
                <w:tab w:val="left" w:pos="2333"/>
                <w:tab w:val="left" w:pos="2613"/>
              </w:tabs>
              <w:jc w:val="right"/>
              <w:rPr>
                <w:rFonts w:ascii="Times New Roman" w:hAnsi="Times New Roman" w:cs="Times New Roman"/>
                <w:sz w:val="20"/>
                <w:szCs w:val="20"/>
              </w:rPr>
            </w:pPr>
            <w:r w:rsidRPr="005F7134">
              <w:rPr>
                <w:rFonts w:ascii="Times New Roman" w:hAnsi="Times New Roman" w:cs="Times New Roman"/>
                <w:sz w:val="20"/>
                <w:szCs w:val="20"/>
              </w:rPr>
              <w:t>5</w:t>
            </w:r>
          </w:p>
        </w:tc>
        <w:tc>
          <w:tcPr>
            <w:tcW w:w="1630" w:type="dxa"/>
            <w:vAlign w:val="bottom"/>
          </w:tcPr>
          <w:p w14:paraId="4A94CB9C" w14:textId="77777777" w:rsidR="00F70393" w:rsidRPr="005F7134" w:rsidRDefault="00F70393" w:rsidP="00FE277A">
            <w:pPr>
              <w:tabs>
                <w:tab w:val="left" w:pos="1734"/>
                <w:tab w:val="left" w:pos="1995"/>
                <w:tab w:val="left" w:pos="2333"/>
                <w:tab w:val="left" w:pos="2613"/>
              </w:tabs>
              <w:jc w:val="right"/>
              <w:rPr>
                <w:rFonts w:ascii="Times New Roman" w:hAnsi="Times New Roman" w:cs="Times New Roman"/>
                <w:sz w:val="20"/>
                <w:szCs w:val="20"/>
              </w:rPr>
            </w:pPr>
            <w:r w:rsidRPr="005F7134">
              <w:rPr>
                <w:rFonts w:ascii="Times New Roman" w:hAnsi="Times New Roman" w:cs="Times New Roman"/>
                <w:sz w:val="20"/>
                <w:szCs w:val="20"/>
              </w:rPr>
              <w:t>75</w:t>
            </w:r>
          </w:p>
        </w:tc>
      </w:tr>
      <w:tr w:rsidR="00F70393" w:rsidRPr="00F70393" w14:paraId="375A190D" w14:textId="77777777" w:rsidTr="00FE277A">
        <w:tc>
          <w:tcPr>
            <w:tcW w:w="2178" w:type="dxa"/>
            <w:vAlign w:val="center"/>
          </w:tcPr>
          <w:p w14:paraId="35CE85CE" w14:textId="77777777" w:rsidR="00F70393" w:rsidRPr="005F7134" w:rsidRDefault="00F70393" w:rsidP="00FE277A">
            <w:pPr>
              <w:tabs>
                <w:tab w:val="left" w:pos="1734"/>
                <w:tab w:val="left" w:pos="1995"/>
                <w:tab w:val="left" w:pos="2333"/>
                <w:tab w:val="left" w:pos="2613"/>
              </w:tabs>
              <w:jc w:val="center"/>
              <w:rPr>
                <w:rFonts w:ascii="Times New Roman" w:hAnsi="Times New Roman" w:cs="Times New Roman"/>
                <w:b/>
                <w:sz w:val="20"/>
                <w:szCs w:val="20"/>
              </w:rPr>
            </w:pPr>
            <w:r w:rsidRPr="005F7134">
              <w:rPr>
                <w:rFonts w:ascii="Times New Roman" w:hAnsi="Times New Roman" w:cs="Times New Roman"/>
                <w:b/>
                <w:sz w:val="20"/>
                <w:szCs w:val="20"/>
              </w:rPr>
              <w:t>TOTALS</w:t>
            </w:r>
          </w:p>
        </w:tc>
        <w:tc>
          <w:tcPr>
            <w:tcW w:w="2610" w:type="dxa"/>
            <w:vAlign w:val="center"/>
          </w:tcPr>
          <w:p w14:paraId="4EF007A7" w14:textId="77777777" w:rsidR="00F70393" w:rsidRPr="005F7134" w:rsidRDefault="00F70393" w:rsidP="00FE277A">
            <w:pPr>
              <w:tabs>
                <w:tab w:val="left" w:pos="1734"/>
                <w:tab w:val="left" w:pos="1995"/>
                <w:tab w:val="left" w:pos="2333"/>
                <w:tab w:val="left" w:pos="2613"/>
              </w:tabs>
              <w:jc w:val="center"/>
              <w:rPr>
                <w:rFonts w:ascii="Times New Roman" w:hAnsi="Times New Roman" w:cs="Times New Roman"/>
                <w:b/>
                <w:sz w:val="20"/>
                <w:szCs w:val="20"/>
              </w:rPr>
            </w:pPr>
          </w:p>
        </w:tc>
        <w:tc>
          <w:tcPr>
            <w:tcW w:w="1620" w:type="dxa"/>
            <w:vAlign w:val="bottom"/>
          </w:tcPr>
          <w:p w14:paraId="69626702" w14:textId="77777777" w:rsidR="00F70393" w:rsidRPr="005F7134" w:rsidRDefault="00F70393" w:rsidP="00FE277A">
            <w:pPr>
              <w:tabs>
                <w:tab w:val="left" w:pos="1734"/>
                <w:tab w:val="left" w:pos="1995"/>
                <w:tab w:val="left" w:pos="2333"/>
                <w:tab w:val="left" w:pos="2613"/>
              </w:tabs>
              <w:jc w:val="right"/>
              <w:rPr>
                <w:rFonts w:ascii="Times New Roman" w:hAnsi="Times New Roman" w:cs="Times New Roman"/>
                <w:b/>
                <w:sz w:val="20"/>
                <w:szCs w:val="20"/>
              </w:rPr>
            </w:pPr>
            <w:r w:rsidRPr="005F7134">
              <w:rPr>
                <w:rFonts w:ascii="Times New Roman" w:hAnsi="Times New Roman" w:cs="Times New Roman"/>
                <w:b/>
                <w:sz w:val="20"/>
                <w:szCs w:val="20"/>
              </w:rPr>
              <w:t>204 distinct entities</w:t>
            </w:r>
          </w:p>
        </w:tc>
        <w:tc>
          <w:tcPr>
            <w:tcW w:w="1430" w:type="dxa"/>
            <w:vAlign w:val="bottom"/>
          </w:tcPr>
          <w:p w14:paraId="7F16B3A8" w14:textId="77777777" w:rsidR="00F70393" w:rsidRPr="005F7134" w:rsidRDefault="00F70393" w:rsidP="00FE277A">
            <w:pPr>
              <w:tabs>
                <w:tab w:val="left" w:pos="1734"/>
                <w:tab w:val="left" w:pos="1995"/>
                <w:tab w:val="left" w:pos="2333"/>
                <w:tab w:val="left" w:pos="2613"/>
              </w:tabs>
              <w:jc w:val="right"/>
              <w:rPr>
                <w:rFonts w:ascii="Times New Roman" w:hAnsi="Times New Roman" w:cs="Times New Roman"/>
                <w:b/>
                <w:sz w:val="20"/>
                <w:szCs w:val="20"/>
              </w:rPr>
            </w:pPr>
            <w:r w:rsidRPr="005F7134">
              <w:rPr>
                <w:rFonts w:ascii="Times New Roman" w:hAnsi="Times New Roman" w:cs="Times New Roman"/>
                <w:b/>
                <w:sz w:val="20"/>
                <w:szCs w:val="20"/>
              </w:rPr>
              <w:t>458</w:t>
            </w:r>
          </w:p>
        </w:tc>
        <w:tc>
          <w:tcPr>
            <w:tcW w:w="1630" w:type="dxa"/>
            <w:vAlign w:val="bottom"/>
          </w:tcPr>
          <w:p w14:paraId="24F71E82" w14:textId="77777777" w:rsidR="00F70393" w:rsidRPr="005F7134" w:rsidRDefault="00F70393" w:rsidP="00FE277A">
            <w:pPr>
              <w:tabs>
                <w:tab w:val="left" w:pos="1734"/>
                <w:tab w:val="left" w:pos="1995"/>
                <w:tab w:val="left" w:pos="2333"/>
                <w:tab w:val="left" w:pos="2613"/>
              </w:tabs>
              <w:jc w:val="right"/>
              <w:rPr>
                <w:rFonts w:ascii="Times New Roman" w:hAnsi="Times New Roman" w:cs="Times New Roman"/>
                <w:b/>
                <w:sz w:val="20"/>
                <w:szCs w:val="20"/>
              </w:rPr>
            </w:pPr>
            <w:r w:rsidRPr="005F7134">
              <w:rPr>
                <w:rFonts w:ascii="Times New Roman" w:hAnsi="Times New Roman" w:cs="Times New Roman"/>
                <w:b/>
                <w:sz w:val="20"/>
                <w:szCs w:val="20"/>
              </w:rPr>
              <w:t>146  average, weighted</w:t>
            </w:r>
          </w:p>
        </w:tc>
      </w:tr>
    </w:tbl>
    <w:p w14:paraId="2EC2497A" w14:textId="77777777" w:rsidR="004903C8" w:rsidRPr="00F70393" w:rsidRDefault="004903C8" w:rsidP="005F7134">
      <w:pPr>
        <w:spacing w:line="480" w:lineRule="auto"/>
        <w:rPr>
          <w:rFonts w:ascii="Times New Roman" w:hAnsi="Times New Roman" w:cs="Times New Roman"/>
          <w:sz w:val="26"/>
          <w:szCs w:val="26"/>
        </w:rPr>
      </w:pPr>
    </w:p>
    <w:p w14:paraId="6E899FE4" w14:textId="77777777" w:rsidR="004903C8" w:rsidRPr="00F70393" w:rsidRDefault="004903C8" w:rsidP="004903C8">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F70393">
        <w:rPr>
          <w:rFonts w:ascii="Times New Roman" w:hAnsi="Times New Roman" w:cs="Times New Roman"/>
          <w:b/>
          <w:bCs/>
          <w:sz w:val="26"/>
          <w:szCs w:val="26"/>
        </w:rPr>
        <w:t>ESTIMATE OF THE TOTAL ANNUAL COST BURDEN TO RESPONDENTS</w:t>
      </w:r>
    </w:p>
    <w:p w14:paraId="30C7CE1D" w14:textId="77777777" w:rsidR="004903C8" w:rsidRPr="00F70393" w:rsidRDefault="004903C8" w:rsidP="004903C8">
      <w:pPr>
        <w:rPr>
          <w:rFonts w:ascii="Times New Roman" w:hAnsi="Times New Roman" w:cs="Times New Roman"/>
          <w:b/>
          <w:bCs/>
          <w:sz w:val="26"/>
          <w:szCs w:val="26"/>
        </w:rPr>
      </w:pPr>
    </w:p>
    <w:p w14:paraId="5A763D21" w14:textId="1F5B6811" w:rsidR="00485E52" w:rsidRPr="005F7134" w:rsidRDefault="00485E52" w:rsidP="00485E52">
      <w:pPr>
        <w:spacing w:after="0"/>
        <w:rPr>
          <w:rFonts w:ascii="Times New Roman" w:hAnsi="Times New Roman" w:cs="Times New Roman"/>
          <w:sz w:val="24"/>
          <w:szCs w:val="24"/>
        </w:rPr>
      </w:pPr>
      <w:r w:rsidRPr="005F7134">
        <w:rPr>
          <w:rFonts w:ascii="Times New Roman" w:hAnsi="Times New Roman" w:cs="Times New Roman"/>
          <w:sz w:val="24"/>
          <w:szCs w:val="24"/>
        </w:rPr>
        <w:t>There is no capital or start-up cost associated with this information collection.  All of costs are associated with the burden hours and accounted for in Questions #12 and #15.</w:t>
      </w:r>
    </w:p>
    <w:p w14:paraId="58E54E61" w14:textId="77777777" w:rsidR="00485E52" w:rsidRPr="00F70393" w:rsidRDefault="00485E52" w:rsidP="004903C8">
      <w:pPr>
        <w:rPr>
          <w:rFonts w:ascii="Times New Roman" w:hAnsi="Times New Roman" w:cs="Times New Roman"/>
          <w:b/>
          <w:bCs/>
          <w:sz w:val="26"/>
          <w:szCs w:val="26"/>
        </w:rPr>
      </w:pPr>
    </w:p>
    <w:p w14:paraId="64C57BBD" w14:textId="77777777" w:rsidR="004903C8" w:rsidRPr="00F70393" w:rsidRDefault="004903C8" w:rsidP="004903C8">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F70393">
        <w:rPr>
          <w:rFonts w:ascii="Times New Roman" w:hAnsi="Times New Roman" w:cs="Times New Roman"/>
          <w:b/>
          <w:bCs/>
          <w:sz w:val="26"/>
          <w:szCs w:val="26"/>
        </w:rPr>
        <w:t>ESTIMATED ANNUALIZED COST TO FEDERAL GOVERNMENT</w:t>
      </w:r>
    </w:p>
    <w:p w14:paraId="0728F368" w14:textId="77777777" w:rsidR="004903C8" w:rsidRPr="00F70393" w:rsidRDefault="004903C8" w:rsidP="004903C8">
      <w:pPr>
        <w:rPr>
          <w:rFonts w:ascii="Times New Roman" w:hAnsi="Times New Roman" w:cs="Times New Roman"/>
          <w:b/>
          <w:bCs/>
          <w:sz w:val="26"/>
          <w:szCs w:val="26"/>
        </w:rPr>
      </w:pPr>
    </w:p>
    <w:p w14:paraId="490E85EB" w14:textId="77777777" w:rsidR="00647A6C" w:rsidRPr="00F70393" w:rsidRDefault="00647A6C" w:rsidP="00647A6C">
      <w:pPr>
        <w:rPr>
          <w:rFonts w:ascii="Times New Roman" w:hAnsi="Times New Roman" w:cs="Times New Roman"/>
          <w:sz w:val="26"/>
          <w:szCs w:val="26"/>
        </w:rPr>
      </w:pPr>
      <w:r w:rsidRPr="00F70393">
        <w:rPr>
          <w:rFonts w:ascii="Times New Roman" w:hAnsi="Times New Roman" w:cs="Times New Roman"/>
          <w:sz w:val="26"/>
          <w:szCs w:val="26"/>
        </w:rPr>
        <w:t>The estimated annualized cost to the Federal government for FERC-537 follows:</w:t>
      </w:r>
    </w:p>
    <w:p w14:paraId="4D34577F" w14:textId="77777777" w:rsidR="00647A6C" w:rsidRPr="00F70393" w:rsidRDefault="00647A6C" w:rsidP="00647A6C">
      <w:pPr>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3113"/>
        <w:gridCol w:w="3113"/>
      </w:tblGrid>
      <w:tr w:rsidR="00647A6C" w:rsidRPr="00F70393" w14:paraId="7983E904" w14:textId="77777777" w:rsidTr="00647A6C">
        <w:tc>
          <w:tcPr>
            <w:tcW w:w="3192" w:type="dxa"/>
            <w:tcBorders>
              <w:top w:val="single" w:sz="4" w:space="0" w:color="auto"/>
              <w:left w:val="single" w:sz="4" w:space="0" w:color="auto"/>
              <w:bottom w:val="single" w:sz="4" w:space="0" w:color="auto"/>
              <w:right w:val="single" w:sz="4" w:space="0" w:color="auto"/>
            </w:tcBorders>
            <w:vAlign w:val="center"/>
            <w:hideMark/>
          </w:tcPr>
          <w:p w14:paraId="6C0D75C8" w14:textId="77777777" w:rsidR="00647A6C" w:rsidRPr="00F70393" w:rsidRDefault="00647A6C">
            <w:pPr>
              <w:jc w:val="center"/>
              <w:rPr>
                <w:rFonts w:ascii="Times New Roman" w:hAnsi="Times New Roman" w:cs="Times New Roman"/>
                <w:b/>
                <w:sz w:val="26"/>
                <w:szCs w:val="26"/>
              </w:rPr>
            </w:pPr>
            <w:r w:rsidRPr="00F70393">
              <w:rPr>
                <w:rFonts w:ascii="Times New Roman" w:hAnsi="Times New Roman" w:cs="Times New Roman"/>
                <w:b/>
                <w:sz w:val="26"/>
                <w:szCs w:val="26"/>
              </w:rPr>
              <w:t>FERC-537</w:t>
            </w:r>
          </w:p>
        </w:tc>
        <w:tc>
          <w:tcPr>
            <w:tcW w:w="3192" w:type="dxa"/>
            <w:tcBorders>
              <w:top w:val="single" w:sz="4" w:space="0" w:color="auto"/>
              <w:left w:val="single" w:sz="4" w:space="0" w:color="auto"/>
              <w:bottom w:val="single" w:sz="4" w:space="0" w:color="auto"/>
              <w:right w:val="single" w:sz="4" w:space="0" w:color="auto"/>
            </w:tcBorders>
            <w:vAlign w:val="center"/>
            <w:hideMark/>
          </w:tcPr>
          <w:p w14:paraId="5B6C60E8" w14:textId="77777777" w:rsidR="00647A6C" w:rsidRPr="00F70393" w:rsidRDefault="00647A6C">
            <w:pPr>
              <w:jc w:val="center"/>
              <w:rPr>
                <w:rFonts w:ascii="Times New Roman" w:hAnsi="Times New Roman" w:cs="Times New Roman"/>
                <w:b/>
                <w:sz w:val="26"/>
                <w:szCs w:val="26"/>
              </w:rPr>
            </w:pPr>
            <w:r w:rsidRPr="00F70393">
              <w:rPr>
                <w:rFonts w:ascii="Times New Roman" w:hAnsi="Times New Roman" w:cs="Times New Roman"/>
                <w:b/>
                <w:sz w:val="26"/>
                <w:szCs w:val="26"/>
              </w:rPr>
              <w:t>No. of Employees (FTE’s)</w:t>
            </w:r>
            <w:r w:rsidRPr="00F70393">
              <w:rPr>
                <w:rStyle w:val="FootnoteReference"/>
                <w:rFonts w:ascii="Times New Roman" w:hAnsi="Times New Roman" w:cs="Times New Roman"/>
                <w:b/>
                <w:sz w:val="26"/>
                <w:szCs w:val="26"/>
                <w:vertAlign w:val="superscript"/>
              </w:rPr>
              <w:footnoteReference w:id="4"/>
            </w:r>
          </w:p>
        </w:tc>
        <w:tc>
          <w:tcPr>
            <w:tcW w:w="3192" w:type="dxa"/>
            <w:tcBorders>
              <w:top w:val="single" w:sz="4" w:space="0" w:color="auto"/>
              <w:left w:val="single" w:sz="4" w:space="0" w:color="auto"/>
              <w:bottom w:val="single" w:sz="4" w:space="0" w:color="auto"/>
              <w:right w:val="single" w:sz="4" w:space="0" w:color="auto"/>
            </w:tcBorders>
            <w:vAlign w:val="center"/>
            <w:hideMark/>
          </w:tcPr>
          <w:p w14:paraId="67CE89A8" w14:textId="77777777" w:rsidR="00647A6C" w:rsidRPr="00F70393" w:rsidRDefault="00647A6C">
            <w:pPr>
              <w:jc w:val="center"/>
              <w:rPr>
                <w:rFonts w:ascii="Times New Roman" w:hAnsi="Times New Roman" w:cs="Times New Roman"/>
                <w:b/>
                <w:sz w:val="26"/>
                <w:szCs w:val="26"/>
              </w:rPr>
            </w:pPr>
            <w:r w:rsidRPr="00F70393">
              <w:rPr>
                <w:rFonts w:ascii="Times New Roman" w:hAnsi="Times New Roman" w:cs="Times New Roman"/>
                <w:b/>
                <w:sz w:val="26"/>
                <w:szCs w:val="26"/>
              </w:rPr>
              <w:t>Estimated, Annual, Federal Resources in ($)</w:t>
            </w:r>
          </w:p>
        </w:tc>
      </w:tr>
      <w:tr w:rsidR="00647A6C" w:rsidRPr="00F70393" w14:paraId="30022530" w14:textId="77777777" w:rsidTr="006F44CF">
        <w:tc>
          <w:tcPr>
            <w:tcW w:w="3192" w:type="dxa"/>
            <w:tcBorders>
              <w:top w:val="single" w:sz="4" w:space="0" w:color="auto"/>
              <w:left w:val="single" w:sz="4" w:space="0" w:color="auto"/>
              <w:bottom w:val="single" w:sz="4" w:space="0" w:color="auto"/>
              <w:right w:val="single" w:sz="4" w:space="0" w:color="auto"/>
            </w:tcBorders>
            <w:hideMark/>
          </w:tcPr>
          <w:p w14:paraId="548F2960" w14:textId="3FED5B86" w:rsidR="00647A6C" w:rsidRPr="00F70393" w:rsidRDefault="000362FB">
            <w:pPr>
              <w:rPr>
                <w:rFonts w:ascii="Times New Roman" w:hAnsi="Times New Roman" w:cs="Times New Roman"/>
                <w:sz w:val="26"/>
                <w:szCs w:val="26"/>
              </w:rPr>
            </w:pPr>
            <w:r w:rsidRPr="00F70393">
              <w:rPr>
                <w:rFonts w:ascii="Times New Roman" w:hAnsi="Times New Roman" w:cs="Times New Roman"/>
                <w:sz w:val="26"/>
                <w:szCs w:val="26"/>
              </w:rPr>
              <w:t>Analysis and Processing of filings</w:t>
            </w:r>
          </w:p>
        </w:tc>
        <w:tc>
          <w:tcPr>
            <w:tcW w:w="3192" w:type="dxa"/>
            <w:tcBorders>
              <w:top w:val="single" w:sz="4" w:space="0" w:color="auto"/>
              <w:left w:val="single" w:sz="4" w:space="0" w:color="auto"/>
              <w:bottom w:val="single" w:sz="4" w:space="0" w:color="auto"/>
              <w:right w:val="single" w:sz="4" w:space="0" w:color="auto"/>
            </w:tcBorders>
            <w:hideMark/>
          </w:tcPr>
          <w:p w14:paraId="13332982" w14:textId="53CC0172" w:rsidR="00647A6C" w:rsidRPr="00F70393" w:rsidRDefault="00172CB4">
            <w:pPr>
              <w:jc w:val="center"/>
              <w:rPr>
                <w:rFonts w:ascii="Times New Roman" w:hAnsi="Times New Roman" w:cs="Times New Roman"/>
                <w:sz w:val="26"/>
                <w:szCs w:val="26"/>
              </w:rPr>
            </w:pPr>
            <w:r w:rsidRPr="00F70393">
              <w:rPr>
                <w:rFonts w:ascii="Times New Roman" w:hAnsi="Times New Roman" w:cs="Times New Roman"/>
                <w:sz w:val="26"/>
                <w:szCs w:val="26"/>
              </w:rPr>
              <w:t>4</w:t>
            </w:r>
            <w:r w:rsidR="00E05C64">
              <w:rPr>
                <w:rFonts w:ascii="Times New Roman" w:hAnsi="Times New Roman" w:cs="Times New Roman"/>
                <w:sz w:val="26"/>
                <w:szCs w:val="26"/>
              </w:rPr>
              <w:t>2</w:t>
            </w:r>
          </w:p>
        </w:tc>
        <w:tc>
          <w:tcPr>
            <w:tcW w:w="3192" w:type="dxa"/>
            <w:tcBorders>
              <w:top w:val="single" w:sz="4" w:space="0" w:color="auto"/>
              <w:left w:val="single" w:sz="4" w:space="0" w:color="auto"/>
              <w:bottom w:val="single" w:sz="4" w:space="0" w:color="auto"/>
              <w:right w:val="single" w:sz="4" w:space="0" w:color="auto"/>
            </w:tcBorders>
            <w:vAlign w:val="bottom"/>
            <w:hideMark/>
          </w:tcPr>
          <w:p w14:paraId="2CCC2DB4" w14:textId="5C2CF796" w:rsidR="00647A6C" w:rsidRPr="00F70393" w:rsidRDefault="00172CB4" w:rsidP="006F44CF">
            <w:pPr>
              <w:jc w:val="right"/>
              <w:rPr>
                <w:rFonts w:ascii="Times New Roman" w:hAnsi="Times New Roman" w:cs="Times New Roman"/>
                <w:sz w:val="26"/>
                <w:szCs w:val="26"/>
              </w:rPr>
            </w:pPr>
            <w:r w:rsidRPr="00F70393">
              <w:rPr>
                <w:rFonts w:ascii="Times New Roman" w:hAnsi="Times New Roman" w:cs="Times New Roman"/>
                <w:sz w:val="26"/>
                <w:szCs w:val="26"/>
              </w:rPr>
              <w:t>$6</w:t>
            </w:r>
            <w:r w:rsidR="001736D7">
              <w:rPr>
                <w:rFonts w:ascii="Times New Roman" w:hAnsi="Times New Roman" w:cs="Times New Roman"/>
                <w:sz w:val="26"/>
                <w:szCs w:val="26"/>
              </w:rPr>
              <w:t>,156,822</w:t>
            </w:r>
          </w:p>
        </w:tc>
      </w:tr>
      <w:tr w:rsidR="000362FB" w:rsidRPr="00F70393" w14:paraId="6FB7132D" w14:textId="77777777" w:rsidTr="006F44CF">
        <w:tc>
          <w:tcPr>
            <w:tcW w:w="3192" w:type="dxa"/>
            <w:tcBorders>
              <w:top w:val="single" w:sz="4" w:space="0" w:color="auto"/>
              <w:left w:val="single" w:sz="4" w:space="0" w:color="auto"/>
              <w:bottom w:val="single" w:sz="4" w:space="0" w:color="auto"/>
              <w:right w:val="single" w:sz="4" w:space="0" w:color="auto"/>
            </w:tcBorders>
            <w:hideMark/>
          </w:tcPr>
          <w:p w14:paraId="5D597143" w14:textId="520BD93D" w:rsidR="000362FB" w:rsidRPr="00F70393" w:rsidRDefault="000362FB">
            <w:pPr>
              <w:rPr>
                <w:rFonts w:ascii="Times New Roman" w:hAnsi="Times New Roman" w:cs="Times New Roman"/>
                <w:sz w:val="26"/>
                <w:szCs w:val="26"/>
              </w:rPr>
            </w:pPr>
            <w:r w:rsidRPr="00F70393">
              <w:rPr>
                <w:rFonts w:ascii="Times New Roman" w:hAnsi="Times New Roman" w:cs="Times New Roman"/>
                <w:sz w:val="24"/>
                <w:szCs w:val="24"/>
              </w:rPr>
              <w:t>PRA</w:t>
            </w:r>
            <w:r w:rsidRPr="00F70393">
              <w:rPr>
                <w:rFonts w:ascii="Times New Roman" w:hAnsi="Times New Roman" w:cs="Times New Roman"/>
                <w:sz w:val="24"/>
                <w:szCs w:val="24"/>
                <w:vertAlign w:val="superscript"/>
              </w:rPr>
              <w:footnoteReference w:id="5"/>
            </w:r>
            <w:r w:rsidRPr="00F70393">
              <w:rPr>
                <w:rFonts w:ascii="Times New Roman" w:hAnsi="Times New Roman" w:cs="Times New Roman"/>
                <w:sz w:val="24"/>
                <w:szCs w:val="24"/>
              </w:rPr>
              <w:t xml:space="preserve"> Administrative Cost</w:t>
            </w:r>
            <w:r w:rsidRPr="00F70393">
              <w:rPr>
                <w:rStyle w:val="FootnoteReference"/>
                <w:rFonts w:ascii="Times New Roman" w:hAnsi="Times New Roman" w:cs="Times New Roman"/>
                <w:sz w:val="24"/>
                <w:szCs w:val="24"/>
                <w:vertAlign w:val="superscript"/>
              </w:rPr>
              <w:footnoteReference w:id="6"/>
            </w:r>
          </w:p>
        </w:tc>
        <w:tc>
          <w:tcPr>
            <w:tcW w:w="31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5AF47A" w14:textId="13B5BF9D" w:rsidR="000362FB" w:rsidRPr="00F70393" w:rsidRDefault="000362FB" w:rsidP="00172CB4">
            <w:pPr>
              <w:rPr>
                <w:rFonts w:ascii="Times New Roman" w:hAnsi="Times New Roman" w:cs="Times New Roman"/>
                <w:sz w:val="26"/>
                <w:szCs w:val="26"/>
              </w:rPr>
            </w:pPr>
            <w:r w:rsidRPr="00F70393">
              <w:rPr>
                <w:rFonts w:ascii="Times New Roman" w:hAnsi="Times New Roman" w:cs="Times New Roman"/>
                <w:sz w:val="26"/>
                <w:szCs w:val="26"/>
              </w:rPr>
              <w:t xml:space="preserve"> </w:t>
            </w:r>
          </w:p>
        </w:tc>
        <w:tc>
          <w:tcPr>
            <w:tcW w:w="3192" w:type="dxa"/>
            <w:tcBorders>
              <w:top w:val="single" w:sz="4" w:space="0" w:color="auto"/>
              <w:left w:val="single" w:sz="4" w:space="0" w:color="auto"/>
              <w:bottom w:val="single" w:sz="4" w:space="0" w:color="auto"/>
              <w:right w:val="single" w:sz="4" w:space="0" w:color="auto"/>
            </w:tcBorders>
            <w:vAlign w:val="bottom"/>
            <w:hideMark/>
          </w:tcPr>
          <w:p w14:paraId="7B61BDB0" w14:textId="26746E99" w:rsidR="000362FB" w:rsidRPr="00F70393" w:rsidRDefault="000362FB" w:rsidP="006F44CF">
            <w:pPr>
              <w:jc w:val="right"/>
              <w:rPr>
                <w:rFonts w:ascii="Times New Roman" w:hAnsi="Times New Roman" w:cs="Times New Roman"/>
                <w:sz w:val="26"/>
                <w:szCs w:val="26"/>
              </w:rPr>
            </w:pPr>
            <w:r w:rsidRPr="00F70393">
              <w:rPr>
                <w:rFonts w:ascii="Times New Roman" w:hAnsi="Times New Roman" w:cs="Times New Roman"/>
                <w:sz w:val="24"/>
                <w:szCs w:val="24"/>
              </w:rPr>
              <w:t>$5,092</w:t>
            </w:r>
          </w:p>
        </w:tc>
      </w:tr>
      <w:tr w:rsidR="00647A6C" w:rsidRPr="00F70393" w14:paraId="79B3B6A0" w14:textId="77777777" w:rsidTr="006F44CF">
        <w:tc>
          <w:tcPr>
            <w:tcW w:w="3192" w:type="dxa"/>
            <w:tcBorders>
              <w:top w:val="single" w:sz="4" w:space="0" w:color="auto"/>
              <w:left w:val="single" w:sz="4" w:space="0" w:color="auto"/>
              <w:bottom w:val="single" w:sz="4" w:space="0" w:color="auto"/>
              <w:right w:val="single" w:sz="4" w:space="0" w:color="auto"/>
            </w:tcBorders>
            <w:hideMark/>
          </w:tcPr>
          <w:p w14:paraId="5D67AA7E" w14:textId="77777777" w:rsidR="00647A6C" w:rsidRPr="00F70393" w:rsidRDefault="00647A6C">
            <w:pPr>
              <w:rPr>
                <w:rFonts w:ascii="Times New Roman" w:hAnsi="Times New Roman" w:cs="Times New Roman"/>
                <w:b/>
                <w:sz w:val="26"/>
                <w:szCs w:val="26"/>
              </w:rPr>
            </w:pPr>
            <w:r w:rsidRPr="00F70393">
              <w:rPr>
                <w:rFonts w:ascii="Times New Roman" w:hAnsi="Times New Roman" w:cs="Times New Roman"/>
                <w:b/>
                <w:sz w:val="26"/>
                <w:szCs w:val="26"/>
              </w:rPr>
              <w:t>FERC Total</w:t>
            </w:r>
          </w:p>
        </w:tc>
        <w:tc>
          <w:tcPr>
            <w:tcW w:w="3192" w:type="dxa"/>
            <w:tcBorders>
              <w:top w:val="single" w:sz="4" w:space="0" w:color="auto"/>
              <w:left w:val="single" w:sz="4" w:space="0" w:color="auto"/>
              <w:bottom w:val="single" w:sz="4" w:space="0" w:color="auto"/>
              <w:right w:val="single" w:sz="4" w:space="0" w:color="auto"/>
            </w:tcBorders>
          </w:tcPr>
          <w:p w14:paraId="6D049B6E" w14:textId="77777777" w:rsidR="00647A6C" w:rsidRPr="00F70393" w:rsidRDefault="00647A6C">
            <w:pPr>
              <w:rPr>
                <w:rFonts w:ascii="Times New Roman" w:hAnsi="Times New Roman" w:cs="Times New Roman"/>
                <w:sz w:val="26"/>
                <w:szCs w:val="26"/>
              </w:rPr>
            </w:pPr>
          </w:p>
        </w:tc>
        <w:tc>
          <w:tcPr>
            <w:tcW w:w="3192" w:type="dxa"/>
            <w:tcBorders>
              <w:top w:val="single" w:sz="4" w:space="0" w:color="auto"/>
              <w:left w:val="single" w:sz="4" w:space="0" w:color="auto"/>
              <w:bottom w:val="single" w:sz="4" w:space="0" w:color="auto"/>
              <w:right w:val="single" w:sz="4" w:space="0" w:color="auto"/>
            </w:tcBorders>
            <w:vAlign w:val="bottom"/>
            <w:hideMark/>
          </w:tcPr>
          <w:p w14:paraId="64CBCE3C" w14:textId="47840D5A" w:rsidR="00647A6C" w:rsidRPr="00F70393" w:rsidRDefault="00245934" w:rsidP="006F44CF">
            <w:pPr>
              <w:jc w:val="right"/>
              <w:rPr>
                <w:rFonts w:ascii="Times New Roman" w:hAnsi="Times New Roman" w:cs="Times New Roman"/>
                <w:sz w:val="26"/>
                <w:szCs w:val="26"/>
              </w:rPr>
            </w:pPr>
            <w:r>
              <w:rPr>
                <w:rFonts w:ascii="Times New Roman" w:hAnsi="Times New Roman" w:cs="Times New Roman"/>
                <w:sz w:val="26"/>
                <w:szCs w:val="26"/>
              </w:rPr>
              <w:t>$6,</w:t>
            </w:r>
            <w:r w:rsidR="001736D7">
              <w:rPr>
                <w:rFonts w:ascii="Times New Roman" w:hAnsi="Times New Roman" w:cs="Times New Roman"/>
                <w:sz w:val="26"/>
                <w:szCs w:val="26"/>
              </w:rPr>
              <w:t>161,914</w:t>
            </w:r>
          </w:p>
        </w:tc>
      </w:tr>
    </w:tbl>
    <w:p w14:paraId="04D0D6F1" w14:textId="77777777" w:rsidR="000362FB" w:rsidRPr="00F70393" w:rsidRDefault="000362FB" w:rsidP="000362FB">
      <w:pPr>
        <w:spacing w:after="0"/>
        <w:rPr>
          <w:rFonts w:ascii="Times New Roman" w:hAnsi="Times New Roman" w:cs="Times New Roman"/>
          <w:sz w:val="24"/>
          <w:szCs w:val="24"/>
        </w:rPr>
      </w:pPr>
    </w:p>
    <w:p w14:paraId="7D74CC5C" w14:textId="77777777" w:rsidR="000362FB" w:rsidRDefault="000362FB" w:rsidP="000362FB">
      <w:pPr>
        <w:spacing w:after="0"/>
        <w:rPr>
          <w:rFonts w:ascii="Times New Roman" w:hAnsi="Times New Roman" w:cs="Times New Roman"/>
          <w:sz w:val="24"/>
          <w:szCs w:val="24"/>
        </w:rPr>
      </w:pPr>
      <w:r w:rsidRPr="00F70393">
        <w:rPr>
          <w:rFonts w:ascii="Times New Roman" w:hAnsi="Times New Roman" w:cs="Times New Roman"/>
          <w:sz w:val="24"/>
          <w:szCs w:val="24"/>
        </w:rPr>
        <w:t xml:space="preserve">The Commission bases its estimate of the ‘Analysis and Processing of filings’ cost to the Federal Government on salaries and benefits for professional and clerical support.  This estimated cost represents staff analysis, decision making, and review of any actual filings made in response to the information collection.  </w:t>
      </w:r>
    </w:p>
    <w:p w14:paraId="2CD62511" w14:textId="77777777" w:rsidR="00E05C64" w:rsidRDefault="00E05C64" w:rsidP="000362FB">
      <w:pPr>
        <w:spacing w:after="0"/>
        <w:rPr>
          <w:rFonts w:ascii="Times New Roman" w:hAnsi="Times New Roman" w:cs="Times New Roman"/>
          <w:sz w:val="24"/>
          <w:szCs w:val="24"/>
        </w:rPr>
      </w:pPr>
    </w:p>
    <w:p w14:paraId="01520EF9" w14:textId="227CC462" w:rsidR="002126FD" w:rsidRDefault="00734EAA" w:rsidP="00F6799D">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Due to the technical nature of the required data, f</w:t>
      </w:r>
      <w:r w:rsidR="002126FD">
        <w:rPr>
          <w:rFonts w:ascii="Times New Roman" w:hAnsi="Times New Roman" w:cs="Times New Roman"/>
          <w:sz w:val="24"/>
          <w:szCs w:val="24"/>
        </w:rPr>
        <w:t xml:space="preserve">ederal effort towards the FERC-537, for some examples, can involve </w:t>
      </w:r>
      <w:r w:rsidR="007719F7">
        <w:rPr>
          <w:rFonts w:ascii="Times New Roman" w:hAnsi="Times New Roman" w:cs="Times New Roman"/>
          <w:sz w:val="24"/>
          <w:szCs w:val="24"/>
        </w:rPr>
        <w:t xml:space="preserve">analyzing </w:t>
      </w:r>
      <w:r w:rsidR="002126FD">
        <w:rPr>
          <w:rFonts w:ascii="Times New Roman" w:hAnsi="Times New Roman" w:cs="Times New Roman"/>
          <w:sz w:val="24"/>
          <w:szCs w:val="24"/>
        </w:rPr>
        <w:t xml:space="preserve">a variety of </w:t>
      </w:r>
      <w:r w:rsidR="007719F7">
        <w:rPr>
          <w:rFonts w:ascii="Times New Roman" w:hAnsi="Times New Roman" w:cs="Times New Roman"/>
          <w:sz w:val="24"/>
          <w:szCs w:val="24"/>
        </w:rPr>
        <w:t xml:space="preserve">technical </w:t>
      </w:r>
      <w:r w:rsidR="002126FD">
        <w:rPr>
          <w:rFonts w:ascii="Times New Roman" w:hAnsi="Times New Roman" w:cs="Times New Roman"/>
          <w:sz w:val="24"/>
          <w:szCs w:val="24"/>
        </w:rPr>
        <w:t xml:space="preserve">exhibits </w:t>
      </w:r>
      <w:r w:rsidR="007719F7">
        <w:rPr>
          <w:rFonts w:ascii="Times New Roman" w:hAnsi="Times New Roman" w:cs="Times New Roman"/>
          <w:sz w:val="24"/>
          <w:szCs w:val="24"/>
        </w:rPr>
        <w:t>requiring many types of technical</w:t>
      </w:r>
      <w:r w:rsidR="0031559A">
        <w:rPr>
          <w:rFonts w:ascii="Times New Roman" w:hAnsi="Times New Roman" w:cs="Times New Roman"/>
          <w:sz w:val="24"/>
          <w:szCs w:val="24"/>
        </w:rPr>
        <w:t>/</w:t>
      </w:r>
      <w:r w:rsidR="007719F7">
        <w:rPr>
          <w:rFonts w:ascii="Times New Roman" w:hAnsi="Times New Roman" w:cs="Times New Roman"/>
          <w:sz w:val="24"/>
          <w:szCs w:val="24"/>
        </w:rPr>
        <w:t>professional expertise and experience</w:t>
      </w:r>
      <w:r w:rsidR="00770AB4" w:rsidRPr="00F6799D">
        <w:rPr>
          <w:rStyle w:val="FootnoteReference"/>
          <w:rFonts w:ascii="Times New Roman" w:hAnsi="Times New Roman" w:cs="Times New Roman"/>
          <w:sz w:val="24"/>
          <w:szCs w:val="24"/>
          <w:vertAlign w:val="superscript"/>
        </w:rPr>
        <w:footnoteReference w:id="7"/>
      </w:r>
      <w:r w:rsidR="008F451B">
        <w:rPr>
          <w:rFonts w:ascii="Times New Roman" w:hAnsi="Times New Roman" w:cs="Times New Roman"/>
          <w:sz w:val="24"/>
          <w:szCs w:val="24"/>
        </w:rPr>
        <w:t>.</w:t>
      </w:r>
      <w:r w:rsidR="002126FD">
        <w:rPr>
          <w:rFonts w:ascii="Times New Roman" w:hAnsi="Times New Roman" w:cs="Times New Roman"/>
          <w:sz w:val="24"/>
          <w:szCs w:val="24"/>
        </w:rPr>
        <w:t xml:space="preserve"> Those exhibits can include:</w:t>
      </w:r>
      <w:r w:rsidR="003A71A9">
        <w:rPr>
          <w:rFonts w:ascii="Times New Roman" w:hAnsi="Times New Roman" w:cs="Times New Roman"/>
          <w:sz w:val="24"/>
          <w:szCs w:val="24"/>
        </w:rPr>
        <w:t xml:space="preserve"> </w:t>
      </w:r>
      <w:r w:rsidR="002126FD">
        <w:rPr>
          <w:rFonts w:ascii="Times New Roman" w:hAnsi="Times New Roman" w:cs="Times New Roman"/>
          <w:sz w:val="24"/>
          <w:szCs w:val="24"/>
        </w:rPr>
        <w:t>Articles of incorporation (Exhibit A);</w:t>
      </w:r>
    </w:p>
    <w:p w14:paraId="36D49BC3" w14:textId="46DB6EBC" w:rsidR="002126FD" w:rsidRDefault="002126FD" w:rsidP="00F6799D">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Flow diagrams showing daily design capacity and reflecting operation with and without proposed facilities</w:t>
      </w:r>
      <w:r w:rsidR="004554E2">
        <w:rPr>
          <w:rFonts w:ascii="Times New Roman" w:hAnsi="Times New Roman" w:cs="Times New Roman"/>
          <w:sz w:val="24"/>
          <w:szCs w:val="24"/>
        </w:rPr>
        <w:t>, reflecting maximum capabilities, and data</w:t>
      </w:r>
      <w:r>
        <w:rPr>
          <w:rFonts w:ascii="Times New Roman" w:hAnsi="Times New Roman" w:cs="Times New Roman"/>
          <w:sz w:val="24"/>
          <w:szCs w:val="24"/>
        </w:rPr>
        <w:t xml:space="preserve"> (Exhibit G</w:t>
      </w:r>
      <w:r w:rsidR="004554E2">
        <w:rPr>
          <w:rFonts w:ascii="Times New Roman" w:hAnsi="Times New Roman" w:cs="Times New Roman"/>
          <w:sz w:val="24"/>
          <w:szCs w:val="24"/>
        </w:rPr>
        <w:t>, G-I, and G-II</w:t>
      </w:r>
      <w:r>
        <w:rPr>
          <w:rFonts w:ascii="Times New Roman" w:hAnsi="Times New Roman" w:cs="Times New Roman"/>
          <w:sz w:val="24"/>
          <w:szCs w:val="24"/>
        </w:rPr>
        <w:t>);</w:t>
      </w:r>
    </w:p>
    <w:p w14:paraId="30E0CA88" w14:textId="18597FA7" w:rsidR="002126FD" w:rsidRDefault="002126FD" w:rsidP="00F6799D">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Total gas supply data (Exhibit H);</w:t>
      </w:r>
    </w:p>
    <w:p w14:paraId="704EEE46" w14:textId="3C82EE01" w:rsidR="002126FD" w:rsidRDefault="002126FD" w:rsidP="00F6799D">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Market data (Exhibit I);</w:t>
      </w:r>
    </w:p>
    <w:p w14:paraId="7091F192" w14:textId="19569154" w:rsidR="002126FD" w:rsidRDefault="002126FD" w:rsidP="00F6799D">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Federal authorizations (Exhibit J);</w:t>
      </w:r>
    </w:p>
    <w:p w14:paraId="12244F72" w14:textId="30A206EE" w:rsidR="002126FD" w:rsidRDefault="002126FD" w:rsidP="00F6799D">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Cost of facilities (Exhibit K);</w:t>
      </w:r>
    </w:p>
    <w:p w14:paraId="618528F8" w14:textId="52F0AA35" w:rsidR="002126FD" w:rsidRDefault="002126FD" w:rsidP="00F6799D">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Financing (Exhibit L);</w:t>
      </w:r>
    </w:p>
    <w:p w14:paraId="22A56D32" w14:textId="75BE939C" w:rsidR="002126FD" w:rsidRDefault="002126FD" w:rsidP="00F6799D">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Construction (Exhibit M);</w:t>
      </w:r>
    </w:p>
    <w:p w14:paraId="19D1DF1B" w14:textId="706C9563" w:rsidR="002126FD" w:rsidRDefault="008F451B" w:rsidP="00F6799D">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Revenues,</w:t>
      </w:r>
      <w:r w:rsidR="002126FD">
        <w:rPr>
          <w:rFonts w:ascii="Times New Roman" w:hAnsi="Times New Roman" w:cs="Times New Roman"/>
          <w:sz w:val="24"/>
          <w:szCs w:val="24"/>
        </w:rPr>
        <w:t xml:space="preserve"> Expenses</w:t>
      </w:r>
      <w:r>
        <w:rPr>
          <w:rFonts w:ascii="Times New Roman" w:hAnsi="Times New Roman" w:cs="Times New Roman"/>
          <w:sz w:val="24"/>
          <w:szCs w:val="24"/>
        </w:rPr>
        <w:t>, and Income (Exhibit N)</w:t>
      </w:r>
      <w:r w:rsidR="002126FD">
        <w:rPr>
          <w:rFonts w:ascii="Times New Roman" w:hAnsi="Times New Roman" w:cs="Times New Roman"/>
          <w:sz w:val="24"/>
          <w:szCs w:val="24"/>
        </w:rPr>
        <w:t>;</w:t>
      </w:r>
    </w:p>
    <w:p w14:paraId="06370D95" w14:textId="10ABEA0F" w:rsidR="002126FD" w:rsidRDefault="002126FD" w:rsidP="00F6799D">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Depreciation and depletion</w:t>
      </w:r>
      <w:r w:rsidR="008F451B">
        <w:rPr>
          <w:rFonts w:ascii="Times New Roman" w:hAnsi="Times New Roman" w:cs="Times New Roman"/>
          <w:sz w:val="24"/>
          <w:szCs w:val="24"/>
        </w:rPr>
        <w:t xml:space="preserve"> (Exhibit O)</w:t>
      </w:r>
      <w:r>
        <w:rPr>
          <w:rFonts w:ascii="Times New Roman" w:hAnsi="Times New Roman" w:cs="Times New Roman"/>
          <w:sz w:val="24"/>
          <w:szCs w:val="24"/>
        </w:rPr>
        <w:t>; and</w:t>
      </w:r>
    </w:p>
    <w:p w14:paraId="61DC75F0" w14:textId="7DE8D3F4" w:rsidR="002126FD" w:rsidRPr="00F6799D" w:rsidRDefault="002126FD" w:rsidP="00F6799D">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Tariffs</w:t>
      </w:r>
      <w:r w:rsidR="008F451B">
        <w:rPr>
          <w:rFonts w:ascii="Times New Roman" w:hAnsi="Times New Roman" w:cs="Times New Roman"/>
          <w:sz w:val="24"/>
          <w:szCs w:val="24"/>
        </w:rPr>
        <w:t xml:space="preserve"> (Exhibit P).</w:t>
      </w:r>
    </w:p>
    <w:p w14:paraId="77B7DBBB" w14:textId="77777777" w:rsidR="004903C8" w:rsidRPr="00F70393" w:rsidRDefault="004903C8" w:rsidP="004903C8">
      <w:pPr>
        <w:rPr>
          <w:rFonts w:ascii="Times New Roman" w:hAnsi="Times New Roman" w:cs="Times New Roman"/>
          <w:sz w:val="26"/>
          <w:szCs w:val="26"/>
        </w:rPr>
      </w:pPr>
      <w:r w:rsidRPr="00F70393">
        <w:rPr>
          <w:rFonts w:ascii="Times New Roman" w:hAnsi="Times New Roman" w:cs="Times New Roman"/>
          <w:sz w:val="26"/>
          <w:szCs w:val="26"/>
        </w:rPr>
        <w:t xml:space="preserve">  </w:t>
      </w:r>
    </w:p>
    <w:p w14:paraId="63759030" w14:textId="77777777" w:rsidR="004903C8" w:rsidRPr="00F70393" w:rsidRDefault="004903C8" w:rsidP="004903C8">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F70393">
        <w:rPr>
          <w:rFonts w:ascii="Times New Roman" w:hAnsi="Times New Roman" w:cs="Times New Roman"/>
          <w:b/>
          <w:bCs/>
          <w:sz w:val="26"/>
          <w:szCs w:val="26"/>
        </w:rPr>
        <w:t>REASONS FOR CHANGES IN BURDEN INCLUDING THE NEED FOR ANY INCREASE</w:t>
      </w:r>
    </w:p>
    <w:p w14:paraId="30297A00" w14:textId="77777777" w:rsidR="00647A6C" w:rsidRDefault="00647A6C" w:rsidP="004903C8">
      <w:pPr>
        <w:rPr>
          <w:rFonts w:ascii="Times New Roman" w:hAnsi="Times New Roman" w:cs="Times New Roman"/>
          <w:b/>
          <w:bCs/>
          <w:sz w:val="26"/>
          <w:szCs w:val="26"/>
          <w:highlight w:val="yellow"/>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683"/>
        <w:gridCol w:w="1357"/>
      </w:tblGrid>
      <w:tr w:rsidR="000E5344" w:rsidRPr="003316E0" w14:paraId="00B9D50C" w14:textId="77777777" w:rsidTr="00CF51B5">
        <w:trPr>
          <w:trHeight w:val="870"/>
        </w:trPr>
        <w:tc>
          <w:tcPr>
            <w:tcW w:w="2589" w:type="dxa"/>
            <w:shd w:val="clear" w:color="auto" w:fill="D9D9D9"/>
            <w:vAlign w:val="bottom"/>
          </w:tcPr>
          <w:p w14:paraId="4F5520DA" w14:textId="603A2A4F" w:rsidR="000E5344" w:rsidRPr="003316E0" w:rsidRDefault="000E5344" w:rsidP="00CF51B5">
            <w:pPr>
              <w:spacing w:after="0"/>
              <w:rPr>
                <w:rFonts w:ascii="Times New Roman" w:hAnsi="Times New Roman" w:cs="Times New Roman"/>
                <w:b/>
                <w:sz w:val="24"/>
                <w:szCs w:val="24"/>
              </w:rPr>
            </w:pPr>
            <w:r>
              <w:rPr>
                <w:rFonts w:ascii="Times New Roman" w:hAnsi="Times New Roman" w:cs="Times New Roman"/>
                <w:b/>
                <w:sz w:val="24"/>
                <w:szCs w:val="24"/>
              </w:rPr>
              <w:t>FERC-537</w:t>
            </w:r>
          </w:p>
        </w:tc>
        <w:tc>
          <w:tcPr>
            <w:tcW w:w="1779" w:type="dxa"/>
            <w:shd w:val="clear" w:color="auto" w:fill="D9D9D9"/>
            <w:vAlign w:val="bottom"/>
          </w:tcPr>
          <w:p w14:paraId="0FDA2B55" w14:textId="77777777" w:rsidR="000E5344" w:rsidRPr="003316E0" w:rsidRDefault="000E5344" w:rsidP="00CF51B5">
            <w:pPr>
              <w:spacing w:after="0"/>
              <w:rPr>
                <w:rFonts w:ascii="Times New Roman" w:hAnsi="Times New Roman" w:cs="Times New Roman"/>
                <w:b/>
                <w:sz w:val="24"/>
                <w:szCs w:val="24"/>
              </w:rPr>
            </w:pPr>
            <w:r w:rsidRPr="003316E0">
              <w:rPr>
                <w:rFonts w:ascii="Times New Roman" w:hAnsi="Times New Roman" w:cs="Times New Roman"/>
                <w:b/>
                <w:sz w:val="24"/>
                <w:szCs w:val="24"/>
              </w:rPr>
              <w:t>Total Request</w:t>
            </w:r>
          </w:p>
        </w:tc>
        <w:tc>
          <w:tcPr>
            <w:tcW w:w="1959" w:type="dxa"/>
            <w:shd w:val="clear" w:color="auto" w:fill="D9D9D9"/>
            <w:vAlign w:val="bottom"/>
          </w:tcPr>
          <w:p w14:paraId="3FBD1114" w14:textId="77777777" w:rsidR="000E5344" w:rsidRPr="003316E0" w:rsidRDefault="000E5344" w:rsidP="00CF51B5">
            <w:pPr>
              <w:spacing w:after="0"/>
              <w:rPr>
                <w:rFonts w:ascii="Times New Roman" w:hAnsi="Times New Roman" w:cs="Times New Roman"/>
                <w:b/>
                <w:sz w:val="24"/>
                <w:szCs w:val="24"/>
              </w:rPr>
            </w:pPr>
            <w:r w:rsidRPr="003316E0">
              <w:rPr>
                <w:rFonts w:ascii="Times New Roman" w:hAnsi="Times New Roman" w:cs="Times New Roman"/>
                <w:b/>
                <w:sz w:val="24"/>
                <w:szCs w:val="24"/>
              </w:rPr>
              <w:t>Previously Approved</w:t>
            </w:r>
          </w:p>
        </w:tc>
        <w:tc>
          <w:tcPr>
            <w:tcW w:w="1683" w:type="dxa"/>
            <w:shd w:val="clear" w:color="auto" w:fill="D9D9D9"/>
            <w:vAlign w:val="bottom"/>
          </w:tcPr>
          <w:p w14:paraId="534504C1" w14:textId="77777777" w:rsidR="000E5344" w:rsidRPr="003316E0" w:rsidRDefault="000E5344" w:rsidP="00CF51B5">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Adjustment in Estimate</w:t>
            </w:r>
          </w:p>
        </w:tc>
        <w:tc>
          <w:tcPr>
            <w:tcW w:w="1357" w:type="dxa"/>
            <w:shd w:val="clear" w:color="auto" w:fill="D9D9D9"/>
            <w:vAlign w:val="bottom"/>
          </w:tcPr>
          <w:p w14:paraId="19D44DD0" w14:textId="77777777" w:rsidR="000E5344" w:rsidRPr="003316E0" w:rsidRDefault="000E5344" w:rsidP="00CF51B5">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Agency Discretion</w:t>
            </w:r>
          </w:p>
        </w:tc>
      </w:tr>
      <w:tr w:rsidR="000E5344" w:rsidRPr="003316E0" w14:paraId="30112A25" w14:textId="77777777" w:rsidTr="00CF51B5">
        <w:trPr>
          <w:trHeight w:val="591"/>
        </w:trPr>
        <w:tc>
          <w:tcPr>
            <w:tcW w:w="2589" w:type="dxa"/>
          </w:tcPr>
          <w:p w14:paraId="742ECE7A" w14:textId="77777777" w:rsidR="000E5344" w:rsidRPr="003316E0" w:rsidRDefault="000E5344" w:rsidP="00CF51B5">
            <w:pPr>
              <w:spacing w:after="0"/>
              <w:rPr>
                <w:rFonts w:ascii="Times New Roman" w:hAnsi="Times New Roman" w:cs="Times New Roman"/>
                <w:sz w:val="24"/>
                <w:szCs w:val="24"/>
              </w:rPr>
            </w:pPr>
            <w:r w:rsidRPr="003316E0">
              <w:rPr>
                <w:rFonts w:ascii="Times New Roman" w:hAnsi="Times New Roman" w:cs="Times New Roman"/>
                <w:sz w:val="24"/>
                <w:szCs w:val="24"/>
              </w:rPr>
              <w:t>Annual Number of Responses</w:t>
            </w:r>
          </w:p>
        </w:tc>
        <w:tc>
          <w:tcPr>
            <w:tcW w:w="1779" w:type="dxa"/>
            <w:vAlign w:val="center"/>
          </w:tcPr>
          <w:p w14:paraId="42B4031A" w14:textId="3275FC6E" w:rsidR="000E5344" w:rsidRPr="003316E0" w:rsidRDefault="000E5344" w:rsidP="00CF51B5">
            <w:pPr>
              <w:spacing w:after="0"/>
              <w:rPr>
                <w:rFonts w:ascii="Times New Roman" w:hAnsi="Times New Roman" w:cs="Times New Roman"/>
                <w:sz w:val="24"/>
                <w:szCs w:val="24"/>
              </w:rPr>
            </w:pPr>
            <w:r>
              <w:rPr>
                <w:rFonts w:ascii="Times New Roman" w:hAnsi="Times New Roman" w:cs="Times New Roman"/>
                <w:sz w:val="24"/>
                <w:szCs w:val="24"/>
              </w:rPr>
              <w:t>458</w:t>
            </w:r>
          </w:p>
        </w:tc>
        <w:tc>
          <w:tcPr>
            <w:tcW w:w="1959" w:type="dxa"/>
            <w:vAlign w:val="center"/>
          </w:tcPr>
          <w:p w14:paraId="0EE7C727" w14:textId="7361D8BB" w:rsidR="000E5344" w:rsidRPr="003316E0" w:rsidRDefault="003A0495" w:rsidP="00CF51B5">
            <w:pPr>
              <w:spacing w:after="0"/>
              <w:rPr>
                <w:rFonts w:ascii="Times New Roman" w:hAnsi="Times New Roman" w:cs="Times New Roman"/>
                <w:sz w:val="24"/>
                <w:szCs w:val="24"/>
              </w:rPr>
            </w:pPr>
            <w:r>
              <w:rPr>
                <w:rFonts w:ascii="Times New Roman" w:hAnsi="Times New Roman" w:cs="Times New Roman"/>
                <w:sz w:val="24"/>
                <w:szCs w:val="24"/>
              </w:rPr>
              <w:t>674</w:t>
            </w:r>
          </w:p>
        </w:tc>
        <w:tc>
          <w:tcPr>
            <w:tcW w:w="1683" w:type="dxa"/>
            <w:vAlign w:val="center"/>
          </w:tcPr>
          <w:p w14:paraId="6CCFDA50" w14:textId="77777777" w:rsidR="000E5344" w:rsidRPr="003316E0" w:rsidRDefault="000E5344" w:rsidP="00CF51B5">
            <w:pPr>
              <w:spacing w:after="0"/>
              <w:rPr>
                <w:rFonts w:ascii="Times New Roman" w:hAnsi="Times New Roman" w:cs="Times New Roman"/>
                <w:sz w:val="24"/>
                <w:szCs w:val="24"/>
              </w:rPr>
            </w:pPr>
            <w:r w:rsidRPr="003316E0">
              <w:rPr>
                <w:rFonts w:ascii="Times New Roman" w:hAnsi="Times New Roman" w:cs="Times New Roman"/>
                <w:sz w:val="24"/>
                <w:szCs w:val="24"/>
              </w:rPr>
              <w:t>0</w:t>
            </w:r>
          </w:p>
        </w:tc>
        <w:tc>
          <w:tcPr>
            <w:tcW w:w="1357" w:type="dxa"/>
            <w:vAlign w:val="center"/>
          </w:tcPr>
          <w:p w14:paraId="7CF72346" w14:textId="0BC476CC" w:rsidR="000E5344" w:rsidRPr="003316E0" w:rsidRDefault="000E5344" w:rsidP="00CF51B5">
            <w:pPr>
              <w:spacing w:after="0"/>
              <w:rPr>
                <w:rFonts w:ascii="Times New Roman" w:hAnsi="Times New Roman" w:cs="Times New Roman"/>
                <w:sz w:val="24"/>
                <w:szCs w:val="24"/>
              </w:rPr>
            </w:pPr>
            <w:r>
              <w:rPr>
                <w:rFonts w:ascii="Times New Roman" w:hAnsi="Times New Roman" w:cs="Times New Roman"/>
                <w:sz w:val="24"/>
                <w:szCs w:val="24"/>
              </w:rPr>
              <w:t>-216</w:t>
            </w:r>
          </w:p>
        </w:tc>
      </w:tr>
      <w:tr w:rsidR="000E5344" w:rsidRPr="003316E0" w14:paraId="417BF959" w14:textId="77777777" w:rsidTr="00CF51B5">
        <w:trPr>
          <w:trHeight w:val="575"/>
        </w:trPr>
        <w:tc>
          <w:tcPr>
            <w:tcW w:w="2589" w:type="dxa"/>
          </w:tcPr>
          <w:p w14:paraId="1D8A8EB5" w14:textId="77777777" w:rsidR="000E5344" w:rsidRPr="003316E0" w:rsidRDefault="000E5344" w:rsidP="00CF51B5">
            <w:pPr>
              <w:spacing w:after="0"/>
              <w:rPr>
                <w:rFonts w:ascii="Times New Roman" w:hAnsi="Times New Roman" w:cs="Times New Roman"/>
                <w:sz w:val="24"/>
                <w:szCs w:val="24"/>
              </w:rPr>
            </w:pPr>
            <w:r w:rsidRPr="003316E0">
              <w:rPr>
                <w:rFonts w:ascii="Times New Roman" w:hAnsi="Times New Roman" w:cs="Times New Roman"/>
                <w:sz w:val="24"/>
                <w:szCs w:val="24"/>
              </w:rPr>
              <w:t>Annual Time Burden (Hr)</w:t>
            </w:r>
          </w:p>
        </w:tc>
        <w:tc>
          <w:tcPr>
            <w:tcW w:w="1779" w:type="dxa"/>
            <w:vAlign w:val="center"/>
          </w:tcPr>
          <w:p w14:paraId="6791713F" w14:textId="0B0E2324" w:rsidR="000E5344" w:rsidRPr="003316E0" w:rsidRDefault="000E5344" w:rsidP="00CF51B5">
            <w:pPr>
              <w:spacing w:after="0"/>
              <w:rPr>
                <w:rFonts w:ascii="Times New Roman" w:hAnsi="Times New Roman" w:cs="Times New Roman"/>
                <w:sz w:val="24"/>
                <w:szCs w:val="24"/>
              </w:rPr>
            </w:pPr>
            <w:r>
              <w:rPr>
                <w:rFonts w:ascii="Times New Roman" w:hAnsi="Times New Roman" w:cs="Times New Roman"/>
                <w:sz w:val="24"/>
                <w:szCs w:val="24"/>
              </w:rPr>
              <w:t>66,868</w:t>
            </w:r>
          </w:p>
        </w:tc>
        <w:tc>
          <w:tcPr>
            <w:tcW w:w="1959" w:type="dxa"/>
            <w:vAlign w:val="center"/>
          </w:tcPr>
          <w:p w14:paraId="51B26044" w14:textId="3866C3F1" w:rsidR="000E5344" w:rsidRPr="003316E0" w:rsidRDefault="003A0495" w:rsidP="00CF51B5">
            <w:pPr>
              <w:spacing w:after="0"/>
              <w:rPr>
                <w:rFonts w:ascii="Times New Roman" w:hAnsi="Times New Roman" w:cs="Times New Roman"/>
                <w:sz w:val="24"/>
                <w:szCs w:val="24"/>
              </w:rPr>
            </w:pPr>
            <w:r>
              <w:rPr>
                <w:rFonts w:ascii="Times New Roman" w:hAnsi="Times New Roman" w:cs="Times New Roman"/>
                <w:sz w:val="24"/>
                <w:szCs w:val="24"/>
              </w:rPr>
              <w:t>100,242</w:t>
            </w:r>
          </w:p>
        </w:tc>
        <w:tc>
          <w:tcPr>
            <w:tcW w:w="1683" w:type="dxa"/>
            <w:vAlign w:val="center"/>
          </w:tcPr>
          <w:p w14:paraId="4323FD80" w14:textId="77777777" w:rsidR="000E5344" w:rsidRPr="003316E0" w:rsidRDefault="000E5344" w:rsidP="00CF51B5">
            <w:pPr>
              <w:spacing w:after="0"/>
              <w:rPr>
                <w:rFonts w:ascii="Times New Roman" w:hAnsi="Times New Roman" w:cs="Times New Roman"/>
                <w:sz w:val="24"/>
                <w:szCs w:val="24"/>
              </w:rPr>
            </w:pPr>
            <w:r w:rsidRPr="003316E0">
              <w:rPr>
                <w:rFonts w:ascii="Times New Roman" w:hAnsi="Times New Roman" w:cs="Times New Roman"/>
                <w:sz w:val="24"/>
                <w:szCs w:val="24"/>
              </w:rPr>
              <w:t>0</w:t>
            </w:r>
          </w:p>
        </w:tc>
        <w:tc>
          <w:tcPr>
            <w:tcW w:w="1357" w:type="dxa"/>
            <w:vAlign w:val="center"/>
          </w:tcPr>
          <w:p w14:paraId="56C0E773" w14:textId="5977C04D" w:rsidR="000E5344" w:rsidRPr="003316E0" w:rsidRDefault="000E5344" w:rsidP="00CF51B5">
            <w:pPr>
              <w:spacing w:after="0"/>
              <w:rPr>
                <w:rFonts w:ascii="Times New Roman" w:hAnsi="Times New Roman" w:cs="Times New Roman"/>
                <w:sz w:val="24"/>
                <w:szCs w:val="24"/>
              </w:rPr>
            </w:pPr>
            <w:r>
              <w:rPr>
                <w:rFonts w:ascii="Times New Roman" w:hAnsi="Times New Roman" w:cs="Times New Roman"/>
                <w:sz w:val="24"/>
                <w:szCs w:val="24"/>
              </w:rPr>
              <w:t>-33,374</w:t>
            </w:r>
          </w:p>
        </w:tc>
      </w:tr>
      <w:tr w:rsidR="000E5344" w:rsidRPr="003316E0" w14:paraId="68A8A8B1" w14:textId="77777777" w:rsidTr="00CF51B5">
        <w:trPr>
          <w:trHeight w:val="295"/>
        </w:trPr>
        <w:tc>
          <w:tcPr>
            <w:tcW w:w="2589" w:type="dxa"/>
          </w:tcPr>
          <w:p w14:paraId="4C19AB9D" w14:textId="77777777" w:rsidR="000E5344" w:rsidRPr="003316E0" w:rsidRDefault="000E5344" w:rsidP="00CF51B5">
            <w:pPr>
              <w:spacing w:after="0"/>
              <w:rPr>
                <w:rFonts w:ascii="Times New Roman" w:hAnsi="Times New Roman" w:cs="Times New Roman"/>
                <w:sz w:val="24"/>
                <w:szCs w:val="24"/>
              </w:rPr>
            </w:pPr>
            <w:r w:rsidRPr="003316E0">
              <w:rPr>
                <w:rFonts w:ascii="Times New Roman" w:hAnsi="Times New Roman" w:cs="Times New Roman"/>
                <w:sz w:val="24"/>
                <w:szCs w:val="24"/>
              </w:rPr>
              <w:t>Annual Cost Burden ($)</w:t>
            </w:r>
          </w:p>
        </w:tc>
        <w:tc>
          <w:tcPr>
            <w:tcW w:w="1779" w:type="dxa"/>
            <w:vAlign w:val="center"/>
          </w:tcPr>
          <w:p w14:paraId="0FD98F8A" w14:textId="77777777" w:rsidR="000E5344" w:rsidRPr="003316E0" w:rsidRDefault="000E5344" w:rsidP="00CF51B5">
            <w:pPr>
              <w:spacing w:after="0"/>
              <w:rPr>
                <w:rFonts w:ascii="Times New Roman" w:hAnsi="Times New Roman" w:cs="Times New Roman"/>
                <w:sz w:val="24"/>
                <w:szCs w:val="24"/>
              </w:rPr>
            </w:pPr>
            <w:r w:rsidRPr="003316E0">
              <w:rPr>
                <w:rFonts w:ascii="Times New Roman" w:hAnsi="Times New Roman" w:cs="Times New Roman"/>
                <w:sz w:val="24"/>
                <w:szCs w:val="24"/>
              </w:rPr>
              <w:t>0</w:t>
            </w:r>
          </w:p>
        </w:tc>
        <w:tc>
          <w:tcPr>
            <w:tcW w:w="1959" w:type="dxa"/>
            <w:vAlign w:val="center"/>
          </w:tcPr>
          <w:p w14:paraId="28644B05" w14:textId="77777777" w:rsidR="000E5344" w:rsidRPr="003316E0" w:rsidRDefault="000E5344" w:rsidP="00CF51B5">
            <w:pPr>
              <w:spacing w:after="0"/>
              <w:rPr>
                <w:rFonts w:ascii="Times New Roman" w:hAnsi="Times New Roman" w:cs="Times New Roman"/>
                <w:sz w:val="24"/>
                <w:szCs w:val="24"/>
              </w:rPr>
            </w:pPr>
            <w:r w:rsidRPr="003316E0">
              <w:rPr>
                <w:rFonts w:ascii="Times New Roman" w:hAnsi="Times New Roman" w:cs="Times New Roman"/>
                <w:sz w:val="24"/>
                <w:szCs w:val="24"/>
              </w:rPr>
              <w:t>0</w:t>
            </w:r>
          </w:p>
        </w:tc>
        <w:tc>
          <w:tcPr>
            <w:tcW w:w="1683" w:type="dxa"/>
            <w:vAlign w:val="center"/>
          </w:tcPr>
          <w:p w14:paraId="2A9EC6E6" w14:textId="77777777" w:rsidR="000E5344" w:rsidRPr="003316E0" w:rsidRDefault="000E5344" w:rsidP="00CF51B5">
            <w:pPr>
              <w:spacing w:after="0"/>
              <w:rPr>
                <w:rFonts w:ascii="Times New Roman" w:hAnsi="Times New Roman" w:cs="Times New Roman"/>
                <w:sz w:val="24"/>
                <w:szCs w:val="24"/>
              </w:rPr>
            </w:pPr>
            <w:r w:rsidRPr="003316E0">
              <w:rPr>
                <w:rFonts w:ascii="Times New Roman" w:hAnsi="Times New Roman" w:cs="Times New Roman"/>
                <w:sz w:val="24"/>
                <w:szCs w:val="24"/>
              </w:rPr>
              <w:t>0</w:t>
            </w:r>
          </w:p>
        </w:tc>
        <w:tc>
          <w:tcPr>
            <w:tcW w:w="1357" w:type="dxa"/>
            <w:vAlign w:val="center"/>
          </w:tcPr>
          <w:p w14:paraId="2841355B" w14:textId="77777777" w:rsidR="000E5344" w:rsidRPr="003316E0" w:rsidRDefault="000E5344" w:rsidP="00CF51B5">
            <w:pPr>
              <w:spacing w:after="0"/>
              <w:rPr>
                <w:rFonts w:ascii="Times New Roman" w:hAnsi="Times New Roman" w:cs="Times New Roman"/>
                <w:sz w:val="24"/>
                <w:szCs w:val="24"/>
              </w:rPr>
            </w:pPr>
            <w:r w:rsidRPr="003316E0">
              <w:rPr>
                <w:rFonts w:ascii="Times New Roman" w:hAnsi="Times New Roman" w:cs="Times New Roman"/>
                <w:sz w:val="24"/>
                <w:szCs w:val="24"/>
              </w:rPr>
              <w:t>0</w:t>
            </w:r>
          </w:p>
        </w:tc>
      </w:tr>
    </w:tbl>
    <w:p w14:paraId="53BB310A" w14:textId="77777777" w:rsidR="000E5344" w:rsidRPr="00F70393" w:rsidRDefault="000E5344" w:rsidP="004903C8">
      <w:pPr>
        <w:rPr>
          <w:rFonts w:ascii="Times New Roman" w:hAnsi="Times New Roman" w:cs="Times New Roman"/>
          <w:b/>
          <w:bCs/>
          <w:sz w:val="26"/>
          <w:szCs w:val="26"/>
          <w:highlight w:val="yellow"/>
        </w:rPr>
      </w:pPr>
    </w:p>
    <w:p w14:paraId="0208E437" w14:textId="5209A11C" w:rsidR="007A77EF" w:rsidRPr="007A77EF" w:rsidRDefault="004004FA" w:rsidP="007A77EF">
      <w:pPr>
        <w:spacing w:before="120" w:after="120" w:line="240" w:lineRule="auto"/>
        <w:rPr>
          <w:rFonts w:ascii="Times New Roman" w:hAnsi="Times New Roman" w:cs="Times New Roman"/>
          <w:sz w:val="24"/>
          <w:szCs w:val="24"/>
        </w:rPr>
      </w:pPr>
      <w:r w:rsidRPr="004004FA">
        <w:rPr>
          <w:rFonts w:ascii="Times New Roman" w:hAnsi="Times New Roman" w:cs="Times New Roman"/>
          <w:sz w:val="24"/>
          <w:szCs w:val="24"/>
        </w:rPr>
        <w:t xml:space="preserve">Over the past three years the great expansion of the natural gas market and infrastructure has caused more companies to come under our data collection regime, both interstate and intrastate.  </w:t>
      </w:r>
      <w:r w:rsidR="007A77EF">
        <w:rPr>
          <w:rFonts w:ascii="Times New Roman" w:hAnsi="Times New Roman" w:cs="Times New Roman"/>
          <w:sz w:val="24"/>
          <w:szCs w:val="24"/>
        </w:rPr>
        <w:t xml:space="preserve">However, FERC has reworked the way in which the number of respondents is derived.  This </w:t>
      </w:r>
      <w:r w:rsidR="008C1613">
        <w:rPr>
          <w:rFonts w:ascii="Times New Roman" w:hAnsi="Times New Roman" w:cs="Times New Roman"/>
          <w:sz w:val="24"/>
          <w:szCs w:val="24"/>
        </w:rPr>
        <w:t xml:space="preserve">new method has </w:t>
      </w:r>
      <w:r w:rsidR="007A77EF">
        <w:rPr>
          <w:rFonts w:ascii="Times New Roman" w:hAnsi="Times New Roman" w:cs="Times New Roman"/>
          <w:sz w:val="24"/>
          <w:szCs w:val="24"/>
        </w:rPr>
        <w:t>reduced the amount of duplicate counting of respondents</w:t>
      </w:r>
      <w:r w:rsidR="008C1613">
        <w:rPr>
          <w:rFonts w:ascii="Times New Roman" w:hAnsi="Times New Roman" w:cs="Times New Roman"/>
          <w:sz w:val="24"/>
          <w:szCs w:val="24"/>
        </w:rPr>
        <w:t xml:space="preserve"> and ultimately led to </w:t>
      </w:r>
      <w:r w:rsidR="00246528">
        <w:rPr>
          <w:rFonts w:ascii="Times New Roman" w:hAnsi="Times New Roman" w:cs="Times New Roman"/>
          <w:sz w:val="24"/>
          <w:szCs w:val="24"/>
        </w:rPr>
        <w:t>fewer respondents (225 to 204) and fewer responses per respondent (3.44 to 1.2)</w:t>
      </w:r>
      <w:r w:rsidR="008C1613">
        <w:rPr>
          <w:rFonts w:ascii="Times New Roman" w:hAnsi="Times New Roman" w:cs="Times New Roman"/>
          <w:sz w:val="24"/>
          <w:szCs w:val="24"/>
        </w:rPr>
        <w:t xml:space="preserve"> estimated for this collection</w:t>
      </w:r>
      <w:r w:rsidR="00246528">
        <w:rPr>
          <w:rFonts w:ascii="Times New Roman" w:hAnsi="Times New Roman" w:cs="Times New Roman"/>
          <w:sz w:val="24"/>
          <w:szCs w:val="24"/>
        </w:rPr>
        <w:t>.</w:t>
      </w:r>
      <w:r w:rsidR="00245934">
        <w:rPr>
          <w:rFonts w:ascii="Times New Roman" w:hAnsi="Times New Roman" w:cs="Times New Roman"/>
          <w:sz w:val="24"/>
          <w:szCs w:val="24"/>
        </w:rPr>
        <w:t xml:space="preserve">  The revised estimates are based on the number of actual filings received.</w:t>
      </w:r>
      <w:r w:rsidR="007A77EF">
        <w:rPr>
          <w:rFonts w:ascii="Times New Roman" w:hAnsi="Times New Roman" w:cs="Times New Roman"/>
          <w:sz w:val="24"/>
          <w:szCs w:val="24"/>
        </w:rPr>
        <w:t xml:space="preserve">  </w:t>
      </w:r>
      <w:r w:rsidR="007A77EF" w:rsidRPr="007A77EF">
        <w:rPr>
          <w:rFonts w:ascii="Times New Roman" w:hAnsi="Times New Roman" w:cs="Times New Roman"/>
          <w:sz w:val="24"/>
          <w:szCs w:val="24"/>
        </w:rPr>
        <w:t>FERC staff received fewer filings due to some reporting eliminations and reclassifications:</w:t>
      </w:r>
    </w:p>
    <w:p w14:paraId="2A27B56C" w14:textId="64427380" w:rsidR="007A77EF" w:rsidRPr="007A77EF" w:rsidRDefault="007A77EF" w:rsidP="007A77EF">
      <w:pPr>
        <w:spacing w:before="120" w:after="120" w:line="240" w:lineRule="auto"/>
        <w:rPr>
          <w:rFonts w:ascii="Times New Roman" w:hAnsi="Times New Roman" w:cs="Times New Roman"/>
          <w:sz w:val="24"/>
          <w:szCs w:val="24"/>
        </w:rPr>
      </w:pPr>
      <w:r w:rsidRPr="007A77EF">
        <w:rPr>
          <w:rFonts w:ascii="Times New Roman" w:hAnsi="Times New Roman" w:cs="Times New Roman"/>
          <w:sz w:val="24"/>
          <w:szCs w:val="24"/>
        </w:rPr>
        <w:t>•         284.12</w:t>
      </w:r>
      <w:r w:rsidR="00CC48D9">
        <w:rPr>
          <w:rFonts w:ascii="Times New Roman" w:hAnsi="Times New Roman" w:cs="Times New Roman"/>
          <w:sz w:val="24"/>
          <w:szCs w:val="24"/>
        </w:rPr>
        <w:t xml:space="preserve">6(c) eliminated: Order No. 757 </w:t>
      </w:r>
      <w:r w:rsidRPr="007A77EF">
        <w:rPr>
          <w:rFonts w:ascii="Times New Roman" w:hAnsi="Times New Roman" w:cs="Times New Roman"/>
          <w:sz w:val="24"/>
          <w:szCs w:val="24"/>
        </w:rPr>
        <w:t>Issued January 19,</w:t>
      </w:r>
      <w:r w:rsidR="00CC48D9">
        <w:rPr>
          <w:rFonts w:ascii="Times New Roman" w:hAnsi="Times New Roman" w:cs="Times New Roman"/>
          <w:sz w:val="24"/>
          <w:szCs w:val="24"/>
        </w:rPr>
        <w:t xml:space="preserve"> 2012. A resulting less burden analysis was shown in</w:t>
      </w:r>
      <w:r w:rsidRPr="007A77EF">
        <w:rPr>
          <w:rFonts w:ascii="Times New Roman" w:hAnsi="Times New Roman" w:cs="Times New Roman"/>
          <w:sz w:val="24"/>
          <w:szCs w:val="24"/>
        </w:rPr>
        <w:t xml:space="preserve"> that order.</w:t>
      </w:r>
    </w:p>
    <w:p w14:paraId="5067C6DA" w14:textId="77777777" w:rsidR="007A77EF" w:rsidRPr="007A77EF" w:rsidRDefault="007A77EF" w:rsidP="007A77EF">
      <w:pPr>
        <w:spacing w:before="120" w:after="120" w:line="240" w:lineRule="auto"/>
        <w:rPr>
          <w:rFonts w:ascii="Times New Roman" w:hAnsi="Times New Roman" w:cs="Times New Roman"/>
          <w:sz w:val="24"/>
          <w:szCs w:val="24"/>
        </w:rPr>
      </w:pPr>
      <w:r w:rsidRPr="007A77EF">
        <w:rPr>
          <w:rFonts w:ascii="Times New Roman" w:hAnsi="Times New Roman" w:cs="Times New Roman"/>
          <w:sz w:val="24"/>
          <w:szCs w:val="24"/>
        </w:rPr>
        <w:t>•         284.4 eliminated: this is not a facilities burden. This is only company record keeping for ongoing transportation contacts. Thus, 168 responses and filings were removed from 2011 to 2014.</w:t>
      </w:r>
    </w:p>
    <w:p w14:paraId="38448924" w14:textId="4D3EF469" w:rsidR="007A77EF" w:rsidRPr="007A77EF" w:rsidRDefault="007A77EF" w:rsidP="007A77EF">
      <w:pPr>
        <w:spacing w:before="120" w:after="120" w:line="240" w:lineRule="auto"/>
        <w:rPr>
          <w:rFonts w:ascii="Times New Roman" w:hAnsi="Times New Roman" w:cs="Times New Roman"/>
          <w:sz w:val="24"/>
          <w:szCs w:val="24"/>
        </w:rPr>
      </w:pPr>
      <w:r w:rsidRPr="007A77EF">
        <w:rPr>
          <w:rFonts w:ascii="Times New Roman" w:hAnsi="Times New Roman" w:cs="Times New Roman"/>
          <w:sz w:val="24"/>
          <w:szCs w:val="24"/>
        </w:rPr>
        <w:t>•         Blanket Certificates – Annual Reports &amp; NGPA Sec. 311 Construction - annual reports: we found better da</w:t>
      </w:r>
      <w:r w:rsidR="00CC48D9">
        <w:rPr>
          <w:rFonts w:ascii="Times New Roman" w:hAnsi="Times New Roman" w:cs="Times New Roman"/>
          <w:sz w:val="24"/>
          <w:szCs w:val="24"/>
        </w:rPr>
        <w:t>ta sorting in ATMS to find that</w:t>
      </w:r>
      <w:r w:rsidRPr="007A77EF">
        <w:rPr>
          <w:rFonts w:ascii="Times New Roman" w:hAnsi="Times New Roman" w:cs="Times New Roman"/>
          <w:sz w:val="24"/>
          <w:szCs w:val="24"/>
        </w:rPr>
        <w:t xml:space="preserve"> Blanket Certificates – Annual Reports and NGPA Sec. 311 Construction - annual reports should both experience reductions from the previous clearance period. This is due to the elimination of duplicate counting.</w:t>
      </w:r>
    </w:p>
    <w:p w14:paraId="384DEBCB" w14:textId="77777777" w:rsidR="007A77EF" w:rsidRPr="007A77EF" w:rsidRDefault="007A77EF" w:rsidP="007A77EF">
      <w:pPr>
        <w:spacing w:before="120" w:after="120" w:line="240" w:lineRule="auto"/>
        <w:rPr>
          <w:rFonts w:ascii="Times New Roman" w:hAnsi="Times New Roman" w:cs="Times New Roman"/>
          <w:sz w:val="24"/>
          <w:szCs w:val="24"/>
        </w:rPr>
      </w:pPr>
    </w:p>
    <w:p w14:paraId="09BC64E8" w14:textId="205B89B0" w:rsidR="00246528" w:rsidRDefault="007A77EF" w:rsidP="007A77EF">
      <w:pPr>
        <w:spacing w:before="120" w:after="120" w:line="240" w:lineRule="auto"/>
        <w:rPr>
          <w:rFonts w:ascii="Times New Roman" w:hAnsi="Times New Roman" w:cs="Times New Roman"/>
          <w:sz w:val="24"/>
          <w:szCs w:val="24"/>
        </w:rPr>
      </w:pPr>
      <w:r w:rsidRPr="007A77EF">
        <w:rPr>
          <w:rFonts w:ascii="Times New Roman" w:hAnsi="Times New Roman" w:cs="Times New Roman"/>
          <w:sz w:val="24"/>
          <w:szCs w:val="24"/>
        </w:rPr>
        <w:t>In short, eliminated information collection requirements and the elimination of duplicate counting resulted in fewer filings for the collection.</w:t>
      </w:r>
    </w:p>
    <w:p w14:paraId="423A0F71" w14:textId="77777777" w:rsidR="004903C8" w:rsidRPr="00F70393" w:rsidRDefault="004903C8" w:rsidP="00F6799D">
      <w:pPr>
        <w:rPr>
          <w:rFonts w:ascii="Times New Roman" w:hAnsi="Times New Roman" w:cs="Times New Roman"/>
          <w:sz w:val="24"/>
          <w:szCs w:val="24"/>
        </w:rPr>
      </w:pPr>
    </w:p>
    <w:p w14:paraId="486F39CB" w14:textId="77777777" w:rsidR="004903C8" w:rsidRPr="00F70393" w:rsidRDefault="004903C8" w:rsidP="004903C8">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rPr>
      </w:pPr>
      <w:r w:rsidRPr="00F70393">
        <w:rPr>
          <w:rFonts w:ascii="Times New Roman" w:hAnsi="Times New Roman" w:cs="Times New Roman"/>
          <w:b/>
          <w:bCs/>
          <w:sz w:val="26"/>
          <w:szCs w:val="26"/>
        </w:rPr>
        <w:t>TIME SCHEDULE FOR THE PUBLICATION OF DATA</w:t>
      </w:r>
    </w:p>
    <w:p w14:paraId="6E08EF1E" w14:textId="77777777" w:rsidR="004903C8" w:rsidRPr="00F70393" w:rsidRDefault="004903C8" w:rsidP="004903C8">
      <w:pPr>
        <w:rPr>
          <w:rFonts w:ascii="Times New Roman" w:hAnsi="Times New Roman" w:cs="Times New Roman"/>
          <w:b/>
          <w:bCs/>
          <w:sz w:val="26"/>
          <w:szCs w:val="26"/>
        </w:rPr>
      </w:pPr>
    </w:p>
    <w:p w14:paraId="67CA51F3" w14:textId="77777777" w:rsidR="004903C8" w:rsidRPr="00F70393" w:rsidRDefault="004903C8" w:rsidP="004903C8">
      <w:pPr>
        <w:rPr>
          <w:rFonts w:ascii="Times New Roman" w:hAnsi="Times New Roman" w:cs="Times New Roman"/>
          <w:bCs/>
          <w:sz w:val="26"/>
          <w:szCs w:val="26"/>
        </w:rPr>
      </w:pPr>
      <w:r w:rsidRPr="00F70393">
        <w:rPr>
          <w:rFonts w:ascii="Times New Roman" w:hAnsi="Times New Roman" w:cs="Times New Roman"/>
          <w:bCs/>
          <w:sz w:val="26"/>
          <w:szCs w:val="26"/>
        </w:rPr>
        <w:t>There is no data published as a result of this collection.</w:t>
      </w:r>
    </w:p>
    <w:p w14:paraId="57B6C173" w14:textId="77777777" w:rsidR="004903C8" w:rsidRPr="00F70393" w:rsidRDefault="004903C8" w:rsidP="004903C8">
      <w:pPr>
        <w:ind w:left="720"/>
        <w:rPr>
          <w:rFonts w:ascii="Times New Roman" w:hAnsi="Times New Roman" w:cs="Times New Roman"/>
          <w:sz w:val="24"/>
          <w:szCs w:val="24"/>
        </w:rPr>
      </w:pPr>
    </w:p>
    <w:p w14:paraId="19284161" w14:textId="77777777" w:rsidR="004903C8" w:rsidRPr="00F70393" w:rsidRDefault="004903C8" w:rsidP="004903C8">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rPr>
      </w:pPr>
      <w:r w:rsidRPr="00F70393">
        <w:rPr>
          <w:rFonts w:ascii="Times New Roman" w:hAnsi="Times New Roman" w:cs="Times New Roman"/>
          <w:b/>
          <w:bCs/>
          <w:sz w:val="26"/>
          <w:szCs w:val="26"/>
        </w:rPr>
        <w:t>DISPLAY OF THE EXPIRATION DATE</w:t>
      </w:r>
    </w:p>
    <w:p w14:paraId="3860EF98" w14:textId="77777777" w:rsidR="004903C8" w:rsidRPr="00F70393" w:rsidRDefault="004903C8" w:rsidP="004903C8">
      <w:pPr>
        <w:rPr>
          <w:rFonts w:ascii="Times New Roman" w:hAnsi="Times New Roman" w:cs="Times New Roman"/>
          <w:b/>
          <w:bCs/>
          <w:sz w:val="26"/>
          <w:szCs w:val="26"/>
        </w:rPr>
      </w:pPr>
    </w:p>
    <w:p w14:paraId="79D46D63" w14:textId="77777777" w:rsidR="004903C8" w:rsidRPr="00F70393" w:rsidRDefault="004903C8" w:rsidP="004903C8">
      <w:pPr>
        <w:rPr>
          <w:rFonts w:ascii="Times New Roman" w:hAnsi="Times New Roman" w:cs="Times New Roman"/>
          <w:sz w:val="26"/>
          <w:szCs w:val="26"/>
        </w:rPr>
      </w:pPr>
      <w:r w:rsidRPr="00F70393">
        <w:rPr>
          <w:rFonts w:ascii="Times New Roman" w:hAnsi="Times New Roman" w:cs="Times New Roman"/>
          <w:sz w:val="26"/>
          <w:szCs w:val="26"/>
        </w:rPr>
        <w:t xml:space="preserve">The expiration date is displayed in a table posted on ferc.gov at </w:t>
      </w:r>
      <w:hyperlink r:id="rId14" w:history="1">
        <w:r w:rsidRPr="00F70393">
          <w:rPr>
            <w:rStyle w:val="Hyperlink"/>
            <w:rFonts w:ascii="Times New Roman" w:hAnsi="Times New Roman" w:cs="Times New Roman"/>
            <w:sz w:val="26"/>
            <w:szCs w:val="26"/>
          </w:rPr>
          <w:t>http://www.ferc.gov/docs-filing/info-collections.asp</w:t>
        </w:r>
      </w:hyperlink>
      <w:r w:rsidRPr="00F70393">
        <w:rPr>
          <w:rFonts w:ascii="Times New Roman" w:hAnsi="Times New Roman" w:cs="Times New Roman"/>
          <w:sz w:val="26"/>
          <w:szCs w:val="26"/>
        </w:rPr>
        <w:t>.</w:t>
      </w:r>
    </w:p>
    <w:p w14:paraId="657560A1" w14:textId="77777777" w:rsidR="004903C8" w:rsidRPr="00F70393" w:rsidRDefault="004903C8" w:rsidP="004903C8">
      <w:pPr>
        <w:rPr>
          <w:rFonts w:ascii="Times New Roman" w:hAnsi="Times New Roman" w:cs="Times New Roman"/>
          <w:sz w:val="26"/>
          <w:szCs w:val="26"/>
        </w:rPr>
      </w:pPr>
    </w:p>
    <w:p w14:paraId="6308EF75" w14:textId="77777777" w:rsidR="004903C8" w:rsidRPr="00F70393" w:rsidRDefault="004903C8" w:rsidP="004903C8">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F70393">
        <w:rPr>
          <w:rFonts w:ascii="Times New Roman" w:hAnsi="Times New Roman" w:cs="Times New Roman"/>
          <w:b/>
          <w:bCs/>
          <w:sz w:val="26"/>
          <w:szCs w:val="26"/>
        </w:rPr>
        <w:t>EXCEPTIONS TO THE CERTIFICATION STATEMENT</w:t>
      </w:r>
    </w:p>
    <w:p w14:paraId="68D735B7" w14:textId="77777777" w:rsidR="004903C8" w:rsidRPr="00F70393" w:rsidRDefault="004903C8" w:rsidP="004903C8">
      <w:pPr>
        <w:rPr>
          <w:rFonts w:ascii="Times New Roman" w:hAnsi="Times New Roman" w:cs="Times New Roman"/>
          <w:sz w:val="26"/>
          <w:szCs w:val="26"/>
        </w:rPr>
      </w:pPr>
    </w:p>
    <w:p w14:paraId="185C163E" w14:textId="2786BA85" w:rsidR="004903C8" w:rsidRPr="00F70393" w:rsidRDefault="00647A6C" w:rsidP="00437484">
      <w:pPr>
        <w:rPr>
          <w:rFonts w:ascii="Times New Roman" w:hAnsi="Times New Roman" w:cs="Times New Roman"/>
          <w:b/>
          <w:sz w:val="26"/>
          <w:szCs w:val="26"/>
        </w:rPr>
      </w:pPr>
      <w:r w:rsidRPr="00F70393">
        <w:rPr>
          <w:rFonts w:ascii="Times New Roman" w:hAnsi="Times New Roman" w:cs="Times New Roman"/>
          <w:sz w:val="26"/>
          <w:szCs w:val="26"/>
        </w:rPr>
        <w:t>There is</w:t>
      </w:r>
      <w:r w:rsidR="000908C8">
        <w:rPr>
          <w:rFonts w:ascii="Times New Roman" w:hAnsi="Times New Roman" w:cs="Times New Roman"/>
          <w:sz w:val="26"/>
          <w:szCs w:val="26"/>
        </w:rPr>
        <w:t xml:space="preserve"> no exceptions</w:t>
      </w:r>
      <w:r w:rsidR="003A71A9">
        <w:rPr>
          <w:rFonts w:ascii="Times New Roman" w:hAnsi="Times New Roman" w:cs="Times New Roman"/>
          <w:sz w:val="26"/>
          <w:szCs w:val="26"/>
        </w:rPr>
        <w:t xml:space="preserve"> </w:t>
      </w:r>
      <w:r w:rsidRPr="00F70393">
        <w:rPr>
          <w:rFonts w:ascii="Times New Roman" w:hAnsi="Times New Roman" w:cs="Times New Roman"/>
          <w:sz w:val="26"/>
          <w:szCs w:val="26"/>
        </w:rPr>
        <w:t xml:space="preserve">to the Paperwork Reduction Act </w:t>
      </w:r>
      <w:r w:rsidR="000908C8">
        <w:rPr>
          <w:rFonts w:ascii="Times New Roman" w:hAnsi="Times New Roman" w:cs="Times New Roman"/>
          <w:sz w:val="26"/>
          <w:szCs w:val="26"/>
        </w:rPr>
        <w:t>in this collection.</w:t>
      </w:r>
    </w:p>
    <w:p w14:paraId="1FCE0DC3" w14:textId="77777777" w:rsidR="00B3688B" w:rsidRPr="00F70393" w:rsidRDefault="00B3688B">
      <w:pPr>
        <w:rPr>
          <w:rFonts w:ascii="Times New Roman" w:hAnsi="Times New Roman" w:cs="Times New Roman"/>
        </w:rPr>
      </w:pPr>
    </w:p>
    <w:sectPr w:rsidR="00B3688B" w:rsidRPr="00F70393">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47C1E" w14:textId="77777777" w:rsidR="00D73805" w:rsidRDefault="00D73805" w:rsidP="004903C8">
      <w:pPr>
        <w:spacing w:after="0" w:line="240" w:lineRule="auto"/>
      </w:pPr>
      <w:r>
        <w:separator/>
      </w:r>
    </w:p>
  </w:endnote>
  <w:endnote w:type="continuationSeparator" w:id="0">
    <w:p w14:paraId="7CEEFE13" w14:textId="77777777" w:rsidR="00D73805" w:rsidRDefault="00D73805" w:rsidP="00490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D1002" w14:textId="77777777" w:rsidR="00D73805" w:rsidRDefault="00D73805" w:rsidP="004903C8">
      <w:pPr>
        <w:spacing w:after="0" w:line="240" w:lineRule="auto"/>
      </w:pPr>
      <w:r>
        <w:separator/>
      </w:r>
    </w:p>
  </w:footnote>
  <w:footnote w:type="continuationSeparator" w:id="0">
    <w:p w14:paraId="6DC90FA6" w14:textId="77777777" w:rsidR="00D73805" w:rsidRDefault="00D73805" w:rsidP="004903C8">
      <w:pPr>
        <w:spacing w:after="0" w:line="240" w:lineRule="auto"/>
      </w:pPr>
      <w:r>
        <w:continuationSeparator/>
      </w:r>
    </w:p>
  </w:footnote>
  <w:footnote w:id="1">
    <w:p w14:paraId="17FA12B3" w14:textId="2B996381" w:rsidR="00D64A3A" w:rsidRDefault="00D64A3A" w:rsidP="00D64A3A">
      <w:pPr>
        <w:pStyle w:val="FootnoteText"/>
        <w:rPr>
          <w:rFonts w:ascii="Cambria" w:hAnsi="Cambria"/>
          <w:sz w:val="24"/>
          <w:szCs w:val="24"/>
        </w:rPr>
      </w:pPr>
      <w:r>
        <w:rPr>
          <w:rStyle w:val="FootnoteReference"/>
        </w:rPr>
        <w:footnoteRef/>
      </w:r>
      <w:r>
        <w:t xml:space="preserve"> For more information, see </w:t>
      </w:r>
      <w:hyperlink r:id="rId1" w:history="1">
        <w:r>
          <w:rPr>
            <w:rStyle w:val="Hyperlink"/>
            <w:color w:val="000000"/>
          </w:rPr>
          <w:t>http://www.ferc.gov/docs-filing/efiling/address-list.pdf</w:t>
        </w:r>
      </w:hyperlink>
      <w:r>
        <w:t xml:space="preserve">. </w:t>
      </w:r>
    </w:p>
  </w:footnote>
  <w:footnote w:id="2">
    <w:p w14:paraId="71AC31E3" w14:textId="5F8FE0F7" w:rsidR="00437A31" w:rsidRDefault="00437A31">
      <w:pPr>
        <w:pStyle w:val="FootnoteText"/>
      </w:pPr>
      <w:r>
        <w:rPr>
          <w:rStyle w:val="FootnoteReference"/>
        </w:rPr>
        <w:footnoteRef/>
      </w:r>
      <w:r>
        <w:t xml:space="preserve"> Federal Register Volume </w:t>
      </w:r>
      <w:r w:rsidR="004662E2">
        <w:t>79</w:t>
      </w:r>
      <w:r>
        <w:t>, No. 196</w:t>
      </w:r>
      <w:r w:rsidR="004662E2">
        <w:t>, page 61068, 10/9/2014</w:t>
      </w:r>
      <w:r>
        <w:t xml:space="preserve">.  </w:t>
      </w:r>
    </w:p>
  </w:footnote>
  <w:footnote w:id="3">
    <w:p w14:paraId="3F17AFDC" w14:textId="77777777" w:rsidR="00F70393" w:rsidRPr="0098657B" w:rsidRDefault="00F70393" w:rsidP="00F70393">
      <w:pPr>
        <w:pStyle w:val="FootnoteText"/>
        <w:rPr>
          <w:szCs w:val="22"/>
        </w:rPr>
      </w:pPr>
      <w:r w:rsidRPr="0098657B">
        <w:rPr>
          <w:rStyle w:val="FootnoteReference"/>
          <w:szCs w:val="22"/>
        </w:rPr>
        <w:footnoteRef/>
      </w:r>
      <w:r w:rsidRPr="0098657B">
        <w:rPr>
          <w:szCs w:val="22"/>
        </w:rPr>
        <w:t xml:space="preserve"> The estimates for cost per response are derived using the following formula: Average Burden Hours per Response * $70.50 per Hour = Average Cost per Response.  The cost per hour figure is the FERC average salary</w:t>
      </w:r>
      <w:r>
        <w:rPr>
          <w:szCs w:val="22"/>
        </w:rPr>
        <w:t xml:space="preserve"> plus benefits</w:t>
      </w:r>
      <w:r w:rsidRPr="0098657B">
        <w:rPr>
          <w:szCs w:val="22"/>
        </w:rPr>
        <w:t>.  Subject matter experts found that industry employment costs closely resemble FERC’s regarding the FERC-537 information collection.</w:t>
      </w:r>
    </w:p>
  </w:footnote>
  <w:footnote w:id="4">
    <w:p w14:paraId="55189B1A" w14:textId="56A4D227" w:rsidR="00647A6C" w:rsidRDefault="00647A6C" w:rsidP="00647A6C">
      <w:pPr>
        <w:pStyle w:val="FootnoteText"/>
        <w:rPr>
          <w:rFonts w:ascii="Cambria" w:hAnsi="Cambria"/>
          <w:sz w:val="24"/>
          <w:szCs w:val="24"/>
        </w:rPr>
      </w:pPr>
      <w:r>
        <w:rPr>
          <w:rStyle w:val="FootnoteReference"/>
        </w:rPr>
        <w:footnoteRef/>
      </w:r>
      <w:r>
        <w:t xml:space="preserve"> The current FTE cost estimate for FERC is </w:t>
      </w:r>
      <w:r w:rsidR="00133674">
        <w:t>$</w:t>
      </w:r>
      <w:r w:rsidR="00133674" w:rsidRPr="00485E52">
        <w:t>146,591</w:t>
      </w:r>
      <w:r>
        <w:t xml:space="preserve">, which includes salary and benefits.  </w:t>
      </w:r>
    </w:p>
  </w:footnote>
  <w:footnote w:id="5">
    <w:p w14:paraId="2F55C30F" w14:textId="77777777" w:rsidR="000362FB" w:rsidRPr="006B6D60" w:rsidRDefault="000362FB" w:rsidP="00630A34">
      <w:pPr>
        <w:pStyle w:val="FootnoteText"/>
      </w:pPr>
      <w:r w:rsidRPr="006B6D60">
        <w:rPr>
          <w:rStyle w:val="FootnoteReference"/>
          <w:vertAlign w:val="superscript"/>
        </w:rPr>
        <w:footnoteRef/>
      </w:r>
      <w:r w:rsidRPr="006B6D60">
        <w:rPr>
          <w:vertAlign w:val="superscript"/>
        </w:rPr>
        <w:t xml:space="preserve"> </w:t>
      </w:r>
      <w:r w:rsidRPr="006B6D60">
        <w:t>Paperwork Reduction Act of 1995 (PRA)</w:t>
      </w:r>
    </w:p>
  </w:footnote>
  <w:footnote w:id="6">
    <w:p w14:paraId="0828F610" w14:textId="5F0F0886" w:rsidR="000362FB" w:rsidRPr="006B6D60" w:rsidRDefault="000362FB" w:rsidP="00DD79FB">
      <w:pPr>
        <w:pStyle w:val="FootnoteText"/>
      </w:pPr>
      <w:r w:rsidRPr="006B6D60">
        <w:rPr>
          <w:rStyle w:val="FootnoteReference"/>
          <w:vertAlign w:val="superscript"/>
        </w:rPr>
        <w:footnoteRef/>
      </w:r>
      <w:r w:rsidRPr="006B6D60">
        <w:rPr>
          <w:vertAlign w:val="superscript"/>
        </w:rPr>
        <w:t xml:space="preserve"> </w:t>
      </w:r>
      <w:r w:rsidRPr="006B6D60">
        <w:t xml:space="preserve">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other changes to the collection.  </w:t>
      </w:r>
    </w:p>
  </w:footnote>
  <w:footnote w:id="7">
    <w:p w14:paraId="4BF33060" w14:textId="51FEA158" w:rsidR="00770AB4" w:rsidRDefault="00770AB4">
      <w:pPr>
        <w:pStyle w:val="FootnoteText"/>
      </w:pPr>
      <w:r>
        <w:rPr>
          <w:rStyle w:val="FootnoteReference"/>
        </w:rPr>
        <w:footnoteRef/>
      </w:r>
      <w:r>
        <w:t xml:space="preserve"> 18 CFR 157.14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F77D9" w14:textId="77777777" w:rsidR="00D350A8" w:rsidRDefault="001B1E50">
    <w:pPr>
      <w:pStyle w:val="Header"/>
      <w:rPr>
        <w:rFonts w:ascii="Times New Roman" w:hAnsi="Times New Roman"/>
        <w:b/>
      </w:rPr>
    </w:pPr>
    <w:r>
      <w:rPr>
        <w:rFonts w:ascii="Times New Roman" w:hAnsi="Times New Roman"/>
        <w:b/>
      </w:rPr>
      <w:t>FERC-537</w:t>
    </w:r>
    <w:r w:rsidR="00395DF8">
      <w:rPr>
        <w:rFonts w:ascii="Times New Roman" w:hAnsi="Times New Roman"/>
        <w:b/>
      </w:rPr>
      <w:t>,</w:t>
    </w:r>
    <w:r>
      <w:rPr>
        <w:rFonts w:ascii="Times New Roman" w:hAnsi="Times New Roman"/>
        <w:b/>
      </w:rPr>
      <w:t xml:space="preserve"> OMB </w:t>
    </w:r>
    <w:r w:rsidR="00395DF8">
      <w:rPr>
        <w:rFonts w:ascii="Times New Roman" w:hAnsi="Times New Roman"/>
        <w:b/>
      </w:rPr>
      <w:t xml:space="preserve">Control </w:t>
    </w:r>
    <w:r>
      <w:rPr>
        <w:rFonts w:ascii="Times New Roman" w:hAnsi="Times New Roman"/>
        <w:b/>
      </w:rPr>
      <w:t>No. 1902-0060</w:t>
    </w:r>
  </w:p>
  <w:p w14:paraId="7FA0CF5A" w14:textId="02C47AFC" w:rsidR="00734EAA" w:rsidRPr="00734EAA" w:rsidRDefault="00734EAA">
    <w:pPr>
      <w:pStyle w:val="Header"/>
    </w:pPr>
    <w:r>
      <w:rPr>
        <w:rFonts w:ascii="Times New Roman" w:hAnsi="Times New Roman"/>
      </w:rPr>
      <w:t>Updated 7/1/2015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61F65"/>
    <w:multiLevelType w:val="hybridMultilevel"/>
    <w:tmpl w:val="A52636F0"/>
    <w:lvl w:ilvl="0" w:tplc="90BC2A68">
      <w:start w:val="1"/>
      <w:numFmt w:val="decimal"/>
      <w:lvlText w:val="%1."/>
      <w:lvlJc w:val="left"/>
      <w:pPr>
        <w:tabs>
          <w:tab w:val="num" w:pos="1080"/>
        </w:tabs>
        <w:ind w:left="1080" w:hanging="360"/>
      </w:pPr>
      <w:rPr>
        <w:b w:val="0"/>
      </w:rPr>
    </w:lvl>
    <w:lvl w:ilvl="1" w:tplc="04090001">
      <w:start w:val="1"/>
      <w:numFmt w:val="bullet"/>
      <w:lvlText w:val=""/>
      <w:lvlJc w:val="left"/>
      <w:pPr>
        <w:tabs>
          <w:tab w:val="num" w:pos="1800"/>
        </w:tabs>
        <w:ind w:left="1800" w:hanging="360"/>
      </w:pPr>
      <w:rPr>
        <w:rFonts w:ascii="Symbol" w:hAnsi="Symbol" w:hint="default"/>
        <w:b w:val="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09E43213"/>
    <w:multiLevelType w:val="hybridMultilevel"/>
    <w:tmpl w:val="68449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74ED6858"/>
    <w:multiLevelType w:val="hybridMultilevel"/>
    <w:tmpl w:val="A9000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A6A763D"/>
    <w:multiLevelType w:val="hybridMultilevel"/>
    <w:tmpl w:val="B97AF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3C8"/>
    <w:rsid w:val="00020281"/>
    <w:rsid w:val="000362FB"/>
    <w:rsid w:val="000908C8"/>
    <w:rsid w:val="000E5344"/>
    <w:rsid w:val="000F2692"/>
    <w:rsid w:val="00116A00"/>
    <w:rsid w:val="001243EF"/>
    <w:rsid w:val="00133674"/>
    <w:rsid w:val="00172CB4"/>
    <w:rsid w:val="001736D7"/>
    <w:rsid w:val="001B1E50"/>
    <w:rsid w:val="00200124"/>
    <w:rsid w:val="002126FD"/>
    <w:rsid w:val="002311FB"/>
    <w:rsid w:val="002319EA"/>
    <w:rsid w:val="002337A6"/>
    <w:rsid w:val="00245934"/>
    <w:rsid w:val="00246528"/>
    <w:rsid w:val="002A336B"/>
    <w:rsid w:val="002A75A9"/>
    <w:rsid w:val="002F3A8A"/>
    <w:rsid w:val="0031559A"/>
    <w:rsid w:val="00395DF8"/>
    <w:rsid w:val="003A0495"/>
    <w:rsid w:val="003A43CA"/>
    <w:rsid w:val="003A71A9"/>
    <w:rsid w:val="003E09CE"/>
    <w:rsid w:val="004004FA"/>
    <w:rsid w:val="00421590"/>
    <w:rsid w:val="00437484"/>
    <w:rsid w:val="00437A31"/>
    <w:rsid w:val="004554E2"/>
    <w:rsid w:val="004662E2"/>
    <w:rsid w:val="00470589"/>
    <w:rsid w:val="00474616"/>
    <w:rsid w:val="00485E52"/>
    <w:rsid w:val="004903C8"/>
    <w:rsid w:val="004C003B"/>
    <w:rsid w:val="004D4DF4"/>
    <w:rsid w:val="004F5AD1"/>
    <w:rsid w:val="005612E0"/>
    <w:rsid w:val="00592ECB"/>
    <w:rsid w:val="005D6300"/>
    <w:rsid w:val="005F7134"/>
    <w:rsid w:val="00614DA4"/>
    <w:rsid w:val="00647A6C"/>
    <w:rsid w:val="0065048A"/>
    <w:rsid w:val="006D5AE9"/>
    <w:rsid w:val="006F44CF"/>
    <w:rsid w:val="00722AC6"/>
    <w:rsid w:val="00734EAA"/>
    <w:rsid w:val="007642A6"/>
    <w:rsid w:val="00770AB4"/>
    <w:rsid w:val="007719F7"/>
    <w:rsid w:val="007A77EF"/>
    <w:rsid w:val="007E151A"/>
    <w:rsid w:val="0083118E"/>
    <w:rsid w:val="008B6693"/>
    <w:rsid w:val="008C1613"/>
    <w:rsid w:val="008F451B"/>
    <w:rsid w:val="00963BE2"/>
    <w:rsid w:val="009B6427"/>
    <w:rsid w:val="009C5CE7"/>
    <w:rsid w:val="009E0398"/>
    <w:rsid w:val="00A12741"/>
    <w:rsid w:val="00A36D20"/>
    <w:rsid w:val="00A54B5E"/>
    <w:rsid w:val="00A83837"/>
    <w:rsid w:val="00AB40FC"/>
    <w:rsid w:val="00AC74F8"/>
    <w:rsid w:val="00AF173B"/>
    <w:rsid w:val="00B3688B"/>
    <w:rsid w:val="00B42A7D"/>
    <w:rsid w:val="00B518E6"/>
    <w:rsid w:val="00B8783D"/>
    <w:rsid w:val="00BD6420"/>
    <w:rsid w:val="00BD783F"/>
    <w:rsid w:val="00C50DE6"/>
    <w:rsid w:val="00C76D7E"/>
    <w:rsid w:val="00C828D2"/>
    <w:rsid w:val="00CA5197"/>
    <w:rsid w:val="00CC48D9"/>
    <w:rsid w:val="00D25B50"/>
    <w:rsid w:val="00D5620F"/>
    <w:rsid w:val="00D5737C"/>
    <w:rsid w:val="00D64A3A"/>
    <w:rsid w:val="00D73805"/>
    <w:rsid w:val="00E05C64"/>
    <w:rsid w:val="00E63902"/>
    <w:rsid w:val="00EE6AC1"/>
    <w:rsid w:val="00F009A7"/>
    <w:rsid w:val="00F22B96"/>
    <w:rsid w:val="00F33482"/>
    <w:rsid w:val="00F6799D"/>
    <w:rsid w:val="00F70393"/>
    <w:rsid w:val="00FA7A24"/>
    <w:rsid w:val="00FC0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F38BF46"/>
  <w15:docId w15:val="{968E2742-ABE6-4A88-A677-F95441575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3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03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3C8"/>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rsid w:val="004903C8"/>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 Char,Char,fn1"/>
    <w:basedOn w:val="Normal"/>
    <w:link w:val="FootnoteTextChar2"/>
    <w:rsid w:val="004903C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 Char1,Footnote Text Char1 Char3,Footnote Text Char Char Char2,Footnote Text Char1 Char Char2,Footnote Text Char Char Char Char1,Footnote Text MRP Char1,Footnote Text Char1 Char Char Char1"/>
    <w:basedOn w:val="DefaultParagraphFont"/>
    <w:uiPriority w:val="99"/>
    <w:rsid w:val="004903C8"/>
    <w:rPr>
      <w:sz w:val="20"/>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ink w:val="FootnoteText"/>
    <w:rsid w:val="004903C8"/>
    <w:rPr>
      <w:rFonts w:ascii="Times New Roman" w:eastAsia="Times New Roman" w:hAnsi="Times New Roman" w:cs="Times New Roman"/>
      <w:sz w:val="20"/>
      <w:szCs w:val="20"/>
    </w:rPr>
  </w:style>
  <w:style w:type="character" w:styleId="Hyperlink">
    <w:name w:val="Hyperlink"/>
    <w:basedOn w:val="DefaultParagraphFont"/>
    <w:unhideWhenUsed/>
    <w:rsid w:val="004903C8"/>
    <w:rPr>
      <w:color w:val="0000FF"/>
      <w:u w:val="single"/>
    </w:rPr>
  </w:style>
  <w:style w:type="character" w:customStyle="1" w:styleId="FERCparanumberChar1">
    <w:name w:val="FERC paranumber Char1"/>
    <w:basedOn w:val="DefaultParagraphFont"/>
    <w:link w:val="FERCparanumber"/>
    <w:locked/>
    <w:rsid w:val="004903C8"/>
    <w:rPr>
      <w:sz w:val="24"/>
      <w:szCs w:val="24"/>
    </w:rPr>
  </w:style>
  <w:style w:type="paragraph" w:customStyle="1" w:styleId="FERCparanumber">
    <w:name w:val="FERC paranumber"/>
    <w:basedOn w:val="Normal"/>
    <w:link w:val="FERCparanumberChar1"/>
    <w:rsid w:val="004903C8"/>
    <w:pPr>
      <w:widowControl w:val="0"/>
      <w:numPr>
        <w:numId w:val="1"/>
      </w:numPr>
      <w:autoSpaceDE w:val="0"/>
      <w:autoSpaceDN w:val="0"/>
      <w:adjustRightInd w:val="0"/>
      <w:spacing w:after="0" w:line="240" w:lineRule="auto"/>
    </w:pPr>
    <w:rPr>
      <w:sz w:val="24"/>
      <w:szCs w:val="24"/>
    </w:rPr>
  </w:style>
  <w:style w:type="paragraph" w:customStyle="1" w:styleId="Default">
    <w:name w:val="Default"/>
    <w:rsid w:val="004903C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1B1E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E50"/>
  </w:style>
  <w:style w:type="paragraph" w:styleId="ListParagraph">
    <w:name w:val="List Paragraph"/>
    <w:basedOn w:val="Normal"/>
    <w:uiPriority w:val="99"/>
    <w:qFormat/>
    <w:rsid w:val="00D64A3A"/>
    <w:pPr>
      <w:ind w:left="720"/>
      <w:contextualSpacing/>
    </w:pPr>
  </w:style>
  <w:style w:type="character" w:styleId="CommentReference">
    <w:name w:val="annotation reference"/>
    <w:basedOn w:val="DefaultParagraphFont"/>
    <w:uiPriority w:val="99"/>
    <w:semiHidden/>
    <w:unhideWhenUsed/>
    <w:rsid w:val="00395DF8"/>
    <w:rPr>
      <w:sz w:val="16"/>
      <w:szCs w:val="16"/>
    </w:rPr>
  </w:style>
  <w:style w:type="paragraph" w:styleId="CommentText">
    <w:name w:val="annotation text"/>
    <w:basedOn w:val="Normal"/>
    <w:link w:val="CommentTextChar"/>
    <w:uiPriority w:val="99"/>
    <w:semiHidden/>
    <w:unhideWhenUsed/>
    <w:rsid w:val="00395DF8"/>
    <w:pPr>
      <w:spacing w:line="240" w:lineRule="auto"/>
    </w:pPr>
    <w:rPr>
      <w:sz w:val="20"/>
      <w:szCs w:val="20"/>
    </w:rPr>
  </w:style>
  <w:style w:type="character" w:customStyle="1" w:styleId="CommentTextChar">
    <w:name w:val="Comment Text Char"/>
    <w:basedOn w:val="DefaultParagraphFont"/>
    <w:link w:val="CommentText"/>
    <w:uiPriority w:val="99"/>
    <w:semiHidden/>
    <w:rsid w:val="00395DF8"/>
    <w:rPr>
      <w:sz w:val="20"/>
      <w:szCs w:val="20"/>
    </w:rPr>
  </w:style>
  <w:style w:type="paragraph" w:styleId="CommentSubject">
    <w:name w:val="annotation subject"/>
    <w:basedOn w:val="CommentText"/>
    <w:next w:val="CommentText"/>
    <w:link w:val="CommentSubjectChar"/>
    <w:uiPriority w:val="99"/>
    <w:semiHidden/>
    <w:unhideWhenUsed/>
    <w:rsid w:val="00395DF8"/>
    <w:rPr>
      <w:b/>
      <w:bCs/>
    </w:rPr>
  </w:style>
  <w:style w:type="character" w:customStyle="1" w:styleId="CommentSubjectChar">
    <w:name w:val="Comment Subject Char"/>
    <w:basedOn w:val="CommentTextChar"/>
    <w:link w:val="CommentSubject"/>
    <w:uiPriority w:val="99"/>
    <w:semiHidden/>
    <w:rsid w:val="00395DF8"/>
    <w:rPr>
      <w:b/>
      <w:bCs/>
      <w:sz w:val="20"/>
      <w:szCs w:val="20"/>
    </w:rPr>
  </w:style>
  <w:style w:type="paragraph" w:styleId="BalloonText">
    <w:name w:val="Balloon Text"/>
    <w:basedOn w:val="Normal"/>
    <w:link w:val="BalloonTextChar"/>
    <w:uiPriority w:val="99"/>
    <w:semiHidden/>
    <w:unhideWhenUsed/>
    <w:rsid w:val="00395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DF8"/>
    <w:rPr>
      <w:rFonts w:ascii="Tahoma" w:hAnsi="Tahoma" w:cs="Tahoma"/>
      <w:sz w:val="16"/>
      <w:szCs w:val="16"/>
    </w:rPr>
  </w:style>
  <w:style w:type="character" w:styleId="FollowedHyperlink">
    <w:name w:val="FollowedHyperlink"/>
    <w:basedOn w:val="DefaultParagraphFont"/>
    <w:uiPriority w:val="99"/>
    <w:semiHidden/>
    <w:unhideWhenUsed/>
    <w:rsid w:val="008311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2917">
      <w:bodyDiv w:val="1"/>
      <w:marLeft w:val="0"/>
      <w:marRight w:val="0"/>
      <w:marTop w:val="0"/>
      <w:marBottom w:val="0"/>
      <w:divBdr>
        <w:top w:val="none" w:sz="0" w:space="0" w:color="auto"/>
        <w:left w:val="none" w:sz="0" w:space="0" w:color="auto"/>
        <w:bottom w:val="none" w:sz="0" w:space="0" w:color="auto"/>
        <w:right w:val="none" w:sz="0" w:space="0" w:color="auto"/>
      </w:divBdr>
    </w:div>
    <w:div w:id="131604255">
      <w:bodyDiv w:val="1"/>
      <w:marLeft w:val="0"/>
      <w:marRight w:val="0"/>
      <w:marTop w:val="0"/>
      <w:marBottom w:val="0"/>
      <w:divBdr>
        <w:top w:val="none" w:sz="0" w:space="0" w:color="auto"/>
        <w:left w:val="none" w:sz="0" w:space="0" w:color="auto"/>
        <w:bottom w:val="none" w:sz="0" w:space="0" w:color="auto"/>
        <w:right w:val="none" w:sz="0" w:space="0" w:color="auto"/>
      </w:divBdr>
    </w:div>
    <w:div w:id="176162020">
      <w:bodyDiv w:val="1"/>
      <w:marLeft w:val="0"/>
      <w:marRight w:val="0"/>
      <w:marTop w:val="0"/>
      <w:marBottom w:val="0"/>
      <w:divBdr>
        <w:top w:val="none" w:sz="0" w:space="0" w:color="auto"/>
        <w:left w:val="none" w:sz="0" w:space="0" w:color="auto"/>
        <w:bottom w:val="none" w:sz="0" w:space="0" w:color="auto"/>
        <w:right w:val="none" w:sz="0" w:space="0" w:color="auto"/>
      </w:divBdr>
    </w:div>
    <w:div w:id="249200022">
      <w:bodyDiv w:val="1"/>
      <w:marLeft w:val="0"/>
      <w:marRight w:val="0"/>
      <w:marTop w:val="0"/>
      <w:marBottom w:val="0"/>
      <w:divBdr>
        <w:top w:val="none" w:sz="0" w:space="0" w:color="auto"/>
        <w:left w:val="none" w:sz="0" w:space="0" w:color="auto"/>
        <w:bottom w:val="none" w:sz="0" w:space="0" w:color="auto"/>
        <w:right w:val="none" w:sz="0" w:space="0" w:color="auto"/>
      </w:divBdr>
    </w:div>
    <w:div w:id="338196231">
      <w:bodyDiv w:val="1"/>
      <w:marLeft w:val="0"/>
      <w:marRight w:val="0"/>
      <w:marTop w:val="0"/>
      <w:marBottom w:val="0"/>
      <w:divBdr>
        <w:top w:val="none" w:sz="0" w:space="0" w:color="auto"/>
        <w:left w:val="none" w:sz="0" w:space="0" w:color="auto"/>
        <w:bottom w:val="none" w:sz="0" w:space="0" w:color="auto"/>
        <w:right w:val="none" w:sz="0" w:space="0" w:color="auto"/>
      </w:divBdr>
    </w:div>
    <w:div w:id="430861967">
      <w:bodyDiv w:val="1"/>
      <w:marLeft w:val="0"/>
      <w:marRight w:val="0"/>
      <w:marTop w:val="0"/>
      <w:marBottom w:val="0"/>
      <w:divBdr>
        <w:top w:val="none" w:sz="0" w:space="0" w:color="auto"/>
        <w:left w:val="none" w:sz="0" w:space="0" w:color="auto"/>
        <w:bottom w:val="none" w:sz="0" w:space="0" w:color="auto"/>
        <w:right w:val="none" w:sz="0" w:space="0" w:color="auto"/>
      </w:divBdr>
    </w:div>
    <w:div w:id="461536372">
      <w:bodyDiv w:val="1"/>
      <w:marLeft w:val="0"/>
      <w:marRight w:val="0"/>
      <w:marTop w:val="0"/>
      <w:marBottom w:val="0"/>
      <w:divBdr>
        <w:top w:val="none" w:sz="0" w:space="0" w:color="auto"/>
        <w:left w:val="none" w:sz="0" w:space="0" w:color="auto"/>
        <w:bottom w:val="none" w:sz="0" w:space="0" w:color="auto"/>
        <w:right w:val="none" w:sz="0" w:space="0" w:color="auto"/>
      </w:divBdr>
    </w:div>
    <w:div w:id="491718666">
      <w:bodyDiv w:val="1"/>
      <w:marLeft w:val="0"/>
      <w:marRight w:val="0"/>
      <w:marTop w:val="0"/>
      <w:marBottom w:val="0"/>
      <w:divBdr>
        <w:top w:val="none" w:sz="0" w:space="0" w:color="auto"/>
        <w:left w:val="none" w:sz="0" w:space="0" w:color="auto"/>
        <w:bottom w:val="none" w:sz="0" w:space="0" w:color="auto"/>
        <w:right w:val="none" w:sz="0" w:space="0" w:color="auto"/>
      </w:divBdr>
    </w:div>
    <w:div w:id="1036589102">
      <w:bodyDiv w:val="1"/>
      <w:marLeft w:val="0"/>
      <w:marRight w:val="0"/>
      <w:marTop w:val="0"/>
      <w:marBottom w:val="0"/>
      <w:divBdr>
        <w:top w:val="none" w:sz="0" w:space="0" w:color="auto"/>
        <w:left w:val="none" w:sz="0" w:space="0" w:color="auto"/>
        <w:bottom w:val="none" w:sz="0" w:space="0" w:color="auto"/>
        <w:right w:val="none" w:sz="0" w:space="0" w:color="auto"/>
      </w:divBdr>
    </w:div>
    <w:div w:id="1083719836">
      <w:bodyDiv w:val="1"/>
      <w:marLeft w:val="0"/>
      <w:marRight w:val="0"/>
      <w:marTop w:val="0"/>
      <w:marBottom w:val="0"/>
      <w:divBdr>
        <w:top w:val="none" w:sz="0" w:space="0" w:color="auto"/>
        <w:left w:val="none" w:sz="0" w:space="0" w:color="auto"/>
        <w:bottom w:val="none" w:sz="0" w:space="0" w:color="auto"/>
        <w:right w:val="none" w:sz="0" w:space="0" w:color="auto"/>
      </w:divBdr>
    </w:div>
    <w:div w:id="1186482195">
      <w:bodyDiv w:val="1"/>
      <w:marLeft w:val="0"/>
      <w:marRight w:val="0"/>
      <w:marTop w:val="0"/>
      <w:marBottom w:val="0"/>
      <w:divBdr>
        <w:top w:val="none" w:sz="0" w:space="0" w:color="auto"/>
        <w:left w:val="none" w:sz="0" w:space="0" w:color="auto"/>
        <w:bottom w:val="none" w:sz="0" w:space="0" w:color="auto"/>
        <w:right w:val="none" w:sz="0" w:space="0" w:color="auto"/>
      </w:divBdr>
    </w:div>
    <w:div w:id="1211262458">
      <w:bodyDiv w:val="1"/>
      <w:marLeft w:val="0"/>
      <w:marRight w:val="0"/>
      <w:marTop w:val="0"/>
      <w:marBottom w:val="0"/>
      <w:divBdr>
        <w:top w:val="none" w:sz="0" w:space="0" w:color="auto"/>
        <w:left w:val="none" w:sz="0" w:space="0" w:color="auto"/>
        <w:bottom w:val="none" w:sz="0" w:space="0" w:color="auto"/>
        <w:right w:val="none" w:sz="0" w:space="0" w:color="auto"/>
      </w:divBdr>
    </w:div>
    <w:div w:id="1246761184">
      <w:bodyDiv w:val="1"/>
      <w:marLeft w:val="0"/>
      <w:marRight w:val="0"/>
      <w:marTop w:val="0"/>
      <w:marBottom w:val="0"/>
      <w:divBdr>
        <w:top w:val="none" w:sz="0" w:space="0" w:color="auto"/>
        <w:left w:val="none" w:sz="0" w:space="0" w:color="auto"/>
        <w:bottom w:val="none" w:sz="0" w:space="0" w:color="auto"/>
        <w:right w:val="none" w:sz="0" w:space="0" w:color="auto"/>
      </w:divBdr>
    </w:div>
    <w:div w:id="1602182006">
      <w:bodyDiv w:val="1"/>
      <w:marLeft w:val="0"/>
      <w:marRight w:val="0"/>
      <w:marTop w:val="0"/>
      <w:marBottom w:val="0"/>
      <w:divBdr>
        <w:top w:val="none" w:sz="0" w:space="0" w:color="auto"/>
        <w:left w:val="none" w:sz="0" w:space="0" w:color="auto"/>
        <w:bottom w:val="none" w:sz="0" w:space="0" w:color="auto"/>
        <w:right w:val="none" w:sz="0" w:space="0" w:color="auto"/>
      </w:divBdr>
    </w:div>
    <w:div w:id="1691495302">
      <w:bodyDiv w:val="1"/>
      <w:marLeft w:val="0"/>
      <w:marRight w:val="0"/>
      <w:marTop w:val="0"/>
      <w:marBottom w:val="0"/>
      <w:divBdr>
        <w:top w:val="none" w:sz="0" w:space="0" w:color="auto"/>
        <w:left w:val="none" w:sz="0" w:space="0" w:color="auto"/>
        <w:bottom w:val="none" w:sz="0" w:space="0" w:color="auto"/>
        <w:right w:val="none" w:sz="0" w:space="0" w:color="auto"/>
      </w:divBdr>
    </w:div>
    <w:div w:id="1780224173">
      <w:bodyDiv w:val="1"/>
      <w:marLeft w:val="0"/>
      <w:marRight w:val="0"/>
      <w:marTop w:val="0"/>
      <w:marBottom w:val="0"/>
      <w:divBdr>
        <w:top w:val="none" w:sz="0" w:space="0" w:color="auto"/>
        <w:left w:val="none" w:sz="0" w:space="0" w:color="auto"/>
        <w:bottom w:val="none" w:sz="0" w:space="0" w:color="auto"/>
        <w:right w:val="none" w:sz="0" w:space="0" w:color="auto"/>
      </w:divBdr>
    </w:div>
    <w:div w:id="1953243117">
      <w:bodyDiv w:val="1"/>
      <w:marLeft w:val="0"/>
      <w:marRight w:val="0"/>
      <w:marTop w:val="0"/>
      <w:marBottom w:val="0"/>
      <w:divBdr>
        <w:top w:val="none" w:sz="0" w:space="0" w:color="auto"/>
        <w:left w:val="none" w:sz="0" w:space="0" w:color="auto"/>
        <w:bottom w:val="none" w:sz="0" w:space="0" w:color="auto"/>
        <w:right w:val="none" w:sz="0" w:space="0" w:color="auto"/>
      </w:divBdr>
    </w:div>
    <w:div w:id="2055080390">
      <w:bodyDiv w:val="1"/>
      <w:marLeft w:val="0"/>
      <w:marRight w:val="0"/>
      <w:marTop w:val="0"/>
      <w:marBottom w:val="0"/>
      <w:divBdr>
        <w:top w:val="none" w:sz="0" w:space="0" w:color="auto"/>
        <w:left w:val="none" w:sz="0" w:space="0" w:color="auto"/>
        <w:bottom w:val="none" w:sz="0" w:space="0" w:color="auto"/>
        <w:right w:val="none" w:sz="0" w:space="0" w:color="auto"/>
      </w:divBdr>
    </w:div>
    <w:div w:id="209789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docs-filing/efiling/filing.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docs-filing/efiling.as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docs-filing/info-collections.as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ferc.gov/docs-filing/efiling/address-li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537</_x0031__x002e__x0020_Collection_x0020_Number>
    <Date xmlns="d6eefc7d-9817-4fa6-84d5-3bc009be21b8" xsi:nil="tru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IC14-16</_x0031__x002e__x0020_Docket_x0020_Number>
    <_x0033__x002e__x0020_Collection_x0020_Number xmlns="d6eefc7d-9817-4fa6-84d5-3bc009be21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AF0DE-6E8F-4DB6-BFF2-EA2EC802C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039393-66AC-46D8-B348-56260BBE41CF}">
  <ds:schemaRefs>
    <ds:schemaRef ds:uri="d6eefc7d-9817-4fa6-84d5-3bc009be21b8"/>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58034458-A5FD-4779-9DA0-75C070166528}">
  <ds:schemaRefs>
    <ds:schemaRef ds:uri="http://schemas.microsoft.com/sharepoint/v3/contenttype/forms"/>
  </ds:schemaRefs>
</ds:datastoreItem>
</file>

<file path=customXml/itemProps4.xml><?xml version="1.0" encoding="utf-8"?>
<ds:datastoreItem xmlns:ds="http://schemas.openxmlformats.org/officeDocument/2006/customXml" ds:itemID="{AD19820C-3F14-45F6-9AFF-B86E396CE1BC}">
  <ds:schemaRefs>
    <ds:schemaRef ds:uri="http://schemas.microsoft.com/office/2006/metadata/customXsn"/>
  </ds:schemaRefs>
</ds:datastoreItem>
</file>

<file path=customXml/itemProps5.xml><?xml version="1.0" encoding="utf-8"?>
<ds:datastoreItem xmlns:ds="http://schemas.openxmlformats.org/officeDocument/2006/customXml" ds:itemID="{FFA5E456-FA5A-4ABC-9B4B-70F43A4AA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2101</Words>
  <Characters>11978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14051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537 supporting statement</dc:title>
  <dc:creator>Camilla Nader</dc:creator>
  <cp:lastModifiedBy>Anthony May</cp:lastModifiedBy>
  <cp:revision>3</cp:revision>
  <cp:lastPrinted>2015-01-13T17:04:00Z</cp:lastPrinted>
  <dcterms:created xsi:type="dcterms:W3CDTF">2015-07-02T19:24:00Z</dcterms:created>
  <dcterms:modified xsi:type="dcterms:W3CDTF">2015-07-02T19:24:00Z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y fmtid="{D5CDD505-2E9C-101B-9397-08002B2CF9AE}" pid="3" name="_NewReviewCycle">
    <vt:lpwstr/>
  </property>
</Properties>
</file>