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22663"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35EBD7D3" w14:textId="4C918311" w:rsidR="00BD5331" w:rsidRDefault="00BD5331" w:rsidP="00BD5331">
      <w:pPr>
        <w:spacing w:after="0"/>
        <w:jc w:val="center"/>
        <w:rPr>
          <w:rFonts w:ascii="Times New Roman" w:hAnsi="Times New Roman" w:cs="Times New Roman"/>
          <w:b/>
          <w:sz w:val="24"/>
          <w:szCs w:val="24"/>
        </w:rPr>
      </w:pPr>
      <w:r>
        <w:rPr>
          <w:rFonts w:ascii="Times New Roman" w:hAnsi="Times New Roman" w:cs="Times New Roman"/>
          <w:b/>
          <w:sz w:val="24"/>
          <w:szCs w:val="24"/>
        </w:rPr>
        <w:t>FERC-545</w:t>
      </w:r>
      <w:r w:rsidR="00570861">
        <w:rPr>
          <w:rFonts w:ascii="Times New Roman" w:hAnsi="Times New Roman" w:cs="Times New Roman"/>
          <w:b/>
          <w:sz w:val="24"/>
          <w:szCs w:val="24"/>
        </w:rPr>
        <w:t xml:space="preserve">, </w:t>
      </w:r>
      <w:r>
        <w:rPr>
          <w:rFonts w:ascii="Times New Roman" w:hAnsi="Times New Roman" w:cs="Times New Roman"/>
          <w:b/>
          <w:sz w:val="24"/>
          <w:szCs w:val="24"/>
        </w:rPr>
        <w:t>Gas Pipeline Rates: Rate Change Non-Formal</w:t>
      </w:r>
    </w:p>
    <w:p w14:paraId="5D3202CD" w14:textId="02AEE965" w:rsidR="003B3B61" w:rsidRDefault="003B3B61"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for the </w:t>
      </w:r>
      <w:r w:rsidR="00BD5331">
        <w:rPr>
          <w:rFonts w:ascii="Times New Roman" w:hAnsi="Times New Roman" w:cs="Times New Roman"/>
          <w:sz w:val="24"/>
          <w:szCs w:val="24"/>
        </w:rPr>
        <w:t>Final Rule</w:t>
      </w:r>
      <w:r w:rsidR="0002567F" w:rsidRPr="00CE2CDA">
        <w:rPr>
          <w:rFonts w:ascii="Times New Roman" w:hAnsi="Times New Roman" w:cs="Times New Roman"/>
          <w:sz w:val="24"/>
          <w:szCs w:val="24"/>
        </w:rPr>
        <w:t xml:space="preserve"> </w:t>
      </w:r>
      <w:r w:rsidR="001B298D">
        <w:rPr>
          <w:rFonts w:ascii="Times New Roman" w:hAnsi="Times New Roman" w:cs="Times New Roman"/>
          <w:sz w:val="24"/>
          <w:szCs w:val="24"/>
        </w:rPr>
        <w:t xml:space="preserve">(issued on 11/20/2014) </w:t>
      </w:r>
      <w:r w:rsidR="00570861" w:rsidRPr="009430EF">
        <w:rPr>
          <w:rFonts w:ascii="Times New Roman" w:hAnsi="Times New Roman" w:cs="Times New Roman"/>
          <w:sz w:val="24"/>
          <w:szCs w:val="24"/>
        </w:rPr>
        <w:t>in</w:t>
      </w:r>
      <w:r w:rsidR="00BD5331">
        <w:rPr>
          <w:rFonts w:ascii="Times New Roman" w:hAnsi="Times New Roman" w:cs="Times New Roman"/>
          <w:sz w:val="24"/>
          <w:szCs w:val="24"/>
        </w:rPr>
        <w:t xml:space="preserve"> Docket Number RM14-21</w:t>
      </w:r>
      <w:r w:rsidR="00570861">
        <w:rPr>
          <w:rFonts w:ascii="Times New Roman" w:hAnsi="Times New Roman" w:cs="Times New Roman"/>
          <w:sz w:val="24"/>
          <w:szCs w:val="24"/>
        </w:rPr>
        <w:t>-000</w:t>
      </w:r>
      <w:r w:rsidR="00BD7446">
        <w:rPr>
          <w:rFonts w:ascii="Times New Roman" w:hAnsi="Times New Roman" w:cs="Times New Roman"/>
          <w:sz w:val="24"/>
          <w:szCs w:val="24"/>
        </w:rPr>
        <w:t xml:space="preserve"> </w:t>
      </w:r>
    </w:p>
    <w:p w14:paraId="62A2615D" w14:textId="77777777" w:rsidR="00FD66F1" w:rsidRDefault="00FD66F1" w:rsidP="00F8440A">
      <w:pPr>
        <w:spacing w:after="0"/>
        <w:rPr>
          <w:rFonts w:ascii="Times New Roman" w:hAnsi="Times New Roman" w:cs="Times New Roman"/>
          <w:sz w:val="24"/>
          <w:szCs w:val="24"/>
        </w:rPr>
      </w:pPr>
    </w:p>
    <w:p w14:paraId="2493C2F7" w14:textId="4D959B41"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5331">
        <w:rPr>
          <w:rFonts w:ascii="Times New Roman" w:hAnsi="Times New Roman" w:cs="Times New Roman"/>
          <w:sz w:val="24"/>
          <w:szCs w:val="24"/>
        </w:rPr>
        <w:t>FERC-545</w:t>
      </w:r>
      <w:r w:rsidR="00570861">
        <w:rPr>
          <w:rFonts w:ascii="Times New Roman" w:hAnsi="Times New Roman" w:cs="Times New Roman"/>
          <w:sz w:val="24"/>
          <w:szCs w:val="24"/>
        </w:rPr>
        <w:t xml:space="preserve"> (</w:t>
      </w:r>
      <w:r w:rsidR="00BD5331" w:rsidRPr="00BD5331">
        <w:rPr>
          <w:rFonts w:ascii="Times New Roman" w:hAnsi="Times New Roman" w:cs="Times New Roman"/>
          <w:sz w:val="24"/>
          <w:szCs w:val="24"/>
        </w:rPr>
        <w:t>Gas Pipeline Rates: Rate Change Non-Formal</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w:t>
      </w:r>
      <w:r w:rsidR="00BD5331">
        <w:rPr>
          <w:rFonts w:ascii="Times New Roman" w:hAnsi="Times New Roman" w:cs="Times New Roman"/>
          <w:sz w:val="24"/>
          <w:szCs w:val="24"/>
        </w:rPr>
        <w:t>deral Regulations (CFR) Part</w:t>
      </w:r>
      <w:r w:rsidR="001B298D">
        <w:rPr>
          <w:rFonts w:ascii="Times New Roman" w:hAnsi="Times New Roman" w:cs="Times New Roman"/>
          <w:sz w:val="24"/>
          <w:szCs w:val="24"/>
        </w:rPr>
        <w:t>s</w:t>
      </w:r>
      <w:r w:rsidR="00BD5331">
        <w:rPr>
          <w:rFonts w:ascii="Times New Roman" w:hAnsi="Times New Roman" w:cs="Times New Roman"/>
          <w:sz w:val="24"/>
          <w:szCs w:val="24"/>
        </w:rPr>
        <w:t xml:space="preserve"> 154, 284.12, and 284.221.</w:t>
      </w:r>
      <w:r w:rsidRPr="00F8440A">
        <w:rPr>
          <w:rFonts w:ascii="Times New Roman" w:hAnsi="Times New Roman" w:cs="Times New Roman"/>
          <w:sz w:val="24"/>
          <w:szCs w:val="24"/>
        </w:rPr>
        <w:tab/>
      </w:r>
    </w:p>
    <w:p w14:paraId="27250E23" w14:textId="27854A54" w:rsidR="00BD5331" w:rsidRPr="00BD5331" w:rsidRDefault="00BD5331" w:rsidP="00905DB7">
      <w:pPr>
        <w:spacing w:after="0"/>
        <w:rPr>
          <w:rFonts w:ascii="Times New Roman" w:hAnsi="Times New Roman" w:cs="Times New Roman"/>
          <w:sz w:val="24"/>
          <w:szCs w:val="24"/>
        </w:rPr>
      </w:pPr>
      <w:r w:rsidRPr="00BD5331">
        <w:rPr>
          <w:rFonts w:ascii="Times New Roman" w:hAnsi="Times New Roman" w:cs="Times New Roman"/>
          <w:sz w:val="24"/>
          <w:szCs w:val="24"/>
        </w:rPr>
        <w:t xml:space="preserve">The Federal Energy Regulatory Commission </w:t>
      </w:r>
      <w:r>
        <w:rPr>
          <w:rFonts w:ascii="Times New Roman" w:hAnsi="Times New Roman" w:cs="Times New Roman"/>
          <w:sz w:val="24"/>
          <w:szCs w:val="24"/>
        </w:rPr>
        <w:t>approves</w:t>
      </w:r>
      <w:r w:rsidRPr="00BD5331">
        <w:rPr>
          <w:rFonts w:ascii="Times New Roman" w:hAnsi="Times New Roman" w:cs="Times New Roman"/>
          <w:sz w:val="24"/>
          <w:szCs w:val="24"/>
        </w:rPr>
        <w:t xml:space="preserve"> the filing requirements for natural gas pipeline system maps.  Under current regulations, natural gas pipelines must include a system map as part of their tariff on file with the Commission, and file an updated map by the following April for any year that there is a major change in the pipeline’s system.  Additionally, this map must be posted on the pipeline’s own website.  In order to reduce regulatory burden on these pipel</w:t>
      </w:r>
      <w:r>
        <w:rPr>
          <w:rFonts w:ascii="Times New Roman" w:hAnsi="Times New Roman" w:cs="Times New Roman"/>
          <w:sz w:val="24"/>
          <w:szCs w:val="24"/>
        </w:rPr>
        <w:t xml:space="preserve">ines, the Commission </w:t>
      </w:r>
      <w:r w:rsidR="005B60C7">
        <w:rPr>
          <w:rFonts w:ascii="Times New Roman" w:hAnsi="Times New Roman" w:cs="Times New Roman"/>
          <w:sz w:val="24"/>
          <w:szCs w:val="24"/>
        </w:rPr>
        <w:t>is eliminating</w:t>
      </w:r>
      <w:r w:rsidRPr="00BD5331">
        <w:rPr>
          <w:rFonts w:ascii="Times New Roman" w:hAnsi="Times New Roman" w:cs="Times New Roman"/>
          <w:sz w:val="24"/>
          <w:szCs w:val="24"/>
        </w:rPr>
        <w:t xml:space="preserve"> the requirement to file a map as part of the tariff, leaving only the requirement to maintain a map on the pipeline’s own website.  </w:t>
      </w:r>
    </w:p>
    <w:p w14:paraId="539C12D4" w14:textId="77777777" w:rsidR="00BD5331" w:rsidRPr="00BD5331" w:rsidRDefault="00BD5331" w:rsidP="00BD5331">
      <w:pPr>
        <w:spacing w:after="0"/>
        <w:rPr>
          <w:rFonts w:ascii="Times New Roman" w:hAnsi="Times New Roman" w:cs="Times New Roman"/>
          <w:sz w:val="24"/>
          <w:szCs w:val="24"/>
        </w:rPr>
      </w:pPr>
    </w:p>
    <w:p w14:paraId="53AB4224" w14:textId="12622BAB" w:rsidR="00A72E7B"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Furthermore, in order to promote trans</w:t>
      </w:r>
      <w:r>
        <w:rPr>
          <w:rFonts w:ascii="Times New Roman" w:hAnsi="Times New Roman" w:cs="Times New Roman"/>
          <w:sz w:val="24"/>
          <w:szCs w:val="24"/>
        </w:rPr>
        <w:t>parency, the Commission will change</w:t>
      </w:r>
      <w:r w:rsidRPr="00BD5331">
        <w:rPr>
          <w:rFonts w:ascii="Times New Roman" w:hAnsi="Times New Roman" w:cs="Times New Roman"/>
          <w:sz w:val="24"/>
          <w:szCs w:val="24"/>
        </w:rPr>
        <w:t xml:space="preserve"> the deadline for updating system maps.  Currently, if a pipeline experiences a major change that renders its existing map obsolete, it must make a tariff filing no later than April 30 of the subsequent calenda</w:t>
      </w:r>
      <w:r>
        <w:rPr>
          <w:rFonts w:ascii="Times New Roman" w:hAnsi="Times New Roman" w:cs="Times New Roman"/>
          <w:sz w:val="24"/>
          <w:szCs w:val="24"/>
        </w:rPr>
        <w:t>r year.  The Commission will also impose</w:t>
      </w:r>
      <w:r w:rsidRPr="00BD5331">
        <w:rPr>
          <w:rFonts w:ascii="Times New Roman" w:hAnsi="Times New Roman" w:cs="Times New Roman"/>
          <w:sz w:val="24"/>
          <w:szCs w:val="24"/>
        </w:rPr>
        <w:t xml:space="preserve"> a quarterly dead</w:t>
      </w:r>
      <w:r w:rsidR="00E37BEA">
        <w:rPr>
          <w:rFonts w:ascii="Times New Roman" w:hAnsi="Times New Roman" w:cs="Times New Roman"/>
          <w:sz w:val="24"/>
          <w:szCs w:val="24"/>
        </w:rPr>
        <w:t>line for updating pipeline maps</w:t>
      </w:r>
      <w:r w:rsidR="00657A47">
        <w:rPr>
          <w:rFonts w:ascii="Times New Roman" w:hAnsi="Times New Roman" w:cs="Times New Roman"/>
          <w:sz w:val="24"/>
          <w:szCs w:val="24"/>
        </w:rPr>
        <w:t>.  The Commission submits th</w:t>
      </w:r>
      <w:r w:rsidR="00F707CA">
        <w:rPr>
          <w:rFonts w:ascii="Times New Roman" w:hAnsi="Times New Roman" w:cs="Times New Roman"/>
          <w:sz w:val="24"/>
          <w:szCs w:val="24"/>
        </w:rPr>
        <w:t>e changes due to the</w:t>
      </w:r>
      <w:r>
        <w:rPr>
          <w:rFonts w:ascii="Times New Roman" w:hAnsi="Times New Roman" w:cs="Times New Roman"/>
          <w:sz w:val="24"/>
          <w:szCs w:val="24"/>
        </w:rPr>
        <w:t xml:space="preserve"> Final Rule</w:t>
      </w:r>
      <w:r w:rsidR="00F707CA">
        <w:rPr>
          <w:rFonts w:ascii="Times New Roman" w:hAnsi="Times New Roman" w:cs="Times New Roman"/>
          <w:sz w:val="24"/>
          <w:szCs w:val="24"/>
        </w:rPr>
        <w:t xml:space="preserve"> </w:t>
      </w:r>
      <w:r w:rsidR="00DF0AB5">
        <w:rPr>
          <w:rFonts w:ascii="Times New Roman" w:hAnsi="Times New Roman" w:cs="Times New Roman"/>
          <w:sz w:val="24"/>
          <w:szCs w:val="24"/>
        </w:rPr>
        <w:t xml:space="preserve">(Order 801) </w:t>
      </w:r>
      <w:r w:rsidR="00F707CA">
        <w:rPr>
          <w:rFonts w:ascii="Times New Roman" w:hAnsi="Times New Roman" w:cs="Times New Roman"/>
          <w:sz w:val="24"/>
          <w:szCs w:val="24"/>
        </w:rPr>
        <w:t xml:space="preserve">in Docket No. </w:t>
      </w:r>
      <w:r>
        <w:rPr>
          <w:rFonts w:ascii="Times New Roman" w:hAnsi="Times New Roman" w:cs="Times New Roman"/>
          <w:sz w:val="24"/>
          <w:szCs w:val="24"/>
        </w:rPr>
        <w:t>RM14-21</w:t>
      </w:r>
      <w:r w:rsidR="00BB3B2C">
        <w:rPr>
          <w:rFonts w:ascii="Times New Roman" w:hAnsi="Times New Roman" w:cs="Times New Roman"/>
          <w:sz w:val="24"/>
          <w:szCs w:val="24"/>
        </w:rPr>
        <w:t xml:space="preserve">-000 </w:t>
      </w:r>
      <w:r>
        <w:rPr>
          <w:rFonts w:ascii="Times New Roman" w:hAnsi="Times New Roman" w:cs="Times New Roman"/>
          <w:sz w:val="24"/>
          <w:szCs w:val="24"/>
        </w:rPr>
        <w:t>under the FERC-545</w:t>
      </w:r>
      <w:r w:rsidR="00657A47">
        <w:rPr>
          <w:rFonts w:ascii="Times New Roman" w:hAnsi="Times New Roman" w:cs="Times New Roman"/>
          <w:sz w:val="24"/>
          <w:szCs w:val="24"/>
        </w:rPr>
        <w:t xml:space="preserve"> information colle</w:t>
      </w:r>
      <w:r>
        <w:rPr>
          <w:rFonts w:ascii="Times New Roman" w:hAnsi="Times New Roman" w:cs="Times New Roman"/>
          <w:sz w:val="24"/>
          <w:szCs w:val="24"/>
        </w:rPr>
        <w:t>ction (OMB Control No. 1902-0154</w:t>
      </w:r>
      <w:r w:rsidR="00657A47">
        <w:rPr>
          <w:rFonts w:ascii="Times New Roman" w:hAnsi="Times New Roman" w:cs="Times New Roman"/>
          <w:sz w:val="24"/>
          <w:szCs w:val="24"/>
        </w:rPr>
        <w:t>).</w:t>
      </w:r>
    </w:p>
    <w:p w14:paraId="6C1532B2" w14:textId="77777777" w:rsidR="0002242D" w:rsidRDefault="0002242D" w:rsidP="00FD66F1">
      <w:pPr>
        <w:spacing w:after="0"/>
        <w:rPr>
          <w:rFonts w:ascii="Times New Roman" w:hAnsi="Times New Roman" w:cs="Times New Roman"/>
          <w:sz w:val="24"/>
          <w:szCs w:val="24"/>
        </w:rPr>
      </w:pPr>
    </w:p>
    <w:p w14:paraId="0446CBC8"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2B046789" w14:textId="77777777" w:rsidR="00A72E7B" w:rsidRDefault="00A72E7B" w:rsidP="00EB3E6F">
      <w:pPr>
        <w:spacing w:after="0"/>
        <w:rPr>
          <w:rFonts w:ascii="Times New Roman" w:hAnsi="Times New Roman" w:cs="Times New Roman"/>
          <w:sz w:val="24"/>
          <w:szCs w:val="24"/>
        </w:rPr>
      </w:pPr>
    </w:p>
    <w:p w14:paraId="7D5EBABA" w14:textId="141A347A" w:rsidR="00BD5331" w:rsidRPr="00BD5331" w:rsidRDefault="005B60C7" w:rsidP="00BD5331">
      <w:pPr>
        <w:spacing w:after="0"/>
        <w:rPr>
          <w:rFonts w:ascii="Times New Roman" w:hAnsi="Times New Roman" w:cs="Times New Roman"/>
          <w:sz w:val="24"/>
          <w:szCs w:val="24"/>
        </w:rPr>
      </w:pPr>
      <w:r>
        <w:rPr>
          <w:rFonts w:ascii="Times New Roman" w:hAnsi="Times New Roman" w:cs="Times New Roman"/>
          <w:sz w:val="24"/>
          <w:szCs w:val="24"/>
        </w:rPr>
        <w:t xml:space="preserve">RM14-21 Final Rule.  </w:t>
      </w:r>
      <w:r w:rsidR="00BD5331" w:rsidRPr="00BD5331">
        <w:rPr>
          <w:rFonts w:ascii="Times New Roman" w:hAnsi="Times New Roman" w:cs="Times New Roman"/>
          <w:sz w:val="24"/>
          <w:szCs w:val="24"/>
        </w:rPr>
        <w:t>The Commission uses the FERC-545 information to examine service and tariff provisions related to natural gas transportation and storage services.  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w:t>
      </w:r>
      <w:r w:rsidR="00D54DF2">
        <w:rPr>
          <w:rFonts w:ascii="Times New Roman" w:hAnsi="Times New Roman" w:cs="Times New Roman"/>
          <w:sz w:val="24"/>
          <w:szCs w:val="24"/>
        </w:rPr>
        <w:t xml:space="preserve"> related to pipeline activity</w:t>
      </w:r>
      <w:r w:rsidR="00BD5331" w:rsidRPr="00BD5331">
        <w:rPr>
          <w:rFonts w:ascii="Times New Roman" w:hAnsi="Times New Roman" w:cs="Times New Roman"/>
          <w:sz w:val="24"/>
          <w:szCs w:val="24"/>
        </w:rPr>
        <w:t>).</w:t>
      </w:r>
    </w:p>
    <w:p w14:paraId="362E7E36" w14:textId="77777777" w:rsidR="00BD5331" w:rsidRPr="00BD5331" w:rsidRDefault="00BD5331" w:rsidP="00BD5331">
      <w:pPr>
        <w:spacing w:after="0"/>
        <w:rPr>
          <w:rFonts w:ascii="Times New Roman" w:hAnsi="Times New Roman" w:cs="Times New Roman"/>
          <w:sz w:val="24"/>
          <w:szCs w:val="24"/>
        </w:rPr>
      </w:pPr>
    </w:p>
    <w:p w14:paraId="30ACB536" w14:textId="421D269F" w:rsidR="00BD5331" w:rsidRPr="00BD5331"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The changes</w:t>
      </w:r>
      <w:r w:rsidR="002150E1">
        <w:rPr>
          <w:rFonts w:ascii="Times New Roman" w:hAnsi="Times New Roman" w:cs="Times New Roman"/>
          <w:sz w:val="24"/>
          <w:szCs w:val="24"/>
        </w:rPr>
        <w:t xml:space="preserve"> to the FERC-545 in the final</w:t>
      </w:r>
      <w:r w:rsidRPr="00BD5331">
        <w:rPr>
          <w:rFonts w:ascii="Times New Roman" w:hAnsi="Times New Roman" w:cs="Times New Roman"/>
          <w:sz w:val="24"/>
          <w:szCs w:val="24"/>
        </w:rPr>
        <w:t xml:space="preserve"> rule are under the first item, “tariff filings and any related compliance filings”.  Currently, pursuant to sections 154.103 and 154.106 of our regulations,  natural gas pipelines must have a system map in their tariffs on file with the Commission and, pursuant to section 284.12(a)(1)(v),  on the tariff section of their websites.  In order to reduce regulatory burden on these pipel</w:t>
      </w:r>
      <w:r w:rsidR="002150E1">
        <w:rPr>
          <w:rFonts w:ascii="Times New Roman" w:hAnsi="Times New Roman" w:cs="Times New Roman"/>
          <w:sz w:val="24"/>
          <w:szCs w:val="24"/>
        </w:rPr>
        <w:t>ines, the Commission</w:t>
      </w:r>
      <w:r w:rsidRPr="00BD5331">
        <w:rPr>
          <w:rFonts w:ascii="Times New Roman" w:hAnsi="Times New Roman" w:cs="Times New Roman"/>
          <w:sz w:val="24"/>
          <w:szCs w:val="24"/>
        </w:rPr>
        <w:t xml:space="preserve"> eliminate</w:t>
      </w:r>
      <w:r w:rsidR="002150E1">
        <w:rPr>
          <w:rFonts w:ascii="Times New Roman" w:hAnsi="Times New Roman" w:cs="Times New Roman"/>
          <w:sz w:val="24"/>
          <w:szCs w:val="24"/>
        </w:rPr>
        <w:t>s</w:t>
      </w:r>
      <w:r w:rsidRPr="00BD5331">
        <w:rPr>
          <w:rFonts w:ascii="Times New Roman" w:hAnsi="Times New Roman" w:cs="Times New Roman"/>
          <w:sz w:val="24"/>
          <w:szCs w:val="24"/>
        </w:rPr>
        <w:t xml:space="preserve"> the requirement that natural gas pipelines have a system map on file with the Commission but retain the </w:t>
      </w:r>
      <w:r w:rsidRPr="00BD5331">
        <w:rPr>
          <w:rFonts w:ascii="Times New Roman" w:hAnsi="Times New Roman" w:cs="Times New Roman"/>
          <w:sz w:val="24"/>
          <w:szCs w:val="24"/>
        </w:rPr>
        <w:lastRenderedPageBreak/>
        <w:t xml:space="preserve">requirement to post the system map on their websites.  In order to promote transparency, the Commission proposes going from an annual to a quarterly deadline for updating pipeline maps.  </w:t>
      </w:r>
    </w:p>
    <w:p w14:paraId="6CB0990E" w14:textId="77777777" w:rsidR="00BD5331" w:rsidRPr="00BD5331" w:rsidRDefault="00BD5331" w:rsidP="00BD5331">
      <w:pPr>
        <w:spacing w:after="0"/>
        <w:rPr>
          <w:rFonts w:ascii="Times New Roman" w:hAnsi="Times New Roman" w:cs="Times New Roman"/>
          <w:sz w:val="24"/>
          <w:szCs w:val="24"/>
        </w:rPr>
      </w:pPr>
    </w:p>
    <w:p w14:paraId="4DEC9004" w14:textId="77777777" w:rsidR="00BD5331" w:rsidRPr="00BD5331"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The following paragraphs provide further background on the FERC-545 collection.</w:t>
      </w:r>
    </w:p>
    <w:p w14:paraId="075DD2E2" w14:textId="77777777" w:rsidR="00BD5331" w:rsidRPr="00BD5331" w:rsidRDefault="00BD5331" w:rsidP="00BD5331">
      <w:pPr>
        <w:spacing w:after="0"/>
        <w:rPr>
          <w:rFonts w:ascii="Times New Roman" w:hAnsi="Times New Roman" w:cs="Times New Roman"/>
          <w:sz w:val="24"/>
          <w:szCs w:val="24"/>
        </w:rPr>
      </w:pPr>
    </w:p>
    <w:p w14:paraId="356FCB05" w14:textId="5C3CC4F4" w:rsidR="00BD5331" w:rsidRPr="00BD5331"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FERC-545, Gas Pipeline Rates: Rate Change Non-F</w:t>
      </w:r>
      <w:r w:rsidR="0059048C">
        <w:rPr>
          <w:rFonts w:ascii="Times New Roman" w:hAnsi="Times New Roman" w:cs="Times New Roman"/>
          <w:sz w:val="24"/>
          <w:szCs w:val="24"/>
        </w:rPr>
        <w:t>ormal is required to implement S</w:t>
      </w:r>
      <w:r w:rsidRPr="00BD5331">
        <w:rPr>
          <w:rFonts w:ascii="Times New Roman" w:hAnsi="Times New Roman" w:cs="Times New Roman"/>
          <w:sz w:val="24"/>
          <w:szCs w:val="24"/>
        </w:rPr>
        <w:t>ections 4, 5, and 16 of the Natura</w:t>
      </w:r>
      <w:r w:rsidR="009B638D">
        <w:rPr>
          <w:rFonts w:ascii="Times New Roman" w:hAnsi="Times New Roman" w:cs="Times New Roman"/>
          <w:sz w:val="24"/>
          <w:szCs w:val="24"/>
        </w:rPr>
        <w:t>l Gas Act (NGA), (15 USC 717c-</w:t>
      </w:r>
      <w:r w:rsidRPr="00BD5331">
        <w:rPr>
          <w:rFonts w:ascii="Times New Roman" w:hAnsi="Times New Roman" w:cs="Times New Roman"/>
          <w:sz w:val="24"/>
          <w:szCs w:val="24"/>
        </w:rPr>
        <w:t>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w:t>
      </w:r>
      <w:r w:rsidR="0059048C">
        <w:rPr>
          <w:rFonts w:ascii="Times New Roman" w:hAnsi="Times New Roman" w:cs="Times New Roman"/>
          <w:sz w:val="24"/>
          <w:szCs w:val="24"/>
        </w:rPr>
        <w:t xml:space="preserve"> subject to the requirement of Section 4(e) of the NGA.  Under S</w:t>
      </w:r>
      <w:r w:rsidRPr="00BD5331">
        <w:rPr>
          <w:rFonts w:ascii="Times New Roman" w:hAnsi="Times New Roman" w:cs="Times New Roman"/>
          <w:sz w:val="24"/>
          <w:szCs w:val="24"/>
        </w:rPr>
        <w:t>ection 4(e), the natural gas company bears the burden of proving that its proposed rates are just and reasonable.  On the other hand, when the Commission seeks to impose its own rate determination, it</w:t>
      </w:r>
      <w:r w:rsidR="0059048C">
        <w:rPr>
          <w:rFonts w:ascii="Times New Roman" w:hAnsi="Times New Roman" w:cs="Times New Roman"/>
          <w:sz w:val="24"/>
          <w:szCs w:val="24"/>
        </w:rPr>
        <w:t xml:space="preserve"> must do so in compliance with Section 5(a) of the NGA.  Under S</w:t>
      </w:r>
      <w:r w:rsidRPr="00BD5331">
        <w:rPr>
          <w:rFonts w:ascii="Times New Roman" w:hAnsi="Times New Roman" w:cs="Times New Roman"/>
          <w:sz w:val="24"/>
          <w:szCs w:val="24"/>
        </w:rPr>
        <w:t xml:space="preserve">ection 5, the Commission must first establish that its alternative rate proposal is both just and reasonable.  </w:t>
      </w:r>
    </w:p>
    <w:p w14:paraId="1CCC4B05" w14:textId="77777777" w:rsidR="00BD5331" w:rsidRPr="00BD5331" w:rsidRDefault="00BD5331" w:rsidP="00BD5331">
      <w:pPr>
        <w:spacing w:after="0"/>
        <w:rPr>
          <w:rFonts w:ascii="Times New Roman" w:hAnsi="Times New Roman" w:cs="Times New Roman"/>
          <w:sz w:val="24"/>
          <w:szCs w:val="24"/>
        </w:rPr>
      </w:pPr>
    </w:p>
    <w:p w14:paraId="6466CE3D" w14:textId="47CF508E" w:rsidR="00BD5331" w:rsidRPr="00BD5331"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Section 16 of the NGA states that the Commission “shall have the power to perform any and all acts, and to prescribe, issue, make, amend, and rescind such orders, rules, and regulations as it may find necessary or appropriate to carry out provisions o</w:t>
      </w:r>
      <w:r w:rsidR="0059048C">
        <w:rPr>
          <w:rFonts w:ascii="Times New Roman" w:hAnsi="Times New Roman" w:cs="Times New Roman"/>
          <w:sz w:val="24"/>
          <w:szCs w:val="24"/>
        </w:rPr>
        <w:t>f [the NGA].”  In other words, S</w:t>
      </w:r>
      <w:r w:rsidRPr="00BD5331">
        <w:rPr>
          <w:rFonts w:ascii="Times New Roman" w:hAnsi="Times New Roman" w:cs="Times New Roman"/>
          <w:sz w:val="24"/>
          <w:szCs w:val="24"/>
        </w:rPr>
        <w:t>ection 16 of the NGA grants the Commission the power to define accounting, technical and trade terms, prescribe forms, statements, declarations or reports and to prescribe rules and regulations.</w:t>
      </w:r>
    </w:p>
    <w:p w14:paraId="5702E8AE" w14:textId="77777777" w:rsidR="00BD5331" w:rsidRPr="00BD5331" w:rsidRDefault="00BD5331" w:rsidP="00BD5331">
      <w:pPr>
        <w:spacing w:after="0"/>
        <w:rPr>
          <w:rFonts w:ascii="Times New Roman" w:hAnsi="Times New Roman" w:cs="Times New Roman"/>
          <w:sz w:val="24"/>
          <w:szCs w:val="24"/>
        </w:rPr>
      </w:pPr>
    </w:p>
    <w:p w14:paraId="25A531FB" w14:textId="3D6D3016" w:rsidR="00BD5331" w:rsidRPr="00BD5331"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 xml:space="preserve">When a natural gas company decides to construct and operate a jurisdictional pipeline, it files an application with the Commission and receives a certificate of public convenience and necessity from FERC.  In the certificate proceeding, the Commission authorizes initial rates for the transportation service to be provided by the pipeline.  Initial rates are established for new services authorized in certificate proceedings and must meet a public convenience and necessity standard.  Initial rates established in the certificate proceeding remain in effect until the rates are changed by a Commission order.  After the pipeline has been in operation for a set period, it files a cost and revenue study justifying the continuation of its initial rates </w:t>
      </w:r>
      <w:r w:rsidR="0059048C">
        <w:rPr>
          <w:rFonts w:ascii="Times New Roman" w:hAnsi="Times New Roman" w:cs="Times New Roman"/>
          <w:sz w:val="24"/>
          <w:szCs w:val="24"/>
        </w:rPr>
        <w:t>or for a rate change under NGA S</w:t>
      </w:r>
      <w:r w:rsidRPr="00BD5331">
        <w:rPr>
          <w:rFonts w:ascii="Times New Roman" w:hAnsi="Times New Roman" w:cs="Times New Roman"/>
          <w:sz w:val="24"/>
          <w:szCs w:val="24"/>
        </w:rPr>
        <w:t xml:space="preserve">ection 4.  </w:t>
      </w:r>
    </w:p>
    <w:p w14:paraId="4D7B2AB2" w14:textId="77777777" w:rsidR="00BD5331" w:rsidRPr="00BD5331" w:rsidRDefault="00BD5331" w:rsidP="00BD5331">
      <w:pPr>
        <w:spacing w:after="0"/>
        <w:rPr>
          <w:rFonts w:ascii="Times New Roman" w:hAnsi="Times New Roman" w:cs="Times New Roman"/>
          <w:sz w:val="24"/>
          <w:szCs w:val="24"/>
        </w:rPr>
      </w:pPr>
    </w:p>
    <w:p w14:paraId="5E2A924B" w14:textId="7C3463BD" w:rsidR="00B837BA" w:rsidRDefault="00BD5331" w:rsidP="00BD5331">
      <w:pPr>
        <w:spacing w:after="0"/>
        <w:rPr>
          <w:rFonts w:ascii="Times New Roman" w:hAnsi="Times New Roman" w:cs="Times New Roman"/>
          <w:sz w:val="24"/>
          <w:szCs w:val="24"/>
        </w:rPr>
      </w:pPr>
      <w:r w:rsidRPr="00BD5331">
        <w:rPr>
          <w:rFonts w:ascii="Times New Roman" w:hAnsi="Times New Roman" w:cs="Times New Roman"/>
          <w:sz w:val="24"/>
          <w:szCs w:val="24"/>
        </w:rPr>
        <w:t xml:space="preserve">Pipelines adjust their tariffs to meet market and customer needs.  Commission review of these proposed changes is required to ensure rates remain just and reasonable and that services are not </w:t>
      </w:r>
      <w:r w:rsidRPr="00BD5331">
        <w:rPr>
          <w:rFonts w:ascii="Times New Roman" w:hAnsi="Times New Roman" w:cs="Times New Roman"/>
          <w:sz w:val="24"/>
          <w:szCs w:val="24"/>
        </w:rPr>
        <w:lastRenderedPageBreak/>
        <w:t>provided in an unduly or preferential manner.  The Comm</w:t>
      </w:r>
      <w:r w:rsidR="0059048C">
        <w:rPr>
          <w:rFonts w:ascii="Times New Roman" w:hAnsi="Times New Roman" w:cs="Times New Roman"/>
          <w:sz w:val="24"/>
          <w:szCs w:val="24"/>
        </w:rPr>
        <w:t>ission’s regulation in 18 CFR</w:t>
      </w:r>
      <w:r w:rsidRPr="00BD5331">
        <w:rPr>
          <w:rFonts w:ascii="Times New Roman" w:hAnsi="Times New Roman" w:cs="Times New Roman"/>
          <w:sz w:val="24"/>
          <w:szCs w:val="24"/>
        </w:rPr>
        <w:t xml:space="preserve"> Part 154, Subparts C, E and G specify what changes are allowed and the procedures for requesting Commission approval</w:t>
      </w:r>
      <w:r w:rsidR="005F0306">
        <w:rPr>
          <w:rFonts w:ascii="Times New Roman" w:hAnsi="Times New Roman" w:cs="Times New Roman"/>
          <w:sz w:val="24"/>
          <w:szCs w:val="24"/>
        </w:rPr>
        <w:t>.</w:t>
      </w:r>
    </w:p>
    <w:p w14:paraId="7DA5FEDD" w14:textId="77777777" w:rsidR="00EB3E6F" w:rsidRPr="00EB3E6F" w:rsidRDefault="00EB3E6F" w:rsidP="00EB3E6F">
      <w:pPr>
        <w:spacing w:after="0"/>
        <w:rPr>
          <w:rFonts w:ascii="Times New Roman" w:hAnsi="Times New Roman" w:cs="Times New Roman"/>
          <w:sz w:val="24"/>
          <w:szCs w:val="24"/>
        </w:rPr>
      </w:pPr>
    </w:p>
    <w:p w14:paraId="642F6157"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8B62698" w14:textId="77777777" w:rsidR="00EB3E6F" w:rsidRDefault="00EB3E6F" w:rsidP="00EB3E6F">
      <w:pPr>
        <w:spacing w:after="0"/>
        <w:rPr>
          <w:rFonts w:ascii="Times New Roman" w:hAnsi="Times New Roman" w:cs="Times New Roman"/>
          <w:sz w:val="24"/>
          <w:szCs w:val="24"/>
        </w:rPr>
      </w:pPr>
    </w:p>
    <w:p w14:paraId="44703B07" w14:textId="56F3E231" w:rsidR="008228CC" w:rsidRPr="008228CC" w:rsidRDefault="008228CC" w:rsidP="008228CC">
      <w:pPr>
        <w:spacing w:after="0"/>
        <w:rPr>
          <w:rFonts w:ascii="Times New Roman" w:hAnsi="Times New Roman" w:cs="Times New Roman"/>
          <w:sz w:val="24"/>
          <w:szCs w:val="24"/>
        </w:rPr>
      </w:pPr>
      <w:r w:rsidRPr="008228CC">
        <w:rPr>
          <w:rFonts w:ascii="Times New Roman" w:hAnsi="Times New Roman" w:cs="Times New Roman"/>
          <w:sz w:val="24"/>
          <w:szCs w:val="24"/>
        </w:rPr>
        <w:t>The Commission has required natural gas pipelines to include system maps in their tariffs since 1948.</w:t>
      </w:r>
      <w:r w:rsidRPr="008228CC">
        <w:rPr>
          <w:rFonts w:ascii="Times New Roman" w:hAnsi="Times New Roman" w:cs="Times New Roman"/>
          <w:b/>
          <w:sz w:val="24"/>
          <w:szCs w:val="24"/>
          <w:vertAlign w:val="superscript"/>
        </w:rPr>
        <w:footnoteReference w:id="1"/>
      </w:r>
      <w:r w:rsidRPr="008228CC">
        <w:rPr>
          <w:rFonts w:ascii="Times New Roman" w:hAnsi="Times New Roman" w:cs="Times New Roman"/>
          <w:sz w:val="24"/>
          <w:szCs w:val="24"/>
        </w:rPr>
        <w:t xml:space="preserve">  The Commission made clarifying modifications to the original regulation in 1995,</w:t>
      </w:r>
      <w:r w:rsidRPr="008228CC">
        <w:rPr>
          <w:rFonts w:ascii="Times New Roman" w:hAnsi="Times New Roman" w:cs="Times New Roman"/>
          <w:b/>
          <w:sz w:val="24"/>
          <w:szCs w:val="24"/>
          <w:vertAlign w:val="superscript"/>
        </w:rPr>
        <w:footnoteReference w:id="2"/>
      </w:r>
      <w:r w:rsidRPr="008228CC">
        <w:rPr>
          <w:rFonts w:ascii="Times New Roman" w:hAnsi="Times New Roman" w:cs="Times New Roman"/>
          <w:sz w:val="24"/>
          <w:szCs w:val="24"/>
        </w:rPr>
        <w:t xml:space="preserve"> and edits to accommodate electronic tariff filing (eTariff) in 2008.</w:t>
      </w:r>
      <w:r w:rsidRPr="008228CC">
        <w:rPr>
          <w:rFonts w:ascii="Times New Roman" w:hAnsi="Times New Roman" w:cs="Times New Roman"/>
          <w:b/>
          <w:sz w:val="24"/>
          <w:szCs w:val="24"/>
          <w:vertAlign w:val="superscript"/>
        </w:rPr>
        <w:footnoteReference w:id="3"/>
      </w:r>
      <w:r w:rsidRPr="008228CC">
        <w:rPr>
          <w:rFonts w:ascii="Times New Roman" w:hAnsi="Times New Roman" w:cs="Times New Roman"/>
          <w:sz w:val="24"/>
          <w:szCs w:val="24"/>
        </w:rPr>
        <w:t xml:space="preserve">  The current</w:t>
      </w:r>
      <w:r>
        <w:rPr>
          <w:rFonts w:ascii="Times New Roman" w:hAnsi="Times New Roman" w:cs="Times New Roman"/>
          <w:sz w:val="24"/>
          <w:szCs w:val="24"/>
        </w:rPr>
        <w:t>-day</w:t>
      </w:r>
      <w:r w:rsidR="009E4438">
        <w:rPr>
          <w:rFonts w:ascii="Times New Roman" w:hAnsi="Times New Roman" w:cs="Times New Roman"/>
          <w:sz w:val="24"/>
          <w:szCs w:val="24"/>
        </w:rPr>
        <w:t xml:space="preserve"> (before changes due to this final rule, RM14-21)</w:t>
      </w:r>
      <w:r>
        <w:rPr>
          <w:rFonts w:ascii="Times New Roman" w:hAnsi="Times New Roman" w:cs="Times New Roman"/>
          <w:sz w:val="24"/>
          <w:szCs w:val="24"/>
        </w:rPr>
        <w:t xml:space="preserve"> map publication regulation</w:t>
      </w:r>
      <w:r w:rsidRPr="008228CC">
        <w:rPr>
          <w:rFonts w:ascii="Times New Roman" w:hAnsi="Times New Roman" w:cs="Times New Roman"/>
          <w:sz w:val="24"/>
          <w:szCs w:val="24"/>
        </w:rPr>
        <w:t xml:space="preserve"> </w:t>
      </w:r>
      <w:r>
        <w:rPr>
          <w:rFonts w:ascii="Times New Roman" w:hAnsi="Times New Roman" w:cs="Times New Roman"/>
          <w:sz w:val="24"/>
          <w:szCs w:val="24"/>
        </w:rPr>
        <w:t>(18 CFR 154.106)</w:t>
      </w:r>
      <w:r w:rsidRPr="008228CC">
        <w:rPr>
          <w:rFonts w:ascii="Times New Roman" w:hAnsi="Times New Roman" w:cs="Times New Roman"/>
          <w:sz w:val="24"/>
          <w:szCs w:val="24"/>
        </w:rPr>
        <w:t xml:space="preserve"> states:</w:t>
      </w:r>
    </w:p>
    <w:p w14:paraId="20954606" w14:textId="77777777" w:rsidR="008228CC" w:rsidRPr="008228CC" w:rsidRDefault="008228CC" w:rsidP="008228CC">
      <w:pPr>
        <w:numPr>
          <w:ilvl w:val="1"/>
          <w:numId w:val="9"/>
        </w:numPr>
        <w:spacing w:after="0"/>
        <w:rPr>
          <w:rFonts w:ascii="Times New Roman" w:hAnsi="Times New Roman" w:cs="Times New Roman"/>
          <w:sz w:val="24"/>
          <w:szCs w:val="24"/>
        </w:rPr>
      </w:pPr>
      <w:r w:rsidRPr="008228CC">
        <w:rPr>
          <w:rFonts w:ascii="Times New Roman" w:hAnsi="Times New Roman" w:cs="Times New Roman"/>
          <w:sz w:val="24"/>
          <w:szCs w:val="24"/>
        </w:rPr>
        <w:t>The map must show the general geographic location of the company’s principal pipeline facilities and of the points at which service is rendered under the tariff.  The boundaries of any rate zones or rate areas must be shown and the areas or zones identified.  The entire system should be displayed on a single map.  In addition, a separate map should be provided for each zone.</w:t>
      </w:r>
    </w:p>
    <w:p w14:paraId="19AC1CCA" w14:textId="77777777" w:rsidR="008228CC" w:rsidRPr="008228CC" w:rsidRDefault="008228CC" w:rsidP="008228CC">
      <w:pPr>
        <w:numPr>
          <w:ilvl w:val="1"/>
          <w:numId w:val="9"/>
        </w:numPr>
        <w:spacing w:after="0"/>
        <w:rPr>
          <w:rFonts w:ascii="Times New Roman" w:hAnsi="Times New Roman" w:cs="Times New Roman"/>
          <w:sz w:val="24"/>
          <w:szCs w:val="24"/>
        </w:rPr>
      </w:pPr>
      <w:r w:rsidRPr="008228CC">
        <w:rPr>
          <w:rFonts w:ascii="Times New Roman" w:hAnsi="Times New Roman" w:cs="Times New Roman"/>
          <w:sz w:val="24"/>
          <w:szCs w:val="24"/>
        </w:rPr>
        <w:t>[Reserved]</w:t>
      </w:r>
    </w:p>
    <w:p w14:paraId="7AD9253B" w14:textId="77777777" w:rsidR="008228CC" w:rsidRDefault="008228CC" w:rsidP="008228CC">
      <w:pPr>
        <w:numPr>
          <w:ilvl w:val="1"/>
          <w:numId w:val="9"/>
        </w:numPr>
        <w:spacing w:after="0"/>
        <w:rPr>
          <w:rFonts w:ascii="Times New Roman" w:hAnsi="Times New Roman" w:cs="Times New Roman"/>
          <w:sz w:val="24"/>
          <w:szCs w:val="24"/>
        </w:rPr>
      </w:pPr>
      <w:r w:rsidRPr="008228CC">
        <w:rPr>
          <w:rFonts w:ascii="Times New Roman" w:hAnsi="Times New Roman" w:cs="Times New Roman"/>
          <w:sz w:val="24"/>
          <w:szCs w:val="24"/>
        </w:rPr>
        <w:t>The map must be revised to reflect any major changes. The revised map must be filed no later than April 30 of the calendar year after the major change.</w:t>
      </w:r>
      <w:r w:rsidRPr="008228CC">
        <w:rPr>
          <w:rFonts w:ascii="Times New Roman" w:hAnsi="Times New Roman" w:cs="Times New Roman"/>
          <w:b/>
          <w:sz w:val="24"/>
          <w:szCs w:val="24"/>
          <w:vertAlign w:val="superscript"/>
        </w:rPr>
        <w:footnoteReference w:id="4"/>
      </w:r>
    </w:p>
    <w:p w14:paraId="2CECB7D3" w14:textId="77777777" w:rsidR="009B638D" w:rsidRPr="008228CC" w:rsidRDefault="009B638D" w:rsidP="009B638D">
      <w:pPr>
        <w:spacing w:after="0"/>
        <w:rPr>
          <w:rFonts w:ascii="Times New Roman" w:hAnsi="Times New Roman" w:cs="Times New Roman"/>
          <w:sz w:val="24"/>
          <w:szCs w:val="24"/>
        </w:rPr>
      </w:pPr>
    </w:p>
    <w:p w14:paraId="77763CF2" w14:textId="77777777" w:rsidR="008228CC" w:rsidRPr="008228CC" w:rsidRDefault="008228CC" w:rsidP="008228CC">
      <w:pPr>
        <w:spacing w:after="0"/>
        <w:rPr>
          <w:rFonts w:ascii="Times New Roman" w:hAnsi="Times New Roman" w:cs="Times New Roman"/>
          <w:sz w:val="24"/>
          <w:szCs w:val="24"/>
        </w:rPr>
      </w:pPr>
      <w:r w:rsidRPr="008228CC">
        <w:rPr>
          <w:rFonts w:ascii="Times New Roman" w:hAnsi="Times New Roman" w:cs="Times New Roman"/>
          <w:sz w:val="24"/>
          <w:szCs w:val="24"/>
        </w:rPr>
        <w:t>As with other parts of tariffs, pipeline system maps must be filed with the Commission solely in electronic format.  Order No. 714 required that all natural gas pipeline tariffs and tariff revisions, including those concerning system maps, be filed electronically according to a set of standards developed in conjunction with the North American Energy Standards Board (NAESB).</w:t>
      </w:r>
      <w:r w:rsidRPr="008228CC">
        <w:rPr>
          <w:rFonts w:ascii="Times New Roman" w:hAnsi="Times New Roman" w:cs="Times New Roman"/>
          <w:b/>
          <w:sz w:val="24"/>
          <w:szCs w:val="24"/>
          <w:vertAlign w:val="superscript"/>
        </w:rPr>
        <w:footnoteReference w:id="5"/>
      </w:r>
      <w:r w:rsidRPr="008228CC">
        <w:rPr>
          <w:rFonts w:ascii="Times New Roman" w:hAnsi="Times New Roman" w:cs="Times New Roman"/>
          <w:sz w:val="24"/>
          <w:szCs w:val="24"/>
        </w:rPr>
        <w:t xml:space="preserve">  Moreover, under NAESB Wholesale Gas Quadrant Standard 4.3.23, and as incorporated by reference in section 284.12(a)(1)(v) of the Commission’s regulations,</w:t>
      </w:r>
      <w:r w:rsidRPr="008228CC">
        <w:rPr>
          <w:rFonts w:ascii="Times New Roman" w:hAnsi="Times New Roman" w:cs="Times New Roman"/>
          <w:b/>
          <w:sz w:val="24"/>
          <w:szCs w:val="24"/>
          <w:vertAlign w:val="superscript"/>
        </w:rPr>
        <w:footnoteReference w:id="6"/>
      </w:r>
      <w:r w:rsidRPr="008228CC">
        <w:rPr>
          <w:rFonts w:ascii="Times New Roman" w:hAnsi="Times New Roman" w:cs="Times New Roman"/>
          <w:sz w:val="24"/>
          <w:szCs w:val="24"/>
        </w:rPr>
        <w:t xml:space="preserve"> each pipeline must display its entire tariff (including the map) on its website.  Pipeline system maps, however, are often created using specialized software, and can be densely populated with data.  These factors have created constraints in the ability of pipelines to file maps as part of their electronically filed tariffs.  For example, eTariff limits the size of all individual tariff records to 10 megabytes.</w:t>
      </w:r>
      <w:r w:rsidRPr="008228CC">
        <w:rPr>
          <w:rFonts w:ascii="Times New Roman" w:hAnsi="Times New Roman" w:cs="Times New Roman"/>
          <w:b/>
          <w:sz w:val="24"/>
          <w:szCs w:val="24"/>
          <w:vertAlign w:val="superscript"/>
        </w:rPr>
        <w:footnoteReference w:id="7"/>
      </w:r>
      <w:r w:rsidRPr="008228CC">
        <w:rPr>
          <w:rFonts w:ascii="Times New Roman" w:hAnsi="Times New Roman" w:cs="Times New Roman"/>
          <w:sz w:val="24"/>
          <w:szCs w:val="24"/>
        </w:rPr>
        <w:t xml:space="preserve">  </w:t>
      </w:r>
      <w:r w:rsidRPr="008228CC">
        <w:rPr>
          <w:rFonts w:ascii="Times New Roman" w:hAnsi="Times New Roman" w:cs="Times New Roman"/>
          <w:sz w:val="24"/>
          <w:szCs w:val="24"/>
        </w:rPr>
        <w:lastRenderedPageBreak/>
        <w:t>Further, system maps may only be filed in one of two electronic formats, RTF or PDF.</w:t>
      </w:r>
      <w:r w:rsidRPr="008228CC">
        <w:rPr>
          <w:rFonts w:ascii="Times New Roman" w:hAnsi="Times New Roman" w:cs="Times New Roman"/>
          <w:b/>
          <w:sz w:val="24"/>
          <w:szCs w:val="24"/>
          <w:vertAlign w:val="superscript"/>
        </w:rPr>
        <w:footnoteReference w:id="8"/>
      </w:r>
      <w:r w:rsidRPr="008228CC">
        <w:rPr>
          <w:rFonts w:ascii="Times New Roman" w:hAnsi="Times New Roman" w:cs="Times New Roman"/>
          <w:sz w:val="24"/>
          <w:szCs w:val="24"/>
        </w:rPr>
        <w:t xml:space="preserve">  In practice, it is technically difficult to create and file a map in RTF.  Further, pipelines have informed Commission Staff that converting their maps to a small-size PDF often compels them to reduce the quality of the maps.</w:t>
      </w:r>
    </w:p>
    <w:p w14:paraId="0E0CFB24" w14:textId="77777777" w:rsidR="008228CC" w:rsidRPr="008228CC" w:rsidRDefault="008228CC" w:rsidP="008228CC">
      <w:pPr>
        <w:spacing w:after="0"/>
        <w:rPr>
          <w:rFonts w:ascii="Times New Roman" w:hAnsi="Times New Roman" w:cs="Times New Roman"/>
          <w:sz w:val="24"/>
          <w:szCs w:val="24"/>
        </w:rPr>
      </w:pPr>
    </w:p>
    <w:p w14:paraId="230B44DC" w14:textId="36D9EF19" w:rsidR="008228CC" w:rsidRPr="008228CC" w:rsidRDefault="008228CC" w:rsidP="008228CC">
      <w:pPr>
        <w:spacing w:after="0"/>
        <w:rPr>
          <w:rFonts w:ascii="Times New Roman" w:hAnsi="Times New Roman" w:cs="Times New Roman"/>
          <w:sz w:val="24"/>
          <w:szCs w:val="24"/>
        </w:rPr>
      </w:pPr>
      <w:r w:rsidRPr="008228CC">
        <w:rPr>
          <w:rFonts w:ascii="Times New Roman" w:hAnsi="Times New Roman" w:cs="Times New Roman"/>
          <w:sz w:val="24"/>
          <w:szCs w:val="24"/>
        </w:rPr>
        <w:t xml:space="preserve">As noted, the current regulation requires the filing of an updated map </w:t>
      </w:r>
      <w:r w:rsidR="009C3578">
        <w:rPr>
          <w:rFonts w:ascii="Times New Roman" w:hAnsi="Times New Roman" w:cs="Times New Roman"/>
          <w:sz w:val="24"/>
          <w:szCs w:val="24"/>
        </w:rPr>
        <w:t>only if there is a major change</w:t>
      </w:r>
      <w:r w:rsidRPr="008228CC">
        <w:rPr>
          <w:rFonts w:ascii="Times New Roman" w:hAnsi="Times New Roman" w:cs="Times New Roman"/>
          <w:sz w:val="24"/>
          <w:szCs w:val="24"/>
        </w:rPr>
        <w:t xml:space="preserve"> and</w:t>
      </w:r>
      <w:r w:rsidR="009C3578">
        <w:rPr>
          <w:rFonts w:ascii="Times New Roman" w:hAnsi="Times New Roman" w:cs="Times New Roman"/>
          <w:sz w:val="24"/>
          <w:szCs w:val="24"/>
        </w:rPr>
        <w:t>,</w:t>
      </w:r>
      <w:r w:rsidRPr="008228CC">
        <w:rPr>
          <w:rFonts w:ascii="Times New Roman" w:hAnsi="Times New Roman" w:cs="Times New Roman"/>
          <w:sz w:val="24"/>
          <w:szCs w:val="24"/>
        </w:rPr>
        <w:t xml:space="preserve"> thus</w:t>
      </w:r>
      <w:r w:rsidR="009C3578">
        <w:rPr>
          <w:rFonts w:ascii="Times New Roman" w:hAnsi="Times New Roman" w:cs="Times New Roman"/>
          <w:sz w:val="24"/>
          <w:szCs w:val="24"/>
        </w:rPr>
        <w:t>,</w:t>
      </w:r>
      <w:r w:rsidRPr="008228CC">
        <w:rPr>
          <w:rFonts w:ascii="Times New Roman" w:hAnsi="Times New Roman" w:cs="Times New Roman"/>
          <w:sz w:val="24"/>
          <w:szCs w:val="24"/>
        </w:rPr>
        <w:t xml:space="preserve"> not all pipelines have major changes requiring such a filing every year.  Over the past three years, the Commission received an average of 21 filings per year tha</w:t>
      </w:r>
      <w:r w:rsidR="009C3578">
        <w:rPr>
          <w:rFonts w:ascii="Times New Roman" w:hAnsi="Times New Roman" w:cs="Times New Roman"/>
          <w:sz w:val="24"/>
          <w:szCs w:val="24"/>
        </w:rPr>
        <w:t>t were exclusively pursuant to S</w:t>
      </w:r>
      <w:r w:rsidRPr="008228CC">
        <w:rPr>
          <w:rFonts w:ascii="Times New Roman" w:hAnsi="Times New Roman" w:cs="Times New Roman"/>
          <w:sz w:val="24"/>
          <w:szCs w:val="24"/>
        </w:rPr>
        <w:t>ection 154.106.  Additionally, pipelines sometimes file system maps intermittently throughout the year as part of more general tariff filings.</w:t>
      </w:r>
    </w:p>
    <w:p w14:paraId="025D68EB" w14:textId="77777777" w:rsidR="008228CC" w:rsidRPr="008228CC" w:rsidRDefault="008228CC" w:rsidP="008228CC">
      <w:pPr>
        <w:spacing w:after="0"/>
        <w:rPr>
          <w:rFonts w:ascii="Times New Roman" w:hAnsi="Times New Roman" w:cs="Times New Roman"/>
          <w:sz w:val="24"/>
          <w:szCs w:val="24"/>
        </w:rPr>
      </w:pPr>
    </w:p>
    <w:p w14:paraId="548EAD4D" w14:textId="77777777" w:rsidR="008228CC" w:rsidRPr="008228CC" w:rsidRDefault="008228CC" w:rsidP="008228CC">
      <w:pPr>
        <w:spacing w:after="0"/>
        <w:rPr>
          <w:rFonts w:ascii="Times New Roman" w:hAnsi="Times New Roman" w:cs="Times New Roman"/>
          <w:sz w:val="24"/>
          <w:szCs w:val="24"/>
        </w:rPr>
      </w:pPr>
      <w:r w:rsidRPr="008228CC">
        <w:rPr>
          <w:rFonts w:ascii="Times New Roman" w:hAnsi="Times New Roman" w:cs="Times New Roman"/>
          <w:sz w:val="24"/>
          <w:szCs w:val="24"/>
        </w:rPr>
        <w:t>The following paragraphs provide additional background on the FERC-545 requirements.</w:t>
      </w:r>
    </w:p>
    <w:p w14:paraId="009B4A15" w14:textId="77777777" w:rsidR="008228CC" w:rsidRPr="008228CC" w:rsidRDefault="008228CC" w:rsidP="008228CC">
      <w:pPr>
        <w:spacing w:after="0"/>
        <w:rPr>
          <w:rFonts w:ascii="Times New Roman" w:hAnsi="Times New Roman" w:cs="Times New Roman"/>
          <w:sz w:val="24"/>
          <w:szCs w:val="24"/>
        </w:rPr>
      </w:pPr>
    </w:p>
    <w:p w14:paraId="6075A958" w14:textId="5B527A4C" w:rsidR="008228CC" w:rsidRPr="008228CC" w:rsidRDefault="008228CC" w:rsidP="008228CC">
      <w:pPr>
        <w:spacing w:after="0"/>
        <w:rPr>
          <w:rFonts w:ascii="Times New Roman" w:hAnsi="Times New Roman" w:cs="Times New Roman"/>
          <w:sz w:val="24"/>
          <w:szCs w:val="24"/>
        </w:rPr>
      </w:pPr>
      <w:r w:rsidRPr="008228CC">
        <w:rPr>
          <w:rFonts w:ascii="Times New Roman" w:hAnsi="Times New Roman" w:cs="Times New Roman"/>
          <w:sz w:val="24"/>
          <w:szCs w:val="24"/>
        </w:rPr>
        <w:t>The Commission reviews the FERC-545 materia</w:t>
      </w:r>
      <w:r w:rsidR="009C3578">
        <w:rPr>
          <w:rFonts w:ascii="Times New Roman" w:hAnsi="Times New Roman" w:cs="Times New Roman"/>
          <w:sz w:val="24"/>
          <w:szCs w:val="24"/>
        </w:rPr>
        <w:t>ls to determine whether approved</w:t>
      </w:r>
      <w:r w:rsidRPr="008228CC">
        <w:rPr>
          <w:rFonts w:ascii="Times New Roman" w:hAnsi="Times New Roman" w:cs="Times New Roman"/>
          <w:sz w:val="24"/>
          <w:szCs w:val="24"/>
        </w:rPr>
        <w:t xml:space="preserve"> rates are just and reasonable.  The Commission uses the FERC-545 information to monitor rates related to jurisdictional transportation, natural gas storage, and unbundled sales activities of jurisdictional companies.  In addition to fulfilling the Commission’s obligations under the NGA, the FERC-545 enables the Commission to monitor the activities and evaluate transactions of the natural gas industry to ensure competitiveness and improved efficiency of the industry’s operations.  In summary, the Commission uses the FERC-545 information to (1) ensure adequate customer protections under section 4(f) of the NGA; (2) review rate and tariff changes by natural gas companies for the transportation </w:t>
      </w:r>
      <w:r w:rsidR="00484ECE">
        <w:rPr>
          <w:rFonts w:ascii="Times New Roman" w:hAnsi="Times New Roman" w:cs="Times New Roman"/>
          <w:sz w:val="24"/>
          <w:szCs w:val="24"/>
        </w:rPr>
        <w:t xml:space="preserve">and </w:t>
      </w:r>
      <w:r w:rsidR="00484ECE" w:rsidRPr="008228CC">
        <w:rPr>
          <w:rFonts w:ascii="Times New Roman" w:hAnsi="Times New Roman" w:cs="Times New Roman"/>
          <w:sz w:val="24"/>
          <w:szCs w:val="24"/>
        </w:rPr>
        <w:t xml:space="preserve">storage </w:t>
      </w:r>
      <w:r w:rsidRPr="008228CC">
        <w:rPr>
          <w:rFonts w:ascii="Times New Roman" w:hAnsi="Times New Roman" w:cs="Times New Roman"/>
          <w:sz w:val="24"/>
          <w:szCs w:val="24"/>
        </w:rPr>
        <w:t>of natural gas; (3) provide general industry oversight; and (4) supplement documentation during its audits process.</w:t>
      </w:r>
    </w:p>
    <w:p w14:paraId="1CEE8B22" w14:textId="77777777" w:rsidR="008228CC" w:rsidRPr="008228CC" w:rsidRDefault="008228CC" w:rsidP="008228CC">
      <w:pPr>
        <w:spacing w:after="0"/>
        <w:rPr>
          <w:rFonts w:ascii="Times New Roman" w:hAnsi="Times New Roman" w:cs="Times New Roman"/>
          <w:sz w:val="24"/>
          <w:szCs w:val="24"/>
        </w:rPr>
      </w:pPr>
    </w:p>
    <w:p w14:paraId="40AD652F" w14:textId="065C6774" w:rsidR="003410FA" w:rsidRDefault="008228CC" w:rsidP="008228CC">
      <w:pPr>
        <w:spacing w:after="0"/>
        <w:rPr>
          <w:rFonts w:ascii="Times New Roman" w:hAnsi="Times New Roman" w:cs="Times New Roman"/>
          <w:sz w:val="24"/>
          <w:szCs w:val="24"/>
        </w:rPr>
      </w:pPr>
      <w:r w:rsidRPr="008228CC">
        <w:rPr>
          <w:rFonts w:ascii="Times New Roman" w:hAnsi="Times New Roman" w:cs="Times New Roman"/>
          <w:sz w:val="24"/>
          <w:szCs w:val="24"/>
        </w:rPr>
        <w:t>Failure to collect this information would prevent the Commission from monitoring and evaluating the rates and operations of interstate natural gas pipelines and would hinder the implementation of statutory requirements that natural gas rates be just and reasonable.  It would also prevent pipelines and their customers from modifying rates and tariffs to respond to market and economic dynamics</w:t>
      </w:r>
      <w:r w:rsidR="003410FA">
        <w:rPr>
          <w:rFonts w:ascii="Times New Roman" w:hAnsi="Times New Roman" w:cs="Times New Roman"/>
          <w:sz w:val="24"/>
          <w:szCs w:val="24"/>
        </w:rPr>
        <w:t>.</w:t>
      </w:r>
    </w:p>
    <w:p w14:paraId="172F65F7" w14:textId="77777777" w:rsidR="004276A5" w:rsidRPr="00EB3E6F" w:rsidRDefault="004276A5" w:rsidP="004276A5">
      <w:pPr>
        <w:spacing w:after="0"/>
        <w:rPr>
          <w:rFonts w:ascii="Times New Roman" w:hAnsi="Times New Roman" w:cs="Times New Roman"/>
          <w:sz w:val="24"/>
          <w:szCs w:val="24"/>
        </w:rPr>
      </w:pPr>
    </w:p>
    <w:p w14:paraId="106770AD"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B5A5C4F" w14:textId="77777777" w:rsidR="00EB3E6F" w:rsidRDefault="00EB3E6F" w:rsidP="00EB3E6F">
      <w:pPr>
        <w:spacing w:after="0"/>
        <w:rPr>
          <w:rFonts w:ascii="Times New Roman" w:hAnsi="Times New Roman" w:cs="Times New Roman"/>
          <w:sz w:val="24"/>
          <w:szCs w:val="24"/>
        </w:rPr>
      </w:pPr>
    </w:p>
    <w:p w14:paraId="7BD52397" w14:textId="3E1D2888" w:rsidR="009E4438" w:rsidRDefault="009C3578" w:rsidP="0045480C">
      <w:pPr>
        <w:spacing w:after="0"/>
        <w:rPr>
          <w:rFonts w:ascii="Times New Roman" w:hAnsi="Times New Roman" w:cs="Times New Roman"/>
          <w:sz w:val="24"/>
          <w:szCs w:val="24"/>
        </w:rPr>
      </w:pPr>
      <w:r>
        <w:rPr>
          <w:rFonts w:ascii="Times New Roman" w:hAnsi="Times New Roman" w:cs="Times New Roman"/>
          <w:sz w:val="24"/>
          <w:szCs w:val="24"/>
        </w:rPr>
        <w:lastRenderedPageBreak/>
        <w:t>The changes in the final rule</w:t>
      </w:r>
      <w:r w:rsidRPr="009C3578">
        <w:rPr>
          <w:rFonts w:ascii="Times New Roman" w:hAnsi="Times New Roman" w:cs="Times New Roman"/>
          <w:sz w:val="24"/>
          <w:szCs w:val="24"/>
        </w:rPr>
        <w:t xml:space="preserve"> will discontinue the requirement for pipelines to file pipeline maps as part of their tariffs.  Inherent in this change is the recognition that the eTariff format is not well suited to pipeline maps.  Posting its map on its website allows a company to use the format best suited to a clear presentation</w:t>
      </w:r>
      <w:r w:rsidR="004F24E5">
        <w:rPr>
          <w:rFonts w:ascii="Times New Roman" w:hAnsi="Times New Roman" w:cs="Times New Roman"/>
          <w:sz w:val="24"/>
          <w:szCs w:val="24"/>
        </w:rPr>
        <w:t xml:space="preserve"> and prevent the omission of useful data.</w:t>
      </w:r>
      <w:r w:rsidR="009E4438">
        <w:rPr>
          <w:rFonts w:ascii="Times New Roman" w:hAnsi="Times New Roman" w:cs="Times New Roman"/>
          <w:sz w:val="24"/>
          <w:szCs w:val="24"/>
        </w:rPr>
        <w:t xml:space="preserve">  The remainder of the FERC-545 filings will remain </w:t>
      </w:r>
      <w:r w:rsidR="0031759D">
        <w:rPr>
          <w:rFonts w:ascii="Times New Roman" w:hAnsi="Times New Roman" w:cs="Times New Roman"/>
          <w:sz w:val="24"/>
          <w:szCs w:val="24"/>
        </w:rPr>
        <w:t>filed within the eTariff system.</w:t>
      </w:r>
    </w:p>
    <w:p w14:paraId="45FA13B3" w14:textId="77777777" w:rsidR="00466C57" w:rsidRPr="00EB3E6F" w:rsidRDefault="00466C57" w:rsidP="00EB3E6F">
      <w:pPr>
        <w:spacing w:after="0"/>
        <w:rPr>
          <w:rFonts w:ascii="Times New Roman" w:hAnsi="Times New Roman" w:cs="Times New Roman"/>
          <w:sz w:val="24"/>
          <w:szCs w:val="24"/>
        </w:rPr>
      </w:pPr>
    </w:p>
    <w:p w14:paraId="25D2856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1854B648" w14:textId="77777777" w:rsidR="00EB3E6F" w:rsidRDefault="00EB3E6F" w:rsidP="00EB3E6F">
      <w:pPr>
        <w:spacing w:after="0"/>
        <w:rPr>
          <w:rFonts w:ascii="Times New Roman" w:hAnsi="Times New Roman" w:cs="Times New Roman"/>
          <w:sz w:val="24"/>
          <w:szCs w:val="24"/>
        </w:rPr>
      </w:pPr>
    </w:p>
    <w:p w14:paraId="304880EA" w14:textId="014A9410" w:rsidR="004F24E5" w:rsidRPr="004F24E5" w:rsidRDefault="004F24E5" w:rsidP="004F24E5">
      <w:pPr>
        <w:spacing w:after="0"/>
        <w:rPr>
          <w:rFonts w:ascii="Times New Roman" w:hAnsi="Times New Roman" w:cs="Times New Roman"/>
          <w:sz w:val="24"/>
          <w:szCs w:val="24"/>
        </w:rPr>
      </w:pPr>
      <w:r w:rsidRPr="004F24E5">
        <w:rPr>
          <w:rFonts w:ascii="Times New Roman" w:hAnsi="Times New Roman" w:cs="Times New Roman"/>
          <w:sz w:val="24"/>
          <w:szCs w:val="24"/>
        </w:rPr>
        <w:t>As noted, current regulations require pipelines to submit maps to the Commission and to publish them</w:t>
      </w:r>
      <w:r>
        <w:rPr>
          <w:rFonts w:ascii="Times New Roman" w:hAnsi="Times New Roman" w:cs="Times New Roman"/>
          <w:sz w:val="24"/>
          <w:szCs w:val="24"/>
        </w:rPr>
        <w:t xml:space="preserve"> on their website.  The final rule </w:t>
      </w:r>
      <w:r w:rsidRPr="004F24E5">
        <w:rPr>
          <w:rFonts w:ascii="Times New Roman" w:hAnsi="Times New Roman" w:cs="Times New Roman"/>
          <w:sz w:val="24"/>
          <w:szCs w:val="24"/>
        </w:rPr>
        <w:t>eliminates the requirement to submit maps as part of tariff filings which would eliminate duplication of the pipeline’s effort.</w:t>
      </w:r>
    </w:p>
    <w:p w14:paraId="624117CD" w14:textId="77777777" w:rsidR="00466C57" w:rsidRPr="00EB3E6F" w:rsidRDefault="00466C57" w:rsidP="00EB3E6F">
      <w:pPr>
        <w:spacing w:after="0"/>
        <w:rPr>
          <w:rFonts w:ascii="Times New Roman" w:hAnsi="Times New Roman" w:cs="Times New Roman"/>
          <w:sz w:val="24"/>
          <w:szCs w:val="24"/>
        </w:rPr>
      </w:pPr>
    </w:p>
    <w:p w14:paraId="763AFAB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4FB17096" w14:textId="77777777" w:rsidR="00EB3E6F" w:rsidRDefault="00EB3E6F" w:rsidP="00EB3E6F">
      <w:pPr>
        <w:spacing w:after="0"/>
        <w:rPr>
          <w:rFonts w:ascii="Times New Roman" w:hAnsi="Times New Roman" w:cs="Times New Roman"/>
          <w:sz w:val="24"/>
          <w:szCs w:val="24"/>
        </w:rPr>
      </w:pPr>
    </w:p>
    <w:p w14:paraId="0B7AABEA" w14:textId="66C929A4" w:rsidR="007F28DE" w:rsidRDefault="007F28DE" w:rsidP="00EB3E6F">
      <w:pPr>
        <w:spacing w:after="0"/>
        <w:rPr>
          <w:rFonts w:ascii="Times New Roman" w:hAnsi="Times New Roman" w:cs="Times New Roman"/>
          <w:sz w:val="24"/>
          <w:szCs w:val="24"/>
        </w:rPr>
      </w:pPr>
      <w:r>
        <w:rPr>
          <w:rFonts w:ascii="Times New Roman" w:hAnsi="Times New Roman" w:cs="Times New Roman"/>
          <w:sz w:val="24"/>
          <w:szCs w:val="24"/>
        </w:rPr>
        <w:t>The final rule eliminates a filing requirement and reduces burden over the long term for all pipelines including ones that are classified as small</w:t>
      </w:r>
      <w:r w:rsidRPr="007F28DE">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w:t>
      </w:r>
    </w:p>
    <w:p w14:paraId="7C21F29E" w14:textId="77777777" w:rsidR="007F28DE" w:rsidRDefault="007F28DE" w:rsidP="00EB3E6F">
      <w:pPr>
        <w:spacing w:after="0"/>
        <w:rPr>
          <w:rFonts w:ascii="Times New Roman" w:hAnsi="Times New Roman" w:cs="Times New Roman"/>
          <w:sz w:val="24"/>
          <w:szCs w:val="24"/>
        </w:rPr>
      </w:pPr>
    </w:p>
    <w:p w14:paraId="6538FB30" w14:textId="65B2AC11" w:rsidR="00EB3E6F" w:rsidRDefault="007F28DE" w:rsidP="00EB3E6F">
      <w:pPr>
        <w:spacing w:after="0"/>
        <w:rPr>
          <w:rFonts w:ascii="Times New Roman" w:hAnsi="Times New Roman" w:cs="Times New Roman"/>
          <w:sz w:val="24"/>
          <w:szCs w:val="24"/>
        </w:rPr>
      </w:pPr>
      <w:r>
        <w:rPr>
          <w:rFonts w:ascii="Times New Roman" w:hAnsi="Times New Roman" w:cs="Times New Roman"/>
          <w:sz w:val="24"/>
          <w:szCs w:val="24"/>
        </w:rPr>
        <w:t xml:space="preserve">There are approximately 165 entities that are potential respondents subject to the filing requirements. </w:t>
      </w:r>
      <w:r w:rsidR="001348AC" w:rsidRPr="001348AC">
        <w:rPr>
          <w:rFonts w:ascii="Times New Roman" w:hAnsi="Times New Roman" w:cs="Times New Roman"/>
          <w:sz w:val="24"/>
          <w:szCs w:val="24"/>
        </w:rPr>
        <w:t>FE</w:t>
      </w:r>
      <w:r w:rsidR="00736047">
        <w:rPr>
          <w:rFonts w:ascii="Times New Roman" w:hAnsi="Times New Roman" w:cs="Times New Roman"/>
          <w:sz w:val="24"/>
          <w:szCs w:val="24"/>
        </w:rPr>
        <w:t xml:space="preserve">RC estimates that there </w:t>
      </w:r>
      <w:r w:rsidR="004F24E5">
        <w:rPr>
          <w:rFonts w:ascii="Times New Roman" w:hAnsi="Times New Roman" w:cs="Times New Roman"/>
          <w:sz w:val="24"/>
          <w:szCs w:val="24"/>
        </w:rPr>
        <w:t>are 70</w:t>
      </w:r>
      <w:r w:rsidR="00CF759C" w:rsidRPr="00CF759C">
        <w:rPr>
          <w:rStyle w:val="FootnoteReference"/>
          <w:rFonts w:ascii="Times New Roman" w:hAnsi="Times New Roman" w:cs="Times New Roman"/>
          <w:sz w:val="24"/>
          <w:szCs w:val="24"/>
          <w:vertAlign w:val="superscript"/>
        </w:rPr>
        <w:footnoteReference w:id="10"/>
      </w:r>
      <w:r w:rsidR="00736047">
        <w:rPr>
          <w:rFonts w:ascii="Times New Roman" w:hAnsi="Times New Roman" w:cs="Times New Roman"/>
          <w:sz w:val="24"/>
          <w:szCs w:val="24"/>
        </w:rPr>
        <w:t xml:space="preserve"> small entities</w:t>
      </w:r>
      <w:r>
        <w:rPr>
          <w:rFonts w:ascii="Times New Roman" w:hAnsi="Times New Roman" w:cs="Times New Roman"/>
          <w:sz w:val="24"/>
          <w:szCs w:val="24"/>
        </w:rPr>
        <w:t xml:space="preserve"> applicable to this rule. These small entities </w:t>
      </w:r>
      <w:r w:rsidR="008B1B99">
        <w:rPr>
          <w:rFonts w:ascii="Times New Roman" w:hAnsi="Times New Roman" w:cs="Times New Roman"/>
          <w:sz w:val="24"/>
          <w:szCs w:val="24"/>
        </w:rPr>
        <w:t>should see a burden/cost savings related to avoiding filing requirements related to system maps.</w:t>
      </w:r>
    </w:p>
    <w:p w14:paraId="56095254" w14:textId="77777777" w:rsidR="001348AC" w:rsidRPr="00EB3E6F" w:rsidRDefault="001348AC" w:rsidP="00EB3E6F">
      <w:pPr>
        <w:spacing w:after="0"/>
        <w:rPr>
          <w:rFonts w:ascii="Times New Roman" w:hAnsi="Times New Roman" w:cs="Times New Roman"/>
          <w:sz w:val="24"/>
          <w:szCs w:val="24"/>
        </w:rPr>
      </w:pPr>
    </w:p>
    <w:p w14:paraId="3EA83DF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75D8086" w14:textId="77777777" w:rsidR="00EB3E6F" w:rsidRDefault="00EB3E6F" w:rsidP="00EB3E6F">
      <w:pPr>
        <w:spacing w:after="0"/>
        <w:rPr>
          <w:rFonts w:ascii="Times New Roman" w:hAnsi="Times New Roman" w:cs="Times New Roman"/>
          <w:sz w:val="24"/>
          <w:szCs w:val="24"/>
        </w:rPr>
      </w:pPr>
    </w:p>
    <w:p w14:paraId="320707C3" w14:textId="7B86CD2E" w:rsidR="008B1B99" w:rsidRPr="008B1B99" w:rsidRDefault="008B1B99" w:rsidP="008B1B99">
      <w:pPr>
        <w:spacing w:after="0"/>
        <w:rPr>
          <w:rFonts w:ascii="Times New Roman" w:hAnsi="Times New Roman" w:cs="Times New Roman"/>
          <w:sz w:val="24"/>
          <w:szCs w:val="24"/>
        </w:rPr>
      </w:pPr>
      <w:r>
        <w:rPr>
          <w:rFonts w:ascii="Times New Roman" w:hAnsi="Times New Roman" w:cs="Times New Roman"/>
          <w:sz w:val="24"/>
          <w:szCs w:val="24"/>
        </w:rPr>
        <w:t>The final rule</w:t>
      </w:r>
      <w:r w:rsidRPr="008B1B99">
        <w:rPr>
          <w:rFonts w:ascii="Times New Roman" w:hAnsi="Times New Roman" w:cs="Times New Roman"/>
          <w:sz w:val="24"/>
          <w:szCs w:val="24"/>
        </w:rPr>
        <w:t xml:space="preserve"> would require pipelines to post a new version of their map by </w:t>
      </w:r>
      <w:r>
        <w:rPr>
          <w:rFonts w:ascii="Times New Roman" w:hAnsi="Times New Roman" w:cs="Times New Roman"/>
          <w:sz w:val="24"/>
          <w:szCs w:val="24"/>
        </w:rPr>
        <w:t>the end of the calendar quarter</w:t>
      </w:r>
      <w:r w:rsidRPr="008B1B99">
        <w:rPr>
          <w:rFonts w:ascii="Times New Roman" w:hAnsi="Times New Roman" w:cs="Times New Roman"/>
          <w:sz w:val="24"/>
          <w:szCs w:val="24"/>
        </w:rPr>
        <w:t xml:space="preserve"> if they have made major changes during that quarter.  If a pipeline does not make major changes to its map</w:t>
      </w:r>
      <w:r>
        <w:rPr>
          <w:rFonts w:ascii="Times New Roman" w:hAnsi="Times New Roman" w:cs="Times New Roman"/>
          <w:sz w:val="24"/>
          <w:szCs w:val="24"/>
        </w:rPr>
        <w:t>,</w:t>
      </w:r>
      <w:r w:rsidRPr="008B1B99">
        <w:rPr>
          <w:rFonts w:ascii="Times New Roman" w:hAnsi="Times New Roman" w:cs="Times New Roman"/>
          <w:sz w:val="24"/>
          <w:szCs w:val="24"/>
        </w:rPr>
        <w:t xml:space="preserve"> it is not required to do anything with its map.  Requiring pipelines to update their maps in the calendar quarter that they implement a major system change will enhance transparency by ensuring that shippers have an accurate depiction of the pipeline in a timelier manner.  If the pipelines updated their maps less frequently</w:t>
      </w:r>
      <w:r>
        <w:rPr>
          <w:rFonts w:ascii="Times New Roman" w:hAnsi="Times New Roman" w:cs="Times New Roman"/>
          <w:sz w:val="24"/>
          <w:szCs w:val="24"/>
        </w:rPr>
        <w:t>,</w:t>
      </w:r>
      <w:r w:rsidRPr="008B1B99">
        <w:rPr>
          <w:rFonts w:ascii="Times New Roman" w:hAnsi="Times New Roman" w:cs="Times New Roman"/>
          <w:sz w:val="24"/>
          <w:szCs w:val="24"/>
        </w:rPr>
        <w:t xml:space="preserve"> it could lead to out of date maps on pipeline websites.  </w:t>
      </w:r>
    </w:p>
    <w:p w14:paraId="52C1A373" w14:textId="77777777" w:rsidR="008B1B99" w:rsidRPr="008B1B99" w:rsidRDefault="008B1B99" w:rsidP="008B1B99">
      <w:pPr>
        <w:spacing w:after="0"/>
        <w:rPr>
          <w:rFonts w:ascii="Times New Roman" w:hAnsi="Times New Roman" w:cs="Times New Roman"/>
          <w:sz w:val="24"/>
          <w:szCs w:val="24"/>
        </w:rPr>
      </w:pPr>
    </w:p>
    <w:p w14:paraId="68FA1521" w14:textId="5719124B" w:rsidR="00937A89" w:rsidRDefault="008B1B99" w:rsidP="00937A89">
      <w:pPr>
        <w:spacing w:after="0"/>
        <w:rPr>
          <w:rFonts w:ascii="Times New Roman" w:hAnsi="Times New Roman" w:cs="Times New Roman"/>
          <w:sz w:val="24"/>
          <w:szCs w:val="24"/>
        </w:rPr>
      </w:pPr>
      <w:r>
        <w:rPr>
          <w:rFonts w:ascii="Times New Roman" w:hAnsi="Times New Roman" w:cs="Times New Roman"/>
          <w:sz w:val="24"/>
          <w:szCs w:val="24"/>
        </w:rPr>
        <w:lastRenderedPageBreak/>
        <w:t>The final</w:t>
      </w:r>
      <w:r w:rsidRPr="008B1B99">
        <w:rPr>
          <w:rFonts w:ascii="Times New Roman" w:hAnsi="Times New Roman" w:cs="Times New Roman"/>
          <w:sz w:val="24"/>
          <w:szCs w:val="24"/>
        </w:rPr>
        <w:t xml:space="preserve"> rule would also require respondents to make a one-time tariff filing in order to provide the URL for the posted map.</w:t>
      </w:r>
    </w:p>
    <w:p w14:paraId="785D811B" w14:textId="77777777" w:rsidR="00297631" w:rsidRPr="00EB3E6F" w:rsidRDefault="00297631" w:rsidP="00EB3E6F">
      <w:pPr>
        <w:spacing w:after="0"/>
        <w:rPr>
          <w:rFonts w:ascii="Times New Roman" w:hAnsi="Times New Roman" w:cs="Times New Roman"/>
          <w:sz w:val="24"/>
          <w:szCs w:val="24"/>
        </w:rPr>
      </w:pPr>
    </w:p>
    <w:p w14:paraId="362EF1B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1FB5AD6" w14:textId="77777777" w:rsidR="00EB3E6F" w:rsidRDefault="00EB3E6F" w:rsidP="00EB3E6F">
      <w:pPr>
        <w:spacing w:after="0"/>
        <w:rPr>
          <w:rFonts w:ascii="Times New Roman" w:hAnsi="Times New Roman" w:cs="Times New Roman"/>
          <w:sz w:val="24"/>
          <w:szCs w:val="24"/>
        </w:rPr>
      </w:pPr>
    </w:p>
    <w:p w14:paraId="2975E212" w14:textId="22D4A414" w:rsidR="008D310F" w:rsidRDefault="00AE6631" w:rsidP="00EB3E6F">
      <w:pPr>
        <w:spacing w:after="0"/>
        <w:rPr>
          <w:rFonts w:ascii="Times New Roman" w:hAnsi="Times New Roman"/>
          <w:sz w:val="24"/>
          <w:szCs w:val="24"/>
        </w:rPr>
      </w:pPr>
      <w:r>
        <w:rPr>
          <w:rFonts w:ascii="Times New Roman" w:hAnsi="Times New Roman"/>
          <w:sz w:val="24"/>
          <w:szCs w:val="24"/>
        </w:rPr>
        <w:t>The FERC-545 information collection (as it’s affected by the RM14-21 Final Rule) contains no special circumstances.</w:t>
      </w:r>
    </w:p>
    <w:p w14:paraId="12DC2719" w14:textId="77777777" w:rsidR="00AE6631" w:rsidRPr="00EB3E6F" w:rsidRDefault="00AE6631" w:rsidP="00EB3E6F">
      <w:pPr>
        <w:spacing w:after="0"/>
        <w:rPr>
          <w:rFonts w:ascii="Times New Roman" w:hAnsi="Times New Roman" w:cs="Times New Roman"/>
          <w:sz w:val="24"/>
          <w:szCs w:val="24"/>
        </w:rPr>
      </w:pPr>
    </w:p>
    <w:p w14:paraId="2A6EA62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1E9094C" w14:textId="77777777" w:rsidR="00EB3E6F" w:rsidRDefault="00EB3E6F" w:rsidP="00EB3E6F">
      <w:pPr>
        <w:spacing w:after="0"/>
        <w:rPr>
          <w:rFonts w:ascii="Times New Roman" w:hAnsi="Times New Roman" w:cs="Times New Roman"/>
          <w:sz w:val="24"/>
          <w:szCs w:val="24"/>
        </w:rPr>
      </w:pPr>
    </w:p>
    <w:p w14:paraId="432C02BD" w14:textId="062AA15C" w:rsidR="00C84380" w:rsidRDefault="00743ED6" w:rsidP="00EB3E6F">
      <w:pPr>
        <w:spacing w:after="0"/>
        <w:rPr>
          <w:rFonts w:ascii="Times New Roman" w:hAnsi="Times New Roman" w:cs="Times New Roman"/>
          <w:sz w:val="24"/>
          <w:szCs w:val="24"/>
        </w:rPr>
      </w:pPr>
      <w:r>
        <w:rPr>
          <w:rFonts w:ascii="Times New Roman" w:hAnsi="Times New Roman" w:cs="Times New Roman"/>
          <w:sz w:val="24"/>
          <w:szCs w:val="24"/>
        </w:rPr>
        <w:t>E</w:t>
      </w:r>
      <w:r w:rsidR="002C1BFB" w:rsidRPr="002C1BFB">
        <w:rPr>
          <w:rFonts w:ascii="Times New Roman" w:hAnsi="Times New Roman" w:cs="Times New Roman"/>
          <w:sz w:val="24"/>
          <w:szCs w:val="24"/>
        </w:rPr>
        <w:t>ach FERC rulemaking (both proposed and final rules) is pu</w:t>
      </w:r>
      <w:r w:rsidR="002C1BFB">
        <w:rPr>
          <w:rFonts w:ascii="Times New Roman" w:hAnsi="Times New Roman" w:cs="Times New Roman"/>
          <w:sz w:val="24"/>
          <w:szCs w:val="24"/>
        </w:rPr>
        <w:t>blished in the Federal Register</w:t>
      </w:r>
      <w:r w:rsidR="002C1BFB"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w:t>
      </w:r>
      <w:r w:rsidR="008926B3">
        <w:rPr>
          <w:rFonts w:ascii="Times New Roman" w:hAnsi="Times New Roman" w:cs="Times New Roman"/>
          <w:sz w:val="24"/>
          <w:szCs w:val="24"/>
        </w:rPr>
        <w:t>ollection of data.  The final</w:t>
      </w:r>
      <w:r w:rsidR="002C1BFB" w:rsidRPr="002C1BFB">
        <w:rPr>
          <w:rFonts w:ascii="Times New Roman" w:hAnsi="Times New Roman" w:cs="Times New Roman"/>
          <w:sz w:val="24"/>
          <w:szCs w:val="24"/>
        </w:rPr>
        <w:t xml:space="preserve"> rule was published</w:t>
      </w:r>
      <w:r w:rsidR="002C1BFB">
        <w:rPr>
          <w:rFonts w:ascii="Times New Roman" w:hAnsi="Times New Roman" w:cs="Times New Roman"/>
          <w:sz w:val="24"/>
          <w:szCs w:val="24"/>
        </w:rPr>
        <w:t xml:space="preserve"> in the Federal Register </w:t>
      </w:r>
      <w:r w:rsidR="002C1BFB" w:rsidRPr="00236674">
        <w:rPr>
          <w:rFonts w:ascii="Times New Roman" w:hAnsi="Times New Roman" w:cs="Times New Roman"/>
          <w:sz w:val="24"/>
          <w:szCs w:val="24"/>
        </w:rPr>
        <w:t xml:space="preserve">on </w:t>
      </w:r>
      <w:r w:rsidR="00E76F56">
        <w:rPr>
          <w:rFonts w:ascii="Times New Roman" w:hAnsi="Times New Roman" w:cs="Times New Roman"/>
          <w:sz w:val="24"/>
          <w:szCs w:val="24"/>
        </w:rPr>
        <w:t>12</w:t>
      </w:r>
      <w:r w:rsidR="005E2146" w:rsidRPr="00236674">
        <w:rPr>
          <w:rFonts w:ascii="Times New Roman" w:hAnsi="Times New Roman" w:cs="Times New Roman"/>
          <w:sz w:val="24"/>
          <w:szCs w:val="24"/>
        </w:rPr>
        <w:t>/</w:t>
      </w:r>
      <w:r w:rsidR="00AE6631">
        <w:rPr>
          <w:rFonts w:ascii="Times New Roman" w:hAnsi="Times New Roman" w:cs="Times New Roman"/>
          <w:sz w:val="24"/>
          <w:szCs w:val="24"/>
        </w:rPr>
        <w:t>17</w:t>
      </w:r>
      <w:r w:rsidR="00236674" w:rsidRPr="00236674">
        <w:rPr>
          <w:rFonts w:ascii="Times New Roman" w:hAnsi="Times New Roman" w:cs="Times New Roman"/>
          <w:sz w:val="24"/>
          <w:szCs w:val="24"/>
        </w:rPr>
        <w:t xml:space="preserve">/2014 (79 FR </w:t>
      </w:r>
      <w:r w:rsidR="00E76F56">
        <w:rPr>
          <w:rFonts w:ascii="Times New Roman" w:hAnsi="Times New Roman" w:cs="Times New Roman"/>
          <w:sz w:val="24"/>
          <w:szCs w:val="24"/>
        </w:rPr>
        <w:t>75047</w:t>
      </w:r>
      <w:r w:rsidR="002C1BFB" w:rsidRPr="00236674">
        <w:rPr>
          <w:rFonts w:ascii="Times New Roman" w:hAnsi="Times New Roman" w:cs="Times New Roman"/>
          <w:sz w:val="24"/>
          <w:szCs w:val="24"/>
        </w:rPr>
        <w:t>).</w:t>
      </w:r>
    </w:p>
    <w:p w14:paraId="4EEC6AF0" w14:textId="77777777" w:rsidR="00C84380" w:rsidRDefault="00C84380" w:rsidP="00EB3E6F">
      <w:pPr>
        <w:spacing w:after="0"/>
        <w:rPr>
          <w:rFonts w:ascii="Times New Roman" w:hAnsi="Times New Roman" w:cs="Times New Roman"/>
          <w:sz w:val="24"/>
          <w:szCs w:val="24"/>
        </w:rPr>
      </w:pPr>
    </w:p>
    <w:p w14:paraId="14168E5D" w14:textId="2C7D018B" w:rsidR="00EB3E6F" w:rsidRPr="008926B3" w:rsidRDefault="009E4438" w:rsidP="00EB3E6F">
      <w:pPr>
        <w:spacing w:after="0"/>
        <w:rPr>
          <w:rFonts w:ascii="Times New Roman" w:hAnsi="Times New Roman" w:cs="Times New Roman"/>
          <w:sz w:val="24"/>
          <w:szCs w:val="24"/>
        </w:rPr>
      </w:pPr>
      <w:r>
        <w:rPr>
          <w:rFonts w:ascii="Times New Roman" w:hAnsi="Times New Roman" w:cs="Times New Roman"/>
          <w:sz w:val="24"/>
          <w:szCs w:val="24"/>
        </w:rPr>
        <w:t>At the NOPR stage, t</w:t>
      </w:r>
      <w:r w:rsidR="008926B3" w:rsidRPr="008926B3">
        <w:rPr>
          <w:rFonts w:ascii="Times New Roman" w:hAnsi="Times New Roman" w:cs="Times New Roman"/>
          <w:sz w:val="24"/>
          <w:szCs w:val="24"/>
        </w:rPr>
        <w:t>he Commission received comments from two interveners in the rulemaking process.  The Natural Gas Supply Association generally supported the rulemaking and did not specifically comment on the paperwork burden associated with the rule.  The Interstate Natural Gas Association of America (INGAA) stated it was concerned that the Commission’s proposal would move the current</w:t>
      </w:r>
      <w:r w:rsidR="008926B3">
        <w:rPr>
          <w:rFonts w:ascii="Times New Roman" w:hAnsi="Times New Roman" w:cs="Times New Roman"/>
          <w:sz w:val="24"/>
          <w:szCs w:val="24"/>
        </w:rPr>
        <w:t xml:space="preserve"> </w:t>
      </w:r>
      <w:r w:rsidR="008926B3" w:rsidRPr="008926B3">
        <w:rPr>
          <w:rFonts w:ascii="Times New Roman" w:hAnsi="Times New Roman" w:cs="Times New Roman"/>
          <w:sz w:val="24"/>
          <w:szCs w:val="24"/>
        </w:rPr>
        <w:t>requirement from an annual deadline to a more burdensome quarterly deadline.  INGAA stated that, as written, the regulation could put a pipeline easily in the position of missing the posting deadline and hence putting the pipeline in violation of the regulation.  INGAA specifically argued against the proposed requirement that a pipeline revise its system map(s) within the calendar</w:t>
      </w:r>
      <w:r w:rsidR="008926B3">
        <w:rPr>
          <w:rFonts w:ascii="Times New Roman" w:hAnsi="Times New Roman" w:cs="Times New Roman"/>
          <w:sz w:val="24"/>
          <w:szCs w:val="24"/>
        </w:rPr>
        <w:t xml:space="preserve"> </w:t>
      </w:r>
      <w:r w:rsidR="008926B3" w:rsidRPr="008926B3">
        <w:rPr>
          <w:rFonts w:ascii="Times New Roman" w:hAnsi="Times New Roman" w:cs="Times New Roman"/>
          <w:sz w:val="24"/>
          <w:szCs w:val="24"/>
        </w:rPr>
        <w:t>quarter of any major change.  The Commission responded by allowing the revision of the map in the calendar quarter following a major change to the pipeline system.  Otherwise, INGAA did not comment on the paperwork burden associated with the rule.</w:t>
      </w:r>
      <w:r w:rsidR="008D310F">
        <w:rPr>
          <w:rFonts w:ascii="Times New Roman" w:hAnsi="Times New Roman" w:cs="Times New Roman"/>
          <w:sz w:val="24"/>
          <w:szCs w:val="24"/>
        </w:rPr>
        <w:br/>
      </w:r>
    </w:p>
    <w:p w14:paraId="40605309"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4A5E6486" w14:textId="77777777" w:rsidR="00D80FBD" w:rsidRDefault="00D80FBD" w:rsidP="00D80FBD">
      <w:pPr>
        <w:spacing w:after="0"/>
        <w:rPr>
          <w:rFonts w:ascii="Times New Roman" w:hAnsi="Times New Roman" w:cs="Times New Roman"/>
          <w:sz w:val="24"/>
          <w:szCs w:val="24"/>
        </w:rPr>
      </w:pPr>
    </w:p>
    <w:p w14:paraId="224343DF"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098F77AA" w14:textId="77777777" w:rsidR="008D310F" w:rsidRPr="00D80FBD" w:rsidRDefault="008D310F" w:rsidP="00D80FBD">
      <w:pPr>
        <w:spacing w:after="0"/>
        <w:rPr>
          <w:rFonts w:ascii="Times New Roman" w:hAnsi="Times New Roman" w:cs="Times New Roman"/>
          <w:sz w:val="24"/>
          <w:szCs w:val="24"/>
        </w:rPr>
      </w:pPr>
    </w:p>
    <w:p w14:paraId="5FEE6A5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87213D9" w14:textId="77777777" w:rsidR="00D80FBD" w:rsidRDefault="00D80FBD" w:rsidP="00D80FBD">
      <w:pPr>
        <w:spacing w:after="0"/>
        <w:rPr>
          <w:rFonts w:ascii="Times New Roman" w:hAnsi="Times New Roman" w:cs="Times New Roman"/>
          <w:sz w:val="24"/>
          <w:szCs w:val="24"/>
        </w:rPr>
      </w:pPr>
    </w:p>
    <w:p w14:paraId="5CFF1A03" w14:textId="4306A539" w:rsidR="002C1BFB" w:rsidRDefault="00E76F56" w:rsidP="002C1BFB">
      <w:pPr>
        <w:spacing w:after="0"/>
        <w:rPr>
          <w:rFonts w:ascii="Times New Roman" w:hAnsi="Times New Roman" w:cs="Times New Roman"/>
          <w:sz w:val="24"/>
          <w:szCs w:val="24"/>
        </w:rPr>
      </w:pPr>
      <w:r w:rsidRPr="00E76F56">
        <w:rPr>
          <w:rFonts w:ascii="Times New Roman" w:hAnsi="Times New Roman" w:cs="Times New Roman"/>
          <w:sz w:val="24"/>
          <w:szCs w:val="24"/>
        </w:rPr>
        <w:lastRenderedPageBreak/>
        <w:t>The Commission generally does not consider the data provided in FERC-545 filings to be confidential.  The Commission considers specific requests for confidential treatment to the extent permitted by law under to 18 C.F.R. Section 388.112.</w:t>
      </w:r>
    </w:p>
    <w:p w14:paraId="4195D5EF" w14:textId="77777777" w:rsidR="008D310F" w:rsidRPr="00D80FBD" w:rsidRDefault="008D310F" w:rsidP="00D80FBD">
      <w:pPr>
        <w:spacing w:after="0"/>
        <w:rPr>
          <w:rFonts w:ascii="Times New Roman" w:hAnsi="Times New Roman" w:cs="Times New Roman"/>
          <w:sz w:val="24"/>
          <w:szCs w:val="24"/>
        </w:rPr>
      </w:pPr>
    </w:p>
    <w:p w14:paraId="2C3CFA6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3A60282D" w14:textId="77777777" w:rsidR="00D80FBD" w:rsidRDefault="00D80FBD" w:rsidP="00D80FBD">
      <w:pPr>
        <w:spacing w:after="0"/>
        <w:rPr>
          <w:rFonts w:ascii="Times New Roman" w:hAnsi="Times New Roman" w:cs="Times New Roman"/>
          <w:sz w:val="24"/>
          <w:szCs w:val="24"/>
        </w:rPr>
      </w:pPr>
    </w:p>
    <w:p w14:paraId="15F21480"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0309374A" w14:textId="77777777" w:rsidR="0074195A" w:rsidRPr="00D80FBD" w:rsidRDefault="0074195A" w:rsidP="00D80FBD">
      <w:pPr>
        <w:spacing w:after="0"/>
        <w:rPr>
          <w:rFonts w:ascii="Times New Roman" w:hAnsi="Times New Roman" w:cs="Times New Roman"/>
          <w:sz w:val="24"/>
          <w:szCs w:val="24"/>
        </w:rPr>
      </w:pPr>
    </w:p>
    <w:p w14:paraId="139ABB9F"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21C7CE9" w14:textId="77777777" w:rsidR="00D80FBD" w:rsidRDefault="00D80FBD" w:rsidP="00D80FBD">
      <w:pPr>
        <w:spacing w:after="0"/>
        <w:rPr>
          <w:rFonts w:ascii="Times New Roman" w:hAnsi="Times New Roman" w:cs="Times New Roman"/>
          <w:sz w:val="24"/>
          <w:szCs w:val="24"/>
        </w:rPr>
      </w:pPr>
    </w:p>
    <w:p w14:paraId="435C8A68" w14:textId="636010AA" w:rsidR="00720C5A" w:rsidRDefault="00E76F56" w:rsidP="00E954EE">
      <w:pPr>
        <w:spacing w:after="0"/>
        <w:rPr>
          <w:rFonts w:ascii="Times New Roman" w:hAnsi="Times New Roman" w:cs="Times New Roman"/>
          <w:sz w:val="24"/>
          <w:szCs w:val="24"/>
        </w:rPr>
      </w:pPr>
      <w:r w:rsidRPr="00E76F56">
        <w:rPr>
          <w:rFonts w:ascii="Times New Roman" w:hAnsi="Times New Roman" w:cs="Times New Roman"/>
          <w:sz w:val="24"/>
          <w:szCs w:val="24"/>
        </w:rPr>
        <w:t xml:space="preserve">The existing burden for the FERC-545 includes 161 respondents, approximately 2,151 responses annually, and 280,445 hours of total burden.  These hours are used for (1) tariff filings and any related compliance filings; (2) rate case filings and any related compliance filings; (3) informational reports; (4) negotiated rates (5) non-conforming agreement filings; and (6) NAESB Activity (tariff portion only). </w:t>
      </w:r>
    </w:p>
    <w:p w14:paraId="5528A20F" w14:textId="77777777" w:rsidR="00EA5C58" w:rsidRPr="00D80FBD" w:rsidRDefault="00EA5C58" w:rsidP="008D310F">
      <w:pPr>
        <w:spacing w:after="0"/>
        <w:rPr>
          <w:rFonts w:ascii="Times New Roman" w:hAnsi="Times New Roman" w:cs="Times New Roman"/>
          <w:sz w:val="24"/>
          <w:szCs w:val="24"/>
        </w:rPr>
      </w:pPr>
    </w:p>
    <w:p w14:paraId="12DDF803"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8804768" w14:textId="77777777" w:rsidR="00E636D7" w:rsidRDefault="00E636D7" w:rsidP="00E636D7">
      <w:pPr>
        <w:spacing w:after="0"/>
        <w:rPr>
          <w:rFonts w:ascii="Times New Roman" w:hAnsi="Times New Roman" w:cs="Times New Roman"/>
          <w:sz w:val="24"/>
          <w:szCs w:val="24"/>
        </w:rPr>
      </w:pPr>
    </w:p>
    <w:p w14:paraId="1C404317" w14:textId="690AFA05"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EC1A60">
        <w:rPr>
          <w:rFonts w:ascii="Times New Roman" w:hAnsi="Times New Roman" w:cs="Times New Roman"/>
          <w:sz w:val="24"/>
          <w:szCs w:val="24"/>
        </w:rPr>
        <w:t>the FERC-545</w:t>
      </w:r>
      <w:r w:rsidRPr="0074195A">
        <w:rPr>
          <w:rFonts w:ascii="Times New Roman" w:hAnsi="Times New Roman" w:cs="Times New Roman"/>
          <w:sz w:val="24"/>
          <w:szCs w:val="24"/>
        </w:rPr>
        <w:t>.</w:t>
      </w:r>
    </w:p>
    <w:p w14:paraId="685A88D1" w14:textId="77777777" w:rsidR="0074195A" w:rsidRPr="0074195A" w:rsidRDefault="0074195A" w:rsidP="0074195A">
      <w:pPr>
        <w:spacing w:after="0"/>
        <w:rPr>
          <w:rFonts w:ascii="Times New Roman" w:hAnsi="Times New Roman" w:cs="Times New Roman"/>
          <w:sz w:val="24"/>
          <w:szCs w:val="24"/>
        </w:rPr>
      </w:pPr>
    </w:p>
    <w:p w14:paraId="743FB45B" w14:textId="52B0F109"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EC1A60">
        <w:rPr>
          <w:rFonts w:ascii="Times New Roman" w:hAnsi="Times New Roman" w:cs="Times New Roman"/>
          <w:sz w:val="24"/>
          <w:szCs w:val="24"/>
        </w:rPr>
        <w:t>final</w:t>
      </w:r>
      <w:r w:rsidR="00AD16A3">
        <w:rPr>
          <w:rFonts w:ascii="Times New Roman" w:hAnsi="Times New Roman" w:cs="Times New Roman"/>
          <w:sz w:val="24"/>
          <w:szCs w:val="24"/>
        </w:rPr>
        <w:t xml:space="preserve">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 xml:space="preserve">described in </w:t>
      </w:r>
      <w:r w:rsidR="009E4438">
        <w:rPr>
          <w:rFonts w:ascii="Times New Roman" w:hAnsi="Times New Roman" w:cs="Times New Roman"/>
          <w:sz w:val="24"/>
          <w:szCs w:val="24"/>
        </w:rPr>
        <w:t>Question #</w:t>
      </w:r>
      <w:r w:rsidR="00DB58D2">
        <w:rPr>
          <w:rFonts w:ascii="Times New Roman" w:hAnsi="Times New Roman" w:cs="Times New Roman"/>
          <w:sz w:val="24"/>
          <w:szCs w:val="24"/>
        </w:rPr>
        <w:t>15.</w:t>
      </w:r>
    </w:p>
    <w:p w14:paraId="4AF6FF9E" w14:textId="77777777" w:rsidR="0074195A" w:rsidRPr="00E636D7" w:rsidRDefault="0074195A" w:rsidP="0074195A">
      <w:pPr>
        <w:spacing w:after="0"/>
        <w:rPr>
          <w:rFonts w:ascii="Times New Roman" w:hAnsi="Times New Roman" w:cs="Times New Roman"/>
          <w:sz w:val="24"/>
          <w:szCs w:val="24"/>
        </w:rPr>
      </w:pPr>
    </w:p>
    <w:p w14:paraId="00B93448"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5C176680" w14:textId="77777777" w:rsidR="00A276F5" w:rsidRDefault="00A276F5" w:rsidP="00A276F5">
      <w:pPr>
        <w:spacing w:after="0"/>
        <w:rPr>
          <w:rFonts w:ascii="Times New Roman" w:hAnsi="Times New Roman" w:cs="Times New Roman"/>
          <w:sz w:val="24"/>
          <w:szCs w:val="24"/>
        </w:rPr>
      </w:pPr>
    </w:p>
    <w:p w14:paraId="2159D86D" w14:textId="77777777" w:rsidR="00EC1A60" w:rsidRPr="00EC1A60" w:rsidRDefault="00EC1A60" w:rsidP="00EC1A60">
      <w:pPr>
        <w:spacing w:after="0"/>
        <w:rPr>
          <w:rFonts w:ascii="Times New Roman" w:hAnsi="Times New Roman"/>
          <w:sz w:val="24"/>
          <w:szCs w:val="24"/>
        </w:rPr>
      </w:pPr>
      <w:r w:rsidRPr="00EC1A60">
        <w:rPr>
          <w:rFonts w:ascii="Times New Roman" w:hAnsi="Times New Roman"/>
          <w:sz w:val="24"/>
          <w:szCs w:val="24"/>
        </w:rPr>
        <w:t xml:space="preserve">The current federal cost for this collection is $2,876,510.  </w:t>
      </w:r>
    </w:p>
    <w:p w14:paraId="0ED08D24" w14:textId="77777777" w:rsidR="00EC1A60" w:rsidRPr="00EC1A60" w:rsidRDefault="00EC1A60" w:rsidP="00EC1A60">
      <w:pPr>
        <w:spacing w:after="0"/>
        <w:rPr>
          <w:rFonts w:ascii="Times New Roman" w:hAnsi="Times New Roman"/>
          <w:sz w:val="24"/>
          <w:szCs w:val="24"/>
        </w:rPr>
      </w:pPr>
    </w:p>
    <w:p w14:paraId="71C352C0" w14:textId="691BC14E" w:rsidR="00EC1A60" w:rsidRPr="00EC1A60" w:rsidRDefault="00EC1A60" w:rsidP="00EC1A60">
      <w:pPr>
        <w:spacing w:after="0"/>
        <w:rPr>
          <w:rFonts w:ascii="Times New Roman" w:hAnsi="Times New Roman"/>
          <w:sz w:val="24"/>
          <w:szCs w:val="24"/>
        </w:rPr>
      </w:pPr>
      <w:r>
        <w:rPr>
          <w:rFonts w:ascii="Times New Roman" w:hAnsi="Times New Roman"/>
          <w:sz w:val="24"/>
          <w:szCs w:val="24"/>
        </w:rPr>
        <w:t>The final rule</w:t>
      </w:r>
      <w:r w:rsidRPr="00EC1A60">
        <w:rPr>
          <w:rFonts w:ascii="Times New Roman" w:hAnsi="Times New Roman"/>
          <w:sz w:val="24"/>
          <w:szCs w:val="24"/>
        </w:rPr>
        <w:t xml:space="preserve"> eliminates pipeline maps being filed with the Commission.  The Commission assumes that there will not be a material change in the federal cost </w:t>
      </w:r>
      <w:r w:rsidR="006F5844">
        <w:rPr>
          <w:rFonts w:ascii="Times New Roman" w:hAnsi="Times New Roman"/>
          <w:sz w:val="24"/>
          <w:szCs w:val="24"/>
        </w:rPr>
        <w:t xml:space="preserve">of analysis and processing of filings </w:t>
      </w:r>
      <w:r w:rsidRPr="00EC1A60">
        <w:rPr>
          <w:rFonts w:ascii="Times New Roman" w:hAnsi="Times New Roman"/>
          <w:sz w:val="24"/>
          <w:szCs w:val="24"/>
        </w:rPr>
        <w:t xml:space="preserve">as a result of the </w:t>
      </w:r>
      <w:r w:rsidR="009E4438">
        <w:rPr>
          <w:rFonts w:ascii="Times New Roman" w:hAnsi="Times New Roman"/>
          <w:sz w:val="24"/>
          <w:szCs w:val="24"/>
        </w:rPr>
        <w:t>final</w:t>
      </w:r>
      <w:r w:rsidRPr="00EC1A60">
        <w:rPr>
          <w:rFonts w:ascii="Times New Roman" w:hAnsi="Times New Roman"/>
          <w:sz w:val="24"/>
          <w:szCs w:val="24"/>
        </w:rPr>
        <w:t xml:space="preserve"> rule.</w:t>
      </w:r>
      <w:r w:rsidR="00F14579">
        <w:rPr>
          <w:rFonts w:ascii="Times New Roman" w:hAnsi="Times New Roman"/>
          <w:sz w:val="24"/>
          <w:szCs w:val="24"/>
        </w:rPr>
        <w:t xml:space="preserve">  The added federal burden due to the added </w:t>
      </w:r>
      <w:r w:rsidR="00AC0989">
        <w:rPr>
          <w:rFonts w:ascii="Times New Roman" w:hAnsi="Times New Roman"/>
          <w:sz w:val="24"/>
          <w:szCs w:val="24"/>
        </w:rPr>
        <w:t xml:space="preserve">one-time </w:t>
      </w:r>
      <w:r w:rsidR="00F14579">
        <w:rPr>
          <w:rFonts w:ascii="Times New Roman" w:hAnsi="Times New Roman"/>
          <w:sz w:val="24"/>
          <w:szCs w:val="24"/>
        </w:rPr>
        <w:t xml:space="preserve">tariff filings (Year 1) are offset by the </w:t>
      </w:r>
      <w:r w:rsidR="00AC0989">
        <w:rPr>
          <w:rFonts w:ascii="Times New Roman" w:hAnsi="Times New Roman"/>
          <w:sz w:val="24"/>
          <w:szCs w:val="24"/>
        </w:rPr>
        <w:t xml:space="preserve">federal </w:t>
      </w:r>
      <w:r w:rsidR="00F14579">
        <w:rPr>
          <w:rFonts w:ascii="Times New Roman" w:hAnsi="Times New Roman"/>
          <w:sz w:val="24"/>
          <w:szCs w:val="24"/>
        </w:rPr>
        <w:t>burden reductions in Years 2, 3, and beyond.</w:t>
      </w:r>
    </w:p>
    <w:p w14:paraId="6903BD6D"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0FEB290"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F86DD2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3DF2A37" w14:textId="4CBE5DA2" w:rsidR="00630A34" w:rsidRPr="00630A34" w:rsidRDefault="009F3A76" w:rsidP="00630A34">
            <w:pPr>
              <w:spacing w:after="0"/>
              <w:rPr>
                <w:rFonts w:ascii="Times New Roman" w:hAnsi="Times New Roman" w:cs="Times New Roman"/>
                <w:b/>
                <w:sz w:val="24"/>
                <w:szCs w:val="24"/>
              </w:rPr>
            </w:pPr>
            <w:r>
              <w:rPr>
                <w:rFonts w:ascii="Times New Roman" w:hAnsi="Times New Roman" w:cs="Times New Roman"/>
                <w:b/>
                <w:sz w:val="24"/>
                <w:szCs w:val="24"/>
              </w:rPr>
              <w:t xml:space="preserve">Change in </w:t>
            </w:r>
            <w:r w:rsidR="00630A34" w:rsidRPr="00630A34">
              <w:rPr>
                <w:rFonts w:ascii="Times New Roman" w:hAnsi="Times New Roman" w:cs="Times New Roman"/>
                <w:b/>
                <w:sz w:val="24"/>
                <w:szCs w:val="24"/>
              </w:rPr>
              <w:t>Number of Employees (FTE)</w:t>
            </w:r>
            <w:r>
              <w:rPr>
                <w:rFonts w:ascii="Times New Roman" w:hAnsi="Times New Roman" w:cs="Times New Roman"/>
                <w:b/>
                <w:sz w:val="24"/>
                <w:szCs w:val="24"/>
              </w:rPr>
              <w:t>, due to RM14-21</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3633BE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1DA60CC0"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36151262" w14:textId="497890B2" w:rsidR="00630A34" w:rsidRPr="00630A34" w:rsidRDefault="00EC1A60" w:rsidP="007E220F">
            <w:pPr>
              <w:spacing w:after="0"/>
              <w:rPr>
                <w:rFonts w:ascii="Times New Roman" w:hAnsi="Times New Roman" w:cs="Times New Roman"/>
                <w:sz w:val="24"/>
                <w:szCs w:val="24"/>
              </w:rPr>
            </w:pPr>
            <w:r>
              <w:rPr>
                <w:rFonts w:ascii="Times New Roman" w:hAnsi="Times New Roman" w:cs="Times New Roman"/>
                <w:sz w:val="24"/>
                <w:szCs w:val="24"/>
              </w:rPr>
              <w:t>FERC-545</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 xml:space="preserve">Analysis and </w:t>
            </w:r>
            <w:r w:rsidR="00630A34" w:rsidRPr="00630A34">
              <w:rPr>
                <w:rFonts w:ascii="Times New Roman" w:hAnsi="Times New Roman" w:cs="Times New Roman"/>
                <w:sz w:val="24"/>
                <w:szCs w:val="24"/>
              </w:rPr>
              <w:lastRenderedPageBreak/>
              <w:t>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616F0BCC"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lastRenderedPageBreak/>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7C2474E9"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0E347ECF" w14:textId="77777777" w:rsidTr="002C63E1">
        <w:tc>
          <w:tcPr>
            <w:tcW w:w="3182" w:type="dxa"/>
            <w:tcBorders>
              <w:top w:val="single" w:sz="4" w:space="0" w:color="auto"/>
              <w:left w:val="single" w:sz="4" w:space="0" w:color="auto"/>
              <w:bottom w:val="single" w:sz="4" w:space="0" w:color="auto"/>
              <w:right w:val="single" w:sz="4" w:space="0" w:color="auto"/>
            </w:tcBorders>
          </w:tcPr>
          <w:p w14:paraId="0643F034"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lastRenderedPageBreak/>
              <w:t>PRA</w:t>
            </w:r>
            <w:r w:rsidRPr="00630A34">
              <w:rPr>
                <w:rFonts w:ascii="Times New Roman" w:hAnsi="Times New Roman" w:cs="Times New Roman"/>
                <w:sz w:val="24"/>
                <w:szCs w:val="24"/>
                <w:vertAlign w:val="superscript"/>
              </w:rPr>
              <w:footnoteReference w:id="11"/>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7762B52F"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0CDB20E"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$5,092</w:t>
            </w:r>
          </w:p>
        </w:tc>
      </w:tr>
      <w:tr w:rsidR="00AD16A3" w:rsidRPr="00630A34" w14:paraId="47F994DA"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EF175C3"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603F73E8"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D4E82B7"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5,092</w:t>
            </w:r>
          </w:p>
        </w:tc>
      </w:tr>
    </w:tbl>
    <w:p w14:paraId="4CD0381A" w14:textId="77777777" w:rsidR="006B437C" w:rsidRPr="006B437C" w:rsidRDefault="006B437C" w:rsidP="006B437C">
      <w:pPr>
        <w:spacing w:after="0"/>
        <w:rPr>
          <w:rFonts w:ascii="Times New Roman" w:hAnsi="Times New Roman" w:cs="Times New Roman"/>
          <w:sz w:val="24"/>
          <w:szCs w:val="24"/>
        </w:rPr>
      </w:pPr>
    </w:p>
    <w:p w14:paraId="3BD70EA7" w14:textId="77777777" w:rsidR="006B437C" w:rsidRPr="00A276F5" w:rsidRDefault="006B437C" w:rsidP="006B437C">
      <w:pPr>
        <w:spacing w:after="0"/>
        <w:rPr>
          <w:rFonts w:ascii="Times New Roman" w:hAnsi="Times New Roman" w:cs="Times New Roman"/>
          <w:sz w:val="24"/>
          <w:szCs w:val="24"/>
        </w:rPr>
      </w:pPr>
    </w:p>
    <w:p w14:paraId="4459E307"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47674C86" w14:textId="77777777" w:rsidR="003316E0" w:rsidRPr="003316E0" w:rsidRDefault="003316E0" w:rsidP="003316E0">
      <w:pPr>
        <w:spacing w:after="0"/>
        <w:rPr>
          <w:rFonts w:ascii="Times New Roman" w:hAnsi="Times New Roman" w:cs="Times New Roman"/>
          <w:sz w:val="24"/>
          <w:szCs w:val="24"/>
        </w:rPr>
      </w:pPr>
    </w:p>
    <w:p w14:paraId="3C52683B" w14:textId="62BAFF69" w:rsidR="00DA06F4" w:rsidRDefault="00EC1A60" w:rsidP="003316E0">
      <w:pPr>
        <w:spacing w:after="0"/>
        <w:rPr>
          <w:rFonts w:ascii="Times New Roman" w:hAnsi="Times New Roman" w:cs="Times New Roman"/>
          <w:sz w:val="24"/>
          <w:szCs w:val="24"/>
        </w:rPr>
      </w:pPr>
      <w:r w:rsidRPr="00EC1A60">
        <w:rPr>
          <w:rFonts w:ascii="Times New Roman" w:hAnsi="Times New Roman" w:cs="Times New Roman"/>
          <w:sz w:val="24"/>
          <w:szCs w:val="24"/>
        </w:rPr>
        <w:t>The following burden estimates reflect the time necessary for respondents to update their t</w:t>
      </w:r>
      <w:r>
        <w:rPr>
          <w:rFonts w:ascii="Times New Roman" w:hAnsi="Times New Roman" w:cs="Times New Roman"/>
          <w:sz w:val="24"/>
          <w:szCs w:val="24"/>
        </w:rPr>
        <w:t>ariffs according to the final</w:t>
      </w:r>
      <w:r w:rsidRPr="00EC1A60">
        <w:rPr>
          <w:rFonts w:ascii="Times New Roman" w:hAnsi="Times New Roman" w:cs="Times New Roman"/>
          <w:sz w:val="24"/>
          <w:szCs w:val="24"/>
        </w:rPr>
        <w:t xml:space="preserve"> rule, as well as the burden reduction as respondents will no longer have to file system map adjustments.  Also, there is a small burden incr</w:t>
      </w:r>
      <w:r>
        <w:rPr>
          <w:rFonts w:ascii="Times New Roman" w:hAnsi="Times New Roman" w:cs="Times New Roman"/>
          <w:sz w:val="24"/>
          <w:szCs w:val="24"/>
        </w:rPr>
        <w:t>ease to account for the approved</w:t>
      </w:r>
      <w:r w:rsidRPr="00EC1A60">
        <w:rPr>
          <w:rFonts w:ascii="Times New Roman" w:hAnsi="Times New Roman" w:cs="Times New Roman"/>
          <w:sz w:val="24"/>
          <w:szCs w:val="24"/>
        </w:rPr>
        <w:t xml:space="preserve"> requirement that pipelines update their system maps on a more frequent basis than annually.  The Commission bases the estimated number of respondents on the number of Natural Gas Act jurisdictional companies with tariffs on file, accounting for companies that have waivers.  The Commission assumes that in the first year the only difference in burden for respondents is to make the one time tariff changes estimated at eight hours per respondent.  In each year, starting in the second, the Commission estimates that approximately 21 respondents per year will experience a four hour reduction in burden from no longer filing system map adjustments with the Commission.  Also starting in the second year, the Commission estimates that approximately four respondents will see an increase of four hours per year in order to update their maps more frequently.  The fol</w:t>
      </w:r>
      <w:r w:rsidR="00CE7D24">
        <w:rPr>
          <w:rFonts w:ascii="Times New Roman" w:hAnsi="Times New Roman" w:cs="Times New Roman"/>
          <w:sz w:val="24"/>
          <w:szCs w:val="24"/>
        </w:rPr>
        <w:t xml:space="preserve">lowing table shows the final </w:t>
      </w:r>
      <w:r w:rsidRPr="00EC1A60">
        <w:rPr>
          <w:rFonts w:ascii="Times New Roman" w:hAnsi="Times New Roman" w:cs="Times New Roman"/>
          <w:sz w:val="24"/>
          <w:szCs w:val="24"/>
        </w:rPr>
        <w:t>rule burden hour impact</w:t>
      </w:r>
      <w:r w:rsidR="0068681F" w:rsidRPr="00856C0A">
        <w:rPr>
          <w:rFonts w:ascii="Times New Roman" w:hAnsi="Times New Roman" w:cs="Times New Roman"/>
          <w:sz w:val="24"/>
          <w:szCs w:val="24"/>
        </w:rPr>
        <w:t>.</w:t>
      </w:r>
    </w:p>
    <w:p w14:paraId="77C1FB2F" w14:textId="77777777" w:rsidR="00C16A62" w:rsidRDefault="00C16A62" w:rsidP="003316E0">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3"/>
        <w:gridCol w:w="1451"/>
        <w:gridCol w:w="1443"/>
        <w:gridCol w:w="1342"/>
        <w:gridCol w:w="1441"/>
        <w:gridCol w:w="1162"/>
      </w:tblGrid>
      <w:tr w:rsidR="00C16A62" w:rsidRPr="009B638D" w14:paraId="5B9E9347" w14:textId="77777777" w:rsidTr="00130358">
        <w:trPr>
          <w:cantSplit/>
        </w:trPr>
        <w:tc>
          <w:tcPr>
            <w:tcW w:w="5000" w:type="pct"/>
            <w:gridSpan w:val="7"/>
            <w:tcBorders>
              <w:bottom w:val="single" w:sz="4" w:space="0" w:color="auto"/>
            </w:tcBorders>
            <w:shd w:val="clear" w:color="auto" w:fill="D9D9D9"/>
          </w:tcPr>
          <w:p w14:paraId="11FE15FF"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RM14-21-000 Final Rule</w:t>
            </w:r>
          </w:p>
        </w:tc>
      </w:tr>
      <w:tr w:rsidR="00C16A62" w:rsidRPr="009B638D" w14:paraId="4B6B5498" w14:textId="77777777" w:rsidTr="00B05B54">
        <w:trPr>
          <w:cantSplit/>
        </w:trPr>
        <w:tc>
          <w:tcPr>
            <w:tcW w:w="965" w:type="pct"/>
            <w:shd w:val="clear" w:color="auto" w:fill="D9D9D9"/>
          </w:tcPr>
          <w:p w14:paraId="6D84FB1C"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702" w:type="pct"/>
            <w:shd w:val="clear" w:color="auto" w:fill="D9D9D9"/>
            <w:vAlign w:val="bottom"/>
          </w:tcPr>
          <w:p w14:paraId="21A245BA"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Number of Respon</w:t>
            </w:r>
            <w:r w:rsidRPr="009B638D">
              <w:rPr>
                <w:rFonts w:ascii="Times New Roman" w:eastAsia="Calibri" w:hAnsi="Times New Roman" w:cs="Times New Roman"/>
                <w:b/>
                <w:sz w:val="24"/>
                <w:szCs w:val="24"/>
              </w:rPr>
              <w:softHyphen/>
              <w:t>dents</w:t>
            </w:r>
          </w:p>
          <w:p w14:paraId="6959C16A"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(1)</w:t>
            </w:r>
          </w:p>
        </w:tc>
        <w:tc>
          <w:tcPr>
            <w:tcW w:w="707" w:type="pct"/>
            <w:shd w:val="clear" w:color="auto" w:fill="D9D9D9"/>
            <w:vAlign w:val="bottom"/>
          </w:tcPr>
          <w:p w14:paraId="335DFF56"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Annual Number of Responses per Respondent</w:t>
            </w:r>
          </w:p>
          <w:p w14:paraId="38195B70"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(2)</w:t>
            </w:r>
          </w:p>
        </w:tc>
        <w:tc>
          <w:tcPr>
            <w:tcW w:w="703" w:type="pct"/>
            <w:shd w:val="clear" w:color="auto" w:fill="D9D9D9"/>
            <w:vAlign w:val="bottom"/>
          </w:tcPr>
          <w:p w14:paraId="3FD59F52"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Total Number of Responses (1)*(2)=(3)</w:t>
            </w:r>
          </w:p>
        </w:tc>
        <w:tc>
          <w:tcPr>
            <w:tcW w:w="654" w:type="pct"/>
            <w:shd w:val="clear" w:color="auto" w:fill="D9D9D9"/>
            <w:vAlign w:val="bottom"/>
          </w:tcPr>
          <w:p w14:paraId="014DD925" w14:textId="3B1E8D7A"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Average Burden</w:t>
            </w:r>
            <w:r w:rsidR="00020304">
              <w:rPr>
                <w:rFonts w:ascii="Times New Roman" w:eastAsia="Calibri" w:hAnsi="Times New Roman" w:cs="Times New Roman"/>
                <w:b/>
                <w:sz w:val="24"/>
                <w:szCs w:val="24"/>
              </w:rPr>
              <w:t xml:space="preserve"> Hours</w:t>
            </w:r>
            <w:r w:rsidRPr="009B638D">
              <w:rPr>
                <w:rFonts w:ascii="Times New Roman" w:eastAsia="Calibri" w:hAnsi="Times New Roman" w:cs="Times New Roman"/>
                <w:b/>
                <w:sz w:val="24"/>
                <w:szCs w:val="24"/>
              </w:rPr>
              <w:t xml:space="preserve"> &amp; Cost Per Response</w:t>
            </w:r>
            <w:r w:rsidR="00C80C7E" w:rsidRPr="00C80C7E">
              <w:rPr>
                <w:rFonts w:ascii="Times New Roman" w:eastAsia="Calibri" w:hAnsi="Times New Roman" w:cs="Times New Roman"/>
                <w:b/>
                <w:sz w:val="24"/>
                <w:szCs w:val="24"/>
                <w:vertAlign w:val="superscript"/>
              </w:rPr>
              <w:footnoteReference w:id="13"/>
            </w:r>
          </w:p>
          <w:p w14:paraId="22901771"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(4)</w:t>
            </w:r>
          </w:p>
        </w:tc>
        <w:tc>
          <w:tcPr>
            <w:tcW w:w="702" w:type="pct"/>
            <w:shd w:val="clear" w:color="auto" w:fill="D9D9D9"/>
            <w:vAlign w:val="bottom"/>
          </w:tcPr>
          <w:p w14:paraId="0CE009F8"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Total Annual Burden Hours &amp; Total Annual Cost</w:t>
            </w:r>
          </w:p>
          <w:p w14:paraId="09EB2BC0"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(3)*(4)=(5)</w:t>
            </w:r>
          </w:p>
        </w:tc>
        <w:tc>
          <w:tcPr>
            <w:tcW w:w="567" w:type="pct"/>
            <w:shd w:val="clear" w:color="auto" w:fill="D9D9D9"/>
            <w:vAlign w:val="bottom"/>
          </w:tcPr>
          <w:p w14:paraId="1DFA2CDF"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Cost per Respon</w:t>
            </w:r>
            <w:r w:rsidRPr="009B638D">
              <w:rPr>
                <w:rFonts w:ascii="Times New Roman" w:eastAsia="Calibri" w:hAnsi="Times New Roman" w:cs="Times New Roman"/>
                <w:b/>
                <w:sz w:val="24"/>
                <w:szCs w:val="24"/>
              </w:rPr>
              <w:softHyphen/>
              <w:t>dent</w:t>
            </w:r>
          </w:p>
          <w:p w14:paraId="2198271D"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 xml:space="preserve"> ($)</w:t>
            </w:r>
          </w:p>
          <w:p w14:paraId="6521594A" w14:textId="77777777" w:rsidR="00C16A62" w:rsidRPr="009B638D" w:rsidRDefault="00C16A62" w:rsidP="00C16A6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B638D">
              <w:rPr>
                <w:rFonts w:ascii="Times New Roman" w:eastAsia="Calibri" w:hAnsi="Times New Roman" w:cs="Times New Roman"/>
                <w:b/>
                <w:sz w:val="24"/>
                <w:szCs w:val="24"/>
              </w:rPr>
              <w:t>(5)÷(1)</w:t>
            </w:r>
          </w:p>
        </w:tc>
      </w:tr>
      <w:tr w:rsidR="00C16A62" w:rsidRPr="009B638D" w14:paraId="49CC7E84" w14:textId="77777777" w:rsidTr="00B05B54">
        <w:trPr>
          <w:cantSplit/>
        </w:trPr>
        <w:tc>
          <w:tcPr>
            <w:tcW w:w="965" w:type="pct"/>
          </w:tcPr>
          <w:p w14:paraId="6F99322B" w14:textId="77777777" w:rsidR="00C16A62" w:rsidRPr="009B638D" w:rsidRDefault="00C16A62" w:rsidP="00C16A62">
            <w:pPr>
              <w:widowControl w:val="0"/>
              <w:autoSpaceDE w:val="0"/>
              <w:autoSpaceDN w:val="0"/>
              <w:adjustRightInd w:val="0"/>
              <w:spacing w:after="0" w:line="240" w:lineRule="auto"/>
              <w:rPr>
                <w:rFonts w:ascii="Times New Roman" w:eastAsia="Calibri" w:hAnsi="Times New Roman" w:cs="Times New Roman"/>
                <w:sz w:val="24"/>
                <w:szCs w:val="24"/>
              </w:rPr>
            </w:pPr>
            <w:r w:rsidRPr="009B638D">
              <w:rPr>
                <w:rFonts w:ascii="Times New Roman" w:eastAsia="Calibri" w:hAnsi="Times New Roman" w:cs="Times New Roman"/>
                <w:sz w:val="24"/>
                <w:szCs w:val="24"/>
              </w:rPr>
              <w:t>One-time tariff (Year 1)</w:t>
            </w:r>
          </w:p>
        </w:tc>
        <w:tc>
          <w:tcPr>
            <w:tcW w:w="702" w:type="pct"/>
          </w:tcPr>
          <w:p w14:paraId="63268B7D"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165</w:t>
            </w:r>
          </w:p>
          <w:p w14:paraId="58C21B97"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7" w:type="pct"/>
          </w:tcPr>
          <w:p w14:paraId="29A96040"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w:t>
            </w:r>
          </w:p>
        </w:tc>
        <w:tc>
          <w:tcPr>
            <w:tcW w:w="703" w:type="pct"/>
          </w:tcPr>
          <w:p w14:paraId="61DE3C68"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165</w:t>
            </w:r>
          </w:p>
        </w:tc>
        <w:tc>
          <w:tcPr>
            <w:tcW w:w="654" w:type="pct"/>
          </w:tcPr>
          <w:p w14:paraId="25C054B9" w14:textId="482E2BBB"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8</w:t>
            </w:r>
          </w:p>
          <w:p w14:paraId="5E7F091C"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$1,024</w:t>
            </w:r>
          </w:p>
        </w:tc>
        <w:tc>
          <w:tcPr>
            <w:tcW w:w="702" w:type="pct"/>
          </w:tcPr>
          <w:p w14:paraId="4A8D5116" w14:textId="2020F40A"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 xml:space="preserve"> 1,320</w:t>
            </w:r>
          </w:p>
          <w:p w14:paraId="2A6C91A2"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 xml:space="preserve">$168,960 </w:t>
            </w:r>
          </w:p>
        </w:tc>
        <w:tc>
          <w:tcPr>
            <w:tcW w:w="567" w:type="pct"/>
          </w:tcPr>
          <w:p w14:paraId="221BC91F"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 xml:space="preserve">$1,024 </w:t>
            </w:r>
          </w:p>
          <w:p w14:paraId="1EFF78DD"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C16A62" w:rsidRPr="009B638D" w14:paraId="337C7D69" w14:textId="77777777" w:rsidTr="00B05B54">
        <w:trPr>
          <w:cantSplit/>
        </w:trPr>
        <w:tc>
          <w:tcPr>
            <w:tcW w:w="965" w:type="pct"/>
          </w:tcPr>
          <w:p w14:paraId="451E6BB0" w14:textId="065BC433" w:rsidR="00C16A62" w:rsidRPr="009B638D" w:rsidRDefault="00C16A62" w:rsidP="009418E2">
            <w:pPr>
              <w:widowControl w:val="0"/>
              <w:autoSpaceDE w:val="0"/>
              <w:autoSpaceDN w:val="0"/>
              <w:adjustRightInd w:val="0"/>
              <w:spacing w:after="0" w:line="240" w:lineRule="auto"/>
              <w:rPr>
                <w:rFonts w:ascii="Times New Roman" w:eastAsia="Calibri" w:hAnsi="Times New Roman" w:cs="Times New Roman"/>
                <w:sz w:val="24"/>
                <w:szCs w:val="24"/>
              </w:rPr>
            </w:pPr>
            <w:r w:rsidRPr="009B638D">
              <w:rPr>
                <w:rFonts w:ascii="Times New Roman" w:eastAsia="Calibri" w:hAnsi="Times New Roman" w:cs="Times New Roman"/>
                <w:sz w:val="24"/>
                <w:szCs w:val="24"/>
              </w:rPr>
              <w:t>Burden Reduction</w:t>
            </w:r>
            <w:r w:rsidR="00EF73A0" w:rsidRPr="009418E2">
              <w:rPr>
                <w:rStyle w:val="FootnoteReference"/>
                <w:rFonts w:ascii="Times New Roman" w:eastAsia="Calibri" w:hAnsi="Times New Roman" w:cs="Times New Roman"/>
                <w:sz w:val="24"/>
                <w:szCs w:val="24"/>
                <w:vertAlign w:val="superscript"/>
              </w:rPr>
              <w:footnoteReference w:id="14"/>
            </w:r>
            <w:r w:rsidRPr="009B638D">
              <w:rPr>
                <w:rFonts w:ascii="Times New Roman" w:eastAsia="Calibri" w:hAnsi="Times New Roman" w:cs="Times New Roman"/>
                <w:sz w:val="24"/>
                <w:szCs w:val="24"/>
              </w:rPr>
              <w:t xml:space="preserve"> (Year 2 and Beyond)</w:t>
            </w:r>
          </w:p>
        </w:tc>
        <w:tc>
          <w:tcPr>
            <w:tcW w:w="703" w:type="pct"/>
          </w:tcPr>
          <w:p w14:paraId="3B1621B2"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21</w:t>
            </w:r>
          </w:p>
        </w:tc>
        <w:tc>
          <w:tcPr>
            <w:tcW w:w="706" w:type="pct"/>
          </w:tcPr>
          <w:p w14:paraId="5B176C93"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w:t>
            </w:r>
          </w:p>
        </w:tc>
        <w:tc>
          <w:tcPr>
            <w:tcW w:w="703" w:type="pct"/>
          </w:tcPr>
          <w:p w14:paraId="2CAD251C"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21</w:t>
            </w:r>
          </w:p>
        </w:tc>
        <w:tc>
          <w:tcPr>
            <w:tcW w:w="654" w:type="pct"/>
          </w:tcPr>
          <w:p w14:paraId="0975779F" w14:textId="3BF23758"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-4</w:t>
            </w:r>
          </w:p>
          <w:p w14:paraId="7A7AB712"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-$244</w:t>
            </w:r>
          </w:p>
        </w:tc>
        <w:tc>
          <w:tcPr>
            <w:tcW w:w="702" w:type="pct"/>
          </w:tcPr>
          <w:p w14:paraId="50CE231A" w14:textId="061668B5"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-84</w:t>
            </w:r>
          </w:p>
          <w:p w14:paraId="0F257623"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-$5,124</w:t>
            </w:r>
          </w:p>
        </w:tc>
        <w:tc>
          <w:tcPr>
            <w:tcW w:w="567" w:type="pct"/>
          </w:tcPr>
          <w:p w14:paraId="2B31E074"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-$244</w:t>
            </w:r>
          </w:p>
        </w:tc>
      </w:tr>
      <w:tr w:rsidR="00C16A62" w:rsidRPr="009B638D" w14:paraId="5300AB47" w14:textId="77777777" w:rsidTr="00B05B54">
        <w:trPr>
          <w:cantSplit/>
        </w:trPr>
        <w:tc>
          <w:tcPr>
            <w:tcW w:w="965" w:type="pct"/>
          </w:tcPr>
          <w:p w14:paraId="49E3F29F" w14:textId="604D1717" w:rsidR="00C16A62" w:rsidRPr="009B638D" w:rsidRDefault="00C16A62" w:rsidP="00C16A62">
            <w:pPr>
              <w:widowControl w:val="0"/>
              <w:autoSpaceDE w:val="0"/>
              <w:autoSpaceDN w:val="0"/>
              <w:adjustRightInd w:val="0"/>
              <w:spacing w:after="0" w:line="240" w:lineRule="auto"/>
              <w:rPr>
                <w:rFonts w:ascii="Times New Roman" w:eastAsia="Calibri" w:hAnsi="Times New Roman" w:cs="Times New Roman"/>
                <w:sz w:val="24"/>
                <w:szCs w:val="24"/>
              </w:rPr>
            </w:pPr>
            <w:r w:rsidRPr="009B638D">
              <w:rPr>
                <w:rFonts w:ascii="Times New Roman" w:eastAsia="Calibri" w:hAnsi="Times New Roman" w:cs="Times New Roman"/>
                <w:sz w:val="24"/>
                <w:szCs w:val="24"/>
              </w:rPr>
              <w:t>Additional Burden for more frequent map updates (Year 2 and Beyond)</w:t>
            </w:r>
          </w:p>
        </w:tc>
        <w:tc>
          <w:tcPr>
            <w:tcW w:w="703" w:type="pct"/>
          </w:tcPr>
          <w:p w14:paraId="48DF908F"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4</w:t>
            </w:r>
          </w:p>
        </w:tc>
        <w:tc>
          <w:tcPr>
            <w:tcW w:w="706" w:type="pct"/>
          </w:tcPr>
          <w:p w14:paraId="43B98CC6"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w:t>
            </w:r>
          </w:p>
        </w:tc>
        <w:tc>
          <w:tcPr>
            <w:tcW w:w="703" w:type="pct"/>
          </w:tcPr>
          <w:p w14:paraId="405A6511"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4</w:t>
            </w:r>
          </w:p>
        </w:tc>
        <w:tc>
          <w:tcPr>
            <w:tcW w:w="654" w:type="pct"/>
          </w:tcPr>
          <w:p w14:paraId="66E40E8C"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4</w:t>
            </w:r>
          </w:p>
          <w:p w14:paraId="560EF4BD"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$244</w:t>
            </w:r>
          </w:p>
        </w:tc>
        <w:tc>
          <w:tcPr>
            <w:tcW w:w="702" w:type="pct"/>
          </w:tcPr>
          <w:p w14:paraId="16CFD55F"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16</w:t>
            </w:r>
          </w:p>
          <w:p w14:paraId="3E3967C4"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$976</w:t>
            </w:r>
          </w:p>
        </w:tc>
        <w:tc>
          <w:tcPr>
            <w:tcW w:w="567" w:type="pct"/>
          </w:tcPr>
          <w:p w14:paraId="3B4EA444" w14:textId="77777777" w:rsidR="00C16A62" w:rsidRPr="009B638D" w:rsidRDefault="00C16A62"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9B638D">
              <w:rPr>
                <w:rFonts w:ascii="Times New Roman" w:eastAsia="Calibri" w:hAnsi="Times New Roman" w:cs="Times New Roman"/>
                <w:sz w:val="24"/>
                <w:szCs w:val="24"/>
              </w:rPr>
              <w:t>$244</w:t>
            </w:r>
          </w:p>
        </w:tc>
      </w:tr>
      <w:tr w:rsidR="00C80C7E" w:rsidRPr="009B638D" w14:paraId="48375B79" w14:textId="77777777" w:rsidTr="00B05B54">
        <w:trPr>
          <w:cantSplit/>
          <w:trHeight w:val="485"/>
        </w:trPr>
        <w:tc>
          <w:tcPr>
            <w:tcW w:w="965" w:type="pct"/>
          </w:tcPr>
          <w:p w14:paraId="5BB7B62E" w14:textId="03C22C23" w:rsidR="00C80C7E" w:rsidRPr="009B638D" w:rsidRDefault="00C80C7E" w:rsidP="00C16A62">
            <w:pPr>
              <w:widowControl w:val="0"/>
              <w:autoSpaceDE w:val="0"/>
              <w:autoSpaceDN w:val="0"/>
              <w:adjustRightInd w:val="0"/>
              <w:spacing w:after="0" w:line="240" w:lineRule="auto"/>
              <w:rPr>
                <w:rFonts w:ascii="Times New Roman" w:eastAsia="Calibri" w:hAnsi="Times New Roman" w:cs="Times New Roman"/>
                <w:b/>
                <w:sz w:val="24"/>
                <w:szCs w:val="24"/>
              </w:rPr>
            </w:pPr>
            <w:r w:rsidRPr="009B638D">
              <w:rPr>
                <w:rFonts w:ascii="Times New Roman" w:eastAsia="Calibri" w:hAnsi="Times New Roman" w:cs="Times New Roman"/>
                <w:b/>
                <w:sz w:val="24"/>
                <w:szCs w:val="24"/>
              </w:rPr>
              <w:t>T</w:t>
            </w:r>
            <w:r w:rsidR="006F42CC">
              <w:rPr>
                <w:rFonts w:ascii="Times New Roman" w:eastAsia="Calibri" w:hAnsi="Times New Roman" w:cs="Times New Roman"/>
                <w:b/>
                <w:sz w:val="24"/>
                <w:szCs w:val="24"/>
              </w:rPr>
              <w:t>otal</w:t>
            </w:r>
            <w:r>
              <w:rPr>
                <w:rFonts w:ascii="Times New Roman" w:eastAsia="Calibri" w:hAnsi="Times New Roman" w:cs="Times New Roman"/>
                <w:b/>
                <w:sz w:val="24"/>
                <w:szCs w:val="24"/>
              </w:rPr>
              <w:t xml:space="preserve"> (Year 1)</w:t>
            </w:r>
          </w:p>
        </w:tc>
        <w:tc>
          <w:tcPr>
            <w:tcW w:w="703" w:type="pct"/>
            <w:shd w:val="clear" w:color="auto" w:fill="auto"/>
          </w:tcPr>
          <w:p w14:paraId="6097F9F8" w14:textId="556C1F25" w:rsidR="00C80C7E" w:rsidRPr="00C80C7E"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165</w:t>
            </w:r>
          </w:p>
        </w:tc>
        <w:tc>
          <w:tcPr>
            <w:tcW w:w="706" w:type="pct"/>
            <w:shd w:val="clear" w:color="auto" w:fill="auto"/>
          </w:tcPr>
          <w:p w14:paraId="31D4F86D" w14:textId="6CDC5C73" w:rsidR="00C80C7E" w:rsidRPr="00C80C7E"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3" w:type="pct"/>
            <w:shd w:val="clear" w:color="auto" w:fill="auto"/>
          </w:tcPr>
          <w:p w14:paraId="524B2EC9" w14:textId="3FCB1DA7" w:rsidR="00C80C7E" w:rsidRPr="00B05B54"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B05B54">
              <w:rPr>
                <w:rFonts w:ascii="Times New Roman" w:eastAsia="Calibri" w:hAnsi="Times New Roman" w:cs="Times New Roman"/>
                <w:sz w:val="24"/>
                <w:szCs w:val="24"/>
              </w:rPr>
              <w:t>165</w:t>
            </w:r>
          </w:p>
        </w:tc>
        <w:tc>
          <w:tcPr>
            <w:tcW w:w="654" w:type="pct"/>
            <w:shd w:val="clear" w:color="auto" w:fill="D9D9D9" w:themeFill="background1" w:themeFillShade="D9"/>
          </w:tcPr>
          <w:p w14:paraId="294EAFE9" w14:textId="7E3C67C1"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2" w:type="pct"/>
          </w:tcPr>
          <w:p w14:paraId="4ABF3DC8" w14:textId="5F2EFA35"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b/>
                <w:sz w:val="24"/>
                <w:szCs w:val="24"/>
              </w:rPr>
            </w:pPr>
            <w:r w:rsidRPr="009B638D">
              <w:rPr>
                <w:rFonts w:ascii="Times New Roman" w:eastAsia="Calibri" w:hAnsi="Times New Roman" w:cs="Times New Roman"/>
                <w:b/>
                <w:sz w:val="24"/>
                <w:szCs w:val="24"/>
              </w:rPr>
              <w:t>1,</w:t>
            </w:r>
            <w:r>
              <w:rPr>
                <w:rFonts w:ascii="Times New Roman" w:eastAsia="Calibri" w:hAnsi="Times New Roman" w:cs="Times New Roman"/>
                <w:b/>
                <w:sz w:val="24"/>
                <w:szCs w:val="24"/>
              </w:rPr>
              <w:t>320</w:t>
            </w:r>
          </w:p>
          <w:p w14:paraId="25B20E14" w14:textId="09CEBA54"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b/>
                <w:sz w:val="24"/>
                <w:szCs w:val="24"/>
              </w:rPr>
            </w:pPr>
            <w:r w:rsidRPr="009B638D">
              <w:rPr>
                <w:rFonts w:ascii="Times New Roman" w:eastAsia="Calibri" w:hAnsi="Times New Roman" w:cs="Times New Roman"/>
                <w:b/>
                <w:sz w:val="24"/>
                <w:szCs w:val="24"/>
              </w:rPr>
              <w:t>$1</w:t>
            </w:r>
            <w:r>
              <w:rPr>
                <w:rFonts w:ascii="Times New Roman" w:eastAsia="Calibri" w:hAnsi="Times New Roman" w:cs="Times New Roman"/>
                <w:b/>
                <w:sz w:val="24"/>
                <w:szCs w:val="24"/>
              </w:rPr>
              <w:t>68,960</w:t>
            </w:r>
          </w:p>
        </w:tc>
        <w:tc>
          <w:tcPr>
            <w:tcW w:w="567" w:type="pct"/>
          </w:tcPr>
          <w:p w14:paraId="3AD2E8BD" w14:textId="77777777"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b/>
                <w:sz w:val="24"/>
                <w:szCs w:val="24"/>
              </w:rPr>
            </w:pPr>
            <w:r w:rsidRPr="009B638D">
              <w:rPr>
                <w:rFonts w:ascii="Times New Roman" w:eastAsia="Calibri" w:hAnsi="Times New Roman" w:cs="Times New Roman"/>
                <w:b/>
                <w:sz w:val="24"/>
                <w:szCs w:val="24"/>
              </w:rPr>
              <w:t>$1,024</w:t>
            </w:r>
          </w:p>
        </w:tc>
      </w:tr>
      <w:tr w:rsidR="00C80C7E" w:rsidRPr="009B638D" w14:paraId="4676B4A6" w14:textId="77777777" w:rsidTr="00B05B54">
        <w:trPr>
          <w:cantSplit/>
          <w:trHeight w:val="485"/>
        </w:trPr>
        <w:tc>
          <w:tcPr>
            <w:tcW w:w="965" w:type="pct"/>
          </w:tcPr>
          <w:p w14:paraId="1DFC7BE8" w14:textId="5853B782" w:rsidR="00C80C7E" w:rsidRDefault="006F42CC" w:rsidP="00C16A62">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Total</w:t>
            </w:r>
            <w:r w:rsidR="00B05B54">
              <w:rPr>
                <w:rFonts w:ascii="Times New Roman" w:eastAsia="Calibri" w:hAnsi="Times New Roman" w:cs="Times New Roman"/>
                <w:b/>
                <w:sz w:val="24"/>
                <w:szCs w:val="24"/>
              </w:rPr>
              <w:t xml:space="preserve"> (Year 2, 3, and Beyond</w:t>
            </w:r>
            <w:r w:rsidR="00C80C7E">
              <w:rPr>
                <w:rFonts w:ascii="Times New Roman" w:eastAsia="Calibri" w:hAnsi="Times New Roman" w:cs="Times New Roman"/>
                <w:b/>
                <w:sz w:val="24"/>
                <w:szCs w:val="24"/>
              </w:rPr>
              <w:t>)</w:t>
            </w:r>
          </w:p>
        </w:tc>
        <w:tc>
          <w:tcPr>
            <w:tcW w:w="703" w:type="pct"/>
            <w:shd w:val="clear" w:color="auto" w:fill="D9D9D9"/>
          </w:tcPr>
          <w:p w14:paraId="026F7DD3" w14:textId="6E654807"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06" w:type="pct"/>
            <w:shd w:val="clear" w:color="auto" w:fill="D9D9D9"/>
          </w:tcPr>
          <w:p w14:paraId="7A2A2BD9" w14:textId="3E892A8E"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3" w:type="pct"/>
            <w:shd w:val="clear" w:color="auto" w:fill="auto"/>
          </w:tcPr>
          <w:p w14:paraId="3EE1295B" w14:textId="2F3266B9" w:rsidR="00C80C7E" w:rsidRPr="00B05B54"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B05B54">
              <w:rPr>
                <w:rFonts w:ascii="Times New Roman" w:eastAsia="Calibri" w:hAnsi="Times New Roman" w:cs="Times New Roman"/>
                <w:sz w:val="24"/>
                <w:szCs w:val="24"/>
              </w:rPr>
              <w:t>-17</w:t>
            </w:r>
          </w:p>
        </w:tc>
        <w:tc>
          <w:tcPr>
            <w:tcW w:w="654" w:type="pct"/>
            <w:shd w:val="clear" w:color="auto" w:fill="BFBFBF" w:themeFill="background1" w:themeFillShade="BF"/>
          </w:tcPr>
          <w:p w14:paraId="5EFC55E8" w14:textId="77777777"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2" w:type="pct"/>
          </w:tcPr>
          <w:p w14:paraId="2C69244B" w14:textId="77777777" w:rsidR="00C80C7E" w:rsidRDefault="00C80C7E" w:rsidP="00C16A62">
            <w:pPr>
              <w:widowControl w:val="0"/>
              <w:autoSpaceDE w:val="0"/>
              <w:autoSpaceDN w:val="0"/>
              <w:adjustRightInd w:val="0"/>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-68</w:t>
            </w:r>
          </w:p>
          <w:p w14:paraId="11789AEC" w14:textId="75B213A3" w:rsidR="00C80C7E" w:rsidRPr="009B638D" w:rsidRDefault="00C80C7E" w:rsidP="00C16A62">
            <w:pPr>
              <w:widowControl w:val="0"/>
              <w:autoSpaceDE w:val="0"/>
              <w:autoSpaceDN w:val="0"/>
              <w:adjustRightInd w:val="0"/>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w:t>
            </w:r>
            <w:r w:rsidR="006F42CC">
              <w:rPr>
                <w:rFonts w:ascii="Times New Roman" w:eastAsia="Calibri" w:hAnsi="Times New Roman" w:cs="Times New Roman"/>
                <w:b/>
                <w:sz w:val="24"/>
                <w:szCs w:val="24"/>
              </w:rPr>
              <w:t>$4,148</w:t>
            </w:r>
          </w:p>
        </w:tc>
        <w:tc>
          <w:tcPr>
            <w:tcW w:w="567" w:type="pct"/>
          </w:tcPr>
          <w:p w14:paraId="5ADC09F4" w14:textId="4C5BF048" w:rsidR="00C80C7E" w:rsidRPr="009B638D" w:rsidRDefault="00D54DF2" w:rsidP="00C16A62">
            <w:pPr>
              <w:widowControl w:val="0"/>
              <w:autoSpaceDE w:val="0"/>
              <w:autoSpaceDN w:val="0"/>
              <w:adjustRightInd w:val="0"/>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$0</w:t>
            </w:r>
          </w:p>
        </w:tc>
      </w:tr>
    </w:tbl>
    <w:p w14:paraId="67CE2A64" w14:textId="77B38E95" w:rsidR="00C16A62" w:rsidRDefault="00C16A62" w:rsidP="003316E0">
      <w:pPr>
        <w:spacing w:after="0"/>
        <w:rPr>
          <w:rFonts w:ascii="Times New Roman" w:hAnsi="Times New Roman" w:cs="Times New Roman"/>
          <w:sz w:val="24"/>
          <w:szCs w:val="24"/>
        </w:rPr>
      </w:pPr>
    </w:p>
    <w:p w14:paraId="443048C5" w14:textId="3E522072" w:rsidR="006F42CC" w:rsidRPr="00F14579" w:rsidRDefault="006F42CC" w:rsidP="006F42CC">
      <w:pPr>
        <w:pStyle w:val="FERCparanumber"/>
        <w:numPr>
          <w:ilvl w:val="0"/>
          <w:numId w:val="0"/>
        </w:numPr>
      </w:pPr>
      <w:r w:rsidRPr="00F14579">
        <w:t>In order to submit the estimated burden to OMB, we are submitting the Year 1 one-time burden as a discrete information collection and averaging the burden addition and reduction in Years 2 and 3 over the first three years</w:t>
      </w:r>
      <w:r w:rsidR="000D12F6">
        <w:t xml:space="preserve"> [(68 hrs. reduced * 2 years)/3 years]</w:t>
      </w:r>
      <w:r w:rsidRPr="00F14579">
        <w:t>.  We illustrated the net result in the table below.  At the appropriate time, the Commission will remove the Year 1 one-time burden and adjust the existing hours as needed.</w:t>
      </w:r>
    </w:p>
    <w:p w14:paraId="2B1540B4" w14:textId="77777777" w:rsidR="00C80C7E" w:rsidRDefault="00C80C7E" w:rsidP="003316E0">
      <w:pPr>
        <w:spacing w:after="0"/>
        <w:rPr>
          <w:rFonts w:ascii="Times New Roman" w:hAnsi="Times New Roman" w:cs="Times New Roman"/>
          <w:sz w:val="24"/>
          <w:szCs w:val="24"/>
        </w:rPr>
      </w:pPr>
    </w:p>
    <w:p w14:paraId="407564AB"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280F604" w14:textId="77777777" w:rsidTr="002C63E1">
        <w:trPr>
          <w:trHeight w:val="870"/>
        </w:trPr>
        <w:tc>
          <w:tcPr>
            <w:tcW w:w="2589" w:type="dxa"/>
            <w:shd w:val="clear" w:color="auto" w:fill="D9D9D9"/>
            <w:vAlign w:val="bottom"/>
          </w:tcPr>
          <w:p w14:paraId="72A3C7AA" w14:textId="59F2AC21" w:rsidR="003316E0" w:rsidRPr="003316E0" w:rsidRDefault="00965B2C" w:rsidP="003316E0">
            <w:pPr>
              <w:spacing w:after="0"/>
              <w:rPr>
                <w:rFonts w:ascii="Times New Roman" w:hAnsi="Times New Roman" w:cs="Times New Roman"/>
                <w:b/>
                <w:sz w:val="24"/>
                <w:szCs w:val="24"/>
              </w:rPr>
            </w:pPr>
            <w:r>
              <w:rPr>
                <w:rFonts w:ascii="Times New Roman" w:hAnsi="Times New Roman" w:cs="Times New Roman"/>
                <w:b/>
                <w:sz w:val="24"/>
                <w:szCs w:val="24"/>
              </w:rPr>
              <w:t>FERC-545</w:t>
            </w:r>
          </w:p>
        </w:tc>
        <w:tc>
          <w:tcPr>
            <w:tcW w:w="1779" w:type="dxa"/>
            <w:shd w:val="clear" w:color="auto" w:fill="D9D9D9"/>
            <w:vAlign w:val="bottom"/>
          </w:tcPr>
          <w:p w14:paraId="102FB2E8"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10EF225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4105E01D"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1973975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79259274" w14:textId="77777777" w:rsidTr="002C63E1">
        <w:trPr>
          <w:trHeight w:val="591"/>
        </w:trPr>
        <w:tc>
          <w:tcPr>
            <w:tcW w:w="2589" w:type="dxa"/>
          </w:tcPr>
          <w:p w14:paraId="286AA70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lastRenderedPageBreak/>
              <w:t>Annual Number of Responses</w:t>
            </w:r>
          </w:p>
        </w:tc>
        <w:tc>
          <w:tcPr>
            <w:tcW w:w="1779" w:type="dxa"/>
            <w:vAlign w:val="center"/>
          </w:tcPr>
          <w:p w14:paraId="1E96C4DD" w14:textId="21A45F46" w:rsidR="003316E0" w:rsidRPr="003316E0" w:rsidRDefault="005A4379" w:rsidP="003316E0">
            <w:pPr>
              <w:spacing w:after="0"/>
              <w:rPr>
                <w:rFonts w:ascii="Times New Roman" w:hAnsi="Times New Roman" w:cs="Times New Roman"/>
                <w:sz w:val="24"/>
                <w:szCs w:val="24"/>
              </w:rPr>
            </w:pPr>
            <w:r>
              <w:rPr>
                <w:rFonts w:ascii="Times New Roman" w:hAnsi="Times New Roman" w:cs="Times New Roman"/>
                <w:sz w:val="24"/>
                <w:szCs w:val="24"/>
              </w:rPr>
              <w:t>2,305</w:t>
            </w:r>
          </w:p>
        </w:tc>
        <w:tc>
          <w:tcPr>
            <w:tcW w:w="1959" w:type="dxa"/>
            <w:vAlign w:val="center"/>
          </w:tcPr>
          <w:p w14:paraId="190B0C6F" w14:textId="0A0D1006" w:rsidR="003316E0" w:rsidRPr="003316E0" w:rsidRDefault="005A4379" w:rsidP="003316E0">
            <w:pPr>
              <w:spacing w:after="0"/>
              <w:rPr>
                <w:rFonts w:ascii="Times New Roman" w:hAnsi="Times New Roman" w:cs="Times New Roman"/>
                <w:sz w:val="24"/>
                <w:szCs w:val="24"/>
              </w:rPr>
            </w:pPr>
            <w:r>
              <w:rPr>
                <w:rFonts w:ascii="Times New Roman" w:hAnsi="Times New Roman" w:cs="Times New Roman"/>
                <w:sz w:val="24"/>
                <w:szCs w:val="24"/>
              </w:rPr>
              <w:t>2,151</w:t>
            </w:r>
          </w:p>
        </w:tc>
        <w:tc>
          <w:tcPr>
            <w:tcW w:w="1683" w:type="dxa"/>
            <w:vAlign w:val="center"/>
          </w:tcPr>
          <w:p w14:paraId="57E8B000" w14:textId="68D3C1C6" w:rsidR="003316E0" w:rsidRPr="003316E0" w:rsidRDefault="00AC0989" w:rsidP="003316E0">
            <w:pPr>
              <w:spacing w:after="0"/>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14B4DA40" w14:textId="1EBDAD1C" w:rsidR="003316E0" w:rsidRPr="003316E0" w:rsidRDefault="00AC0989" w:rsidP="003316E0">
            <w:pPr>
              <w:spacing w:after="0"/>
              <w:rPr>
                <w:rFonts w:ascii="Times New Roman" w:hAnsi="Times New Roman" w:cs="Times New Roman"/>
                <w:sz w:val="24"/>
                <w:szCs w:val="24"/>
              </w:rPr>
            </w:pPr>
            <w:r>
              <w:rPr>
                <w:rFonts w:ascii="Times New Roman" w:hAnsi="Times New Roman" w:cs="Times New Roman"/>
                <w:sz w:val="24"/>
                <w:szCs w:val="24"/>
              </w:rPr>
              <w:t>154</w:t>
            </w:r>
          </w:p>
        </w:tc>
      </w:tr>
      <w:tr w:rsidR="003316E0" w:rsidRPr="003316E0" w14:paraId="67F70333" w14:textId="77777777" w:rsidTr="002C63E1">
        <w:trPr>
          <w:trHeight w:val="575"/>
        </w:trPr>
        <w:tc>
          <w:tcPr>
            <w:tcW w:w="2589" w:type="dxa"/>
          </w:tcPr>
          <w:p w14:paraId="317057BD" w14:textId="74A2F9D5"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533080">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DE2C135" w14:textId="2F1FF29F" w:rsidR="003316E0" w:rsidRPr="003316E0" w:rsidRDefault="005A4379" w:rsidP="003316E0">
            <w:pPr>
              <w:spacing w:after="0"/>
              <w:rPr>
                <w:rFonts w:ascii="Times New Roman" w:hAnsi="Times New Roman" w:cs="Times New Roman"/>
                <w:sz w:val="24"/>
                <w:szCs w:val="24"/>
              </w:rPr>
            </w:pPr>
            <w:r>
              <w:rPr>
                <w:rFonts w:ascii="Times New Roman" w:hAnsi="Times New Roman" w:cs="Times New Roman"/>
                <w:sz w:val="24"/>
                <w:szCs w:val="24"/>
              </w:rPr>
              <w:t>281,720</w:t>
            </w:r>
          </w:p>
        </w:tc>
        <w:tc>
          <w:tcPr>
            <w:tcW w:w="1959" w:type="dxa"/>
            <w:vAlign w:val="center"/>
          </w:tcPr>
          <w:p w14:paraId="3F1AD609" w14:textId="6E485368" w:rsidR="003316E0" w:rsidRPr="003316E0" w:rsidRDefault="005A4379" w:rsidP="003316E0">
            <w:pPr>
              <w:spacing w:after="0"/>
              <w:rPr>
                <w:rFonts w:ascii="Times New Roman" w:hAnsi="Times New Roman" w:cs="Times New Roman"/>
                <w:sz w:val="24"/>
                <w:szCs w:val="24"/>
              </w:rPr>
            </w:pPr>
            <w:r>
              <w:rPr>
                <w:rFonts w:ascii="Times New Roman" w:hAnsi="Times New Roman" w:cs="Times New Roman"/>
                <w:sz w:val="24"/>
                <w:szCs w:val="24"/>
              </w:rPr>
              <w:t>280,445</w:t>
            </w:r>
          </w:p>
        </w:tc>
        <w:tc>
          <w:tcPr>
            <w:tcW w:w="1683" w:type="dxa"/>
            <w:vAlign w:val="center"/>
          </w:tcPr>
          <w:p w14:paraId="0391F190" w14:textId="6DA6DF64" w:rsidR="003316E0" w:rsidRPr="003316E0" w:rsidRDefault="00AC0989" w:rsidP="003316E0">
            <w:pPr>
              <w:spacing w:after="0"/>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10ECD012" w14:textId="35D4DF76" w:rsidR="003316E0" w:rsidRPr="003316E0" w:rsidRDefault="00AC0989" w:rsidP="003316E0">
            <w:pPr>
              <w:spacing w:after="0"/>
              <w:rPr>
                <w:rFonts w:ascii="Times New Roman" w:hAnsi="Times New Roman" w:cs="Times New Roman"/>
                <w:sz w:val="24"/>
                <w:szCs w:val="24"/>
              </w:rPr>
            </w:pPr>
            <w:r>
              <w:rPr>
                <w:rFonts w:ascii="Times New Roman" w:hAnsi="Times New Roman" w:cs="Times New Roman"/>
                <w:sz w:val="24"/>
                <w:szCs w:val="24"/>
              </w:rPr>
              <w:t>1,275</w:t>
            </w:r>
          </w:p>
        </w:tc>
      </w:tr>
      <w:tr w:rsidR="003316E0" w:rsidRPr="003316E0" w14:paraId="192C69D3" w14:textId="77777777" w:rsidTr="002C63E1">
        <w:trPr>
          <w:trHeight w:val="295"/>
        </w:trPr>
        <w:tc>
          <w:tcPr>
            <w:tcW w:w="2589" w:type="dxa"/>
          </w:tcPr>
          <w:p w14:paraId="0A42B25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3BC176C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07F64D5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0F02D4E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7AAEA63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57E47A46" w14:textId="77777777" w:rsidR="003316E0" w:rsidRDefault="003316E0" w:rsidP="003316E0">
      <w:pPr>
        <w:spacing w:after="0"/>
        <w:rPr>
          <w:rFonts w:ascii="Times New Roman" w:hAnsi="Times New Roman" w:cs="Times New Roman"/>
          <w:sz w:val="24"/>
          <w:szCs w:val="24"/>
        </w:rPr>
      </w:pPr>
    </w:p>
    <w:p w14:paraId="7333B93A" w14:textId="77777777" w:rsidR="003316E0" w:rsidRPr="00A276F5" w:rsidRDefault="003316E0" w:rsidP="003316E0">
      <w:pPr>
        <w:spacing w:after="0"/>
        <w:rPr>
          <w:rFonts w:ascii="Times New Roman" w:hAnsi="Times New Roman" w:cs="Times New Roman"/>
          <w:sz w:val="24"/>
          <w:szCs w:val="24"/>
        </w:rPr>
      </w:pPr>
    </w:p>
    <w:p w14:paraId="2255D23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16D7FD6" w14:textId="77777777" w:rsidR="00414F32" w:rsidRDefault="00414F32" w:rsidP="00414F32">
      <w:pPr>
        <w:spacing w:after="0"/>
        <w:rPr>
          <w:rFonts w:ascii="Times New Roman" w:hAnsi="Times New Roman" w:cs="Times New Roman"/>
          <w:sz w:val="24"/>
          <w:szCs w:val="24"/>
        </w:rPr>
      </w:pPr>
    </w:p>
    <w:p w14:paraId="70CE0D01" w14:textId="428D8D81" w:rsidR="00414F32" w:rsidRDefault="001C1537" w:rsidP="00414F32">
      <w:pPr>
        <w:spacing w:after="0"/>
        <w:rPr>
          <w:rFonts w:ascii="Times New Roman" w:hAnsi="Times New Roman" w:cs="Times New Roman"/>
          <w:sz w:val="24"/>
          <w:szCs w:val="24"/>
        </w:rPr>
      </w:pPr>
      <w:r>
        <w:rPr>
          <w:rFonts w:ascii="Times New Roman" w:hAnsi="Times New Roman" w:cs="Times New Roman"/>
          <w:sz w:val="24"/>
          <w:szCs w:val="24"/>
        </w:rPr>
        <w:t xml:space="preserve">FERC-545 filings are available to the public through the Commission’s eLibrary and eTariff systems when they are submitted. </w:t>
      </w:r>
      <w:r w:rsidR="00197A36">
        <w:rPr>
          <w:rFonts w:ascii="Times New Roman" w:hAnsi="Times New Roman" w:cs="Times New Roman"/>
          <w:sz w:val="24"/>
          <w:szCs w:val="24"/>
        </w:rPr>
        <w:t xml:space="preserve">FERC does not publish any data associated with </w:t>
      </w:r>
      <w:r w:rsidR="00533080">
        <w:rPr>
          <w:rFonts w:ascii="Times New Roman" w:hAnsi="Times New Roman" w:cs="Times New Roman"/>
          <w:sz w:val="24"/>
          <w:szCs w:val="24"/>
        </w:rPr>
        <w:t xml:space="preserve">this </w:t>
      </w:r>
      <w:r w:rsidR="00197A36">
        <w:rPr>
          <w:rFonts w:ascii="Times New Roman" w:hAnsi="Times New Roman" w:cs="Times New Roman"/>
          <w:sz w:val="24"/>
          <w:szCs w:val="24"/>
        </w:rPr>
        <w:t>collection.</w:t>
      </w:r>
    </w:p>
    <w:p w14:paraId="2BD5DE85" w14:textId="77777777" w:rsidR="00197A36" w:rsidRPr="00414F32" w:rsidRDefault="00197A36" w:rsidP="00414F32">
      <w:pPr>
        <w:spacing w:after="0"/>
        <w:rPr>
          <w:rFonts w:ascii="Times New Roman" w:hAnsi="Times New Roman" w:cs="Times New Roman"/>
          <w:sz w:val="24"/>
          <w:szCs w:val="24"/>
        </w:rPr>
      </w:pPr>
    </w:p>
    <w:p w14:paraId="46C6513C"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41273820" w14:textId="77777777" w:rsidR="00414F32" w:rsidRDefault="00414F32" w:rsidP="00414F32">
      <w:pPr>
        <w:spacing w:after="0"/>
        <w:rPr>
          <w:rFonts w:ascii="Times New Roman" w:hAnsi="Times New Roman" w:cs="Times New Roman"/>
          <w:sz w:val="24"/>
          <w:szCs w:val="24"/>
        </w:rPr>
      </w:pPr>
    </w:p>
    <w:p w14:paraId="18A0E87D" w14:textId="78A5499E"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1C1537">
        <w:rPr>
          <w:rFonts w:ascii="Times New Roman" w:hAnsi="Times New Roman" w:cs="Times New Roman"/>
          <w:sz w:val="24"/>
          <w:szCs w:val="24"/>
        </w:rPr>
        <w:t>affecting FERC-545</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7003B41C" w14:textId="77777777" w:rsidR="00C27D56" w:rsidRDefault="00C27D56" w:rsidP="00414F32">
      <w:pPr>
        <w:spacing w:after="0"/>
        <w:rPr>
          <w:rFonts w:ascii="Times New Roman" w:hAnsi="Times New Roman" w:cs="Times New Roman"/>
          <w:sz w:val="24"/>
          <w:szCs w:val="24"/>
        </w:rPr>
      </w:pPr>
    </w:p>
    <w:p w14:paraId="592198EC"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78F46E39" w14:textId="77777777" w:rsidR="00197A36" w:rsidRPr="00414F32" w:rsidRDefault="00197A36" w:rsidP="00414F32">
      <w:pPr>
        <w:spacing w:after="0"/>
        <w:rPr>
          <w:rFonts w:ascii="Times New Roman" w:hAnsi="Times New Roman" w:cs="Times New Roman"/>
          <w:sz w:val="24"/>
          <w:szCs w:val="24"/>
        </w:rPr>
      </w:pPr>
    </w:p>
    <w:p w14:paraId="54356E67"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20D93C43" w14:textId="77777777" w:rsidR="00970FE4" w:rsidRDefault="00970FE4" w:rsidP="0057700F">
      <w:pPr>
        <w:spacing w:after="0"/>
        <w:rPr>
          <w:rFonts w:ascii="Times New Roman" w:hAnsi="Times New Roman" w:cs="Times New Roman"/>
          <w:sz w:val="24"/>
          <w:szCs w:val="24"/>
        </w:rPr>
      </w:pPr>
    </w:p>
    <w:p w14:paraId="48E99DD2" w14:textId="172B1EF3" w:rsidR="00414F32" w:rsidRPr="007A2F92" w:rsidRDefault="000F24CD" w:rsidP="007A2F92">
      <w:pPr>
        <w:spacing w:after="0"/>
        <w:rPr>
          <w:rFonts w:ascii="Times New Roman" w:hAnsi="Times New Roman" w:cs="Times New Roman"/>
          <w:sz w:val="24"/>
          <w:szCs w:val="24"/>
        </w:rPr>
      </w:pPr>
      <w:r>
        <w:rPr>
          <w:rFonts w:ascii="Times New Roman" w:hAnsi="Times New Roman" w:cs="Times New Roman"/>
          <w:sz w:val="24"/>
          <w:szCs w:val="24"/>
        </w:rPr>
        <w:t>T</w:t>
      </w:r>
      <w:r w:rsidR="00197A36" w:rsidRPr="00197A36">
        <w:rPr>
          <w:rFonts w:ascii="Times New Roman" w:hAnsi="Times New Roman" w:cs="Times New Roman"/>
          <w:sz w:val="24"/>
          <w:szCs w:val="24"/>
        </w:rPr>
        <w:t>he data collected for this reporting requirement are not used for stat</w:t>
      </w:r>
      <w:r w:rsidR="00197A36">
        <w:rPr>
          <w:rFonts w:ascii="Times New Roman" w:hAnsi="Times New Roman" w:cs="Times New Roman"/>
          <w:sz w:val="24"/>
          <w:szCs w:val="24"/>
        </w:rPr>
        <w:t>istical purposes.</w:t>
      </w:r>
    </w:p>
    <w:sectPr w:rsidR="00414F32"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7BC31" w14:textId="77777777" w:rsidR="009A659F" w:rsidRDefault="009A659F" w:rsidP="00FD66F1">
      <w:pPr>
        <w:spacing w:after="0" w:line="240" w:lineRule="auto"/>
      </w:pPr>
      <w:r>
        <w:separator/>
      </w:r>
    </w:p>
  </w:endnote>
  <w:endnote w:type="continuationSeparator" w:id="0">
    <w:p w14:paraId="58D19001" w14:textId="77777777" w:rsidR="009A659F" w:rsidRDefault="009A659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516CFFAE" w14:textId="77777777" w:rsidR="00CB26E8" w:rsidRPr="00DD79FB" w:rsidRDefault="00CB26E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0820A6">
          <w:rPr>
            <w:rFonts w:ascii="Times New Roman" w:hAnsi="Times New Roman" w:cs="Times New Roman"/>
            <w:noProof/>
          </w:rPr>
          <w:t>1</w:t>
        </w:r>
        <w:r w:rsidRPr="00DD79FB">
          <w:rPr>
            <w:rFonts w:ascii="Times New Roman" w:hAnsi="Times New Roman" w:cs="Times New Roman"/>
            <w:noProof/>
          </w:rPr>
          <w:fldChar w:fldCharType="end"/>
        </w:r>
      </w:p>
    </w:sdtContent>
  </w:sdt>
  <w:p w14:paraId="5D99A69A" w14:textId="77777777" w:rsidR="00CB26E8" w:rsidRDefault="00CB2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05510" w14:textId="77777777" w:rsidR="009A659F" w:rsidRDefault="009A659F" w:rsidP="00FD66F1">
      <w:pPr>
        <w:spacing w:after="0" w:line="240" w:lineRule="auto"/>
      </w:pPr>
      <w:r>
        <w:separator/>
      </w:r>
    </w:p>
  </w:footnote>
  <w:footnote w:type="continuationSeparator" w:id="0">
    <w:p w14:paraId="6EF17653" w14:textId="77777777" w:rsidR="009A659F" w:rsidRDefault="009A659F" w:rsidP="00FD66F1">
      <w:pPr>
        <w:spacing w:after="0" w:line="240" w:lineRule="auto"/>
      </w:pPr>
      <w:r>
        <w:continuationSeparator/>
      </w:r>
    </w:p>
  </w:footnote>
  <w:footnote w:id="1">
    <w:p w14:paraId="21F9874A" w14:textId="77777777" w:rsidR="008228CC" w:rsidRPr="006F42CC" w:rsidRDefault="008228CC" w:rsidP="008228CC">
      <w:pPr>
        <w:pStyle w:val="FootnoteText"/>
      </w:pPr>
      <w:r w:rsidRPr="006F42CC">
        <w:rPr>
          <w:rStyle w:val="FootnoteReference"/>
        </w:rPr>
        <w:footnoteRef/>
      </w:r>
      <w:r w:rsidRPr="006F42CC">
        <w:t xml:space="preserve"> </w:t>
      </w:r>
      <w:r w:rsidRPr="006F42CC">
        <w:rPr>
          <w:i/>
        </w:rPr>
        <w:t>Amendment of Regulations and Approved Forms Under the Natural Gas Act, to Prescribe Revised Rules Governing the Form, Composition, Filing, and Posting of Rate Schedules and Tariffs for the Transportation or Sale of Natural Gas Subject to the Jurisdiction of the Commission</w:t>
      </w:r>
      <w:r w:rsidRPr="006F42CC">
        <w:t xml:space="preserve">, </w:t>
      </w:r>
      <w:hyperlink r:id="rId1" w:history="1">
        <w:r w:rsidRPr="006F42CC">
          <w:rPr>
            <w:rStyle w:val="Hyperlink"/>
          </w:rPr>
          <w:t>Order No. 144</w:t>
        </w:r>
      </w:hyperlink>
      <w:r w:rsidRPr="006F42CC">
        <w:t>, 13 FR 6371, 6374 (issued Oct. 28, 1948, published Oct. 30, 1948, corrected Nov. 12, 1948).</w:t>
      </w:r>
    </w:p>
  </w:footnote>
  <w:footnote w:id="2">
    <w:p w14:paraId="7CC7D38F" w14:textId="77777777" w:rsidR="008228CC" w:rsidRPr="006F42CC" w:rsidRDefault="008228CC" w:rsidP="008228CC">
      <w:pPr>
        <w:pStyle w:val="FootnoteText"/>
      </w:pPr>
      <w:r w:rsidRPr="006F42CC">
        <w:rPr>
          <w:rStyle w:val="FootnoteReference"/>
        </w:rPr>
        <w:footnoteRef/>
      </w:r>
      <w:r w:rsidRPr="006F42CC">
        <w:t xml:space="preserve"> </w:t>
      </w:r>
      <w:r w:rsidRPr="006F42CC">
        <w:rPr>
          <w:i/>
          <w:iCs/>
        </w:rPr>
        <w:t>Filing and Reporting Requirements for Interstate Natural Gas Company Rate Schedules and Tariffs</w:t>
      </w:r>
      <w:r w:rsidRPr="006F42CC">
        <w:t xml:space="preserve">, Order No. 582, 60 FR 52,960, </w:t>
      </w:r>
      <w:r w:rsidRPr="006F42CC">
        <w:rPr>
          <w:iCs/>
        </w:rPr>
        <w:t>FERC Stats. &amp; Regs.</w:t>
      </w:r>
      <w:r w:rsidRPr="006F42CC">
        <w:t xml:space="preserve"> ¶ 31,025 (1995).</w:t>
      </w:r>
    </w:p>
  </w:footnote>
  <w:footnote w:id="3">
    <w:p w14:paraId="190BFF33" w14:textId="77777777" w:rsidR="008228CC" w:rsidRPr="006F42CC" w:rsidRDefault="008228CC" w:rsidP="008228CC">
      <w:pPr>
        <w:pStyle w:val="FootnoteText"/>
      </w:pPr>
      <w:r w:rsidRPr="006F42CC">
        <w:rPr>
          <w:rStyle w:val="FootnoteReference"/>
        </w:rPr>
        <w:footnoteRef/>
      </w:r>
      <w:r w:rsidRPr="006F42CC">
        <w:t xml:space="preserve"> </w:t>
      </w:r>
      <w:r w:rsidRPr="006F42CC">
        <w:rPr>
          <w:i/>
          <w:iCs/>
        </w:rPr>
        <w:t>Electronic Tariff Filings</w:t>
      </w:r>
      <w:r w:rsidRPr="006F42CC">
        <w:t xml:space="preserve">, Order No. 714, 73 FR 57,515, FERC Stats. &amp; Regs. ¶ 31,276 (2008) (Order No. 714) </w:t>
      </w:r>
      <w:r w:rsidRPr="006F42CC">
        <w:rPr>
          <w:i/>
        </w:rPr>
        <w:t>clarified</w:t>
      </w:r>
      <w:r w:rsidRPr="006F42CC">
        <w:t>, Order No. 714-A, 147 FERC ¶ 61,115 (2014).</w:t>
      </w:r>
    </w:p>
  </w:footnote>
  <w:footnote w:id="4">
    <w:p w14:paraId="7C4A10E1" w14:textId="77777777" w:rsidR="008228CC" w:rsidRPr="006F42CC" w:rsidRDefault="008228CC" w:rsidP="008228CC">
      <w:pPr>
        <w:pStyle w:val="FootnoteText"/>
      </w:pPr>
      <w:r w:rsidRPr="006F42CC">
        <w:rPr>
          <w:rStyle w:val="FootnoteReference"/>
        </w:rPr>
        <w:footnoteRef/>
      </w:r>
      <w:r w:rsidRPr="006F42CC">
        <w:t xml:space="preserve"> 18 CFR 154.106.</w:t>
      </w:r>
    </w:p>
  </w:footnote>
  <w:footnote w:id="5">
    <w:p w14:paraId="40768146" w14:textId="77777777" w:rsidR="008228CC" w:rsidRPr="006F42CC" w:rsidRDefault="008228CC" w:rsidP="008228CC">
      <w:pPr>
        <w:pStyle w:val="FootnoteText"/>
      </w:pPr>
      <w:r w:rsidRPr="006F42CC">
        <w:rPr>
          <w:rStyle w:val="FootnoteReference"/>
        </w:rPr>
        <w:footnoteRef/>
      </w:r>
      <w:r w:rsidRPr="006F42CC">
        <w:t xml:space="preserve"> Order No. 714 at P 1.</w:t>
      </w:r>
    </w:p>
  </w:footnote>
  <w:footnote w:id="6">
    <w:p w14:paraId="1D4A25E3" w14:textId="77777777" w:rsidR="008228CC" w:rsidRPr="006F42CC" w:rsidRDefault="008228CC" w:rsidP="008228CC">
      <w:pPr>
        <w:pStyle w:val="FootnoteText"/>
      </w:pPr>
      <w:r w:rsidRPr="006F42CC">
        <w:rPr>
          <w:rStyle w:val="FootnoteReference"/>
        </w:rPr>
        <w:footnoteRef/>
      </w:r>
      <w:r w:rsidRPr="006F42CC">
        <w:t xml:space="preserve"> 18 CFR 284.12(a)(1)(v).</w:t>
      </w:r>
    </w:p>
  </w:footnote>
  <w:footnote w:id="7">
    <w:p w14:paraId="409C2592" w14:textId="77777777" w:rsidR="008228CC" w:rsidRPr="006F42CC" w:rsidRDefault="008228CC" w:rsidP="008228CC">
      <w:pPr>
        <w:pStyle w:val="FootnoteText"/>
      </w:pPr>
      <w:r w:rsidRPr="006F42CC">
        <w:rPr>
          <w:rStyle w:val="FootnoteReference"/>
        </w:rPr>
        <w:footnoteRef/>
      </w:r>
      <w:r w:rsidRPr="006F42CC">
        <w:t xml:space="preserve"> </w:t>
      </w:r>
      <w:r w:rsidRPr="006F42CC">
        <w:rPr>
          <w:i/>
        </w:rPr>
        <w:t>See Implementation Guide for Electronic Filing of Parts 35, 154, 284, 300, and 341 Tariff Filings</w:t>
      </w:r>
      <w:r w:rsidRPr="006F42CC">
        <w:t xml:space="preserve"> (April 29, 2014) Data Dictionary, Record Binary Data, available at &lt;</w:t>
      </w:r>
      <w:hyperlink r:id="rId2" w:history="1">
        <w:r w:rsidRPr="006F42CC">
          <w:rPr>
            <w:rStyle w:val="Hyperlink"/>
          </w:rPr>
          <w:t>http://www.ferc.gov/docs-filing/etariff/implementation-guide.pdf</w:t>
        </w:r>
      </w:hyperlink>
      <w:r w:rsidRPr="006F42CC">
        <w:t xml:space="preserve">&gt;. </w:t>
      </w:r>
    </w:p>
  </w:footnote>
  <w:footnote w:id="8">
    <w:p w14:paraId="415A1D0B" w14:textId="77777777" w:rsidR="008228CC" w:rsidRPr="006F42CC" w:rsidRDefault="008228CC" w:rsidP="008228CC">
      <w:pPr>
        <w:pStyle w:val="FootnoteText"/>
      </w:pPr>
      <w:r w:rsidRPr="006F42CC">
        <w:rPr>
          <w:rStyle w:val="FootnoteReference"/>
        </w:rPr>
        <w:footnoteRef/>
      </w:r>
      <w:r w:rsidRPr="006F42CC">
        <w:t xml:space="preserve"> </w:t>
      </w:r>
      <w:r w:rsidRPr="006F42CC">
        <w:rPr>
          <w:i/>
        </w:rPr>
        <w:t xml:space="preserve">Id. </w:t>
      </w:r>
      <w:r w:rsidRPr="006F42CC">
        <w:t xml:space="preserve">at Data Dictionary, Record Content Type Code.  RTF refers to Rich Text Format which is a standardized textual formal that can be produced by a number of word processors.  PDF refers to Portable Document Format, which is a format used for representing documents that closely resembles the original formatting of the document. </w:t>
      </w:r>
    </w:p>
  </w:footnote>
  <w:footnote w:id="9">
    <w:p w14:paraId="4E4F7256" w14:textId="3D1167F3" w:rsidR="007F28DE" w:rsidRPr="003612F5" w:rsidRDefault="007F28DE">
      <w:pPr>
        <w:pStyle w:val="FootnoteText"/>
      </w:pPr>
      <w:r w:rsidRPr="006F42CC">
        <w:rPr>
          <w:rStyle w:val="FootnoteReference"/>
        </w:rPr>
        <w:footnoteRef/>
      </w:r>
      <w:r w:rsidRPr="006F42CC">
        <w:t xml:space="preserve"> Annual revenues less than $27.5 million</w:t>
      </w:r>
      <w:r w:rsidR="008018B0" w:rsidRPr="006F42CC">
        <w:t xml:space="preserve"> (based on the Small Business Administration definition)</w:t>
      </w:r>
      <w:r w:rsidRPr="006F42CC">
        <w:t>.</w:t>
      </w:r>
    </w:p>
  </w:footnote>
  <w:footnote w:id="10">
    <w:p w14:paraId="5A2880E3" w14:textId="24BB6804" w:rsidR="00CB26E8" w:rsidRPr="006F42CC" w:rsidRDefault="00CB26E8">
      <w:pPr>
        <w:pStyle w:val="FootnoteText"/>
      </w:pPr>
      <w:r w:rsidRPr="00AC0989">
        <w:rPr>
          <w:rStyle w:val="FootnoteReference"/>
        </w:rPr>
        <w:footnoteRef/>
      </w:r>
      <w:r w:rsidRPr="00AC0989">
        <w:t xml:space="preserve"> </w:t>
      </w:r>
      <w:r w:rsidR="004F24E5" w:rsidRPr="00AC0989">
        <w:t>42.3</w:t>
      </w:r>
      <w:r w:rsidRPr="006F42CC">
        <w:t>% of affected entities</w:t>
      </w:r>
    </w:p>
  </w:footnote>
  <w:footnote w:id="11">
    <w:p w14:paraId="3FCE5CDD" w14:textId="77777777" w:rsidR="00CB26E8" w:rsidRPr="006F42CC" w:rsidRDefault="00CB26E8" w:rsidP="00630A34">
      <w:pPr>
        <w:pStyle w:val="FootnoteText"/>
      </w:pPr>
      <w:r w:rsidRPr="006F42CC">
        <w:rPr>
          <w:rStyle w:val="FootnoteReference"/>
          <w:vertAlign w:val="superscript"/>
        </w:rPr>
        <w:footnoteRef/>
      </w:r>
      <w:r w:rsidRPr="006F42CC">
        <w:rPr>
          <w:vertAlign w:val="superscript"/>
        </w:rPr>
        <w:t xml:space="preserve"> </w:t>
      </w:r>
      <w:r w:rsidRPr="006F42CC">
        <w:t>Paperwork Reduction Act of 1995 (PRA)</w:t>
      </w:r>
    </w:p>
  </w:footnote>
  <w:footnote w:id="12">
    <w:p w14:paraId="6ACD64B9" w14:textId="57F3E9B8" w:rsidR="00CB26E8" w:rsidRPr="006F42CC" w:rsidRDefault="00CB26E8" w:rsidP="00DD79FB">
      <w:pPr>
        <w:pStyle w:val="FootnoteText"/>
      </w:pPr>
      <w:r w:rsidRPr="006F42CC">
        <w:rPr>
          <w:rStyle w:val="FootnoteReference"/>
          <w:vertAlign w:val="superscript"/>
        </w:rPr>
        <w:footnoteRef/>
      </w:r>
      <w:r w:rsidRPr="006F42CC">
        <w:rPr>
          <w:vertAlign w:val="superscript"/>
        </w:rPr>
        <w:t xml:space="preserve"> </w:t>
      </w:r>
      <w:r w:rsidRPr="006F42CC">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w:t>
      </w:r>
      <w:r w:rsidR="00E37BEA" w:rsidRPr="006F42CC">
        <w:t>d rulemakings (not just the Final Rule</w:t>
      </w:r>
      <w:r w:rsidRPr="006F42CC">
        <w:t xml:space="preserve"> in </w:t>
      </w:r>
      <w:r w:rsidR="00E37BEA" w:rsidRPr="006F42CC">
        <w:t>Docket No. RM14-21-000</w:t>
      </w:r>
      <w:r w:rsidRPr="006F42CC">
        <w:t xml:space="preserve">), and other changes to the collection.  </w:t>
      </w:r>
    </w:p>
  </w:footnote>
  <w:footnote w:id="13">
    <w:p w14:paraId="1E2666B3" w14:textId="77777777" w:rsidR="00C80C7E" w:rsidRPr="006F42CC" w:rsidRDefault="00C80C7E" w:rsidP="00C80C7E">
      <w:pPr>
        <w:pStyle w:val="FootnoteText"/>
      </w:pPr>
      <w:r w:rsidRPr="00B05B54">
        <w:rPr>
          <w:rStyle w:val="FootnoteReference"/>
          <w:vertAlign w:val="superscript"/>
        </w:rPr>
        <w:footnoteRef/>
      </w:r>
      <w:r w:rsidRPr="00B05B54">
        <w:rPr>
          <w:b/>
          <w:vertAlign w:val="superscript"/>
        </w:rPr>
        <w:t xml:space="preserve"> </w:t>
      </w:r>
      <w:r w:rsidRPr="00B05B54">
        <w:t xml:space="preserve">The estimates for Total Annual Cost are derived using the following formula: Total Annual Burden Hours * $ per Hour = Total Annual Cost.  For the one-time tariff filing the hourly loaded (wage plus benefits) wage is $128 and is based on the loaded wage of an attorney.  For the burden reduction and additional updates the hourly loaded wage is $61 and is based on the loaded wage of a civil engineer and a computer/math specialist.  The hourly wage figures come from the Bureau of Labor Statistics (BLS) at </w:t>
      </w:r>
      <w:hyperlink r:id="rId3" w:history="1">
        <w:r w:rsidRPr="00B05B54">
          <w:rPr>
            <w:rStyle w:val="Hyperlink"/>
          </w:rPr>
          <w:t>http://www.bls.gov/oes/current/naics2_22.htm</w:t>
        </w:r>
      </w:hyperlink>
      <w:r w:rsidRPr="00B05B54">
        <w:t xml:space="preserve"> and the benefits are calculated using BLS information at </w:t>
      </w:r>
      <w:hyperlink r:id="rId4" w:history="1">
        <w:r w:rsidRPr="00B05B54">
          <w:rPr>
            <w:rStyle w:val="Hyperlink"/>
          </w:rPr>
          <w:t>http://www.bls.gov/news.release/ecec.nr0.htm</w:t>
        </w:r>
      </w:hyperlink>
      <w:r w:rsidRPr="00B05B54">
        <w:t>. Each response to the proposed regulation in Column A is expected to correspond to a unique respondent.  As a result, total number of responses equals the expected total number of respondents.</w:t>
      </w:r>
      <w:r w:rsidRPr="006F42CC">
        <w:t xml:space="preserve"> </w:t>
      </w:r>
    </w:p>
  </w:footnote>
  <w:footnote w:id="14">
    <w:p w14:paraId="5E320C89" w14:textId="66085A22" w:rsidR="00EF73A0" w:rsidRPr="006F42CC" w:rsidRDefault="00EF73A0">
      <w:pPr>
        <w:pStyle w:val="FootnoteText"/>
      </w:pPr>
      <w:r w:rsidRPr="009E4AF7">
        <w:rPr>
          <w:rStyle w:val="FootnoteReference"/>
          <w:vertAlign w:val="superscript"/>
        </w:rPr>
        <w:footnoteRef/>
      </w:r>
      <w:r w:rsidRPr="006F42CC">
        <w:t xml:space="preserve"> Unrelated to making tariff filings with maps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EA9E" w14:textId="0608F228" w:rsidR="00CB26E8" w:rsidRDefault="00BD5331" w:rsidP="00963609">
    <w:pPr>
      <w:pStyle w:val="Header"/>
      <w:rPr>
        <w:rFonts w:ascii="Times New Roman" w:hAnsi="Times New Roman" w:cs="Times New Roman"/>
        <w:sz w:val="24"/>
        <w:szCs w:val="24"/>
      </w:rPr>
    </w:pPr>
    <w:r>
      <w:rPr>
        <w:rFonts w:ascii="Times New Roman" w:hAnsi="Times New Roman" w:cs="Times New Roman"/>
        <w:sz w:val="24"/>
        <w:szCs w:val="24"/>
      </w:rPr>
      <w:t>OMB Control Number: 1902-0154 (FERC-545</w:t>
    </w:r>
    <w:r w:rsidR="00CB26E8">
      <w:rPr>
        <w:rFonts w:ascii="Times New Roman" w:hAnsi="Times New Roman" w:cs="Times New Roman"/>
        <w:sz w:val="24"/>
        <w:szCs w:val="24"/>
      </w:rPr>
      <w:t>)</w:t>
    </w:r>
  </w:p>
  <w:p w14:paraId="3FA0711C" w14:textId="1B4E4716" w:rsidR="00CB26E8" w:rsidRDefault="001B7D37" w:rsidP="00AD3DE5">
    <w:pPr>
      <w:pStyle w:val="Header"/>
      <w:rPr>
        <w:rFonts w:ascii="Times New Roman" w:hAnsi="Times New Roman" w:cs="Times New Roman"/>
        <w:sz w:val="24"/>
        <w:szCs w:val="24"/>
      </w:rPr>
    </w:pPr>
    <w:r>
      <w:rPr>
        <w:rFonts w:ascii="Times New Roman" w:hAnsi="Times New Roman" w:cs="Times New Roman"/>
        <w:sz w:val="24"/>
        <w:szCs w:val="24"/>
      </w:rPr>
      <w:t>RM14-21</w:t>
    </w:r>
    <w:r w:rsidR="00CE7D24">
      <w:rPr>
        <w:rFonts w:ascii="Times New Roman" w:hAnsi="Times New Roman" w:cs="Times New Roman"/>
        <w:sz w:val="24"/>
        <w:szCs w:val="24"/>
      </w:rPr>
      <w:t xml:space="preserve">-000 </w:t>
    </w:r>
    <w:r w:rsidR="00BD5331">
      <w:rPr>
        <w:rFonts w:ascii="Times New Roman" w:hAnsi="Times New Roman" w:cs="Times New Roman"/>
        <w:sz w:val="24"/>
        <w:szCs w:val="24"/>
      </w:rPr>
      <w:t>(Final Rule</w:t>
    </w:r>
    <w:r w:rsidR="001B298D">
      <w:rPr>
        <w:rFonts w:ascii="Times New Roman" w:hAnsi="Times New Roman" w:cs="Times New Roman"/>
        <w:sz w:val="24"/>
        <w:szCs w:val="24"/>
      </w:rPr>
      <w:t>, issued 11/20/2014</w:t>
    </w:r>
    <w:r w:rsidR="00CB26E8" w:rsidRPr="00CE2CDA">
      <w:rPr>
        <w:rFonts w:ascii="Times New Roman" w:hAnsi="Times New Roman" w:cs="Times New Roman"/>
        <w:sz w:val="24"/>
        <w:szCs w:val="24"/>
      </w:rPr>
      <w:t>)</w:t>
    </w:r>
  </w:p>
  <w:p w14:paraId="0920247B" w14:textId="1A298955" w:rsidR="00CB26E8" w:rsidRDefault="00CB26E8" w:rsidP="00AD3DE5">
    <w:pPr>
      <w:pStyle w:val="Header"/>
      <w:rPr>
        <w:rFonts w:ascii="Times New Roman" w:hAnsi="Times New Roman" w:cs="Times New Roman"/>
        <w:sz w:val="24"/>
        <w:szCs w:val="24"/>
      </w:rPr>
    </w:pPr>
    <w:r w:rsidRPr="00AC274E">
      <w:rPr>
        <w:rFonts w:ascii="Times New Roman" w:hAnsi="Times New Roman" w:cs="Times New Roman"/>
        <w:sz w:val="24"/>
        <w:szCs w:val="24"/>
      </w:rPr>
      <w:t xml:space="preserve">RIN: </w:t>
    </w:r>
    <w:r w:rsidR="00BD5331">
      <w:rPr>
        <w:rFonts w:ascii="Times New Roman" w:hAnsi="Times New Roman" w:cs="Times New Roman"/>
        <w:sz w:val="24"/>
        <w:szCs w:val="24"/>
      </w:rPr>
      <w:t>1902-AE89</w:t>
    </w:r>
  </w:p>
  <w:p w14:paraId="312425FA" w14:textId="77777777" w:rsidR="00CB26E8" w:rsidRDefault="00CB2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FF6685F2"/>
    <w:lvl w:ilvl="0" w:tplc="2CF65846">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8"/>
  </w:num>
  <w:num w:numId="5">
    <w:abstractNumId w:val="5"/>
  </w:num>
  <w:num w:numId="6">
    <w:abstractNumId w:val="0"/>
  </w:num>
  <w:num w:numId="7">
    <w:abstractNumId w:val="1"/>
  </w:num>
  <w:num w:numId="8">
    <w:abstractNumId w:val="3"/>
  </w:num>
  <w:num w:numId="9">
    <w:abstractNumId w:val="9"/>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20304"/>
    <w:rsid w:val="0002242D"/>
    <w:rsid w:val="0002567F"/>
    <w:rsid w:val="00025779"/>
    <w:rsid w:val="00035845"/>
    <w:rsid w:val="00041041"/>
    <w:rsid w:val="00041527"/>
    <w:rsid w:val="000431EF"/>
    <w:rsid w:val="00053BD8"/>
    <w:rsid w:val="00074DC8"/>
    <w:rsid w:val="0007636B"/>
    <w:rsid w:val="000820A6"/>
    <w:rsid w:val="0008710E"/>
    <w:rsid w:val="000B0C37"/>
    <w:rsid w:val="000C4988"/>
    <w:rsid w:val="000D12F6"/>
    <w:rsid w:val="000D58F6"/>
    <w:rsid w:val="000E5772"/>
    <w:rsid w:val="000F24CD"/>
    <w:rsid w:val="000F34E5"/>
    <w:rsid w:val="000F4112"/>
    <w:rsid w:val="000F41C9"/>
    <w:rsid w:val="001001C1"/>
    <w:rsid w:val="001063A3"/>
    <w:rsid w:val="001108C7"/>
    <w:rsid w:val="001348AC"/>
    <w:rsid w:val="00137DB4"/>
    <w:rsid w:val="00143103"/>
    <w:rsid w:val="0015129F"/>
    <w:rsid w:val="001634E8"/>
    <w:rsid w:val="001700DE"/>
    <w:rsid w:val="00172386"/>
    <w:rsid w:val="0017533A"/>
    <w:rsid w:val="00177BBE"/>
    <w:rsid w:val="001800C1"/>
    <w:rsid w:val="00181727"/>
    <w:rsid w:val="00185730"/>
    <w:rsid w:val="00197A36"/>
    <w:rsid w:val="001A05A0"/>
    <w:rsid w:val="001A4B2D"/>
    <w:rsid w:val="001A4FC2"/>
    <w:rsid w:val="001B298D"/>
    <w:rsid w:val="001B3BF0"/>
    <w:rsid w:val="001B7D37"/>
    <w:rsid w:val="001C1170"/>
    <w:rsid w:val="001C1537"/>
    <w:rsid w:val="001C1E51"/>
    <w:rsid w:val="001C5284"/>
    <w:rsid w:val="001E6C85"/>
    <w:rsid w:val="002150E1"/>
    <w:rsid w:val="00215F2D"/>
    <w:rsid w:val="00221269"/>
    <w:rsid w:val="00235E83"/>
    <w:rsid w:val="00236674"/>
    <w:rsid w:val="00247B75"/>
    <w:rsid w:val="00251D43"/>
    <w:rsid w:val="00255F1F"/>
    <w:rsid w:val="0026674D"/>
    <w:rsid w:val="00267599"/>
    <w:rsid w:val="00272108"/>
    <w:rsid w:val="002779D9"/>
    <w:rsid w:val="00296233"/>
    <w:rsid w:val="00297631"/>
    <w:rsid w:val="002A0D26"/>
    <w:rsid w:val="002A1294"/>
    <w:rsid w:val="002A40A7"/>
    <w:rsid w:val="002A41B5"/>
    <w:rsid w:val="002B13E2"/>
    <w:rsid w:val="002B28E5"/>
    <w:rsid w:val="002C1BFB"/>
    <w:rsid w:val="002C63E1"/>
    <w:rsid w:val="002E3C5B"/>
    <w:rsid w:val="002E3DCD"/>
    <w:rsid w:val="00316C42"/>
    <w:rsid w:val="0031759D"/>
    <w:rsid w:val="00326F16"/>
    <w:rsid w:val="003316E0"/>
    <w:rsid w:val="0033641C"/>
    <w:rsid w:val="003410FA"/>
    <w:rsid w:val="003612F5"/>
    <w:rsid w:val="00362710"/>
    <w:rsid w:val="00363B01"/>
    <w:rsid w:val="003662F5"/>
    <w:rsid w:val="003800E6"/>
    <w:rsid w:val="003901F4"/>
    <w:rsid w:val="003967A4"/>
    <w:rsid w:val="003A17AE"/>
    <w:rsid w:val="003B0249"/>
    <w:rsid w:val="003B3B61"/>
    <w:rsid w:val="003D5A4D"/>
    <w:rsid w:val="003E465C"/>
    <w:rsid w:val="00414F32"/>
    <w:rsid w:val="00417400"/>
    <w:rsid w:val="00423651"/>
    <w:rsid w:val="004276A5"/>
    <w:rsid w:val="0044163A"/>
    <w:rsid w:val="00443588"/>
    <w:rsid w:val="0045480C"/>
    <w:rsid w:val="0045680D"/>
    <w:rsid w:val="00466C57"/>
    <w:rsid w:val="00484ECE"/>
    <w:rsid w:val="004C4C89"/>
    <w:rsid w:val="004C5E0E"/>
    <w:rsid w:val="004E651C"/>
    <w:rsid w:val="004F24E5"/>
    <w:rsid w:val="004F459B"/>
    <w:rsid w:val="004F6977"/>
    <w:rsid w:val="00502A1F"/>
    <w:rsid w:val="00522F69"/>
    <w:rsid w:val="0053287C"/>
    <w:rsid w:val="00533080"/>
    <w:rsid w:val="00540572"/>
    <w:rsid w:val="00541B4E"/>
    <w:rsid w:val="00541FBD"/>
    <w:rsid w:val="005462B6"/>
    <w:rsid w:val="00565307"/>
    <w:rsid w:val="00565CB1"/>
    <w:rsid w:val="00566CB0"/>
    <w:rsid w:val="0057031F"/>
    <w:rsid w:val="00570861"/>
    <w:rsid w:val="00571C5E"/>
    <w:rsid w:val="00576FDE"/>
    <w:rsid w:val="0057700F"/>
    <w:rsid w:val="00582E7E"/>
    <w:rsid w:val="0059048C"/>
    <w:rsid w:val="00591BAD"/>
    <w:rsid w:val="005A2792"/>
    <w:rsid w:val="005A29F9"/>
    <w:rsid w:val="005A4379"/>
    <w:rsid w:val="005B60C7"/>
    <w:rsid w:val="005B77CE"/>
    <w:rsid w:val="005C18F6"/>
    <w:rsid w:val="005E2146"/>
    <w:rsid w:val="005F0306"/>
    <w:rsid w:val="005F1C3C"/>
    <w:rsid w:val="006166FA"/>
    <w:rsid w:val="00617602"/>
    <w:rsid w:val="00630A34"/>
    <w:rsid w:val="00637CE1"/>
    <w:rsid w:val="00657A47"/>
    <w:rsid w:val="00664BC0"/>
    <w:rsid w:val="00674FD8"/>
    <w:rsid w:val="0068619C"/>
    <w:rsid w:val="0068681F"/>
    <w:rsid w:val="00690136"/>
    <w:rsid w:val="0069237F"/>
    <w:rsid w:val="0069693D"/>
    <w:rsid w:val="006B437C"/>
    <w:rsid w:val="006B6D60"/>
    <w:rsid w:val="006C10F1"/>
    <w:rsid w:val="006C66D3"/>
    <w:rsid w:val="006E3CFD"/>
    <w:rsid w:val="006F42CC"/>
    <w:rsid w:val="006F5844"/>
    <w:rsid w:val="006F750C"/>
    <w:rsid w:val="00706331"/>
    <w:rsid w:val="00711903"/>
    <w:rsid w:val="0071301C"/>
    <w:rsid w:val="007140D0"/>
    <w:rsid w:val="00716469"/>
    <w:rsid w:val="00720C5A"/>
    <w:rsid w:val="00731C22"/>
    <w:rsid w:val="00736047"/>
    <w:rsid w:val="0074195A"/>
    <w:rsid w:val="007439F7"/>
    <w:rsid w:val="00743ED6"/>
    <w:rsid w:val="00761A02"/>
    <w:rsid w:val="007631DD"/>
    <w:rsid w:val="00773AEB"/>
    <w:rsid w:val="007849C5"/>
    <w:rsid w:val="0078612A"/>
    <w:rsid w:val="00787670"/>
    <w:rsid w:val="007A2F92"/>
    <w:rsid w:val="007A6142"/>
    <w:rsid w:val="007B193F"/>
    <w:rsid w:val="007E1F0A"/>
    <w:rsid w:val="007E220F"/>
    <w:rsid w:val="007E3C37"/>
    <w:rsid w:val="007E7C0F"/>
    <w:rsid w:val="007F28DE"/>
    <w:rsid w:val="008018B0"/>
    <w:rsid w:val="008228CC"/>
    <w:rsid w:val="00834C7F"/>
    <w:rsid w:val="00855EC8"/>
    <w:rsid w:val="00856C0A"/>
    <w:rsid w:val="008619E1"/>
    <w:rsid w:val="00866E99"/>
    <w:rsid w:val="00876F75"/>
    <w:rsid w:val="00884397"/>
    <w:rsid w:val="00890F93"/>
    <w:rsid w:val="00891F86"/>
    <w:rsid w:val="008926B3"/>
    <w:rsid w:val="00896C01"/>
    <w:rsid w:val="008A21A4"/>
    <w:rsid w:val="008A52E9"/>
    <w:rsid w:val="008A7624"/>
    <w:rsid w:val="008B1B99"/>
    <w:rsid w:val="008B703B"/>
    <w:rsid w:val="008B7610"/>
    <w:rsid w:val="008C238C"/>
    <w:rsid w:val="008C288D"/>
    <w:rsid w:val="008C2F02"/>
    <w:rsid w:val="008D310F"/>
    <w:rsid w:val="008D6E39"/>
    <w:rsid w:val="008E70CD"/>
    <w:rsid w:val="00905DB7"/>
    <w:rsid w:val="00911FF4"/>
    <w:rsid w:val="00913A8B"/>
    <w:rsid w:val="00925502"/>
    <w:rsid w:val="00926EC5"/>
    <w:rsid w:val="0093102B"/>
    <w:rsid w:val="00935C6E"/>
    <w:rsid w:val="00937A89"/>
    <w:rsid w:val="00940069"/>
    <w:rsid w:val="009418E2"/>
    <w:rsid w:val="009430EF"/>
    <w:rsid w:val="00950ECA"/>
    <w:rsid w:val="00963609"/>
    <w:rsid w:val="00965B2C"/>
    <w:rsid w:val="00967D28"/>
    <w:rsid w:val="00970FE4"/>
    <w:rsid w:val="00971AB3"/>
    <w:rsid w:val="009771DA"/>
    <w:rsid w:val="0099336E"/>
    <w:rsid w:val="009942F8"/>
    <w:rsid w:val="009947BB"/>
    <w:rsid w:val="009A19ED"/>
    <w:rsid w:val="009A4833"/>
    <w:rsid w:val="009A659F"/>
    <w:rsid w:val="009B638D"/>
    <w:rsid w:val="009C3578"/>
    <w:rsid w:val="009D1251"/>
    <w:rsid w:val="009D6BD3"/>
    <w:rsid w:val="009E1190"/>
    <w:rsid w:val="009E4438"/>
    <w:rsid w:val="009E4AF7"/>
    <w:rsid w:val="009E5E4D"/>
    <w:rsid w:val="009E60E4"/>
    <w:rsid w:val="009F3A76"/>
    <w:rsid w:val="00A1360C"/>
    <w:rsid w:val="00A276F5"/>
    <w:rsid w:val="00A35926"/>
    <w:rsid w:val="00A5648B"/>
    <w:rsid w:val="00A61802"/>
    <w:rsid w:val="00A62953"/>
    <w:rsid w:val="00A72E7B"/>
    <w:rsid w:val="00A9186C"/>
    <w:rsid w:val="00A93F1B"/>
    <w:rsid w:val="00A96B65"/>
    <w:rsid w:val="00AA78B7"/>
    <w:rsid w:val="00AB02E0"/>
    <w:rsid w:val="00AC0989"/>
    <w:rsid w:val="00AC274E"/>
    <w:rsid w:val="00AD16A3"/>
    <w:rsid w:val="00AD3DE5"/>
    <w:rsid w:val="00AD50EA"/>
    <w:rsid w:val="00AE337E"/>
    <w:rsid w:val="00AE6631"/>
    <w:rsid w:val="00AF19D9"/>
    <w:rsid w:val="00AF5F21"/>
    <w:rsid w:val="00B01AC9"/>
    <w:rsid w:val="00B05B54"/>
    <w:rsid w:val="00B169FF"/>
    <w:rsid w:val="00B27783"/>
    <w:rsid w:val="00B67D38"/>
    <w:rsid w:val="00B7200D"/>
    <w:rsid w:val="00B77951"/>
    <w:rsid w:val="00B837BA"/>
    <w:rsid w:val="00B9413E"/>
    <w:rsid w:val="00BA1C7D"/>
    <w:rsid w:val="00BA7C56"/>
    <w:rsid w:val="00BB3B2C"/>
    <w:rsid w:val="00BC31A2"/>
    <w:rsid w:val="00BD5331"/>
    <w:rsid w:val="00BD7446"/>
    <w:rsid w:val="00BE2C9F"/>
    <w:rsid w:val="00BF2816"/>
    <w:rsid w:val="00C01698"/>
    <w:rsid w:val="00C16A62"/>
    <w:rsid w:val="00C27D56"/>
    <w:rsid w:val="00C35DFC"/>
    <w:rsid w:val="00C47527"/>
    <w:rsid w:val="00C510DD"/>
    <w:rsid w:val="00C615ED"/>
    <w:rsid w:val="00C61E8F"/>
    <w:rsid w:val="00C80C7E"/>
    <w:rsid w:val="00C81FA7"/>
    <w:rsid w:val="00C84380"/>
    <w:rsid w:val="00C96C91"/>
    <w:rsid w:val="00CA495F"/>
    <w:rsid w:val="00CA59C3"/>
    <w:rsid w:val="00CB26E8"/>
    <w:rsid w:val="00CC0D08"/>
    <w:rsid w:val="00CE2CDA"/>
    <w:rsid w:val="00CE7D24"/>
    <w:rsid w:val="00CF759C"/>
    <w:rsid w:val="00D075A0"/>
    <w:rsid w:val="00D21D86"/>
    <w:rsid w:val="00D236F6"/>
    <w:rsid w:val="00D269B1"/>
    <w:rsid w:val="00D27336"/>
    <w:rsid w:val="00D32964"/>
    <w:rsid w:val="00D32F2E"/>
    <w:rsid w:val="00D54DF2"/>
    <w:rsid w:val="00D63739"/>
    <w:rsid w:val="00D750E8"/>
    <w:rsid w:val="00D76508"/>
    <w:rsid w:val="00D80FBD"/>
    <w:rsid w:val="00D83445"/>
    <w:rsid w:val="00D83746"/>
    <w:rsid w:val="00D86DD2"/>
    <w:rsid w:val="00D87A60"/>
    <w:rsid w:val="00D87A76"/>
    <w:rsid w:val="00D9209B"/>
    <w:rsid w:val="00DA06F4"/>
    <w:rsid w:val="00DB55F4"/>
    <w:rsid w:val="00DB58D2"/>
    <w:rsid w:val="00DB6DC8"/>
    <w:rsid w:val="00DC4E36"/>
    <w:rsid w:val="00DD79FB"/>
    <w:rsid w:val="00DF0AB5"/>
    <w:rsid w:val="00E11CA6"/>
    <w:rsid w:val="00E12A4B"/>
    <w:rsid w:val="00E13D58"/>
    <w:rsid w:val="00E14565"/>
    <w:rsid w:val="00E20612"/>
    <w:rsid w:val="00E23E64"/>
    <w:rsid w:val="00E25243"/>
    <w:rsid w:val="00E36246"/>
    <w:rsid w:val="00E37BEA"/>
    <w:rsid w:val="00E423CF"/>
    <w:rsid w:val="00E52D63"/>
    <w:rsid w:val="00E635EF"/>
    <w:rsid w:val="00E636D7"/>
    <w:rsid w:val="00E76F56"/>
    <w:rsid w:val="00E864B3"/>
    <w:rsid w:val="00E87A4F"/>
    <w:rsid w:val="00E954EE"/>
    <w:rsid w:val="00EA5C58"/>
    <w:rsid w:val="00EB3E6F"/>
    <w:rsid w:val="00EC1A60"/>
    <w:rsid w:val="00ED5560"/>
    <w:rsid w:val="00EF3400"/>
    <w:rsid w:val="00EF73A0"/>
    <w:rsid w:val="00F05A6A"/>
    <w:rsid w:val="00F12DC2"/>
    <w:rsid w:val="00F14038"/>
    <w:rsid w:val="00F14579"/>
    <w:rsid w:val="00F152DF"/>
    <w:rsid w:val="00F44235"/>
    <w:rsid w:val="00F55699"/>
    <w:rsid w:val="00F62674"/>
    <w:rsid w:val="00F707CA"/>
    <w:rsid w:val="00F76B02"/>
    <w:rsid w:val="00F77257"/>
    <w:rsid w:val="00F81142"/>
    <w:rsid w:val="00F8440A"/>
    <w:rsid w:val="00F85870"/>
    <w:rsid w:val="00FA64E4"/>
    <w:rsid w:val="00FB1032"/>
    <w:rsid w:val="00FC4BFE"/>
    <w:rsid w:val="00FD66F1"/>
    <w:rsid w:val="00FD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8B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FERCparanumber">
    <w:name w:val="FERC paranumber"/>
    <w:basedOn w:val="Normal"/>
    <w:link w:val="FERCparanumberChar"/>
    <w:qFormat/>
    <w:rsid w:val="006F42CC"/>
    <w:pPr>
      <w:widowControl w:val="0"/>
      <w:numPr>
        <w:numId w:val="10"/>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ERCparanumberChar">
    <w:name w:val="FERC paranumber Char"/>
    <w:link w:val="FERCparanumber"/>
    <w:rsid w:val="006F42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FERCparanumber">
    <w:name w:val="FERC paranumber"/>
    <w:basedOn w:val="Normal"/>
    <w:link w:val="FERCparanumberChar"/>
    <w:qFormat/>
    <w:rsid w:val="006F42CC"/>
    <w:pPr>
      <w:widowControl w:val="0"/>
      <w:numPr>
        <w:numId w:val="10"/>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ERCparanumberChar">
    <w:name w:val="FERC paranumber Char"/>
    <w:link w:val="FERCparanumber"/>
    <w:rsid w:val="006F42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6150">
      <w:bodyDiv w:val="1"/>
      <w:marLeft w:val="0"/>
      <w:marRight w:val="0"/>
      <w:marTop w:val="0"/>
      <w:marBottom w:val="0"/>
      <w:divBdr>
        <w:top w:val="none" w:sz="0" w:space="0" w:color="auto"/>
        <w:left w:val="none" w:sz="0" w:space="0" w:color="auto"/>
        <w:bottom w:val="none" w:sz="0" w:space="0" w:color="auto"/>
        <w:right w:val="none" w:sz="0" w:space="0" w:color="auto"/>
      </w:divBdr>
    </w:div>
    <w:div w:id="383867811">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1626084581">
      <w:bodyDiv w:val="1"/>
      <w:marLeft w:val="0"/>
      <w:marRight w:val="0"/>
      <w:marTop w:val="0"/>
      <w:marBottom w:val="0"/>
      <w:divBdr>
        <w:top w:val="none" w:sz="0" w:space="0" w:color="auto"/>
        <w:left w:val="none" w:sz="0" w:space="0" w:color="auto"/>
        <w:bottom w:val="none" w:sz="0" w:space="0" w:color="auto"/>
        <w:right w:val="none" w:sz="0" w:space="0" w:color="auto"/>
      </w:divBdr>
    </w:div>
    <w:div w:id="167287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ferc.gov/docs-filing/etariff/implementation-guide.pdf" TargetMode="External"/><Relationship Id="rId1" Type="http://schemas.openxmlformats.org/officeDocument/2006/relationships/hyperlink" Target="http://elibrary.ferc.gov/idmws/common/opennat.asp?fileID=13455123"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ate xmlns="d6eefc7d-9817-4fa6-84d5-3bc009be21b8">2015-01-22T05:00:00+00:00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RM14-21</_x0031__x002e__x0020_Docket_x0020_Number>
    <_x0033__x002e__x0020_Collection_x0020_Number xmlns="d6eefc7d-9817-4fa6-84d5-3bc009be21b8" xsi:nil="true"/>
  </documentManagement>
</p:properti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9BA4-FEF8-4D62-8D5D-E1F9654C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A4479-0543-455B-A152-110FB41B2830}">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d6eefc7d-9817-4fa6-84d5-3bc009be21b8"/>
    <ds:schemaRef ds:uri="http://purl.org/dc/dcmitype/"/>
    <ds:schemaRef ds:uri="http://purl.org/dc/elements/1.1/"/>
  </ds:schemaRefs>
</ds:datastoreItem>
</file>

<file path=customXml/itemProps3.xml><?xml version="1.0" encoding="utf-8"?>
<ds:datastoreItem xmlns:ds="http://schemas.openxmlformats.org/officeDocument/2006/customXml" ds:itemID="{7E3F4928-4AA2-4F0F-93C9-DA8F9AE52375}">
  <ds:schemaRefs>
    <ds:schemaRef ds:uri="http://schemas.microsoft.com/office/2006/metadata/customXsn"/>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C1FB071A-2A35-44D0-AF08-ED3428DF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2015-01-22T21:17:00Z</dcterms:created>
  <dcterms:modified xsi:type="dcterms:W3CDTF">2015-01-22T21:17:00Z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