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5A" w:rsidRPr="0003204E" w:rsidRDefault="005D415A" w:rsidP="005D415A">
      <w:pPr>
        <w:spacing w:after="0" w:line="240" w:lineRule="auto"/>
        <w:ind w:firstLine="240"/>
        <w:rPr>
          <w:rFonts w:ascii="Times New Roman" w:eastAsia="Times New Roman" w:hAnsi="Times New Roman" w:cs="Times New Roman"/>
          <w:b/>
        </w:rPr>
      </w:pPr>
      <w:bookmarkStart w:id="0" w:name="_GoBack"/>
      <w:bookmarkEnd w:id="0"/>
      <w:r w:rsidRPr="0003204E">
        <w:rPr>
          <w:rFonts w:ascii="Times New Roman" w:eastAsia="Times New Roman" w:hAnsi="Times New Roman" w:cs="Times New Roman"/>
          <w:b/>
        </w:rPr>
        <w:t>§657. Inspections, investigations, and recordkeeping</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(a) Authority of Secretary to enter, </w:t>
      </w:r>
      <w:proofErr w:type="gramStart"/>
      <w:r w:rsidRPr="004A5188">
        <w:rPr>
          <w:rFonts w:ascii="Times New Roman" w:eastAsia="Times New Roman" w:hAnsi="Times New Roman" w:cs="Times New Roman"/>
        </w:rPr>
        <w:t>inspect</w:t>
      </w:r>
      <w:proofErr w:type="gramEnd"/>
      <w:r w:rsidRPr="004A5188">
        <w:rPr>
          <w:rFonts w:ascii="Times New Roman" w:eastAsia="Times New Roman" w:hAnsi="Times New Roman" w:cs="Times New Roman"/>
        </w:rPr>
        <w:t>, and investigate places of employment; time and manner</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In order to carry out the purposes of this chapter, the Secretary, upon presenting appropriate credentials to the owner, operator, or agent in charge, is authorized—</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(1) </w:t>
      </w:r>
      <w:proofErr w:type="gramStart"/>
      <w:r w:rsidRPr="004A5188">
        <w:rPr>
          <w:rFonts w:ascii="Times New Roman" w:eastAsia="Times New Roman" w:hAnsi="Times New Roman" w:cs="Times New Roman"/>
        </w:rPr>
        <w:t>to</w:t>
      </w:r>
      <w:proofErr w:type="gramEnd"/>
      <w:r w:rsidRPr="004A5188">
        <w:rPr>
          <w:rFonts w:ascii="Times New Roman" w:eastAsia="Times New Roman" w:hAnsi="Times New Roman" w:cs="Times New Roman"/>
        </w:rPr>
        <w:t xml:space="preserve"> enter without delay and at reasonable times any factory, plant, establishment, construction site, or other area, workplace or environment where work is performed by an employee of an employer; and</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to inspect and investigate during regular working hours and at other reasonable times, and within reasonable limits and in a reasonable manner, any such place of employment and all pertinent conditions, structures, machines, apparatus, devices, equipment, and materials therein, and to question privately any such employer, owner, operator, agent, or employee.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(b) Attendance and testimony of witnesses and production of evidence; enforcement of subpoena</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In making his inspections and investigations under this chapter the Secretary may require the attendance and testimony of witnesses and the production of evidence under oath. Witnesses shall be paid the same fees and mileage that are paid witnesses in the courts of the United States.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(c) Maintenance, preservation, and availability of records; issuance of regulations; scope of records; periodic inspections by employer; posting of notices by employer; notification of employee of corrective action</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Each employer shall make, keep and preserve, and make available to the Secretary or the Secretary of Health and Human Services, such records regarding his activities relating to this chapter as the Secretary, in cooperation with the Secretary of Health and Human Services, may prescribe by regulation as necessary or appropriate for the enforcement of this chapter or for developing information regarding the causes and prevention of occupational accidents and illnesses. In order to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chapter, including the provisions of applicable standards.</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The Secretary, in cooperation with the Secretary of Health and Human Services, shall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(3) The Secretary, in cooperation with the Secretary of Health and Human Services, shall issue regulations requiring employers to maintain accurate records of employee exposures to </w:t>
      </w:r>
      <w:r w:rsidRPr="004A5188">
        <w:rPr>
          <w:rFonts w:ascii="Times New Roman" w:eastAsia="Times New Roman" w:hAnsi="Times New Roman" w:cs="Times New Roman"/>
        </w:rPr>
        <w:lastRenderedPageBreak/>
        <w:t>potentially toxic materials or harmful physical agents which are required to be monitored or measured under section 655 of this title.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materials or harmful physical agents in concentrations or at levels which exceed those prescribed by an applicable occupational safety and health standard promulgated under section 655 of this title, and shall inform any employee who is being thus exposed of the corrective action being taken.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(d) Obtaining of information</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Any information obtained by the Secretary, the Secretary of Health and Human Services, or a State agency under this chapter shall be obtained with a minimum burden upon employers, especially those operating small businesses. Unnecessary duplication of efforts in obtaining information shall be reduced to the maximum extent feasible.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(e) Employer and authorized employee representatives to accompany Secretary or his authorized representative on inspection of workplace; consultation with employees where no authorized employee representative is present</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of this section for the purpose of aiding such inspection. Where there is no authorized employee representative, the Secretary or his authorized representative shall consult with a reasonable number of employees concerning matters of health and safety in the workplace.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(f) Request for inspection by employees or representative of employees; grounds; procedure; determination of request; notification of Secretary or representative prior to or during any inspection of violations; procedure for review of refusal by representative of Secretary to issue citation for alleged violations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(2) Prior to or during any inspection of a workplace, any employees or representative of employees employed in such workplace may notify the Secretary or any representative of the Secretary responsible for conducting the inspection, in writing, of any violation of this chapter which they have reason to believe exists in such workplace. The Secretary shall, by regulation, establish procedures for informal review of any refusal by a representative of the Secretary to </w:t>
      </w:r>
      <w:r w:rsidRPr="004A5188">
        <w:rPr>
          <w:rFonts w:ascii="Times New Roman" w:eastAsia="Times New Roman" w:hAnsi="Times New Roman" w:cs="Times New Roman"/>
        </w:rPr>
        <w:lastRenderedPageBreak/>
        <w:t>issue a citation with respect to any such alleged violation and shall furnish the employees or representative of employees requesting such review a written statement of the reasons for the Secretary's final disposition of the case.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(g) Compilation, analysis, and publication of reports and information; rules and regulations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The Secretary and Secretary of Health and Human Services are authorized to compile, analyze, and publish, either in summary or detailed form, all reports or information obtained under this section.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The Secretary and the Secretary of Health and Human Services shall each prescribe such rules and regulations as he may deem necessary to carry out their responsibilities under this chapter, including rules and regulations dealing with the inspection of an employer's establishment.</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(h) Use of results of enforcement activities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The Secretary shall not use the results of enforcement activities, such as the number of citations issued or penalties assessed, to evaluate employees directly involved in enforcement activities under this chapter or to impose quotas or goals with regard to the results of such activities.</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proofErr w:type="gramStart"/>
      <w:r w:rsidRPr="004A5188">
        <w:rPr>
          <w:rFonts w:ascii="Times New Roman" w:eastAsia="Times New Roman" w:hAnsi="Times New Roman" w:cs="Times New Roman"/>
        </w:rPr>
        <w:t>(Pub.</w:t>
      </w:r>
      <w:proofErr w:type="gramEnd"/>
      <w:r w:rsidRPr="004A5188">
        <w:rPr>
          <w:rFonts w:ascii="Times New Roman" w:eastAsia="Times New Roman" w:hAnsi="Times New Roman" w:cs="Times New Roman"/>
        </w:rPr>
        <w:t xml:space="preserve"> L. 91–596, §8, Dec. 29, 1970, 84 Stat. 1598; Pub. L. 96–88, title V, §509(b), Oct. 17, 1979, 93 Stat. 695; Pub. </w:t>
      </w:r>
      <w:proofErr w:type="gramStart"/>
      <w:r w:rsidRPr="004A5188">
        <w:rPr>
          <w:rFonts w:ascii="Times New Roman" w:eastAsia="Times New Roman" w:hAnsi="Times New Roman" w:cs="Times New Roman"/>
        </w:rPr>
        <w:t>L. 105–198, §1, July 16, 1998, 112 Stat. 640.)</w:t>
      </w:r>
      <w:proofErr w:type="gramEnd"/>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Amendments</w:t>
      </w:r>
    </w:p>
    <w:p w:rsidR="005D415A" w:rsidRPr="004A5188" w:rsidRDefault="005D415A" w:rsidP="005D415A">
      <w:pPr>
        <w:spacing w:after="0" w:line="240" w:lineRule="auto"/>
        <w:ind w:firstLine="240"/>
        <w:rPr>
          <w:rFonts w:ascii="Times New Roman" w:eastAsia="Times New Roman" w:hAnsi="Times New Roman" w:cs="Times New Roman"/>
        </w:rPr>
      </w:pPr>
      <w:proofErr w:type="gramStart"/>
      <w:r w:rsidRPr="004A5188">
        <w:rPr>
          <w:rFonts w:ascii="Times New Roman" w:eastAsia="Times New Roman" w:hAnsi="Times New Roman" w:cs="Times New Roman"/>
        </w:rPr>
        <w:t>1998—</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w:t>
      </w:r>
      <w:proofErr w:type="gramEnd"/>
      <w:r w:rsidRPr="004A5188">
        <w:rPr>
          <w:rFonts w:ascii="Times New Roman" w:eastAsia="Times New Roman" w:hAnsi="Times New Roman" w:cs="Times New Roman"/>
        </w:rPr>
        <w:t xml:space="preserve"> (h). Pub. L. 105–198 added </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 (h).</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Change of Name</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“Secretary of Health and Human Services” substituted for “Secretary of Health, Education, and Welfare” in </w:t>
      </w:r>
      <w:proofErr w:type="spellStart"/>
      <w:r w:rsidRPr="004A5188">
        <w:rPr>
          <w:rFonts w:ascii="Times New Roman" w:eastAsia="Times New Roman" w:hAnsi="Times New Roman" w:cs="Times New Roman"/>
        </w:rPr>
        <w:t>subsecs</w:t>
      </w:r>
      <w:proofErr w:type="spellEnd"/>
      <w:r w:rsidRPr="004A5188">
        <w:rPr>
          <w:rFonts w:ascii="Times New Roman" w:eastAsia="Times New Roman" w:hAnsi="Times New Roman" w:cs="Times New Roman"/>
        </w:rPr>
        <w:t>. (c), (d), and (g) pursuant to section 509(b) of Pub. L. 96–88 which is classified to section 3508(b) of Title 20, Education.</w:t>
      </w:r>
    </w:p>
    <w:p w:rsidR="00A4506F" w:rsidRDefault="00A4506F"/>
    <w:sectPr w:rsidR="00A4506F" w:rsidSect="004A5188">
      <w:footnotePr>
        <w:numRestart w:val="eachSect"/>
      </w:footnotePr>
      <w:pgSz w:w="12240" w:h="15840" w:code="1"/>
      <w:pgMar w:top="1440" w:right="1800" w:bottom="1440" w:left="18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5A"/>
    <w:rsid w:val="00021AFE"/>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25A11"/>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752"/>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43F8"/>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415A"/>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0DCC"/>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E29F2"/>
    <w:rsid w:val="00AF34F2"/>
    <w:rsid w:val="00B03018"/>
    <w:rsid w:val="00B03F4B"/>
    <w:rsid w:val="00B06C57"/>
    <w:rsid w:val="00B24C30"/>
    <w:rsid w:val="00B32E35"/>
    <w:rsid w:val="00B432E7"/>
    <w:rsid w:val="00B66A88"/>
    <w:rsid w:val="00B70ABA"/>
    <w:rsid w:val="00B95A05"/>
    <w:rsid w:val="00BA5A2E"/>
    <w:rsid w:val="00BC3DC3"/>
    <w:rsid w:val="00BE1BE7"/>
    <w:rsid w:val="00BF060D"/>
    <w:rsid w:val="00BF2C2A"/>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6F5"/>
    <w:rsid w:val="00DB597F"/>
    <w:rsid w:val="00DC259F"/>
    <w:rsid w:val="00DE6016"/>
    <w:rsid w:val="00E018ED"/>
    <w:rsid w:val="00E118C3"/>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2015-01-16T17:39:00Z</dcterms:created>
  <dcterms:modified xsi:type="dcterms:W3CDTF">2015-01-16T17:39:00Z</dcterms:modified>
</cp:coreProperties>
</file>