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EC18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bookmarkStart w:id="0" w:name="_GoBack"/>
      <w:bookmarkEnd w:id="0"/>
      <w:r>
        <w:rPr>
          <w:b/>
          <w:bCs/>
          <w:sz w:val="32"/>
          <w:szCs w:val="32"/>
        </w:rPr>
        <w:t>Supporting Statement B</w:t>
      </w:r>
    </w:p>
    <w:p w14:paraId="1AA2C39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71363B23" w14:textId="17500653" w:rsidR="00E65C4E" w:rsidRPr="00E65C4E" w:rsidRDefault="00541B9F" w:rsidP="00E65C4E">
      <w:pPr>
        <w:spacing w:line="276" w:lineRule="auto"/>
        <w:jc w:val="center"/>
        <w:rPr>
          <w:b/>
          <w:sz w:val="32"/>
          <w:szCs w:val="32"/>
        </w:rPr>
      </w:pPr>
      <w:r>
        <w:rPr>
          <w:b/>
          <w:sz w:val="32"/>
          <w:szCs w:val="32"/>
        </w:rPr>
        <w:t>Nonf</w:t>
      </w:r>
      <w:r w:rsidR="007F761A">
        <w:rPr>
          <w:b/>
          <w:sz w:val="32"/>
          <w:szCs w:val="32"/>
        </w:rPr>
        <w:t>errous Metals Surveys</w:t>
      </w:r>
    </w:p>
    <w:p w14:paraId="4887B243"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14:paraId="18CE9A9F" w14:textId="35003448" w:rsidR="008126AE" w:rsidRP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541B9F">
        <w:rPr>
          <w:b/>
          <w:bCs/>
          <w:sz w:val="32"/>
          <w:szCs w:val="32"/>
        </w:rPr>
        <w:t>1028-0053</w:t>
      </w:r>
    </w:p>
    <w:p w14:paraId="490E76EA"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4AF4CED7"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14:paraId="2CAFF429"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14:paraId="75368B8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892C00F"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14:paraId="40DEE461"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EC2A6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1C2401C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B557DC" w14:textId="1CC88AFB" w:rsidR="00237E9C" w:rsidRDefault="00E16F33" w:rsidP="00E65C4E">
      <w:pPr>
        <w:pStyle w:val="NoSpacing"/>
        <w:ind w:firstLine="360"/>
        <w:rPr>
          <w:rFonts w:ascii="Calibri" w:hAnsi="Calibri" w:cs="Calibri"/>
          <w:sz w:val="22"/>
          <w:szCs w:val="22"/>
        </w:rPr>
      </w:pPr>
      <w:r>
        <w:rPr>
          <w:rFonts w:ascii="Calibri" w:hAnsi="Calibri" w:cs="Calibri"/>
          <w:sz w:val="22"/>
          <w:szCs w:val="22"/>
        </w:rPr>
        <w:t>These canvasses are conducted as a complete census.  No sampling is performed.  The total</w:t>
      </w:r>
      <w:r w:rsidR="008B76E4">
        <w:rPr>
          <w:rFonts w:ascii="Calibri" w:hAnsi="Calibri" w:cs="Calibri"/>
          <w:sz w:val="22"/>
          <w:szCs w:val="22"/>
        </w:rPr>
        <w:t xml:space="preserve"> universe is approximately 1,557</w:t>
      </w:r>
      <w:r>
        <w:rPr>
          <w:rFonts w:ascii="Calibri" w:hAnsi="Calibri" w:cs="Calibri"/>
          <w:sz w:val="22"/>
          <w:szCs w:val="22"/>
        </w:rPr>
        <w:t xml:space="preserve"> respondents that are business or other-for-profit institutions (Table 1 below).</w:t>
      </w:r>
      <w:r w:rsidR="00B32BF7">
        <w:rPr>
          <w:rFonts w:ascii="Calibri" w:hAnsi="Calibri" w:cs="Calibri"/>
          <w:sz w:val="22"/>
          <w:szCs w:val="22"/>
        </w:rPr>
        <w:t xml:space="preserve">  The sources used to create the sampling frame are trade periodicals (such as American Metal Market, Platt’s Metal Week, Metal Bulletin, and Ryan’s Notes), and U.S. Geological Survey</w:t>
      </w:r>
      <w:r w:rsidR="002A55B3">
        <w:rPr>
          <w:rFonts w:ascii="Calibri" w:hAnsi="Calibri" w:cs="Calibri"/>
          <w:sz w:val="22"/>
          <w:szCs w:val="22"/>
        </w:rPr>
        <w:t xml:space="preserve"> (USGS) commodity specialists’ direct contacts with industry specialists.  Once a year, commodity specialists update the </w:t>
      </w:r>
      <w:proofErr w:type="gramStart"/>
      <w:r w:rsidR="002A55B3">
        <w:rPr>
          <w:rFonts w:ascii="Calibri" w:hAnsi="Calibri" w:cs="Calibri"/>
          <w:sz w:val="22"/>
          <w:szCs w:val="22"/>
        </w:rPr>
        <w:t>frame</w:t>
      </w:r>
      <w:proofErr w:type="gramEnd"/>
      <w:r w:rsidR="002A55B3">
        <w:rPr>
          <w:rFonts w:ascii="Calibri" w:hAnsi="Calibri" w:cs="Calibri"/>
          <w:sz w:val="22"/>
          <w:szCs w:val="22"/>
        </w:rPr>
        <w:t>.</w:t>
      </w:r>
    </w:p>
    <w:p w14:paraId="52ECFCB9" w14:textId="77777777" w:rsidR="00E65C4E" w:rsidRDefault="00E65C4E" w:rsidP="00E65C4E">
      <w:pPr>
        <w:pStyle w:val="NoSpacing"/>
        <w:rPr>
          <w:rFonts w:ascii="Calibri" w:hAnsi="Calibri" w:cs="Calibri"/>
          <w:i/>
          <w:sz w:val="22"/>
          <w:szCs w:val="22"/>
        </w:rPr>
      </w:pPr>
    </w:p>
    <w:p w14:paraId="283F5179" w14:textId="77777777" w:rsidR="0099267A" w:rsidRDefault="0099267A">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68A824AA" w14:textId="5ECE065A" w:rsidR="00E65C4E" w:rsidRDefault="00E65C4E" w:rsidP="00E65C4E">
      <w:pPr>
        <w:spacing w:line="276" w:lineRule="auto"/>
        <w:rPr>
          <w:rFonts w:ascii="Calibri" w:hAnsi="Calibri" w:cs="Calibri"/>
          <w:color w:val="000000"/>
          <w:sz w:val="22"/>
          <w:szCs w:val="22"/>
        </w:rPr>
      </w:pPr>
      <w:r w:rsidRPr="00AC789C">
        <w:rPr>
          <w:rFonts w:ascii="Calibri" w:hAnsi="Calibri" w:cs="Calibri"/>
          <w:color w:val="000000"/>
          <w:sz w:val="22"/>
          <w:szCs w:val="22"/>
        </w:rPr>
        <w:lastRenderedPageBreak/>
        <w:t>Table 1. Consolidated estimates of annual burden</w:t>
      </w:r>
      <w:r>
        <w:rPr>
          <w:rFonts w:ascii="Calibri" w:hAnsi="Calibri" w:cs="Calibri"/>
          <w:color w:val="000000"/>
          <w:sz w:val="22"/>
          <w:szCs w:val="22"/>
        </w:rPr>
        <w:t xml:space="preserve"> (private sector)</w:t>
      </w:r>
      <w:r w:rsidR="003500CE">
        <w:rPr>
          <w:rFonts w:ascii="Calibri" w:hAnsi="Calibri" w:cs="Calibri"/>
          <w:color w:val="000000"/>
          <w:sz w:val="22"/>
          <w:szCs w:val="22"/>
        </w:rPr>
        <w:t xml:space="preserve"> </w:t>
      </w:r>
      <w:r w:rsidR="003500CE" w:rsidRPr="00BE49E0">
        <w:rPr>
          <w:rFonts w:ascii="Calibri" w:hAnsi="Calibri" w:cs="Calibri"/>
          <w:color w:val="000000"/>
          <w:sz w:val="22"/>
          <w:szCs w:val="22"/>
          <w:vertAlign w:val="superscript"/>
        </w:rPr>
        <w:t>1</w:t>
      </w:r>
    </w:p>
    <w:p w14:paraId="42EBCADE" w14:textId="77777777" w:rsidR="009706D8" w:rsidRDefault="009706D8" w:rsidP="00E65C4E">
      <w:pPr>
        <w:spacing w:line="276" w:lineRule="auto"/>
        <w:rPr>
          <w:rFonts w:ascii="Calibri" w:hAnsi="Calibri" w:cs="Calibri"/>
          <w:color w:val="000000"/>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9706D8" w14:paraId="26745B02" w14:textId="77777777" w:rsidTr="009706D8">
        <w:trPr>
          <w:trHeight w:val="368"/>
        </w:trPr>
        <w:tc>
          <w:tcPr>
            <w:tcW w:w="3060" w:type="dxa"/>
            <w:gridSpan w:val="3"/>
            <w:tcBorders>
              <w:top w:val="single" w:sz="4" w:space="0" w:color="auto"/>
              <w:left w:val="single" w:sz="4" w:space="0" w:color="auto"/>
              <w:bottom w:val="single" w:sz="4" w:space="0" w:color="auto"/>
              <w:right w:val="single" w:sz="4" w:space="0" w:color="auto"/>
            </w:tcBorders>
          </w:tcPr>
          <w:p w14:paraId="48D9EAFB" w14:textId="77777777" w:rsidR="009706D8" w:rsidRDefault="009706D8">
            <w:pPr>
              <w:spacing w:line="276" w:lineRule="auto"/>
              <w:rPr>
                <w:rFonts w:ascii="Calibri" w:hAnsi="Calibri" w:cs="Calibri"/>
              </w:rPr>
            </w:pPr>
          </w:p>
        </w:tc>
        <w:tc>
          <w:tcPr>
            <w:tcW w:w="5130" w:type="dxa"/>
            <w:gridSpan w:val="4"/>
            <w:tcBorders>
              <w:top w:val="single" w:sz="4" w:space="0" w:color="auto"/>
              <w:left w:val="single" w:sz="18" w:space="0" w:color="auto"/>
              <w:bottom w:val="single" w:sz="4" w:space="0" w:color="auto"/>
              <w:right w:val="single" w:sz="12" w:space="0" w:color="auto"/>
            </w:tcBorders>
            <w:shd w:val="clear" w:color="auto" w:fill="D9D9D9"/>
            <w:vAlign w:val="center"/>
            <w:hideMark/>
          </w:tcPr>
          <w:p w14:paraId="6B18835C" w14:textId="77777777" w:rsidR="009706D8" w:rsidRDefault="009706D8">
            <w:pPr>
              <w:spacing w:line="276" w:lineRule="auto"/>
              <w:jc w:val="center"/>
              <w:rPr>
                <w:rFonts w:ascii="Calibri" w:hAnsi="Calibri" w:cs="Calibri"/>
                <w:b/>
              </w:rPr>
            </w:pPr>
            <w:r>
              <w:rPr>
                <w:rFonts w:ascii="Calibri" w:hAnsi="Calibri" w:cs="Calibri"/>
                <w:b/>
              </w:rPr>
              <w:t>PRIVATE SECTOR</w:t>
            </w:r>
          </w:p>
        </w:tc>
      </w:tr>
      <w:tr w:rsidR="009706D8" w14:paraId="4BCB9B25" w14:textId="77777777" w:rsidTr="009706D8">
        <w:tc>
          <w:tcPr>
            <w:tcW w:w="450" w:type="dxa"/>
            <w:tcBorders>
              <w:top w:val="single" w:sz="4" w:space="0" w:color="auto"/>
              <w:left w:val="single" w:sz="4" w:space="0" w:color="auto"/>
              <w:bottom w:val="single" w:sz="4" w:space="0" w:color="auto"/>
              <w:right w:val="single" w:sz="4" w:space="0" w:color="auto"/>
            </w:tcBorders>
          </w:tcPr>
          <w:p w14:paraId="58D4157F" w14:textId="77777777" w:rsidR="009706D8" w:rsidRDefault="009706D8">
            <w:pPr>
              <w:spacing w:line="276" w:lineRule="auto"/>
              <w:jc w:val="center"/>
              <w:rPr>
                <w:rFonts w:ascii="Calibri" w:hAnsi="Calibri" w:cs="Calibri"/>
                <w:b/>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B4984B3" w14:textId="77777777" w:rsidR="009706D8" w:rsidRDefault="009706D8">
            <w:pPr>
              <w:spacing w:line="276" w:lineRule="auto"/>
              <w:jc w:val="center"/>
              <w:rPr>
                <w:rFonts w:ascii="Calibri" w:hAnsi="Calibri" w:cs="Calibri"/>
                <w:b/>
              </w:rPr>
            </w:pPr>
            <w:r>
              <w:rPr>
                <w:rFonts w:ascii="Calibri" w:hAnsi="Calibri" w:cs="Calibri"/>
                <w:b/>
              </w:rPr>
              <w:t>Form No.</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E749F85" w14:textId="77777777" w:rsidR="009706D8" w:rsidRDefault="009706D8">
            <w:pPr>
              <w:spacing w:line="276" w:lineRule="auto"/>
              <w:jc w:val="center"/>
              <w:rPr>
                <w:rFonts w:ascii="Calibri" w:hAnsi="Calibri" w:cs="Calibri"/>
                <w:b/>
              </w:rPr>
            </w:pPr>
            <w:r>
              <w:rPr>
                <w:rFonts w:ascii="Calibri" w:hAnsi="Calibri" w:cs="Calibri"/>
                <w:b/>
              </w:rPr>
              <w:t>Frequency</w:t>
            </w:r>
          </w:p>
        </w:tc>
        <w:tc>
          <w:tcPr>
            <w:tcW w:w="1350" w:type="dxa"/>
            <w:tcBorders>
              <w:top w:val="single" w:sz="4" w:space="0" w:color="auto"/>
              <w:left w:val="single" w:sz="18" w:space="0" w:color="auto"/>
              <w:bottom w:val="single" w:sz="4" w:space="0" w:color="auto"/>
              <w:right w:val="single" w:sz="4" w:space="0" w:color="auto"/>
            </w:tcBorders>
            <w:shd w:val="clear" w:color="auto" w:fill="D9D9D9"/>
            <w:vAlign w:val="center"/>
            <w:hideMark/>
          </w:tcPr>
          <w:p w14:paraId="4B1878A6" w14:textId="77777777" w:rsidR="009706D8" w:rsidRDefault="009706D8">
            <w:pPr>
              <w:spacing w:line="276" w:lineRule="auto"/>
              <w:jc w:val="center"/>
              <w:rPr>
                <w:rFonts w:ascii="Calibri" w:hAnsi="Calibri" w:cs="Calibri"/>
                <w:b/>
              </w:rPr>
            </w:pPr>
            <w:r>
              <w:rPr>
                <w:rFonts w:ascii="Calibri" w:hAnsi="Calibri" w:cs="Calibri"/>
                <w:b/>
              </w:rPr>
              <w:t>Number of</w:t>
            </w:r>
          </w:p>
          <w:p w14:paraId="04D94F27" w14:textId="77777777" w:rsidR="009706D8" w:rsidRDefault="009706D8">
            <w:pPr>
              <w:spacing w:line="276" w:lineRule="auto"/>
              <w:jc w:val="center"/>
              <w:rPr>
                <w:rFonts w:ascii="Calibri" w:hAnsi="Calibri" w:cs="Calibri"/>
                <w:b/>
              </w:rPr>
            </w:pPr>
            <w:r>
              <w:rPr>
                <w:rFonts w:ascii="Calibri" w:hAnsi="Calibri" w:cs="Calibri"/>
                <w:b/>
              </w:rPr>
              <w:t>Respondents</w:t>
            </w:r>
          </w:p>
        </w:tc>
        <w:tc>
          <w:tcPr>
            <w:tcW w:w="1170" w:type="dxa"/>
            <w:tcBorders>
              <w:top w:val="single" w:sz="4" w:space="0" w:color="auto"/>
              <w:left w:val="single" w:sz="4" w:space="0" w:color="auto"/>
              <w:bottom w:val="single" w:sz="4" w:space="0" w:color="auto"/>
              <w:right w:val="single" w:sz="8" w:space="0" w:color="auto"/>
            </w:tcBorders>
            <w:shd w:val="clear" w:color="auto" w:fill="D9D9D9"/>
            <w:vAlign w:val="center"/>
            <w:hideMark/>
          </w:tcPr>
          <w:p w14:paraId="1FBE2C4A" w14:textId="77777777" w:rsidR="009706D8" w:rsidRDefault="009706D8">
            <w:pPr>
              <w:spacing w:line="276" w:lineRule="auto"/>
              <w:jc w:val="center"/>
              <w:rPr>
                <w:rFonts w:ascii="Calibri" w:hAnsi="Calibri" w:cs="Calibri"/>
                <w:b/>
              </w:rPr>
            </w:pPr>
            <w:r>
              <w:rPr>
                <w:rFonts w:ascii="Calibri" w:hAnsi="Calibri" w:cs="Calibri"/>
                <w:b/>
              </w:rPr>
              <w:t>Responses</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5DB5D14C" w14:textId="77777777" w:rsidR="009706D8" w:rsidRDefault="009706D8">
            <w:pPr>
              <w:spacing w:line="276" w:lineRule="auto"/>
              <w:jc w:val="center"/>
              <w:rPr>
                <w:rFonts w:ascii="Calibri" w:hAnsi="Calibri" w:cs="Calibri"/>
                <w:b/>
              </w:rPr>
            </w:pPr>
            <w:r>
              <w:rPr>
                <w:rFonts w:ascii="Calibri" w:hAnsi="Calibri" w:cs="Calibri"/>
                <w:b/>
              </w:rPr>
              <w:t>Completion Time</w:t>
            </w:r>
          </w:p>
        </w:tc>
        <w:tc>
          <w:tcPr>
            <w:tcW w:w="1350" w:type="dxa"/>
            <w:tcBorders>
              <w:top w:val="single" w:sz="4" w:space="0" w:color="auto"/>
              <w:left w:val="single" w:sz="8" w:space="0" w:color="auto"/>
              <w:bottom w:val="single" w:sz="4" w:space="0" w:color="auto"/>
              <w:right w:val="single" w:sz="12" w:space="0" w:color="auto"/>
            </w:tcBorders>
            <w:shd w:val="clear" w:color="auto" w:fill="D9D9D9"/>
            <w:vAlign w:val="center"/>
            <w:hideMark/>
          </w:tcPr>
          <w:p w14:paraId="232B3637" w14:textId="77777777" w:rsidR="009706D8" w:rsidRDefault="009706D8">
            <w:pPr>
              <w:spacing w:line="276" w:lineRule="auto"/>
              <w:jc w:val="center"/>
              <w:rPr>
                <w:rFonts w:ascii="Calibri" w:hAnsi="Calibri" w:cs="Calibri"/>
                <w:b/>
              </w:rPr>
            </w:pPr>
            <w:r>
              <w:rPr>
                <w:rFonts w:ascii="Calibri" w:hAnsi="Calibri" w:cs="Calibri"/>
                <w:b/>
              </w:rPr>
              <w:t>Burden Hours</w:t>
            </w:r>
          </w:p>
        </w:tc>
      </w:tr>
      <w:tr w:rsidR="009706D8" w14:paraId="3D63BD78" w14:textId="77777777" w:rsidTr="009706D8">
        <w:tc>
          <w:tcPr>
            <w:tcW w:w="450" w:type="dxa"/>
            <w:tcBorders>
              <w:top w:val="single" w:sz="4" w:space="0" w:color="auto"/>
              <w:left w:val="single" w:sz="4" w:space="0" w:color="auto"/>
              <w:bottom w:val="single" w:sz="4" w:space="0" w:color="auto"/>
              <w:right w:val="single" w:sz="4" w:space="0" w:color="auto"/>
            </w:tcBorders>
          </w:tcPr>
          <w:p w14:paraId="5D0BB900" w14:textId="77777777" w:rsidR="009706D8" w:rsidRDefault="009706D8">
            <w:pPr>
              <w:spacing w:line="276" w:lineRule="auto"/>
              <w:rPr>
                <w:rFonts w:ascii="Calibri" w:hAnsi="Calibri" w:cs="Calibri"/>
              </w:rPr>
            </w:pPr>
          </w:p>
        </w:tc>
        <w:tc>
          <w:tcPr>
            <w:tcW w:w="1260" w:type="dxa"/>
            <w:tcBorders>
              <w:top w:val="single" w:sz="4" w:space="0" w:color="auto"/>
              <w:left w:val="single" w:sz="4" w:space="0" w:color="auto"/>
              <w:bottom w:val="single" w:sz="4" w:space="0" w:color="auto"/>
              <w:right w:val="single" w:sz="4" w:space="0" w:color="auto"/>
            </w:tcBorders>
            <w:vAlign w:val="center"/>
          </w:tcPr>
          <w:p w14:paraId="25C517AF" w14:textId="77777777" w:rsidR="009706D8" w:rsidRDefault="009706D8">
            <w:pPr>
              <w:spacing w:line="276" w:lineRule="auto"/>
              <w:rPr>
                <w:rFonts w:ascii="Calibri" w:hAnsi="Calibri" w:cs="Calibri"/>
              </w:rPr>
            </w:pPr>
          </w:p>
        </w:tc>
        <w:tc>
          <w:tcPr>
            <w:tcW w:w="1350" w:type="dxa"/>
            <w:tcBorders>
              <w:top w:val="single" w:sz="4" w:space="0" w:color="auto"/>
              <w:left w:val="single" w:sz="4" w:space="0" w:color="auto"/>
              <w:bottom w:val="single" w:sz="4" w:space="0" w:color="auto"/>
              <w:right w:val="single" w:sz="4" w:space="0" w:color="auto"/>
            </w:tcBorders>
            <w:vAlign w:val="center"/>
          </w:tcPr>
          <w:p w14:paraId="152A5085" w14:textId="77777777" w:rsidR="009706D8" w:rsidRDefault="009706D8">
            <w:pPr>
              <w:spacing w:line="276" w:lineRule="auto"/>
              <w:rPr>
                <w:rFonts w:ascii="Calibri" w:hAnsi="Calibri" w:cs="Calibri"/>
              </w:rPr>
            </w:pPr>
          </w:p>
        </w:tc>
        <w:tc>
          <w:tcPr>
            <w:tcW w:w="1350" w:type="dxa"/>
            <w:tcBorders>
              <w:top w:val="single" w:sz="4" w:space="0" w:color="auto"/>
              <w:left w:val="single" w:sz="18" w:space="0" w:color="auto"/>
              <w:bottom w:val="single" w:sz="4" w:space="0" w:color="auto"/>
              <w:right w:val="single" w:sz="4" w:space="0" w:color="auto"/>
            </w:tcBorders>
            <w:vAlign w:val="center"/>
          </w:tcPr>
          <w:p w14:paraId="135FBDC9" w14:textId="77777777" w:rsidR="009706D8" w:rsidRDefault="009706D8">
            <w:pPr>
              <w:spacing w:line="276" w:lineRule="auto"/>
              <w:rPr>
                <w:rFonts w:ascii="Calibri" w:hAnsi="Calibri" w:cs="Calibri"/>
              </w:rPr>
            </w:pPr>
          </w:p>
        </w:tc>
        <w:tc>
          <w:tcPr>
            <w:tcW w:w="1170" w:type="dxa"/>
            <w:tcBorders>
              <w:top w:val="single" w:sz="4" w:space="0" w:color="auto"/>
              <w:left w:val="single" w:sz="4" w:space="0" w:color="auto"/>
              <w:bottom w:val="single" w:sz="4" w:space="0" w:color="auto"/>
              <w:right w:val="single" w:sz="8" w:space="0" w:color="auto"/>
            </w:tcBorders>
            <w:vAlign w:val="center"/>
          </w:tcPr>
          <w:p w14:paraId="5B0075B9" w14:textId="77777777" w:rsidR="009706D8" w:rsidRDefault="009706D8">
            <w:pPr>
              <w:spacing w:line="276" w:lineRule="auto"/>
              <w:rPr>
                <w:rFonts w:ascii="Calibri" w:hAnsi="Calibri" w:cs="Calibri"/>
              </w:rPr>
            </w:pPr>
          </w:p>
        </w:tc>
        <w:tc>
          <w:tcPr>
            <w:tcW w:w="1260" w:type="dxa"/>
            <w:tcBorders>
              <w:top w:val="single" w:sz="4" w:space="0" w:color="auto"/>
              <w:left w:val="single" w:sz="8" w:space="0" w:color="auto"/>
              <w:bottom w:val="single" w:sz="4" w:space="0" w:color="auto"/>
              <w:right w:val="single" w:sz="12" w:space="0" w:color="auto"/>
            </w:tcBorders>
            <w:vAlign w:val="center"/>
          </w:tcPr>
          <w:p w14:paraId="3BB132C4" w14:textId="77777777" w:rsidR="009706D8" w:rsidRDefault="009706D8">
            <w:pPr>
              <w:spacing w:line="276" w:lineRule="auto"/>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tcPr>
          <w:p w14:paraId="17F56D03" w14:textId="77777777" w:rsidR="009706D8" w:rsidRDefault="009706D8">
            <w:pPr>
              <w:spacing w:line="276" w:lineRule="auto"/>
              <w:rPr>
                <w:rFonts w:ascii="Calibri" w:hAnsi="Calibri" w:cs="Calibri"/>
              </w:rPr>
            </w:pPr>
          </w:p>
        </w:tc>
      </w:tr>
      <w:tr w:rsidR="009706D8" w14:paraId="31A87447"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366872F8" w14:textId="77777777" w:rsidR="009706D8" w:rsidRDefault="009706D8">
            <w:pPr>
              <w:spacing w:line="276" w:lineRule="auto"/>
              <w:rPr>
                <w:rFonts w:ascii="Calibri" w:hAnsi="Calibri" w:cs="Calibri"/>
              </w:rPr>
            </w:pPr>
            <w:r>
              <w:rPr>
                <w:rFonts w:ascii="Calibri" w:hAnsi="Calibri" w:cs="Calibri"/>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0F6DC8" w14:textId="5CF9898B" w:rsidR="009706D8" w:rsidRDefault="005B4458">
            <w:pPr>
              <w:spacing w:line="276" w:lineRule="auto"/>
              <w:rPr>
                <w:rFonts w:ascii="Calibri" w:hAnsi="Calibri" w:cs="Calibri"/>
              </w:rPr>
            </w:pPr>
            <w:r>
              <w:rPr>
                <w:rFonts w:ascii="Calibri" w:hAnsi="Calibri" w:cs="Calibri"/>
              </w:rPr>
              <w:t>9-4052</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AF37BC1"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9DF7CBE" w14:textId="47916B78" w:rsidR="009706D8" w:rsidRDefault="005B4458">
            <w:pPr>
              <w:spacing w:line="276" w:lineRule="auto"/>
              <w:jc w:val="right"/>
              <w:rPr>
                <w:rFonts w:ascii="Calibri" w:hAnsi="Calibri" w:cs="Calibri"/>
              </w:rPr>
            </w:pPr>
            <w:r>
              <w:rPr>
                <w:rFonts w:ascii="Calibri" w:hAnsi="Calibri" w:cs="Calibri"/>
              </w:rPr>
              <w:t>30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DC178DE" w14:textId="62C879D7" w:rsidR="009706D8" w:rsidRDefault="005B4458">
            <w:pPr>
              <w:spacing w:line="276" w:lineRule="auto"/>
              <w:jc w:val="right"/>
              <w:rPr>
                <w:rFonts w:ascii="Calibri" w:hAnsi="Calibri" w:cs="Calibri"/>
              </w:rPr>
            </w:pPr>
            <w:r>
              <w:rPr>
                <w:rFonts w:ascii="Calibri" w:hAnsi="Calibri" w:cs="Calibri"/>
              </w:rPr>
              <w:t>30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2468915" w14:textId="077E6316" w:rsidR="009706D8" w:rsidRDefault="005B4458">
            <w:pPr>
              <w:spacing w:line="276" w:lineRule="auto"/>
              <w:jc w:val="center"/>
              <w:rPr>
                <w:rFonts w:ascii="Calibri" w:hAnsi="Calibri" w:cs="Calibri"/>
              </w:rPr>
            </w:pPr>
            <w:r>
              <w:rPr>
                <w:rFonts w:ascii="Calibri" w:hAnsi="Calibri" w:cs="Calibri"/>
              </w:rPr>
              <w:t>30</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705B973" w14:textId="5F9C59EF" w:rsidR="009706D8" w:rsidRDefault="005B4458">
            <w:pPr>
              <w:spacing w:line="276" w:lineRule="auto"/>
              <w:jc w:val="right"/>
              <w:rPr>
                <w:rFonts w:ascii="Calibri" w:hAnsi="Calibri" w:cs="Calibri"/>
              </w:rPr>
            </w:pPr>
            <w:r>
              <w:rPr>
                <w:rFonts w:ascii="Calibri" w:hAnsi="Calibri" w:cs="Calibri"/>
              </w:rPr>
              <w:t>15</w:t>
            </w:r>
          </w:p>
        </w:tc>
      </w:tr>
      <w:tr w:rsidR="009706D8" w14:paraId="6F97C64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2681993E" w14:textId="77777777" w:rsidR="009706D8" w:rsidRDefault="009706D8">
            <w:pPr>
              <w:spacing w:line="276" w:lineRule="auto"/>
              <w:rPr>
                <w:rFonts w:ascii="Calibri" w:hAnsi="Calibri" w:cs="Calibri"/>
              </w:rPr>
            </w:pPr>
            <w:r>
              <w:rPr>
                <w:rFonts w:ascii="Calibri" w:hAnsi="Calibri" w:cs="Calibri"/>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E0A402" w14:textId="2E3ECF1F" w:rsidR="009706D8" w:rsidRDefault="00047AA5">
            <w:pPr>
              <w:spacing w:line="276" w:lineRule="auto"/>
              <w:rPr>
                <w:rFonts w:ascii="Calibri" w:hAnsi="Calibri" w:cs="Calibri"/>
              </w:rPr>
            </w:pPr>
            <w:r>
              <w:rPr>
                <w:rFonts w:ascii="Calibri" w:hAnsi="Calibri" w:cs="Calibri"/>
              </w:rPr>
              <w:t>9-4055-A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900BB51" w14:textId="2E896EE3" w:rsidR="009706D8" w:rsidRDefault="00047AA5">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C1EDD0E" w14:textId="028F61BE" w:rsidR="009706D8" w:rsidRDefault="00047AA5">
            <w:pPr>
              <w:spacing w:line="276" w:lineRule="auto"/>
              <w:jc w:val="right"/>
              <w:rPr>
                <w:rFonts w:ascii="Calibri" w:hAnsi="Calibri" w:cs="Calibri"/>
              </w:rPr>
            </w:pPr>
            <w:r>
              <w:rPr>
                <w:rFonts w:ascii="Calibri" w:hAnsi="Calibri" w:cs="Calibri"/>
              </w:rPr>
              <w:t>1</w:t>
            </w:r>
            <w:r w:rsidR="009706D8">
              <w:rPr>
                <w:rFonts w:ascii="Calibri" w:hAnsi="Calibri" w:cs="Calibri"/>
              </w:rPr>
              <w:t>6</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71338A2" w14:textId="492A2284" w:rsidR="009706D8" w:rsidRDefault="00047AA5">
            <w:pPr>
              <w:spacing w:line="276" w:lineRule="auto"/>
              <w:jc w:val="right"/>
              <w:rPr>
                <w:rFonts w:ascii="Calibri" w:hAnsi="Calibri" w:cs="Calibri"/>
              </w:rPr>
            </w:pPr>
            <w:r>
              <w:rPr>
                <w:rFonts w:ascii="Calibri" w:hAnsi="Calibri" w:cs="Calibri"/>
              </w:rPr>
              <w:t>16</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07704A77" w14:textId="3998E6BA" w:rsidR="009706D8" w:rsidRDefault="00047AA5">
            <w:pPr>
              <w:spacing w:line="276" w:lineRule="auto"/>
              <w:jc w:val="center"/>
              <w:rPr>
                <w:rFonts w:ascii="Calibri" w:hAnsi="Calibri" w:cs="Calibri"/>
              </w:rPr>
            </w:pPr>
            <w:r>
              <w:rPr>
                <w:rFonts w:ascii="Calibri" w:hAnsi="Calibri" w:cs="Calibri"/>
              </w:rPr>
              <w:t>3</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9E55FC3" w14:textId="70ADA3D2" w:rsidR="009706D8" w:rsidRDefault="00047AA5">
            <w:pPr>
              <w:spacing w:line="276" w:lineRule="auto"/>
              <w:jc w:val="right"/>
              <w:rPr>
                <w:rFonts w:ascii="Calibri" w:hAnsi="Calibri" w:cs="Calibri"/>
              </w:rPr>
            </w:pPr>
            <w:r>
              <w:rPr>
                <w:rFonts w:ascii="Calibri" w:hAnsi="Calibri" w:cs="Calibri"/>
              </w:rPr>
              <w:t>8</w:t>
            </w:r>
          </w:p>
        </w:tc>
      </w:tr>
      <w:tr w:rsidR="009706D8" w14:paraId="555BF8D2"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2C9F91F4" w14:textId="77777777" w:rsidR="009706D8" w:rsidRDefault="009706D8">
            <w:pPr>
              <w:spacing w:line="276" w:lineRule="auto"/>
              <w:rPr>
                <w:rFonts w:ascii="Calibri" w:hAnsi="Calibri" w:cs="Calibri"/>
              </w:rPr>
            </w:pPr>
            <w:r>
              <w:rPr>
                <w:rFonts w:ascii="Calibri" w:hAnsi="Calibri" w:cs="Calibri"/>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0AEFB9C" w14:textId="394BD469" w:rsidR="009706D8" w:rsidRDefault="00602B04">
            <w:pPr>
              <w:spacing w:line="276" w:lineRule="auto"/>
              <w:rPr>
                <w:rFonts w:ascii="Calibri" w:hAnsi="Calibri" w:cs="Calibri"/>
              </w:rPr>
            </w:pPr>
            <w:r>
              <w:rPr>
                <w:rFonts w:ascii="Calibri" w:hAnsi="Calibri" w:cs="Calibri"/>
              </w:rPr>
              <w:t>9-405</w:t>
            </w:r>
            <w:r w:rsidR="009706D8">
              <w:rPr>
                <w:rFonts w:ascii="Calibri" w:hAnsi="Calibri" w:cs="Calibri"/>
              </w:rPr>
              <w:t>7-A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3F74B77"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116EC1F" w14:textId="77777777" w:rsidR="009706D8" w:rsidRDefault="009706D8">
            <w:pPr>
              <w:spacing w:line="276" w:lineRule="auto"/>
              <w:jc w:val="right"/>
              <w:rPr>
                <w:rFonts w:ascii="Calibri" w:hAnsi="Calibri" w:cs="Calibri"/>
              </w:rPr>
            </w:pPr>
            <w:r>
              <w:rPr>
                <w:rFonts w:ascii="Calibri" w:hAnsi="Calibri" w:cs="Calibri"/>
              </w:rPr>
              <w:t>125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76D4909" w14:textId="77777777" w:rsidR="009706D8" w:rsidRDefault="009706D8">
            <w:pPr>
              <w:spacing w:line="276" w:lineRule="auto"/>
              <w:jc w:val="right"/>
              <w:rPr>
                <w:rFonts w:ascii="Calibri" w:hAnsi="Calibri" w:cs="Calibri"/>
              </w:rPr>
            </w:pPr>
            <w:r>
              <w:rPr>
                <w:rFonts w:ascii="Calibri" w:hAnsi="Calibri" w:cs="Calibri"/>
              </w:rPr>
              <w:t>125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697CE10"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8C915F3" w14:textId="77777777" w:rsidR="009706D8" w:rsidRDefault="009706D8">
            <w:pPr>
              <w:spacing w:line="276" w:lineRule="auto"/>
              <w:jc w:val="right"/>
              <w:rPr>
                <w:rFonts w:ascii="Calibri" w:hAnsi="Calibri" w:cs="Calibri"/>
              </w:rPr>
            </w:pPr>
            <w:r>
              <w:rPr>
                <w:rFonts w:ascii="Calibri" w:hAnsi="Calibri" w:cs="Calibri"/>
              </w:rPr>
              <w:t>63</w:t>
            </w:r>
          </w:p>
        </w:tc>
      </w:tr>
      <w:tr w:rsidR="009706D8" w14:paraId="7705411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4657F8F" w14:textId="77777777" w:rsidR="009706D8" w:rsidRDefault="009706D8">
            <w:pPr>
              <w:spacing w:line="276" w:lineRule="auto"/>
              <w:rPr>
                <w:rFonts w:ascii="Calibri" w:hAnsi="Calibri" w:cs="Calibri"/>
              </w:rPr>
            </w:pPr>
            <w:r>
              <w:rPr>
                <w:rFonts w:ascii="Calibri" w:hAnsi="Calibri" w:cs="Calibri"/>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DB60AD" w14:textId="0A3A8A56" w:rsidR="009706D8" w:rsidRDefault="00602B04">
            <w:pPr>
              <w:spacing w:line="276" w:lineRule="auto"/>
              <w:rPr>
                <w:rFonts w:ascii="Calibri" w:hAnsi="Calibri" w:cs="Calibri"/>
              </w:rPr>
            </w:pPr>
            <w:r>
              <w:rPr>
                <w:rFonts w:ascii="Calibri" w:hAnsi="Calibri" w:cs="Calibri"/>
              </w:rPr>
              <w:t>9-4060</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F188A83"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1B86B03D" w14:textId="625E169E" w:rsidR="009706D8" w:rsidRDefault="00602B04">
            <w:pPr>
              <w:spacing w:line="276" w:lineRule="auto"/>
              <w:jc w:val="right"/>
              <w:rPr>
                <w:rFonts w:ascii="Calibri" w:hAnsi="Calibri" w:cs="Calibri"/>
              </w:rPr>
            </w:pPr>
            <w:r>
              <w:rPr>
                <w:rFonts w:ascii="Calibri" w:hAnsi="Calibri" w:cs="Calibri"/>
              </w:rPr>
              <w:t>35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1923D62D" w14:textId="2CCA8D43" w:rsidR="009706D8" w:rsidRDefault="00602B04">
            <w:pPr>
              <w:spacing w:line="276" w:lineRule="auto"/>
              <w:jc w:val="right"/>
              <w:rPr>
                <w:rFonts w:ascii="Calibri" w:hAnsi="Calibri" w:cs="Calibri"/>
              </w:rPr>
            </w:pPr>
            <w:r>
              <w:rPr>
                <w:rFonts w:ascii="Calibri" w:hAnsi="Calibri" w:cs="Calibri"/>
              </w:rPr>
              <w:t>35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0EDC30CD"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3048E1A5" w14:textId="5D958997" w:rsidR="009706D8" w:rsidRDefault="00602B04">
            <w:pPr>
              <w:spacing w:line="276" w:lineRule="auto"/>
              <w:jc w:val="right"/>
              <w:rPr>
                <w:rFonts w:ascii="Calibri" w:hAnsi="Calibri" w:cs="Calibri"/>
              </w:rPr>
            </w:pPr>
            <w:r>
              <w:rPr>
                <w:rFonts w:ascii="Calibri" w:hAnsi="Calibri" w:cs="Calibri"/>
              </w:rPr>
              <w:t>18</w:t>
            </w:r>
          </w:p>
        </w:tc>
      </w:tr>
      <w:tr w:rsidR="009706D8" w14:paraId="2950769E"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1FA0155C" w14:textId="77777777" w:rsidR="009706D8" w:rsidRDefault="009706D8">
            <w:pPr>
              <w:spacing w:line="276" w:lineRule="auto"/>
              <w:rPr>
                <w:rFonts w:ascii="Calibri" w:hAnsi="Calibri" w:cs="Calibri"/>
              </w:rPr>
            </w:pPr>
            <w:r>
              <w:rPr>
                <w:rFonts w:ascii="Calibri" w:hAnsi="Calibri" w:cs="Calibri"/>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602ED4" w14:textId="5912B364" w:rsidR="009706D8" w:rsidRDefault="004A7EB1">
            <w:pPr>
              <w:spacing w:line="276" w:lineRule="auto"/>
              <w:rPr>
                <w:rFonts w:ascii="Calibri" w:hAnsi="Calibri" w:cs="Calibri"/>
              </w:rPr>
            </w:pPr>
            <w:r>
              <w:rPr>
                <w:rFonts w:ascii="Calibri" w:hAnsi="Calibri" w:cs="Calibri"/>
              </w:rPr>
              <w:t>9-4066-M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3F17500" w14:textId="30A17F61" w:rsidR="009706D8" w:rsidRDefault="004A7EB1">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1224FC0" w14:textId="2EFF820B" w:rsidR="009706D8" w:rsidRDefault="004A7EB1">
            <w:pPr>
              <w:spacing w:line="276" w:lineRule="auto"/>
              <w:jc w:val="right"/>
              <w:rPr>
                <w:rFonts w:ascii="Calibri" w:hAnsi="Calibri" w:cs="Calibri"/>
              </w:rPr>
            </w:pPr>
            <w:r>
              <w:rPr>
                <w:rFonts w:ascii="Calibri" w:hAnsi="Calibri" w:cs="Calibri"/>
              </w:rPr>
              <w:t>2</w:t>
            </w:r>
            <w:r w:rsidR="009706D8">
              <w:rPr>
                <w:rFonts w:ascii="Calibri" w:hAnsi="Calibri" w:cs="Calibri"/>
              </w:rPr>
              <w:t>6</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C5A4EEC" w14:textId="26707FC4" w:rsidR="009706D8" w:rsidRDefault="004A7EB1">
            <w:pPr>
              <w:spacing w:line="276" w:lineRule="auto"/>
              <w:jc w:val="right"/>
              <w:rPr>
                <w:rFonts w:ascii="Calibri" w:hAnsi="Calibri" w:cs="Calibri"/>
              </w:rPr>
            </w:pPr>
            <w:r>
              <w:rPr>
                <w:rFonts w:ascii="Calibri" w:hAnsi="Calibri" w:cs="Calibri"/>
              </w:rPr>
              <w:t>312</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7F9262DC"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2DE79BCB" w14:textId="3B0322E5" w:rsidR="009706D8" w:rsidRDefault="004A7EB1">
            <w:pPr>
              <w:spacing w:line="276" w:lineRule="auto"/>
              <w:jc w:val="right"/>
              <w:rPr>
                <w:rFonts w:ascii="Calibri" w:hAnsi="Calibri" w:cs="Calibri"/>
              </w:rPr>
            </w:pPr>
            <w:r>
              <w:rPr>
                <w:rFonts w:ascii="Calibri" w:hAnsi="Calibri" w:cs="Calibri"/>
              </w:rPr>
              <w:t>156</w:t>
            </w:r>
          </w:p>
        </w:tc>
      </w:tr>
      <w:tr w:rsidR="009706D8" w14:paraId="2B6207D5"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EE343E6" w14:textId="77777777" w:rsidR="009706D8" w:rsidRDefault="009706D8">
            <w:pPr>
              <w:spacing w:line="276" w:lineRule="auto"/>
              <w:rPr>
                <w:rFonts w:ascii="Calibri" w:hAnsi="Calibri" w:cs="Calibri"/>
              </w:rPr>
            </w:pPr>
            <w:r>
              <w:rPr>
                <w:rFonts w:ascii="Calibri" w:hAnsi="Calibri" w:cs="Calibri"/>
              </w:rPr>
              <w:t>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FB08062" w14:textId="2D8E0664" w:rsidR="009706D8" w:rsidRDefault="00774B36">
            <w:pPr>
              <w:spacing w:line="276" w:lineRule="auto"/>
              <w:rPr>
                <w:rFonts w:ascii="Calibri" w:hAnsi="Calibri" w:cs="Calibri"/>
              </w:rPr>
            </w:pPr>
            <w:r>
              <w:rPr>
                <w:rFonts w:ascii="Calibri" w:hAnsi="Calibri" w:cs="Calibri"/>
              </w:rPr>
              <w:t>9-4070-A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13A016C" w14:textId="3D8C6DAB" w:rsidR="009706D8" w:rsidRDefault="00774B3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955738F" w14:textId="49355D34" w:rsidR="009706D8" w:rsidRDefault="00774B36">
            <w:pPr>
              <w:spacing w:line="276" w:lineRule="auto"/>
              <w:jc w:val="right"/>
              <w:rPr>
                <w:rFonts w:ascii="Calibri" w:hAnsi="Calibri" w:cs="Calibri"/>
              </w:rPr>
            </w:pPr>
            <w:r>
              <w:rPr>
                <w:rFonts w:ascii="Calibri" w:hAnsi="Calibri" w:cs="Calibri"/>
              </w:rPr>
              <w:t>56</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3F215F" w14:textId="529D2C79" w:rsidR="009706D8" w:rsidRDefault="00774B36">
            <w:pPr>
              <w:spacing w:line="276" w:lineRule="auto"/>
              <w:jc w:val="right"/>
              <w:rPr>
                <w:rFonts w:ascii="Calibri" w:hAnsi="Calibri" w:cs="Calibri"/>
              </w:rPr>
            </w:pPr>
            <w:r>
              <w:rPr>
                <w:rFonts w:ascii="Calibri" w:hAnsi="Calibri" w:cs="Calibri"/>
              </w:rPr>
              <w:t>56</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16F00CFC" w14:textId="77777777" w:rsidR="009706D8" w:rsidRDefault="009706D8">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22EE05D" w14:textId="66A751A5" w:rsidR="009706D8" w:rsidRDefault="00774B36">
            <w:pPr>
              <w:spacing w:line="276" w:lineRule="auto"/>
              <w:jc w:val="right"/>
              <w:rPr>
                <w:rFonts w:ascii="Calibri" w:hAnsi="Calibri" w:cs="Calibri"/>
              </w:rPr>
            </w:pPr>
            <w:r>
              <w:rPr>
                <w:rFonts w:ascii="Calibri" w:hAnsi="Calibri" w:cs="Calibri"/>
              </w:rPr>
              <w:t>56</w:t>
            </w:r>
          </w:p>
        </w:tc>
      </w:tr>
      <w:tr w:rsidR="009706D8" w14:paraId="76DD1B4D"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6AD34B1F" w14:textId="77777777" w:rsidR="009706D8" w:rsidRDefault="009706D8">
            <w:pPr>
              <w:spacing w:line="276" w:lineRule="auto"/>
              <w:rPr>
                <w:rFonts w:ascii="Calibri" w:hAnsi="Calibri" w:cs="Calibri"/>
              </w:rPr>
            </w:pPr>
            <w:r>
              <w:rPr>
                <w:rFonts w:ascii="Calibri" w:hAnsi="Calibri" w:cs="Calibri"/>
              </w:rPr>
              <w:t>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F5CECF" w14:textId="6C54F2D0" w:rsidR="009706D8" w:rsidRDefault="00132B02">
            <w:pPr>
              <w:spacing w:line="276" w:lineRule="auto"/>
              <w:rPr>
                <w:rFonts w:ascii="Calibri" w:hAnsi="Calibri" w:cs="Calibri"/>
              </w:rPr>
            </w:pPr>
            <w:r>
              <w:rPr>
                <w:rFonts w:ascii="Calibri" w:hAnsi="Calibri" w:cs="Calibri"/>
              </w:rPr>
              <w:t>9-4074-</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F0BC047" w14:textId="670D3607" w:rsidR="009706D8" w:rsidRDefault="00132B02">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60DC3EE7" w14:textId="43F3DA1C" w:rsidR="009706D8" w:rsidRDefault="00132B02">
            <w:pPr>
              <w:spacing w:line="276" w:lineRule="auto"/>
              <w:jc w:val="right"/>
              <w:rPr>
                <w:rFonts w:ascii="Calibri" w:hAnsi="Calibri" w:cs="Calibri"/>
              </w:rPr>
            </w:pPr>
            <w:r>
              <w:rPr>
                <w:rFonts w:ascii="Calibri" w:hAnsi="Calibri" w:cs="Calibri"/>
              </w:rPr>
              <w:t>39</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C661F52" w14:textId="29FC1BD9" w:rsidR="009706D8" w:rsidRDefault="00132B02">
            <w:pPr>
              <w:spacing w:line="276" w:lineRule="auto"/>
              <w:jc w:val="right"/>
              <w:rPr>
                <w:rFonts w:ascii="Calibri" w:hAnsi="Calibri" w:cs="Calibri"/>
              </w:rPr>
            </w:pPr>
            <w:r>
              <w:rPr>
                <w:rFonts w:ascii="Calibri" w:hAnsi="Calibri" w:cs="Calibri"/>
              </w:rPr>
              <w:t>39</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74CC9335" w14:textId="48DFB574" w:rsidR="009706D8" w:rsidRDefault="00132B02">
            <w:pPr>
              <w:spacing w:line="276" w:lineRule="auto"/>
              <w:jc w:val="center"/>
              <w:rPr>
                <w:rFonts w:ascii="Calibri" w:hAnsi="Calibri" w:cs="Calibri"/>
              </w:rPr>
            </w:pPr>
            <w:r>
              <w:rPr>
                <w:rFonts w:ascii="Calibri" w:hAnsi="Calibri" w:cs="Calibri"/>
              </w:rPr>
              <w:t>60</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67385336" w14:textId="6BF9FE08" w:rsidR="009706D8" w:rsidRDefault="00132B02">
            <w:pPr>
              <w:spacing w:line="276" w:lineRule="auto"/>
              <w:jc w:val="right"/>
              <w:rPr>
                <w:rFonts w:ascii="Calibri" w:hAnsi="Calibri" w:cs="Calibri"/>
              </w:rPr>
            </w:pPr>
            <w:r>
              <w:rPr>
                <w:rFonts w:ascii="Calibri" w:hAnsi="Calibri" w:cs="Calibri"/>
              </w:rPr>
              <w:t>39</w:t>
            </w:r>
          </w:p>
        </w:tc>
      </w:tr>
      <w:tr w:rsidR="009706D8" w14:paraId="0530FA54"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1B6D4D44" w14:textId="77777777" w:rsidR="009706D8" w:rsidRDefault="009706D8">
            <w:pPr>
              <w:spacing w:line="276" w:lineRule="auto"/>
              <w:rPr>
                <w:rFonts w:ascii="Calibri" w:hAnsi="Calibri" w:cs="Calibri"/>
              </w:rPr>
            </w:pPr>
            <w:r>
              <w:rPr>
                <w:rFonts w:ascii="Calibri" w:hAnsi="Calibri" w:cs="Calibri"/>
              </w:rPr>
              <w:t>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39D995" w14:textId="7D080984" w:rsidR="009706D8" w:rsidRDefault="00AB2369">
            <w:pPr>
              <w:spacing w:line="276" w:lineRule="auto"/>
              <w:rPr>
                <w:rFonts w:ascii="Calibri" w:hAnsi="Calibri" w:cs="Calibri"/>
              </w:rPr>
            </w:pPr>
            <w:r>
              <w:rPr>
                <w:rFonts w:ascii="Calibri" w:hAnsi="Calibri" w:cs="Calibri"/>
              </w:rPr>
              <w:t>9-4080-</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5D0598"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CAC513D" w14:textId="1FB8880D" w:rsidR="009706D8" w:rsidRDefault="00AB2369">
            <w:pPr>
              <w:spacing w:line="276" w:lineRule="auto"/>
              <w:jc w:val="right"/>
              <w:rPr>
                <w:rFonts w:ascii="Calibri" w:hAnsi="Calibri" w:cs="Calibri"/>
              </w:rPr>
            </w:pPr>
            <w:r>
              <w:rPr>
                <w:rFonts w:ascii="Calibri" w:hAnsi="Calibri" w:cs="Calibri"/>
              </w:rPr>
              <w:t>18</w:t>
            </w:r>
          </w:p>
        </w:tc>
        <w:tc>
          <w:tcPr>
            <w:tcW w:w="1170" w:type="dxa"/>
            <w:tcBorders>
              <w:top w:val="single" w:sz="4" w:space="0" w:color="auto"/>
              <w:left w:val="single" w:sz="4" w:space="0" w:color="auto"/>
              <w:bottom w:val="single" w:sz="4" w:space="0" w:color="auto"/>
              <w:right w:val="single" w:sz="8" w:space="0" w:color="auto"/>
            </w:tcBorders>
            <w:vAlign w:val="center"/>
            <w:hideMark/>
          </w:tcPr>
          <w:p w14:paraId="59B573C4" w14:textId="1F580F6C" w:rsidR="009706D8" w:rsidRDefault="00AB2369">
            <w:pPr>
              <w:spacing w:line="276" w:lineRule="auto"/>
              <w:jc w:val="right"/>
              <w:rPr>
                <w:rFonts w:ascii="Calibri" w:hAnsi="Calibri" w:cs="Calibri"/>
              </w:rPr>
            </w:pPr>
            <w:r>
              <w:rPr>
                <w:rFonts w:ascii="Calibri" w:hAnsi="Calibri" w:cs="Calibri"/>
              </w:rPr>
              <w:t>18</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127018B" w14:textId="67ACEA0D" w:rsidR="009706D8" w:rsidRDefault="00AB2369">
            <w:pPr>
              <w:spacing w:line="276" w:lineRule="auto"/>
              <w:jc w:val="center"/>
              <w:rPr>
                <w:rFonts w:ascii="Calibri" w:hAnsi="Calibri" w:cs="Calibri"/>
              </w:rPr>
            </w:pPr>
            <w:r>
              <w:rPr>
                <w:rFonts w:ascii="Calibri" w:hAnsi="Calibri" w:cs="Calibri"/>
              </w:rPr>
              <w:t>60</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072F514" w14:textId="6F9BED48" w:rsidR="009706D8" w:rsidRDefault="00AB2369">
            <w:pPr>
              <w:spacing w:line="276" w:lineRule="auto"/>
              <w:jc w:val="right"/>
              <w:rPr>
                <w:rFonts w:ascii="Calibri" w:hAnsi="Calibri" w:cs="Calibri"/>
              </w:rPr>
            </w:pPr>
            <w:r>
              <w:rPr>
                <w:rFonts w:ascii="Calibri" w:hAnsi="Calibri" w:cs="Calibri"/>
              </w:rPr>
              <w:t>1</w:t>
            </w:r>
            <w:r w:rsidR="009706D8">
              <w:rPr>
                <w:rFonts w:ascii="Calibri" w:hAnsi="Calibri" w:cs="Calibri"/>
              </w:rPr>
              <w:t>8</w:t>
            </w:r>
          </w:p>
        </w:tc>
      </w:tr>
      <w:tr w:rsidR="009706D8" w14:paraId="435AB10F"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30017F2" w14:textId="77777777" w:rsidR="009706D8" w:rsidRDefault="009706D8">
            <w:pPr>
              <w:spacing w:line="276" w:lineRule="auto"/>
              <w:rPr>
                <w:rFonts w:ascii="Calibri" w:hAnsi="Calibri" w:cs="Calibri"/>
              </w:rPr>
            </w:pPr>
            <w:r>
              <w:rPr>
                <w:rFonts w:ascii="Calibri" w:hAnsi="Calibri" w:cs="Calibri"/>
              </w:rPr>
              <w:t>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A377ED" w14:textId="5F305BAC" w:rsidR="009706D8" w:rsidRDefault="00A403C6">
            <w:pPr>
              <w:spacing w:line="276" w:lineRule="auto"/>
              <w:rPr>
                <w:rFonts w:ascii="Calibri" w:hAnsi="Calibri" w:cs="Calibri"/>
              </w:rPr>
            </w:pPr>
            <w:r>
              <w:rPr>
                <w:rFonts w:ascii="Calibri" w:hAnsi="Calibri" w:cs="Calibri"/>
              </w:rPr>
              <w:t>9-4081</w:t>
            </w:r>
            <w:r w:rsidR="009706D8">
              <w:rPr>
                <w:rFonts w:ascii="Calibri" w:hAnsi="Calibri" w:cs="Calibri"/>
              </w:rPr>
              <w:t>-</w:t>
            </w:r>
            <w:r>
              <w:rPr>
                <w:rFonts w:ascii="Calibri" w:hAnsi="Calibri" w:cs="Calibri"/>
              </w:rPr>
              <w:t>M</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3CB736" w14:textId="0DE6EBAE" w:rsidR="009706D8" w:rsidRDefault="00A403C6">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34D4CB1" w14:textId="7C2B9539" w:rsidR="009706D8" w:rsidRDefault="00A403C6">
            <w:pPr>
              <w:spacing w:line="276" w:lineRule="auto"/>
              <w:jc w:val="right"/>
              <w:rPr>
                <w:rFonts w:ascii="Calibri" w:hAnsi="Calibri" w:cs="Calibri"/>
              </w:rPr>
            </w:pPr>
            <w:r>
              <w:rPr>
                <w:rFonts w:ascii="Calibri" w:hAnsi="Calibri" w:cs="Calibri"/>
              </w:rPr>
              <w:t>54</w:t>
            </w:r>
          </w:p>
        </w:tc>
        <w:tc>
          <w:tcPr>
            <w:tcW w:w="1170" w:type="dxa"/>
            <w:tcBorders>
              <w:top w:val="single" w:sz="4" w:space="0" w:color="auto"/>
              <w:left w:val="single" w:sz="4" w:space="0" w:color="auto"/>
              <w:bottom w:val="single" w:sz="4" w:space="0" w:color="auto"/>
              <w:right w:val="single" w:sz="8" w:space="0" w:color="auto"/>
            </w:tcBorders>
            <w:vAlign w:val="center"/>
            <w:hideMark/>
          </w:tcPr>
          <w:p w14:paraId="4783CD03" w14:textId="591A5DBE" w:rsidR="009706D8" w:rsidRDefault="00A403C6">
            <w:pPr>
              <w:spacing w:line="276" w:lineRule="auto"/>
              <w:jc w:val="right"/>
              <w:rPr>
                <w:rFonts w:ascii="Calibri" w:hAnsi="Calibri" w:cs="Calibri"/>
              </w:rPr>
            </w:pPr>
            <w:r>
              <w:rPr>
                <w:rFonts w:ascii="Calibri" w:hAnsi="Calibri" w:cs="Calibri"/>
              </w:rPr>
              <w:t>648</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65CB41A" w14:textId="77777777" w:rsidR="009706D8" w:rsidRDefault="009706D8">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4D7602EA" w14:textId="585756C5" w:rsidR="009706D8" w:rsidRDefault="00A403C6">
            <w:pPr>
              <w:spacing w:line="276" w:lineRule="auto"/>
              <w:jc w:val="right"/>
              <w:rPr>
                <w:rFonts w:ascii="Calibri" w:hAnsi="Calibri" w:cs="Calibri"/>
              </w:rPr>
            </w:pPr>
            <w:r>
              <w:rPr>
                <w:rFonts w:ascii="Calibri" w:hAnsi="Calibri" w:cs="Calibri"/>
              </w:rPr>
              <w:t>648</w:t>
            </w:r>
          </w:p>
        </w:tc>
      </w:tr>
      <w:tr w:rsidR="009706D8" w14:paraId="5EBAD9F1"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947756D" w14:textId="77777777" w:rsidR="009706D8" w:rsidRDefault="009706D8">
            <w:pPr>
              <w:spacing w:line="276" w:lineRule="auto"/>
              <w:rPr>
                <w:rFonts w:ascii="Calibri" w:hAnsi="Calibri" w:cs="Calibri"/>
              </w:rPr>
            </w:pPr>
            <w:r>
              <w:rPr>
                <w:rFonts w:ascii="Calibri" w:hAnsi="Calibri" w:cs="Calibri"/>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5709C6F" w14:textId="7B2ACB20" w:rsidR="009706D8" w:rsidRDefault="00DF4579">
            <w:pPr>
              <w:spacing w:line="276" w:lineRule="auto"/>
              <w:rPr>
                <w:rFonts w:ascii="Calibri" w:hAnsi="Calibri" w:cs="Calibri"/>
              </w:rPr>
            </w:pPr>
            <w:r>
              <w:rPr>
                <w:rFonts w:ascii="Calibri" w:hAnsi="Calibri" w:cs="Calibri"/>
              </w:rPr>
              <w:t>9-4081</w:t>
            </w:r>
            <w:r w:rsidR="009706D8">
              <w:rPr>
                <w:rFonts w:ascii="Calibri" w:hAnsi="Calibri" w:cs="Calibri"/>
              </w:rPr>
              <w:t>-</w:t>
            </w:r>
            <w:r>
              <w:rPr>
                <w:rFonts w:ascii="Calibri" w:hAnsi="Calibri" w:cs="Calibri"/>
              </w:rPr>
              <w:t>M</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C2E0CE4"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2DB15401" w14:textId="42C87840" w:rsidR="009706D8" w:rsidRDefault="00DF4579">
            <w:pPr>
              <w:spacing w:line="276" w:lineRule="auto"/>
              <w:jc w:val="right"/>
              <w:rPr>
                <w:rFonts w:ascii="Calibri" w:hAnsi="Calibri" w:cs="Calibri"/>
              </w:rPr>
            </w:pPr>
            <w:r>
              <w:rPr>
                <w:rFonts w:ascii="Calibri" w:hAnsi="Calibri" w:cs="Calibri"/>
              </w:rPr>
              <w:t>35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06F087A7" w14:textId="54E9C936" w:rsidR="009706D8" w:rsidRDefault="00DF4579">
            <w:pPr>
              <w:spacing w:line="276" w:lineRule="auto"/>
              <w:jc w:val="right"/>
              <w:rPr>
                <w:rFonts w:ascii="Calibri" w:hAnsi="Calibri" w:cs="Calibri"/>
              </w:rPr>
            </w:pPr>
            <w:r>
              <w:rPr>
                <w:rFonts w:ascii="Calibri" w:hAnsi="Calibri" w:cs="Calibri"/>
              </w:rPr>
              <w:t>35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490CA9D" w14:textId="482EE6CA" w:rsidR="009706D8" w:rsidRDefault="00DF4579">
            <w:pPr>
              <w:spacing w:line="276" w:lineRule="auto"/>
              <w:jc w:val="center"/>
              <w:rPr>
                <w:rFonts w:ascii="Calibri" w:hAnsi="Calibri" w:cs="Calibri"/>
              </w:rPr>
            </w:pPr>
            <w:r>
              <w:rPr>
                <w:rFonts w:ascii="Calibri" w:hAnsi="Calibri" w:cs="Calibri"/>
              </w:rPr>
              <w:t>6</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51B9C4AC" w14:textId="47B50CF9" w:rsidR="009706D8" w:rsidRDefault="00DF4579">
            <w:pPr>
              <w:spacing w:line="276" w:lineRule="auto"/>
              <w:jc w:val="right"/>
              <w:rPr>
                <w:rFonts w:ascii="Calibri" w:hAnsi="Calibri" w:cs="Calibri"/>
              </w:rPr>
            </w:pPr>
            <w:r>
              <w:rPr>
                <w:rFonts w:ascii="Calibri" w:hAnsi="Calibri" w:cs="Calibri"/>
              </w:rPr>
              <w:t>35</w:t>
            </w:r>
          </w:p>
        </w:tc>
      </w:tr>
      <w:tr w:rsidR="009706D8" w14:paraId="4B9D6CFB"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147DC20" w14:textId="77777777" w:rsidR="009706D8" w:rsidRDefault="009706D8">
            <w:pPr>
              <w:spacing w:line="276" w:lineRule="auto"/>
              <w:rPr>
                <w:rFonts w:ascii="Calibri" w:hAnsi="Calibri" w:cs="Calibri"/>
              </w:rPr>
            </w:pPr>
            <w:r>
              <w:rPr>
                <w:rFonts w:ascii="Calibri" w:hAnsi="Calibri" w:cs="Calibri"/>
              </w:rPr>
              <w:t>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D48ED7" w14:textId="593E0FD1" w:rsidR="009706D8" w:rsidRDefault="00F0383D">
            <w:pPr>
              <w:spacing w:line="276" w:lineRule="auto"/>
              <w:rPr>
                <w:rFonts w:ascii="Calibri" w:hAnsi="Calibri" w:cs="Calibri"/>
              </w:rPr>
            </w:pPr>
            <w:r>
              <w:rPr>
                <w:rFonts w:ascii="Calibri" w:hAnsi="Calibri" w:cs="Calibri"/>
              </w:rPr>
              <w:t>9-4082-A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78B86F" w14:textId="402B4DF9" w:rsidR="009706D8" w:rsidRDefault="00F0383D">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F482436" w14:textId="7D987482" w:rsidR="009706D8" w:rsidRDefault="00F0383D">
            <w:pPr>
              <w:spacing w:line="276" w:lineRule="auto"/>
              <w:jc w:val="right"/>
              <w:rPr>
                <w:rFonts w:ascii="Calibri" w:hAnsi="Calibri" w:cs="Calibri"/>
              </w:rPr>
            </w:pPr>
            <w:r>
              <w:rPr>
                <w:rFonts w:ascii="Calibri" w:hAnsi="Calibri" w:cs="Calibri"/>
              </w:rPr>
              <w:t>365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5DA1F3B3" w14:textId="308E040A" w:rsidR="009706D8" w:rsidRDefault="00F0383D">
            <w:pPr>
              <w:spacing w:line="276" w:lineRule="auto"/>
              <w:jc w:val="right"/>
              <w:rPr>
                <w:rFonts w:ascii="Calibri" w:hAnsi="Calibri" w:cs="Calibri"/>
              </w:rPr>
            </w:pPr>
            <w:r>
              <w:rPr>
                <w:rFonts w:ascii="Calibri" w:hAnsi="Calibri" w:cs="Calibri"/>
              </w:rPr>
              <w:t>365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290EF554" w14:textId="004922F3" w:rsidR="009706D8" w:rsidRDefault="00F0383D">
            <w:pPr>
              <w:spacing w:line="276" w:lineRule="auto"/>
              <w:jc w:val="center"/>
              <w:rPr>
                <w:rFonts w:ascii="Calibri" w:hAnsi="Calibri" w:cs="Calibri"/>
              </w:rPr>
            </w:pPr>
            <w:r>
              <w:rPr>
                <w:rFonts w:ascii="Calibri" w:hAnsi="Calibri" w:cs="Calibri"/>
              </w:rPr>
              <w:t>3</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3DE66AD6" w14:textId="6C17748A" w:rsidR="009706D8" w:rsidRDefault="00F0383D">
            <w:pPr>
              <w:spacing w:line="276" w:lineRule="auto"/>
              <w:jc w:val="right"/>
              <w:rPr>
                <w:rFonts w:ascii="Calibri" w:hAnsi="Calibri" w:cs="Calibri"/>
              </w:rPr>
            </w:pPr>
            <w:r>
              <w:rPr>
                <w:rFonts w:ascii="Calibri" w:hAnsi="Calibri" w:cs="Calibri"/>
              </w:rPr>
              <w:t>183</w:t>
            </w:r>
          </w:p>
        </w:tc>
      </w:tr>
      <w:tr w:rsidR="009706D8" w14:paraId="61E6A4CC"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6ABFD5" w14:textId="77777777" w:rsidR="009706D8" w:rsidRDefault="009706D8">
            <w:pPr>
              <w:spacing w:line="276" w:lineRule="auto"/>
              <w:rPr>
                <w:rFonts w:ascii="Calibri" w:hAnsi="Calibri" w:cs="Calibri"/>
              </w:rPr>
            </w:pPr>
            <w:r>
              <w:rPr>
                <w:rFonts w:ascii="Calibri" w:hAnsi="Calibri" w:cs="Calibri"/>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4E48BD" w14:textId="4BDD03B8" w:rsidR="009706D8" w:rsidRDefault="00C90805">
            <w:pPr>
              <w:spacing w:line="276" w:lineRule="auto"/>
              <w:rPr>
                <w:rFonts w:ascii="Calibri" w:hAnsi="Calibri" w:cs="Calibri"/>
              </w:rPr>
            </w:pPr>
            <w:r>
              <w:rPr>
                <w:rFonts w:ascii="Calibri" w:hAnsi="Calibri" w:cs="Calibri"/>
              </w:rPr>
              <w:t>9-4083-A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14945F8" w14:textId="28E2EEBF" w:rsidR="009706D8" w:rsidRDefault="00C90805">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30DDD42" w14:textId="6D6E7498" w:rsidR="009706D8" w:rsidRDefault="00C90805">
            <w:pPr>
              <w:spacing w:line="276" w:lineRule="auto"/>
              <w:jc w:val="right"/>
              <w:rPr>
                <w:rFonts w:ascii="Calibri" w:hAnsi="Calibri" w:cs="Calibri"/>
              </w:rPr>
            </w:pPr>
            <w:r>
              <w:rPr>
                <w:rFonts w:ascii="Calibri" w:hAnsi="Calibri" w:cs="Calibri"/>
              </w:rPr>
              <w:t>22</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5EE2695" w14:textId="5B2F118F" w:rsidR="009706D8" w:rsidRDefault="00C90805">
            <w:pPr>
              <w:spacing w:line="276" w:lineRule="auto"/>
              <w:jc w:val="right"/>
              <w:rPr>
                <w:rFonts w:ascii="Calibri" w:hAnsi="Calibri" w:cs="Calibri"/>
              </w:rPr>
            </w:pPr>
            <w:r>
              <w:rPr>
                <w:rFonts w:ascii="Calibri" w:hAnsi="Calibri" w:cs="Calibri"/>
              </w:rPr>
              <w:t>22</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4C4B263A" w14:textId="55357C10" w:rsidR="009706D8" w:rsidRDefault="00C90805">
            <w:pPr>
              <w:spacing w:line="276" w:lineRule="auto"/>
              <w:jc w:val="center"/>
              <w:rPr>
                <w:rFonts w:ascii="Calibri" w:hAnsi="Calibri" w:cs="Calibri"/>
              </w:rPr>
            </w:pPr>
            <w:r>
              <w:rPr>
                <w:rFonts w:ascii="Calibri" w:hAnsi="Calibri" w:cs="Calibri"/>
              </w:rPr>
              <w:t>45</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A0661E6" w14:textId="2F6B76BF" w:rsidR="009706D8" w:rsidRDefault="00C90805">
            <w:pPr>
              <w:spacing w:line="276" w:lineRule="auto"/>
              <w:jc w:val="right"/>
              <w:rPr>
                <w:rFonts w:ascii="Calibri" w:hAnsi="Calibri" w:cs="Calibri"/>
              </w:rPr>
            </w:pPr>
            <w:r>
              <w:rPr>
                <w:rFonts w:ascii="Calibri" w:hAnsi="Calibri" w:cs="Calibri"/>
              </w:rPr>
              <w:t>17</w:t>
            </w:r>
          </w:p>
        </w:tc>
      </w:tr>
      <w:tr w:rsidR="009706D8" w14:paraId="3F6DC6DD"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684D03B1" w14:textId="77777777" w:rsidR="009706D8" w:rsidRDefault="009706D8">
            <w:pPr>
              <w:spacing w:line="276" w:lineRule="auto"/>
              <w:rPr>
                <w:rFonts w:ascii="Calibri" w:hAnsi="Calibri" w:cs="Calibri"/>
              </w:rPr>
            </w:pPr>
            <w:r>
              <w:rPr>
                <w:rFonts w:ascii="Calibri" w:hAnsi="Calibri" w:cs="Calibri"/>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D93987B" w14:textId="27B46E60" w:rsidR="009706D8" w:rsidRDefault="00D27C02">
            <w:pPr>
              <w:spacing w:line="276" w:lineRule="auto"/>
              <w:rPr>
                <w:rFonts w:ascii="Calibri" w:hAnsi="Calibri" w:cs="Calibri"/>
              </w:rPr>
            </w:pPr>
            <w:r>
              <w:rPr>
                <w:rFonts w:ascii="Calibri" w:hAnsi="Calibri" w:cs="Calibri"/>
              </w:rPr>
              <w:t>9-4084</w:t>
            </w:r>
            <w:r w:rsidR="009706D8">
              <w:rPr>
                <w:rFonts w:ascii="Calibri" w:hAnsi="Calibri" w:cs="Calibri"/>
              </w:rPr>
              <w:t>-M</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24D9833"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05D4BD90" w14:textId="27845347" w:rsidR="009706D8" w:rsidRDefault="00D27C02">
            <w:pPr>
              <w:spacing w:line="276" w:lineRule="auto"/>
              <w:jc w:val="right"/>
              <w:rPr>
                <w:rFonts w:ascii="Calibri" w:hAnsi="Calibri" w:cs="Calibri"/>
              </w:rPr>
            </w:pPr>
            <w:r>
              <w:rPr>
                <w:rFonts w:ascii="Calibri" w:hAnsi="Calibri" w:cs="Calibri"/>
              </w:rPr>
              <w:t>33</w:t>
            </w:r>
          </w:p>
        </w:tc>
        <w:tc>
          <w:tcPr>
            <w:tcW w:w="1170" w:type="dxa"/>
            <w:tcBorders>
              <w:top w:val="single" w:sz="4" w:space="0" w:color="auto"/>
              <w:left w:val="single" w:sz="4" w:space="0" w:color="auto"/>
              <w:bottom w:val="single" w:sz="4" w:space="0" w:color="auto"/>
              <w:right w:val="single" w:sz="8" w:space="0" w:color="auto"/>
            </w:tcBorders>
            <w:vAlign w:val="center"/>
            <w:hideMark/>
          </w:tcPr>
          <w:p w14:paraId="4D78F968" w14:textId="39AA7CF1" w:rsidR="009706D8" w:rsidRDefault="00D27C02">
            <w:pPr>
              <w:spacing w:line="276" w:lineRule="auto"/>
              <w:jc w:val="right"/>
              <w:rPr>
                <w:rFonts w:ascii="Calibri" w:hAnsi="Calibri" w:cs="Calibri"/>
              </w:rPr>
            </w:pPr>
            <w:r>
              <w:rPr>
                <w:rFonts w:ascii="Calibri" w:hAnsi="Calibri" w:cs="Calibri"/>
              </w:rPr>
              <w:t>396</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504D82F" w14:textId="38329295" w:rsidR="009706D8" w:rsidRDefault="00D27C02">
            <w:pPr>
              <w:spacing w:line="276" w:lineRule="auto"/>
              <w:jc w:val="center"/>
              <w:rPr>
                <w:rFonts w:ascii="Calibri" w:hAnsi="Calibri" w:cs="Calibri"/>
              </w:rPr>
            </w:pPr>
            <w:r>
              <w:rPr>
                <w:rFonts w:ascii="Calibri" w:hAnsi="Calibri" w:cs="Calibri"/>
              </w:rPr>
              <w:t>45</w:t>
            </w:r>
            <w:r w:rsidR="009706D8">
              <w:rPr>
                <w:rFonts w:ascii="Calibri" w:hAnsi="Calibri" w:cs="Calibri"/>
              </w:rPr>
              <w:t xml:space="preserve">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5E64EE8" w14:textId="141D0619" w:rsidR="009706D8" w:rsidRDefault="00D27C02">
            <w:pPr>
              <w:spacing w:line="276" w:lineRule="auto"/>
              <w:jc w:val="right"/>
              <w:rPr>
                <w:rFonts w:ascii="Calibri" w:hAnsi="Calibri" w:cs="Calibri"/>
              </w:rPr>
            </w:pPr>
            <w:r>
              <w:rPr>
                <w:rFonts w:ascii="Calibri" w:hAnsi="Calibri" w:cs="Calibri"/>
              </w:rPr>
              <w:t>297</w:t>
            </w:r>
          </w:p>
        </w:tc>
      </w:tr>
      <w:tr w:rsidR="009706D8" w14:paraId="7370F2D3"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72E90B" w14:textId="77777777" w:rsidR="009706D8" w:rsidRDefault="009706D8">
            <w:pPr>
              <w:spacing w:line="276" w:lineRule="auto"/>
              <w:rPr>
                <w:rFonts w:ascii="Calibri" w:hAnsi="Calibri" w:cs="Calibri"/>
              </w:rPr>
            </w:pPr>
            <w:r>
              <w:rPr>
                <w:rFonts w:ascii="Calibri" w:hAnsi="Calibri" w:cs="Calibri"/>
              </w:rPr>
              <w:t>14</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0634640" w14:textId="26F78A29" w:rsidR="009706D8" w:rsidRDefault="00B22CC3">
            <w:pPr>
              <w:spacing w:line="276" w:lineRule="auto"/>
              <w:rPr>
                <w:rFonts w:ascii="Calibri" w:hAnsi="Calibri" w:cs="Calibri"/>
              </w:rPr>
            </w:pPr>
            <w:r>
              <w:rPr>
                <w:rFonts w:ascii="Calibri" w:hAnsi="Calibri" w:cs="Calibri"/>
              </w:rPr>
              <w:t>9-4086</w:t>
            </w:r>
            <w:r w:rsidR="009706D8">
              <w:rPr>
                <w:rFonts w:ascii="Calibri" w:hAnsi="Calibri" w:cs="Calibri"/>
              </w:rPr>
              <w:t>-MA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B8AFDCF" w14:textId="77777777" w:rsidR="009706D8" w:rsidRDefault="009706D8">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E37D200" w14:textId="318DEE51" w:rsidR="009706D8" w:rsidRDefault="00B22CC3">
            <w:pPr>
              <w:spacing w:line="276" w:lineRule="auto"/>
              <w:jc w:val="right"/>
              <w:rPr>
                <w:rFonts w:ascii="Calibri" w:hAnsi="Calibri" w:cs="Calibri"/>
              </w:rPr>
            </w:pPr>
            <w:r>
              <w:rPr>
                <w:rFonts w:ascii="Calibri" w:hAnsi="Calibri" w:cs="Calibri"/>
              </w:rPr>
              <w:t>20</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80481B" w14:textId="261A63A4" w:rsidR="009706D8" w:rsidRDefault="00B22CC3">
            <w:pPr>
              <w:spacing w:line="276" w:lineRule="auto"/>
              <w:jc w:val="right"/>
              <w:rPr>
                <w:rFonts w:ascii="Calibri" w:hAnsi="Calibri" w:cs="Calibri"/>
              </w:rPr>
            </w:pPr>
            <w:r>
              <w:rPr>
                <w:rFonts w:ascii="Calibri" w:hAnsi="Calibri" w:cs="Calibri"/>
              </w:rPr>
              <w:t>240</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5A5B0242"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70727EA2" w14:textId="11F6462C" w:rsidR="009706D8" w:rsidRDefault="00B22CC3">
            <w:pPr>
              <w:spacing w:line="276" w:lineRule="auto"/>
              <w:jc w:val="right"/>
              <w:rPr>
                <w:rFonts w:ascii="Calibri" w:hAnsi="Calibri" w:cs="Calibri"/>
              </w:rPr>
            </w:pPr>
            <w:r>
              <w:rPr>
                <w:rFonts w:ascii="Calibri" w:hAnsi="Calibri" w:cs="Calibri"/>
              </w:rPr>
              <w:t>120</w:t>
            </w:r>
          </w:p>
        </w:tc>
      </w:tr>
      <w:tr w:rsidR="009706D8" w14:paraId="1E280A12"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4F209119" w14:textId="77777777" w:rsidR="009706D8" w:rsidRDefault="009706D8">
            <w:pPr>
              <w:spacing w:line="276" w:lineRule="auto"/>
              <w:rPr>
                <w:rFonts w:ascii="Calibri" w:hAnsi="Calibri" w:cs="Calibri"/>
              </w:rPr>
            </w:pPr>
            <w:r>
              <w:rPr>
                <w:rFonts w:ascii="Calibri" w:hAnsi="Calibri" w:cs="Calibri"/>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6B3D15" w14:textId="1BD8F8AD" w:rsidR="009706D8" w:rsidRDefault="007A0245">
            <w:pPr>
              <w:spacing w:line="276" w:lineRule="auto"/>
              <w:rPr>
                <w:rFonts w:ascii="Calibri" w:hAnsi="Calibri" w:cs="Calibri"/>
              </w:rPr>
            </w:pPr>
            <w:r>
              <w:rPr>
                <w:rFonts w:ascii="Calibri" w:hAnsi="Calibri" w:cs="Calibri"/>
              </w:rPr>
              <w:t>9-4086</w:t>
            </w:r>
            <w:r w:rsidR="009706D8">
              <w:rPr>
                <w:rFonts w:ascii="Calibri" w:hAnsi="Calibri" w:cs="Calibri"/>
              </w:rPr>
              <w:t>-MA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130FAB" w14:textId="77777777" w:rsidR="009706D8" w:rsidRDefault="009706D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364CE013" w14:textId="3D4DB486" w:rsidR="009706D8" w:rsidRDefault="007A0245">
            <w:pPr>
              <w:spacing w:line="276" w:lineRule="auto"/>
              <w:jc w:val="right"/>
              <w:rPr>
                <w:rFonts w:ascii="Calibri" w:hAnsi="Calibri" w:cs="Calibri"/>
              </w:rPr>
            </w:pPr>
            <w:r>
              <w:rPr>
                <w:rFonts w:ascii="Calibri" w:hAnsi="Calibri" w:cs="Calibri"/>
              </w:rPr>
              <w:t>55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E3D0149" w14:textId="3860D899" w:rsidR="009706D8" w:rsidRDefault="007A0245">
            <w:pPr>
              <w:spacing w:line="276" w:lineRule="auto"/>
              <w:jc w:val="right"/>
              <w:rPr>
                <w:rFonts w:ascii="Calibri" w:hAnsi="Calibri" w:cs="Calibri"/>
              </w:rPr>
            </w:pPr>
            <w:r>
              <w:rPr>
                <w:rFonts w:ascii="Calibri" w:hAnsi="Calibri" w:cs="Calibri"/>
              </w:rPr>
              <w:t>55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456712D4" w14:textId="77777777" w:rsidR="009706D8" w:rsidRDefault="009706D8">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1E4A2988" w14:textId="5633CDEE" w:rsidR="009706D8" w:rsidRDefault="007A0245">
            <w:pPr>
              <w:spacing w:line="276" w:lineRule="auto"/>
              <w:jc w:val="right"/>
              <w:rPr>
                <w:rFonts w:ascii="Calibri" w:hAnsi="Calibri" w:cs="Calibri"/>
              </w:rPr>
            </w:pPr>
            <w:r>
              <w:rPr>
                <w:rFonts w:ascii="Calibri" w:hAnsi="Calibri" w:cs="Calibri"/>
              </w:rPr>
              <w:t>28</w:t>
            </w:r>
          </w:p>
        </w:tc>
      </w:tr>
      <w:tr w:rsidR="009706D8" w14:paraId="6C075EEA"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011708D8" w14:textId="77777777" w:rsidR="009706D8" w:rsidRDefault="009706D8">
            <w:pPr>
              <w:spacing w:line="276" w:lineRule="auto"/>
              <w:rPr>
                <w:rFonts w:ascii="Calibri" w:hAnsi="Calibri" w:cs="Calibri"/>
              </w:rPr>
            </w:pPr>
            <w:r>
              <w:rPr>
                <w:rFonts w:ascii="Calibri" w:hAnsi="Calibri" w:cs="Calibri"/>
              </w:rPr>
              <w:t>16</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BBAF1B3" w14:textId="4ED7160F" w:rsidR="009706D8" w:rsidRDefault="00162816">
            <w:pPr>
              <w:spacing w:line="276" w:lineRule="auto"/>
              <w:rPr>
                <w:rFonts w:ascii="Calibri" w:hAnsi="Calibri" w:cs="Calibri"/>
              </w:rPr>
            </w:pPr>
            <w:r>
              <w:rPr>
                <w:rFonts w:ascii="Calibri" w:hAnsi="Calibri" w:cs="Calibri"/>
              </w:rPr>
              <w:t>9-4089</w:t>
            </w:r>
            <w:r w:rsidR="009706D8">
              <w:rPr>
                <w:rFonts w:ascii="Calibri" w:hAnsi="Calibri" w:cs="Calibri"/>
              </w:rPr>
              <w:t>-</w:t>
            </w:r>
            <w:r>
              <w:rPr>
                <w:rFonts w:ascii="Calibri" w:hAnsi="Calibri" w:cs="Calibri"/>
              </w:rPr>
              <w:t>M</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DD758CF" w14:textId="1E29F59C" w:rsidR="009706D8" w:rsidRDefault="00162816">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49770173" w14:textId="6131C4CB" w:rsidR="009706D8" w:rsidRDefault="00162816">
            <w:pPr>
              <w:spacing w:line="276" w:lineRule="auto"/>
              <w:jc w:val="right"/>
              <w:rPr>
                <w:rFonts w:ascii="Calibri" w:hAnsi="Calibri" w:cs="Calibri"/>
              </w:rPr>
            </w:pPr>
            <w:r>
              <w:rPr>
                <w:rFonts w:ascii="Calibri" w:hAnsi="Calibri" w:cs="Calibri"/>
              </w:rPr>
              <w:t>26</w:t>
            </w:r>
          </w:p>
        </w:tc>
        <w:tc>
          <w:tcPr>
            <w:tcW w:w="1170" w:type="dxa"/>
            <w:tcBorders>
              <w:top w:val="single" w:sz="4" w:space="0" w:color="auto"/>
              <w:left w:val="single" w:sz="4" w:space="0" w:color="auto"/>
              <w:bottom w:val="single" w:sz="4" w:space="0" w:color="auto"/>
              <w:right w:val="single" w:sz="8" w:space="0" w:color="auto"/>
            </w:tcBorders>
            <w:vAlign w:val="center"/>
            <w:hideMark/>
          </w:tcPr>
          <w:p w14:paraId="757F632E" w14:textId="13A6A800" w:rsidR="009706D8" w:rsidRDefault="00162816">
            <w:pPr>
              <w:spacing w:line="276" w:lineRule="auto"/>
              <w:jc w:val="right"/>
              <w:rPr>
                <w:rFonts w:ascii="Calibri" w:hAnsi="Calibri" w:cs="Calibri"/>
              </w:rPr>
            </w:pPr>
            <w:r>
              <w:rPr>
                <w:rFonts w:ascii="Calibri" w:hAnsi="Calibri" w:cs="Calibri"/>
              </w:rPr>
              <w:t>312</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330CC3B6" w14:textId="24D07F39" w:rsidR="009706D8" w:rsidRDefault="00162816">
            <w:pPr>
              <w:spacing w:line="276" w:lineRule="auto"/>
              <w:jc w:val="center"/>
              <w:rPr>
                <w:rFonts w:ascii="Calibri" w:hAnsi="Calibri" w:cs="Calibri"/>
              </w:rPr>
            </w:pPr>
            <w:r>
              <w:rPr>
                <w:rFonts w:ascii="Calibri" w:hAnsi="Calibri" w:cs="Calibri"/>
              </w:rPr>
              <w:t>9</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0BBCFB75" w14:textId="7E08995F" w:rsidR="009706D8" w:rsidRDefault="00162816">
            <w:pPr>
              <w:spacing w:line="276" w:lineRule="auto"/>
              <w:jc w:val="right"/>
              <w:rPr>
                <w:rFonts w:ascii="Calibri" w:hAnsi="Calibri" w:cs="Calibri"/>
              </w:rPr>
            </w:pPr>
            <w:r>
              <w:rPr>
                <w:rFonts w:ascii="Calibri" w:hAnsi="Calibri" w:cs="Calibri"/>
              </w:rPr>
              <w:t>468</w:t>
            </w:r>
          </w:p>
        </w:tc>
      </w:tr>
      <w:tr w:rsidR="009706D8" w14:paraId="2EEB2943" w14:textId="77777777" w:rsidTr="009706D8">
        <w:tc>
          <w:tcPr>
            <w:tcW w:w="450" w:type="dxa"/>
            <w:tcBorders>
              <w:top w:val="single" w:sz="4" w:space="0" w:color="auto"/>
              <w:left w:val="single" w:sz="4" w:space="0" w:color="auto"/>
              <w:bottom w:val="single" w:sz="4" w:space="0" w:color="auto"/>
              <w:right w:val="single" w:sz="4" w:space="0" w:color="auto"/>
            </w:tcBorders>
            <w:hideMark/>
          </w:tcPr>
          <w:p w14:paraId="71D125AD" w14:textId="77777777" w:rsidR="009706D8" w:rsidRDefault="009706D8">
            <w:pPr>
              <w:spacing w:line="276" w:lineRule="auto"/>
              <w:rPr>
                <w:rFonts w:ascii="Calibri" w:hAnsi="Calibri" w:cs="Calibri"/>
              </w:rPr>
            </w:pPr>
            <w:r>
              <w:rPr>
                <w:rFonts w:ascii="Calibri" w:hAnsi="Calibri" w:cs="Calibri"/>
              </w:rPr>
              <w:t>17</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9F429F" w14:textId="1D50D705" w:rsidR="009706D8" w:rsidRDefault="00C36F96">
            <w:pPr>
              <w:spacing w:line="276" w:lineRule="auto"/>
              <w:rPr>
                <w:rFonts w:ascii="Calibri" w:hAnsi="Calibri" w:cs="Calibri"/>
              </w:rPr>
            </w:pPr>
            <w:r>
              <w:rPr>
                <w:rFonts w:ascii="Calibri" w:hAnsi="Calibri" w:cs="Calibri"/>
              </w:rPr>
              <w:t>9-4089</w:t>
            </w:r>
            <w:r w:rsidR="009706D8">
              <w:rPr>
                <w:rFonts w:ascii="Calibri" w:hAnsi="Calibri" w:cs="Calibri"/>
              </w:rPr>
              <w:t>-</w:t>
            </w:r>
            <w:r>
              <w:rPr>
                <w:rFonts w:ascii="Calibri" w:hAnsi="Calibri" w:cs="Calibri"/>
              </w:rPr>
              <w:t>M</w:t>
            </w:r>
            <w:r w:rsidR="009706D8">
              <w:rPr>
                <w:rFonts w:ascii="Calibri" w:hAnsi="Calibri" w:cs="Calibri"/>
              </w:rPr>
              <w:t>A</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CBD9CE" w14:textId="080174FB" w:rsidR="009706D8" w:rsidRDefault="00C36F9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766F7A0A" w14:textId="53788687" w:rsidR="009706D8" w:rsidRDefault="00C36F96">
            <w:pPr>
              <w:spacing w:line="276" w:lineRule="auto"/>
              <w:jc w:val="right"/>
              <w:rPr>
                <w:rFonts w:ascii="Calibri" w:hAnsi="Calibri" w:cs="Calibri"/>
              </w:rPr>
            </w:pPr>
            <w:r>
              <w:rPr>
                <w:rFonts w:ascii="Calibri" w:hAnsi="Calibri" w:cs="Calibri"/>
              </w:rPr>
              <w:t>105</w:t>
            </w:r>
          </w:p>
        </w:tc>
        <w:tc>
          <w:tcPr>
            <w:tcW w:w="1170" w:type="dxa"/>
            <w:tcBorders>
              <w:top w:val="single" w:sz="4" w:space="0" w:color="auto"/>
              <w:left w:val="single" w:sz="4" w:space="0" w:color="auto"/>
              <w:bottom w:val="single" w:sz="4" w:space="0" w:color="auto"/>
              <w:right w:val="single" w:sz="8" w:space="0" w:color="auto"/>
            </w:tcBorders>
            <w:vAlign w:val="center"/>
            <w:hideMark/>
          </w:tcPr>
          <w:p w14:paraId="2DA9D968" w14:textId="2A1CE91F" w:rsidR="009706D8" w:rsidRDefault="00C36F96">
            <w:pPr>
              <w:spacing w:line="276" w:lineRule="auto"/>
              <w:jc w:val="right"/>
              <w:rPr>
                <w:rFonts w:ascii="Calibri" w:hAnsi="Calibri" w:cs="Calibri"/>
              </w:rPr>
            </w:pPr>
            <w:r>
              <w:rPr>
                <w:rFonts w:ascii="Calibri" w:hAnsi="Calibri" w:cs="Calibri"/>
              </w:rPr>
              <w:t>105</w:t>
            </w:r>
          </w:p>
        </w:tc>
        <w:tc>
          <w:tcPr>
            <w:tcW w:w="1260" w:type="dxa"/>
            <w:tcBorders>
              <w:top w:val="single" w:sz="4" w:space="0" w:color="auto"/>
              <w:left w:val="single" w:sz="8" w:space="0" w:color="auto"/>
              <w:bottom w:val="single" w:sz="4" w:space="0" w:color="auto"/>
              <w:right w:val="single" w:sz="12" w:space="0" w:color="auto"/>
            </w:tcBorders>
            <w:vAlign w:val="center"/>
            <w:hideMark/>
          </w:tcPr>
          <w:p w14:paraId="6806235A" w14:textId="494E477F" w:rsidR="009706D8" w:rsidRDefault="00C36F96">
            <w:pPr>
              <w:spacing w:line="276" w:lineRule="auto"/>
              <w:jc w:val="center"/>
              <w:rPr>
                <w:rFonts w:ascii="Calibri" w:hAnsi="Calibri" w:cs="Calibri"/>
              </w:rPr>
            </w:pPr>
            <w:r>
              <w:rPr>
                <w:rFonts w:ascii="Calibri" w:hAnsi="Calibri" w:cs="Calibri"/>
              </w:rPr>
              <w:t>9</w:t>
            </w:r>
            <w:r w:rsidR="009706D8">
              <w:rPr>
                <w:rFonts w:ascii="Calibri" w:hAnsi="Calibri" w:cs="Calibri"/>
              </w:rPr>
              <w:t>0 min</w:t>
            </w:r>
          </w:p>
        </w:tc>
        <w:tc>
          <w:tcPr>
            <w:tcW w:w="1350" w:type="dxa"/>
            <w:tcBorders>
              <w:top w:val="single" w:sz="4" w:space="0" w:color="auto"/>
              <w:left w:val="single" w:sz="8" w:space="0" w:color="auto"/>
              <w:bottom w:val="single" w:sz="4" w:space="0" w:color="auto"/>
              <w:right w:val="single" w:sz="12" w:space="0" w:color="auto"/>
            </w:tcBorders>
            <w:vAlign w:val="center"/>
            <w:hideMark/>
          </w:tcPr>
          <w:p w14:paraId="4E8712DB" w14:textId="02F105CA" w:rsidR="009706D8" w:rsidRDefault="00C36F96">
            <w:pPr>
              <w:spacing w:line="276" w:lineRule="auto"/>
              <w:jc w:val="right"/>
              <w:rPr>
                <w:rFonts w:ascii="Calibri" w:hAnsi="Calibri" w:cs="Calibri"/>
              </w:rPr>
            </w:pPr>
            <w:r>
              <w:rPr>
                <w:rFonts w:ascii="Calibri" w:hAnsi="Calibri" w:cs="Calibri"/>
              </w:rPr>
              <w:t>158</w:t>
            </w:r>
          </w:p>
        </w:tc>
      </w:tr>
      <w:tr w:rsidR="00776E72" w14:paraId="7DC8637A" w14:textId="77777777" w:rsidTr="009706D8">
        <w:tc>
          <w:tcPr>
            <w:tcW w:w="450" w:type="dxa"/>
            <w:tcBorders>
              <w:top w:val="single" w:sz="4" w:space="0" w:color="auto"/>
              <w:left w:val="single" w:sz="4" w:space="0" w:color="auto"/>
              <w:bottom w:val="single" w:sz="4" w:space="0" w:color="auto"/>
              <w:right w:val="single" w:sz="4" w:space="0" w:color="auto"/>
            </w:tcBorders>
          </w:tcPr>
          <w:p w14:paraId="4124FA87" w14:textId="5D1EEA0E" w:rsidR="00776E72" w:rsidRDefault="0028765B">
            <w:pPr>
              <w:spacing w:line="276" w:lineRule="auto"/>
              <w:rPr>
                <w:rFonts w:ascii="Calibri" w:hAnsi="Calibri" w:cs="Calibri"/>
              </w:rPr>
            </w:pPr>
            <w:r>
              <w:rPr>
                <w:rFonts w:ascii="Calibri" w:hAnsi="Calibri" w:cs="Calibri"/>
              </w:rPr>
              <w:t>18</w:t>
            </w:r>
          </w:p>
        </w:tc>
        <w:tc>
          <w:tcPr>
            <w:tcW w:w="1260" w:type="dxa"/>
            <w:tcBorders>
              <w:top w:val="single" w:sz="4" w:space="0" w:color="auto"/>
              <w:left w:val="single" w:sz="4" w:space="0" w:color="auto"/>
              <w:bottom w:val="single" w:sz="4" w:space="0" w:color="auto"/>
              <w:right w:val="single" w:sz="4" w:space="0" w:color="auto"/>
            </w:tcBorders>
            <w:vAlign w:val="center"/>
          </w:tcPr>
          <w:p w14:paraId="42ABDEB7" w14:textId="799AC3B9" w:rsidR="00776E72" w:rsidRDefault="009D2786">
            <w:pPr>
              <w:spacing w:line="276" w:lineRule="auto"/>
              <w:rPr>
                <w:rFonts w:ascii="Calibri" w:hAnsi="Calibri" w:cs="Calibri"/>
              </w:rPr>
            </w:pPr>
            <w:r>
              <w:rPr>
                <w:rFonts w:ascii="Calibri" w:hAnsi="Calibri" w:cs="Calibri"/>
              </w:rPr>
              <w:t>9-4090-M</w:t>
            </w:r>
          </w:p>
        </w:tc>
        <w:tc>
          <w:tcPr>
            <w:tcW w:w="1350" w:type="dxa"/>
            <w:tcBorders>
              <w:top w:val="single" w:sz="4" w:space="0" w:color="auto"/>
              <w:left w:val="single" w:sz="4" w:space="0" w:color="auto"/>
              <w:bottom w:val="single" w:sz="4" w:space="0" w:color="auto"/>
              <w:right w:val="single" w:sz="4" w:space="0" w:color="auto"/>
            </w:tcBorders>
            <w:vAlign w:val="center"/>
          </w:tcPr>
          <w:p w14:paraId="568BEBDE" w14:textId="4153809A" w:rsidR="00776E72" w:rsidRDefault="009D2786">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tcPr>
          <w:p w14:paraId="50E4983C" w14:textId="3B79591B" w:rsidR="00776E72" w:rsidRDefault="009D2786">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tcPr>
          <w:p w14:paraId="6CB127E9" w14:textId="395C2D63" w:rsidR="00776E72" w:rsidRDefault="009D2786">
            <w:pPr>
              <w:spacing w:line="276" w:lineRule="auto"/>
              <w:jc w:val="right"/>
              <w:rPr>
                <w:rFonts w:ascii="Calibri" w:hAnsi="Calibri" w:cs="Calibri"/>
              </w:rPr>
            </w:pPr>
            <w:r>
              <w:rPr>
                <w:rFonts w:ascii="Calibri" w:hAnsi="Calibri" w:cs="Calibri"/>
              </w:rPr>
              <w:t>120</w:t>
            </w:r>
          </w:p>
        </w:tc>
        <w:tc>
          <w:tcPr>
            <w:tcW w:w="1260" w:type="dxa"/>
            <w:tcBorders>
              <w:top w:val="single" w:sz="4" w:space="0" w:color="auto"/>
              <w:left w:val="single" w:sz="8" w:space="0" w:color="auto"/>
              <w:bottom w:val="single" w:sz="4" w:space="0" w:color="auto"/>
              <w:right w:val="single" w:sz="12" w:space="0" w:color="auto"/>
            </w:tcBorders>
            <w:vAlign w:val="center"/>
          </w:tcPr>
          <w:p w14:paraId="635507FC" w14:textId="2045FADF" w:rsidR="00776E72" w:rsidRDefault="009D2786">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tcPr>
          <w:p w14:paraId="50202F6E" w14:textId="37B5F090" w:rsidR="00776E72" w:rsidRDefault="009D2786">
            <w:pPr>
              <w:spacing w:line="276" w:lineRule="auto"/>
              <w:jc w:val="right"/>
              <w:rPr>
                <w:rFonts w:ascii="Calibri" w:hAnsi="Calibri" w:cs="Calibri"/>
              </w:rPr>
            </w:pPr>
            <w:r>
              <w:rPr>
                <w:rFonts w:ascii="Calibri" w:hAnsi="Calibri" w:cs="Calibri"/>
              </w:rPr>
              <w:t>60</w:t>
            </w:r>
          </w:p>
        </w:tc>
      </w:tr>
      <w:tr w:rsidR="00776E72" w14:paraId="3C4AF30E" w14:textId="77777777" w:rsidTr="009706D8">
        <w:tc>
          <w:tcPr>
            <w:tcW w:w="450" w:type="dxa"/>
            <w:tcBorders>
              <w:top w:val="single" w:sz="4" w:space="0" w:color="auto"/>
              <w:left w:val="single" w:sz="4" w:space="0" w:color="auto"/>
              <w:bottom w:val="single" w:sz="4" w:space="0" w:color="auto"/>
              <w:right w:val="single" w:sz="4" w:space="0" w:color="auto"/>
            </w:tcBorders>
          </w:tcPr>
          <w:p w14:paraId="2063FA23" w14:textId="0606056A" w:rsidR="00776E72" w:rsidRDefault="0028765B">
            <w:pPr>
              <w:spacing w:line="276" w:lineRule="auto"/>
              <w:rPr>
                <w:rFonts w:ascii="Calibri" w:hAnsi="Calibri" w:cs="Calibri"/>
              </w:rPr>
            </w:pPr>
            <w:r>
              <w:rPr>
                <w:rFonts w:ascii="Calibri" w:hAnsi="Calibri" w:cs="Calibri"/>
              </w:rPr>
              <w:t>19</w:t>
            </w:r>
          </w:p>
        </w:tc>
        <w:tc>
          <w:tcPr>
            <w:tcW w:w="1260" w:type="dxa"/>
            <w:tcBorders>
              <w:top w:val="single" w:sz="4" w:space="0" w:color="auto"/>
              <w:left w:val="single" w:sz="4" w:space="0" w:color="auto"/>
              <w:bottom w:val="single" w:sz="4" w:space="0" w:color="auto"/>
              <w:right w:val="single" w:sz="4" w:space="0" w:color="auto"/>
            </w:tcBorders>
            <w:vAlign w:val="center"/>
          </w:tcPr>
          <w:p w14:paraId="367FE72F" w14:textId="4E8C5B69" w:rsidR="00776E72" w:rsidRDefault="00774477">
            <w:pPr>
              <w:spacing w:line="276" w:lineRule="auto"/>
              <w:rPr>
                <w:rFonts w:ascii="Calibri" w:hAnsi="Calibri" w:cs="Calibri"/>
              </w:rPr>
            </w:pPr>
            <w:r>
              <w:rPr>
                <w:rFonts w:ascii="Calibri" w:hAnsi="Calibri" w:cs="Calibri"/>
              </w:rPr>
              <w:t>9-4091-A</w:t>
            </w:r>
          </w:p>
        </w:tc>
        <w:tc>
          <w:tcPr>
            <w:tcW w:w="1350" w:type="dxa"/>
            <w:tcBorders>
              <w:top w:val="single" w:sz="4" w:space="0" w:color="auto"/>
              <w:left w:val="single" w:sz="4" w:space="0" w:color="auto"/>
              <w:bottom w:val="single" w:sz="4" w:space="0" w:color="auto"/>
              <w:right w:val="single" w:sz="4" w:space="0" w:color="auto"/>
            </w:tcBorders>
            <w:vAlign w:val="center"/>
          </w:tcPr>
          <w:p w14:paraId="63D4C113" w14:textId="799B9A31" w:rsidR="00776E72" w:rsidRDefault="00774477">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73FFEF49" w14:textId="61773BD7" w:rsidR="00776E72" w:rsidRDefault="00774477">
            <w:pPr>
              <w:spacing w:line="276" w:lineRule="auto"/>
              <w:jc w:val="right"/>
              <w:rPr>
                <w:rFonts w:ascii="Calibri" w:hAnsi="Calibri" w:cs="Calibri"/>
              </w:rPr>
            </w:pPr>
            <w:r>
              <w:rPr>
                <w:rFonts w:ascii="Calibri" w:hAnsi="Calibri" w:cs="Calibri"/>
              </w:rPr>
              <w:t>23</w:t>
            </w:r>
          </w:p>
        </w:tc>
        <w:tc>
          <w:tcPr>
            <w:tcW w:w="1170" w:type="dxa"/>
            <w:tcBorders>
              <w:top w:val="single" w:sz="4" w:space="0" w:color="auto"/>
              <w:left w:val="single" w:sz="4" w:space="0" w:color="auto"/>
              <w:bottom w:val="single" w:sz="4" w:space="0" w:color="auto"/>
              <w:right w:val="single" w:sz="8" w:space="0" w:color="auto"/>
            </w:tcBorders>
            <w:vAlign w:val="center"/>
          </w:tcPr>
          <w:p w14:paraId="3C8BA740" w14:textId="363F927B" w:rsidR="00776E72" w:rsidRDefault="00774477">
            <w:pPr>
              <w:spacing w:line="276" w:lineRule="auto"/>
              <w:jc w:val="right"/>
              <w:rPr>
                <w:rFonts w:ascii="Calibri" w:hAnsi="Calibri" w:cs="Calibri"/>
              </w:rPr>
            </w:pPr>
            <w:r>
              <w:rPr>
                <w:rFonts w:ascii="Calibri" w:hAnsi="Calibri" w:cs="Calibri"/>
              </w:rPr>
              <w:t>23</w:t>
            </w:r>
          </w:p>
        </w:tc>
        <w:tc>
          <w:tcPr>
            <w:tcW w:w="1260" w:type="dxa"/>
            <w:tcBorders>
              <w:top w:val="single" w:sz="4" w:space="0" w:color="auto"/>
              <w:left w:val="single" w:sz="8" w:space="0" w:color="auto"/>
              <w:bottom w:val="single" w:sz="4" w:space="0" w:color="auto"/>
              <w:right w:val="single" w:sz="12" w:space="0" w:color="auto"/>
            </w:tcBorders>
            <w:vAlign w:val="center"/>
          </w:tcPr>
          <w:p w14:paraId="549C1319" w14:textId="3FE33753" w:rsidR="00776E72" w:rsidRDefault="00774477">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tcPr>
          <w:p w14:paraId="02957F8D" w14:textId="0ACE3F4D" w:rsidR="00776E72" w:rsidRDefault="00774477">
            <w:pPr>
              <w:spacing w:line="276" w:lineRule="auto"/>
              <w:jc w:val="right"/>
              <w:rPr>
                <w:rFonts w:ascii="Calibri" w:hAnsi="Calibri" w:cs="Calibri"/>
              </w:rPr>
            </w:pPr>
            <w:r>
              <w:rPr>
                <w:rFonts w:ascii="Calibri" w:hAnsi="Calibri" w:cs="Calibri"/>
              </w:rPr>
              <w:t>12</w:t>
            </w:r>
          </w:p>
        </w:tc>
      </w:tr>
      <w:tr w:rsidR="00776E72" w14:paraId="28396034" w14:textId="77777777" w:rsidTr="009706D8">
        <w:tc>
          <w:tcPr>
            <w:tcW w:w="450" w:type="dxa"/>
            <w:tcBorders>
              <w:top w:val="single" w:sz="4" w:space="0" w:color="auto"/>
              <w:left w:val="single" w:sz="4" w:space="0" w:color="auto"/>
              <w:bottom w:val="single" w:sz="4" w:space="0" w:color="auto"/>
              <w:right w:val="single" w:sz="4" w:space="0" w:color="auto"/>
            </w:tcBorders>
          </w:tcPr>
          <w:p w14:paraId="17CD5C07" w14:textId="300A5D52" w:rsidR="00776E72" w:rsidRDefault="0028765B">
            <w:pPr>
              <w:spacing w:line="276" w:lineRule="auto"/>
              <w:rPr>
                <w:rFonts w:ascii="Calibri" w:hAnsi="Calibri" w:cs="Calibri"/>
              </w:rPr>
            </w:pPr>
            <w:r>
              <w:rPr>
                <w:rFonts w:ascii="Calibri" w:hAnsi="Calibri" w:cs="Calibri"/>
              </w:rPr>
              <w:t>20</w:t>
            </w:r>
          </w:p>
        </w:tc>
        <w:tc>
          <w:tcPr>
            <w:tcW w:w="1260" w:type="dxa"/>
            <w:tcBorders>
              <w:top w:val="single" w:sz="4" w:space="0" w:color="auto"/>
              <w:left w:val="single" w:sz="4" w:space="0" w:color="auto"/>
              <w:bottom w:val="single" w:sz="4" w:space="0" w:color="auto"/>
              <w:right w:val="single" w:sz="4" w:space="0" w:color="auto"/>
            </w:tcBorders>
            <w:vAlign w:val="center"/>
          </w:tcPr>
          <w:p w14:paraId="3C5048DE" w14:textId="255F1FC7" w:rsidR="00776E72" w:rsidRDefault="00774477">
            <w:pPr>
              <w:spacing w:line="276" w:lineRule="auto"/>
              <w:rPr>
                <w:rFonts w:ascii="Calibri" w:hAnsi="Calibri" w:cs="Calibri"/>
              </w:rPr>
            </w:pPr>
            <w:r>
              <w:rPr>
                <w:rFonts w:ascii="Calibri" w:hAnsi="Calibri" w:cs="Calibri"/>
              </w:rPr>
              <w:t>9-4094-A</w:t>
            </w:r>
          </w:p>
        </w:tc>
        <w:tc>
          <w:tcPr>
            <w:tcW w:w="1350" w:type="dxa"/>
            <w:tcBorders>
              <w:top w:val="single" w:sz="4" w:space="0" w:color="auto"/>
              <w:left w:val="single" w:sz="4" w:space="0" w:color="auto"/>
              <w:bottom w:val="single" w:sz="4" w:space="0" w:color="auto"/>
              <w:right w:val="single" w:sz="4" w:space="0" w:color="auto"/>
            </w:tcBorders>
            <w:vAlign w:val="center"/>
          </w:tcPr>
          <w:p w14:paraId="6F083BB2" w14:textId="4D52CE9D" w:rsidR="00776E72" w:rsidRDefault="00774477">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29E70DB5" w14:textId="7CCD3526" w:rsidR="00776E72" w:rsidRDefault="00774477">
            <w:pPr>
              <w:spacing w:line="276" w:lineRule="auto"/>
              <w:jc w:val="right"/>
              <w:rPr>
                <w:rFonts w:ascii="Calibri" w:hAnsi="Calibri" w:cs="Calibri"/>
              </w:rPr>
            </w:pPr>
            <w:r>
              <w:rPr>
                <w:rFonts w:ascii="Calibri" w:hAnsi="Calibri" w:cs="Calibri"/>
              </w:rPr>
              <w:t>18</w:t>
            </w:r>
          </w:p>
        </w:tc>
        <w:tc>
          <w:tcPr>
            <w:tcW w:w="1170" w:type="dxa"/>
            <w:tcBorders>
              <w:top w:val="single" w:sz="4" w:space="0" w:color="auto"/>
              <w:left w:val="single" w:sz="4" w:space="0" w:color="auto"/>
              <w:bottom w:val="single" w:sz="4" w:space="0" w:color="auto"/>
              <w:right w:val="single" w:sz="8" w:space="0" w:color="auto"/>
            </w:tcBorders>
            <w:vAlign w:val="center"/>
          </w:tcPr>
          <w:p w14:paraId="20059DC4" w14:textId="677CE405" w:rsidR="00776E72" w:rsidRDefault="00774477">
            <w:pPr>
              <w:spacing w:line="276" w:lineRule="auto"/>
              <w:jc w:val="right"/>
              <w:rPr>
                <w:rFonts w:ascii="Calibri" w:hAnsi="Calibri" w:cs="Calibri"/>
              </w:rPr>
            </w:pPr>
            <w:r>
              <w:rPr>
                <w:rFonts w:ascii="Calibri" w:hAnsi="Calibri" w:cs="Calibri"/>
              </w:rPr>
              <w:t>18</w:t>
            </w:r>
          </w:p>
        </w:tc>
        <w:tc>
          <w:tcPr>
            <w:tcW w:w="1260" w:type="dxa"/>
            <w:tcBorders>
              <w:top w:val="single" w:sz="4" w:space="0" w:color="auto"/>
              <w:left w:val="single" w:sz="8" w:space="0" w:color="auto"/>
              <w:bottom w:val="single" w:sz="4" w:space="0" w:color="auto"/>
              <w:right w:val="single" w:sz="12" w:space="0" w:color="auto"/>
            </w:tcBorders>
            <w:vAlign w:val="center"/>
          </w:tcPr>
          <w:p w14:paraId="128226D9" w14:textId="3D447F57" w:rsidR="00776E72" w:rsidRDefault="00774477">
            <w:pPr>
              <w:spacing w:line="276" w:lineRule="auto"/>
              <w:jc w:val="center"/>
              <w:rPr>
                <w:rFonts w:ascii="Calibri" w:hAnsi="Calibri" w:cs="Calibri"/>
              </w:rPr>
            </w:pPr>
            <w:r>
              <w:rPr>
                <w:rFonts w:ascii="Calibri" w:hAnsi="Calibri" w:cs="Calibri"/>
              </w:rPr>
              <w:t>90 min</w:t>
            </w:r>
          </w:p>
        </w:tc>
        <w:tc>
          <w:tcPr>
            <w:tcW w:w="1350" w:type="dxa"/>
            <w:tcBorders>
              <w:top w:val="single" w:sz="4" w:space="0" w:color="auto"/>
              <w:left w:val="single" w:sz="8" w:space="0" w:color="auto"/>
              <w:bottom w:val="single" w:sz="4" w:space="0" w:color="auto"/>
              <w:right w:val="single" w:sz="12" w:space="0" w:color="auto"/>
            </w:tcBorders>
            <w:vAlign w:val="center"/>
          </w:tcPr>
          <w:p w14:paraId="2619009D" w14:textId="07D5F930" w:rsidR="00776E72" w:rsidRDefault="00774477">
            <w:pPr>
              <w:spacing w:line="276" w:lineRule="auto"/>
              <w:jc w:val="right"/>
              <w:rPr>
                <w:rFonts w:ascii="Calibri" w:hAnsi="Calibri" w:cs="Calibri"/>
              </w:rPr>
            </w:pPr>
            <w:r>
              <w:rPr>
                <w:rFonts w:ascii="Calibri" w:hAnsi="Calibri" w:cs="Calibri"/>
              </w:rPr>
              <w:t>27</w:t>
            </w:r>
          </w:p>
        </w:tc>
      </w:tr>
      <w:tr w:rsidR="00776E72" w14:paraId="16799D1F" w14:textId="77777777" w:rsidTr="009706D8">
        <w:tc>
          <w:tcPr>
            <w:tcW w:w="450" w:type="dxa"/>
            <w:tcBorders>
              <w:top w:val="single" w:sz="4" w:space="0" w:color="auto"/>
              <w:left w:val="single" w:sz="4" w:space="0" w:color="auto"/>
              <w:bottom w:val="single" w:sz="4" w:space="0" w:color="auto"/>
              <w:right w:val="single" w:sz="4" w:space="0" w:color="auto"/>
            </w:tcBorders>
          </w:tcPr>
          <w:p w14:paraId="3C2C6436" w14:textId="18AAD3E8" w:rsidR="00776E72" w:rsidRDefault="0028765B">
            <w:pPr>
              <w:spacing w:line="276" w:lineRule="auto"/>
              <w:rPr>
                <w:rFonts w:ascii="Calibri" w:hAnsi="Calibri" w:cs="Calibri"/>
              </w:rPr>
            </w:pPr>
            <w:r>
              <w:rPr>
                <w:rFonts w:ascii="Calibri" w:hAnsi="Calibri" w:cs="Calibri"/>
              </w:rPr>
              <w:t>21</w:t>
            </w:r>
          </w:p>
        </w:tc>
        <w:tc>
          <w:tcPr>
            <w:tcW w:w="1260" w:type="dxa"/>
            <w:tcBorders>
              <w:top w:val="single" w:sz="4" w:space="0" w:color="auto"/>
              <w:left w:val="single" w:sz="4" w:space="0" w:color="auto"/>
              <w:bottom w:val="single" w:sz="4" w:space="0" w:color="auto"/>
              <w:right w:val="single" w:sz="4" w:space="0" w:color="auto"/>
            </w:tcBorders>
            <w:vAlign w:val="center"/>
          </w:tcPr>
          <w:p w14:paraId="0E0D43BC" w14:textId="7EA49857" w:rsidR="00776E72" w:rsidRDefault="00FB0B02">
            <w:pPr>
              <w:spacing w:line="276" w:lineRule="auto"/>
              <w:rPr>
                <w:rFonts w:ascii="Calibri" w:hAnsi="Calibri" w:cs="Calibri"/>
              </w:rPr>
            </w:pPr>
            <w:r>
              <w:rPr>
                <w:rFonts w:ascii="Calibri" w:hAnsi="Calibri" w:cs="Calibri"/>
              </w:rPr>
              <w:t>9-4095-A</w:t>
            </w:r>
          </w:p>
        </w:tc>
        <w:tc>
          <w:tcPr>
            <w:tcW w:w="1350" w:type="dxa"/>
            <w:tcBorders>
              <w:top w:val="single" w:sz="4" w:space="0" w:color="auto"/>
              <w:left w:val="single" w:sz="4" w:space="0" w:color="auto"/>
              <w:bottom w:val="single" w:sz="4" w:space="0" w:color="auto"/>
              <w:right w:val="single" w:sz="4" w:space="0" w:color="auto"/>
            </w:tcBorders>
            <w:vAlign w:val="center"/>
          </w:tcPr>
          <w:p w14:paraId="2DEC4E27" w14:textId="0B753AFE" w:rsidR="00776E72" w:rsidRDefault="00FB0B02">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5D7EF340" w14:textId="2B64DFA4" w:rsidR="00776E72" w:rsidRDefault="00FB0B02">
            <w:pPr>
              <w:spacing w:line="276" w:lineRule="auto"/>
              <w:jc w:val="right"/>
              <w:rPr>
                <w:rFonts w:ascii="Calibri" w:hAnsi="Calibri" w:cs="Calibri"/>
              </w:rPr>
            </w:pPr>
            <w:r>
              <w:rPr>
                <w:rFonts w:ascii="Calibri" w:hAnsi="Calibri" w:cs="Calibri"/>
              </w:rPr>
              <w:t>200</w:t>
            </w:r>
          </w:p>
        </w:tc>
        <w:tc>
          <w:tcPr>
            <w:tcW w:w="1170" w:type="dxa"/>
            <w:tcBorders>
              <w:top w:val="single" w:sz="4" w:space="0" w:color="auto"/>
              <w:left w:val="single" w:sz="4" w:space="0" w:color="auto"/>
              <w:bottom w:val="single" w:sz="4" w:space="0" w:color="auto"/>
              <w:right w:val="single" w:sz="8" w:space="0" w:color="auto"/>
            </w:tcBorders>
            <w:vAlign w:val="center"/>
          </w:tcPr>
          <w:p w14:paraId="6A46CA38" w14:textId="57E4675A" w:rsidR="00776E72" w:rsidRDefault="00FB0B02">
            <w:pPr>
              <w:spacing w:line="276" w:lineRule="auto"/>
              <w:jc w:val="right"/>
              <w:rPr>
                <w:rFonts w:ascii="Calibri" w:hAnsi="Calibri" w:cs="Calibri"/>
              </w:rPr>
            </w:pPr>
            <w:r>
              <w:rPr>
                <w:rFonts w:ascii="Calibri" w:hAnsi="Calibri" w:cs="Calibri"/>
              </w:rPr>
              <w:t>200</w:t>
            </w:r>
          </w:p>
        </w:tc>
        <w:tc>
          <w:tcPr>
            <w:tcW w:w="1260" w:type="dxa"/>
            <w:tcBorders>
              <w:top w:val="single" w:sz="4" w:space="0" w:color="auto"/>
              <w:left w:val="single" w:sz="8" w:space="0" w:color="auto"/>
              <w:bottom w:val="single" w:sz="4" w:space="0" w:color="auto"/>
              <w:right w:val="single" w:sz="12" w:space="0" w:color="auto"/>
            </w:tcBorders>
            <w:vAlign w:val="center"/>
          </w:tcPr>
          <w:p w14:paraId="38C8BCBB" w14:textId="705DBA30" w:rsidR="00776E72" w:rsidRDefault="00FB0B02">
            <w:pPr>
              <w:spacing w:line="276" w:lineRule="auto"/>
              <w:jc w:val="center"/>
              <w:rPr>
                <w:rFonts w:ascii="Calibri" w:hAnsi="Calibri" w:cs="Calibri"/>
              </w:rPr>
            </w:pPr>
            <w:r>
              <w:rPr>
                <w:rFonts w:ascii="Calibri" w:hAnsi="Calibri" w:cs="Calibri"/>
              </w:rPr>
              <w:t>45 min</w:t>
            </w:r>
          </w:p>
        </w:tc>
        <w:tc>
          <w:tcPr>
            <w:tcW w:w="1350" w:type="dxa"/>
            <w:tcBorders>
              <w:top w:val="single" w:sz="4" w:space="0" w:color="auto"/>
              <w:left w:val="single" w:sz="8" w:space="0" w:color="auto"/>
              <w:bottom w:val="single" w:sz="4" w:space="0" w:color="auto"/>
              <w:right w:val="single" w:sz="12" w:space="0" w:color="auto"/>
            </w:tcBorders>
            <w:vAlign w:val="center"/>
          </w:tcPr>
          <w:p w14:paraId="07FD2B7A" w14:textId="56BCC31D" w:rsidR="00776E72" w:rsidRDefault="00FB0B02">
            <w:pPr>
              <w:spacing w:line="276" w:lineRule="auto"/>
              <w:jc w:val="right"/>
              <w:rPr>
                <w:rFonts w:ascii="Calibri" w:hAnsi="Calibri" w:cs="Calibri"/>
              </w:rPr>
            </w:pPr>
            <w:r>
              <w:rPr>
                <w:rFonts w:ascii="Calibri" w:hAnsi="Calibri" w:cs="Calibri"/>
              </w:rPr>
              <w:t>150</w:t>
            </w:r>
          </w:p>
        </w:tc>
      </w:tr>
      <w:tr w:rsidR="00776E72" w14:paraId="72B52C7A" w14:textId="77777777" w:rsidTr="009706D8">
        <w:tc>
          <w:tcPr>
            <w:tcW w:w="450" w:type="dxa"/>
            <w:tcBorders>
              <w:top w:val="single" w:sz="4" w:space="0" w:color="auto"/>
              <w:left w:val="single" w:sz="4" w:space="0" w:color="auto"/>
              <w:bottom w:val="single" w:sz="4" w:space="0" w:color="auto"/>
              <w:right w:val="single" w:sz="4" w:space="0" w:color="auto"/>
            </w:tcBorders>
          </w:tcPr>
          <w:p w14:paraId="234D1275" w14:textId="6C9018D6" w:rsidR="00776E72" w:rsidRDefault="0028765B">
            <w:pPr>
              <w:spacing w:line="276" w:lineRule="auto"/>
              <w:rPr>
                <w:rFonts w:ascii="Calibri" w:hAnsi="Calibri" w:cs="Calibri"/>
              </w:rPr>
            </w:pPr>
            <w:r>
              <w:rPr>
                <w:rFonts w:ascii="Calibri" w:hAnsi="Calibri" w:cs="Calibri"/>
              </w:rPr>
              <w:t>22</w:t>
            </w:r>
          </w:p>
        </w:tc>
        <w:tc>
          <w:tcPr>
            <w:tcW w:w="1260" w:type="dxa"/>
            <w:tcBorders>
              <w:top w:val="single" w:sz="4" w:space="0" w:color="auto"/>
              <w:left w:val="single" w:sz="4" w:space="0" w:color="auto"/>
              <w:bottom w:val="single" w:sz="4" w:space="0" w:color="auto"/>
              <w:right w:val="single" w:sz="4" w:space="0" w:color="auto"/>
            </w:tcBorders>
            <w:vAlign w:val="center"/>
          </w:tcPr>
          <w:p w14:paraId="5EC9CD05" w14:textId="22961D28" w:rsidR="00776E72" w:rsidRDefault="00FB0B02">
            <w:pPr>
              <w:spacing w:line="276" w:lineRule="auto"/>
              <w:rPr>
                <w:rFonts w:ascii="Calibri" w:hAnsi="Calibri" w:cs="Calibri"/>
              </w:rPr>
            </w:pPr>
            <w:r>
              <w:rPr>
                <w:rFonts w:ascii="Calibri" w:hAnsi="Calibri" w:cs="Calibri"/>
              </w:rPr>
              <w:t>9-4098-M</w:t>
            </w:r>
          </w:p>
        </w:tc>
        <w:tc>
          <w:tcPr>
            <w:tcW w:w="1350" w:type="dxa"/>
            <w:tcBorders>
              <w:top w:val="single" w:sz="4" w:space="0" w:color="auto"/>
              <w:left w:val="single" w:sz="4" w:space="0" w:color="auto"/>
              <w:bottom w:val="single" w:sz="4" w:space="0" w:color="auto"/>
              <w:right w:val="single" w:sz="4" w:space="0" w:color="auto"/>
            </w:tcBorders>
            <w:vAlign w:val="center"/>
          </w:tcPr>
          <w:p w14:paraId="7ECB33B2" w14:textId="73E95767" w:rsidR="00776E72" w:rsidRDefault="00FB0B02">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tcPr>
          <w:p w14:paraId="548B2FAB" w14:textId="59CAFC62" w:rsidR="00776E72" w:rsidRDefault="00FB0B02">
            <w:pPr>
              <w:spacing w:line="276" w:lineRule="auto"/>
              <w:jc w:val="right"/>
              <w:rPr>
                <w:rFonts w:ascii="Calibri" w:hAnsi="Calibri" w:cs="Calibri"/>
              </w:rPr>
            </w:pPr>
            <w:r>
              <w:rPr>
                <w:rFonts w:ascii="Calibri" w:hAnsi="Calibri" w:cs="Calibri"/>
              </w:rPr>
              <w:t>35</w:t>
            </w:r>
          </w:p>
        </w:tc>
        <w:tc>
          <w:tcPr>
            <w:tcW w:w="1170" w:type="dxa"/>
            <w:tcBorders>
              <w:top w:val="single" w:sz="4" w:space="0" w:color="auto"/>
              <w:left w:val="single" w:sz="4" w:space="0" w:color="auto"/>
              <w:bottom w:val="single" w:sz="4" w:space="0" w:color="auto"/>
              <w:right w:val="single" w:sz="8" w:space="0" w:color="auto"/>
            </w:tcBorders>
            <w:vAlign w:val="center"/>
          </w:tcPr>
          <w:p w14:paraId="7AB0A4A2" w14:textId="5B412014" w:rsidR="00776E72" w:rsidRDefault="00FB0B02">
            <w:pPr>
              <w:spacing w:line="276" w:lineRule="auto"/>
              <w:jc w:val="right"/>
              <w:rPr>
                <w:rFonts w:ascii="Calibri" w:hAnsi="Calibri" w:cs="Calibri"/>
              </w:rPr>
            </w:pPr>
            <w:r>
              <w:rPr>
                <w:rFonts w:ascii="Calibri" w:hAnsi="Calibri" w:cs="Calibri"/>
              </w:rPr>
              <w:t>420</w:t>
            </w:r>
          </w:p>
        </w:tc>
        <w:tc>
          <w:tcPr>
            <w:tcW w:w="1260" w:type="dxa"/>
            <w:tcBorders>
              <w:top w:val="single" w:sz="4" w:space="0" w:color="auto"/>
              <w:left w:val="single" w:sz="8" w:space="0" w:color="auto"/>
              <w:bottom w:val="single" w:sz="4" w:space="0" w:color="auto"/>
              <w:right w:val="single" w:sz="12" w:space="0" w:color="auto"/>
            </w:tcBorders>
            <w:vAlign w:val="center"/>
          </w:tcPr>
          <w:p w14:paraId="65A8E22C" w14:textId="6C788F5B" w:rsidR="00776E72" w:rsidRDefault="00FB0B02">
            <w:pPr>
              <w:spacing w:line="276" w:lineRule="auto"/>
              <w:jc w:val="center"/>
              <w:rPr>
                <w:rFonts w:ascii="Calibri" w:hAnsi="Calibri" w:cs="Calibri"/>
              </w:rPr>
            </w:pPr>
            <w:r>
              <w:rPr>
                <w:rFonts w:ascii="Calibri" w:hAnsi="Calibri" w:cs="Calibri"/>
              </w:rPr>
              <w:t>45 min</w:t>
            </w:r>
          </w:p>
        </w:tc>
        <w:tc>
          <w:tcPr>
            <w:tcW w:w="1350" w:type="dxa"/>
            <w:tcBorders>
              <w:top w:val="single" w:sz="4" w:space="0" w:color="auto"/>
              <w:left w:val="single" w:sz="8" w:space="0" w:color="auto"/>
              <w:bottom w:val="single" w:sz="4" w:space="0" w:color="auto"/>
              <w:right w:val="single" w:sz="12" w:space="0" w:color="auto"/>
            </w:tcBorders>
            <w:vAlign w:val="center"/>
          </w:tcPr>
          <w:p w14:paraId="1AF98D79" w14:textId="68208C12" w:rsidR="00776E72" w:rsidRDefault="00FB0B02">
            <w:pPr>
              <w:spacing w:line="276" w:lineRule="auto"/>
              <w:jc w:val="right"/>
              <w:rPr>
                <w:rFonts w:ascii="Calibri" w:hAnsi="Calibri" w:cs="Calibri"/>
              </w:rPr>
            </w:pPr>
            <w:r>
              <w:rPr>
                <w:rFonts w:ascii="Calibri" w:hAnsi="Calibri" w:cs="Calibri"/>
              </w:rPr>
              <w:t>315</w:t>
            </w:r>
          </w:p>
        </w:tc>
      </w:tr>
      <w:tr w:rsidR="00776E72" w14:paraId="7049152F" w14:textId="77777777" w:rsidTr="009706D8">
        <w:tc>
          <w:tcPr>
            <w:tcW w:w="450" w:type="dxa"/>
            <w:tcBorders>
              <w:top w:val="single" w:sz="4" w:space="0" w:color="auto"/>
              <w:left w:val="single" w:sz="4" w:space="0" w:color="auto"/>
              <w:bottom w:val="single" w:sz="4" w:space="0" w:color="auto"/>
              <w:right w:val="single" w:sz="4" w:space="0" w:color="auto"/>
            </w:tcBorders>
          </w:tcPr>
          <w:p w14:paraId="2B783623" w14:textId="6F15B45D" w:rsidR="00776E72" w:rsidRDefault="0028765B">
            <w:pPr>
              <w:spacing w:line="276" w:lineRule="auto"/>
              <w:rPr>
                <w:rFonts w:ascii="Calibri" w:hAnsi="Calibri" w:cs="Calibri"/>
              </w:rPr>
            </w:pPr>
            <w:r>
              <w:rPr>
                <w:rFonts w:ascii="Calibri" w:hAnsi="Calibri" w:cs="Calibri"/>
              </w:rPr>
              <w:t>23</w:t>
            </w:r>
          </w:p>
        </w:tc>
        <w:tc>
          <w:tcPr>
            <w:tcW w:w="1260" w:type="dxa"/>
            <w:tcBorders>
              <w:top w:val="single" w:sz="4" w:space="0" w:color="auto"/>
              <w:left w:val="single" w:sz="4" w:space="0" w:color="auto"/>
              <w:bottom w:val="single" w:sz="4" w:space="0" w:color="auto"/>
              <w:right w:val="single" w:sz="4" w:space="0" w:color="auto"/>
            </w:tcBorders>
            <w:vAlign w:val="center"/>
          </w:tcPr>
          <w:p w14:paraId="3DC1B342" w14:textId="34CFE322" w:rsidR="00776E72" w:rsidRDefault="00D97198">
            <w:pPr>
              <w:spacing w:line="276" w:lineRule="auto"/>
              <w:rPr>
                <w:rFonts w:ascii="Calibri" w:hAnsi="Calibri" w:cs="Calibri"/>
              </w:rPr>
            </w:pPr>
            <w:r>
              <w:rPr>
                <w:rFonts w:ascii="Calibri" w:hAnsi="Calibri" w:cs="Calibri"/>
              </w:rPr>
              <w:t>9-4100-A</w:t>
            </w:r>
          </w:p>
        </w:tc>
        <w:tc>
          <w:tcPr>
            <w:tcW w:w="1350" w:type="dxa"/>
            <w:tcBorders>
              <w:top w:val="single" w:sz="4" w:space="0" w:color="auto"/>
              <w:left w:val="single" w:sz="4" w:space="0" w:color="auto"/>
              <w:bottom w:val="single" w:sz="4" w:space="0" w:color="auto"/>
              <w:right w:val="single" w:sz="4" w:space="0" w:color="auto"/>
            </w:tcBorders>
            <w:vAlign w:val="center"/>
          </w:tcPr>
          <w:p w14:paraId="4B06BCF3" w14:textId="264969CB" w:rsidR="00776E72" w:rsidRDefault="00D97198">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5C8B852D" w14:textId="696C4D70" w:rsidR="00776E72" w:rsidRDefault="00D97198">
            <w:pPr>
              <w:spacing w:line="276" w:lineRule="auto"/>
              <w:jc w:val="right"/>
              <w:rPr>
                <w:rFonts w:ascii="Calibri" w:hAnsi="Calibri" w:cs="Calibri"/>
              </w:rPr>
            </w:pPr>
            <w:r>
              <w:rPr>
                <w:rFonts w:ascii="Calibri" w:hAnsi="Calibri" w:cs="Calibri"/>
              </w:rPr>
              <w:t>11</w:t>
            </w:r>
          </w:p>
        </w:tc>
        <w:tc>
          <w:tcPr>
            <w:tcW w:w="1170" w:type="dxa"/>
            <w:tcBorders>
              <w:top w:val="single" w:sz="4" w:space="0" w:color="auto"/>
              <w:left w:val="single" w:sz="4" w:space="0" w:color="auto"/>
              <w:bottom w:val="single" w:sz="4" w:space="0" w:color="auto"/>
              <w:right w:val="single" w:sz="8" w:space="0" w:color="auto"/>
            </w:tcBorders>
            <w:vAlign w:val="center"/>
          </w:tcPr>
          <w:p w14:paraId="6F80F373" w14:textId="7AE3A078" w:rsidR="00776E72" w:rsidRDefault="00D97198">
            <w:pPr>
              <w:spacing w:line="276" w:lineRule="auto"/>
              <w:jc w:val="right"/>
              <w:rPr>
                <w:rFonts w:ascii="Calibri" w:hAnsi="Calibri" w:cs="Calibri"/>
              </w:rPr>
            </w:pPr>
            <w:r>
              <w:rPr>
                <w:rFonts w:ascii="Calibri" w:hAnsi="Calibri" w:cs="Calibri"/>
              </w:rPr>
              <w:t>11</w:t>
            </w:r>
          </w:p>
        </w:tc>
        <w:tc>
          <w:tcPr>
            <w:tcW w:w="1260" w:type="dxa"/>
            <w:tcBorders>
              <w:top w:val="single" w:sz="4" w:space="0" w:color="auto"/>
              <w:left w:val="single" w:sz="8" w:space="0" w:color="auto"/>
              <w:bottom w:val="single" w:sz="4" w:space="0" w:color="auto"/>
              <w:right w:val="single" w:sz="12" w:space="0" w:color="auto"/>
            </w:tcBorders>
            <w:vAlign w:val="center"/>
          </w:tcPr>
          <w:p w14:paraId="41087664" w14:textId="0990132F" w:rsidR="00776E72" w:rsidRDefault="00D97198">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tcPr>
          <w:p w14:paraId="7CB2BEA7" w14:textId="773CA1A7" w:rsidR="00776E72" w:rsidRDefault="00D97198">
            <w:pPr>
              <w:spacing w:line="276" w:lineRule="auto"/>
              <w:jc w:val="right"/>
              <w:rPr>
                <w:rFonts w:ascii="Calibri" w:hAnsi="Calibri" w:cs="Calibri"/>
              </w:rPr>
            </w:pPr>
            <w:r>
              <w:rPr>
                <w:rFonts w:ascii="Calibri" w:hAnsi="Calibri" w:cs="Calibri"/>
              </w:rPr>
              <w:t>11</w:t>
            </w:r>
          </w:p>
        </w:tc>
      </w:tr>
      <w:tr w:rsidR="00776E72" w14:paraId="34BB6863" w14:textId="77777777" w:rsidTr="009706D8">
        <w:tc>
          <w:tcPr>
            <w:tcW w:w="450" w:type="dxa"/>
            <w:tcBorders>
              <w:top w:val="single" w:sz="4" w:space="0" w:color="auto"/>
              <w:left w:val="single" w:sz="4" w:space="0" w:color="auto"/>
              <w:bottom w:val="single" w:sz="4" w:space="0" w:color="auto"/>
              <w:right w:val="single" w:sz="4" w:space="0" w:color="auto"/>
            </w:tcBorders>
          </w:tcPr>
          <w:p w14:paraId="3EBEAA54" w14:textId="2EB53FE8" w:rsidR="00776E72" w:rsidRDefault="0028765B">
            <w:pPr>
              <w:spacing w:line="276" w:lineRule="auto"/>
              <w:rPr>
                <w:rFonts w:ascii="Calibri" w:hAnsi="Calibri" w:cs="Calibri"/>
              </w:rPr>
            </w:pPr>
            <w:r>
              <w:rPr>
                <w:rFonts w:ascii="Calibri" w:hAnsi="Calibri" w:cs="Calibri"/>
              </w:rPr>
              <w:t>24</w:t>
            </w:r>
          </w:p>
        </w:tc>
        <w:tc>
          <w:tcPr>
            <w:tcW w:w="1260" w:type="dxa"/>
            <w:tcBorders>
              <w:top w:val="single" w:sz="4" w:space="0" w:color="auto"/>
              <w:left w:val="single" w:sz="4" w:space="0" w:color="auto"/>
              <w:bottom w:val="single" w:sz="4" w:space="0" w:color="auto"/>
              <w:right w:val="single" w:sz="4" w:space="0" w:color="auto"/>
            </w:tcBorders>
            <w:vAlign w:val="center"/>
          </w:tcPr>
          <w:p w14:paraId="339934E7" w14:textId="6F4D1EF8" w:rsidR="00776E72" w:rsidRDefault="006E0EBF">
            <w:pPr>
              <w:spacing w:line="276" w:lineRule="auto"/>
              <w:rPr>
                <w:rFonts w:ascii="Calibri" w:hAnsi="Calibri" w:cs="Calibri"/>
              </w:rPr>
            </w:pPr>
            <w:r>
              <w:rPr>
                <w:rFonts w:ascii="Calibri" w:hAnsi="Calibri" w:cs="Calibri"/>
              </w:rPr>
              <w:t>9-4101-A</w:t>
            </w:r>
          </w:p>
        </w:tc>
        <w:tc>
          <w:tcPr>
            <w:tcW w:w="1350" w:type="dxa"/>
            <w:tcBorders>
              <w:top w:val="single" w:sz="4" w:space="0" w:color="auto"/>
              <w:left w:val="single" w:sz="4" w:space="0" w:color="auto"/>
              <w:bottom w:val="single" w:sz="4" w:space="0" w:color="auto"/>
              <w:right w:val="single" w:sz="4" w:space="0" w:color="auto"/>
            </w:tcBorders>
            <w:vAlign w:val="center"/>
          </w:tcPr>
          <w:p w14:paraId="178F5A56" w14:textId="7CAA10AB" w:rsidR="00776E72" w:rsidRDefault="006E0EBF">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7189559A" w14:textId="234E64A3" w:rsidR="00776E72" w:rsidRDefault="006E0EBF">
            <w:pPr>
              <w:spacing w:line="276" w:lineRule="auto"/>
              <w:jc w:val="right"/>
              <w:rPr>
                <w:rFonts w:ascii="Calibri" w:hAnsi="Calibri" w:cs="Calibri"/>
              </w:rPr>
            </w:pPr>
            <w:r>
              <w:rPr>
                <w:rFonts w:ascii="Calibri" w:hAnsi="Calibri" w:cs="Calibri"/>
              </w:rPr>
              <w:t>25</w:t>
            </w:r>
          </w:p>
        </w:tc>
        <w:tc>
          <w:tcPr>
            <w:tcW w:w="1170" w:type="dxa"/>
            <w:tcBorders>
              <w:top w:val="single" w:sz="4" w:space="0" w:color="auto"/>
              <w:left w:val="single" w:sz="4" w:space="0" w:color="auto"/>
              <w:bottom w:val="single" w:sz="4" w:space="0" w:color="auto"/>
              <w:right w:val="single" w:sz="8" w:space="0" w:color="auto"/>
            </w:tcBorders>
            <w:vAlign w:val="center"/>
          </w:tcPr>
          <w:p w14:paraId="3CA5F646" w14:textId="11778614" w:rsidR="00776E72" w:rsidRDefault="006E0EBF">
            <w:pPr>
              <w:spacing w:line="276" w:lineRule="auto"/>
              <w:jc w:val="right"/>
              <w:rPr>
                <w:rFonts w:ascii="Calibri" w:hAnsi="Calibri" w:cs="Calibri"/>
              </w:rPr>
            </w:pPr>
            <w:r>
              <w:rPr>
                <w:rFonts w:ascii="Calibri" w:hAnsi="Calibri" w:cs="Calibri"/>
              </w:rPr>
              <w:t>25</w:t>
            </w:r>
          </w:p>
        </w:tc>
        <w:tc>
          <w:tcPr>
            <w:tcW w:w="1260" w:type="dxa"/>
            <w:tcBorders>
              <w:top w:val="single" w:sz="4" w:space="0" w:color="auto"/>
              <w:left w:val="single" w:sz="8" w:space="0" w:color="auto"/>
              <w:bottom w:val="single" w:sz="4" w:space="0" w:color="auto"/>
              <w:right w:val="single" w:sz="12" w:space="0" w:color="auto"/>
            </w:tcBorders>
            <w:vAlign w:val="center"/>
          </w:tcPr>
          <w:p w14:paraId="45E5A289" w14:textId="315F5DF8" w:rsidR="00776E72" w:rsidRDefault="006E0EBF">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tcPr>
          <w:p w14:paraId="15994A13" w14:textId="32A4CF7B" w:rsidR="00776E72" w:rsidRDefault="006E0EBF">
            <w:pPr>
              <w:spacing w:line="276" w:lineRule="auto"/>
              <w:jc w:val="right"/>
              <w:rPr>
                <w:rFonts w:ascii="Calibri" w:hAnsi="Calibri" w:cs="Calibri"/>
              </w:rPr>
            </w:pPr>
            <w:r>
              <w:rPr>
                <w:rFonts w:ascii="Calibri" w:hAnsi="Calibri" w:cs="Calibri"/>
              </w:rPr>
              <w:t>25</w:t>
            </w:r>
          </w:p>
        </w:tc>
      </w:tr>
      <w:tr w:rsidR="00776E72" w14:paraId="3EBE379A" w14:textId="77777777" w:rsidTr="009706D8">
        <w:tc>
          <w:tcPr>
            <w:tcW w:w="450" w:type="dxa"/>
            <w:tcBorders>
              <w:top w:val="single" w:sz="4" w:space="0" w:color="auto"/>
              <w:left w:val="single" w:sz="4" w:space="0" w:color="auto"/>
              <w:bottom w:val="single" w:sz="4" w:space="0" w:color="auto"/>
              <w:right w:val="single" w:sz="4" w:space="0" w:color="auto"/>
            </w:tcBorders>
          </w:tcPr>
          <w:p w14:paraId="14A05B42" w14:textId="7A618550" w:rsidR="00776E72" w:rsidRDefault="0028765B">
            <w:pPr>
              <w:spacing w:line="276" w:lineRule="auto"/>
              <w:rPr>
                <w:rFonts w:ascii="Calibri" w:hAnsi="Calibri" w:cs="Calibri"/>
              </w:rPr>
            </w:pPr>
            <w:r>
              <w:rPr>
                <w:rFonts w:ascii="Calibri" w:hAnsi="Calibri" w:cs="Calibri"/>
              </w:rPr>
              <w:t>25</w:t>
            </w:r>
          </w:p>
        </w:tc>
        <w:tc>
          <w:tcPr>
            <w:tcW w:w="1260" w:type="dxa"/>
            <w:tcBorders>
              <w:top w:val="single" w:sz="4" w:space="0" w:color="auto"/>
              <w:left w:val="single" w:sz="4" w:space="0" w:color="auto"/>
              <w:bottom w:val="single" w:sz="4" w:space="0" w:color="auto"/>
              <w:right w:val="single" w:sz="4" w:space="0" w:color="auto"/>
            </w:tcBorders>
            <w:vAlign w:val="center"/>
          </w:tcPr>
          <w:p w14:paraId="66D9BCC7" w14:textId="6115E8BA" w:rsidR="00776E72" w:rsidRDefault="00167706">
            <w:pPr>
              <w:spacing w:line="276" w:lineRule="auto"/>
              <w:rPr>
                <w:rFonts w:ascii="Calibri" w:hAnsi="Calibri" w:cs="Calibri"/>
              </w:rPr>
            </w:pPr>
            <w:r>
              <w:rPr>
                <w:rFonts w:ascii="Calibri" w:hAnsi="Calibri" w:cs="Calibri"/>
              </w:rPr>
              <w:t>9-4102-A</w:t>
            </w:r>
          </w:p>
        </w:tc>
        <w:tc>
          <w:tcPr>
            <w:tcW w:w="1350" w:type="dxa"/>
            <w:tcBorders>
              <w:top w:val="single" w:sz="4" w:space="0" w:color="auto"/>
              <w:left w:val="single" w:sz="4" w:space="0" w:color="auto"/>
              <w:bottom w:val="single" w:sz="4" w:space="0" w:color="auto"/>
              <w:right w:val="single" w:sz="4" w:space="0" w:color="auto"/>
            </w:tcBorders>
            <w:vAlign w:val="center"/>
          </w:tcPr>
          <w:p w14:paraId="4A2C1B46" w14:textId="208E2108" w:rsidR="00776E72" w:rsidRDefault="0016770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191F255F" w14:textId="0795F43F" w:rsidR="00776E72" w:rsidRDefault="00167706">
            <w:pPr>
              <w:spacing w:line="276" w:lineRule="auto"/>
              <w:jc w:val="right"/>
              <w:rPr>
                <w:rFonts w:ascii="Calibri" w:hAnsi="Calibri" w:cs="Calibri"/>
              </w:rPr>
            </w:pPr>
            <w:r>
              <w:rPr>
                <w:rFonts w:ascii="Calibri" w:hAnsi="Calibri" w:cs="Calibri"/>
              </w:rPr>
              <w:t>50</w:t>
            </w:r>
          </w:p>
        </w:tc>
        <w:tc>
          <w:tcPr>
            <w:tcW w:w="1170" w:type="dxa"/>
            <w:tcBorders>
              <w:top w:val="single" w:sz="4" w:space="0" w:color="auto"/>
              <w:left w:val="single" w:sz="4" w:space="0" w:color="auto"/>
              <w:bottom w:val="single" w:sz="4" w:space="0" w:color="auto"/>
              <w:right w:val="single" w:sz="8" w:space="0" w:color="auto"/>
            </w:tcBorders>
            <w:vAlign w:val="center"/>
          </w:tcPr>
          <w:p w14:paraId="5AE9784A" w14:textId="1EC7BB2D" w:rsidR="00776E72" w:rsidRDefault="00167706">
            <w:pPr>
              <w:spacing w:line="276" w:lineRule="auto"/>
              <w:jc w:val="right"/>
              <w:rPr>
                <w:rFonts w:ascii="Calibri" w:hAnsi="Calibri" w:cs="Calibri"/>
              </w:rPr>
            </w:pPr>
            <w:r>
              <w:rPr>
                <w:rFonts w:ascii="Calibri" w:hAnsi="Calibri" w:cs="Calibri"/>
              </w:rPr>
              <w:t>50</w:t>
            </w:r>
          </w:p>
        </w:tc>
        <w:tc>
          <w:tcPr>
            <w:tcW w:w="1260" w:type="dxa"/>
            <w:tcBorders>
              <w:top w:val="single" w:sz="4" w:space="0" w:color="auto"/>
              <w:left w:val="single" w:sz="8" w:space="0" w:color="auto"/>
              <w:bottom w:val="single" w:sz="4" w:space="0" w:color="auto"/>
              <w:right w:val="single" w:sz="12" w:space="0" w:color="auto"/>
            </w:tcBorders>
            <w:vAlign w:val="center"/>
          </w:tcPr>
          <w:p w14:paraId="49B8935D" w14:textId="6F648037" w:rsidR="00776E72" w:rsidRDefault="00167706">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tcPr>
          <w:p w14:paraId="48FA2084" w14:textId="7D97BA22" w:rsidR="00776E72" w:rsidRDefault="00167706">
            <w:pPr>
              <w:spacing w:line="276" w:lineRule="auto"/>
              <w:jc w:val="right"/>
              <w:rPr>
                <w:rFonts w:ascii="Calibri" w:hAnsi="Calibri" w:cs="Calibri"/>
              </w:rPr>
            </w:pPr>
            <w:r>
              <w:rPr>
                <w:rFonts w:ascii="Calibri" w:hAnsi="Calibri" w:cs="Calibri"/>
              </w:rPr>
              <w:t>50</w:t>
            </w:r>
          </w:p>
        </w:tc>
      </w:tr>
      <w:tr w:rsidR="00776E72" w14:paraId="04B07FF0" w14:textId="77777777" w:rsidTr="009706D8">
        <w:tc>
          <w:tcPr>
            <w:tcW w:w="450" w:type="dxa"/>
            <w:tcBorders>
              <w:top w:val="single" w:sz="4" w:space="0" w:color="auto"/>
              <w:left w:val="single" w:sz="4" w:space="0" w:color="auto"/>
              <w:bottom w:val="single" w:sz="4" w:space="0" w:color="auto"/>
              <w:right w:val="single" w:sz="4" w:space="0" w:color="auto"/>
            </w:tcBorders>
          </w:tcPr>
          <w:p w14:paraId="6E713888" w14:textId="0A444CB2" w:rsidR="00776E72" w:rsidRDefault="0028765B">
            <w:pPr>
              <w:spacing w:line="276" w:lineRule="auto"/>
              <w:rPr>
                <w:rFonts w:ascii="Calibri" w:hAnsi="Calibri" w:cs="Calibri"/>
              </w:rPr>
            </w:pPr>
            <w:r>
              <w:rPr>
                <w:rFonts w:ascii="Calibri" w:hAnsi="Calibri" w:cs="Calibri"/>
              </w:rPr>
              <w:t>26</w:t>
            </w:r>
          </w:p>
        </w:tc>
        <w:tc>
          <w:tcPr>
            <w:tcW w:w="1260" w:type="dxa"/>
            <w:tcBorders>
              <w:top w:val="single" w:sz="4" w:space="0" w:color="auto"/>
              <w:left w:val="single" w:sz="4" w:space="0" w:color="auto"/>
              <w:bottom w:val="single" w:sz="4" w:space="0" w:color="auto"/>
              <w:right w:val="single" w:sz="4" w:space="0" w:color="auto"/>
            </w:tcBorders>
            <w:vAlign w:val="center"/>
          </w:tcPr>
          <w:p w14:paraId="0892A5E8" w14:textId="40CCA9CE" w:rsidR="00776E72" w:rsidRDefault="00167706">
            <w:pPr>
              <w:spacing w:line="276" w:lineRule="auto"/>
              <w:rPr>
                <w:rFonts w:ascii="Calibri" w:hAnsi="Calibri" w:cs="Calibri"/>
              </w:rPr>
            </w:pPr>
            <w:r>
              <w:rPr>
                <w:rFonts w:ascii="Calibri" w:hAnsi="Calibri" w:cs="Calibri"/>
              </w:rPr>
              <w:t>9-4103-A</w:t>
            </w:r>
          </w:p>
        </w:tc>
        <w:tc>
          <w:tcPr>
            <w:tcW w:w="1350" w:type="dxa"/>
            <w:tcBorders>
              <w:top w:val="single" w:sz="4" w:space="0" w:color="auto"/>
              <w:left w:val="single" w:sz="4" w:space="0" w:color="auto"/>
              <w:bottom w:val="single" w:sz="4" w:space="0" w:color="auto"/>
              <w:right w:val="single" w:sz="4" w:space="0" w:color="auto"/>
            </w:tcBorders>
            <w:vAlign w:val="center"/>
          </w:tcPr>
          <w:p w14:paraId="7CF3695A" w14:textId="069B1CA1" w:rsidR="00776E72" w:rsidRDefault="00167706">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211DAB1E" w14:textId="07A60955" w:rsidR="00776E72" w:rsidRDefault="00167706">
            <w:pPr>
              <w:spacing w:line="276" w:lineRule="auto"/>
              <w:jc w:val="right"/>
              <w:rPr>
                <w:rFonts w:ascii="Calibri" w:hAnsi="Calibri" w:cs="Calibri"/>
              </w:rPr>
            </w:pPr>
            <w:r>
              <w:rPr>
                <w:rFonts w:ascii="Calibri" w:hAnsi="Calibri" w:cs="Calibri"/>
              </w:rPr>
              <w:t>23</w:t>
            </w:r>
          </w:p>
        </w:tc>
        <w:tc>
          <w:tcPr>
            <w:tcW w:w="1170" w:type="dxa"/>
            <w:tcBorders>
              <w:top w:val="single" w:sz="4" w:space="0" w:color="auto"/>
              <w:left w:val="single" w:sz="4" w:space="0" w:color="auto"/>
              <w:bottom w:val="single" w:sz="4" w:space="0" w:color="auto"/>
              <w:right w:val="single" w:sz="8" w:space="0" w:color="auto"/>
            </w:tcBorders>
            <w:vAlign w:val="center"/>
          </w:tcPr>
          <w:p w14:paraId="0A3A5653" w14:textId="07C0C83E" w:rsidR="00776E72" w:rsidRDefault="00167706">
            <w:pPr>
              <w:spacing w:line="276" w:lineRule="auto"/>
              <w:jc w:val="right"/>
              <w:rPr>
                <w:rFonts w:ascii="Calibri" w:hAnsi="Calibri" w:cs="Calibri"/>
              </w:rPr>
            </w:pPr>
            <w:r>
              <w:rPr>
                <w:rFonts w:ascii="Calibri" w:hAnsi="Calibri" w:cs="Calibri"/>
              </w:rPr>
              <w:t>23</w:t>
            </w:r>
          </w:p>
        </w:tc>
        <w:tc>
          <w:tcPr>
            <w:tcW w:w="1260" w:type="dxa"/>
            <w:tcBorders>
              <w:top w:val="single" w:sz="4" w:space="0" w:color="auto"/>
              <w:left w:val="single" w:sz="8" w:space="0" w:color="auto"/>
              <w:bottom w:val="single" w:sz="4" w:space="0" w:color="auto"/>
              <w:right w:val="single" w:sz="12" w:space="0" w:color="auto"/>
            </w:tcBorders>
            <w:vAlign w:val="center"/>
          </w:tcPr>
          <w:p w14:paraId="7B0E5902" w14:textId="09CE9525" w:rsidR="00776E72" w:rsidRDefault="00167706">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tcPr>
          <w:p w14:paraId="70799E08" w14:textId="553C5CC5" w:rsidR="00776E72" w:rsidRDefault="00167706">
            <w:pPr>
              <w:spacing w:line="276" w:lineRule="auto"/>
              <w:jc w:val="right"/>
              <w:rPr>
                <w:rFonts w:ascii="Calibri" w:hAnsi="Calibri" w:cs="Calibri"/>
              </w:rPr>
            </w:pPr>
            <w:r>
              <w:rPr>
                <w:rFonts w:ascii="Calibri" w:hAnsi="Calibri" w:cs="Calibri"/>
              </w:rPr>
              <w:t>23</w:t>
            </w:r>
          </w:p>
        </w:tc>
      </w:tr>
      <w:tr w:rsidR="00776E72" w14:paraId="6443846C" w14:textId="77777777" w:rsidTr="009706D8">
        <w:tc>
          <w:tcPr>
            <w:tcW w:w="450" w:type="dxa"/>
            <w:tcBorders>
              <w:top w:val="single" w:sz="4" w:space="0" w:color="auto"/>
              <w:left w:val="single" w:sz="4" w:space="0" w:color="auto"/>
              <w:bottom w:val="single" w:sz="4" w:space="0" w:color="auto"/>
              <w:right w:val="single" w:sz="4" w:space="0" w:color="auto"/>
            </w:tcBorders>
          </w:tcPr>
          <w:p w14:paraId="0228C460" w14:textId="793EFB16" w:rsidR="00776E72" w:rsidRDefault="0028765B">
            <w:pPr>
              <w:spacing w:line="276" w:lineRule="auto"/>
              <w:rPr>
                <w:rFonts w:ascii="Calibri" w:hAnsi="Calibri" w:cs="Calibri"/>
              </w:rPr>
            </w:pPr>
            <w:r>
              <w:rPr>
                <w:rFonts w:ascii="Calibri" w:hAnsi="Calibri" w:cs="Calibri"/>
              </w:rPr>
              <w:t>27</w:t>
            </w:r>
          </w:p>
        </w:tc>
        <w:tc>
          <w:tcPr>
            <w:tcW w:w="1260" w:type="dxa"/>
            <w:tcBorders>
              <w:top w:val="single" w:sz="4" w:space="0" w:color="auto"/>
              <w:left w:val="single" w:sz="4" w:space="0" w:color="auto"/>
              <w:bottom w:val="single" w:sz="4" w:space="0" w:color="auto"/>
              <w:right w:val="single" w:sz="4" w:space="0" w:color="auto"/>
            </w:tcBorders>
            <w:vAlign w:val="center"/>
          </w:tcPr>
          <w:p w14:paraId="71025477" w14:textId="07BFD17A" w:rsidR="00776E72" w:rsidRDefault="00167706">
            <w:pPr>
              <w:spacing w:line="276" w:lineRule="auto"/>
              <w:rPr>
                <w:rFonts w:ascii="Calibri" w:hAnsi="Calibri" w:cs="Calibri"/>
              </w:rPr>
            </w:pPr>
            <w:r>
              <w:rPr>
                <w:rFonts w:ascii="Calibri" w:hAnsi="Calibri" w:cs="Calibri"/>
              </w:rPr>
              <w:t>9-4122-Q</w:t>
            </w:r>
          </w:p>
        </w:tc>
        <w:tc>
          <w:tcPr>
            <w:tcW w:w="1350" w:type="dxa"/>
            <w:tcBorders>
              <w:top w:val="single" w:sz="4" w:space="0" w:color="auto"/>
              <w:left w:val="single" w:sz="4" w:space="0" w:color="auto"/>
              <w:bottom w:val="single" w:sz="4" w:space="0" w:color="auto"/>
              <w:right w:val="single" w:sz="4" w:space="0" w:color="auto"/>
            </w:tcBorders>
            <w:vAlign w:val="center"/>
          </w:tcPr>
          <w:p w14:paraId="016F3EEA" w14:textId="64D3FBFA" w:rsidR="00776E72" w:rsidRDefault="00167706">
            <w:pPr>
              <w:spacing w:line="276" w:lineRule="auto"/>
              <w:rPr>
                <w:rFonts w:ascii="Calibri" w:hAnsi="Calibri" w:cs="Calibri"/>
              </w:rPr>
            </w:pPr>
            <w:r>
              <w:rPr>
                <w:rFonts w:ascii="Calibri" w:hAnsi="Calibri" w:cs="Calibri"/>
              </w:rPr>
              <w:t>Quarterly</w:t>
            </w:r>
          </w:p>
        </w:tc>
        <w:tc>
          <w:tcPr>
            <w:tcW w:w="1350" w:type="dxa"/>
            <w:tcBorders>
              <w:top w:val="single" w:sz="4" w:space="0" w:color="auto"/>
              <w:left w:val="single" w:sz="18" w:space="0" w:color="auto"/>
              <w:bottom w:val="single" w:sz="4" w:space="0" w:color="auto"/>
              <w:right w:val="single" w:sz="4" w:space="0" w:color="auto"/>
            </w:tcBorders>
            <w:vAlign w:val="center"/>
          </w:tcPr>
          <w:p w14:paraId="23CD4DC8" w14:textId="33768AAD" w:rsidR="00776E72" w:rsidRDefault="00167706">
            <w:pPr>
              <w:spacing w:line="276" w:lineRule="auto"/>
              <w:jc w:val="right"/>
              <w:rPr>
                <w:rFonts w:ascii="Calibri" w:hAnsi="Calibri" w:cs="Calibri"/>
              </w:rPr>
            </w:pPr>
            <w:r>
              <w:rPr>
                <w:rFonts w:ascii="Calibri" w:hAnsi="Calibri" w:cs="Calibri"/>
              </w:rPr>
              <w:t>22</w:t>
            </w:r>
          </w:p>
        </w:tc>
        <w:tc>
          <w:tcPr>
            <w:tcW w:w="1170" w:type="dxa"/>
            <w:tcBorders>
              <w:top w:val="single" w:sz="4" w:space="0" w:color="auto"/>
              <w:left w:val="single" w:sz="4" w:space="0" w:color="auto"/>
              <w:bottom w:val="single" w:sz="4" w:space="0" w:color="auto"/>
              <w:right w:val="single" w:sz="8" w:space="0" w:color="auto"/>
            </w:tcBorders>
            <w:vAlign w:val="center"/>
          </w:tcPr>
          <w:p w14:paraId="162DC308" w14:textId="65B2D50E" w:rsidR="00776E72" w:rsidRDefault="00167706">
            <w:pPr>
              <w:spacing w:line="276" w:lineRule="auto"/>
              <w:jc w:val="right"/>
              <w:rPr>
                <w:rFonts w:ascii="Calibri" w:hAnsi="Calibri" w:cs="Calibri"/>
              </w:rPr>
            </w:pPr>
            <w:r>
              <w:rPr>
                <w:rFonts w:ascii="Calibri" w:hAnsi="Calibri" w:cs="Calibri"/>
              </w:rPr>
              <w:t>88</w:t>
            </w:r>
          </w:p>
        </w:tc>
        <w:tc>
          <w:tcPr>
            <w:tcW w:w="1260" w:type="dxa"/>
            <w:tcBorders>
              <w:top w:val="single" w:sz="4" w:space="0" w:color="auto"/>
              <w:left w:val="single" w:sz="8" w:space="0" w:color="auto"/>
              <w:bottom w:val="single" w:sz="4" w:space="0" w:color="auto"/>
              <w:right w:val="single" w:sz="12" w:space="0" w:color="auto"/>
            </w:tcBorders>
            <w:vAlign w:val="center"/>
          </w:tcPr>
          <w:p w14:paraId="749FD2EC" w14:textId="18A45B7F" w:rsidR="00776E72" w:rsidRDefault="00167706">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tcPr>
          <w:p w14:paraId="326B9518" w14:textId="7456CFB4" w:rsidR="00776E72" w:rsidRDefault="00167706">
            <w:pPr>
              <w:spacing w:line="276" w:lineRule="auto"/>
              <w:jc w:val="right"/>
              <w:rPr>
                <w:rFonts w:ascii="Calibri" w:hAnsi="Calibri" w:cs="Calibri"/>
              </w:rPr>
            </w:pPr>
            <w:r>
              <w:rPr>
                <w:rFonts w:ascii="Calibri" w:hAnsi="Calibri" w:cs="Calibri"/>
              </w:rPr>
              <w:t>44</w:t>
            </w:r>
          </w:p>
        </w:tc>
      </w:tr>
      <w:tr w:rsidR="00776E72" w14:paraId="6574E632" w14:textId="77777777" w:rsidTr="009706D8">
        <w:tc>
          <w:tcPr>
            <w:tcW w:w="450" w:type="dxa"/>
            <w:tcBorders>
              <w:top w:val="single" w:sz="4" w:space="0" w:color="auto"/>
              <w:left w:val="single" w:sz="4" w:space="0" w:color="auto"/>
              <w:bottom w:val="single" w:sz="4" w:space="0" w:color="auto"/>
              <w:right w:val="single" w:sz="4" w:space="0" w:color="auto"/>
            </w:tcBorders>
          </w:tcPr>
          <w:p w14:paraId="0D3C00C0" w14:textId="00338491" w:rsidR="00776E72" w:rsidRDefault="0028765B">
            <w:pPr>
              <w:spacing w:line="276" w:lineRule="auto"/>
              <w:rPr>
                <w:rFonts w:ascii="Calibri" w:hAnsi="Calibri" w:cs="Calibri"/>
              </w:rPr>
            </w:pPr>
            <w:r>
              <w:rPr>
                <w:rFonts w:ascii="Calibri" w:hAnsi="Calibri" w:cs="Calibri"/>
              </w:rPr>
              <w:t>28</w:t>
            </w:r>
          </w:p>
        </w:tc>
        <w:tc>
          <w:tcPr>
            <w:tcW w:w="1260" w:type="dxa"/>
            <w:tcBorders>
              <w:top w:val="single" w:sz="4" w:space="0" w:color="auto"/>
              <w:left w:val="single" w:sz="4" w:space="0" w:color="auto"/>
              <w:bottom w:val="single" w:sz="4" w:space="0" w:color="auto"/>
              <w:right w:val="single" w:sz="4" w:space="0" w:color="auto"/>
            </w:tcBorders>
            <w:vAlign w:val="center"/>
          </w:tcPr>
          <w:p w14:paraId="51F56D3D" w14:textId="3E3A7AE3" w:rsidR="00776E72" w:rsidRDefault="001129FE">
            <w:pPr>
              <w:spacing w:line="276" w:lineRule="auto"/>
              <w:rPr>
                <w:rFonts w:ascii="Calibri" w:hAnsi="Calibri" w:cs="Calibri"/>
              </w:rPr>
            </w:pPr>
            <w:r>
              <w:rPr>
                <w:rFonts w:ascii="Calibri" w:hAnsi="Calibri" w:cs="Calibri"/>
              </w:rPr>
              <w:t>9-4125-A</w:t>
            </w:r>
          </w:p>
        </w:tc>
        <w:tc>
          <w:tcPr>
            <w:tcW w:w="1350" w:type="dxa"/>
            <w:tcBorders>
              <w:top w:val="single" w:sz="4" w:space="0" w:color="auto"/>
              <w:left w:val="single" w:sz="4" w:space="0" w:color="auto"/>
              <w:bottom w:val="single" w:sz="4" w:space="0" w:color="auto"/>
              <w:right w:val="single" w:sz="4" w:space="0" w:color="auto"/>
            </w:tcBorders>
            <w:vAlign w:val="center"/>
          </w:tcPr>
          <w:p w14:paraId="4F6C8C6F" w14:textId="64891D0C" w:rsidR="00776E72" w:rsidRDefault="001129FE">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12545EE9" w14:textId="7B2C333E" w:rsidR="00776E72" w:rsidRDefault="001129FE">
            <w:pPr>
              <w:spacing w:line="276" w:lineRule="auto"/>
              <w:jc w:val="right"/>
              <w:rPr>
                <w:rFonts w:ascii="Calibri" w:hAnsi="Calibri" w:cs="Calibri"/>
              </w:rPr>
            </w:pPr>
            <w:r>
              <w:rPr>
                <w:rFonts w:ascii="Calibri" w:hAnsi="Calibri" w:cs="Calibri"/>
              </w:rPr>
              <w:t>35</w:t>
            </w:r>
          </w:p>
        </w:tc>
        <w:tc>
          <w:tcPr>
            <w:tcW w:w="1170" w:type="dxa"/>
            <w:tcBorders>
              <w:top w:val="single" w:sz="4" w:space="0" w:color="auto"/>
              <w:left w:val="single" w:sz="4" w:space="0" w:color="auto"/>
              <w:bottom w:val="single" w:sz="4" w:space="0" w:color="auto"/>
              <w:right w:val="single" w:sz="8" w:space="0" w:color="auto"/>
            </w:tcBorders>
            <w:vAlign w:val="center"/>
          </w:tcPr>
          <w:p w14:paraId="49C9C94A" w14:textId="69B6C237" w:rsidR="00776E72" w:rsidRDefault="001129FE">
            <w:pPr>
              <w:spacing w:line="276" w:lineRule="auto"/>
              <w:jc w:val="right"/>
              <w:rPr>
                <w:rFonts w:ascii="Calibri" w:hAnsi="Calibri" w:cs="Calibri"/>
              </w:rPr>
            </w:pPr>
            <w:r>
              <w:rPr>
                <w:rFonts w:ascii="Calibri" w:hAnsi="Calibri" w:cs="Calibri"/>
              </w:rPr>
              <w:t>35</w:t>
            </w:r>
          </w:p>
        </w:tc>
        <w:tc>
          <w:tcPr>
            <w:tcW w:w="1260" w:type="dxa"/>
            <w:tcBorders>
              <w:top w:val="single" w:sz="4" w:space="0" w:color="auto"/>
              <w:left w:val="single" w:sz="8" w:space="0" w:color="auto"/>
              <w:bottom w:val="single" w:sz="4" w:space="0" w:color="auto"/>
              <w:right w:val="single" w:sz="12" w:space="0" w:color="auto"/>
            </w:tcBorders>
            <w:vAlign w:val="center"/>
          </w:tcPr>
          <w:p w14:paraId="5D3C0202" w14:textId="23459904" w:rsidR="00776E72" w:rsidRDefault="001129FE">
            <w:pPr>
              <w:spacing w:line="276" w:lineRule="auto"/>
              <w:jc w:val="center"/>
              <w:rPr>
                <w:rFonts w:ascii="Calibri" w:hAnsi="Calibri" w:cs="Calibri"/>
              </w:rPr>
            </w:pPr>
            <w:r>
              <w:rPr>
                <w:rFonts w:ascii="Calibri" w:hAnsi="Calibri" w:cs="Calibri"/>
              </w:rPr>
              <w:t>30 min</w:t>
            </w:r>
          </w:p>
        </w:tc>
        <w:tc>
          <w:tcPr>
            <w:tcW w:w="1350" w:type="dxa"/>
            <w:tcBorders>
              <w:top w:val="single" w:sz="4" w:space="0" w:color="auto"/>
              <w:left w:val="single" w:sz="8" w:space="0" w:color="auto"/>
              <w:bottom w:val="single" w:sz="4" w:space="0" w:color="auto"/>
              <w:right w:val="single" w:sz="12" w:space="0" w:color="auto"/>
            </w:tcBorders>
            <w:vAlign w:val="center"/>
          </w:tcPr>
          <w:p w14:paraId="6225F6AB" w14:textId="400BEA8C" w:rsidR="00776E72" w:rsidRDefault="001129FE">
            <w:pPr>
              <w:spacing w:line="276" w:lineRule="auto"/>
              <w:jc w:val="right"/>
              <w:rPr>
                <w:rFonts w:ascii="Calibri" w:hAnsi="Calibri" w:cs="Calibri"/>
              </w:rPr>
            </w:pPr>
            <w:r>
              <w:rPr>
                <w:rFonts w:ascii="Calibri" w:hAnsi="Calibri" w:cs="Calibri"/>
              </w:rPr>
              <w:t>18</w:t>
            </w:r>
          </w:p>
        </w:tc>
      </w:tr>
      <w:tr w:rsidR="00776E72" w14:paraId="4636B3B9" w14:textId="77777777" w:rsidTr="009706D8">
        <w:tc>
          <w:tcPr>
            <w:tcW w:w="450" w:type="dxa"/>
            <w:tcBorders>
              <w:top w:val="single" w:sz="4" w:space="0" w:color="auto"/>
              <w:left w:val="single" w:sz="4" w:space="0" w:color="auto"/>
              <w:bottom w:val="single" w:sz="4" w:space="0" w:color="auto"/>
              <w:right w:val="single" w:sz="4" w:space="0" w:color="auto"/>
            </w:tcBorders>
          </w:tcPr>
          <w:p w14:paraId="50AFF177" w14:textId="53714EAB" w:rsidR="00776E72" w:rsidRDefault="0028765B">
            <w:pPr>
              <w:spacing w:line="276" w:lineRule="auto"/>
              <w:rPr>
                <w:rFonts w:ascii="Calibri" w:hAnsi="Calibri" w:cs="Calibri"/>
              </w:rPr>
            </w:pPr>
            <w:r>
              <w:rPr>
                <w:rFonts w:ascii="Calibri" w:hAnsi="Calibri" w:cs="Calibri"/>
              </w:rPr>
              <w:t>29</w:t>
            </w:r>
          </w:p>
        </w:tc>
        <w:tc>
          <w:tcPr>
            <w:tcW w:w="1260" w:type="dxa"/>
            <w:tcBorders>
              <w:top w:val="single" w:sz="4" w:space="0" w:color="auto"/>
              <w:left w:val="single" w:sz="4" w:space="0" w:color="auto"/>
              <w:bottom w:val="single" w:sz="4" w:space="0" w:color="auto"/>
              <w:right w:val="single" w:sz="4" w:space="0" w:color="auto"/>
            </w:tcBorders>
            <w:vAlign w:val="center"/>
          </w:tcPr>
          <w:p w14:paraId="08CF5241" w14:textId="2431CA43" w:rsidR="00776E72" w:rsidRDefault="001129FE">
            <w:pPr>
              <w:spacing w:line="276" w:lineRule="auto"/>
              <w:rPr>
                <w:rFonts w:ascii="Calibri" w:hAnsi="Calibri" w:cs="Calibri"/>
              </w:rPr>
            </w:pPr>
            <w:r>
              <w:rPr>
                <w:rFonts w:ascii="Calibri" w:hAnsi="Calibri" w:cs="Calibri"/>
              </w:rPr>
              <w:t>9-4128-A</w:t>
            </w:r>
          </w:p>
        </w:tc>
        <w:tc>
          <w:tcPr>
            <w:tcW w:w="1350" w:type="dxa"/>
            <w:tcBorders>
              <w:top w:val="single" w:sz="4" w:space="0" w:color="auto"/>
              <w:left w:val="single" w:sz="4" w:space="0" w:color="auto"/>
              <w:bottom w:val="single" w:sz="4" w:space="0" w:color="auto"/>
              <w:right w:val="single" w:sz="4" w:space="0" w:color="auto"/>
            </w:tcBorders>
            <w:vAlign w:val="center"/>
          </w:tcPr>
          <w:p w14:paraId="149329EF" w14:textId="2529382B" w:rsidR="00776E72" w:rsidRDefault="001129FE">
            <w:pPr>
              <w:spacing w:line="276" w:lineRule="auto"/>
              <w:rPr>
                <w:rFonts w:ascii="Calibri" w:hAnsi="Calibri" w:cs="Calibri"/>
              </w:rPr>
            </w:pPr>
            <w:r>
              <w:rPr>
                <w:rFonts w:ascii="Calibri" w:hAnsi="Calibri" w:cs="Calibri"/>
              </w:rPr>
              <w:t>Annually</w:t>
            </w:r>
          </w:p>
        </w:tc>
        <w:tc>
          <w:tcPr>
            <w:tcW w:w="1350" w:type="dxa"/>
            <w:tcBorders>
              <w:top w:val="single" w:sz="4" w:space="0" w:color="auto"/>
              <w:left w:val="single" w:sz="18" w:space="0" w:color="auto"/>
              <w:bottom w:val="single" w:sz="4" w:space="0" w:color="auto"/>
              <w:right w:val="single" w:sz="4" w:space="0" w:color="auto"/>
            </w:tcBorders>
            <w:vAlign w:val="center"/>
          </w:tcPr>
          <w:p w14:paraId="6CBC70A4" w14:textId="395C9C91" w:rsidR="00776E72" w:rsidRDefault="001129FE">
            <w:pPr>
              <w:spacing w:line="276" w:lineRule="auto"/>
              <w:jc w:val="right"/>
              <w:rPr>
                <w:rFonts w:ascii="Calibri" w:hAnsi="Calibri" w:cs="Calibri"/>
              </w:rPr>
            </w:pPr>
            <w:r>
              <w:rPr>
                <w:rFonts w:ascii="Calibri" w:hAnsi="Calibri" w:cs="Calibri"/>
              </w:rPr>
              <w:t>10</w:t>
            </w:r>
          </w:p>
        </w:tc>
        <w:tc>
          <w:tcPr>
            <w:tcW w:w="1170" w:type="dxa"/>
            <w:tcBorders>
              <w:top w:val="single" w:sz="4" w:space="0" w:color="auto"/>
              <w:left w:val="single" w:sz="4" w:space="0" w:color="auto"/>
              <w:bottom w:val="single" w:sz="4" w:space="0" w:color="auto"/>
              <w:right w:val="single" w:sz="8" w:space="0" w:color="auto"/>
            </w:tcBorders>
            <w:vAlign w:val="center"/>
          </w:tcPr>
          <w:p w14:paraId="143A33F9" w14:textId="30EF4370" w:rsidR="00776E72" w:rsidRDefault="001129FE">
            <w:pPr>
              <w:spacing w:line="276" w:lineRule="auto"/>
              <w:jc w:val="right"/>
              <w:rPr>
                <w:rFonts w:ascii="Calibri" w:hAnsi="Calibri" w:cs="Calibri"/>
              </w:rPr>
            </w:pPr>
            <w:r>
              <w:rPr>
                <w:rFonts w:ascii="Calibri" w:hAnsi="Calibri" w:cs="Calibri"/>
              </w:rPr>
              <w:t>10</w:t>
            </w:r>
          </w:p>
        </w:tc>
        <w:tc>
          <w:tcPr>
            <w:tcW w:w="1260" w:type="dxa"/>
            <w:tcBorders>
              <w:top w:val="single" w:sz="4" w:space="0" w:color="auto"/>
              <w:left w:val="single" w:sz="8" w:space="0" w:color="auto"/>
              <w:bottom w:val="single" w:sz="4" w:space="0" w:color="auto"/>
              <w:right w:val="single" w:sz="12" w:space="0" w:color="auto"/>
            </w:tcBorders>
            <w:vAlign w:val="center"/>
          </w:tcPr>
          <w:p w14:paraId="17E89C9E" w14:textId="65FAF494" w:rsidR="00776E72" w:rsidRDefault="001129FE">
            <w:pPr>
              <w:spacing w:line="276" w:lineRule="auto"/>
              <w:jc w:val="center"/>
              <w:rPr>
                <w:rFonts w:ascii="Calibri" w:hAnsi="Calibri" w:cs="Calibri"/>
              </w:rPr>
            </w:pPr>
            <w:r>
              <w:rPr>
                <w:rFonts w:ascii="Calibri" w:hAnsi="Calibri" w:cs="Calibri"/>
              </w:rPr>
              <w:t>60 min</w:t>
            </w:r>
          </w:p>
        </w:tc>
        <w:tc>
          <w:tcPr>
            <w:tcW w:w="1350" w:type="dxa"/>
            <w:tcBorders>
              <w:top w:val="single" w:sz="4" w:space="0" w:color="auto"/>
              <w:left w:val="single" w:sz="8" w:space="0" w:color="auto"/>
              <w:bottom w:val="single" w:sz="4" w:space="0" w:color="auto"/>
              <w:right w:val="single" w:sz="12" w:space="0" w:color="auto"/>
            </w:tcBorders>
            <w:vAlign w:val="center"/>
          </w:tcPr>
          <w:p w14:paraId="51CD25F9" w14:textId="6785CA40" w:rsidR="00776E72" w:rsidRDefault="001129FE">
            <w:pPr>
              <w:spacing w:line="276" w:lineRule="auto"/>
              <w:jc w:val="right"/>
              <w:rPr>
                <w:rFonts w:ascii="Calibri" w:hAnsi="Calibri" w:cs="Calibri"/>
              </w:rPr>
            </w:pPr>
            <w:r>
              <w:rPr>
                <w:rFonts w:ascii="Calibri" w:hAnsi="Calibri" w:cs="Calibri"/>
              </w:rPr>
              <w:t>10</w:t>
            </w:r>
          </w:p>
        </w:tc>
      </w:tr>
      <w:tr w:rsidR="00776E72" w14:paraId="09638A07" w14:textId="77777777" w:rsidTr="009706D8">
        <w:tc>
          <w:tcPr>
            <w:tcW w:w="450" w:type="dxa"/>
            <w:tcBorders>
              <w:top w:val="single" w:sz="4" w:space="0" w:color="auto"/>
              <w:left w:val="single" w:sz="4" w:space="0" w:color="auto"/>
              <w:bottom w:val="single" w:sz="4" w:space="0" w:color="auto"/>
              <w:right w:val="single" w:sz="4" w:space="0" w:color="auto"/>
            </w:tcBorders>
          </w:tcPr>
          <w:p w14:paraId="61233150" w14:textId="3CE3E577" w:rsidR="00776E72" w:rsidRDefault="0028765B">
            <w:pPr>
              <w:spacing w:line="276" w:lineRule="auto"/>
              <w:rPr>
                <w:rFonts w:ascii="Calibri" w:hAnsi="Calibri" w:cs="Calibri"/>
              </w:rPr>
            </w:pPr>
            <w:r>
              <w:rPr>
                <w:rFonts w:ascii="Calibri" w:hAnsi="Calibri" w:cs="Calibri"/>
              </w:rPr>
              <w:t>30</w:t>
            </w:r>
          </w:p>
        </w:tc>
        <w:tc>
          <w:tcPr>
            <w:tcW w:w="1260" w:type="dxa"/>
            <w:tcBorders>
              <w:top w:val="single" w:sz="4" w:space="0" w:color="auto"/>
              <w:left w:val="single" w:sz="4" w:space="0" w:color="auto"/>
              <w:bottom w:val="single" w:sz="4" w:space="0" w:color="auto"/>
              <w:right w:val="single" w:sz="4" w:space="0" w:color="auto"/>
            </w:tcBorders>
            <w:vAlign w:val="center"/>
          </w:tcPr>
          <w:p w14:paraId="1E27ABC5" w14:textId="12ACD617" w:rsidR="00776E72" w:rsidRDefault="001129FE">
            <w:pPr>
              <w:spacing w:line="276" w:lineRule="auto"/>
              <w:rPr>
                <w:rFonts w:ascii="Calibri" w:hAnsi="Calibri" w:cs="Calibri"/>
              </w:rPr>
            </w:pPr>
            <w:r>
              <w:rPr>
                <w:rFonts w:ascii="Calibri" w:hAnsi="Calibri" w:cs="Calibri"/>
              </w:rPr>
              <w:t>9-4141-M</w:t>
            </w:r>
          </w:p>
        </w:tc>
        <w:tc>
          <w:tcPr>
            <w:tcW w:w="1350" w:type="dxa"/>
            <w:tcBorders>
              <w:top w:val="single" w:sz="4" w:space="0" w:color="auto"/>
              <w:left w:val="single" w:sz="4" w:space="0" w:color="auto"/>
              <w:bottom w:val="single" w:sz="4" w:space="0" w:color="auto"/>
              <w:right w:val="single" w:sz="4" w:space="0" w:color="auto"/>
            </w:tcBorders>
            <w:vAlign w:val="center"/>
          </w:tcPr>
          <w:p w14:paraId="72F57902" w14:textId="0B9DE5DC" w:rsidR="00776E72" w:rsidRDefault="001129FE">
            <w:pPr>
              <w:spacing w:line="276" w:lineRule="auto"/>
              <w:rPr>
                <w:rFonts w:ascii="Calibri" w:hAnsi="Calibri" w:cs="Calibri"/>
              </w:rPr>
            </w:pPr>
            <w:r>
              <w:rPr>
                <w:rFonts w:ascii="Calibri" w:hAnsi="Calibri" w:cs="Calibri"/>
              </w:rPr>
              <w:t>Monthly</w:t>
            </w:r>
          </w:p>
        </w:tc>
        <w:tc>
          <w:tcPr>
            <w:tcW w:w="1350" w:type="dxa"/>
            <w:tcBorders>
              <w:top w:val="single" w:sz="4" w:space="0" w:color="auto"/>
              <w:left w:val="single" w:sz="18" w:space="0" w:color="auto"/>
              <w:bottom w:val="single" w:sz="4" w:space="0" w:color="auto"/>
              <w:right w:val="single" w:sz="4" w:space="0" w:color="auto"/>
            </w:tcBorders>
            <w:vAlign w:val="center"/>
          </w:tcPr>
          <w:p w14:paraId="4E3036C4" w14:textId="4387D08F" w:rsidR="00776E72" w:rsidRDefault="001129FE">
            <w:pPr>
              <w:spacing w:line="276" w:lineRule="auto"/>
              <w:jc w:val="right"/>
              <w:rPr>
                <w:rFonts w:ascii="Calibri" w:hAnsi="Calibri" w:cs="Calibri"/>
              </w:rPr>
            </w:pPr>
            <w:r>
              <w:rPr>
                <w:rFonts w:ascii="Calibri" w:hAnsi="Calibri" w:cs="Calibri"/>
              </w:rPr>
              <w:t>35</w:t>
            </w:r>
          </w:p>
        </w:tc>
        <w:tc>
          <w:tcPr>
            <w:tcW w:w="1170" w:type="dxa"/>
            <w:tcBorders>
              <w:top w:val="single" w:sz="4" w:space="0" w:color="auto"/>
              <w:left w:val="single" w:sz="4" w:space="0" w:color="auto"/>
              <w:bottom w:val="single" w:sz="4" w:space="0" w:color="auto"/>
              <w:right w:val="single" w:sz="8" w:space="0" w:color="auto"/>
            </w:tcBorders>
            <w:vAlign w:val="center"/>
          </w:tcPr>
          <w:p w14:paraId="2AB1CC67" w14:textId="4C58DB29" w:rsidR="00776E72" w:rsidRDefault="001129FE">
            <w:pPr>
              <w:spacing w:line="276" w:lineRule="auto"/>
              <w:jc w:val="right"/>
              <w:rPr>
                <w:rFonts w:ascii="Calibri" w:hAnsi="Calibri" w:cs="Calibri"/>
              </w:rPr>
            </w:pPr>
            <w:r>
              <w:rPr>
                <w:rFonts w:ascii="Calibri" w:hAnsi="Calibri" w:cs="Calibri"/>
              </w:rPr>
              <w:t>420</w:t>
            </w:r>
          </w:p>
        </w:tc>
        <w:tc>
          <w:tcPr>
            <w:tcW w:w="1260" w:type="dxa"/>
            <w:tcBorders>
              <w:top w:val="single" w:sz="4" w:space="0" w:color="auto"/>
              <w:left w:val="single" w:sz="8" w:space="0" w:color="auto"/>
              <w:bottom w:val="single" w:sz="4" w:space="0" w:color="auto"/>
              <w:right w:val="single" w:sz="12" w:space="0" w:color="auto"/>
            </w:tcBorders>
            <w:vAlign w:val="center"/>
          </w:tcPr>
          <w:p w14:paraId="01FB6509" w14:textId="07DC8C3D" w:rsidR="00776E72" w:rsidRDefault="001129FE">
            <w:pPr>
              <w:spacing w:line="276" w:lineRule="auto"/>
              <w:jc w:val="center"/>
              <w:rPr>
                <w:rFonts w:ascii="Calibri" w:hAnsi="Calibri" w:cs="Calibri"/>
              </w:rPr>
            </w:pPr>
            <w:r>
              <w:rPr>
                <w:rFonts w:ascii="Calibri" w:hAnsi="Calibri" w:cs="Calibri"/>
              </w:rPr>
              <w:t>20 min</w:t>
            </w:r>
          </w:p>
        </w:tc>
        <w:tc>
          <w:tcPr>
            <w:tcW w:w="1350" w:type="dxa"/>
            <w:tcBorders>
              <w:top w:val="single" w:sz="4" w:space="0" w:color="auto"/>
              <w:left w:val="single" w:sz="8" w:space="0" w:color="auto"/>
              <w:bottom w:val="single" w:sz="4" w:space="0" w:color="auto"/>
              <w:right w:val="single" w:sz="12" w:space="0" w:color="auto"/>
            </w:tcBorders>
            <w:vAlign w:val="center"/>
          </w:tcPr>
          <w:p w14:paraId="245FC70A" w14:textId="32FCB98E" w:rsidR="00776E72" w:rsidRDefault="001129FE">
            <w:pPr>
              <w:spacing w:line="276" w:lineRule="auto"/>
              <w:jc w:val="right"/>
              <w:rPr>
                <w:rFonts w:ascii="Calibri" w:hAnsi="Calibri" w:cs="Calibri"/>
              </w:rPr>
            </w:pPr>
            <w:r>
              <w:rPr>
                <w:rFonts w:ascii="Calibri" w:hAnsi="Calibri" w:cs="Calibri"/>
              </w:rPr>
              <w:t>140</w:t>
            </w:r>
          </w:p>
        </w:tc>
      </w:tr>
      <w:tr w:rsidR="009706D8" w14:paraId="7F0A862E" w14:textId="77777777" w:rsidTr="009706D8">
        <w:tc>
          <w:tcPr>
            <w:tcW w:w="3060" w:type="dxa"/>
            <w:gridSpan w:val="3"/>
            <w:tcBorders>
              <w:top w:val="single" w:sz="4" w:space="0" w:color="auto"/>
              <w:left w:val="single" w:sz="4" w:space="0" w:color="auto"/>
              <w:bottom w:val="single" w:sz="4" w:space="0" w:color="auto"/>
              <w:right w:val="single" w:sz="4" w:space="0" w:color="auto"/>
            </w:tcBorders>
            <w:hideMark/>
          </w:tcPr>
          <w:p w14:paraId="0E9AB0AE" w14:textId="77777777" w:rsidR="009706D8" w:rsidRDefault="009706D8">
            <w:pPr>
              <w:spacing w:line="276" w:lineRule="auto"/>
              <w:jc w:val="center"/>
              <w:rPr>
                <w:rFonts w:ascii="Calibri" w:hAnsi="Calibri" w:cs="Calibri"/>
                <w:b/>
              </w:rPr>
            </w:pPr>
            <w:r>
              <w:rPr>
                <w:rFonts w:ascii="Calibri" w:hAnsi="Calibri" w:cs="Calibri"/>
                <w:b/>
              </w:rPr>
              <w:t>T O T A L S</w:t>
            </w:r>
          </w:p>
        </w:tc>
        <w:tc>
          <w:tcPr>
            <w:tcW w:w="1350" w:type="dxa"/>
            <w:tcBorders>
              <w:top w:val="single" w:sz="4" w:space="0" w:color="auto"/>
              <w:left w:val="single" w:sz="18" w:space="0" w:color="auto"/>
              <w:bottom w:val="single" w:sz="4" w:space="0" w:color="auto"/>
              <w:right w:val="single" w:sz="4" w:space="0" w:color="auto"/>
            </w:tcBorders>
            <w:vAlign w:val="center"/>
            <w:hideMark/>
          </w:tcPr>
          <w:p w14:paraId="5F78C5AC" w14:textId="6F2CD85E" w:rsidR="009706D8" w:rsidRDefault="007A00AD">
            <w:pPr>
              <w:spacing w:line="276" w:lineRule="auto"/>
              <w:jc w:val="right"/>
              <w:rPr>
                <w:rFonts w:ascii="Calibri" w:hAnsi="Calibri" w:cs="Calibri"/>
                <w:b/>
              </w:rPr>
            </w:pPr>
            <w:r>
              <w:rPr>
                <w:rFonts w:ascii="Calibri" w:hAnsi="Calibri" w:cs="Calibri"/>
                <w:b/>
              </w:rPr>
              <w:t>1,557</w:t>
            </w:r>
          </w:p>
        </w:tc>
        <w:tc>
          <w:tcPr>
            <w:tcW w:w="1170" w:type="dxa"/>
            <w:tcBorders>
              <w:top w:val="single" w:sz="4" w:space="0" w:color="auto"/>
              <w:left w:val="single" w:sz="4" w:space="0" w:color="auto"/>
              <w:bottom w:val="single" w:sz="4" w:space="0" w:color="auto"/>
              <w:right w:val="single" w:sz="8" w:space="0" w:color="auto"/>
            </w:tcBorders>
            <w:vAlign w:val="center"/>
            <w:hideMark/>
          </w:tcPr>
          <w:p w14:paraId="374435BF" w14:textId="26CA6A6C" w:rsidR="009706D8" w:rsidRDefault="007A00AD">
            <w:pPr>
              <w:spacing w:line="276" w:lineRule="auto"/>
              <w:jc w:val="right"/>
              <w:rPr>
                <w:rFonts w:ascii="Calibri" w:hAnsi="Calibri" w:cs="Calibri"/>
                <w:b/>
              </w:rPr>
            </w:pPr>
            <w:r>
              <w:rPr>
                <w:rFonts w:ascii="Calibri" w:hAnsi="Calibri" w:cs="Calibri"/>
                <w:b/>
              </w:rPr>
              <w:t>4,252</w:t>
            </w:r>
          </w:p>
        </w:tc>
        <w:tc>
          <w:tcPr>
            <w:tcW w:w="1260" w:type="dxa"/>
            <w:tcBorders>
              <w:top w:val="single" w:sz="4" w:space="0" w:color="auto"/>
              <w:left w:val="single" w:sz="8" w:space="0" w:color="auto"/>
              <w:bottom w:val="single" w:sz="4" w:space="0" w:color="auto"/>
              <w:right w:val="single" w:sz="12" w:space="0" w:color="auto"/>
            </w:tcBorders>
            <w:shd w:val="clear" w:color="auto" w:fill="D9D9D9"/>
            <w:vAlign w:val="center"/>
          </w:tcPr>
          <w:p w14:paraId="4ECEA732" w14:textId="77777777" w:rsidR="009706D8" w:rsidRDefault="009706D8">
            <w:pPr>
              <w:spacing w:line="276" w:lineRule="auto"/>
              <w:jc w:val="center"/>
              <w:rPr>
                <w:rFonts w:ascii="Calibri" w:hAnsi="Calibri" w:cs="Calibri"/>
              </w:rPr>
            </w:pPr>
          </w:p>
        </w:tc>
        <w:tc>
          <w:tcPr>
            <w:tcW w:w="1350" w:type="dxa"/>
            <w:tcBorders>
              <w:top w:val="single" w:sz="4" w:space="0" w:color="auto"/>
              <w:left w:val="single" w:sz="8" w:space="0" w:color="auto"/>
              <w:bottom w:val="single" w:sz="4" w:space="0" w:color="auto"/>
              <w:right w:val="single" w:sz="12" w:space="0" w:color="auto"/>
            </w:tcBorders>
            <w:vAlign w:val="center"/>
            <w:hideMark/>
          </w:tcPr>
          <w:p w14:paraId="68F0F597" w14:textId="416DBC22" w:rsidR="009706D8" w:rsidRDefault="007A00AD">
            <w:pPr>
              <w:spacing w:line="276" w:lineRule="auto"/>
              <w:jc w:val="right"/>
              <w:rPr>
                <w:rFonts w:ascii="Calibri" w:hAnsi="Calibri" w:cs="Calibri"/>
                <w:b/>
              </w:rPr>
            </w:pPr>
            <w:r>
              <w:rPr>
                <w:rFonts w:ascii="Calibri" w:hAnsi="Calibri" w:cs="Calibri"/>
                <w:b/>
              </w:rPr>
              <w:t>3,212</w:t>
            </w:r>
          </w:p>
        </w:tc>
      </w:tr>
    </w:tbl>
    <w:p w14:paraId="2B13A38A" w14:textId="77777777" w:rsidR="005B35AB" w:rsidRDefault="005B35AB" w:rsidP="005B35AB">
      <w:pPr>
        <w:pStyle w:val="NoSpacing"/>
        <w:ind w:firstLine="360"/>
        <w:rPr>
          <w:rFonts w:ascii="Calibri" w:hAnsi="Calibri" w:cs="Calibri"/>
          <w:sz w:val="22"/>
          <w:szCs w:val="22"/>
        </w:rPr>
      </w:pPr>
      <w:r w:rsidRPr="00BE49E0">
        <w:rPr>
          <w:rFonts w:ascii="Calibri" w:hAnsi="Calibri" w:cs="Calibri"/>
          <w:sz w:val="22"/>
          <w:szCs w:val="22"/>
          <w:vertAlign w:val="superscript"/>
        </w:rPr>
        <w:t>1</w:t>
      </w:r>
      <w:r>
        <w:rPr>
          <w:rFonts w:ascii="Calibri" w:hAnsi="Calibri" w:cs="Calibri"/>
          <w:sz w:val="22"/>
          <w:szCs w:val="22"/>
        </w:rPr>
        <w:t xml:space="preserve"> </w:t>
      </w:r>
      <w:r w:rsidRPr="00BE49E0">
        <w:rPr>
          <w:rFonts w:ascii="Calibri" w:hAnsi="Calibri" w:cs="Calibri"/>
          <w:sz w:val="18"/>
          <w:szCs w:val="18"/>
        </w:rPr>
        <w:t>Based on 100% response rate.  Actual response rate is lower.</w:t>
      </w:r>
    </w:p>
    <w:p w14:paraId="21393785" w14:textId="77777777" w:rsidR="005B35AB" w:rsidRDefault="005B35AB" w:rsidP="0061407E">
      <w:pPr>
        <w:pStyle w:val="NoSpacing"/>
        <w:rPr>
          <w:rFonts w:ascii="Calibri" w:hAnsi="Calibri" w:cs="Calibri"/>
          <w:sz w:val="22"/>
          <w:szCs w:val="22"/>
        </w:rPr>
      </w:pPr>
    </w:p>
    <w:p w14:paraId="488B7C17" w14:textId="37272EE5" w:rsidR="00E65C4E" w:rsidRDefault="00E65C4E" w:rsidP="00E65C4E">
      <w:pPr>
        <w:pStyle w:val="NoSpacing"/>
        <w:ind w:firstLine="360"/>
        <w:rPr>
          <w:rFonts w:ascii="Calibri" w:hAnsi="Calibri" w:cs="Calibri"/>
          <w:sz w:val="22"/>
          <w:szCs w:val="22"/>
        </w:rPr>
      </w:pPr>
      <w:r w:rsidRPr="00212E5C">
        <w:rPr>
          <w:rFonts w:ascii="Calibri" w:hAnsi="Calibri" w:cs="Calibri"/>
          <w:sz w:val="22"/>
          <w:szCs w:val="22"/>
        </w:rPr>
        <w:t xml:space="preserve">The </w:t>
      </w:r>
      <w:r w:rsidR="0007179F">
        <w:rPr>
          <w:rFonts w:ascii="Calibri" w:hAnsi="Calibri" w:cs="Calibri"/>
          <w:sz w:val="22"/>
          <w:szCs w:val="22"/>
        </w:rPr>
        <w:t xml:space="preserve">median </w:t>
      </w:r>
      <w:r w:rsidR="001B5E19">
        <w:rPr>
          <w:rFonts w:ascii="Calibri" w:hAnsi="Calibri" w:cs="Calibri"/>
          <w:sz w:val="22"/>
          <w:szCs w:val="22"/>
        </w:rPr>
        <w:t>63</w:t>
      </w:r>
      <w:r w:rsidR="00EC7442">
        <w:rPr>
          <w:rFonts w:ascii="Calibri" w:hAnsi="Calibri" w:cs="Calibri"/>
          <w:sz w:val="22"/>
          <w:szCs w:val="22"/>
        </w:rPr>
        <w:t xml:space="preserve">% </w:t>
      </w:r>
      <w:r w:rsidR="00035259">
        <w:rPr>
          <w:rFonts w:ascii="Calibri" w:hAnsi="Calibri" w:cs="Calibri"/>
          <w:sz w:val="22"/>
          <w:szCs w:val="22"/>
        </w:rPr>
        <w:t xml:space="preserve">response rate </w:t>
      </w:r>
      <w:r w:rsidRPr="00212E5C">
        <w:rPr>
          <w:rFonts w:ascii="Calibri" w:hAnsi="Calibri" w:cs="Calibri"/>
          <w:sz w:val="22"/>
          <w:szCs w:val="22"/>
        </w:rPr>
        <w:t>fo</w:t>
      </w:r>
      <w:r w:rsidR="00B564A3">
        <w:rPr>
          <w:rFonts w:ascii="Calibri" w:hAnsi="Calibri" w:cs="Calibri"/>
          <w:sz w:val="22"/>
          <w:szCs w:val="22"/>
        </w:rPr>
        <w:t>r this collection</w:t>
      </w:r>
      <w:r w:rsidR="002F716C">
        <w:rPr>
          <w:rFonts w:ascii="Calibri" w:hAnsi="Calibri" w:cs="Calibri"/>
          <w:sz w:val="22"/>
          <w:szCs w:val="22"/>
        </w:rPr>
        <w:t xml:space="preserve"> over the past 3 years</w:t>
      </w:r>
      <w:r w:rsidR="00B564A3">
        <w:rPr>
          <w:rFonts w:ascii="Calibri" w:hAnsi="Calibri" w:cs="Calibri"/>
          <w:sz w:val="22"/>
          <w:szCs w:val="22"/>
        </w:rPr>
        <w:t xml:space="preserve"> </w:t>
      </w:r>
      <w:r w:rsidR="00EC7442">
        <w:rPr>
          <w:rFonts w:ascii="Calibri" w:hAnsi="Calibri" w:cs="Calibri"/>
          <w:sz w:val="22"/>
          <w:szCs w:val="22"/>
        </w:rPr>
        <w:t>is expected to continue</w:t>
      </w:r>
      <w:r w:rsidR="00CD70F0">
        <w:rPr>
          <w:rFonts w:ascii="Calibri" w:hAnsi="Calibri" w:cs="Calibri"/>
          <w:sz w:val="22"/>
          <w:szCs w:val="22"/>
        </w:rPr>
        <w:t xml:space="preserve">, </w:t>
      </w:r>
      <w:r w:rsidRPr="00212E5C">
        <w:rPr>
          <w:rFonts w:ascii="Calibri" w:hAnsi="Calibri" w:cs="Calibri"/>
          <w:sz w:val="22"/>
          <w:szCs w:val="22"/>
        </w:rPr>
        <w:t>based on the number of establishments that have traditionally responded to this request for information.</w:t>
      </w:r>
    </w:p>
    <w:p w14:paraId="2A246C47" w14:textId="77777777" w:rsidR="005637CD" w:rsidRDefault="005637CD" w:rsidP="00E65C4E">
      <w:pPr>
        <w:pStyle w:val="NoSpacing"/>
        <w:ind w:firstLine="360"/>
        <w:rPr>
          <w:rFonts w:ascii="Calibri" w:hAnsi="Calibri" w:cs="Calibri"/>
          <w:sz w:val="22"/>
          <w:szCs w:val="22"/>
        </w:rPr>
      </w:pPr>
    </w:p>
    <w:p w14:paraId="525AA52D" w14:textId="504AF2D1" w:rsidR="005637CD" w:rsidRDefault="00A01A58" w:rsidP="00E65C4E">
      <w:pPr>
        <w:pStyle w:val="NoSpacing"/>
        <w:ind w:firstLine="360"/>
        <w:rPr>
          <w:rFonts w:ascii="Calibri" w:hAnsi="Calibri" w:cs="Calibri"/>
          <w:sz w:val="22"/>
          <w:szCs w:val="22"/>
        </w:rPr>
      </w:pPr>
      <w:r>
        <w:rPr>
          <w:rFonts w:ascii="Calibri" w:hAnsi="Calibri" w:cs="Calibri"/>
          <w:sz w:val="22"/>
          <w:szCs w:val="22"/>
        </w:rPr>
        <w:t>The data collected on these</w:t>
      </w:r>
      <w:r w:rsidR="005637CD">
        <w:rPr>
          <w:rFonts w:ascii="Calibri" w:hAnsi="Calibri" w:cs="Calibri"/>
          <w:sz w:val="22"/>
          <w:szCs w:val="22"/>
        </w:rPr>
        <w:t xml:space="preserve"> form</w:t>
      </w:r>
      <w:r>
        <w:rPr>
          <w:rFonts w:ascii="Calibri" w:hAnsi="Calibri" w:cs="Calibri"/>
          <w:sz w:val="22"/>
          <w:szCs w:val="22"/>
        </w:rPr>
        <w:t>s</w:t>
      </w:r>
      <w:r w:rsidR="005637CD">
        <w:rPr>
          <w:rFonts w:ascii="Calibri" w:hAnsi="Calibri" w:cs="Calibri"/>
          <w:sz w:val="22"/>
          <w:szCs w:val="22"/>
        </w:rPr>
        <w:t xml:space="preserve"> are used to publish information on the mineral production for </w:t>
      </w:r>
      <w:r w:rsidR="005637CD">
        <w:rPr>
          <w:rFonts w:ascii="Calibri" w:hAnsi="Calibri" w:cs="Calibri"/>
          <w:sz w:val="22"/>
          <w:szCs w:val="22"/>
        </w:rPr>
        <w:lastRenderedPageBreak/>
        <w:t>each state, including state rankings.  Each state typically has only a limited number of establishments for each mineral commodity.  In order to have accurate state rankings, it is necessary to canvass all of the establishments.</w:t>
      </w:r>
    </w:p>
    <w:p w14:paraId="7A7F90D3"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E3FAEC"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14:paraId="671DE468"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14:paraId="00D05E39"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14:paraId="54BB6E86"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14:paraId="358BDEE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14:paraId="51F30927"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14:paraId="73B2F0B6" w14:textId="77777777" w:rsidR="00A76BEF" w:rsidRDefault="00A76BEF"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14:paraId="32C96443" w14:textId="214D9487" w:rsidR="00037B0A" w:rsidRDefault="00FE6545" w:rsidP="00E65C4E">
      <w:pPr>
        <w:ind w:firstLine="360"/>
        <w:rPr>
          <w:rFonts w:ascii="Calibri" w:hAnsi="Calibri" w:cs="Calibri"/>
          <w:sz w:val="22"/>
          <w:szCs w:val="22"/>
        </w:rPr>
      </w:pPr>
      <w:r>
        <w:rPr>
          <w:rFonts w:ascii="Calibri" w:hAnsi="Calibri" w:cs="Calibri"/>
          <w:sz w:val="22"/>
          <w:szCs w:val="22"/>
        </w:rPr>
        <w:t>These</w:t>
      </w:r>
      <w:r w:rsidR="00037B0A">
        <w:rPr>
          <w:rFonts w:ascii="Calibri" w:hAnsi="Calibri" w:cs="Calibri"/>
          <w:sz w:val="22"/>
          <w:szCs w:val="22"/>
        </w:rPr>
        <w:t xml:space="preserve"> canvass</w:t>
      </w:r>
      <w:r>
        <w:rPr>
          <w:rFonts w:ascii="Calibri" w:hAnsi="Calibri" w:cs="Calibri"/>
          <w:sz w:val="22"/>
          <w:szCs w:val="22"/>
        </w:rPr>
        <w:t>es do</w:t>
      </w:r>
      <w:r w:rsidR="00037B0A">
        <w:rPr>
          <w:rFonts w:ascii="Calibri" w:hAnsi="Calibri" w:cs="Calibri"/>
          <w:sz w:val="22"/>
          <w:szCs w:val="22"/>
        </w:rPr>
        <w:t xml:space="preserve"> not employ sampling techniques.  In some cases, individual establishments, by mutual agreement, have converted to reporting on an annual, rather than a monthly</w:t>
      </w:r>
      <w:r w:rsidR="0032242F">
        <w:rPr>
          <w:rFonts w:ascii="Calibri" w:hAnsi="Calibri" w:cs="Calibri"/>
          <w:sz w:val="22"/>
          <w:szCs w:val="22"/>
        </w:rPr>
        <w:t>, quarterly, or semiannual</w:t>
      </w:r>
      <w:r w:rsidR="00037B0A">
        <w:rPr>
          <w:rFonts w:ascii="Calibri" w:hAnsi="Calibri" w:cs="Calibri"/>
          <w:sz w:val="22"/>
          <w:szCs w:val="22"/>
        </w:rPr>
        <w:t xml:space="preserve"> basis to reduce their burden.  For those establishments, a monthly</w:t>
      </w:r>
      <w:r w:rsidR="00A9794C">
        <w:rPr>
          <w:rFonts w:ascii="Calibri" w:hAnsi="Calibri" w:cs="Calibri"/>
          <w:sz w:val="22"/>
          <w:szCs w:val="22"/>
        </w:rPr>
        <w:t>, quarterly, or semiannual</w:t>
      </w:r>
      <w:r w:rsidR="00037B0A">
        <w:rPr>
          <w:rFonts w:ascii="Calibri" w:hAnsi="Calibri" w:cs="Calibri"/>
          <w:sz w:val="22"/>
          <w:szCs w:val="22"/>
        </w:rPr>
        <w:t xml:space="preserve"> response is imputed from their annual response.  </w:t>
      </w:r>
      <w:r w:rsidR="006D6AA0">
        <w:rPr>
          <w:rFonts w:ascii="Calibri" w:hAnsi="Calibri" w:cs="Calibri"/>
          <w:sz w:val="22"/>
          <w:szCs w:val="22"/>
        </w:rPr>
        <w:t>Data are imputed for all non</w:t>
      </w:r>
      <w:r w:rsidR="00983886">
        <w:rPr>
          <w:rFonts w:ascii="Calibri" w:hAnsi="Calibri" w:cs="Calibri"/>
          <w:sz w:val="22"/>
          <w:szCs w:val="22"/>
        </w:rPr>
        <w:t>-</w:t>
      </w:r>
      <w:r w:rsidR="006D6AA0">
        <w:rPr>
          <w:rFonts w:ascii="Calibri" w:hAnsi="Calibri" w:cs="Calibri"/>
          <w:sz w:val="22"/>
          <w:szCs w:val="22"/>
        </w:rPr>
        <w:t>responses.  The majority of published statistics are rounded to three significant digits.  Estimation procedures for non</w:t>
      </w:r>
      <w:r w:rsidR="00983886">
        <w:rPr>
          <w:rFonts w:ascii="Calibri" w:hAnsi="Calibri" w:cs="Calibri"/>
          <w:sz w:val="22"/>
          <w:szCs w:val="22"/>
        </w:rPr>
        <w:t>-</w:t>
      </w:r>
      <w:r w:rsidR="006D6AA0">
        <w:rPr>
          <w:rFonts w:ascii="Calibri" w:hAnsi="Calibri" w:cs="Calibri"/>
          <w:sz w:val="22"/>
          <w:szCs w:val="22"/>
        </w:rPr>
        <w:t>res</w:t>
      </w:r>
      <w:r w:rsidR="00983886">
        <w:rPr>
          <w:rFonts w:ascii="Calibri" w:hAnsi="Calibri" w:cs="Calibri"/>
          <w:sz w:val="22"/>
          <w:szCs w:val="22"/>
        </w:rPr>
        <w:t>pondents are described in (3)</w:t>
      </w:r>
      <w:r w:rsidR="006D6AA0">
        <w:rPr>
          <w:rFonts w:ascii="Calibri" w:hAnsi="Calibri" w:cs="Calibri"/>
          <w:sz w:val="22"/>
          <w:szCs w:val="22"/>
        </w:rPr>
        <w:t xml:space="preserve"> below.</w:t>
      </w:r>
    </w:p>
    <w:p w14:paraId="731838C7" w14:textId="77777777" w:rsidR="005C17DE" w:rsidRDefault="005C17DE" w:rsidP="009838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3470D5A"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7D7EE44"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DC85DE" w14:textId="77777777" w:rsidR="008C7223" w:rsidRDefault="008C7223" w:rsidP="008C7223">
      <w:pPr>
        <w:pStyle w:val="BodyTextIndent"/>
        <w:ind w:left="0"/>
        <w:rPr>
          <w:rFonts w:ascii="Calibri" w:hAnsi="Calibri" w:cs="Calibri"/>
          <w:sz w:val="22"/>
          <w:szCs w:val="22"/>
          <w:lang w:val="en-US"/>
        </w:rPr>
      </w:pPr>
      <w:r w:rsidRPr="008C7223">
        <w:rPr>
          <w:rFonts w:ascii="Calibri" w:hAnsi="Calibri" w:cs="Calibri"/>
          <w:sz w:val="22"/>
          <w:szCs w:val="22"/>
          <w:u w:val="single"/>
          <w:lang w:val="en-US"/>
        </w:rPr>
        <w:t>Paper forms</w:t>
      </w:r>
      <w:r>
        <w:rPr>
          <w:rFonts w:ascii="Calibri" w:hAnsi="Calibri" w:cs="Calibri"/>
          <w:sz w:val="22"/>
          <w:szCs w:val="22"/>
          <w:lang w:val="en-US"/>
        </w:rPr>
        <w:t>:</w:t>
      </w:r>
    </w:p>
    <w:p w14:paraId="540853FD" w14:textId="77777777" w:rsidR="008C7223" w:rsidRDefault="008C7223"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establishments not responding will receive another copy of the paper form in a second request for information.  For larger establishments that still have not responded, statistical assistants or mineral commodity specialists will phone an alternative company contact.</w:t>
      </w:r>
    </w:p>
    <w:p w14:paraId="5E8AEF8B" w14:textId="77777777" w:rsidR="001F0D92" w:rsidRDefault="001F0D92" w:rsidP="001F0D92">
      <w:pPr>
        <w:pStyle w:val="BodyTextIndent"/>
        <w:ind w:left="0"/>
        <w:rPr>
          <w:rFonts w:ascii="Calibri" w:hAnsi="Calibri" w:cs="Calibri"/>
          <w:sz w:val="22"/>
          <w:szCs w:val="22"/>
          <w:lang w:val="en-US"/>
        </w:rPr>
      </w:pPr>
      <w:r w:rsidRPr="001F0D92">
        <w:rPr>
          <w:rFonts w:ascii="Calibri" w:hAnsi="Calibri" w:cs="Calibri"/>
          <w:sz w:val="22"/>
          <w:szCs w:val="22"/>
          <w:u w:val="single"/>
          <w:lang w:val="en-US"/>
        </w:rPr>
        <w:t>On-line electronic forms</w:t>
      </w:r>
      <w:r>
        <w:rPr>
          <w:rFonts w:ascii="Calibri" w:hAnsi="Calibri" w:cs="Calibri"/>
          <w:sz w:val="22"/>
          <w:szCs w:val="22"/>
          <w:lang w:val="en-US"/>
        </w:rPr>
        <w:t>:</w:t>
      </w:r>
    </w:p>
    <w:p w14:paraId="13149126" w14:textId="77777777" w:rsidR="008C7223" w:rsidRDefault="001F0D92" w:rsidP="00E65C4E">
      <w:pPr>
        <w:pStyle w:val="BodyTextIndent"/>
        <w:ind w:left="0" w:firstLine="360"/>
        <w:rPr>
          <w:rFonts w:ascii="Calibri" w:hAnsi="Calibri" w:cs="Calibri"/>
          <w:sz w:val="22"/>
          <w:szCs w:val="22"/>
          <w:lang w:val="en-US"/>
        </w:rPr>
      </w:pPr>
      <w:r>
        <w:rPr>
          <w:rFonts w:ascii="Calibri" w:hAnsi="Calibri" w:cs="Calibri"/>
          <w:sz w:val="22"/>
          <w:szCs w:val="22"/>
          <w:lang w:val="en-US"/>
        </w:rPr>
        <w:t>Two weeks after the initial request, statistical assistants will phone establishments that have not responded.  For larger establishments that still have not responded, statistical assistants or mineral commodity specialists will phone an alternative company contact.</w:t>
      </w:r>
    </w:p>
    <w:p w14:paraId="171116A1" w14:textId="5044C0B6" w:rsidR="00144A4E" w:rsidRDefault="00144A4E" w:rsidP="00144A4E">
      <w:pPr>
        <w:pStyle w:val="BodyTextIndent"/>
        <w:ind w:left="0"/>
        <w:rPr>
          <w:rFonts w:ascii="Calibri" w:hAnsi="Calibri" w:cs="Calibri"/>
          <w:sz w:val="22"/>
          <w:szCs w:val="22"/>
          <w:lang w:val="en-US"/>
        </w:rPr>
      </w:pPr>
      <w:r w:rsidRPr="00144A4E">
        <w:rPr>
          <w:rFonts w:ascii="Calibri" w:hAnsi="Calibri" w:cs="Calibri"/>
          <w:sz w:val="22"/>
          <w:szCs w:val="22"/>
          <w:u w:val="single"/>
          <w:lang w:val="en-US"/>
        </w:rPr>
        <w:t>Non-response</w:t>
      </w:r>
      <w:r>
        <w:rPr>
          <w:rFonts w:ascii="Calibri" w:hAnsi="Calibri" w:cs="Calibri"/>
          <w:sz w:val="22"/>
          <w:szCs w:val="22"/>
          <w:lang w:val="en-US"/>
        </w:rPr>
        <w:t>:</w:t>
      </w:r>
    </w:p>
    <w:p w14:paraId="22A294E4" w14:textId="183EF682" w:rsidR="00824428" w:rsidRDefault="00824428" w:rsidP="00824428">
      <w:pPr>
        <w:pStyle w:val="BodyTextIndent"/>
        <w:ind w:left="0" w:firstLine="360"/>
        <w:rPr>
          <w:rFonts w:ascii="Calibri" w:hAnsi="Calibri" w:cs="Calibri"/>
          <w:sz w:val="22"/>
          <w:szCs w:val="22"/>
          <w:lang w:val="en-US"/>
        </w:rPr>
      </w:pPr>
      <w:r>
        <w:rPr>
          <w:rFonts w:ascii="Calibri" w:hAnsi="Calibri" w:cs="Calibri"/>
          <w:sz w:val="22"/>
          <w:szCs w:val="22"/>
          <w:lang w:val="en-US"/>
        </w:rPr>
        <w:t>Several sources of information are used to impute data for non-respondents.  One important source of information is the data on the number of employees and employee hours that mining operations are required to submit to the Mine Safety and Health Administration.  These employment data are closely related to production.  Ratios of employee hours to production can be computed for companies that respond, and those ratios can be used to estimate production for non-respondents.</w:t>
      </w:r>
    </w:p>
    <w:p w14:paraId="42838669" w14:textId="5F702947" w:rsidR="00824428" w:rsidRDefault="00824428" w:rsidP="00824428">
      <w:pPr>
        <w:pStyle w:val="BodyTextIndent"/>
        <w:ind w:left="0" w:firstLine="360"/>
        <w:rPr>
          <w:rFonts w:ascii="Calibri" w:hAnsi="Calibri" w:cs="Calibri"/>
          <w:sz w:val="22"/>
          <w:szCs w:val="22"/>
          <w:lang w:val="en-US"/>
        </w:rPr>
      </w:pPr>
      <w:r>
        <w:rPr>
          <w:rFonts w:ascii="Calibri" w:hAnsi="Calibri" w:cs="Calibri"/>
          <w:sz w:val="22"/>
          <w:szCs w:val="22"/>
          <w:lang w:val="en-US"/>
        </w:rPr>
        <w:t>Forms 10-K or 10-Q filed with the Securities and Exchange Commission (SEC) and company annual reports can also prov</w:t>
      </w:r>
      <w:r w:rsidR="00517B47">
        <w:rPr>
          <w:rFonts w:ascii="Calibri" w:hAnsi="Calibri" w:cs="Calibri"/>
          <w:sz w:val="22"/>
          <w:szCs w:val="22"/>
          <w:lang w:val="en-US"/>
        </w:rPr>
        <w:t>i</w:t>
      </w:r>
      <w:r>
        <w:rPr>
          <w:rFonts w:ascii="Calibri" w:hAnsi="Calibri" w:cs="Calibri"/>
          <w:sz w:val="22"/>
          <w:szCs w:val="22"/>
          <w:lang w:val="en-US"/>
        </w:rPr>
        <w:t xml:space="preserve">de valuable sources of information.  Publicly traded companies must file annual reports on Form 10-K (OMB Control Number 3235-0063) including comprehensive overviews of their business and financial </w:t>
      </w:r>
      <w:r w:rsidR="003E26DF">
        <w:rPr>
          <w:rFonts w:ascii="Calibri" w:hAnsi="Calibri" w:cs="Calibri"/>
          <w:sz w:val="22"/>
          <w:szCs w:val="22"/>
          <w:lang w:val="en-US"/>
        </w:rPr>
        <w:t>conditions and audited financial statements.  This form may also contain production and sales information.  Publicly traded companies sometimes elect to send Form 10-K to shareholders in lieu of less detailed annual reports.</w:t>
      </w:r>
    </w:p>
    <w:p w14:paraId="62D85ED7" w14:textId="50611C1D"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lastRenderedPageBreak/>
        <w:t>Publicly traded companies must also file Form 10-Q (OMB Control Number 3235-0070) quarterly.  Firms include information for the final quarter of a firm’s fiscal year in the annual Form 10-K; therefore only three Form 10-Q filings are made each year.  Form 10-Q contains similar information to the annual Form 10-K; however the information is generally less detailed, and the financial statements are generally unaudited.</w:t>
      </w:r>
    </w:p>
    <w:p w14:paraId="74D95364" w14:textId="2E91E77B" w:rsidR="00F37103" w:rsidRDefault="00F37103" w:rsidP="00824428">
      <w:pPr>
        <w:pStyle w:val="BodyTextIndent"/>
        <w:ind w:left="0" w:firstLine="360"/>
        <w:rPr>
          <w:rFonts w:ascii="Calibri" w:hAnsi="Calibri" w:cs="Calibri"/>
          <w:sz w:val="22"/>
          <w:szCs w:val="22"/>
          <w:lang w:val="en-US"/>
        </w:rPr>
      </w:pPr>
      <w:r>
        <w:rPr>
          <w:rFonts w:ascii="Calibri" w:hAnsi="Calibri" w:cs="Calibri"/>
          <w:sz w:val="22"/>
          <w:szCs w:val="22"/>
          <w:lang w:val="en-US"/>
        </w:rPr>
        <w:t>The USGS believes that there is no significant non-response bias because of the suitable information on which to base imputations.  This Information Collection Request does not contain canvasses of opinion.</w:t>
      </w:r>
    </w:p>
    <w:p w14:paraId="14670D11" w14:textId="39BABF33" w:rsidR="00043333" w:rsidRDefault="00F37103" w:rsidP="00F37103">
      <w:pPr>
        <w:pStyle w:val="BodyTextIndent"/>
        <w:ind w:left="0" w:firstLine="360"/>
        <w:rPr>
          <w:rFonts w:ascii="Calibri" w:hAnsi="Calibri" w:cs="Calibri"/>
          <w:sz w:val="22"/>
          <w:szCs w:val="22"/>
          <w:lang w:val="en-US"/>
        </w:rPr>
      </w:pPr>
      <w:r>
        <w:rPr>
          <w:rFonts w:ascii="Calibri" w:hAnsi="Calibri" w:cs="Calibri"/>
          <w:sz w:val="22"/>
          <w:szCs w:val="22"/>
          <w:lang w:val="en-US"/>
        </w:rPr>
        <w:t>Industry acceptance of these canvasses and response to the USGS publication of the data continue to be extremely positive.</w:t>
      </w:r>
    </w:p>
    <w:p w14:paraId="506D02C4" w14:textId="77777777" w:rsidR="005C17DE" w:rsidRDefault="005C17D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0FFEE3" w14:textId="77777777" w:rsidR="008126AE" w:rsidRPr="005C17D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DB1EA3C" w14:textId="77777777" w:rsidR="008126AE" w:rsidRDefault="008126AE" w:rsidP="008126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73DA3D" w14:textId="4CF81909" w:rsidR="009B4268" w:rsidRDefault="00754F9B" w:rsidP="00420ACD">
      <w:pPr>
        <w:pStyle w:val="BodyTextIndent"/>
        <w:ind w:left="0" w:firstLine="360"/>
        <w:rPr>
          <w:rFonts w:ascii="Calibri" w:hAnsi="Calibri" w:cs="Calibri"/>
          <w:sz w:val="22"/>
          <w:szCs w:val="22"/>
          <w:lang w:val="en-US"/>
        </w:rPr>
      </w:pPr>
      <w:r>
        <w:rPr>
          <w:rFonts w:ascii="Calibri" w:hAnsi="Calibri" w:cs="Calibri"/>
          <w:sz w:val="22"/>
          <w:szCs w:val="22"/>
          <w:lang w:val="en-US"/>
        </w:rPr>
        <w:t>Many of the USGS’ information customers are also busine</w:t>
      </w:r>
      <w:r w:rsidR="00483865">
        <w:rPr>
          <w:rFonts w:ascii="Calibri" w:hAnsi="Calibri" w:cs="Calibri"/>
          <w:sz w:val="22"/>
          <w:szCs w:val="22"/>
          <w:lang w:val="en-US"/>
        </w:rPr>
        <w:t xml:space="preserve">sses that respond to the </w:t>
      </w:r>
      <w:r>
        <w:rPr>
          <w:rFonts w:ascii="Calibri" w:hAnsi="Calibri" w:cs="Calibri"/>
          <w:sz w:val="22"/>
          <w:szCs w:val="22"/>
          <w:lang w:val="en-US"/>
        </w:rPr>
        <w:t>canvass</w:t>
      </w:r>
      <w:r w:rsidR="00483865">
        <w:rPr>
          <w:rFonts w:ascii="Calibri" w:hAnsi="Calibri" w:cs="Calibri"/>
          <w:sz w:val="22"/>
          <w:szCs w:val="22"/>
          <w:lang w:val="en-US"/>
        </w:rPr>
        <w:t>es</w:t>
      </w:r>
      <w:r>
        <w:rPr>
          <w:rFonts w:ascii="Calibri" w:hAnsi="Calibri" w:cs="Calibri"/>
          <w:sz w:val="22"/>
          <w:szCs w:val="22"/>
          <w:lang w:val="en-US"/>
        </w:rPr>
        <w:t xml:space="preserve"> in this information collection.  USGS mineral commodity specialists are in frequent contact with companies by way of industry associations and conferences</w:t>
      </w:r>
      <w:r w:rsidR="006269B1">
        <w:rPr>
          <w:rFonts w:ascii="Calibri" w:hAnsi="Calibri" w:cs="Calibri"/>
          <w:sz w:val="22"/>
          <w:szCs w:val="22"/>
          <w:lang w:val="en-US"/>
        </w:rPr>
        <w:t xml:space="preserve"> [</w:t>
      </w:r>
      <w:r w:rsidR="00BA329F">
        <w:rPr>
          <w:rFonts w:ascii="Calibri" w:hAnsi="Calibri" w:cs="Calibri"/>
          <w:sz w:val="22"/>
          <w:szCs w:val="22"/>
          <w:lang w:val="en-US"/>
        </w:rPr>
        <w:t xml:space="preserve">for example, </w:t>
      </w:r>
      <w:r w:rsidR="00315341">
        <w:rPr>
          <w:rFonts w:ascii="Calibri" w:hAnsi="Calibri" w:cs="Calibri"/>
          <w:sz w:val="22"/>
          <w:szCs w:val="22"/>
          <w:lang w:val="en-US"/>
        </w:rPr>
        <w:t xml:space="preserve">the Aluminum Association, Inc., the International Copper Study Group (ICSG), </w:t>
      </w:r>
      <w:r w:rsidR="00EA524D">
        <w:rPr>
          <w:rFonts w:ascii="Calibri" w:hAnsi="Calibri" w:cs="Calibri"/>
          <w:sz w:val="22"/>
          <w:szCs w:val="22"/>
          <w:lang w:val="en-US"/>
        </w:rPr>
        <w:t>and the International Lead and Zinc Study Group (ILZSG); the USGS copper specialist serves as the ICSG’s statistical chair, and USGS specialists participate in ILZSG’s Fall an</w:t>
      </w:r>
      <w:r w:rsidR="006269B1">
        <w:rPr>
          <w:rFonts w:ascii="Calibri" w:hAnsi="Calibri" w:cs="Calibri"/>
          <w:sz w:val="22"/>
          <w:szCs w:val="22"/>
          <w:lang w:val="en-US"/>
        </w:rPr>
        <w:t>d Spring meetings]</w:t>
      </w:r>
      <w:r w:rsidR="00EA524D">
        <w:rPr>
          <w:rFonts w:ascii="Calibri" w:hAnsi="Calibri" w:cs="Calibri"/>
          <w:sz w:val="22"/>
          <w:szCs w:val="22"/>
          <w:lang w:val="en-US"/>
        </w:rPr>
        <w:t>.</w:t>
      </w:r>
      <w:r w:rsidR="00133C0B">
        <w:rPr>
          <w:rFonts w:ascii="Calibri" w:hAnsi="Calibri" w:cs="Calibri"/>
          <w:sz w:val="22"/>
          <w:szCs w:val="22"/>
          <w:lang w:val="en-US"/>
        </w:rPr>
        <w:t xml:space="preserve">  </w:t>
      </w:r>
      <w:r w:rsidR="00BC3792">
        <w:rPr>
          <w:rFonts w:ascii="Calibri" w:hAnsi="Calibri" w:cs="Calibri"/>
          <w:sz w:val="22"/>
          <w:szCs w:val="22"/>
          <w:lang w:val="en-US"/>
        </w:rPr>
        <w:t>The information exchanged with these industry associations and at conferences includes trade, consumption, and production statistics, as well as information on technology developments within the particular industry.</w:t>
      </w:r>
    </w:p>
    <w:p w14:paraId="30881E51" w14:textId="77777777" w:rsidR="00E65C4E" w:rsidRDefault="00F806F0" w:rsidP="004143D5">
      <w:pPr>
        <w:pStyle w:val="BodyTextIndent"/>
        <w:ind w:left="0" w:firstLine="360"/>
        <w:rPr>
          <w:rFonts w:ascii="Calibri" w:hAnsi="Calibri" w:cs="Calibri"/>
          <w:sz w:val="22"/>
          <w:szCs w:val="22"/>
          <w:lang w:val="en-US"/>
        </w:rPr>
      </w:pPr>
      <w:r>
        <w:rPr>
          <w:rFonts w:ascii="Calibri" w:hAnsi="Calibri" w:cs="Calibri"/>
          <w:sz w:val="22"/>
          <w:szCs w:val="22"/>
          <w:lang w:val="en-US"/>
        </w:rPr>
        <w:t xml:space="preserve">Informal communications during periodic contacts with our customers allow us to determine if the published canvass data are meeting their needs.  Any feedback concerning this information collection discussed during these communications or non-response follow-up telephone contacts is used as suggestions that might facilitate clarification or ease respondent burden.  Respondents are also encouraged to submit comments via a feedback link on the Web site at </w:t>
      </w:r>
      <w:hyperlink r:id="rId8" w:history="1">
        <w:r w:rsidRPr="001F0327">
          <w:rPr>
            <w:rStyle w:val="Hyperlink"/>
            <w:rFonts w:ascii="Calibri" w:hAnsi="Calibri" w:cs="Calibri"/>
            <w:sz w:val="22"/>
            <w:szCs w:val="22"/>
            <w:lang w:val="en-US"/>
          </w:rPr>
          <w:t>https://miforms.er.usgs.gov/General/FeedBackForm.asp</w:t>
        </w:r>
      </w:hyperlink>
      <w:r>
        <w:rPr>
          <w:rFonts w:ascii="Calibri" w:hAnsi="Calibri" w:cs="Calibri"/>
          <w:sz w:val="22"/>
          <w:szCs w:val="22"/>
          <w:lang w:val="en-US"/>
        </w:rPr>
        <w:t>.  An annual letter is sent to our voluntary canvass respondents thanking them for their support and encouraging them to view our data products.  At present, no formal tests are in progress that would require clearance.</w:t>
      </w:r>
    </w:p>
    <w:p w14:paraId="70FFE031" w14:textId="77777777" w:rsidR="004143D5" w:rsidRPr="004143D5" w:rsidRDefault="004143D5" w:rsidP="004143D5">
      <w:pPr>
        <w:pStyle w:val="BodyTextIndent"/>
        <w:ind w:left="0" w:firstLine="360"/>
        <w:rPr>
          <w:rFonts w:ascii="Calibri" w:hAnsi="Calibri" w:cs="Calibri"/>
          <w:sz w:val="22"/>
          <w:szCs w:val="22"/>
          <w:lang w:val="en-US"/>
        </w:rPr>
      </w:pPr>
    </w:p>
    <w:p w14:paraId="27B6A67A" w14:textId="77777777" w:rsidR="0099267A" w:rsidRDefault="0099267A">
      <w:pPr>
        <w:widowControl/>
        <w:autoSpaceDE/>
        <w:autoSpaceDN/>
        <w:adjustRightInd/>
        <w:rPr>
          <w:b/>
          <w:sz w:val="24"/>
          <w:szCs w:val="24"/>
        </w:rPr>
      </w:pPr>
      <w:r>
        <w:rPr>
          <w:b/>
          <w:sz w:val="24"/>
          <w:szCs w:val="24"/>
        </w:rPr>
        <w:br w:type="page"/>
      </w:r>
    </w:p>
    <w:p w14:paraId="23489EAE" w14:textId="334636F2" w:rsidR="00EB3B45" w:rsidRPr="005C17DE" w:rsidRDefault="008126AE"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lastRenderedPageBreak/>
        <w:t>5.</w:t>
      </w:r>
      <w:r w:rsidRPr="005C17DE">
        <w:rPr>
          <w:b/>
          <w:sz w:val="24"/>
          <w:szCs w:val="24"/>
        </w:rPr>
        <w:tab/>
        <w:t>Provide the name</w:t>
      </w:r>
      <w:r w:rsidR="00DD29FE" w:rsidRPr="005C17DE">
        <w:rPr>
          <w:b/>
          <w:sz w:val="24"/>
          <w:szCs w:val="24"/>
        </w:rPr>
        <w:t>s</w:t>
      </w:r>
      <w:r w:rsidRPr="005C17DE">
        <w:rPr>
          <w:b/>
          <w:sz w:val="24"/>
          <w:szCs w:val="24"/>
        </w:rPr>
        <w:t xml:space="preserve"> and telephone number</w:t>
      </w:r>
      <w:r w:rsidR="00DD29FE" w:rsidRPr="005C17D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14:paraId="33FC3BD3" w14:textId="77777777" w:rsidR="00A76BEF" w:rsidRDefault="00A76BEF" w:rsidP="00A76BE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6E8FD37C" w14:textId="77777777" w:rsidR="00E65C4E" w:rsidRPr="00212E5C" w:rsidRDefault="00E65C4E" w:rsidP="00E65C4E">
      <w:pPr>
        <w:pStyle w:val="BodyTextIndent"/>
        <w:widowControl/>
        <w:autoSpaceDE/>
        <w:autoSpaceDN/>
        <w:adjustRightInd/>
        <w:spacing w:after="0"/>
        <w:ind w:left="0" w:firstLine="360"/>
        <w:rPr>
          <w:rFonts w:ascii="Calibri" w:hAnsi="Calibri" w:cs="Calibri"/>
          <w:sz w:val="22"/>
          <w:szCs w:val="22"/>
        </w:rPr>
      </w:pPr>
      <w:r w:rsidRPr="00212E5C">
        <w:rPr>
          <w:rFonts w:ascii="Calibri" w:hAnsi="Calibri" w:cs="Calibri"/>
          <w:sz w:val="22"/>
          <w:szCs w:val="22"/>
        </w:rPr>
        <w:t>For further information concerning this information collection, please contact:</w:t>
      </w:r>
    </w:p>
    <w:p w14:paraId="1EB120FA" w14:textId="77777777" w:rsidR="00E65C4E" w:rsidRPr="00212E5C" w:rsidRDefault="00E65C4E" w:rsidP="00E65C4E">
      <w:pPr>
        <w:pStyle w:val="NoSpacing"/>
        <w:numPr>
          <w:ilvl w:val="0"/>
          <w:numId w:val="2"/>
        </w:numPr>
        <w:rPr>
          <w:rFonts w:ascii="Calibri" w:hAnsi="Calibri" w:cs="Calibri"/>
          <w:sz w:val="22"/>
          <w:szCs w:val="22"/>
        </w:rPr>
      </w:pPr>
      <w:r w:rsidRPr="00212E5C">
        <w:rPr>
          <w:rFonts w:ascii="Calibri" w:hAnsi="Calibri" w:cs="Calibri"/>
          <w:sz w:val="22"/>
          <w:szCs w:val="22"/>
        </w:rPr>
        <w:t xml:space="preserve">Jeffrey P. </w:t>
      </w:r>
      <w:proofErr w:type="spellStart"/>
      <w:r w:rsidRPr="00212E5C">
        <w:rPr>
          <w:rFonts w:ascii="Calibri" w:hAnsi="Calibri" w:cs="Calibri"/>
          <w:sz w:val="22"/>
          <w:szCs w:val="22"/>
        </w:rPr>
        <w:t>Busse</w:t>
      </w:r>
      <w:proofErr w:type="spellEnd"/>
      <w:r w:rsidRPr="00212E5C">
        <w:rPr>
          <w:rFonts w:ascii="Calibri" w:hAnsi="Calibri" w:cs="Calibri"/>
          <w:sz w:val="22"/>
          <w:szCs w:val="22"/>
        </w:rPr>
        <w:t xml:space="preserve">, Statistician, 703-648-4914, </w:t>
      </w:r>
      <w:hyperlink r:id="rId9" w:history="1">
        <w:r w:rsidR="00517BFC" w:rsidRPr="001F0327">
          <w:rPr>
            <w:rStyle w:val="Hyperlink"/>
            <w:rFonts w:ascii="Calibri" w:hAnsi="Calibri" w:cs="Calibri"/>
            <w:sz w:val="22"/>
            <w:szCs w:val="22"/>
          </w:rPr>
          <w:t>jbusse@usgs.gov</w:t>
        </w:r>
      </w:hyperlink>
      <w:r w:rsidR="00517BFC">
        <w:rPr>
          <w:rFonts w:ascii="Calibri" w:hAnsi="Calibri" w:cs="Calibri"/>
          <w:sz w:val="22"/>
          <w:szCs w:val="22"/>
        </w:rPr>
        <w:t xml:space="preserve">, </w:t>
      </w:r>
    </w:p>
    <w:p w14:paraId="0C4AE413" w14:textId="53767644" w:rsidR="00FC10AC" w:rsidRDefault="006B75A4" w:rsidP="00E65C4E">
      <w:pPr>
        <w:pStyle w:val="NoSpacing"/>
        <w:numPr>
          <w:ilvl w:val="0"/>
          <w:numId w:val="2"/>
        </w:numPr>
        <w:rPr>
          <w:rFonts w:ascii="Calibri" w:hAnsi="Calibri" w:cs="Calibri"/>
          <w:sz w:val="22"/>
          <w:szCs w:val="22"/>
        </w:rPr>
      </w:pPr>
      <w:r>
        <w:rPr>
          <w:rFonts w:ascii="Calibri" w:hAnsi="Calibri" w:cs="Calibri"/>
          <w:sz w:val="22"/>
          <w:szCs w:val="22"/>
        </w:rPr>
        <w:t xml:space="preserve">Elizabeth S. </w:t>
      </w:r>
      <w:proofErr w:type="spellStart"/>
      <w:r>
        <w:rPr>
          <w:rFonts w:ascii="Calibri" w:hAnsi="Calibri" w:cs="Calibri"/>
          <w:sz w:val="22"/>
          <w:szCs w:val="22"/>
        </w:rPr>
        <w:t>Sangine</w:t>
      </w:r>
      <w:proofErr w:type="spellEnd"/>
      <w:r w:rsidR="00E65C4E">
        <w:rPr>
          <w:rFonts w:ascii="Calibri" w:hAnsi="Calibri" w:cs="Calibri"/>
          <w:sz w:val="22"/>
          <w:szCs w:val="22"/>
        </w:rPr>
        <w:t>,</w:t>
      </w:r>
      <w:r w:rsidR="00E65C4E" w:rsidRPr="00212E5C">
        <w:rPr>
          <w:rFonts w:ascii="Calibri" w:hAnsi="Calibri" w:cs="Calibri"/>
          <w:sz w:val="22"/>
          <w:szCs w:val="22"/>
        </w:rPr>
        <w:t xml:space="preserve"> Chief, Miner</w:t>
      </w:r>
      <w:r w:rsidR="006C3A8E">
        <w:rPr>
          <w:rFonts w:ascii="Calibri" w:hAnsi="Calibri" w:cs="Calibri"/>
          <w:sz w:val="22"/>
          <w:szCs w:val="22"/>
        </w:rPr>
        <w:t xml:space="preserve">al Commodities Section, 703-648-7720, </w:t>
      </w:r>
      <w:hyperlink r:id="rId10" w:history="1">
        <w:r w:rsidR="006C3A8E" w:rsidRPr="00864F55">
          <w:rPr>
            <w:rStyle w:val="Hyperlink"/>
            <w:rFonts w:ascii="Calibri" w:hAnsi="Calibri" w:cs="Calibri"/>
            <w:sz w:val="22"/>
            <w:szCs w:val="22"/>
          </w:rPr>
          <w:t>escottsangine@usgs.gov</w:t>
        </w:r>
      </w:hyperlink>
      <w:r w:rsidR="006C3A8E">
        <w:rPr>
          <w:rFonts w:ascii="Calibri" w:hAnsi="Calibri" w:cs="Calibri"/>
          <w:sz w:val="22"/>
          <w:szCs w:val="22"/>
        </w:rPr>
        <w:t>,</w:t>
      </w:r>
    </w:p>
    <w:p w14:paraId="301C6ACB" w14:textId="77777777" w:rsidR="00E65C4E" w:rsidRDefault="00E65C4E" w:rsidP="00FC10AC">
      <w:pPr>
        <w:pStyle w:val="NoSpacing"/>
        <w:ind w:left="1080"/>
        <w:rPr>
          <w:rFonts w:ascii="Calibri" w:hAnsi="Calibri" w:cs="Calibri"/>
          <w:sz w:val="22"/>
          <w:szCs w:val="22"/>
        </w:rPr>
      </w:pPr>
      <w:proofErr w:type="gramStart"/>
      <w:r>
        <w:rPr>
          <w:rFonts w:ascii="Calibri" w:hAnsi="Calibri" w:cs="Calibri"/>
          <w:sz w:val="22"/>
          <w:szCs w:val="22"/>
        </w:rPr>
        <w:t>or</w:t>
      </w:r>
      <w:proofErr w:type="gramEnd"/>
    </w:p>
    <w:p w14:paraId="4D39C8EF" w14:textId="27B04B91" w:rsidR="005C17DE" w:rsidRPr="00E65C4E" w:rsidRDefault="00517BFC" w:rsidP="00E65C4E">
      <w:pPr>
        <w:pStyle w:val="NoSpacing"/>
        <w:numPr>
          <w:ilvl w:val="0"/>
          <w:numId w:val="2"/>
        </w:numPr>
        <w:rPr>
          <w:rFonts w:ascii="Calibri" w:hAnsi="Calibri" w:cs="Calibri"/>
          <w:sz w:val="22"/>
          <w:szCs w:val="22"/>
        </w:rPr>
      </w:pPr>
      <w:proofErr w:type="spellStart"/>
      <w:r>
        <w:rPr>
          <w:rFonts w:ascii="Calibri" w:hAnsi="Calibri" w:cs="Calibri"/>
          <w:sz w:val="22"/>
          <w:szCs w:val="22"/>
        </w:rPr>
        <w:t>Shonta</w:t>
      </w:r>
      <w:proofErr w:type="spellEnd"/>
      <w:r>
        <w:rPr>
          <w:rFonts w:ascii="Calibri" w:hAnsi="Calibri" w:cs="Calibri"/>
          <w:sz w:val="22"/>
          <w:szCs w:val="22"/>
        </w:rPr>
        <w:t xml:space="preserve"> Osborne</w:t>
      </w:r>
      <w:r w:rsidR="00657DE3">
        <w:rPr>
          <w:rFonts w:ascii="Calibri" w:hAnsi="Calibri" w:cs="Calibri"/>
          <w:sz w:val="22"/>
          <w:szCs w:val="22"/>
        </w:rPr>
        <w:t xml:space="preserve">, </w:t>
      </w:r>
      <w:r w:rsidR="00E65C4E" w:rsidRPr="00E65C4E">
        <w:rPr>
          <w:rFonts w:ascii="Calibri" w:hAnsi="Calibri" w:cs="Calibri"/>
          <w:sz w:val="22"/>
          <w:szCs w:val="22"/>
        </w:rPr>
        <w:t xml:space="preserve">Chief, </w:t>
      </w:r>
      <w:r w:rsidR="00657DE3">
        <w:rPr>
          <w:rFonts w:ascii="Calibri" w:hAnsi="Calibri" w:cs="Calibri"/>
          <w:sz w:val="22"/>
          <w:szCs w:val="22"/>
        </w:rPr>
        <w:t xml:space="preserve">Minerals Commodities Data Unit, </w:t>
      </w:r>
      <w:r w:rsidR="00E65C4E" w:rsidRPr="00E65C4E">
        <w:rPr>
          <w:rFonts w:ascii="Calibri" w:hAnsi="Calibri" w:cs="Calibri"/>
          <w:sz w:val="22"/>
          <w:szCs w:val="22"/>
        </w:rPr>
        <w:t>Data Collection and Co</w:t>
      </w:r>
      <w:r>
        <w:rPr>
          <w:rFonts w:ascii="Calibri" w:hAnsi="Calibri" w:cs="Calibri"/>
          <w:sz w:val="22"/>
          <w:szCs w:val="22"/>
        </w:rPr>
        <w:t>ordination Section, 703-648-7960</w:t>
      </w:r>
      <w:r w:rsidR="00E65C4E" w:rsidRPr="00E65C4E">
        <w:rPr>
          <w:rFonts w:ascii="Calibri" w:hAnsi="Calibri" w:cs="Calibri"/>
          <w:sz w:val="22"/>
          <w:szCs w:val="22"/>
        </w:rPr>
        <w:t xml:space="preserve">, </w:t>
      </w:r>
      <w:hyperlink r:id="rId11" w:history="1">
        <w:r w:rsidRPr="001F0327">
          <w:rPr>
            <w:rStyle w:val="Hyperlink"/>
            <w:rFonts w:ascii="Calibri" w:hAnsi="Calibri" w:cs="Calibri"/>
            <w:sz w:val="22"/>
            <w:szCs w:val="22"/>
          </w:rPr>
          <w:t>sosborne@usgs.gov</w:t>
        </w:r>
      </w:hyperlink>
      <w:r w:rsidR="00E65C4E" w:rsidRPr="00E65C4E">
        <w:rPr>
          <w:rFonts w:ascii="Calibri" w:hAnsi="Calibri" w:cs="Calibri"/>
          <w:sz w:val="22"/>
          <w:szCs w:val="22"/>
        </w:rPr>
        <w:t>.</w:t>
      </w:r>
      <w:r>
        <w:rPr>
          <w:rFonts w:ascii="Calibri" w:hAnsi="Calibri" w:cs="Calibri"/>
          <w:sz w:val="22"/>
          <w:szCs w:val="22"/>
        </w:rPr>
        <w:t xml:space="preserve"> </w:t>
      </w:r>
    </w:p>
    <w:p w14:paraId="3CDE54D6" w14:textId="0294E995" w:rsidR="0028607E" w:rsidRDefault="0028607E">
      <w:pPr>
        <w:widowControl/>
        <w:autoSpaceDE/>
        <w:autoSpaceDN/>
        <w:adjustRightInd/>
      </w:pPr>
      <w:r>
        <w:br w:type="page"/>
      </w:r>
    </w:p>
    <w:p w14:paraId="3A804F16" w14:textId="77777777" w:rsidR="002B35D5" w:rsidRPr="002037AF" w:rsidRDefault="002B35D5" w:rsidP="002B35D5">
      <w:pPr>
        <w:rPr>
          <w:rFonts w:ascii="Calibri" w:hAnsi="Calibri" w:cs="Calibri"/>
          <w:color w:val="000000"/>
          <w:sz w:val="22"/>
          <w:szCs w:val="22"/>
        </w:rPr>
      </w:pPr>
      <w:r w:rsidRPr="002037AF">
        <w:rPr>
          <w:rFonts w:ascii="Calibri" w:hAnsi="Calibri" w:cs="Calibri"/>
          <w:color w:val="000000"/>
          <w:sz w:val="22"/>
          <w:szCs w:val="22"/>
        </w:rPr>
        <w:lastRenderedPageBreak/>
        <w:t>List and Titles of Forms</w:t>
      </w:r>
    </w:p>
    <w:p w14:paraId="6766DB9A" w14:textId="77777777" w:rsidR="002B35D5" w:rsidRPr="00212E5C" w:rsidRDefault="002B35D5" w:rsidP="002B35D5">
      <w:pPr>
        <w:rPr>
          <w:rFonts w:ascii="Calibri" w:hAnsi="Calibri" w:cs="Calibri"/>
          <w:b/>
          <w:sz w:val="22"/>
          <w:szCs w:val="22"/>
        </w:rPr>
      </w:pPr>
    </w:p>
    <w:tbl>
      <w:tblPr>
        <w:tblW w:w="5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1524"/>
        <w:gridCol w:w="1432"/>
        <w:gridCol w:w="5598"/>
      </w:tblGrid>
      <w:tr w:rsidR="002B35D5" w:rsidRPr="00212E5C" w14:paraId="0B5CC9BD" w14:textId="77777777" w:rsidTr="00195A78">
        <w:trPr>
          <w:trHeight w:val="197"/>
          <w:tblHeader/>
        </w:trPr>
        <w:tc>
          <w:tcPr>
            <w:tcW w:w="801" w:type="pct"/>
            <w:shd w:val="clear" w:color="auto" w:fill="E0E0E0"/>
            <w:vAlign w:val="center"/>
          </w:tcPr>
          <w:p w14:paraId="70039043" w14:textId="77777777" w:rsidR="002B35D5" w:rsidRPr="00212E5C" w:rsidRDefault="002B35D5" w:rsidP="00195A78">
            <w:pPr>
              <w:pStyle w:val="BodyTextIndent"/>
              <w:ind w:left="0"/>
              <w:jc w:val="center"/>
              <w:rPr>
                <w:rFonts w:ascii="Calibri" w:hAnsi="Calibri" w:cs="Calibri"/>
                <w:b/>
                <w:sz w:val="22"/>
                <w:szCs w:val="22"/>
              </w:rPr>
            </w:pPr>
            <w:r>
              <w:rPr>
                <w:rFonts w:ascii="Calibri" w:hAnsi="Calibri" w:cs="Calibri"/>
                <w:b/>
                <w:sz w:val="22"/>
                <w:szCs w:val="22"/>
              </w:rPr>
              <w:t>Form No.</w:t>
            </w:r>
          </w:p>
        </w:tc>
        <w:tc>
          <w:tcPr>
            <w:tcW w:w="748" w:type="pct"/>
            <w:shd w:val="clear" w:color="auto" w:fill="E0E0E0"/>
            <w:vAlign w:val="center"/>
          </w:tcPr>
          <w:p w14:paraId="53C25B11" w14:textId="77777777" w:rsidR="002B35D5" w:rsidRPr="00212E5C" w:rsidRDefault="002B35D5" w:rsidP="00195A78">
            <w:pPr>
              <w:pStyle w:val="BodyTextIndent"/>
              <w:ind w:left="0"/>
              <w:jc w:val="center"/>
              <w:rPr>
                <w:rFonts w:ascii="Calibri" w:hAnsi="Calibri" w:cs="Calibri"/>
                <w:b/>
                <w:i/>
                <w:sz w:val="22"/>
                <w:szCs w:val="22"/>
              </w:rPr>
            </w:pPr>
            <w:r w:rsidRPr="00212E5C">
              <w:rPr>
                <w:rFonts w:ascii="Calibri" w:hAnsi="Calibri" w:cs="Calibri"/>
                <w:b/>
                <w:i/>
                <w:sz w:val="22"/>
                <w:szCs w:val="22"/>
              </w:rPr>
              <w:t>Frequency</w:t>
            </w:r>
          </w:p>
        </w:tc>
        <w:tc>
          <w:tcPr>
            <w:tcW w:w="703" w:type="pct"/>
            <w:shd w:val="clear" w:color="auto" w:fill="E0E0E0"/>
            <w:vAlign w:val="center"/>
          </w:tcPr>
          <w:p w14:paraId="622C7743" w14:textId="77777777" w:rsidR="002B35D5" w:rsidRPr="00212E5C" w:rsidRDefault="002B35D5" w:rsidP="00195A78">
            <w:pPr>
              <w:pStyle w:val="BodyTextIndent"/>
              <w:ind w:left="0"/>
              <w:jc w:val="center"/>
              <w:rPr>
                <w:rFonts w:ascii="Calibri" w:hAnsi="Calibri" w:cs="Calibri"/>
                <w:b/>
                <w:i/>
                <w:sz w:val="22"/>
                <w:szCs w:val="22"/>
              </w:rPr>
            </w:pPr>
            <w:r w:rsidRPr="00212E5C">
              <w:rPr>
                <w:rFonts w:ascii="Calibri" w:hAnsi="Calibri" w:cs="Calibri"/>
                <w:b/>
                <w:i/>
                <w:sz w:val="22"/>
                <w:szCs w:val="22"/>
              </w:rPr>
              <w:t>Canvass Code</w:t>
            </w:r>
          </w:p>
        </w:tc>
        <w:tc>
          <w:tcPr>
            <w:tcW w:w="2748" w:type="pct"/>
            <w:shd w:val="clear" w:color="auto" w:fill="E0E0E0"/>
            <w:vAlign w:val="center"/>
          </w:tcPr>
          <w:p w14:paraId="5EE8283E" w14:textId="77777777" w:rsidR="002B35D5" w:rsidRPr="00212E5C" w:rsidRDefault="002B35D5" w:rsidP="00195A78">
            <w:pPr>
              <w:pStyle w:val="BodyTextIndent"/>
              <w:ind w:left="0"/>
              <w:jc w:val="center"/>
              <w:rPr>
                <w:rFonts w:ascii="Calibri" w:hAnsi="Calibri" w:cs="Calibri"/>
                <w:b/>
                <w:i/>
                <w:sz w:val="22"/>
                <w:szCs w:val="22"/>
              </w:rPr>
            </w:pPr>
            <w:r w:rsidRPr="00212E5C">
              <w:rPr>
                <w:rFonts w:ascii="Calibri" w:hAnsi="Calibri" w:cs="Calibri"/>
                <w:b/>
                <w:i/>
                <w:sz w:val="22"/>
                <w:szCs w:val="22"/>
              </w:rPr>
              <w:t>Title</w:t>
            </w:r>
          </w:p>
        </w:tc>
      </w:tr>
      <w:tr w:rsidR="002B35D5" w:rsidRPr="00212E5C" w14:paraId="14F7DEEE" w14:textId="77777777" w:rsidTr="00195A78">
        <w:trPr>
          <w:trHeight w:val="197"/>
        </w:trPr>
        <w:tc>
          <w:tcPr>
            <w:tcW w:w="801" w:type="pct"/>
            <w:vAlign w:val="bottom"/>
          </w:tcPr>
          <w:p w14:paraId="01B40AC4" w14:textId="12D82D0A"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9-4052</w:t>
            </w:r>
            <w:r w:rsidR="006D787B">
              <w:rPr>
                <w:rFonts w:ascii="Calibri" w:hAnsi="Calibri" w:cs="Calibri"/>
                <w:sz w:val="22"/>
                <w:szCs w:val="22"/>
                <w:lang w:val="en-US"/>
              </w:rPr>
              <w:t>-A</w:t>
            </w:r>
          </w:p>
        </w:tc>
        <w:tc>
          <w:tcPr>
            <w:tcW w:w="748" w:type="pct"/>
            <w:vAlign w:val="bottom"/>
          </w:tcPr>
          <w:p w14:paraId="730DB008" w14:textId="7575150C"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bottom"/>
          </w:tcPr>
          <w:p w14:paraId="6F2710E7" w14:textId="01AA6DBD"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C01</w:t>
            </w:r>
          </w:p>
        </w:tc>
        <w:tc>
          <w:tcPr>
            <w:tcW w:w="2748" w:type="pct"/>
            <w:vAlign w:val="bottom"/>
          </w:tcPr>
          <w:p w14:paraId="48C05133" w14:textId="006C6B33"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Bauxite – Consumption</w:t>
            </w:r>
          </w:p>
        </w:tc>
      </w:tr>
      <w:tr w:rsidR="002B35D5" w:rsidRPr="00212E5C" w14:paraId="3D4E808F" w14:textId="77777777" w:rsidTr="00195A78">
        <w:trPr>
          <w:trHeight w:val="345"/>
        </w:trPr>
        <w:tc>
          <w:tcPr>
            <w:tcW w:w="801" w:type="pct"/>
            <w:vAlign w:val="center"/>
          </w:tcPr>
          <w:p w14:paraId="04301C4B" w14:textId="20A6A906"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9-4055-A</w:t>
            </w:r>
          </w:p>
        </w:tc>
        <w:tc>
          <w:tcPr>
            <w:tcW w:w="748" w:type="pct"/>
            <w:vAlign w:val="center"/>
          </w:tcPr>
          <w:p w14:paraId="44BA15D4" w14:textId="00CB1BAB"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31E442C7" w14:textId="2899F3B3"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C04`</w:t>
            </w:r>
          </w:p>
        </w:tc>
        <w:tc>
          <w:tcPr>
            <w:tcW w:w="2748" w:type="pct"/>
            <w:vAlign w:val="center"/>
          </w:tcPr>
          <w:p w14:paraId="1CE2A130" w14:textId="1CB27DB7"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Alumina</w:t>
            </w:r>
          </w:p>
        </w:tc>
      </w:tr>
      <w:tr w:rsidR="002B35D5" w:rsidRPr="00212E5C" w14:paraId="5141575F" w14:textId="77777777" w:rsidTr="00195A78">
        <w:trPr>
          <w:trHeight w:val="345"/>
        </w:trPr>
        <w:tc>
          <w:tcPr>
            <w:tcW w:w="801" w:type="pct"/>
            <w:vAlign w:val="center"/>
          </w:tcPr>
          <w:p w14:paraId="07A6CACA" w14:textId="07A1F2D7"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9-405</w:t>
            </w:r>
            <w:r w:rsidR="006D787B">
              <w:rPr>
                <w:rFonts w:ascii="Calibri" w:hAnsi="Calibri" w:cs="Calibri"/>
                <w:sz w:val="22"/>
                <w:szCs w:val="22"/>
                <w:lang w:val="en-US"/>
              </w:rPr>
              <w:t>7-A</w:t>
            </w:r>
          </w:p>
        </w:tc>
        <w:tc>
          <w:tcPr>
            <w:tcW w:w="748" w:type="pct"/>
            <w:vAlign w:val="center"/>
          </w:tcPr>
          <w:p w14:paraId="24BE5CE2" w14:textId="49FA2AD5"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35FE181A" w14:textId="6293D0EF"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C06</w:t>
            </w:r>
          </w:p>
        </w:tc>
        <w:tc>
          <w:tcPr>
            <w:tcW w:w="2748" w:type="pct"/>
            <w:vAlign w:val="center"/>
          </w:tcPr>
          <w:p w14:paraId="6FEF7AA7" w14:textId="78FE2F0A"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Primary Antimony</w:t>
            </w:r>
          </w:p>
        </w:tc>
      </w:tr>
      <w:tr w:rsidR="002B35D5" w:rsidRPr="00212E5C" w14:paraId="79577C90" w14:textId="77777777" w:rsidTr="00195A78">
        <w:trPr>
          <w:trHeight w:val="345"/>
        </w:trPr>
        <w:tc>
          <w:tcPr>
            <w:tcW w:w="801" w:type="pct"/>
            <w:vAlign w:val="center"/>
          </w:tcPr>
          <w:p w14:paraId="52C1B758" w14:textId="4642F917"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9-4060</w:t>
            </w:r>
            <w:r w:rsidR="006D787B">
              <w:rPr>
                <w:rFonts w:ascii="Calibri" w:hAnsi="Calibri" w:cs="Calibri"/>
                <w:sz w:val="22"/>
                <w:szCs w:val="22"/>
                <w:lang w:val="en-US"/>
              </w:rPr>
              <w:t>-A</w:t>
            </w:r>
          </w:p>
        </w:tc>
        <w:tc>
          <w:tcPr>
            <w:tcW w:w="748" w:type="pct"/>
            <w:vAlign w:val="center"/>
          </w:tcPr>
          <w:p w14:paraId="6CA39105" w14:textId="12EC6482"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59FF55CA" w14:textId="2335C05F"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C11</w:t>
            </w:r>
          </w:p>
        </w:tc>
        <w:tc>
          <w:tcPr>
            <w:tcW w:w="2748" w:type="pct"/>
            <w:vAlign w:val="center"/>
          </w:tcPr>
          <w:p w14:paraId="338B12A8" w14:textId="7DAC1874"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Bismuth</w:t>
            </w:r>
          </w:p>
        </w:tc>
      </w:tr>
      <w:tr w:rsidR="002B35D5" w:rsidRPr="00212E5C" w14:paraId="776E5415" w14:textId="77777777" w:rsidTr="00195A78">
        <w:trPr>
          <w:trHeight w:val="345"/>
        </w:trPr>
        <w:tc>
          <w:tcPr>
            <w:tcW w:w="801" w:type="pct"/>
            <w:vAlign w:val="center"/>
          </w:tcPr>
          <w:p w14:paraId="2C528FBB" w14:textId="47FE31A1"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9-4066-M</w:t>
            </w:r>
          </w:p>
        </w:tc>
        <w:tc>
          <w:tcPr>
            <w:tcW w:w="748" w:type="pct"/>
            <w:vAlign w:val="center"/>
          </w:tcPr>
          <w:p w14:paraId="7660D6AA" w14:textId="325AEEDE"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7C1840E0" w14:textId="5FEEFF9B"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C21</w:t>
            </w:r>
          </w:p>
        </w:tc>
        <w:tc>
          <w:tcPr>
            <w:tcW w:w="2748" w:type="pct"/>
            <w:vAlign w:val="center"/>
          </w:tcPr>
          <w:p w14:paraId="497DBAA6" w14:textId="4BD60CE0"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Copper</w:t>
            </w:r>
          </w:p>
        </w:tc>
      </w:tr>
      <w:tr w:rsidR="002B35D5" w:rsidRPr="00212E5C" w14:paraId="0EE15358" w14:textId="77777777" w:rsidTr="00195A78">
        <w:trPr>
          <w:trHeight w:val="345"/>
        </w:trPr>
        <w:tc>
          <w:tcPr>
            <w:tcW w:w="801" w:type="pct"/>
            <w:vAlign w:val="center"/>
          </w:tcPr>
          <w:p w14:paraId="5E9CAB67" w14:textId="62BDAB73"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9-4070-A</w:t>
            </w:r>
          </w:p>
        </w:tc>
        <w:tc>
          <w:tcPr>
            <w:tcW w:w="748" w:type="pct"/>
            <w:vAlign w:val="center"/>
          </w:tcPr>
          <w:p w14:paraId="3B687F56" w14:textId="5865D6AE"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32E9D5D1" w14:textId="1D8F1EE1"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C31</w:t>
            </w:r>
          </w:p>
        </w:tc>
        <w:tc>
          <w:tcPr>
            <w:tcW w:w="2748" w:type="pct"/>
            <w:vAlign w:val="center"/>
          </w:tcPr>
          <w:p w14:paraId="4FBC8905" w14:textId="59AD7683"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Magnesium</w:t>
            </w:r>
          </w:p>
        </w:tc>
      </w:tr>
      <w:tr w:rsidR="002B35D5" w:rsidRPr="00212E5C" w14:paraId="6F627FA9" w14:textId="77777777" w:rsidTr="00195A78">
        <w:trPr>
          <w:trHeight w:val="345"/>
        </w:trPr>
        <w:tc>
          <w:tcPr>
            <w:tcW w:w="801" w:type="pct"/>
            <w:vAlign w:val="center"/>
          </w:tcPr>
          <w:p w14:paraId="7547183A" w14:textId="647FE7C1"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9-4074-</w:t>
            </w:r>
            <w:r w:rsidR="006D787B">
              <w:rPr>
                <w:rFonts w:ascii="Calibri" w:hAnsi="Calibri" w:cs="Calibri"/>
                <w:sz w:val="22"/>
                <w:szCs w:val="22"/>
                <w:lang w:val="en-US"/>
              </w:rPr>
              <w:t>A</w:t>
            </w:r>
          </w:p>
        </w:tc>
        <w:tc>
          <w:tcPr>
            <w:tcW w:w="748" w:type="pct"/>
            <w:vAlign w:val="center"/>
          </w:tcPr>
          <w:p w14:paraId="4379714A" w14:textId="5D30CA54"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24FC0644" w14:textId="395D9178"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C39</w:t>
            </w:r>
          </w:p>
        </w:tc>
        <w:tc>
          <w:tcPr>
            <w:tcW w:w="2748" w:type="pct"/>
            <w:vAlign w:val="center"/>
          </w:tcPr>
          <w:p w14:paraId="73892522" w14:textId="638D3010" w:rsidR="002B35D5" w:rsidRPr="006D787B" w:rsidRDefault="00750170" w:rsidP="00195A78">
            <w:pPr>
              <w:pStyle w:val="BodyTextIndent"/>
              <w:ind w:left="0"/>
              <w:rPr>
                <w:rFonts w:ascii="Calibri" w:hAnsi="Calibri" w:cs="Calibri"/>
                <w:sz w:val="22"/>
                <w:szCs w:val="22"/>
                <w:lang w:val="en-US"/>
              </w:rPr>
            </w:pPr>
            <w:r>
              <w:rPr>
                <w:rFonts w:ascii="Calibri" w:hAnsi="Calibri" w:cs="Calibri"/>
                <w:sz w:val="22"/>
                <w:szCs w:val="22"/>
                <w:lang w:val="en-US"/>
              </w:rPr>
              <w:t>Zirconium and Hafnium</w:t>
            </w:r>
          </w:p>
        </w:tc>
      </w:tr>
      <w:tr w:rsidR="002B35D5" w:rsidRPr="00212E5C" w14:paraId="1A503D64" w14:textId="77777777" w:rsidTr="00195A78">
        <w:trPr>
          <w:trHeight w:val="345"/>
        </w:trPr>
        <w:tc>
          <w:tcPr>
            <w:tcW w:w="801" w:type="pct"/>
            <w:vAlign w:val="center"/>
          </w:tcPr>
          <w:p w14:paraId="30C86F68" w14:textId="2C585671" w:rsidR="002B35D5" w:rsidRPr="006D787B"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9-4080-</w:t>
            </w:r>
            <w:r w:rsidR="006D787B">
              <w:rPr>
                <w:rFonts w:ascii="Calibri" w:hAnsi="Calibri" w:cs="Calibri"/>
                <w:sz w:val="22"/>
                <w:szCs w:val="22"/>
                <w:lang w:val="en-US"/>
              </w:rPr>
              <w:t>A</w:t>
            </w:r>
          </w:p>
        </w:tc>
        <w:tc>
          <w:tcPr>
            <w:tcW w:w="748" w:type="pct"/>
            <w:vAlign w:val="center"/>
          </w:tcPr>
          <w:p w14:paraId="1466A9BF" w14:textId="1C8C41F7" w:rsidR="002B35D5" w:rsidRPr="006D787B" w:rsidRDefault="006D787B"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418ACA5F" w14:textId="502B98AD" w:rsidR="002B35D5" w:rsidRPr="006D787B" w:rsidRDefault="00476940" w:rsidP="00195A78">
            <w:pPr>
              <w:pStyle w:val="BodyTextIndent"/>
              <w:ind w:left="0"/>
              <w:rPr>
                <w:rFonts w:ascii="Calibri" w:hAnsi="Calibri" w:cs="Calibri"/>
                <w:sz w:val="22"/>
                <w:szCs w:val="22"/>
                <w:lang w:val="en-US"/>
              </w:rPr>
            </w:pPr>
            <w:r>
              <w:rPr>
                <w:rFonts w:ascii="Calibri" w:hAnsi="Calibri" w:cs="Calibri"/>
                <w:sz w:val="22"/>
                <w:szCs w:val="22"/>
                <w:lang w:val="en-US"/>
              </w:rPr>
              <w:t>C49</w:t>
            </w:r>
          </w:p>
        </w:tc>
        <w:tc>
          <w:tcPr>
            <w:tcW w:w="2748" w:type="pct"/>
            <w:vAlign w:val="center"/>
          </w:tcPr>
          <w:p w14:paraId="04826B04" w14:textId="6EB92846" w:rsidR="002B35D5" w:rsidRPr="006D787B" w:rsidRDefault="00476940" w:rsidP="00195A78">
            <w:pPr>
              <w:pStyle w:val="BodyTextIndent"/>
              <w:ind w:left="0"/>
              <w:rPr>
                <w:rFonts w:ascii="Calibri" w:hAnsi="Calibri" w:cs="Calibri"/>
                <w:sz w:val="22"/>
                <w:szCs w:val="22"/>
                <w:lang w:val="en-US"/>
              </w:rPr>
            </w:pPr>
            <w:r>
              <w:rPr>
                <w:rFonts w:ascii="Calibri" w:hAnsi="Calibri" w:cs="Calibri"/>
                <w:sz w:val="22"/>
                <w:szCs w:val="22"/>
                <w:lang w:val="en-US"/>
              </w:rPr>
              <w:t>Lead and Titanium Pigments and Compounds</w:t>
            </w:r>
          </w:p>
        </w:tc>
      </w:tr>
      <w:tr w:rsidR="002B35D5" w:rsidRPr="00212E5C" w14:paraId="48B12D69" w14:textId="77777777" w:rsidTr="00195A78">
        <w:trPr>
          <w:trHeight w:val="345"/>
        </w:trPr>
        <w:tc>
          <w:tcPr>
            <w:tcW w:w="801" w:type="pct"/>
            <w:vAlign w:val="center"/>
          </w:tcPr>
          <w:p w14:paraId="134FDD01" w14:textId="76464C98" w:rsidR="002B35D5" w:rsidRPr="00AC0B82"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9-4081</w:t>
            </w:r>
            <w:r w:rsidR="00AC0B82">
              <w:rPr>
                <w:rFonts w:ascii="Calibri" w:hAnsi="Calibri" w:cs="Calibri"/>
                <w:sz w:val="22"/>
                <w:szCs w:val="22"/>
                <w:lang w:val="en-US"/>
              </w:rPr>
              <w:t>-</w:t>
            </w:r>
            <w:r>
              <w:rPr>
                <w:rFonts w:ascii="Calibri" w:hAnsi="Calibri" w:cs="Calibri"/>
                <w:sz w:val="22"/>
                <w:szCs w:val="22"/>
                <w:lang w:val="en-US"/>
              </w:rPr>
              <w:t>M</w:t>
            </w:r>
            <w:r w:rsidR="00AC0B82">
              <w:rPr>
                <w:rFonts w:ascii="Calibri" w:hAnsi="Calibri" w:cs="Calibri"/>
                <w:sz w:val="22"/>
                <w:szCs w:val="22"/>
                <w:lang w:val="en-US"/>
              </w:rPr>
              <w:t>A</w:t>
            </w:r>
          </w:p>
        </w:tc>
        <w:tc>
          <w:tcPr>
            <w:tcW w:w="748" w:type="pct"/>
            <w:vAlign w:val="center"/>
          </w:tcPr>
          <w:p w14:paraId="79DE2143" w14:textId="6DAC2AA8" w:rsidR="002B35D5" w:rsidRPr="00AC0B82"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59AF067E" w14:textId="432FBE1E" w:rsidR="002B35D5" w:rsidRPr="00AC0B82" w:rsidRDefault="00476940" w:rsidP="00195A78">
            <w:pPr>
              <w:pStyle w:val="BodyTextIndent"/>
              <w:ind w:left="0"/>
              <w:rPr>
                <w:rFonts w:ascii="Calibri" w:hAnsi="Calibri" w:cs="Calibri"/>
                <w:sz w:val="22"/>
                <w:szCs w:val="22"/>
                <w:lang w:val="en-US"/>
              </w:rPr>
            </w:pPr>
            <w:r>
              <w:rPr>
                <w:rFonts w:ascii="Calibri" w:hAnsi="Calibri" w:cs="Calibri"/>
                <w:sz w:val="22"/>
                <w:szCs w:val="22"/>
                <w:lang w:val="en-US"/>
              </w:rPr>
              <w:t>C52</w:t>
            </w:r>
          </w:p>
        </w:tc>
        <w:tc>
          <w:tcPr>
            <w:tcW w:w="2748" w:type="pct"/>
            <w:vAlign w:val="center"/>
          </w:tcPr>
          <w:p w14:paraId="2A98F30E" w14:textId="63D83274" w:rsidR="002B35D5" w:rsidRPr="00AC0B82" w:rsidRDefault="00476940" w:rsidP="00195A78">
            <w:pPr>
              <w:pStyle w:val="BodyTextIndent"/>
              <w:ind w:left="0"/>
              <w:rPr>
                <w:rFonts w:ascii="Calibri" w:hAnsi="Calibri" w:cs="Calibri"/>
                <w:sz w:val="22"/>
                <w:szCs w:val="22"/>
                <w:lang w:val="en-US"/>
              </w:rPr>
            </w:pPr>
            <w:r>
              <w:rPr>
                <w:rFonts w:ascii="Calibri" w:hAnsi="Calibri" w:cs="Calibri"/>
                <w:sz w:val="22"/>
                <w:szCs w:val="22"/>
                <w:lang w:val="en-US"/>
              </w:rPr>
              <w:t>Aluminum Scrap</w:t>
            </w:r>
          </w:p>
        </w:tc>
      </w:tr>
      <w:tr w:rsidR="002B35D5" w:rsidRPr="00212E5C" w14:paraId="2158FC0B" w14:textId="77777777" w:rsidTr="00195A78">
        <w:trPr>
          <w:trHeight w:val="345"/>
        </w:trPr>
        <w:tc>
          <w:tcPr>
            <w:tcW w:w="801" w:type="pct"/>
            <w:vAlign w:val="center"/>
          </w:tcPr>
          <w:p w14:paraId="5028005E" w14:textId="658131C6" w:rsidR="002B35D5" w:rsidRPr="00AC0B82"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9-4081</w:t>
            </w:r>
            <w:r w:rsidR="00AC0B82">
              <w:rPr>
                <w:rFonts w:ascii="Calibri" w:hAnsi="Calibri" w:cs="Calibri"/>
                <w:sz w:val="22"/>
                <w:szCs w:val="22"/>
                <w:lang w:val="en-US"/>
              </w:rPr>
              <w:t>-</w:t>
            </w:r>
            <w:r>
              <w:rPr>
                <w:rFonts w:ascii="Calibri" w:hAnsi="Calibri" w:cs="Calibri"/>
                <w:sz w:val="22"/>
                <w:szCs w:val="22"/>
                <w:lang w:val="en-US"/>
              </w:rPr>
              <w:t>M</w:t>
            </w:r>
            <w:r w:rsidR="00AC0B82">
              <w:rPr>
                <w:rFonts w:ascii="Calibri" w:hAnsi="Calibri" w:cs="Calibri"/>
                <w:sz w:val="22"/>
                <w:szCs w:val="22"/>
                <w:lang w:val="en-US"/>
              </w:rPr>
              <w:t>A</w:t>
            </w:r>
          </w:p>
        </w:tc>
        <w:tc>
          <w:tcPr>
            <w:tcW w:w="748" w:type="pct"/>
            <w:vAlign w:val="center"/>
          </w:tcPr>
          <w:p w14:paraId="29A2ED38" w14:textId="670B76D0" w:rsidR="002B35D5" w:rsidRPr="00AC0B82" w:rsidRDefault="00AC0B82"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6A73335D" w14:textId="5F183BEC" w:rsidR="002B35D5" w:rsidRPr="00AC0B82" w:rsidRDefault="00476940" w:rsidP="00195A78">
            <w:pPr>
              <w:pStyle w:val="BodyTextIndent"/>
              <w:ind w:left="0"/>
              <w:rPr>
                <w:rFonts w:ascii="Calibri" w:hAnsi="Calibri" w:cs="Calibri"/>
                <w:sz w:val="22"/>
                <w:szCs w:val="22"/>
                <w:lang w:val="en-US"/>
              </w:rPr>
            </w:pPr>
            <w:r>
              <w:rPr>
                <w:rFonts w:ascii="Calibri" w:hAnsi="Calibri" w:cs="Calibri"/>
                <w:sz w:val="22"/>
                <w:szCs w:val="22"/>
                <w:lang w:val="en-US"/>
              </w:rPr>
              <w:t>C52</w:t>
            </w:r>
          </w:p>
        </w:tc>
        <w:tc>
          <w:tcPr>
            <w:tcW w:w="2748" w:type="pct"/>
            <w:vAlign w:val="center"/>
          </w:tcPr>
          <w:p w14:paraId="60867590" w14:textId="40B22D89" w:rsidR="002B35D5" w:rsidRPr="00AC0B82" w:rsidRDefault="00476940" w:rsidP="00195A78">
            <w:pPr>
              <w:pStyle w:val="BodyTextIndent"/>
              <w:ind w:left="0"/>
              <w:rPr>
                <w:rFonts w:ascii="Calibri" w:hAnsi="Calibri" w:cs="Calibri"/>
                <w:sz w:val="22"/>
                <w:szCs w:val="22"/>
                <w:lang w:val="en-US"/>
              </w:rPr>
            </w:pPr>
            <w:r>
              <w:rPr>
                <w:rFonts w:ascii="Calibri" w:hAnsi="Calibri" w:cs="Calibri"/>
                <w:sz w:val="22"/>
                <w:szCs w:val="22"/>
                <w:lang w:val="en-US"/>
              </w:rPr>
              <w:t>Aluminum Scrap</w:t>
            </w:r>
          </w:p>
        </w:tc>
      </w:tr>
      <w:tr w:rsidR="002B35D5" w:rsidRPr="00212E5C" w14:paraId="12D23DC8" w14:textId="77777777" w:rsidTr="00195A78">
        <w:trPr>
          <w:trHeight w:val="345"/>
        </w:trPr>
        <w:tc>
          <w:tcPr>
            <w:tcW w:w="801" w:type="pct"/>
            <w:vAlign w:val="center"/>
          </w:tcPr>
          <w:p w14:paraId="6DC9E698" w14:textId="1DD5DE8C" w:rsidR="002B35D5" w:rsidRPr="00AC0B82"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9-4082-A</w:t>
            </w:r>
          </w:p>
        </w:tc>
        <w:tc>
          <w:tcPr>
            <w:tcW w:w="748" w:type="pct"/>
            <w:vAlign w:val="center"/>
          </w:tcPr>
          <w:p w14:paraId="75A042B0" w14:textId="39DABA2D" w:rsidR="002B35D5" w:rsidRPr="00564EBC"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202B4251" w14:textId="420B5BBF" w:rsidR="002B35D5" w:rsidRPr="00564EBC" w:rsidRDefault="00DB1D1F" w:rsidP="00195A78">
            <w:pPr>
              <w:pStyle w:val="BodyTextIndent"/>
              <w:ind w:left="0"/>
              <w:rPr>
                <w:rFonts w:ascii="Calibri" w:hAnsi="Calibri" w:cs="Calibri"/>
                <w:sz w:val="22"/>
                <w:szCs w:val="22"/>
                <w:lang w:val="en-US"/>
              </w:rPr>
            </w:pPr>
            <w:r>
              <w:rPr>
                <w:rFonts w:ascii="Calibri" w:hAnsi="Calibri" w:cs="Calibri"/>
                <w:sz w:val="22"/>
                <w:szCs w:val="22"/>
                <w:lang w:val="en-US"/>
              </w:rPr>
              <w:t>C53</w:t>
            </w:r>
          </w:p>
        </w:tc>
        <w:tc>
          <w:tcPr>
            <w:tcW w:w="2748" w:type="pct"/>
            <w:vAlign w:val="center"/>
          </w:tcPr>
          <w:p w14:paraId="369BD1F4" w14:textId="3198C1B8" w:rsidR="002B35D5" w:rsidRPr="00564EBC" w:rsidRDefault="00DB1D1F" w:rsidP="00195A78">
            <w:pPr>
              <w:pStyle w:val="BodyTextIndent"/>
              <w:ind w:left="0"/>
              <w:rPr>
                <w:rFonts w:ascii="Calibri" w:hAnsi="Calibri" w:cs="Calibri"/>
                <w:sz w:val="22"/>
                <w:szCs w:val="22"/>
                <w:lang w:val="en-US"/>
              </w:rPr>
            </w:pPr>
            <w:r>
              <w:rPr>
                <w:rFonts w:ascii="Calibri" w:hAnsi="Calibri" w:cs="Calibri"/>
                <w:sz w:val="22"/>
                <w:szCs w:val="22"/>
                <w:lang w:val="en-US"/>
              </w:rPr>
              <w:t>Consumption of Copper Materials – Foundries, Manufacturers, Chemical Plants</w:t>
            </w:r>
          </w:p>
        </w:tc>
      </w:tr>
      <w:tr w:rsidR="001F4694" w:rsidRPr="00212E5C" w14:paraId="191D4A1D" w14:textId="77777777" w:rsidTr="00195A78">
        <w:trPr>
          <w:trHeight w:val="345"/>
        </w:trPr>
        <w:tc>
          <w:tcPr>
            <w:tcW w:w="801" w:type="pct"/>
            <w:vAlign w:val="center"/>
          </w:tcPr>
          <w:p w14:paraId="1DACBE5A" w14:textId="13B0F056" w:rsidR="001F4694" w:rsidRDefault="001F4694" w:rsidP="00195A78">
            <w:pPr>
              <w:pStyle w:val="BodyTextIndent"/>
              <w:ind w:left="0"/>
              <w:rPr>
                <w:rFonts w:ascii="Calibri" w:hAnsi="Calibri" w:cs="Calibri"/>
                <w:sz w:val="22"/>
                <w:szCs w:val="22"/>
                <w:lang w:val="en-US"/>
              </w:rPr>
            </w:pPr>
            <w:r>
              <w:rPr>
                <w:rFonts w:ascii="Calibri" w:hAnsi="Calibri" w:cs="Calibri"/>
                <w:sz w:val="22"/>
                <w:szCs w:val="22"/>
                <w:lang w:val="en-US"/>
              </w:rPr>
              <w:t>9-4083-A</w:t>
            </w:r>
          </w:p>
        </w:tc>
        <w:tc>
          <w:tcPr>
            <w:tcW w:w="748" w:type="pct"/>
            <w:vAlign w:val="center"/>
          </w:tcPr>
          <w:p w14:paraId="070F47C8" w14:textId="0600D6C2" w:rsidR="001F4694" w:rsidRDefault="001F4694"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70418943" w14:textId="693B76D6" w:rsidR="001F4694" w:rsidRDefault="001F4694" w:rsidP="00195A78">
            <w:pPr>
              <w:pStyle w:val="BodyTextIndent"/>
              <w:ind w:left="0"/>
              <w:rPr>
                <w:rFonts w:ascii="Calibri" w:hAnsi="Calibri" w:cs="Calibri"/>
                <w:sz w:val="22"/>
                <w:szCs w:val="22"/>
                <w:lang w:val="en-US"/>
              </w:rPr>
            </w:pPr>
            <w:r>
              <w:rPr>
                <w:rFonts w:ascii="Calibri" w:hAnsi="Calibri" w:cs="Calibri"/>
                <w:sz w:val="22"/>
                <w:szCs w:val="22"/>
                <w:lang w:val="en-US"/>
              </w:rPr>
              <w:t>C54</w:t>
            </w:r>
          </w:p>
        </w:tc>
        <w:tc>
          <w:tcPr>
            <w:tcW w:w="2748" w:type="pct"/>
            <w:vAlign w:val="center"/>
          </w:tcPr>
          <w:p w14:paraId="1D3BC5BB" w14:textId="294AEFF2" w:rsidR="001F4694" w:rsidRDefault="001F4694" w:rsidP="00195A78">
            <w:pPr>
              <w:pStyle w:val="BodyTextIndent"/>
              <w:ind w:left="0"/>
              <w:rPr>
                <w:rFonts w:ascii="Calibri" w:hAnsi="Calibri" w:cs="Calibri"/>
                <w:sz w:val="22"/>
                <w:szCs w:val="22"/>
                <w:lang w:val="en-US"/>
              </w:rPr>
            </w:pPr>
            <w:r>
              <w:rPr>
                <w:rFonts w:ascii="Calibri" w:hAnsi="Calibri" w:cs="Calibri"/>
                <w:sz w:val="22"/>
                <w:szCs w:val="22"/>
                <w:lang w:val="en-US"/>
              </w:rPr>
              <w:t>Scrap and Secondary Copper, Brass, and Nickel</w:t>
            </w:r>
          </w:p>
        </w:tc>
      </w:tr>
      <w:tr w:rsidR="002B35D5" w:rsidRPr="00212E5C" w14:paraId="71EBA0F7" w14:textId="77777777" w:rsidTr="00195A78">
        <w:trPr>
          <w:trHeight w:val="345"/>
        </w:trPr>
        <w:tc>
          <w:tcPr>
            <w:tcW w:w="801" w:type="pct"/>
            <w:vAlign w:val="center"/>
          </w:tcPr>
          <w:p w14:paraId="2698E7B7" w14:textId="19114BA6" w:rsidR="002B35D5" w:rsidRPr="00564EBC"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9-4084-M</w:t>
            </w:r>
          </w:p>
        </w:tc>
        <w:tc>
          <w:tcPr>
            <w:tcW w:w="748" w:type="pct"/>
            <w:vAlign w:val="center"/>
          </w:tcPr>
          <w:p w14:paraId="52FE2AF3" w14:textId="00C5A4BE" w:rsidR="002B35D5" w:rsidRPr="00564EBC"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7BC29373" w14:textId="747C1CBC" w:rsidR="002B35D5" w:rsidRPr="00564EBC" w:rsidRDefault="00D348B3" w:rsidP="00195A78">
            <w:pPr>
              <w:pStyle w:val="BodyTextIndent"/>
              <w:ind w:left="0"/>
              <w:rPr>
                <w:rFonts w:ascii="Calibri" w:hAnsi="Calibri" w:cs="Calibri"/>
                <w:sz w:val="22"/>
                <w:szCs w:val="22"/>
                <w:lang w:val="en-US"/>
              </w:rPr>
            </w:pPr>
            <w:r>
              <w:rPr>
                <w:rFonts w:ascii="Calibri" w:hAnsi="Calibri" w:cs="Calibri"/>
                <w:sz w:val="22"/>
                <w:szCs w:val="22"/>
                <w:lang w:val="en-US"/>
              </w:rPr>
              <w:t>C55</w:t>
            </w:r>
          </w:p>
        </w:tc>
        <w:tc>
          <w:tcPr>
            <w:tcW w:w="2748" w:type="pct"/>
            <w:vAlign w:val="center"/>
          </w:tcPr>
          <w:p w14:paraId="729FA78C" w14:textId="4B27787E" w:rsidR="002B35D5" w:rsidRPr="00564EBC" w:rsidRDefault="00D348B3" w:rsidP="00195A78">
            <w:pPr>
              <w:pStyle w:val="BodyTextIndent"/>
              <w:ind w:left="0"/>
              <w:rPr>
                <w:rFonts w:ascii="Calibri" w:hAnsi="Calibri" w:cs="Calibri"/>
                <w:sz w:val="22"/>
                <w:szCs w:val="22"/>
                <w:lang w:val="en-US"/>
              </w:rPr>
            </w:pPr>
            <w:r>
              <w:rPr>
                <w:rFonts w:ascii="Calibri" w:hAnsi="Calibri" w:cs="Calibri"/>
                <w:sz w:val="22"/>
                <w:szCs w:val="22"/>
                <w:lang w:val="en-US"/>
              </w:rPr>
              <w:t>Copper Materials – Consumption of Primary Brass and Primary Copper Wire Rod Mills</w:t>
            </w:r>
          </w:p>
        </w:tc>
      </w:tr>
      <w:tr w:rsidR="002B35D5" w:rsidRPr="00212E5C" w14:paraId="0E623DA5" w14:textId="77777777" w:rsidTr="00195A78">
        <w:trPr>
          <w:trHeight w:val="345"/>
        </w:trPr>
        <w:tc>
          <w:tcPr>
            <w:tcW w:w="801" w:type="pct"/>
            <w:vAlign w:val="center"/>
          </w:tcPr>
          <w:p w14:paraId="778B0E5A" w14:textId="3273F17D" w:rsidR="002B35D5" w:rsidRPr="00564EBC"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9-4086</w:t>
            </w:r>
            <w:r w:rsidR="00564EBC">
              <w:rPr>
                <w:rFonts w:ascii="Calibri" w:hAnsi="Calibri" w:cs="Calibri"/>
                <w:sz w:val="22"/>
                <w:szCs w:val="22"/>
                <w:lang w:val="en-US"/>
              </w:rPr>
              <w:t>-M</w:t>
            </w:r>
            <w:r>
              <w:rPr>
                <w:rFonts w:ascii="Calibri" w:hAnsi="Calibri" w:cs="Calibri"/>
                <w:sz w:val="22"/>
                <w:szCs w:val="22"/>
                <w:lang w:val="en-US"/>
              </w:rPr>
              <w:t>A</w:t>
            </w:r>
          </w:p>
        </w:tc>
        <w:tc>
          <w:tcPr>
            <w:tcW w:w="748" w:type="pct"/>
            <w:vAlign w:val="center"/>
          </w:tcPr>
          <w:p w14:paraId="2CB27ED1" w14:textId="24F741B4" w:rsidR="002B35D5" w:rsidRPr="00564EBC" w:rsidRDefault="00564EBC"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56B7F5F6" w14:textId="2160F386" w:rsidR="002B35D5" w:rsidRPr="00564EBC" w:rsidRDefault="00C8537E" w:rsidP="00195A78">
            <w:pPr>
              <w:pStyle w:val="BodyTextIndent"/>
              <w:ind w:left="0"/>
              <w:rPr>
                <w:rFonts w:ascii="Calibri" w:hAnsi="Calibri" w:cs="Calibri"/>
                <w:sz w:val="22"/>
                <w:szCs w:val="22"/>
                <w:lang w:val="en-US"/>
              </w:rPr>
            </w:pPr>
            <w:r>
              <w:rPr>
                <w:rFonts w:ascii="Calibri" w:hAnsi="Calibri" w:cs="Calibri"/>
                <w:sz w:val="22"/>
                <w:szCs w:val="22"/>
                <w:lang w:val="en-US"/>
              </w:rPr>
              <w:t>C58</w:t>
            </w:r>
          </w:p>
        </w:tc>
        <w:tc>
          <w:tcPr>
            <w:tcW w:w="2748" w:type="pct"/>
            <w:vAlign w:val="center"/>
          </w:tcPr>
          <w:p w14:paraId="6A63B6A1" w14:textId="2905DD04" w:rsidR="002B35D5" w:rsidRPr="00564EBC" w:rsidRDefault="00C8537E" w:rsidP="00195A78">
            <w:pPr>
              <w:pStyle w:val="BodyTextIndent"/>
              <w:ind w:left="0"/>
              <w:rPr>
                <w:rFonts w:ascii="Calibri" w:hAnsi="Calibri" w:cs="Calibri"/>
                <w:sz w:val="22"/>
                <w:szCs w:val="22"/>
                <w:lang w:val="en-US"/>
              </w:rPr>
            </w:pPr>
            <w:r>
              <w:rPr>
                <w:rFonts w:ascii="Calibri" w:hAnsi="Calibri" w:cs="Calibri"/>
                <w:sz w:val="22"/>
                <w:szCs w:val="22"/>
                <w:lang w:val="en-US"/>
              </w:rPr>
              <w:t>Lead – Secondary Smelter and Consumer Report</w:t>
            </w:r>
          </w:p>
        </w:tc>
      </w:tr>
      <w:tr w:rsidR="002B35D5" w:rsidRPr="00212E5C" w14:paraId="6C10522D" w14:textId="77777777" w:rsidTr="00195A78">
        <w:trPr>
          <w:trHeight w:val="345"/>
        </w:trPr>
        <w:tc>
          <w:tcPr>
            <w:tcW w:w="801" w:type="pct"/>
            <w:vAlign w:val="center"/>
          </w:tcPr>
          <w:p w14:paraId="69E39FC8" w14:textId="0EDD98F0" w:rsidR="002B35D5" w:rsidRPr="00564EBC"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9-4086</w:t>
            </w:r>
            <w:r w:rsidR="00564EBC">
              <w:rPr>
                <w:rFonts w:ascii="Calibri" w:hAnsi="Calibri" w:cs="Calibri"/>
                <w:sz w:val="22"/>
                <w:szCs w:val="22"/>
                <w:lang w:val="en-US"/>
              </w:rPr>
              <w:t>-MA</w:t>
            </w:r>
          </w:p>
        </w:tc>
        <w:tc>
          <w:tcPr>
            <w:tcW w:w="748" w:type="pct"/>
            <w:vAlign w:val="center"/>
          </w:tcPr>
          <w:p w14:paraId="5C75A860" w14:textId="18A56CC9" w:rsidR="002B35D5" w:rsidRPr="00564EBC"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28C95A38" w14:textId="1250B056" w:rsidR="002B35D5" w:rsidRPr="00564EBC" w:rsidRDefault="006E114D" w:rsidP="00195A78">
            <w:pPr>
              <w:pStyle w:val="BodyTextIndent"/>
              <w:ind w:left="0"/>
              <w:rPr>
                <w:rFonts w:ascii="Calibri" w:hAnsi="Calibri" w:cs="Calibri"/>
                <w:sz w:val="22"/>
                <w:szCs w:val="22"/>
                <w:lang w:val="en-US"/>
              </w:rPr>
            </w:pPr>
            <w:r>
              <w:rPr>
                <w:rFonts w:ascii="Calibri" w:hAnsi="Calibri" w:cs="Calibri"/>
                <w:sz w:val="22"/>
                <w:szCs w:val="22"/>
                <w:lang w:val="en-US"/>
              </w:rPr>
              <w:t>C58</w:t>
            </w:r>
          </w:p>
        </w:tc>
        <w:tc>
          <w:tcPr>
            <w:tcW w:w="2748" w:type="pct"/>
            <w:vAlign w:val="center"/>
          </w:tcPr>
          <w:p w14:paraId="4F96ED09" w14:textId="343CD5E5" w:rsidR="002B35D5" w:rsidRPr="00564EBC" w:rsidRDefault="006E114D" w:rsidP="00195A78">
            <w:pPr>
              <w:pStyle w:val="BodyTextIndent"/>
              <w:ind w:left="0"/>
              <w:rPr>
                <w:rFonts w:ascii="Calibri" w:hAnsi="Calibri" w:cs="Calibri"/>
                <w:sz w:val="22"/>
                <w:szCs w:val="22"/>
                <w:lang w:val="en-US"/>
              </w:rPr>
            </w:pPr>
            <w:r>
              <w:rPr>
                <w:rFonts w:ascii="Calibri" w:hAnsi="Calibri" w:cs="Calibri"/>
                <w:sz w:val="22"/>
                <w:szCs w:val="22"/>
                <w:lang w:val="en-US"/>
              </w:rPr>
              <w:t>Lead – Secondary Smelter and Consumer Report</w:t>
            </w:r>
          </w:p>
        </w:tc>
      </w:tr>
      <w:tr w:rsidR="002B35D5" w:rsidRPr="00212E5C" w14:paraId="2306768E" w14:textId="77777777" w:rsidTr="00195A78">
        <w:trPr>
          <w:trHeight w:val="345"/>
        </w:trPr>
        <w:tc>
          <w:tcPr>
            <w:tcW w:w="801" w:type="pct"/>
            <w:vAlign w:val="center"/>
          </w:tcPr>
          <w:p w14:paraId="492D755E" w14:textId="3BDA82EE" w:rsidR="002B35D5" w:rsidRPr="00564EBC"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9-4089</w:t>
            </w:r>
            <w:r w:rsidR="00564EBC">
              <w:rPr>
                <w:rFonts w:ascii="Calibri" w:hAnsi="Calibri" w:cs="Calibri"/>
                <w:sz w:val="22"/>
                <w:szCs w:val="22"/>
                <w:lang w:val="en-US"/>
              </w:rPr>
              <w:t>-MA</w:t>
            </w:r>
          </w:p>
        </w:tc>
        <w:tc>
          <w:tcPr>
            <w:tcW w:w="748" w:type="pct"/>
            <w:vAlign w:val="center"/>
          </w:tcPr>
          <w:p w14:paraId="6FFC7C13" w14:textId="1886C00D" w:rsidR="002B35D5" w:rsidRPr="00564EBC"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4430D871" w14:textId="37810911" w:rsidR="002B35D5" w:rsidRPr="00564EBC" w:rsidRDefault="002355DE" w:rsidP="00195A78">
            <w:pPr>
              <w:pStyle w:val="BodyTextIndent"/>
              <w:ind w:left="0"/>
              <w:rPr>
                <w:rFonts w:ascii="Calibri" w:hAnsi="Calibri" w:cs="Calibri"/>
                <w:sz w:val="22"/>
                <w:szCs w:val="22"/>
                <w:lang w:val="en-US"/>
              </w:rPr>
            </w:pPr>
            <w:r>
              <w:rPr>
                <w:rFonts w:ascii="Calibri" w:hAnsi="Calibri" w:cs="Calibri"/>
                <w:sz w:val="22"/>
                <w:szCs w:val="22"/>
                <w:lang w:val="en-US"/>
              </w:rPr>
              <w:t>C62</w:t>
            </w:r>
          </w:p>
        </w:tc>
        <w:tc>
          <w:tcPr>
            <w:tcW w:w="2748" w:type="pct"/>
            <w:vAlign w:val="center"/>
          </w:tcPr>
          <w:p w14:paraId="20EC4457" w14:textId="1DC76B40" w:rsidR="002B35D5" w:rsidRPr="00564EBC" w:rsidRDefault="002355DE" w:rsidP="00195A78">
            <w:pPr>
              <w:pStyle w:val="BodyTextIndent"/>
              <w:ind w:left="0"/>
              <w:rPr>
                <w:rFonts w:ascii="Calibri" w:hAnsi="Calibri" w:cs="Calibri"/>
                <w:sz w:val="22"/>
                <w:szCs w:val="22"/>
                <w:lang w:val="en-US"/>
              </w:rPr>
            </w:pPr>
            <w:r>
              <w:rPr>
                <w:rFonts w:ascii="Calibri" w:hAnsi="Calibri" w:cs="Calibri"/>
                <w:sz w:val="22"/>
                <w:szCs w:val="22"/>
                <w:lang w:val="en-US"/>
              </w:rPr>
              <w:t>Tin</w:t>
            </w:r>
          </w:p>
        </w:tc>
      </w:tr>
      <w:tr w:rsidR="002B35D5" w:rsidRPr="00212E5C" w14:paraId="5BCD259D" w14:textId="77777777" w:rsidTr="00195A78">
        <w:trPr>
          <w:trHeight w:val="345"/>
        </w:trPr>
        <w:tc>
          <w:tcPr>
            <w:tcW w:w="801" w:type="pct"/>
            <w:vAlign w:val="center"/>
          </w:tcPr>
          <w:p w14:paraId="49FEDADC" w14:textId="5A2F4A22" w:rsidR="002B35D5" w:rsidRPr="002B30D9"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9-4089</w:t>
            </w:r>
            <w:r w:rsidR="002B30D9">
              <w:rPr>
                <w:rFonts w:ascii="Calibri" w:hAnsi="Calibri" w:cs="Calibri"/>
                <w:sz w:val="22"/>
                <w:szCs w:val="22"/>
                <w:lang w:val="en-US"/>
              </w:rPr>
              <w:t>-</w:t>
            </w:r>
            <w:r>
              <w:rPr>
                <w:rFonts w:ascii="Calibri" w:hAnsi="Calibri" w:cs="Calibri"/>
                <w:sz w:val="22"/>
                <w:szCs w:val="22"/>
                <w:lang w:val="en-US"/>
              </w:rPr>
              <w:t>M</w:t>
            </w:r>
            <w:r w:rsidR="002B30D9">
              <w:rPr>
                <w:rFonts w:ascii="Calibri" w:hAnsi="Calibri" w:cs="Calibri"/>
                <w:sz w:val="22"/>
                <w:szCs w:val="22"/>
                <w:lang w:val="en-US"/>
              </w:rPr>
              <w:t>A</w:t>
            </w:r>
          </w:p>
        </w:tc>
        <w:tc>
          <w:tcPr>
            <w:tcW w:w="748" w:type="pct"/>
            <w:vAlign w:val="center"/>
          </w:tcPr>
          <w:p w14:paraId="511F0961" w14:textId="4A41DF70" w:rsidR="002B35D5" w:rsidRPr="002B30D9" w:rsidRDefault="002B30D9"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2EB7B7D0" w14:textId="540D5190" w:rsidR="002B35D5" w:rsidRPr="002B30D9" w:rsidRDefault="002355DE" w:rsidP="00195A78">
            <w:pPr>
              <w:pStyle w:val="BodyTextIndent"/>
              <w:ind w:left="0"/>
              <w:rPr>
                <w:rFonts w:ascii="Calibri" w:hAnsi="Calibri" w:cs="Calibri"/>
                <w:sz w:val="22"/>
                <w:szCs w:val="22"/>
                <w:lang w:val="en-US"/>
              </w:rPr>
            </w:pPr>
            <w:r>
              <w:rPr>
                <w:rFonts w:ascii="Calibri" w:hAnsi="Calibri" w:cs="Calibri"/>
                <w:sz w:val="22"/>
                <w:szCs w:val="22"/>
                <w:lang w:val="en-US"/>
              </w:rPr>
              <w:t>C62</w:t>
            </w:r>
          </w:p>
        </w:tc>
        <w:tc>
          <w:tcPr>
            <w:tcW w:w="2748" w:type="pct"/>
            <w:vAlign w:val="center"/>
          </w:tcPr>
          <w:p w14:paraId="59137DC7" w14:textId="02FA2AA8" w:rsidR="002B35D5" w:rsidRPr="002B30D9" w:rsidRDefault="002355DE" w:rsidP="00195A78">
            <w:pPr>
              <w:pStyle w:val="BodyTextIndent"/>
              <w:ind w:left="0"/>
              <w:rPr>
                <w:rFonts w:ascii="Calibri" w:hAnsi="Calibri" w:cs="Calibri"/>
                <w:sz w:val="22"/>
                <w:szCs w:val="22"/>
                <w:lang w:val="en-US"/>
              </w:rPr>
            </w:pPr>
            <w:r>
              <w:rPr>
                <w:rFonts w:ascii="Calibri" w:hAnsi="Calibri" w:cs="Calibri"/>
                <w:sz w:val="22"/>
                <w:szCs w:val="22"/>
                <w:lang w:val="en-US"/>
              </w:rPr>
              <w:t>Tin</w:t>
            </w:r>
          </w:p>
        </w:tc>
      </w:tr>
      <w:tr w:rsidR="002B35D5" w:rsidRPr="00212E5C" w14:paraId="2CBAFCE6" w14:textId="77777777" w:rsidTr="00195A78">
        <w:trPr>
          <w:trHeight w:val="345"/>
        </w:trPr>
        <w:tc>
          <w:tcPr>
            <w:tcW w:w="801" w:type="pct"/>
            <w:vAlign w:val="center"/>
          </w:tcPr>
          <w:p w14:paraId="6828EE92" w14:textId="12126832" w:rsidR="002B35D5" w:rsidRPr="002B30D9"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9-4090-M</w:t>
            </w:r>
          </w:p>
        </w:tc>
        <w:tc>
          <w:tcPr>
            <w:tcW w:w="748" w:type="pct"/>
            <w:vAlign w:val="center"/>
          </w:tcPr>
          <w:p w14:paraId="05553E85" w14:textId="7EC98A28" w:rsidR="002B35D5" w:rsidRPr="002B30D9" w:rsidRDefault="001D43A3"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324C21E0" w14:textId="64CD7D1B" w:rsidR="002B35D5" w:rsidRPr="002B30D9" w:rsidRDefault="00426DA6" w:rsidP="00195A78">
            <w:pPr>
              <w:pStyle w:val="BodyTextIndent"/>
              <w:ind w:left="0"/>
              <w:rPr>
                <w:rFonts w:ascii="Calibri" w:hAnsi="Calibri" w:cs="Calibri"/>
                <w:sz w:val="22"/>
                <w:szCs w:val="22"/>
                <w:lang w:val="en-US"/>
              </w:rPr>
            </w:pPr>
            <w:r>
              <w:rPr>
                <w:rFonts w:ascii="Calibri" w:hAnsi="Calibri" w:cs="Calibri"/>
                <w:sz w:val="22"/>
                <w:szCs w:val="22"/>
                <w:lang w:val="en-US"/>
              </w:rPr>
              <w:t>C63</w:t>
            </w:r>
          </w:p>
        </w:tc>
        <w:tc>
          <w:tcPr>
            <w:tcW w:w="2748" w:type="pct"/>
            <w:vAlign w:val="center"/>
          </w:tcPr>
          <w:p w14:paraId="2DBC52A3" w14:textId="14E1CD2A" w:rsidR="002B35D5" w:rsidRPr="002B30D9" w:rsidRDefault="00426DA6" w:rsidP="00195A78">
            <w:pPr>
              <w:pStyle w:val="BodyTextIndent"/>
              <w:ind w:left="0"/>
              <w:rPr>
                <w:rFonts w:ascii="Calibri" w:hAnsi="Calibri" w:cs="Calibri"/>
                <w:sz w:val="22"/>
                <w:szCs w:val="22"/>
                <w:lang w:val="en-US"/>
              </w:rPr>
            </w:pPr>
            <w:r>
              <w:rPr>
                <w:rFonts w:ascii="Calibri" w:hAnsi="Calibri" w:cs="Calibri"/>
                <w:sz w:val="22"/>
                <w:szCs w:val="22"/>
                <w:lang w:val="en-US"/>
              </w:rPr>
              <w:t>Pig Tin (Importers, Agents, Brokers, Jobbers, and Dealers)</w:t>
            </w:r>
          </w:p>
        </w:tc>
      </w:tr>
      <w:tr w:rsidR="00D96C7B" w:rsidRPr="00212E5C" w14:paraId="4D579FA3" w14:textId="77777777" w:rsidTr="00195A78">
        <w:trPr>
          <w:trHeight w:val="345"/>
        </w:trPr>
        <w:tc>
          <w:tcPr>
            <w:tcW w:w="801" w:type="pct"/>
            <w:vAlign w:val="center"/>
          </w:tcPr>
          <w:p w14:paraId="1A6487E6" w14:textId="208A58ED"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9-4091-A</w:t>
            </w:r>
          </w:p>
        </w:tc>
        <w:tc>
          <w:tcPr>
            <w:tcW w:w="748" w:type="pct"/>
            <w:vAlign w:val="center"/>
          </w:tcPr>
          <w:p w14:paraId="1DBE3835" w14:textId="7682411B"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257EFED4" w14:textId="649A48DD" w:rsidR="00D96C7B" w:rsidRDefault="00F320D9" w:rsidP="00195A78">
            <w:pPr>
              <w:pStyle w:val="BodyTextIndent"/>
              <w:ind w:left="0"/>
              <w:rPr>
                <w:rFonts w:ascii="Calibri" w:hAnsi="Calibri" w:cs="Calibri"/>
                <w:sz w:val="22"/>
                <w:szCs w:val="22"/>
                <w:lang w:val="en-US"/>
              </w:rPr>
            </w:pPr>
            <w:r>
              <w:rPr>
                <w:rFonts w:ascii="Calibri" w:hAnsi="Calibri" w:cs="Calibri"/>
                <w:sz w:val="22"/>
                <w:szCs w:val="22"/>
                <w:lang w:val="en-US"/>
              </w:rPr>
              <w:t>C65</w:t>
            </w:r>
          </w:p>
        </w:tc>
        <w:tc>
          <w:tcPr>
            <w:tcW w:w="2748" w:type="pct"/>
            <w:vAlign w:val="center"/>
          </w:tcPr>
          <w:p w14:paraId="1402DFFD" w14:textId="0DEA2406" w:rsidR="00D96C7B" w:rsidRDefault="00F320D9" w:rsidP="00195A78">
            <w:pPr>
              <w:pStyle w:val="BodyTextIndent"/>
              <w:ind w:left="0"/>
              <w:rPr>
                <w:rFonts w:ascii="Calibri" w:hAnsi="Calibri" w:cs="Calibri"/>
                <w:sz w:val="22"/>
                <w:szCs w:val="22"/>
                <w:lang w:val="en-US"/>
              </w:rPr>
            </w:pPr>
            <w:r>
              <w:rPr>
                <w:rFonts w:ascii="Calibri" w:hAnsi="Calibri" w:cs="Calibri"/>
                <w:sz w:val="22"/>
                <w:szCs w:val="22"/>
                <w:lang w:val="en-US"/>
              </w:rPr>
              <w:t>Titanium Materials</w:t>
            </w:r>
          </w:p>
        </w:tc>
      </w:tr>
      <w:tr w:rsidR="00D96C7B" w:rsidRPr="00212E5C" w14:paraId="40919E83" w14:textId="77777777" w:rsidTr="00195A78">
        <w:trPr>
          <w:trHeight w:val="345"/>
        </w:trPr>
        <w:tc>
          <w:tcPr>
            <w:tcW w:w="801" w:type="pct"/>
            <w:vAlign w:val="center"/>
          </w:tcPr>
          <w:p w14:paraId="238F8799" w14:textId="7E088DCF"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9-4094-A</w:t>
            </w:r>
          </w:p>
        </w:tc>
        <w:tc>
          <w:tcPr>
            <w:tcW w:w="748" w:type="pct"/>
            <w:vAlign w:val="center"/>
          </w:tcPr>
          <w:p w14:paraId="5451B75F" w14:textId="293538B5"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5DF49997" w14:textId="4625FEF0" w:rsidR="00D96C7B" w:rsidRDefault="00B67741" w:rsidP="00195A78">
            <w:pPr>
              <w:pStyle w:val="BodyTextIndent"/>
              <w:ind w:left="0"/>
              <w:rPr>
                <w:rFonts w:ascii="Calibri" w:hAnsi="Calibri" w:cs="Calibri"/>
                <w:sz w:val="22"/>
                <w:szCs w:val="22"/>
                <w:lang w:val="en-US"/>
              </w:rPr>
            </w:pPr>
            <w:r>
              <w:rPr>
                <w:rFonts w:ascii="Calibri" w:hAnsi="Calibri" w:cs="Calibri"/>
                <w:sz w:val="22"/>
                <w:szCs w:val="22"/>
                <w:lang w:val="en-US"/>
              </w:rPr>
              <w:t>C70</w:t>
            </w:r>
          </w:p>
        </w:tc>
        <w:tc>
          <w:tcPr>
            <w:tcW w:w="2748" w:type="pct"/>
            <w:vAlign w:val="center"/>
          </w:tcPr>
          <w:p w14:paraId="0BB52D25" w14:textId="3AB21B5F" w:rsidR="00D96C7B" w:rsidRDefault="00B67741" w:rsidP="00195A78">
            <w:pPr>
              <w:pStyle w:val="BodyTextIndent"/>
              <w:ind w:left="0"/>
              <w:rPr>
                <w:rFonts w:ascii="Calibri" w:hAnsi="Calibri" w:cs="Calibri"/>
                <w:sz w:val="22"/>
                <w:szCs w:val="22"/>
                <w:lang w:val="en-US"/>
              </w:rPr>
            </w:pPr>
            <w:r>
              <w:rPr>
                <w:rFonts w:ascii="Calibri" w:hAnsi="Calibri" w:cs="Calibri"/>
                <w:sz w:val="22"/>
                <w:szCs w:val="22"/>
                <w:lang w:val="en-US"/>
              </w:rPr>
              <w:t>Zinc</w:t>
            </w:r>
          </w:p>
        </w:tc>
      </w:tr>
      <w:tr w:rsidR="00D96C7B" w:rsidRPr="00212E5C" w14:paraId="45505455" w14:textId="77777777" w:rsidTr="00195A78">
        <w:trPr>
          <w:trHeight w:val="345"/>
        </w:trPr>
        <w:tc>
          <w:tcPr>
            <w:tcW w:w="801" w:type="pct"/>
            <w:vAlign w:val="center"/>
          </w:tcPr>
          <w:p w14:paraId="5F972D54" w14:textId="79CD50FE"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9-4095-A</w:t>
            </w:r>
          </w:p>
        </w:tc>
        <w:tc>
          <w:tcPr>
            <w:tcW w:w="748" w:type="pct"/>
            <w:vAlign w:val="center"/>
          </w:tcPr>
          <w:p w14:paraId="45B2DBC9" w14:textId="54A906ED"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79A699EA" w14:textId="2A5830A6" w:rsidR="00D96C7B" w:rsidRDefault="00A36D1C" w:rsidP="00195A78">
            <w:pPr>
              <w:pStyle w:val="BodyTextIndent"/>
              <w:ind w:left="0"/>
              <w:rPr>
                <w:rFonts w:ascii="Calibri" w:hAnsi="Calibri" w:cs="Calibri"/>
                <w:sz w:val="22"/>
                <w:szCs w:val="22"/>
                <w:lang w:val="en-US"/>
              </w:rPr>
            </w:pPr>
            <w:r>
              <w:rPr>
                <w:rFonts w:ascii="Calibri" w:hAnsi="Calibri" w:cs="Calibri"/>
                <w:sz w:val="22"/>
                <w:szCs w:val="22"/>
                <w:lang w:val="en-US"/>
              </w:rPr>
              <w:t>C71</w:t>
            </w:r>
          </w:p>
        </w:tc>
        <w:tc>
          <w:tcPr>
            <w:tcW w:w="2748" w:type="pct"/>
            <w:vAlign w:val="center"/>
          </w:tcPr>
          <w:p w14:paraId="076B956E" w14:textId="144F2726" w:rsidR="00D96C7B" w:rsidRDefault="00A36D1C" w:rsidP="00195A78">
            <w:pPr>
              <w:pStyle w:val="BodyTextIndent"/>
              <w:ind w:left="0"/>
              <w:rPr>
                <w:rFonts w:ascii="Calibri" w:hAnsi="Calibri" w:cs="Calibri"/>
                <w:sz w:val="22"/>
                <w:szCs w:val="22"/>
                <w:lang w:val="en-US"/>
              </w:rPr>
            </w:pPr>
            <w:r>
              <w:rPr>
                <w:rFonts w:ascii="Calibri" w:hAnsi="Calibri" w:cs="Calibri"/>
                <w:sz w:val="22"/>
                <w:szCs w:val="22"/>
                <w:lang w:val="en-US"/>
              </w:rPr>
              <w:t>Slab Zinc</w:t>
            </w:r>
          </w:p>
        </w:tc>
      </w:tr>
      <w:tr w:rsidR="00D96C7B" w:rsidRPr="00212E5C" w14:paraId="54AE43D3" w14:textId="77777777" w:rsidTr="00195A78">
        <w:trPr>
          <w:trHeight w:val="345"/>
        </w:trPr>
        <w:tc>
          <w:tcPr>
            <w:tcW w:w="801" w:type="pct"/>
            <w:vAlign w:val="center"/>
          </w:tcPr>
          <w:p w14:paraId="35C023A3" w14:textId="737B8617"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9-4098-M</w:t>
            </w:r>
          </w:p>
        </w:tc>
        <w:tc>
          <w:tcPr>
            <w:tcW w:w="748" w:type="pct"/>
            <w:vAlign w:val="center"/>
          </w:tcPr>
          <w:p w14:paraId="2723E721" w14:textId="64D411F2"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27669855" w14:textId="30632115" w:rsidR="00D96C7B" w:rsidRDefault="00826656" w:rsidP="00195A78">
            <w:pPr>
              <w:pStyle w:val="BodyTextIndent"/>
              <w:ind w:left="0"/>
              <w:rPr>
                <w:rFonts w:ascii="Calibri" w:hAnsi="Calibri" w:cs="Calibri"/>
                <w:sz w:val="22"/>
                <w:szCs w:val="22"/>
                <w:lang w:val="en-US"/>
              </w:rPr>
            </w:pPr>
            <w:r>
              <w:rPr>
                <w:rFonts w:ascii="Calibri" w:hAnsi="Calibri" w:cs="Calibri"/>
                <w:sz w:val="22"/>
                <w:szCs w:val="22"/>
                <w:lang w:val="en-US"/>
              </w:rPr>
              <w:t>C78</w:t>
            </w:r>
          </w:p>
        </w:tc>
        <w:tc>
          <w:tcPr>
            <w:tcW w:w="2748" w:type="pct"/>
            <w:vAlign w:val="center"/>
          </w:tcPr>
          <w:p w14:paraId="25EEC953" w14:textId="65F8F174" w:rsidR="00D96C7B" w:rsidRDefault="00826656" w:rsidP="00195A78">
            <w:pPr>
              <w:pStyle w:val="BodyTextIndent"/>
              <w:ind w:left="0"/>
              <w:rPr>
                <w:rFonts w:ascii="Calibri" w:hAnsi="Calibri" w:cs="Calibri"/>
                <w:sz w:val="22"/>
                <w:szCs w:val="22"/>
                <w:lang w:val="en-US"/>
              </w:rPr>
            </w:pPr>
            <w:r>
              <w:rPr>
                <w:rFonts w:ascii="Calibri" w:hAnsi="Calibri" w:cs="Calibri"/>
                <w:sz w:val="22"/>
                <w:szCs w:val="22"/>
                <w:lang w:val="en-US"/>
              </w:rPr>
              <w:t>Lode Mine Production of Gold, Silver, Copper, Lead, and Zinc</w:t>
            </w:r>
          </w:p>
        </w:tc>
      </w:tr>
      <w:tr w:rsidR="00D96C7B" w:rsidRPr="00212E5C" w14:paraId="589DB3DD" w14:textId="77777777" w:rsidTr="00195A78">
        <w:trPr>
          <w:trHeight w:val="345"/>
        </w:trPr>
        <w:tc>
          <w:tcPr>
            <w:tcW w:w="801" w:type="pct"/>
            <w:vAlign w:val="center"/>
          </w:tcPr>
          <w:p w14:paraId="4FDCAD18" w14:textId="36C158D7"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9-4100-A</w:t>
            </w:r>
          </w:p>
        </w:tc>
        <w:tc>
          <w:tcPr>
            <w:tcW w:w="748" w:type="pct"/>
            <w:vAlign w:val="center"/>
          </w:tcPr>
          <w:p w14:paraId="5FE94809" w14:textId="327A0779"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137D64B4" w14:textId="5C12E44A" w:rsidR="00D96C7B" w:rsidRDefault="000828C9" w:rsidP="00195A78">
            <w:pPr>
              <w:pStyle w:val="BodyTextIndent"/>
              <w:ind w:left="0"/>
              <w:rPr>
                <w:rFonts w:ascii="Calibri" w:hAnsi="Calibri" w:cs="Calibri"/>
                <w:sz w:val="22"/>
                <w:szCs w:val="22"/>
                <w:lang w:val="en-US"/>
              </w:rPr>
            </w:pPr>
            <w:r>
              <w:rPr>
                <w:rFonts w:ascii="Calibri" w:hAnsi="Calibri" w:cs="Calibri"/>
                <w:sz w:val="22"/>
                <w:szCs w:val="22"/>
                <w:lang w:val="en-US"/>
              </w:rPr>
              <w:t>C84</w:t>
            </w:r>
          </w:p>
        </w:tc>
        <w:tc>
          <w:tcPr>
            <w:tcW w:w="2748" w:type="pct"/>
            <w:vAlign w:val="center"/>
          </w:tcPr>
          <w:p w14:paraId="4C8D024A" w14:textId="5BCCD953" w:rsidR="00D96C7B" w:rsidRDefault="000828C9" w:rsidP="00195A78">
            <w:pPr>
              <w:pStyle w:val="BodyTextIndent"/>
              <w:ind w:left="0"/>
              <w:rPr>
                <w:rFonts w:ascii="Calibri" w:hAnsi="Calibri" w:cs="Calibri"/>
                <w:sz w:val="22"/>
                <w:szCs w:val="22"/>
                <w:lang w:val="en-US"/>
              </w:rPr>
            </w:pPr>
            <w:r>
              <w:rPr>
                <w:rFonts w:ascii="Calibri" w:hAnsi="Calibri" w:cs="Calibri"/>
                <w:sz w:val="22"/>
                <w:szCs w:val="22"/>
                <w:lang w:val="en-US"/>
              </w:rPr>
              <w:t>Magnesium Compounds (Raw Material and Products)</w:t>
            </w:r>
          </w:p>
        </w:tc>
      </w:tr>
      <w:tr w:rsidR="00D96C7B" w:rsidRPr="00212E5C" w14:paraId="342CC0DC" w14:textId="77777777" w:rsidTr="00195A78">
        <w:trPr>
          <w:trHeight w:val="345"/>
        </w:trPr>
        <w:tc>
          <w:tcPr>
            <w:tcW w:w="801" w:type="pct"/>
            <w:vAlign w:val="center"/>
          </w:tcPr>
          <w:p w14:paraId="3509FD1A" w14:textId="0E7D7EDB"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9-4101-A</w:t>
            </w:r>
          </w:p>
        </w:tc>
        <w:tc>
          <w:tcPr>
            <w:tcW w:w="748" w:type="pct"/>
            <w:vAlign w:val="center"/>
          </w:tcPr>
          <w:p w14:paraId="5B3FA3CA" w14:textId="7F785F7C"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337B51F4" w14:textId="27758039" w:rsidR="00D96C7B" w:rsidRDefault="00E51B30" w:rsidP="00195A78">
            <w:pPr>
              <w:pStyle w:val="BodyTextIndent"/>
              <w:ind w:left="0"/>
              <w:rPr>
                <w:rFonts w:ascii="Calibri" w:hAnsi="Calibri" w:cs="Calibri"/>
                <w:sz w:val="22"/>
                <w:szCs w:val="22"/>
                <w:lang w:val="en-US"/>
              </w:rPr>
            </w:pPr>
            <w:r>
              <w:rPr>
                <w:rFonts w:ascii="Calibri" w:hAnsi="Calibri" w:cs="Calibri"/>
                <w:sz w:val="22"/>
                <w:szCs w:val="22"/>
                <w:lang w:val="en-US"/>
              </w:rPr>
              <w:t>C85</w:t>
            </w:r>
          </w:p>
        </w:tc>
        <w:tc>
          <w:tcPr>
            <w:tcW w:w="2748" w:type="pct"/>
            <w:vAlign w:val="center"/>
          </w:tcPr>
          <w:p w14:paraId="1D03C1C1" w14:textId="61C4CC7E" w:rsidR="00D96C7B" w:rsidRDefault="00E51B30" w:rsidP="00195A78">
            <w:pPr>
              <w:pStyle w:val="BodyTextIndent"/>
              <w:ind w:left="0"/>
              <w:rPr>
                <w:rFonts w:ascii="Calibri" w:hAnsi="Calibri" w:cs="Calibri"/>
                <w:sz w:val="22"/>
                <w:szCs w:val="22"/>
                <w:lang w:val="en-US"/>
              </w:rPr>
            </w:pPr>
            <w:r>
              <w:rPr>
                <w:rFonts w:ascii="Calibri" w:hAnsi="Calibri" w:cs="Calibri"/>
                <w:sz w:val="22"/>
                <w:szCs w:val="22"/>
                <w:lang w:val="en-US"/>
              </w:rPr>
              <w:t>Thorium</w:t>
            </w:r>
          </w:p>
        </w:tc>
      </w:tr>
      <w:tr w:rsidR="00D96C7B" w:rsidRPr="00212E5C" w14:paraId="29AC5677" w14:textId="77777777" w:rsidTr="00195A78">
        <w:trPr>
          <w:trHeight w:val="345"/>
        </w:trPr>
        <w:tc>
          <w:tcPr>
            <w:tcW w:w="801" w:type="pct"/>
            <w:vAlign w:val="center"/>
          </w:tcPr>
          <w:p w14:paraId="33EF9728" w14:textId="47F426A3"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9-4102-A</w:t>
            </w:r>
          </w:p>
        </w:tc>
        <w:tc>
          <w:tcPr>
            <w:tcW w:w="748" w:type="pct"/>
            <w:vAlign w:val="center"/>
          </w:tcPr>
          <w:p w14:paraId="0986AE34" w14:textId="7C7B082A"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0ED5BE1C" w14:textId="55E5EA0B" w:rsidR="00D96C7B" w:rsidRDefault="00E51B30" w:rsidP="00195A78">
            <w:pPr>
              <w:pStyle w:val="BodyTextIndent"/>
              <w:ind w:left="0"/>
              <w:rPr>
                <w:rFonts w:ascii="Calibri" w:hAnsi="Calibri" w:cs="Calibri"/>
                <w:sz w:val="22"/>
                <w:szCs w:val="22"/>
                <w:lang w:val="en-US"/>
              </w:rPr>
            </w:pPr>
            <w:r>
              <w:rPr>
                <w:rFonts w:ascii="Calibri" w:hAnsi="Calibri" w:cs="Calibri"/>
                <w:sz w:val="22"/>
                <w:szCs w:val="22"/>
                <w:lang w:val="en-US"/>
              </w:rPr>
              <w:t>C87</w:t>
            </w:r>
          </w:p>
        </w:tc>
        <w:tc>
          <w:tcPr>
            <w:tcW w:w="2748" w:type="pct"/>
            <w:vAlign w:val="center"/>
          </w:tcPr>
          <w:p w14:paraId="38EAFB02" w14:textId="705093E4" w:rsidR="00D96C7B" w:rsidRDefault="00E51B30" w:rsidP="00195A78">
            <w:pPr>
              <w:pStyle w:val="BodyTextIndent"/>
              <w:ind w:left="0"/>
              <w:rPr>
                <w:rFonts w:ascii="Calibri" w:hAnsi="Calibri" w:cs="Calibri"/>
                <w:sz w:val="22"/>
                <w:szCs w:val="22"/>
                <w:lang w:val="en-US"/>
              </w:rPr>
            </w:pPr>
            <w:r>
              <w:rPr>
                <w:rFonts w:ascii="Calibri" w:hAnsi="Calibri" w:cs="Calibri"/>
                <w:sz w:val="22"/>
                <w:szCs w:val="22"/>
                <w:lang w:val="en-US"/>
              </w:rPr>
              <w:t>Rare Earths</w:t>
            </w:r>
          </w:p>
        </w:tc>
      </w:tr>
      <w:tr w:rsidR="00D96C7B" w:rsidRPr="00212E5C" w14:paraId="5F16CB1E" w14:textId="77777777" w:rsidTr="00195A78">
        <w:trPr>
          <w:trHeight w:val="345"/>
        </w:trPr>
        <w:tc>
          <w:tcPr>
            <w:tcW w:w="801" w:type="pct"/>
            <w:vAlign w:val="center"/>
          </w:tcPr>
          <w:p w14:paraId="537DEBCB" w14:textId="16F52201"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9-4103-A</w:t>
            </w:r>
          </w:p>
        </w:tc>
        <w:tc>
          <w:tcPr>
            <w:tcW w:w="748" w:type="pct"/>
            <w:vAlign w:val="center"/>
          </w:tcPr>
          <w:p w14:paraId="20CBBF69" w14:textId="552645AC"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437AF1DE" w14:textId="5E46813F" w:rsidR="00D96C7B" w:rsidRDefault="00E51B30" w:rsidP="00195A78">
            <w:pPr>
              <w:pStyle w:val="BodyTextIndent"/>
              <w:ind w:left="0"/>
              <w:rPr>
                <w:rFonts w:ascii="Calibri" w:hAnsi="Calibri" w:cs="Calibri"/>
                <w:sz w:val="22"/>
                <w:szCs w:val="22"/>
                <w:lang w:val="en-US"/>
              </w:rPr>
            </w:pPr>
            <w:r>
              <w:rPr>
                <w:rFonts w:ascii="Calibri" w:hAnsi="Calibri" w:cs="Calibri"/>
                <w:sz w:val="22"/>
                <w:szCs w:val="22"/>
                <w:lang w:val="en-US"/>
              </w:rPr>
              <w:t>C90</w:t>
            </w:r>
          </w:p>
        </w:tc>
        <w:tc>
          <w:tcPr>
            <w:tcW w:w="2748" w:type="pct"/>
            <w:vAlign w:val="center"/>
          </w:tcPr>
          <w:p w14:paraId="5E9D9981" w14:textId="51D92B9F" w:rsidR="00D96C7B" w:rsidRDefault="00E51B30" w:rsidP="00195A78">
            <w:pPr>
              <w:pStyle w:val="BodyTextIndent"/>
              <w:ind w:left="0"/>
              <w:rPr>
                <w:rFonts w:ascii="Calibri" w:hAnsi="Calibri" w:cs="Calibri"/>
                <w:sz w:val="22"/>
                <w:szCs w:val="22"/>
                <w:lang w:val="en-US"/>
              </w:rPr>
            </w:pPr>
            <w:r>
              <w:rPr>
                <w:rFonts w:ascii="Calibri" w:hAnsi="Calibri" w:cs="Calibri"/>
                <w:sz w:val="22"/>
                <w:szCs w:val="22"/>
                <w:lang w:val="en-US"/>
              </w:rPr>
              <w:t>Gallium</w:t>
            </w:r>
          </w:p>
        </w:tc>
      </w:tr>
      <w:tr w:rsidR="00D96C7B" w:rsidRPr="00212E5C" w14:paraId="1131F0E9" w14:textId="77777777" w:rsidTr="00195A78">
        <w:trPr>
          <w:trHeight w:val="345"/>
        </w:trPr>
        <w:tc>
          <w:tcPr>
            <w:tcW w:w="801" w:type="pct"/>
            <w:vAlign w:val="center"/>
          </w:tcPr>
          <w:p w14:paraId="550E1254" w14:textId="384BB200"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9-4122-Q</w:t>
            </w:r>
          </w:p>
        </w:tc>
        <w:tc>
          <w:tcPr>
            <w:tcW w:w="748" w:type="pct"/>
            <w:vAlign w:val="center"/>
          </w:tcPr>
          <w:p w14:paraId="17E1FDE1" w14:textId="4AF86DA9"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Quarterly</w:t>
            </w:r>
          </w:p>
        </w:tc>
        <w:tc>
          <w:tcPr>
            <w:tcW w:w="703" w:type="pct"/>
            <w:vAlign w:val="center"/>
          </w:tcPr>
          <w:p w14:paraId="53D560A7" w14:textId="136B5585" w:rsidR="00D96C7B" w:rsidRDefault="00E51B30" w:rsidP="00195A78">
            <w:pPr>
              <w:pStyle w:val="BodyTextIndent"/>
              <w:ind w:left="0"/>
              <w:rPr>
                <w:rFonts w:ascii="Calibri" w:hAnsi="Calibri" w:cs="Calibri"/>
                <w:sz w:val="22"/>
                <w:szCs w:val="22"/>
                <w:lang w:val="en-US"/>
              </w:rPr>
            </w:pPr>
            <w:r>
              <w:rPr>
                <w:rFonts w:ascii="Calibri" w:hAnsi="Calibri" w:cs="Calibri"/>
                <w:sz w:val="22"/>
                <w:szCs w:val="22"/>
                <w:lang w:val="en-US"/>
              </w:rPr>
              <w:t>G37</w:t>
            </w:r>
          </w:p>
        </w:tc>
        <w:tc>
          <w:tcPr>
            <w:tcW w:w="2748" w:type="pct"/>
            <w:vAlign w:val="center"/>
          </w:tcPr>
          <w:p w14:paraId="3BE9BE2F" w14:textId="17BC923B" w:rsidR="00D96C7B" w:rsidRDefault="00E51B30" w:rsidP="00195A78">
            <w:pPr>
              <w:pStyle w:val="BodyTextIndent"/>
              <w:ind w:left="0"/>
              <w:rPr>
                <w:rFonts w:ascii="Calibri" w:hAnsi="Calibri" w:cs="Calibri"/>
                <w:sz w:val="22"/>
                <w:szCs w:val="22"/>
                <w:lang w:val="en-US"/>
              </w:rPr>
            </w:pPr>
            <w:r>
              <w:rPr>
                <w:rFonts w:ascii="Calibri" w:hAnsi="Calibri" w:cs="Calibri"/>
                <w:sz w:val="22"/>
                <w:szCs w:val="22"/>
                <w:lang w:val="en-US"/>
              </w:rPr>
              <w:t>Titanium Metal</w:t>
            </w:r>
          </w:p>
        </w:tc>
      </w:tr>
      <w:tr w:rsidR="00D96C7B" w:rsidRPr="00212E5C" w14:paraId="26173028" w14:textId="77777777" w:rsidTr="00195A78">
        <w:trPr>
          <w:trHeight w:val="345"/>
        </w:trPr>
        <w:tc>
          <w:tcPr>
            <w:tcW w:w="801" w:type="pct"/>
            <w:vAlign w:val="center"/>
          </w:tcPr>
          <w:p w14:paraId="43F3DA55" w14:textId="3793C70F"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lastRenderedPageBreak/>
              <w:t>9-4125-A</w:t>
            </w:r>
          </w:p>
        </w:tc>
        <w:tc>
          <w:tcPr>
            <w:tcW w:w="748" w:type="pct"/>
            <w:vAlign w:val="center"/>
          </w:tcPr>
          <w:p w14:paraId="7D0BD7DA" w14:textId="3B485C0C"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4A64B264" w14:textId="779FBE62" w:rsidR="00D96C7B" w:rsidRDefault="005F2EFE" w:rsidP="00195A78">
            <w:pPr>
              <w:pStyle w:val="BodyTextIndent"/>
              <w:ind w:left="0"/>
              <w:rPr>
                <w:rFonts w:ascii="Calibri" w:hAnsi="Calibri" w:cs="Calibri"/>
                <w:sz w:val="22"/>
                <w:szCs w:val="22"/>
                <w:lang w:val="en-US"/>
              </w:rPr>
            </w:pPr>
            <w:r>
              <w:rPr>
                <w:rFonts w:ascii="Calibri" w:hAnsi="Calibri" w:cs="Calibri"/>
                <w:sz w:val="22"/>
                <w:szCs w:val="22"/>
                <w:lang w:val="en-US"/>
              </w:rPr>
              <w:t>G43</w:t>
            </w:r>
          </w:p>
        </w:tc>
        <w:tc>
          <w:tcPr>
            <w:tcW w:w="2748" w:type="pct"/>
            <w:vAlign w:val="center"/>
          </w:tcPr>
          <w:p w14:paraId="141C8B42" w14:textId="0413675E" w:rsidR="00D96C7B" w:rsidRDefault="00603B56" w:rsidP="00195A78">
            <w:pPr>
              <w:pStyle w:val="BodyTextIndent"/>
              <w:ind w:left="0"/>
              <w:rPr>
                <w:rFonts w:ascii="Calibri" w:hAnsi="Calibri" w:cs="Calibri"/>
                <w:sz w:val="22"/>
                <w:szCs w:val="22"/>
                <w:lang w:val="en-US"/>
              </w:rPr>
            </w:pPr>
            <w:r>
              <w:rPr>
                <w:rFonts w:ascii="Calibri" w:hAnsi="Calibri" w:cs="Calibri"/>
                <w:sz w:val="22"/>
                <w:szCs w:val="22"/>
                <w:lang w:val="en-US"/>
              </w:rPr>
              <w:t>Refinery Production of Precious Metals</w:t>
            </w:r>
          </w:p>
        </w:tc>
      </w:tr>
      <w:tr w:rsidR="00D96C7B" w:rsidRPr="00212E5C" w14:paraId="4D14934E" w14:textId="77777777" w:rsidTr="00195A78">
        <w:trPr>
          <w:trHeight w:val="345"/>
        </w:trPr>
        <w:tc>
          <w:tcPr>
            <w:tcW w:w="801" w:type="pct"/>
            <w:vAlign w:val="center"/>
          </w:tcPr>
          <w:p w14:paraId="629F2574" w14:textId="62000AC7"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9-4128-A</w:t>
            </w:r>
          </w:p>
        </w:tc>
        <w:tc>
          <w:tcPr>
            <w:tcW w:w="748" w:type="pct"/>
            <w:vAlign w:val="center"/>
          </w:tcPr>
          <w:p w14:paraId="0E6CB274" w14:textId="36AA6D01"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Annually</w:t>
            </w:r>
          </w:p>
        </w:tc>
        <w:tc>
          <w:tcPr>
            <w:tcW w:w="703" w:type="pct"/>
            <w:vAlign w:val="center"/>
          </w:tcPr>
          <w:p w14:paraId="7B06C169" w14:textId="6D6F9CD3" w:rsidR="00D96C7B" w:rsidRDefault="00641A87" w:rsidP="00195A78">
            <w:pPr>
              <w:pStyle w:val="BodyTextIndent"/>
              <w:ind w:left="0"/>
              <w:rPr>
                <w:rFonts w:ascii="Calibri" w:hAnsi="Calibri" w:cs="Calibri"/>
                <w:sz w:val="22"/>
                <w:szCs w:val="22"/>
                <w:lang w:val="en-US"/>
              </w:rPr>
            </w:pPr>
            <w:r>
              <w:rPr>
                <w:rFonts w:ascii="Calibri" w:hAnsi="Calibri" w:cs="Calibri"/>
                <w:sz w:val="22"/>
                <w:szCs w:val="22"/>
                <w:lang w:val="en-US"/>
              </w:rPr>
              <w:t>C88</w:t>
            </w:r>
          </w:p>
        </w:tc>
        <w:tc>
          <w:tcPr>
            <w:tcW w:w="2748" w:type="pct"/>
            <w:vAlign w:val="center"/>
          </w:tcPr>
          <w:p w14:paraId="4D36DEF7" w14:textId="6DE02FB1" w:rsidR="00D96C7B" w:rsidRDefault="00641A87" w:rsidP="00195A78">
            <w:pPr>
              <w:pStyle w:val="BodyTextIndent"/>
              <w:ind w:left="0"/>
              <w:rPr>
                <w:rFonts w:ascii="Calibri" w:hAnsi="Calibri" w:cs="Calibri"/>
                <w:sz w:val="22"/>
                <w:szCs w:val="22"/>
                <w:lang w:val="en-US"/>
              </w:rPr>
            </w:pPr>
            <w:r>
              <w:rPr>
                <w:rFonts w:ascii="Calibri" w:hAnsi="Calibri" w:cs="Calibri"/>
                <w:sz w:val="22"/>
                <w:szCs w:val="22"/>
                <w:lang w:val="en-US"/>
              </w:rPr>
              <w:t>Scandium</w:t>
            </w:r>
          </w:p>
        </w:tc>
      </w:tr>
      <w:tr w:rsidR="00D96C7B" w:rsidRPr="00212E5C" w14:paraId="2D17DD86" w14:textId="77777777" w:rsidTr="00195A78">
        <w:trPr>
          <w:trHeight w:val="345"/>
        </w:trPr>
        <w:tc>
          <w:tcPr>
            <w:tcW w:w="801" w:type="pct"/>
            <w:vAlign w:val="center"/>
          </w:tcPr>
          <w:p w14:paraId="2963EE8E" w14:textId="43248ABE"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9-4141-M</w:t>
            </w:r>
          </w:p>
        </w:tc>
        <w:tc>
          <w:tcPr>
            <w:tcW w:w="748" w:type="pct"/>
            <w:vAlign w:val="center"/>
          </w:tcPr>
          <w:p w14:paraId="79C3818B" w14:textId="6BEB6A85" w:rsidR="00D96C7B" w:rsidRDefault="00863576" w:rsidP="00195A78">
            <w:pPr>
              <w:pStyle w:val="BodyTextIndent"/>
              <w:ind w:left="0"/>
              <w:rPr>
                <w:rFonts w:ascii="Calibri" w:hAnsi="Calibri" w:cs="Calibri"/>
                <w:sz w:val="22"/>
                <w:szCs w:val="22"/>
                <w:lang w:val="en-US"/>
              </w:rPr>
            </w:pPr>
            <w:r>
              <w:rPr>
                <w:rFonts w:ascii="Calibri" w:hAnsi="Calibri" w:cs="Calibri"/>
                <w:sz w:val="22"/>
                <w:szCs w:val="22"/>
                <w:lang w:val="en-US"/>
              </w:rPr>
              <w:t>Monthly</w:t>
            </w:r>
          </w:p>
        </w:tc>
        <w:tc>
          <w:tcPr>
            <w:tcW w:w="703" w:type="pct"/>
            <w:vAlign w:val="center"/>
          </w:tcPr>
          <w:p w14:paraId="5C4DA808" w14:textId="4C928413" w:rsidR="00D96C7B" w:rsidRDefault="00641A87" w:rsidP="00195A78">
            <w:pPr>
              <w:pStyle w:val="BodyTextIndent"/>
              <w:ind w:left="0"/>
              <w:rPr>
                <w:rFonts w:ascii="Calibri" w:hAnsi="Calibri" w:cs="Calibri"/>
                <w:sz w:val="22"/>
                <w:szCs w:val="22"/>
                <w:lang w:val="en-US"/>
              </w:rPr>
            </w:pPr>
            <w:r>
              <w:rPr>
                <w:rFonts w:ascii="Calibri" w:hAnsi="Calibri" w:cs="Calibri"/>
                <w:sz w:val="22"/>
                <w:szCs w:val="22"/>
                <w:lang w:val="en-US"/>
              </w:rPr>
              <w:t>G47</w:t>
            </w:r>
          </w:p>
        </w:tc>
        <w:tc>
          <w:tcPr>
            <w:tcW w:w="2748" w:type="pct"/>
            <w:vAlign w:val="center"/>
          </w:tcPr>
          <w:p w14:paraId="2A342262" w14:textId="34760080" w:rsidR="00D96C7B" w:rsidRDefault="00FB54F3" w:rsidP="00195A78">
            <w:pPr>
              <w:pStyle w:val="BodyTextIndent"/>
              <w:ind w:left="0"/>
              <w:rPr>
                <w:rFonts w:ascii="Calibri" w:hAnsi="Calibri" w:cs="Calibri"/>
                <w:sz w:val="22"/>
                <w:szCs w:val="22"/>
                <w:lang w:val="en-US"/>
              </w:rPr>
            </w:pPr>
            <w:r>
              <w:rPr>
                <w:rFonts w:ascii="Calibri" w:hAnsi="Calibri" w:cs="Calibri"/>
                <w:sz w:val="22"/>
                <w:szCs w:val="22"/>
                <w:lang w:val="en-US"/>
              </w:rPr>
              <w:t>Mine Production of Gold and Silver</w:t>
            </w:r>
          </w:p>
        </w:tc>
      </w:tr>
    </w:tbl>
    <w:p w14:paraId="2D86448A" w14:textId="77777777" w:rsidR="00A76BEF" w:rsidRPr="002B35D5" w:rsidRDefault="00A76BEF" w:rsidP="000A2D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A76BEF" w:rsidRPr="002B35D5" w:rsidSect="00EB3B4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07700" w14:textId="77777777" w:rsidR="003810CC" w:rsidRDefault="003810CC" w:rsidP="00320B2A">
      <w:r>
        <w:separator/>
      </w:r>
    </w:p>
  </w:endnote>
  <w:endnote w:type="continuationSeparator" w:id="0">
    <w:p w14:paraId="5ADF0E7F" w14:textId="77777777" w:rsidR="003810CC" w:rsidRDefault="003810CC"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C97C4" w14:textId="77777777" w:rsidR="00480771" w:rsidRPr="006A685D" w:rsidRDefault="00480771" w:rsidP="006A68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231A" w14:textId="77777777" w:rsidR="00480771" w:rsidRPr="006A685D" w:rsidRDefault="00480771" w:rsidP="006A68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77A2" w14:textId="77777777" w:rsidR="006A685D" w:rsidRDefault="006A6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6F49C" w14:textId="77777777" w:rsidR="003810CC" w:rsidRDefault="003810CC" w:rsidP="00320B2A">
      <w:r>
        <w:separator/>
      </w:r>
    </w:p>
  </w:footnote>
  <w:footnote w:type="continuationSeparator" w:id="0">
    <w:p w14:paraId="730110ED" w14:textId="77777777" w:rsidR="003810CC" w:rsidRDefault="003810CC" w:rsidP="0032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1428E" w14:textId="77777777" w:rsidR="006A685D" w:rsidRDefault="006A68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1F417" w14:textId="77777777" w:rsidR="006A685D" w:rsidRDefault="006A68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32BCF" w14:textId="77777777" w:rsidR="006A685D" w:rsidRDefault="006A6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6827A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E6E3C7E"/>
    <w:multiLevelType w:val="hybridMultilevel"/>
    <w:tmpl w:val="C1580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AE"/>
    <w:rsid w:val="00005C30"/>
    <w:rsid w:val="0000776F"/>
    <w:rsid w:val="00035259"/>
    <w:rsid w:val="00037B0A"/>
    <w:rsid w:val="00043333"/>
    <w:rsid w:val="00047AA5"/>
    <w:rsid w:val="00053A0A"/>
    <w:rsid w:val="0007179F"/>
    <w:rsid w:val="000750E2"/>
    <w:rsid w:val="000828C9"/>
    <w:rsid w:val="00082D10"/>
    <w:rsid w:val="000A2D38"/>
    <w:rsid w:val="000C30DF"/>
    <w:rsid w:val="000C54DA"/>
    <w:rsid w:val="000D6571"/>
    <w:rsid w:val="000E6B43"/>
    <w:rsid w:val="0010121A"/>
    <w:rsid w:val="00101ACE"/>
    <w:rsid w:val="00111454"/>
    <w:rsid w:val="001129FE"/>
    <w:rsid w:val="00131A48"/>
    <w:rsid w:val="00132B02"/>
    <w:rsid w:val="00133C0B"/>
    <w:rsid w:val="00144A4E"/>
    <w:rsid w:val="00162816"/>
    <w:rsid w:val="00167706"/>
    <w:rsid w:val="001B0099"/>
    <w:rsid w:val="001B2C13"/>
    <w:rsid w:val="001B5E19"/>
    <w:rsid w:val="001C3285"/>
    <w:rsid w:val="001D43A3"/>
    <w:rsid w:val="001F0D92"/>
    <w:rsid w:val="001F4694"/>
    <w:rsid w:val="00207E2D"/>
    <w:rsid w:val="002355DE"/>
    <w:rsid w:val="00237E9C"/>
    <w:rsid w:val="0025229E"/>
    <w:rsid w:val="00260880"/>
    <w:rsid w:val="00272591"/>
    <w:rsid w:val="0028607E"/>
    <w:rsid w:val="0028765B"/>
    <w:rsid w:val="002965C0"/>
    <w:rsid w:val="002A55B3"/>
    <w:rsid w:val="002B2D57"/>
    <w:rsid w:val="002B30D9"/>
    <w:rsid w:val="002B35D5"/>
    <w:rsid w:val="002F39D8"/>
    <w:rsid w:val="002F716C"/>
    <w:rsid w:val="0030763F"/>
    <w:rsid w:val="00315341"/>
    <w:rsid w:val="00320B2A"/>
    <w:rsid w:val="0032242F"/>
    <w:rsid w:val="00325889"/>
    <w:rsid w:val="00344918"/>
    <w:rsid w:val="003500CE"/>
    <w:rsid w:val="0035325F"/>
    <w:rsid w:val="003810CC"/>
    <w:rsid w:val="003A23A8"/>
    <w:rsid w:val="003A4980"/>
    <w:rsid w:val="003C4CCB"/>
    <w:rsid w:val="003E26DF"/>
    <w:rsid w:val="003F25FF"/>
    <w:rsid w:val="003F7C7E"/>
    <w:rsid w:val="00404A24"/>
    <w:rsid w:val="00412753"/>
    <w:rsid w:val="004143D5"/>
    <w:rsid w:val="00420ACD"/>
    <w:rsid w:val="00422830"/>
    <w:rsid w:val="00426DA6"/>
    <w:rsid w:val="00476940"/>
    <w:rsid w:val="00476ECF"/>
    <w:rsid w:val="00480771"/>
    <w:rsid w:val="00483865"/>
    <w:rsid w:val="00485CE6"/>
    <w:rsid w:val="004928B4"/>
    <w:rsid w:val="004A7EB1"/>
    <w:rsid w:val="004C2A7E"/>
    <w:rsid w:val="00517722"/>
    <w:rsid w:val="00517B47"/>
    <w:rsid w:val="00517BFC"/>
    <w:rsid w:val="00541B9F"/>
    <w:rsid w:val="005637CD"/>
    <w:rsid w:val="00564EBC"/>
    <w:rsid w:val="005B35AB"/>
    <w:rsid w:val="005B4458"/>
    <w:rsid w:val="005C17DE"/>
    <w:rsid w:val="005E5140"/>
    <w:rsid w:val="005F2EFE"/>
    <w:rsid w:val="00602B04"/>
    <w:rsid w:val="00603B56"/>
    <w:rsid w:val="0061407E"/>
    <w:rsid w:val="00615F0A"/>
    <w:rsid w:val="00622B90"/>
    <w:rsid w:val="00623464"/>
    <w:rsid w:val="006269B1"/>
    <w:rsid w:val="00641A87"/>
    <w:rsid w:val="0065431C"/>
    <w:rsid w:val="00657DE3"/>
    <w:rsid w:val="006A685D"/>
    <w:rsid w:val="006B75A4"/>
    <w:rsid w:val="006C3A8E"/>
    <w:rsid w:val="006D6AA0"/>
    <w:rsid w:val="006D787B"/>
    <w:rsid w:val="006E0EBF"/>
    <w:rsid w:val="006E114D"/>
    <w:rsid w:val="00711EF6"/>
    <w:rsid w:val="0071529C"/>
    <w:rsid w:val="007313F5"/>
    <w:rsid w:val="00743951"/>
    <w:rsid w:val="00750170"/>
    <w:rsid w:val="00754F9B"/>
    <w:rsid w:val="00774477"/>
    <w:rsid w:val="00774B36"/>
    <w:rsid w:val="0077565E"/>
    <w:rsid w:val="00776E72"/>
    <w:rsid w:val="007A00AD"/>
    <w:rsid w:val="007A0245"/>
    <w:rsid w:val="007A3B60"/>
    <w:rsid w:val="007A75C3"/>
    <w:rsid w:val="007D6ED4"/>
    <w:rsid w:val="007E5A25"/>
    <w:rsid w:val="007F761A"/>
    <w:rsid w:val="008126AE"/>
    <w:rsid w:val="00824428"/>
    <w:rsid w:val="00825807"/>
    <w:rsid w:val="00826656"/>
    <w:rsid w:val="00863576"/>
    <w:rsid w:val="0087462B"/>
    <w:rsid w:val="0088435C"/>
    <w:rsid w:val="008B20F1"/>
    <w:rsid w:val="008B32CD"/>
    <w:rsid w:val="008B76E4"/>
    <w:rsid w:val="008C06EB"/>
    <w:rsid w:val="008C7223"/>
    <w:rsid w:val="008D51E7"/>
    <w:rsid w:val="008D67A2"/>
    <w:rsid w:val="008E581C"/>
    <w:rsid w:val="00920CF0"/>
    <w:rsid w:val="00946F4A"/>
    <w:rsid w:val="009511C5"/>
    <w:rsid w:val="009554F0"/>
    <w:rsid w:val="009706D8"/>
    <w:rsid w:val="00983886"/>
    <w:rsid w:val="00986754"/>
    <w:rsid w:val="0099267A"/>
    <w:rsid w:val="009B4268"/>
    <w:rsid w:val="009D2786"/>
    <w:rsid w:val="009F4CD5"/>
    <w:rsid w:val="00A01A58"/>
    <w:rsid w:val="00A16FC9"/>
    <w:rsid w:val="00A34407"/>
    <w:rsid w:val="00A36D1C"/>
    <w:rsid w:val="00A403C6"/>
    <w:rsid w:val="00A56454"/>
    <w:rsid w:val="00A63434"/>
    <w:rsid w:val="00A76872"/>
    <w:rsid w:val="00A76BEF"/>
    <w:rsid w:val="00A9794C"/>
    <w:rsid w:val="00AA2587"/>
    <w:rsid w:val="00AB2369"/>
    <w:rsid w:val="00AB7EB9"/>
    <w:rsid w:val="00AC0B82"/>
    <w:rsid w:val="00AD6BD7"/>
    <w:rsid w:val="00AF5D76"/>
    <w:rsid w:val="00B07D34"/>
    <w:rsid w:val="00B14AF5"/>
    <w:rsid w:val="00B22CC3"/>
    <w:rsid w:val="00B303F3"/>
    <w:rsid w:val="00B31CAC"/>
    <w:rsid w:val="00B32BF7"/>
    <w:rsid w:val="00B44812"/>
    <w:rsid w:val="00B564A3"/>
    <w:rsid w:val="00B636CD"/>
    <w:rsid w:val="00B67741"/>
    <w:rsid w:val="00BA329F"/>
    <w:rsid w:val="00BA376C"/>
    <w:rsid w:val="00BB704A"/>
    <w:rsid w:val="00BC3792"/>
    <w:rsid w:val="00BD32CA"/>
    <w:rsid w:val="00BE49E0"/>
    <w:rsid w:val="00BE673D"/>
    <w:rsid w:val="00BF31BA"/>
    <w:rsid w:val="00C07772"/>
    <w:rsid w:val="00C23D23"/>
    <w:rsid w:val="00C36F96"/>
    <w:rsid w:val="00C4072C"/>
    <w:rsid w:val="00C43342"/>
    <w:rsid w:val="00C47DD7"/>
    <w:rsid w:val="00C85351"/>
    <w:rsid w:val="00C8537E"/>
    <w:rsid w:val="00C90805"/>
    <w:rsid w:val="00CD2B60"/>
    <w:rsid w:val="00CD70F0"/>
    <w:rsid w:val="00CF5196"/>
    <w:rsid w:val="00D27C02"/>
    <w:rsid w:val="00D348B3"/>
    <w:rsid w:val="00D96C7B"/>
    <w:rsid w:val="00D97198"/>
    <w:rsid w:val="00DB1D1F"/>
    <w:rsid w:val="00DD1B02"/>
    <w:rsid w:val="00DD29FE"/>
    <w:rsid w:val="00DE3E6C"/>
    <w:rsid w:val="00DF4579"/>
    <w:rsid w:val="00E03AC9"/>
    <w:rsid w:val="00E0713E"/>
    <w:rsid w:val="00E13A3B"/>
    <w:rsid w:val="00E13C27"/>
    <w:rsid w:val="00E16F33"/>
    <w:rsid w:val="00E21B42"/>
    <w:rsid w:val="00E25AA8"/>
    <w:rsid w:val="00E4729D"/>
    <w:rsid w:val="00E51B30"/>
    <w:rsid w:val="00E559D9"/>
    <w:rsid w:val="00E65C4E"/>
    <w:rsid w:val="00E72C1E"/>
    <w:rsid w:val="00E90768"/>
    <w:rsid w:val="00EA524D"/>
    <w:rsid w:val="00EB212F"/>
    <w:rsid w:val="00EB3B45"/>
    <w:rsid w:val="00EC7442"/>
    <w:rsid w:val="00EF7594"/>
    <w:rsid w:val="00F0383D"/>
    <w:rsid w:val="00F320D9"/>
    <w:rsid w:val="00F37103"/>
    <w:rsid w:val="00F52B24"/>
    <w:rsid w:val="00F54A2B"/>
    <w:rsid w:val="00F63BFC"/>
    <w:rsid w:val="00F750E8"/>
    <w:rsid w:val="00F806F0"/>
    <w:rsid w:val="00F92CC1"/>
    <w:rsid w:val="00FA6940"/>
    <w:rsid w:val="00FB0B02"/>
    <w:rsid w:val="00FB54F3"/>
    <w:rsid w:val="00FC10AC"/>
    <w:rsid w:val="00FD4038"/>
    <w:rsid w:val="00FD4938"/>
    <w:rsid w:val="00FE6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9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rPr>
      <w:lang w:val="x-none" w:eastAsia="x-none"/>
    </w:r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NoSpacing">
    <w:name w:val="No Spacing"/>
    <w:uiPriority w:val="1"/>
    <w:qFormat/>
    <w:rsid w:val="00E65C4E"/>
    <w:pPr>
      <w:widowControl w:val="0"/>
      <w:autoSpaceDE w:val="0"/>
      <w:autoSpaceDN w:val="0"/>
      <w:adjustRightInd w:val="0"/>
    </w:pPr>
    <w:rPr>
      <w:rFonts w:ascii="Times New Roman" w:eastAsia="Times New Roman" w:hAnsi="Times New Roman"/>
    </w:rPr>
  </w:style>
  <w:style w:type="paragraph" w:styleId="BodyTextIndent">
    <w:name w:val="Body Text Indent"/>
    <w:basedOn w:val="Normal"/>
    <w:link w:val="BodyTextIndentChar"/>
    <w:rsid w:val="00E65C4E"/>
    <w:pPr>
      <w:spacing w:after="120"/>
      <w:ind w:left="360"/>
    </w:pPr>
    <w:rPr>
      <w:lang w:val="x-none" w:eastAsia="x-none"/>
    </w:rPr>
  </w:style>
  <w:style w:type="character" w:customStyle="1" w:styleId="BodyTextIndentChar">
    <w:name w:val="Body Text Indent Char"/>
    <w:link w:val="BodyTextIndent"/>
    <w:rsid w:val="00E65C4E"/>
    <w:rPr>
      <w:rFonts w:ascii="Times New Roman" w:eastAsia="Times New Roman" w:hAnsi="Times New Roman"/>
    </w:rPr>
  </w:style>
  <w:style w:type="character" w:styleId="CommentReference">
    <w:name w:val="annotation reference"/>
    <w:uiPriority w:val="99"/>
    <w:semiHidden/>
    <w:unhideWhenUsed/>
    <w:rsid w:val="00986754"/>
    <w:rPr>
      <w:sz w:val="18"/>
      <w:szCs w:val="18"/>
    </w:rPr>
  </w:style>
  <w:style w:type="paragraph" w:styleId="CommentText">
    <w:name w:val="annotation text"/>
    <w:basedOn w:val="Normal"/>
    <w:link w:val="CommentTextChar"/>
    <w:uiPriority w:val="99"/>
    <w:semiHidden/>
    <w:unhideWhenUsed/>
    <w:rsid w:val="00986754"/>
    <w:rPr>
      <w:sz w:val="24"/>
      <w:szCs w:val="24"/>
      <w:lang w:val="x-none" w:eastAsia="x-none"/>
    </w:rPr>
  </w:style>
  <w:style w:type="character" w:customStyle="1" w:styleId="CommentTextChar">
    <w:name w:val="Comment Text Char"/>
    <w:link w:val="CommentText"/>
    <w:uiPriority w:val="99"/>
    <w:semiHidden/>
    <w:rsid w:val="00986754"/>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754"/>
    <w:rPr>
      <w:b/>
      <w:bCs/>
    </w:rPr>
  </w:style>
  <w:style w:type="character" w:customStyle="1" w:styleId="CommentSubjectChar">
    <w:name w:val="Comment Subject Char"/>
    <w:link w:val="CommentSubject"/>
    <w:uiPriority w:val="99"/>
    <w:semiHidden/>
    <w:rsid w:val="00986754"/>
    <w:rPr>
      <w:rFonts w:ascii="Times New Roman" w:eastAsia="Times New Roman" w:hAnsi="Times New Roman"/>
      <w:b/>
      <w:bCs/>
      <w:sz w:val="24"/>
      <w:szCs w:val="24"/>
    </w:rPr>
  </w:style>
  <w:style w:type="paragraph" w:styleId="BalloonText">
    <w:name w:val="Balloon Text"/>
    <w:basedOn w:val="Normal"/>
    <w:link w:val="BalloonTextChar"/>
    <w:uiPriority w:val="99"/>
    <w:semiHidden/>
    <w:unhideWhenUsed/>
    <w:rsid w:val="00986754"/>
    <w:rPr>
      <w:rFonts w:ascii="Lucida Grande" w:hAnsi="Lucida Grande"/>
      <w:sz w:val="18"/>
      <w:szCs w:val="18"/>
      <w:lang w:val="x-none" w:eastAsia="x-none"/>
    </w:rPr>
  </w:style>
  <w:style w:type="character" w:customStyle="1" w:styleId="BalloonTextChar">
    <w:name w:val="Balloon Text Char"/>
    <w:link w:val="BalloonText"/>
    <w:uiPriority w:val="99"/>
    <w:semiHidden/>
    <w:rsid w:val="00986754"/>
    <w:rPr>
      <w:rFonts w:ascii="Lucida Grande" w:eastAsia="Times New Roman" w:hAnsi="Lucida Grande" w:cs="Lucida Grande"/>
      <w:sz w:val="18"/>
      <w:szCs w:val="18"/>
    </w:rPr>
  </w:style>
  <w:style w:type="paragraph" w:styleId="Header">
    <w:name w:val="header"/>
    <w:basedOn w:val="Normal"/>
    <w:link w:val="HeaderChar"/>
    <w:uiPriority w:val="99"/>
    <w:unhideWhenUsed/>
    <w:rsid w:val="006A685D"/>
    <w:pPr>
      <w:tabs>
        <w:tab w:val="center" w:pos="4680"/>
        <w:tab w:val="right" w:pos="9360"/>
      </w:tabs>
    </w:pPr>
  </w:style>
  <w:style w:type="character" w:customStyle="1" w:styleId="HeaderChar">
    <w:name w:val="Header Char"/>
    <w:basedOn w:val="DefaultParagraphFont"/>
    <w:link w:val="Header"/>
    <w:uiPriority w:val="99"/>
    <w:rsid w:val="006A685D"/>
    <w:rPr>
      <w:rFonts w:ascii="Times New Roman" w:eastAsia="Times New Roman" w:hAnsi="Times New Roman"/>
    </w:rPr>
  </w:style>
  <w:style w:type="character" w:styleId="FollowedHyperlink">
    <w:name w:val="FollowedHyperlink"/>
    <w:basedOn w:val="DefaultParagraphFont"/>
    <w:uiPriority w:val="99"/>
    <w:semiHidden/>
    <w:unhideWhenUsed/>
    <w:rsid w:val="001D4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84438">
      <w:bodyDiv w:val="1"/>
      <w:marLeft w:val="0"/>
      <w:marRight w:val="0"/>
      <w:marTop w:val="0"/>
      <w:marBottom w:val="0"/>
      <w:divBdr>
        <w:top w:val="none" w:sz="0" w:space="0" w:color="auto"/>
        <w:left w:val="none" w:sz="0" w:space="0" w:color="auto"/>
        <w:bottom w:val="none" w:sz="0" w:space="0" w:color="auto"/>
        <w:right w:val="none" w:sz="0" w:space="0" w:color="auto"/>
      </w:divBdr>
    </w:div>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forms.er.usgs.gov/General/FeedBackForm.a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sborne@usg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ottsangine@usg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usse@usg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75139-34F7-4A2C-BE98-1CB8FC59C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Links>
    <vt:vector size="24" baseType="variant">
      <vt:variant>
        <vt:i4>3276803</vt:i4>
      </vt:variant>
      <vt:variant>
        <vt:i4>9</vt:i4>
      </vt:variant>
      <vt:variant>
        <vt:i4>0</vt:i4>
      </vt:variant>
      <vt:variant>
        <vt:i4>5</vt:i4>
      </vt:variant>
      <vt:variant>
        <vt:lpwstr>mailto:sosborne@usgs.gov</vt:lpwstr>
      </vt:variant>
      <vt:variant>
        <vt:lpwstr/>
      </vt:variant>
      <vt:variant>
        <vt:i4>5308542</vt:i4>
      </vt:variant>
      <vt:variant>
        <vt:i4>6</vt:i4>
      </vt:variant>
      <vt:variant>
        <vt:i4>0</vt:i4>
      </vt:variant>
      <vt:variant>
        <vt:i4>5</vt:i4>
      </vt:variant>
      <vt:variant>
        <vt:lpwstr>mailto:ploferski@usgs.gov</vt:lpwstr>
      </vt:variant>
      <vt:variant>
        <vt:lpwstr/>
      </vt:variant>
      <vt:variant>
        <vt:i4>6226029</vt:i4>
      </vt:variant>
      <vt:variant>
        <vt:i4>3</vt:i4>
      </vt:variant>
      <vt:variant>
        <vt:i4>0</vt:i4>
      </vt:variant>
      <vt:variant>
        <vt:i4>5</vt:i4>
      </vt:variant>
      <vt:variant>
        <vt:lpwstr>mailto:jbusse@usgs.gov</vt:lpwstr>
      </vt:variant>
      <vt:variant>
        <vt:lpwstr/>
      </vt:variant>
      <vt:variant>
        <vt:i4>786508</vt:i4>
      </vt:variant>
      <vt:variant>
        <vt:i4>0</vt:i4>
      </vt:variant>
      <vt:variant>
        <vt:i4>0</vt:i4>
      </vt:variant>
      <vt:variant>
        <vt:i4>5</vt:i4>
      </vt:variant>
      <vt:variant>
        <vt:lpwstr>https://miforms.er.usgs.gov/General/FeedBackForm.asp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2015-03-24T17:30:00Z</dcterms:created>
  <dcterms:modified xsi:type="dcterms:W3CDTF">2015-03-24T17:30:00Z</dcterms:modified>
</cp:coreProperties>
</file>